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4E" w:rsidRDefault="00835B4A" w:rsidP="00B16C4E">
      <w:pPr>
        <w:pStyle w:val="Heading1"/>
        <w:numPr>
          <w:ilvl w:val="0"/>
          <w:numId w:val="0"/>
        </w:numPr>
      </w:pPr>
      <w:proofErr w:type="gramStart"/>
      <w:r>
        <w:t>Appendix 2.</w:t>
      </w:r>
      <w:proofErr w:type="gramEnd"/>
      <w:r>
        <w:t xml:space="preserve"> </w:t>
      </w:r>
    </w:p>
    <w:p w:rsidR="00CE19E9" w:rsidRDefault="00260AF1" w:rsidP="00835B4A">
      <w:pPr>
        <w:pStyle w:val="NoSpacing"/>
      </w:pPr>
      <w:r>
        <w:t>Transcripts analysed to assess purity of mouse arrays</w:t>
      </w:r>
    </w:p>
    <w:p w:rsidR="00835B4A" w:rsidRDefault="00835B4A" w:rsidP="00835B4A">
      <w:pPr>
        <w:pStyle w:val="NoSpacing"/>
      </w:pPr>
    </w:p>
    <w:tbl>
      <w:tblPr>
        <w:tblStyle w:val="LightShading1"/>
        <w:tblW w:w="5000" w:type="pct"/>
        <w:tblLook w:val="06A0"/>
      </w:tblPr>
      <w:tblGrid>
        <w:gridCol w:w="1016"/>
        <w:gridCol w:w="1860"/>
        <w:gridCol w:w="967"/>
        <w:gridCol w:w="894"/>
        <w:gridCol w:w="996"/>
        <w:gridCol w:w="891"/>
        <w:gridCol w:w="996"/>
        <w:gridCol w:w="891"/>
        <w:gridCol w:w="996"/>
        <w:gridCol w:w="891"/>
        <w:gridCol w:w="996"/>
        <w:gridCol w:w="891"/>
        <w:gridCol w:w="997"/>
        <w:gridCol w:w="892"/>
      </w:tblGrid>
      <w:tr w:rsidR="00260AF1" w:rsidTr="00BF34EC">
        <w:trPr>
          <w:cnfStyle w:val="100000000000"/>
        </w:trPr>
        <w:tc>
          <w:tcPr>
            <w:cnfStyle w:val="001000000000"/>
            <w:tcW w:w="360" w:type="pct"/>
            <w:vMerge w:val="restart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</w:pPr>
            <w:r>
              <w:t>Gene symbol</w:t>
            </w:r>
          </w:p>
        </w:tc>
        <w:tc>
          <w:tcPr>
            <w:tcW w:w="658" w:type="pct"/>
            <w:vMerge w:val="restart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100000000000"/>
            </w:pPr>
            <w:r>
              <w:t>Gene name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jc w:val="center"/>
              <w:cnfStyle w:val="100000000000"/>
            </w:pPr>
            <w:r>
              <w:t>5008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jc w:val="center"/>
              <w:cnfStyle w:val="100000000000"/>
            </w:pPr>
            <w:r>
              <w:t>5012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jc w:val="center"/>
              <w:cnfStyle w:val="100000000000"/>
            </w:pPr>
            <w:r>
              <w:t>5025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jc w:val="center"/>
              <w:cnfStyle w:val="100000000000"/>
            </w:pPr>
            <w:r>
              <w:t>5007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jc w:val="center"/>
              <w:cnfStyle w:val="100000000000"/>
            </w:pPr>
            <w:r>
              <w:t>5013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jc w:val="center"/>
              <w:cnfStyle w:val="100000000000"/>
            </w:pPr>
            <w:r>
              <w:t>5024</w:t>
            </w:r>
          </w:p>
        </w:tc>
      </w:tr>
      <w:tr w:rsidR="00260AF1" w:rsidTr="00BF34EC">
        <w:tc>
          <w:tcPr>
            <w:cnfStyle w:val="001000000000"/>
            <w:tcW w:w="360" w:type="pct"/>
            <w:vMerge/>
            <w:tcBorders>
              <w:top w:val="nil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</w:pPr>
          </w:p>
        </w:tc>
        <w:tc>
          <w:tcPr>
            <w:tcW w:w="658" w:type="pct"/>
            <w:vMerge/>
            <w:tcBorders>
              <w:top w:val="nil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90d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120d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90d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120d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90d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120d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90d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120d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90d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120d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90d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260AF1" w:rsidRDefault="00260AF1" w:rsidP="00BF34EC">
            <w:pPr>
              <w:pStyle w:val="NoSpacing"/>
              <w:cnfStyle w:val="000000000000"/>
            </w:pPr>
            <w:r>
              <w:t>120d</w:t>
            </w:r>
          </w:p>
        </w:tc>
      </w:tr>
      <w:tr w:rsidR="00260AF1" w:rsidTr="00BF34EC">
        <w:tc>
          <w:tcPr>
            <w:cnfStyle w:val="001000000000"/>
            <w:tcW w:w="360" w:type="pct"/>
            <w:tcBorders>
              <w:top w:val="single" w:sz="4" w:space="0" w:color="auto"/>
            </w:tcBorders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Gfap</w:t>
            </w:r>
            <w:proofErr w:type="spellEnd"/>
          </w:p>
        </w:tc>
        <w:tc>
          <w:tcPr>
            <w:tcW w:w="658" w:type="pct"/>
            <w:tcBorders>
              <w:top w:val="single" w:sz="4" w:space="0" w:color="auto"/>
            </w:tcBorders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 w:rsidRPr="000123A2">
              <w:rPr>
                <w:i/>
              </w:rPr>
              <w:t xml:space="preserve">glial </w:t>
            </w:r>
            <w:proofErr w:type="spellStart"/>
            <w:r w:rsidRPr="000123A2">
              <w:rPr>
                <w:i/>
              </w:rPr>
              <w:t>fibrillary</w:t>
            </w:r>
            <w:proofErr w:type="spellEnd"/>
            <w:r w:rsidRPr="000123A2">
              <w:rPr>
                <w:i/>
              </w:rPr>
              <w:t xml:space="preserve"> acidic protein</w:t>
            </w:r>
          </w:p>
        </w:tc>
        <w:tc>
          <w:tcPr>
            <w:tcW w:w="319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2198.62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747.17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1981.19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52.33</w:t>
            </w: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4413.13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1180.64</w:t>
            </w: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5626.55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1539.39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4917.10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844.71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S100b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s</w:t>
            </w:r>
            <w:r w:rsidRPr="000123A2">
              <w:rPr>
                <w:i/>
              </w:rPr>
              <w:t>100 calcium binding protein B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rFonts w:eastAsia="Times New Roman"/>
                <w:sz w:val="18"/>
                <w:szCs w:val="18"/>
                <w:lang w:eastAsia="en-GB"/>
              </w:rPr>
              <w:t>4283.79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1078.32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4194.93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1345.31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rFonts w:eastAsia="Times New Roman"/>
                <w:sz w:val="18"/>
                <w:szCs w:val="18"/>
                <w:lang w:eastAsia="en-GB"/>
              </w:rPr>
              <w:t>3644.49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1120.28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rFonts w:eastAsia="Times New Roman"/>
                <w:sz w:val="18"/>
                <w:szCs w:val="18"/>
                <w:lang w:eastAsia="en-GB"/>
              </w:rPr>
              <w:t>2532.04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836.79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rFonts w:eastAsia="Times New Roman"/>
                <w:sz w:val="18"/>
                <w:szCs w:val="18"/>
                <w:lang w:eastAsia="en-GB"/>
              </w:rPr>
              <w:t>3524.13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865.29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rFonts w:eastAsia="Times New Roman"/>
                <w:sz w:val="18"/>
                <w:szCs w:val="18"/>
                <w:lang w:eastAsia="en-GB"/>
              </w:rPr>
              <w:t>3210.19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665.71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Aqp4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</w:rPr>
              <w:t>a</w:t>
            </w:r>
            <w:r w:rsidRPr="000123A2">
              <w:rPr>
                <w:i/>
              </w:rPr>
              <w:t>quaporin</w:t>
            </w:r>
            <w:proofErr w:type="spellEnd"/>
            <w:r w:rsidRPr="000123A2">
              <w:rPr>
                <w:i/>
              </w:rPr>
              <w:t xml:space="preserve"> 4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2606.19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667.83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2106.13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414.29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985.08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508.41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1938.35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1143.25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3306.45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1812.29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3801.76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250.84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Aldh1l1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</w:rPr>
              <w:t>a</w:t>
            </w:r>
            <w:r w:rsidRPr="000123A2">
              <w:rPr>
                <w:i/>
              </w:rPr>
              <w:t>ldehyde</w:t>
            </w:r>
            <w:proofErr w:type="spellEnd"/>
            <w:r w:rsidRPr="000123A2">
              <w:rPr>
                <w:i/>
              </w:rPr>
              <w:t xml:space="preserve"> </w:t>
            </w:r>
            <w:proofErr w:type="spellStart"/>
            <w:r w:rsidRPr="000123A2">
              <w:rPr>
                <w:i/>
              </w:rPr>
              <w:t>dehydrogenase</w:t>
            </w:r>
            <w:proofErr w:type="spellEnd"/>
            <w:r w:rsidRPr="000123A2">
              <w:rPr>
                <w:i/>
              </w:rPr>
              <w:t xml:space="preserve"> 1 like 1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414.22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396.49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286.46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7.89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435.41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596.45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496.08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Syt1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</w:rPr>
              <w:t>s</w:t>
            </w:r>
            <w:r w:rsidRPr="000123A2">
              <w:rPr>
                <w:i/>
              </w:rPr>
              <w:t>ynaptotagmin</w:t>
            </w:r>
            <w:proofErr w:type="spellEnd"/>
            <w:r w:rsidRPr="000123A2">
              <w:rPr>
                <w:i/>
              </w:rPr>
              <w:t xml:space="preserve"> 1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426.91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195.56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350.25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174.55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422.45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151.65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393.52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126.69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1120.85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74.96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351.72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55.68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</w:rPr>
              <w:t>s</w:t>
            </w:r>
            <w:r w:rsidRPr="000123A2">
              <w:rPr>
                <w:i/>
              </w:rPr>
              <w:t>ynaptophysin</w:t>
            </w:r>
            <w:proofErr w:type="spellEnd"/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1526.33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351.03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1712.75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639.52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1007.96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436.69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954.11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300.40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1478.63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221.73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972.90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167.11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Eno2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</w:rPr>
              <w:t>e</w:t>
            </w:r>
            <w:r w:rsidRPr="000123A2">
              <w:rPr>
                <w:i/>
              </w:rPr>
              <w:t>nolase</w:t>
            </w:r>
            <w:proofErr w:type="spellEnd"/>
            <w:r w:rsidRPr="000123A2">
              <w:rPr>
                <w:i/>
              </w:rPr>
              <w:t xml:space="preserve"> 2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4083.00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556.67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4119.67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947.84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3480.99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712.33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3486.09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608.46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3892.58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480.93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2910.28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425.26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Isl1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i</w:t>
            </w:r>
            <w:r w:rsidRPr="000123A2">
              <w:rPr>
                <w:i/>
              </w:rPr>
              <w:t>slet 1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34.65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232.48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36.59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243.69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62.64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86.74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39.69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185.26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146.47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t>Mbp</w:t>
            </w:r>
            <w:proofErr w:type="spellEnd"/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m</w:t>
            </w:r>
            <w:r w:rsidRPr="000123A2">
              <w:rPr>
                <w:i/>
              </w:rPr>
              <w:t>yelin basic protein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16221.78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5750.68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15963.71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5080.28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15245.26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4903.70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15909.88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5303.24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16491.03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5625.78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16088.46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4915.54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t>Mobp</w:t>
            </w:r>
            <w:proofErr w:type="spellEnd"/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m</w:t>
            </w:r>
            <w:r w:rsidRPr="000123A2">
              <w:rPr>
                <w:i/>
              </w:rPr>
              <w:t>yelin-associated oligodendrocyte basic protein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12222.34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2125.77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10626.31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2068.26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9202.28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1688.98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9638.30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2021.67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12202.24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2513.75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12010.13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2563.82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lastRenderedPageBreak/>
              <w:t>Mag</w:t>
            </w:r>
            <w:proofErr w:type="spellEnd"/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m</w:t>
            </w:r>
            <w:r w:rsidRPr="000123A2">
              <w:rPr>
                <w:i/>
              </w:rPr>
              <w:t>yelin associated glycoprotein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1655.24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391.27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1396.49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306.13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949.47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368.87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1199.92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620.95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2171.20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468.47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1780.47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292.83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Rtn4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</w:rPr>
              <w:t>r</w:t>
            </w:r>
            <w:r w:rsidRPr="000123A2">
              <w:rPr>
                <w:i/>
              </w:rPr>
              <w:t>eticulon</w:t>
            </w:r>
            <w:proofErr w:type="spellEnd"/>
            <w:r w:rsidRPr="000123A2">
              <w:rPr>
                <w:i/>
              </w:rPr>
              <w:t xml:space="preserve"> 4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5063.95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1882.56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5799.72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2422.87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2221.83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2138.50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2421.91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1681.66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5537.35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1857.62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5271.96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767.51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Cd68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c</w:t>
            </w:r>
            <w:r w:rsidRPr="000123A2">
              <w:rPr>
                <w:i/>
              </w:rPr>
              <w:t>d68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7.81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33.76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31.81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149.50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93.41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198.69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96.82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237.88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45.33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t>Itgam</w:t>
            </w:r>
            <w:proofErr w:type="spellEnd"/>
            <w:r w:rsidRPr="00E4204F">
              <w:rPr>
                <w:i/>
              </w:rPr>
              <w:t xml:space="preserve"> (Cd11b)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  <w:shd w:val="clear" w:color="auto" w:fill="FFFFFF"/>
              </w:rPr>
              <w:t>integrin</w:t>
            </w:r>
            <w:proofErr w:type="spellEnd"/>
            <w:r>
              <w:rPr>
                <w:i/>
                <w:shd w:val="clear" w:color="auto" w:fill="FFFFFF"/>
              </w:rPr>
              <w:t>, alpha M (complement c</w:t>
            </w:r>
            <w:r w:rsidRPr="000123A2">
              <w:rPr>
                <w:i/>
                <w:shd w:val="clear" w:color="auto" w:fill="FFFFFF"/>
              </w:rPr>
              <w:t xml:space="preserve">omponent 3 </w:t>
            </w:r>
            <w:r>
              <w:rPr>
                <w:i/>
                <w:shd w:val="clear" w:color="auto" w:fill="FFFFFF"/>
              </w:rPr>
              <w:t>receptor 3 s</w:t>
            </w:r>
            <w:r w:rsidRPr="000123A2">
              <w:rPr>
                <w:i/>
                <w:shd w:val="clear" w:color="auto" w:fill="FFFFFF"/>
              </w:rPr>
              <w:t>ubunit)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9.94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10.78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3.67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8.75</w:t>
            </w:r>
          </w:p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Aif1 (Iba1)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  <w:shd w:val="clear" w:color="auto" w:fill="FFFFFF"/>
              </w:rPr>
              <w:t>allograft i</w:t>
            </w:r>
            <w:r w:rsidRPr="000123A2">
              <w:rPr>
                <w:i/>
                <w:shd w:val="clear" w:color="auto" w:fill="FFFFFF"/>
              </w:rPr>
              <w:t xml:space="preserve">nflammatory </w:t>
            </w:r>
            <w:r>
              <w:rPr>
                <w:i/>
                <w:shd w:val="clear" w:color="auto" w:fill="FFFFFF"/>
              </w:rPr>
              <w:t>f</w:t>
            </w:r>
            <w:r w:rsidRPr="000123A2">
              <w:rPr>
                <w:i/>
                <w:shd w:val="clear" w:color="auto" w:fill="FFFFFF"/>
              </w:rPr>
              <w:t>actor 1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39.75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31.51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79.99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31.81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82.21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119.29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t>Tek</w:t>
            </w:r>
            <w:proofErr w:type="spellEnd"/>
            <w:r w:rsidRPr="00E4204F">
              <w:rPr>
                <w:i/>
              </w:rPr>
              <w:t xml:space="preserve"> (Tie1)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  <w:shd w:val="clear" w:color="auto" w:fill="FFFFFF"/>
              </w:rPr>
              <w:t>t</w:t>
            </w:r>
            <w:r w:rsidRPr="000123A2">
              <w:rPr>
                <w:i/>
                <w:shd w:val="clear" w:color="auto" w:fill="FFFFFF"/>
              </w:rPr>
              <w:t>yrosine</w:t>
            </w:r>
            <w:r>
              <w:rPr>
                <w:i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hd w:val="clear" w:color="auto" w:fill="FFFFFF"/>
              </w:rPr>
              <w:t>kinase</w:t>
            </w:r>
            <w:proofErr w:type="spellEnd"/>
            <w:r>
              <w:rPr>
                <w:i/>
                <w:shd w:val="clear" w:color="auto" w:fill="FFFFFF"/>
              </w:rPr>
              <w:t>, e</w:t>
            </w:r>
            <w:r w:rsidRPr="000123A2">
              <w:rPr>
                <w:i/>
                <w:shd w:val="clear" w:color="auto" w:fill="FFFFFF"/>
              </w:rPr>
              <w:t>ndothelial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138.97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133.20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25.34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146.63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106.73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27.70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168.74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160.51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Cldn5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c</w:t>
            </w:r>
            <w:r w:rsidRPr="000123A2">
              <w:rPr>
                <w:i/>
              </w:rPr>
              <w:t>laudin-5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922.66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275.63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682.90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148.48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432.64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211.58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846.21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237.59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739.64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274.90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499.74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175.16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Flt1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proofErr w:type="spellStart"/>
            <w:r>
              <w:rPr>
                <w:i/>
                <w:shd w:val="clear" w:color="auto" w:fill="FFFFFF"/>
              </w:rPr>
              <w:t>fms</w:t>
            </w:r>
            <w:proofErr w:type="spellEnd"/>
            <w:r>
              <w:rPr>
                <w:i/>
                <w:shd w:val="clear" w:color="auto" w:fill="FFFFFF"/>
              </w:rPr>
              <w:t>-r</w:t>
            </w:r>
            <w:r w:rsidRPr="000123A2">
              <w:rPr>
                <w:i/>
                <w:shd w:val="clear" w:color="auto" w:fill="FFFFFF"/>
              </w:rPr>
              <w:t xml:space="preserve">elated </w:t>
            </w:r>
            <w:r>
              <w:rPr>
                <w:i/>
                <w:shd w:val="clear" w:color="auto" w:fill="FFFFFF"/>
              </w:rPr>
              <w:t xml:space="preserve">tyrosine </w:t>
            </w:r>
            <w:proofErr w:type="spellStart"/>
            <w:r>
              <w:rPr>
                <w:i/>
                <w:shd w:val="clear" w:color="auto" w:fill="FFFFFF"/>
              </w:rPr>
              <w:t>k</w:t>
            </w:r>
            <w:r w:rsidRPr="000123A2">
              <w:rPr>
                <w:i/>
                <w:shd w:val="clear" w:color="auto" w:fill="FFFFFF"/>
              </w:rPr>
              <w:t>inase</w:t>
            </w:r>
            <w:proofErr w:type="spellEnd"/>
            <w:r w:rsidRPr="000123A2">
              <w:rPr>
                <w:i/>
                <w:shd w:val="clear" w:color="auto" w:fill="FFFFFF"/>
              </w:rPr>
              <w:t xml:space="preserve"> 1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1317.45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397.92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1343.62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329.12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1360.13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348.82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1072.35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320.79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1068.57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407.90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1021.16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173.26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t>Vwf</w:t>
            </w:r>
            <w:proofErr w:type="spellEnd"/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</w:rPr>
              <w:t>v</w:t>
            </w:r>
            <w:r w:rsidRPr="000123A2">
              <w:rPr>
                <w:i/>
              </w:rPr>
              <w:t xml:space="preserve">on </w:t>
            </w:r>
            <w:proofErr w:type="spellStart"/>
            <w:r w:rsidRPr="000123A2">
              <w:rPr>
                <w:i/>
              </w:rPr>
              <w:t>Willebrand</w:t>
            </w:r>
            <w:proofErr w:type="spellEnd"/>
            <w:r w:rsidRPr="000123A2">
              <w:rPr>
                <w:i/>
              </w:rPr>
              <w:t xml:space="preserve"> factor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505.26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59.96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146.61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50.94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479.23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211.25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112.04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456.44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102.48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181.98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171.54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t>Abcc9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  <w:shd w:val="clear" w:color="auto" w:fill="FFFFFF"/>
              </w:rPr>
              <w:t>A</w:t>
            </w:r>
            <w:r w:rsidRPr="000123A2">
              <w:rPr>
                <w:i/>
                <w:shd w:val="clear" w:color="auto" w:fill="FFFFFF"/>
              </w:rPr>
              <w:t>TP-</w:t>
            </w:r>
            <w:r>
              <w:rPr>
                <w:i/>
                <w:shd w:val="clear" w:color="auto" w:fill="FFFFFF"/>
              </w:rPr>
              <w:t>b</w:t>
            </w:r>
            <w:r w:rsidRPr="000123A2">
              <w:rPr>
                <w:i/>
                <w:shd w:val="clear" w:color="auto" w:fill="FFFFFF"/>
              </w:rPr>
              <w:t xml:space="preserve">inding </w:t>
            </w:r>
            <w:r>
              <w:rPr>
                <w:i/>
                <w:shd w:val="clear" w:color="auto" w:fill="FFFFFF"/>
              </w:rPr>
              <w:t>c</w:t>
            </w:r>
            <w:r w:rsidRPr="000123A2">
              <w:rPr>
                <w:i/>
                <w:shd w:val="clear" w:color="auto" w:fill="FFFFFF"/>
              </w:rPr>
              <w:t>assette,</w:t>
            </w:r>
            <w:r>
              <w:rPr>
                <w:i/>
                <w:shd w:val="clear" w:color="auto" w:fill="FFFFFF"/>
              </w:rPr>
              <w:t xml:space="preserve"> sub-f</w:t>
            </w:r>
            <w:r w:rsidRPr="000123A2">
              <w:rPr>
                <w:i/>
                <w:shd w:val="clear" w:color="auto" w:fill="FFFFFF"/>
              </w:rPr>
              <w:t xml:space="preserve">amily C (CFTR/MRP), </w:t>
            </w:r>
            <w:r>
              <w:rPr>
                <w:i/>
                <w:shd w:val="clear" w:color="auto" w:fill="FFFFFF"/>
              </w:rPr>
              <w:t>m</w:t>
            </w:r>
            <w:r w:rsidRPr="000123A2">
              <w:rPr>
                <w:i/>
                <w:shd w:val="clear" w:color="auto" w:fill="FFFFFF"/>
              </w:rPr>
              <w:t>ember 9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479.83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114.92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327.74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79.56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187.46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142.00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143.53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317.87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90.11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323.19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D338D6">
              <w:rPr>
                <w:rFonts w:ascii="Arial" w:hAnsi="Arial" w:cs="Arial"/>
                <w:sz w:val="18"/>
                <w:szCs w:val="18"/>
              </w:rPr>
              <w:t>26.04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proofErr w:type="spellStart"/>
            <w:r w:rsidRPr="00E4204F">
              <w:rPr>
                <w:i/>
              </w:rPr>
              <w:t>Pdgfrb</w:t>
            </w:r>
            <w:proofErr w:type="spellEnd"/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  <w:shd w:val="clear" w:color="auto" w:fill="FFFFFF"/>
              </w:rPr>
              <w:t>p</w:t>
            </w:r>
            <w:r w:rsidRPr="000123A2">
              <w:rPr>
                <w:i/>
                <w:shd w:val="clear" w:color="auto" w:fill="FFFFFF"/>
              </w:rPr>
              <w:t>latelet-</w:t>
            </w:r>
            <w:r>
              <w:rPr>
                <w:i/>
                <w:shd w:val="clear" w:color="auto" w:fill="FFFFFF"/>
              </w:rPr>
              <w:t>d</w:t>
            </w:r>
            <w:r w:rsidRPr="000123A2">
              <w:rPr>
                <w:i/>
                <w:shd w:val="clear" w:color="auto" w:fill="FFFFFF"/>
              </w:rPr>
              <w:t xml:space="preserve">erived </w:t>
            </w:r>
            <w:r>
              <w:rPr>
                <w:i/>
                <w:shd w:val="clear" w:color="auto" w:fill="FFFFFF"/>
              </w:rPr>
              <w:t>g</w:t>
            </w:r>
            <w:r w:rsidRPr="000123A2">
              <w:rPr>
                <w:i/>
                <w:shd w:val="clear" w:color="auto" w:fill="FFFFFF"/>
              </w:rPr>
              <w:t xml:space="preserve">rowth </w:t>
            </w:r>
            <w:r>
              <w:rPr>
                <w:i/>
                <w:shd w:val="clear" w:color="auto" w:fill="FFFFFF"/>
              </w:rPr>
              <w:t>f</w:t>
            </w:r>
            <w:r w:rsidRPr="000123A2">
              <w:rPr>
                <w:i/>
                <w:shd w:val="clear" w:color="auto" w:fill="FFFFFF"/>
              </w:rPr>
              <w:t xml:space="preserve">actor </w:t>
            </w:r>
            <w:r>
              <w:rPr>
                <w:i/>
                <w:shd w:val="clear" w:color="auto" w:fill="FFFFFF"/>
              </w:rPr>
              <w:lastRenderedPageBreak/>
              <w:t>r</w:t>
            </w:r>
            <w:r w:rsidRPr="000123A2">
              <w:rPr>
                <w:i/>
                <w:shd w:val="clear" w:color="auto" w:fill="FFFFFF"/>
              </w:rPr>
              <w:t>eceptor,</w:t>
            </w:r>
            <w:r>
              <w:rPr>
                <w:i/>
                <w:shd w:val="clear" w:color="auto" w:fill="FFFFFF"/>
              </w:rPr>
              <w:t xml:space="preserve"> beta p</w:t>
            </w:r>
            <w:r w:rsidRPr="000123A2">
              <w:rPr>
                <w:i/>
                <w:shd w:val="clear" w:color="auto" w:fill="FFFFFF"/>
              </w:rPr>
              <w:t>olypeptide</w:t>
            </w:r>
          </w:p>
        </w:tc>
        <w:tc>
          <w:tcPr>
            <w:tcW w:w="319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lastRenderedPageBreak/>
              <w:t>816.74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286.50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666.65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169.06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759.72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231.47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510.28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224.09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758.61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277.89</w:t>
            </w:r>
          </w:p>
        </w:tc>
        <w:tc>
          <w:tcPr>
            <w:tcW w:w="353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813.50</w:t>
            </w:r>
          </w:p>
        </w:tc>
        <w:tc>
          <w:tcPr>
            <w:tcW w:w="316" w:type="pct"/>
          </w:tcPr>
          <w:p w:rsidR="00260AF1" w:rsidRPr="00D338D6" w:rsidRDefault="00260AF1" w:rsidP="00BF34EC">
            <w:pPr>
              <w:pStyle w:val="NoSpacing"/>
              <w:cnfStyle w:val="000000000000"/>
              <w:rPr>
                <w:sz w:val="18"/>
                <w:szCs w:val="18"/>
              </w:rPr>
            </w:pPr>
            <w:r w:rsidRPr="00D338D6">
              <w:rPr>
                <w:sz w:val="18"/>
                <w:szCs w:val="18"/>
              </w:rPr>
              <w:t>121.54</w:t>
            </w:r>
          </w:p>
        </w:tc>
      </w:tr>
      <w:tr w:rsidR="00260AF1" w:rsidTr="00BF34EC">
        <w:tc>
          <w:tcPr>
            <w:cnfStyle w:val="001000000000"/>
            <w:tcW w:w="360" w:type="pct"/>
          </w:tcPr>
          <w:p w:rsidR="00260AF1" w:rsidRPr="00E4204F" w:rsidRDefault="00260AF1" w:rsidP="00BF34EC">
            <w:pPr>
              <w:pStyle w:val="NoSpacing"/>
              <w:rPr>
                <w:i/>
              </w:rPr>
            </w:pPr>
            <w:r w:rsidRPr="00E4204F">
              <w:rPr>
                <w:i/>
              </w:rPr>
              <w:lastRenderedPageBreak/>
              <w:t>Kcnj8</w:t>
            </w:r>
          </w:p>
        </w:tc>
        <w:tc>
          <w:tcPr>
            <w:tcW w:w="658" w:type="pct"/>
          </w:tcPr>
          <w:p w:rsidR="00260AF1" w:rsidRPr="000123A2" w:rsidRDefault="00260AF1" w:rsidP="00BF34EC">
            <w:pPr>
              <w:pStyle w:val="NoSpacing"/>
              <w:cnfStyle w:val="000000000000"/>
              <w:rPr>
                <w:i/>
              </w:rPr>
            </w:pPr>
            <w:r>
              <w:rPr>
                <w:i/>
                <w:shd w:val="clear" w:color="auto" w:fill="FFFFFF"/>
              </w:rPr>
              <w:t>p</w:t>
            </w:r>
            <w:r w:rsidRPr="000123A2">
              <w:rPr>
                <w:i/>
                <w:shd w:val="clear" w:color="auto" w:fill="FFFFFF"/>
              </w:rPr>
              <w:t xml:space="preserve">otassium </w:t>
            </w:r>
            <w:r>
              <w:rPr>
                <w:i/>
                <w:shd w:val="clear" w:color="auto" w:fill="FFFFFF"/>
              </w:rPr>
              <w:t>i</w:t>
            </w:r>
            <w:r w:rsidRPr="000123A2">
              <w:rPr>
                <w:i/>
                <w:shd w:val="clear" w:color="auto" w:fill="FFFFFF"/>
              </w:rPr>
              <w:t>nwardly-</w:t>
            </w:r>
            <w:r>
              <w:rPr>
                <w:i/>
                <w:shd w:val="clear" w:color="auto" w:fill="FFFFFF"/>
              </w:rPr>
              <w:t>r</w:t>
            </w:r>
            <w:r w:rsidRPr="000123A2">
              <w:rPr>
                <w:i/>
                <w:shd w:val="clear" w:color="auto" w:fill="FFFFFF"/>
              </w:rPr>
              <w:t xml:space="preserve">ectifying </w:t>
            </w:r>
            <w:r>
              <w:rPr>
                <w:i/>
                <w:shd w:val="clear" w:color="auto" w:fill="FFFFFF"/>
              </w:rPr>
              <w:t>channel, s</w:t>
            </w:r>
            <w:r w:rsidRPr="000123A2">
              <w:rPr>
                <w:i/>
                <w:shd w:val="clear" w:color="auto" w:fill="FFFFFF"/>
              </w:rPr>
              <w:t xml:space="preserve">ubfamily J, </w:t>
            </w:r>
            <w:r>
              <w:rPr>
                <w:i/>
                <w:shd w:val="clear" w:color="auto" w:fill="FFFFFF"/>
              </w:rPr>
              <w:t>m</w:t>
            </w:r>
            <w:r w:rsidRPr="000123A2">
              <w:rPr>
                <w:i/>
                <w:shd w:val="clear" w:color="auto" w:fill="FFFFFF"/>
              </w:rPr>
              <w:t>ember 8</w:t>
            </w:r>
          </w:p>
        </w:tc>
        <w:tc>
          <w:tcPr>
            <w:tcW w:w="319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166.12</w:t>
            </w:r>
          </w:p>
        </w:tc>
        <w:tc>
          <w:tcPr>
            <w:tcW w:w="316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49.97</w:t>
            </w:r>
          </w:p>
        </w:tc>
        <w:tc>
          <w:tcPr>
            <w:tcW w:w="353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110.68</w:t>
            </w:r>
          </w:p>
        </w:tc>
        <w:tc>
          <w:tcPr>
            <w:tcW w:w="316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27.80</w:t>
            </w:r>
          </w:p>
        </w:tc>
        <w:tc>
          <w:tcPr>
            <w:tcW w:w="353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119.13</w:t>
            </w:r>
          </w:p>
        </w:tc>
        <w:tc>
          <w:tcPr>
            <w:tcW w:w="316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66.43</w:t>
            </w:r>
          </w:p>
        </w:tc>
        <w:tc>
          <w:tcPr>
            <w:tcW w:w="353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96.90</w:t>
            </w:r>
          </w:p>
        </w:tc>
        <w:tc>
          <w:tcPr>
            <w:tcW w:w="316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41.24</w:t>
            </w:r>
          </w:p>
        </w:tc>
        <w:tc>
          <w:tcPr>
            <w:tcW w:w="353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103.90</w:t>
            </w:r>
          </w:p>
        </w:tc>
        <w:tc>
          <w:tcPr>
            <w:tcW w:w="316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49.24</w:t>
            </w:r>
          </w:p>
        </w:tc>
        <w:tc>
          <w:tcPr>
            <w:tcW w:w="353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111.06</w:t>
            </w:r>
          </w:p>
        </w:tc>
        <w:tc>
          <w:tcPr>
            <w:tcW w:w="316" w:type="pct"/>
          </w:tcPr>
          <w:p w:rsidR="00260AF1" w:rsidRPr="00D21547" w:rsidRDefault="00260AF1" w:rsidP="00BF34EC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28.47</w:t>
            </w:r>
          </w:p>
        </w:tc>
      </w:tr>
    </w:tbl>
    <w:p w:rsidR="00260AF1" w:rsidRDefault="00260AF1" w:rsidP="00260AF1"/>
    <w:p w:rsidR="00260AF1" w:rsidRPr="00260AF1" w:rsidRDefault="00260AF1" w:rsidP="00260AF1"/>
    <w:sectPr w:rsidR="00260AF1" w:rsidRPr="00260AF1" w:rsidSect="00260AF1">
      <w:pgSz w:w="16838" w:h="11906" w:orient="landscape"/>
      <w:pgMar w:top="226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EDA" w:rsidRDefault="00E10EDA" w:rsidP="00260AF1">
      <w:pPr>
        <w:spacing w:after="0" w:line="240" w:lineRule="auto"/>
      </w:pPr>
      <w:r>
        <w:separator/>
      </w:r>
    </w:p>
  </w:endnote>
  <w:endnote w:type="continuationSeparator" w:id="0">
    <w:p w:rsidR="00E10EDA" w:rsidRDefault="00E10EDA" w:rsidP="0026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EDA" w:rsidRDefault="00E10EDA" w:rsidP="00260AF1">
      <w:pPr>
        <w:spacing w:after="0" w:line="240" w:lineRule="auto"/>
      </w:pPr>
      <w:r>
        <w:separator/>
      </w:r>
    </w:p>
  </w:footnote>
  <w:footnote w:type="continuationSeparator" w:id="0">
    <w:p w:rsidR="00E10EDA" w:rsidRDefault="00E10EDA" w:rsidP="00260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C6148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333F2A12"/>
    <w:multiLevelType w:val="multilevel"/>
    <w:tmpl w:val="012C48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AF1"/>
    <w:rsid w:val="000F4C5A"/>
    <w:rsid w:val="001367B7"/>
    <w:rsid w:val="00151B24"/>
    <w:rsid w:val="001C2185"/>
    <w:rsid w:val="00260AF1"/>
    <w:rsid w:val="00294C29"/>
    <w:rsid w:val="005336D5"/>
    <w:rsid w:val="007102CC"/>
    <w:rsid w:val="00731990"/>
    <w:rsid w:val="00835B4A"/>
    <w:rsid w:val="00907BC1"/>
    <w:rsid w:val="00987AE3"/>
    <w:rsid w:val="00A94242"/>
    <w:rsid w:val="00B16C4E"/>
    <w:rsid w:val="00C270DE"/>
    <w:rsid w:val="00C7343D"/>
    <w:rsid w:val="00C83DCE"/>
    <w:rsid w:val="00CE19E9"/>
    <w:rsid w:val="00E10EDA"/>
    <w:rsid w:val="00E27848"/>
    <w:rsid w:val="00E536D9"/>
    <w:rsid w:val="00E67D22"/>
    <w:rsid w:val="00F5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F1"/>
    <w:pPr>
      <w:spacing w:after="240" w:line="36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6C4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AF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0AF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1B24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0AF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0AF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0AF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0AF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0AF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27848"/>
    <w:pPr>
      <w:spacing w:after="200" w:line="240" w:lineRule="auto"/>
    </w:pPr>
    <w:rPr>
      <w:b/>
      <w:bCs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151B24"/>
    <w:rPr>
      <w:rFonts w:eastAsiaTheme="majorEastAsia" w:cstheme="majorBidi"/>
      <w:b/>
      <w:bCs/>
      <w:iCs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60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AF1"/>
    <w:rPr>
      <w:sz w:val="20"/>
      <w:szCs w:val="20"/>
    </w:rPr>
  </w:style>
  <w:style w:type="table" w:customStyle="1" w:styleId="LightShading1">
    <w:name w:val="Light Shading1"/>
    <w:basedOn w:val="TableNormal"/>
    <w:uiPriority w:val="60"/>
    <w:rsid w:val="00260A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link w:val="NoSpacingChar"/>
    <w:uiPriority w:val="1"/>
    <w:qFormat/>
    <w:rsid w:val="00260AF1"/>
    <w:pPr>
      <w:spacing w:after="0" w:line="240" w:lineRule="auto"/>
    </w:pPr>
    <w:rPr>
      <w:rFonts w:ascii="Calibri" w:hAnsi="Calibri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260AF1"/>
    <w:rPr>
      <w:rFonts w:ascii="Calibri" w:hAnsi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A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A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AF1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60A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AF1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60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16C4E"/>
    <w:rPr>
      <w:rFonts w:eastAsiaTheme="majorEastAsia" w:cstheme="majorBidi"/>
      <w:b/>
      <w:b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0AF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0AF1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0AF1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0AF1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0A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0A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Baker</dc:creator>
  <cp:lastModifiedBy>Dave Baker</cp:lastModifiedBy>
  <cp:revision>3</cp:revision>
  <dcterms:created xsi:type="dcterms:W3CDTF">2014-09-24T13:13:00Z</dcterms:created>
  <dcterms:modified xsi:type="dcterms:W3CDTF">2015-03-20T08:42:00Z</dcterms:modified>
</cp:coreProperties>
</file>