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CB060" w14:textId="77777777" w:rsidR="00D77990" w:rsidRDefault="00D77990" w:rsidP="00D77990">
      <w:pPr>
        <w:jc w:val="right"/>
        <w:rPr>
          <w:color w:val="000000" w:themeColor="text1"/>
          <w:sz w:val="32"/>
          <w:szCs w:val="32"/>
        </w:rPr>
      </w:pPr>
    </w:p>
    <w:sdt>
      <w:sdtPr>
        <w:rPr>
          <w:vanish/>
          <w:color w:val="000000" w:themeColor="text1"/>
          <w:sz w:val="32"/>
          <w:szCs w:val="32"/>
          <w:highlight w:val="yellow"/>
        </w:rPr>
        <w:id w:val="1594821724"/>
        <w:docPartObj>
          <w:docPartGallery w:val="Cover Pages"/>
          <w:docPartUnique/>
        </w:docPartObj>
      </w:sdtPr>
      <w:sdtEndPr>
        <w:rPr>
          <w:color w:val="auto"/>
          <w:sz w:val="22"/>
          <w:szCs w:val="22"/>
          <w:lang w:val="fr-FR"/>
        </w:rPr>
      </w:sdtEndPr>
      <w:sdtContent>
        <w:p w14:paraId="3A6737F4" w14:textId="77777777" w:rsidR="00E13656" w:rsidRDefault="00E13656" w:rsidP="00D77990">
          <w:pPr>
            <w:jc w:val="right"/>
            <w:rPr>
              <w:color w:val="000000" w:themeColor="text1"/>
              <w:sz w:val="32"/>
              <w:szCs w:val="32"/>
            </w:rPr>
          </w:pPr>
          <w:r>
            <w:rPr>
              <w:noProof/>
              <w:color w:val="EEECE1" w:themeColor="background2"/>
              <w:sz w:val="32"/>
              <w:szCs w:val="32"/>
            </w:rPr>
            <mc:AlternateContent>
              <mc:Choice Requires="wpg">
                <w:drawing>
                  <wp:anchor distT="0" distB="0" distL="114300" distR="114300" simplePos="0" relativeHeight="251659264" behindDoc="1" locked="0" layoutInCell="0" allowOverlap="1" wp14:anchorId="2FF660A5" wp14:editId="19E65F54">
                    <wp:simplePos x="0" y="0"/>
                    <wp:positionH relativeFrom="page">
                      <wp:align>center</wp:align>
                    </wp:positionH>
                    <wp:positionV relativeFrom="page">
                      <wp:align>center</wp:align>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tx2"/>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w15="http://schemas.microsoft.com/office/word/2012/wordml">
                <w:pict>
                  <v:group w14:anchorId="60B11364"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IsYA&#10;AADcAAAADwAAAGRycy9kb3ducmV2LnhtbESPQWvCQBSE74L/YXmCN92oRSS6Si20eBDEaKHHZ/aZ&#10;hGbfptk1Sf31rlDocZiZb5jVpjOlaKh2hWUFk3EEgji1uuBMwfn0PlqAcB5ZY2mZFPySg82631th&#10;rG3LR2oSn4kAYRejgtz7KpbSpTkZdGNbEQfvamuDPsg6k7rGNsBNKadRNJcGCw4LOVb0llP6ndyM&#10;gvvh1lE7/alkst82H1/H6yX6PCg1HHSvSxCeOv8f/mvvtILZ4gW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IsYAAADcAAAADwAAAAAAAAAAAAAAAACYAgAAZHJz&#10;L2Rvd25yZXYueG1sUEsFBgAAAAAEAAQA9QAAAIsDAAAAAA==&#10;" fillcolor="#1f497d [3215]"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vertAnchor="page" w:horzAnchor="margin" w:tblpY="13066"/>
            <w:tblOverlap w:val="never"/>
            <w:tblW w:w="0" w:type="auto"/>
            <w:tblLook w:val="04A0" w:firstRow="1" w:lastRow="0" w:firstColumn="1" w:lastColumn="0" w:noHBand="0" w:noVBand="1"/>
          </w:tblPr>
          <w:tblGrid>
            <w:gridCol w:w="9242"/>
          </w:tblGrid>
          <w:tr w:rsidR="004E4613" w14:paraId="69A7AF06" w14:textId="77777777" w:rsidTr="004E4613">
            <w:trPr>
              <w:trHeight w:val="360"/>
            </w:trPr>
            <w:tc>
              <w:tcPr>
                <w:tcW w:w="9242" w:type="dxa"/>
              </w:tcPr>
              <w:p w14:paraId="24DA66D5" w14:textId="77777777" w:rsidR="004E4613" w:rsidRDefault="004E4613" w:rsidP="004E4613">
                <w:pPr>
                  <w:pStyle w:val="NoSpacing"/>
                  <w:jc w:val="center"/>
                  <w:rPr>
                    <w:color w:val="000000" w:themeColor="text1"/>
                    <w:sz w:val="32"/>
                    <w:szCs w:val="32"/>
                  </w:rPr>
                </w:pPr>
              </w:p>
            </w:tc>
          </w:tr>
        </w:tbl>
        <w:p w14:paraId="60F27B7A" w14:textId="77777777" w:rsidR="004E4613" w:rsidRPr="00233496" w:rsidRDefault="004E4613">
          <w:r w:rsidRPr="00D77990">
            <w:rPr>
              <w:noProof/>
              <w:color w:val="000000" w:themeColor="text1"/>
              <w:sz w:val="32"/>
              <w:szCs w:val="32"/>
            </w:rPr>
            <mc:AlternateContent>
              <mc:Choice Requires="wps">
                <w:drawing>
                  <wp:anchor distT="0" distB="0" distL="114300" distR="114300" simplePos="0" relativeHeight="251663360" behindDoc="0" locked="0" layoutInCell="1" allowOverlap="1" wp14:anchorId="35E3D4A3" wp14:editId="23544E7C">
                    <wp:simplePos x="0" y="0"/>
                    <wp:positionH relativeFrom="column">
                      <wp:posOffset>676275</wp:posOffset>
                    </wp:positionH>
                    <wp:positionV relativeFrom="paragraph">
                      <wp:posOffset>6901815</wp:posOffset>
                    </wp:positionV>
                    <wp:extent cx="4619625" cy="1541780"/>
                    <wp:effectExtent l="0" t="0" r="952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541780"/>
                            </a:xfrm>
                            <a:prstGeom prst="rect">
                              <a:avLst/>
                            </a:prstGeom>
                            <a:solidFill>
                              <a:srgbClr val="FFFFFF"/>
                            </a:solidFill>
                            <a:ln w="9525">
                              <a:noFill/>
                              <a:miter lim="800000"/>
                              <a:headEnd/>
                              <a:tailEnd/>
                            </a:ln>
                          </wps:spPr>
                          <wps:txbx>
                            <w:txbxContent>
                              <w:p w14:paraId="40139840" w14:textId="77777777" w:rsidR="00DE3AC9" w:rsidRDefault="00DE3AC9" w:rsidP="004E4613">
                                <w:pPr>
                                  <w:spacing w:line="240" w:lineRule="auto"/>
                                  <w:jc w:val="center"/>
                                  <w:rPr>
                                    <w:sz w:val="32"/>
                                    <w:szCs w:val="32"/>
                                  </w:rPr>
                                </w:pPr>
                                <w:r>
                                  <w:rPr>
                                    <w:sz w:val="32"/>
                                    <w:szCs w:val="32"/>
                                  </w:rPr>
                                  <w:t>Bernard A. WILKIN</w:t>
                                </w:r>
                              </w:p>
                              <w:p w14:paraId="4AC49349" w14:textId="77777777" w:rsidR="00DE3AC9" w:rsidRDefault="00DE3AC9" w:rsidP="004B6B09">
                                <w:pPr>
                                  <w:spacing w:after="100" w:line="240" w:lineRule="auto"/>
                                  <w:jc w:val="center"/>
                                  <w:rPr>
                                    <w:sz w:val="24"/>
                                    <w:szCs w:val="24"/>
                                  </w:rPr>
                                </w:pPr>
                                <w:r>
                                  <w:rPr>
                                    <w:sz w:val="24"/>
                                    <w:szCs w:val="24"/>
                                  </w:rPr>
                                  <w:t>Thesis s</w:t>
                                </w:r>
                                <w:r w:rsidRPr="004E4613">
                                  <w:rPr>
                                    <w:sz w:val="24"/>
                                    <w:szCs w:val="24"/>
                                  </w:rPr>
                                  <w:t>ubmitted for the degree of Ph.D.</w:t>
                                </w:r>
                              </w:p>
                              <w:p w14:paraId="080CFF3A" w14:textId="75A80871" w:rsidR="00DE3AC9" w:rsidRPr="004E4613" w:rsidRDefault="00DE3AC9" w:rsidP="004B6B09">
                                <w:pPr>
                                  <w:spacing w:after="100" w:line="240" w:lineRule="auto"/>
                                  <w:jc w:val="center"/>
                                  <w:rPr>
                                    <w:sz w:val="24"/>
                                    <w:szCs w:val="24"/>
                                  </w:rPr>
                                </w:pPr>
                                <w:r>
                                  <w:rPr>
                                    <w:sz w:val="24"/>
                                    <w:szCs w:val="24"/>
                                  </w:rPr>
                                  <w:t>Supervised by Dr Timothy Baycroft and Dr Clare Griffiths</w:t>
                                </w:r>
                              </w:p>
                              <w:p w14:paraId="72532EA9" w14:textId="77777777" w:rsidR="00DE3AC9" w:rsidRPr="004E4613" w:rsidRDefault="00DE3AC9" w:rsidP="004B6B09">
                                <w:pPr>
                                  <w:spacing w:after="100" w:line="240" w:lineRule="auto"/>
                                  <w:jc w:val="center"/>
                                  <w:rPr>
                                    <w:sz w:val="24"/>
                                    <w:szCs w:val="24"/>
                                  </w:rPr>
                                </w:pPr>
                                <w:r w:rsidRPr="004E4613">
                                  <w:rPr>
                                    <w:sz w:val="24"/>
                                    <w:szCs w:val="24"/>
                                  </w:rPr>
                                  <w:t>University of Sheffield, Department of History</w:t>
                                </w:r>
                              </w:p>
                              <w:p w14:paraId="7C31ECBF" w14:textId="7453B78C" w:rsidR="00DE3AC9" w:rsidRPr="004E4613" w:rsidRDefault="00DE3AC9" w:rsidP="004E4613">
                                <w:pPr>
                                  <w:spacing w:line="240" w:lineRule="auto"/>
                                  <w:jc w:val="center"/>
                                  <w:rPr>
                                    <w:sz w:val="24"/>
                                    <w:szCs w:val="24"/>
                                  </w:rPr>
                                </w:pPr>
                                <w:r>
                                  <w:rPr>
                                    <w:sz w:val="24"/>
                                    <w:szCs w:val="24"/>
                                  </w:rPr>
                                  <w:t xml:space="preserve">July </w:t>
                                </w:r>
                                <w:r w:rsidRPr="004E4613">
                                  <w:rPr>
                                    <w:sz w:val="24"/>
                                    <w:szCs w:val="24"/>
                                  </w:rPr>
                                  <w:t>2014</w:t>
                                </w:r>
                              </w:p>
                              <w:p w14:paraId="22545632" w14:textId="77777777" w:rsidR="00DE3AC9" w:rsidRPr="004E4613" w:rsidRDefault="00DE3AC9" w:rsidP="004E4613">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543.45pt;width:363.75pt;height:1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" stroked="f">
                    <v:textbox>
                      <w:txbxContent>
                        <w:p w14:paraId="40139840" w14:textId="77777777" w:rsidR="00DE3AC9" w:rsidRDefault="00DE3AC9" w:rsidP="004E4613">
                          <w:pPr>
                            <w:spacing w:line="240" w:lineRule="auto"/>
                            <w:jc w:val="center"/>
                            <w:rPr>
                              <w:sz w:val="32"/>
                              <w:szCs w:val="32"/>
                            </w:rPr>
                          </w:pPr>
                          <w:r>
                            <w:rPr>
                              <w:sz w:val="32"/>
                              <w:szCs w:val="32"/>
                            </w:rPr>
                            <w:t>Bernard A. WILKIN</w:t>
                          </w:r>
                        </w:p>
                        <w:p w14:paraId="4AC49349" w14:textId="77777777" w:rsidR="00DE3AC9" w:rsidRDefault="00DE3AC9" w:rsidP="004B6B09">
                          <w:pPr>
                            <w:spacing w:after="100" w:line="240" w:lineRule="auto"/>
                            <w:jc w:val="center"/>
                            <w:rPr>
                              <w:sz w:val="24"/>
                              <w:szCs w:val="24"/>
                            </w:rPr>
                          </w:pPr>
                          <w:r>
                            <w:rPr>
                              <w:sz w:val="24"/>
                              <w:szCs w:val="24"/>
                            </w:rPr>
                            <w:t>Thesis s</w:t>
                          </w:r>
                          <w:r w:rsidRPr="004E4613">
                            <w:rPr>
                              <w:sz w:val="24"/>
                              <w:szCs w:val="24"/>
                            </w:rPr>
                            <w:t>ubmitted for the degree of Ph.D.</w:t>
                          </w:r>
                        </w:p>
                        <w:p w14:paraId="080CFF3A" w14:textId="75A80871" w:rsidR="00DE3AC9" w:rsidRPr="004E4613" w:rsidRDefault="00DE3AC9" w:rsidP="004B6B09">
                          <w:pPr>
                            <w:spacing w:after="100" w:line="240" w:lineRule="auto"/>
                            <w:jc w:val="center"/>
                            <w:rPr>
                              <w:sz w:val="24"/>
                              <w:szCs w:val="24"/>
                            </w:rPr>
                          </w:pPr>
                          <w:r>
                            <w:rPr>
                              <w:sz w:val="24"/>
                              <w:szCs w:val="24"/>
                            </w:rPr>
                            <w:t>Supervised by Dr Timothy Baycroft and Dr Clare Griffiths</w:t>
                          </w:r>
                        </w:p>
                        <w:p w14:paraId="72532EA9" w14:textId="77777777" w:rsidR="00DE3AC9" w:rsidRPr="004E4613" w:rsidRDefault="00DE3AC9" w:rsidP="004B6B09">
                          <w:pPr>
                            <w:spacing w:after="100" w:line="240" w:lineRule="auto"/>
                            <w:jc w:val="center"/>
                            <w:rPr>
                              <w:sz w:val="24"/>
                              <w:szCs w:val="24"/>
                            </w:rPr>
                          </w:pPr>
                          <w:r w:rsidRPr="004E4613">
                            <w:rPr>
                              <w:sz w:val="24"/>
                              <w:szCs w:val="24"/>
                            </w:rPr>
                            <w:t>University of Sheffield, Department of History</w:t>
                          </w:r>
                        </w:p>
                        <w:p w14:paraId="7C31ECBF" w14:textId="7453B78C" w:rsidR="00DE3AC9" w:rsidRPr="004E4613" w:rsidRDefault="00DE3AC9" w:rsidP="004E4613">
                          <w:pPr>
                            <w:spacing w:line="240" w:lineRule="auto"/>
                            <w:jc w:val="center"/>
                            <w:rPr>
                              <w:sz w:val="24"/>
                              <w:szCs w:val="24"/>
                            </w:rPr>
                          </w:pPr>
                          <w:r>
                            <w:rPr>
                              <w:sz w:val="24"/>
                              <w:szCs w:val="24"/>
                            </w:rPr>
                            <w:t xml:space="preserve">July </w:t>
                          </w:r>
                          <w:r w:rsidRPr="004E4613">
                            <w:rPr>
                              <w:sz w:val="24"/>
                              <w:szCs w:val="24"/>
                            </w:rPr>
                            <w:t>2014</w:t>
                          </w:r>
                        </w:p>
                        <w:p w14:paraId="22545632" w14:textId="77777777" w:rsidR="00DE3AC9" w:rsidRPr="004E4613" w:rsidRDefault="00DE3AC9" w:rsidP="004E4613">
                          <w:pPr>
                            <w:jc w:val="center"/>
                            <w:rPr>
                              <w:sz w:val="32"/>
                              <w:szCs w:val="32"/>
                            </w:rPr>
                          </w:pPr>
                        </w:p>
                      </w:txbxContent>
                    </v:textbox>
                  </v:shape>
                </w:pict>
              </mc:Fallback>
            </mc:AlternateContent>
          </w:r>
          <w:r w:rsidRPr="00233496">
            <w:rPr>
              <w:noProof/>
              <w:color w:val="000000" w:themeColor="text1"/>
              <w:sz w:val="32"/>
              <w:szCs w:val="32"/>
            </w:rPr>
            <w:t xml:space="preserve"> </w:t>
          </w:r>
          <w:r w:rsidR="00E13656">
            <w:rPr>
              <w:noProof/>
              <w:color w:val="EEECE1" w:themeColor="background2"/>
              <w:sz w:val="32"/>
              <w:szCs w:val="32"/>
            </w:rPr>
            <mc:AlternateContent>
              <mc:Choice Requires="wps">
                <w:drawing>
                  <wp:anchor distT="0" distB="0" distL="114300" distR="114300" simplePos="0" relativeHeight="251660288" behindDoc="0" locked="0" layoutInCell="0" allowOverlap="1" wp14:anchorId="2B983727" wp14:editId="0988A140">
                    <wp:simplePos x="0" y="0"/>
                    <wp:positionH relativeFrom="page">
                      <wp:posOffset>389890</wp:posOffset>
                    </wp:positionH>
                    <wp:positionV relativeFrom="page">
                      <wp:posOffset>7513955</wp:posOffset>
                    </wp:positionV>
                    <wp:extent cx="6995160" cy="939165"/>
                    <wp:effectExtent l="0" t="0" r="0" b="889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4000" w:type="pct"/>
                                  <w:tblCellMar>
                                    <w:left w:w="360" w:type="dxa"/>
                                    <w:right w:w="360" w:type="dxa"/>
                                  </w:tblCellMar>
                                  <w:tblLook w:val="04A0" w:firstRow="1" w:lastRow="0" w:firstColumn="1" w:lastColumn="0" w:noHBand="0" w:noVBand="1"/>
                                </w:tblPr>
                                <w:tblGrid>
                                  <w:gridCol w:w="8825"/>
                                </w:tblGrid>
                                <w:tr w:rsidR="00DE3AC9" w14:paraId="7BA5D8D6" w14:textId="77777777" w:rsidTr="00E13656">
                                  <w:trPr>
                                    <w:trHeight w:val="1080"/>
                                  </w:trPr>
                                  <w:sdt>
                                    <w:sdtPr>
                                      <w:rPr>
                                        <w:smallCaps/>
                                        <w:color w:val="FFFFFF" w:themeColor="background1"/>
                                        <w:sz w:val="48"/>
                                        <w:szCs w:val="48"/>
                                      </w:rPr>
                                      <w:alias w:val="Title"/>
                                      <w:id w:val="-1723123417"/>
                                      <w:dataBinding w:prefixMappings="xmlns:ns0='http://schemas.openxmlformats.org/package/2006/metadata/core-properties' xmlns:ns1='http://purl.org/dc/elements/1.1/'" w:xpath="/ns0:coreProperties[1]/ns1:title[1]" w:storeItemID="{6C3C8BC8-F283-45AE-878A-BAB7291924A1}"/>
                                      <w:text/>
                                    </w:sdtPr>
                                    <w:sdtContent>
                                      <w:tc>
                                        <w:tcPr>
                                          <w:tcW w:w="5000" w:type="pct"/>
                                          <w:shd w:val="clear" w:color="auto" w:fill="auto"/>
                                          <w:vAlign w:val="center"/>
                                        </w:tcPr>
                                        <w:p w14:paraId="568D092D" w14:textId="77777777" w:rsidR="00DE3AC9" w:rsidRDefault="00DE3AC9" w:rsidP="00E13656">
                                          <w:pPr>
                                            <w:pStyle w:val="NoSpacing"/>
                                            <w:rPr>
                                              <w:smallCaps/>
                                              <w:color w:val="FFFFFF" w:themeColor="background1"/>
                                              <w:sz w:val="48"/>
                                              <w:szCs w:val="48"/>
                                            </w:rPr>
                                          </w:pPr>
                                          <w:r>
                                            <w:rPr>
                                              <w:smallCaps/>
                                              <w:color w:val="FFFFFF" w:themeColor="background1"/>
                                              <w:sz w:val="48"/>
                                              <w:szCs w:val="48"/>
                                            </w:rPr>
                                            <w:t>Allied propaganda in occupied France and Belgium during the first world war</w:t>
                                          </w:r>
                                        </w:p>
                                      </w:tc>
                                    </w:sdtContent>
                                  </w:sdt>
                                </w:tr>
                              </w:tbl>
                              <w:p w14:paraId="247C939D" w14:textId="77777777" w:rsidR="00DE3AC9" w:rsidRDefault="00DE3AC9">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margin-left:30.7pt;margin-top:591.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" o:allowincell="f" fillcolor="#a5a5a5" stroked="f">
                    <v:fill opacity="58853f"/>
                    <v:textbox style="mso-fit-shape-to-text:t" inset="18pt,0,18pt,0">
                      <w:txbxContent>
                        <w:tbl>
                          <w:tblPr>
                            <w:tblW w:w="4000" w:type="pct"/>
                            <w:tblCellMar>
                              <w:left w:w="360" w:type="dxa"/>
                              <w:right w:w="360" w:type="dxa"/>
                            </w:tblCellMar>
                            <w:tblLook w:val="04A0" w:firstRow="1" w:lastRow="0" w:firstColumn="1" w:lastColumn="0" w:noHBand="0" w:noVBand="1"/>
                          </w:tblPr>
                          <w:tblGrid>
                            <w:gridCol w:w="8825"/>
                          </w:tblGrid>
                          <w:tr w:rsidR="00DE3AC9" w14:paraId="7BA5D8D6" w14:textId="77777777" w:rsidTr="00E13656">
                            <w:trPr>
                              <w:trHeight w:val="1080"/>
                            </w:trPr>
                            <w:sdt>
                              <w:sdtPr>
                                <w:rPr>
                                  <w:smallCaps/>
                                  <w:color w:val="FFFFFF" w:themeColor="background1"/>
                                  <w:sz w:val="48"/>
                                  <w:szCs w:val="48"/>
                                </w:rPr>
                                <w:alias w:val="Title"/>
                                <w:id w:val="-1723123417"/>
                                <w:dataBinding w:prefixMappings="xmlns:ns0='http://schemas.openxmlformats.org/package/2006/metadata/core-properties' xmlns:ns1='http://purl.org/dc/elements/1.1/'" w:xpath="/ns0:coreProperties[1]/ns1:title[1]" w:storeItemID="{6C3C8BC8-F283-45AE-878A-BAB7291924A1}"/>
                                <w:text/>
                              </w:sdtPr>
                              <w:sdtContent>
                                <w:tc>
                                  <w:tcPr>
                                    <w:tcW w:w="5000" w:type="pct"/>
                                    <w:shd w:val="clear" w:color="auto" w:fill="auto"/>
                                    <w:vAlign w:val="center"/>
                                  </w:tcPr>
                                  <w:p w14:paraId="568D092D" w14:textId="77777777" w:rsidR="00DE3AC9" w:rsidRDefault="00DE3AC9" w:rsidP="00E13656">
                                    <w:pPr>
                                      <w:pStyle w:val="NoSpacing"/>
                                      <w:rPr>
                                        <w:smallCaps/>
                                        <w:color w:val="FFFFFF" w:themeColor="background1"/>
                                        <w:sz w:val="48"/>
                                        <w:szCs w:val="48"/>
                                      </w:rPr>
                                    </w:pPr>
                                    <w:r>
                                      <w:rPr>
                                        <w:smallCaps/>
                                        <w:color w:val="FFFFFF" w:themeColor="background1"/>
                                        <w:sz w:val="48"/>
                                        <w:szCs w:val="48"/>
                                      </w:rPr>
                                      <w:t>Allied propaganda in occupied France and Belgium during the first world war</w:t>
                                    </w:r>
                                  </w:p>
                                </w:tc>
                              </w:sdtContent>
                            </w:sdt>
                          </w:tr>
                        </w:tbl>
                        <w:p w14:paraId="247C939D" w14:textId="77777777" w:rsidR="00DE3AC9" w:rsidRDefault="00DE3AC9">
                          <w:pPr>
                            <w:pStyle w:val="NoSpacing"/>
                            <w:spacing w:line="14" w:lineRule="exact"/>
                          </w:pPr>
                        </w:p>
                      </w:txbxContent>
                    </v:textbox>
                    <w10:wrap anchorx="page" anchory="page"/>
                  </v:rect>
                </w:pict>
              </mc:Fallback>
            </mc:AlternateContent>
          </w:r>
          <w:r w:rsidR="00E13656">
            <w:rPr>
              <w:noProof/>
              <w:color w:val="EEECE1" w:themeColor="background2"/>
              <w:sz w:val="32"/>
              <w:szCs w:val="32"/>
            </w:rPr>
            <w:drawing>
              <wp:anchor distT="0" distB="0" distL="114300" distR="114300" simplePos="0" relativeHeight="251661312" behindDoc="1" locked="0" layoutInCell="1" allowOverlap="1" wp14:anchorId="599EBA16" wp14:editId="3955D3C8">
                <wp:simplePos x="0" y="0"/>
                <wp:positionH relativeFrom="page">
                  <wp:posOffset>1485265</wp:posOffset>
                </wp:positionH>
                <wp:positionV relativeFrom="page">
                  <wp:posOffset>1343025</wp:posOffset>
                </wp:positionV>
                <wp:extent cx="4543425" cy="6610350"/>
                <wp:effectExtent l="0" t="0" r="9525" b="0"/>
                <wp:wrapNone/>
                <wp:docPr id="13"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43425" cy="6610350"/>
                        </a:xfrm>
                        <a:prstGeom prst="rect">
                          <a:avLst/>
                        </a:prstGeom>
                      </pic:spPr>
                    </pic:pic>
                  </a:graphicData>
                </a:graphic>
                <wp14:sizeRelH relativeFrom="margin">
                  <wp14:pctWidth>0</wp14:pctWidth>
                </wp14:sizeRelH>
                <wp14:sizeRelV relativeFrom="margin">
                  <wp14:pctHeight>0</wp14:pctHeight>
                </wp14:sizeRelV>
              </wp:anchor>
            </w:drawing>
          </w:r>
          <w:r w:rsidR="00E13656" w:rsidRPr="00233496">
            <w:br w:type="page"/>
          </w:r>
        </w:p>
      </w:sdtContent>
    </w:sdt>
    <w:p w14:paraId="5177F2A7" w14:textId="77777777" w:rsidR="004E4613" w:rsidRPr="00233496" w:rsidRDefault="000C6981" w:rsidP="000C6981">
      <w:pPr>
        <w:pStyle w:val="Title"/>
      </w:pPr>
      <w:r w:rsidRPr="00233496">
        <w:lastRenderedPageBreak/>
        <w:t>Abstract</w:t>
      </w:r>
    </w:p>
    <w:p w14:paraId="46B9177A" w14:textId="71914109" w:rsidR="007C221F" w:rsidRPr="00233496" w:rsidRDefault="00233496" w:rsidP="002C5A83">
      <w:r w:rsidRPr="00233496">
        <w:t xml:space="preserve">This thesis examines the campaign of </w:t>
      </w:r>
      <w:r>
        <w:t>propaganda aimed at the occupied territories of Belgium and France during the First World War. The focus is on the operations made by the Belgians, the British</w:t>
      </w:r>
      <w:r w:rsidR="002C5A83">
        <w:t xml:space="preserve"> and the French</w:t>
      </w:r>
      <w:r>
        <w:t xml:space="preserve"> to counter German psychological warfare in the invaded regions. This thesis </w:t>
      </w:r>
      <w:r w:rsidR="007C221F">
        <w:t>covers</w:t>
      </w:r>
      <w:r>
        <w:t xml:space="preserve"> three main themes: the institutional </w:t>
      </w:r>
      <w:r w:rsidR="007C221F">
        <w:t>framework</w:t>
      </w:r>
      <w:r>
        <w:t xml:space="preserve"> and </w:t>
      </w:r>
      <w:r w:rsidR="007C221F">
        <w:t>production process</w:t>
      </w:r>
      <w:r>
        <w:t>, the content</w:t>
      </w:r>
      <w:r w:rsidR="007C09CC">
        <w:t xml:space="preserve"> of the propaganda</w:t>
      </w:r>
      <w:r w:rsidR="002C5A83">
        <w:t>,</w:t>
      </w:r>
      <w:r>
        <w:t xml:space="preserve"> and </w:t>
      </w:r>
      <w:r w:rsidR="007C09CC">
        <w:t xml:space="preserve">its reception and </w:t>
      </w:r>
      <w:r>
        <w:t xml:space="preserve">effects during and after the war. It will be demonstrated that morale in the occupied territories played a bigger role </w:t>
      </w:r>
      <w:r w:rsidR="007C09CC">
        <w:t xml:space="preserve">in the conflict </w:t>
      </w:r>
      <w:r>
        <w:t>than previously thought</w:t>
      </w:r>
      <w:r w:rsidR="007C09CC">
        <w:t>,</w:t>
      </w:r>
      <w:r>
        <w:t xml:space="preserve"> and was responsible for substantial transnational operations involving </w:t>
      </w:r>
      <w:r w:rsidR="00070302">
        <w:t xml:space="preserve">several intelligence departments and thousands of </w:t>
      </w:r>
      <w:r w:rsidR="00C85EF1">
        <w:t>pilots</w:t>
      </w:r>
      <w:r w:rsidR="00070302">
        <w:t xml:space="preserve">. Leading the efforts, the French and Belgian governments sought to address demoralisation in the occupied territories by creating </w:t>
      </w:r>
      <w:r w:rsidR="00A66071">
        <w:t>dedicated</w:t>
      </w:r>
      <w:r w:rsidR="00070302">
        <w:t xml:space="preserve"> newspapers. These publications acknowledged the unique cultural </w:t>
      </w:r>
      <w:r w:rsidR="00A66071">
        <w:t xml:space="preserve">situation triggered by the state of occupation. Far from the exaggerations of the </w:t>
      </w:r>
      <w:r w:rsidR="007C09CC">
        <w:t>home front press</w:t>
      </w:r>
      <w:r w:rsidR="00A66071">
        <w:t xml:space="preserve">, allied aerial newspapers tried to sabotage Germany’s efforts of economic collaboration and demoralisation. </w:t>
      </w:r>
      <w:r w:rsidR="00070302">
        <w:t>This thesis will argue that aerial propaganda played an important role in the invaded regions where it fuelled resistance and eased the feeling of isolation. This form of psychological warfare also had</w:t>
      </w:r>
      <w:r w:rsidR="00A66071">
        <w:t xml:space="preserve"> unexpected consequences after the conflict. It had</w:t>
      </w:r>
      <w:r w:rsidR="00070302">
        <w:t xml:space="preserve"> an influence on</w:t>
      </w:r>
      <w:r w:rsidR="00A66071">
        <w:t xml:space="preserve"> the stab-in-the-back myth and imposed the necessity to change</w:t>
      </w:r>
      <w:r w:rsidR="00070302">
        <w:t xml:space="preserve"> international laws</w:t>
      </w:r>
      <w:r w:rsidR="00A66071">
        <w:t xml:space="preserve"> of warfare.</w:t>
      </w:r>
      <w:r w:rsidR="00070302">
        <w:t xml:space="preserve"> </w:t>
      </w:r>
      <w:r w:rsidR="00A66071">
        <w:t>Aerial propaganda was also responsible for shaping</w:t>
      </w:r>
      <w:r w:rsidR="00070302">
        <w:t xml:space="preserve"> </w:t>
      </w:r>
      <w:r w:rsidR="00A66071">
        <w:t>British</w:t>
      </w:r>
      <w:r w:rsidR="00070302">
        <w:t xml:space="preserve"> communication aimed at France after the Nazi</w:t>
      </w:r>
      <w:r w:rsidR="007C09CC">
        <w:t xml:space="preserve"> invasion.</w:t>
      </w:r>
    </w:p>
    <w:p w14:paraId="29DCF031" w14:textId="77777777" w:rsidR="000C6981" w:rsidRPr="00233496" w:rsidRDefault="000C6981">
      <w:r w:rsidRPr="00233496">
        <w:br w:type="page"/>
      </w:r>
    </w:p>
    <w:p w14:paraId="1BF7640B" w14:textId="77777777" w:rsidR="0048510E" w:rsidRPr="002C0F9C" w:rsidRDefault="0048510E" w:rsidP="0048510E">
      <w:pPr>
        <w:pStyle w:val="Title"/>
        <w:rPr>
          <w:lang w:val="fr-FR"/>
        </w:rPr>
      </w:pPr>
      <w:r w:rsidRPr="002C0F9C">
        <w:rPr>
          <w:lang w:val="fr-FR"/>
        </w:rPr>
        <w:lastRenderedPageBreak/>
        <w:t>Table of contents</w:t>
      </w:r>
    </w:p>
    <w:sdt>
      <w:sdtPr>
        <w:rPr>
          <w:rFonts w:asciiTheme="minorHAnsi" w:eastAsiaTheme="minorHAnsi" w:hAnsiTheme="minorHAnsi" w:cstheme="minorBidi"/>
          <w:b w:val="0"/>
          <w:bCs w:val="0"/>
          <w:vanish/>
          <w:color w:val="auto"/>
          <w:sz w:val="22"/>
          <w:szCs w:val="22"/>
          <w:highlight w:val="yellow"/>
          <w:lang w:val="en-GB" w:eastAsia="en-US"/>
        </w:rPr>
        <w:id w:val="1279063861"/>
        <w:docPartObj>
          <w:docPartGallery w:val="Table of Contents"/>
          <w:docPartUnique/>
        </w:docPartObj>
      </w:sdtPr>
      <w:sdtEndPr>
        <w:rPr>
          <w:rFonts w:eastAsiaTheme="minorEastAsia"/>
          <w:noProof/>
          <w:lang w:eastAsia="zh-CN"/>
        </w:rPr>
      </w:sdtEndPr>
      <w:sdtContent>
        <w:p w14:paraId="7CC5A99C" w14:textId="77777777" w:rsidR="0048510E" w:rsidRDefault="0048510E" w:rsidP="005D5535">
          <w:pPr>
            <w:pStyle w:val="TOCHeading"/>
          </w:pPr>
        </w:p>
        <w:p w14:paraId="143FA887" w14:textId="77777777" w:rsidR="003D5F1A" w:rsidRDefault="0048510E" w:rsidP="003D5F1A">
          <w:pPr>
            <w:pStyle w:val="TOC1"/>
            <w:rPr>
              <w:rFonts w:eastAsiaTheme="minorEastAsia"/>
              <w:lang w:eastAsia="en-GB"/>
            </w:rPr>
          </w:pPr>
          <w:r>
            <w:fldChar w:fldCharType="begin"/>
          </w:r>
          <w:r>
            <w:instrText xml:space="preserve"> TOC \o "1-3" \h \z \u </w:instrText>
          </w:r>
          <w:r>
            <w:fldChar w:fldCharType="separate"/>
          </w:r>
          <w:hyperlink w:anchor="_Toc402192937" w:history="1">
            <w:r w:rsidR="003D5F1A" w:rsidRPr="00EC1458">
              <w:rPr>
                <w:rStyle w:val="Hyperlink"/>
              </w:rPr>
              <w:t>Acknowledgments</w:t>
            </w:r>
            <w:r w:rsidR="003D5F1A">
              <w:rPr>
                <w:webHidden/>
              </w:rPr>
              <w:tab/>
            </w:r>
            <w:r w:rsidR="003D5F1A">
              <w:rPr>
                <w:webHidden/>
              </w:rPr>
              <w:fldChar w:fldCharType="begin"/>
            </w:r>
            <w:r w:rsidR="003D5F1A">
              <w:rPr>
                <w:webHidden/>
              </w:rPr>
              <w:instrText xml:space="preserve"> PAGEREF _Toc402192937 \h </w:instrText>
            </w:r>
            <w:r w:rsidR="003D5F1A">
              <w:rPr>
                <w:webHidden/>
              </w:rPr>
            </w:r>
            <w:r w:rsidR="003D5F1A">
              <w:rPr>
                <w:webHidden/>
              </w:rPr>
              <w:fldChar w:fldCharType="separate"/>
            </w:r>
            <w:r w:rsidR="00A17C1C">
              <w:rPr>
                <w:webHidden/>
              </w:rPr>
              <w:t>6</w:t>
            </w:r>
            <w:r w:rsidR="003D5F1A">
              <w:rPr>
                <w:webHidden/>
              </w:rPr>
              <w:fldChar w:fldCharType="end"/>
            </w:r>
          </w:hyperlink>
        </w:p>
        <w:p w14:paraId="6930F1B9" w14:textId="77777777" w:rsidR="003D5F1A" w:rsidRDefault="00DE3AC9" w:rsidP="003D5F1A">
          <w:pPr>
            <w:pStyle w:val="TOC1"/>
            <w:rPr>
              <w:rFonts w:eastAsiaTheme="minorEastAsia"/>
              <w:lang w:eastAsia="en-GB"/>
            </w:rPr>
          </w:pPr>
          <w:hyperlink w:anchor="_Toc402192938" w:history="1">
            <w:r w:rsidR="003D5F1A" w:rsidRPr="00EC1458">
              <w:rPr>
                <w:rStyle w:val="Hyperlink"/>
                <w:lang w:val="fr-FR"/>
              </w:rPr>
              <w:t>List of abbreviations</w:t>
            </w:r>
            <w:r w:rsidR="003D5F1A">
              <w:rPr>
                <w:webHidden/>
              </w:rPr>
              <w:tab/>
            </w:r>
            <w:r w:rsidR="003D5F1A">
              <w:rPr>
                <w:webHidden/>
              </w:rPr>
              <w:fldChar w:fldCharType="begin"/>
            </w:r>
            <w:r w:rsidR="003D5F1A">
              <w:rPr>
                <w:webHidden/>
              </w:rPr>
              <w:instrText xml:space="preserve"> PAGEREF _Toc402192938 \h </w:instrText>
            </w:r>
            <w:r w:rsidR="003D5F1A">
              <w:rPr>
                <w:webHidden/>
              </w:rPr>
            </w:r>
            <w:r w:rsidR="003D5F1A">
              <w:rPr>
                <w:webHidden/>
              </w:rPr>
              <w:fldChar w:fldCharType="separate"/>
            </w:r>
            <w:r w:rsidR="00A17C1C">
              <w:rPr>
                <w:webHidden/>
              </w:rPr>
              <w:t>7</w:t>
            </w:r>
            <w:r w:rsidR="003D5F1A">
              <w:rPr>
                <w:webHidden/>
              </w:rPr>
              <w:fldChar w:fldCharType="end"/>
            </w:r>
          </w:hyperlink>
        </w:p>
        <w:p w14:paraId="15B62645" w14:textId="77777777" w:rsidR="003D5F1A" w:rsidRDefault="00DE3AC9" w:rsidP="003D5F1A">
          <w:pPr>
            <w:pStyle w:val="TOC1"/>
            <w:rPr>
              <w:rFonts w:eastAsiaTheme="minorEastAsia"/>
              <w:lang w:eastAsia="en-GB"/>
            </w:rPr>
          </w:pPr>
          <w:hyperlink w:anchor="_Toc402192939" w:history="1">
            <w:r w:rsidR="003D5F1A" w:rsidRPr="00EC1458">
              <w:rPr>
                <w:rStyle w:val="Hyperlink"/>
              </w:rPr>
              <w:t>List of illustrations</w:t>
            </w:r>
            <w:r w:rsidR="003D5F1A">
              <w:rPr>
                <w:webHidden/>
              </w:rPr>
              <w:tab/>
            </w:r>
            <w:r w:rsidR="003D5F1A">
              <w:rPr>
                <w:webHidden/>
              </w:rPr>
              <w:fldChar w:fldCharType="begin"/>
            </w:r>
            <w:r w:rsidR="003D5F1A">
              <w:rPr>
                <w:webHidden/>
              </w:rPr>
              <w:instrText xml:space="preserve"> PAGEREF _Toc402192939 \h </w:instrText>
            </w:r>
            <w:r w:rsidR="003D5F1A">
              <w:rPr>
                <w:webHidden/>
              </w:rPr>
            </w:r>
            <w:r w:rsidR="003D5F1A">
              <w:rPr>
                <w:webHidden/>
              </w:rPr>
              <w:fldChar w:fldCharType="separate"/>
            </w:r>
            <w:r w:rsidR="00A17C1C">
              <w:rPr>
                <w:webHidden/>
              </w:rPr>
              <w:t>8</w:t>
            </w:r>
            <w:r w:rsidR="003D5F1A">
              <w:rPr>
                <w:webHidden/>
              </w:rPr>
              <w:fldChar w:fldCharType="end"/>
            </w:r>
          </w:hyperlink>
        </w:p>
        <w:p w14:paraId="07E6D34D" w14:textId="77777777" w:rsidR="003D5F1A" w:rsidRDefault="00DE3AC9" w:rsidP="003D5F1A">
          <w:pPr>
            <w:pStyle w:val="TOC1"/>
            <w:rPr>
              <w:rFonts w:eastAsiaTheme="minorEastAsia"/>
              <w:lang w:eastAsia="en-GB"/>
            </w:rPr>
          </w:pPr>
          <w:hyperlink w:anchor="_Toc402192940" w:history="1">
            <w:r w:rsidR="003D5F1A" w:rsidRPr="00EC1458">
              <w:rPr>
                <w:rStyle w:val="Hyperlink"/>
              </w:rPr>
              <w:t>Introduction</w:t>
            </w:r>
            <w:r w:rsidR="003D5F1A">
              <w:rPr>
                <w:webHidden/>
              </w:rPr>
              <w:tab/>
            </w:r>
            <w:r w:rsidR="003D5F1A">
              <w:rPr>
                <w:webHidden/>
              </w:rPr>
              <w:fldChar w:fldCharType="begin"/>
            </w:r>
            <w:r w:rsidR="003D5F1A">
              <w:rPr>
                <w:webHidden/>
              </w:rPr>
              <w:instrText xml:space="preserve"> PAGEREF _Toc402192940 \h </w:instrText>
            </w:r>
            <w:r w:rsidR="003D5F1A">
              <w:rPr>
                <w:webHidden/>
              </w:rPr>
            </w:r>
            <w:r w:rsidR="003D5F1A">
              <w:rPr>
                <w:webHidden/>
              </w:rPr>
              <w:fldChar w:fldCharType="separate"/>
            </w:r>
            <w:r w:rsidR="00A17C1C">
              <w:rPr>
                <w:webHidden/>
              </w:rPr>
              <w:t>9</w:t>
            </w:r>
            <w:r w:rsidR="003D5F1A">
              <w:rPr>
                <w:webHidden/>
              </w:rPr>
              <w:fldChar w:fldCharType="end"/>
            </w:r>
          </w:hyperlink>
        </w:p>
        <w:p w14:paraId="3D44E739" w14:textId="77777777" w:rsidR="003D5F1A" w:rsidRDefault="00DE3AC9">
          <w:pPr>
            <w:pStyle w:val="TOC2"/>
            <w:tabs>
              <w:tab w:val="right" w:leader="dot" w:pos="9017"/>
            </w:tabs>
            <w:rPr>
              <w:rFonts w:eastAsiaTheme="minorEastAsia"/>
              <w:noProof/>
              <w:lang w:eastAsia="en-GB"/>
            </w:rPr>
          </w:pPr>
          <w:hyperlink w:anchor="_Toc402192941" w:history="1">
            <w:r w:rsidR="003D5F1A" w:rsidRPr="00EC1458">
              <w:rPr>
                <w:rStyle w:val="Hyperlink"/>
                <w:noProof/>
              </w:rPr>
              <w:t>Historiography</w:t>
            </w:r>
            <w:r w:rsidR="003D5F1A">
              <w:rPr>
                <w:noProof/>
                <w:webHidden/>
              </w:rPr>
              <w:tab/>
            </w:r>
            <w:r w:rsidR="003D5F1A">
              <w:rPr>
                <w:noProof/>
                <w:webHidden/>
              </w:rPr>
              <w:fldChar w:fldCharType="begin"/>
            </w:r>
            <w:r w:rsidR="003D5F1A">
              <w:rPr>
                <w:noProof/>
                <w:webHidden/>
              </w:rPr>
              <w:instrText xml:space="preserve"> PAGEREF _Toc402192941 \h </w:instrText>
            </w:r>
            <w:r w:rsidR="003D5F1A">
              <w:rPr>
                <w:noProof/>
                <w:webHidden/>
              </w:rPr>
            </w:r>
            <w:r w:rsidR="003D5F1A">
              <w:rPr>
                <w:noProof/>
                <w:webHidden/>
              </w:rPr>
              <w:fldChar w:fldCharType="separate"/>
            </w:r>
            <w:r w:rsidR="00A17C1C">
              <w:rPr>
                <w:noProof/>
                <w:webHidden/>
              </w:rPr>
              <w:t>9</w:t>
            </w:r>
            <w:r w:rsidR="003D5F1A">
              <w:rPr>
                <w:noProof/>
                <w:webHidden/>
              </w:rPr>
              <w:fldChar w:fldCharType="end"/>
            </w:r>
          </w:hyperlink>
        </w:p>
        <w:p w14:paraId="17673CAB" w14:textId="77777777" w:rsidR="003D5F1A" w:rsidRDefault="00DE3AC9">
          <w:pPr>
            <w:pStyle w:val="TOC2"/>
            <w:tabs>
              <w:tab w:val="right" w:leader="dot" w:pos="9017"/>
            </w:tabs>
            <w:rPr>
              <w:rFonts w:eastAsiaTheme="minorEastAsia"/>
              <w:noProof/>
              <w:lang w:eastAsia="en-GB"/>
            </w:rPr>
          </w:pPr>
          <w:hyperlink w:anchor="_Toc402192942" w:history="1">
            <w:r w:rsidR="003D5F1A" w:rsidRPr="00EC1458">
              <w:rPr>
                <w:rStyle w:val="Hyperlink"/>
                <w:noProof/>
              </w:rPr>
              <w:t>Sources</w:t>
            </w:r>
            <w:r w:rsidR="003D5F1A">
              <w:rPr>
                <w:noProof/>
                <w:webHidden/>
              </w:rPr>
              <w:tab/>
            </w:r>
            <w:r w:rsidR="003D5F1A">
              <w:rPr>
                <w:noProof/>
                <w:webHidden/>
              </w:rPr>
              <w:fldChar w:fldCharType="begin"/>
            </w:r>
            <w:r w:rsidR="003D5F1A">
              <w:rPr>
                <w:noProof/>
                <w:webHidden/>
              </w:rPr>
              <w:instrText xml:space="preserve"> PAGEREF _Toc402192942 \h </w:instrText>
            </w:r>
            <w:r w:rsidR="003D5F1A">
              <w:rPr>
                <w:noProof/>
                <w:webHidden/>
              </w:rPr>
            </w:r>
            <w:r w:rsidR="003D5F1A">
              <w:rPr>
                <w:noProof/>
                <w:webHidden/>
              </w:rPr>
              <w:fldChar w:fldCharType="separate"/>
            </w:r>
            <w:r w:rsidR="00A17C1C">
              <w:rPr>
                <w:noProof/>
                <w:webHidden/>
              </w:rPr>
              <w:t>20</w:t>
            </w:r>
            <w:r w:rsidR="003D5F1A">
              <w:rPr>
                <w:noProof/>
                <w:webHidden/>
              </w:rPr>
              <w:fldChar w:fldCharType="end"/>
            </w:r>
          </w:hyperlink>
        </w:p>
        <w:p w14:paraId="6E8F201E" w14:textId="77777777" w:rsidR="003D5F1A" w:rsidRDefault="00DE3AC9">
          <w:pPr>
            <w:pStyle w:val="TOC2"/>
            <w:tabs>
              <w:tab w:val="right" w:leader="dot" w:pos="9017"/>
            </w:tabs>
            <w:rPr>
              <w:rStyle w:val="Hyperlink"/>
              <w:noProof/>
            </w:rPr>
          </w:pPr>
          <w:hyperlink w:anchor="_Toc402192943" w:history="1">
            <w:r w:rsidR="003D5F1A" w:rsidRPr="00EC1458">
              <w:rPr>
                <w:rStyle w:val="Hyperlink"/>
                <w:noProof/>
              </w:rPr>
              <w:t>Outline</w:t>
            </w:r>
            <w:r w:rsidR="003D5F1A">
              <w:rPr>
                <w:noProof/>
                <w:webHidden/>
              </w:rPr>
              <w:tab/>
            </w:r>
            <w:r w:rsidR="003D5F1A">
              <w:rPr>
                <w:noProof/>
                <w:webHidden/>
              </w:rPr>
              <w:fldChar w:fldCharType="begin"/>
            </w:r>
            <w:r w:rsidR="003D5F1A">
              <w:rPr>
                <w:noProof/>
                <w:webHidden/>
              </w:rPr>
              <w:instrText xml:space="preserve"> PAGEREF _Toc402192943 \h </w:instrText>
            </w:r>
            <w:r w:rsidR="003D5F1A">
              <w:rPr>
                <w:noProof/>
                <w:webHidden/>
              </w:rPr>
            </w:r>
            <w:r w:rsidR="003D5F1A">
              <w:rPr>
                <w:noProof/>
                <w:webHidden/>
              </w:rPr>
              <w:fldChar w:fldCharType="separate"/>
            </w:r>
            <w:r w:rsidR="00A17C1C">
              <w:rPr>
                <w:noProof/>
                <w:webHidden/>
              </w:rPr>
              <w:t>23</w:t>
            </w:r>
            <w:r w:rsidR="003D5F1A">
              <w:rPr>
                <w:noProof/>
                <w:webHidden/>
              </w:rPr>
              <w:fldChar w:fldCharType="end"/>
            </w:r>
          </w:hyperlink>
        </w:p>
        <w:p w14:paraId="3F726D5B" w14:textId="77777777" w:rsidR="003D5F1A" w:rsidRDefault="003D5F1A" w:rsidP="003D5F1A">
          <w:pPr>
            <w:rPr>
              <w:noProof/>
              <w:lang w:eastAsia="en-US"/>
            </w:rPr>
          </w:pPr>
        </w:p>
        <w:p w14:paraId="2ACA4F53" w14:textId="5EC26281" w:rsidR="003D5F1A" w:rsidRPr="003D5F1A" w:rsidRDefault="003D5F1A" w:rsidP="003D5F1A">
          <w:pPr>
            <w:rPr>
              <w:noProof/>
              <w:lang w:eastAsia="en-US"/>
            </w:rPr>
          </w:pPr>
          <w:r>
            <w:rPr>
              <w:noProof/>
              <w:lang w:eastAsia="en-US"/>
            </w:rPr>
            <w:t>PART I MACHINERY</w:t>
          </w:r>
        </w:p>
        <w:p w14:paraId="03D0215A" w14:textId="77777777" w:rsidR="003D5F1A" w:rsidRDefault="00DE3AC9" w:rsidP="003D5F1A">
          <w:pPr>
            <w:pStyle w:val="TOC1"/>
            <w:rPr>
              <w:rFonts w:eastAsiaTheme="minorEastAsia"/>
              <w:lang w:eastAsia="en-GB"/>
            </w:rPr>
          </w:pPr>
          <w:hyperlink w:anchor="_Toc402192944" w:history="1">
            <w:r w:rsidR="003D5F1A" w:rsidRPr="00EC1458">
              <w:rPr>
                <w:rStyle w:val="Hyperlink"/>
              </w:rPr>
              <w:t xml:space="preserve">I </w:t>
            </w:r>
            <w:r w:rsidR="003D5F1A">
              <w:rPr>
                <w:rFonts w:eastAsiaTheme="minorEastAsia"/>
                <w:lang w:eastAsia="en-GB"/>
              </w:rPr>
              <w:tab/>
            </w:r>
            <w:r w:rsidR="003D5F1A" w:rsidRPr="00EC1458">
              <w:rPr>
                <w:rStyle w:val="Hyperlink"/>
              </w:rPr>
              <w:t>German occupation and the making of propaganda behind the lines</w:t>
            </w:r>
            <w:r w:rsidR="003D5F1A">
              <w:rPr>
                <w:webHidden/>
              </w:rPr>
              <w:tab/>
            </w:r>
            <w:r w:rsidR="003D5F1A">
              <w:rPr>
                <w:webHidden/>
              </w:rPr>
              <w:fldChar w:fldCharType="begin"/>
            </w:r>
            <w:r w:rsidR="003D5F1A">
              <w:rPr>
                <w:webHidden/>
              </w:rPr>
              <w:instrText xml:space="preserve"> PAGEREF _Toc402192944 \h </w:instrText>
            </w:r>
            <w:r w:rsidR="003D5F1A">
              <w:rPr>
                <w:webHidden/>
              </w:rPr>
            </w:r>
            <w:r w:rsidR="003D5F1A">
              <w:rPr>
                <w:webHidden/>
              </w:rPr>
              <w:fldChar w:fldCharType="separate"/>
            </w:r>
            <w:r w:rsidR="00A17C1C">
              <w:rPr>
                <w:webHidden/>
              </w:rPr>
              <w:t>27</w:t>
            </w:r>
            <w:r w:rsidR="003D5F1A">
              <w:rPr>
                <w:webHidden/>
              </w:rPr>
              <w:fldChar w:fldCharType="end"/>
            </w:r>
          </w:hyperlink>
        </w:p>
        <w:p w14:paraId="629C364F" w14:textId="77777777" w:rsidR="003D5F1A" w:rsidRDefault="00DE3AC9">
          <w:pPr>
            <w:pStyle w:val="TOC2"/>
            <w:tabs>
              <w:tab w:val="right" w:leader="dot" w:pos="9017"/>
            </w:tabs>
            <w:rPr>
              <w:rFonts w:eastAsiaTheme="minorEastAsia"/>
              <w:noProof/>
              <w:lang w:eastAsia="en-GB"/>
            </w:rPr>
          </w:pPr>
          <w:hyperlink w:anchor="_Toc402192945" w:history="1">
            <w:r w:rsidR="003D5F1A" w:rsidRPr="00EC1458">
              <w:rPr>
                <w:rStyle w:val="Hyperlink"/>
                <w:noProof/>
              </w:rPr>
              <w:t>One name, many shapes</w:t>
            </w:r>
            <w:r w:rsidR="003D5F1A">
              <w:rPr>
                <w:noProof/>
                <w:webHidden/>
              </w:rPr>
              <w:tab/>
            </w:r>
            <w:r w:rsidR="003D5F1A">
              <w:rPr>
                <w:noProof/>
                <w:webHidden/>
              </w:rPr>
              <w:fldChar w:fldCharType="begin"/>
            </w:r>
            <w:r w:rsidR="003D5F1A">
              <w:rPr>
                <w:noProof/>
                <w:webHidden/>
              </w:rPr>
              <w:instrText xml:space="preserve"> PAGEREF _Toc402192945 \h </w:instrText>
            </w:r>
            <w:r w:rsidR="003D5F1A">
              <w:rPr>
                <w:noProof/>
                <w:webHidden/>
              </w:rPr>
            </w:r>
            <w:r w:rsidR="003D5F1A">
              <w:rPr>
                <w:noProof/>
                <w:webHidden/>
              </w:rPr>
              <w:fldChar w:fldCharType="separate"/>
            </w:r>
            <w:r w:rsidR="00A17C1C">
              <w:rPr>
                <w:noProof/>
                <w:webHidden/>
              </w:rPr>
              <w:t>27</w:t>
            </w:r>
            <w:r w:rsidR="003D5F1A">
              <w:rPr>
                <w:noProof/>
                <w:webHidden/>
              </w:rPr>
              <w:fldChar w:fldCharType="end"/>
            </w:r>
          </w:hyperlink>
        </w:p>
        <w:p w14:paraId="1DDC72E2" w14:textId="77777777" w:rsidR="003D5F1A" w:rsidRDefault="00DE3AC9">
          <w:pPr>
            <w:pStyle w:val="TOC2"/>
            <w:tabs>
              <w:tab w:val="right" w:leader="dot" w:pos="9017"/>
            </w:tabs>
            <w:rPr>
              <w:rFonts w:eastAsiaTheme="minorEastAsia"/>
              <w:noProof/>
              <w:lang w:eastAsia="en-GB"/>
            </w:rPr>
          </w:pPr>
          <w:hyperlink w:anchor="_Toc402192946" w:history="1">
            <w:r w:rsidR="003D5F1A" w:rsidRPr="00EC1458">
              <w:rPr>
                <w:rStyle w:val="Hyperlink"/>
                <w:noProof/>
              </w:rPr>
              <w:t>Siege, annexation and communication across the border during and after the Franco-Prussian war</w:t>
            </w:r>
            <w:r w:rsidR="003D5F1A">
              <w:rPr>
                <w:noProof/>
                <w:webHidden/>
              </w:rPr>
              <w:tab/>
            </w:r>
            <w:r w:rsidR="003D5F1A">
              <w:rPr>
                <w:noProof/>
                <w:webHidden/>
              </w:rPr>
              <w:fldChar w:fldCharType="begin"/>
            </w:r>
            <w:r w:rsidR="003D5F1A">
              <w:rPr>
                <w:noProof/>
                <w:webHidden/>
              </w:rPr>
              <w:instrText xml:space="preserve"> PAGEREF _Toc402192946 \h </w:instrText>
            </w:r>
            <w:r w:rsidR="003D5F1A">
              <w:rPr>
                <w:noProof/>
                <w:webHidden/>
              </w:rPr>
            </w:r>
            <w:r w:rsidR="003D5F1A">
              <w:rPr>
                <w:noProof/>
                <w:webHidden/>
              </w:rPr>
              <w:fldChar w:fldCharType="separate"/>
            </w:r>
            <w:r w:rsidR="00A17C1C">
              <w:rPr>
                <w:noProof/>
                <w:webHidden/>
              </w:rPr>
              <w:t>28</w:t>
            </w:r>
            <w:r w:rsidR="003D5F1A">
              <w:rPr>
                <w:noProof/>
                <w:webHidden/>
              </w:rPr>
              <w:fldChar w:fldCharType="end"/>
            </w:r>
          </w:hyperlink>
        </w:p>
        <w:p w14:paraId="2D2FF715" w14:textId="77777777" w:rsidR="003D5F1A" w:rsidRDefault="00DE3AC9">
          <w:pPr>
            <w:pStyle w:val="TOC2"/>
            <w:tabs>
              <w:tab w:val="right" w:leader="dot" w:pos="9017"/>
            </w:tabs>
            <w:rPr>
              <w:rFonts w:eastAsiaTheme="minorEastAsia"/>
              <w:noProof/>
              <w:lang w:eastAsia="en-GB"/>
            </w:rPr>
          </w:pPr>
          <w:hyperlink w:anchor="_Toc402192947" w:history="1">
            <w:r w:rsidR="003D5F1A" w:rsidRPr="00EC1458">
              <w:rPr>
                <w:rStyle w:val="Hyperlink"/>
                <w:noProof/>
              </w:rPr>
              <w:t>The German campaign of propaganda in occupied France and Belgium during the First World War</w:t>
            </w:r>
            <w:r w:rsidR="003D5F1A">
              <w:rPr>
                <w:noProof/>
                <w:webHidden/>
              </w:rPr>
              <w:tab/>
            </w:r>
            <w:r w:rsidR="003D5F1A">
              <w:rPr>
                <w:noProof/>
                <w:webHidden/>
              </w:rPr>
              <w:fldChar w:fldCharType="begin"/>
            </w:r>
            <w:r w:rsidR="003D5F1A">
              <w:rPr>
                <w:noProof/>
                <w:webHidden/>
              </w:rPr>
              <w:instrText xml:space="preserve"> PAGEREF _Toc402192947 \h </w:instrText>
            </w:r>
            <w:r w:rsidR="003D5F1A">
              <w:rPr>
                <w:noProof/>
                <w:webHidden/>
              </w:rPr>
            </w:r>
            <w:r w:rsidR="003D5F1A">
              <w:rPr>
                <w:noProof/>
                <w:webHidden/>
              </w:rPr>
              <w:fldChar w:fldCharType="separate"/>
            </w:r>
            <w:r w:rsidR="00A17C1C">
              <w:rPr>
                <w:noProof/>
                <w:webHidden/>
              </w:rPr>
              <w:t>32</w:t>
            </w:r>
            <w:r w:rsidR="003D5F1A">
              <w:rPr>
                <w:noProof/>
                <w:webHidden/>
              </w:rPr>
              <w:fldChar w:fldCharType="end"/>
            </w:r>
          </w:hyperlink>
        </w:p>
        <w:p w14:paraId="2426B633" w14:textId="77777777" w:rsidR="003D5F1A" w:rsidRDefault="00DE3AC9">
          <w:pPr>
            <w:pStyle w:val="TOC2"/>
            <w:tabs>
              <w:tab w:val="right" w:leader="dot" w:pos="9017"/>
            </w:tabs>
            <w:rPr>
              <w:rFonts w:eastAsiaTheme="minorEastAsia"/>
              <w:noProof/>
              <w:lang w:eastAsia="en-GB"/>
            </w:rPr>
          </w:pPr>
          <w:hyperlink w:anchor="_Toc402192948" w:history="1">
            <w:r w:rsidR="003D5F1A" w:rsidRPr="00EC1458">
              <w:rPr>
                <w:rStyle w:val="Hyperlink"/>
                <w:noProof/>
              </w:rPr>
              <w:t>Reasons behind a campaign of allied propaganda aimed at the occupied territories</w:t>
            </w:r>
            <w:r w:rsidR="003D5F1A">
              <w:rPr>
                <w:noProof/>
                <w:webHidden/>
              </w:rPr>
              <w:tab/>
            </w:r>
            <w:r w:rsidR="003D5F1A">
              <w:rPr>
                <w:noProof/>
                <w:webHidden/>
              </w:rPr>
              <w:fldChar w:fldCharType="begin"/>
            </w:r>
            <w:r w:rsidR="003D5F1A">
              <w:rPr>
                <w:noProof/>
                <w:webHidden/>
              </w:rPr>
              <w:instrText xml:space="preserve"> PAGEREF _Toc402192948 \h </w:instrText>
            </w:r>
            <w:r w:rsidR="003D5F1A">
              <w:rPr>
                <w:noProof/>
                <w:webHidden/>
              </w:rPr>
            </w:r>
            <w:r w:rsidR="003D5F1A">
              <w:rPr>
                <w:noProof/>
                <w:webHidden/>
              </w:rPr>
              <w:fldChar w:fldCharType="separate"/>
            </w:r>
            <w:r w:rsidR="00A17C1C">
              <w:rPr>
                <w:noProof/>
                <w:webHidden/>
              </w:rPr>
              <w:t>35</w:t>
            </w:r>
            <w:r w:rsidR="003D5F1A">
              <w:rPr>
                <w:noProof/>
                <w:webHidden/>
              </w:rPr>
              <w:fldChar w:fldCharType="end"/>
            </w:r>
          </w:hyperlink>
        </w:p>
        <w:p w14:paraId="7C2886A2" w14:textId="77777777" w:rsidR="003D5F1A" w:rsidRDefault="00DE3AC9">
          <w:pPr>
            <w:pStyle w:val="TOC2"/>
            <w:tabs>
              <w:tab w:val="right" w:leader="dot" w:pos="9017"/>
            </w:tabs>
            <w:rPr>
              <w:rFonts w:eastAsiaTheme="minorEastAsia"/>
              <w:noProof/>
              <w:lang w:eastAsia="en-GB"/>
            </w:rPr>
          </w:pPr>
          <w:hyperlink w:anchor="_Toc402192949" w:history="1">
            <w:r w:rsidR="003D5F1A" w:rsidRPr="00EC1458">
              <w:rPr>
                <w:rStyle w:val="Hyperlink"/>
                <w:noProof/>
              </w:rPr>
              <w:t>Structures and relations between the armies and the governments</w:t>
            </w:r>
            <w:r w:rsidR="003D5F1A">
              <w:rPr>
                <w:noProof/>
                <w:webHidden/>
              </w:rPr>
              <w:tab/>
            </w:r>
            <w:r w:rsidR="003D5F1A">
              <w:rPr>
                <w:noProof/>
                <w:webHidden/>
              </w:rPr>
              <w:fldChar w:fldCharType="begin"/>
            </w:r>
            <w:r w:rsidR="003D5F1A">
              <w:rPr>
                <w:noProof/>
                <w:webHidden/>
              </w:rPr>
              <w:instrText xml:space="preserve"> PAGEREF _Toc402192949 \h </w:instrText>
            </w:r>
            <w:r w:rsidR="003D5F1A">
              <w:rPr>
                <w:noProof/>
                <w:webHidden/>
              </w:rPr>
            </w:r>
            <w:r w:rsidR="003D5F1A">
              <w:rPr>
                <w:noProof/>
                <w:webHidden/>
              </w:rPr>
              <w:fldChar w:fldCharType="separate"/>
            </w:r>
            <w:r w:rsidR="00A17C1C">
              <w:rPr>
                <w:noProof/>
                <w:webHidden/>
              </w:rPr>
              <w:t>40</w:t>
            </w:r>
            <w:r w:rsidR="003D5F1A">
              <w:rPr>
                <w:noProof/>
                <w:webHidden/>
              </w:rPr>
              <w:fldChar w:fldCharType="end"/>
            </w:r>
          </w:hyperlink>
        </w:p>
        <w:p w14:paraId="39C1F953" w14:textId="77777777" w:rsidR="003D5F1A" w:rsidRDefault="00DE3AC9">
          <w:pPr>
            <w:pStyle w:val="TOC2"/>
            <w:tabs>
              <w:tab w:val="right" w:leader="dot" w:pos="9017"/>
            </w:tabs>
            <w:rPr>
              <w:rFonts w:eastAsiaTheme="minorEastAsia"/>
              <w:noProof/>
              <w:lang w:eastAsia="en-GB"/>
            </w:rPr>
          </w:pPr>
          <w:hyperlink w:anchor="_Toc402192950" w:history="1">
            <w:r w:rsidR="003D5F1A" w:rsidRPr="00EC1458">
              <w:rPr>
                <w:rStyle w:val="Hyperlink"/>
                <w:noProof/>
              </w:rPr>
              <w:t>Profiles of propagandists</w:t>
            </w:r>
            <w:r w:rsidR="003D5F1A">
              <w:rPr>
                <w:noProof/>
                <w:webHidden/>
              </w:rPr>
              <w:tab/>
            </w:r>
            <w:r w:rsidR="003D5F1A">
              <w:rPr>
                <w:noProof/>
                <w:webHidden/>
              </w:rPr>
              <w:fldChar w:fldCharType="begin"/>
            </w:r>
            <w:r w:rsidR="003D5F1A">
              <w:rPr>
                <w:noProof/>
                <w:webHidden/>
              </w:rPr>
              <w:instrText xml:space="preserve"> PAGEREF _Toc402192950 \h </w:instrText>
            </w:r>
            <w:r w:rsidR="003D5F1A">
              <w:rPr>
                <w:noProof/>
                <w:webHidden/>
              </w:rPr>
            </w:r>
            <w:r w:rsidR="003D5F1A">
              <w:rPr>
                <w:noProof/>
                <w:webHidden/>
              </w:rPr>
              <w:fldChar w:fldCharType="separate"/>
            </w:r>
            <w:r w:rsidR="00A17C1C">
              <w:rPr>
                <w:noProof/>
                <w:webHidden/>
              </w:rPr>
              <w:t>49</w:t>
            </w:r>
            <w:r w:rsidR="003D5F1A">
              <w:rPr>
                <w:noProof/>
                <w:webHidden/>
              </w:rPr>
              <w:fldChar w:fldCharType="end"/>
            </w:r>
          </w:hyperlink>
        </w:p>
        <w:p w14:paraId="6186C462" w14:textId="77777777" w:rsidR="003D5F1A" w:rsidRDefault="00DE3AC9">
          <w:pPr>
            <w:pStyle w:val="TOC2"/>
            <w:tabs>
              <w:tab w:val="right" w:leader="dot" w:pos="9017"/>
            </w:tabs>
            <w:rPr>
              <w:rFonts w:eastAsiaTheme="minorEastAsia"/>
              <w:noProof/>
              <w:lang w:eastAsia="en-GB"/>
            </w:rPr>
          </w:pPr>
          <w:hyperlink w:anchor="_Toc402192951"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_Toc402192951 \h </w:instrText>
            </w:r>
            <w:r w:rsidR="003D5F1A">
              <w:rPr>
                <w:noProof/>
                <w:webHidden/>
              </w:rPr>
            </w:r>
            <w:r w:rsidR="003D5F1A">
              <w:rPr>
                <w:noProof/>
                <w:webHidden/>
              </w:rPr>
              <w:fldChar w:fldCharType="separate"/>
            </w:r>
            <w:r w:rsidR="00A17C1C">
              <w:rPr>
                <w:noProof/>
                <w:webHidden/>
              </w:rPr>
              <w:t>51</w:t>
            </w:r>
            <w:r w:rsidR="003D5F1A">
              <w:rPr>
                <w:noProof/>
                <w:webHidden/>
              </w:rPr>
              <w:fldChar w:fldCharType="end"/>
            </w:r>
          </w:hyperlink>
        </w:p>
        <w:p w14:paraId="0A28DEA3" w14:textId="77777777" w:rsidR="003D5F1A" w:rsidRDefault="00DE3AC9" w:rsidP="003D5F1A">
          <w:pPr>
            <w:pStyle w:val="TOC1"/>
            <w:rPr>
              <w:rFonts w:eastAsiaTheme="minorEastAsia"/>
              <w:lang w:eastAsia="en-GB"/>
            </w:rPr>
          </w:pPr>
          <w:hyperlink w:anchor="_Toc402192952" w:history="1">
            <w:r w:rsidR="003D5F1A" w:rsidRPr="00EC1458">
              <w:rPr>
                <w:rStyle w:val="Hyperlink"/>
              </w:rPr>
              <w:t>II</w:t>
            </w:r>
            <w:r w:rsidR="003D5F1A">
              <w:rPr>
                <w:rFonts w:eastAsiaTheme="minorEastAsia"/>
                <w:lang w:eastAsia="en-GB"/>
              </w:rPr>
              <w:tab/>
            </w:r>
            <w:r w:rsidR="003D5F1A" w:rsidRPr="00EC1458">
              <w:rPr>
                <w:rStyle w:val="Hyperlink"/>
              </w:rPr>
              <w:t>Distribution, international laws and internal tensions</w:t>
            </w:r>
            <w:r w:rsidR="003D5F1A">
              <w:rPr>
                <w:webHidden/>
              </w:rPr>
              <w:tab/>
            </w:r>
            <w:r w:rsidR="003D5F1A">
              <w:rPr>
                <w:webHidden/>
              </w:rPr>
              <w:fldChar w:fldCharType="begin"/>
            </w:r>
            <w:r w:rsidR="003D5F1A">
              <w:rPr>
                <w:webHidden/>
              </w:rPr>
              <w:instrText xml:space="preserve"> PAGEREF _Toc402192952 \h </w:instrText>
            </w:r>
            <w:r w:rsidR="003D5F1A">
              <w:rPr>
                <w:webHidden/>
              </w:rPr>
            </w:r>
            <w:r w:rsidR="003D5F1A">
              <w:rPr>
                <w:webHidden/>
              </w:rPr>
              <w:fldChar w:fldCharType="separate"/>
            </w:r>
            <w:r w:rsidR="00A17C1C">
              <w:rPr>
                <w:webHidden/>
              </w:rPr>
              <w:t>53</w:t>
            </w:r>
            <w:r w:rsidR="003D5F1A">
              <w:rPr>
                <w:webHidden/>
              </w:rPr>
              <w:fldChar w:fldCharType="end"/>
            </w:r>
          </w:hyperlink>
        </w:p>
        <w:p w14:paraId="5CF1D06E" w14:textId="77777777" w:rsidR="003D5F1A" w:rsidRDefault="00DE3AC9">
          <w:pPr>
            <w:pStyle w:val="TOC2"/>
            <w:tabs>
              <w:tab w:val="right" w:leader="dot" w:pos="9017"/>
            </w:tabs>
            <w:rPr>
              <w:rFonts w:eastAsiaTheme="minorEastAsia"/>
              <w:noProof/>
              <w:lang w:eastAsia="en-GB"/>
            </w:rPr>
          </w:pPr>
          <w:hyperlink w:anchor="_Toc402192953" w:history="1">
            <w:r w:rsidR="003D5F1A" w:rsidRPr="00EC1458">
              <w:rPr>
                <w:rStyle w:val="Hyperlink"/>
                <w:noProof/>
              </w:rPr>
              <w:t>The tyranny of logistics</w:t>
            </w:r>
            <w:r w:rsidR="003D5F1A">
              <w:rPr>
                <w:noProof/>
                <w:webHidden/>
              </w:rPr>
              <w:tab/>
            </w:r>
            <w:r w:rsidR="003D5F1A">
              <w:rPr>
                <w:noProof/>
                <w:webHidden/>
              </w:rPr>
              <w:fldChar w:fldCharType="begin"/>
            </w:r>
            <w:r w:rsidR="003D5F1A">
              <w:rPr>
                <w:noProof/>
                <w:webHidden/>
              </w:rPr>
              <w:instrText xml:space="preserve"> PAGEREF _Toc402192953 \h </w:instrText>
            </w:r>
            <w:r w:rsidR="003D5F1A">
              <w:rPr>
                <w:noProof/>
                <w:webHidden/>
              </w:rPr>
            </w:r>
            <w:r w:rsidR="003D5F1A">
              <w:rPr>
                <w:noProof/>
                <w:webHidden/>
              </w:rPr>
              <w:fldChar w:fldCharType="separate"/>
            </w:r>
            <w:r w:rsidR="00A17C1C">
              <w:rPr>
                <w:noProof/>
                <w:webHidden/>
              </w:rPr>
              <w:t>53</w:t>
            </w:r>
            <w:r w:rsidR="003D5F1A">
              <w:rPr>
                <w:noProof/>
                <w:webHidden/>
              </w:rPr>
              <w:fldChar w:fldCharType="end"/>
            </w:r>
          </w:hyperlink>
        </w:p>
        <w:p w14:paraId="43D5F529" w14:textId="77777777" w:rsidR="003D5F1A" w:rsidRDefault="00DE3AC9">
          <w:pPr>
            <w:pStyle w:val="TOC2"/>
            <w:tabs>
              <w:tab w:val="right" w:leader="dot" w:pos="9017"/>
            </w:tabs>
            <w:rPr>
              <w:rFonts w:eastAsiaTheme="minorEastAsia"/>
              <w:noProof/>
              <w:lang w:eastAsia="en-GB"/>
            </w:rPr>
          </w:pPr>
          <w:hyperlink w:anchor="_Toc402192954" w:history="1">
            <w:r w:rsidR="003D5F1A" w:rsidRPr="00EC1458">
              <w:rPr>
                <w:rStyle w:val="Hyperlink"/>
                <w:noProof/>
              </w:rPr>
              <w:t>Distribution and collaboration between allies</w:t>
            </w:r>
            <w:r w:rsidR="003D5F1A">
              <w:rPr>
                <w:noProof/>
                <w:webHidden/>
              </w:rPr>
              <w:tab/>
            </w:r>
            <w:r w:rsidR="003D5F1A">
              <w:rPr>
                <w:noProof/>
                <w:webHidden/>
              </w:rPr>
              <w:fldChar w:fldCharType="begin"/>
            </w:r>
            <w:r w:rsidR="003D5F1A">
              <w:rPr>
                <w:noProof/>
                <w:webHidden/>
              </w:rPr>
              <w:instrText xml:space="preserve"> PAGEREF _Toc402192954 \h </w:instrText>
            </w:r>
            <w:r w:rsidR="003D5F1A">
              <w:rPr>
                <w:noProof/>
                <w:webHidden/>
              </w:rPr>
            </w:r>
            <w:r w:rsidR="003D5F1A">
              <w:rPr>
                <w:noProof/>
                <w:webHidden/>
              </w:rPr>
              <w:fldChar w:fldCharType="separate"/>
            </w:r>
            <w:r w:rsidR="00A17C1C">
              <w:rPr>
                <w:noProof/>
                <w:webHidden/>
              </w:rPr>
              <w:t>54</w:t>
            </w:r>
            <w:r w:rsidR="003D5F1A">
              <w:rPr>
                <w:noProof/>
                <w:webHidden/>
              </w:rPr>
              <w:fldChar w:fldCharType="end"/>
            </w:r>
          </w:hyperlink>
        </w:p>
        <w:p w14:paraId="022B00A3" w14:textId="77777777" w:rsidR="003D5F1A" w:rsidRDefault="00DE3AC9">
          <w:pPr>
            <w:pStyle w:val="TOC2"/>
            <w:tabs>
              <w:tab w:val="right" w:leader="dot" w:pos="9017"/>
            </w:tabs>
            <w:rPr>
              <w:rFonts w:eastAsiaTheme="minorEastAsia"/>
              <w:noProof/>
              <w:lang w:eastAsia="en-GB"/>
            </w:rPr>
          </w:pPr>
          <w:hyperlink w:anchor="_Toc402192955" w:history="1">
            <w:r w:rsidR="003D5F1A" w:rsidRPr="00EC1458">
              <w:rPr>
                <w:rStyle w:val="Hyperlink"/>
                <w:noProof/>
              </w:rPr>
              <w:t>Tensions between aviators and propagandists</w:t>
            </w:r>
            <w:r w:rsidR="003D5F1A">
              <w:rPr>
                <w:noProof/>
                <w:webHidden/>
              </w:rPr>
              <w:tab/>
            </w:r>
            <w:r w:rsidR="003D5F1A">
              <w:rPr>
                <w:noProof/>
                <w:webHidden/>
              </w:rPr>
              <w:fldChar w:fldCharType="begin"/>
            </w:r>
            <w:r w:rsidR="003D5F1A">
              <w:rPr>
                <w:noProof/>
                <w:webHidden/>
              </w:rPr>
              <w:instrText xml:space="preserve"> PAGEREF _Toc402192955 \h </w:instrText>
            </w:r>
            <w:r w:rsidR="003D5F1A">
              <w:rPr>
                <w:noProof/>
                <w:webHidden/>
              </w:rPr>
            </w:r>
            <w:r w:rsidR="003D5F1A">
              <w:rPr>
                <w:noProof/>
                <w:webHidden/>
              </w:rPr>
              <w:fldChar w:fldCharType="separate"/>
            </w:r>
            <w:r w:rsidR="00A17C1C">
              <w:rPr>
                <w:noProof/>
                <w:webHidden/>
              </w:rPr>
              <w:t>57</w:t>
            </w:r>
            <w:r w:rsidR="003D5F1A">
              <w:rPr>
                <w:noProof/>
                <w:webHidden/>
              </w:rPr>
              <w:fldChar w:fldCharType="end"/>
            </w:r>
          </w:hyperlink>
        </w:p>
        <w:p w14:paraId="46C41F6B" w14:textId="77777777" w:rsidR="003D5F1A" w:rsidRDefault="00DE3AC9">
          <w:pPr>
            <w:pStyle w:val="TOC2"/>
            <w:tabs>
              <w:tab w:val="right" w:leader="dot" w:pos="9017"/>
            </w:tabs>
            <w:rPr>
              <w:rFonts w:eastAsiaTheme="minorEastAsia"/>
              <w:noProof/>
              <w:lang w:eastAsia="en-GB"/>
            </w:rPr>
          </w:pPr>
          <w:hyperlink w:anchor="_Toc402192956" w:history="1">
            <w:r w:rsidR="003D5F1A" w:rsidRPr="00EC1458">
              <w:rPr>
                <w:rStyle w:val="Hyperlink"/>
                <w:noProof/>
              </w:rPr>
              <w:t>German use of international law</w:t>
            </w:r>
            <w:r w:rsidR="003D5F1A">
              <w:rPr>
                <w:noProof/>
                <w:webHidden/>
              </w:rPr>
              <w:tab/>
            </w:r>
            <w:r w:rsidR="003D5F1A">
              <w:rPr>
                <w:noProof/>
                <w:webHidden/>
              </w:rPr>
              <w:fldChar w:fldCharType="begin"/>
            </w:r>
            <w:r w:rsidR="003D5F1A">
              <w:rPr>
                <w:noProof/>
                <w:webHidden/>
              </w:rPr>
              <w:instrText xml:space="preserve"> PAGEREF _Toc402192956 \h </w:instrText>
            </w:r>
            <w:r w:rsidR="003D5F1A">
              <w:rPr>
                <w:noProof/>
                <w:webHidden/>
              </w:rPr>
            </w:r>
            <w:r w:rsidR="003D5F1A">
              <w:rPr>
                <w:noProof/>
                <w:webHidden/>
              </w:rPr>
              <w:fldChar w:fldCharType="separate"/>
            </w:r>
            <w:r w:rsidR="00A17C1C">
              <w:rPr>
                <w:noProof/>
                <w:webHidden/>
              </w:rPr>
              <w:t>59</w:t>
            </w:r>
            <w:r w:rsidR="003D5F1A">
              <w:rPr>
                <w:noProof/>
                <w:webHidden/>
              </w:rPr>
              <w:fldChar w:fldCharType="end"/>
            </w:r>
          </w:hyperlink>
        </w:p>
        <w:p w14:paraId="6CF61A2C" w14:textId="77777777" w:rsidR="003D5F1A" w:rsidRDefault="00DE3AC9">
          <w:pPr>
            <w:pStyle w:val="TOC2"/>
            <w:tabs>
              <w:tab w:val="right" w:leader="dot" w:pos="9017"/>
            </w:tabs>
            <w:rPr>
              <w:rFonts w:eastAsiaTheme="minorEastAsia"/>
              <w:noProof/>
              <w:lang w:eastAsia="en-GB"/>
            </w:rPr>
          </w:pPr>
          <w:hyperlink w:anchor="_Toc402192957" w:history="1">
            <w:r w:rsidR="003D5F1A" w:rsidRPr="00EC1458">
              <w:rPr>
                <w:rStyle w:val="Hyperlink"/>
                <w:noProof/>
              </w:rPr>
              <w:t>Reorganisation and hesitation</w:t>
            </w:r>
            <w:r w:rsidR="003D5F1A">
              <w:rPr>
                <w:noProof/>
                <w:webHidden/>
              </w:rPr>
              <w:tab/>
            </w:r>
            <w:r w:rsidR="003D5F1A">
              <w:rPr>
                <w:noProof/>
                <w:webHidden/>
              </w:rPr>
              <w:fldChar w:fldCharType="begin"/>
            </w:r>
            <w:r w:rsidR="003D5F1A">
              <w:rPr>
                <w:noProof/>
                <w:webHidden/>
              </w:rPr>
              <w:instrText xml:space="preserve"> PAGEREF _Toc402192957 \h </w:instrText>
            </w:r>
            <w:r w:rsidR="003D5F1A">
              <w:rPr>
                <w:noProof/>
                <w:webHidden/>
              </w:rPr>
            </w:r>
            <w:r w:rsidR="003D5F1A">
              <w:rPr>
                <w:noProof/>
                <w:webHidden/>
              </w:rPr>
              <w:fldChar w:fldCharType="separate"/>
            </w:r>
            <w:r w:rsidR="00A17C1C">
              <w:rPr>
                <w:noProof/>
                <w:webHidden/>
              </w:rPr>
              <w:t>63</w:t>
            </w:r>
            <w:r w:rsidR="003D5F1A">
              <w:rPr>
                <w:noProof/>
                <w:webHidden/>
              </w:rPr>
              <w:fldChar w:fldCharType="end"/>
            </w:r>
          </w:hyperlink>
        </w:p>
        <w:p w14:paraId="3856F3B6" w14:textId="77777777" w:rsidR="003D5F1A" w:rsidRDefault="00DE3AC9">
          <w:pPr>
            <w:pStyle w:val="TOC2"/>
            <w:tabs>
              <w:tab w:val="right" w:leader="dot" w:pos="9017"/>
            </w:tabs>
            <w:rPr>
              <w:rFonts w:eastAsiaTheme="minorEastAsia"/>
              <w:noProof/>
              <w:lang w:eastAsia="en-GB"/>
            </w:rPr>
          </w:pPr>
          <w:hyperlink w:anchor="_Toc402192958" w:history="1">
            <w:r w:rsidR="003D5F1A" w:rsidRPr="00EC1458">
              <w:rPr>
                <w:rStyle w:val="Hyperlink"/>
                <w:noProof/>
              </w:rPr>
              <w:t>Alternative means of distribution</w:t>
            </w:r>
            <w:r w:rsidR="003D5F1A">
              <w:rPr>
                <w:noProof/>
                <w:webHidden/>
              </w:rPr>
              <w:tab/>
            </w:r>
            <w:r w:rsidR="003D5F1A">
              <w:rPr>
                <w:noProof/>
                <w:webHidden/>
              </w:rPr>
              <w:fldChar w:fldCharType="begin"/>
            </w:r>
            <w:r w:rsidR="003D5F1A">
              <w:rPr>
                <w:noProof/>
                <w:webHidden/>
              </w:rPr>
              <w:instrText xml:space="preserve"> PAGEREF _Toc402192958 \h </w:instrText>
            </w:r>
            <w:r w:rsidR="003D5F1A">
              <w:rPr>
                <w:noProof/>
                <w:webHidden/>
              </w:rPr>
            </w:r>
            <w:r w:rsidR="003D5F1A">
              <w:rPr>
                <w:noProof/>
                <w:webHidden/>
              </w:rPr>
              <w:fldChar w:fldCharType="separate"/>
            </w:r>
            <w:r w:rsidR="00A17C1C">
              <w:rPr>
                <w:noProof/>
                <w:webHidden/>
              </w:rPr>
              <w:t>65</w:t>
            </w:r>
            <w:r w:rsidR="003D5F1A">
              <w:rPr>
                <w:noProof/>
                <w:webHidden/>
              </w:rPr>
              <w:fldChar w:fldCharType="end"/>
            </w:r>
          </w:hyperlink>
        </w:p>
        <w:p w14:paraId="7AD04BFB" w14:textId="77777777" w:rsidR="003D5F1A" w:rsidRDefault="00DE3AC9">
          <w:pPr>
            <w:pStyle w:val="TOC2"/>
            <w:tabs>
              <w:tab w:val="right" w:leader="dot" w:pos="9017"/>
            </w:tabs>
            <w:rPr>
              <w:rFonts w:eastAsiaTheme="minorEastAsia"/>
              <w:noProof/>
              <w:lang w:eastAsia="en-GB"/>
            </w:rPr>
          </w:pPr>
          <w:hyperlink w:anchor="_Toc402192959" w:history="1">
            <w:r w:rsidR="003D5F1A" w:rsidRPr="00EC1458">
              <w:rPr>
                <w:rStyle w:val="Hyperlink"/>
                <w:noProof/>
              </w:rPr>
              <w:t>Smuggling through neutral countries</w:t>
            </w:r>
            <w:r w:rsidR="003D5F1A">
              <w:rPr>
                <w:noProof/>
                <w:webHidden/>
              </w:rPr>
              <w:tab/>
            </w:r>
            <w:r w:rsidR="003D5F1A">
              <w:rPr>
                <w:noProof/>
                <w:webHidden/>
              </w:rPr>
              <w:fldChar w:fldCharType="begin"/>
            </w:r>
            <w:r w:rsidR="003D5F1A">
              <w:rPr>
                <w:noProof/>
                <w:webHidden/>
              </w:rPr>
              <w:instrText xml:space="preserve"> PAGEREF _Toc402192959 \h </w:instrText>
            </w:r>
            <w:r w:rsidR="003D5F1A">
              <w:rPr>
                <w:noProof/>
                <w:webHidden/>
              </w:rPr>
            </w:r>
            <w:r w:rsidR="003D5F1A">
              <w:rPr>
                <w:noProof/>
                <w:webHidden/>
              </w:rPr>
              <w:fldChar w:fldCharType="separate"/>
            </w:r>
            <w:r w:rsidR="00A17C1C">
              <w:rPr>
                <w:noProof/>
                <w:webHidden/>
              </w:rPr>
              <w:t>67</w:t>
            </w:r>
            <w:r w:rsidR="003D5F1A">
              <w:rPr>
                <w:noProof/>
                <w:webHidden/>
              </w:rPr>
              <w:fldChar w:fldCharType="end"/>
            </w:r>
          </w:hyperlink>
        </w:p>
        <w:p w14:paraId="23FFC53C" w14:textId="77777777" w:rsidR="003D5F1A" w:rsidRDefault="00DE3AC9">
          <w:pPr>
            <w:pStyle w:val="TOC2"/>
            <w:tabs>
              <w:tab w:val="right" w:leader="dot" w:pos="9017"/>
            </w:tabs>
            <w:rPr>
              <w:rFonts w:eastAsiaTheme="minorEastAsia"/>
              <w:noProof/>
              <w:lang w:eastAsia="en-GB"/>
            </w:rPr>
          </w:pPr>
          <w:hyperlink w:anchor="_Toc402192960"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_Toc402192960 \h </w:instrText>
            </w:r>
            <w:r w:rsidR="003D5F1A">
              <w:rPr>
                <w:noProof/>
                <w:webHidden/>
              </w:rPr>
            </w:r>
            <w:r w:rsidR="003D5F1A">
              <w:rPr>
                <w:noProof/>
                <w:webHidden/>
              </w:rPr>
              <w:fldChar w:fldCharType="separate"/>
            </w:r>
            <w:r w:rsidR="00A17C1C">
              <w:rPr>
                <w:noProof/>
                <w:webHidden/>
              </w:rPr>
              <w:t>69</w:t>
            </w:r>
            <w:r w:rsidR="003D5F1A">
              <w:rPr>
                <w:noProof/>
                <w:webHidden/>
              </w:rPr>
              <w:fldChar w:fldCharType="end"/>
            </w:r>
          </w:hyperlink>
        </w:p>
        <w:p w14:paraId="6249E7B9" w14:textId="77777777" w:rsidR="003D5F1A" w:rsidRPr="003D5F1A" w:rsidRDefault="003D5F1A" w:rsidP="003D5F1A">
          <w:pPr>
            <w:pStyle w:val="TOC1"/>
            <w:rPr>
              <w:rStyle w:val="Hyperlink"/>
              <w:color w:val="auto"/>
            </w:rPr>
          </w:pPr>
        </w:p>
        <w:p w14:paraId="484B7D85" w14:textId="60654CDA" w:rsidR="003D5F1A" w:rsidRPr="003D5F1A" w:rsidRDefault="003D5F1A" w:rsidP="003D5F1A">
          <w:pPr>
            <w:pStyle w:val="TOC1"/>
            <w:rPr>
              <w:rStyle w:val="Hyperlink"/>
              <w:color w:val="auto"/>
              <w:u w:val="none"/>
            </w:rPr>
          </w:pPr>
          <w:r w:rsidRPr="003D5F1A">
            <w:rPr>
              <w:rStyle w:val="Hyperlink"/>
              <w:color w:val="auto"/>
              <w:u w:val="none"/>
            </w:rPr>
            <w:t>PART II CONTENT</w:t>
          </w:r>
        </w:p>
        <w:p w14:paraId="263E5BC0" w14:textId="77777777" w:rsidR="003D5F1A" w:rsidRDefault="00DE3AC9" w:rsidP="003D5F1A">
          <w:pPr>
            <w:pStyle w:val="TOC1"/>
            <w:rPr>
              <w:rFonts w:eastAsiaTheme="minorEastAsia"/>
              <w:lang w:eastAsia="en-GB"/>
            </w:rPr>
          </w:pPr>
          <w:hyperlink w:anchor="_Toc402192961" w:history="1">
            <w:r w:rsidR="003D5F1A" w:rsidRPr="00EC1458">
              <w:rPr>
                <w:rStyle w:val="Hyperlink"/>
              </w:rPr>
              <w:t>III</w:t>
            </w:r>
            <w:r w:rsidR="003D5F1A">
              <w:rPr>
                <w:rFonts w:eastAsiaTheme="minorEastAsia"/>
                <w:lang w:eastAsia="en-GB"/>
              </w:rPr>
              <w:tab/>
            </w:r>
            <w:r w:rsidR="003D5F1A" w:rsidRPr="00EC1458">
              <w:rPr>
                <w:rStyle w:val="Hyperlink"/>
              </w:rPr>
              <w:t>Tools of communication</w:t>
            </w:r>
            <w:r w:rsidR="003D5F1A">
              <w:rPr>
                <w:webHidden/>
              </w:rPr>
              <w:tab/>
            </w:r>
            <w:r w:rsidR="003D5F1A">
              <w:rPr>
                <w:webHidden/>
              </w:rPr>
              <w:fldChar w:fldCharType="begin"/>
            </w:r>
            <w:r w:rsidR="003D5F1A">
              <w:rPr>
                <w:webHidden/>
              </w:rPr>
              <w:instrText xml:space="preserve"> PAGEREF _Toc402192961 \h </w:instrText>
            </w:r>
            <w:r w:rsidR="003D5F1A">
              <w:rPr>
                <w:webHidden/>
              </w:rPr>
            </w:r>
            <w:r w:rsidR="003D5F1A">
              <w:rPr>
                <w:webHidden/>
              </w:rPr>
              <w:fldChar w:fldCharType="separate"/>
            </w:r>
            <w:r w:rsidR="00A17C1C">
              <w:rPr>
                <w:webHidden/>
              </w:rPr>
              <w:t>71</w:t>
            </w:r>
            <w:r w:rsidR="003D5F1A">
              <w:rPr>
                <w:webHidden/>
              </w:rPr>
              <w:fldChar w:fldCharType="end"/>
            </w:r>
          </w:hyperlink>
        </w:p>
        <w:p w14:paraId="41529D22" w14:textId="77777777" w:rsidR="003D5F1A" w:rsidRDefault="00DE3AC9">
          <w:pPr>
            <w:pStyle w:val="TOC2"/>
            <w:tabs>
              <w:tab w:val="right" w:leader="dot" w:pos="9017"/>
            </w:tabs>
            <w:rPr>
              <w:rFonts w:eastAsiaTheme="minorEastAsia"/>
              <w:noProof/>
              <w:lang w:eastAsia="en-GB"/>
            </w:rPr>
          </w:pPr>
          <w:hyperlink w:anchor="_Toc402192962" w:history="1">
            <w:r w:rsidR="003D5F1A" w:rsidRPr="00EC1458">
              <w:rPr>
                <w:rStyle w:val="Hyperlink"/>
                <w:noProof/>
              </w:rPr>
              <w:t>Predominance of white propaganda</w:t>
            </w:r>
            <w:r w:rsidR="003D5F1A">
              <w:rPr>
                <w:noProof/>
                <w:webHidden/>
              </w:rPr>
              <w:tab/>
            </w:r>
            <w:r w:rsidR="003D5F1A">
              <w:rPr>
                <w:noProof/>
                <w:webHidden/>
              </w:rPr>
              <w:fldChar w:fldCharType="begin"/>
            </w:r>
            <w:r w:rsidR="003D5F1A">
              <w:rPr>
                <w:noProof/>
                <w:webHidden/>
              </w:rPr>
              <w:instrText xml:space="preserve"> PAGEREF _Toc402192962 \h </w:instrText>
            </w:r>
            <w:r w:rsidR="003D5F1A">
              <w:rPr>
                <w:noProof/>
                <w:webHidden/>
              </w:rPr>
            </w:r>
            <w:r w:rsidR="003D5F1A">
              <w:rPr>
                <w:noProof/>
                <w:webHidden/>
              </w:rPr>
              <w:fldChar w:fldCharType="separate"/>
            </w:r>
            <w:r w:rsidR="00A17C1C">
              <w:rPr>
                <w:noProof/>
                <w:webHidden/>
              </w:rPr>
              <w:t>71</w:t>
            </w:r>
            <w:r w:rsidR="003D5F1A">
              <w:rPr>
                <w:noProof/>
                <w:webHidden/>
              </w:rPr>
              <w:fldChar w:fldCharType="end"/>
            </w:r>
          </w:hyperlink>
        </w:p>
        <w:p w14:paraId="1962E6AA" w14:textId="77777777" w:rsidR="003D5F1A" w:rsidRDefault="00DE3AC9">
          <w:pPr>
            <w:pStyle w:val="TOC2"/>
            <w:tabs>
              <w:tab w:val="right" w:leader="dot" w:pos="9017"/>
            </w:tabs>
            <w:rPr>
              <w:rFonts w:eastAsiaTheme="minorEastAsia"/>
              <w:noProof/>
              <w:lang w:eastAsia="en-GB"/>
            </w:rPr>
          </w:pPr>
          <w:hyperlink w:anchor="_Toc402192963" w:history="1">
            <w:r w:rsidR="003D5F1A" w:rsidRPr="00EC1458">
              <w:rPr>
                <w:rStyle w:val="Hyperlink"/>
                <w:noProof/>
              </w:rPr>
              <w:t>Breaking the monopoly</w:t>
            </w:r>
            <w:r w:rsidR="003D5F1A">
              <w:rPr>
                <w:noProof/>
                <w:webHidden/>
              </w:rPr>
              <w:tab/>
            </w:r>
            <w:r w:rsidR="003D5F1A">
              <w:rPr>
                <w:noProof/>
                <w:webHidden/>
              </w:rPr>
              <w:fldChar w:fldCharType="begin"/>
            </w:r>
            <w:r w:rsidR="003D5F1A">
              <w:rPr>
                <w:noProof/>
                <w:webHidden/>
              </w:rPr>
              <w:instrText xml:space="preserve"> PAGEREF _Toc402192963 \h </w:instrText>
            </w:r>
            <w:r w:rsidR="003D5F1A">
              <w:rPr>
                <w:noProof/>
                <w:webHidden/>
              </w:rPr>
            </w:r>
            <w:r w:rsidR="003D5F1A">
              <w:rPr>
                <w:noProof/>
                <w:webHidden/>
              </w:rPr>
              <w:fldChar w:fldCharType="separate"/>
            </w:r>
            <w:r w:rsidR="00A17C1C">
              <w:rPr>
                <w:noProof/>
                <w:webHidden/>
              </w:rPr>
              <w:t>72</w:t>
            </w:r>
            <w:r w:rsidR="003D5F1A">
              <w:rPr>
                <w:noProof/>
                <w:webHidden/>
              </w:rPr>
              <w:fldChar w:fldCharType="end"/>
            </w:r>
          </w:hyperlink>
        </w:p>
        <w:p w14:paraId="0237BBE9" w14:textId="77777777" w:rsidR="003D5F1A" w:rsidRDefault="00DE3AC9">
          <w:pPr>
            <w:pStyle w:val="TOC2"/>
            <w:tabs>
              <w:tab w:val="right" w:leader="dot" w:pos="9017"/>
            </w:tabs>
            <w:rPr>
              <w:rFonts w:eastAsiaTheme="minorEastAsia"/>
              <w:noProof/>
              <w:lang w:eastAsia="en-GB"/>
            </w:rPr>
          </w:pPr>
          <w:hyperlink w:anchor="_Toc402192964" w:history="1">
            <w:r w:rsidR="003D5F1A" w:rsidRPr="00EC1458">
              <w:rPr>
                <w:rStyle w:val="Hyperlink"/>
                <w:noProof/>
              </w:rPr>
              <w:t>One concept, many shape</w:t>
            </w:r>
            <w:bookmarkStart w:id="0" w:name="_GoBack"/>
            <w:bookmarkEnd w:id="0"/>
            <w:r w:rsidR="003D5F1A" w:rsidRPr="00EC1458">
              <w:rPr>
                <w:rStyle w:val="Hyperlink"/>
                <w:noProof/>
              </w:rPr>
              <w:t>s</w:t>
            </w:r>
            <w:r w:rsidR="003D5F1A">
              <w:rPr>
                <w:noProof/>
                <w:webHidden/>
              </w:rPr>
              <w:tab/>
            </w:r>
            <w:r w:rsidR="003D5F1A">
              <w:rPr>
                <w:noProof/>
                <w:webHidden/>
              </w:rPr>
              <w:fldChar w:fldCharType="begin"/>
            </w:r>
            <w:r w:rsidR="003D5F1A">
              <w:rPr>
                <w:noProof/>
                <w:webHidden/>
              </w:rPr>
              <w:instrText xml:space="preserve"> PAGEREF _Toc402192964 \h </w:instrText>
            </w:r>
            <w:r w:rsidR="003D5F1A">
              <w:rPr>
                <w:noProof/>
                <w:webHidden/>
              </w:rPr>
            </w:r>
            <w:r w:rsidR="003D5F1A">
              <w:rPr>
                <w:noProof/>
                <w:webHidden/>
              </w:rPr>
              <w:fldChar w:fldCharType="separate"/>
            </w:r>
            <w:r w:rsidR="00A17C1C">
              <w:rPr>
                <w:noProof/>
                <w:webHidden/>
              </w:rPr>
              <w:t>73</w:t>
            </w:r>
            <w:r w:rsidR="003D5F1A">
              <w:rPr>
                <w:noProof/>
                <w:webHidden/>
              </w:rPr>
              <w:fldChar w:fldCharType="end"/>
            </w:r>
          </w:hyperlink>
        </w:p>
        <w:p w14:paraId="2F309D4E" w14:textId="77777777" w:rsidR="003D5F1A" w:rsidRDefault="00DE3AC9">
          <w:pPr>
            <w:pStyle w:val="TOC2"/>
            <w:tabs>
              <w:tab w:val="right" w:leader="dot" w:pos="9017"/>
            </w:tabs>
            <w:rPr>
              <w:rFonts w:eastAsiaTheme="minorEastAsia"/>
              <w:noProof/>
              <w:lang w:eastAsia="en-GB"/>
            </w:rPr>
          </w:pPr>
          <w:hyperlink w:anchor="_Toc402192965" w:history="1">
            <w:r w:rsidR="003D5F1A" w:rsidRPr="00EC1458">
              <w:rPr>
                <w:rStyle w:val="Hyperlink"/>
                <w:noProof/>
              </w:rPr>
              <w:t>Strategies of communication</w:t>
            </w:r>
            <w:r w:rsidR="003D5F1A">
              <w:rPr>
                <w:noProof/>
                <w:webHidden/>
              </w:rPr>
              <w:tab/>
            </w:r>
            <w:r w:rsidR="003D5F1A">
              <w:rPr>
                <w:noProof/>
                <w:webHidden/>
              </w:rPr>
              <w:fldChar w:fldCharType="begin"/>
            </w:r>
            <w:r w:rsidR="003D5F1A">
              <w:rPr>
                <w:noProof/>
                <w:webHidden/>
              </w:rPr>
              <w:instrText xml:space="preserve"> PAGEREF _Toc402192965 \h </w:instrText>
            </w:r>
            <w:r w:rsidR="003D5F1A">
              <w:rPr>
                <w:noProof/>
                <w:webHidden/>
              </w:rPr>
            </w:r>
            <w:r w:rsidR="003D5F1A">
              <w:rPr>
                <w:noProof/>
                <w:webHidden/>
              </w:rPr>
              <w:fldChar w:fldCharType="separate"/>
            </w:r>
            <w:r w:rsidR="00A17C1C">
              <w:rPr>
                <w:noProof/>
                <w:webHidden/>
              </w:rPr>
              <w:t>76</w:t>
            </w:r>
            <w:r w:rsidR="003D5F1A">
              <w:rPr>
                <w:noProof/>
                <w:webHidden/>
              </w:rPr>
              <w:fldChar w:fldCharType="end"/>
            </w:r>
          </w:hyperlink>
        </w:p>
        <w:p w14:paraId="770F9400" w14:textId="77777777" w:rsidR="003D5F1A" w:rsidRDefault="00DE3AC9">
          <w:pPr>
            <w:pStyle w:val="TOC2"/>
            <w:tabs>
              <w:tab w:val="right" w:leader="dot" w:pos="9017"/>
            </w:tabs>
            <w:rPr>
              <w:rFonts w:eastAsiaTheme="minorEastAsia"/>
              <w:noProof/>
              <w:lang w:eastAsia="en-GB"/>
            </w:rPr>
          </w:pPr>
          <w:hyperlink w:anchor="_Toc402192966" w:history="1">
            <w:r w:rsidR="003D5F1A" w:rsidRPr="00EC1458">
              <w:rPr>
                <w:rStyle w:val="Hyperlink"/>
                <w:noProof/>
              </w:rPr>
              <w:t>Black propaganda</w:t>
            </w:r>
            <w:r w:rsidR="003D5F1A">
              <w:rPr>
                <w:noProof/>
                <w:webHidden/>
              </w:rPr>
              <w:tab/>
            </w:r>
            <w:r w:rsidR="003D5F1A">
              <w:rPr>
                <w:noProof/>
                <w:webHidden/>
              </w:rPr>
              <w:fldChar w:fldCharType="begin"/>
            </w:r>
            <w:r w:rsidR="003D5F1A">
              <w:rPr>
                <w:noProof/>
                <w:webHidden/>
              </w:rPr>
              <w:instrText xml:space="preserve"> PAGEREF _Toc402192966 \h </w:instrText>
            </w:r>
            <w:r w:rsidR="003D5F1A">
              <w:rPr>
                <w:noProof/>
                <w:webHidden/>
              </w:rPr>
            </w:r>
            <w:r w:rsidR="003D5F1A">
              <w:rPr>
                <w:noProof/>
                <w:webHidden/>
              </w:rPr>
              <w:fldChar w:fldCharType="separate"/>
            </w:r>
            <w:r w:rsidR="00A17C1C">
              <w:rPr>
                <w:noProof/>
                <w:webHidden/>
              </w:rPr>
              <w:t>81</w:t>
            </w:r>
            <w:r w:rsidR="003D5F1A">
              <w:rPr>
                <w:noProof/>
                <w:webHidden/>
              </w:rPr>
              <w:fldChar w:fldCharType="end"/>
            </w:r>
          </w:hyperlink>
        </w:p>
        <w:p w14:paraId="2BADAC9A" w14:textId="77777777" w:rsidR="003D5F1A" w:rsidRDefault="00DE3AC9">
          <w:pPr>
            <w:pStyle w:val="TOC2"/>
            <w:tabs>
              <w:tab w:val="right" w:leader="dot" w:pos="9017"/>
            </w:tabs>
            <w:rPr>
              <w:rFonts w:eastAsiaTheme="minorEastAsia"/>
              <w:noProof/>
              <w:lang w:eastAsia="en-GB"/>
            </w:rPr>
          </w:pPr>
          <w:hyperlink w:anchor="_Toc402192967"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_Toc402192967 \h </w:instrText>
            </w:r>
            <w:r w:rsidR="003D5F1A">
              <w:rPr>
                <w:noProof/>
                <w:webHidden/>
              </w:rPr>
            </w:r>
            <w:r w:rsidR="003D5F1A">
              <w:rPr>
                <w:noProof/>
                <w:webHidden/>
              </w:rPr>
              <w:fldChar w:fldCharType="separate"/>
            </w:r>
            <w:r w:rsidR="00A17C1C">
              <w:rPr>
                <w:noProof/>
                <w:webHidden/>
              </w:rPr>
              <w:t>84</w:t>
            </w:r>
            <w:r w:rsidR="003D5F1A">
              <w:rPr>
                <w:noProof/>
                <w:webHidden/>
              </w:rPr>
              <w:fldChar w:fldCharType="end"/>
            </w:r>
          </w:hyperlink>
        </w:p>
        <w:p w14:paraId="40C3594D" w14:textId="77777777" w:rsidR="003D5F1A" w:rsidRDefault="00DE3AC9" w:rsidP="003D5F1A">
          <w:pPr>
            <w:pStyle w:val="TOC1"/>
            <w:rPr>
              <w:rFonts w:eastAsiaTheme="minorEastAsia"/>
              <w:lang w:eastAsia="en-GB"/>
            </w:rPr>
          </w:pPr>
          <w:hyperlink w:anchor="_Toc402192968" w:history="1">
            <w:r w:rsidR="003D5F1A" w:rsidRPr="00EC1458">
              <w:rPr>
                <w:rStyle w:val="Hyperlink"/>
              </w:rPr>
              <w:t xml:space="preserve">IV </w:t>
            </w:r>
            <w:r w:rsidR="003D5F1A">
              <w:rPr>
                <w:rFonts w:eastAsiaTheme="minorEastAsia"/>
                <w:lang w:eastAsia="en-GB"/>
              </w:rPr>
              <w:tab/>
            </w:r>
            <w:r w:rsidR="003D5F1A" w:rsidRPr="00EC1458">
              <w:rPr>
                <w:rStyle w:val="Hyperlink"/>
              </w:rPr>
              <w:t>Legitimising the war</w:t>
            </w:r>
            <w:r w:rsidR="003D5F1A">
              <w:rPr>
                <w:webHidden/>
              </w:rPr>
              <w:tab/>
            </w:r>
            <w:r w:rsidR="003D5F1A">
              <w:rPr>
                <w:webHidden/>
              </w:rPr>
              <w:fldChar w:fldCharType="begin"/>
            </w:r>
            <w:r w:rsidR="003D5F1A">
              <w:rPr>
                <w:webHidden/>
              </w:rPr>
              <w:instrText xml:space="preserve"> PAGEREF _Toc402192968 \h </w:instrText>
            </w:r>
            <w:r w:rsidR="003D5F1A">
              <w:rPr>
                <w:webHidden/>
              </w:rPr>
            </w:r>
            <w:r w:rsidR="003D5F1A">
              <w:rPr>
                <w:webHidden/>
              </w:rPr>
              <w:fldChar w:fldCharType="separate"/>
            </w:r>
            <w:r w:rsidR="00A17C1C">
              <w:rPr>
                <w:webHidden/>
              </w:rPr>
              <w:t>85</w:t>
            </w:r>
            <w:r w:rsidR="003D5F1A">
              <w:rPr>
                <w:webHidden/>
              </w:rPr>
              <w:fldChar w:fldCharType="end"/>
            </w:r>
          </w:hyperlink>
        </w:p>
        <w:p w14:paraId="2145B225" w14:textId="77777777" w:rsidR="003D5F1A" w:rsidRDefault="00DE3AC9">
          <w:pPr>
            <w:pStyle w:val="TOC2"/>
            <w:tabs>
              <w:tab w:val="right" w:leader="dot" w:pos="9017"/>
            </w:tabs>
            <w:rPr>
              <w:rFonts w:eastAsiaTheme="minorEastAsia"/>
              <w:noProof/>
              <w:lang w:eastAsia="en-GB"/>
            </w:rPr>
          </w:pPr>
          <w:hyperlink w:anchor="_Toc402192969" w:history="1">
            <w:r w:rsidR="003D5F1A" w:rsidRPr="00EC1458">
              <w:rPr>
                <w:rStyle w:val="Hyperlink"/>
                <w:noProof/>
              </w:rPr>
              <w:t>Uncertainties of morale</w:t>
            </w:r>
            <w:r w:rsidR="003D5F1A">
              <w:rPr>
                <w:noProof/>
                <w:webHidden/>
              </w:rPr>
              <w:tab/>
            </w:r>
            <w:r w:rsidR="003D5F1A">
              <w:rPr>
                <w:noProof/>
                <w:webHidden/>
              </w:rPr>
              <w:fldChar w:fldCharType="begin"/>
            </w:r>
            <w:r w:rsidR="003D5F1A">
              <w:rPr>
                <w:noProof/>
                <w:webHidden/>
              </w:rPr>
              <w:instrText xml:space="preserve"> PAGEREF _Toc402192969 \h </w:instrText>
            </w:r>
            <w:r w:rsidR="003D5F1A">
              <w:rPr>
                <w:noProof/>
                <w:webHidden/>
              </w:rPr>
            </w:r>
            <w:r w:rsidR="003D5F1A">
              <w:rPr>
                <w:noProof/>
                <w:webHidden/>
              </w:rPr>
              <w:fldChar w:fldCharType="separate"/>
            </w:r>
            <w:r w:rsidR="00A17C1C">
              <w:rPr>
                <w:noProof/>
                <w:webHidden/>
              </w:rPr>
              <w:t>85</w:t>
            </w:r>
            <w:r w:rsidR="003D5F1A">
              <w:rPr>
                <w:noProof/>
                <w:webHidden/>
              </w:rPr>
              <w:fldChar w:fldCharType="end"/>
            </w:r>
          </w:hyperlink>
        </w:p>
        <w:p w14:paraId="09D000BF" w14:textId="77777777" w:rsidR="003D5F1A" w:rsidRDefault="00DE3AC9">
          <w:pPr>
            <w:pStyle w:val="TOC2"/>
            <w:tabs>
              <w:tab w:val="right" w:leader="dot" w:pos="9017"/>
            </w:tabs>
            <w:rPr>
              <w:rFonts w:eastAsiaTheme="minorEastAsia"/>
              <w:noProof/>
              <w:lang w:eastAsia="en-GB"/>
            </w:rPr>
          </w:pPr>
          <w:hyperlink w:anchor="_Toc402192970" w:history="1">
            <w:r w:rsidR="003D5F1A" w:rsidRPr="00EC1458">
              <w:rPr>
                <w:rStyle w:val="Hyperlink"/>
                <w:noProof/>
              </w:rPr>
              <w:t>German war aims and the causes of war</w:t>
            </w:r>
            <w:r w:rsidR="003D5F1A">
              <w:rPr>
                <w:noProof/>
                <w:webHidden/>
              </w:rPr>
              <w:tab/>
            </w:r>
            <w:r w:rsidR="003D5F1A">
              <w:rPr>
                <w:noProof/>
                <w:webHidden/>
              </w:rPr>
              <w:fldChar w:fldCharType="begin"/>
            </w:r>
            <w:r w:rsidR="003D5F1A">
              <w:rPr>
                <w:noProof/>
                <w:webHidden/>
              </w:rPr>
              <w:instrText xml:space="preserve"> PAGEREF _Toc402192970 \h </w:instrText>
            </w:r>
            <w:r w:rsidR="003D5F1A">
              <w:rPr>
                <w:noProof/>
                <w:webHidden/>
              </w:rPr>
            </w:r>
            <w:r w:rsidR="003D5F1A">
              <w:rPr>
                <w:noProof/>
                <w:webHidden/>
              </w:rPr>
              <w:fldChar w:fldCharType="separate"/>
            </w:r>
            <w:r w:rsidR="00A17C1C">
              <w:rPr>
                <w:noProof/>
                <w:webHidden/>
              </w:rPr>
              <w:t>86</w:t>
            </w:r>
            <w:r w:rsidR="003D5F1A">
              <w:rPr>
                <w:noProof/>
                <w:webHidden/>
              </w:rPr>
              <w:fldChar w:fldCharType="end"/>
            </w:r>
          </w:hyperlink>
        </w:p>
        <w:p w14:paraId="0BB967EC" w14:textId="77777777" w:rsidR="003D5F1A" w:rsidRDefault="00DE3AC9">
          <w:pPr>
            <w:pStyle w:val="TOC2"/>
            <w:tabs>
              <w:tab w:val="right" w:leader="dot" w:pos="9017"/>
            </w:tabs>
            <w:rPr>
              <w:rFonts w:eastAsiaTheme="minorEastAsia"/>
              <w:noProof/>
              <w:lang w:eastAsia="en-GB"/>
            </w:rPr>
          </w:pPr>
          <w:hyperlink w:anchor="_Toc402192971" w:history="1">
            <w:r w:rsidR="003D5F1A" w:rsidRPr="00EC1458">
              <w:rPr>
                <w:rStyle w:val="Hyperlink"/>
                <w:noProof/>
              </w:rPr>
              <w:t>The allied point of view</w:t>
            </w:r>
            <w:r w:rsidR="003D5F1A">
              <w:rPr>
                <w:noProof/>
                <w:webHidden/>
              </w:rPr>
              <w:tab/>
            </w:r>
            <w:r w:rsidR="003D5F1A">
              <w:rPr>
                <w:noProof/>
                <w:webHidden/>
              </w:rPr>
              <w:fldChar w:fldCharType="begin"/>
            </w:r>
            <w:r w:rsidR="003D5F1A">
              <w:rPr>
                <w:noProof/>
                <w:webHidden/>
              </w:rPr>
              <w:instrText xml:space="preserve"> PAGEREF _Toc402192971 \h </w:instrText>
            </w:r>
            <w:r w:rsidR="003D5F1A">
              <w:rPr>
                <w:noProof/>
                <w:webHidden/>
              </w:rPr>
            </w:r>
            <w:r w:rsidR="003D5F1A">
              <w:rPr>
                <w:noProof/>
                <w:webHidden/>
              </w:rPr>
              <w:fldChar w:fldCharType="separate"/>
            </w:r>
            <w:r w:rsidR="00A17C1C">
              <w:rPr>
                <w:noProof/>
                <w:webHidden/>
              </w:rPr>
              <w:t>87</w:t>
            </w:r>
            <w:r w:rsidR="003D5F1A">
              <w:rPr>
                <w:noProof/>
                <w:webHidden/>
              </w:rPr>
              <w:fldChar w:fldCharType="end"/>
            </w:r>
          </w:hyperlink>
        </w:p>
        <w:p w14:paraId="62D4759D" w14:textId="77777777" w:rsidR="003D5F1A" w:rsidRDefault="00DE3AC9">
          <w:pPr>
            <w:pStyle w:val="TOC2"/>
            <w:tabs>
              <w:tab w:val="right" w:leader="dot" w:pos="9017"/>
            </w:tabs>
            <w:rPr>
              <w:rFonts w:eastAsiaTheme="minorEastAsia"/>
              <w:noProof/>
              <w:lang w:eastAsia="en-GB"/>
            </w:rPr>
          </w:pPr>
          <w:hyperlink w:anchor="_Toc402192972" w:history="1">
            <w:r w:rsidR="003D5F1A" w:rsidRPr="00EC1458">
              <w:rPr>
                <w:rStyle w:val="Hyperlink"/>
                <w:noProof/>
              </w:rPr>
              <w:t>A struggle for democracy?</w:t>
            </w:r>
            <w:r w:rsidR="003D5F1A">
              <w:rPr>
                <w:noProof/>
                <w:webHidden/>
              </w:rPr>
              <w:tab/>
            </w:r>
            <w:r w:rsidR="003D5F1A">
              <w:rPr>
                <w:noProof/>
                <w:webHidden/>
              </w:rPr>
              <w:fldChar w:fldCharType="begin"/>
            </w:r>
            <w:r w:rsidR="003D5F1A">
              <w:rPr>
                <w:noProof/>
                <w:webHidden/>
              </w:rPr>
              <w:instrText xml:space="preserve"> PAGEREF _Toc402192972 \h </w:instrText>
            </w:r>
            <w:r w:rsidR="003D5F1A">
              <w:rPr>
                <w:noProof/>
                <w:webHidden/>
              </w:rPr>
            </w:r>
            <w:r w:rsidR="003D5F1A">
              <w:rPr>
                <w:noProof/>
                <w:webHidden/>
              </w:rPr>
              <w:fldChar w:fldCharType="separate"/>
            </w:r>
            <w:r w:rsidR="00A17C1C">
              <w:rPr>
                <w:noProof/>
                <w:webHidden/>
              </w:rPr>
              <w:t>91</w:t>
            </w:r>
            <w:r w:rsidR="003D5F1A">
              <w:rPr>
                <w:noProof/>
                <w:webHidden/>
              </w:rPr>
              <w:fldChar w:fldCharType="end"/>
            </w:r>
          </w:hyperlink>
        </w:p>
        <w:p w14:paraId="0BB100AC" w14:textId="77777777" w:rsidR="003D5F1A" w:rsidRDefault="00DE3AC9">
          <w:pPr>
            <w:pStyle w:val="TOC2"/>
            <w:tabs>
              <w:tab w:val="right" w:leader="dot" w:pos="9017"/>
            </w:tabs>
            <w:rPr>
              <w:rFonts w:eastAsiaTheme="minorEastAsia"/>
              <w:noProof/>
              <w:lang w:eastAsia="en-GB"/>
            </w:rPr>
          </w:pPr>
          <w:hyperlink w:anchor="_Toc402192973" w:history="1">
            <w:r w:rsidR="003D5F1A" w:rsidRPr="00EC1458">
              <w:rPr>
                <w:rStyle w:val="Hyperlink"/>
                <w:noProof/>
              </w:rPr>
              <w:t>Radicalism, socialism and bolshevism</w:t>
            </w:r>
            <w:r w:rsidR="003D5F1A">
              <w:rPr>
                <w:noProof/>
                <w:webHidden/>
              </w:rPr>
              <w:tab/>
            </w:r>
            <w:r w:rsidR="003D5F1A">
              <w:rPr>
                <w:noProof/>
                <w:webHidden/>
              </w:rPr>
              <w:fldChar w:fldCharType="begin"/>
            </w:r>
            <w:r w:rsidR="003D5F1A">
              <w:rPr>
                <w:noProof/>
                <w:webHidden/>
              </w:rPr>
              <w:instrText xml:space="preserve"> PAGEREF _Toc402192973 \h </w:instrText>
            </w:r>
            <w:r w:rsidR="003D5F1A">
              <w:rPr>
                <w:noProof/>
                <w:webHidden/>
              </w:rPr>
            </w:r>
            <w:r w:rsidR="003D5F1A">
              <w:rPr>
                <w:noProof/>
                <w:webHidden/>
              </w:rPr>
              <w:fldChar w:fldCharType="separate"/>
            </w:r>
            <w:r w:rsidR="00A17C1C">
              <w:rPr>
                <w:noProof/>
                <w:webHidden/>
              </w:rPr>
              <w:t>95</w:t>
            </w:r>
            <w:r w:rsidR="003D5F1A">
              <w:rPr>
                <w:noProof/>
                <w:webHidden/>
              </w:rPr>
              <w:fldChar w:fldCharType="end"/>
            </w:r>
          </w:hyperlink>
        </w:p>
        <w:p w14:paraId="20738AE5" w14:textId="77777777" w:rsidR="003D5F1A" w:rsidRDefault="00DE3AC9">
          <w:pPr>
            <w:pStyle w:val="TOC2"/>
            <w:tabs>
              <w:tab w:val="right" w:leader="dot" w:pos="9017"/>
            </w:tabs>
            <w:rPr>
              <w:rFonts w:eastAsiaTheme="minorEastAsia"/>
              <w:noProof/>
              <w:lang w:eastAsia="en-GB"/>
            </w:rPr>
          </w:pPr>
          <w:hyperlink w:anchor="_Toc402192974" w:history="1">
            <w:r w:rsidR="003D5F1A" w:rsidRPr="00EC1458">
              <w:rPr>
                <w:rStyle w:val="Hyperlink"/>
                <w:noProof/>
              </w:rPr>
              <w:t>Peace offers</w:t>
            </w:r>
            <w:r w:rsidR="003D5F1A">
              <w:rPr>
                <w:noProof/>
                <w:webHidden/>
              </w:rPr>
              <w:tab/>
            </w:r>
            <w:r w:rsidR="003D5F1A">
              <w:rPr>
                <w:noProof/>
                <w:webHidden/>
              </w:rPr>
              <w:fldChar w:fldCharType="begin"/>
            </w:r>
            <w:r w:rsidR="003D5F1A">
              <w:rPr>
                <w:noProof/>
                <w:webHidden/>
              </w:rPr>
              <w:instrText xml:space="preserve"> PAGEREF _Toc402192974 \h </w:instrText>
            </w:r>
            <w:r w:rsidR="003D5F1A">
              <w:rPr>
                <w:noProof/>
                <w:webHidden/>
              </w:rPr>
            </w:r>
            <w:r w:rsidR="003D5F1A">
              <w:rPr>
                <w:noProof/>
                <w:webHidden/>
              </w:rPr>
              <w:fldChar w:fldCharType="separate"/>
            </w:r>
            <w:r w:rsidR="00A17C1C">
              <w:rPr>
                <w:noProof/>
                <w:webHidden/>
              </w:rPr>
              <w:t>99</w:t>
            </w:r>
            <w:r w:rsidR="003D5F1A">
              <w:rPr>
                <w:noProof/>
                <w:webHidden/>
              </w:rPr>
              <w:fldChar w:fldCharType="end"/>
            </w:r>
          </w:hyperlink>
        </w:p>
        <w:p w14:paraId="0BA446D1" w14:textId="77777777" w:rsidR="003D5F1A" w:rsidRDefault="00DE3AC9">
          <w:pPr>
            <w:pStyle w:val="TOC2"/>
            <w:tabs>
              <w:tab w:val="right" w:leader="dot" w:pos="9017"/>
            </w:tabs>
            <w:rPr>
              <w:rFonts w:eastAsiaTheme="minorEastAsia"/>
              <w:noProof/>
              <w:lang w:eastAsia="en-GB"/>
            </w:rPr>
          </w:pPr>
          <w:hyperlink w:anchor="_Toc402192975"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_Toc402192975 \h </w:instrText>
            </w:r>
            <w:r w:rsidR="003D5F1A">
              <w:rPr>
                <w:noProof/>
                <w:webHidden/>
              </w:rPr>
            </w:r>
            <w:r w:rsidR="003D5F1A">
              <w:rPr>
                <w:noProof/>
                <w:webHidden/>
              </w:rPr>
              <w:fldChar w:fldCharType="separate"/>
            </w:r>
            <w:r w:rsidR="00A17C1C">
              <w:rPr>
                <w:noProof/>
                <w:webHidden/>
              </w:rPr>
              <w:t>101</w:t>
            </w:r>
            <w:r w:rsidR="003D5F1A">
              <w:rPr>
                <w:noProof/>
                <w:webHidden/>
              </w:rPr>
              <w:fldChar w:fldCharType="end"/>
            </w:r>
          </w:hyperlink>
        </w:p>
        <w:p w14:paraId="383D6850" w14:textId="77777777" w:rsidR="003D5F1A" w:rsidRDefault="00DE3AC9" w:rsidP="003D5F1A">
          <w:pPr>
            <w:pStyle w:val="TOC1"/>
            <w:rPr>
              <w:rFonts w:eastAsiaTheme="minorEastAsia"/>
              <w:lang w:eastAsia="en-GB"/>
            </w:rPr>
          </w:pPr>
          <w:hyperlink w:anchor="_Toc402192976" w:history="1">
            <w:r w:rsidR="003D5F1A" w:rsidRPr="00EC1458">
              <w:rPr>
                <w:rStyle w:val="Hyperlink"/>
              </w:rPr>
              <w:t>V</w:t>
            </w:r>
            <w:r w:rsidR="003D5F1A">
              <w:rPr>
                <w:rFonts w:eastAsiaTheme="minorEastAsia"/>
                <w:lang w:eastAsia="en-GB"/>
              </w:rPr>
              <w:tab/>
            </w:r>
            <w:r w:rsidR="003D5F1A" w:rsidRPr="00EC1458">
              <w:rPr>
                <w:rStyle w:val="Hyperlink"/>
              </w:rPr>
              <w:t>Military news: the backbone of propaganda</w:t>
            </w:r>
            <w:r w:rsidR="003D5F1A">
              <w:rPr>
                <w:webHidden/>
              </w:rPr>
              <w:tab/>
            </w:r>
            <w:r w:rsidR="003D5F1A">
              <w:rPr>
                <w:webHidden/>
              </w:rPr>
              <w:fldChar w:fldCharType="begin"/>
            </w:r>
            <w:r w:rsidR="003D5F1A">
              <w:rPr>
                <w:webHidden/>
              </w:rPr>
              <w:instrText xml:space="preserve"> PAGEREF _Toc402192976 \h </w:instrText>
            </w:r>
            <w:r w:rsidR="003D5F1A">
              <w:rPr>
                <w:webHidden/>
              </w:rPr>
            </w:r>
            <w:r w:rsidR="003D5F1A">
              <w:rPr>
                <w:webHidden/>
              </w:rPr>
              <w:fldChar w:fldCharType="separate"/>
            </w:r>
            <w:r w:rsidR="00A17C1C">
              <w:rPr>
                <w:webHidden/>
              </w:rPr>
              <w:t>103</w:t>
            </w:r>
            <w:r w:rsidR="003D5F1A">
              <w:rPr>
                <w:webHidden/>
              </w:rPr>
              <w:fldChar w:fldCharType="end"/>
            </w:r>
          </w:hyperlink>
        </w:p>
        <w:p w14:paraId="26D79B3B" w14:textId="77777777" w:rsidR="003D5F1A" w:rsidRDefault="00DE3AC9">
          <w:pPr>
            <w:pStyle w:val="TOC2"/>
            <w:tabs>
              <w:tab w:val="right" w:leader="dot" w:pos="9017"/>
            </w:tabs>
            <w:rPr>
              <w:rFonts w:eastAsiaTheme="minorEastAsia"/>
              <w:noProof/>
              <w:lang w:eastAsia="en-GB"/>
            </w:rPr>
          </w:pPr>
          <w:hyperlink w:anchor="_Toc402192977" w:history="1">
            <w:r w:rsidR="003D5F1A" w:rsidRPr="00EC1458">
              <w:rPr>
                <w:rStyle w:val="Hyperlink"/>
                <w:noProof/>
              </w:rPr>
              <w:t>Feeding the fighting spirit</w:t>
            </w:r>
            <w:r w:rsidR="003D5F1A">
              <w:rPr>
                <w:noProof/>
                <w:webHidden/>
              </w:rPr>
              <w:tab/>
            </w:r>
            <w:r w:rsidR="003D5F1A">
              <w:rPr>
                <w:noProof/>
                <w:webHidden/>
              </w:rPr>
              <w:fldChar w:fldCharType="begin"/>
            </w:r>
            <w:r w:rsidR="003D5F1A">
              <w:rPr>
                <w:noProof/>
                <w:webHidden/>
              </w:rPr>
              <w:instrText xml:space="preserve"> PAGEREF _Toc402192977 \h </w:instrText>
            </w:r>
            <w:r w:rsidR="003D5F1A">
              <w:rPr>
                <w:noProof/>
                <w:webHidden/>
              </w:rPr>
            </w:r>
            <w:r w:rsidR="003D5F1A">
              <w:rPr>
                <w:noProof/>
                <w:webHidden/>
              </w:rPr>
              <w:fldChar w:fldCharType="separate"/>
            </w:r>
            <w:r w:rsidR="00A17C1C">
              <w:rPr>
                <w:noProof/>
                <w:webHidden/>
              </w:rPr>
              <w:t>103</w:t>
            </w:r>
            <w:r w:rsidR="003D5F1A">
              <w:rPr>
                <w:noProof/>
                <w:webHidden/>
              </w:rPr>
              <w:fldChar w:fldCharType="end"/>
            </w:r>
          </w:hyperlink>
        </w:p>
        <w:p w14:paraId="386AFBED" w14:textId="77777777" w:rsidR="003D5F1A" w:rsidRDefault="00DE3AC9">
          <w:pPr>
            <w:pStyle w:val="TOC2"/>
            <w:tabs>
              <w:tab w:val="right" w:leader="dot" w:pos="9017"/>
            </w:tabs>
            <w:rPr>
              <w:rFonts w:eastAsiaTheme="minorEastAsia"/>
              <w:noProof/>
              <w:lang w:eastAsia="en-GB"/>
            </w:rPr>
          </w:pPr>
          <w:hyperlink w:anchor="_Toc402192978" w:history="1">
            <w:r w:rsidR="003D5F1A" w:rsidRPr="00EC1458">
              <w:rPr>
                <w:rStyle w:val="Hyperlink"/>
                <w:noProof/>
              </w:rPr>
              <w:t>Verdun: resistance, hope and deception</w:t>
            </w:r>
            <w:r w:rsidR="003D5F1A">
              <w:rPr>
                <w:noProof/>
                <w:webHidden/>
              </w:rPr>
              <w:tab/>
            </w:r>
            <w:r w:rsidR="003D5F1A">
              <w:rPr>
                <w:noProof/>
                <w:webHidden/>
              </w:rPr>
              <w:fldChar w:fldCharType="begin"/>
            </w:r>
            <w:r w:rsidR="003D5F1A">
              <w:rPr>
                <w:noProof/>
                <w:webHidden/>
              </w:rPr>
              <w:instrText xml:space="preserve"> PAGEREF _Toc402192978 \h </w:instrText>
            </w:r>
            <w:r w:rsidR="003D5F1A">
              <w:rPr>
                <w:noProof/>
                <w:webHidden/>
              </w:rPr>
            </w:r>
            <w:r w:rsidR="003D5F1A">
              <w:rPr>
                <w:noProof/>
                <w:webHidden/>
              </w:rPr>
              <w:fldChar w:fldCharType="separate"/>
            </w:r>
            <w:r w:rsidR="00A17C1C">
              <w:rPr>
                <w:noProof/>
                <w:webHidden/>
              </w:rPr>
              <w:t>105</w:t>
            </w:r>
            <w:r w:rsidR="003D5F1A">
              <w:rPr>
                <w:noProof/>
                <w:webHidden/>
              </w:rPr>
              <w:fldChar w:fldCharType="end"/>
            </w:r>
          </w:hyperlink>
        </w:p>
        <w:p w14:paraId="7B4F9699" w14:textId="77777777" w:rsidR="003D5F1A" w:rsidRDefault="00DE3AC9">
          <w:pPr>
            <w:pStyle w:val="TOC2"/>
            <w:tabs>
              <w:tab w:val="right" w:leader="dot" w:pos="9017"/>
            </w:tabs>
            <w:rPr>
              <w:rFonts w:eastAsiaTheme="minorEastAsia"/>
              <w:noProof/>
              <w:lang w:eastAsia="en-GB"/>
            </w:rPr>
          </w:pPr>
          <w:hyperlink w:anchor="_Toc402192979" w:history="1">
            <w:r w:rsidR="003D5F1A" w:rsidRPr="00EC1458">
              <w:rPr>
                <w:rStyle w:val="Hyperlink"/>
                <w:noProof/>
              </w:rPr>
              <w:t>Tactical friendship on the Somme</w:t>
            </w:r>
            <w:r w:rsidR="003D5F1A">
              <w:rPr>
                <w:noProof/>
                <w:webHidden/>
              </w:rPr>
              <w:tab/>
            </w:r>
            <w:r w:rsidR="003D5F1A">
              <w:rPr>
                <w:noProof/>
                <w:webHidden/>
              </w:rPr>
              <w:fldChar w:fldCharType="begin"/>
            </w:r>
            <w:r w:rsidR="003D5F1A">
              <w:rPr>
                <w:noProof/>
                <w:webHidden/>
              </w:rPr>
              <w:instrText xml:space="preserve"> PAGEREF _Toc402192979 \h </w:instrText>
            </w:r>
            <w:r w:rsidR="003D5F1A">
              <w:rPr>
                <w:noProof/>
                <w:webHidden/>
              </w:rPr>
            </w:r>
            <w:r w:rsidR="003D5F1A">
              <w:rPr>
                <w:noProof/>
                <w:webHidden/>
              </w:rPr>
              <w:fldChar w:fldCharType="separate"/>
            </w:r>
            <w:r w:rsidR="00A17C1C">
              <w:rPr>
                <w:noProof/>
                <w:webHidden/>
              </w:rPr>
              <w:t>112</w:t>
            </w:r>
            <w:r w:rsidR="003D5F1A">
              <w:rPr>
                <w:noProof/>
                <w:webHidden/>
              </w:rPr>
              <w:fldChar w:fldCharType="end"/>
            </w:r>
          </w:hyperlink>
        </w:p>
        <w:p w14:paraId="3751742D" w14:textId="77777777" w:rsidR="003D5F1A" w:rsidRDefault="00DE3AC9">
          <w:pPr>
            <w:pStyle w:val="TOC2"/>
            <w:tabs>
              <w:tab w:val="right" w:leader="dot" w:pos="9017"/>
            </w:tabs>
            <w:rPr>
              <w:rFonts w:eastAsiaTheme="minorEastAsia"/>
              <w:noProof/>
              <w:lang w:eastAsia="en-GB"/>
            </w:rPr>
          </w:pPr>
          <w:hyperlink w:anchor="_Toc402192980" w:history="1">
            <w:r w:rsidR="003D5F1A" w:rsidRPr="00EC1458">
              <w:rPr>
                <w:rStyle w:val="Hyperlink"/>
                <w:noProof/>
              </w:rPr>
              <w:t>From euphoria to despair</w:t>
            </w:r>
            <w:r w:rsidR="003D5F1A">
              <w:rPr>
                <w:noProof/>
                <w:webHidden/>
              </w:rPr>
              <w:tab/>
            </w:r>
            <w:r w:rsidR="003D5F1A">
              <w:rPr>
                <w:noProof/>
                <w:webHidden/>
              </w:rPr>
              <w:fldChar w:fldCharType="begin"/>
            </w:r>
            <w:r w:rsidR="003D5F1A">
              <w:rPr>
                <w:noProof/>
                <w:webHidden/>
              </w:rPr>
              <w:instrText xml:space="preserve"> PAGEREF _Toc402192980 \h </w:instrText>
            </w:r>
            <w:r w:rsidR="003D5F1A">
              <w:rPr>
                <w:noProof/>
                <w:webHidden/>
              </w:rPr>
            </w:r>
            <w:r w:rsidR="003D5F1A">
              <w:rPr>
                <w:noProof/>
                <w:webHidden/>
              </w:rPr>
              <w:fldChar w:fldCharType="separate"/>
            </w:r>
            <w:r w:rsidR="00A17C1C">
              <w:rPr>
                <w:noProof/>
                <w:webHidden/>
              </w:rPr>
              <w:t>115</w:t>
            </w:r>
            <w:r w:rsidR="003D5F1A">
              <w:rPr>
                <w:noProof/>
                <w:webHidden/>
              </w:rPr>
              <w:fldChar w:fldCharType="end"/>
            </w:r>
          </w:hyperlink>
        </w:p>
        <w:p w14:paraId="4AE2C148" w14:textId="77777777" w:rsidR="003D5F1A" w:rsidRDefault="00DE3AC9">
          <w:pPr>
            <w:pStyle w:val="TOC2"/>
            <w:tabs>
              <w:tab w:val="right" w:leader="dot" w:pos="9017"/>
            </w:tabs>
            <w:rPr>
              <w:rFonts w:eastAsiaTheme="minorEastAsia"/>
              <w:noProof/>
              <w:lang w:eastAsia="en-GB"/>
            </w:rPr>
          </w:pPr>
          <w:hyperlink w:anchor="_Toc402192981" w:history="1">
            <w:r w:rsidR="003D5F1A" w:rsidRPr="00EC1458">
              <w:rPr>
                <w:rStyle w:val="Hyperlink"/>
                <w:noProof/>
              </w:rPr>
              <w:t>The difficult road to victory</w:t>
            </w:r>
            <w:r w:rsidR="003D5F1A">
              <w:rPr>
                <w:noProof/>
                <w:webHidden/>
              </w:rPr>
              <w:tab/>
            </w:r>
            <w:r w:rsidR="003D5F1A">
              <w:rPr>
                <w:noProof/>
                <w:webHidden/>
              </w:rPr>
              <w:fldChar w:fldCharType="begin"/>
            </w:r>
            <w:r w:rsidR="003D5F1A">
              <w:rPr>
                <w:noProof/>
                <w:webHidden/>
              </w:rPr>
              <w:instrText xml:space="preserve"> PAGEREF _Toc402192981 \h </w:instrText>
            </w:r>
            <w:r w:rsidR="003D5F1A">
              <w:rPr>
                <w:noProof/>
                <w:webHidden/>
              </w:rPr>
            </w:r>
            <w:r w:rsidR="003D5F1A">
              <w:rPr>
                <w:noProof/>
                <w:webHidden/>
              </w:rPr>
              <w:fldChar w:fldCharType="separate"/>
            </w:r>
            <w:r w:rsidR="00A17C1C">
              <w:rPr>
                <w:noProof/>
                <w:webHidden/>
              </w:rPr>
              <w:t>120</w:t>
            </w:r>
            <w:r w:rsidR="003D5F1A">
              <w:rPr>
                <w:noProof/>
                <w:webHidden/>
              </w:rPr>
              <w:fldChar w:fldCharType="end"/>
            </w:r>
          </w:hyperlink>
        </w:p>
        <w:p w14:paraId="781DC650" w14:textId="77777777" w:rsidR="003D5F1A" w:rsidRDefault="00DE3AC9">
          <w:pPr>
            <w:pStyle w:val="TOC2"/>
            <w:tabs>
              <w:tab w:val="right" w:leader="dot" w:pos="9017"/>
            </w:tabs>
            <w:rPr>
              <w:rFonts w:eastAsiaTheme="minorEastAsia"/>
              <w:noProof/>
              <w:lang w:eastAsia="en-GB"/>
            </w:rPr>
          </w:pPr>
          <w:hyperlink w:anchor="_Toc402192982"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_Toc402192982 \h </w:instrText>
            </w:r>
            <w:r w:rsidR="003D5F1A">
              <w:rPr>
                <w:noProof/>
                <w:webHidden/>
              </w:rPr>
            </w:r>
            <w:r w:rsidR="003D5F1A">
              <w:rPr>
                <w:noProof/>
                <w:webHidden/>
              </w:rPr>
              <w:fldChar w:fldCharType="separate"/>
            </w:r>
            <w:r w:rsidR="00A17C1C">
              <w:rPr>
                <w:noProof/>
                <w:webHidden/>
              </w:rPr>
              <w:t>124</w:t>
            </w:r>
            <w:r w:rsidR="003D5F1A">
              <w:rPr>
                <w:noProof/>
                <w:webHidden/>
              </w:rPr>
              <w:fldChar w:fldCharType="end"/>
            </w:r>
          </w:hyperlink>
        </w:p>
        <w:p w14:paraId="294DDF21" w14:textId="77777777" w:rsidR="003D5F1A" w:rsidRDefault="00DE3AC9" w:rsidP="003D5F1A">
          <w:pPr>
            <w:pStyle w:val="TOC1"/>
            <w:rPr>
              <w:rFonts w:eastAsiaTheme="minorEastAsia"/>
              <w:lang w:eastAsia="en-GB"/>
            </w:rPr>
          </w:pPr>
          <w:hyperlink w:anchor="_Toc402192983" w:history="1">
            <w:r w:rsidR="003D5F1A" w:rsidRPr="00EC1458">
              <w:rPr>
                <w:rStyle w:val="Hyperlink"/>
              </w:rPr>
              <w:t>VI The radicalisation of propaganda</w:t>
            </w:r>
            <w:r w:rsidR="003D5F1A">
              <w:rPr>
                <w:webHidden/>
              </w:rPr>
              <w:tab/>
            </w:r>
            <w:r w:rsidR="003D5F1A">
              <w:rPr>
                <w:webHidden/>
              </w:rPr>
              <w:fldChar w:fldCharType="begin"/>
            </w:r>
            <w:r w:rsidR="003D5F1A">
              <w:rPr>
                <w:webHidden/>
              </w:rPr>
              <w:instrText xml:space="preserve"> PAGEREF _Toc402192983 \h </w:instrText>
            </w:r>
            <w:r w:rsidR="003D5F1A">
              <w:rPr>
                <w:webHidden/>
              </w:rPr>
            </w:r>
            <w:r w:rsidR="003D5F1A">
              <w:rPr>
                <w:webHidden/>
              </w:rPr>
              <w:fldChar w:fldCharType="separate"/>
            </w:r>
            <w:r w:rsidR="00A17C1C">
              <w:rPr>
                <w:webHidden/>
              </w:rPr>
              <w:t>127</w:t>
            </w:r>
            <w:r w:rsidR="003D5F1A">
              <w:rPr>
                <w:webHidden/>
              </w:rPr>
              <w:fldChar w:fldCharType="end"/>
            </w:r>
          </w:hyperlink>
        </w:p>
        <w:p w14:paraId="2B75B667" w14:textId="77777777" w:rsidR="003D5F1A" w:rsidRDefault="00DE3AC9">
          <w:pPr>
            <w:pStyle w:val="TOC2"/>
            <w:tabs>
              <w:tab w:val="right" w:leader="dot" w:pos="9017"/>
            </w:tabs>
            <w:rPr>
              <w:rFonts w:eastAsiaTheme="minorEastAsia"/>
              <w:noProof/>
              <w:lang w:eastAsia="en-GB"/>
            </w:rPr>
          </w:pPr>
          <w:hyperlink w:anchor="_Toc402192984" w:history="1">
            <w:r w:rsidR="003D5F1A" w:rsidRPr="00EC1458">
              <w:rPr>
                <w:rStyle w:val="Hyperlink"/>
                <w:noProof/>
              </w:rPr>
              <w:t>Fighting the psychological resistance to war</w:t>
            </w:r>
            <w:r w:rsidR="003D5F1A">
              <w:rPr>
                <w:noProof/>
                <w:webHidden/>
              </w:rPr>
              <w:tab/>
            </w:r>
            <w:r w:rsidR="003D5F1A">
              <w:rPr>
                <w:noProof/>
                <w:webHidden/>
              </w:rPr>
              <w:fldChar w:fldCharType="begin"/>
            </w:r>
            <w:r w:rsidR="003D5F1A">
              <w:rPr>
                <w:noProof/>
                <w:webHidden/>
              </w:rPr>
              <w:instrText xml:space="preserve"> PAGEREF _Toc402192984 \h </w:instrText>
            </w:r>
            <w:r w:rsidR="003D5F1A">
              <w:rPr>
                <w:noProof/>
                <w:webHidden/>
              </w:rPr>
            </w:r>
            <w:r w:rsidR="003D5F1A">
              <w:rPr>
                <w:noProof/>
                <w:webHidden/>
              </w:rPr>
              <w:fldChar w:fldCharType="separate"/>
            </w:r>
            <w:r w:rsidR="00A17C1C">
              <w:rPr>
                <w:noProof/>
                <w:webHidden/>
              </w:rPr>
              <w:t>127</w:t>
            </w:r>
            <w:r w:rsidR="003D5F1A">
              <w:rPr>
                <w:noProof/>
                <w:webHidden/>
              </w:rPr>
              <w:fldChar w:fldCharType="end"/>
            </w:r>
          </w:hyperlink>
        </w:p>
        <w:p w14:paraId="5DE356D9" w14:textId="77777777" w:rsidR="003D5F1A" w:rsidRDefault="00DE3AC9">
          <w:pPr>
            <w:pStyle w:val="TOC2"/>
            <w:tabs>
              <w:tab w:val="right" w:leader="dot" w:pos="9017"/>
            </w:tabs>
            <w:rPr>
              <w:rFonts w:eastAsiaTheme="minorEastAsia"/>
              <w:noProof/>
              <w:lang w:eastAsia="en-GB"/>
            </w:rPr>
          </w:pPr>
          <w:hyperlink w:anchor="_Toc402192985" w:history="1">
            <w:r w:rsidR="003D5F1A" w:rsidRPr="00EC1458">
              <w:rPr>
                <w:rStyle w:val="Hyperlink"/>
                <w:noProof/>
              </w:rPr>
              <w:t>The enemy discredited</w:t>
            </w:r>
            <w:r w:rsidR="003D5F1A">
              <w:rPr>
                <w:noProof/>
                <w:webHidden/>
              </w:rPr>
              <w:tab/>
            </w:r>
            <w:r w:rsidR="003D5F1A">
              <w:rPr>
                <w:noProof/>
                <w:webHidden/>
              </w:rPr>
              <w:fldChar w:fldCharType="begin"/>
            </w:r>
            <w:r w:rsidR="003D5F1A">
              <w:rPr>
                <w:noProof/>
                <w:webHidden/>
              </w:rPr>
              <w:instrText xml:space="preserve"> PAGEREF _Toc402192985 \h </w:instrText>
            </w:r>
            <w:r w:rsidR="003D5F1A">
              <w:rPr>
                <w:noProof/>
                <w:webHidden/>
              </w:rPr>
            </w:r>
            <w:r w:rsidR="003D5F1A">
              <w:rPr>
                <w:noProof/>
                <w:webHidden/>
              </w:rPr>
              <w:fldChar w:fldCharType="separate"/>
            </w:r>
            <w:r w:rsidR="00A17C1C">
              <w:rPr>
                <w:noProof/>
                <w:webHidden/>
              </w:rPr>
              <w:t>128</w:t>
            </w:r>
            <w:r w:rsidR="003D5F1A">
              <w:rPr>
                <w:noProof/>
                <w:webHidden/>
              </w:rPr>
              <w:fldChar w:fldCharType="end"/>
            </w:r>
          </w:hyperlink>
        </w:p>
        <w:p w14:paraId="75879CF8" w14:textId="77777777" w:rsidR="003D5F1A" w:rsidRDefault="00DE3AC9">
          <w:pPr>
            <w:pStyle w:val="TOC2"/>
            <w:tabs>
              <w:tab w:val="right" w:leader="dot" w:pos="9017"/>
            </w:tabs>
            <w:rPr>
              <w:rFonts w:eastAsiaTheme="minorEastAsia"/>
              <w:noProof/>
              <w:lang w:eastAsia="en-GB"/>
            </w:rPr>
          </w:pPr>
          <w:hyperlink w:anchor="_Toc402192986" w:history="1">
            <w:r w:rsidR="003D5F1A" w:rsidRPr="00EC1458">
              <w:rPr>
                <w:rStyle w:val="Hyperlink"/>
                <w:noProof/>
              </w:rPr>
              <w:t>Atrocities in the Franco-Belgian aerial press</w:t>
            </w:r>
            <w:r w:rsidR="003D5F1A">
              <w:rPr>
                <w:noProof/>
                <w:webHidden/>
              </w:rPr>
              <w:tab/>
            </w:r>
            <w:r w:rsidR="003D5F1A">
              <w:rPr>
                <w:noProof/>
                <w:webHidden/>
              </w:rPr>
              <w:fldChar w:fldCharType="begin"/>
            </w:r>
            <w:r w:rsidR="003D5F1A">
              <w:rPr>
                <w:noProof/>
                <w:webHidden/>
              </w:rPr>
              <w:instrText xml:space="preserve"> PAGEREF _Toc402192986 \h </w:instrText>
            </w:r>
            <w:r w:rsidR="003D5F1A">
              <w:rPr>
                <w:noProof/>
                <w:webHidden/>
              </w:rPr>
            </w:r>
            <w:r w:rsidR="003D5F1A">
              <w:rPr>
                <w:noProof/>
                <w:webHidden/>
              </w:rPr>
              <w:fldChar w:fldCharType="separate"/>
            </w:r>
            <w:r w:rsidR="00A17C1C">
              <w:rPr>
                <w:noProof/>
                <w:webHidden/>
              </w:rPr>
              <w:t>129</w:t>
            </w:r>
            <w:r w:rsidR="003D5F1A">
              <w:rPr>
                <w:noProof/>
                <w:webHidden/>
              </w:rPr>
              <w:fldChar w:fldCharType="end"/>
            </w:r>
          </w:hyperlink>
        </w:p>
        <w:p w14:paraId="6E9DC3A3" w14:textId="77777777" w:rsidR="003D5F1A" w:rsidRDefault="00DE3AC9">
          <w:pPr>
            <w:pStyle w:val="TOC2"/>
            <w:tabs>
              <w:tab w:val="right" w:leader="dot" w:pos="9017"/>
            </w:tabs>
            <w:rPr>
              <w:rFonts w:eastAsiaTheme="minorEastAsia"/>
              <w:noProof/>
              <w:lang w:eastAsia="en-GB"/>
            </w:rPr>
          </w:pPr>
          <w:hyperlink w:anchor="_Toc402192987" w:history="1">
            <w:r w:rsidR="003D5F1A" w:rsidRPr="00EC1458">
              <w:rPr>
                <w:rStyle w:val="Hyperlink"/>
                <w:noProof/>
              </w:rPr>
              <w:t>Fabricated lies</w:t>
            </w:r>
            <w:r w:rsidR="003D5F1A">
              <w:rPr>
                <w:noProof/>
                <w:webHidden/>
              </w:rPr>
              <w:tab/>
            </w:r>
            <w:r w:rsidR="003D5F1A">
              <w:rPr>
                <w:noProof/>
                <w:webHidden/>
              </w:rPr>
              <w:fldChar w:fldCharType="begin"/>
            </w:r>
            <w:r w:rsidR="003D5F1A">
              <w:rPr>
                <w:noProof/>
                <w:webHidden/>
              </w:rPr>
              <w:instrText xml:space="preserve"> PAGEREF _Toc402192987 \h </w:instrText>
            </w:r>
            <w:r w:rsidR="003D5F1A">
              <w:rPr>
                <w:noProof/>
                <w:webHidden/>
              </w:rPr>
            </w:r>
            <w:r w:rsidR="003D5F1A">
              <w:rPr>
                <w:noProof/>
                <w:webHidden/>
              </w:rPr>
              <w:fldChar w:fldCharType="separate"/>
            </w:r>
            <w:r w:rsidR="00A17C1C">
              <w:rPr>
                <w:noProof/>
                <w:webHidden/>
              </w:rPr>
              <w:t>132</w:t>
            </w:r>
            <w:r w:rsidR="003D5F1A">
              <w:rPr>
                <w:noProof/>
                <w:webHidden/>
              </w:rPr>
              <w:fldChar w:fldCharType="end"/>
            </w:r>
          </w:hyperlink>
        </w:p>
        <w:p w14:paraId="356733A2" w14:textId="77777777" w:rsidR="003D5F1A" w:rsidRDefault="00DE3AC9">
          <w:pPr>
            <w:pStyle w:val="TOC2"/>
            <w:tabs>
              <w:tab w:val="right" w:leader="dot" w:pos="9017"/>
            </w:tabs>
            <w:rPr>
              <w:rFonts w:eastAsiaTheme="minorEastAsia"/>
              <w:noProof/>
              <w:lang w:eastAsia="en-GB"/>
            </w:rPr>
          </w:pPr>
          <w:hyperlink w:anchor="_Toc402192988" w:history="1">
            <w:r w:rsidR="003D5F1A" w:rsidRPr="00EC1458">
              <w:rPr>
                <w:rStyle w:val="Hyperlink"/>
                <w:noProof/>
              </w:rPr>
              <w:t>Germany’s views on barbarism</w:t>
            </w:r>
            <w:r w:rsidR="003D5F1A">
              <w:rPr>
                <w:noProof/>
                <w:webHidden/>
              </w:rPr>
              <w:tab/>
            </w:r>
            <w:r w:rsidR="003D5F1A">
              <w:rPr>
                <w:noProof/>
                <w:webHidden/>
              </w:rPr>
              <w:fldChar w:fldCharType="begin"/>
            </w:r>
            <w:r w:rsidR="003D5F1A">
              <w:rPr>
                <w:noProof/>
                <w:webHidden/>
              </w:rPr>
              <w:instrText xml:space="preserve"> PAGEREF _Toc402192988 \h </w:instrText>
            </w:r>
            <w:r w:rsidR="003D5F1A">
              <w:rPr>
                <w:noProof/>
                <w:webHidden/>
              </w:rPr>
            </w:r>
            <w:r w:rsidR="003D5F1A">
              <w:rPr>
                <w:noProof/>
                <w:webHidden/>
              </w:rPr>
              <w:fldChar w:fldCharType="separate"/>
            </w:r>
            <w:r w:rsidR="00A17C1C">
              <w:rPr>
                <w:noProof/>
                <w:webHidden/>
              </w:rPr>
              <w:t>137</w:t>
            </w:r>
            <w:r w:rsidR="003D5F1A">
              <w:rPr>
                <w:noProof/>
                <w:webHidden/>
              </w:rPr>
              <w:fldChar w:fldCharType="end"/>
            </w:r>
          </w:hyperlink>
        </w:p>
        <w:p w14:paraId="5334AB96" w14:textId="77777777" w:rsidR="003D5F1A" w:rsidRDefault="00DE3AC9">
          <w:pPr>
            <w:pStyle w:val="TOC2"/>
            <w:tabs>
              <w:tab w:val="right" w:leader="dot" w:pos="9017"/>
            </w:tabs>
            <w:rPr>
              <w:rFonts w:eastAsiaTheme="minorEastAsia"/>
              <w:noProof/>
              <w:lang w:eastAsia="en-GB"/>
            </w:rPr>
          </w:pPr>
          <w:hyperlink w:anchor="_Toc402192989" w:history="1">
            <w:r w:rsidR="003D5F1A" w:rsidRPr="00EC1458">
              <w:rPr>
                <w:rStyle w:val="Hyperlink"/>
                <w:noProof/>
              </w:rPr>
              <w:t>A brutalised narration</w:t>
            </w:r>
            <w:r w:rsidR="003D5F1A">
              <w:rPr>
                <w:noProof/>
                <w:webHidden/>
              </w:rPr>
              <w:tab/>
            </w:r>
            <w:r w:rsidR="003D5F1A">
              <w:rPr>
                <w:noProof/>
                <w:webHidden/>
              </w:rPr>
              <w:fldChar w:fldCharType="begin"/>
            </w:r>
            <w:r w:rsidR="003D5F1A">
              <w:rPr>
                <w:noProof/>
                <w:webHidden/>
              </w:rPr>
              <w:instrText xml:space="preserve"> PAGEREF _Toc402192989 \h </w:instrText>
            </w:r>
            <w:r w:rsidR="003D5F1A">
              <w:rPr>
                <w:noProof/>
                <w:webHidden/>
              </w:rPr>
            </w:r>
            <w:r w:rsidR="003D5F1A">
              <w:rPr>
                <w:noProof/>
                <w:webHidden/>
              </w:rPr>
              <w:fldChar w:fldCharType="separate"/>
            </w:r>
            <w:r w:rsidR="00A17C1C">
              <w:rPr>
                <w:noProof/>
                <w:webHidden/>
              </w:rPr>
              <w:t>139</w:t>
            </w:r>
            <w:r w:rsidR="003D5F1A">
              <w:rPr>
                <w:noProof/>
                <w:webHidden/>
              </w:rPr>
              <w:fldChar w:fldCharType="end"/>
            </w:r>
          </w:hyperlink>
        </w:p>
        <w:p w14:paraId="26A77C40" w14:textId="77777777" w:rsidR="003D5F1A" w:rsidRDefault="00DE3AC9">
          <w:pPr>
            <w:pStyle w:val="TOC2"/>
            <w:tabs>
              <w:tab w:val="right" w:leader="dot" w:pos="9017"/>
            </w:tabs>
            <w:rPr>
              <w:rFonts w:eastAsiaTheme="minorEastAsia"/>
              <w:noProof/>
              <w:lang w:eastAsia="en-GB"/>
            </w:rPr>
          </w:pPr>
          <w:hyperlink w:anchor="_Toc402192990"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_Toc402192990 \h </w:instrText>
            </w:r>
            <w:r w:rsidR="003D5F1A">
              <w:rPr>
                <w:noProof/>
                <w:webHidden/>
              </w:rPr>
            </w:r>
            <w:r w:rsidR="003D5F1A">
              <w:rPr>
                <w:noProof/>
                <w:webHidden/>
              </w:rPr>
              <w:fldChar w:fldCharType="separate"/>
            </w:r>
            <w:r w:rsidR="00A17C1C">
              <w:rPr>
                <w:noProof/>
                <w:webHidden/>
              </w:rPr>
              <w:t>142</w:t>
            </w:r>
            <w:r w:rsidR="003D5F1A">
              <w:rPr>
                <w:noProof/>
                <w:webHidden/>
              </w:rPr>
              <w:fldChar w:fldCharType="end"/>
            </w:r>
          </w:hyperlink>
        </w:p>
        <w:p w14:paraId="294232CB" w14:textId="77777777" w:rsidR="003D5F1A" w:rsidRDefault="003D5F1A" w:rsidP="003D5F1A">
          <w:pPr>
            <w:pStyle w:val="TOC1"/>
            <w:rPr>
              <w:rStyle w:val="Hyperlink"/>
            </w:rPr>
          </w:pPr>
        </w:p>
        <w:p w14:paraId="6BA3694A" w14:textId="770B2A06" w:rsidR="003D5F1A" w:rsidRPr="003D5F1A" w:rsidRDefault="003D5F1A" w:rsidP="003D5F1A">
          <w:pPr>
            <w:pStyle w:val="TOC1"/>
            <w:rPr>
              <w:rStyle w:val="Hyperlink"/>
              <w:color w:val="auto"/>
              <w:u w:val="none"/>
            </w:rPr>
          </w:pPr>
          <w:r w:rsidRPr="003D5F1A">
            <w:rPr>
              <w:rStyle w:val="Hyperlink"/>
              <w:color w:val="auto"/>
              <w:u w:val="none"/>
            </w:rPr>
            <w:t>PART III EFFECTS</w:t>
          </w:r>
        </w:p>
        <w:p w14:paraId="0256662A" w14:textId="77777777" w:rsidR="003D5F1A" w:rsidRDefault="00DE3AC9" w:rsidP="003D5F1A">
          <w:pPr>
            <w:pStyle w:val="TOC1"/>
            <w:rPr>
              <w:rFonts w:eastAsiaTheme="minorEastAsia"/>
              <w:lang w:eastAsia="en-GB"/>
            </w:rPr>
          </w:pPr>
          <w:hyperlink w:anchor="_Toc402192991" w:history="1">
            <w:r w:rsidR="003D5F1A" w:rsidRPr="00EC1458">
              <w:rPr>
                <w:rStyle w:val="Hyperlink"/>
              </w:rPr>
              <w:t>VII The effectiveness of allied propaganda aimed at the occupied territories</w:t>
            </w:r>
            <w:r w:rsidR="003D5F1A">
              <w:rPr>
                <w:webHidden/>
              </w:rPr>
              <w:tab/>
            </w:r>
            <w:r w:rsidR="003D5F1A">
              <w:rPr>
                <w:webHidden/>
              </w:rPr>
              <w:fldChar w:fldCharType="begin"/>
            </w:r>
            <w:r w:rsidR="003D5F1A">
              <w:rPr>
                <w:webHidden/>
              </w:rPr>
              <w:instrText xml:space="preserve"> PAGEREF _Toc402192991 \h </w:instrText>
            </w:r>
            <w:r w:rsidR="003D5F1A">
              <w:rPr>
                <w:webHidden/>
              </w:rPr>
            </w:r>
            <w:r w:rsidR="003D5F1A">
              <w:rPr>
                <w:webHidden/>
              </w:rPr>
              <w:fldChar w:fldCharType="separate"/>
            </w:r>
            <w:r w:rsidR="00A17C1C">
              <w:rPr>
                <w:webHidden/>
              </w:rPr>
              <w:t>145</w:t>
            </w:r>
            <w:r w:rsidR="003D5F1A">
              <w:rPr>
                <w:webHidden/>
              </w:rPr>
              <w:fldChar w:fldCharType="end"/>
            </w:r>
          </w:hyperlink>
        </w:p>
        <w:p w14:paraId="479A149A" w14:textId="77777777" w:rsidR="003D5F1A" w:rsidRDefault="00DE3AC9">
          <w:pPr>
            <w:pStyle w:val="TOC2"/>
            <w:tabs>
              <w:tab w:val="right" w:leader="dot" w:pos="9017"/>
            </w:tabs>
            <w:rPr>
              <w:rFonts w:eastAsiaTheme="minorEastAsia"/>
              <w:noProof/>
              <w:lang w:eastAsia="en-GB"/>
            </w:rPr>
          </w:pPr>
          <w:hyperlink w:anchor="_Toc402192992" w:history="1">
            <w:r w:rsidR="003D5F1A" w:rsidRPr="00EC1458">
              <w:rPr>
                <w:rStyle w:val="Hyperlink"/>
                <w:noProof/>
              </w:rPr>
              <w:t>A difficult investigation</w:t>
            </w:r>
            <w:r w:rsidR="003D5F1A">
              <w:rPr>
                <w:noProof/>
                <w:webHidden/>
              </w:rPr>
              <w:tab/>
            </w:r>
            <w:r w:rsidR="003D5F1A">
              <w:rPr>
                <w:noProof/>
                <w:webHidden/>
              </w:rPr>
              <w:fldChar w:fldCharType="begin"/>
            </w:r>
            <w:r w:rsidR="003D5F1A">
              <w:rPr>
                <w:noProof/>
                <w:webHidden/>
              </w:rPr>
              <w:instrText xml:space="preserve"> PAGEREF _Toc402192992 \h </w:instrText>
            </w:r>
            <w:r w:rsidR="003D5F1A">
              <w:rPr>
                <w:noProof/>
                <w:webHidden/>
              </w:rPr>
            </w:r>
            <w:r w:rsidR="003D5F1A">
              <w:rPr>
                <w:noProof/>
                <w:webHidden/>
              </w:rPr>
              <w:fldChar w:fldCharType="separate"/>
            </w:r>
            <w:r w:rsidR="00A17C1C">
              <w:rPr>
                <w:noProof/>
                <w:webHidden/>
              </w:rPr>
              <w:t>145</w:t>
            </w:r>
            <w:r w:rsidR="003D5F1A">
              <w:rPr>
                <w:noProof/>
                <w:webHidden/>
              </w:rPr>
              <w:fldChar w:fldCharType="end"/>
            </w:r>
          </w:hyperlink>
        </w:p>
        <w:p w14:paraId="7D152C63" w14:textId="77777777" w:rsidR="003D5F1A" w:rsidRDefault="00DE3AC9">
          <w:pPr>
            <w:pStyle w:val="TOC2"/>
            <w:tabs>
              <w:tab w:val="right" w:leader="dot" w:pos="9017"/>
            </w:tabs>
            <w:rPr>
              <w:rFonts w:eastAsiaTheme="minorEastAsia"/>
              <w:noProof/>
              <w:lang w:eastAsia="en-GB"/>
            </w:rPr>
          </w:pPr>
          <w:hyperlink w:anchor="_Toc402192993" w:history="1">
            <w:r w:rsidR="003D5F1A" w:rsidRPr="00EC1458">
              <w:rPr>
                <w:rStyle w:val="Hyperlink"/>
                <w:noProof/>
              </w:rPr>
              <w:t>Routes of information</w:t>
            </w:r>
            <w:r w:rsidR="003D5F1A">
              <w:rPr>
                <w:noProof/>
                <w:webHidden/>
              </w:rPr>
              <w:tab/>
            </w:r>
            <w:r w:rsidR="003D5F1A">
              <w:rPr>
                <w:noProof/>
                <w:webHidden/>
              </w:rPr>
              <w:fldChar w:fldCharType="begin"/>
            </w:r>
            <w:r w:rsidR="003D5F1A">
              <w:rPr>
                <w:noProof/>
                <w:webHidden/>
              </w:rPr>
              <w:instrText xml:space="preserve"> PAGEREF _Toc402192993 \h </w:instrText>
            </w:r>
            <w:r w:rsidR="003D5F1A">
              <w:rPr>
                <w:noProof/>
                <w:webHidden/>
              </w:rPr>
            </w:r>
            <w:r w:rsidR="003D5F1A">
              <w:rPr>
                <w:noProof/>
                <w:webHidden/>
              </w:rPr>
              <w:fldChar w:fldCharType="separate"/>
            </w:r>
            <w:r w:rsidR="00A17C1C">
              <w:rPr>
                <w:noProof/>
                <w:webHidden/>
              </w:rPr>
              <w:t>146</w:t>
            </w:r>
            <w:r w:rsidR="003D5F1A">
              <w:rPr>
                <w:noProof/>
                <w:webHidden/>
              </w:rPr>
              <w:fldChar w:fldCharType="end"/>
            </w:r>
          </w:hyperlink>
        </w:p>
        <w:p w14:paraId="3054DE02" w14:textId="77777777" w:rsidR="003D5F1A" w:rsidRDefault="00DE3AC9">
          <w:pPr>
            <w:pStyle w:val="TOC2"/>
            <w:tabs>
              <w:tab w:val="right" w:leader="dot" w:pos="9017"/>
            </w:tabs>
            <w:rPr>
              <w:rFonts w:eastAsiaTheme="minorEastAsia"/>
              <w:noProof/>
              <w:lang w:eastAsia="en-GB"/>
            </w:rPr>
          </w:pPr>
          <w:hyperlink w:anchor="_Toc402192994" w:history="1">
            <w:r w:rsidR="003D5F1A" w:rsidRPr="00EC1458">
              <w:rPr>
                <w:rStyle w:val="Hyperlink"/>
                <w:noProof/>
              </w:rPr>
              <w:t>The campaign of allied propaganda in occupied France</w:t>
            </w:r>
            <w:r w:rsidR="003D5F1A">
              <w:rPr>
                <w:noProof/>
                <w:webHidden/>
              </w:rPr>
              <w:tab/>
            </w:r>
            <w:r w:rsidR="003D5F1A">
              <w:rPr>
                <w:noProof/>
                <w:webHidden/>
              </w:rPr>
              <w:fldChar w:fldCharType="begin"/>
            </w:r>
            <w:r w:rsidR="003D5F1A">
              <w:rPr>
                <w:noProof/>
                <w:webHidden/>
              </w:rPr>
              <w:instrText xml:space="preserve"> PAGEREF _Toc402192994 \h </w:instrText>
            </w:r>
            <w:r w:rsidR="003D5F1A">
              <w:rPr>
                <w:noProof/>
                <w:webHidden/>
              </w:rPr>
            </w:r>
            <w:r w:rsidR="003D5F1A">
              <w:rPr>
                <w:noProof/>
                <w:webHidden/>
              </w:rPr>
              <w:fldChar w:fldCharType="separate"/>
            </w:r>
            <w:r w:rsidR="00A17C1C">
              <w:rPr>
                <w:noProof/>
                <w:webHidden/>
              </w:rPr>
              <w:t>148</w:t>
            </w:r>
            <w:r w:rsidR="003D5F1A">
              <w:rPr>
                <w:noProof/>
                <w:webHidden/>
              </w:rPr>
              <w:fldChar w:fldCharType="end"/>
            </w:r>
          </w:hyperlink>
        </w:p>
        <w:p w14:paraId="42D5B8EF" w14:textId="77777777" w:rsidR="003D5F1A" w:rsidRDefault="00DE3AC9">
          <w:pPr>
            <w:pStyle w:val="TOC2"/>
            <w:tabs>
              <w:tab w:val="right" w:leader="dot" w:pos="9017"/>
            </w:tabs>
            <w:rPr>
              <w:rFonts w:eastAsiaTheme="minorEastAsia"/>
              <w:noProof/>
              <w:lang w:eastAsia="en-GB"/>
            </w:rPr>
          </w:pPr>
          <w:hyperlink w:anchor="_Toc402192995" w:history="1">
            <w:r w:rsidR="003D5F1A" w:rsidRPr="00EC1458">
              <w:rPr>
                <w:rStyle w:val="Hyperlink"/>
                <w:noProof/>
              </w:rPr>
              <w:t>The campaign of allied propaganda in occupied Belgium</w:t>
            </w:r>
            <w:r w:rsidR="003D5F1A">
              <w:rPr>
                <w:noProof/>
                <w:webHidden/>
              </w:rPr>
              <w:tab/>
            </w:r>
            <w:r w:rsidR="003D5F1A">
              <w:rPr>
                <w:noProof/>
                <w:webHidden/>
              </w:rPr>
              <w:fldChar w:fldCharType="begin"/>
            </w:r>
            <w:r w:rsidR="003D5F1A">
              <w:rPr>
                <w:noProof/>
                <w:webHidden/>
              </w:rPr>
              <w:instrText xml:space="preserve"> PAGEREF _Toc402192995 \h </w:instrText>
            </w:r>
            <w:r w:rsidR="003D5F1A">
              <w:rPr>
                <w:noProof/>
                <w:webHidden/>
              </w:rPr>
            </w:r>
            <w:r w:rsidR="003D5F1A">
              <w:rPr>
                <w:noProof/>
                <w:webHidden/>
              </w:rPr>
              <w:fldChar w:fldCharType="separate"/>
            </w:r>
            <w:r w:rsidR="00A17C1C">
              <w:rPr>
                <w:noProof/>
                <w:webHidden/>
              </w:rPr>
              <w:t>153</w:t>
            </w:r>
            <w:r w:rsidR="003D5F1A">
              <w:rPr>
                <w:noProof/>
                <w:webHidden/>
              </w:rPr>
              <w:fldChar w:fldCharType="end"/>
            </w:r>
          </w:hyperlink>
        </w:p>
        <w:p w14:paraId="1C248A3C" w14:textId="77777777" w:rsidR="003D5F1A" w:rsidRDefault="00DE3AC9">
          <w:pPr>
            <w:pStyle w:val="TOC2"/>
            <w:tabs>
              <w:tab w:val="right" w:leader="dot" w:pos="9017"/>
            </w:tabs>
            <w:rPr>
              <w:rFonts w:eastAsiaTheme="minorEastAsia"/>
              <w:noProof/>
              <w:lang w:eastAsia="en-GB"/>
            </w:rPr>
          </w:pPr>
          <w:hyperlink w:anchor="_Toc402192996" w:history="1">
            <w:r w:rsidR="003D5F1A" w:rsidRPr="00EC1458">
              <w:rPr>
                <w:rStyle w:val="Hyperlink"/>
                <w:noProof/>
              </w:rPr>
              <w:t>The German point of view</w:t>
            </w:r>
            <w:r w:rsidR="003D5F1A">
              <w:rPr>
                <w:noProof/>
                <w:webHidden/>
              </w:rPr>
              <w:tab/>
            </w:r>
            <w:r w:rsidR="003D5F1A">
              <w:rPr>
                <w:noProof/>
                <w:webHidden/>
              </w:rPr>
              <w:fldChar w:fldCharType="begin"/>
            </w:r>
            <w:r w:rsidR="003D5F1A">
              <w:rPr>
                <w:noProof/>
                <w:webHidden/>
              </w:rPr>
              <w:instrText xml:space="preserve"> PAGEREF _Toc402192996 \h </w:instrText>
            </w:r>
            <w:r w:rsidR="003D5F1A">
              <w:rPr>
                <w:noProof/>
                <w:webHidden/>
              </w:rPr>
            </w:r>
            <w:r w:rsidR="003D5F1A">
              <w:rPr>
                <w:noProof/>
                <w:webHidden/>
              </w:rPr>
              <w:fldChar w:fldCharType="separate"/>
            </w:r>
            <w:r w:rsidR="00A17C1C">
              <w:rPr>
                <w:noProof/>
                <w:webHidden/>
              </w:rPr>
              <w:t>159</w:t>
            </w:r>
            <w:r w:rsidR="003D5F1A">
              <w:rPr>
                <w:noProof/>
                <w:webHidden/>
              </w:rPr>
              <w:fldChar w:fldCharType="end"/>
            </w:r>
          </w:hyperlink>
        </w:p>
        <w:p w14:paraId="40D7D85E" w14:textId="77777777" w:rsidR="003D5F1A" w:rsidRDefault="00DE3AC9">
          <w:pPr>
            <w:pStyle w:val="TOC2"/>
            <w:tabs>
              <w:tab w:val="right" w:leader="dot" w:pos="9017"/>
            </w:tabs>
            <w:rPr>
              <w:rFonts w:eastAsiaTheme="minorEastAsia"/>
              <w:noProof/>
              <w:lang w:eastAsia="en-GB"/>
            </w:rPr>
          </w:pPr>
          <w:hyperlink w:anchor="_Toc402192997" w:history="1">
            <w:r w:rsidR="003D5F1A" w:rsidRPr="00EC1458">
              <w:rPr>
                <w:rStyle w:val="Hyperlink"/>
                <w:noProof/>
              </w:rPr>
              <w:t>Allied authorities and aerial propaganda</w:t>
            </w:r>
            <w:r w:rsidR="003D5F1A">
              <w:rPr>
                <w:noProof/>
                <w:webHidden/>
              </w:rPr>
              <w:tab/>
            </w:r>
            <w:r w:rsidR="003D5F1A">
              <w:rPr>
                <w:noProof/>
                <w:webHidden/>
              </w:rPr>
              <w:fldChar w:fldCharType="begin"/>
            </w:r>
            <w:r w:rsidR="003D5F1A">
              <w:rPr>
                <w:noProof/>
                <w:webHidden/>
              </w:rPr>
              <w:instrText xml:space="preserve"> PAGEREF _Toc402192997 \h </w:instrText>
            </w:r>
            <w:r w:rsidR="003D5F1A">
              <w:rPr>
                <w:noProof/>
                <w:webHidden/>
              </w:rPr>
            </w:r>
            <w:r w:rsidR="003D5F1A">
              <w:rPr>
                <w:noProof/>
                <w:webHidden/>
              </w:rPr>
              <w:fldChar w:fldCharType="separate"/>
            </w:r>
            <w:r w:rsidR="00A17C1C">
              <w:rPr>
                <w:noProof/>
                <w:webHidden/>
              </w:rPr>
              <w:t>164</w:t>
            </w:r>
            <w:r w:rsidR="003D5F1A">
              <w:rPr>
                <w:noProof/>
                <w:webHidden/>
              </w:rPr>
              <w:fldChar w:fldCharType="end"/>
            </w:r>
          </w:hyperlink>
        </w:p>
        <w:p w14:paraId="33946D4F" w14:textId="77777777" w:rsidR="003D5F1A" w:rsidRDefault="00DE3AC9">
          <w:pPr>
            <w:pStyle w:val="TOC2"/>
            <w:tabs>
              <w:tab w:val="right" w:leader="dot" w:pos="9017"/>
            </w:tabs>
            <w:rPr>
              <w:rFonts w:eastAsiaTheme="minorEastAsia"/>
              <w:noProof/>
              <w:lang w:eastAsia="en-GB"/>
            </w:rPr>
          </w:pPr>
          <w:hyperlink w:anchor="_Toc402192998" w:history="1">
            <w:r w:rsidR="003D5F1A" w:rsidRPr="00EC1458">
              <w:rPr>
                <w:rStyle w:val="Hyperlink"/>
                <w:noProof/>
              </w:rPr>
              <w:t>Conclusion</w:t>
            </w:r>
            <w:r w:rsidR="003D5F1A">
              <w:rPr>
                <w:noProof/>
                <w:webHidden/>
              </w:rPr>
              <w:tab/>
            </w:r>
            <w:r w:rsidR="003D5F1A">
              <w:rPr>
                <w:noProof/>
                <w:webHidden/>
              </w:rPr>
              <w:fldChar w:fldCharType="begin"/>
            </w:r>
            <w:r w:rsidR="003D5F1A">
              <w:rPr>
                <w:noProof/>
                <w:webHidden/>
              </w:rPr>
              <w:instrText xml:space="preserve"> PAGEREF _Toc402192998 \h </w:instrText>
            </w:r>
            <w:r w:rsidR="003D5F1A">
              <w:rPr>
                <w:noProof/>
                <w:webHidden/>
              </w:rPr>
            </w:r>
            <w:r w:rsidR="003D5F1A">
              <w:rPr>
                <w:noProof/>
                <w:webHidden/>
              </w:rPr>
              <w:fldChar w:fldCharType="separate"/>
            </w:r>
            <w:r w:rsidR="00A17C1C">
              <w:rPr>
                <w:noProof/>
                <w:webHidden/>
              </w:rPr>
              <w:t>166</w:t>
            </w:r>
            <w:r w:rsidR="003D5F1A">
              <w:rPr>
                <w:noProof/>
                <w:webHidden/>
              </w:rPr>
              <w:fldChar w:fldCharType="end"/>
            </w:r>
          </w:hyperlink>
        </w:p>
        <w:p w14:paraId="60323D66" w14:textId="77777777" w:rsidR="003D5F1A" w:rsidRDefault="00DE3AC9" w:rsidP="003D5F1A">
          <w:pPr>
            <w:pStyle w:val="TOC1"/>
            <w:rPr>
              <w:rFonts w:eastAsiaTheme="minorEastAsia"/>
              <w:lang w:eastAsia="en-GB"/>
            </w:rPr>
          </w:pPr>
          <w:hyperlink w:anchor="_Toc402192999" w:history="1">
            <w:r w:rsidR="003D5F1A" w:rsidRPr="00EC1458">
              <w:rPr>
                <w:rStyle w:val="Hyperlink"/>
              </w:rPr>
              <w:t>Conclusion</w:t>
            </w:r>
            <w:r w:rsidR="003D5F1A">
              <w:rPr>
                <w:webHidden/>
              </w:rPr>
              <w:tab/>
            </w:r>
            <w:r w:rsidR="003D5F1A">
              <w:rPr>
                <w:webHidden/>
              </w:rPr>
              <w:fldChar w:fldCharType="begin"/>
            </w:r>
            <w:r w:rsidR="003D5F1A">
              <w:rPr>
                <w:webHidden/>
              </w:rPr>
              <w:instrText xml:space="preserve"> PAGEREF _Toc402192999 \h </w:instrText>
            </w:r>
            <w:r w:rsidR="003D5F1A">
              <w:rPr>
                <w:webHidden/>
              </w:rPr>
            </w:r>
            <w:r w:rsidR="003D5F1A">
              <w:rPr>
                <w:webHidden/>
              </w:rPr>
              <w:fldChar w:fldCharType="separate"/>
            </w:r>
            <w:r w:rsidR="00A17C1C">
              <w:rPr>
                <w:webHidden/>
              </w:rPr>
              <w:t>168</w:t>
            </w:r>
            <w:r w:rsidR="003D5F1A">
              <w:rPr>
                <w:webHidden/>
              </w:rPr>
              <w:fldChar w:fldCharType="end"/>
            </w:r>
          </w:hyperlink>
        </w:p>
        <w:p w14:paraId="026A59C2" w14:textId="77777777" w:rsidR="003D5F1A" w:rsidRDefault="00DE3AC9" w:rsidP="003D5F1A">
          <w:pPr>
            <w:pStyle w:val="TOC1"/>
            <w:rPr>
              <w:rFonts w:eastAsiaTheme="minorEastAsia"/>
              <w:lang w:eastAsia="en-GB"/>
            </w:rPr>
          </w:pPr>
          <w:hyperlink w:anchor="_Toc402193000" w:history="1">
            <w:r w:rsidR="003D5F1A" w:rsidRPr="00EC1458">
              <w:rPr>
                <w:rStyle w:val="Hyperlink"/>
                <w:lang w:val="fr-FR"/>
              </w:rPr>
              <w:t>Bibliography</w:t>
            </w:r>
            <w:r w:rsidR="003D5F1A">
              <w:rPr>
                <w:webHidden/>
              </w:rPr>
              <w:tab/>
            </w:r>
            <w:r w:rsidR="003D5F1A">
              <w:rPr>
                <w:webHidden/>
              </w:rPr>
              <w:fldChar w:fldCharType="begin"/>
            </w:r>
            <w:r w:rsidR="003D5F1A">
              <w:rPr>
                <w:webHidden/>
              </w:rPr>
              <w:instrText xml:space="preserve"> PAGEREF _Toc402193000 \h </w:instrText>
            </w:r>
            <w:r w:rsidR="003D5F1A">
              <w:rPr>
                <w:webHidden/>
              </w:rPr>
            </w:r>
            <w:r w:rsidR="003D5F1A">
              <w:rPr>
                <w:webHidden/>
              </w:rPr>
              <w:fldChar w:fldCharType="separate"/>
            </w:r>
            <w:r w:rsidR="00A17C1C">
              <w:rPr>
                <w:webHidden/>
              </w:rPr>
              <w:t>174</w:t>
            </w:r>
            <w:r w:rsidR="003D5F1A">
              <w:rPr>
                <w:webHidden/>
              </w:rPr>
              <w:fldChar w:fldCharType="end"/>
            </w:r>
          </w:hyperlink>
        </w:p>
        <w:p w14:paraId="450229F0" w14:textId="77777777" w:rsidR="003D5F1A" w:rsidRDefault="00DE3AC9">
          <w:pPr>
            <w:pStyle w:val="TOC2"/>
            <w:tabs>
              <w:tab w:val="right" w:leader="dot" w:pos="9017"/>
            </w:tabs>
            <w:rPr>
              <w:rFonts w:eastAsiaTheme="minorEastAsia"/>
              <w:noProof/>
              <w:lang w:eastAsia="en-GB"/>
            </w:rPr>
          </w:pPr>
          <w:hyperlink w:anchor="_Toc402193001" w:history="1">
            <w:r w:rsidR="003D5F1A" w:rsidRPr="00EC1458">
              <w:rPr>
                <w:rStyle w:val="Hyperlink"/>
                <w:noProof/>
                <w:lang w:val="fr-FR"/>
              </w:rPr>
              <w:t>Primary sources</w:t>
            </w:r>
            <w:r w:rsidR="003D5F1A">
              <w:rPr>
                <w:noProof/>
                <w:webHidden/>
              </w:rPr>
              <w:tab/>
            </w:r>
            <w:r w:rsidR="003D5F1A">
              <w:rPr>
                <w:noProof/>
                <w:webHidden/>
              </w:rPr>
              <w:fldChar w:fldCharType="begin"/>
            </w:r>
            <w:r w:rsidR="003D5F1A">
              <w:rPr>
                <w:noProof/>
                <w:webHidden/>
              </w:rPr>
              <w:instrText xml:space="preserve"> PAGEREF _Toc402193001 \h </w:instrText>
            </w:r>
            <w:r w:rsidR="003D5F1A">
              <w:rPr>
                <w:noProof/>
                <w:webHidden/>
              </w:rPr>
            </w:r>
            <w:r w:rsidR="003D5F1A">
              <w:rPr>
                <w:noProof/>
                <w:webHidden/>
              </w:rPr>
              <w:fldChar w:fldCharType="separate"/>
            </w:r>
            <w:r w:rsidR="00A17C1C">
              <w:rPr>
                <w:noProof/>
                <w:webHidden/>
              </w:rPr>
              <w:t>174</w:t>
            </w:r>
            <w:r w:rsidR="003D5F1A">
              <w:rPr>
                <w:noProof/>
                <w:webHidden/>
              </w:rPr>
              <w:fldChar w:fldCharType="end"/>
            </w:r>
          </w:hyperlink>
        </w:p>
        <w:p w14:paraId="7F0FBA72" w14:textId="77777777" w:rsidR="003D5F1A" w:rsidRDefault="00DE3AC9">
          <w:pPr>
            <w:pStyle w:val="TOC2"/>
            <w:tabs>
              <w:tab w:val="right" w:leader="dot" w:pos="9017"/>
            </w:tabs>
            <w:rPr>
              <w:rFonts w:eastAsiaTheme="minorEastAsia"/>
              <w:noProof/>
              <w:lang w:eastAsia="en-GB"/>
            </w:rPr>
          </w:pPr>
          <w:hyperlink w:anchor="_Toc402193002" w:history="1">
            <w:r w:rsidR="003D5F1A" w:rsidRPr="00EC1458">
              <w:rPr>
                <w:rStyle w:val="Hyperlink"/>
                <w:noProof/>
                <w:lang w:val="fr-FR"/>
              </w:rPr>
              <w:t>Secondary sources</w:t>
            </w:r>
            <w:r w:rsidR="003D5F1A">
              <w:rPr>
                <w:noProof/>
                <w:webHidden/>
              </w:rPr>
              <w:tab/>
            </w:r>
            <w:r w:rsidR="003D5F1A">
              <w:rPr>
                <w:noProof/>
                <w:webHidden/>
              </w:rPr>
              <w:fldChar w:fldCharType="begin"/>
            </w:r>
            <w:r w:rsidR="003D5F1A">
              <w:rPr>
                <w:noProof/>
                <w:webHidden/>
              </w:rPr>
              <w:instrText xml:space="preserve"> PAGEREF _Toc402193002 \h </w:instrText>
            </w:r>
            <w:r w:rsidR="003D5F1A">
              <w:rPr>
                <w:noProof/>
                <w:webHidden/>
              </w:rPr>
            </w:r>
            <w:r w:rsidR="003D5F1A">
              <w:rPr>
                <w:noProof/>
                <w:webHidden/>
              </w:rPr>
              <w:fldChar w:fldCharType="separate"/>
            </w:r>
            <w:r w:rsidR="00A17C1C">
              <w:rPr>
                <w:noProof/>
                <w:webHidden/>
              </w:rPr>
              <w:t>181</w:t>
            </w:r>
            <w:r w:rsidR="003D5F1A">
              <w:rPr>
                <w:noProof/>
                <w:webHidden/>
              </w:rPr>
              <w:fldChar w:fldCharType="end"/>
            </w:r>
          </w:hyperlink>
        </w:p>
        <w:p w14:paraId="1970AB97" w14:textId="77777777" w:rsidR="003D5F1A" w:rsidRDefault="00DE3AC9" w:rsidP="003D5F1A">
          <w:pPr>
            <w:pStyle w:val="TOC1"/>
            <w:rPr>
              <w:rFonts w:eastAsiaTheme="minorEastAsia"/>
              <w:lang w:eastAsia="en-GB"/>
            </w:rPr>
          </w:pPr>
          <w:hyperlink w:anchor="_Toc402193003" w:history="1">
            <w:r w:rsidR="003D5F1A" w:rsidRPr="00EC1458">
              <w:rPr>
                <w:rStyle w:val="Hyperlink"/>
              </w:rPr>
              <w:t>Appendix</w:t>
            </w:r>
            <w:r w:rsidR="003D5F1A">
              <w:rPr>
                <w:webHidden/>
              </w:rPr>
              <w:tab/>
            </w:r>
            <w:r w:rsidR="003D5F1A">
              <w:rPr>
                <w:webHidden/>
              </w:rPr>
              <w:fldChar w:fldCharType="begin"/>
            </w:r>
            <w:r w:rsidR="003D5F1A">
              <w:rPr>
                <w:webHidden/>
              </w:rPr>
              <w:instrText xml:space="preserve"> PAGEREF _Toc402193003 \h </w:instrText>
            </w:r>
            <w:r w:rsidR="003D5F1A">
              <w:rPr>
                <w:webHidden/>
              </w:rPr>
            </w:r>
            <w:r w:rsidR="003D5F1A">
              <w:rPr>
                <w:webHidden/>
              </w:rPr>
              <w:fldChar w:fldCharType="separate"/>
            </w:r>
            <w:r w:rsidR="00A17C1C">
              <w:rPr>
                <w:webHidden/>
              </w:rPr>
              <w:t>197</w:t>
            </w:r>
            <w:r w:rsidR="003D5F1A">
              <w:rPr>
                <w:webHidden/>
              </w:rPr>
              <w:fldChar w:fldCharType="end"/>
            </w:r>
          </w:hyperlink>
        </w:p>
        <w:p w14:paraId="02B1AD91" w14:textId="77777777" w:rsidR="0048510E" w:rsidRDefault="0048510E" w:rsidP="0048510E">
          <w:r>
            <w:rPr>
              <w:b/>
              <w:bCs/>
              <w:noProof/>
            </w:rPr>
            <w:fldChar w:fldCharType="end"/>
          </w:r>
        </w:p>
      </w:sdtContent>
    </w:sdt>
    <w:p w14:paraId="755C4DBE" w14:textId="77777777" w:rsidR="0048510E" w:rsidRDefault="0048510E" w:rsidP="0048510E">
      <w:pPr>
        <w:rPr>
          <w:sz w:val="48"/>
          <w:szCs w:val="48"/>
        </w:rPr>
      </w:pPr>
      <w:r>
        <w:rPr>
          <w:sz w:val="48"/>
          <w:szCs w:val="48"/>
        </w:rPr>
        <w:br w:type="page"/>
      </w:r>
    </w:p>
    <w:p w14:paraId="711F6975" w14:textId="77777777" w:rsidR="0048510E" w:rsidRDefault="0048510E" w:rsidP="0048510E">
      <w:pPr>
        <w:rPr>
          <w:sz w:val="48"/>
          <w:szCs w:val="48"/>
        </w:rPr>
        <w:sectPr w:rsidR="0048510E" w:rsidSect="00415A32">
          <w:footerReference w:type="default" r:id="rId11"/>
          <w:type w:val="continuous"/>
          <w:pgSz w:w="11907" w:h="16839" w:code="9"/>
          <w:pgMar w:top="1440" w:right="1440" w:bottom="1440" w:left="1440" w:header="708" w:footer="708" w:gutter="0"/>
          <w:cols w:space="708"/>
          <w:titlePg/>
          <w:docGrid w:linePitch="360"/>
        </w:sectPr>
      </w:pPr>
    </w:p>
    <w:p w14:paraId="5D1DB2F3" w14:textId="77777777" w:rsidR="00B11F48" w:rsidRDefault="00B11F48" w:rsidP="008B1AD5">
      <w:pPr>
        <w:pStyle w:val="Title"/>
        <w:outlineLvl w:val="0"/>
      </w:pPr>
      <w:bookmarkStart w:id="1" w:name="_Toc402192937"/>
      <w:bookmarkStart w:id="2" w:name="_Toc378223844"/>
      <w:r>
        <w:t>Acknowledgments</w:t>
      </w:r>
      <w:bookmarkEnd w:id="1"/>
    </w:p>
    <w:p w14:paraId="57670172" w14:textId="63E6675E" w:rsidR="00070E51" w:rsidRDefault="00070E51" w:rsidP="003D6448">
      <w:pPr>
        <w:jc w:val="both"/>
      </w:pPr>
      <w:r>
        <w:t>First and foremost, I would like to express my gratitude to the University of Sheffield and the British Library for providing financial support without which the realisation of this thesis would have been impossible.</w:t>
      </w:r>
      <w:r w:rsidR="00C763D2">
        <w:t xml:space="preserve"> I </w:t>
      </w:r>
      <w:r w:rsidR="003D6448">
        <w:t xml:space="preserve">also </w:t>
      </w:r>
      <w:r w:rsidR="00C763D2">
        <w:t xml:space="preserve">wish to thank </w:t>
      </w:r>
      <w:r w:rsidR="00D36822">
        <w:t xml:space="preserve">the </w:t>
      </w:r>
      <w:r w:rsidR="00C763D2">
        <w:t>Sir Ian Kershaw</w:t>
      </w:r>
      <w:r w:rsidR="00D36822">
        <w:t xml:space="preserve"> Postgraduate Research Fund</w:t>
      </w:r>
      <w:r w:rsidR="00C763D2">
        <w:t xml:space="preserve">, the </w:t>
      </w:r>
      <w:r w:rsidR="00C763D2">
        <w:rPr>
          <w:i/>
          <w:iCs/>
        </w:rPr>
        <w:t>Institut français d’histoire en Allemagne</w:t>
      </w:r>
      <w:r w:rsidR="00C763D2">
        <w:t xml:space="preserve">, the Society for the Study of French History and the German Historical Society, for providing generous bursaries. </w:t>
      </w:r>
    </w:p>
    <w:p w14:paraId="25AF6535" w14:textId="77777777" w:rsidR="00B11F48" w:rsidRDefault="003D6448" w:rsidP="00AC5770">
      <w:pPr>
        <w:jc w:val="both"/>
      </w:pPr>
      <w:r>
        <w:t xml:space="preserve">There are many academics that I would like to acknowledge. </w:t>
      </w:r>
      <w:r w:rsidR="00070E51">
        <w:t>My thanks go to</w:t>
      </w:r>
      <w:r w:rsidR="008B1AD5">
        <w:t xml:space="preserve"> Dr Timothy Baycroft, my supervisor at the University of Sheffield, for his constant support, constructive criticism and faith in my project. This thesis would not exist without </w:t>
      </w:r>
      <w:r w:rsidR="00070E51">
        <w:t>his understanding and generosity</w:t>
      </w:r>
      <w:r w:rsidR="008B1AD5">
        <w:t>.</w:t>
      </w:r>
      <w:r w:rsidR="00D547FA">
        <w:t xml:space="preserve"> </w:t>
      </w:r>
      <w:r w:rsidR="00D547FA" w:rsidRPr="00D547FA">
        <w:rPr>
          <w:i/>
          <w:iCs/>
          <w:lang w:val="fr-FR"/>
        </w:rPr>
        <w:t>Grand merci pour avoir rendu la vie d’un Belge en exile si facile.</w:t>
      </w:r>
      <w:r w:rsidR="008B1AD5" w:rsidRPr="00D547FA">
        <w:rPr>
          <w:lang w:val="fr-FR"/>
        </w:rPr>
        <w:t xml:space="preserve"> </w:t>
      </w:r>
      <w:r w:rsidR="008B1AD5">
        <w:t xml:space="preserve">I am also in debt to Teresa Vernon, my supervisor at the British Library, who believed in me and considerably eased my time while doing research in London; </w:t>
      </w:r>
      <w:r w:rsidR="00825BA4">
        <w:t xml:space="preserve">Dr </w:t>
      </w:r>
      <w:r w:rsidR="008B1AD5">
        <w:t>Clare Griffiths, my second supervisor at the University of Sheffield, fo</w:t>
      </w:r>
      <w:r w:rsidR="00825BA4">
        <w:t>r her kindness and advice; Pr Bob Moore</w:t>
      </w:r>
      <w:r w:rsidR="00ED26E5">
        <w:t xml:space="preserve"> (University of Sheffield)</w:t>
      </w:r>
      <w:r w:rsidR="00825BA4">
        <w:t xml:space="preserve">, for </w:t>
      </w:r>
      <w:r w:rsidR="00D547FA">
        <w:t>his expertise on Belgium and the Netherlands</w:t>
      </w:r>
      <w:r w:rsidR="00825BA4">
        <w:t xml:space="preserve"> and for his refreshing sense of humour; Pr Benjamin Ziemann</w:t>
      </w:r>
      <w:r w:rsidR="00ED26E5">
        <w:t xml:space="preserve"> (University of Sheffield)</w:t>
      </w:r>
      <w:r w:rsidR="00825BA4">
        <w:t xml:space="preserve">, whose input regarding German sources and archives proved invaluable; </w:t>
      </w:r>
      <w:r w:rsidR="00D547FA">
        <w:t>Dr James Connolly</w:t>
      </w:r>
      <w:r w:rsidR="00ED26E5">
        <w:t xml:space="preserve"> (Université de la Sorbonne)</w:t>
      </w:r>
      <w:r w:rsidR="005861D9">
        <w:t xml:space="preserve">, who offered </w:t>
      </w:r>
      <w:r w:rsidR="00AC5770">
        <w:t>fruitful intellectual exchange</w:t>
      </w:r>
      <w:r w:rsidR="00D547FA">
        <w:t xml:space="preserve"> regarding the occupation, and </w:t>
      </w:r>
      <w:r w:rsidR="00ED26E5">
        <w:t xml:space="preserve">who </w:t>
      </w:r>
      <w:r w:rsidR="00D547FA">
        <w:t xml:space="preserve">later reviewed my </w:t>
      </w:r>
      <w:r w:rsidR="00ED26E5">
        <w:t>thesis</w:t>
      </w:r>
      <w:r w:rsidR="00D547FA">
        <w:t>;</w:t>
      </w:r>
      <w:r w:rsidR="00ED26E5">
        <w:t xml:space="preserve"> Dr Emmanuel Debruyne (Université Catholique de Louvain), who gave enthusiastic advice and shared his knowledge of occupied Belgium; Pr Sophie de Schaepdrijver (Pennsylvania State Uni</w:t>
      </w:r>
      <w:r w:rsidR="00AC5770">
        <w:t>versity), for her encouragement</w:t>
      </w:r>
      <w:r w:rsidR="00ED26E5">
        <w:t xml:space="preserve"> and interest </w:t>
      </w:r>
      <w:r w:rsidR="00AC5770">
        <w:t>in</w:t>
      </w:r>
      <w:r w:rsidR="00ED26E5">
        <w:t xml:space="preserve"> my project; Pr Olivier Forcade (Université Paris IV), who offered precious information on the French press and </w:t>
      </w:r>
      <w:r>
        <w:t>let me</w:t>
      </w:r>
      <w:r w:rsidR="00ED26E5">
        <w:t xml:space="preserve"> present my project at the </w:t>
      </w:r>
      <w:r w:rsidR="00ED26E5">
        <w:rPr>
          <w:i/>
          <w:iCs/>
        </w:rPr>
        <w:t>Historial de Péronne</w:t>
      </w:r>
      <w:r w:rsidR="00ED26E5">
        <w:t xml:space="preserve">; Simon Catros (Université Paris IV) and his partner Elise, for helping me with the French archives and welcoming me in Paris; Maude Fagot (Universität des Saarlandes), for sharing her Master Thesis, her findings in the French archives and for our fruitful collaboration; </w:t>
      </w:r>
      <w:r>
        <w:t xml:space="preserve">Nicholas Williams (Université Paris IV), who saved me a trip </w:t>
      </w:r>
      <w:r w:rsidR="00AC5770">
        <w:t>to</w:t>
      </w:r>
      <w:r>
        <w:t xml:space="preserve"> Paris; </w:t>
      </w:r>
      <w:r w:rsidR="00D547FA">
        <w:t xml:space="preserve"> </w:t>
      </w:r>
      <w:r>
        <w:t>Dr Michael Amara (Archives Générales du Royaume de Belgique), for helping me navigate the Belgian archives and providing invaluable advice; and to my fellow PhD students of the third floor, who made my time at the University of Sheffield so interesting.</w:t>
      </w:r>
    </w:p>
    <w:p w14:paraId="54CA6038" w14:textId="77777777" w:rsidR="003D6448" w:rsidRDefault="003D6448" w:rsidP="00AC5770">
      <w:pPr>
        <w:jc w:val="both"/>
      </w:pPr>
      <w:r>
        <w:t xml:space="preserve">The support of my </w:t>
      </w:r>
      <w:r w:rsidR="005861D9">
        <w:t>father</w:t>
      </w:r>
      <w:r w:rsidR="00BB5F16">
        <w:t xml:space="preserve"> and </w:t>
      </w:r>
      <w:r w:rsidR="00AC5770">
        <w:t>brother</w:t>
      </w:r>
      <w:r w:rsidR="00BB5F16">
        <w:t xml:space="preserve"> </w:t>
      </w:r>
      <w:r>
        <w:t xml:space="preserve">proved </w:t>
      </w:r>
      <w:r w:rsidR="00BB5F16">
        <w:t xml:space="preserve">essential to overcome the difficulties and frustrations associated with a thesis. My father, René, helped me both financially and morally </w:t>
      </w:r>
      <w:r w:rsidR="000E6015">
        <w:t>throughout</w:t>
      </w:r>
      <w:r w:rsidR="00BB5F16">
        <w:t xml:space="preserve"> these years. I cannot thank him enough for believing in me. My brother Alexis</w:t>
      </w:r>
      <w:r w:rsidR="000E6015">
        <w:t>, the rigorous</w:t>
      </w:r>
      <w:r w:rsidR="000E6015">
        <w:rPr>
          <w:i/>
          <w:iCs/>
        </w:rPr>
        <w:t xml:space="preserve"> médiéviste</w:t>
      </w:r>
      <w:r w:rsidR="000E6015">
        <w:t>,</w:t>
      </w:r>
      <w:r w:rsidR="00BB5F16">
        <w:t xml:space="preserve"> offered invaluable advice as how to manage my time as a doctoral student. His wife, Adélaïde, and their children </w:t>
      </w:r>
      <w:r w:rsidR="0014699B">
        <w:t xml:space="preserve">welcomed me with generosity and enthusiasm during my numerous research trips </w:t>
      </w:r>
      <w:r w:rsidR="00AC5770">
        <w:t>to</w:t>
      </w:r>
      <w:r w:rsidR="0014699B">
        <w:t xml:space="preserve"> Belgium. </w:t>
      </w:r>
      <w:r w:rsidR="000E6015">
        <w:t xml:space="preserve">Finally, </w:t>
      </w:r>
      <w:r w:rsidR="0014699B">
        <w:t>I cannot begin to express the debt of gratitude that I owe to my partner, Sabine Grimm, for her endless stream of encoura</w:t>
      </w:r>
      <w:r w:rsidR="001933B6">
        <w:t xml:space="preserve">gement, support and </w:t>
      </w:r>
      <w:r w:rsidR="00E60E54">
        <w:t>kindness</w:t>
      </w:r>
      <w:r w:rsidR="005861D9">
        <w:t>, and to our new-born Phileas for making the last six months of my thesis eventful.</w:t>
      </w:r>
    </w:p>
    <w:p w14:paraId="747AE679" w14:textId="77777777" w:rsidR="00415A32" w:rsidRPr="00F51E28" w:rsidRDefault="00415A32" w:rsidP="00F73C88">
      <w:pPr>
        <w:pStyle w:val="Title"/>
        <w:outlineLvl w:val="0"/>
        <w:sectPr w:rsidR="00415A32" w:rsidRPr="00F51E28" w:rsidSect="00415A32">
          <w:headerReference w:type="default" r:id="rId12"/>
          <w:footerReference w:type="first" r:id="rId13"/>
          <w:type w:val="continuous"/>
          <w:pgSz w:w="11907" w:h="16839" w:code="9"/>
          <w:pgMar w:top="1440" w:right="1440" w:bottom="1440" w:left="1440" w:header="708" w:footer="708" w:gutter="0"/>
          <w:cols w:space="708"/>
          <w:titlePg/>
          <w:docGrid w:linePitch="360"/>
        </w:sectPr>
      </w:pPr>
    </w:p>
    <w:p w14:paraId="44945618" w14:textId="77777777" w:rsidR="004B484B" w:rsidRPr="00E35CCD" w:rsidRDefault="004B484B" w:rsidP="00F73C88">
      <w:pPr>
        <w:pStyle w:val="Title"/>
        <w:outlineLvl w:val="0"/>
        <w:sectPr w:rsidR="004B484B" w:rsidRPr="00E35CCD" w:rsidSect="00415A32">
          <w:type w:val="continuous"/>
          <w:pgSz w:w="11907" w:h="16839" w:code="9"/>
          <w:pgMar w:top="1440" w:right="1440" w:bottom="1440" w:left="1440" w:header="708" w:footer="708" w:gutter="0"/>
          <w:cols w:space="708"/>
          <w:titlePg/>
          <w:docGrid w:linePitch="360"/>
        </w:sectPr>
      </w:pPr>
    </w:p>
    <w:p w14:paraId="3603D464" w14:textId="6D99E934" w:rsidR="00330AD1" w:rsidRPr="000E462F" w:rsidRDefault="00330AD1" w:rsidP="00F73C88">
      <w:pPr>
        <w:pStyle w:val="Title"/>
        <w:outlineLvl w:val="0"/>
        <w:rPr>
          <w:lang w:val="fr-FR"/>
        </w:rPr>
      </w:pPr>
      <w:bookmarkStart w:id="3" w:name="_Toc402192938"/>
      <w:r w:rsidRPr="000E462F">
        <w:rPr>
          <w:lang w:val="fr-FR"/>
        </w:rPr>
        <w:t>List of abbreviations</w:t>
      </w:r>
      <w:bookmarkEnd w:id="3"/>
    </w:p>
    <w:p w14:paraId="4BF7DCB7" w14:textId="77777777" w:rsidR="009167F9" w:rsidRDefault="009167F9" w:rsidP="009167F9">
      <w:pPr>
        <w:rPr>
          <w:rFonts w:ascii="Times New Roman" w:hAnsi="Times New Roman" w:cs="Times New Roman"/>
          <w:lang w:val="fr-BE"/>
        </w:rPr>
      </w:pPr>
    </w:p>
    <w:p w14:paraId="7EDB30E4" w14:textId="77777777" w:rsidR="009167F9" w:rsidRPr="00802994" w:rsidRDefault="009167F9" w:rsidP="00802994">
      <w:pPr>
        <w:rPr>
          <w:lang w:val="fr-FR"/>
        </w:rPr>
      </w:pPr>
      <w:r w:rsidRPr="00802994">
        <w:rPr>
          <w:lang w:val="fr-FR"/>
        </w:rPr>
        <w:t>AA</w:t>
      </w:r>
      <w:r w:rsidRPr="00802994">
        <w:rPr>
          <w:lang w:val="fr-FR"/>
        </w:rPr>
        <w:tab/>
      </w:r>
      <w:r w:rsidRPr="00802994">
        <w:rPr>
          <w:lang w:val="fr-FR"/>
        </w:rPr>
        <w:tab/>
      </w:r>
      <w:r w:rsidRPr="00802994">
        <w:rPr>
          <w:i/>
          <w:iCs/>
          <w:lang w:val="fr-FR"/>
        </w:rPr>
        <w:t>Armée de l’Air</w:t>
      </w:r>
    </w:p>
    <w:p w14:paraId="39EFA7EB" w14:textId="77777777" w:rsidR="009167F9" w:rsidRPr="00802994" w:rsidRDefault="009167F9" w:rsidP="00802994">
      <w:pPr>
        <w:rPr>
          <w:lang w:val="fr-FR"/>
        </w:rPr>
      </w:pPr>
      <w:r w:rsidRPr="00802994">
        <w:rPr>
          <w:lang w:val="fr-FR"/>
        </w:rPr>
        <w:t>ADHS</w:t>
      </w:r>
      <w:r w:rsidRPr="00802994">
        <w:rPr>
          <w:lang w:val="fr-FR"/>
        </w:rPr>
        <w:tab/>
      </w:r>
      <w:r w:rsidRPr="00802994">
        <w:rPr>
          <w:lang w:val="fr-FR"/>
        </w:rPr>
        <w:tab/>
      </w:r>
      <w:r w:rsidR="00802994" w:rsidRPr="00802994">
        <w:rPr>
          <w:i/>
          <w:iCs/>
          <w:lang w:val="fr-FR"/>
        </w:rPr>
        <w:t>Archives Départementales de</w:t>
      </w:r>
      <w:r w:rsidRPr="00802994">
        <w:rPr>
          <w:i/>
          <w:iCs/>
          <w:lang w:val="fr-FR"/>
        </w:rPr>
        <w:t xml:space="preserve"> Haute-Savoie</w:t>
      </w:r>
    </w:p>
    <w:p w14:paraId="3A09BD69" w14:textId="77777777" w:rsidR="009167F9" w:rsidRDefault="009167F9" w:rsidP="00802994">
      <w:pPr>
        <w:rPr>
          <w:i/>
          <w:iCs/>
          <w:lang w:val="fr-FR"/>
        </w:rPr>
      </w:pPr>
      <w:r w:rsidRPr="00802994">
        <w:rPr>
          <w:lang w:val="fr-FR"/>
        </w:rPr>
        <w:t>ADN</w:t>
      </w:r>
      <w:r w:rsidRPr="00802994">
        <w:rPr>
          <w:lang w:val="fr-FR"/>
        </w:rPr>
        <w:tab/>
      </w:r>
      <w:r w:rsidRPr="00802994">
        <w:rPr>
          <w:lang w:val="fr-FR"/>
        </w:rPr>
        <w:tab/>
      </w:r>
      <w:r w:rsidRPr="00802994">
        <w:rPr>
          <w:i/>
          <w:iCs/>
          <w:lang w:val="fr-FR"/>
        </w:rPr>
        <w:t>Archives Départementales du Nord</w:t>
      </w:r>
    </w:p>
    <w:p w14:paraId="22B43339" w14:textId="77777777" w:rsidR="00364086" w:rsidRPr="00364086" w:rsidRDefault="00364086" w:rsidP="00802994">
      <w:pPr>
        <w:rPr>
          <w:lang w:val="fr-FR"/>
        </w:rPr>
      </w:pPr>
      <w:r>
        <w:rPr>
          <w:lang w:val="fr-FR"/>
        </w:rPr>
        <w:t>AGR</w:t>
      </w:r>
      <w:r>
        <w:rPr>
          <w:lang w:val="fr-FR"/>
        </w:rPr>
        <w:tab/>
      </w:r>
      <w:r>
        <w:rPr>
          <w:lang w:val="fr-FR"/>
        </w:rPr>
        <w:tab/>
      </w:r>
      <w:r>
        <w:rPr>
          <w:i/>
          <w:iCs/>
          <w:lang w:val="fr-FR"/>
        </w:rPr>
        <w:t>Archives Générales du Royaume</w:t>
      </w:r>
    </w:p>
    <w:p w14:paraId="761DCF85" w14:textId="77777777" w:rsidR="009167F9" w:rsidRPr="00802994" w:rsidRDefault="009167F9" w:rsidP="00802994">
      <w:pPr>
        <w:rPr>
          <w:lang w:val="fr-FR"/>
        </w:rPr>
      </w:pPr>
      <w:r w:rsidRPr="00802994">
        <w:rPr>
          <w:lang w:val="fr-FR"/>
        </w:rPr>
        <w:t>AN</w:t>
      </w:r>
      <w:r w:rsidRPr="00802994">
        <w:rPr>
          <w:lang w:val="fr-FR"/>
        </w:rPr>
        <w:tab/>
      </w:r>
      <w:r w:rsidRPr="00802994">
        <w:rPr>
          <w:lang w:val="fr-FR"/>
        </w:rPr>
        <w:tab/>
      </w:r>
      <w:r w:rsidRPr="00802994">
        <w:rPr>
          <w:i/>
          <w:iCs/>
          <w:lang w:val="fr-FR"/>
        </w:rPr>
        <w:t>Archives Nationales</w:t>
      </w:r>
    </w:p>
    <w:p w14:paraId="70AF1BE5" w14:textId="77777777" w:rsidR="009167F9" w:rsidRPr="00802994" w:rsidRDefault="009167F9" w:rsidP="00802994">
      <w:pPr>
        <w:rPr>
          <w:rFonts w:cs="Times New Roman"/>
          <w:lang w:val="fr-FR"/>
        </w:rPr>
      </w:pPr>
      <w:r w:rsidRPr="00802994">
        <w:rPr>
          <w:lang w:val="fr-FR"/>
        </w:rPr>
        <w:t>ASPF AEB</w:t>
      </w:r>
      <w:r w:rsidRPr="00802994">
        <w:rPr>
          <w:lang w:val="fr-FR"/>
        </w:rPr>
        <w:tab/>
      </w:r>
      <w:r w:rsidRPr="00802994">
        <w:rPr>
          <w:i/>
          <w:iCs/>
          <w:lang w:val="fr-FR"/>
        </w:rPr>
        <w:t>Archives du Service Publique Fédérales Affaires Etrangères Belges</w:t>
      </w:r>
    </w:p>
    <w:p w14:paraId="08CE26B1" w14:textId="77777777" w:rsidR="009167F9" w:rsidRPr="00802994" w:rsidRDefault="009167F9" w:rsidP="00802994">
      <w:pPr>
        <w:rPr>
          <w:rFonts w:cs="Times New Roman"/>
          <w:lang w:val="fr-BE"/>
        </w:rPr>
      </w:pPr>
      <w:r w:rsidRPr="00802994">
        <w:rPr>
          <w:rFonts w:cs="Times New Roman"/>
          <w:lang w:val="fr-BE"/>
        </w:rPr>
        <w:t>AT</w:t>
      </w:r>
      <w:r w:rsidRPr="00802994">
        <w:rPr>
          <w:rFonts w:cs="Times New Roman"/>
          <w:lang w:val="fr-BE"/>
        </w:rPr>
        <w:tab/>
      </w:r>
      <w:r w:rsidRPr="00802994">
        <w:rPr>
          <w:rFonts w:cs="Times New Roman"/>
          <w:lang w:val="fr-BE"/>
        </w:rPr>
        <w:tab/>
      </w:r>
      <w:r w:rsidRPr="00802994">
        <w:rPr>
          <w:rFonts w:cs="Times New Roman"/>
          <w:i/>
          <w:iCs/>
          <w:lang w:val="fr-BE"/>
        </w:rPr>
        <w:t>Armée de Terre</w:t>
      </w:r>
    </w:p>
    <w:p w14:paraId="67AF0993" w14:textId="77777777" w:rsidR="009167F9" w:rsidRDefault="009167F9" w:rsidP="00802994">
      <w:pPr>
        <w:rPr>
          <w:rFonts w:cs="Times New Roman"/>
          <w:lang w:val="fr-BE"/>
        </w:rPr>
      </w:pPr>
      <w:r w:rsidRPr="00802994">
        <w:rPr>
          <w:rFonts w:cs="Times New Roman"/>
          <w:lang w:val="fr-BE"/>
        </w:rPr>
        <w:t>BL</w:t>
      </w:r>
      <w:r w:rsidRPr="00802994">
        <w:rPr>
          <w:rFonts w:cs="Times New Roman"/>
          <w:lang w:val="fr-BE"/>
        </w:rPr>
        <w:tab/>
      </w:r>
      <w:r w:rsidRPr="00802994">
        <w:rPr>
          <w:rFonts w:cs="Times New Roman"/>
          <w:lang w:val="fr-BE"/>
        </w:rPr>
        <w:tab/>
        <w:t>British Library</w:t>
      </w:r>
    </w:p>
    <w:p w14:paraId="410F2BDC" w14:textId="77777777" w:rsidR="005861D9" w:rsidRPr="00802994" w:rsidRDefault="005861D9" w:rsidP="00802994">
      <w:pPr>
        <w:rPr>
          <w:rFonts w:cs="Times New Roman"/>
          <w:lang w:val="fr-BE"/>
        </w:rPr>
      </w:pPr>
      <w:r>
        <w:rPr>
          <w:rFonts w:cs="Times New Roman"/>
          <w:lang w:val="fr-BE"/>
        </w:rPr>
        <w:t>CEGES/SOMA</w:t>
      </w:r>
      <w:r>
        <w:rPr>
          <w:rFonts w:cs="Times New Roman"/>
          <w:lang w:val="fr-BE"/>
        </w:rPr>
        <w:tab/>
      </w:r>
      <w:r w:rsidRPr="005861D9">
        <w:rPr>
          <w:rFonts w:cs="Times New Roman"/>
          <w:i/>
          <w:lang w:val="fr-BE"/>
        </w:rPr>
        <w:t>Centre d’Etudes et de documentation Guerre et Sociétés contemporaines</w:t>
      </w:r>
    </w:p>
    <w:p w14:paraId="7E12807E" w14:textId="77777777" w:rsidR="009167F9" w:rsidRPr="00802994" w:rsidRDefault="009167F9" w:rsidP="00802994">
      <w:pPr>
        <w:rPr>
          <w:rFonts w:cs="Times New Roman"/>
          <w:lang w:val="fr-BE"/>
        </w:rPr>
      </w:pPr>
      <w:r w:rsidRPr="00802994">
        <w:rPr>
          <w:rFonts w:cs="Times New Roman"/>
          <w:lang w:val="fr-BE"/>
        </w:rPr>
        <w:t>EMA</w:t>
      </w:r>
      <w:r w:rsidRPr="00802994">
        <w:rPr>
          <w:rFonts w:cs="Times New Roman"/>
          <w:lang w:val="fr-BE"/>
        </w:rPr>
        <w:tab/>
      </w:r>
      <w:r w:rsidRPr="00802994">
        <w:rPr>
          <w:rFonts w:cs="Times New Roman"/>
          <w:lang w:val="fr-BE"/>
        </w:rPr>
        <w:tab/>
      </w:r>
      <w:r w:rsidRPr="00802994">
        <w:rPr>
          <w:rFonts w:cs="Times New Roman"/>
          <w:i/>
          <w:iCs/>
          <w:lang w:val="fr-BE"/>
        </w:rPr>
        <w:t>Etat-Major de l’Armée</w:t>
      </w:r>
    </w:p>
    <w:p w14:paraId="26D85F5B" w14:textId="77777777" w:rsidR="009167F9" w:rsidRPr="00913FF1" w:rsidRDefault="009167F9" w:rsidP="00802994">
      <w:pPr>
        <w:rPr>
          <w:rFonts w:cs="Times New Roman"/>
          <w:lang w:val="fr-FR"/>
        </w:rPr>
      </w:pPr>
      <w:r w:rsidRPr="00913FF1">
        <w:rPr>
          <w:rFonts w:cs="Times New Roman"/>
          <w:lang w:val="fr-FR"/>
        </w:rPr>
        <w:t>GQG</w:t>
      </w:r>
      <w:r w:rsidRPr="00913FF1">
        <w:rPr>
          <w:rFonts w:cs="Times New Roman"/>
          <w:lang w:val="fr-FR"/>
        </w:rPr>
        <w:tab/>
      </w:r>
      <w:r w:rsidRPr="00913FF1">
        <w:rPr>
          <w:rFonts w:cs="Times New Roman"/>
          <w:lang w:val="fr-FR"/>
        </w:rPr>
        <w:tab/>
      </w:r>
      <w:r w:rsidRPr="00913FF1">
        <w:rPr>
          <w:rFonts w:cs="Times New Roman"/>
          <w:i/>
          <w:iCs/>
          <w:lang w:val="fr-FR"/>
        </w:rPr>
        <w:t>Grand Quartier Général</w:t>
      </w:r>
    </w:p>
    <w:p w14:paraId="55CEEA04" w14:textId="77777777" w:rsidR="009167F9" w:rsidRPr="00DE3AC9" w:rsidRDefault="009167F9" w:rsidP="00802994">
      <w:pPr>
        <w:rPr>
          <w:rFonts w:cs="Times New Roman"/>
          <w:lang w:val="fr-FR"/>
        </w:rPr>
      </w:pPr>
      <w:r w:rsidRPr="00DE3AC9">
        <w:rPr>
          <w:rFonts w:cs="Times New Roman"/>
          <w:lang w:val="fr-FR"/>
        </w:rPr>
        <w:t>IWM</w:t>
      </w:r>
      <w:r w:rsidRPr="00DE3AC9">
        <w:rPr>
          <w:rFonts w:cs="Times New Roman"/>
          <w:lang w:val="fr-FR"/>
        </w:rPr>
        <w:tab/>
      </w:r>
      <w:r w:rsidRPr="00DE3AC9">
        <w:rPr>
          <w:rFonts w:cs="Times New Roman"/>
          <w:lang w:val="fr-FR"/>
        </w:rPr>
        <w:tab/>
        <w:t>Imperial War Museum</w:t>
      </w:r>
    </w:p>
    <w:p w14:paraId="7DF491FC" w14:textId="77777777" w:rsidR="009167F9" w:rsidRPr="00DE3AC9" w:rsidRDefault="009167F9" w:rsidP="00802994">
      <w:pPr>
        <w:rPr>
          <w:rFonts w:cs="Times New Roman"/>
          <w:lang w:val="fr-FR"/>
        </w:rPr>
      </w:pPr>
      <w:r w:rsidRPr="00DE3AC9">
        <w:rPr>
          <w:rFonts w:cs="Times New Roman"/>
          <w:lang w:val="fr-FR"/>
        </w:rPr>
        <w:t>MI7</w:t>
      </w:r>
      <w:r w:rsidRPr="00DE3AC9">
        <w:rPr>
          <w:rFonts w:cs="Times New Roman"/>
          <w:lang w:val="fr-FR"/>
        </w:rPr>
        <w:tab/>
      </w:r>
      <w:r w:rsidRPr="00DE3AC9">
        <w:rPr>
          <w:rFonts w:cs="Times New Roman"/>
          <w:lang w:val="fr-FR"/>
        </w:rPr>
        <w:tab/>
        <w:t>Military Intelligence 7</w:t>
      </w:r>
    </w:p>
    <w:p w14:paraId="2A917E63" w14:textId="77777777" w:rsidR="009167F9" w:rsidRPr="00802994" w:rsidRDefault="009167F9" w:rsidP="00802994">
      <w:pPr>
        <w:rPr>
          <w:rFonts w:cs="Times New Roman"/>
          <w:lang w:val="fr-BE"/>
        </w:rPr>
      </w:pPr>
      <w:r w:rsidRPr="00802994">
        <w:rPr>
          <w:lang w:val="fr-FR"/>
        </w:rPr>
        <w:t>MRAHM</w:t>
      </w:r>
      <w:r w:rsidRPr="00802994">
        <w:rPr>
          <w:lang w:val="fr-FR"/>
        </w:rPr>
        <w:tab/>
      </w:r>
      <w:r w:rsidRPr="00802994">
        <w:rPr>
          <w:i/>
          <w:iCs/>
          <w:lang w:val="fr-FR"/>
        </w:rPr>
        <w:t>Musée Royal de l’Armée et d’Histoire Militaire</w:t>
      </w:r>
    </w:p>
    <w:p w14:paraId="2AAA6FF6" w14:textId="77777777" w:rsidR="009167F9" w:rsidRPr="000E462F" w:rsidRDefault="009167F9" w:rsidP="00802994">
      <w:pPr>
        <w:rPr>
          <w:rFonts w:cs="Times New Roman"/>
          <w:lang w:val="de-DE"/>
        </w:rPr>
      </w:pPr>
      <w:r w:rsidRPr="000E462F">
        <w:rPr>
          <w:rFonts w:cs="Times New Roman"/>
          <w:lang w:val="de-DE"/>
        </w:rPr>
        <w:t>NA</w:t>
      </w:r>
      <w:r w:rsidRPr="000E462F">
        <w:rPr>
          <w:rFonts w:cs="Times New Roman"/>
          <w:lang w:val="de-DE"/>
        </w:rPr>
        <w:tab/>
      </w:r>
      <w:r w:rsidRPr="000E462F">
        <w:rPr>
          <w:rFonts w:cs="Times New Roman"/>
          <w:lang w:val="de-DE"/>
        </w:rPr>
        <w:tab/>
        <w:t>National Archives</w:t>
      </w:r>
    </w:p>
    <w:p w14:paraId="6795FB98" w14:textId="77777777" w:rsidR="00802994" w:rsidRPr="00802994" w:rsidRDefault="00802994" w:rsidP="00802994">
      <w:pPr>
        <w:rPr>
          <w:rFonts w:cs="Times New Roman"/>
          <w:lang w:val="de-DE"/>
        </w:rPr>
      </w:pPr>
      <w:r w:rsidRPr="00802994">
        <w:rPr>
          <w:lang w:val="de-DE"/>
        </w:rPr>
        <w:t>PAAA</w:t>
      </w:r>
      <w:r w:rsidRPr="00802994">
        <w:rPr>
          <w:lang w:val="de-DE"/>
        </w:rPr>
        <w:tab/>
      </w:r>
      <w:r w:rsidRPr="00802994">
        <w:rPr>
          <w:lang w:val="de-DE"/>
        </w:rPr>
        <w:tab/>
      </w:r>
      <w:r w:rsidRPr="00802994">
        <w:rPr>
          <w:i/>
          <w:iCs/>
          <w:lang w:val="de-DE"/>
        </w:rPr>
        <w:t>Politisches Archiv des Aswärtigen Amts</w:t>
      </w:r>
      <w:r w:rsidRPr="00802994">
        <w:rPr>
          <w:lang w:val="de-DE"/>
        </w:rPr>
        <w:t xml:space="preserve"> </w:t>
      </w:r>
    </w:p>
    <w:p w14:paraId="7FE1DE24" w14:textId="77777777" w:rsidR="009167F9" w:rsidRDefault="00FC17F9" w:rsidP="00802994">
      <w:pPr>
        <w:rPr>
          <w:rFonts w:cs="Times New Roman"/>
          <w:i/>
          <w:iCs/>
          <w:lang w:val="fr-BE"/>
        </w:rPr>
      </w:pPr>
      <w:r>
        <w:rPr>
          <w:rFonts w:cs="Times New Roman"/>
          <w:lang w:val="fr-BE"/>
        </w:rPr>
        <w:t>S</w:t>
      </w:r>
      <w:r w:rsidR="009167F9" w:rsidRPr="00802994">
        <w:rPr>
          <w:rFonts w:cs="Times New Roman"/>
          <w:lang w:val="fr-BE"/>
        </w:rPr>
        <w:t>H</w:t>
      </w:r>
      <w:r>
        <w:rPr>
          <w:rFonts w:cs="Times New Roman"/>
          <w:lang w:val="fr-BE"/>
        </w:rPr>
        <w:t>D</w:t>
      </w:r>
      <w:r w:rsidR="009167F9" w:rsidRPr="00802994">
        <w:rPr>
          <w:rFonts w:cs="Times New Roman"/>
          <w:lang w:val="fr-BE"/>
        </w:rPr>
        <w:tab/>
      </w:r>
      <w:r w:rsidR="009167F9" w:rsidRPr="00802994">
        <w:rPr>
          <w:rFonts w:cs="Times New Roman"/>
          <w:lang w:val="fr-BE"/>
        </w:rPr>
        <w:tab/>
      </w:r>
      <w:r w:rsidR="009167F9" w:rsidRPr="00802994">
        <w:rPr>
          <w:rFonts w:cs="Times New Roman"/>
          <w:i/>
          <w:iCs/>
          <w:lang w:val="fr-BE"/>
        </w:rPr>
        <w:t>Service Historique de la Défense</w:t>
      </w:r>
    </w:p>
    <w:p w14:paraId="171408D0" w14:textId="77777777" w:rsidR="005861D9" w:rsidRPr="00DE3AC9" w:rsidRDefault="005861D9" w:rsidP="00802994">
      <w:pPr>
        <w:rPr>
          <w:rFonts w:cs="Times New Roman"/>
        </w:rPr>
      </w:pPr>
      <w:r w:rsidRPr="00DE3AC9">
        <w:t>SFA</w:t>
      </w:r>
      <w:r w:rsidRPr="00DE3AC9">
        <w:tab/>
      </w:r>
      <w:r w:rsidRPr="00DE3AC9">
        <w:tab/>
        <w:t>Swiss Federal Archives</w:t>
      </w:r>
    </w:p>
    <w:p w14:paraId="76A2BF3E" w14:textId="77777777" w:rsidR="009167F9" w:rsidRPr="00DE3AC9" w:rsidRDefault="009167F9" w:rsidP="00802994">
      <w:pPr>
        <w:rPr>
          <w:rFonts w:cs="Times New Roman"/>
        </w:rPr>
      </w:pPr>
      <w:r w:rsidRPr="00DE3AC9">
        <w:rPr>
          <w:rFonts w:cs="Times New Roman"/>
        </w:rPr>
        <w:t>SPA</w:t>
      </w:r>
      <w:r w:rsidRPr="00DE3AC9">
        <w:rPr>
          <w:rFonts w:cs="Times New Roman"/>
        </w:rPr>
        <w:tab/>
      </w:r>
      <w:r w:rsidRPr="00DE3AC9">
        <w:rPr>
          <w:rFonts w:cs="Times New Roman"/>
        </w:rPr>
        <w:tab/>
      </w:r>
      <w:r w:rsidRPr="00DE3AC9">
        <w:rPr>
          <w:rFonts w:cs="Times New Roman"/>
          <w:i/>
          <w:iCs/>
        </w:rPr>
        <w:t>Service de la Propagande Aérienne</w:t>
      </w:r>
    </w:p>
    <w:p w14:paraId="5C8FA9C1" w14:textId="77777777" w:rsidR="009167F9" w:rsidRPr="000E462F" w:rsidRDefault="009167F9" w:rsidP="00802994">
      <w:pPr>
        <w:rPr>
          <w:rFonts w:cs="Times New Roman"/>
        </w:rPr>
      </w:pPr>
      <w:r w:rsidRPr="000E462F">
        <w:rPr>
          <w:rFonts w:cs="Times New Roman"/>
        </w:rPr>
        <w:t>WO</w:t>
      </w:r>
      <w:r w:rsidRPr="000E462F">
        <w:rPr>
          <w:rFonts w:cs="Times New Roman"/>
        </w:rPr>
        <w:tab/>
      </w:r>
      <w:r w:rsidRPr="000E462F">
        <w:rPr>
          <w:rFonts w:cs="Times New Roman"/>
        </w:rPr>
        <w:tab/>
        <w:t>War Office</w:t>
      </w:r>
    </w:p>
    <w:p w14:paraId="0E703140" w14:textId="77777777" w:rsidR="009167F9" w:rsidRPr="000E462F" w:rsidRDefault="009167F9" w:rsidP="009167F9">
      <w:pPr>
        <w:rPr>
          <w:rFonts w:ascii="Times New Roman" w:hAnsi="Times New Roman" w:cs="Times New Roman"/>
        </w:rPr>
      </w:pPr>
    </w:p>
    <w:p w14:paraId="36AA8178" w14:textId="77777777" w:rsidR="00415A32" w:rsidRDefault="00415A32" w:rsidP="00F73C88">
      <w:pPr>
        <w:pStyle w:val="Title"/>
        <w:outlineLvl w:val="0"/>
        <w:sectPr w:rsidR="00415A32" w:rsidSect="004B484B">
          <w:pgSz w:w="11907" w:h="16839" w:code="9"/>
          <w:pgMar w:top="1440" w:right="1440" w:bottom="1440" w:left="1440" w:header="708" w:footer="708" w:gutter="0"/>
          <w:cols w:space="708"/>
          <w:titlePg/>
          <w:docGrid w:linePitch="360"/>
        </w:sectPr>
      </w:pPr>
    </w:p>
    <w:p w14:paraId="7AC32944" w14:textId="75C8E29C" w:rsidR="00330AD1" w:rsidRDefault="00F73C88" w:rsidP="00F73C88">
      <w:pPr>
        <w:pStyle w:val="Title"/>
        <w:outlineLvl w:val="0"/>
      </w:pPr>
      <w:bookmarkStart w:id="4" w:name="_Toc402192939"/>
      <w:r>
        <w:t>List of illustrations</w:t>
      </w:r>
      <w:bookmarkEnd w:id="4"/>
    </w:p>
    <w:p w14:paraId="2C130367" w14:textId="77777777" w:rsidR="00E4458B" w:rsidRDefault="00E4458B" w:rsidP="00E4458B">
      <w:pPr>
        <w:rPr>
          <w:b/>
          <w:bCs/>
        </w:rPr>
      </w:pPr>
      <w:r>
        <w:rPr>
          <w:b/>
          <w:bCs/>
        </w:rPr>
        <w:t>Cover</w:t>
      </w:r>
    </w:p>
    <w:p w14:paraId="7076426F" w14:textId="77777777" w:rsidR="00E4458B" w:rsidRPr="00E4458B" w:rsidRDefault="00E4458B" w:rsidP="00E4458B">
      <w:r>
        <w:rPr>
          <w:b/>
          <w:bCs/>
        </w:rPr>
        <w:tab/>
      </w:r>
      <w:r>
        <w:t>C</w:t>
      </w:r>
      <w:r w:rsidR="009B1455">
        <w:t>.1. British soldiers releasing</w:t>
      </w:r>
      <w:r>
        <w:t xml:space="preserve"> propaganda balloon</w:t>
      </w:r>
      <w:r w:rsidR="009B1455">
        <w:t>s</w:t>
      </w:r>
      <w:r>
        <w:t>.</w:t>
      </w:r>
    </w:p>
    <w:p w14:paraId="03DF8920" w14:textId="77777777" w:rsidR="00E4458B" w:rsidRDefault="00E4458B" w:rsidP="00E4458B">
      <w:pPr>
        <w:rPr>
          <w:b/>
          <w:bCs/>
        </w:rPr>
      </w:pPr>
      <w:r>
        <w:rPr>
          <w:b/>
          <w:bCs/>
        </w:rPr>
        <w:t>Introduction</w:t>
      </w:r>
    </w:p>
    <w:p w14:paraId="319C3A36" w14:textId="4D40E566" w:rsidR="00E4458B" w:rsidRPr="00E4458B" w:rsidRDefault="00E4458B" w:rsidP="00E4458B">
      <w:r>
        <w:rPr>
          <w:b/>
          <w:bCs/>
        </w:rPr>
        <w:tab/>
      </w:r>
      <w:r w:rsidR="00972DAB">
        <w:t>I.1. Map of the western f</w:t>
      </w:r>
      <w:r>
        <w:t>ront</w:t>
      </w:r>
    </w:p>
    <w:p w14:paraId="5171FC30" w14:textId="77777777" w:rsidR="00E4458B" w:rsidRPr="00B67F33" w:rsidRDefault="00E4458B" w:rsidP="00E4458B">
      <w:pPr>
        <w:rPr>
          <w:b/>
          <w:bCs/>
        </w:rPr>
      </w:pPr>
      <w:r w:rsidRPr="00B67F33">
        <w:rPr>
          <w:b/>
          <w:bCs/>
        </w:rPr>
        <w:t>Chapter 1</w:t>
      </w:r>
    </w:p>
    <w:p w14:paraId="1CE49DB9" w14:textId="77777777" w:rsidR="00E4458B" w:rsidRDefault="00E4458B" w:rsidP="00E4458B">
      <w:pPr>
        <w:ind w:left="720"/>
      </w:pPr>
      <w:r>
        <w:t xml:space="preserve">1.1. </w:t>
      </w:r>
      <w:r w:rsidRPr="00CF5A7D">
        <w:t xml:space="preserve">Chain of command of the SPA </w:t>
      </w:r>
      <w:r>
        <w:t>from 1915 to 1917.</w:t>
      </w:r>
    </w:p>
    <w:p w14:paraId="09838559" w14:textId="77777777" w:rsidR="00E4458B" w:rsidRDefault="00E4458B" w:rsidP="00E4458B">
      <w:pPr>
        <w:ind w:left="720"/>
      </w:pPr>
      <w:r>
        <w:t>1.2. Chain of command of MI7(b).</w:t>
      </w:r>
    </w:p>
    <w:p w14:paraId="159F5138" w14:textId="77777777" w:rsidR="00E4458B" w:rsidRDefault="00E4458B" w:rsidP="00E4458B">
      <w:pPr>
        <w:ind w:left="720"/>
      </w:pPr>
      <w:r>
        <w:t>1.3. Structure of CAPCE.</w:t>
      </w:r>
    </w:p>
    <w:p w14:paraId="1BFB996D" w14:textId="77777777" w:rsidR="00E4458B" w:rsidRPr="00B67F33" w:rsidRDefault="00E4458B" w:rsidP="00E4458B">
      <w:pPr>
        <w:rPr>
          <w:b/>
          <w:bCs/>
        </w:rPr>
      </w:pPr>
      <w:r w:rsidRPr="00B67F33">
        <w:rPr>
          <w:b/>
          <w:bCs/>
        </w:rPr>
        <w:t>Chapter 2</w:t>
      </w:r>
    </w:p>
    <w:p w14:paraId="1E39BA66" w14:textId="77777777" w:rsidR="00E4458B" w:rsidRDefault="00E4458B" w:rsidP="00E4458B">
      <w:pPr>
        <w:ind w:left="720"/>
      </w:pPr>
      <w:r>
        <w:t>2.1. Quantity of French propaganda newspapers distributed by the British during the period of August 1916 to August 1917.</w:t>
      </w:r>
    </w:p>
    <w:p w14:paraId="27B09FB1" w14:textId="77777777" w:rsidR="00E4458B" w:rsidRDefault="00E4458B" w:rsidP="00E4458B">
      <w:pPr>
        <w:ind w:left="720"/>
      </w:pPr>
      <w:r>
        <w:t>2.2. Amount of propaganda distributed by the British in 1917-1918.</w:t>
      </w:r>
    </w:p>
    <w:p w14:paraId="3DEB0B77" w14:textId="77777777" w:rsidR="00E4458B" w:rsidRPr="00B67F33" w:rsidRDefault="00E4458B" w:rsidP="00E4458B">
      <w:pPr>
        <w:rPr>
          <w:b/>
          <w:bCs/>
          <w:lang w:val="de-DE"/>
        </w:rPr>
      </w:pPr>
      <w:r w:rsidRPr="00B67F33">
        <w:rPr>
          <w:b/>
          <w:bCs/>
          <w:lang w:val="de-DE"/>
        </w:rPr>
        <w:t>Chapter 6</w:t>
      </w:r>
    </w:p>
    <w:p w14:paraId="7D23969D" w14:textId="77777777" w:rsidR="00E4458B" w:rsidRPr="00E4458B" w:rsidRDefault="00E4458B" w:rsidP="00E4458B">
      <w:pPr>
        <w:ind w:firstLine="720"/>
        <w:rPr>
          <w:i/>
          <w:iCs/>
          <w:lang w:val="de-DE"/>
        </w:rPr>
      </w:pPr>
      <w:r w:rsidRPr="00E4458B">
        <w:rPr>
          <w:lang w:val="de-DE"/>
        </w:rPr>
        <w:t xml:space="preserve">6.1. Picture found in </w:t>
      </w:r>
      <w:r w:rsidRPr="00E4458B">
        <w:rPr>
          <w:i/>
          <w:iCs/>
          <w:lang w:val="de-DE"/>
        </w:rPr>
        <w:t>Krieg dem Krieg.</w:t>
      </w:r>
    </w:p>
    <w:p w14:paraId="595602B0" w14:textId="77777777" w:rsidR="00E4458B" w:rsidRPr="00B67F33" w:rsidRDefault="00E4458B" w:rsidP="00E4458B">
      <w:pPr>
        <w:rPr>
          <w:b/>
          <w:bCs/>
        </w:rPr>
      </w:pPr>
      <w:r w:rsidRPr="00B67F33">
        <w:rPr>
          <w:b/>
          <w:bCs/>
        </w:rPr>
        <w:t>Appendix</w:t>
      </w:r>
    </w:p>
    <w:p w14:paraId="53B20B4E" w14:textId="77777777" w:rsidR="00E4458B" w:rsidRPr="00AB6A42" w:rsidRDefault="00E4458B" w:rsidP="00E4458B">
      <w:pPr>
        <w:ind w:firstLine="720"/>
      </w:pPr>
      <w:r>
        <w:t>A.</w:t>
      </w:r>
      <w:r w:rsidRPr="00B67F33">
        <w:t xml:space="preserve">1. </w:t>
      </w:r>
      <w:r w:rsidRPr="00AB6A42">
        <w:t xml:space="preserve">First issue of the French </w:t>
      </w:r>
      <w:r w:rsidRPr="00AB6A42">
        <w:rPr>
          <w:i/>
          <w:iCs/>
        </w:rPr>
        <w:t xml:space="preserve">La Voix du Pays, </w:t>
      </w:r>
      <w:r w:rsidRPr="00AB6A42">
        <w:t>October 1915.</w:t>
      </w:r>
    </w:p>
    <w:p w14:paraId="7068825B" w14:textId="77777777" w:rsidR="00E4458B" w:rsidRPr="00AB6A42" w:rsidRDefault="00E4458B" w:rsidP="00E4458B">
      <w:pPr>
        <w:ind w:left="720"/>
      </w:pPr>
      <w:r>
        <w:t xml:space="preserve">A.2. </w:t>
      </w:r>
      <w:r w:rsidRPr="00AB6A42">
        <w:t xml:space="preserve">First issue of the Belgian </w:t>
      </w:r>
      <w:r w:rsidRPr="00AB6A42">
        <w:rPr>
          <w:i/>
          <w:iCs/>
        </w:rPr>
        <w:t>Le Clairon du Roi</w:t>
      </w:r>
      <w:r>
        <w:t>, May 1916.</w:t>
      </w:r>
    </w:p>
    <w:p w14:paraId="745DC0C9" w14:textId="77777777" w:rsidR="00E4458B" w:rsidRPr="00AB6A42" w:rsidRDefault="00E4458B" w:rsidP="00E4458B">
      <w:pPr>
        <w:ind w:left="720"/>
      </w:pPr>
      <w:r>
        <w:t>A.3. Dutch-</w:t>
      </w:r>
      <w:r w:rsidRPr="00AB6A42">
        <w:t>written reverse of</w:t>
      </w:r>
      <w:r>
        <w:t xml:space="preserve"> the first issue of</w:t>
      </w:r>
      <w:r w:rsidRPr="00AB6A42">
        <w:t xml:space="preserve"> </w:t>
      </w:r>
      <w:r>
        <w:rPr>
          <w:i/>
          <w:iCs/>
        </w:rPr>
        <w:t xml:space="preserve">Le Clairon du Roi, </w:t>
      </w:r>
      <w:r>
        <w:t>May 1916.</w:t>
      </w:r>
    </w:p>
    <w:p w14:paraId="4BB9D63B" w14:textId="77777777" w:rsidR="00E4458B" w:rsidRPr="00AB6A42" w:rsidRDefault="00E4458B" w:rsidP="00E4458B">
      <w:pPr>
        <w:ind w:left="720"/>
      </w:pPr>
      <w:r>
        <w:t>A.4.</w:t>
      </w:r>
      <w:r w:rsidRPr="00AB6A42">
        <w:t xml:space="preserve"> First issue of the Belgian made </w:t>
      </w:r>
      <w:r>
        <w:rPr>
          <w:i/>
          <w:iCs/>
        </w:rPr>
        <w:t>La Lettre du Soldat</w:t>
      </w:r>
      <w:r>
        <w:t>, January 1917.</w:t>
      </w:r>
    </w:p>
    <w:p w14:paraId="335C6EF9" w14:textId="77777777" w:rsidR="00E4458B" w:rsidRPr="003077FC" w:rsidRDefault="00E4458B" w:rsidP="00E4458B">
      <w:pPr>
        <w:ind w:left="720"/>
      </w:pPr>
      <w:r>
        <w:t>A.5.</w:t>
      </w:r>
      <w:r w:rsidRPr="00AB6A42">
        <w:t xml:space="preserve"> </w:t>
      </w:r>
      <w:r w:rsidRPr="003077FC">
        <w:t xml:space="preserve">Anti-Flamenpolitik newspaper made by the Belgian government, </w:t>
      </w:r>
      <w:r>
        <w:rPr>
          <w:i/>
          <w:iCs/>
        </w:rPr>
        <w:t xml:space="preserve">‘t Kerelsblad, </w:t>
      </w:r>
      <w:r>
        <w:t>January 1917.</w:t>
      </w:r>
    </w:p>
    <w:p w14:paraId="7C1A229E" w14:textId="77777777" w:rsidR="00E4458B" w:rsidRPr="003077FC" w:rsidRDefault="00E4458B" w:rsidP="00E4458B">
      <w:pPr>
        <w:ind w:left="720"/>
        <w:rPr>
          <w:noProof/>
        </w:rPr>
      </w:pPr>
      <w:r>
        <w:t>A.6.</w:t>
      </w:r>
      <w:r w:rsidRPr="00AB6A42">
        <w:t xml:space="preserve"> </w:t>
      </w:r>
      <w:r>
        <w:rPr>
          <w:noProof/>
        </w:rPr>
        <w:t xml:space="preserve">First issue of the Belgian </w:t>
      </w:r>
      <w:r>
        <w:rPr>
          <w:i/>
          <w:iCs/>
          <w:noProof/>
        </w:rPr>
        <w:t xml:space="preserve">Les Bonnes Nouvelles, </w:t>
      </w:r>
      <w:r>
        <w:rPr>
          <w:noProof/>
        </w:rPr>
        <w:t>August 1918.</w:t>
      </w:r>
    </w:p>
    <w:p w14:paraId="11AEF146" w14:textId="77777777" w:rsidR="00E4458B" w:rsidRPr="003077FC" w:rsidRDefault="00E4458B" w:rsidP="00E4458B">
      <w:pPr>
        <w:ind w:left="720"/>
      </w:pPr>
      <w:r>
        <w:t>A.7.</w:t>
      </w:r>
      <w:r w:rsidRPr="00AB6A42">
        <w:t xml:space="preserve"> </w:t>
      </w:r>
      <w:r w:rsidRPr="003077FC">
        <w:t xml:space="preserve">First issue of the British </w:t>
      </w:r>
      <w:r w:rsidRPr="003077FC">
        <w:rPr>
          <w:i/>
          <w:iCs/>
        </w:rPr>
        <w:t>Le Courrier de l’Air</w:t>
      </w:r>
      <w:r>
        <w:t>, 6 April 1917.</w:t>
      </w:r>
    </w:p>
    <w:p w14:paraId="7F6AD73A" w14:textId="77777777" w:rsidR="00E4458B" w:rsidRDefault="00E4458B" w:rsidP="00E4458B">
      <w:pPr>
        <w:ind w:left="720"/>
        <w:rPr>
          <w:lang w:val="fr-FR"/>
        </w:rPr>
      </w:pPr>
      <w:r w:rsidRPr="00E4458B">
        <w:rPr>
          <w:lang w:val="fr-FR"/>
        </w:rPr>
        <w:t>A.</w:t>
      </w:r>
      <w:r>
        <w:rPr>
          <w:lang w:val="fr-FR"/>
        </w:rPr>
        <w:t>8.</w:t>
      </w:r>
      <w:r w:rsidRPr="00B67F33">
        <w:rPr>
          <w:lang w:val="fr-FR"/>
        </w:rPr>
        <w:t xml:space="preserve"> </w:t>
      </w:r>
      <w:r>
        <w:rPr>
          <w:lang w:val="fr-FR"/>
        </w:rPr>
        <w:t xml:space="preserve">French faked </w:t>
      </w:r>
      <w:r>
        <w:rPr>
          <w:i/>
          <w:iCs/>
          <w:lang w:val="fr-FR"/>
        </w:rPr>
        <w:t xml:space="preserve">La Gazette des Ardennes, </w:t>
      </w:r>
      <w:r>
        <w:rPr>
          <w:lang w:val="fr-FR"/>
        </w:rPr>
        <w:t>1 March 1916.</w:t>
      </w:r>
    </w:p>
    <w:p w14:paraId="40CFD33E" w14:textId="77777777" w:rsidR="00E4458B" w:rsidRPr="00AE2AE2" w:rsidRDefault="00E4458B" w:rsidP="00E4458B">
      <w:pPr>
        <w:ind w:left="720"/>
      </w:pPr>
      <w:r w:rsidRPr="00E4458B">
        <w:t>A.</w:t>
      </w:r>
      <w:r>
        <w:t>9.</w:t>
      </w:r>
      <w:r w:rsidRPr="00AB6A42">
        <w:t xml:space="preserve"> </w:t>
      </w:r>
      <w:r w:rsidRPr="00AE2AE2">
        <w:t>Belgian-British aerial postcard, date unknown.</w:t>
      </w:r>
    </w:p>
    <w:p w14:paraId="7FE7BF12" w14:textId="77777777" w:rsidR="00330AD1" w:rsidRDefault="00330AD1" w:rsidP="00330AD1"/>
    <w:p w14:paraId="789A15AA" w14:textId="77777777" w:rsidR="00901210" w:rsidRDefault="00901210" w:rsidP="00330AD1">
      <w:pPr>
        <w:sectPr w:rsidR="00901210" w:rsidSect="00415A32">
          <w:pgSz w:w="11907" w:h="16839" w:code="9"/>
          <w:pgMar w:top="1440" w:right="1440" w:bottom="1440" w:left="1440" w:header="708" w:footer="708" w:gutter="0"/>
          <w:cols w:space="708"/>
          <w:titlePg/>
          <w:docGrid w:linePitch="360"/>
        </w:sectPr>
      </w:pPr>
    </w:p>
    <w:p w14:paraId="4A3E0BF9" w14:textId="77777777" w:rsidR="0048510E" w:rsidRDefault="0048510E" w:rsidP="0048510E">
      <w:pPr>
        <w:pStyle w:val="Title"/>
        <w:outlineLvl w:val="0"/>
      </w:pPr>
      <w:bookmarkStart w:id="5" w:name="_Toc402192940"/>
      <w:r>
        <w:t>Introduction</w:t>
      </w:r>
      <w:bookmarkEnd w:id="2"/>
      <w:bookmarkEnd w:id="5"/>
    </w:p>
    <w:p w14:paraId="495E3AFB" w14:textId="77777777" w:rsidR="0048510E" w:rsidRDefault="0048510E" w:rsidP="0048510E">
      <w:pPr>
        <w:ind w:left="567" w:right="567"/>
      </w:pPr>
      <w:r>
        <w:t>In the late war, practically the whole of Belgium and a very large and thickly populated portion of France were for four years in enemy occupation. The inhabitants of these territories had no means of communication with their friends; they were entirely subjected to enemy influence in every detail of their lives. […] One of the most obvious duties of the propaganda service was therefore to counteract this influence by the dissemination of the truth as to the Allied cause and its progress.</w:t>
      </w:r>
      <w:r>
        <w:rPr>
          <w:rStyle w:val="FootnoteReference"/>
        </w:rPr>
        <w:footnoteReference w:id="1"/>
      </w:r>
    </w:p>
    <w:p w14:paraId="3F097BC3" w14:textId="77777777" w:rsidR="0048510E" w:rsidRDefault="001A7A3F" w:rsidP="0048510E">
      <w:pPr>
        <w:ind w:left="567" w:right="567"/>
      </w:pPr>
      <w:r>
        <w:t>Major Cecil</w:t>
      </w:r>
      <w:r w:rsidR="0048510E">
        <w:t xml:space="preserve"> Street, War Office propagandist, 1919.</w:t>
      </w:r>
    </w:p>
    <w:p w14:paraId="69DDB3BD" w14:textId="77777777" w:rsidR="0048510E" w:rsidRDefault="0048510E" w:rsidP="0048510E">
      <w:pPr>
        <w:pStyle w:val="Heading2"/>
      </w:pPr>
      <w:bookmarkStart w:id="6" w:name="_Toc402192941"/>
      <w:r>
        <w:t>Historiography</w:t>
      </w:r>
      <w:bookmarkEnd w:id="6"/>
    </w:p>
    <w:p w14:paraId="794559EF" w14:textId="77777777" w:rsidR="0048510E" w:rsidRDefault="0048510E" w:rsidP="0048510E">
      <w:pPr>
        <w:jc w:val="both"/>
      </w:pPr>
      <w:r>
        <w:t>By the time Major Street wrote this article, aerial propaganda aimed at the occupied territories of France and Belgium (simply called ‘aerial propaganda’ in this dissertation) was already a little known part of the war. In 1922, French propagandists involved in similar operations during</w:t>
      </w:r>
      <w:r w:rsidR="001A7A3F">
        <w:t xml:space="preserve"> the conflict wrote a book in an </w:t>
      </w:r>
      <w:r>
        <w:t xml:space="preserve">attempt to bring the subject </w:t>
      </w:r>
      <w:r w:rsidR="001A7A3F">
        <w:t>to</w:t>
      </w:r>
      <w:r>
        <w:t xml:space="preserve"> the spotlight, but to no avail.</w:t>
      </w:r>
      <w:r>
        <w:rPr>
          <w:rStyle w:val="FootnoteReference"/>
        </w:rPr>
        <w:footnoteReference w:id="2"/>
      </w:r>
      <w:r>
        <w:t xml:space="preserve"> The erroneous statement of Ralph Lutz in his 1933 study of First World War propaganda, ‘the aim of propaganda behind the enemy lines is to produce discouragement either in preparation for or in conjunction with an attack by arms’, confirmed that aerial propaganda aimed at occupied civilians had completely failed to leave a mark on the narrative of the conflict.</w:t>
      </w:r>
      <w:r>
        <w:rPr>
          <w:rStyle w:val="FootnoteReference"/>
        </w:rPr>
        <w:footnoteReference w:id="3"/>
      </w:r>
      <w:r>
        <w:t xml:space="preserve"> </w:t>
      </w:r>
    </w:p>
    <w:p w14:paraId="749824D3" w14:textId="47E46894" w:rsidR="0048510E" w:rsidRDefault="0048510E" w:rsidP="002C5A83">
      <w:pPr>
        <w:jc w:val="both"/>
      </w:pPr>
      <w:r>
        <w:t>The fact that this aerial propaganda in the occupied zones was erased from memory should not come as a surprise to historians of the First World War: all aspects of these occupations had largely vanished from collective consciousness by the 1930s.</w:t>
      </w:r>
      <w:r>
        <w:rPr>
          <w:rStyle w:val="FootnoteReference"/>
        </w:rPr>
        <w:footnoteReference w:id="4"/>
      </w:r>
      <w:r>
        <w:t xml:space="preserve"> </w:t>
      </w:r>
      <w:r w:rsidRPr="00C1728D">
        <w:t xml:space="preserve">As Annette Becker argued in her </w:t>
      </w:r>
      <w:r w:rsidRPr="00C1728D">
        <w:rPr>
          <w:i/>
          <w:iCs/>
        </w:rPr>
        <w:t xml:space="preserve">Les Oubliés de la Grande Guerre, </w:t>
      </w:r>
      <w:r>
        <w:t>post-war memories of the conflict were dominated by the experience of those at the front, leaving little space for other aspects of the war.</w:t>
      </w:r>
      <w:r>
        <w:rPr>
          <w:rStyle w:val="FootnoteReference"/>
        </w:rPr>
        <w:footnoteReference w:id="5"/>
      </w:r>
      <w:r w:rsidRPr="00C1728D">
        <w:t xml:space="preserve"> </w:t>
      </w:r>
      <w:r>
        <w:t xml:space="preserve">In Britain, this lack of interest was aggravated by the confidential nature of the work associated with aerial propaganda departments. Even after 1918, War Office propagandists were simply prevented from writing detailed accounts of their service during the conflict. To make things worse, the British propaganda archives were </w:t>
      </w:r>
      <w:r w:rsidR="002C5A83">
        <w:t xml:space="preserve">almost entirely </w:t>
      </w:r>
      <w:r>
        <w:t>burned after the Armistice.</w:t>
      </w:r>
      <w:r>
        <w:rPr>
          <w:rStyle w:val="FootnoteReference"/>
        </w:rPr>
        <w:footnoteReference w:id="6"/>
      </w:r>
      <w:r>
        <w:t xml:space="preserve"> The Second World War also played a crucial role in overshadowing the occupation of the previous conflict. James Connolly noted in his thesis that the word ‘occupation’ is, in present discourse, almost always associated with 1940-1945 in France, leaving no room for the suffering experienced during the first </w:t>
      </w:r>
      <w:r w:rsidR="001A7E1F">
        <w:t>invasion</w:t>
      </w:r>
      <w:r>
        <w:t xml:space="preserve"> of the twentieth century.</w:t>
      </w:r>
      <w:r>
        <w:rPr>
          <w:rStyle w:val="FootnoteReference"/>
        </w:rPr>
        <w:footnoteReference w:id="7"/>
      </w:r>
    </w:p>
    <w:p w14:paraId="0BC9AE5D" w14:textId="550C2870" w:rsidR="0048510E" w:rsidRDefault="0048510E" w:rsidP="00660480">
      <w:pPr>
        <w:jc w:val="both"/>
      </w:pPr>
      <w:r>
        <w:t>Before commencing further analysis, it is important to explain the exact nature of aerial propaganda as discussed in this thesis. It must be underlined that this dissertation will not try to define the term ‘propaganda’, since so many other scholars have already carried out this semantic exercise successfully.</w:t>
      </w:r>
      <w:r>
        <w:rPr>
          <w:rStyle w:val="FootnoteReference"/>
        </w:rPr>
        <w:footnoteReference w:id="8"/>
      </w:r>
      <w:r>
        <w:t xml:space="preserve"> The aerial propaganda examined in this dissertation is not a single entity but comprises </w:t>
      </w:r>
      <w:r w:rsidR="002C5A83">
        <w:t xml:space="preserve">of </w:t>
      </w:r>
      <w:r>
        <w:t>three separate international initiatives led by the Belgians, the French and the British working semi-independently from one another.</w:t>
      </w:r>
      <w:r>
        <w:rPr>
          <w:rStyle w:val="FootnoteReference"/>
        </w:rPr>
        <w:footnoteReference w:id="9"/>
      </w:r>
      <w:r>
        <w:t xml:space="preserve"> In each case, propaganda material written in French and Dutch (Flemish) was dropped for the occupied populations of Belgium and France in order to combat the psychological warfare carried out by the Germans via their own publication. To do so, </w:t>
      </w:r>
      <w:r w:rsidR="00660480">
        <w:t>newspapers</w:t>
      </w:r>
      <w:r>
        <w:t xml:space="preserve"> and leaflets were sent mainly by aeroplanes flying </w:t>
      </w:r>
      <w:r w:rsidR="001A7E1F">
        <w:t>behind enemy lines</w:t>
      </w:r>
      <w:r>
        <w:t>, and on rare occasions through neutral countries.</w:t>
      </w:r>
      <w:r>
        <w:rPr>
          <w:rStyle w:val="FootnoteReference"/>
        </w:rPr>
        <w:footnoteReference w:id="10"/>
      </w:r>
      <w:r>
        <w:t xml:space="preserve"> This dissertation will study the geographical borderland containing the territories of France and Belgium invaded in 1914 and subsequently occupied by the Germans. As figure 0.1 bel</w:t>
      </w:r>
      <w:r w:rsidR="003918F7">
        <w:t>ow shows, the frontline of the western f</w:t>
      </w:r>
      <w:r>
        <w:t xml:space="preserve">ront was relatively stable until the </w:t>
      </w:r>
      <w:r w:rsidR="00DC12EB">
        <w:t>s</w:t>
      </w:r>
      <w:r>
        <w:t xml:space="preserve">pring </w:t>
      </w:r>
      <w:r w:rsidR="00DC12EB">
        <w:t>o</w:t>
      </w:r>
      <w:r>
        <w:t>ffensi</w:t>
      </w:r>
      <w:r w:rsidR="002068A7">
        <w:t>ve and the a</w:t>
      </w:r>
      <w:r>
        <w:t>llied counter-offensive of 1918. However, small variations of the trench line meant that a few towns, such as Amiens, were occupied by the Germans for days or weeks.</w:t>
      </w:r>
      <w:r>
        <w:rPr>
          <w:rStyle w:val="FootnoteReference"/>
        </w:rPr>
        <w:footnoteReference w:id="11"/>
      </w:r>
      <w:r>
        <w:t xml:space="preserve"> These places are not studied in this thesis as they were neglected by German propag</w:t>
      </w:r>
      <w:r w:rsidR="002068A7">
        <w:t>anda and completely ignored by a</w:t>
      </w:r>
      <w:r>
        <w:t xml:space="preserve">llied aerial psychological warfare aimed at the occupied territories. </w:t>
      </w:r>
    </w:p>
    <w:p w14:paraId="5332D510" w14:textId="77777777" w:rsidR="0048510E" w:rsidRDefault="0048510E" w:rsidP="0048510E">
      <w:pPr>
        <w:jc w:val="both"/>
      </w:pPr>
    </w:p>
    <w:p w14:paraId="6024B841" w14:textId="77777777" w:rsidR="0048510E" w:rsidRDefault="0048510E" w:rsidP="0048510E">
      <w:pPr>
        <w:jc w:val="both"/>
      </w:pPr>
    </w:p>
    <w:p w14:paraId="7BBD6F99" w14:textId="77777777" w:rsidR="0048510E" w:rsidRDefault="0048510E" w:rsidP="0048510E">
      <w:pPr>
        <w:jc w:val="both"/>
      </w:pPr>
    </w:p>
    <w:p w14:paraId="2D6F468E" w14:textId="77777777" w:rsidR="0048510E" w:rsidRDefault="0048510E" w:rsidP="0048510E">
      <w:pPr>
        <w:jc w:val="both"/>
      </w:pPr>
    </w:p>
    <w:p w14:paraId="20F286BC" w14:textId="77777777" w:rsidR="0048510E" w:rsidRDefault="0048510E" w:rsidP="0048510E">
      <w:pPr>
        <w:jc w:val="both"/>
      </w:pPr>
    </w:p>
    <w:p w14:paraId="1327A946" w14:textId="77777777" w:rsidR="0048510E" w:rsidRDefault="0048510E" w:rsidP="0048510E">
      <w:pPr>
        <w:jc w:val="both"/>
      </w:pPr>
    </w:p>
    <w:p w14:paraId="7395A723" w14:textId="77777777" w:rsidR="0048510E" w:rsidRDefault="0048510E" w:rsidP="0048510E">
      <w:pPr>
        <w:jc w:val="both"/>
      </w:pPr>
    </w:p>
    <w:p w14:paraId="59FE77C4" w14:textId="7D740185" w:rsidR="0048510E" w:rsidRDefault="009167F9" w:rsidP="0048510E">
      <w:pPr>
        <w:jc w:val="both"/>
      </w:pPr>
      <w:r>
        <w:t>Figure I</w:t>
      </w:r>
      <w:r w:rsidR="0048510E">
        <w:t xml:space="preserve">.1: </w:t>
      </w:r>
      <w:r w:rsidR="003918F7">
        <w:rPr>
          <w:i/>
          <w:iCs/>
        </w:rPr>
        <w:t>Map of the w</w:t>
      </w:r>
      <w:r w:rsidR="0048510E" w:rsidRPr="00304A4C">
        <w:rPr>
          <w:i/>
          <w:iCs/>
        </w:rPr>
        <w:t xml:space="preserve">estern </w:t>
      </w:r>
      <w:r w:rsidR="003918F7">
        <w:rPr>
          <w:i/>
          <w:iCs/>
        </w:rPr>
        <w:t>f</w:t>
      </w:r>
      <w:r w:rsidR="0048510E" w:rsidRPr="00304A4C">
        <w:rPr>
          <w:i/>
          <w:iCs/>
        </w:rPr>
        <w:t>ront and its variations from 1914 to 1918</w:t>
      </w:r>
    </w:p>
    <w:p w14:paraId="12458820" w14:textId="77777777" w:rsidR="0048510E" w:rsidRDefault="0048510E" w:rsidP="0048510E">
      <w:pPr>
        <w:jc w:val="center"/>
      </w:pPr>
      <w:r>
        <w:rPr>
          <w:noProof/>
        </w:rPr>
        <w:drawing>
          <wp:inline distT="0" distB="0" distL="0" distR="0" wp14:anchorId="2CAA67D0" wp14:editId="205D6D55">
            <wp:extent cx="5061856" cy="427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jpg"/>
                    <pic:cNvPicPr/>
                  </pic:nvPicPr>
                  <pic:blipFill>
                    <a:blip r:embed="rId14">
                      <a:extLst>
                        <a:ext uri="{28A0092B-C50C-407E-A947-70E740481C1C}">
                          <a14:useLocalDpi xmlns:a14="http://schemas.microsoft.com/office/drawing/2010/main" val="0"/>
                        </a:ext>
                      </a:extLst>
                    </a:blip>
                    <a:stretch>
                      <a:fillRect/>
                    </a:stretch>
                  </pic:blipFill>
                  <pic:spPr>
                    <a:xfrm>
                      <a:off x="0" y="0"/>
                      <a:ext cx="5070009" cy="4283613"/>
                    </a:xfrm>
                    <a:prstGeom prst="rect">
                      <a:avLst/>
                    </a:prstGeom>
                  </pic:spPr>
                </pic:pic>
              </a:graphicData>
            </a:graphic>
          </wp:inline>
        </w:drawing>
      </w:r>
    </w:p>
    <w:p w14:paraId="1083F903" w14:textId="77777777" w:rsidR="0048510E" w:rsidRDefault="0048510E" w:rsidP="0048510E">
      <w:r w:rsidRPr="00304A4C">
        <w:rPr>
          <w:i/>
          <w:iCs/>
        </w:rPr>
        <w:t>Source</w:t>
      </w:r>
      <w:r>
        <w:t xml:space="preserve">: No Author, </w:t>
      </w:r>
      <w:r>
        <w:rPr>
          <w:i/>
          <w:iCs/>
        </w:rPr>
        <w:t>Map of the Western Front</w:t>
      </w:r>
      <w:r>
        <w:t xml:space="preserve"> [Map]. In: Australian Government – Department of Veterans ‘Affairs </w:t>
      </w:r>
      <w:hyperlink r:id="rId15" w:history="1">
        <w:r w:rsidRPr="00DD103C">
          <w:rPr>
            <w:rStyle w:val="Hyperlink"/>
          </w:rPr>
          <w:t>http://www.dva.gov.au/aboutDVA/publications/commemorative/awf/Pages/map.aspx</w:t>
        </w:r>
      </w:hyperlink>
      <w:r>
        <w:t xml:space="preserve">  [accessed 7 January 2014].</w:t>
      </w:r>
      <w:r>
        <w:rPr>
          <w:rStyle w:val="FootnoteReference"/>
        </w:rPr>
        <w:footnoteReference w:id="12"/>
      </w:r>
    </w:p>
    <w:p w14:paraId="31F4A336" w14:textId="77777777" w:rsidR="0048510E" w:rsidRPr="00304A4C" w:rsidRDefault="0048510E" w:rsidP="0048510E">
      <w:pPr>
        <w:jc w:val="both"/>
      </w:pPr>
    </w:p>
    <w:p w14:paraId="11260E29" w14:textId="489EC75A" w:rsidR="0048510E" w:rsidRDefault="0048510E" w:rsidP="000F4DE3">
      <w:pPr>
        <w:jc w:val="both"/>
      </w:pPr>
      <w:r>
        <w:t xml:space="preserve">This geographical entity will </w:t>
      </w:r>
      <w:r w:rsidR="00F95AB5">
        <w:t xml:space="preserve">simply </w:t>
      </w:r>
      <w:r>
        <w:t>be called the ‘occupied territories’ in this thesis. Therefore propaganda aimed at Alsace and Lorraine is not studied here, the annexation of 1871 being an entirely different phenomenon to the occupation of 1914.</w:t>
      </w:r>
      <w:r>
        <w:rPr>
          <w:rStyle w:val="FootnoteReference"/>
        </w:rPr>
        <w:footnoteReference w:id="13"/>
      </w:r>
      <w:r>
        <w:t xml:space="preserve"> In France, the ten departments concerned by the 1914 occupation were the </w:t>
      </w:r>
      <w:r w:rsidRPr="00CE73EA">
        <w:rPr>
          <w:iCs/>
        </w:rPr>
        <w:t>Ardennes, Nord, Pas-de-Calais, Somme, Oise, Aisne, Meuse, Meurthe-et-Moselle, Vosges</w:t>
      </w:r>
      <w:r w:rsidRPr="00CE73EA">
        <w:t xml:space="preserve"> and </w:t>
      </w:r>
      <w:r w:rsidRPr="00CE73EA">
        <w:rPr>
          <w:iCs/>
        </w:rPr>
        <w:t>Marne</w:t>
      </w:r>
      <w:r w:rsidRPr="00CE73EA">
        <w:t>,</w:t>
      </w:r>
      <w:r>
        <w:t xml:space="preserve"> in which more than two million people were trapped.</w:t>
      </w:r>
      <w:r>
        <w:rPr>
          <w:rStyle w:val="FootnoteReference"/>
        </w:rPr>
        <w:footnoteReference w:id="14"/>
      </w:r>
      <w:r>
        <w:t xml:space="preserve"> Despite covering only 3.7% of the French territory, this occupation was symbolically important and was frequently commented </w:t>
      </w:r>
      <w:r w:rsidR="002C5A83">
        <w:t xml:space="preserve">upon </w:t>
      </w:r>
      <w:r>
        <w:t>by the Parisian and British press.</w:t>
      </w:r>
      <w:r>
        <w:rPr>
          <w:rStyle w:val="FootnoteReference"/>
        </w:rPr>
        <w:footnoteReference w:id="15"/>
      </w:r>
      <w:r>
        <w:t xml:space="preserve"> The situation was very different in Belgium</w:t>
      </w:r>
      <w:r w:rsidR="000F4DE3">
        <w:t>,</w:t>
      </w:r>
      <w:r>
        <w:t xml:space="preserve"> where only 5% of t</w:t>
      </w:r>
      <w:r w:rsidR="003918F7">
        <w:t>he country, a small portion of w</w:t>
      </w:r>
      <w:r>
        <w:t>estern Flanders, was still in the hands of the Belgian army, leaving 95% in German hands.</w:t>
      </w:r>
      <w:r>
        <w:rPr>
          <w:rStyle w:val="FootnoteReference"/>
        </w:rPr>
        <w:footnoteReference w:id="16"/>
      </w:r>
      <w:r>
        <w:t xml:space="preserve"> The small neutral state was split between the seven million </w:t>
      </w:r>
      <w:r w:rsidR="00F95AB5">
        <w:t>stuck</w:t>
      </w:r>
      <w:r>
        <w:t xml:space="preserve"> under German domination, and the half a million living in exile until 1918.</w:t>
      </w:r>
      <w:r>
        <w:rPr>
          <w:rStyle w:val="FootnoteReference"/>
        </w:rPr>
        <w:footnoteReference w:id="17"/>
      </w:r>
      <w:r>
        <w:t xml:space="preserve"> The linguistic question is </w:t>
      </w:r>
      <w:r w:rsidR="000F4DE3">
        <w:t>important</w:t>
      </w:r>
      <w:r>
        <w:t>, as aerial propaganda was written in French and sometimes in Dutch. In the occupied parts of France, a linguistic homogenisation promoted by the school system and the military had slowly been imposing the French language over local dialects</w:t>
      </w:r>
      <w:r w:rsidR="000F4DE3">
        <w:t>,</w:t>
      </w:r>
      <w:r>
        <w:t xml:space="preserve"> and only the French language was used in aerial propaganda.</w:t>
      </w:r>
      <w:r>
        <w:rPr>
          <w:rStyle w:val="FootnoteReference"/>
        </w:rPr>
        <w:footnoteReference w:id="18"/>
      </w:r>
      <w:r>
        <w:t xml:space="preserve"> In Belgium, there was a divide between the Flemish in the north and the Walloons in the South. French was widely used by Flemish and Walloon elites in the whole country, but Dutch-speaking activists had been trying to have their language officially recognised just before the outbreak of the war.</w:t>
      </w:r>
      <w:r>
        <w:rPr>
          <w:rStyle w:val="FootnoteReference"/>
        </w:rPr>
        <w:footnoteReference w:id="19"/>
      </w:r>
      <w:r>
        <w:t xml:space="preserve"> </w:t>
      </w:r>
      <w:r w:rsidR="000F4DE3">
        <w:t xml:space="preserve">As this thesis will show, </w:t>
      </w:r>
      <w:r>
        <w:t xml:space="preserve">the language used in aerial propaganda aimed at occupied Belgium was </w:t>
      </w:r>
      <w:r w:rsidR="000F4DE3">
        <w:t>a major source of problem.</w:t>
      </w:r>
    </w:p>
    <w:p w14:paraId="7BF9EF91" w14:textId="1D7C6983" w:rsidR="0048510E" w:rsidRDefault="0048510E" w:rsidP="000F4DE3">
      <w:pPr>
        <w:jc w:val="both"/>
        <w:rPr>
          <w:iCs/>
        </w:rPr>
      </w:pPr>
      <w:r>
        <w:rPr>
          <w:iCs/>
        </w:rPr>
        <w:t>The historiography on whic</w:t>
      </w:r>
      <w:r w:rsidR="000F4DE3">
        <w:rPr>
          <w:iCs/>
        </w:rPr>
        <w:t>h this</w:t>
      </w:r>
      <w:r>
        <w:rPr>
          <w:iCs/>
        </w:rPr>
        <w:t xml:space="preserve"> thesis is built involves various academic fields and themes such as propaganda, communication, war, violence or military and political institutions. It is important to explain the general historiographical background. Such a study would have been almost impossible only twenty years ago, when the field of First World War occupation was still unexplored. Robert Vandenbussche was one of the few historians to write in any language on this neglected </w:t>
      </w:r>
      <w:r w:rsidR="000F4DE3">
        <w:rPr>
          <w:iCs/>
        </w:rPr>
        <w:t xml:space="preserve">subject before the 1990s, </w:t>
      </w:r>
      <w:r>
        <w:rPr>
          <w:iCs/>
        </w:rPr>
        <w:t xml:space="preserve">with his 1979 article on Douai’s </w:t>
      </w:r>
      <w:r>
        <w:rPr>
          <w:i/>
        </w:rPr>
        <w:t>pouvoir municipal</w:t>
      </w:r>
      <w:r>
        <w:rPr>
          <w:iCs/>
        </w:rPr>
        <w:t>.</w:t>
      </w:r>
      <w:r>
        <w:rPr>
          <w:rStyle w:val="FootnoteReference"/>
        </w:rPr>
        <w:footnoteReference w:id="20"/>
      </w:r>
      <w:r>
        <w:rPr>
          <w:iCs/>
        </w:rPr>
        <w:t xml:space="preserve"> It can be said without a doubt that the growing interest in the occupation during the First World War was closely associated with the shift from social to cultural history experienced in this field at the end of the 1980s.</w:t>
      </w:r>
      <w:r>
        <w:rPr>
          <w:rStyle w:val="FootnoteReference"/>
          <w:iCs/>
        </w:rPr>
        <w:footnoteReference w:id="21"/>
      </w:r>
      <w:r>
        <w:rPr>
          <w:iCs/>
        </w:rPr>
        <w:t xml:space="preserve"> Almost overnight, the fate of civilians trapped behind the lines became a legitimate subject of investigation</w:t>
      </w:r>
      <w:r w:rsidR="000F4DE3">
        <w:rPr>
          <w:iCs/>
        </w:rPr>
        <w:t>,</w:t>
      </w:r>
      <w:r>
        <w:rPr>
          <w:iCs/>
        </w:rPr>
        <w:t xml:space="preserve"> offering new perspectives and methods </w:t>
      </w:r>
      <w:r w:rsidR="000F4DE3">
        <w:rPr>
          <w:iCs/>
        </w:rPr>
        <w:t>for</w:t>
      </w:r>
      <w:r>
        <w:rPr>
          <w:iCs/>
        </w:rPr>
        <w:t xml:space="preserve"> understand</w:t>
      </w:r>
      <w:r w:rsidR="000F4DE3">
        <w:rPr>
          <w:iCs/>
        </w:rPr>
        <w:t>ing</w:t>
      </w:r>
      <w:r>
        <w:rPr>
          <w:iCs/>
        </w:rPr>
        <w:t xml:space="preserve"> the conflict.</w:t>
      </w:r>
      <w:r>
        <w:rPr>
          <w:rStyle w:val="FootnoteReference"/>
          <w:iCs/>
        </w:rPr>
        <w:footnoteReference w:id="22"/>
      </w:r>
      <w:r>
        <w:rPr>
          <w:iCs/>
        </w:rPr>
        <w:t xml:space="preserve"> Following this shift, Annette Becker was the first to investigate the civilian experience in the occupied territories</w:t>
      </w:r>
      <w:r w:rsidR="000F4DE3" w:rsidRPr="000F4DE3">
        <w:rPr>
          <w:iCs/>
        </w:rPr>
        <w:t xml:space="preserve"> </w:t>
      </w:r>
      <w:r w:rsidR="000F4DE3">
        <w:rPr>
          <w:iCs/>
        </w:rPr>
        <w:t>in depth</w:t>
      </w:r>
      <w:r>
        <w:rPr>
          <w:iCs/>
        </w:rPr>
        <w:t xml:space="preserve">. Since the 1980s, she has worked extensively on the subject, and has supervised </w:t>
      </w:r>
      <w:r w:rsidRPr="002C328F">
        <w:rPr>
          <w:i/>
          <w:iCs/>
        </w:rPr>
        <w:t>maîtrise</w:t>
      </w:r>
      <w:r>
        <w:rPr>
          <w:iCs/>
        </w:rPr>
        <w:t xml:space="preserve"> students at the University of Lille III who have completed numerous theses on various aspects of the occupation.</w:t>
      </w:r>
      <w:r>
        <w:rPr>
          <w:rStyle w:val="FootnoteReference"/>
        </w:rPr>
        <w:footnoteReference w:id="23"/>
      </w:r>
      <w:r>
        <w:rPr>
          <w:iCs/>
        </w:rPr>
        <w:t xml:space="preserve"> Her latest work on the topic, </w:t>
      </w:r>
      <w:r>
        <w:rPr>
          <w:i/>
        </w:rPr>
        <w:t xml:space="preserve">Les cicatrices rouges, </w:t>
      </w:r>
      <w:r>
        <w:rPr>
          <w:iCs/>
        </w:rPr>
        <w:t xml:space="preserve">claims to study the entire occupied area of France and Belgium. </w:t>
      </w:r>
      <w:r w:rsidR="00DC12EB">
        <w:rPr>
          <w:iCs/>
        </w:rPr>
        <w:t>In fact</w:t>
      </w:r>
      <w:r>
        <w:rPr>
          <w:iCs/>
        </w:rPr>
        <w:t>, only France is studied in Becker’s book, leaving the occupation of the small state of Belgium almost entirely unexplored.</w:t>
      </w:r>
      <w:r>
        <w:rPr>
          <w:rStyle w:val="FootnoteReference"/>
          <w:iCs/>
        </w:rPr>
        <w:footnoteReference w:id="24"/>
      </w:r>
      <w:r>
        <w:rPr>
          <w:iCs/>
        </w:rPr>
        <w:t xml:space="preserve"> Despite having filled important gaps, Becker’s studies are not without occasional problems. She rarely takes into consideration the German point of view and relies predominantly on French sources. Concerns also arise from her methodological approach. For example, </w:t>
      </w:r>
      <w:r w:rsidR="005C7BEE">
        <w:rPr>
          <w:iCs/>
        </w:rPr>
        <w:t xml:space="preserve">Philippe Salson and </w:t>
      </w:r>
      <w:r>
        <w:rPr>
          <w:iCs/>
        </w:rPr>
        <w:t xml:space="preserve">James Connolly </w:t>
      </w:r>
      <w:r w:rsidR="005C7BEE">
        <w:rPr>
          <w:iCs/>
        </w:rPr>
        <w:t>have</w:t>
      </w:r>
      <w:r>
        <w:rPr>
          <w:iCs/>
        </w:rPr>
        <w:t xml:space="preserve"> highlighted her tendency to see suffering and patriotism as the central experience, potentially buying into the </w:t>
      </w:r>
      <w:r>
        <w:rPr>
          <w:i/>
        </w:rPr>
        <w:t>occupés</w:t>
      </w:r>
      <w:r>
        <w:rPr>
          <w:iCs/>
        </w:rPr>
        <w:t>’ post-war version of the occupation.</w:t>
      </w:r>
      <w:r>
        <w:rPr>
          <w:rStyle w:val="FootnoteReference"/>
          <w:iCs/>
        </w:rPr>
        <w:footnoteReference w:id="25"/>
      </w:r>
      <w:r>
        <w:rPr>
          <w:iCs/>
        </w:rPr>
        <w:t xml:space="preserve"> This thesis will take some distance from the notion of patriotism as a central experience when looking at the reception of aerial propaganda, arguing that aerial propaganda was precisely designed as a remedy to the </w:t>
      </w:r>
      <w:r>
        <w:rPr>
          <w:i/>
        </w:rPr>
        <w:t>occupés</w:t>
      </w:r>
      <w:r>
        <w:rPr>
          <w:iCs/>
        </w:rPr>
        <w:t xml:space="preserve">’ </w:t>
      </w:r>
      <w:r w:rsidR="00F95AB5">
        <w:rPr>
          <w:iCs/>
        </w:rPr>
        <w:t>alleged</w:t>
      </w:r>
      <w:r>
        <w:rPr>
          <w:iCs/>
        </w:rPr>
        <w:t xml:space="preserve"> lack of faith in their government’s ability to win the war. </w:t>
      </w:r>
    </w:p>
    <w:p w14:paraId="3E68821D" w14:textId="3BBAEAD3" w:rsidR="0048510E" w:rsidRDefault="0048510E" w:rsidP="000F4DE3">
      <w:pPr>
        <w:jc w:val="both"/>
        <w:rPr>
          <w:iCs/>
        </w:rPr>
      </w:pPr>
      <w:r>
        <w:rPr>
          <w:iCs/>
        </w:rPr>
        <w:t>Other historians have investigated the occupied territories in the last thirty years. In the Anglophone world, in 1983 Richard Cobb produced an early comparative analysis of the relation</w:t>
      </w:r>
      <w:r w:rsidR="00F95AB5">
        <w:rPr>
          <w:iCs/>
        </w:rPr>
        <w:t>ship</w:t>
      </w:r>
      <w:r>
        <w:rPr>
          <w:iCs/>
        </w:rPr>
        <w:t xml:space="preserve"> between French and Germans during the </w:t>
      </w:r>
      <w:r w:rsidR="000F4DE3">
        <w:rPr>
          <w:iCs/>
        </w:rPr>
        <w:t xml:space="preserve">two </w:t>
      </w:r>
      <w:r>
        <w:rPr>
          <w:iCs/>
        </w:rPr>
        <w:t xml:space="preserve">twentieth century </w:t>
      </w:r>
      <w:r w:rsidR="000F4DE3">
        <w:rPr>
          <w:iCs/>
        </w:rPr>
        <w:t xml:space="preserve">occupations of </w:t>
      </w:r>
      <w:r>
        <w:rPr>
          <w:iCs/>
        </w:rPr>
        <w:t xml:space="preserve">France, which concluded that the occupations of the First and the Second World Wars followed opposite trajectories. While relations warmed progressively </w:t>
      </w:r>
      <w:r w:rsidR="000F4DE3">
        <w:rPr>
          <w:iCs/>
        </w:rPr>
        <w:t>through</w:t>
      </w:r>
      <w:r>
        <w:rPr>
          <w:iCs/>
        </w:rPr>
        <w:t xml:space="preserve"> 1914-1918, he argued, they became increasingly tense </w:t>
      </w:r>
      <w:r w:rsidR="000F4DE3">
        <w:rPr>
          <w:iCs/>
        </w:rPr>
        <w:t>through</w:t>
      </w:r>
      <w:r>
        <w:rPr>
          <w:iCs/>
        </w:rPr>
        <w:t xml:space="preserve"> 1940-1945.</w:t>
      </w:r>
      <w:r>
        <w:rPr>
          <w:rStyle w:val="FootnoteReference"/>
          <w:iCs/>
        </w:rPr>
        <w:footnoteReference w:id="26"/>
      </w:r>
      <w:r>
        <w:rPr>
          <w:iCs/>
        </w:rPr>
        <w:t xml:space="preserve"> This view was partially confirmed later by other historians, such as Philippe Nivet (about whom more will be said below), but Cobb’s approach to primary sources was violently criticised. For example, Annette Becker underlined his poor methodology in O</w:t>
      </w:r>
      <w:r>
        <w:rPr>
          <w:i/>
        </w:rPr>
        <w:t>ubliés de la Grande Guerre</w:t>
      </w:r>
      <w:r>
        <w:rPr>
          <w:iCs/>
        </w:rPr>
        <w:t>.</w:t>
      </w:r>
      <w:r>
        <w:rPr>
          <w:rStyle w:val="FootnoteReference"/>
          <w:iCs/>
        </w:rPr>
        <w:footnoteReference w:id="27"/>
      </w:r>
      <w:r>
        <w:rPr>
          <w:iCs/>
        </w:rPr>
        <w:t xml:space="preserve"> Helen McPhail, produced the only English-language history of the occupation of France during the first conflict. McPhail built her work on </w:t>
      </w:r>
      <w:r>
        <w:rPr>
          <w:i/>
        </w:rPr>
        <w:t>occupés</w:t>
      </w:r>
      <w:r w:rsidR="000F4DE3">
        <w:rPr>
          <w:i/>
        </w:rPr>
        <w:t>’</w:t>
      </w:r>
      <w:r>
        <w:rPr>
          <w:iCs/>
        </w:rPr>
        <w:t xml:space="preserve"> diaries and post-war books but unfortunately not on archival evidence. She underlined that the occupation of the Second World War was in many ways a repetition on a larger scale of that of the First World War.</w:t>
      </w:r>
      <w:r>
        <w:rPr>
          <w:rStyle w:val="FootnoteReference"/>
          <w:iCs/>
        </w:rPr>
        <w:footnoteReference w:id="28"/>
      </w:r>
      <w:r>
        <w:rPr>
          <w:iCs/>
        </w:rPr>
        <w:t xml:space="preserve"> This argument is debatable – if only for the distinctive mark left by Nazi ideology. There are however parallels in the way Germans instrumentalised terror and coercion to control the invaded territories during the two conflicts, a point also defended by Nivet.</w:t>
      </w:r>
      <w:r>
        <w:rPr>
          <w:rStyle w:val="FootnoteReference"/>
          <w:iCs/>
        </w:rPr>
        <w:footnoteReference w:id="29"/>
      </w:r>
      <w:r>
        <w:rPr>
          <w:iCs/>
        </w:rPr>
        <w:t xml:space="preserve"> </w:t>
      </w:r>
    </w:p>
    <w:p w14:paraId="2D9630ED" w14:textId="3AFD0FC0" w:rsidR="009258C0" w:rsidRPr="008136DD" w:rsidRDefault="0048510E" w:rsidP="000F4DE3">
      <w:pPr>
        <w:jc w:val="both"/>
      </w:pPr>
      <w:r>
        <w:t xml:space="preserve">In the last five years, the entire occupied area of France has been the </w:t>
      </w:r>
      <w:r w:rsidR="00F95AB5">
        <w:t>subject</w:t>
      </w:r>
      <w:r>
        <w:t xml:space="preserve"> of further work conducted by French and British historians. One year after</w:t>
      </w:r>
      <w:r w:rsidRPr="00EB3861">
        <w:t xml:space="preserve"> Annette Becker’s above</w:t>
      </w:r>
      <w:r>
        <w:t xml:space="preserve"> </w:t>
      </w:r>
      <w:r w:rsidRPr="00EB3861">
        <w:t xml:space="preserve">mentioned </w:t>
      </w:r>
      <w:r w:rsidRPr="00EB3861">
        <w:rPr>
          <w:i/>
          <w:iCs/>
        </w:rPr>
        <w:t>Les cicatrices rouges</w:t>
      </w:r>
      <w:r>
        <w:rPr>
          <w:i/>
          <w:iCs/>
        </w:rPr>
        <w:t>,</w:t>
      </w:r>
      <w:r w:rsidRPr="00EB3861">
        <w:rPr>
          <w:i/>
          <w:iCs/>
        </w:rPr>
        <w:t xml:space="preserve"> </w:t>
      </w:r>
      <w:r w:rsidRPr="00EB3861">
        <w:t xml:space="preserve">Philippe </w:t>
      </w:r>
      <w:r>
        <w:t>Nivet published</w:t>
      </w:r>
      <w:r w:rsidRPr="00EB3861">
        <w:t xml:space="preserve"> </w:t>
      </w:r>
      <w:r w:rsidRPr="00EB3861">
        <w:rPr>
          <w:i/>
          <w:iCs/>
        </w:rPr>
        <w:t>La France occupée, 1914-1918.</w:t>
      </w:r>
      <w:r w:rsidRPr="000C2DFF">
        <w:rPr>
          <w:rStyle w:val="FootnoteReference"/>
          <w:lang w:val="fr-FR"/>
        </w:rPr>
        <w:footnoteReference w:id="30"/>
      </w:r>
      <w:r w:rsidRPr="00EB3861">
        <w:t xml:space="preserve"> </w:t>
      </w:r>
      <w:r>
        <w:t>Nivet’s extensive research on the occupation led to the conclusion that the occupied territories of France were</w:t>
      </w:r>
      <w:r>
        <w:rPr>
          <w:i/>
          <w:iCs/>
        </w:rPr>
        <w:t xml:space="preserve"> de facto </w:t>
      </w:r>
      <w:r>
        <w:t>Germanised by the invader.</w:t>
      </w:r>
      <w:r>
        <w:rPr>
          <w:rStyle w:val="FootnoteReference"/>
        </w:rPr>
        <w:footnoteReference w:id="31"/>
      </w:r>
      <w:r>
        <w:t xml:space="preserve"> </w:t>
      </w:r>
      <w:r w:rsidR="00F84173">
        <w:t>If t</w:t>
      </w:r>
      <w:r>
        <w:t>his significant argument</w:t>
      </w:r>
      <w:r w:rsidR="00F84173">
        <w:t xml:space="preserve"> is contested, it </w:t>
      </w:r>
      <w:r>
        <w:t xml:space="preserve">will be </w:t>
      </w:r>
      <w:r w:rsidR="00F84173">
        <w:t xml:space="preserve">argued </w:t>
      </w:r>
      <w:r>
        <w:t xml:space="preserve">in this </w:t>
      </w:r>
      <w:r w:rsidR="000F4DE3">
        <w:t>thesis</w:t>
      </w:r>
      <w:r>
        <w:t xml:space="preserve"> th</w:t>
      </w:r>
      <w:r w:rsidR="002068A7">
        <w:t>at a</w:t>
      </w:r>
      <w:r w:rsidR="00F84173">
        <w:t>llied governments believed in a plan to give a German character to the occupied territories and created aerial propaganda as a tool</w:t>
      </w:r>
      <w:r>
        <w:t xml:space="preserve"> to combat </w:t>
      </w:r>
      <w:r w:rsidR="00F84173">
        <w:t>it</w:t>
      </w:r>
      <w:r>
        <w:t>.</w:t>
      </w:r>
      <w:r>
        <w:rPr>
          <w:rStyle w:val="FootnoteReference"/>
        </w:rPr>
        <w:footnoteReference w:id="32"/>
      </w:r>
      <w:r>
        <w:t xml:space="preserve"> Another important study was realised only two years ago by James Connolly who completed a doctoral thesis in History on the topic of ‘the experience of occupation in the Nord, 1914-1918’.</w:t>
      </w:r>
      <w:r>
        <w:rPr>
          <w:rStyle w:val="FootnoteReference"/>
        </w:rPr>
        <w:footnoteReference w:id="33"/>
      </w:r>
      <w:r>
        <w:t xml:space="preserve"> This work reinterpreted the concept of </w:t>
      </w:r>
      <w:r w:rsidR="006901A9">
        <w:t>‘</w:t>
      </w:r>
      <w:r>
        <w:t>war culture</w:t>
      </w:r>
      <w:r w:rsidR="006901A9">
        <w:t>’</w:t>
      </w:r>
      <w:r>
        <w:t xml:space="preserve"> as defined by Leonard Smith, Stéphane Audoin-Rouzeau and Annette Becker - a ‘broader-based system through which belligerent populations made sense of the war and persuaded themselves to continue fighting it’</w:t>
      </w:r>
      <w:r w:rsidR="000F4DE3">
        <w:t xml:space="preserve"> </w:t>
      </w:r>
      <w:r>
        <w:t xml:space="preserve">in the </w:t>
      </w:r>
      <w:r w:rsidR="006678D9">
        <w:t xml:space="preserve">more specific </w:t>
      </w:r>
      <w:r>
        <w:t>context of occupation.</w:t>
      </w:r>
      <w:r>
        <w:rPr>
          <w:rStyle w:val="FootnoteReference"/>
        </w:rPr>
        <w:footnoteReference w:id="34"/>
      </w:r>
      <w:r>
        <w:t xml:space="preserve"> Connolly argued </w:t>
      </w:r>
      <w:r w:rsidR="006901A9">
        <w:t>that the experience of occupation led to a distinct</w:t>
      </w:r>
      <w:r>
        <w:t xml:space="preserve"> form of war culture</w:t>
      </w:r>
      <w:r w:rsidR="005F6730">
        <w:t xml:space="preserve"> </w:t>
      </w:r>
      <w:r>
        <w:t xml:space="preserve">which he named the </w:t>
      </w:r>
      <w:r>
        <w:rPr>
          <w:i/>
          <w:iCs/>
        </w:rPr>
        <w:t>culture de l’occupé</w:t>
      </w:r>
      <w:r>
        <w:t xml:space="preserve">. </w:t>
      </w:r>
      <w:r w:rsidR="006901A9">
        <w:t>He fully developed this concept in his thesis and a brief explanation is warranted</w:t>
      </w:r>
      <w:r w:rsidR="003C10E9">
        <w:t xml:space="preserve"> here</w:t>
      </w:r>
      <w:r w:rsidR="006901A9">
        <w:t xml:space="preserve">. </w:t>
      </w:r>
      <w:r w:rsidR="006659A0">
        <w:t>The</w:t>
      </w:r>
      <w:r w:rsidR="00742966">
        <w:t xml:space="preserve"> presence of the German army</w:t>
      </w:r>
      <w:r w:rsidR="006659A0">
        <w:t xml:space="preserve"> </w:t>
      </w:r>
      <w:r w:rsidR="005C6EB1">
        <w:t>meant that</w:t>
      </w:r>
      <w:r w:rsidR="006659A0">
        <w:t xml:space="preserve"> </w:t>
      </w:r>
      <w:r w:rsidR="005C6EB1">
        <w:t xml:space="preserve">civilian life became totally subordinated to the invader’s needs. </w:t>
      </w:r>
      <w:r w:rsidR="006901A9">
        <w:t>Connolly argued</w:t>
      </w:r>
      <w:r w:rsidR="00F76A41">
        <w:t xml:space="preserve"> that t</w:t>
      </w:r>
      <w:r w:rsidR="006901A9">
        <w:t>he</w:t>
      </w:r>
      <w:r w:rsidR="007942DC">
        <w:t xml:space="preserve"> </w:t>
      </w:r>
      <w:r w:rsidR="006659A0">
        <w:t>intercultural moment</w:t>
      </w:r>
      <w:r w:rsidR="006901A9">
        <w:t xml:space="preserve"> imposed by the Germans</w:t>
      </w:r>
      <w:r w:rsidR="006659A0">
        <w:t xml:space="preserve"> triggered a new </w:t>
      </w:r>
      <w:r w:rsidR="00BD5D40">
        <w:t>intellectual</w:t>
      </w:r>
      <w:r w:rsidR="006659A0">
        <w:t xml:space="preserve"> framework.</w:t>
      </w:r>
      <w:r w:rsidR="009258C0">
        <w:t xml:space="preserve"> Indeed,</w:t>
      </w:r>
      <w:r w:rsidR="006659A0">
        <w:t xml:space="preserve"> </w:t>
      </w:r>
      <w:r w:rsidR="009258C0">
        <w:t>occupied civilians saw themselves</w:t>
      </w:r>
      <w:r w:rsidR="000F4DE3">
        <w:t xml:space="preserve"> not merely as spectators but</w:t>
      </w:r>
      <w:r w:rsidR="009258C0">
        <w:t xml:space="preserve"> as actors </w:t>
      </w:r>
      <w:r w:rsidR="006901A9">
        <w:t>in</w:t>
      </w:r>
      <w:r w:rsidR="009258C0">
        <w:t xml:space="preserve"> the conflict.</w:t>
      </w:r>
      <w:r w:rsidR="00A37D91">
        <w:t xml:space="preserve"> They believed that they were playing a part</w:t>
      </w:r>
      <w:r w:rsidR="006901A9">
        <w:t>,</w:t>
      </w:r>
      <w:r w:rsidR="00A37D91">
        <w:t xml:space="preserve"> </w:t>
      </w:r>
      <w:r w:rsidR="006901A9">
        <w:t>not un</w:t>
      </w:r>
      <w:r w:rsidR="00A37D91">
        <w:t xml:space="preserve">like </w:t>
      </w:r>
      <w:r w:rsidR="000F4DE3">
        <w:t xml:space="preserve">that of </w:t>
      </w:r>
      <w:r w:rsidR="00A37D91">
        <w:t>the soldiers fighting on the frontline.</w:t>
      </w:r>
      <w:r w:rsidR="009258C0">
        <w:t xml:space="preserve"> While not erasing pre-war values, the e</w:t>
      </w:r>
      <w:r w:rsidR="00241D39">
        <w:t xml:space="preserve">xperience of occupation modified individual and collective attitudes. To </w:t>
      </w:r>
      <w:r w:rsidR="00F76A41">
        <w:t>give</w:t>
      </w:r>
      <w:r w:rsidR="00241D39">
        <w:t xml:space="preserve"> one example, the </w:t>
      </w:r>
      <w:r w:rsidR="00241D39">
        <w:rPr>
          <w:i/>
          <w:iCs/>
        </w:rPr>
        <w:t>occupés</w:t>
      </w:r>
      <w:r w:rsidR="00241D39">
        <w:t xml:space="preserve"> had </w:t>
      </w:r>
      <w:r w:rsidR="00F76A41">
        <w:t xml:space="preserve">a </w:t>
      </w:r>
      <w:r w:rsidR="008136DD">
        <w:t>unique</w:t>
      </w:r>
      <w:r w:rsidR="00F76A41">
        <w:t xml:space="preserve"> perception of </w:t>
      </w:r>
      <w:r w:rsidR="00241D39">
        <w:t>the Germ</w:t>
      </w:r>
      <w:r w:rsidR="008136DD">
        <w:t>ans. Unlike</w:t>
      </w:r>
      <w:r w:rsidR="00241D39">
        <w:t xml:space="preserve"> frontline soldiers or civilians </w:t>
      </w:r>
      <w:r w:rsidR="006901A9">
        <w:t>at</w:t>
      </w:r>
      <w:r w:rsidR="00241D39">
        <w:t xml:space="preserve"> the rear</w:t>
      </w:r>
      <w:r w:rsidR="008136DD">
        <w:t>, they experienced the enemy through social relations and daily life</w:t>
      </w:r>
      <w:r w:rsidR="000F4DE3">
        <w:t>,</w:t>
      </w:r>
      <w:r w:rsidR="006901A9">
        <w:t xml:space="preserve"> and </w:t>
      </w:r>
      <w:r w:rsidR="006678D9">
        <w:t>formed a more balanced opinion</w:t>
      </w:r>
      <w:r w:rsidR="00241D39">
        <w:t>.</w:t>
      </w:r>
      <w:r w:rsidR="00BD5D40">
        <w:t xml:space="preserve"> The German</w:t>
      </w:r>
      <w:r w:rsidR="000F4DE3">
        <w:t>s</w:t>
      </w:r>
      <w:r w:rsidR="00BD5D40">
        <w:t xml:space="preserve"> might still be disliked</w:t>
      </w:r>
      <w:r w:rsidR="00E94B24">
        <w:t>, but not for being the monster</w:t>
      </w:r>
      <w:r w:rsidR="000F4DE3">
        <w:t>s</w:t>
      </w:r>
      <w:r w:rsidR="00E94B24">
        <w:t xml:space="preserve"> described by allied propaganda</w:t>
      </w:r>
      <w:r w:rsidR="000F4DE3">
        <w:t>;</w:t>
      </w:r>
      <w:r w:rsidR="00E94B24">
        <w:t xml:space="preserve"> </w:t>
      </w:r>
      <w:r w:rsidR="000F4DE3">
        <w:t>simply</w:t>
      </w:r>
      <w:r w:rsidR="00E94B24">
        <w:t xml:space="preserve"> because </w:t>
      </w:r>
      <w:r w:rsidR="000F4DE3">
        <w:t>they were enemy</w:t>
      </w:r>
      <w:r w:rsidR="00BD5D40">
        <w:t>.</w:t>
      </w:r>
      <w:r w:rsidR="00241D39">
        <w:t xml:space="preserve"> This new </w:t>
      </w:r>
      <w:r w:rsidR="00BD5D40">
        <w:t>intellectual</w:t>
      </w:r>
      <w:r w:rsidR="00241D39">
        <w:t xml:space="preserve"> framework was in fact a way to adapt to </w:t>
      </w:r>
      <w:r w:rsidR="000F4DE3">
        <w:t xml:space="preserve">the </w:t>
      </w:r>
      <w:r w:rsidR="00241D39">
        <w:t xml:space="preserve">German presence and make sense of the situation. </w:t>
      </w:r>
      <w:r w:rsidR="008136DD">
        <w:t>There is little doubt that t</w:t>
      </w:r>
      <w:r w:rsidR="00F76A41">
        <w:t xml:space="preserve">he war and the occupation made the </w:t>
      </w:r>
      <w:r w:rsidR="00F76A41">
        <w:rPr>
          <w:i/>
          <w:iCs/>
        </w:rPr>
        <w:t xml:space="preserve">occupés </w:t>
      </w:r>
      <w:r w:rsidR="00F76A41">
        <w:t xml:space="preserve">culturally different </w:t>
      </w:r>
      <w:r w:rsidR="000F4DE3">
        <w:t>to</w:t>
      </w:r>
      <w:r w:rsidR="00F76A41">
        <w:t xml:space="preserve"> their fellow countrymen living in the free territories.</w:t>
      </w:r>
      <w:r w:rsidR="00F76A41">
        <w:rPr>
          <w:rStyle w:val="FootnoteReference"/>
        </w:rPr>
        <w:footnoteReference w:id="35"/>
      </w:r>
      <w:r w:rsidR="00F76A41">
        <w:t xml:space="preserve"> Connolly’s theory is a reminder that the concept of </w:t>
      </w:r>
      <w:r w:rsidR="000F4DE3">
        <w:t>‘</w:t>
      </w:r>
      <w:r w:rsidR="00F76A41">
        <w:t>war culture</w:t>
      </w:r>
      <w:r w:rsidR="000F4DE3">
        <w:t>’</w:t>
      </w:r>
      <w:r w:rsidR="00F76A41">
        <w:t xml:space="preserve"> as defined by Aundoin-Rouzeau, Becker and Smith, </w:t>
      </w:r>
      <w:r w:rsidR="008136DD">
        <w:t xml:space="preserve">is more focused on the home front than on the invaded territories. If there was a difference of mind-set between the occupied territories and the </w:t>
      </w:r>
      <w:r w:rsidR="00A37D91">
        <w:t>home front</w:t>
      </w:r>
      <w:r w:rsidR="008136DD">
        <w:t xml:space="preserve">, as his model of the </w:t>
      </w:r>
      <w:r w:rsidR="008136DD">
        <w:rPr>
          <w:i/>
          <w:iCs/>
        </w:rPr>
        <w:t xml:space="preserve">culture de l’occupé </w:t>
      </w:r>
      <w:r w:rsidR="008136DD">
        <w:t>argues, propaganda designed for the rear might not have been as effective in the invaded regions</w:t>
      </w:r>
      <w:r w:rsidR="0060796C">
        <w:t xml:space="preserve">, where not only the military, but also the cultural and moral situation was </w:t>
      </w:r>
      <w:r w:rsidR="003C10E9">
        <w:t>not the same</w:t>
      </w:r>
      <w:r w:rsidR="008136DD">
        <w:t xml:space="preserve">. Therefore it was necessary to introduce a new form of propaganda. This thesis will argue that allied governments implicitly understood </w:t>
      </w:r>
      <w:r w:rsidR="006901A9">
        <w:t>that there were differences between the two populations, differences which are here brought under the theory of the</w:t>
      </w:r>
      <w:r w:rsidR="006678D9">
        <w:t xml:space="preserve"> concept of the</w:t>
      </w:r>
      <w:r w:rsidR="006901A9">
        <w:t xml:space="preserve"> </w:t>
      </w:r>
      <w:r w:rsidR="008136DD">
        <w:rPr>
          <w:i/>
          <w:iCs/>
        </w:rPr>
        <w:t>culture de l’occupé</w:t>
      </w:r>
      <w:r w:rsidR="006901A9">
        <w:rPr>
          <w:i/>
          <w:iCs/>
        </w:rPr>
        <w:t>.</w:t>
      </w:r>
      <w:r w:rsidR="008136DD">
        <w:t xml:space="preserve"> </w:t>
      </w:r>
      <w:r w:rsidR="006901A9">
        <w:t>Thus,</w:t>
      </w:r>
      <w:r w:rsidR="008136DD">
        <w:t xml:space="preserve"> they created separate aerial newspapers instead of just dropping Parisian publications by aeroplane</w:t>
      </w:r>
      <w:r w:rsidR="006901A9">
        <w:t xml:space="preserve"> into the occupied territories</w:t>
      </w:r>
      <w:r w:rsidR="008136DD">
        <w:t xml:space="preserve">. This thesis will not attempt to redefine </w:t>
      </w:r>
      <w:r w:rsidR="006678D9">
        <w:t xml:space="preserve">or nuance </w:t>
      </w:r>
      <w:r w:rsidR="008136DD">
        <w:t>the</w:t>
      </w:r>
      <w:r w:rsidR="003C10E9">
        <w:t xml:space="preserve"> model of the</w:t>
      </w:r>
      <w:r w:rsidR="008136DD">
        <w:t xml:space="preserve"> </w:t>
      </w:r>
      <w:r w:rsidR="008136DD">
        <w:rPr>
          <w:i/>
          <w:iCs/>
        </w:rPr>
        <w:t>culture de l’occupé</w:t>
      </w:r>
      <w:r w:rsidR="000F4DE3">
        <w:t xml:space="preserve">, </w:t>
      </w:r>
      <w:r w:rsidR="008136DD">
        <w:t xml:space="preserve">but rather use it as a starting point </w:t>
      </w:r>
      <w:r w:rsidR="006901A9">
        <w:t>to investigate and evaluate the place of aerial propaganda within this specific context.</w:t>
      </w:r>
    </w:p>
    <w:p w14:paraId="2560DE71" w14:textId="2F62459A" w:rsidR="0048510E" w:rsidRDefault="0048510E" w:rsidP="0048510E">
      <w:pPr>
        <w:jc w:val="both"/>
      </w:pPr>
      <w:r>
        <w:t xml:space="preserve"> The occupation of Belgium was studied </w:t>
      </w:r>
      <w:r w:rsidR="00373AD7">
        <w:t>shortly</w:t>
      </w:r>
      <w:r>
        <w:t xml:space="preserve"> after the war by Belgian historian Henri Pirenne </w:t>
      </w:r>
      <w:r w:rsidR="00CE40EA">
        <w:t>(</w:t>
      </w:r>
      <w:r>
        <w:t>who had experienced de</w:t>
      </w:r>
      <w:r w:rsidR="00CE40EA">
        <w:t>portation and the loss of a son)</w:t>
      </w:r>
      <w:r>
        <w:t xml:space="preserve"> in his </w:t>
      </w:r>
      <w:r>
        <w:rPr>
          <w:i/>
          <w:iCs/>
        </w:rPr>
        <w:t>La Belgique et la Guerre Mondiale.</w:t>
      </w:r>
      <w:r w:rsidRPr="009C3814">
        <w:rPr>
          <w:rStyle w:val="FootnoteReference"/>
        </w:rPr>
        <w:footnoteReference w:id="36"/>
      </w:r>
      <w:r>
        <w:t xml:space="preserve"> This book had all the qualities usually associated with the work of Pirenne but lacked archival material and perspective. Yet, his work dominated the historiography of Belgium during the First World War almost completely</w:t>
      </w:r>
      <w:r w:rsidR="000F4DE3">
        <w:t>,</w:t>
      </w:r>
      <w:r>
        <w:t xml:space="preserve"> until </w:t>
      </w:r>
      <w:r w:rsidRPr="009C3814">
        <w:t>Sophie de Schaepdrijver</w:t>
      </w:r>
      <w:r>
        <w:t xml:space="preserve"> brought </w:t>
      </w:r>
      <w:r w:rsidR="00FC17F9">
        <w:t>the occupation of Belgium</w:t>
      </w:r>
      <w:r>
        <w:t xml:space="preserve"> back to life in 1997 with her</w:t>
      </w:r>
      <w:r w:rsidRPr="009C3814">
        <w:t xml:space="preserve"> </w:t>
      </w:r>
      <w:r w:rsidRPr="009C3814">
        <w:rPr>
          <w:i/>
          <w:iCs/>
        </w:rPr>
        <w:t>De Groote Oorlog: het Koninkrij België in de Eerste Wereldoorlog</w:t>
      </w:r>
      <w:r w:rsidRPr="009C3814">
        <w:t>.</w:t>
      </w:r>
      <w:r>
        <w:rPr>
          <w:rStyle w:val="FootnoteReference"/>
        </w:rPr>
        <w:footnoteReference w:id="37"/>
      </w:r>
      <w:r w:rsidRPr="009C3814">
        <w:t xml:space="preserve"> </w:t>
      </w:r>
      <w:r>
        <w:t>De Schaepdrijver’s excellent description of civilian suffering laid the foundation for other studies on the theme of occupation</w:t>
      </w:r>
      <w:r w:rsidR="000F4DE3">
        <w:t>,</w:t>
      </w:r>
      <w:r>
        <w:t xml:space="preserve"> such as Paul Delforge’s </w:t>
      </w:r>
      <w:r>
        <w:rPr>
          <w:i/>
          <w:iCs/>
        </w:rPr>
        <w:t>La Wallonie et la Première Guerre Mondiale</w:t>
      </w:r>
      <w:r>
        <w:t>.</w:t>
      </w:r>
      <w:r>
        <w:rPr>
          <w:rStyle w:val="FootnoteReference"/>
        </w:rPr>
        <w:footnoteReference w:id="38"/>
      </w:r>
      <w:r>
        <w:t xml:space="preserve"> Since De Scaepdrijver’s </w:t>
      </w:r>
      <w:r w:rsidR="00CC4E6B">
        <w:t>important</w:t>
      </w:r>
      <w:r>
        <w:t xml:space="preserve"> study, the most active historian by far</w:t>
      </w:r>
      <w:r w:rsidRPr="009C3814">
        <w:t xml:space="preserve"> </w:t>
      </w:r>
      <w:r>
        <w:t>has been Emmanuel Debruyne</w:t>
      </w:r>
      <w:r w:rsidR="000F69AC">
        <w:t>,</w:t>
      </w:r>
      <w:r>
        <w:t xml:space="preserve"> who in his various articles and books on resistance and espionage in Belgium during the First World War demonstrated the dynamism of clandestine organisations.</w:t>
      </w:r>
      <w:r>
        <w:rPr>
          <w:rStyle w:val="FootnoteReference"/>
        </w:rPr>
        <w:footnoteReference w:id="39"/>
      </w:r>
      <w:r>
        <w:t xml:space="preserve"> This thesis will connect with Debruyne’s research, showing that aerial propaganda was a vital supply of information and fresh news for the resistance groups analysed in his various studies. </w:t>
      </w:r>
    </w:p>
    <w:p w14:paraId="10426CF2" w14:textId="6814E921" w:rsidR="0048510E" w:rsidRPr="00757029" w:rsidRDefault="0048510E" w:rsidP="00DC12EB">
      <w:pPr>
        <w:jc w:val="both"/>
        <w:rPr>
          <w:iCs/>
        </w:rPr>
      </w:pPr>
      <w:r>
        <w:rPr>
          <w:iCs/>
        </w:rPr>
        <w:t>Other studies looking at topics such as wartime destruction, espionage or post-war reconstruction have integrated aspects of the French and Belgian occupations.</w:t>
      </w:r>
      <w:r>
        <w:rPr>
          <w:rStyle w:val="FootnoteReference"/>
        </w:rPr>
        <w:footnoteReference w:id="40"/>
      </w:r>
      <w:r>
        <w:rPr>
          <w:iCs/>
        </w:rPr>
        <w:t xml:space="preserve"> It is worth mentioning the ground-breaking research conducted by John Horne and Alan Kramer on German atrocities in Belgium and France during the first months of the invasion.</w:t>
      </w:r>
      <w:r>
        <w:rPr>
          <w:rStyle w:val="FootnoteReference"/>
          <w:iCs/>
        </w:rPr>
        <w:footnoteReference w:id="41"/>
      </w:r>
      <w:r>
        <w:rPr>
          <w:iCs/>
        </w:rPr>
        <w:t xml:space="preserve"> In </w:t>
      </w:r>
      <w:r>
        <w:rPr>
          <w:i/>
        </w:rPr>
        <w:t xml:space="preserve">German Atrocities 1914, </w:t>
      </w:r>
      <w:r>
        <w:rPr>
          <w:iCs/>
        </w:rPr>
        <w:t xml:space="preserve">the two historians demonstrated that the atrocities committed against civilians were triggered by the fear of </w:t>
      </w:r>
      <w:r>
        <w:rPr>
          <w:i/>
        </w:rPr>
        <w:t>franc-tireurs</w:t>
      </w:r>
      <w:r>
        <w:rPr>
          <w:iCs/>
        </w:rPr>
        <w:t>, seen in France during the 1870-1871 conflict</w:t>
      </w:r>
      <w:r>
        <w:rPr>
          <w:i/>
        </w:rPr>
        <w:t>.</w:t>
      </w:r>
      <w:r w:rsidRPr="005F569A">
        <w:rPr>
          <w:rStyle w:val="FootnoteReference"/>
          <w:iCs/>
        </w:rPr>
        <w:footnoteReference w:id="42"/>
      </w:r>
      <w:r w:rsidRPr="005F569A">
        <w:rPr>
          <w:iCs/>
        </w:rPr>
        <w:t xml:space="preserve"> </w:t>
      </w:r>
      <w:r>
        <w:rPr>
          <w:iCs/>
        </w:rPr>
        <w:t xml:space="preserve">Understanding the atrocities is essential on different levels. In the occupied territories, the initial brutality of the German army shaped the difficult relations between </w:t>
      </w:r>
      <w:r>
        <w:rPr>
          <w:i/>
        </w:rPr>
        <w:t xml:space="preserve">occupants </w:t>
      </w:r>
      <w:r>
        <w:rPr>
          <w:iCs/>
        </w:rPr>
        <w:t xml:space="preserve">and </w:t>
      </w:r>
      <w:r>
        <w:rPr>
          <w:i/>
        </w:rPr>
        <w:t>occupés</w:t>
      </w:r>
      <w:r w:rsidR="000F69AC">
        <w:rPr>
          <w:i/>
        </w:rPr>
        <w:t>,</w:t>
      </w:r>
      <w:r>
        <w:rPr>
          <w:iCs/>
        </w:rPr>
        <w:t xml:space="preserve"> and announced a method of governing based on fear and violence.</w:t>
      </w:r>
      <w:r>
        <w:rPr>
          <w:rStyle w:val="FootnoteReference"/>
          <w:iCs/>
        </w:rPr>
        <w:footnoteReference w:id="43"/>
      </w:r>
      <w:r>
        <w:rPr>
          <w:iCs/>
        </w:rPr>
        <w:t xml:space="preserve"> On the international stage, German atrocities became a key component of p</w:t>
      </w:r>
      <w:r w:rsidR="002068A7">
        <w:rPr>
          <w:iCs/>
        </w:rPr>
        <w:t>ropaganda aimed at neutral and a</w:t>
      </w:r>
      <w:r>
        <w:rPr>
          <w:iCs/>
        </w:rPr>
        <w:t>llied countries</w:t>
      </w:r>
      <w:r w:rsidR="00DC12EB" w:rsidRPr="00DC12EB">
        <w:rPr>
          <w:iCs/>
        </w:rPr>
        <w:t xml:space="preserve"> </w:t>
      </w:r>
      <w:r w:rsidR="00DC12EB">
        <w:rPr>
          <w:iCs/>
        </w:rPr>
        <w:t>as early as 1914</w:t>
      </w:r>
      <w:r>
        <w:rPr>
          <w:iCs/>
        </w:rPr>
        <w:t>. Philip Taylor wrote that ‘no matter how much propaganda material the Germans poured out in an att</w:t>
      </w:r>
      <w:r w:rsidR="009167F9">
        <w:rPr>
          <w:iCs/>
        </w:rPr>
        <w:t>empt to justify their actions, “Poor Little Belgium”</w:t>
      </w:r>
      <w:r>
        <w:rPr>
          <w:iCs/>
        </w:rPr>
        <w:t xml:space="preserve"> remained a rallying cry for their enemies throughout the war’.</w:t>
      </w:r>
      <w:r>
        <w:rPr>
          <w:rStyle w:val="FootnoteReference"/>
          <w:iCs/>
        </w:rPr>
        <w:footnoteReference w:id="44"/>
      </w:r>
      <w:r>
        <w:rPr>
          <w:iCs/>
        </w:rPr>
        <w:t xml:space="preserve"> Horne and Kramer’s study is complemented by Stéphane Audoin-Rouzeau’s </w:t>
      </w:r>
      <w:r>
        <w:rPr>
          <w:i/>
        </w:rPr>
        <w:t>L’enfant de l’ennemi</w:t>
      </w:r>
      <w:r>
        <w:rPr>
          <w:iCs/>
        </w:rPr>
        <w:t>.</w:t>
      </w:r>
      <w:r>
        <w:rPr>
          <w:rStyle w:val="FootnoteReference"/>
          <w:iCs/>
        </w:rPr>
        <w:footnoteReference w:id="45"/>
      </w:r>
      <w:r>
        <w:rPr>
          <w:iCs/>
        </w:rPr>
        <w:t xml:space="preserve"> This book on German rapes in the occupied territories underlines the </w:t>
      </w:r>
      <w:r w:rsidR="00CC4E6B">
        <w:rPr>
          <w:iCs/>
        </w:rPr>
        <w:t>home front’s fascination</w:t>
      </w:r>
      <w:r>
        <w:rPr>
          <w:iCs/>
        </w:rPr>
        <w:t xml:space="preserve"> </w:t>
      </w:r>
      <w:r w:rsidR="00CC4E6B">
        <w:rPr>
          <w:iCs/>
        </w:rPr>
        <w:t>for</w:t>
      </w:r>
      <w:r>
        <w:rPr>
          <w:iCs/>
        </w:rPr>
        <w:t xml:space="preserve"> violence, sexual and physical, against French civilians.</w:t>
      </w:r>
      <w:r>
        <w:rPr>
          <w:rStyle w:val="FootnoteReference"/>
          <w:iCs/>
        </w:rPr>
        <w:footnoteReference w:id="46"/>
      </w:r>
      <w:r>
        <w:rPr>
          <w:iCs/>
        </w:rPr>
        <w:t xml:space="preserve"> Far from anecdotal, the manipulation at the time of topics deemed otherwise taboo shows how propaganda used prevailing moral codes to antagonise the population against the Germans. It is also important to understand that aerial propaganda was conceived at the home front, where propagandists themselves would have been exposed to </w:t>
      </w:r>
      <w:r w:rsidR="00FC17F9">
        <w:rPr>
          <w:iCs/>
        </w:rPr>
        <w:t>brutalised messages aimed at the civilians living in the free regions</w:t>
      </w:r>
      <w:r>
        <w:rPr>
          <w:iCs/>
        </w:rPr>
        <w:t>. Propagandists were influenced by this home front propaganda and used it as an inspiration to conceive aerial psychological warfare.</w:t>
      </w:r>
      <w:r>
        <w:rPr>
          <w:rStyle w:val="FootnoteReference"/>
          <w:iCs/>
        </w:rPr>
        <w:footnoteReference w:id="47"/>
      </w:r>
      <w:r>
        <w:rPr>
          <w:iCs/>
        </w:rPr>
        <w:t xml:space="preserve">  </w:t>
      </w:r>
    </w:p>
    <w:p w14:paraId="5F5A35DC" w14:textId="26080E28" w:rsidR="0048510E" w:rsidRPr="007F078B" w:rsidRDefault="0048510E" w:rsidP="000F69AC">
      <w:pPr>
        <w:jc w:val="both"/>
        <w:rPr>
          <w:iCs/>
        </w:rPr>
      </w:pPr>
      <w:r>
        <w:rPr>
          <w:iCs/>
        </w:rPr>
        <w:t xml:space="preserve">In wider studies of the First World War, the challenges of daily life and the consequences of the occupation of France and Belgium have usually </w:t>
      </w:r>
      <w:r w:rsidR="000F69AC">
        <w:rPr>
          <w:iCs/>
        </w:rPr>
        <w:t xml:space="preserve">been </w:t>
      </w:r>
      <w:r>
        <w:rPr>
          <w:iCs/>
        </w:rPr>
        <w:t>completely ignored. Despite advo</w:t>
      </w:r>
      <w:r w:rsidR="001E1B13">
        <w:rPr>
          <w:iCs/>
        </w:rPr>
        <w:t>cating the concept of total war</w:t>
      </w:r>
      <w:r>
        <w:rPr>
          <w:iCs/>
        </w:rPr>
        <w:t xml:space="preserve">, the book </w:t>
      </w:r>
      <w:r>
        <w:rPr>
          <w:i/>
        </w:rPr>
        <w:t>Great War, Total War</w:t>
      </w:r>
      <w:r>
        <w:rPr>
          <w:iCs/>
        </w:rPr>
        <w:t xml:space="preserve"> contained one chapter on the atrocities committed by the German army during the invasion of Belgium and France</w:t>
      </w:r>
      <w:r w:rsidR="000F69AC">
        <w:rPr>
          <w:iCs/>
        </w:rPr>
        <w:t>,</w:t>
      </w:r>
      <w:r>
        <w:rPr>
          <w:iCs/>
        </w:rPr>
        <w:t xml:space="preserve"> but nothing on the extreme economic exploitation of the occupied territories.</w:t>
      </w:r>
      <w:r>
        <w:rPr>
          <w:rStyle w:val="FootnoteReference"/>
          <w:iCs/>
        </w:rPr>
        <w:footnoteReference w:id="48"/>
      </w:r>
      <w:r>
        <w:rPr>
          <w:iCs/>
        </w:rPr>
        <w:t xml:space="preserve"> In his general history of the war entitled </w:t>
      </w:r>
      <w:r>
        <w:rPr>
          <w:i/>
        </w:rPr>
        <w:t>La Grande Guerre des Français</w:t>
      </w:r>
      <w:r>
        <w:rPr>
          <w:iCs/>
        </w:rPr>
        <w:t>, Jean-Baptiste Duroselle neglected the occupation of the French territories.</w:t>
      </w:r>
      <w:r w:rsidR="001E1B13" w:rsidRPr="001E1B13">
        <w:rPr>
          <w:rStyle w:val="FootnoteReference"/>
          <w:iCs/>
        </w:rPr>
        <w:t xml:space="preserve"> </w:t>
      </w:r>
      <w:r w:rsidR="001E1B13">
        <w:rPr>
          <w:rStyle w:val="FootnoteReference"/>
          <w:iCs/>
        </w:rPr>
        <w:footnoteReference w:id="49"/>
      </w:r>
      <w:r>
        <w:rPr>
          <w:iCs/>
        </w:rPr>
        <w:t xml:space="preserve"> This gap meant that the experience of living with the enemy, shared by more than two million French civilians, was completely ignored. Even in the 2008 </w:t>
      </w:r>
      <w:r>
        <w:rPr>
          <w:i/>
        </w:rPr>
        <w:t>La Grande Guerre, une histoire franco-allemande</w:t>
      </w:r>
      <w:r>
        <w:rPr>
          <w:iCs/>
        </w:rPr>
        <w:t>, which argued that the First World War was first and foremost a Franco-German conflict, Jean-Jacques Becker and Gerd Krumeich dedicated only four pages to the occupation and the relations between French civilians and German soldiers.</w:t>
      </w:r>
      <w:r>
        <w:rPr>
          <w:rStyle w:val="FootnoteReference"/>
          <w:iCs/>
        </w:rPr>
        <w:footnoteReference w:id="50"/>
      </w:r>
      <w:r>
        <w:rPr>
          <w:iCs/>
        </w:rPr>
        <w:t xml:space="preserve"> </w:t>
      </w:r>
    </w:p>
    <w:p w14:paraId="22D130BC" w14:textId="77777777" w:rsidR="0048510E" w:rsidRPr="000A1E14" w:rsidRDefault="0048510E" w:rsidP="0048510E">
      <w:pPr>
        <w:jc w:val="both"/>
      </w:pPr>
      <w:r>
        <w:t xml:space="preserve">Among the abovementioned studies of the occupation, there are seldom references to the role played by aerial propaganda in the invaded territories. </w:t>
      </w:r>
      <w:r w:rsidRPr="00150A28">
        <w:rPr>
          <w:lang w:val="fr-FR"/>
        </w:rPr>
        <w:t xml:space="preserve">Annette Becker hinted </w:t>
      </w:r>
      <w:r w:rsidR="00FC17F9">
        <w:rPr>
          <w:lang w:val="fr-FR"/>
        </w:rPr>
        <w:t xml:space="preserve">at </w:t>
      </w:r>
      <w:r w:rsidRPr="00150A28">
        <w:rPr>
          <w:lang w:val="fr-FR"/>
        </w:rPr>
        <w:t>the importance of aerial psychological warfare</w:t>
      </w:r>
      <w:r w:rsidRPr="003B6524">
        <w:rPr>
          <w:lang w:val="fr-FR"/>
        </w:rPr>
        <w:t xml:space="preserve"> in </w:t>
      </w:r>
      <w:r w:rsidRPr="003B6524">
        <w:rPr>
          <w:i/>
          <w:iCs/>
          <w:lang w:val="fr-FR"/>
        </w:rPr>
        <w:t>Les cicatrices rouges</w:t>
      </w:r>
      <w:r w:rsidRPr="003B6524">
        <w:rPr>
          <w:lang w:val="fr-FR"/>
        </w:rPr>
        <w:t xml:space="preserve">: </w:t>
      </w:r>
      <w:r w:rsidRPr="009C3814">
        <w:rPr>
          <w:i/>
          <w:iCs/>
          <w:lang w:val="fr-FR"/>
        </w:rPr>
        <w:t>‘</w:t>
      </w:r>
      <w:r w:rsidRPr="009C3814">
        <w:rPr>
          <w:lang w:val="fr-FR"/>
        </w:rPr>
        <w:t>Très peu de sabotages, beaucoup de propagande et d’observations. Ainsi, on emploie des avions militaires pour distribuer des tracts aux populations’</w:t>
      </w:r>
      <w:r>
        <w:rPr>
          <w:lang w:val="fr-FR"/>
        </w:rPr>
        <w:t>.</w:t>
      </w:r>
      <w:r>
        <w:rPr>
          <w:rStyle w:val="FootnoteReference"/>
          <w:lang w:val="fr-FR"/>
        </w:rPr>
        <w:footnoteReference w:id="51"/>
      </w:r>
      <w:r>
        <w:rPr>
          <w:lang w:val="fr-FR"/>
        </w:rPr>
        <w:t xml:space="preserve"> </w:t>
      </w:r>
      <w:r w:rsidRPr="00915152">
        <w:rPr>
          <w:lang w:val="fr-FR"/>
        </w:rPr>
        <w:t xml:space="preserve">Philippe Nivet </w:t>
      </w:r>
      <w:r w:rsidR="001E1B13">
        <w:rPr>
          <w:lang w:val="fr-FR"/>
        </w:rPr>
        <w:t>underlined</w:t>
      </w:r>
      <w:r w:rsidRPr="00150A28">
        <w:rPr>
          <w:lang w:val="fr-FR"/>
        </w:rPr>
        <w:t xml:space="preserve"> Germany’s concern for aerial propaganda when writing that</w:t>
      </w:r>
      <w:r w:rsidRPr="00915152">
        <w:rPr>
          <w:lang w:val="fr-FR"/>
        </w:rPr>
        <w:t xml:space="preserve"> </w:t>
      </w:r>
      <w:r w:rsidRPr="009C3814">
        <w:rPr>
          <w:lang w:val="fr-FR"/>
        </w:rPr>
        <w:t>‘Les occupations cherchent également à entraver les efforts de propagande aérienne faits par les autorités françaises et alli</w:t>
      </w:r>
      <w:r>
        <w:rPr>
          <w:lang w:val="fr-FR"/>
        </w:rPr>
        <w:t>é</w:t>
      </w:r>
      <w:r w:rsidRPr="009C3814">
        <w:rPr>
          <w:lang w:val="fr-FR"/>
        </w:rPr>
        <w:t>es, qui envoient par avions billets et imprimés’</w:t>
      </w:r>
      <w:r>
        <w:rPr>
          <w:lang w:val="fr-FR"/>
        </w:rPr>
        <w:t>.</w:t>
      </w:r>
      <w:r>
        <w:rPr>
          <w:rStyle w:val="FootnoteReference"/>
          <w:lang w:val="fr-FR"/>
        </w:rPr>
        <w:footnoteReference w:id="52"/>
      </w:r>
      <w:r w:rsidRPr="00915152">
        <w:rPr>
          <w:lang w:val="fr-FR"/>
        </w:rPr>
        <w:t xml:space="preserve"> </w:t>
      </w:r>
      <w:r>
        <w:t>He</w:t>
      </w:r>
      <w:r w:rsidRPr="00915152">
        <w:t xml:space="preserve"> also revealed that aerial propaganda was </w:t>
      </w:r>
      <w:r>
        <w:t>one of the main sources of information for a resistance newspaper made</w:t>
      </w:r>
      <w:r w:rsidRPr="00915152">
        <w:t xml:space="preserve"> in Lille</w:t>
      </w:r>
      <w:r>
        <w:t>, an important element also mentioned in McPhail’s book</w:t>
      </w:r>
      <w:r w:rsidRPr="00915152">
        <w:t>.</w:t>
      </w:r>
      <w:r>
        <w:rPr>
          <w:rStyle w:val="FootnoteReference"/>
        </w:rPr>
        <w:footnoteReference w:id="53"/>
      </w:r>
      <w:r w:rsidRPr="00915152">
        <w:t xml:space="preserve"> </w:t>
      </w:r>
      <w:r w:rsidRPr="000A1E14">
        <w:t xml:space="preserve">Similar statements were found in de Schaepdrijver’s book </w:t>
      </w:r>
      <w:r w:rsidR="001E1B13">
        <w:t>on</w:t>
      </w:r>
      <w:r w:rsidRPr="000A1E14">
        <w:t xml:space="preserve"> Belgium: </w:t>
      </w:r>
    </w:p>
    <w:p w14:paraId="4E4760C8" w14:textId="77777777" w:rsidR="0048510E" w:rsidRPr="00CB6E62" w:rsidRDefault="0048510E" w:rsidP="0048510E">
      <w:pPr>
        <w:ind w:left="567" w:right="567"/>
        <w:jc w:val="both"/>
        <w:rPr>
          <w:lang w:val="fr-FR"/>
        </w:rPr>
      </w:pPr>
      <w:r w:rsidRPr="00CB6E62">
        <w:rPr>
          <w:lang w:val="fr-FR"/>
        </w:rPr>
        <w:t>Des avions alliés avaient semé, accrochés à des ballonnets, des tracts proclamant la bonne nouvelle de la déclaration de la guerre de la Roumanie à l’Autriche-Hongrie: ce qui avait suffi à faire passer d’un coup une population vivant de suppositions et de rumeurs de l’abattement le plus sombre à une confiance rayonnante</w:t>
      </w:r>
      <w:r>
        <w:rPr>
          <w:lang w:val="fr-FR"/>
        </w:rPr>
        <w:t xml:space="preserve"> […]</w:t>
      </w:r>
      <w:r w:rsidRPr="00CB6E62">
        <w:rPr>
          <w:lang w:val="fr-FR"/>
        </w:rPr>
        <w:t>.</w:t>
      </w:r>
      <w:r>
        <w:rPr>
          <w:rStyle w:val="FootnoteReference"/>
          <w:lang w:val="fr-FR"/>
        </w:rPr>
        <w:footnoteReference w:id="54"/>
      </w:r>
      <w:r w:rsidRPr="00CB6E62">
        <w:rPr>
          <w:lang w:val="fr-FR"/>
        </w:rPr>
        <w:t xml:space="preserve"> </w:t>
      </w:r>
    </w:p>
    <w:p w14:paraId="2358B33F" w14:textId="1EBF8565" w:rsidR="0048510E" w:rsidRDefault="0048510E" w:rsidP="000F69AC">
      <w:pPr>
        <w:jc w:val="both"/>
      </w:pPr>
      <w:r w:rsidRPr="00CB6E62">
        <w:t xml:space="preserve">It is surprising that such studies, having acknowledged the importance of aerial propaganda, did not engage with </w:t>
      </w:r>
      <w:r w:rsidR="000F69AC">
        <w:t>it more deeply</w:t>
      </w:r>
      <w:r w:rsidRPr="00CB6E62">
        <w:t xml:space="preserve"> </w:t>
      </w:r>
      <w:r>
        <w:t>to understand</w:t>
      </w:r>
      <w:r w:rsidRPr="00CB6E62">
        <w:t xml:space="preserve"> the </w:t>
      </w:r>
      <w:r w:rsidR="000F69AC">
        <w:t>details</w:t>
      </w:r>
      <w:r w:rsidRPr="00CB6E62">
        <w:t xml:space="preserve"> of this campaign of communication.</w:t>
      </w:r>
    </w:p>
    <w:p w14:paraId="1CE14285" w14:textId="22B9E210" w:rsidR="0048510E" w:rsidRDefault="0048510E" w:rsidP="000F69AC">
      <w:pPr>
        <w:jc w:val="both"/>
      </w:pPr>
      <w:r>
        <w:t xml:space="preserve">Another essential body of work to consider is the field of propaganda history. The study of First World War propaganda suffered from the fallout of Arthur Ponsonby’s book </w:t>
      </w:r>
      <w:r>
        <w:rPr>
          <w:i/>
          <w:iCs/>
        </w:rPr>
        <w:t>Falsehood in Wartime</w:t>
      </w:r>
      <w:r>
        <w:t xml:space="preserve"> in which psychological warfare, and the stories surrounding Belgian atrocities, were presented as a body of lies.</w:t>
      </w:r>
      <w:r>
        <w:rPr>
          <w:rStyle w:val="FootnoteReference"/>
        </w:rPr>
        <w:footnoteReference w:id="55"/>
      </w:r>
      <w:r>
        <w:t xml:space="preserve"> Such a version was also widespread in Germany where right-wing supporters of the </w:t>
      </w:r>
      <w:r w:rsidRPr="009B02ED">
        <w:rPr>
          <w:i/>
          <w:iCs/>
        </w:rPr>
        <w:t>Dolchsto</w:t>
      </w:r>
      <w:r w:rsidRPr="009B02ED">
        <w:rPr>
          <w:rStyle w:val="citation"/>
          <w:i/>
          <w:iCs/>
        </w:rPr>
        <w:t>ß</w:t>
      </w:r>
      <w:r w:rsidRPr="009B02ED">
        <w:rPr>
          <w:i/>
          <w:iCs/>
        </w:rPr>
        <w:t>legenden</w:t>
      </w:r>
      <w:r>
        <w:rPr>
          <w:i/>
          <w:iCs/>
        </w:rPr>
        <w:t xml:space="preserve"> </w:t>
      </w:r>
      <w:r>
        <w:t>blamed a carefully orchestrated campaign of psychological warfare for the alleged betrayal of the home front.</w:t>
      </w:r>
      <w:r>
        <w:rPr>
          <w:rStyle w:val="FootnoteReference"/>
        </w:rPr>
        <w:footnoteReference w:id="56"/>
      </w:r>
      <w:r>
        <w:t xml:space="preserve"> As a result, the study of aerial propaganda was generally left aside for more aggressive forms of communication aimed at enemy soldiers or populations</w:t>
      </w:r>
      <w:r w:rsidR="000F69AC">
        <w:t>;</w:t>
      </w:r>
      <w:r>
        <w:t xml:space="preserve"> comforting clichés in which propaganda became synonymous with brainwashing.</w:t>
      </w:r>
      <w:r>
        <w:rPr>
          <w:rStyle w:val="FootnoteReference"/>
        </w:rPr>
        <w:footnoteReference w:id="57"/>
      </w:r>
      <w:r>
        <w:t xml:space="preserve"> The Second World War, in attracting all attention, was once again to damage the </w:t>
      </w:r>
      <w:r w:rsidR="001E1B13">
        <w:t>field</w:t>
      </w:r>
      <w:r>
        <w:t xml:space="preserve"> of </w:t>
      </w:r>
      <w:r w:rsidR="001E1B13">
        <w:t xml:space="preserve">study </w:t>
      </w:r>
      <w:r w:rsidR="000F69AC">
        <w:t xml:space="preserve">of propaganda </w:t>
      </w:r>
      <w:r>
        <w:t xml:space="preserve">during the previous conflict. In fact, it was not until the 1980s that the field of First World War propaganda history once again became a legitimate subject of study. National and international propaganda campaigns have since been studied by various historians. The institutional side of French propaganda was analysed by Didier Georgakakis. In </w:t>
      </w:r>
      <w:r w:rsidRPr="0097446E">
        <w:rPr>
          <w:i/>
          <w:iCs/>
        </w:rPr>
        <w:t>La République contre la propagande</w:t>
      </w:r>
      <w:r>
        <w:rPr>
          <w:i/>
          <w:iCs/>
        </w:rPr>
        <w:t xml:space="preserve">, </w:t>
      </w:r>
      <w:r>
        <w:t>he underlined how difficult it was for the Third Republic to justify a national psychological warfare campaign from a democratic point of view.</w:t>
      </w:r>
      <w:r w:rsidRPr="0023061F">
        <w:rPr>
          <w:rStyle w:val="FootnoteReference"/>
        </w:rPr>
        <w:t xml:space="preserve"> </w:t>
      </w:r>
      <w:r>
        <w:rPr>
          <w:rStyle w:val="FootnoteReference"/>
        </w:rPr>
        <w:footnoteReference w:id="58"/>
      </w:r>
      <w:r>
        <w:t xml:space="preserve"> As this thesis will argue, this consideration was central to the creation of a governmental committee to supervise the aerial propaganda unit. Also useful for understanding governmental propaganda institutions was Michael Amara’s pioneering article on Belgian psychological warfare in neutral and friendly countries,</w:t>
      </w:r>
      <w:r w:rsidR="000F69AC">
        <w:t xml:space="preserve"> although it did</w:t>
      </w:r>
      <w:r>
        <w:t xml:space="preserve"> not </w:t>
      </w:r>
      <w:r w:rsidR="000F69AC">
        <w:t>cover</w:t>
      </w:r>
      <w:r>
        <w:t xml:space="preserve"> aerial propaganda.</w:t>
      </w:r>
      <w:r>
        <w:rPr>
          <w:rStyle w:val="FootnoteReference"/>
        </w:rPr>
        <w:footnoteReference w:id="59"/>
      </w:r>
      <w:r>
        <w:t xml:space="preserve"> The situation on the other side was analysed by David Welch and his </w:t>
      </w:r>
      <w:r>
        <w:rPr>
          <w:i/>
          <w:iCs/>
        </w:rPr>
        <w:t>Germany, Propaganda and Total W</w:t>
      </w:r>
      <w:r w:rsidRPr="000A125D">
        <w:rPr>
          <w:i/>
          <w:iCs/>
        </w:rPr>
        <w:t>ar</w:t>
      </w:r>
      <w:r>
        <w:t>, in which the British historian skilfully</w:t>
      </w:r>
      <w:r w:rsidR="000F69AC">
        <w:t xml:space="preserve"> demonstrated</w:t>
      </w:r>
      <w:r>
        <w:t xml:space="preserve"> the failure of Germany to address the gap between elites and people.</w:t>
      </w:r>
      <w:r w:rsidRPr="0097446E">
        <w:rPr>
          <w:rStyle w:val="FootnoteReference"/>
        </w:rPr>
        <w:footnoteReference w:id="60"/>
      </w:r>
      <w:r>
        <w:t xml:space="preserve"> </w:t>
      </w:r>
    </w:p>
    <w:p w14:paraId="08C19880" w14:textId="229F9F8D" w:rsidR="0048510E" w:rsidRDefault="0048510E" w:rsidP="000F69AC">
      <w:pPr>
        <w:jc w:val="both"/>
      </w:pPr>
      <w:r>
        <w:t>Among the ever-growing literature on First World War psychological warfare</w:t>
      </w:r>
      <w:r w:rsidR="001E1B13">
        <w:t>, some research directly relate</w:t>
      </w:r>
      <w:r w:rsidR="000F69AC">
        <w:t>s</w:t>
      </w:r>
      <w:r>
        <w:t xml:space="preserve"> to the topic studied in this thesis. Michael Sanders and Philip Taylor made useful contributions with separate articles and a </w:t>
      </w:r>
      <w:r w:rsidR="00FC17F9">
        <w:t>joint</w:t>
      </w:r>
      <w:r>
        <w:t xml:space="preserve"> book on </w:t>
      </w:r>
      <w:r>
        <w:rPr>
          <w:i/>
          <w:iCs/>
        </w:rPr>
        <w:t>British propaganda during the First World War</w:t>
      </w:r>
      <w:r>
        <w:t>.</w:t>
      </w:r>
      <w:r>
        <w:rPr>
          <w:rStyle w:val="FootnoteReference"/>
        </w:rPr>
        <w:footnoteReference w:id="61"/>
      </w:r>
      <w:r>
        <w:t xml:space="preserve"> In this work, Sanders and Taylor gave a great deal of attention to the institutions behind British psychological warfare, including aerial propaganda, but unfortunately ignored the content, the reception and the international dimension of these operations. In France, a short article on French aerial propaganda aimed at German civilians and French </w:t>
      </w:r>
      <w:r>
        <w:rPr>
          <w:i/>
          <w:iCs/>
        </w:rPr>
        <w:t>occupés</w:t>
      </w:r>
      <w:r>
        <w:t xml:space="preserve"> was published in the 1990s.</w:t>
      </w:r>
      <w:r>
        <w:rPr>
          <w:rStyle w:val="FootnoteReference"/>
        </w:rPr>
        <w:footnoteReference w:id="62"/>
      </w:r>
      <w:r>
        <w:t xml:space="preserve"> François Pernot relied exclusively on French military sources and traditional German testimonies blaming the defeat on propaganda. The lack of criticism toward the sources led Pernot to draw a simplistic picture. This thesis will not only offer a much more nuanced view of the reception of aerial propaganda, but will also highlight other consequences </w:t>
      </w:r>
      <w:r w:rsidR="000F69AC">
        <w:t>which</w:t>
      </w:r>
      <w:r>
        <w:t xml:space="preserve"> Pernot missed in his article. </w:t>
      </w:r>
    </w:p>
    <w:p w14:paraId="0604121D" w14:textId="4CCB6C0C" w:rsidR="0048510E" w:rsidRDefault="0048510E" w:rsidP="000F69AC">
      <w:pPr>
        <w:jc w:val="both"/>
      </w:pPr>
      <w:r>
        <w:t>Studies of the propaganda press in the occupied territories during the First World War have explored important p</w:t>
      </w:r>
      <w:r w:rsidR="000F69AC">
        <w:t>eripheral topics and have shed</w:t>
      </w:r>
      <w:r>
        <w:t xml:space="preserve"> light on factors influencing civilian morale. The main German publication in French in the occupied territories, the </w:t>
      </w:r>
      <w:r>
        <w:rPr>
          <w:i/>
        </w:rPr>
        <w:t>Gazette des Ardennes,</w:t>
      </w:r>
      <w:r>
        <w:t xml:space="preserve"> was in fact one of the reasons for which aerial propaganda was created. This newspaper was investigated in a comparative effort also looking at German communication in France during the Franco-Prussian conflict and the Second World War. Andreas Laska demonstrated that German propaganda in the occupied territ</w:t>
      </w:r>
      <w:r w:rsidR="00C02BF2">
        <w:t>ories was far from an anecdotal</w:t>
      </w:r>
      <w:r>
        <w:t xml:space="preserve"> campaign of communication, a conclusion </w:t>
      </w:r>
      <w:r w:rsidR="000F69AC">
        <w:t>which</w:t>
      </w:r>
      <w:r w:rsidR="00C02BF2">
        <w:t xml:space="preserve"> this thesis will also reach</w:t>
      </w:r>
      <w:r>
        <w:t>.</w:t>
      </w:r>
      <w:r>
        <w:rPr>
          <w:rStyle w:val="FootnoteReference"/>
        </w:rPr>
        <w:footnoteReference w:id="63"/>
      </w:r>
      <w:r>
        <w:t xml:space="preserve"> Still on the German side, Matthew Stibbe’s </w:t>
      </w:r>
      <w:r>
        <w:rPr>
          <w:i/>
          <w:iCs/>
        </w:rPr>
        <w:t>German Anglophobia and the Great War</w:t>
      </w:r>
      <w:r>
        <w:t xml:space="preserve"> investigated Anglophobia on the German home front. </w:t>
      </w:r>
      <w:r w:rsidR="00C02BF2">
        <w:t>Leaving aside the occupied territories, this study</w:t>
      </w:r>
      <w:r>
        <w:t xml:space="preserve"> is nonetheless fundamental to understanding German motivations lead</w:t>
      </w:r>
      <w:r w:rsidR="00C02BF2">
        <w:t>ing to</w:t>
      </w:r>
      <w:r>
        <w:t xml:space="preserve"> a campaign of Anglophobic propaganda aimed at the </w:t>
      </w:r>
      <w:r>
        <w:rPr>
          <w:i/>
          <w:iCs/>
        </w:rPr>
        <w:t>occupés.</w:t>
      </w:r>
      <w:r w:rsidRPr="0023061F">
        <w:rPr>
          <w:rStyle w:val="FootnoteReference"/>
        </w:rPr>
        <w:footnoteReference w:id="64"/>
      </w:r>
      <w:r>
        <w:rPr>
          <w:i/>
          <w:iCs/>
        </w:rPr>
        <w:t xml:space="preserve"> </w:t>
      </w:r>
      <w:r>
        <w:rPr>
          <w:iCs/>
        </w:rPr>
        <w:t>D</w:t>
      </w:r>
      <w:r>
        <w:t xml:space="preserve">e Schaepdrijver produced a book chapter on German propaganda in Belgium in which she illustrated their attempts to divide the country through Flemish separatism and </w:t>
      </w:r>
      <w:r>
        <w:rPr>
          <w:i/>
          <w:iCs/>
        </w:rPr>
        <w:t>Flamenpolitik</w:t>
      </w:r>
      <w:r>
        <w:t>.</w:t>
      </w:r>
      <w:r>
        <w:rPr>
          <w:rStyle w:val="FootnoteReference"/>
        </w:rPr>
        <w:footnoteReference w:id="65"/>
      </w:r>
      <w:r>
        <w:t xml:space="preserve"> </w:t>
      </w:r>
      <w:r w:rsidR="000F69AC">
        <w:t>This thesis will later argue</w:t>
      </w:r>
      <w:r>
        <w:t xml:space="preserve"> that this campaign of division was instrumental in the decision</w:t>
      </w:r>
      <w:r w:rsidR="000F69AC">
        <w:t xml:space="preserve"> making</w:t>
      </w:r>
      <w:r>
        <w:t xml:space="preserve"> process leading the Belgians to create aerial propaganda. De Schaepdrijver also wrote an article in collaboration with Emmanuel Debruyne on clandestine newspapers in Belgium.</w:t>
      </w:r>
      <w:r>
        <w:rPr>
          <w:rStyle w:val="FootnoteReference"/>
        </w:rPr>
        <w:footnoteReference w:id="66"/>
      </w:r>
      <w:r>
        <w:t xml:space="preserve"> This essential contribution to the field of clandestine propaganda revealed that the underground press was a huge phenomenon in occupied Belgium. This discovery raises an immediate question: where did the </w:t>
      </w:r>
      <w:r>
        <w:rPr>
          <w:i/>
          <w:iCs/>
        </w:rPr>
        <w:t xml:space="preserve">occupés </w:t>
      </w:r>
      <w:r>
        <w:t xml:space="preserve">find fresh information about the war? It will be shown that there was an irrefutable link between clandestine papers in Belgium and France and aerial propaganda. </w:t>
      </w:r>
    </w:p>
    <w:p w14:paraId="65378B12" w14:textId="34E79B6F" w:rsidR="0048510E" w:rsidRDefault="0048510E" w:rsidP="00106D6B">
      <w:pPr>
        <w:jc w:val="both"/>
      </w:pPr>
      <w:r>
        <w:t xml:space="preserve">The role played by First World War aerial propaganda in shaping its equivalent during the Second World has already been mentioned. Tim Brooks was the first to highlight the relation in his thesis and the following book on </w:t>
      </w:r>
      <w:r>
        <w:rPr>
          <w:i/>
          <w:iCs/>
        </w:rPr>
        <w:t>British P</w:t>
      </w:r>
      <w:r w:rsidRPr="00CF6920">
        <w:rPr>
          <w:i/>
          <w:iCs/>
        </w:rPr>
        <w:t>ropaganda to France, 1940-1944</w:t>
      </w:r>
      <w:r>
        <w:t>.</w:t>
      </w:r>
      <w:r>
        <w:rPr>
          <w:rStyle w:val="FootnoteReference"/>
        </w:rPr>
        <w:footnoteReference w:id="67"/>
      </w:r>
      <w:r>
        <w:t xml:space="preserve"> He argued that the experience of communicating with civilians during the First World War was not only a huge influence </w:t>
      </w:r>
      <w:r w:rsidR="00106D6B">
        <w:t>on</w:t>
      </w:r>
      <w:r>
        <w:t xml:space="preserve"> British propaganda during the next conflict but also a problem. Propagandists were stuck in time and had a hard time adapting to more modern means of communication such as the radio.</w:t>
      </w:r>
      <w:r>
        <w:rPr>
          <w:rStyle w:val="FootnoteReference"/>
        </w:rPr>
        <w:footnoteReference w:id="68"/>
      </w:r>
      <w:r>
        <w:t xml:space="preserve"> The other study helping build a bridge between the two conflicts was realised by Maude Fagot who studied anti-British German propaganda and French psychological warfare during the ‘Phoney War’.</w:t>
      </w:r>
      <w:r>
        <w:rPr>
          <w:rStyle w:val="FootnoteReference"/>
        </w:rPr>
        <w:footnoteReference w:id="69"/>
      </w:r>
      <w:r>
        <w:t xml:space="preserve"> In her work, she highlighted similarities </w:t>
      </w:r>
      <w:r w:rsidR="00106D6B">
        <w:t>between propaganda campaigns of the two wars, noting in particular those between</w:t>
      </w:r>
      <w:r>
        <w:t xml:space="preserve"> institutions, propagandists and even the content.</w:t>
      </w:r>
    </w:p>
    <w:p w14:paraId="1EDF15A5" w14:textId="2416FF86" w:rsidR="0048510E" w:rsidRPr="00685717" w:rsidRDefault="0048510E" w:rsidP="00106D6B">
      <w:pPr>
        <w:jc w:val="both"/>
      </w:pPr>
      <w:r>
        <w:t xml:space="preserve">A final comment on the field of propaganda history is required. Studies of psychological warfare during the First World War have explored specific aspects of mass-communication aimed at the home front, some of which were particularly useful for this thesis. The link unifying aerial propaganda aimed at the occupied territories and psychological warfare targeting civilian populations of the rear has been already mentioned above. In </w:t>
      </w:r>
      <w:r>
        <w:rPr>
          <w:i/>
          <w:iCs/>
        </w:rPr>
        <w:t xml:space="preserve">Images et violence 1914-1918, </w:t>
      </w:r>
      <w:r>
        <w:t>Joelle Beurier showed that hate propaganda targeting Germans was mainly used in the French press during major offensives.</w:t>
      </w:r>
      <w:r>
        <w:rPr>
          <w:rStyle w:val="FootnoteReference"/>
        </w:rPr>
        <w:footnoteReference w:id="70"/>
      </w:r>
      <w:r>
        <w:t xml:space="preserve"> This thesis will argue that aerial propaganda aimed at the occupied territories also used waves of hate propaganda</w:t>
      </w:r>
      <w:r w:rsidR="00106D6B">
        <w:t>,</w:t>
      </w:r>
      <w:r>
        <w:t xml:space="preserve"> but mainly when the situation on the battlefield was critical. </w:t>
      </w:r>
      <w:r w:rsidRPr="00166AFD">
        <w:t xml:space="preserve">In </w:t>
      </w:r>
      <w:r w:rsidRPr="00166AFD">
        <w:rPr>
          <w:i/>
          <w:iCs/>
        </w:rPr>
        <w:t xml:space="preserve">Images et politique en France au XXe siècle, </w:t>
      </w:r>
      <w:r w:rsidRPr="00166AFD">
        <w:t xml:space="preserve">Christian Delporte </w:t>
      </w:r>
      <w:r>
        <w:t>comprehensively</w:t>
      </w:r>
      <w:r w:rsidRPr="00166AFD">
        <w:t xml:space="preserve"> </w:t>
      </w:r>
      <w:r w:rsidR="00106D6B">
        <w:t xml:space="preserve">analysed </w:t>
      </w:r>
      <w:r w:rsidRPr="00166AFD">
        <w:t xml:space="preserve">how </w:t>
      </w:r>
      <w:r>
        <w:t>the transformation of the image</w:t>
      </w:r>
      <w:r w:rsidRPr="00166AFD">
        <w:t xml:space="preserve"> </w:t>
      </w:r>
      <w:r w:rsidR="002068A7">
        <w:t>of Germans into monsters by a</w:t>
      </w:r>
      <w:r>
        <w:t xml:space="preserve">llied propaganda </w:t>
      </w:r>
      <w:r w:rsidRPr="00166AFD">
        <w:t xml:space="preserve">served as a </w:t>
      </w:r>
      <w:r>
        <w:t>tested technique</w:t>
      </w:r>
      <w:r w:rsidRPr="00166AFD">
        <w:t xml:space="preserve"> of visual mobilisation</w:t>
      </w:r>
      <w:r w:rsidR="00766EC6">
        <w:t xml:space="preserve"> during the First World War</w:t>
      </w:r>
      <w:r w:rsidRPr="00166AFD">
        <w:t>.</w:t>
      </w:r>
      <w:r>
        <w:rPr>
          <w:rStyle w:val="FootnoteReference"/>
        </w:rPr>
        <w:footnoteReference w:id="71"/>
      </w:r>
      <w:r w:rsidRPr="00166AFD">
        <w:t xml:space="preserve"> </w:t>
      </w:r>
      <w:r>
        <w:t xml:space="preserve">Other studies looking at truth, censorship or acceptance of the conflict were equally important in </w:t>
      </w:r>
      <w:r w:rsidR="00106D6B">
        <w:t>increasing our</w:t>
      </w:r>
      <w:r>
        <w:t xml:space="preserve"> understanding of propaganda aimed at the home front during the First World War.</w:t>
      </w:r>
      <w:r>
        <w:rPr>
          <w:rStyle w:val="FootnoteReference"/>
        </w:rPr>
        <w:footnoteReference w:id="72"/>
      </w:r>
      <w:r>
        <w:t xml:space="preserve"> There were also similarities between aerial psychological warfare and propaganda aimed at soldiers. Particularly useful </w:t>
      </w:r>
      <w:r w:rsidR="00766EC6">
        <w:t>was</w:t>
      </w:r>
      <w:r>
        <w:t xml:space="preserve"> Stéphane Audoin-Rouzeau’s </w:t>
      </w:r>
      <w:r>
        <w:rPr>
          <w:i/>
          <w:iCs/>
        </w:rPr>
        <w:t>Men at War</w:t>
      </w:r>
      <w:r>
        <w:t xml:space="preserve">, which showed that French soldiers were in fact citizens in uniform with </w:t>
      </w:r>
      <w:r w:rsidR="00766EC6">
        <w:t>strong</w:t>
      </w:r>
      <w:r>
        <w:t xml:space="preserve"> interactions with the home.</w:t>
      </w:r>
      <w:r>
        <w:rPr>
          <w:rStyle w:val="FootnoteReference"/>
        </w:rPr>
        <w:footnoteReference w:id="73"/>
      </w:r>
      <w:r>
        <w:t xml:space="preserve"> François Bertrand’s study of Belgian trench newspapers showed that </w:t>
      </w:r>
      <w:r w:rsidR="00660480">
        <w:t>they</w:t>
      </w:r>
      <w:r>
        <w:t xml:space="preserve"> used the abuses of the occupation to strengthen soldiers’ determination against the Germans.</w:t>
      </w:r>
      <w:r>
        <w:rPr>
          <w:rStyle w:val="FootnoteReference"/>
        </w:rPr>
        <w:footnoteReference w:id="74"/>
      </w:r>
      <w:r>
        <w:t xml:space="preserve"> On the </w:t>
      </w:r>
      <w:r w:rsidR="00106D6B">
        <w:t>other hand</w:t>
      </w:r>
      <w:r>
        <w:t>, Robert Nelson’s study showed that German trench newspapers saw the occupation as a necessary step taken t</w:t>
      </w:r>
      <w:r w:rsidR="002068A7">
        <w:t>o protect the country against a</w:t>
      </w:r>
      <w:r>
        <w:t>llied aggression.</w:t>
      </w:r>
      <w:r>
        <w:rPr>
          <w:rStyle w:val="FootnoteReference"/>
        </w:rPr>
        <w:footnoteReference w:id="75"/>
      </w:r>
    </w:p>
    <w:p w14:paraId="6F4E2831" w14:textId="7603A355" w:rsidR="0048510E" w:rsidRDefault="0048510E" w:rsidP="004A5E3F">
      <w:pPr>
        <w:jc w:val="both"/>
      </w:pPr>
      <w:r>
        <w:t xml:space="preserve">More general literature on propaganda theory and media studies unsurprisingly contributes to the understanding of aerial propaganda during the First World War. However, it must be noted that this thesis does not aim to provide a theoretical study </w:t>
      </w:r>
      <w:r w:rsidR="00766EC6">
        <w:t xml:space="preserve">of </w:t>
      </w:r>
      <w:r>
        <w:t xml:space="preserve">aerial psychological warfare, but rather to be a contribution to the historiography of occupation. This thesis will begin with William Albig’s premise that ‘modern propaganda’ </w:t>
      </w:r>
      <w:r w:rsidR="00766EC6">
        <w:t>started</w:t>
      </w:r>
      <w:r>
        <w:t xml:space="preserve"> in the middle of the nineteenth century, a point also raised by Philip Taylor and Paul Meller.</w:t>
      </w:r>
      <w:r>
        <w:rPr>
          <w:rStyle w:val="FootnoteReference"/>
        </w:rPr>
        <w:footnoteReference w:id="76"/>
      </w:r>
      <w:r>
        <w:t xml:space="preserve"> Mass literacy, the rise of the press and rivalry between European nations at the end of the nineteenth century were all pivotal in creating a new era of propaganda. These are important points of contextualisation</w:t>
      </w:r>
      <w:r w:rsidR="00106D6B">
        <w:t>,</w:t>
      </w:r>
      <w:r>
        <w:t xml:space="preserve"> showing that the </w:t>
      </w:r>
      <w:r>
        <w:rPr>
          <w:i/>
          <w:iCs/>
        </w:rPr>
        <w:t xml:space="preserve">occupés </w:t>
      </w:r>
      <w:r>
        <w:t xml:space="preserve">were ready for a campaign of communication. The question of belief in the ability of propaganda to </w:t>
      </w:r>
      <w:r w:rsidR="00766EC6">
        <w:t>be convincing</w:t>
      </w:r>
      <w:r>
        <w:t xml:space="preserve"> is also a central one. Terence Qualter argued that before the First World War, people were not greatly aware of the possibilities offered by the mass media to affect opinion.</w:t>
      </w:r>
      <w:r>
        <w:rPr>
          <w:rStyle w:val="FootnoteReference"/>
        </w:rPr>
        <w:footnoteReference w:id="77"/>
      </w:r>
      <w:r>
        <w:t xml:space="preserve"> </w:t>
      </w:r>
      <w:r w:rsidR="00106D6B">
        <w:t>Meller, defending an opposing view, argued</w:t>
      </w:r>
      <w:r>
        <w:t xml:space="preserve"> that propaganda was already an important phenomenon during the Boer War.</w:t>
      </w:r>
      <w:r>
        <w:rPr>
          <w:rStyle w:val="FootnoteReference"/>
        </w:rPr>
        <w:footnoteReference w:id="78"/>
      </w:r>
      <w:r>
        <w:t xml:space="preserve"> Practical examples will in fact draw the line in the middle, showing that during the First World War aerial propaganda had its supporters in governmental and military circles, as well as its sceptics - mainly </w:t>
      </w:r>
      <w:r w:rsidR="004A5E3F">
        <w:t>within</w:t>
      </w:r>
      <w:r>
        <w:t xml:space="preserve"> the army. </w:t>
      </w:r>
    </w:p>
    <w:p w14:paraId="2468C40F" w14:textId="21CAC058" w:rsidR="0048510E" w:rsidRDefault="0048510E" w:rsidP="004A5E3F">
      <w:pPr>
        <w:jc w:val="both"/>
      </w:pPr>
      <w:r>
        <w:t xml:space="preserve">Four propaganda theorists </w:t>
      </w:r>
      <w:r w:rsidR="004A5E3F">
        <w:t>had particular</w:t>
      </w:r>
      <w:r>
        <w:t xml:space="preserve"> influential</w:t>
      </w:r>
      <w:r w:rsidR="004A5E3F">
        <w:t xml:space="preserve"> on</w:t>
      </w:r>
      <w:r>
        <w:t xml:space="preserve"> this thesis. The first is the pioneer Harold Lasswell who</w:t>
      </w:r>
      <w:r w:rsidR="004A5E3F">
        <w:t>,</w:t>
      </w:r>
      <w:r>
        <w:t xml:space="preserve"> in his </w:t>
      </w:r>
      <w:r>
        <w:rPr>
          <w:i/>
          <w:iCs/>
        </w:rPr>
        <w:t>Propaganda Technique in World War I</w:t>
      </w:r>
      <w:r w:rsidR="004A5E3F">
        <w:rPr>
          <w:i/>
          <w:iCs/>
        </w:rPr>
        <w:t>,</w:t>
      </w:r>
      <w:r w:rsidR="004A5E3F">
        <w:t xml:space="preserve"> </w:t>
      </w:r>
      <w:r>
        <w:t xml:space="preserve">mapped the major propaganda objectives </w:t>
      </w:r>
      <w:r w:rsidR="004A5E3F">
        <w:t>of</w:t>
      </w:r>
      <w:r>
        <w:t xml:space="preserve"> the First World War and detailed the strategies used by propagandists in perilous situations.</w:t>
      </w:r>
      <w:r>
        <w:rPr>
          <w:rStyle w:val="FootnoteReference"/>
        </w:rPr>
        <w:footnoteReference w:id="79"/>
      </w:r>
      <w:r w:rsidR="00341BB1">
        <w:t xml:space="preserve"> His analytic framework is partly outdated </w:t>
      </w:r>
      <w:r>
        <w:t xml:space="preserve">but </w:t>
      </w:r>
      <w:r w:rsidR="004A5E3F">
        <w:t>remains pertinent enough</w:t>
      </w:r>
      <w:r>
        <w:t xml:space="preserve"> to be useful for examining the production of aerial propaganda. Jacques Ellul’s work on propaganda is sometimes contested but is still widely regarded as </w:t>
      </w:r>
      <w:r w:rsidR="004A5E3F">
        <w:t>among</w:t>
      </w:r>
      <w:r>
        <w:t xml:space="preserve"> most influential of the twentieth century.</w:t>
      </w:r>
      <w:r>
        <w:rPr>
          <w:rStyle w:val="FootnoteReference"/>
        </w:rPr>
        <w:footnoteReference w:id="80"/>
      </w:r>
      <w:r>
        <w:t xml:space="preserve"> His </w:t>
      </w:r>
      <w:r>
        <w:rPr>
          <w:i/>
          <w:iCs/>
        </w:rPr>
        <w:t>Propaganda: the Formation of Men’s Attitudes</w:t>
      </w:r>
      <w:r>
        <w:t xml:space="preserve"> offered important insights into the nature of propaganda and propagandists, various aspects of reception and other related topics.</w:t>
      </w:r>
      <w:r>
        <w:rPr>
          <w:rStyle w:val="FootnoteReference"/>
        </w:rPr>
        <w:footnoteReference w:id="81"/>
      </w:r>
      <w:r>
        <w:t xml:space="preserve"> In the 2012 study </w:t>
      </w:r>
      <w:r>
        <w:rPr>
          <w:i/>
          <w:iCs/>
        </w:rPr>
        <w:t xml:space="preserve">Propaganda and Persuasion, </w:t>
      </w:r>
      <w:r>
        <w:t>Garth Jowett and Victoria O’Donnell use an interdisciplinary approach based on the latest research to examine not only propaganda</w:t>
      </w:r>
      <w:r w:rsidR="004A5E3F">
        <w:t>,</w:t>
      </w:r>
      <w:r>
        <w:t xml:space="preserve"> but also persuasion from different angles.</w:t>
      </w:r>
      <w:r>
        <w:rPr>
          <w:rStyle w:val="FootnoteReference"/>
        </w:rPr>
        <w:footnoteReference w:id="82"/>
      </w:r>
      <w:r>
        <w:t xml:space="preserve"> The last chapters offer an important methodological framework</w:t>
      </w:r>
      <w:r w:rsidR="004A5E3F">
        <w:t xml:space="preserve"> through which</w:t>
      </w:r>
      <w:r>
        <w:t xml:space="preserve"> to analyse propaganda</w:t>
      </w:r>
      <w:r w:rsidR="009161C4">
        <w:t>.</w:t>
      </w:r>
    </w:p>
    <w:p w14:paraId="6236286C" w14:textId="26C50C14" w:rsidR="0048510E" w:rsidRDefault="0048510E" w:rsidP="009161C4">
      <w:pPr>
        <w:pStyle w:val="Heading2"/>
      </w:pPr>
      <w:bookmarkStart w:id="7" w:name="_Toc402192942"/>
      <w:r>
        <w:t>Sources</w:t>
      </w:r>
      <w:bookmarkEnd w:id="7"/>
    </w:p>
    <w:p w14:paraId="52B9A12F" w14:textId="41E189B8" w:rsidR="0048510E" w:rsidRDefault="0048510E" w:rsidP="004A5E3F">
      <w:pPr>
        <w:jc w:val="both"/>
      </w:pPr>
      <w:r>
        <w:t xml:space="preserve">There are many sources </w:t>
      </w:r>
      <w:r w:rsidR="004A5E3F">
        <w:t>which</w:t>
      </w:r>
      <w:r>
        <w:t xml:space="preserve"> help to shed light on the institutional aspects of aerial propaganda and related topics such as the decision </w:t>
      </w:r>
      <w:r w:rsidR="004A5E3F">
        <w:t xml:space="preserve">making </w:t>
      </w:r>
      <w:r>
        <w:t>process leading to aerial propaganda</w:t>
      </w:r>
      <w:r w:rsidR="004A5E3F">
        <w:t>,</w:t>
      </w:r>
      <w:r>
        <w:t xml:space="preserve"> or the structures and the distribution. Belgian propaganda was the easiest to investigate, as most institutional papers highlighting </w:t>
      </w:r>
      <w:r w:rsidR="004A5E3F">
        <w:t xml:space="preserve">governmental   </w:t>
      </w:r>
      <w:r>
        <w:t xml:space="preserve">structures and debates are preserved in the </w:t>
      </w:r>
      <w:r>
        <w:rPr>
          <w:i/>
          <w:iCs/>
        </w:rPr>
        <w:t xml:space="preserve">Archives du Service Public Fédéral des Affaires Etrangères </w:t>
      </w:r>
      <w:r>
        <w:t>(ASPF AEB) in Brussels.</w:t>
      </w:r>
      <w:r>
        <w:rPr>
          <w:rStyle w:val="FootnoteReference"/>
        </w:rPr>
        <w:footnoteReference w:id="83"/>
      </w:r>
      <w:r>
        <w:t xml:space="preserve"> The distribution of Belgian propaganda was uncovered through the papers of the Belgian GQG located in the </w:t>
      </w:r>
      <w:r>
        <w:rPr>
          <w:i/>
          <w:iCs/>
        </w:rPr>
        <w:t xml:space="preserve">Centre de documentation du Musée Royal de l’Armée et d’Histoire Militaire </w:t>
      </w:r>
      <w:r>
        <w:t>(MRAHM)</w:t>
      </w:r>
      <w:r>
        <w:rPr>
          <w:i/>
          <w:iCs/>
        </w:rPr>
        <w:t xml:space="preserve">, </w:t>
      </w:r>
      <w:r>
        <w:t>also in the Belgian capital.</w:t>
      </w:r>
      <w:r>
        <w:rPr>
          <w:rStyle w:val="FootnoteReference"/>
        </w:rPr>
        <w:footnoteReference w:id="84"/>
      </w:r>
      <w:r>
        <w:t xml:space="preserve"> Information on the French side of aerial propaganda was mostly contained in the papers of the </w:t>
      </w:r>
      <w:r>
        <w:rPr>
          <w:i/>
          <w:iCs/>
        </w:rPr>
        <w:t xml:space="preserve">Armée de terre </w:t>
      </w:r>
      <w:r>
        <w:t xml:space="preserve">of the </w:t>
      </w:r>
      <w:r>
        <w:rPr>
          <w:i/>
          <w:iCs/>
        </w:rPr>
        <w:t>Etat-Major de l’Armée</w:t>
      </w:r>
      <w:r>
        <w:t xml:space="preserve"> (EMA) and in the archives of the </w:t>
      </w:r>
      <w:r>
        <w:rPr>
          <w:i/>
          <w:iCs/>
        </w:rPr>
        <w:t xml:space="preserve">Armée de l’Air, </w:t>
      </w:r>
      <w:r>
        <w:t xml:space="preserve">both held by the </w:t>
      </w:r>
      <w:r>
        <w:rPr>
          <w:i/>
          <w:iCs/>
        </w:rPr>
        <w:t>Service Historique de la Défense</w:t>
      </w:r>
      <w:r>
        <w:t xml:space="preserve"> (SHD).</w:t>
      </w:r>
      <w:r>
        <w:rPr>
          <w:rStyle w:val="FootnoteReference"/>
        </w:rPr>
        <w:footnoteReference w:id="85"/>
      </w:r>
      <w:r>
        <w:t xml:space="preserve"> The British </w:t>
      </w:r>
      <w:r w:rsidR="004A5E3F">
        <w:t>case</w:t>
      </w:r>
      <w:r>
        <w:t xml:space="preserve"> was by far the most complex to research, the reason for which is stated in Michael Occleshaw’s book: </w:t>
      </w:r>
    </w:p>
    <w:p w14:paraId="36695BC5" w14:textId="77777777" w:rsidR="0048510E" w:rsidRDefault="0048510E" w:rsidP="0048510E">
      <w:pPr>
        <w:ind w:left="567" w:right="567"/>
        <w:jc w:val="both"/>
      </w:pPr>
      <w:r>
        <w:t>With all its work shrouded at the time in such secrecy it comes as no surprise to find that the official documents of MI7(b) [the unit in charge of aerial propaganda] were destroyed after the armistice on the grounds that they ‘would have been to</w:t>
      </w:r>
      <w:r w:rsidR="00766EC6">
        <w:t>o</w:t>
      </w:r>
      <w:r>
        <w:t xml:space="preserve"> incriminating’. Secrecy was so closely maintained that the members of MI7(b), in the best traditions of the darker corners of British officialdom, remained silent about their work […].</w:t>
      </w:r>
      <w:r>
        <w:rPr>
          <w:rStyle w:val="FootnoteReference"/>
        </w:rPr>
        <w:footnoteReference w:id="86"/>
      </w:r>
      <w:r>
        <w:t xml:space="preserve">  </w:t>
      </w:r>
    </w:p>
    <w:p w14:paraId="02F26A4A" w14:textId="36659626" w:rsidR="0048510E" w:rsidRDefault="0048510E" w:rsidP="00605DB1">
      <w:pPr>
        <w:jc w:val="both"/>
      </w:pPr>
      <w:r>
        <w:t>A few documents, mostly about propaganda distribution, survived and are now kept at the National Archives in Kew.</w:t>
      </w:r>
      <w:r>
        <w:rPr>
          <w:rStyle w:val="FootnoteReference"/>
        </w:rPr>
        <w:footnoteReference w:id="87"/>
      </w:r>
      <w:r>
        <w:t xml:space="preserve"> Fortunately, the loss was partially compensated </w:t>
      </w:r>
      <w:r w:rsidR="004A5E3F">
        <w:t xml:space="preserve">for </w:t>
      </w:r>
      <w:r>
        <w:t>by the papers of a British Lieutenant-Colonel who collaborated with MI7(b) on distribution matters</w:t>
      </w:r>
      <w:r w:rsidR="004A5E3F">
        <w:t>, found at the Imperial War Museum</w:t>
      </w:r>
      <w:r>
        <w:t>.</w:t>
      </w:r>
      <w:r>
        <w:rPr>
          <w:rStyle w:val="FootnoteReference"/>
        </w:rPr>
        <w:footnoteReference w:id="88"/>
      </w:r>
      <w:r>
        <w:t xml:space="preserve"> They can in no way replace the destruction of the archives but can at least </w:t>
      </w:r>
      <w:r w:rsidR="004A5E3F">
        <w:t>provide</w:t>
      </w:r>
      <w:r>
        <w:t xml:space="preserve"> a few extra details on the organisation of British aerial propaganda. As a result of the damage done to propaganda papers, there are occasional gaps in the sequence of events concerning the British propaganda effort. Similarly, the distribution of aerial propaganda by British </w:t>
      </w:r>
      <w:r w:rsidR="00605DB1">
        <w:t>air units</w:t>
      </w:r>
      <w:r>
        <w:t xml:space="preserve"> is sometimes sketchy, due to the damage caused to the air force archives by German bombers during the Second World War. On the matter of British distribution, information comes mostly from the remaining documents contained in the National Archives.</w:t>
      </w:r>
      <w:r>
        <w:rPr>
          <w:rStyle w:val="FootnoteReference"/>
        </w:rPr>
        <w:footnoteReference w:id="89"/>
      </w:r>
      <w:r>
        <w:t xml:space="preserve"> On rare occasions, probably not more than six times, French propagandists smuggled propaganda through the neutral border of Switzerland. A visit to the Swiss Federal archives in Bern uncovered elements explaining these operations</w:t>
      </w:r>
      <w:r w:rsidR="004A5E3F">
        <w:t>,</w:t>
      </w:r>
      <w:r>
        <w:t xml:space="preserve"> but did not </w:t>
      </w:r>
      <w:r w:rsidR="00766EC6">
        <w:t>clarify the matter completely</w:t>
      </w:r>
      <w:r>
        <w:t>.</w:t>
      </w:r>
      <w:r>
        <w:rPr>
          <w:rStyle w:val="FootnoteReference"/>
        </w:rPr>
        <w:footnoteReference w:id="90"/>
      </w:r>
      <w:r>
        <w:t xml:space="preserve"> </w:t>
      </w:r>
    </w:p>
    <w:p w14:paraId="28E44491" w14:textId="0093A0D7" w:rsidR="0048510E" w:rsidRPr="00351629" w:rsidRDefault="0048510E" w:rsidP="008A0693">
      <w:pPr>
        <w:jc w:val="both"/>
      </w:pPr>
      <w:r>
        <w:t>There were very few lacunae in aerial propaganda collections, despite the poor quality of the paper on which psychological warfare was printed.</w:t>
      </w:r>
      <w:r>
        <w:rPr>
          <w:rStyle w:val="FootnoteReference"/>
        </w:rPr>
        <w:footnoteReference w:id="91"/>
      </w:r>
      <w:r>
        <w:t xml:space="preserve"> A full collection of the British </w:t>
      </w:r>
      <w:r>
        <w:rPr>
          <w:i/>
          <w:iCs/>
        </w:rPr>
        <w:t>Le Courrier de l’Air</w:t>
      </w:r>
      <w:r>
        <w:t xml:space="preserve"> was kept intact at the British Library</w:t>
      </w:r>
      <w:r w:rsidR="00F10510">
        <w:t xml:space="preserve"> (BL)</w:t>
      </w:r>
      <w:r>
        <w:t xml:space="preserve">. The </w:t>
      </w:r>
      <w:r w:rsidR="00F10510">
        <w:t>BL</w:t>
      </w:r>
      <w:r>
        <w:t xml:space="preserve"> also holds essential notes in which the daily routine of British aerial propaganda is expla</w:t>
      </w:r>
      <w:r w:rsidR="00F10510">
        <w:t xml:space="preserve">ined in detail by the editor of the </w:t>
      </w:r>
      <w:r w:rsidR="00F10510">
        <w:rPr>
          <w:i/>
          <w:iCs/>
        </w:rPr>
        <w:t>Courrier de l’Air.</w:t>
      </w:r>
      <w:r>
        <w:rPr>
          <w:rStyle w:val="FootnoteReference"/>
        </w:rPr>
        <w:footnoteReference w:id="92"/>
      </w:r>
      <w:r>
        <w:t xml:space="preserve"> Most copies of the French </w:t>
      </w:r>
      <w:r>
        <w:rPr>
          <w:i/>
          <w:iCs/>
        </w:rPr>
        <w:t>La Voix du Pays</w:t>
      </w:r>
      <w:r w:rsidR="00FC17F9">
        <w:t xml:space="preserve"> were kept at the S</w:t>
      </w:r>
      <w:r>
        <w:t>H</w:t>
      </w:r>
      <w:r w:rsidR="00FC17F9">
        <w:t>D</w:t>
      </w:r>
      <w:r>
        <w:t xml:space="preserve"> and the missing issues were found in the </w:t>
      </w:r>
      <w:r>
        <w:rPr>
          <w:i/>
          <w:iCs/>
        </w:rPr>
        <w:t>Bibliothèque Nationale de France</w:t>
      </w:r>
      <w:r>
        <w:t>.</w:t>
      </w:r>
      <w:r>
        <w:rPr>
          <w:rStyle w:val="FootnoteReference"/>
        </w:rPr>
        <w:footnoteReference w:id="93"/>
      </w:r>
      <w:r>
        <w:t xml:space="preserve"> Belgian newspapers proved slightly more difficult to find. </w:t>
      </w:r>
      <w:r w:rsidRPr="00351629">
        <w:rPr>
          <w:i/>
          <w:iCs/>
        </w:rPr>
        <w:t>La Lettre du Soldat</w:t>
      </w:r>
      <w:r w:rsidRPr="00351629">
        <w:t xml:space="preserve"> and </w:t>
      </w:r>
      <w:r w:rsidRPr="00351629">
        <w:rPr>
          <w:i/>
          <w:iCs/>
        </w:rPr>
        <w:t xml:space="preserve">Les Bonnes Nouvelles </w:t>
      </w:r>
      <w:r w:rsidRPr="00351629">
        <w:t xml:space="preserve">were located at the MRAHM, </w:t>
      </w:r>
      <w:r w:rsidR="008A0693">
        <w:t>which also holds</w:t>
      </w:r>
      <w:r w:rsidRPr="00351629">
        <w:t xml:space="preserve"> copies of </w:t>
      </w:r>
      <w:r>
        <w:rPr>
          <w:i/>
          <w:iCs/>
        </w:rPr>
        <w:t>Le Clairon du Roi</w:t>
      </w:r>
      <w:r>
        <w:t>.</w:t>
      </w:r>
      <w:r>
        <w:rPr>
          <w:rStyle w:val="FootnoteReference"/>
        </w:rPr>
        <w:footnoteReference w:id="94"/>
      </w:r>
      <w:r>
        <w:t xml:space="preserve"> Of th</w:t>
      </w:r>
      <w:r w:rsidR="008A0693">
        <w:t>is last newspaper, some issues from</w:t>
      </w:r>
      <w:r>
        <w:t xml:space="preserve"> 1917 have been impossible to discover. The newspaper named </w:t>
      </w:r>
      <w:r w:rsidRPr="003772A9">
        <w:rPr>
          <w:i/>
          <w:iCs/>
        </w:rPr>
        <w:t>‘t</w:t>
      </w:r>
      <w:r>
        <w:rPr>
          <w:i/>
          <w:iCs/>
        </w:rPr>
        <w:t xml:space="preserve"> Kerelsblad</w:t>
      </w:r>
      <w:r>
        <w:t xml:space="preserve"> aimed specifically at Flemish civilians is by far the most mysterious aerial propaganda </w:t>
      </w:r>
      <w:r w:rsidR="00660480">
        <w:t>newspaper</w:t>
      </w:r>
      <w:r>
        <w:t>. Only two copies and almost no documents on its origins could be located in the archives</w:t>
      </w:r>
      <w:r w:rsidR="00373F96">
        <w:t>.</w:t>
      </w:r>
      <w:r>
        <w:rPr>
          <w:rStyle w:val="FootnoteReference"/>
        </w:rPr>
        <w:footnoteReference w:id="95"/>
      </w:r>
      <w:r>
        <w:t xml:space="preserve"> </w:t>
      </w:r>
    </w:p>
    <w:p w14:paraId="1E8D313E" w14:textId="67CDD290" w:rsidR="00373F96" w:rsidRDefault="0048510E" w:rsidP="00DE3AC9">
      <w:pPr>
        <w:jc w:val="both"/>
      </w:pPr>
      <w:r>
        <w:t>There are many sources documenting the impact of aerial propaganda in the occupied territories to be found in archives and books. The question of propaganda’s efficiency cannot be avoided, not least because its importance has been hinted at by different studies of the occupation.</w:t>
      </w:r>
      <w:r>
        <w:rPr>
          <w:rStyle w:val="FootnoteReference"/>
        </w:rPr>
        <w:footnoteReference w:id="96"/>
      </w:r>
      <w:r>
        <w:t xml:space="preserve"> One vital source came from refugees’ interviews conducted by the French and British armies during the war. These interviews are kept in the </w:t>
      </w:r>
      <w:r>
        <w:rPr>
          <w:i/>
          <w:iCs/>
        </w:rPr>
        <w:t>Archives Départementales de la Haute-Savoie</w:t>
      </w:r>
      <w:r w:rsidR="00FC17F9">
        <w:t xml:space="preserve"> (ADHS), the S</w:t>
      </w:r>
      <w:r>
        <w:t>H</w:t>
      </w:r>
      <w:r w:rsidR="00FC17F9">
        <w:t>D</w:t>
      </w:r>
      <w:r>
        <w:t xml:space="preserve"> and the Imperial War Museum (IWM).</w:t>
      </w:r>
      <w:r>
        <w:rPr>
          <w:rStyle w:val="FootnoteReference"/>
        </w:rPr>
        <w:footnoteReference w:id="97"/>
      </w:r>
      <w:r>
        <w:t xml:space="preserve"> They usually offer a broad impression of reception rather than a detailed account of aerial propaganda and must therefore be complemented with other sources. Some o</w:t>
      </w:r>
      <w:r>
        <w:rPr>
          <w:i/>
          <w:iCs/>
        </w:rPr>
        <w:t>ccupés</w:t>
      </w:r>
      <w:r>
        <w:t xml:space="preserve"> published accounts of their experience of occupation.</w:t>
      </w:r>
      <w:r>
        <w:rPr>
          <w:rStyle w:val="FootnoteReference"/>
        </w:rPr>
        <w:footnoteReference w:id="98"/>
      </w:r>
      <w:r>
        <w:t xml:space="preserve"> These books are usually confined to a restricted geographical area but give much more detail than interviews of </w:t>
      </w:r>
      <w:r>
        <w:rPr>
          <w:i/>
          <w:iCs/>
        </w:rPr>
        <w:t>rapatriés</w:t>
      </w:r>
      <w:r>
        <w:t>.</w:t>
      </w:r>
      <w:r>
        <w:rPr>
          <w:rStyle w:val="FootnoteReference"/>
        </w:rPr>
        <w:footnoteReference w:id="99"/>
      </w:r>
      <w:r>
        <w:t xml:space="preserve"> To a certain extent, they highlight the factors influencing morale and the way aerial propaganda was perceived. </w:t>
      </w:r>
      <w:r w:rsidR="00E55E42">
        <w:t>This thesis must</w:t>
      </w:r>
      <w:r w:rsidR="004C1FE4">
        <w:t xml:space="preserve"> </w:t>
      </w:r>
      <w:r w:rsidR="003E647F">
        <w:t>ask</w:t>
      </w:r>
      <w:r w:rsidR="004C1FE4">
        <w:t xml:space="preserve"> whether any value can be placed on these books as evidence.</w:t>
      </w:r>
      <w:r w:rsidR="00373F96">
        <w:t xml:space="preserve"> </w:t>
      </w:r>
      <w:r>
        <w:t xml:space="preserve">These </w:t>
      </w:r>
      <w:r>
        <w:rPr>
          <w:i/>
          <w:iCs/>
        </w:rPr>
        <w:t>mémoires</w:t>
      </w:r>
      <w:r>
        <w:t xml:space="preserve">, written after the conflict, </w:t>
      </w:r>
      <w:r w:rsidR="008A0693">
        <w:t>do</w:t>
      </w:r>
      <w:r>
        <w:t xml:space="preserve"> not </w:t>
      </w:r>
      <w:r w:rsidR="008A0693">
        <w:t xml:space="preserve">provide </w:t>
      </w:r>
      <w:r>
        <w:t>a deep analysis of an individual’s opinion</w:t>
      </w:r>
      <w:r w:rsidR="008A0693">
        <w:t xml:space="preserve"> at the time, essentially</w:t>
      </w:r>
      <w:r>
        <w:t xml:space="preserve"> a post-war reconstruction of the occupation. </w:t>
      </w:r>
      <w:r w:rsidR="00373F96">
        <w:t xml:space="preserve">From a methodological perspective, it was important to investigate the efficiency </w:t>
      </w:r>
      <w:r w:rsidR="008A0693">
        <w:t xml:space="preserve">of propaganda </w:t>
      </w:r>
      <w:r w:rsidR="00373F96">
        <w:t xml:space="preserve">from other angles. </w:t>
      </w:r>
      <w:r>
        <w:t xml:space="preserve">Obviously, the German point of view is of fundamental importance </w:t>
      </w:r>
      <w:r w:rsidR="00766EC6">
        <w:t>as</w:t>
      </w:r>
      <w:r>
        <w:t xml:space="preserve"> it reveals how dangerous the occupiers thought aerial propaganda was. Most occupation documents studied here come from the </w:t>
      </w:r>
      <w:r>
        <w:rPr>
          <w:i/>
          <w:iCs/>
        </w:rPr>
        <w:t xml:space="preserve">Archives Départementales du Nord </w:t>
      </w:r>
      <w:r w:rsidR="00364086">
        <w:t>(A</w:t>
      </w:r>
      <w:r>
        <w:t>D</w:t>
      </w:r>
      <w:r w:rsidR="00364086">
        <w:t>N</w:t>
      </w:r>
      <w:r>
        <w:t>) of Lille, the only French and German administrative documents of occupation to have survived to this day.</w:t>
      </w:r>
      <w:r>
        <w:rPr>
          <w:rStyle w:val="FootnoteReference"/>
        </w:rPr>
        <w:footnoteReference w:id="100"/>
      </w:r>
      <w:r>
        <w:t xml:space="preserve"> They include strict ordinances threatening those caught in possession of aerial propaganda with prison and heavy fines. Various primary and secondary sources were also used as well as the few surviving documents found in the </w:t>
      </w:r>
      <w:r>
        <w:rPr>
          <w:i/>
          <w:iCs/>
        </w:rPr>
        <w:t xml:space="preserve">Bundesarchiv </w:t>
      </w:r>
      <w:r>
        <w:t xml:space="preserve">and the </w:t>
      </w:r>
      <w:r>
        <w:rPr>
          <w:i/>
          <w:iCs/>
        </w:rPr>
        <w:t>Politisches Archiv des Auswärtigen Amts</w:t>
      </w:r>
      <w:r>
        <w:t>, both located in Berlin</w:t>
      </w:r>
      <w:r>
        <w:rPr>
          <w:i/>
          <w:iCs/>
        </w:rPr>
        <w:t>.</w:t>
      </w:r>
      <w:r w:rsidRPr="00432EF3">
        <w:rPr>
          <w:rStyle w:val="FootnoteReference"/>
        </w:rPr>
        <w:footnoteReference w:id="101"/>
      </w:r>
      <w:r w:rsidRPr="00432EF3">
        <w:t xml:space="preserve"> </w:t>
      </w:r>
      <w:r>
        <w:t xml:space="preserve">Unfortunately, German archives have suffered considerably </w:t>
      </w:r>
      <w:r w:rsidR="00DE3AC9">
        <w:t>during</w:t>
      </w:r>
      <w:r>
        <w:t xml:space="preserve"> the Second World War and can only offer a fragmentary picture of Germany’s reaction to aerial propaganda. Yet, the Germa</w:t>
      </w:r>
      <w:r w:rsidR="002068A7">
        <w:t>n press occasionally mentioned a</w:t>
      </w:r>
      <w:r>
        <w:t>llied aerial psychological warfare, a vital clue showing that this form of propaganda even echoed on the home front of Germany.</w:t>
      </w:r>
      <w:r>
        <w:rPr>
          <w:rStyle w:val="FootnoteReference"/>
        </w:rPr>
        <w:footnoteReference w:id="102"/>
      </w:r>
      <w:r>
        <w:t xml:space="preserve"> Allied propagandists also documented the efficiency of aerial propaganda in reports and diaries. These sources are rare but the home front perspective is invaluable for this thesis. Diaries were kept either at the IWM and the </w:t>
      </w:r>
      <w:r w:rsidR="008A0693">
        <w:t>BL</w:t>
      </w:r>
      <w:r>
        <w:t xml:space="preserve"> and reports were found in the archives of the SHD and the ASPF AEB.</w:t>
      </w:r>
      <w:r>
        <w:rPr>
          <w:rStyle w:val="FootnoteReference"/>
        </w:rPr>
        <w:footnoteReference w:id="103"/>
      </w:r>
      <w:r>
        <w:t xml:space="preserve"> By looking not only at </w:t>
      </w:r>
      <w:r w:rsidR="008A0693">
        <w:t>different national perspectives</w:t>
      </w:r>
      <w:r>
        <w:t xml:space="preserve"> but also at the civilian and military points of view, this t</w:t>
      </w:r>
      <w:r w:rsidR="00766EC6">
        <w:t>hesis will have enough evidence</w:t>
      </w:r>
      <w:r>
        <w:t xml:space="preserve"> to assess the role of aerial propaganda in the occupied territories. </w:t>
      </w:r>
    </w:p>
    <w:p w14:paraId="757D7F7B" w14:textId="77777777" w:rsidR="0048510E" w:rsidRDefault="0048510E" w:rsidP="0048510E">
      <w:pPr>
        <w:pStyle w:val="Heading2"/>
      </w:pPr>
      <w:bookmarkStart w:id="8" w:name="_Toc402192943"/>
      <w:r>
        <w:t>Outline</w:t>
      </w:r>
      <w:bookmarkEnd w:id="8"/>
    </w:p>
    <w:p w14:paraId="6A907C9B" w14:textId="194C99E7" w:rsidR="0048510E" w:rsidRDefault="0048510E" w:rsidP="008A0693">
      <w:pPr>
        <w:jc w:val="both"/>
      </w:pPr>
      <w:r>
        <w:t>The main ambition of this thesis is to fill the current gap in the historiography of the occupation of France and Belgium during the First World War by determining what role this aerial propaganda played</w:t>
      </w:r>
      <w:r w:rsidR="008A0693">
        <w:t>,</w:t>
      </w:r>
      <w:r>
        <w:t xml:space="preserve"> not only concerning occupied civilians and occupiers but also military institutions and governments. </w:t>
      </w:r>
      <w:r w:rsidR="004E2524">
        <w:t>Historians too often describe the organisations overlooking propaganda without understanding the fundamental importance of the links uniting them to the distribution process, the message, and the reception.</w:t>
      </w:r>
      <w:r w:rsidR="004E2524">
        <w:rPr>
          <w:rStyle w:val="FootnoteReference"/>
        </w:rPr>
        <w:footnoteReference w:id="104"/>
      </w:r>
      <w:r w:rsidR="004E2524">
        <w:t xml:space="preserve"> </w:t>
      </w:r>
      <w:r w:rsidR="000F5527">
        <w:t xml:space="preserve">The thesis is divided in three </w:t>
      </w:r>
      <w:r w:rsidR="004C1FE4">
        <w:t xml:space="preserve">main </w:t>
      </w:r>
      <w:r w:rsidR="000F5527">
        <w:t>parts looking at the structure and distribution, the content, and the efficiency</w:t>
      </w:r>
      <w:r w:rsidR="008A0693">
        <w:t xml:space="preserve"> of aerial propaganda</w:t>
      </w:r>
      <w:r w:rsidR="000F5527">
        <w:t>. Breaking down the study in themes might seem like an artificial exercise separating interdependent elements</w:t>
      </w:r>
      <w:r w:rsidR="008A0693">
        <w:t>,</w:t>
      </w:r>
      <w:r w:rsidR="000F5527">
        <w:t xml:space="preserve"> but it is a price worth paying to highlight the complexity of aerial propaganda. </w:t>
      </w:r>
      <w:r>
        <w:t xml:space="preserve">The first part of this thesis will turn to the particular context of communication during the occupation from an institutional and military point of view. The annexation of Alsace-Lorraine in 1871 had a profound impact on French society, raising the question of communication attempts across the German border between Francophile nationalists in the period of 1871 to 1914. After this contextualisation, this </w:t>
      </w:r>
      <w:r w:rsidR="008A0693">
        <w:t>thesis</w:t>
      </w:r>
      <w:r>
        <w:t xml:space="preserve"> will focus on the invasion and the occupation of France and Belgium in 1914. The campaign of propaganda carried out by the Germans</w:t>
      </w:r>
      <w:r w:rsidR="008A0693">
        <w:t>,</w:t>
      </w:r>
      <w:r>
        <w:t xml:space="preserve"> aimed at French- and Dutch-speaking civilian</w:t>
      </w:r>
      <w:r w:rsidR="002068A7">
        <w:t>s</w:t>
      </w:r>
      <w:r w:rsidR="008A0693">
        <w:t>,</w:t>
      </w:r>
      <w:r w:rsidR="002068A7">
        <w:t xml:space="preserve"> was a pivotal element in the a</w:t>
      </w:r>
      <w:r>
        <w:t xml:space="preserve">llied decision to create aerial propaganda. The first chapter will argue that the motivations driving the French in 1915, the Belgians in 1916 and the British in 1917, to make aerial propaganda </w:t>
      </w:r>
      <w:r w:rsidR="008A0693">
        <w:t xml:space="preserve">in the first place </w:t>
      </w:r>
      <w:r>
        <w:t xml:space="preserve">were all different. While the French were concerned by the growing influence of German propaganda and what they suspected to be a campaign of Germanisation, the Belgians were worried by </w:t>
      </w:r>
      <w:r>
        <w:rPr>
          <w:i/>
          <w:iCs/>
        </w:rPr>
        <w:t>Flamenpolitik</w:t>
      </w:r>
      <w:r w:rsidR="00591955">
        <w:rPr>
          <w:i/>
          <w:iCs/>
        </w:rPr>
        <w:t>,</w:t>
      </w:r>
      <w:r>
        <w:t xml:space="preserve"> and the British by the Anglophobic content of German propaganda. In conjunction with the motivations, the first chapter will investigate what Tim Brooks called in his study of British propaganda to France during the Second World War the ‘machinery of propaganda’.</w:t>
      </w:r>
      <w:r>
        <w:rPr>
          <w:rStyle w:val="FootnoteReference"/>
        </w:rPr>
        <w:footnoteReference w:id="105"/>
      </w:r>
      <w:r>
        <w:t xml:space="preserve"> The important question of the relation</w:t>
      </w:r>
      <w:r w:rsidR="00766EC6">
        <w:t>ship</w:t>
      </w:r>
      <w:r>
        <w:t xml:space="preserve"> between democratic states and propaganda structures, whether the elected government had an eye on aerial psychological warfare, and the interference of the army in creating propaganda material will be at the heart of the first part. In addition, the second chapter will raise the fundamental question of distribution, showing that aerial propaganda was such a novelty that it clashed with traditional military values and international laws, and examining how the various countries coped.</w:t>
      </w:r>
    </w:p>
    <w:p w14:paraId="440927F1" w14:textId="45E92002" w:rsidR="0048510E" w:rsidRPr="003772A9" w:rsidRDefault="0048510E" w:rsidP="00AF7147">
      <w:pPr>
        <w:jc w:val="both"/>
        <w:rPr>
          <w:iCs/>
        </w:rPr>
      </w:pPr>
      <w:r>
        <w:t>The content of aerial propaganda is key to understanding how it worked as a tool to counteract German psychological warfare</w:t>
      </w:r>
      <w:r w:rsidR="00766EC6">
        <w:t xml:space="preserve"> in the occupied territories</w:t>
      </w:r>
      <w:r>
        <w:t>. The second part of the thesis will offer a thorough appraisal of the forms, the techniques and the messages offered in the occupied ter</w:t>
      </w:r>
      <w:r w:rsidR="003918F7">
        <w:t>ritories not only by the a</w:t>
      </w:r>
      <w:r>
        <w:t>llies</w:t>
      </w:r>
      <w:r w:rsidR="00591955">
        <w:t>,</w:t>
      </w:r>
      <w:r>
        <w:t xml:space="preserve"> but also by the Germans. Aerial propaganda was not evolving in a vacuum but in a dynamic environment where each side </w:t>
      </w:r>
      <w:r w:rsidR="00591955">
        <w:t>tried</w:t>
      </w:r>
      <w:r>
        <w:t xml:space="preserve"> to contradict the other. Moreover, until summer 1918 the outcome of the war was uncertain, a fact which must be taken into consideration when analysing the content</w:t>
      </w:r>
      <w:r w:rsidR="00591955">
        <w:t xml:space="preserve"> of the propaganda</w:t>
      </w:r>
      <w:r>
        <w:t xml:space="preserve">. </w:t>
      </w:r>
      <w:r w:rsidR="00EB3069">
        <w:t>Different methodological frameworks were considered</w:t>
      </w:r>
      <w:r w:rsidR="00591955">
        <w:t>,</w:t>
      </w:r>
      <w:r w:rsidR="00EB3069">
        <w:t xml:space="preserve"> </w:t>
      </w:r>
      <w:r w:rsidR="00591955">
        <w:t>for examining</w:t>
      </w:r>
      <w:r w:rsidR="00EB3069">
        <w:t xml:space="preserve"> the content of aerial propaganda. </w:t>
      </w:r>
      <w:r w:rsidR="00EB3069" w:rsidRPr="00992E7B">
        <w:t>Jean-Jacques</w:t>
      </w:r>
      <w:r w:rsidR="00EB3069">
        <w:t xml:space="preserve"> Becker</w:t>
      </w:r>
      <w:r w:rsidR="00EB3069" w:rsidRPr="00992E7B">
        <w:t>’</w:t>
      </w:r>
      <w:r w:rsidR="00EB3069">
        <w:t>s</w:t>
      </w:r>
      <w:r w:rsidR="00EB3069" w:rsidRPr="00992E7B">
        <w:t xml:space="preserve"> quantitative approach</w:t>
      </w:r>
      <w:r w:rsidR="00EB3069">
        <w:t>,</w:t>
      </w:r>
      <w:r w:rsidR="00EB3069" w:rsidRPr="00992E7B">
        <w:t xml:space="preserve"> used to </w:t>
      </w:r>
      <w:r w:rsidR="00EB3069">
        <w:t>evaluate the myth of</w:t>
      </w:r>
      <w:r w:rsidR="00EB3069" w:rsidRPr="00992E7B">
        <w:t xml:space="preserve"> </w:t>
      </w:r>
      <w:r w:rsidR="00EB3069" w:rsidRPr="00992E7B">
        <w:rPr>
          <w:i/>
          <w:iCs/>
        </w:rPr>
        <w:t>la fleur au fusil</w:t>
      </w:r>
      <w:r w:rsidR="00EB3069" w:rsidRPr="00766EC6">
        <w:t xml:space="preserve"> </w:t>
      </w:r>
      <w:r w:rsidR="00EB3069">
        <w:t>through semantics</w:t>
      </w:r>
      <w:r w:rsidR="00EB3069" w:rsidRPr="00766EC6">
        <w:rPr>
          <w:iCs/>
        </w:rPr>
        <w:t>,</w:t>
      </w:r>
      <w:r w:rsidR="00EB3069" w:rsidRPr="00992E7B">
        <w:t xml:space="preserve"> was considered but ultimately rejected</w:t>
      </w:r>
      <w:r w:rsidR="00EB3069">
        <w:t>.</w:t>
      </w:r>
      <w:r w:rsidR="00EB3069" w:rsidRPr="00457799">
        <w:rPr>
          <w:rStyle w:val="FootnoteReference"/>
        </w:rPr>
        <w:t xml:space="preserve"> </w:t>
      </w:r>
      <w:r w:rsidR="00EB3069">
        <w:rPr>
          <w:rStyle w:val="FootnoteReference"/>
        </w:rPr>
        <w:footnoteReference w:id="106"/>
      </w:r>
      <w:r w:rsidR="00EB3069">
        <w:t xml:space="preserve"> Indeed, sources documenting morale in the occupied territories were not only chronologically fragmentary but also geographically widespread. Instead, this thesis draws its methodological inspiration from Stéphane Audoin-Rouzeau and his </w:t>
      </w:r>
      <w:r w:rsidR="00256527">
        <w:t xml:space="preserve">empirical </w:t>
      </w:r>
      <w:r w:rsidR="00EB3069">
        <w:t>work on French trench publications, in which the French historian offered a balanced but thorough thematic analysis of French soldiers’ newspapers.</w:t>
      </w:r>
      <w:r w:rsidR="00EB3069">
        <w:rPr>
          <w:rStyle w:val="FootnoteReference"/>
        </w:rPr>
        <w:footnoteReference w:id="107"/>
      </w:r>
      <w:r w:rsidR="00EB3069">
        <w:t xml:space="preserve"> </w:t>
      </w:r>
      <w:r w:rsidR="00256527">
        <w:t xml:space="preserve">Audoin-Rouzeau identified the most important topics of the trench press before highlighting how they fitted in the broader context of war. </w:t>
      </w:r>
      <w:r w:rsidR="00EB3069">
        <w:t xml:space="preserve">This </w:t>
      </w:r>
      <w:r w:rsidR="00591955">
        <w:t>thesis</w:t>
      </w:r>
      <w:r w:rsidR="00EB3069">
        <w:t xml:space="preserve"> also uses an adapted version of the methodological framework, identifying techniques, </w:t>
      </w:r>
      <w:r w:rsidR="00AF7147">
        <w:t>reactions and counterpropaganda</w:t>
      </w:r>
      <w:r w:rsidR="00EB3069">
        <w:t xml:space="preserve"> offered by Jowett and O’Donnell in their abovementioned work.</w:t>
      </w:r>
      <w:r w:rsidR="00EB3069">
        <w:rPr>
          <w:rStyle w:val="FootnoteReference"/>
        </w:rPr>
        <w:footnoteReference w:id="108"/>
      </w:r>
      <w:r w:rsidR="00EB3069">
        <w:t xml:space="preserve"> </w:t>
      </w:r>
      <w:r w:rsidR="00AF7147">
        <w:t>In order to answer the specificities of the First World War, o</w:t>
      </w:r>
      <w:r w:rsidR="00EB3069">
        <w:t xml:space="preserve">ther propaganda </w:t>
      </w:r>
      <w:r w:rsidR="00AF7147">
        <w:t>and</w:t>
      </w:r>
      <w:r w:rsidR="00EB3069">
        <w:t xml:space="preserve"> media studies have also been integrated into this analysis.</w:t>
      </w:r>
      <w:r w:rsidR="00EB3069">
        <w:rPr>
          <w:rStyle w:val="FootnoteReference"/>
        </w:rPr>
        <w:footnoteReference w:id="109"/>
      </w:r>
      <w:r w:rsidR="00EB3069">
        <w:t xml:space="preserve"> </w:t>
      </w:r>
      <w:r w:rsidR="000562E2">
        <w:t>U</w:t>
      </w:r>
      <w:r w:rsidR="0005580F">
        <w:t>ltimately, this empirical</w:t>
      </w:r>
      <w:r w:rsidR="000562E2">
        <w:t xml:space="preserve"> study of the content will reveal the aims of aerial propaganda and will highlight how the occupation was perceived on the home front. </w:t>
      </w:r>
      <w:r>
        <w:t xml:space="preserve">This thesis will argue that </w:t>
      </w:r>
      <w:r w:rsidR="002068A7">
        <w:t>a</w:t>
      </w:r>
      <w:r>
        <w:t xml:space="preserve">llied propagandists progressively perfected a campaign of communication built around three themes: military success, legitimisation of the conflict and irrational fears. Each topic was designed to trigger an emotional reaction or exploit common worries. Regular reassurances on the military situation at the front were instrumental in giving the firm belief in an </w:t>
      </w:r>
      <w:r w:rsidR="002068A7">
        <w:t>a</w:t>
      </w:r>
      <w:r>
        <w:t xml:space="preserve">llied military victory. Demonstrating that war was fought to preserve individual rights and freedom justified heavy losses and the ordeal of occupation in the name of a noble cause. </w:t>
      </w:r>
      <w:r>
        <w:rPr>
          <w:iCs/>
        </w:rPr>
        <w:t xml:space="preserve">Aerial propaganda’s brutalisation, such as portraying Germans as </w:t>
      </w:r>
      <w:r w:rsidR="00AF7147">
        <w:rPr>
          <w:iCs/>
        </w:rPr>
        <w:t>murderers and beasts, was less</w:t>
      </w:r>
      <w:r>
        <w:rPr>
          <w:iCs/>
        </w:rPr>
        <w:t xml:space="preserve"> provocation aimed at the occupier than a message targeting the </w:t>
      </w:r>
      <w:r>
        <w:rPr>
          <w:i/>
        </w:rPr>
        <w:t>occupés</w:t>
      </w:r>
      <w:r>
        <w:rPr>
          <w:iCs/>
        </w:rPr>
        <w:t xml:space="preserve">. It was an essential component of the </w:t>
      </w:r>
      <w:r w:rsidR="00AF7147">
        <w:rPr>
          <w:iCs/>
        </w:rPr>
        <w:t>‘</w:t>
      </w:r>
      <w:r>
        <w:rPr>
          <w:iCs/>
        </w:rPr>
        <w:t>war culture</w:t>
      </w:r>
      <w:r w:rsidR="00AF7147">
        <w:rPr>
          <w:iCs/>
        </w:rPr>
        <w:t>’,</w:t>
      </w:r>
      <w:r>
        <w:rPr>
          <w:iCs/>
        </w:rPr>
        <w:t xml:space="preserve"> designed to empty the conflict of its ambiguity.  </w:t>
      </w:r>
    </w:p>
    <w:p w14:paraId="2E4E1607" w14:textId="6C7F8063" w:rsidR="0048510E" w:rsidRDefault="0048510E" w:rsidP="00AF7147">
      <w:pPr>
        <w:jc w:val="both"/>
        <w:rPr>
          <w:iCs/>
        </w:rPr>
      </w:pPr>
      <w:r>
        <w:rPr>
          <w:iCs/>
        </w:rPr>
        <w:t>The third and final part will focus on what is usually described as the most difficult point to analyse</w:t>
      </w:r>
      <w:r w:rsidR="00766EC6">
        <w:rPr>
          <w:iCs/>
        </w:rPr>
        <w:t xml:space="preserve"> in propaganda studies</w:t>
      </w:r>
      <w:r>
        <w:rPr>
          <w:iCs/>
        </w:rPr>
        <w:t>: the efficiency of psychological warfare.</w:t>
      </w:r>
      <w:r>
        <w:rPr>
          <w:rStyle w:val="FootnoteReference"/>
        </w:rPr>
        <w:footnoteReference w:id="110"/>
      </w:r>
      <w:r>
        <w:rPr>
          <w:iCs/>
        </w:rPr>
        <w:t xml:space="preserve"> The total absence of work on aerial propaganda in the occupied territories makes the understanding of its consequences on morale an absolute priority. Propaganda’s blurred nature, especially since sources on aerial propaganda are rare, is acknowledged in this </w:t>
      </w:r>
      <w:r w:rsidR="00AF7147">
        <w:rPr>
          <w:iCs/>
        </w:rPr>
        <w:t>thesis,</w:t>
      </w:r>
      <w:r>
        <w:rPr>
          <w:iCs/>
        </w:rPr>
        <w:t xml:space="preserve"> which parts with the notion that ‘the effect of propaganda manifests itself in clear, conscious opinions and that the propagandee will respond in a specific way according to the propagandist’s slogans’.</w:t>
      </w:r>
      <w:r>
        <w:rPr>
          <w:rStyle w:val="FootnoteReference"/>
        </w:rPr>
        <w:footnoteReference w:id="111"/>
      </w:r>
      <w:r>
        <w:rPr>
          <w:iCs/>
        </w:rPr>
        <w:t xml:space="preserve"> The last part will follow </w:t>
      </w:r>
      <w:r w:rsidR="00E57E65">
        <w:rPr>
          <w:iCs/>
        </w:rPr>
        <w:t xml:space="preserve">four </w:t>
      </w:r>
      <w:r>
        <w:rPr>
          <w:iCs/>
        </w:rPr>
        <w:t xml:space="preserve">specific paths of inquiry aimed at drawing a global picture of the effects. </w:t>
      </w:r>
      <w:r w:rsidR="00AF7147">
        <w:rPr>
          <w:iCs/>
        </w:rPr>
        <w:t>C</w:t>
      </w:r>
      <w:r w:rsidR="00E57E65">
        <w:rPr>
          <w:iCs/>
        </w:rPr>
        <w:t xml:space="preserve">hapter </w:t>
      </w:r>
      <w:r w:rsidR="00AF7147">
        <w:rPr>
          <w:iCs/>
        </w:rPr>
        <w:t xml:space="preserve">seven </w:t>
      </w:r>
      <w:r w:rsidR="00E57E65">
        <w:rPr>
          <w:iCs/>
        </w:rPr>
        <w:t xml:space="preserve">will first contextualise </w:t>
      </w:r>
      <w:r w:rsidR="006120F1">
        <w:rPr>
          <w:iCs/>
        </w:rPr>
        <w:t xml:space="preserve">allied </w:t>
      </w:r>
      <w:r w:rsidR="00E57E65">
        <w:rPr>
          <w:iCs/>
        </w:rPr>
        <w:t>psychological warfare in the occupied territories</w:t>
      </w:r>
      <w:r w:rsidR="00AF7147">
        <w:rPr>
          <w:iCs/>
        </w:rPr>
        <w:t>,</w:t>
      </w:r>
      <w:r w:rsidR="00E57E65">
        <w:rPr>
          <w:iCs/>
        </w:rPr>
        <w:t xml:space="preserve"> to understand the place of aerial propaganda within a broader system of communication</w:t>
      </w:r>
      <w:r w:rsidR="006120F1">
        <w:rPr>
          <w:iCs/>
        </w:rPr>
        <w:t xml:space="preserve">. </w:t>
      </w:r>
      <w:r>
        <w:rPr>
          <w:iCs/>
        </w:rPr>
        <w:t xml:space="preserve">To look at the consequences on the </w:t>
      </w:r>
      <w:r>
        <w:rPr>
          <w:i/>
        </w:rPr>
        <w:t>occupés</w:t>
      </w:r>
      <w:r>
        <w:rPr>
          <w:iCs/>
        </w:rPr>
        <w:t xml:space="preserve">, various </w:t>
      </w:r>
      <w:r w:rsidR="00E55E42">
        <w:rPr>
          <w:iCs/>
        </w:rPr>
        <w:t xml:space="preserve">significant </w:t>
      </w:r>
      <w:r>
        <w:rPr>
          <w:iCs/>
        </w:rPr>
        <w:t xml:space="preserve">urban centres in occupied France and Belgium will be examined. Geographical diversity is important </w:t>
      </w:r>
      <w:r w:rsidR="00AF7147">
        <w:rPr>
          <w:iCs/>
        </w:rPr>
        <w:t>in</w:t>
      </w:r>
      <w:r>
        <w:rPr>
          <w:iCs/>
        </w:rPr>
        <w:t xml:space="preserve"> understand</w:t>
      </w:r>
      <w:r w:rsidR="00AF7147">
        <w:rPr>
          <w:iCs/>
        </w:rPr>
        <w:t>ing</w:t>
      </w:r>
      <w:r>
        <w:rPr>
          <w:iCs/>
        </w:rPr>
        <w:t xml:space="preserve"> how distribution affected reception. The German point of view will constitute t</w:t>
      </w:r>
      <w:r w:rsidR="00AF7147">
        <w:rPr>
          <w:iCs/>
        </w:rPr>
        <w:t xml:space="preserve">he second line of investigation, ending with an examination of the </w:t>
      </w:r>
      <w:r>
        <w:rPr>
          <w:iCs/>
        </w:rPr>
        <w:t xml:space="preserve">long-term consequences on propaganda and military institutions. </w:t>
      </w:r>
    </w:p>
    <w:p w14:paraId="427A47C6" w14:textId="21C83F8F" w:rsidR="00F51E28" w:rsidRDefault="0048510E" w:rsidP="00765025">
      <w:pPr>
        <w:jc w:val="both"/>
        <w:sectPr w:rsidR="00F51E28" w:rsidSect="00415A32">
          <w:type w:val="continuous"/>
          <w:pgSz w:w="11907" w:h="16839" w:code="9"/>
          <w:pgMar w:top="1440" w:right="1440" w:bottom="1440" w:left="1440" w:header="708" w:footer="708" w:gutter="0"/>
          <w:cols w:space="708"/>
          <w:titlePg/>
          <w:docGrid w:linePitch="360"/>
        </w:sectPr>
      </w:pPr>
      <w:r>
        <w:t xml:space="preserve">Following the main body of the thesis, the general conclusion will draw on the evidence developed during the seven chapters to show in which ways they challenge, or confirm, the current state of historiography on the occupation of France and Belgium during the First World War. This thesis will argue that the legacy and the long-lasting effects that aerial propaganda had on military and governmental institutions, international laws and aviation have been completely overlooked by historians and propaganda theorists alike. The conclusion will also underline that there is a body of hard and circumstantial evidence showing that aerial propaganda was a factor of prime importance not only in shaping morale but also in fuelling resistance in the occupied territories. The conclusion will then show that there are limitations to such findings before suggesting </w:t>
      </w:r>
      <w:r w:rsidR="00FC17F9">
        <w:t xml:space="preserve">further </w:t>
      </w:r>
      <w:r>
        <w:t xml:space="preserve">lines of </w:t>
      </w:r>
      <w:r w:rsidR="00AF7147">
        <w:t>enquiry</w:t>
      </w:r>
      <w:r>
        <w:t xml:space="preserve"> </w:t>
      </w:r>
      <w:r w:rsidR="00AF7147">
        <w:t>which</w:t>
      </w:r>
      <w:r>
        <w:t xml:space="preserve"> could derive from this work.  </w:t>
      </w:r>
    </w:p>
    <w:p w14:paraId="04AFDD58" w14:textId="0AE65C94" w:rsidR="006F76B9" w:rsidRDefault="006F76B9" w:rsidP="0048510E">
      <w:pPr>
        <w:jc w:val="both"/>
        <w:rPr>
          <w:iCs/>
        </w:rPr>
        <w:sectPr w:rsidR="006F76B9" w:rsidSect="00F51E28">
          <w:pgSz w:w="11907" w:h="16839" w:code="9"/>
          <w:pgMar w:top="1440" w:right="1440" w:bottom="1440" w:left="1440" w:header="708" w:footer="708" w:gutter="0"/>
          <w:cols w:space="708"/>
          <w:titlePg/>
          <w:docGrid w:linePitch="360"/>
        </w:sectPr>
      </w:pPr>
    </w:p>
    <w:p w14:paraId="30CE5619" w14:textId="77777777" w:rsidR="0048510E" w:rsidRDefault="0048510E" w:rsidP="0048510E">
      <w:pPr>
        <w:jc w:val="center"/>
        <w:rPr>
          <w:sz w:val="144"/>
          <w:szCs w:val="144"/>
        </w:rPr>
      </w:pPr>
    </w:p>
    <w:p w14:paraId="68203EA2" w14:textId="77777777" w:rsidR="00F51E28" w:rsidRDefault="00F51E28" w:rsidP="0048510E">
      <w:pPr>
        <w:jc w:val="center"/>
        <w:rPr>
          <w:sz w:val="144"/>
          <w:szCs w:val="144"/>
        </w:rPr>
      </w:pPr>
    </w:p>
    <w:p w14:paraId="76C9CE73" w14:textId="77777777" w:rsidR="0048510E" w:rsidRPr="002B4CE0" w:rsidRDefault="0048510E" w:rsidP="0048510E">
      <w:pPr>
        <w:jc w:val="center"/>
        <w:rPr>
          <w:sz w:val="144"/>
          <w:szCs w:val="144"/>
        </w:rPr>
      </w:pPr>
      <w:r w:rsidRPr="002B4CE0">
        <w:rPr>
          <w:sz w:val="144"/>
          <w:szCs w:val="144"/>
        </w:rPr>
        <w:t>PART 1</w:t>
      </w:r>
    </w:p>
    <w:p w14:paraId="37021C05" w14:textId="77777777" w:rsidR="0048510E" w:rsidRDefault="0048510E" w:rsidP="0048510E">
      <w:pPr>
        <w:jc w:val="center"/>
        <w:rPr>
          <w:sz w:val="144"/>
          <w:szCs w:val="144"/>
        </w:rPr>
      </w:pPr>
      <w:r w:rsidRPr="002B4CE0">
        <w:rPr>
          <w:sz w:val="144"/>
          <w:szCs w:val="144"/>
        </w:rPr>
        <w:t>MACHINERY</w:t>
      </w:r>
    </w:p>
    <w:p w14:paraId="6855F974" w14:textId="77777777" w:rsidR="00132AD9" w:rsidRDefault="00132AD9" w:rsidP="00132AD9">
      <w:pPr>
        <w:rPr>
          <w:sz w:val="144"/>
          <w:szCs w:val="144"/>
        </w:rPr>
        <w:sectPr w:rsidR="00132AD9" w:rsidSect="00EB3069">
          <w:type w:val="continuous"/>
          <w:pgSz w:w="11907" w:h="16839" w:code="9"/>
          <w:pgMar w:top="1440" w:right="1440" w:bottom="1440" w:left="1440" w:header="708" w:footer="708" w:gutter="0"/>
          <w:cols w:space="708"/>
          <w:titlePg/>
          <w:docGrid w:linePitch="360"/>
        </w:sectPr>
      </w:pPr>
    </w:p>
    <w:p w14:paraId="45739C04" w14:textId="77777777" w:rsidR="00E35CCD" w:rsidRDefault="00E35CCD" w:rsidP="0048510E">
      <w:pPr>
        <w:pStyle w:val="Title"/>
        <w:outlineLvl w:val="0"/>
        <w:rPr>
          <w:sz w:val="48"/>
          <w:szCs w:val="48"/>
        </w:rPr>
        <w:sectPr w:rsidR="00E35CCD" w:rsidSect="00415A32">
          <w:headerReference w:type="default" r:id="rId16"/>
          <w:footerReference w:type="first" r:id="rId17"/>
          <w:type w:val="continuous"/>
          <w:pgSz w:w="11907" w:h="16839" w:code="9"/>
          <w:pgMar w:top="1440" w:right="1440" w:bottom="1440" w:left="1440" w:header="708" w:footer="708" w:gutter="0"/>
          <w:cols w:space="708"/>
          <w:titlePg/>
          <w:docGrid w:linePitch="360"/>
        </w:sectPr>
      </w:pPr>
    </w:p>
    <w:p w14:paraId="455D1290" w14:textId="00653374" w:rsidR="0048510E" w:rsidRDefault="0048510E" w:rsidP="0048510E">
      <w:pPr>
        <w:pStyle w:val="Title"/>
        <w:outlineLvl w:val="0"/>
        <w:rPr>
          <w:sz w:val="48"/>
          <w:szCs w:val="48"/>
        </w:rPr>
      </w:pPr>
      <w:bookmarkStart w:id="9" w:name="_Toc402192944"/>
      <w:r>
        <w:rPr>
          <w:sz w:val="48"/>
          <w:szCs w:val="48"/>
        </w:rPr>
        <w:t>I</w:t>
      </w:r>
      <w:r w:rsidRPr="00322DAD">
        <w:rPr>
          <w:sz w:val="48"/>
          <w:szCs w:val="48"/>
        </w:rPr>
        <w:t xml:space="preserve"> </w:t>
      </w:r>
      <w:r>
        <w:rPr>
          <w:sz w:val="48"/>
          <w:szCs w:val="48"/>
        </w:rPr>
        <w:tab/>
        <w:t>German occupation and the making of propaganda behind the lines</w:t>
      </w:r>
      <w:bookmarkEnd w:id="9"/>
    </w:p>
    <w:p w14:paraId="1E9E0544" w14:textId="77777777" w:rsidR="0048510E" w:rsidRDefault="0048510E" w:rsidP="0048510E">
      <w:pPr>
        <w:pStyle w:val="Heading2"/>
      </w:pPr>
      <w:bookmarkStart w:id="10" w:name="_Toc402192945"/>
      <w:r>
        <w:t>One name, many shapes</w:t>
      </w:r>
      <w:bookmarkEnd w:id="10"/>
    </w:p>
    <w:p w14:paraId="2F3CCB36" w14:textId="6BBA20C3" w:rsidR="0048510E" w:rsidRDefault="0048510E" w:rsidP="007D6EA4">
      <w:pPr>
        <w:jc w:val="both"/>
      </w:pPr>
      <w:r>
        <w:t xml:space="preserve">Allied aerial propaganda aimed at the occupied territories was not produced and distributed by a single entity working in a coordinated and unified manner, but </w:t>
      </w:r>
      <w:r w:rsidR="00F80695">
        <w:t xml:space="preserve">in </w:t>
      </w:r>
      <w:r>
        <w:t xml:space="preserve">a complex network of units developed and reorganised on different occasions throughout the First World War. Structures were not </w:t>
      </w:r>
      <w:r w:rsidR="00F80695">
        <w:t>only noticeably dissimilar</w:t>
      </w:r>
      <w:r>
        <w:t xml:space="preserve"> between Belgian, French, and British propaganda organisations; they were also driven by different philosophi</w:t>
      </w:r>
      <w:r w:rsidR="00F80695">
        <w:t>es. In this</w:t>
      </w:r>
      <w:r w:rsidR="002068A7">
        <w:t xml:space="preserve"> regard, the label ‘a</w:t>
      </w:r>
      <w:r>
        <w:t>llied aerial propaganda in occupied territories’ must be understood as a generic name</w:t>
      </w:r>
      <w:r w:rsidR="00F80695">
        <w:t>,</w:t>
      </w:r>
      <w:r>
        <w:t xml:space="preserve"> regrouping various initiatives taken by these three nations</w:t>
      </w:r>
      <w:r w:rsidR="007D6EA4">
        <w:t>,</w:t>
      </w:r>
      <w:r>
        <w:t xml:space="preserve"> to communicate with occupied civilians in the invaded parts of France and Belgium. </w:t>
      </w:r>
      <w:r w:rsidR="007D6EA4">
        <w:t>The aim of this chapter</w:t>
      </w:r>
      <w:r>
        <w:t xml:space="preserve"> is first and foremost to clarify each of these initiatives and insert them into the broader historiographical picture.</w:t>
      </w:r>
    </w:p>
    <w:p w14:paraId="4A4C915C" w14:textId="208C477B" w:rsidR="0048510E" w:rsidRDefault="0048510E" w:rsidP="007D6EA4">
      <w:pPr>
        <w:jc w:val="both"/>
      </w:pPr>
      <w:r>
        <w:t xml:space="preserve">The first section of the chapter will investigate the contextual background, </w:t>
      </w:r>
      <w:r w:rsidR="007D6EA4">
        <w:t xml:space="preserve">particularly </w:t>
      </w:r>
      <w:r>
        <w:t xml:space="preserve">how the Franco-Prussian war and the subsequent annexation of Alsace and Lorraine influenced operations of aerial propaganda during the First World War, a point not yet raised in any of the historiography of the conflict. In fact, missions of communication conducted during the siege of Paris and toward the lost provinces after the 1870-1871 conflict </w:t>
      </w:r>
      <w:r w:rsidR="007D6EA4">
        <w:t>showed</w:t>
      </w:r>
      <w:r>
        <w:t xml:space="preserve"> similarities </w:t>
      </w:r>
      <w:r w:rsidR="007D6EA4">
        <w:t>to</w:t>
      </w:r>
      <w:r>
        <w:t xml:space="preserve"> aerial propaganda during the Great War.</w:t>
      </w:r>
      <w:r>
        <w:rPr>
          <w:rStyle w:val="FootnoteReference"/>
        </w:rPr>
        <w:footnoteReference w:id="112"/>
      </w:r>
      <w:r>
        <w:t xml:space="preserve"> It will be asked whether these past experiences had a significant cultural impact </w:t>
      </w:r>
      <w:r w:rsidR="007D6EA4">
        <w:t>on</w:t>
      </w:r>
      <w:r>
        <w:t xml:space="preserve"> French society, and the hypothesis is that communication between France and the lost provinces was the training ground for First World War propagandists. Ultimately, it will be argued that the cultural awareness gained during this period on the subject of propaganda </w:t>
      </w:r>
      <w:r w:rsidR="007D6EA4">
        <w:t>was of</w:t>
      </w:r>
      <w:r>
        <w:t xml:space="preserve"> moderate importance. </w:t>
      </w:r>
    </w:p>
    <w:p w14:paraId="76715FD8" w14:textId="50B00856" w:rsidR="0048510E" w:rsidRDefault="0048510E" w:rsidP="007D6EA4">
      <w:pPr>
        <w:jc w:val="both"/>
      </w:pPr>
      <w:r>
        <w:t xml:space="preserve">The next section will briefly examine German propaganda in the newly occupied territories of France and Belgium. The attitude of the occupier toward communication in these regions had a profound impact on morale </w:t>
      </w:r>
      <w:r w:rsidR="007D6EA4">
        <w:t>for</w:t>
      </w:r>
      <w:r>
        <w:t xml:space="preserve"> the </w:t>
      </w:r>
      <w:r>
        <w:rPr>
          <w:i/>
          <w:iCs/>
        </w:rPr>
        <w:t>occupés</w:t>
      </w:r>
      <w:r>
        <w:t xml:space="preserve">. Using coercion and collaborators, the Germans created a network of newspapers to disseminate their </w:t>
      </w:r>
      <w:r w:rsidR="007D6EA4">
        <w:t xml:space="preserve">own </w:t>
      </w:r>
      <w:r>
        <w:t>point of view. Arguments were often aggressive, advertising Anglophobia and regionalism</w:t>
      </w:r>
      <w:r w:rsidR="007D6EA4">
        <w:t>,</w:t>
      </w:r>
      <w:r>
        <w:t xml:space="preserve"> to convince </w:t>
      </w:r>
      <w:r w:rsidR="007D6EA4">
        <w:t xml:space="preserve">the </w:t>
      </w:r>
      <w:r>
        <w:t xml:space="preserve">French and </w:t>
      </w:r>
      <w:r w:rsidR="007D6EA4">
        <w:t xml:space="preserve">the </w:t>
      </w:r>
      <w:r>
        <w:t xml:space="preserve">Belgians that </w:t>
      </w:r>
      <w:r w:rsidR="00913FF1">
        <w:t>Britain was responsible for the war</w:t>
      </w:r>
      <w:r>
        <w:t xml:space="preserve">. German </w:t>
      </w:r>
      <w:r w:rsidR="00660480">
        <w:t>newspapers</w:t>
      </w:r>
      <w:r>
        <w:t xml:space="preserve"> were more than a tool of communication; they were an instrument designed to break civilian morale and induce scepticism toward pre-war structures. In Belgium, these newspapers also promoted a new order</w:t>
      </w:r>
      <w:r w:rsidR="007D6EA4">
        <w:t>,</w:t>
      </w:r>
      <w:r>
        <w:t xml:space="preserve"> compatible with German war aims.</w:t>
      </w:r>
      <w:r w:rsidR="003B3201">
        <w:rPr>
          <w:rStyle w:val="FootnoteReference"/>
        </w:rPr>
        <w:footnoteReference w:id="113"/>
      </w:r>
      <w:r>
        <w:t xml:space="preserve">  </w:t>
      </w:r>
    </w:p>
    <w:p w14:paraId="7676D11C" w14:textId="232AB567" w:rsidR="0048510E" w:rsidRDefault="007D6EA4" w:rsidP="007D6EA4">
      <w:pPr>
        <w:jc w:val="both"/>
      </w:pPr>
      <w:r>
        <w:t>The production of a</w:t>
      </w:r>
      <w:r w:rsidR="0048510E">
        <w:t xml:space="preserve">llied aerial propaganda was triggered as a reaction to German propaganda in both French and Dutch. This </w:t>
      </w:r>
      <w:r>
        <w:t xml:space="preserve">third </w:t>
      </w:r>
      <w:r w:rsidR="0048510E">
        <w:t>section will examine the reasons for which the Belgians, the British, and the French feared German psychological warfare in the occupied territories. It will be argued that German propaganda was inherently threatening</w:t>
      </w:r>
      <w:r>
        <w:t xml:space="preserve"> to</w:t>
      </w:r>
      <w:r w:rsidR="0048510E">
        <w:t xml:space="preserve"> the pre-war social order and the </w:t>
      </w:r>
      <w:r w:rsidR="00913FF1">
        <w:t>war effort</w:t>
      </w:r>
      <w:r w:rsidR="0048510E">
        <w:t>.</w:t>
      </w:r>
      <w:r w:rsidR="0048510E">
        <w:rPr>
          <w:rStyle w:val="FootnoteReference"/>
        </w:rPr>
        <w:footnoteReference w:id="114"/>
      </w:r>
      <w:r w:rsidR="0048510E">
        <w:t xml:space="preserve"> If the Belgians and the French were preoccupied by the future of their countries and the possibility of dissension, the British </w:t>
      </w:r>
      <w:r>
        <w:t>were concerned by</w:t>
      </w:r>
      <w:r w:rsidR="0048510E">
        <w:t xml:space="preserve"> the virulent campaign of Anglophobia conducted by the Germans. </w:t>
      </w:r>
    </w:p>
    <w:p w14:paraId="474111E3" w14:textId="516E28BF" w:rsidR="0048510E" w:rsidRDefault="0048510E" w:rsidP="007D6EA4">
      <w:pPr>
        <w:jc w:val="both"/>
      </w:pPr>
      <w:r>
        <w:t>The fourth section of the chapter will investiga</w:t>
      </w:r>
      <w:r w:rsidR="003918F7">
        <w:t>te the structures built by the a</w:t>
      </w:r>
      <w:r>
        <w:t xml:space="preserve">llies to </w:t>
      </w:r>
      <w:r w:rsidR="007D6EA4">
        <w:t>create and develop</w:t>
      </w:r>
      <w:r>
        <w:t xml:space="preserve"> propaganda, a complex puzzle </w:t>
      </w:r>
      <w:r w:rsidR="007D6EA4">
        <w:t>thus</w:t>
      </w:r>
      <w:r>
        <w:t xml:space="preserve"> far ignored by historiography. Psychological warfare created </w:t>
      </w:r>
      <w:r w:rsidR="00C92872">
        <w:t xml:space="preserve">a </w:t>
      </w:r>
      <w:r>
        <w:t>debate about democracy and the role of the state. Did governments show concern for propaganda</w:t>
      </w:r>
      <w:r w:rsidR="007D6EA4">
        <w:t xml:space="preserve"> as a danger to the principles of freedom</w:t>
      </w:r>
      <w:r>
        <w:t>? Did they entrust these missions</w:t>
      </w:r>
      <w:r w:rsidR="007D6EA4">
        <w:t xml:space="preserve"> to the army</w:t>
      </w:r>
      <w:r>
        <w:t xml:space="preserve"> or did they supervise the operations? This section will highlight profound differences of </w:t>
      </w:r>
      <w:r w:rsidR="007D6EA4">
        <w:t>opinion</w:t>
      </w:r>
      <w:r>
        <w:t xml:space="preserve"> on the matter, </w:t>
      </w:r>
      <w:r w:rsidR="00C92872">
        <w:t>putting</w:t>
      </w:r>
      <w:r>
        <w:t xml:space="preserve"> </w:t>
      </w:r>
      <w:r w:rsidR="007D6EA4">
        <w:t xml:space="preserve">the </w:t>
      </w:r>
      <w:r>
        <w:t xml:space="preserve">Belgians and </w:t>
      </w:r>
      <w:r w:rsidR="007D6EA4">
        <w:t xml:space="preserve">the </w:t>
      </w:r>
      <w:r>
        <w:t xml:space="preserve">French on one side and the British on the other. The study of structures and units goes above a mere technical description. It will demonstrate that governments and armies increasingly believed in propaganda as a weapon and tried to improve its efficiency </w:t>
      </w:r>
      <w:r w:rsidR="007D6EA4">
        <w:t xml:space="preserve">accordingly </w:t>
      </w:r>
      <w:r>
        <w:t>during the year 1917.</w:t>
      </w:r>
      <w:r>
        <w:rPr>
          <w:rStyle w:val="FootnoteReference"/>
        </w:rPr>
        <w:footnoteReference w:id="115"/>
      </w:r>
    </w:p>
    <w:p w14:paraId="26580EE7" w14:textId="7406531E" w:rsidR="0048510E" w:rsidRDefault="0048510E" w:rsidP="007D6EA4">
      <w:pPr>
        <w:jc w:val="both"/>
      </w:pPr>
      <w:r>
        <w:t xml:space="preserve">The last section will look </w:t>
      </w:r>
      <w:r w:rsidR="007D6EA4">
        <w:t xml:space="preserve">closely </w:t>
      </w:r>
      <w:r>
        <w:t>at the propagandists themselves and the considerable impact they had over the content</w:t>
      </w:r>
      <w:r w:rsidR="007D6EA4">
        <w:t xml:space="preserve"> of propaganda</w:t>
      </w:r>
      <w:r>
        <w:t xml:space="preserve">. Propaganda studies have argued that these men were often from a middle-class background. Their education and background allowed them to communicate with a maximum </w:t>
      </w:r>
      <w:r w:rsidR="007D6EA4">
        <w:t xml:space="preserve">number </w:t>
      </w:r>
      <w:r>
        <w:t>of people.</w:t>
      </w:r>
      <w:r>
        <w:rPr>
          <w:rStyle w:val="FootnoteReference"/>
        </w:rPr>
        <w:footnoteReference w:id="116"/>
      </w:r>
      <w:r>
        <w:t xml:space="preserve">  This section will examine this affirmation and will show that, once again, France and Belgium were not in agreement with Britain as to who was the right man for the job. These differences </w:t>
      </w:r>
      <w:r w:rsidR="007D6EA4">
        <w:t>in</w:t>
      </w:r>
      <w:r>
        <w:t xml:space="preserve"> opinion will show how rudimentary propaganda theory was at the beginning of the war. </w:t>
      </w:r>
    </w:p>
    <w:p w14:paraId="1B407ACD" w14:textId="77777777" w:rsidR="0048510E" w:rsidRDefault="0048510E" w:rsidP="0048510E">
      <w:pPr>
        <w:pStyle w:val="Heading2"/>
      </w:pPr>
      <w:bookmarkStart w:id="11" w:name="_Toc402192946"/>
      <w:r>
        <w:t>Siege, annexation and communication across the border during and after the Franco-Prussian war</w:t>
      </w:r>
      <w:bookmarkEnd w:id="11"/>
    </w:p>
    <w:p w14:paraId="76536DDA" w14:textId="1FC953DE" w:rsidR="0048510E" w:rsidRPr="00D26782" w:rsidRDefault="0048510E" w:rsidP="007D6EA4">
      <w:pPr>
        <w:jc w:val="both"/>
        <w:rPr>
          <w:rFonts w:cstheme="minorHAnsi"/>
        </w:rPr>
      </w:pPr>
      <w:r>
        <w:t xml:space="preserve">At the beginning of the First World War, aerial propaganda was already a tested form of military communication across enemy lines. Balloons and kites had been introduced by the British and the French into their respective armies during Napoleonic wars but had little impact </w:t>
      </w:r>
      <w:r w:rsidR="007D6EA4">
        <w:t>on</w:t>
      </w:r>
      <w:r>
        <w:t xml:space="preserve"> the events.</w:t>
      </w:r>
      <w:r>
        <w:rPr>
          <w:rStyle w:val="FootnoteReference"/>
        </w:rPr>
        <w:footnoteReference w:id="117"/>
      </w:r>
      <w:r>
        <w:t xml:space="preserve"> More importantly, aerial units </w:t>
      </w:r>
      <w:r w:rsidR="007D6EA4">
        <w:t xml:space="preserve">had </w:t>
      </w:r>
      <w:r>
        <w:t>served as a lifeline for civilians trapped in the besieged capital</w:t>
      </w:r>
      <w:r w:rsidR="007D6EA4" w:rsidRPr="007D6EA4">
        <w:t xml:space="preserve"> </w:t>
      </w:r>
      <w:r w:rsidR="007D6EA4">
        <w:t>during the Franco-Prussian conflict of 1870-1871</w:t>
      </w:r>
      <w:r>
        <w:t>. On 1 September 1870, the disaster of Sedan</w:t>
      </w:r>
      <w:r w:rsidR="007D6EA4">
        <w:t xml:space="preserve"> triggered the capitulation of E</w:t>
      </w:r>
      <w:r>
        <w:t>mperor Napoleon III as well as the annihilation of his army. The road to Paris was now left open to the Germans</w:t>
      </w:r>
      <w:r w:rsidR="007D6EA4">
        <w:t>,</w:t>
      </w:r>
      <w:r>
        <w:t xml:space="preserve"> who reached the vicinity of the city on 19 September. The subsequent siege of the city quickly turned into a humanitarian </w:t>
      </w:r>
      <w:r w:rsidR="009F327E">
        <w:t>crisis</w:t>
      </w:r>
      <w:r>
        <w:t>; the population was not only trapped with limited supplies</w:t>
      </w:r>
      <w:r w:rsidR="007D6EA4">
        <w:t>,</w:t>
      </w:r>
      <w:r>
        <w:t xml:space="preserve"> but was also completely cut </w:t>
      </w:r>
      <w:r w:rsidR="007D6EA4">
        <w:t xml:space="preserve">off </w:t>
      </w:r>
      <w:r>
        <w:t>from the rest of the country. This isolation e</w:t>
      </w:r>
      <w:r w:rsidR="003757EA">
        <w:t>ncouraged Germain Rampont, the m</w:t>
      </w:r>
      <w:r>
        <w:t xml:space="preserve">inister of the postal service, to create a </w:t>
      </w:r>
      <w:r w:rsidR="009F327E">
        <w:t>mail service</w:t>
      </w:r>
      <w:r>
        <w:t xml:space="preserve"> by balloon across the Prussian lines. His decision to pursue these operations was officially sanctioned by a governmental ordinance voted on 27 September following three trials, ordered to measure the viability of the project. In total, 67 flights</w:t>
      </w:r>
      <w:r w:rsidR="007D6EA4">
        <w:t>,</w:t>
      </w:r>
      <w:r>
        <w:t xml:space="preserve"> carrying 11 tons of mail</w:t>
      </w:r>
      <w:r w:rsidR="007D6EA4">
        <w:t>, had</w:t>
      </w:r>
      <w:r>
        <w:t xml:space="preserve"> left the capital for the provinces </w:t>
      </w:r>
      <w:r w:rsidR="007D6EA4">
        <w:t>by</w:t>
      </w:r>
      <w:r>
        <w:t xml:space="preserve"> the end of 1871.</w:t>
      </w:r>
      <w:r>
        <w:rPr>
          <w:rStyle w:val="FootnoteReference"/>
          <w:rFonts w:cstheme="minorHAnsi"/>
        </w:rPr>
        <w:footnoteReference w:id="118"/>
      </w:r>
      <w:r>
        <w:rPr>
          <w:rFonts w:cstheme="minorHAnsi"/>
        </w:rPr>
        <w:t xml:space="preserve"> These balloons were not merely a tool </w:t>
      </w:r>
      <w:r w:rsidR="007D6EA4">
        <w:rPr>
          <w:rFonts w:cstheme="minorHAnsi"/>
        </w:rPr>
        <w:t>for</w:t>
      </w:r>
      <w:r>
        <w:rPr>
          <w:rFonts w:cstheme="minorHAnsi"/>
        </w:rPr>
        <w:t xml:space="preserve"> postal distribution</w:t>
      </w:r>
      <w:r w:rsidR="007D6EA4">
        <w:rPr>
          <w:rFonts w:cstheme="minorHAnsi"/>
        </w:rPr>
        <w:t>,</w:t>
      </w:r>
      <w:r>
        <w:rPr>
          <w:rFonts w:cstheme="minorHAnsi"/>
        </w:rPr>
        <w:t xml:space="preserve"> but also an instrument </w:t>
      </w:r>
      <w:r w:rsidR="007D6EA4">
        <w:rPr>
          <w:rFonts w:cstheme="minorHAnsi"/>
        </w:rPr>
        <w:t xml:space="preserve">for </w:t>
      </w:r>
      <w:r>
        <w:rPr>
          <w:rFonts w:cstheme="minorHAnsi"/>
        </w:rPr>
        <w:t>carrying French propaganda aimed at Prussian soldiers. A balloon pilot named Gaston Tissandier remembered throwing 10,000 pamphlets, written in German and created for the occasion, above the enemy during these aerial missions.</w:t>
      </w:r>
      <w:r>
        <w:rPr>
          <w:rStyle w:val="FootnoteReference"/>
          <w:rFonts w:cstheme="minorHAnsi"/>
        </w:rPr>
        <w:footnoteReference w:id="119"/>
      </w:r>
      <w:r>
        <w:rPr>
          <w:rFonts w:cstheme="minorHAnsi"/>
        </w:rPr>
        <w:t xml:space="preserve"> In a similar fashion, the famous photographer Nadar dropped leaflets over the German lines.</w:t>
      </w:r>
      <w:r>
        <w:rPr>
          <w:rStyle w:val="FootnoteReference"/>
          <w:rFonts w:cstheme="minorHAnsi"/>
        </w:rPr>
        <w:footnoteReference w:id="120"/>
      </w:r>
      <w:r>
        <w:rPr>
          <w:rFonts w:cstheme="minorHAnsi"/>
        </w:rPr>
        <w:t xml:space="preserve"> </w:t>
      </w:r>
      <w:r w:rsidR="007D6EA4">
        <w:rPr>
          <w:rFonts w:cstheme="minorHAnsi"/>
        </w:rPr>
        <w:t>In addition</w:t>
      </w:r>
      <w:r>
        <w:rPr>
          <w:rFonts w:cstheme="minorHAnsi"/>
        </w:rPr>
        <w:t xml:space="preserve">, the </w:t>
      </w:r>
      <w:r w:rsidR="007D6EA4">
        <w:rPr>
          <w:rFonts w:cstheme="minorHAnsi"/>
        </w:rPr>
        <w:t>Parisian authorities</w:t>
      </w:r>
      <w:r>
        <w:rPr>
          <w:rFonts w:cstheme="minorHAnsi"/>
        </w:rPr>
        <w:t xml:space="preserve"> also endorsed a new form of press inspired by air distribution and designed for this peculiar mode of distribution. Newspapers such as </w:t>
      </w:r>
      <w:r w:rsidRPr="00614F0B">
        <w:rPr>
          <w:rFonts w:cstheme="minorHAnsi"/>
          <w:i/>
          <w:iCs/>
        </w:rPr>
        <w:t xml:space="preserve">La Dépêche Ballon, Le Ballon-Poste </w:t>
      </w:r>
      <w:r w:rsidRPr="00614F0B">
        <w:rPr>
          <w:rFonts w:cstheme="minorHAnsi"/>
        </w:rPr>
        <w:t>or</w:t>
      </w:r>
      <w:r w:rsidRPr="00614F0B">
        <w:rPr>
          <w:rFonts w:cstheme="minorHAnsi"/>
          <w:i/>
          <w:iCs/>
        </w:rPr>
        <w:t xml:space="preserve"> Le Journal Ballon</w:t>
      </w:r>
      <w:r>
        <w:rPr>
          <w:rFonts w:cstheme="minorHAnsi"/>
        </w:rPr>
        <w:t>, carried news of the capital and of the government on one side</w:t>
      </w:r>
      <w:r w:rsidR="007D6EA4">
        <w:rPr>
          <w:rFonts w:cstheme="minorHAnsi"/>
        </w:rPr>
        <w:t>,</w:t>
      </w:r>
      <w:r>
        <w:rPr>
          <w:rFonts w:cstheme="minorHAnsi"/>
        </w:rPr>
        <w:t xml:space="preserve"> and a blank space</w:t>
      </w:r>
      <w:r w:rsidR="007D6EA4">
        <w:rPr>
          <w:rFonts w:cstheme="minorHAnsi"/>
        </w:rPr>
        <w:t>,</w:t>
      </w:r>
      <w:r>
        <w:rPr>
          <w:rFonts w:cstheme="minorHAnsi"/>
        </w:rPr>
        <w:t xml:space="preserve"> in order to allow citizens to write to their families</w:t>
      </w:r>
      <w:r w:rsidR="007D6EA4">
        <w:rPr>
          <w:rFonts w:cstheme="minorHAnsi"/>
        </w:rPr>
        <w:t>, on the other</w:t>
      </w:r>
      <w:r>
        <w:rPr>
          <w:rFonts w:cstheme="minorHAnsi"/>
        </w:rPr>
        <w:t>.</w:t>
      </w:r>
      <w:r w:rsidRPr="002C63D4">
        <w:rPr>
          <w:rStyle w:val="FootnoteReference"/>
          <w:rFonts w:cstheme="minorHAnsi"/>
        </w:rPr>
        <w:footnoteReference w:id="121"/>
      </w:r>
      <w:r>
        <w:rPr>
          <w:rFonts w:cstheme="minorHAnsi"/>
        </w:rPr>
        <w:t xml:space="preserve"> </w:t>
      </w:r>
    </w:p>
    <w:p w14:paraId="79AA4D16" w14:textId="2871939C" w:rsidR="0048510E" w:rsidRDefault="0048510E" w:rsidP="00DE3AC9">
      <w:pPr>
        <w:jc w:val="both"/>
        <w:rPr>
          <w:rFonts w:cstheme="minorHAnsi"/>
        </w:rPr>
      </w:pPr>
      <w:r>
        <w:rPr>
          <w:rFonts w:cstheme="minorHAnsi"/>
        </w:rPr>
        <w:t xml:space="preserve">These attempts to correspond on both sides of the lines demonstrated the </w:t>
      </w:r>
      <w:r w:rsidR="00DE3AC9">
        <w:rPr>
          <w:rFonts w:cstheme="minorHAnsi"/>
        </w:rPr>
        <w:t>need</w:t>
      </w:r>
      <w:r>
        <w:rPr>
          <w:rFonts w:cstheme="minorHAnsi"/>
        </w:rPr>
        <w:t xml:space="preserve"> to reconnect with the rest of the nation</w:t>
      </w:r>
      <w:r w:rsidR="007D6EA4" w:rsidRPr="007D6EA4">
        <w:rPr>
          <w:rFonts w:cstheme="minorHAnsi"/>
        </w:rPr>
        <w:t xml:space="preserve"> </w:t>
      </w:r>
      <w:r w:rsidR="007D6EA4">
        <w:rPr>
          <w:rFonts w:cstheme="minorHAnsi"/>
        </w:rPr>
        <w:t>need felt by the capital</w:t>
      </w:r>
      <w:r>
        <w:rPr>
          <w:rFonts w:cstheme="minorHAnsi"/>
        </w:rPr>
        <w:t>. In fact, the government was rightly inspired to encourage these activities</w:t>
      </w:r>
      <w:r w:rsidR="007D6EA4">
        <w:rPr>
          <w:rFonts w:cstheme="minorHAnsi"/>
        </w:rPr>
        <w:t>,</w:t>
      </w:r>
      <w:r>
        <w:rPr>
          <w:rFonts w:cstheme="minorHAnsi"/>
        </w:rPr>
        <w:t xml:space="preserve"> for they had a positive impact on the Parisian population.</w:t>
      </w:r>
      <w:r>
        <w:rPr>
          <w:rStyle w:val="FootnoteReference"/>
          <w:rFonts w:cstheme="minorHAnsi"/>
        </w:rPr>
        <w:footnoteReference w:id="122"/>
      </w:r>
      <w:r>
        <w:rPr>
          <w:rFonts w:cstheme="minorHAnsi"/>
        </w:rPr>
        <w:t xml:space="preserve"> Jacques Ellul, the respected propaganda theorist, demonstrated that a population oppressed by a conqueror</w:t>
      </w:r>
      <w:r w:rsidR="007D6EA4">
        <w:rPr>
          <w:rFonts w:cstheme="minorHAnsi"/>
        </w:rPr>
        <w:t>,</w:t>
      </w:r>
      <w:r>
        <w:rPr>
          <w:rFonts w:cstheme="minorHAnsi"/>
        </w:rPr>
        <w:t xml:space="preserve"> or feeling a common resentment or hatred toward an occupying force</w:t>
      </w:r>
      <w:r w:rsidR="007D6EA4">
        <w:rPr>
          <w:rFonts w:cstheme="minorHAnsi"/>
        </w:rPr>
        <w:t>,</w:t>
      </w:r>
      <w:r>
        <w:rPr>
          <w:rFonts w:cstheme="minorHAnsi"/>
        </w:rPr>
        <w:t xml:space="preserve"> was much more ready for a form of propaganda rooted in nationalism.</w:t>
      </w:r>
      <w:r>
        <w:rPr>
          <w:rStyle w:val="FootnoteReference"/>
          <w:rFonts w:cstheme="minorHAnsi"/>
        </w:rPr>
        <w:footnoteReference w:id="123"/>
      </w:r>
      <w:r>
        <w:rPr>
          <w:rFonts w:cstheme="minorHAnsi"/>
        </w:rPr>
        <w:t xml:space="preserve"> Balloon newspapers were undeniably a form of propaganda designed to demonstrate the resilience of the government of </w:t>
      </w:r>
      <w:r>
        <w:rPr>
          <w:rFonts w:cstheme="minorHAnsi"/>
          <w:i/>
          <w:iCs/>
        </w:rPr>
        <w:t>défense nationale</w:t>
      </w:r>
      <w:r>
        <w:rPr>
          <w:rFonts w:cstheme="minorHAnsi"/>
        </w:rPr>
        <w:t xml:space="preserve"> and</w:t>
      </w:r>
      <w:r w:rsidR="007D6EA4">
        <w:rPr>
          <w:rFonts w:cstheme="minorHAnsi"/>
        </w:rPr>
        <w:t xml:space="preserve"> of</w:t>
      </w:r>
      <w:r>
        <w:rPr>
          <w:rFonts w:cstheme="minorHAnsi"/>
        </w:rPr>
        <w:t xml:space="preserve"> the city of Paris against German forces. The concept of the </w:t>
      </w:r>
      <w:r>
        <w:rPr>
          <w:rFonts w:cstheme="minorHAnsi"/>
          <w:i/>
          <w:iCs/>
        </w:rPr>
        <w:t>patrie en danger</w:t>
      </w:r>
      <w:r>
        <w:rPr>
          <w:rFonts w:cstheme="minorHAnsi"/>
        </w:rPr>
        <w:t xml:space="preserve"> was still deeply rooted in the Republican imagination and was willingly used by the new regime, </w:t>
      </w:r>
      <w:r w:rsidR="007D6EA4">
        <w:rPr>
          <w:rFonts w:cstheme="minorHAnsi"/>
        </w:rPr>
        <w:t>in the hope of</w:t>
      </w:r>
      <w:r>
        <w:rPr>
          <w:rFonts w:cstheme="minorHAnsi"/>
        </w:rPr>
        <w:t xml:space="preserve"> trigger</w:t>
      </w:r>
      <w:r w:rsidR="007D6EA4">
        <w:rPr>
          <w:rFonts w:cstheme="minorHAnsi"/>
        </w:rPr>
        <w:t>ing</w:t>
      </w:r>
      <w:r>
        <w:rPr>
          <w:rFonts w:cstheme="minorHAnsi"/>
        </w:rPr>
        <w:t xml:space="preserve"> a </w:t>
      </w:r>
      <w:r>
        <w:rPr>
          <w:rFonts w:cstheme="minorHAnsi"/>
          <w:i/>
          <w:iCs/>
        </w:rPr>
        <w:t xml:space="preserve">levée en masse </w:t>
      </w:r>
      <w:r>
        <w:rPr>
          <w:rFonts w:cstheme="minorHAnsi"/>
        </w:rPr>
        <w:t xml:space="preserve">like </w:t>
      </w:r>
      <w:r w:rsidR="007D6EA4">
        <w:rPr>
          <w:rFonts w:cstheme="minorHAnsi"/>
        </w:rPr>
        <w:t>that of</w:t>
      </w:r>
      <w:r>
        <w:rPr>
          <w:rFonts w:cstheme="minorHAnsi"/>
        </w:rPr>
        <w:t xml:space="preserve"> 1793. Even Gambetta, then </w:t>
      </w:r>
      <w:r w:rsidR="003757EA">
        <w:rPr>
          <w:rFonts w:cstheme="minorHAnsi"/>
        </w:rPr>
        <w:t>minister of i</w:t>
      </w:r>
      <w:r>
        <w:rPr>
          <w:rFonts w:cstheme="minorHAnsi"/>
        </w:rPr>
        <w:t>nterior, broke the siege of Paris by balloon</w:t>
      </w:r>
      <w:r w:rsidR="007D6EA4">
        <w:rPr>
          <w:rFonts w:cstheme="minorHAnsi"/>
        </w:rPr>
        <w:t>,</w:t>
      </w:r>
      <w:r>
        <w:rPr>
          <w:rFonts w:cstheme="minorHAnsi"/>
        </w:rPr>
        <w:t xml:space="preserve"> to reach the city of Tours in order to coordinate the resistance of the provinces.</w:t>
      </w:r>
      <w:r>
        <w:rPr>
          <w:rStyle w:val="FootnoteReference"/>
          <w:rFonts w:cstheme="minorHAnsi"/>
        </w:rPr>
        <w:footnoteReference w:id="124"/>
      </w:r>
      <w:r>
        <w:rPr>
          <w:rFonts w:cstheme="minorHAnsi"/>
        </w:rPr>
        <w:t xml:space="preserve"> If these attempts failed to change the course of the conflict, clear signs had demonstrated that hostilities were now affecting all layers of society. In fact, a modern form of propaganda trying to mobilise the civilian world and creating a </w:t>
      </w:r>
      <w:r w:rsidR="007D6EA4">
        <w:rPr>
          <w:rFonts w:cstheme="minorHAnsi"/>
        </w:rPr>
        <w:t>‘</w:t>
      </w:r>
      <w:r>
        <w:rPr>
          <w:rFonts w:cstheme="minorHAnsi"/>
        </w:rPr>
        <w:t>war culture</w:t>
      </w:r>
      <w:r w:rsidR="007D6EA4">
        <w:rPr>
          <w:rFonts w:cstheme="minorHAnsi"/>
        </w:rPr>
        <w:t>’</w:t>
      </w:r>
      <w:r>
        <w:rPr>
          <w:rFonts w:cstheme="minorHAnsi"/>
        </w:rPr>
        <w:t xml:space="preserve"> anticipated some of the fundamental characteristics of the First World War.</w:t>
      </w:r>
    </w:p>
    <w:p w14:paraId="155C3FCD" w14:textId="271B5489" w:rsidR="0048510E" w:rsidRPr="00FF1427" w:rsidRDefault="0048510E" w:rsidP="001D62CE">
      <w:pPr>
        <w:jc w:val="both"/>
        <w:rPr>
          <w:rFonts w:cstheme="minorHAnsi"/>
        </w:rPr>
      </w:pPr>
      <w:r>
        <w:rPr>
          <w:rFonts w:cstheme="minorHAnsi"/>
        </w:rPr>
        <w:t>In these circumstances, it would be tempting to connect the dots between 1871 and 1914 and conclude that the airmail adventure during the siege of Paris directly inspired First World War propaganda</w:t>
      </w:r>
      <w:r w:rsidR="007D6EA4">
        <w:rPr>
          <w:rFonts w:cstheme="minorHAnsi"/>
        </w:rPr>
        <w:t xml:space="preserve"> operations</w:t>
      </w:r>
      <w:r>
        <w:rPr>
          <w:rFonts w:cstheme="minorHAnsi"/>
        </w:rPr>
        <w:t xml:space="preserve"> in </w:t>
      </w:r>
      <w:r w:rsidR="009F327E">
        <w:rPr>
          <w:rFonts w:cstheme="minorHAnsi"/>
        </w:rPr>
        <w:t xml:space="preserve">the </w:t>
      </w:r>
      <w:r>
        <w:rPr>
          <w:rFonts w:cstheme="minorHAnsi"/>
        </w:rPr>
        <w:t xml:space="preserve">occupied territories. However, the absence of evidence means that some distance </w:t>
      </w:r>
      <w:r w:rsidR="00C92872">
        <w:rPr>
          <w:rFonts w:cstheme="minorHAnsi"/>
        </w:rPr>
        <w:t>must be taken</w:t>
      </w:r>
      <w:r w:rsidR="007D6EA4" w:rsidRPr="007D6EA4">
        <w:rPr>
          <w:rFonts w:cstheme="minorHAnsi"/>
        </w:rPr>
        <w:t xml:space="preserve"> </w:t>
      </w:r>
      <w:r w:rsidR="007D6EA4">
        <w:rPr>
          <w:rFonts w:cstheme="minorHAnsi"/>
        </w:rPr>
        <w:t>from such a statement</w:t>
      </w:r>
      <w:r>
        <w:rPr>
          <w:rFonts w:cstheme="minorHAnsi"/>
        </w:rPr>
        <w:t xml:space="preserve">. It is certain that the memory of the balloon adventure during the siege of Paris, commemorated via various mediums such as drawings, caricatures, engravings and books, deeply penetrated the </w:t>
      </w:r>
      <w:r w:rsidR="001D62CE">
        <w:rPr>
          <w:rFonts w:cstheme="minorHAnsi"/>
        </w:rPr>
        <w:t xml:space="preserve">French society. Yet </w:t>
      </w:r>
      <w:r>
        <w:rPr>
          <w:rFonts w:cstheme="minorHAnsi"/>
        </w:rPr>
        <w:t xml:space="preserve">neither </w:t>
      </w:r>
      <w:r w:rsidR="001D62CE">
        <w:rPr>
          <w:rFonts w:cstheme="minorHAnsi"/>
        </w:rPr>
        <w:t>did it revolutionise</w:t>
      </w:r>
      <w:r>
        <w:rPr>
          <w:rFonts w:cstheme="minorHAnsi"/>
        </w:rPr>
        <w:t xml:space="preserve"> the way communication was thought about</w:t>
      </w:r>
      <w:r w:rsidR="001D62CE">
        <w:rPr>
          <w:rFonts w:cstheme="minorHAnsi"/>
        </w:rPr>
        <w:t>,</w:t>
      </w:r>
      <w:r>
        <w:rPr>
          <w:rFonts w:cstheme="minorHAnsi"/>
        </w:rPr>
        <w:t xml:space="preserve"> nor did it trigger changes in the structures of the French army. The main effect of aerial propaganda during the siege of Paris was to prove the possibility o</w:t>
      </w:r>
      <w:r w:rsidR="00362C97">
        <w:rPr>
          <w:rFonts w:cstheme="minorHAnsi"/>
        </w:rPr>
        <w:t xml:space="preserve">f mass </w:t>
      </w:r>
      <w:r>
        <w:rPr>
          <w:rFonts w:cstheme="minorHAnsi"/>
        </w:rPr>
        <w:t>communication across enemy lines</w:t>
      </w:r>
      <w:r w:rsidR="001D62CE">
        <w:rPr>
          <w:rFonts w:cstheme="minorHAnsi"/>
        </w:rPr>
        <w:t>,</w:t>
      </w:r>
      <w:r w:rsidR="00913FF1">
        <w:rPr>
          <w:rFonts w:cstheme="minorHAnsi"/>
        </w:rPr>
        <w:t xml:space="preserve"> and strike the imagination of the public</w:t>
      </w:r>
      <w:r>
        <w:rPr>
          <w:rFonts w:cstheme="minorHAnsi"/>
        </w:rPr>
        <w:t>.</w:t>
      </w:r>
      <w:r>
        <w:rPr>
          <w:rStyle w:val="FootnoteReference"/>
          <w:rFonts w:cstheme="minorHAnsi"/>
        </w:rPr>
        <w:footnoteReference w:id="125"/>
      </w:r>
      <w:r>
        <w:rPr>
          <w:rFonts w:cstheme="minorHAnsi"/>
        </w:rPr>
        <w:t xml:space="preserve"> </w:t>
      </w:r>
    </w:p>
    <w:p w14:paraId="0F086A3A" w14:textId="134E2ECF" w:rsidR="0048510E" w:rsidRDefault="0048510E" w:rsidP="001D62CE">
      <w:pPr>
        <w:jc w:val="both"/>
      </w:pPr>
      <w:r>
        <w:t>The signature of the treaty of Frankfurt on 10 May 1871 confirmed the defeat of France</w:t>
      </w:r>
      <w:r w:rsidR="001D62CE">
        <w:t>,</w:t>
      </w:r>
      <w:r>
        <w:t xml:space="preserve"> as well as the loss of the provinces of Alsace and Lorraine. The news brought a mixture of sadness and consternation everywhere in France. These feelings were exacerbated in Paris as well as </w:t>
      </w:r>
      <w:r w:rsidR="00936D71">
        <w:t xml:space="preserve">in </w:t>
      </w:r>
      <w:r>
        <w:t>the regions in which there were important communities of refugees coming from the lost provinces.</w:t>
      </w:r>
      <w:r>
        <w:rPr>
          <w:rStyle w:val="FootnoteReference"/>
        </w:rPr>
        <w:footnoteReference w:id="126"/>
      </w:r>
      <w:r>
        <w:t xml:space="preserve"> However, time passed and annexation became less a </w:t>
      </w:r>
      <w:r w:rsidRPr="004463D2">
        <w:rPr>
          <w:i/>
          <w:iCs/>
        </w:rPr>
        <w:t>casus belli</w:t>
      </w:r>
      <w:r>
        <w:t xml:space="preserve"> with Germany than an accepted fact inspiring a vast artistic movement grounded in nostalgia.</w:t>
      </w:r>
      <w:r>
        <w:rPr>
          <w:rStyle w:val="FootnoteReference"/>
        </w:rPr>
        <w:footnoteReference w:id="127"/>
      </w:r>
      <w:r w:rsidR="001D62CE">
        <w:t xml:space="preserve"> For example, literature</w:t>
      </w:r>
      <w:r>
        <w:t xml:space="preserve"> contributed to the myth of a paradise stolen from France</w:t>
      </w:r>
      <w:r w:rsidR="001D62CE">
        <w:t>,</w:t>
      </w:r>
      <w:r w:rsidR="001D62CE" w:rsidRPr="001D62CE">
        <w:t xml:space="preserve"> </w:t>
      </w:r>
      <w:r w:rsidR="001D62CE">
        <w:t xml:space="preserve">through books such as </w:t>
      </w:r>
      <w:r w:rsidR="001D62CE">
        <w:rPr>
          <w:i/>
          <w:iCs/>
        </w:rPr>
        <w:t>Les Oberlé</w:t>
      </w:r>
      <w:r w:rsidR="001D62CE">
        <w:t xml:space="preserve"> or </w:t>
      </w:r>
      <w:r w:rsidR="001D62CE" w:rsidRPr="00740CB9">
        <w:rPr>
          <w:i/>
          <w:iCs/>
        </w:rPr>
        <w:t>Colette Baudoche</w:t>
      </w:r>
      <w:r w:rsidR="001D62CE">
        <w:t>, in which</w:t>
      </w:r>
      <w:r>
        <w:t xml:space="preserve"> citizens had remained loyal to their true country.</w:t>
      </w:r>
      <w:r>
        <w:rPr>
          <w:rStyle w:val="FootnoteReference"/>
        </w:rPr>
        <w:footnoteReference w:id="128"/>
      </w:r>
      <w:r>
        <w:t xml:space="preserve"> As a rule, the cultural complexity of the region was systematically denied</w:t>
      </w:r>
      <w:r w:rsidR="001D62CE">
        <w:t>, in order</w:t>
      </w:r>
      <w:r>
        <w:t xml:space="preserve"> to accentuate the French character of Alsace and Lorraine. In this climate, artists dreamt of Francophile communication with the lost provinces.</w:t>
      </w:r>
      <w:r>
        <w:rPr>
          <w:rStyle w:val="FootnoteReference"/>
        </w:rPr>
        <w:footnoteReference w:id="129"/>
      </w:r>
      <w:r>
        <w:t xml:space="preserve"> The most famous example was </w:t>
      </w:r>
      <w:r w:rsidRPr="00E8658A">
        <w:t xml:space="preserve">the song </w:t>
      </w:r>
      <w:r w:rsidRPr="00E8658A">
        <w:rPr>
          <w:i/>
          <w:iCs/>
        </w:rPr>
        <w:t>C’est un oiseau qui vient de France</w:t>
      </w:r>
      <w:r w:rsidRPr="00E8658A">
        <w:t>,</w:t>
      </w:r>
      <w:r>
        <w:t xml:space="preserve"> written in 1885 by Camille Soubise and Frédéric Boissière. This patriotic melody </w:t>
      </w:r>
      <w:r w:rsidRPr="00E8658A">
        <w:t xml:space="preserve">was the </w:t>
      </w:r>
      <w:r>
        <w:t>cornerstone</w:t>
      </w:r>
      <w:r w:rsidRPr="00E8658A">
        <w:t xml:space="preserve"> of </w:t>
      </w:r>
      <w:r>
        <w:t>a cultural movement denouncing the isolation of Alsatians and Lorrainers</w:t>
      </w:r>
      <w:r w:rsidR="001D62CE">
        <w:t>,</w:t>
      </w:r>
      <w:r>
        <w:t xml:space="preserve"> and advertising communication across the border.</w:t>
      </w:r>
      <w:r>
        <w:rPr>
          <w:rStyle w:val="FootnoteReference"/>
        </w:rPr>
        <w:footnoteReference w:id="130"/>
      </w:r>
      <w:r>
        <w:t xml:space="preserve"> In the lyrics of this immensely popular tune, a French tricolour swallow flew above an Alsatian town before being shot by a German sentry. </w:t>
      </w:r>
      <w:r w:rsidR="001D62CE">
        <w:t>The song had a significant cultural impact</w:t>
      </w:r>
      <w:r>
        <w:t xml:space="preserve">; the most important German controlled newspaper published in occupied France during the First World War referred to </w:t>
      </w:r>
      <w:r w:rsidR="002068A7">
        <w:t>a</w:t>
      </w:r>
      <w:r>
        <w:t xml:space="preserve">llied aerial propaganda as </w:t>
      </w:r>
      <w:r>
        <w:rPr>
          <w:i/>
          <w:iCs/>
        </w:rPr>
        <w:t>L’oiseau qui vient de France</w:t>
      </w:r>
      <w:r>
        <w:t xml:space="preserve"> or </w:t>
      </w:r>
      <w:r>
        <w:rPr>
          <w:i/>
          <w:iCs/>
        </w:rPr>
        <w:t>Un oiseau qui vient de France</w:t>
      </w:r>
      <w:r>
        <w:t xml:space="preserve">. In the same fashion, a French resistance group from Lille named their clandestine paper </w:t>
      </w:r>
      <w:r>
        <w:rPr>
          <w:i/>
          <w:iCs/>
        </w:rPr>
        <w:t>L’oiseau de France.</w:t>
      </w:r>
      <w:r>
        <w:rPr>
          <w:rStyle w:val="FootnoteReference"/>
        </w:rPr>
        <w:footnoteReference w:id="131"/>
      </w:r>
    </w:p>
    <w:p w14:paraId="50DFE2E0" w14:textId="389BD288" w:rsidR="0048510E" w:rsidRDefault="0048510E" w:rsidP="00351F04">
      <w:pPr>
        <w:jc w:val="both"/>
      </w:pPr>
      <w:r>
        <w:t xml:space="preserve">This evidence shows that communication with Alsace and Lorraine was a strong cultural </w:t>
      </w:r>
      <w:r w:rsidR="001D62CE">
        <w:t>topic</w:t>
      </w:r>
      <w:r>
        <w:t xml:space="preserve"> in France. Did such a vision translate into actions of propaganda between France and the lost provinces? Despite the enthusiasm expressed through artistic mediums, only limited action took place. In fact, modern historiography has highlighted the lack of hostility to Germany in Alsace and Lorraine. In contrast to the nationalist circles of France, people living inside the lost provinces rarely expressed their anger at the events of 1870-1871</w:t>
      </w:r>
      <w:r w:rsidR="00351F04">
        <w:t>,</w:t>
      </w:r>
      <w:r>
        <w:t xml:space="preserve"> and were even pleased by the economic collaboration with the rest of Germany.</w:t>
      </w:r>
      <w:r>
        <w:rPr>
          <w:rStyle w:val="FootnoteReference"/>
        </w:rPr>
        <w:footnoteReference w:id="132"/>
      </w:r>
      <w:r>
        <w:t xml:space="preserve"> Moreover, the liberty granted to the press by German authorities was enough to release nationalistic pressure. Newspapers written in French such as the </w:t>
      </w:r>
      <w:r>
        <w:rPr>
          <w:i/>
          <w:iCs/>
        </w:rPr>
        <w:t>Lorrain</w:t>
      </w:r>
      <w:r>
        <w:t xml:space="preserve"> retained their liberty to discuss political matters</w:t>
      </w:r>
      <w:r w:rsidR="00913FF1">
        <w:t xml:space="preserve"> without interference from the i</w:t>
      </w:r>
      <w:r>
        <w:t>mperial government. However, a few regional notables and civilians remained fiercely Francophile</w:t>
      </w:r>
      <w:r w:rsidR="00351F04">
        <w:t>,</w:t>
      </w:r>
      <w:r>
        <w:t xml:space="preserve"> and tried to tighten their contacts with France. In fact, the variety of reactions </w:t>
      </w:r>
      <w:r w:rsidR="00351F04">
        <w:t>within</w:t>
      </w:r>
      <w:r>
        <w:t xml:space="preserve"> the lost provinces</w:t>
      </w:r>
      <w:r w:rsidR="00351F04">
        <w:t>,</w:t>
      </w:r>
      <w:r>
        <w:t xml:space="preserve"> following the annexation</w:t>
      </w:r>
      <w:r w:rsidR="00351F04">
        <w:t>,</w:t>
      </w:r>
      <w:r>
        <w:t xml:space="preserve"> demonstrated the range of feelings toward becoming German. Some expressed their satisfaction while others </w:t>
      </w:r>
      <w:r w:rsidR="00FD02BF">
        <w:t>grieved</w:t>
      </w:r>
      <w:r>
        <w:t xml:space="preserve">. In 1901, Pierre Bucher became editor of the quarterly magazine of the </w:t>
      </w:r>
      <w:r>
        <w:rPr>
          <w:i/>
          <w:iCs/>
        </w:rPr>
        <w:t>Revue alsacienne illustrée</w:t>
      </w:r>
      <w:r>
        <w:t>, highlighting the French roots of Alsatian culture and traditions and collaborating with ultra-nationalist Maurice Barrès.</w:t>
      </w:r>
      <w:r>
        <w:rPr>
          <w:rStyle w:val="FootnoteReference"/>
        </w:rPr>
        <w:footnoteReference w:id="133"/>
      </w:r>
      <w:r>
        <w:t xml:space="preserve"> The cultural resistance</w:t>
      </w:r>
      <w:r w:rsidR="00351F04">
        <w:t xml:space="preserve"> movement</w:t>
      </w:r>
      <w:r>
        <w:t xml:space="preserve"> was also helped by Jean-Jacques Waltz</w:t>
      </w:r>
      <w:r w:rsidR="00351F04">
        <w:t>,</w:t>
      </w:r>
      <w:r>
        <w:t xml:space="preserve"> who started publishing satirical illustrations in 1908. The work of the artist, better known as Hansi, depicting an idyllic Alsace ruled by irrational Germans was widespread in France</w:t>
      </w:r>
      <w:r w:rsidR="00351F04">
        <w:t>,</w:t>
      </w:r>
      <w:r>
        <w:t xml:space="preserve"> where it was </w:t>
      </w:r>
      <w:r w:rsidR="00351F04">
        <w:t>received</w:t>
      </w:r>
      <w:r>
        <w:t xml:space="preserve"> as a realistic portrayal of life behind the border. However, these examples of collaboration between the lost provinces and the capital were not the norm. Acts of Francophile propaganda across the border remained private initiatives in which the French government took no part in order to avoid diplomatic incidents with Germany.</w:t>
      </w:r>
      <w:r w:rsidR="00752C51">
        <w:rPr>
          <w:rStyle w:val="FootnoteReference"/>
        </w:rPr>
        <w:footnoteReference w:id="134"/>
      </w:r>
      <w:r>
        <w:t xml:space="preserve">  </w:t>
      </w:r>
    </w:p>
    <w:p w14:paraId="380F80DE" w14:textId="64C8AEE5" w:rsidR="0048510E" w:rsidRDefault="00351F04" w:rsidP="00351F04">
      <w:pPr>
        <w:jc w:val="both"/>
      </w:pPr>
      <w:r>
        <w:t>T</w:t>
      </w:r>
      <w:r w:rsidR="0048510E">
        <w:t>he climate of peace deteriorated in 1913 with the incident of Saverne</w:t>
      </w:r>
      <w:r>
        <w:t>, when</w:t>
      </w:r>
      <w:r w:rsidR="0048510E">
        <w:t xml:space="preserve"> a young lieutenant of the Imperial army humiliated Alsatian recruits and was perceived to have dishonoured the French flag. This abuse of authority inflamed the relations between the Reichstag, siding with the officer, and </w:t>
      </w:r>
      <w:r>
        <w:t xml:space="preserve">the </w:t>
      </w:r>
      <w:r w:rsidR="0048510E">
        <w:t xml:space="preserve">Francophile elements of the annexed territories. The incident also found an important echo in the Parisian press, proving </w:t>
      </w:r>
      <w:r w:rsidR="0048510E">
        <w:rPr>
          <w:i/>
          <w:iCs/>
        </w:rPr>
        <w:t>de facto</w:t>
      </w:r>
      <w:r w:rsidR="0048510E">
        <w:t xml:space="preserve"> interactions between France and the annexed provinces.</w:t>
      </w:r>
      <w:r w:rsidR="0048510E">
        <w:rPr>
          <w:rStyle w:val="FootnoteReference"/>
        </w:rPr>
        <w:footnoteReference w:id="135"/>
      </w:r>
      <w:r w:rsidR="0048510E">
        <w:t xml:space="preserve"> The </w:t>
      </w:r>
      <w:r>
        <w:t>number</w:t>
      </w:r>
      <w:r w:rsidR="0048510E">
        <w:t xml:space="preserve"> of virulent articles against the government and the Reichstag published in Alsatian and Lorrain newspapers in French led to trials and restrictions of the freedom of the press.</w:t>
      </w:r>
      <w:r w:rsidR="0048510E">
        <w:rPr>
          <w:rStyle w:val="FootnoteReference"/>
        </w:rPr>
        <w:footnoteReference w:id="136"/>
      </w:r>
      <w:r w:rsidR="0048510E">
        <w:t xml:space="preserve"> In 1914, Hansi was sentenced to one year in prison for subversive work. This verdict raised a wind of indignation in the Parisian press which denounced the campaign of intimidation led against artists and writers in Alsace and Lorraine. The anger expressed by the French media grew stronger during the year 1914 before losing all appeal after the war declaration against Germany. As it has been seen, propaganda and communication between the lost provinces and France remained limited during the period 1871-1914. Yet, cases of resistance and collaboration between France and the lost provinces must not be underestimated. The example of Hansi was particularly enlightening as the artist managed to escape the provinces in time to join the French army</w:t>
      </w:r>
      <w:r>
        <w:t>,</w:t>
      </w:r>
      <w:r w:rsidR="0048510E">
        <w:t xml:space="preserve"> and later played a key role in aerial propaganda aimed at the occupied territories.</w:t>
      </w:r>
      <w:r w:rsidR="0048510E">
        <w:rPr>
          <w:rStyle w:val="FootnoteReference"/>
        </w:rPr>
        <w:footnoteReference w:id="137"/>
      </w:r>
    </w:p>
    <w:p w14:paraId="45CFA827" w14:textId="77777777" w:rsidR="0048510E" w:rsidRPr="00261B58" w:rsidRDefault="0048510E" w:rsidP="0048510E">
      <w:pPr>
        <w:pStyle w:val="Heading2"/>
      </w:pPr>
      <w:bookmarkStart w:id="12" w:name="_Toc402192947"/>
      <w:r>
        <w:t>The German campaign of propaganda in occupied France and Belgium during the First World War</w:t>
      </w:r>
      <w:bookmarkEnd w:id="12"/>
    </w:p>
    <w:p w14:paraId="4A72C266" w14:textId="04EEAA0B" w:rsidR="0048510E" w:rsidRDefault="0048510E" w:rsidP="0048510E">
      <w:pPr>
        <w:jc w:val="both"/>
      </w:pPr>
      <w:r>
        <w:t xml:space="preserve">Before looking at </w:t>
      </w:r>
      <w:r w:rsidR="002068A7">
        <w:t>a</w:t>
      </w:r>
      <w:r>
        <w:t>llied aerial propaganda, German attempts to communicate with the occupied territories must be examined. Indeed, the steps taken by the French and later the British and the Belgians were closely linked to the actions of the enemy.</w:t>
      </w:r>
    </w:p>
    <w:p w14:paraId="64959FDB" w14:textId="540435CD" w:rsidR="00AE69AE" w:rsidRDefault="0048510E" w:rsidP="00351F04">
      <w:pPr>
        <w:jc w:val="both"/>
      </w:pPr>
      <w:r>
        <w:t>On 9 September 19</w:t>
      </w:r>
      <w:r w:rsidR="003918F7">
        <w:t>14, the war of movement on the w</w:t>
      </w:r>
      <w:r>
        <w:t>estern front came to a stop with the end of the battle of the Marne. The supremacy of defensive weapons over offensive means led to the creation of a complex network of trenches running from the English Channel to Switzerland.</w:t>
      </w:r>
      <w:r>
        <w:rPr>
          <w:rStyle w:val="FootnoteReference"/>
        </w:rPr>
        <w:footnoteReference w:id="138"/>
      </w:r>
      <w:r>
        <w:t xml:space="preserve"> While General Joseph Joffre was expecting a short period of immobility followed by a new phase of movement, President Raymond Poincaré rightly foresaw a long siege of war.</w:t>
      </w:r>
      <w:r>
        <w:rPr>
          <w:rStyle w:val="FootnoteReference"/>
        </w:rPr>
        <w:footnoteReference w:id="139"/>
      </w:r>
      <w:r>
        <w:t xml:space="preserve"> Behind the lines, two million French people were now trapped in the departments of Aisne, Ardennes, Marne, Meuse, Meurthe and Moselle, Nord, Pas-de-Calais and Somme.</w:t>
      </w:r>
      <w:r>
        <w:rPr>
          <w:rStyle w:val="FootnoteReference"/>
        </w:rPr>
        <w:footnoteReference w:id="140"/>
      </w:r>
      <w:r>
        <w:t xml:space="preserve"> In Belgium, more than seven million civilians were locked behind the trenches.</w:t>
      </w:r>
      <w:r>
        <w:rPr>
          <w:rStyle w:val="FootnoteReference"/>
        </w:rPr>
        <w:footnoteReference w:id="141"/>
      </w:r>
      <w:r w:rsidR="00351F04">
        <w:t xml:space="preserve"> Communication</w:t>
      </w:r>
      <w:r>
        <w:t xml:space="preserve"> between the occupied territories and the free parts of France and Belgium </w:t>
      </w:r>
      <w:r w:rsidR="00351F04">
        <w:t>was</w:t>
      </w:r>
      <w:r>
        <w:t xml:space="preserve"> almost immediately broken. The restrictions imposed by the Germans concerning the possession of pigeons, radios or photographic equipment, made the isolation even more complete. Theatre, cinema and public speeches were subject to approval</w:t>
      </w:r>
      <w:r w:rsidR="00351F04">
        <w:t>,</w:t>
      </w:r>
      <w:r>
        <w:t xml:space="preserve"> while censorship of all publications and private correspondence was established. If posters were used to inform civilians of important news or decisions, the length of the occupation quickly convinced the Germans that more efforts were needed</w:t>
      </w:r>
      <w:r w:rsidR="00351F04">
        <w:t xml:space="preserve"> in communication</w:t>
      </w:r>
      <w:r>
        <w:t xml:space="preserve">. Little had been planned before the war, the deadlock </w:t>
      </w:r>
      <w:r w:rsidR="00E10168">
        <w:t xml:space="preserve">not </w:t>
      </w:r>
      <w:r>
        <w:t xml:space="preserve">having been anticipated, and the task </w:t>
      </w:r>
      <w:r w:rsidR="00351F04">
        <w:t>of improving</w:t>
      </w:r>
      <w:r>
        <w:t xml:space="preserve"> contact with the populations proved more difficult than expected.</w:t>
      </w:r>
      <w:r w:rsidR="00E10168">
        <w:rPr>
          <w:rStyle w:val="FootnoteReference"/>
        </w:rPr>
        <w:footnoteReference w:id="142"/>
      </w:r>
      <w:r>
        <w:t xml:space="preserve"> </w:t>
      </w:r>
    </w:p>
    <w:p w14:paraId="2F98A1EA" w14:textId="6CB55177" w:rsidR="0048510E" w:rsidRDefault="00AE69AE" w:rsidP="00351F04">
      <w:pPr>
        <w:jc w:val="both"/>
      </w:pPr>
      <w:r>
        <w:t xml:space="preserve">The Germans </w:t>
      </w:r>
      <w:r w:rsidR="00C20CB4">
        <w:t>tried</w:t>
      </w:r>
      <w:r>
        <w:t xml:space="preserve"> various means of communication with the </w:t>
      </w:r>
      <w:r w:rsidR="00C20CB4">
        <w:t xml:space="preserve">occupied </w:t>
      </w:r>
      <w:r>
        <w:t>population</w:t>
      </w:r>
      <w:r w:rsidR="00C20CB4">
        <w:t>s</w:t>
      </w:r>
      <w:r>
        <w:t xml:space="preserve">. Posters </w:t>
      </w:r>
      <w:r w:rsidR="001534CA">
        <w:t xml:space="preserve">often gave local news </w:t>
      </w:r>
      <w:r>
        <w:t xml:space="preserve">or </w:t>
      </w:r>
      <w:r w:rsidR="001534CA">
        <w:t>talked about the situation</w:t>
      </w:r>
      <w:r>
        <w:t xml:space="preserve"> on the front</w:t>
      </w:r>
      <w:r w:rsidR="00351F04">
        <w:t>,</w:t>
      </w:r>
      <w:r w:rsidR="001534CA">
        <w:t xml:space="preserve"> </w:t>
      </w:r>
      <w:r w:rsidR="00351F04">
        <w:t>and</w:t>
      </w:r>
      <w:r w:rsidR="001534CA">
        <w:t xml:space="preserve"> occasionally explained why the war was fought. The occupier also sold leaflets such as ‘La Belgique neutre et l’Allemagne’ to </w:t>
      </w:r>
      <w:r w:rsidR="00C20CB4">
        <w:t>debate</w:t>
      </w:r>
      <w:r w:rsidR="001534CA">
        <w:t xml:space="preserve"> </w:t>
      </w:r>
      <w:r w:rsidR="00C20CB4">
        <w:t xml:space="preserve">broad issues raised by </w:t>
      </w:r>
      <w:r w:rsidR="001534CA">
        <w:t xml:space="preserve">allied propaganda. If there is no evidence that the Germans used cinema in France or Belgium, theatre was </w:t>
      </w:r>
      <w:r w:rsidR="00351F04">
        <w:t>frequently used</w:t>
      </w:r>
      <w:r w:rsidR="001534CA">
        <w:t xml:space="preserve">. But as Andreas Laska reminded us, </w:t>
      </w:r>
      <w:r w:rsidR="00C20CB4">
        <w:t xml:space="preserve">German propaganda relied </w:t>
      </w:r>
      <w:r w:rsidR="00351F04">
        <w:t xml:space="preserve">mainly </w:t>
      </w:r>
      <w:r w:rsidR="00C20CB4">
        <w:t>on</w:t>
      </w:r>
      <w:r w:rsidR="001534CA">
        <w:t xml:space="preserve"> the printed press.</w:t>
      </w:r>
      <w:r w:rsidR="001534CA">
        <w:rPr>
          <w:rStyle w:val="FootnoteReference"/>
        </w:rPr>
        <w:footnoteReference w:id="143"/>
      </w:r>
      <w:r w:rsidR="001534CA">
        <w:t xml:space="preserve"> </w:t>
      </w:r>
    </w:p>
    <w:p w14:paraId="0D886634" w14:textId="6A5B79A1" w:rsidR="0048510E" w:rsidRDefault="0048510E" w:rsidP="00351F04">
      <w:pPr>
        <w:jc w:val="both"/>
      </w:pPr>
      <w:r>
        <w:t xml:space="preserve">In France, the Germans tried to convince pre-war newspapers to resume their activities under the supervision of the imperial army. Elie Fleury, who had been running the </w:t>
      </w:r>
      <w:r>
        <w:rPr>
          <w:i/>
          <w:iCs/>
        </w:rPr>
        <w:t>Journal de Saint-Quentin</w:t>
      </w:r>
      <w:r>
        <w:t xml:space="preserve"> before August 1914, remembered in his memoir how the Germans were met with a unanimous refusal.</w:t>
      </w:r>
      <w:r>
        <w:rPr>
          <w:rStyle w:val="FootnoteReference"/>
        </w:rPr>
        <w:footnoteReference w:id="144"/>
      </w:r>
      <w:r>
        <w:t xml:space="preserve"> The lack of a coherent strategy of communication triggered the creation of local initiatives such as the </w:t>
      </w:r>
      <w:r>
        <w:rPr>
          <w:i/>
          <w:iCs/>
        </w:rPr>
        <w:t>Journal de Guerre</w:t>
      </w:r>
      <w:r w:rsidR="00351F04">
        <w:rPr>
          <w:i/>
          <w:iCs/>
        </w:rPr>
        <w:t>,</w:t>
      </w:r>
      <w:r>
        <w:t xml:space="preserve"> published for the first time by the seventh German Army</w:t>
      </w:r>
      <w:r w:rsidR="00752C51" w:rsidRPr="00752C51">
        <w:t xml:space="preserve"> </w:t>
      </w:r>
      <w:r w:rsidR="00752C51">
        <w:t>on 28 October 1914</w:t>
      </w:r>
      <w:r>
        <w:t xml:space="preserve">. However, these army </w:t>
      </w:r>
      <w:r w:rsidR="00660480">
        <w:t>newspapers</w:t>
      </w:r>
      <w:r>
        <w:t xml:space="preserve"> did not appeal to the population as they had little understanding </w:t>
      </w:r>
      <w:r w:rsidR="00351F04">
        <w:t>of</w:t>
      </w:r>
      <w:r>
        <w:t xml:space="preserve"> the </w:t>
      </w:r>
      <w:r w:rsidR="00362C97">
        <w:t>French mentality</w:t>
      </w:r>
      <w:r>
        <w:t xml:space="preserve">. </w:t>
      </w:r>
      <w:r w:rsidRPr="00741A36">
        <w:t xml:space="preserve">Other newspapers, such as </w:t>
      </w:r>
      <w:r w:rsidRPr="00741A36">
        <w:rPr>
          <w:i/>
          <w:iCs/>
        </w:rPr>
        <w:t>La Gazette de Lorraine</w:t>
      </w:r>
      <w:r>
        <w:rPr>
          <w:i/>
          <w:iCs/>
        </w:rPr>
        <w:t xml:space="preserve">, </w:t>
      </w:r>
      <w:r>
        <w:t xml:space="preserve">the </w:t>
      </w:r>
      <w:r>
        <w:rPr>
          <w:i/>
          <w:iCs/>
        </w:rPr>
        <w:t xml:space="preserve">Bulletin de Lille, </w:t>
      </w:r>
      <w:r>
        <w:t xml:space="preserve">the </w:t>
      </w:r>
      <w:r>
        <w:rPr>
          <w:i/>
          <w:iCs/>
        </w:rPr>
        <w:t xml:space="preserve">Bulletin de Roubaix, L’Echo de Maubeuge, </w:t>
      </w:r>
      <w:r>
        <w:t>the</w:t>
      </w:r>
      <w:r>
        <w:rPr>
          <w:i/>
          <w:iCs/>
        </w:rPr>
        <w:t xml:space="preserve"> Moniteur du Ravitaillement</w:t>
      </w:r>
      <w:r w:rsidRPr="00741A36">
        <w:t xml:space="preserve"> and </w:t>
      </w:r>
      <w:r>
        <w:t>the</w:t>
      </w:r>
      <w:r w:rsidRPr="00741A36">
        <w:rPr>
          <w:i/>
          <w:iCs/>
        </w:rPr>
        <w:t xml:space="preserve"> Moniteur de la Ville de Guise</w:t>
      </w:r>
      <w:r w:rsidRPr="00741A36">
        <w:t>, were also created</w:t>
      </w:r>
      <w:r w:rsidR="00351F04">
        <w:t>,</w:t>
      </w:r>
      <w:r w:rsidRPr="00741A36">
        <w:t xml:space="preserve"> but </w:t>
      </w:r>
      <w:r>
        <w:t>shared flaws such as a poor understanding of the French language and a lack of subtlety in their content.</w:t>
      </w:r>
      <w:r>
        <w:rPr>
          <w:rStyle w:val="FootnoteReference"/>
        </w:rPr>
        <w:footnoteReference w:id="145"/>
      </w:r>
      <w:r>
        <w:t xml:space="preserve"> </w:t>
      </w:r>
    </w:p>
    <w:p w14:paraId="44C58459" w14:textId="305EAA7E" w:rsidR="0048510E" w:rsidRDefault="0048510E" w:rsidP="00CA5B30">
      <w:pPr>
        <w:jc w:val="both"/>
      </w:pPr>
      <w:r>
        <w:t>Despite this s</w:t>
      </w:r>
      <w:r w:rsidR="00351F04">
        <w:t>haky start, things would</w:t>
      </w:r>
      <w:r>
        <w:t xml:space="preserve"> change when the German army created the </w:t>
      </w:r>
      <w:r>
        <w:rPr>
          <w:i/>
          <w:iCs/>
        </w:rPr>
        <w:t xml:space="preserve">Gazette des Ardennes </w:t>
      </w:r>
      <w:r>
        <w:t xml:space="preserve">in October 1914. Unlike </w:t>
      </w:r>
      <w:r w:rsidR="00351F04">
        <w:t>previous</w:t>
      </w:r>
      <w:r>
        <w:t xml:space="preserve"> papers, the </w:t>
      </w:r>
      <w:r w:rsidR="00660480">
        <w:t>newspaper</w:t>
      </w:r>
      <w:r>
        <w:t xml:space="preserve"> was overseen by the men of Section IIIb</w:t>
      </w:r>
      <w:r w:rsidR="00351F04">
        <w:t>,</w:t>
      </w:r>
      <w:r>
        <w:t xml:space="preserve"> who decided to annex it as a tool of propaganda</w:t>
      </w:r>
      <w:r w:rsidR="00E10168" w:rsidRPr="00E10168">
        <w:t xml:space="preserve"> </w:t>
      </w:r>
      <w:r w:rsidR="00E10168">
        <w:t>in April 1915</w:t>
      </w:r>
      <w:r>
        <w:t>. Section IIIb was under the authority of the General Staff of the Field Army (</w:t>
      </w:r>
      <w:r w:rsidRPr="0070413B">
        <w:rPr>
          <w:i/>
          <w:iCs/>
        </w:rPr>
        <w:t>Oberste Heeresleitung</w:t>
      </w:r>
      <w:r>
        <w:t xml:space="preserve">, or OHL) and had </w:t>
      </w:r>
      <w:r w:rsidR="00351F04">
        <w:t>the</w:t>
      </w:r>
      <w:r>
        <w:t xml:space="preserve"> financial means and manpower to turn the </w:t>
      </w:r>
      <w:r>
        <w:rPr>
          <w:i/>
          <w:iCs/>
        </w:rPr>
        <w:t>Gazette des Ardennes</w:t>
      </w:r>
      <w:r>
        <w:t xml:space="preserve"> into a professional newspaper.</w:t>
      </w:r>
      <w:r>
        <w:rPr>
          <w:rStyle w:val="FootnoteReference"/>
        </w:rPr>
        <w:footnoteReference w:id="146"/>
      </w:r>
      <w:r>
        <w:t xml:space="preserve"> The director of the paper was a cavalry captain named Fritz Schnitzer</w:t>
      </w:r>
      <w:r w:rsidR="00351F04">
        <w:t>,</w:t>
      </w:r>
      <w:r>
        <w:t xml:space="preserve"> who</w:t>
      </w:r>
      <w:r w:rsidR="00E10168">
        <w:t xml:space="preserve"> was given two subordinates, a significant </w:t>
      </w:r>
      <w:r>
        <w:t xml:space="preserve">budget of 15,000 Marks, and a printing room in Charleville. In the first months, the editorial team </w:t>
      </w:r>
      <w:r w:rsidR="00E10168">
        <w:t>consisted</w:t>
      </w:r>
      <w:r>
        <w:t xml:space="preserve"> of two non-commissioned officers named Gaspari and Teschemacher</w:t>
      </w:r>
      <w:r w:rsidR="00CA5B30">
        <w:t>, who</w:t>
      </w:r>
      <w:r>
        <w:t xml:space="preserve"> encountered basic problems with the French language. The Germans tried to recruit French civilians</w:t>
      </w:r>
      <w:r w:rsidR="00CA5B30">
        <w:t xml:space="preserve"> </w:t>
      </w:r>
      <w:r>
        <w:t>to collaborate with the newspaper</w:t>
      </w:r>
      <w:r w:rsidR="00CA5B30">
        <w:t>, using posters and personal invitations,</w:t>
      </w:r>
      <w:r>
        <w:t xml:space="preserve"> but failed to hire more than a few individuals.</w:t>
      </w:r>
      <w:r>
        <w:rPr>
          <w:rStyle w:val="FootnoteReference"/>
        </w:rPr>
        <w:footnoteReference w:id="147"/>
      </w:r>
      <w:r>
        <w:t xml:space="preserve"> </w:t>
      </w:r>
    </w:p>
    <w:p w14:paraId="687331A8" w14:textId="75E3D8DA" w:rsidR="0048510E" w:rsidRDefault="0048510E" w:rsidP="00CA5B30">
      <w:pPr>
        <w:jc w:val="both"/>
      </w:pPr>
      <w:r>
        <w:t xml:space="preserve">However, the recruitment of an Alsatian journalist named René Prévot </w:t>
      </w:r>
      <w:r w:rsidR="00CA5B30">
        <w:t xml:space="preserve">in January 1915 </w:t>
      </w:r>
      <w:r>
        <w:t xml:space="preserve">changed everything. Sent by Section IIIb, the man brought to the </w:t>
      </w:r>
      <w:r>
        <w:rPr>
          <w:i/>
          <w:iCs/>
        </w:rPr>
        <w:t>Gazette</w:t>
      </w:r>
      <w:r>
        <w:t xml:space="preserve"> his pre-war experience acquired as a correspondent in Paris. Both sides promptly recognised that Prévot was a talented writer who was instrumental in transforming the </w:t>
      </w:r>
      <w:r>
        <w:rPr>
          <w:i/>
          <w:iCs/>
        </w:rPr>
        <w:t>Gazette des Ardennes</w:t>
      </w:r>
      <w:r>
        <w:t xml:space="preserve"> into a powerful tool of propaganda.</w:t>
      </w:r>
      <w:r>
        <w:rPr>
          <w:rStyle w:val="FootnoteReference"/>
        </w:rPr>
        <w:footnoteReference w:id="148"/>
      </w:r>
      <w:r>
        <w:t xml:space="preserve"> Indeed, his drastic changes </w:t>
      </w:r>
      <w:r w:rsidR="00CA5B30">
        <w:t>in</w:t>
      </w:r>
      <w:r>
        <w:t xml:space="preserve"> the content </w:t>
      </w:r>
      <w:r w:rsidR="00CA5B30">
        <w:t xml:space="preserve">of the papers, </w:t>
      </w:r>
      <w:r>
        <w:t xml:space="preserve">and the introduction of lists of French soldiers captured at the front made the newspaper much more appealing. This move attracted </w:t>
      </w:r>
      <w:r w:rsidR="00E10168">
        <w:t>a significant</w:t>
      </w:r>
      <w:r>
        <w:t xml:space="preserve"> readership composed of families, often without news of their relatives fighting for the French </w:t>
      </w:r>
      <w:r w:rsidR="00752C51">
        <w:t>a</w:t>
      </w:r>
      <w:r>
        <w:t xml:space="preserve">rmy, located both in the invaded territories and in free France. German authorities expressed their satisfaction </w:t>
      </w:r>
      <w:r w:rsidR="00CA5B30">
        <w:t>at the increasing figures in</w:t>
      </w:r>
      <w:r>
        <w:t xml:space="preserve"> the newspaper’s readership</w:t>
      </w:r>
      <w:r w:rsidR="00E10168">
        <w:t xml:space="preserve"> on numerous occasions</w:t>
      </w:r>
      <w:r>
        <w:t>.</w:t>
      </w:r>
      <w:r>
        <w:rPr>
          <w:rStyle w:val="FootnoteReference"/>
        </w:rPr>
        <w:footnoteReference w:id="149"/>
      </w:r>
      <w:r>
        <w:t xml:space="preserve"> In his comparative study of the German press during three occupations, Andreas Laska demonstrated that one </w:t>
      </w:r>
      <w:r w:rsidR="00CA5B30">
        <w:t>in</w:t>
      </w:r>
      <w:r>
        <w:t xml:space="preserve"> eight people bought the </w:t>
      </w:r>
      <w:r>
        <w:rPr>
          <w:i/>
          <w:iCs/>
        </w:rPr>
        <w:t>Gazette des Ardennes</w:t>
      </w:r>
      <w:r>
        <w:t xml:space="preserve"> in the town of Douai. The figure was </w:t>
      </w:r>
      <w:r w:rsidR="00CA5B30">
        <w:t>significant</w:t>
      </w:r>
      <w:r>
        <w:t>, considering that newspapers were shared among families and friends. This success was easily understandable in light of the isolation endured by the population.</w:t>
      </w:r>
      <w:r>
        <w:rPr>
          <w:rStyle w:val="FootnoteReference"/>
        </w:rPr>
        <w:footnoteReference w:id="150"/>
      </w:r>
      <w:r>
        <w:t xml:space="preserve"> In fact, the newspaper was one of the rare propaganda initiatives of the Kaiser’s army to be positively </w:t>
      </w:r>
      <w:r w:rsidR="00CA5B30">
        <w:t xml:space="preserve">judged </w:t>
      </w:r>
      <w:r>
        <w:t>by the Germans themselves after the war. Even General Erich Ludendorff expressed his satisfaction with the paper.</w:t>
      </w:r>
      <w:r>
        <w:rPr>
          <w:rStyle w:val="FootnoteReference"/>
        </w:rPr>
        <w:footnoteReference w:id="151"/>
      </w:r>
      <w:r>
        <w:t xml:space="preserve">  </w:t>
      </w:r>
    </w:p>
    <w:p w14:paraId="2644E661" w14:textId="5A9ECD5F" w:rsidR="0048510E" w:rsidRDefault="0048510E" w:rsidP="00CA5B30">
      <w:pPr>
        <w:jc w:val="both"/>
      </w:pPr>
      <w:r>
        <w:t xml:space="preserve">In Belgium, the Germans also made use of the press to communicate with the population. The challenges were high; the occupier had not only to justify </w:t>
      </w:r>
      <w:r w:rsidR="00CA5B30">
        <w:t>its</w:t>
      </w:r>
      <w:r>
        <w:t xml:space="preserve"> decision to invade the country, despite international treaties protecting its neutrality, but also to regain respectability after the brutal crimes committed by the German army in the first months of the invasion.</w:t>
      </w:r>
      <w:r>
        <w:rPr>
          <w:rStyle w:val="FootnoteReference"/>
        </w:rPr>
        <w:footnoteReference w:id="152"/>
      </w:r>
      <w:r>
        <w:t xml:space="preserve"> An Imperial German General Governorate of Belgium (or </w:t>
      </w:r>
      <w:r w:rsidRPr="0070413B">
        <w:rPr>
          <w:i/>
          <w:iCs/>
        </w:rPr>
        <w:t>Kaiserliches Deutsches Generalgouvernment Belgien</w:t>
      </w:r>
      <w:r>
        <w:t>) was established on 26 August 1914 by Imperial Cabinet Order. General Colmar von der Goltz was appointed military governor but was replaced on 27 November 1914 by General Moritz von Bissing.</w:t>
      </w:r>
      <w:r>
        <w:rPr>
          <w:rStyle w:val="FootnoteReference"/>
        </w:rPr>
        <w:footnoteReference w:id="153"/>
      </w:r>
      <w:r>
        <w:t xml:space="preserve"> In December 1914, the authorities of occupation created a </w:t>
      </w:r>
      <w:r w:rsidRPr="0070413B">
        <w:rPr>
          <w:i/>
          <w:iCs/>
        </w:rPr>
        <w:t>Politische Abteilung</w:t>
      </w:r>
      <w:r>
        <w:t xml:space="preserve"> to face the prolongation of war, coordinate a strategy of communication</w:t>
      </w:r>
      <w:r w:rsidR="00CA5B30">
        <w:t>,</w:t>
      </w:r>
      <w:r>
        <w:t xml:space="preserve"> and deal with the disappearance of the pre-war press. The creation of pro-German newspapers was central to the strategy of communication</w:t>
      </w:r>
      <w:r w:rsidR="00CA5B30">
        <w:t>,</w:t>
      </w:r>
      <w:r>
        <w:t xml:space="preserve"> but proved harder to set up than anticipated. Like in France, the occupier tried to convince pre-war </w:t>
      </w:r>
      <w:r w:rsidR="00660480">
        <w:t>newspaper</w:t>
      </w:r>
      <w:r>
        <w:t xml:space="preserve"> owners to resume their activities under German supervision</w:t>
      </w:r>
      <w:r w:rsidR="00CA5B30" w:rsidRPr="00CA5B30">
        <w:t xml:space="preserve"> </w:t>
      </w:r>
      <w:r w:rsidR="00CA5B30">
        <w:t>without success</w:t>
      </w:r>
      <w:r>
        <w:t xml:space="preserve">. Left with few other choices, </w:t>
      </w:r>
      <w:r>
        <w:rPr>
          <w:i/>
          <w:iCs/>
        </w:rPr>
        <w:t>Kommandanturen</w:t>
      </w:r>
      <w:r>
        <w:t xml:space="preserve"> coerced these owners into working for them with the help of Belgian collaborators. A total of 46 </w:t>
      </w:r>
      <w:r w:rsidR="00660480">
        <w:t>newspapers</w:t>
      </w:r>
      <w:r>
        <w:t>, of which 29 were in French, were created using this method.</w:t>
      </w:r>
      <w:r>
        <w:rPr>
          <w:rStyle w:val="FootnoteReference"/>
        </w:rPr>
        <w:footnoteReference w:id="154"/>
      </w:r>
      <w:r>
        <w:t xml:space="preserve"> These newspapers were written for specific audiences or regions</w:t>
      </w:r>
      <w:r w:rsidR="00B82D3C">
        <w:t xml:space="preserve"> but were all supervised by the General Governorate of Belgium</w:t>
      </w:r>
      <w:r>
        <w:t>.</w:t>
      </w:r>
      <w:r>
        <w:rPr>
          <w:rStyle w:val="FootnoteReference"/>
        </w:rPr>
        <w:footnoteReference w:id="155"/>
      </w:r>
      <w:r>
        <w:t xml:space="preserve"> Publications written in Belgium, such as </w:t>
      </w:r>
      <w:r>
        <w:rPr>
          <w:i/>
          <w:iCs/>
        </w:rPr>
        <w:t>La Belgique</w:t>
      </w:r>
      <w:r>
        <w:t xml:space="preserve">, had a pro-German tone but were considered as more independent than their French counterpart. As a result they were also successful in the occupied </w:t>
      </w:r>
      <w:r>
        <w:rPr>
          <w:i/>
          <w:iCs/>
        </w:rPr>
        <w:t>départements</w:t>
      </w:r>
      <w:r>
        <w:t xml:space="preserve"> of France.</w:t>
      </w:r>
      <w:r>
        <w:rPr>
          <w:rStyle w:val="FootnoteReference"/>
        </w:rPr>
        <w:footnoteReference w:id="156"/>
      </w:r>
      <w:r>
        <w:t xml:space="preserve"> </w:t>
      </w:r>
    </w:p>
    <w:p w14:paraId="3C46E3BE" w14:textId="19399A5E" w:rsidR="0048510E" w:rsidRDefault="0048510E" w:rsidP="00AD35FA">
      <w:pPr>
        <w:jc w:val="both"/>
      </w:pPr>
      <w:r>
        <w:t>Despite the lack of coherence and organisation, German newspapers shared similar topics in occupied France and Belgium. The theme of military success was fundamental and will b</w:t>
      </w:r>
      <w:r w:rsidR="004F165F">
        <w:t xml:space="preserve">e explored in depth in chapter </w:t>
      </w:r>
      <w:r w:rsidR="00AD35FA">
        <w:t>five</w:t>
      </w:r>
      <w:r>
        <w:t xml:space="preserve">. One other important task for German propaganda was to convince populations of the counterproductive nature of a Franco-British alliance. As Matthew Stibbe showed in his study </w:t>
      </w:r>
      <w:r>
        <w:rPr>
          <w:i/>
          <w:iCs/>
        </w:rPr>
        <w:t>German Anglophobia and the Great War</w:t>
      </w:r>
      <w:r>
        <w:t xml:space="preserve">, a wind of Anglophobia had spread through Germany during the first weeks of the war. The </w:t>
      </w:r>
      <w:r w:rsidR="00913FF1">
        <w:t>h</w:t>
      </w:r>
      <w:r>
        <w:t xml:space="preserve">ome </w:t>
      </w:r>
      <w:r w:rsidR="00913FF1">
        <w:t>f</w:t>
      </w:r>
      <w:r>
        <w:t>ront was quickly led to believe that Great Britain was much more dangerous than Russia and France.</w:t>
      </w:r>
      <w:r>
        <w:rPr>
          <w:rStyle w:val="FootnoteReference"/>
        </w:rPr>
        <w:footnoteReference w:id="157"/>
      </w:r>
      <w:r>
        <w:t xml:space="preserve"> German propagandists and their collaborators tried to echo this Anglophobia in the occupied press by drawing an aggressive picture of Britain. This editorial decision was not illogical; it was easier to antagonise a population against a foreign power rather than</w:t>
      </w:r>
      <w:r w:rsidR="00C95759">
        <w:t xml:space="preserve"> against its own government. Moreover, </w:t>
      </w:r>
      <w:r>
        <w:t>the long animosity between France and Britain was easy to manipulate. Cases of abuse during the Boer war, as well as th</w:t>
      </w:r>
      <w:r w:rsidR="00913FF1">
        <w:t>e fate of Jeanne d’Arc or Napole</w:t>
      </w:r>
      <w:r>
        <w:t>on, served as examples of British atrocities counterbalancing similar stories</w:t>
      </w:r>
      <w:r w:rsidR="00CA5B30">
        <w:t xml:space="preserve"> held</w:t>
      </w:r>
      <w:r>
        <w:t xml:space="preserve"> against the Germans during the 1914 invasion.</w:t>
      </w:r>
      <w:r>
        <w:rPr>
          <w:rStyle w:val="FootnoteReference"/>
        </w:rPr>
        <w:footnoteReference w:id="158"/>
      </w:r>
      <w:r>
        <w:t xml:space="preserve"> Chapter six will explore in depth the atrocity stories use</w:t>
      </w:r>
      <w:r w:rsidR="003918F7">
        <w:t>d both by the Germans and the al</w:t>
      </w:r>
      <w:r>
        <w:t>lies to win over occupied civilians.</w:t>
      </w:r>
    </w:p>
    <w:p w14:paraId="069BB4F6" w14:textId="11E1AA88" w:rsidR="0048510E" w:rsidRDefault="0048510E" w:rsidP="00CA5B30">
      <w:pPr>
        <w:jc w:val="both"/>
      </w:pPr>
      <w:r>
        <w:t>In Belgium, the campaign of propaganda included the arguments mentioned above</w:t>
      </w:r>
      <w:r w:rsidR="00CA5B30">
        <w:t>,</w:t>
      </w:r>
      <w:r>
        <w:t xml:space="preserve"> but was also tailored to fit German war aims. As early as August 1914, ambitious projects had been conceived in Berlin to reshape the country’s future. If the </w:t>
      </w:r>
      <w:r w:rsidR="00E10168">
        <w:t>significant</w:t>
      </w:r>
      <w:r>
        <w:t xml:space="preserve"> proportion of Catholics among the population made an annexation impossible, other forms of control such as the favoured idea of a satellite state were imagined.</w:t>
      </w:r>
      <w:r>
        <w:rPr>
          <w:rStyle w:val="FootnoteReference"/>
        </w:rPr>
        <w:footnoteReference w:id="159"/>
      </w:r>
      <w:r>
        <w:t xml:space="preserve"> The German-controlled press tried at first to describe the pre-war Belgian government as a puppet state manipulated by the French. However, this strategy was received with general scepticism </w:t>
      </w:r>
      <w:r w:rsidR="00CA5B30">
        <w:t>on the part of</w:t>
      </w:r>
      <w:r>
        <w:t xml:space="preserve"> the population.</w:t>
      </w:r>
      <w:r>
        <w:rPr>
          <w:rStyle w:val="FootnoteReference"/>
        </w:rPr>
        <w:footnoteReference w:id="160"/>
      </w:r>
      <w:r>
        <w:t xml:space="preserve"> A change occurred in 1916 </w:t>
      </w:r>
      <w:r w:rsidR="00752C51">
        <w:t>when the German used the</w:t>
      </w:r>
      <w:r>
        <w:t xml:space="preserve"> </w:t>
      </w:r>
      <w:r>
        <w:rPr>
          <w:i/>
          <w:iCs/>
        </w:rPr>
        <w:t>Flamenpolitik</w:t>
      </w:r>
      <w:r>
        <w:t xml:space="preserve"> in the north and</w:t>
      </w:r>
      <w:r w:rsidR="00752C51">
        <w:t xml:space="preserve"> the</w:t>
      </w:r>
      <w:r>
        <w:t xml:space="preserve"> </w:t>
      </w:r>
      <w:r>
        <w:rPr>
          <w:i/>
          <w:iCs/>
        </w:rPr>
        <w:t xml:space="preserve">Wallonenpolitik </w:t>
      </w:r>
      <w:r>
        <w:t>in the south. The Flemish community received a Flemish-speaking university in Ghent and an activist parliament named the Council of Flanders – an attempt to use pre-war linguistic problems highlighted in the introduction. This institution triggered indignation at home and abroad</w:t>
      </w:r>
      <w:r w:rsidR="00CA5B30">
        <w:t>,</w:t>
      </w:r>
      <w:r>
        <w:t xml:space="preserve"> but was partly successful and was responsible for </w:t>
      </w:r>
      <w:r w:rsidR="00CA5B30">
        <w:t xml:space="preserve">much </w:t>
      </w:r>
      <w:r>
        <w:t>post-war division.</w:t>
      </w:r>
      <w:r>
        <w:rPr>
          <w:rStyle w:val="FootnoteReference"/>
        </w:rPr>
        <w:footnoteReference w:id="161"/>
      </w:r>
      <w:r>
        <w:t xml:space="preserve"> The separation became a major topic </w:t>
      </w:r>
      <w:r w:rsidR="00CA5B30">
        <w:t>within</w:t>
      </w:r>
      <w:r>
        <w:t xml:space="preserve"> propaganda and was c</w:t>
      </w:r>
      <w:r w:rsidR="00CA5B30">
        <w:t>ontinuously developed by German-</w:t>
      </w:r>
      <w:r>
        <w:t xml:space="preserve">financed newspapers such as </w:t>
      </w:r>
      <w:r>
        <w:rPr>
          <w:i/>
          <w:iCs/>
        </w:rPr>
        <w:t>De Vlaamsche Stem</w:t>
      </w:r>
      <w:r>
        <w:t>.</w:t>
      </w:r>
      <w:r>
        <w:rPr>
          <w:rStyle w:val="FootnoteReference"/>
        </w:rPr>
        <w:footnoteReference w:id="162"/>
      </w:r>
      <w:r>
        <w:t xml:space="preserve"> Activism was also encouraged in the south through pro-Walloon </w:t>
      </w:r>
      <w:r w:rsidR="00660480">
        <w:t>newspapers</w:t>
      </w:r>
      <w:r>
        <w:t xml:space="preserve"> of different tendencies</w:t>
      </w:r>
      <w:r w:rsidR="00CA5B30">
        <w:t>,</w:t>
      </w:r>
      <w:r>
        <w:t xml:space="preserve"> but failed to trigger enthusiasm.</w:t>
      </w:r>
      <w:r>
        <w:rPr>
          <w:rStyle w:val="FootnoteReference"/>
        </w:rPr>
        <w:footnoteReference w:id="163"/>
      </w:r>
      <w:r>
        <w:t xml:space="preserve">  </w:t>
      </w:r>
    </w:p>
    <w:p w14:paraId="1E79F90B" w14:textId="7BAFA8C3" w:rsidR="0048510E" w:rsidRDefault="002068A7" w:rsidP="0048510E">
      <w:pPr>
        <w:pStyle w:val="Heading2"/>
      </w:pPr>
      <w:bookmarkStart w:id="13" w:name="_Toc402192948"/>
      <w:r>
        <w:t>Reasons behind a campaign of a</w:t>
      </w:r>
      <w:r w:rsidR="0048510E">
        <w:t>llied propaganda aimed at the occupied territories</w:t>
      </w:r>
      <w:bookmarkEnd w:id="13"/>
    </w:p>
    <w:p w14:paraId="4853CCE6" w14:textId="3CE4A42E" w:rsidR="0048510E" w:rsidRDefault="00C0521A" w:rsidP="00C0521A">
      <w:pPr>
        <w:jc w:val="both"/>
      </w:pPr>
      <w:r>
        <w:t>The first p</w:t>
      </w:r>
      <w:r w:rsidR="0048510E">
        <w:t>amphlets were sent by aviators only a few days after the beginning of the conflict</w:t>
      </w:r>
      <w:r>
        <w:t>,</w:t>
      </w:r>
      <w:r w:rsidR="0048510E">
        <w:t xml:space="preserve"> but were usually personal initiatives rather than coordinated actions decided at the highest level of the army. For example, papers taunting enemy soldiers were </w:t>
      </w:r>
      <w:r>
        <w:t>dropped</w:t>
      </w:r>
      <w:r w:rsidR="0048510E">
        <w:t xml:space="preserve"> by German aviators during the battle of Grand-Couronné in September 1914. These leaflets were nothing more than examples of personal bravado by young officers to amuse and impress their peers.</w:t>
      </w:r>
      <w:r w:rsidR="0048510E">
        <w:rPr>
          <w:rStyle w:val="FootnoteReference"/>
        </w:rPr>
        <w:footnoteReference w:id="164"/>
      </w:r>
      <w:r w:rsidR="0048510E">
        <w:t xml:space="preserve"> On rare occasions, more coherent initiatives were decided at army level to give instructions and warnings to civilian populations. Indeed, leaflets were printed after the first battle of Ypres in November 1914 by the British for the inhabitants of Flanders in which </w:t>
      </w:r>
      <w:r w:rsidR="00E10168">
        <w:t>advice was</w:t>
      </w:r>
      <w:r w:rsidR="0048510E">
        <w:t xml:space="preserve"> given alongside claims that liberation was near.</w:t>
      </w:r>
      <w:r w:rsidR="0048510E">
        <w:rPr>
          <w:rStyle w:val="FootnoteReference"/>
        </w:rPr>
        <w:footnoteReference w:id="165"/>
      </w:r>
      <w:r w:rsidR="0048510E">
        <w:t xml:space="preserve">  These manifestations of optimism, of which little is known, disappeared rapidly after the start of trench war</w:t>
      </w:r>
      <w:r>
        <w:t>fare</w:t>
      </w:r>
      <w:r w:rsidR="0048510E">
        <w:t xml:space="preserve">. </w:t>
      </w:r>
    </w:p>
    <w:p w14:paraId="51E86C58" w14:textId="3D672540" w:rsidR="0048510E" w:rsidRDefault="0048510E" w:rsidP="00C0521A">
      <w:pPr>
        <w:jc w:val="both"/>
      </w:pPr>
      <w:r>
        <w:t xml:space="preserve">It took months for politicians and high-ranking officers of the </w:t>
      </w:r>
      <w:r w:rsidR="002068A7">
        <w:t>a</w:t>
      </w:r>
      <w:r>
        <w:t xml:space="preserve">llied armies to come up with a viable answer to the problem </w:t>
      </w:r>
      <w:r w:rsidR="00C0521A">
        <w:t>posed by</w:t>
      </w:r>
      <w:r>
        <w:t xml:space="preserve"> German propaganda in the invaded regions. Belgium, Britain and France, were all democratic countries legitimised by public support and relying on the principle of mass participation, both </w:t>
      </w:r>
      <w:r w:rsidR="00C0521A">
        <w:t>of which were enhanced for the allied leaders</w:t>
      </w:r>
      <w:r>
        <w:t xml:space="preserve"> during the war through propaganda.</w:t>
      </w:r>
      <w:r>
        <w:rPr>
          <w:rStyle w:val="FootnoteReference"/>
        </w:rPr>
        <w:footnoteReference w:id="166"/>
      </w:r>
      <w:r>
        <w:t xml:space="preserve"> The contradiction of democratic states using propaganda was minimised by Jacques Ellul who reminded us that the two were closely linked together.</w:t>
      </w:r>
      <w:r>
        <w:rPr>
          <w:rStyle w:val="FootnoteReference"/>
        </w:rPr>
        <w:footnoteReference w:id="167"/>
      </w:r>
      <w:r>
        <w:t xml:space="preserve"> Yet Germany’s manoeuvres to separate occupied Belgians and French from official </w:t>
      </w:r>
      <w:r w:rsidR="002068A7">
        <w:t>a</w:t>
      </w:r>
      <w:r>
        <w:t xml:space="preserve">llied narratives was threatening not only the war effort, by recruiting a large civilian workforce serving the economy of the Reich, but </w:t>
      </w:r>
      <w:r w:rsidR="00E10168">
        <w:t xml:space="preserve">potentially </w:t>
      </w:r>
      <w:r>
        <w:t xml:space="preserve">also the stability of these states – especially in the post-war world. After all, the </w:t>
      </w:r>
      <w:r w:rsidRPr="00D621D6">
        <w:rPr>
          <w:i/>
          <w:iCs/>
        </w:rPr>
        <w:t>germanisation</w:t>
      </w:r>
      <w:r>
        <w:t xml:space="preserve"> of Alsace and Lorraine was a</w:t>
      </w:r>
      <w:r w:rsidR="00C0521A">
        <w:t xml:space="preserve"> </w:t>
      </w:r>
      <w:r>
        <w:t xml:space="preserve">reminder of what </w:t>
      </w:r>
      <w:r w:rsidR="00E541A8">
        <w:t>the Germans had done</w:t>
      </w:r>
      <w:r>
        <w:t xml:space="preserve"> in the past.</w:t>
      </w:r>
      <w:r>
        <w:rPr>
          <w:rStyle w:val="FootnoteReference"/>
        </w:rPr>
        <w:footnoteReference w:id="168"/>
      </w:r>
      <w:r>
        <w:t xml:space="preserve"> </w:t>
      </w:r>
    </w:p>
    <w:p w14:paraId="5C914F2C" w14:textId="74367DD1" w:rsidR="0048510E" w:rsidRDefault="0048510E" w:rsidP="00C0521A">
      <w:pPr>
        <w:jc w:val="both"/>
      </w:pPr>
      <w:r>
        <w:t xml:space="preserve">From 1915, </w:t>
      </w:r>
      <w:r w:rsidR="00C0521A">
        <w:t>the French voiced their concern</w:t>
      </w:r>
      <w:r>
        <w:t xml:space="preserve"> </w:t>
      </w:r>
      <w:r w:rsidR="00C0521A">
        <w:t>over</w:t>
      </w:r>
      <w:r>
        <w:t xml:space="preserve"> the existence of a press following the orders of the German army. The media unanimously condemned the campaign of propaganda in colourful terms</w:t>
      </w:r>
      <w:r w:rsidR="00C0521A">
        <w:t xml:space="preserve">, and published inflamed texts </w:t>
      </w:r>
      <w:r>
        <w:t>about the matter</w:t>
      </w:r>
      <w:r w:rsidR="00C0521A">
        <w:t>,</w:t>
      </w:r>
      <w:r w:rsidR="00C0521A" w:rsidRPr="00C0521A">
        <w:t xml:space="preserve"> </w:t>
      </w:r>
      <w:r w:rsidR="00C0521A">
        <w:t xml:space="preserve">such as the below reproduction of an article by Jules Breton in the catholic newspaper </w:t>
      </w:r>
      <w:r w:rsidR="00C0521A">
        <w:rPr>
          <w:i/>
          <w:iCs/>
        </w:rPr>
        <w:t>La Croix</w:t>
      </w:r>
      <w:r>
        <w:t>:</w:t>
      </w:r>
    </w:p>
    <w:p w14:paraId="4D9737B4" w14:textId="77777777" w:rsidR="0048510E" w:rsidRDefault="0048510E" w:rsidP="0048510E">
      <w:pPr>
        <w:ind w:left="567" w:right="567"/>
        <w:jc w:val="both"/>
        <w:rPr>
          <w:lang w:val="fr-FR"/>
        </w:rPr>
      </w:pPr>
      <w:r w:rsidRPr="00631F57">
        <w:rPr>
          <w:lang w:val="fr-FR"/>
        </w:rPr>
        <w:t>[…]</w:t>
      </w:r>
      <w:r>
        <w:rPr>
          <w:lang w:val="fr-FR"/>
        </w:rPr>
        <w:t xml:space="preserve"> C’est dans ce but [to demoralise and divide] que le gouvernement allemand répand dans les départements français envahis la </w:t>
      </w:r>
      <w:r>
        <w:rPr>
          <w:i/>
          <w:iCs/>
          <w:lang w:val="fr-FR"/>
        </w:rPr>
        <w:t xml:space="preserve">Guerre sociale </w:t>
      </w:r>
      <w:r>
        <w:rPr>
          <w:lang w:val="fr-FR"/>
        </w:rPr>
        <w:t xml:space="preserve">de Gustave Hervé; c’est dans ce but aussi qu’il dirige et soudoie des journaux à sa dévotion: en France, c’est surtout la </w:t>
      </w:r>
      <w:r>
        <w:rPr>
          <w:i/>
          <w:iCs/>
          <w:lang w:val="fr-FR"/>
        </w:rPr>
        <w:t>Gazette des Ardennes</w:t>
      </w:r>
      <w:r>
        <w:rPr>
          <w:lang w:val="fr-FR"/>
        </w:rPr>
        <w:t xml:space="preserve">, qui tire, assure-t-on, à 90.000 exemplaires, et dont la rédaction sournoise et servile s’acharne à propager l’antimilitarisme et le pacifisme. En Belgique, on cherche à s’appuyer sur le mouvement flamingant et à semer la haine entre Flamands et Wallons; pour y réussir, l’administration allemande utilise surtout la </w:t>
      </w:r>
      <w:r>
        <w:rPr>
          <w:i/>
          <w:iCs/>
          <w:lang w:val="fr-FR"/>
        </w:rPr>
        <w:t xml:space="preserve">Vlaamsche Post </w:t>
      </w:r>
      <w:r>
        <w:rPr>
          <w:lang w:val="fr-FR"/>
        </w:rPr>
        <w:t xml:space="preserve">de Gand et, depuis ces derniers mois, la </w:t>
      </w:r>
      <w:r>
        <w:rPr>
          <w:i/>
          <w:iCs/>
          <w:lang w:val="fr-FR"/>
        </w:rPr>
        <w:t xml:space="preserve">Vlaamsche Stem, </w:t>
      </w:r>
      <w:r>
        <w:rPr>
          <w:lang w:val="fr-FR"/>
        </w:rPr>
        <w:t>qu’elle a réussi à acheter.</w:t>
      </w:r>
      <w:r>
        <w:rPr>
          <w:rStyle w:val="FootnoteReference"/>
          <w:lang w:val="fr-FR"/>
        </w:rPr>
        <w:footnoteReference w:id="169"/>
      </w:r>
    </w:p>
    <w:p w14:paraId="3D40E3BC" w14:textId="67754842" w:rsidR="0048510E" w:rsidRDefault="0048510E" w:rsidP="00C0521A">
      <w:pPr>
        <w:jc w:val="both"/>
      </w:pPr>
      <w:r>
        <w:t xml:space="preserve">The concerns </w:t>
      </w:r>
      <w:r w:rsidR="00C0521A">
        <w:t>over</w:t>
      </w:r>
      <w:r>
        <w:t xml:space="preserve"> the campaign against French morale also mobilised prominent figures of the political world such as Edouard Herriot and Maurice Barrès.</w:t>
      </w:r>
      <w:r>
        <w:rPr>
          <w:rStyle w:val="FootnoteReference"/>
        </w:rPr>
        <w:footnoteReference w:id="170"/>
      </w:r>
      <w:r>
        <w:t xml:space="preserve"> The fact that </w:t>
      </w:r>
      <w:r>
        <w:rPr>
          <w:i/>
          <w:iCs/>
        </w:rPr>
        <w:t>La Gazette des Ardennes</w:t>
      </w:r>
      <w:r>
        <w:t xml:space="preserve"> arrived in neutral countries and was even distributed in the free parts of France, where all Parisian newspapers had regular access to it, reinforced the determination of French politicians</w:t>
      </w:r>
      <w:r w:rsidR="00C0521A">
        <w:t xml:space="preserve"> to counteract German propaganda.</w:t>
      </w:r>
      <w:r>
        <w:t xml:space="preserve"> </w:t>
      </w:r>
      <w:r w:rsidR="00C0521A">
        <w:t>They</w:t>
      </w:r>
      <w:r>
        <w:t xml:space="preserve"> suspected a well-coordinated strategy to suffocate the country with </w:t>
      </w:r>
      <w:r w:rsidR="00C0521A">
        <w:t xml:space="preserve">this </w:t>
      </w:r>
      <w:r>
        <w:t>demoralising German propaganda in French.</w:t>
      </w:r>
      <w:r>
        <w:rPr>
          <w:rStyle w:val="FootnoteReference"/>
        </w:rPr>
        <w:footnoteReference w:id="171"/>
      </w:r>
      <w:r>
        <w:t xml:space="preserve"> </w:t>
      </w:r>
      <w:r w:rsidR="00C0521A">
        <w:t>This</w:t>
      </w:r>
      <w:r>
        <w:t xml:space="preserve"> app</w:t>
      </w:r>
      <w:r w:rsidR="00C0521A">
        <w:t>rehension</w:t>
      </w:r>
      <w:r>
        <w:t xml:space="preserve"> rose to a peak when the scandal of </w:t>
      </w:r>
      <w:r>
        <w:rPr>
          <w:i/>
          <w:iCs/>
        </w:rPr>
        <w:t>Le Bonnet Rouge</w:t>
      </w:r>
      <w:r>
        <w:t xml:space="preserve"> was revealed by an investigation led by </w:t>
      </w:r>
      <w:r>
        <w:rPr>
          <w:iCs/>
        </w:rPr>
        <w:t xml:space="preserve">the </w:t>
      </w:r>
      <w:r>
        <w:rPr>
          <w:i/>
          <w:iCs/>
        </w:rPr>
        <w:t>É</w:t>
      </w:r>
      <w:r w:rsidRPr="00411142">
        <w:rPr>
          <w:i/>
          <w:iCs/>
        </w:rPr>
        <w:t>tat-Major de l’Armée</w:t>
      </w:r>
      <w:r>
        <w:rPr>
          <w:i/>
          <w:iCs/>
        </w:rPr>
        <w:t xml:space="preserve"> </w:t>
      </w:r>
      <w:r>
        <w:t>(</w:t>
      </w:r>
      <w:r>
        <w:rPr>
          <w:iCs/>
        </w:rPr>
        <w:t xml:space="preserve">EMA). The anarchist newspaper was controversially accused of collaboration with </w:t>
      </w:r>
      <w:r>
        <w:rPr>
          <w:i/>
        </w:rPr>
        <w:t>La Gazette des Ardennes</w:t>
      </w:r>
      <w:r>
        <w:rPr>
          <w:iCs/>
        </w:rPr>
        <w:t xml:space="preserve">; the administrator Emile-Joseph Duval was executed in 1918 for ‘intelligence with the enemy’, while the editor either committed suicide or was murdered in his cell in 1917. </w:t>
      </w:r>
      <w:r>
        <w:t xml:space="preserve">Financial contributions to </w:t>
      </w:r>
      <w:r>
        <w:rPr>
          <w:i/>
          <w:iCs/>
        </w:rPr>
        <w:t>Le Bonnet Rouge</w:t>
      </w:r>
      <w:r w:rsidR="003757EA">
        <w:t xml:space="preserve"> by the ex-minister of f</w:t>
      </w:r>
      <w:r>
        <w:t xml:space="preserve">inances Joseph Caillaux, reviled by the </w:t>
      </w:r>
      <w:r w:rsidRPr="00122C64">
        <w:rPr>
          <w:i/>
          <w:iCs/>
        </w:rPr>
        <w:t>Action française</w:t>
      </w:r>
      <w:r>
        <w:t>, and the connections of the anarchist newspaper to the ‘Bolo Pacha’ trial consolidated this climate of mistrust against the influence of the media.</w:t>
      </w:r>
      <w:r>
        <w:rPr>
          <w:rStyle w:val="FootnoteReference"/>
        </w:rPr>
        <w:footnoteReference w:id="172"/>
      </w:r>
      <w:r>
        <w:t xml:space="preserve"> In the free territories, the </w:t>
      </w:r>
      <w:r>
        <w:rPr>
          <w:i/>
          <w:iCs/>
        </w:rPr>
        <w:t xml:space="preserve">Gazette des Ardennes </w:t>
      </w:r>
      <w:r w:rsidR="003757EA">
        <w:t xml:space="preserve">was forbidden by the </w:t>
      </w:r>
      <w:r w:rsidR="00E01F72">
        <w:t>w</w:t>
      </w:r>
      <w:r w:rsidR="003757EA">
        <w:t>ar m</w:t>
      </w:r>
      <w:r>
        <w:t>inister on 5 June 1915</w:t>
      </w:r>
      <w:r w:rsidR="00C0521A">
        <w:t>,</w:t>
      </w:r>
      <w:r>
        <w:t xml:space="preserve"> </w:t>
      </w:r>
      <w:r w:rsidR="00C0521A">
        <w:t>although</w:t>
      </w:r>
      <w:r>
        <w:t xml:space="preserve"> this initiative did not prevent it from arriving sporadically by post or by balloon.</w:t>
      </w:r>
      <w:r>
        <w:rPr>
          <w:rStyle w:val="FootnoteReference"/>
        </w:rPr>
        <w:footnoteReference w:id="173"/>
      </w:r>
      <w:r>
        <w:t xml:space="preserve"> It was obvious that the ban was not going to change anything in the occupied territories. In this context, the main reason to start a campaign of propaganda was clearly stated in a note written by the EMA to the </w:t>
      </w:r>
      <w:r w:rsidR="003757EA">
        <w:t>w</w:t>
      </w:r>
      <w:r>
        <w:t xml:space="preserve">ar </w:t>
      </w:r>
      <w:r w:rsidR="003757EA">
        <w:t>m</w:t>
      </w:r>
      <w:r>
        <w:t>inister:</w:t>
      </w:r>
    </w:p>
    <w:p w14:paraId="7D6D79FC" w14:textId="77777777" w:rsidR="0048510E" w:rsidRDefault="0048510E" w:rsidP="0048510E">
      <w:pPr>
        <w:ind w:left="567" w:right="567"/>
        <w:jc w:val="both"/>
        <w:rPr>
          <w:lang w:val="fr-FR"/>
        </w:rPr>
      </w:pPr>
      <w:r w:rsidRPr="0031570C">
        <w:rPr>
          <w:lang w:val="fr-FR"/>
        </w:rPr>
        <w:t xml:space="preserve">D’autre part, le Service de la Propagande Aérienne </w:t>
      </w:r>
      <w:r>
        <w:rPr>
          <w:lang w:val="fr-FR"/>
        </w:rPr>
        <w:t>a été chargé de faire paraître deux bulletins périodiques: l’un rédigé en Français, devait être destiné aux populations françaises des départements envahis et devait s’efforcer de combattre l’influence démoralisante de la Gazette des Ardennes, publiée par les Allemands à Charleville ; - l’autre, rédigé en allemand, devait être destiné aux lignes allemandes ou aux régions allemandes les plus proches de nos lignes.</w:t>
      </w:r>
      <w:r>
        <w:rPr>
          <w:rStyle w:val="FootnoteReference"/>
          <w:lang w:val="fr-FR"/>
        </w:rPr>
        <w:footnoteReference w:id="174"/>
      </w:r>
    </w:p>
    <w:p w14:paraId="6BEDBED1" w14:textId="2C3941CA" w:rsidR="0048510E" w:rsidRDefault="00E01F72" w:rsidP="00C0521A">
      <w:pPr>
        <w:jc w:val="both"/>
      </w:pPr>
      <w:r>
        <w:t xml:space="preserve">This report clearly stated that aerial propaganda was </w:t>
      </w:r>
      <w:r w:rsidR="00C0521A">
        <w:t xml:space="preserve">reaction </w:t>
      </w:r>
      <w:r>
        <w:t>against German psychological warfare</w:t>
      </w:r>
      <w:r w:rsidR="00C0521A">
        <w:t>,</w:t>
      </w:r>
      <w:r>
        <w:t xml:space="preserve"> rather than </w:t>
      </w:r>
      <w:r w:rsidR="00C0521A">
        <w:t xml:space="preserve">one </w:t>
      </w:r>
      <w:r>
        <w:t xml:space="preserve">to the perceived or actual conditions of the civilians living in the occupied territories. </w:t>
      </w:r>
      <w:r w:rsidR="00132AD9">
        <w:t>While</w:t>
      </w:r>
      <w:r>
        <w:t xml:space="preserve"> this reason remained </w:t>
      </w:r>
      <w:r w:rsidR="00C0521A">
        <w:t>significant</w:t>
      </w:r>
      <w:r>
        <w:t xml:space="preserve"> </w:t>
      </w:r>
      <w:r w:rsidR="00132AD9">
        <w:t>throughout</w:t>
      </w:r>
      <w:r>
        <w:t xml:space="preserve"> the war, </w:t>
      </w:r>
      <w:r w:rsidR="009B63FF">
        <w:t xml:space="preserve">aerial propaganda </w:t>
      </w:r>
      <w:r w:rsidR="00132AD9">
        <w:t>was also driven by</w:t>
      </w:r>
      <w:r w:rsidR="009B63FF">
        <w:t xml:space="preserve"> other motives.</w:t>
      </w:r>
      <w:r w:rsidR="0048510E">
        <w:t xml:space="preserve"> The daily experience of living with the enemy, and the inevitable connections created between occupiers and occupied, was another motive. The government was aware that relations</w:t>
      </w:r>
      <w:r w:rsidR="0048510E" w:rsidRPr="00760E3D">
        <w:t xml:space="preserve"> </w:t>
      </w:r>
      <w:r w:rsidR="0048510E">
        <w:t xml:space="preserve">between French and Germans in the occupied territories were changing quickly to </w:t>
      </w:r>
      <w:r w:rsidR="00C0521A">
        <w:t xml:space="preserve">the point of </w:t>
      </w:r>
      <w:r w:rsidR="0048510E">
        <w:t>reach</w:t>
      </w:r>
      <w:r w:rsidR="00C0521A">
        <w:t>ing,</w:t>
      </w:r>
      <w:r w:rsidR="0048510E">
        <w:t xml:space="preserve"> on occasions</w:t>
      </w:r>
      <w:r w:rsidR="00C0521A">
        <w:t>,</w:t>
      </w:r>
      <w:r w:rsidR="0048510E">
        <w:t xml:space="preserve"> a degree of open collaboration.</w:t>
      </w:r>
      <w:r w:rsidR="001C5604">
        <w:rPr>
          <w:rStyle w:val="FootnoteReference"/>
        </w:rPr>
        <w:footnoteReference w:id="175"/>
      </w:r>
      <w:r w:rsidR="0048510E">
        <w:t xml:space="preserve"> As the war went on, many occupied citizens </w:t>
      </w:r>
      <w:r w:rsidR="009B63FF">
        <w:t>worked for the occupier</w:t>
      </w:r>
      <w:r w:rsidR="0048510E">
        <w:t xml:space="preserve"> </w:t>
      </w:r>
      <w:r w:rsidR="009B63FF">
        <w:t>or even slept with</w:t>
      </w:r>
      <w:r w:rsidR="0048510E">
        <w:t xml:space="preserve"> German soldiers.</w:t>
      </w:r>
      <w:r w:rsidR="0048510E">
        <w:rPr>
          <w:rStyle w:val="FootnoteReference"/>
        </w:rPr>
        <w:footnoteReference w:id="176"/>
      </w:r>
      <w:r w:rsidR="0048510E">
        <w:t xml:space="preserve"> Richard Cobb underlined how interactions between Germans and French contrasted sharply between the First World War, where violence happened at the beginning of the occupation, and the Second World War. By 1918, some Bavarians, the Saxons and the </w:t>
      </w:r>
      <w:r w:rsidR="0048510E" w:rsidRPr="007B4961">
        <w:rPr>
          <w:i/>
          <w:iCs/>
        </w:rPr>
        <w:t>Ch</w:t>
      </w:r>
      <w:r w:rsidR="0048510E">
        <w:rPr>
          <w:i/>
          <w:iCs/>
        </w:rPr>
        <w:t>’</w:t>
      </w:r>
      <w:r w:rsidR="0048510E" w:rsidRPr="007B4961">
        <w:rPr>
          <w:i/>
          <w:iCs/>
        </w:rPr>
        <w:t>timis</w:t>
      </w:r>
      <w:r w:rsidR="0048510E">
        <w:t xml:space="preserve"> (people speaking a Picard dialect in the North of France) were communicating through a common language </w:t>
      </w:r>
      <w:r w:rsidR="00C0521A">
        <w:t>which fused</w:t>
      </w:r>
      <w:r w:rsidR="0048510E">
        <w:t xml:space="preserve"> their regional dialects.</w:t>
      </w:r>
      <w:r w:rsidR="0048510E">
        <w:rPr>
          <w:rStyle w:val="FootnoteReference"/>
        </w:rPr>
        <w:footnoteReference w:id="177"/>
      </w:r>
      <w:r w:rsidR="0048510E">
        <w:t xml:space="preserve"> </w:t>
      </w:r>
      <w:r w:rsidR="00C0521A">
        <w:t>A</w:t>
      </w:r>
      <w:r w:rsidR="0048510E">
        <w:t xml:space="preserve">ll these factors taken together were </w:t>
      </w:r>
      <w:r w:rsidR="00A20833">
        <w:t xml:space="preserve">interpreted as </w:t>
      </w:r>
      <w:r w:rsidR="001D6CA7">
        <w:t>signs of a planned</w:t>
      </w:r>
      <w:r w:rsidR="0048510E">
        <w:t xml:space="preserve"> </w:t>
      </w:r>
      <w:r w:rsidR="00A20833">
        <w:t>Germanisation</w:t>
      </w:r>
      <w:r w:rsidR="0048510E">
        <w:t xml:space="preserve"> of the occupied territories, a theory supported by Philippe Nivet but not by all historians of this occupation.</w:t>
      </w:r>
      <w:r w:rsidR="0048510E">
        <w:rPr>
          <w:rStyle w:val="FootnoteReference"/>
        </w:rPr>
        <w:footnoteReference w:id="178"/>
      </w:r>
      <w:r w:rsidR="0048510E">
        <w:t xml:space="preserve"> </w:t>
      </w:r>
      <w:r w:rsidR="00A20833">
        <w:t>The historiographical debate behind the reality of a Germanisation is, in this case, not as important as the belief in a plan to give a German character to the occupied territories. French politicians, suspecting a campaign of assimilation, took logical steps</w:t>
      </w:r>
      <w:r w:rsidR="002D72FE">
        <w:t xml:space="preserve"> to avoid another Alsace-Lorraine</w:t>
      </w:r>
      <w:r w:rsidR="00A20833">
        <w:t>.</w:t>
      </w:r>
      <w:r w:rsidR="00C0521A">
        <w:t xml:space="preserve"> T</w:t>
      </w:r>
      <w:r w:rsidR="0048510E">
        <w:t xml:space="preserve">he hardship of the occupation and the psychological distress were also mentioned by propagandists after the war as a </w:t>
      </w:r>
      <w:r w:rsidR="00C0521A">
        <w:t xml:space="preserve">further </w:t>
      </w:r>
      <w:r w:rsidR="0048510E">
        <w:t>reason to initiate operations of aerial communication.</w:t>
      </w:r>
      <w:r w:rsidR="0048510E">
        <w:rPr>
          <w:rStyle w:val="FootnoteReference"/>
        </w:rPr>
        <w:footnoteReference w:id="179"/>
      </w:r>
      <w:r w:rsidR="0048510E">
        <w:t xml:space="preserve"> Evidence found in the military archives of the French army show that the government knew about the terrible conditions in which the </w:t>
      </w:r>
      <w:r w:rsidR="0048510E">
        <w:rPr>
          <w:i/>
          <w:iCs/>
        </w:rPr>
        <w:t>occupés</w:t>
      </w:r>
      <w:r w:rsidR="0048510E">
        <w:t xml:space="preserve"> were living</w:t>
      </w:r>
      <w:r w:rsidR="00C0521A">
        <w:t>,</w:t>
      </w:r>
      <w:r w:rsidR="0048510E">
        <w:t xml:space="preserve"> and was anxious to try to relieve them.</w:t>
      </w:r>
      <w:r w:rsidR="0048510E">
        <w:rPr>
          <w:rStyle w:val="FootnoteReference"/>
        </w:rPr>
        <w:footnoteReference w:id="180"/>
      </w:r>
      <w:r w:rsidR="0048510E">
        <w:t xml:space="preserve"> </w:t>
      </w:r>
    </w:p>
    <w:p w14:paraId="1ABE44F3" w14:textId="7CE0B4E2" w:rsidR="0048510E" w:rsidRDefault="0048510E" w:rsidP="00C0521A">
      <w:pPr>
        <w:jc w:val="both"/>
      </w:pPr>
      <w:r>
        <w:t>Collaboration and demoralisati</w:t>
      </w:r>
      <w:r w:rsidR="00C0521A">
        <w:t>on were also sources of concern</w:t>
      </w:r>
      <w:r>
        <w:t xml:space="preserve"> for the Belgians in exile. The country had been turned into a fortress isolated from the rest of the world by a deadly electric fence. The government in exile had been active on the international stage since the beginning of the war, using the </w:t>
      </w:r>
      <w:r w:rsidRPr="00415A32">
        <w:rPr>
          <w:iCs/>
        </w:rPr>
        <w:t>Commission for Relief in Belgium</w:t>
      </w:r>
      <w:r>
        <w:t xml:space="preserve"> (CRB) and the </w:t>
      </w:r>
      <w:r w:rsidRPr="00411142">
        <w:rPr>
          <w:i/>
          <w:iCs/>
        </w:rPr>
        <w:t>Bureau de la Documentation Belge</w:t>
      </w:r>
      <w:r>
        <w:t xml:space="preserve"> (BDB), but was aware of its inability to react against Germany’s attempts at undermining the morale of the nation.</w:t>
      </w:r>
      <w:r>
        <w:rPr>
          <w:rStyle w:val="FootnoteReference"/>
        </w:rPr>
        <w:footnoteReference w:id="181"/>
      </w:r>
      <w:r>
        <w:t xml:space="preserve"> </w:t>
      </w:r>
      <w:r w:rsidRPr="00AF3B6D">
        <w:t>A note by</w:t>
      </w:r>
      <w:r>
        <w:t xml:space="preserve"> the BDB to the</w:t>
      </w:r>
      <w:r w:rsidR="003757EA">
        <w:t xml:space="preserve"> w</w:t>
      </w:r>
      <w:r w:rsidRPr="00AF3B6D">
        <w:t xml:space="preserve">ar </w:t>
      </w:r>
      <w:r w:rsidR="003757EA">
        <w:t>m</w:t>
      </w:r>
      <w:r w:rsidRPr="00AF3B6D">
        <w:t>inister</w:t>
      </w:r>
      <w:r>
        <w:t xml:space="preserve"> highlighted the distress of the population and </w:t>
      </w:r>
      <w:r w:rsidRPr="00AF3B6D">
        <w:t xml:space="preserve">voiced the </w:t>
      </w:r>
      <w:r>
        <w:t xml:space="preserve">idea of some </w:t>
      </w:r>
      <w:r w:rsidRPr="00AF3B6D">
        <w:t>‘</w:t>
      </w:r>
      <w:r w:rsidRPr="001D6CA7">
        <w:rPr>
          <w:iCs/>
        </w:rPr>
        <w:t>imprimés destinés à soutenir le courage de nos concitoyens et à fortifier l’esprit public belge contre les embû</w:t>
      </w:r>
      <w:r w:rsidR="001D6CA7">
        <w:rPr>
          <w:iCs/>
        </w:rPr>
        <w:t>ches de la propagande allemande</w:t>
      </w:r>
      <w:r w:rsidRPr="001D6CA7">
        <w:t>’</w:t>
      </w:r>
      <w:r w:rsidR="001D6CA7">
        <w:t>.</w:t>
      </w:r>
      <w:r>
        <w:t xml:space="preserve"> It was also </w:t>
      </w:r>
      <w:r w:rsidRPr="00AF3B6D">
        <w:t xml:space="preserve">suggested </w:t>
      </w:r>
      <w:r>
        <w:t>that French and Flemish</w:t>
      </w:r>
      <w:r w:rsidRPr="00AF3B6D">
        <w:t xml:space="preserve"> publication</w:t>
      </w:r>
      <w:r>
        <w:t>s be distributed by plane</w:t>
      </w:r>
      <w:r w:rsidRPr="00AF3B6D">
        <w:t>.</w:t>
      </w:r>
      <w:r>
        <w:rPr>
          <w:rStyle w:val="FootnoteReference"/>
          <w:lang w:val="fr-FR"/>
        </w:rPr>
        <w:footnoteReference w:id="182"/>
      </w:r>
      <w:r>
        <w:t xml:space="preserve"> The project was relayed to the army</w:t>
      </w:r>
      <w:r w:rsidR="00C0521A">
        <w:t>,</w:t>
      </w:r>
      <w:r>
        <w:t xml:space="preserve"> and evolved in May 1916 into a bilingual newspaper. </w:t>
      </w:r>
      <w:r w:rsidR="009B63FF">
        <w:t xml:space="preserve">Once again, </w:t>
      </w:r>
      <w:r w:rsidR="005D7054">
        <w:t xml:space="preserve">aerial propaganda began as a reactive process against German psychological warfare. </w:t>
      </w:r>
      <w:r>
        <w:t xml:space="preserve">Yet, this effort was too little and too late to match the dynamism of </w:t>
      </w:r>
      <w:r>
        <w:rPr>
          <w:i/>
          <w:iCs/>
        </w:rPr>
        <w:t xml:space="preserve">Flamenpolitik, </w:t>
      </w:r>
      <w:r>
        <w:t>on the rise in 1916,</w:t>
      </w:r>
      <w:r>
        <w:rPr>
          <w:i/>
          <w:iCs/>
        </w:rPr>
        <w:t xml:space="preserve"> </w:t>
      </w:r>
      <w:r>
        <w:t>of which one of the aims was evolving toward the ambitious project of a Germanic Flemish satellite.</w:t>
      </w:r>
      <w:r>
        <w:rPr>
          <w:rStyle w:val="FootnoteReference"/>
        </w:rPr>
        <w:footnoteReference w:id="183"/>
      </w:r>
      <w:r>
        <w:t xml:space="preserve"> The deterioration of morale and the acceleration of the division inspired the presid</w:t>
      </w:r>
      <w:r w:rsidR="003757EA">
        <w:t>ent of the BDB to write to the w</w:t>
      </w:r>
      <w:r>
        <w:t xml:space="preserve">ar </w:t>
      </w:r>
      <w:r w:rsidR="003757EA">
        <w:t>m</w:t>
      </w:r>
      <w:r>
        <w:t>inister in 1917. He suggested an aerial propaganda newspaper specially designed to fuel clandestine papers</w:t>
      </w:r>
      <w:r w:rsidR="00C0521A">
        <w:t>,</w:t>
      </w:r>
      <w:r>
        <w:t xml:space="preserve"> as he knew that underground organisations were keen to reproduce information of </w:t>
      </w:r>
      <w:r w:rsidR="002068A7">
        <w:t>a</w:t>
      </w:r>
      <w:r>
        <w:t xml:space="preserve">llied origin. </w:t>
      </w:r>
      <w:r>
        <w:rPr>
          <w:rStyle w:val="FootnoteReference"/>
        </w:rPr>
        <w:footnoteReference w:id="184"/>
      </w:r>
      <w:r>
        <w:t xml:space="preserve"> The idea was dismissed without explanation. Even the French members of the mission to the Belgian army expressed not only their concern at the </w:t>
      </w:r>
      <w:r w:rsidR="00C0521A">
        <w:t>state of morale</w:t>
      </w:r>
      <w:r>
        <w:t xml:space="preserve"> in Belgium but also their anger at the apathy displayed by the Belgian army:</w:t>
      </w:r>
    </w:p>
    <w:p w14:paraId="1067DCD8" w14:textId="77777777" w:rsidR="0048510E" w:rsidRPr="003923D2" w:rsidRDefault="0048510E" w:rsidP="0048510E">
      <w:pPr>
        <w:ind w:left="567" w:right="567"/>
        <w:jc w:val="both"/>
        <w:rPr>
          <w:lang w:val="fr-FR"/>
        </w:rPr>
      </w:pPr>
      <w:r w:rsidRPr="00F43487">
        <w:rPr>
          <w:lang w:val="fr-FR"/>
        </w:rPr>
        <w:t>[…</w:t>
      </w:r>
      <w:r w:rsidRPr="003923D2">
        <w:rPr>
          <w:lang w:val="fr-FR"/>
        </w:rPr>
        <w:t>] Or, dans les circonstances actuelles</w:t>
      </w:r>
      <w:r>
        <w:rPr>
          <w:lang w:val="fr-FR"/>
        </w:rPr>
        <w:t>, en présence des efforts de la propagande allemande, et des fâcheux effets produits par les derniers raids de bombardement, il importe de ne pas laisser sans appui les esprits qui ont une tendance à se laisser ébranler. Je fais une démarche en ce sens auprès du GQG belge, qui ne paraît pas saisir toute l’importance de la question.</w:t>
      </w:r>
      <w:r>
        <w:rPr>
          <w:rStyle w:val="FootnoteReference"/>
          <w:lang w:val="fr-FR"/>
        </w:rPr>
        <w:footnoteReference w:id="185"/>
      </w:r>
    </w:p>
    <w:p w14:paraId="7B9017A4" w14:textId="1AA26DDE" w:rsidR="0048510E" w:rsidRPr="00D32058" w:rsidRDefault="0048510E" w:rsidP="00C0521A">
      <w:pPr>
        <w:jc w:val="both"/>
      </w:pPr>
      <w:r>
        <w:t>In 1917, t</w:t>
      </w:r>
      <w:r w:rsidRPr="00576F3C">
        <w:t xml:space="preserve">he French authorities were </w:t>
      </w:r>
      <w:r>
        <w:t>relieved</w:t>
      </w:r>
      <w:r w:rsidRPr="00576F3C">
        <w:t xml:space="preserve"> to hear that the Belgian </w:t>
      </w:r>
      <w:r w:rsidRPr="00100111">
        <w:rPr>
          <w:i/>
          <w:iCs/>
        </w:rPr>
        <w:t xml:space="preserve">Ministère des </w:t>
      </w:r>
      <w:r>
        <w:rPr>
          <w:i/>
          <w:iCs/>
        </w:rPr>
        <w:t>a</w:t>
      </w:r>
      <w:r w:rsidRPr="00100111">
        <w:rPr>
          <w:i/>
          <w:iCs/>
        </w:rPr>
        <w:t xml:space="preserve">ffaires </w:t>
      </w:r>
      <w:r>
        <w:rPr>
          <w:i/>
          <w:iCs/>
        </w:rPr>
        <w:t>é</w:t>
      </w:r>
      <w:r w:rsidRPr="00100111">
        <w:rPr>
          <w:i/>
          <w:iCs/>
        </w:rPr>
        <w:t>trangères</w:t>
      </w:r>
      <w:r w:rsidRPr="00576F3C">
        <w:t xml:space="preserve"> had decided to publish a </w:t>
      </w:r>
      <w:r>
        <w:t>paper in Flemish</w:t>
      </w:r>
      <w:r w:rsidRPr="00576F3C">
        <w:t xml:space="preserve"> named </w:t>
      </w:r>
      <w:r w:rsidRPr="00576F3C">
        <w:rPr>
          <w:i/>
          <w:iCs/>
        </w:rPr>
        <w:t>t’</w:t>
      </w:r>
      <w:r>
        <w:rPr>
          <w:i/>
          <w:iCs/>
        </w:rPr>
        <w:t xml:space="preserve">Kerelsblad. </w:t>
      </w:r>
      <w:r w:rsidR="00C0521A">
        <w:t>However</w:t>
      </w:r>
      <w:r>
        <w:rPr>
          <w:i/>
          <w:iCs/>
        </w:rPr>
        <w:t xml:space="preserve">, </w:t>
      </w:r>
      <w:r>
        <w:t>the initiative was once again prematurely interrupted</w:t>
      </w:r>
      <w:r>
        <w:rPr>
          <w:i/>
          <w:iCs/>
        </w:rPr>
        <w:t>.</w:t>
      </w:r>
      <w:r w:rsidRPr="00490103">
        <w:rPr>
          <w:rStyle w:val="FootnoteReference"/>
        </w:rPr>
        <w:footnoteReference w:id="186"/>
      </w:r>
      <w:r>
        <w:rPr>
          <w:i/>
          <w:iCs/>
        </w:rPr>
        <w:t xml:space="preserve"> </w:t>
      </w:r>
      <w:r>
        <w:t xml:space="preserve">In 1918, the president of the BDB betrayed the anxiety felt by Belgian exiles toward the Flemish situation: </w:t>
      </w:r>
      <w:r w:rsidRPr="00D84D63">
        <w:t xml:space="preserve">‘[…] </w:t>
      </w:r>
      <w:r w:rsidRPr="008A4775">
        <w:rPr>
          <w:lang w:val="fr-FR"/>
        </w:rPr>
        <w:t>On combattrait ainsi l’influence de publications illustrées très analogues éditées par les Allemands et très perfidement conçue</w:t>
      </w:r>
      <w:r w:rsidRPr="002B11B4">
        <w:rPr>
          <w:lang w:val="fr-FR"/>
        </w:rPr>
        <w:t>s pour décourager la population flamande’.</w:t>
      </w:r>
      <w:r>
        <w:rPr>
          <w:rStyle w:val="FootnoteReference"/>
          <w:lang w:val="fr-FR"/>
        </w:rPr>
        <w:footnoteReference w:id="187"/>
      </w:r>
      <w:r w:rsidRPr="00A06E45">
        <w:rPr>
          <w:lang w:val="fr-FR"/>
        </w:rPr>
        <w:t xml:space="preserve"> </w:t>
      </w:r>
      <w:r w:rsidRPr="00AF5BEA">
        <w:rPr>
          <w:lang w:val="fr-FR"/>
        </w:rPr>
        <w:t xml:space="preserve"> </w:t>
      </w:r>
      <w:r w:rsidRPr="00AF5BEA">
        <w:t>The fact that the Belgian government had to be warned on so many occasions about the campaign of propaganda surrounding</w:t>
      </w:r>
      <w:r w:rsidR="005D7054">
        <w:t xml:space="preserve"> the</w:t>
      </w:r>
      <w:r w:rsidRPr="00AF5BEA">
        <w:t xml:space="preserve"> </w:t>
      </w:r>
      <w:r w:rsidRPr="00AF5BEA">
        <w:rPr>
          <w:i/>
          <w:iCs/>
        </w:rPr>
        <w:t>Flamenpolitik</w:t>
      </w:r>
      <w:r w:rsidRPr="00AF5BEA">
        <w:t xml:space="preserve"> </w:t>
      </w:r>
      <w:r w:rsidR="005D7054">
        <w:t>suggests that</w:t>
      </w:r>
      <w:r>
        <w:t xml:space="preserve"> Belgian politicians did not grasp the potential post-war challenges resulting from this policy.</w:t>
      </w:r>
      <w:r>
        <w:rPr>
          <w:rStyle w:val="FootnoteReference"/>
        </w:rPr>
        <w:footnoteReference w:id="188"/>
      </w:r>
      <w:r>
        <w:t xml:space="preserve">  </w:t>
      </w:r>
    </w:p>
    <w:p w14:paraId="61E7F23A" w14:textId="37A5455D" w:rsidR="0048510E" w:rsidRDefault="0048510E" w:rsidP="00C0521A">
      <w:pPr>
        <w:jc w:val="both"/>
      </w:pPr>
      <w:r>
        <w:t xml:space="preserve">The </w:t>
      </w:r>
      <w:r w:rsidR="00C0521A">
        <w:t>disheartenment</w:t>
      </w:r>
      <w:r>
        <w:t xml:space="preserve"> expressed by the occupied populations was also the official reason underlined by British propagandists to explain their contribution to this type of psychological warfare. Lieutenant Edward Heron-Allen, editor of the British newspaper in French aimed at </w:t>
      </w:r>
      <w:r w:rsidR="00B077EF">
        <w:t xml:space="preserve">the </w:t>
      </w:r>
      <w:r>
        <w:t xml:space="preserve">occupied countries, mentioned the desire </w:t>
      </w:r>
      <w:r w:rsidR="002068A7">
        <w:t>to give accurate news from the a</w:t>
      </w:r>
      <w:r>
        <w:t>llied point of view.</w:t>
      </w:r>
      <w:r>
        <w:rPr>
          <w:rStyle w:val="FootnoteReference"/>
        </w:rPr>
        <w:footnoteReference w:id="189"/>
      </w:r>
      <w:r>
        <w:t xml:space="preserve"> Meanwhile, propagandist Major Cecil Street wrote in an article:</w:t>
      </w:r>
    </w:p>
    <w:p w14:paraId="1A447A75" w14:textId="77777777" w:rsidR="0048510E" w:rsidRDefault="0048510E" w:rsidP="0048510E">
      <w:pPr>
        <w:ind w:left="567" w:right="567"/>
        <w:jc w:val="both"/>
      </w:pPr>
      <w:r>
        <w:t>In the late war, practically the whole of Belgium and a very large and thickly populated portion of France were for four years in enemy occupation. The inhabitants of these territories had no means of communication with their friends; they were entirely subjected to enemy influences in every detail of their lives. The strictest precautions were taken to prevent news filtering through to them from other than enemy sources, while they were subjected to every possible method of sapping their nationality. One of the most obvious duties of the propaganda service was therefore to counteract this influence by the dissemination of the truth as to the Allied cause and its progress.</w:t>
      </w:r>
      <w:r>
        <w:rPr>
          <w:rStyle w:val="FootnoteReference"/>
        </w:rPr>
        <w:footnoteReference w:id="190"/>
      </w:r>
    </w:p>
    <w:p w14:paraId="501A96BF" w14:textId="336E2F40" w:rsidR="0048510E" w:rsidRDefault="0048510E" w:rsidP="00C0521A">
      <w:pPr>
        <w:jc w:val="both"/>
      </w:pPr>
      <w:r>
        <w:t>However, these good intentions hid more self-centred reasons</w:t>
      </w:r>
      <w:r w:rsidR="00C0521A">
        <w:t>,</w:t>
      </w:r>
      <w:r>
        <w:t xml:space="preserve"> unexpressed in public accounts. Since 1915, British aviators were distributing French newspapers in the occupied territories facing their sector. It was clear that the content of French propaganda was not always appreciated. According to the British army, the </w:t>
      </w:r>
      <w:r w:rsidR="00660480">
        <w:t>newspapers</w:t>
      </w:r>
      <w:r>
        <w:t xml:space="preserve"> were not emphasising its contribution to the war effort</w:t>
      </w:r>
      <w:r w:rsidR="00C0521A">
        <w:t xml:space="preserve"> enough</w:t>
      </w:r>
      <w:r>
        <w:t xml:space="preserve">. A report summarised this view: </w:t>
      </w:r>
    </w:p>
    <w:p w14:paraId="2715F8BA" w14:textId="77777777" w:rsidR="0048510E" w:rsidRPr="004973E5" w:rsidRDefault="0048510E" w:rsidP="0048510E">
      <w:pPr>
        <w:ind w:left="567" w:right="567"/>
        <w:jc w:val="both"/>
      </w:pPr>
      <w:r>
        <w:t>[…] If only French material was distributed amongst occupied areas, the recipients would only receive the French point of view and thus they would have a wrong impression of the effort we are making on their behalf in this war.</w:t>
      </w:r>
      <w:r>
        <w:rPr>
          <w:rStyle w:val="FootnoteReference"/>
        </w:rPr>
        <w:footnoteReference w:id="191"/>
      </w:r>
      <w:r>
        <w:t xml:space="preserve">  </w:t>
      </w:r>
    </w:p>
    <w:p w14:paraId="10F3BB29" w14:textId="77777777" w:rsidR="0048510E" w:rsidRDefault="0048510E" w:rsidP="0048510E">
      <w:pPr>
        <w:jc w:val="both"/>
      </w:pPr>
      <w:r>
        <w:t xml:space="preserve">The HQ approached the </w:t>
      </w:r>
      <w:r>
        <w:rPr>
          <w:i/>
          <w:iCs/>
        </w:rPr>
        <w:t>Service de Renseignements</w:t>
      </w:r>
      <w:r>
        <w:t xml:space="preserve"> (SR) of the EMA to rectify the situation, or at least advertise major achievements on the British sector, but the archives of the SR demonstrated the unwillingness of the French to comply:</w:t>
      </w:r>
    </w:p>
    <w:p w14:paraId="715FC139" w14:textId="77777777" w:rsidR="0048510E" w:rsidRDefault="0048510E" w:rsidP="0048510E">
      <w:pPr>
        <w:ind w:left="567" w:right="567"/>
        <w:jc w:val="both"/>
        <w:rPr>
          <w:lang w:val="fr-FR"/>
        </w:rPr>
      </w:pPr>
      <w:r w:rsidRPr="007F5C6A">
        <w:rPr>
          <w:lang w:val="fr-FR"/>
        </w:rPr>
        <w:t xml:space="preserve">Pour répondre au désire exprimé par </w:t>
      </w:r>
      <w:r>
        <w:rPr>
          <w:lang w:val="fr-FR"/>
        </w:rPr>
        <w:t>l’Etat-Major Britannique, le S. R. aux armées demande à la Section de propagande du 2</w:t>
      </w:r>
      <w:r w:rsidRPr="007F5C6A">
        <w:rPr>
          <w:vertAlign w:val="superscript"/>
          <w:lang w:val="fr-FR"/>
        </w:rPr>
        <w:t>e</w:t>
      </w:r>
      <w:r>
        <w:rPr>
          <w:lang w:val="fr-FR"/>
        </w:rPr>
        <w:t xml:space="preserve"> bureau de l’EMA de relater, dans la « Voix du Pays », quelques hauts faits des armées britanniques ; afin de faire connaître à nos populations des régions envahies l’aide efficace que nous apportent nos alliés Anglais mais il faut se garder de toute exagération dans ce sens et n’entrer que discrètement dans cette voie.</w:t>
      </w:r>
      <w:r>
        <w:rPr>
          <w:rStyle w:val="FootnoteReference"/>
          <w:lang w:val="fr-FR"/>
        </w:rPr>
        <w:footnoteReference w:id="192"/>
      </w:r>
    </w:p>
    <w:p w14:paraId="0184A3CB" w14:textId="5244B53A" w:rsidR="0048510E" w:rsidRDefault="0048510E" w:rsidP="00605DB1">
      <w:pPr>
        <w:jc w:val="both"/>
      </w:pPr>
      <w:r>
        <w:t xml:space="preserve">This insistence </w:t>
      </w:r>
      <w:r w:rsidR="00E10168">
        <w:t>on</w:t>
      </w:r>
      <w:r>
        <w:t xml:space="preserve"> self-promotion was directly linked to the campaign of Anglophobia mentioned above</w:t>
      </w:r>
      <w:r w:rsidR="00C0521A">
        <w:t>,</w:t>
      </w:r>
      <w:r>
        <w:t xml:space="preserve"> and echoed in the </w:t>
      </w:r>
      <w:r>
        <w:rPr>
          <w:i/>
          <w:iCs/>
        </w:rPr>
        <w:t>Gazette des Ardennes</w:t>
      </w:r>
      <w:r>
        <w:t xml:space="preserve"> as well as other German newspapers. </w:t>
      </w:r>
      <w:r w:rsidR="00C0521A">
        <w:t>The British</w:t>
      </w:r>
      <w:r>
        <w:t xml:space="preserve"> propaganda behind the lines was a campaign of self-promotion trying to improve their stained image.</w:t>
      </w:r>
      <w:r>
        <w:rPr>
          <w:rStyle w:val="FootnoteReference"/>
        </w:rPr>
        <w:footnoteReference w:id="193"/>
      </w:r>
      <w:r>
        <w:t xml:space="preserve"> The same reasons explain why the War Office (WO) willingly financed the </w:t>
      </w:r>
      <w:r>
        <w:rPr>
          <w:i/>
          <w:iCs/>
        </w:rPr>
        <w:t xml:space="preserve">Lettre du Soldat, </w:t>
      </w:r>
      <w:r>
        <w:t xml:space="preserve">a Belgian </w:t>
      </w:r>
      <w:r w:rsidR="00660480">
        <w:t>newspaper</w:t>
      </w:r>
      <w:r>
        <w:t xml:space="preserve"> created by refugees in London, in exchange for Anglophile articles</w:t>
      </w:r>
      <w:r w:rsidR="00C0521A">
        <w:t>,</w:t>
      </w:r>
      <w:r>
        <w:t xml:space="preserve"> and was happy to use British </w:t>
      </w:r>
      <w:r w:rsidR="00605DB1">
        <w:t>air services</w:t>
      </w:r>
      <w:r>
        <w:t xml:space="preserve"> to spread French newspapers.</w:t>
      </w:r>
      <w:r>
        <w:rPr>
          <w:rStyle w:val="FootnoteReference"/>
        </w:rPr>
        <w:footnoteReference w:id="194"/>
      </w:r>
      <w:r>
        <w:t xml:space="preserve"> However, self-advertising sometimes caused problems</w:t>
      </w:r>
      <w:r w:rsidR="00C0521A">
        <w:t>,</w:t>
      </w:r>
      <w:r>
        <w:t xml:space="preserve"> as the French refused to distribute copies of </w:t>
      </w:r>
      <w:r>
        <w:rPr>
          <w:i/>
          <w:iCs/>
        </w:rPr>
        <w:t>La Lettre du Soldat</w:t>
      </w:r>
      <w:r>
        <w:t xml:space="preserve"> on the basis of its open</w:t>
      </w:r>
      <w:r w:rsidR="00C0521A">
        <w:t>ly</w:t>
      </w:r>
      <w:r>
        <w:t xml:space="preserve"> Anglophile tone.</w:t>
      </w:r>
      <w:r>
        <w:rPr>
          <w:rStyle w:val="FootnoteReference"/>
        </w:rPr>
        <w:footnoteReference w:id="195"/>
      </w:r>
      <w:r>
        <w:t xml:space="preserve"> </w:t>
      </w:r>
    </w:p>
    <w:p w14:paraId="588C4E6E" w14:textId="5FBE8992" w:rsidR="0048510E" w:rsidRPr="0033665E" w:rsidRDefault="0048510E" w:rsidP="00C0521A">
      <w:pPr>
        <w:jc w:val="both"/>
      </w:pPr>
      <w:r>
        <w:t xml:space="preserve">The reasons behind propaganda aimed at the occupied countries, whether French, Belgian or British, make it </w:t>
      </w:r>
      <w:r w:rsidRPr="0033665E">
        <w:t xml:space="preserve">clear </w:t>
      </w:r>
      <w:r>
        <w:t xml:space="preserve">that these </w:t>
      </w:r>
      <w:r w:rsidR="002068A7">
        <w:t>a</w:t>
      </w:r>
      <w:r w:rsidRPr="0033665E">
        <w:t xml:space="preserve">llied </w:t>
      </w:r>
      <w:r>
        <w:t>pamphlets</w:t>
      </w:r>
      <w:r w:rsidRPr="0033665E">
        <w:t xml:space="preserve"> </w:t>
      </w:r>
      <w:r>
        <w:t xml:space="preserve">were </w:t>
      </w:r>
      <w:r w:rsidR="00C0521A">
        <w:t>less a form of propaganda than of</w:t>
      </w:r>
      <w:r>
        <w:t xml:space="preserve"> counter-propaganda</w:t>
      </w:r>
      <w:r w:rsidR="00C0521A">
        <w:t>,</w:t>
      </w:r>
      <w:r>
        <w:t xml:space="preserve"> designed to fight German arguments and regain </w:t>
      </w:r>
      <w:r w:rsidR="00B077EF">
        <w:t xml:space="preserve">the </w:t>
      </w:r>
      <w:r>
        <w:t xml:space="preserve">initiative. This point will be explored further in chapter three. If the international campaign of communication led by Germany during the First World War has often been criticised, their actions in the invaded territories </w:t>
      </w:r>
      <w:r w:rsidR="00C0521A">
        <w:t>clearly inspired</w:t>
      </w:r>
      <w:r>
        <w:t xml:space="preserve"> concern amongst </w:t>
      </w:r>
      <w:r w:rsidR="002068A7">
        <w:t>a</w:t>
      </w:r>
      <w:r>
        <w:t>llied governments and armies.</w:t>
      </w:r>
      <w:r>
        <w:rPr>
          <w:rStyle w:val="FootnoteReference"/>
        </w:rPr>
        <w:footnoteReference w:id="196"/>
      </w:r>
      <w:r>
        <w:t xml:space="preserve"> </w:t>
      </w:r>
    </w:p>
    <w:p w14:paraId="19A9A7D5" w14:textId="77777777" w:rsidR="0048510E" w:rsidRDefault="0048510E" w:rsidP="0048510E">
      <w:pPr>
        <w:pStyle w:val="Heading2"/>
      </w:pPr>
      <w:bookmarkStart w:id="14" w:name="_Toc402192949"/>
      <w:r>
        <w:t>Structures and relations between the armies and the governments</w:t>
      </w:r>
      <w:bookmarkEnd w:id="14"/>
    </w:p>
    <w:p w14:paraId="1C985B77" w14:textId="54A646CD" w:rsidR="0048510E" w:rsidRDefault="0048510E" w:rsidP="00C03E79">
      <w:pPr>
        <w:jc w:val="both"/>
      </w:pPr>
      <w:r>
        <w:t xml:space="preserve">In the case of Belgium and France, structures in charge of aerial propaganda aimed at the occupied territories were heavily controlled by the governments. Since 1915, France already had numerous secular and religious associations involved in the battle </w:t>
      </w:r>
      <w:r w:rsidR="00C0521A">
        <w:t>to keep up</w:t>
      </w:r>
      <w:r>
        <w:t xml:space="preserve"> morale i</w:t>
      </w:r>
      <w:r w:rsidR="002068A7">
        <w:t>n neutral and a</w:t>
      </w:r>
      <w:r>
        <w:t>llied countries. The lack of method and the question of secrecy meant that these organisations were far from being the ideal way of creating propaganda.</w:t>
      </w:r>
      <w:r>
        <w:rPr>
          <w:rStyle w:val="FootnoteReference"/>
        </w:rPr>
        <w:footnoteReference w:id="197"/>
      </w:r>
      <w:r>
        <w:t xml:space="preserve"> </w:t>
      </w:r>
      <w:r w:rsidR="00C03E79">
        <w:t>The</w:t>
      </w:r>
      <w:r>
        <w:t xml:space="preserve"> French army at its highest level</w:t>
      </w:r>
      <w:r w:rsidR="00C03E79">
        <w:t xml:space="preserve"> soon became involved with the problem of creating an adequate unit to deal with leaflets aimed at the occupied territories</w:t>
      </w:r>
      <w:r>
        <w:t>. On 12 July 1915, General Joffr</w:t>
      </w:r>
      <w:r w:rsidR="003757EA">
        <w:t>e explained in a letter to the w</w:t>
      </w:r>
      <w:r>
        <w:t xml:space="preserve">ar </w:t>
      </w:r>
      <w:r w:rsidR="003757EA">
        <w:t>m</w:t>
      </w:r>
      <w:r>
        <w:t>inister his determination to:</w:t>
      </w:r>
    </w:p>
    <w:p w14:paraId="1BF9A9D7" w14:textId="77777777" w:rsidR="0048510E" w:rsidRDefault="0048510E" w:rsidP="0048510E">
      <w:pPr>
        <w:ind w:left="567" w:right="567"/>
        <w:jc w:val="both"/>
        <w:rPr>
          <w:lang w:val="fr-FR"/>
        </w:rPr>
      </w:pPr>
      <w:r w:rsidRPr="00312A22">
        <w:rPr>
          <w:lang w:val="fr-FR"/>
        </w:rPr>
        <w:t xml:space="preserve">Centraliser par un organe déterminé </w:t>
      </w:r>
      <w:r>
        <w:rPr>
          <w:lang w:val="fr-FR"/>
        </w:rPr>
        <w:t>qui relèverait du Service Central, l’action de diffusion des nouvelles et documents à répandre dans les régions envahies et en territoire ennemi.</w:t>
      </w:r>
      <w:r>
        <w:rPr>
          <w:rStyle w:val="FootnoteReference"/>
          <w:lang w:val="fr-FR"/>
        </w:rPr>
        <w:footnoteReference w:id="198"/>
      </w:r>
    </w:p>
    <w:p w14:paraId="53F56D21" w14:textId="264654D9" w:rsidR="0048510E" w:rsidRDefault="003757EA" w:rsidP="00C03E79">
      <w:pPr>
        <w:jc w:val="both"/>
      </w:pPr>
      <w:r>
        <w:t>This view was shared by the war m</w:t>
      </w:r>
      <w:r w:rsidR="0048510E" w:rsidRPr="00312A22">
        <w:t xml:space="preserve">inister who, on </w:t>
      </w:r>
      <w:r w:rsidR="0048510E">
        <w:t xml:space="preserve">27 July 1915, sanctioned the creation of the </w:t>
      </w:r>
      <w:r w:rsidR="0048510E">
        <w:rPr>
          <w:i/>
          <w:iCs/>
        </w:rPr>
        <w:t>Service de la Propagande Aérienne</w:t>
      </w:r>
      <w:r w:rsidR="0048510E">
        <w:t xml:space="preserve"> (SPA) inside the EMA. The EMA, as figure 1.1 shows, was und</w:t>
      </w:r>
      <w:r>
        <w:t>er the direct authority of the w</w:t>
      </w:r>
      <w:r w:rsidR="0048510E">
        <w:t xml:space="preserve">ar </w:t>
      </w:r>
      <w:r>
        <w:t>m</w:t>
      </w:r>
      <w:r w:rsidR="0048510E">
        <w:t>inister but</w:t>
      </w:r>
      <w:r w:rsidR="00C03E79">
        <w:t>,</w:t>
      </w:r>
      <w:r w:rsidR="0048510E">
        <w:t xml:space="preserve"> had lost the majority of its personnel to the rival </w:t>
      </w:r>
      <w:r w:rsidR="0048510E">
        <w:rPr>
          <w:i/>
          <w:iCs/>
        </w:rPr>
        <w:t xml:space="preserve">Grand Quartier Général </w:t>
      </w:r>
      <w:r w:rsidR="0048510E">
        <w:t>(GQG) of the army</w:t>
      </w:r>
      <w:r w:rsidR="00C03E79">
        <w:t xml:space="preserve"> at the beginning of the conflict</w:t>
      </w:r>
      <w:r w:rsidR="0048510E">
        <w:t>.</w:t>
      </w:r>
      <w:r w:rsidR="0048510E">
        <w:rPr>
          <w:rStyle w:val="FootnoteReference"/>
        </w:rPr>
        <w:footnoteReference w:id="199"/>
      </w:r>
      <w:r w:rsidR="0048510E">
        <w:t xml:space="preserve"> The SPA was integrated into the </w:t>
      </w:r>
      <w:r w:rsidR="0048510E">
        <w:rPr>
          <w:i/>
          <w:iCs/>
        </w:rPr>
        <w:t>Deuxième Bureau</w:t>
      </w:r>
      <w:r w:rsidR="0048510E">
        <w:t xml:space="preserve"> (DB) of the EMA</w:t>
      </w:r>
      <w:r w:rsidR="00C03E79">
        <w:t>,</w:t>
      </w:r>
      <w:r w:rsidR="0048510E">
        <w:t xml:space="preserve"> which had been organised at the end of the Franco-Prussian war.</w:t>
      </w:r>
      <w:r w:rsidR="0048510E">
        <w:rPr>
          <w:rStyle w:val="FootnoteReference"/>
        </w:rPr>
        <w:footnoteReference w:id="200"/>
      </w:r>
      <w:r w:rsidR="0048510E">
        <w:t xml:space="preserve"> From </w:t>
      </w:r>
      <w:r w:rsidR="00BF50E4">
        <w:t>its</w:t>
      </w:r>
      <w:r w:rsidR="0048510E">
        <w:t xml:space="preserve"> beginning during the summer 1915, French aerial propaganda in</w:t>
      </w:r>
      <w:r w:rsidR="00BF50E4">
        <w:t xml:space="preserve"> the</w:t>
      </w:r>
      <w:r w:rsidR="0048510E">
        <w:t xml:space="preserve"> occupied territories was conceived as a joint operation between the political world and the ar</w:t>
      </w:r>
      <w:r>
        <w:t>my. The war m</w:t>
      </w:r>
      <w:r w:rsidR="0048510E">
        <w:t xml:space="preserve">inister had appointed Jules Cambon, ex-ambassador of France to Germany, and other figures of the civilian society as supervisors of the SPA. </w:t>
      </w:r>
      <w:r w:rsidR="00BF50E4">
        <w:t>L</w:t>
      </w:r>
      <w:r w:rsidR="0048510E">
        <w:t>eaflets and newspapers</w:t>
      </w:r>
      <w:r w:rsidR="00BF50E4" w:rsidRPr="00BF50E4">
        <w:t xml:space="preserve"> </w:t>
      </w:r>
      <w:r w:rsidR="00BF50E4">
        <w:t>were also scrutinised on a weekly basis by a joint committee of politicians and senior officers</w:t>
      </w:r>
      <w:r w:rsidR="0048510E">
        <w:t>.</w:t>
      </w:r>
      <w:r w:rsidR="0048510E">
        <w:rPr>
          <w:rStyle w:val="FootnoteReference"/>
        </w:rPr>
        <w:footnoteReference w:id="201"/>
      </w:r>
      <w:r w:rsidR="0048510E">
        <w:t xml:space="preserve"> </w:t>
      </w:r>
    </w:p>
    <w:p w14:paraId="09686488" w14:textId="4701E325" w:rsidR="0048510E" w:rsidRDefault="0048510E" w:rsidP="00C03E79">
      <w:pPr>
        <w:jc w:val="both"/>
      </w:pPr>
      <w:r w:rsidRPr="00BC57FB">
        <w:rPr>
          <w:lang w:val="fr-FR"/>
        </w:rPr>
        <w:t>The name itself</w:t>
      </w:r>
      <w:r w:rsidR="00C03E79">
        <w:rPr>
          <w:lang w:val="fr-FR"/>
        </w:rPr>
        <w:t>;</w:t>
      </w:r>
      <w:r w:rsidRPr="00BC57FB">
        <w:rPr>
          <w:lang w:val="fr-FR"/>
        </w:rPr>
        <w:t xml:space="preserve"> </w:t>
      </w:r>
      <w:r w:rsidRPr="00BC57FB">
        <w:rPr>
          <w:i/>
          <w:iCs/>
          <w:lang w:val="fr-FR"/>
        </w:rPr>
        <w:t>Service de la Propagande Aérienne</w:t>
      </w:r>
      <w:r w:rsidR="00C03E79">
        <w:rPr>
          <w:i/>
          <w:iCs/>
          <w:lang w:val="fr-FR"/>
        </w:rPr>
        <w:t>,</w:t>
      </w:r>
      <w:r w:rsidRPr="00BC57FB">
        <w:rPr>
          <w:lang w:val="fr-FR"/>
        </w:rPr>
        <w:t xml:space="preserve"> raises questions. </w:t>
      </w:r>
      <w:r>
        <w:t xml:space="preserve">Joëlle Beurier, in her </w:t>
      </w:r>
      <w:r w:rsidR="00BF50E4">
        <w:t>article</w:t>
      </w:r>
      <w:r>
        <w:t xml:space="preserve"> ‘information, censorship or propaganda’, </w:t>
      </w:r>
      <w:r w:rsidR="001D6CA7">
        <w:t>argued</w:t>
      </w:r>
      <w:r>
        <w:t xml:space="preserve"> that the term propaganda was not used in official French circles to invoke falsification of fact or manipulation of discourse to create a false impression but </w:t>
      </w:r>
      <w:r w:rsidR="00BF50E4">
        <w:t>employed</w:t>
      </w:r>
      <w:r>
        <w:t xml:space="preserve"> solely to advertise the destructive impact of war on French territories.</w:t>
      </w:r>
      <w:r>
        <w:rPr>
          <w:rStyle w:val="FootnoteReference"/>
        </w:rPr>
        <w:footnoteReference w:id="202"/>
      </w:r>
      <w:r>
        <w:t xml:space="preserve"> This view was a generalisation of the situation on the</w:t>
      </w:r>
      <w:r w:rsidR="00BF50E4">
        <w:t xml:space="preserve"> home front</w:t>
      </w:r>
      <w:r w:rsidR="00C03E79">
        <w:t>,</w:t>
      </w:r>
      <w:r w:rsidR="00BF50E4">
        <w:t xml:space="preserve"> and had no relevance</w:t>
      </w:r>
      <w:r>
        <w:t xml:space="preserve"> </w:t>
      </w:r>
      <w:r w:rsidR="00BF50E4">
        <w:t>with</w:t>
      </w:r>
      <w:r>
        <w:t xml:space="preserve"> regard to the activities of the SPA. Their </w:t>
      </w:r>
      <w:r w:rsidR="00BF50E4">
        <w:t>leaflets</w:t>
      </w:r>
      <w:r>
        <w:t xml:space="preserve"> had three goals: to destroy German morale, to halt the influence of German propaganda in French territory and to restore the confidence of the occupied population. Cases of manipulation</w:t>
      </w:r>
      <w:r w:rsidR="00C03E79">
        <w:t>,</w:t>
      </w:r>
      <w:r>
        <w:t xml:space="preserve"> such as the reproduction of letters from German prisoners of war describing a com</w:t>
      </w:r>
      <w:r w:rsidR="00BF50E4">
        <w:t>fortable captivity</w:t>
      </w:r>
      <w:r w:rsidR="00C03E79">
        <w:t>,</w:t>
      </w:r>
      <w:r w:rsidR="00BF50E4">
        <w:t xml:space="preserve"> were indeed</w:t>
      </w:r>
      <w:r>
        <w:t xml:space="preserve"> deliberate lie</w:t>
      </w:r>
      <w:r w:rsidR="00BF50E4">
        <w:t>s</w:t>
      </w:r>
      <w:r>
        <w:t xml:space="preserve"> </w:t>
      </w:r>
      <w:r w:rsidR="00BF50E4">
        <w:t>contradicting</w:t>
      </w:r>
      <w:r>
        <w:t xml:space="preserve"> the real conditions of detention, described by Heather Jones in her remarkable study </w:t>
      </w:r>
      <w:r>
        <w:rPr>
          <w:i/>
          <w:iCs/>
        </w:rPr>
        <w:t>Violence against prisoners of war in the First World War</w:t>
      </w:r>
      <w:r>
        <w:t>, which were more than often appalling.</w:t>
      </w:r>
      <w:r>
        <w:rPr>
          <w:rStyle w:val="FootnoteReference"/>
        </w:rPr>
        <w:footnoteReference w:id="203"/>
      </w:r>
      <w:r>
        <w:t xml:space="preserve"> Chapters four, five and six will show </w:t>
      </w:r>
      <w:r w:rsidR="00C03E79">
        <w:t xml:space="preserve">that </w:t>
      </w:r>
      <w:r>
        <w:t xml:space="preserve">the SPA did not shy </w:t>
      </w:r>
      <w:r w:rsidR="00C03E79">
        <w:t>away from</w:t>
      </w:r>
      <w:r>
        <w:t xml:space="preserve"> manipulating facts to mislead the occupied public into believing in the official version.</w:t>
      </w:r>
      <w:r>
        <w:rPr>
          <w:rStyle w:val="FootnoteReference"/>
        </w:rPr>
        <w:footnoteReference w:id="204"/>
      </w:r>
      <w:r>
        <w:t xml:space="preserve"> </w:t>
      </w:r>
    </w:p>
    <w:p w14:paraId="04E56B35" w14:textId="77777777" w:rsidR="0048510E" w:rsidRDefault="0048510E" w:rsidP="0048510E">
      <w:pPr>
        <w:jc w:val="both"/>
      </w:pPr>
      <w:r>
        <w:t xml:space="preserve">In December 1915, the SPA was transferred from the DB to the newly created </w:t>
      </w:r>
      <w:r>
        <w:rPr>
          <w:i/>
          <w:iCs/>
        </w:rPr>
        <w:t>Cinquième Bureau</w:t>
      </w:r>
      <w:r>
        <w:t xml:space="preserve"> (CB) in order to comply with the attempt made by the </w:t>
      </w:r>
      <w:r w:rsidR="003757EA">
        <w:t>war minister</w:t>
      </w:r>
      <w:r>
        <w:t xml:space="preserve"> Joseph Gallieni to improve the efficiency of the Ministry.</w:t>
      </w:r>
      <w:r>
        <w:rPr>
          <w:rStyle w:val="FootnoteReference"/>
        </w:rPr>
        <w:footnoteReference w:id="205"/>
      </w:r>
      <w:r>
        <w:t xml:space="preserve"> The structure designed at this time was to last until the beginning of 1918.</w:t>
      </w:r>
    </w:p>
    <w:p w14:paraId="66C2741A" w14:textId="77777777" w:rsidR="00093FD8" w:rsidRDefault="00093FD8" w:rsidP="0048510E">
      <w:pPr>
        <w:jc w:val="both"/>
      </w:pPr>
    </w:p>
    <w:p w14:paraId="704E93C3" w14:textId="77777777" w:rsidR="0048510E" w:rsidRDefault="0048510E" w:rsidP="0048510E">
      <w:pPr>
        <w:jc w:val="both"/>
      </w:pPr>
      <w:r>
        <w:t xml:space="preserve">Figure </w:t>
      </w:r>
      <w:fldSimple w:instr=" SEQ Figure \* ARABIC ">
        <w:r w:rsidR="00EB3069">
          <w:rPr>
            <w:noProof/>
          </w:rPr>
          <w:t>1</w:t>
        </w:r>
      </w:fldSimple>
      <w:r>
        <w:rPr>
          <w:noProof/>
        </w:rPr>
        <w:t>.1</w:t>
      </w:r>
      <w:r w:rsidRPr="0052325E">
        <w:t xml:space="preserve">: </w:t>
      </w:r>
      <w:r w:rsidRPr="001E5488">
        <w:rPr>
          <w:i/>
          <w:iCs/>
        </w:rPr>
        <w:t>Chain of command of the SPA from 1915 to 1917</w:t>
      </w:r>
      <w:r w:rsidRPr="0052325E">
        <w:t>.</w:t>
      </w:r>
    </w:p>
    <w:p w14:paraId="118792EF" w14:textId="77777777" w:rsidR="0048510E" w:rsidRDefault="0048510E" w:rsidP="0048510E">
      <w:pPr>
        <w:keepNext/>
        <w:jc w:val="both"/>
      </w:pPr>
      <w:r w:rsidRPr="00000C83">
        <w:rPr>
          <w:iCs/>
          <w:noProof/>
        </w:rPr>
        <w:drawing>
          <wp:inline distT="0" distB="0" distL="0" distR="0" wp14:anchorId="3B381665" wp14:editId="71BFE33A">
            <wp:extent cx="5486400" cy="3362400"/>
            <wp:effectExtent l="0" t="38100" r="0" b="47625"/>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91C8E4D" w14:textId="77777777" w:rsidR="0048510E" w:rsidRDefault="0048510E" w:rsidP="0048510E">
      <w:pPr>
        <w:jc w:val="both"/>
        <w:rPr>
          <w:lang w:val="fr-FR"/>
        </w:rPr>
      </w:pPr>
      <w:r w:rsidRPr="004D46DB">
        <w:rPr>
          <w:i/>
          <w:iCs/>
          <w:lang w:val="fr-FR"/>
        </w:rPr>
        <w:t>Source:</w:t>
      </w:r>
      <w:r w:rsidRPr="004D46DB">
        <w:rPr>
          <w:lang w:val="fr-FR"/>
        </w:rPr>
        <w:t xml:space="preserve"> P. Guinard, J-C. </w:t>
      </w:r>
      <w:r w:rsidRPr="007B4724">
        <w:rPr>
          <w:lang w:val="fr-FR"/>
        </w:rPr>
        <w:t xml:space="preserve">Devos and J. Nicot, </w:t>
      </w:r>
      <w:r w:rsidRPr="007B4724">
        <w:rPr>
          <w:i/>
          <w:iCs/>
          <w:lang w:val="fr-FR"/>
        </w:rPr>
        <w:t>Inventaire sommaire des archives de la guerre: série N 1872-1919</w:t>
      </w:r>
      <w:r>
        <w:rPr>
          <w:lang w:val="fr-FR"/>
        </w:rPr>
        <w:t>, (Troyes: 1975), p. 70.</w:t>
      </w:r>
    </w:p>
    <w:p w14:paraId="778BF1A4" w14:textId="77777777" w:rsidR="0048510E" w:rsidRDefault="0048510E" w:rsidP="0048510E">
      <w:pPr>
        <w:jc w:val="both"/>
        <w:rPr>
          <w:lang w:val="fr-FR"/>
        </w:rPr>
      </w:pPr>
    </w:p>
    <w:p w14:paraId="4EC22055" w14:textId="0CCA01E6" w:rsidR="0048510E" w:rsidRDefault="0048510E" w:rsidP="00605DB1">
      <w:pPr>
        <w:jc w:val="both"/>
      </w:pPr>
      <w:r w:rsidRPr="00874456">
        <w:t xml:space="preserve">The Belgians also relied on the cooperation between the army and the political world to launch a campaign of propaganda. </w:t>
      </w:r>
      <w:r>
        <w:t>Th</w:t>
      </w:r>
      <w:r w:rsidR="00645170">
        <w:t>e BDB had been instrumental in</w:t>
      </w:r>
      <w:r>
        <w:t xml:space="preserve"> convincing the authorities to act in the occupied territories</w:t>
      </w:r>
      <w:r w:rsidR="00C03E79">
        <w:t>,</w:t>
      </w:r>
      <w:r>
        <w:t xml:space="preserve"> but lacked resources, competency and credibility to </w:t>
      </w:r>
      <w:r w:rsidR="00645170">
        <w:t>pursue</w:t>
      </w:r>
      <w:r>
        <w:t xml:space="preserve"> the fight </w:t>
      </w:r>
      <w:r w:rsidR="00C03E79">
        <w:t>to keep up</w:t>
      </w:r>
      <w:r>
        <w:t xml:space="preserve"> morale.</w:t>
      </w:r>
      <w:r>
        <w:rPr>
          <w:rStyle w:val="FootnoteReference"/>
        </w:rPr>
        <w:footnoteReference w:id="206"/>
      </w:r>
      <w:r w:rsidR="003757EA">
        <w:t xml:space="preserve"> In spring 1916, the war m</w:t>
      </w:r>
      <w:r>
        <w:t xml:space="preserve">inister Charles de Broqueville appointed his cabinet leader Maurice des Ombriaux as </w:t>
      </w:r>
      <w:r w:rsidR="00C03E79">
        <w:t>editor</w:t>
      </w:r>
      <w:r>
        <w:t xml:space="preserve"> of a monthly pamphlet named </w:t>
      </w:r>
      <w:r>
        <w:rPr>
          <w:i/>
          <w:iCs/>
        </w:rPr>
        <w:t>Le Clairon du Roi</w:t>
      </w:r>
      <w:r>
        <w:t xml:space="preserve">. </w:t>
      </w:r>
      <w:r w:rsidR="0009479B">
        <w:t xml:space="preserve">He also </w:t>
      </w:r>
      <w:r w:rsidR="00C03E79">
        <w:t>fostered links with</w:t>
      </w:r>
      <w:r w:rsidR="0009479B">
        <w:t xml:space="preserve"> a</w:t>
      </w:r>
      <w:r>
        <w:t xml:space="preserve"> communication specialist from the Belgian army and</w:t>
      </w:r>
      <w:r w:rsidR="0009479B">
        <w:t xml:space="preserve"> from</w:t>
      </w:r>
      <w:r>
        <w:t xml:space="preserve"> the Belgian </w:t>
      </w:r>
      <w:r w:rsidR="00605DB1">
        <w:t>air units</w:t>
      </w:r>
      <w:r>
        <w:t xml:space="preserve"> </w:t>
      </w:r>
      <w:r w:rsidR="0009479B">
        <w:t>to</w:t>
      </w:r>
      <w:r>
        <w:t xml:space="preserve"> the project.</w:t>
      </w:r>
      <w:r>
        <w:rPr>
          <w:rStyle w:val="FootnoteReference"/>
        </w:rPr>
        <w:footnoteReference w:id="207"/>
      </w:r>
      <w:r>
        <w:t xml:space="preserve"> </w:t>
      </w:r>
    </w:p>
    <w:p w14:paraId="085F2B2F" w14:textId="1851B4A1" w:rsidR="0048510E" w:rsidRDefault="00605DB1" w:rsidP="00C03E79">
      <w:pPr>
        <w:jc w:val="both"/>
      </w:pPr>
      <w:r>
        <w:t>Psychological warfare also changed on the British side in 1916</w:t>
      </w:r>
      <w:r w:rsidR="0048510E">
        <w:t xml:space="preserve">. So far, most efforts had been dedicated to propaganda on the home front and toward neutral countries. The </w:t>
      </w:r>
      <w:r w:rsidR="0048510E">
        <w:rPr>
          <w:i/>
          <w:iCs/>
        </w:rPr>
        <w:t xml:space="preserve">Lusitania </w:t>
      </w:r>
      <w:r w:rsidR="0048510E">
        <w:t>campaign of 1915, culminating in the distribution of hundreds of thousand replicas of the macabre Goetz medal showing the ship sinking, had been an important success both in Great Britain and in the United States</w:t>
      </w:r>
      <w:r w:rsidR="00C03E79">
        <w:t>,</w:t>
      </w:r>
      <w:r w:rsidR="0048510E">
        <w:t xml:space="preserve"> and had demonstrated the efficiency of propaganda.</w:t>
      </w:r>
      <w:r w:rsidR="0048510E">
        <w:rPr>
          <w:rStyle w:val="FootnoteReference"/>
        </w:rPr>
        <w:footnoteReference w:id="208"/>
      </w:r>
      <w:r w:rsidR="0048510E">
        <w:t xml:space="preserve"> General George Macdonogh was recalled </w:t>
      </w:r>
      <w:r w:rsidR="00645170">
        <w:t>to</w:t>
      </w:r>
      <w:r w:rsidR="0048510E">
        <w:t xml:space="preserve"> the War Office (WO) in December 1915 to address the lack of propaganda aimed at enemy soldiers and occupied French and Belgians. In January 1916, General Macdonogh and the director of </w:t>
      </w:r>
      <w:r w:rsidR="0048510E" w:rsidRPr="00A066D0">
        <w:t>Special Intelligence</w:t>
      </w:r>
      <w:r w:rsidR="0048510E">
        <w:t xml:space="preserve"> (SI) General Cockerill created a unit named </w:t>
      </w:r>
      <w:r w:rsidR="0048510E" w:rsidRPr="00415A32">
        <w:rPr>
          <w:iCs/>
        </w:rPr>
        <w:t>Military Intelligence 7</w:t>
      </w:r>
      <w:r w:rsidR="0048510E" w:rsidRPr="008B58B7">
        <w:rPr>
          <w:i/>
          <w:iCs/>
        </w:rPr>
        <w:t xml:space="preserve"> </w:t>
      </w:r>
      <w:r w:rsidR="0048510E">
        <w:t>(MI7).</w:t>
      </w:r>
      <w:r w:rsidR="0048510E">
        <w:rPr>
          <w:rStyle w:val="FootnoteReference"/>
        </w:rPr>
        <w:footnoteReference w:id="209"/>
      </w:r>
      <w:r w:rsidR="0048510E">
        <w:t xml:space="preserve"> Unlike French and </w:t>
      </w:r>
      <w:r w:rsidR="00645170">
        <w:t>Belgian organisations</w:t>
      </w:r>
      <w:r w:rsidR="0048510E">
        <w:t xml:space="preserve">, MI7 operated in complete military secrecy and above political control. Even General Macdonogh claimed </w:t>
      </w:r>
      <w:r w:rsidR="00C03E79">
        <w:t>ignorance of the</w:t>
      </w:r>
      <w:r w:rsidR="0048510E">
        <w:t xml:space="preserve"> unit’s activities, saying that they could cause him great troubles. This confidentially was reinforced by the destruction of the archives in 1919</w:t>
      </w:r>
      <w:r w:rsidR="00C03E79">
        <w:t>,</w:t>
      </w:r>
      <w:r w:rsidR="0048510E">
        <w:t xml:space="preserve"> and explained why</w:t>
      </w:r>
      <w:r w:rsidR="00645170">
        <w:t xml:space="preserve"> so little was known about MI7 and </w:t>
      </w:r>
      <w:r w:rsidR="0048510E">
        <w:t>why Lord Northcliffe and Crewe House took all credit for propaganda operations after the war.</w:t>
      </w:r>
      <w:r w:rsidR="0048510E">
        <w:rPr>
          <w:rStyle w:val="FootnoteReference"/>
        </w:rPr>
        <w:footnoteReference w:id="210"/>
      </w:r>
      <w:r w:rsidR="0048510E">
        <w:t xml:space="preserve"> </w:t>
      </w:r>
    </w:p>
    <w:p w14:paraId="4608566F" w14:textId="77777777" w:rsidR="0048510E" w:rsidRDefault="0048510E" w:rsidP="0048510E">
      <w:pPr>
        <w:jc w:val="both"/>
      </w:pPr>
      <w:r>
        <w:t xml:space="preserve">The role of MI7 evolved slowly during the year 1916 and soon incorporated, as figure 1.2 shows below, a sub-division in charge of propaganda at home and in foreign countries </w:t>
      </w:r>
      <w:r w:rsidR="00645170">
        <w:t>which was</w:t>
      </w:r>
      <w:r>
        <w:t xml:space="preserve"> called MI7(b). </w:t>
      </w:r>
    </w:p>
    <w:p w14:paraId="48E8A82E" w14:textId="77777777" w:rsidR="0048510E" w:rsidRDefault="0048510E" w:rsidP="0048510E">
      <w:pPr>
        <w:jc w:val="both"/>
      </w:pPr>
    </w:p>
    <w:p w14:paraId="2088CDF8" w14:textId="77777777" w:rsidR="0048510E" w:rsidRPr="00E11270" w:rsidRDefault="0048510E" w:rsidP="0048510E">
      <w:pPr>
        <w:keepNext/>
        <w:jc w:val="both"/>
      </w:pPr>
      <w:r>
        <w:t xml:space="preserve">Figure 1.2: </w:t>
      </w:r>
      <w:r>
        <w:rPr>
          <w:i/>
          <w:iCs/>
        </w:rPr>
        <w:t>Chain of command of MI7(b).</w:t>
      </w:r>
    </w:p>
    <w:p w14:paraId="3B527418" w14:textId="77777777" w:rsidR="0048510E" w:rsidRDefault="0048510E" w:rsidP="0048510E">
      <w:pPr>
        <w:keepNext/>
        <w:jc w:val="both"/>
      </w:pPr>
      <w:r w:rsidRPr="006E0CE3">
        <w:rPr>
          <w:iCs/>
          <w:noProof/>
        </w:rPr>
        <w:drawing>
          <wp:inline distT="0" distB="0" distL="0" distR="0" wp14:anchorId="697D0D4C" wp14:editId="7D7405BB">
            <wp:extent cx="5734050" cy="4638675"/>
            <wp:effectExtent l="0" t="0" r="0" b="952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3C7DC1" w14:textId="77777777" w:rsidR="0048510E" w:rsidRPr="00E11270" w:rsidRDefault="0048510E" w:rsidP="0048510E">
      <w:pPr>
        <w:jc w:val="both"/>
      </w:pPr>
      <w:r>
        <w:rPr>
          <w:i/>
          <w:iCs/>
        </w:rPr>
        <w:t xml:space="preserve">Source: </w:t>
      </w:r>
      <w:r>
        <w:t>NA: INF4/1B. History of MI7(b), (March 1916-December 1918).</w:t>
      </w:r>
    </w:p>
    <w:p w14:paraId="5CB1486D" w14:textId="77777777" w:rsidR="0048510E" w:rsidRDefault="0048510E" w:rsidP="0048510E">
      <w:pPr>
        <w:jc w:val="both"/>
      </w:pPr>
    </w:p>
    <w:p w14:paraId="18346C58" w14:textId="484FA823" w:rsidR="0048510E" w:rsidRDefault="0048510E" w:rsidP="008D4BBF">
      <w:pPr>
        <w:jc w:val="both"/>
      </w:pPr>
      <w:r>
        <w:t xml:space="preserve">Propaganda directed at </w:t>
      </w:r>
      <w:r w:rsidR="00DE3AC9">
        <w:t xml:space="preserve">the </w:t>
      </w:r>
      <w:r>
        <w:t>occupied populations and enemy soldiers was produced by MI7(b)4. The British also tried to collaborate with their allies and in particular with the Belgians who were leading an incoherent campaign of psychological warfare in their invaded homeland. Fortunately for Belgian civilians, a group of Belgian intellectuals led by Henri Davignon</w:t>
      </w:r>
      <w:r w:rsidR="008D4BBF">
        <w:t>,</w:t>
      </w:r>
      <w:r>
        <w:t xml:space="preserve"> </w:t>
      </w:r>
      <w:r w:rsidR="00071534">
        <w:t>officially working for</w:t>
      </w:r>
      <w:r>
        <w:t xml:space="preserve"> the BRC and the Belgian embassy in London</w:t>
      </w:r>
      <w:r w:rsidR="008D4BBF">
        <w:t>,</w:t>
      </w:r>
      <w:r>
        <w:t xml:space="preserve"> was operating independently from the Belgian government as a press and information workshop.</w:t>
      </w:r>
      <w:r>
        <w:rPr>
          <w:rStyle w:val="FootnoteReference"/>
        </w:rPr>
        <w:footnoteReference w:id="211"/>
      </w:r>
      <w:r>
        <w:t xml:space="preserve"> Close contacts with MI7(b) allowed the group to publish a paper in French and Flemish called </w:t>
      </w:r>
      <w:r>
        <w:rPr>
          <w:i/>
          <w:iCs/>
        </w:rPr>
        <w:t>La Lettre du Soldat</w:t>
      </w:r>
      <w:r>
        <w:t xml:space="preserve"> from March 1917 to the end of the war</w:t>
      </w:r>
      <w:r w:rsidR="008D4BBF" w:rsidRPr="008D4BBF">
        <w:t xml:space="preserve"> </w:t>
      </w:r>
      <w:r w:rsidR="008D4BBF">
        <w:t>without interruption</w:t>
      </w:r>
      <w:r>
        <w:t>. MI7(b) offered financial support for the printing process and logistical assistance</w:t>
      </w:r>
      <w:r w:rsidR="008D4BBF">
        <w:t>,</w:t>
      </w:r>
      <w:r>
        <w:t xml:space="preserve"> but concealed its true identity. Lord Onslow, commanding officer of MI7(b) was always taken by the Belgians as the ‘the chief for censure and advertising inside the GQG’.</w:t>
      </w:r>
      <w:r>
        <w:rPr>
          <w:rStyle w:val="FootnoteReference"/>
        </w:rPr>
        <w:footnoteReference w:id="212"/>
      </w:r>
    </w:p>
    <w:p w14:paraId="2E2D3147" w14:textId="0BF9E110" w:rsidR="0048510E" w:rsidRDefault="0048510E" w:rsidP="008D4BBF">
      <w:pPr>
        <w:jc w:val="both"/>
      </w:pPr>
      <w:r>
        <w:t xml:space="preserve">The end of the year 1917 saw the beginning of a key reorganisation of propaganda units </w:t>
      </w:r>
      <w:r w:rsidR="008D4BBF">
        <w:t>in response to</w:t>
      </w:r>
      <w:r>
        <w:t xml:space="preserve"> the intensification of psychologic</w:t>
      </w:r>
      <w:r w:rsidR="00645170">
        <w:t>al warfare. In France, a change</w:t>
      </w:r>
      <w:r>
        <w:t xml:space="preserve"> had occurred in 1916 when Aristide Briand had regrouped propaganda units under the </w:t>
      </w:r>
      <w:r>
        <w:rPr>
          <w:i/>
          <w:iCs/>
        </w:rPr>
        <w:t xml:space="preserve">Maison de la Presse </w:t>
      </w:r>
      <w:r>
        <w:t>(MP). The SPA was a military structure and was therefore not concerned by this reform.</w:t>
      </w:r>
      <w:r>
        <w:rPr>
          <w:rStyle w:val="FootnoteReference"/>
        </w:rPr>
        <w:footnoteReference w:id="213"/>
      </w:r>
      <w:r>
        <w:t xml:space="preserve"> Yet, the rebellions during the offensive of the </w:t>
      </w:r>
      <w:r>
        <w:rPr>
          <w:i/>
          <w:iCs/>
        </w:rPr>
        <w:t>Chemin des Dames</w:t>
      </w:r>
      <w:r>
        <w:t xml:space="preserve"> and the fear of Bolshevism triggered a controversy </w:t>
      </w:r>
      <w:r w:rsidR="008D4BBF">
        <w:t>over</w:t>
      </w:r>
      <w:r>
        <w:t xml:space="preserve"> how the war on morale had been handled. This concerned both military and official circles. Despite its efficiency, the secrecy surrounding </w:t>
      </w:r>
      <w:r w:rsidR="00645170">
        <w:t>its activities brought the MP to</w:t>
      </w:r>
      <w:r>
        <w:t xml:space="preserve"> the centre of the turmoil and caused its downfall. However, the SPA was not spared by the climate of agitation animating politicians. The small unit was the only vector of French communication with the occupied territories. As a result, politicians were tempted to control it in order to have an exclusive access to </w:t>
      </w:r>
      <w:r w:rsidR="00645170">
        <w:t>this audience.  T</w:t>
      </w:r>
      <w:r>
        <w:t>wo members of the SPA</w:t>
      </w:r>
      <w:r w:rsidR="00645170">
        <w:t xml:space="preserve"> Hansi and Tonnelat,</w:t>
      </w:r>
      <w:r>
        <w:t xml:space="preserve"> remembered the following incident:</w:t>
      </w:r>
    </w:p>
    <w:p w14:paraId="16C84B4F" w14:textId="77777777" w:rsidR="0048510E" w:rsidRPr="000E709C" w:rsidRDefault="0048510E" w:rsidP="0048510E">
      <w:pPr>
        <w:ind w:left="567" w:right="567"/>
        <w:jc w:val="both"/>
        <w:rPr>
          <w:lang w:val="fr-FR"/>
        </w:rPr>
      </w:pPr>
      <w:r w:rsidRPr="000E709C">
        <w:rPr>
          <w:lang w:val="fr-FR"/>
        </w:rPr>
        <w:t xml:space="preserve">Nous ne voulions </w:t>
      </w:r>
      <w:r>
        <w:rPr>
          <w:lang w:val="fr-FR"/>
        </w:rPr>
        <w:t>être que des informateurs, et nous évitions avec soin les questions qui eussent pu froisser une catégorie quelconque de lecteurs. Mais il y avait des hommes politiques que notre exacte impartialité ne satisfaisait pas ; ils trouvaient que nous ne mettions pas assez en relief les vertus de tel parti ou leurs mérites propres. L’un d’eux, qu’un changement de cabinet avait fait monter pour quelques mois au rang de sous-secrétaire d’état, voulut profiter de sa puissance éphémère pour faire de ce bulletin sa chose. Il laissa tomber de très haut sur nous sa désapprobation ; il déclara que désormais l’information en pays envahis serait faite sous ses auspices et sous sa direction par quelques journalistes de ses amis, et qu’on allait voir ce que c’était qu’une feuille bien rédigée. Nous restâmes donc inactifs par ordre, et nous attendîmes. Six semaines se passèrent, au bout desquelles on nous apprit que l’Excellence renonçait à une entreprise dont peut-être, à la réflexion, les difficultés lui étaient apparues. Le seul résultat de cette intervention fut que, pendant plus d’un mois, les habitants des régions envahies furent privés de tout envoi de bulletins.</w:t>
      </w:r>
      <w:r>
        <w:rPr>
          <w:rStyle w:val="FootnoteReference"/>
          <w:lang w:val="fr-FR"/>
        </w:rPr>
        <w:footnoteReference w:id="214"/>
      </w:r>
    </w:p>
    <w:p w14:paraId="1CFDD95D" w14:textId="72249CFB" w:rsidR="0048510E" w:rsidRPr="000965BF" w:rsidRDefault="0048510E" w:rsidP="00605DB1">
      <w:pPr>
        <w:jc w:val="both"/>
        <w:rPr>
          <w:iCs/>
          <w:lang w:val="fr-FR"/>
        </w:rPr>
      </w:pPr>
      <w:r w:rsidRPr="00FC2E21">
        <w:rPr>
          <w:iCs/>
        </w:rPr>
        <w:t>The two propagandist</w:t>
      </w:r>
      <w:r>
        <w:rPr>
          <w:iCs/>
        </w:rPr>
        <w:t xml:space="preserve">s carefully hid the identity of the </w:t>
      </w:r>
      <w:r w:rsidRPr="008558E6">
        <w:rPr>
          <w:i/>
        </w:rPr>
        <w:t>Sous-secrétaire d’Etat</w:t>
      </w:r>
      <w:r>
        <w:rPr>
          <w:i/>
        </w:rPr>
        <w:t xml:space="preserve"> </w:t>
      </w:r>
      <w:r>
        <w:rPr>
          <w:iCs/>
        </w:rPr>
        <w:t xml:space="preserve">(SSE) </w:t>
      </w:r>
      <w:r w:rsidR="008D4BBF">
        <w:rPr>
          <w:iCs/>
        </w:rPr>
        <w:t>and</w:t>
      </w:r>
      <w:r>
        <w:rPr>
          <w:iCs/>
        </w:rPr>
        <w:t xml:space="preserve"> even the date at which this event happened. This caution was understandable as the book was written only four years after the end of the war when almost all the actors </w:t>
      </w:r>
      <w:r w:rsidR="008D4BBF">
        <w:rPr>
          <w:iCs/>
        </w:rPr>
        <w:t>in</w:t>
      </w:r>
      <w:r>
        <w:rPr>
          <w:iCs/>
        </w:rPr>
        <w:t xml:space="preserve"> the conflict were still alive. However, it was possible to</w:t>
      </w:r>
      <w:r w:rsidR="00645170">
        <w:rPr>
          <w:iCs/>
        </w:rPr>
        <w:t xml:space="preserve"> precisely</w:t>
      </w:r>
      <w:r>
        <w:rPr>
          <w:iCs/>
        </w:rPr>
        <w:t xml:space="preserve"> localise this incident in time by examining the dates at which the </w:t>
      </w:r>
      <w:r w:rsidRPr="00173E4E">
        <w:rPr>
          <w:i/>
        </w:rPr>
        <w:t>Voix</w:t>
      </w:r>
      <w:r w:rsidRPr="007D2CDD">
        <w:rPr>
          <w:i/>
        </w:rPr>
        <w:t xml:space="preserve"> du Pays</w:t>
      </w:r>
      <w:r>
        <w:rPr>
          <w:iCs/>
        </w:rPr>
        <w:t xml:space="preserve"> was published. The newspaper was interrupted for six weeks between May and June 1917 during the fifth Alexandre Ribot government which was formed on 20 March 1917 and resigned on 7 September of the same year. </w:t>
      </w:r>
      <w:r w:rsidRPr="00586EFE">
        <w:rPr>
          <w:iCs/>
        </w:rPr>
        <w:t>This government, followi</w:t>
      </w:r>
      <w:r w:rsidR="007C221F">
        <w:rPr>
          <w:iCs/>
        </w:rPr>
        <w:t>ng the increasingly frail s</w:t>
      </w:r>
      <w:r>
        <w:rPr>
          <w:iCs/>
        </w:rPr>
        <w:t xml:space="preserve">acred </w:t>
      </w:r>
      <w:r w:rsidR="007C221F">
        <w:rPr>
          <w:iCs/>
        </w:rPr>
        <w:t>u</w:t>
      </w:r>
      <w:r>
        <w:rPr>
          <w:iCs/>
        </w:rPr>
        <w:t>nion policy,</w:t>
      </w:r>
      <w:r w:rsidRPr="00586EFE">
        <w:rPr>
          <w:iCs/>
        </w:rPr>
        <w:t xml:space="preserve"> was a mixture of different po</w:t>
      </w:r>
      <w:r>
        <w:rPr>
          <w:iCs/>
        </w:rPr>
        <w:t xml:space="preserve">litical tendencies such as the </w:t>
      </w:r>
      <w:r w:rsidRPr="008558E6">
        <w:rPr>
          <w:i/>
        </w:rPr>
        <w:t>Fédération Républicaine</w:t>
      </w:r>
      <w:r w:rsidRPr="00456A43">
        <w:rPr>
          <w:iCs/>
        </w:rPr>
        <w:t xml:space="preserve">, the </w:t>
      </w:r>
      <w:r w:rsidRPr="008558E6">
        <w:rPr>
          <w:i/>
        </w:rPr>
        <w:t>Parti Républicain Socialiste</w:t>
      </w:r>
      <w:r>
        <w:rPr>
          <w:iCs/>
        </w:rPr>
        <w:t xml:space="preserve">, the </w:t>
      </w:r>
      <w:r w:rsidRPr="008558E6">
        <w:rPr>
          <w:i/>
        </w:rPr>
        <w:t>Radicaux Indépendants</w:t>
      </w:r>
      <w:r>
        <w:rPr>
          <w:iCs/>
        </w:rPr>
        <w:t xml:space="preserve">, the </w:t>
      </w:r>
      <w:r w:rsidRPr="008558E6">
        <w:rPr>
          <w:i/>
        </w:rPr>
        <w:t>Parti Républicain Démocratique</w:t>
      </w:r>
      <w:r>
        <w:rPr>
          <w:iCs/>
        </w:rPr>
        <w:t xml:space="preserve"> or the </w:t>
      </w:r>
      <w:r w:rsidRPr="008558E6">
        <w:rPr>
          <w:i/>
        </w:rPr>
        <w:t>Section Française de l’Internationale Ouvrière</w:t>
      </w:r>
      <w:r w:rsidRPr="00586EFE">
        <w:rPr>
          <w:iCs/>
        </w:rPr>
        <w:t>.</w:t>
      </w:r>
      <w:r>
        <w:rPr>
          <w:iCs/>
        </w:rPr>
        <w:t xml:space="preserve"> If the archives of the SPA said nothing about the identity of the SSE, one of them was more likely to be involved. Daniel Vincent, member of the </w:t>
      </w:r>
      <w:r w:rsidRPr="008558E6">
        <w:rPr>
          <w:i/>
        </w:rPr>
        <w:t>Parti Républicain Socialiste</w:t>
      </w:r>
      <w:r>
        <w:rPr>
          <w:iCs/>
        </w:rPr>
        <w:t xml:space="preserve">, was the SSE in charge of military aeronautics. He was a native of the occupied </w:t>
      </w:r>
      <w:r>
        <w:rPr>
          <w:i/>
        </w:rPr>
        <w:t>commune</w:t>
      </w:r>
      <w:r>
        <w:rPr>
          <w:iCs/>
        </w:rPr>
        <w:t xml:space="preserve"> of Bettrechies and an elected representative of the north.  Because of his origins and his affiliation with </w:t>
      </w:r>
      <w:r w:rsidR="00605DB1">
        <w:rPr>
          <w:iCs/>
        </w:rPr>
        <w:t>the air units of the army</w:t>
      </w:r>
      <w:r>
        <w:rPr>
          <w:iCs/>
        </w:rPr>
        <w:t>, Daniel Vincent had the motivation and the means to put pressure on the aerial propaganda unit.</w:t>
      </w:r>
      <w:r>
        <w:rPr>
          <w:rStyle w:val="FootnoteReference"/>
          <w:iCs/>
        </w:rPr>
        <w:footnoteReference w:id="215"/>
      </w:r>
      <w:r>
        <w:t xml:space="preserve"> This incident illustrated just how vulnerable the SPA was to external interferences from politicians and the military alike. Internal conflicts pushed </w:t>
      </w:r>
      <w:r w:rsidRPr="007761A7">
        <w:t>Clemenceau</w:t>
      </w:r>
      <w:r>
        <w:t xml:space="preserve"> to ask </w:t>
      </w:r>
      <w:r w:rsidRPr="007761A7">
        <w:t xml:space="preserve">Georges Maringer, </w:t>
      </w:r>
      <w:r w:rsidRPr="007761A7">
        <w:rPr>
          <w:i/>
          <w:iCs/>
        </w:rPr>
        <w:t>Commissaire général à la sûreté nationale</w:t>
      </w:r>
      <w:r w:rsidRPr="007761A7">
        <w:t xml:space="preserve">, to study how to regroup propaganda units </w:t>
      </w:r>
      <w:r>
        <w:t>in an adequate structure</w:t>
      </w:r>
      <w:r w:rsidR="00645170" w:rsidRPr="00645170">
        <w:t xml:space="preserve"> </w:t>
      </w:r>
      <w:r w:rsidR="00645170">
        <w:t>at the end of 1917</w:t>
      </w:r>
      <w:r>
        <w:t>. Clemenceau’s goal was to put the rivalry between the army and the political world to an end by imposing the will of the government in order to increase the efficiency of propaganda.</w:t>
      </w:r>
      <w:r>
        <w:rPr>
          <w:rStyle w:val="FootnoteReference"/>
        </w:rPr>
        <w:footnoteReference w:id="216"/>
      </w:r>
      <w:r>
        <w:t xml:space="preserve"> At the beginning of 1918, all propaganda units were gathered by law in two distinct structures called </w:t>
      </w:r>
      <w:r>
        <w:rPr>
          <w:i/>
          <w:iCs/>
        </w:rPr>
        <w:t xml:space="preserve">Centre d’action de propagande contre l’ennemi </w:t>
      </w:r>
      <w:r>
        <w:t xml:space="preserve">(CAPCE), illustrated in figure 1.3, and </w:t>
      </w:r>
      <w:r>
        <w:rPr>
          <w:i/>
          <w:iCs/>
        </w:rPr>
        <w:t>Commissariat général de la propagande</w:t>
      </w:r>
      <w:r>
        <w:t xml:space="preserve"> (CGP). The main mission of the CAPCE was to fight enemy propaganda on both sides of the trenches by </w:t>
      </w:r>
      <w:r w:rsidR="00645170">
        <w:t>all</w:t>
      </w:r>
      <w:r>
        <w:t xml:space="preserve"> mean</w:t>
      </w:r>
      <w:r w:rsidR="00645170">
        <w:t>s</w:t>
      </w:r>
      <w:r>
        <w:t xml:space="preserve"> possible and also </w:t>
      </w:r>
      <w:r w:rsidR="008D4BBF">
        <w:t xml:space="preserve">to </w:t>
      </w:r>
      <w:r>
        <w:t>create propaganda for the home front and civilians.</w:t>
      </w:r>
      <w:r>
        <w:rPr>
          <w:rStyle w:val="FootnoteReference"/>
        </w:rPr>
        <w:footnoteReference w:id="217"/>
      </w:r>
      <w:r>
        <w:t xml:space="preserve"> The SPA was integrated into this new structure and received the order to limit its actions to French language propaganda aimed at occupied population. </w:t>
      </w:r>
      <w:r w:rsidRPr="00436E93">
        <w:rPr>
          <w:lang w:val="fr-FR"/>
        </w:rPr>
        <w:t>This decision infuriated the members of the SPA:</w:t>
      </w:r>
    </w:p>
    <w:p w14:paraId="51887916" w14:textId="77777777" w:rsidR="0048510E" w:rsidRDefault="0048510E" w:rsidP="0048510E">
      <w:pPr>
        <w:ind w:left="567" w:right="567"/>
        <w:jc w:val="both"/>
        <w:rPr>
          <w:lang w:val="fr-FR"/>
        </w:rPr>
      </w:pPr>
      <w:r w:rsidRPr="003615F5">
        <w:rPr>
          <w:lang w:val="fr-FR"/>
        </w:rPr>
        <w:t xml:space="preserve">On aurait pu s’imaginer que l’action </w:t>
      </w:r>
      <w:r>
        <w:rPr>
          <w:lang w:val="fr-FR"/>
        </w:rPr>
        <w:t>à exercer sur les Allemands serait au premier plan des préoccupations de cette manière de sous-secrétariat d’Etat. Nous l’avions cru en tous cas pour notre part, - un peu naïvement, car il nous fallut bientôt nous rendre compte que le public que l’on visait surtout, c’était le public français lui-même. Y avait-il donc en France des ennemis plus redoutables que les Boches ?</w:t>
      </w:r>
      <w:r>
        <w:rPr>
          <w:rStyle w:val="FootnoteReference"/>
          <w:lang w:val="fr-FR"/>
        </w:rPr>
        <w:footnoteReference w:id="218"/>
      </w:r>
    </w:p>
    <w:p w14:paraId="7B9A1296" w14:textId="77777777" w:rsidR="0048510E" w:rsidRPr="008558E6" w:rsidRDefault="0048510E" w:rsidP="0048510E">
      <w:pPr>
        <w:jc w:val="both"/>
        <w:rPr>
          <w:lang w:val="fr-FR"/>
        </w:rPr>
      </w:pPr>
    </w:p>
    <w:p w14:paraId="60C7FD46" w14:textId="77777777" w:rsidR="0048510E" w:rsidRPr="00862BCF" w:rsidRDefault="0048510E" w:rsidP="0048510E">
      <w:pPr>
        <w:keepNext/>
        <w:jc w:val="both"/>
        <w:rPr>
          <w:i/>
          <w:iCs/>
        </w:rPr>
      </w:pPr>
      <w:r>
        <w:t xml:space="preserve">Figure 1.3: </w:t>
      </w:r>
      <w:r>
        <w:rPr>
          <w:i/>
          <w:iCs/>
        </w:rPr>
        <w:t>Structure of CAPCE.</w:t>
      </w:r>
    </w:p>
    <w:p w14:paraId="734C5F23" w14:textId="77777777" w:rsidR="0048510E" w:rsidRDefault="0048510E" w:rsidP="0048510E">
      <w:pPr>
        <w:keepNext/>
        <w:jc w:val="both"/>
      </w:pPr>
      <w:r w:rsidRPr="00794ED0">
        <w:rPr>
          <w:iCs/>
          <w:noProof/>
        </w:rPr>
        <w:drawing>
          <wp:inline distT="0" distB="0" distL="0" distR="0" wp14:anchorId="670CD111" wp14:editId="71BD5602">
            <wp:extent cx="5486400" cy="3724275"/>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3EAB375" w14:textId="77777777" w:rsidR="0048510E" w:rsidRDefault="0048510E" w:rsidP="0048510E">
      <w:pPr>
        <w:jc w:val="both"/>
        <w:rPr>
          <w:lang w:val="fr-FR"/>
        </w:rPr>
      </w:pPr>
      <w:r w:rsidRPr="00862BCF">
        <w:rPr>
          <w:i/>
          <w:iCs/>
          <w:lang w:val="fr-FR"/>
        </w:rPr>
        <w:t xml:space="preserve">Source: </w:t>
      </w:r>
      <w:r w:rsidRPr="00862BCF">
        <w:rPr>
          <w:lang w:val="fr-FR"/>
        </w:rPr>
        <w:t xml:space="preserve">J-C. Montant, </w:t>
      </w:r>
      <w:r>
        <w:rPr>
          <w:lang w:val="fr-FR"/>
        </w:rPr>
        <w:t>‘La propagande extérieure de la France pendant la Première Guerre Mondiale : l’exemple de quelques neutres’, (PhD thesis, Université de Lille, 1988), p. 317.</w:t>
      </w:r>
    </w:p>
    <w:p w14:paraId="6DF35F26" w14:textId="77777777" w:rsidR="0048510E" w:rsidRPr="00862BCF" w:rsidRDefault="0048510E" w:rsidP="0048510E">
      <w:pPr>
        <w:jc w:val="both"/>
        <w:rPr>
          <w:lang w:val="fr-FR"/>
        </w:rPr>
      </w:pPr>
    </w:p>
    <w:p w14:paraId="2C96383B" w14:textId="3395720F" w:rsidR="0048510E" w:rsidRDefault="0048510E" w:rsidP="008D4BBF">
      <w:pPr>
        <w:jc w:val="both"/>
      </w:pPr>
      <w:r>
        <w:t>During spring 1918, the Belgians also faced a crisis induced by concerning reports coming from the occupied regions</w:t>
      </w:r>
      <w:r w:rsidR="008D4BBF">
        <w:t>,</w:t>
      </w:r>
      <w:r>
        <w:t xml:space="preserve"> demonstrating very poor local morale. </w:t>
      </w:r>
      <w:r w:rsidR="00645170">
        <w:t>T</w:t>
      </w:r>
      <w:r>
        <w:t xml:space="preserve">his crisis </w:t>
      </w:r>
      <w:r w:rsidR="00645170">
        <w:t>was</w:t>
      </w:r>
      <w:r>
        <w:t xml:space="preserve"> triggered by a distribution problem and will be further</w:t>
      </w:r>
      <w:r w:rsidR="008D4BBF">
        <w:t xml:space="preserve"> explored</w:t>
      </w:r>
      <w:r>
        <w:t xml:space="preserve"> in chapters two and seven. Following these reports, consultat</w:t>
      </w:r>
      <w:r w:rsidR="003757EA">
        <w:t>ion</w:t>
      </w:r>
      <w:r w:rsidR="008D4BBF">
        <w:t>s</w:t>
      </w:r>
      <w:r w:rsidR="003757EA">
        <w:t xml:space="preserve"> were organised between the w</w:t>
      </w:r>
      <w:r>
        <w:t xml:space="preserve">ar </w:t>
      </w:r>
      <w:r w:rsidR="003757EA">
        <w:t>m</w:t>
      </w:r>
      <w:r>
        <w:t>inister and the</w:t>
      </w:r>
      <w:r w:rsidR="003757EA">
        <w:rPr>
          <w:iCs/>
        </w:rPr>
        <w:t xml:space="preserve"> Belgian f</w:t>
      </w:r>
      <w:r w:rsidR="001D6CA7">
        <w:rPr>
          <w:iCs/>
        </w:rPr>
        <w:t xml:space="preserve">oreign </w:t>
      </w:r>
      <w:r w:rsidR="003757EA">
        <w:rPr>
          <w:iCs/>
        </w:rPr>
        <w:t>m</w:t>
      </w:r>
      <w:r w:rsidR="001D6CA7">
        <w:rPr>
          <w:iCs/>
        </w:rPr>
        <w:t>inister</w:t>
      </w:r>
      <w:r>
        <w:t xml:space="preserve">. The leader of the London group in charge of the newspaper </w:t>
      </w:r>
      <w:r>
        <w:rPr>
          <w:i/>
          <w:iCs/>
        </w:rPr>
        <w:t>La Lettre du Soldat</w:t>
      </w:r>
      <w:r w:rsidR="008D4BBF">
        <w:rPr>
          <w:i/>
          <w:iCs/>
        </w:rPr>
        <w:t>,</w:t>
      </w:r>
      <w:r>
        <w:t xml:space="preserve"> and the BDB were equally consulted.</w:t>
      </w:r>
      <w:r w:rsidRPr="00B320BA">
        <w:rPr>
          <w:rStyle w:val="FootnoteReference"/>
        </w:rPr>
        <w:t xml:space="preserve"> </w:t>
      </w:r>
      <w:r>
        <w:rPr>
          <w:rStyle w:val="FootnoteReference"/>
        </w:rPr>
        <w:footnoteReference w:id="219"/>
      </w:r>
      <w:r>
        <w:t xml:space="preserve"> All sides agreed on the necessity to increase efforts. To do so, the </w:t>
      </w:r>
      <w:r>
        <w:rPr>
          <w:i/>
          <w:iCs/>
        </w:rPr>
        <w:t xml:space="preserve">Office Belge de la Propagande </w:t>
      </w:r>
      <w:r>
        <w:t xml:space="preserve">(OPB) was transformed. Created in June 1916, this OPB was a propaganda unit supervised by a </w:t>
      </w:r>
      <w:r>
        <w:rPr>
          <w:i/>
          <w:iCs/>
        </w:rPr>
        <w:t>Comité gouvernemental de propagande,</w:t>
      </w:r>
      <w:r>
        <w:t xml:space="preserve"> </w:t>
      </w:r>
      <w:r w:rsidR="008D4BBF">
        <w:t>which</w:t>
      </w:r>
      <w:r>
        <w:t xml:space="preserve"> mostly </w:t>
      </w:r>
      <w:r w:rsidR="008D4BBF">
        <w:t xml:space="preserve">regrouped </w:t>
      </w:r>
      <w:r>
        <w:t xml:space="preserve">exiled cabinet members. The OPB was working on propaganda aimed at </w:t>
      </w:r>
      <w:r w:rsidR="002068A7">
        <w:t>a</w:t>
      </w:r>
      <w:r>
        <w:t>llied and neutral countries but was not in charge of the occupied territories. In June 1918, a sub-service directed by Léon va</w:t>
      </w:r>
      <w:r w:rsidR="003757EA">
        <w:t>n der Essen was created by the war m</w:t>
      </w:r>
      <w:r>
        <w:t xml:space="preserve">inister inside the OPB. The only mission of this new group was to write a newspaper named </w:t>
      </w:r>
      <w:r>
        <w:rPr>
          <w:i/>
          <w:iCs/>
        </w:rPr>
        <w:t xml:space="preserve">Les Bonnes Nouvelles </w:t>
      </w:r>
      <w:r>
        <w:t xml:space="preserve">carrying positive news and arguments fighting the </w:t>
      </w:r>
      <w:r>
        <w:rPr>
          <w:i/>
          <w:iCs/>
        </w:rPr>
        <w:t>Flamenpolitik</w:t>
      </w:r>
      <w:r>
        <w:t>.</w:t>
      </w:r>
      <w:r>
        <w:rPr>
          <w:rStyle w:val="FootnoteReference"/>
        </w:rPr>
        <w:footnoteReference w:id="220"/>
      </w:r>
      <w:r>
        <w:t xml:space="preserve"> </w:t>
      </w:r>
    </w:p>
    <w:p w14:paraId="19F7F9FD" w14:textId="1368F2DA" w:rsidR="0048510E" w:rsidRDefault="0048510E" w:rsidP="008D4BBF">
      <w:pPr>
        <w:jc w:val="both"/>
      </w:pPr>
      <w:r>
        <w:t xml:space="preserve">Yet, the new </w:t>
      </w:r>
      <w:r w:rsidR="00660480">
        <w:t>newspaper</w:t>
      </w:r>
      <w:r>
        <w:t xml:space="preserve"> was quickly criti</w:t>
      </w:r>
      <w:r w:rsidR="003757EA">
        <w:t>cised by the army and the war m</w:t>
      </w:r>
      <w:r>
        <w:t>inister. It was altered to improve its impact while the OPB was contemplating the possibility of an illustrated newspaper made in collaboration with the British. However, as the war end</w:t>
      </w:r>
      <w:r w:rsidR="00B077EF">
        <w:t>ed</w:t>
      </w:r>
      <w:r w:rsidR="008D4BBF" w:rsidRPr="008D4BBF">
        <w:t xml:space="preserve"> </w:t>
      </w:r>
      <w:r w:rsidR="008D4BBF">
        <w:t>these projects never came to life</w:t>
      </w:r>
      <w:r>
        <w:t>.</w:t>
      </w:r>
      <w:r>
        <w:rPr>
          <w:rStyle w:val="FootnoteReference"/>
        </w:rPr>
        <w:footnoteReference w:id="221"/>
      </w:r>
    </w:p>
    <w:p w14:paraId="593E2E7C" w14:textId="3A8FDC04" w:rsidR="0048510E" w:rsidRDefault="0048510E" w:rsidP="008D4BBF">
      <w:pPr>
        <w:jc w:val="both"/>
      </w:pPr>
      <w:r>
        <w:t xml:space="preserve">British propaganda also underwent </w:t>
      </w:r>
      <w:r w:rsidR="008D4BBF">
        <w:t>considerable transformations</w:t>
      </w:r>
      <w:r>
        <w:t xml:space="preserve"> during 1918. The responsibility for leaflets </w:t>
      </w:r>
      <w:r w:rsidR="001D6CA7">
        <w:t>aimed at</w:t>
      </w:r>
      <w:r>
        <w:t xml:space="preserve"> enemy soldiers had </w:t>
      </w:r>
      <w:r w:rsidR="008D4BBF">
        <w:t>this</w:t>
      </w:r>
      <w:r>
        <w:t xml:space="preserve"> far been attributed to MI7(b)4 but was transferred to Crewe House, officially known as the </w:t>
      </w:r>
      <w:r w:rsidRPr="00415A32">
        <w:rPr>
          <w:iCs/>
        </w:rPr>
        <w:t>Enemy Propaganda Department</w:t>
      </w:r>
      <w:r>
        <w:t xml:space="preserve">, under the responsibility of the Director of Propaganda Lord Northcliffe. This transfer seems counterproductive since MI7(b) was achieving good results. Sanders and Taylor argued in </w:t>
      </w:r>
      <w:r>
        <w:rPr>
          <w:i/>
          <w:iCs/>
        </w:rPr>
        <w:t>British propaganda during the First World War</w:t>
      </w:r>
      <w:r>
        <w:t xml:space="preserve"> that Lloyd George wanted to involve Lord Northcliffe who </w:t>
      </w:r>
      <w:r w:rsidR="008D4BBF">
        <w:t>had been</w:t>
      </w:r>
      <w:r>
        <w:t xml:space="preserve"> an ardent critic of the government since the beginning of the conflict. Giving away official activities was a move to tone down the media baron. Another hypothesis voiced by the two British historians was that the transfer of enemy propaganda was a way to resolve the long-lasting </w:t>
      </w:r>
      <w:r w:rsidR="00645170">
        <w:t>conflict</w:t>
      </w:r>
      <w:r>
        <w:t xml:space="preserve"> between the WO and the </w:t>
      </w:r>
      <w:r w:rsidRPr="00415A32">
        <w:rPr>
          <w:iCs/>
        </w:rPr>
        <w:t>Foreign Office</w:t>
      </w:r>
      <w:r>
        <w:t xml:space="preserve"> (FO).</w:t>
      </w:r>
      <w:r>
        <w:rPr>
          <w:rStyle w:val="FootnoteReference"/>
        </w:rPr>
        <w:footnoteReference w:id="222"/>
      </w:r>
      <w:r>
        <w:t xml:space="preserve"> However, Lord Northcliffe showed little interest </w:t>
      </w:r>
      <w:r w:rsidR="008D4BBF">
        <w:t>in</w:t>
      </w:r>
      <w:r>
        <w:t xml:space="preserve"> propaganda aimed at occupied population. It was finally decided during the month of August 1918 that MI7(b)4 would keep the production of the </w:t>
      </w:r>
      <w:r>
        <w:rPr>
          <w:i/>
          <w:iCs/>
        </w:rPr>
        <w:t>Courrier de l’Air</w:t>
      </w:r>
      <w:r>
        <w:t>, the reproduction of prisoner of war letters and take charge of distribution.</w:t>
      </w:r>
      <w:r>
        <w:rPr>
          <w:rStyle w:val="FootnoteReference"/>
        </w:rPr>
        <w:footnoteReference w:id="223"/>
      </w:r>
    </w:p>
    <w:p w14:paraId="418A2124" w14:textId="4CE491B6" w:rsidR="0048510E" w:rsidRDefault="0048510E" w:rsidP="008D4BBF">
      <w:pPr>
        <w:jc w:val="both"/>
      </w:pPr>
      <w:r>
        <w:t>Units conceiving propaganda behind the lines experienced difficulties after the end of the conflict. MI7 and most other British propaganda organisations were shut dow</w:t>
      </w:r>
      <w:r w:rsidR="008D4BBF">
        <w:t>n despite Lloyd George’s praise of them</w:t>
      </w:r>
      <w:r>
        <w:t>. After the Armistice, the government jumped on the pretext that such structures were no</w:t>
      </w:r>
      <w:r w:rsidR="008D4BBF">
        <w:t xml:space="preserve"> longer</w:t>
      </w:r>
      <w:r>
        <w:t xml:space="preserve"> needed to get rid of an uncomfortable weapon</w:t>
      </w:r>
      <w:r w:rsidR="008D4BBF">
        <w:t xml:space="preserve"> which was</w:t>
      </w:r>
      <w:r>
        <w:t xml:space="preserve"> seen as going against British values. This view was probably premature</w:t>
      </w:r>
      <w:r w:rsidR="008D4BBF">
        <w:t>,</w:t>
      </w:r>
      <w:r>
        <w:t xml:space="preserve"> considering the</w:t>
      </w:r>
      <w:r w:rsidR="00FF3703">
        <w:t xml:space="preserve"> need for propaganda in Germany to counter the</w:t>
      </w:r>
      <w:r>
        <w:t xml:space="preserve"> unpopular </w:t>
      </w:r>
      <w:r w:rsidR="00FF3703">
        <w:t xml:space="preserve">allied </w:t>
      </w:r>
      <w:r>
        <w:t>occupa</w:t>
      </w:r>
      <w:r w:rsidR="003918F7">
        <w:t>tion of the Rhineland</w:t>
      </w:r>
      <w:r>
        <w:t xml:space="preserve">. </w:t>
      </w:r>
      <w:r w:rsidR="00FF3703">
        <w:t>But a</w:t>
      </w:r>
      <w:r>
        <w:t xml:space="preserve">fter the war, propaganda </w:t>
      </w:r>
      <w:r w:rsidR="00FF3703">
        <w:t xml:space="preserve">had </w:t>
      </w:r>
      <w:r>
        <w:t xml:space="preserve">attracted </w:t>
      </w:r>
      <w:r w:rsidR="00FF3703">
        <w:t xml:space="preserve">too much </w:t>
      </w:r>
      <w:r>
        <w:t xml:space="preserve">negative attention </w:t>
      </w:r>
      <w:r w:rsidR="00FF3703">
        <w:t xml:space="preserve">in Europe and in the United States, thanks to </w:t>
      </w:r>
      <w:r>
        <w:t xml:space="preserve">books such as </w:t>
      </w:r>
      <w:r>
        <w:rPr>
          <w:i/>
          <w:iCs/>
        </w:rPr>
        <w:t>Falsehood in wartime</w:t>
      </w:r>
      <w:r>
        <w:t>.</w:t>
      </w:r>
      <w:r>
        <w:rPr>
          <w:rStyle w:val="FootnoteReference"/>
        </w:rPr>
        <w:footnoteReference w:id="224"/>
      </w:r>
      <w:r>
        <w:t xml:space="preserve"> Chapter seven will explore the</w:t>
      </w:r>
      <w:r w:rsidR="003C28AB">
        <w:t xml:space="preserve"> legacy left by MI7 and the SPA, suggesting that anti-propaganda campaigns and the lack of preparation had a negative impact on psychological warfare during the Second World War</w:t>
      </w:r>
      <w:r>
        <w:t>.</w:t>
      </w:r>
    </w:p>
    <w:p w14:paraId="6B26309A" w14:textId="3CE42D87" w:rsidR="0048510E" w:rsidRDefault="0048510E" w:rsidP="0048510E">
      <w:pPr>
        <w:jc w:val="both"/>
      </w:pPr>
      <w:r>
        <w:t xml:space="preserve">The situation was not very different in Belgium. The BDB and the OPB pursued </w:t>
      </w:r>
      <w:r w:rsidR="003C28AB">
        <w:t>propaganda</w:t>
      </w:r>
      <w:r>
        <w:t xml:space="preserve"> activities after the end of the conflict</w:t>
      </w:r>
      <w:r w:rsidR="008D4BBF">
        <w:t>,</w:t>
      </w:r>
      <w:r>
        <w:t xml:space="preserve"> but were finally dismantled during 1919. In the absence of an enemy, the government did not see any point in keeping these units.</w:t>
      </w:r>
      <w:r>
        <w:rPr>
          <w:rStyle w:val="FootnoteReference"/>
        </w:rPr>
        <w:footnoteReference w:id="225"/>
      </w:r>
      <w:r>
        <w:t xml:space="preserve"> In France, the general elections of 1919</w:t>
      </w:r>
      <w:r w:rsidR="00645170">
        <w:t>,</w:t>
      </w:r>
      <w:r>
        <w:t xml:space="preserve"> the fear of Bolshevism and the events in Russia encouraged the government to keep the SPA. Its members wanted to carry on the campaign of communication to convert German civilians to Francophile ideas</w:t>
      </w:r>
      <w:r w:rsidR="008D4BBF">
        <w:t>,</w:t>
      </w:r>
      <w:r>
        <w:t xml:space="preserve"> but were ordered to dedicate their time to anti-Bolshevik propaganda.</w:t>
      </w:r>
      <w:r>
        <w:rPr>
          <w:rStyle w:val="FootnoteReference"/>
        </w:rPr>
        <w:footnoteReference w:id="226"/>
      </w:r>
      <w:r>
        <w:t xml:space="preserve"> Once again, chapter seven will underline that French propaganda left an important legacy influencing psychological warfare during the Second World War.</w:t>
      </w:r>
    </w:p>
    <w:p w14:paraId="33236B92" w14:textId="77777777" w:rsidR="0048510E" w:rsidRDefault="0048510E" w:rsidP="0048510E">
      <w:pPr>
        <w:pStyle w:val="Heading2"/>
      </w:pPr>
      <w:bookmarkStart w:id="15" w:name="_Toc402192950"/>
      <w:r>
        <w:t>Profiles of propagandists</w:t>
      </w:r>
      <w:bookmarkEnd w:id="15"/>
    </w:p>
    <w:p w14:paraId="70E2A1F8" w14:textId="4D2CA4C0" w:rsidR="0048510E" w:rsidRDefault="0048510E" w:rsidP="008D4BBF">
      <w:pPr>
        <w:jc w:val="both"/>
      </w:pPr>
      <w:r>
        <w:t>The fact that all</w:t>
      </w:r>
      <w:r w:rsidR="008D4BBF">
        <w:t xml:space="preserve"> the</w:t>
      </w:r>
      <w:r>
        <w:t xml:space="preserve"> </w:t>
      </w:r>
      <w:r w:rsidR="002068A7">
        <w:t>a</w:t>
      </w:r>
      <w:r>
        <w:t xml:space="preserve">llied nations entered the war without propaganda units meant that the right men had to be found. Propaganda theory and psychology were still rudimentary disciplines, unable to provide answers as </w:t>
      </w:r>
      <w:r w:rsidR="008D4BBF">
        <w:t xml:space="preserve">to </w:t>
      </w:r>
      <w:r>
        <w:t xml:space="preserve">how to coordinate a war of the mind. In fact, a real methodology only appeared </w:t>
      </w:r>
      <w:r w:rsidR="008D4BBF">
        <w:t xml:space="preserve">just </w:t>
      </w:r>
      <w:r>
        <w:t>before the Second World War.</w:t>
      </w:r>
      <w:r>
        <w:rPr>
          <w:rStyle w:val="FootnoteReference"/>
        </w:rPr>
        <w:footnoteReference w:id="227"/>
      </w:r>
      <w:r>
        <w:t xml:space="preserve"> In these circumstances, various criteria were applied to select propagandists and usually reflected what was expected of propaganda by </w:t>
      </w:r>
      <w:r w:rsidR="002068A7">
        <w:t>a</w:t>
      </w:r>
      <w:r>
        <w:t>llied governments and military institutions. Yet, recruitment was far from innocuous; the men behind newspapers and leaflets inspired different editorial directions based on their life and work experience. Some characteristics were common to Belgian, British, and French propagandists. All came from educated, middle</w:t>
      </w:r>
      <w:r w:rsidR="008D4BBF">
        <w:t>-</w:t>
      </w:r>
      <w:r>
        <w:t>to</w:t>
      </w:r>
      <w:r w:rsidR="008D4BBF">
        <w:t>-</w:t>
      </w:r>
      <w:r>
        <w:t>upper class backgrounds and most of them would later be successful in their post-war careers. This fact was explained by the need for people with literary experience and advanced knowledge of the German language to write leaflets aimed at enemy soldiers. In addition, British propagandists had to be fluent in French while Belgian writers were usually able to speak Dutch.</w:t>
      </w:r>
      <w:r>
        <w:rPr>
          <w:rStyle w:val="FootnoteReference"/>
        </w:rPr>
        <w:footnoteReference w:id="228"/>
      </w:r>
      <w:r>
        <w:t xml:space="preserve"> This situation was not </w:t>
      </w:r>
      <w:r w:rsidR="008D4BBF">
        <w:t>dissimilar</w:t>
      </w:r>
      <w:r>
        <w:t xml:space="preserve"> to what Jacques Ellul underlined when he wrote that propagandists, i</w:t>
      </w:r>
      <w:r w:rsidR="008D4BBF">
        <w:t>ndependently from their ethnic</w:t>
      </w:r>
      <w:r>
        <w:t xml:space="preserve"> or political profile, were almost always selected from upper middle class background because they were able to understand and influence a wide range of people.</w:t>
      </w:r>
      <w:r>
        <w:rPr>
          <w:rStyle w:val="FootnoteReference"/>
        </w:rPr>
        <w:footnoteReference w:id="229"/>
      </w:r>
      <w:r>
        <w:t xml:space="preserve"> In other words, the states systematically hired men who had the ability to mobilise key groups from different layers of society. The same kind of recruitments was made by </w:t>
      </w:r>
      <w:r w:rsidR="00645170">
        <w:t xml:space="preserve">the </w:t>
      </w:r>
      <w:r w:rsidR="002068A7">
        <w:t>a</w:t>
      </w:r>
      <w:r>
        <w:t>llie</w:t>
      </w:r>
      <w:r w:rsidR="00913FF1">
        <w:t>d government to remobilise the home f</w:t>
      </w:r>
      <w:r>
        <w:t>ront in 1917.</w:t>
      </w:r>
      <w:r>
        <w:rPr>
          <w:rStyle w:val="FootnoteReference"/>
        </w:rPr>
        <w:footnoteReference w:id="230"/>
      </w:r>
    </w:p>
    <w:p w14:paraId="416C9071" w14:textId="7F57180D" w:rsidR="0048510E" w:rsidRDefault="0048510E" w:rsidP="008D4BBF">
      <w:pPr>
        <w:jc w:val="both"/>
      </w:pPr>
      <w:r>
        <w:t>The French authorities did not advertise vacancies or open positions</w:t>
      </w:r>
      <w:r w:rsidR="008D4BBF">
        <w:t>,</w:t>
      </w:r>
      <w:r>
        <w:t xml:space="preserve"> but directly </w:t>
      </w:r>
      <w:r w:rsidR="00645170">
        <w:t>approached</w:t>
      </w:r>
      <w:r>
        <w:t xml:space="preserve"> people who were deemed </w:t>
      </w:r>
      <w:r w:rsidR="00645170">
        <w:t>capable</w:t>
      </w:r>
      <w:r>
        <w:t xml:space="preserve"> </w:t>
      </w:r>
      <w:r w:rsidR="008D4BBF">
        <w:t>of</w:t>
      </w:r>
      <w:r>
        <w:t xml:space="preserve"> the task. In August 1915, a specialist of Germany named Ernest Tonnelat became the first man to be recruited to work on aerial propaganda. Born in 1877, the man already had an impressive academic career when the war started, with a doctoral thesis on the brothers Grimm, and had held different positions in French universities. In addition to </w:t>
      </w:r>
      <w:r w:rsidR="008D4BBF">
        <w:t>this</w:t>
      </w:r>
      <w:r>
        <w:t xml:space="preserve">, he was also an expert on pan-Germanism and had travelled extensively in the country. Tonnelat had served as a sergeant in the infantry </w:t>
      </w:r>
      <w:r w:rsidR="00A83F9A">
        <w:t xml:space="preserve">at the beginning of the conflict </w:t>
      </w:r>
      <w:r>
        <w:t xml:space="preserve">but had caught an illness and had to be transferred </w:t>
      </w:r>
      <w:r w:rsidR="00A83F9A">
        <w:t>to</w:t>
      </w:r>
      <w:r>
        <w:t xml:space="preserve"> the rear</w:t>
      </w:r>
      <w:r w:rsidR="00A83F9A">
        <w:t>.</w:t>
      </w:r>
      <w:r>
        <w:t xml:space="preserve"> The academic became a military nurse before being promoted to Lieutenant and transferred to the SPA. The conflict did not affect his interest </w:t>
      </w:r>
      <w:r w:rsidR="008D4BBF">
        <w:t>in</w:t>
      </w:r>
      <w:r>
        <w:t xml:space="preserve"> Germany or his career as he became professor at the </w:t>
      </w:r>
      <w:r>
        <w:rPr>
          <w:i/>
          <w:iCs/>
        </w:rPr>
        <w:t xml:space="preserve">Collège de France. </w:t>
      </w:r>
      <w:r>
        <w:t xml:space="preserve">Interestingly, he later resumed his </w:t>
      </w:r>
      <w:r w:rsidR="003C28AB">
        <w:t>task</w:t>
      </w:r>
      <w:r>
        <w:t xml:space="preserve"> as a propagandist during the ‘phoney war’ inside the </w:t>
      </w:r>
      <w:r>
        <w:rPr>
          <w:i/>
          <w:iCs/>
        </w:rPr>
        <w:t>Commissariat Général à l’information</w:t>
      </w:r>
      <w:r>
        <w:t xml:space="preserve"> (CGI) and died in 1948.</w:t>
      </w:r>
      <w:r>
        <w:rPr>
          <w:rStyle w:val="FootnoteReference"/>
        </w:rPr>
        <w:footnoteReference w:id="231"/>
      </w:r>
      <w:r>
        <w:t xml:space="preserve"> His colleague was a very different man and has already been encountered in this thesis. Jean-Jacques Waltz, nicknamed and universally known as Hansi, was born in 1873 in Alsace. His talent as an artist </w:t>
      </w:r>
      <w:r w:rsidR="008D4BBF">
        <w:t>was</w:t>
      </w:r>
      <w:r>
        <w:t xml:space="preserve"> used </w:t>
      </w:r>
      <w:r w:rsidR="008D4BBF">
        <w:t>in drawing</w:t>
      </w:r>
      <w:r>
        <w:t xml:space="preserve"> comic books about his region</w:t>
      </w:r>
      <w:r w:rsidR="008D4BBF">
        <w:t>,</w:t>
      </w:r>
      <w:r>
        <w:t xml:space="preserve"> but also against the German occupation. Following his trial in 1914, he managed to escape the lost provinces for France and joined the infantry at the beginning of the war. Threatened by Germany, the French authorities rapidly understood that he </w:t>
      </w:r>
      <w:r w:rsidR="008D4BBF">
        <w:t>was more valuable</w:t>
      </w:r>
      <w:r>
        <w:t xml:space="preserve"> working in an office as a symbol of Alsace collaborating with France than in the trenches. He was transferred to the SPA at the end of 1915. Hansi’s knowledge of German and </w:t>
      </w:r>
      <w:r w:rsidR="00A83F9A">
        <w:t xml:space="preserve">the </w:t>
      </w:r>
      <w:r>
        <w:t xml:space="preserve">Alsatian dialect was an essential skill put to good use by the EMA. The artist went back to Colmar after the conflict where he held various positions before having to flee again during the Second World War. More than sixty years after his death in 1951, </w:t>
      </w:r>
      <w:r w:rsidR="008D4BBF">
        <w:t>his</w:t>
      </w:r>
      <w:r>
        <w:t xml:space="preserve"> representations of his homeland are still very much present in Alsace</w:t>
      </w:r>
      <w:r w:rsidR="008D4BBF">
        <w:t xml:space="preserve"> where he is well remembered</w:t>
      </w:r>
      <w:r>
        <w:t>.</w:t>
      </w:r>
      <w:r>
        <w:rPr>
          <w:rStyle w:val="FootnoteReference"/>
        </w:rPr>
        <w:footnoteReference w:id="232"/>
      </w:r>
      <w:r>
        <w:t xml:space="preserve"> A third man joined the SPA on 21 June 1917. Raymond Schulh, born in 1884 in Alsace, was from a rich and educated family and his knowledge of German and the Alsatian dialect proved paramount for propaganda work. His pre-war contacts in Europe were used to </w:t>
      </w:r>
      <w:r w:rsidR="003C28AB">
        <w:t>distribute</w:t>
      </w:r>
      <w:r>
        <w:t xml:space="preserve"> leaflets through underground channels. After 1918, Raymond Schulh resumed his career </w:t>
      </w:r>
      <w:r w:rsidR="008D4BBF">
        <w:t>until he</w:t>
      </w:r>
      <w:r>
        <w:t xml:space="preserve"> was called back to serve as a captain for the CGI</w:t>
      </w:r>
      <w:r w:rsidR="00A83F9A" w:rsidRPr="00A83F9A">
        <w:t xml:space="preserve"> </w:t>
      </w:r>
      <w:r w:rsidR="00A83F9A">
        <w:t>at the beginning of the Second World War</w:t>
      </w:r>
      <w:r>
        <w:t>. He took command of the 6th Section of the EMA (</w:t>
      </w:r>
      <w:r w:rsidRPr="003C28AB">
        <w:rPr>
          <w:i/>
        </w:rPr>
        <w:t>Morale</w:t>
      </w:r>
      <w:r>
        <w:t>) before being demobilized for health reasons in March 1940.</w:t>
      </w:r>
      <w:r>
        <w:rPr>
          <w:rStyle w:val="FootnoteReference"/>
        </w:rPr>
        <w:footnoteReference w:id="233"/>
      </w:r>
      <w:r>
        <w:t xml:space="preserve"> Two civilians, a journalist named Emile Desvaux and a university professor called Albert Monod, were also involved in writing the newspaper in French but the archives of the SPA contain nothing about them.</w:t>
      </w:r>
      <w:r>
        <w:rPr>
          <w:rStyle w:val="FootnoteReference"/>
        </w:rPr>
        <w:footnoteReference w:id="234"/>
      </w:r>
    </w:p>
    <w:p w14:paraId="7CEE27DF" w14:textId="26F12DD9" w:rsidR="0048510E" w:rsidRDefault="0048510E" w:rsidP="008D4BBF">
      <w:pPr>
        <w:jc w:val="both"/>
      </w:pPr>
      <w:r>
        <w:t xml:space="preserve">There was a sharp contrast between British and French methods of recruitment. A career officer severely wounded in action and unfit for active duty named Lt-Colonel Warburton Davies was appointed commander of MI7 in March 1916. He was given the task </w:t>
      </w:r>
      <w:r w:rsidR="008D4BBF">
        <w:t>of</w:t>
      </w:r>
      <w:r>
        <w:t xml:space="preserve"> recruit</w:t>
      </w:r>
      <w:r w:rsidR="008D4BBF">
        <w:t>ing</w:t>
      </w:r>
      <w:r>
        <w:t xml:space="preserve"> suitable men to fill the po</w:t>
      </w:r>
      <w:r w:rsidR="003C28AB">
        <w:t xml:space="preserve">sitions available inside MI7(b). He </w:t>
      </w:r>
      <w:r>
        <w:t>was helped in his task by Major Fisher, his second, and Captain Lord Onslow, commander of MI7(b), who had been assigned to their roles in April 1916. The jobs were opened to soldiers suitable for ‘</w:t>
      </w:r>
      <w:r w:rsidR="00A83F9A">
        <w:t>h</w:t>
      </w:r>
      <w:r>
        <w:t xml:space="preserve">ome </w:t>
      </w:r>
      <w:r w:rsidR="00A83F9A">
        <w:t>s</w:t>
      </w:r>
      <w:r>
        <w:t>ervice or light or sedentary duty only’ and were subject to a written examination</w:t>
      </w:r>
      <w:r w:rsidR="008D4BBF">
        <w:t>,</w:t>
      </w:r>
      <w:r>
        <w:t xml:space="preserve"> designed to evaluate the literary skills of the candidates.</w:t>
      </w:r>
      <w:r>
        <w:rPr>
          <w:rStyle w:val="FootnoteReference"/>
        </w:rPr>
        <w:footnoteReference w:id="235"/>
      </w:r>
      <w:r>
        <w:t xml:space="preserve"> Unlike the French, knowledge of languages or German culture was considered less important than the ability to write. Unsurprisingly, most of the seventeen men selected were professional writers.</w:t>
      </w:r>
      <w:r>
        <w:rPr>
          <w:rStyle w:val="FootnoteReference"/>
        </w:rPr>
        <w:footnoteReference w:id="236"/>
      </w:r>
      <w:r>
        <w:t xml:space="preserve"> </w:t>
      </w:r>
      <w:r w:rsidR="00A83F9A">
        <w:t xml:space="preserve">For example, </w:t>
      </w:r>
      <w:r>
        <w:t xml:space="preserve">Captain R. Rees, who had contracted fever in the trenches, was a journalist for </w:t>
      </w:r>
      <w:r>
        <w:rPr>
          <w:i/>
          <w:iCs/>
        </w:rPr>
        <w:t>The Sunday Times</w:t>
      </w:r>
      <w:r>
        <w:t xml:space="preserve"> and a boys’ magazine named </w:t>
      </w:r>
      <w:r>
        <w:rPr>
          <w:i/>
          <w:iCs/>
        </w:rPr>
        <w:t>The Captain</w:t>
      </w:r>
      <w:r>
        <w:t>. Captain F. Grierson was another pre-war journalist</w:t>
      </w:r>
      <w:r w:rsidR="008D4BBF">
        <w:t>,</w:t>
      </w:r>
      <w:r>
        <w:t xml:space="preserve"> who later wrote for the </w:t>
      </w:r>
      <w:r>
        <w:rPr>
          <w:i/>
          <w:iCs/>
        </w:rPr>
        <w:t>Daily Mail</w:t>
      </w:r>
      <w:r w:rsidR="008D4BBF">
        <w:rPr>
          <w:i/>
          <w:iCs/>
        </w:rPr>
        <w:t>,</w:t>
      </w:r>
      <w:r>
        <w:t xml:space="preserve"> and also released detective novels</w:t>
      </w:r>
      <w:r w:rsidR="008D4BBF">
        <w:t>,</w:t>
      </w:r>
      <w:r>
        <w:t xml:space="preserve"> while his MI7(b) colleague, Captain J. Morton, worked for the </w:t>
      </w:r>
      <w:r>
        <w:rPr>
          <w:i/>
          <w:iCs/>
        </w:rPr>
        <w:t>Daily Express</w:t>
      </w:r>
      <w:r>
        <w:t>.</w:t>
      </w:r>
      <w:r>
        <w:rPr>
          <w:rStyle w:val="FootnoteReference"/>
        </w:rPr>
        <w:footnoteReference w:id="237"/>
      </w:r>
      <w:r>
        <w:t xml:space="preserve"> The recruitment of professional journalists writing for the popular press and associated with Lord Northcliffe and Lord Beaverbrook seems to suggest that British military hierarchy perceived this profession as ideal for the conception of propaganda. This view was close to </w:t>
      </w:r>
      <w:r w:rsidR="008D4BBF">
        <w:t>that</w:t>
      </w:r>
      <w:r>
        <w:t xml:space="preserve"> expressed by propaganda theorist Serge Chakotin</w:t>
      </w:r>
      <w:r w:rsidR="008D4BBF">
        <w:t>,</w:t>
      </w:r>
      <w:r>
        <w:t xml:space="preserve"> who suggested that a journalist was an ‘engineer of souls’ and was closely connected to propaganda activities.</w:t>
      </w:r>
      <w:r>
        <w:rPr>
          <w:rStyle w:val="FootnoteReference"/>
        </w:rPr>
        <w:footnoteReference w:id="238"/>
      </w:r>
      <w:r>
        <w:t xml:space="preserve"> </w:t>
      </w:r>
      <w:r w:rsidR="00A83F9A">
        <w:t>There were also numerous novelists</w:t>
      </w:r>
      <w:r>
        <w:t xml:space="preserve"> in MI7(b), with men such as Major C. Street, who wrote 140 books after the war, Lieutenant James Ozanne, Captain Lord Dunsany, and Captain A. A. Milne who became famous for creating Winnie-the-Pooh.</w:t>
      </w:r>
      <w:r>
        <w:rPr>
          <w:rStyle w:val="FootnoteReference"/>
        </w:rPr>
        <w:footnoteReference w:id="239"/>
      </w:r>
      <w:r>
        <w:t xml:space="preserve"> The team was completed by two men named Chalmers Mitchell and Edward Heron-Allen</w:t>
      </w:r>
      <w:r w:rsidR="008D4BBF">
        <w:t>, who differed from their colleagues</w:t>
      </w:r>
      <w:r>
        <w:t xml:space="preserve">. Both were ageing scientists and members of the Royal Society. Despite wearing uniform, their diaries showed how detached they were from the military way of thinking. This position was perhaps influenced by their absence of fighting experience as well </w:t>
      </w:r>
      <w:r w:rsidR="00913FF1">
        <w:t>as strong connections with the home f</w:t>
      </w:r>
      <w:r>
        <w:t>ront.</w:t>
      </w:r>
      <w:r>
        <w:rPr>
          <w:rStyle w:val="FootnoteReference"/>
        </w:rPr>
        <w:footnoteReference w:id="240"/>
      </w:r>
    </w:p>
    <w:p w14:paraId="577C9AA2" w14:textId="3D5CD08C" w:rsidR="0048510E" w:rsidRDefault="0048510E" w:rsidP="008D4BBF">
      <w:pPr>
        <w:jc w:val="both"/>
      </w:pPr>
      <w:r>
        <w:t xml:space="preserve">In Belgium, units were </w:t>
      </w:r>
      <w:r w:rsidR="008D4BBF">
        <w:t xml:space="preserve">again </w:t>
      </w:r>
      <w:r>
        <w:t xml:space="preserve">managed very differently. Belgian propaganda </w:t>
      </w:r>
      <w:r w:rsidR="00A83F9A">
        <w:t>was so scattered that there was no</w:t>
      </w:r>
      <w:r>
        <w:t xml:space="preserve"> centralised policy of recruitment. The army </w:t>
      </w:r>
      <w:r w:rsidR="008D4BBF">
        <w:t>used</w:t>
      </w:r>
      <w:r>
        <w:t xml:space="preserve"> career officers and disabled soldiers who ha</w:t>
      </w:r>
      <w:r w:rsidR="008344E1">
        <w:t>d literary experience. A young E</w:t>
      </w:r>
      <w:r>
        <w:t>ngineer</w:t>
      </w:r>
      <w:r w:rsidR="008344E1">
        <w:t>ing</w:t>
      </w:r>
      <w:r>
        <w:t xml:space="preserve"> student from the University of Brussels named Paul Heuson described his experience</w:t>
      </w:r>
      <w:r w:rsidR="008344E1">
        <w:t xml:space="preserve"> of</w:t>
      </w:r>
      <w:r>
        <w:t xml:space="preserve"> working for Belgian propaganda in letters</w:t>
      </w:r>
      <w:r w:rsidR="00A83F9A">
        <w:t xml:space="preserve"> sent to his best friend</w:t>
      </w:r>
      <w:r>
        <w:t>, complaining mainly about the tedious nature of the job.</w:t>
      </w:r>
      <w:r>
        <w:rPr>
          <w:rStyle w:val="FootnoteReference"/>
        </w:rPr>
        <w:footnoteReference w:id="241"/>
      </w:r>
      <w:r>
        <w:t xml:space="preserve"> However, Belgian propaganda did not have the luxury of being as strict in its recruitment policy as the British. Due to a lack of manpower and competence, military forces had to rely on civilian volunteers to assist. Propagandists were equally found in circles of expatriates living in London</w:t>
      </w:r>
      <w:r w:rsidR="008344E1">
        <w:t>,</w:t>
      </w:r>
      <w:r>
        <w:t xml:space="preserve"> and typically belonging to liberal or diplomatic professions.</w:t>
      </w:r>
      <w:r>
        <w:rPr>
          <w:rStyle w:val="FootnoteReference"/>
        </w:rPr>
        <w:footnoteReference w:id="242"/>
      </w:r>
      <w:r>
        <w:t xml:space="preserve"> The absence of a permanent editorial team inside the OPB and the mixture of civilians and soldiers gave to Belgian propaganda in occupied territories a distinct feeling of amateurism and disorganisation.</w:t>
      </w:r>
      <w:r>
        <w:rPr>
          <w:rStyle w:val="FootnoteReference"/>
        </w:rPr>
        <w:footnoteReference w:id="243"/>
      </w:r>
      <w:r>
        <w:t xml:space="preserve">  </w:t>
      </w:r>
    </w:p>
    <w:p w14:paraId="6245262C" w14:textId="77777777" w:rsidR="0048510E" w:rsidRDefault="0048510E" w:rsidP="0048510E">
      <w:pPr>
        <w:pStyle w:val="Heading2"/>
      </w:pPr>
      <w:bookmarkStart w:id="16" w:name="_Toc402192951"/>
      <w:r>
        <w:t>Conclusion</w:t>
      </w:r>
      <w:bookmarkEnd w:id="16"/>
    </w:p>
    <w:p w14:paraId="11D6405A" w14:textId="119AABC2" w:rsidR="0048510E" w:rsidRDefault="0048510E" w:rsidP="008344E1">
      <w:pPr>
        <w:jc w:val="both"/>
      </w:pPr>
      <w:r>
        <w:t>Flying operations during the siege of Paris of 1870, in which propaganda newspapers were sent from the trapped capital to the rest of the country, meant that France acquired a limited experience of c</w:t>
      </w:r>
      <w:r w:rsidR="008344E1">
        <w:t>ommunication behind enemy lines</w:t>
      </w:r>
      <w:r>
        <w:t xml:space="preserve"> earlier than other European nations. This new form of aerial post captivated the imagination of the public </w:t>
      </w:r>
      <w:r w:rsidR="00A83F9A">
        <w:t xml:space="preserve">after the loss of Alsace and Lorraine </w:t>
      </w:r>
      <w:r>
        <w:t xml:space="preserve">and entered the realm of popular culture through songs and illustrations. Exiled citizens of the lost provinces and nationalist elements of the political world wanted more operations of propaganda connecting France to civilians living in the recently annexed territories. </w:t>
      </w:r>
      <w:r w:rsidR="008344E1">
        <w:t>However</w:t>
      </w:r>
      <w:r>
        <w:t>, evidence underlined that actual exchanges of material across the border were rare</w:t>
      </w:r>
      <w:r w:rsidR="008344E1">
        <w:t>,</w:t>
      </w:r>
      <w:r>
        <w:t xml:space="preserve"> and systematically the result of private initiatives. The French government was simply too afraid of diplomatic complications to encourage such activities. This lack of action meant that, despite the experience acquired during the Franco-P</w:t>
      </w:r>
      <w:r w:rsidR="008344E1">
        <w:t>russian conflict, France was no</w:t>
      </w:r>
      <w:r>
        <w:t xml:space="preserve"> better prepared than Belgium and Britain to deal with the</w:t>
      </w:r>
      <w:r w:rsidR="008344E1">
        <w:t xml:space="preserve"> challenge of keeping up</w:t>
      </w:r>
      <w:r>
        <w:t xml:space="preserve"> morale in occupied territories.</w:t>
      </w:r>
    </w:p>
    <w:p w14:paraId="636F726B" w14:textId="5F71AD61" w:rsidR="0048510E" w:rsidRDefault="006702F0" w:rsidP="006702F0">
      <w:pPr>
        <w:jc w:val="both"/>
      </w:pPr>
      <w:r>
        <w:t xml:space="preserve">The Germans had a pre-war propaganda unit but had not prepared a strategy of psychological warfare aimed at the occupied territories. </w:t>
      </w:r>
      <w:r w:rsidR="0048510E">
        <w:t xml:space="preserve">Yet, they proved resourceful in the management of the population’s morale. Sources clearly show that </w:t>
      </w:r>
      <w:r w:rsidR="008344E1">
        <w:t xml:space="preserve">the </w:t>
      </w:r>
      <w:r w:rsidR="0048510E">
        <w:t xml:space="preserve">German propaganda newspapers created after the invasion were widely bought. However, subjects such as </w:t>
      </w:r>
      <w:r w:rsidR="0048510E">
        <w:rPr>
          <w:i/>
          <w:iCs/>
        </w:rPr>
        <w:t xml:space="preserve">Flamenpolitik </w:t>
      </w:r>
      <w:r w:rsidR="0048510E">
        <w:t>in Belgium</w:t>
      </w:r>
      <w:r w:rsidR="008344E1">
        <w:t>,</w:t>
      </w:r>
      <w:r w:rsidR="0048510E">
        <w:t xml:space="preserve"> and the Anglophobia propagated in all the occupied regions</w:t>
      </w:r>
      <w:r w:rsidR="008344E1">
        <w:t>,</w:t>
      </w:r>
      <w:r w:rsidR="0048510E">
        <w:t xml:space="preserve"> were bound to scare the Entente’s authorities who saw in German propaganda a well-establish</w:t>
      </w:r>
      <w:r w:rsidR="003918F7">
        <w:t>ed programme of division among a</w:t>
      </w:r>
      <w:r w:rsidR="0048510E">
        <w:t>llies and communities. German psychological warfare was threatening not only</w:t>
      </w:r>
      <w:r w:rsidR="008344E1">
        <w:t xml:space="preserve"> to</w:t>
      </w:r>
      <w:r w:rsidR="0048510E">
        <w:t xml:space="preserve"> the war effort but also </w:t>
      </w:r>
      <w:r w:rsidR="008344E1">
        <w:t xml:space="preserve">to </w:t>
      </w:r>
      <w:r w:rsidR="0048510E">
        <w:t xml:space="preserve">the faith </w:t>
      </w:r>
      <w:r w:rsidR="008344E1">
        <w:t xml:space="preserve">of occupied regions </w:t>
      </w:r>
      <w:r w:rsidR="0048510E">
        <w:t>in the establishment and in the legitimacy of the governments. These attacks were virulently denounced by nationalist circles, who feared potential instability after the war, and by refugees from the occupied regions who constantly asked for intervention. By the end of 1914, a transnational reaction was becoming inevitable.</w:t>
      </w:r>
    </w:p>
    <w:p w14:paraId="458555C7" w14:textId="7CC41581" w:rsidR="0048510E" w:rsidRDefault="0048510E" w:rsidP="008344E1">
      <w:pPr>
        <w:jc w:val="both"/>
      </w:pPr>
      <w:r>
        <w:t>The answer to the German psychological warfare program was far from uniform or coordinated. The</w:t>
      </w:r>
      <w:r w:rsidR="003918F7">
        <w:t xml:space="preserve"> various </w:t>
      </w:r>
      <w:r w:rsidR="008344E1">
        <w:t>forms</w:t>
      </w:r>
      <w:r w:rsidR="003918F7">
        <w:t xml:space="preserve"> adopted by the a</w:t>
      </w:r>
      <w:r>
        <w:t xml:space="preserve">llies demonstrated that the authorities had contradictory views on how to organise a propaganda department. </w:t>
      </w:r>
      <w:r w:rsidR="00A83F9A">
        <w:t>This w</w:t>
      </w:r>
      <w:r>
        <w:t xml:space="preserve">as especially true </w:t>
      </w:r>
      <w:r w:rsidR="00A83F9A">
        <w:t>with</w:t>
      </w:r>
      <w:r>
        <w:t xml:space="preserve"> regard to the necessity of </w:t>
      </w:r>
      <w:r w:rsidR="00A83F9A">
        <w:t>subordinating</w:t>
      </w:r>
      <w:r>
        <w:t xml:space="preserve"> these units </w:t>
      </w:r>
      <w:r w:rsidR="00A83F9A">
        <w:t>to</w:t>
      </w:r>
      <w:r>
        <w:t xml:space="preserve"> the supervision of the government. The French took the initiative by creating a military unit </w:t>
      </w:r>
      <w:r w:rsidR="00A83F9A">
        <w:t>controlled</w:t>
      </w:r>
      <w:r>
        <w:t xml:space="preserve"> by a governmental committee. Following the same principle, the Belgian government in exile entrusted the task of creating propaganda</w:t>
      </w:r>
      <w:r w:rsidR="008344E1">
        <w:t xml:space="preserve"> to</w:t>
      </w:r>
      <w:r>
        <w:t xml:space="preserve"> </w:t>
      </w:r>
      <w:r w:rsidR="008344E1">
        <w:t xml:space="preserve">the press department of the army, </w:t>
      </w:r>
      <w:r>
        <w:t>but kept the power of decision</w:t>
      </w:r>
      <w:r w:rsidR="008344E1">
        <w:t>s</w:t>
      </w:r>
      <w:r>
        <w:t xml:space="preserve"> and the supervision of operations in </w:t>
      </w:r>
      <w:r w:rsidR="00A83F9A">
        <w:t>its</w:t>
      </w:r>
      <w:r>
        <w:t xml:space="preserve"> </w:t>
      </w:r>
      <w:r w:rsidR="008344E1">
        <w:t xml:space="preserve">own </w:t>
      </w:r>
      <w:r>
        <w:t xml:space="preserve">hands. The case of Britain was radically different as in 1916 the army took total control </w:t>
      </w:r>
      <w:r w:rsidR="008344E1">
        <w:t>of</w:t>
      </w:r>
      <w:r>
        <w:t xml:space="preserve"> propaganda operations aimed at the occupied territories and worked in an atmosphere of total secrecy. Following the general collapse of morale </w:t>
      </w:r>
      <w:r w:rsidR="008344E1">
        <w:t>in</w:t>
      </w:r>
      <w:r>
        <w:t xml:space="preserve"> 1917, </w:t>
      </w:r>
      <w:r w:rsidR="008344E1">
        <w:t xml:space="preserve">all </w:t>
      </w:r>
      <w:r>
        <w:t xml:space="preserve">propaganda units were reorganised. The Belgians and the French further tightened governmental control over propaganda. Meanwhile, British MI7 suffered from intra-governmental dissension, leading the unit to a period of uncertainty. There was also a stark contrast between </w:t>
      </w:r>
      <w:r w:rsidR="003918F7">
        <w:t>a</w:t>
      </w:r>
      <w:r>
        <w:t>llies in terms of recruitment of propagandists. This process was fundamental for it had considerable influence over the content of propaganda. While Belgians and French prioritised the knowledge of German language and culture, the British chose to entrust</w:t>
      </w:r>
      <w:r w:rsidR="008344E1">
        <w:t xml:space="preserve"> propaganda to</w:t>
      </w:r>
      <w:r>
        <w:t xml:space="preserve"> professional writers such as ex-journalists from the popular press. Ultimately, all three nations aspired to communicate with as many layers of society as possible.</w:t>
      </w:r>
    </w:p>
    <w:p w14:paraId="27388424" w14:textId="263D3549" w:rsidR="009E65AA" w:rsidRDefault="0048510E" w:rsidP="0048510E">
      <w:pPr>
        <w:jc w:val="both"/>
      </w:pPr>
      <w:r>
        <w:t xml:space="preserve">This chapter explored different problems surrounding the campaign of propaganda behind the lines. The next chapter, which </w:t>
      </w:r>
      <w:r w:rsidR="00A83F9A">
        <w:t>completes</w:t>
      </w:r>
      <w:r>
        <w:t xml:space="preserve"> the first part of th</w:t>
      </w:r>
      <w:r w:rsidR="00A83F9A">
        <w:t xml:space="preserve">is thesis, is dedicated to the distribution </w:t>
      </w:r>
      <w:r>
        <w:t>of propaganda. It will demonstrate that if the distribution of propaganda was an essential component of the campaign of psychological warfare aimed at the invaded territories, it was also a fragile piece of the chain. Internal, logistic, and diplomatic complications threatened the very existence of aerial propaganda aimed at the occupied territories.</w:t>
      </w:r>
    </w:p>
    <w:p w14:paraId="67403BA6" w14:textId="77777777" w:rsidR="0048510E" w:rsidRDefault="0048510E" w:rsidP="0048510E">
      <w:pPr>
        <w:jc w:val="both"/>
      </w:pPr>
    </w:p>
    <w:p w14:paraId="26C9D3B1" w14:textId="53DBC40C" w:rsidR="0048510E" w:rsidRPr="0033665E" w:rsidRDefault="0048510E" w:rsidP="002F0F06">
      <w:r>
        <w:fldChar w:fldCharType="begin"/>
      </w:r>
      <w:r w:rsidRPr="004D46DB">
        <w:instrText xml:space="preserve"> ADDIN EN.REFLIST </w:instrText>
      </w:r>
      <w:r>
        <w:fldChar w:fldCharType="end"/>
      </w:r>
    </w:p>
    <w:p w14:paraId="27CAF4EF" w14:textId="77777777" w:rsidR="0048510E" w:rsidRDefault="0048510E" w:rsidP="0048510E">
      <w:pPr>
        <w:jc w:val="both"/>
      </w:pPr>
    </w:p>
    <w:p w14:paraId="5249EB3B" w14:textId="77777777" w:rsidR="00F51E28" w:rsidRDefault="00F51E28" w:rsidP="0048510E">
      <w:pPr>
        <w:pStyle w:val="Title"/>
        <w:outlineLvl w:val="0"/>
        <w:rPr>
          <w:sz w:val="48"/>
          <w:szCs w:val="48"/>
        </w:rPr>
        <w:sectPr w:rsidR="00F51E28" w:rsidSect="00E35CCD">
          <w:headerReference w:type="default" r:id="rId33"/>
          <w:pgSz w:w="11907" w:h="16839" w:code="9"/>
          <w:pgMar w:top="1440" w:right="1440" w:bottom="1440" w:left="1440" w:header="708" w:footer="708" w:gutter="0"/>
          <w:cols w:space="708"/>
          <w:titlePg/>
          <w:docGrid w:linePitch="360"/>
        </w:sectPr>
      </w:pPr>
    </w:p>
    <w:p w14:paraId="12F67F12" w14:textId="4E23E661" w:rsidR="0048510E" w:rsidRPr="00924703" w:rsidRDefault="0048510E" w:rsidP="0048510E">
      <w:pPr>
        <w:pStyle w:val="Title"/>
        <w:outlineLvl w:val="0"/>
        <w:rPr>
          <w:sz w:val="48"/>
          <w:szCs w:val="48"/>
        </w:rPr>
      </w:pPr>
      <w:bookmarkStart w:id="17" w:name="_Toc402192952"/>
      <w:r w:rsidRPr="00924703">
        <w:rPr>
          <w:sz w:val="48"/>
          <w:szCs w:val="48"/>
        </w:rPr>
        <w:t>II</w:t>
      </w:r>
      <w:r w:rsidRPr="00924703">
        <w:rPr>
          <w:sz w:val="48"/>
          <w:szCs w:val="48"/>
        </w:rPr>
        <w:tab/>
        <w:t>Distribution, international laws and internal tensions</w:t>
      </w:r>
      <w:bookmarkEnd w:id="17"/>
    </w:p>
    <w:p w14:paraId="1575953B" w14:textId="77777777" w:rsidR="0048510E" w:rsidRDefault="0048510E" w:rsidP="0048510E">
      <w:pPr>
        <w:pStyle w:val="Heading2"/>
      </w:pPr>
      <w:bookmarkStart w:id="18" w:name="_Toc378223846"/>
      <w:bookmarkStart w:id="19" w:name="_Toc402192953"/>
      <w:r>
        <w:t>The tyranny of logistic</w:t>
      </w:r>
      <w:bookmarkEnd w:id="18"/>
      <w:r w:rsidR="00222356">
        <w:t>s</w:t>
      </w:r>
      <w:bookmarkEnd w:id="19"/>
    </w:p>
    <w:p w14:paraId="5AEABB0B" w14:textId="21394D73" w:rsidR="0048510E" w:rsidRDefault="0048510E" w:rsidP="008A4775">
      <w:pPr>
        <w:jc w:val="both"/>
      </w:pPr>
      <w:r>
        <w:t>In their studies of British psychological warfare during the First and the Second World Wars, historians Tim Brooks, Mi</w:t>
      </w:r>
      <w:r w:rsidR="008A4775">
        <w:t>chael Sanders and Philip Taylor</w:t>
      </w:r>
      <w:r>
        <w:t xml:space="preserve"> each dedicated a </w:t>
      </w:r>
      <w:r w:rsidR="008B3B5C">
        <w:t>whole</w:t>
      </w:r>
      <w:r>
        <w:t xml:space="preserve"> chapter to the distribution of propaganda.</w:t>
      </w:r>
      <w:r>
        <w:rPr>
          <w:rStyle w:val="FootnoteReference"/>
        </w:rPr>
        <w:footnoteReference w:id="244"/>
      </w:r>
      <w:r w:rsidR="008A4775">
        <w:t xml:space="preserve"> S</w:t>
      </w:r>
      <w:r>
        <w:t>uch prominence</w:t>
      </w:r>
      <w:r w:rsidR="008A4775">
        <w:t xml:space="preserve"> being given</w:t>
      </w:r>
      <w:r>
        <w:t xml:space="preserve"> to logistics should not be surprising: delivering a message to the intended audience is always a complex task in times of war. In this case, the physical presence of an entrenched frontline made the difficulties of sending allied propaganda </w:t>
      </w:r>
      <w:r w:rsidR="008A4775">
        <w:t>to</w:t>
      </w:r>
      <w:r>
        <w:t xml:space="preserve"> occupied territories immediately obvious. </w:t>
      </w:r>
      <w:r w:rsidR="008A4775">
        <w:t>This</w:t>
      </w:r>
      <w:r>
        <w:t xml:space="preserve"> chapter will evaluate the different, and sometimes eccentric, solutions found by propagandists</w:t>
      </w:r>
      <w:r w:rsidR="008A4775">
        <w:t>, in order</w:t>
      </w:r>
      <w:r>
        <w:t xml:space="preserve"> to reach their intended public.</w:t>
      </w:r>
    </w:p>
    <w:p w14:paraId="7A168130" w14:textId="4F4F4FAD" w:rsidR="0048510E" w:rsidRDefault="0048510E" w:rsidP="00605DB1">
      <w:pPr>
        <w:jc w:val="both"/>
      </w:pPr>
      <w:r>
        <w:t>The first section of the chapter will investigate how t</w:t>
      </w:r>
      <w:r w:rsidR="003918F7">
        <w:t>he a</w:t>
      </w:r>
      <w:r>
        <w:t xml:space="preserve">llies overcame problems </w:t>
      </w:r>
      <w:r w:rsidR="008A4775">
        <w:t xml:space="preserve">of distribution </w:t>
      </w:r>
      <w:r>
        <w:t xml:space="preserve">by organising plans </w:t>
      </w:r>
      <w:r w:rsidR="008B3B5C">
        <w:t>relying on</w:t>
      </w:r>
      <w:r>
        <w:t xml:space="preserve"> </w:t>
      </w:r>
      <w:r w:rsidR="00605DB1">
        <w:t>aeroplanes</w:t>
      </w:r>
      <w:r>
        <w:t xml:space="preserve">. </w:t>
      </w:r>
      <w:r w:rsidR="00222356">
        <w:t>In contrast to</w:t>
      </w:r>
      <w:r>
        <w:t xml:space="preserve"> </w:t>
      </w:r>
      <w:r w:rsidR="008A4775">
        <w:t xml:space="preserve">the </w:t>
      </w:r>
      <w:r>
        <w:t xml:space="preserve">post-war testimonies </w:t>
      </w:r>
      <w:r w:rsidR="008A4775">
        <w:t>which blame</w:t>
      </w:r>
      <w:r>
        <w:t xml:space="preserve"> headquarters for their lack of trust in flying services, it will be argued that int</w:t>
      </w:r>
      <w:r w:rsidR="00222356">
        <w:t xml:space="preserve">elligence services and armies </w:t>
      </w:r>
      <w:r>
        <w:t xml:space="preserve">trusted the air force with which they tried to collaborate. Multiple sources will show that all </w:t>
      </w:r>
      <w:r w:rsidR="008A4775">
        <w:t xml:space="preserve">the </w:t>
      </w:r>
      <w:r>
        <w:t xml:space="preserve">armies relied on centralised plans of </w:t>
      </w:r>
      <w:r w:rsidR="00222356">
        <w:t xml:space="preserve">distribution, </w:t>
      </w:r>
      <w:r w:rsidR="008A4775">
        <w:t>which made</w:t>
      </w:r>
      <w:r w:rsidR="00222356">
        <w:t xml:space="preserve"> propaganda-</w:t>
      </w:r>
      <w:r>
        <w:t>spreading operations slow and partially inefficient. This was understood by propagandists</w:t>
      </w:r>
      <w:r w:rsidR="008A4775">
        <w:t>,</w:t>
      </w:r>
      <w:r>
        <w:t xml:space="preserve"> who </w:t>
      </w:r>
      <w:r w:rsidR="008A4775">
        <w:t xml:space="preserve">therefore </w:t>
      </w:r>
      <w:r>
        <w:t xml:space="preserve">tried </w:t>
      </w:r>
      <w:r w:rsidR="008A4775">
        <w:t xml:space="preserve">to, </w:t>
      </w:r>
      <w:r>
        <w:t xml:space="preserve">and succeeded </w:t>
      </w:r>
      <w:r w:rsidR="008B3B5C">
        <w:t>in</w:t>
      </w:r>
      <w:r w:rsidR="00222356">
        <w:t xml:space="preserve"> </w:t>
      </w:r>
      <w:r>
        <w:t>improv</w:t>
      </w:r>
      <w:r w:rsidR="008B3B5C">
        <w:t>ing</w:t>
      </w:r>
      <w:r>
        <w:t xml:space="preserve"> the overall efficiency. </w:t>
      </w:r>
    </w:p>
    <w:p w14:paraId="4C6719BB" w14:textId="0AAB3C6D" w:rsidR="0048510E" w:rsidRDefault="0048510E" w:rsidP="00605DB1">
      <w:pPr>
        <w:jc w:val="both"/>
      </w:pPr>
      <w:r>
        <w:t>The year 1916 constituted a turni</w:t>
      </w:r>
      <w:r w:rsidR="008B3B5C">
        <w:t>ng point for aerial propaganda</w:t>
      </w:r>
      <w:r w:rsidR="008A4775">
        <w:t>,</w:t>
      </w:r>
      <w:r w:rsidR="008B3B5C">
        <w:t xml:space="preserve"> as t</w:t>
      </w:r>
      <w:r>
        <w:t xml:space="preserve">he expansion of psychological warfare operations </w:t>
      </w:r>
      <w:r w:rsidR="008B3B5C">
        <w:t>became</w:t>
      </w:r>
      <w:r>
        <w:t xml:space="preserve"> a </w:t>
      </w:r>
      <w:r w:rsidR="008B3B5C">
        <w:t>cause for</w:t>
      </w:r>
      <w:r>
        <w:t xml:space="preserve"> concern for</w:t>
      </w:r>
      <w:r w:rsidR="008B3B5C">
        <w:t xml:space="preserve"> the</w:t>
      </w:r>
      <w:r>
        <w:t xml:space="preserve"> </w:t>
      </w:r>
      <w:r w:rsidR="00605DB1">
        <w:t>pilots</w:t>
      </w:r>
      <w:r>
        <w:t>. The following two sections will not only argue that aviators were worried for their personal safety</w:t>
      </w:r>
      <w:r w:rsidR="008A4775">
        <w:t>,</w:t>
      </w:r>
      <w:r>
        <w:t xml:space="preserve"> since propaganda missions had to be conducted </w:t>
      </w:r>
      <w:r w:rsidR="00222356">
        <w:t>above</w:t>
      </w:r>
      <w:r>
        <w:t xml:space="preserve"> enemy lines, but also that</w:t>
      </w:r>
      <w:r w:rsidR="00222356">
        <w:t xml:space="preserve"> air forces commanders shared cynical feelings</w:t>
      </w:r>
      <w:r>
        <w:t xml:space="preserve"> about the efficiency of propaganda. This incomprehension led to an open rebellion against propaganda missions when the Germans threatened </w:t>
      </w:r>
      <w:r w:rsidR="00222356">
        <w:t xml:space="preserve">punishment for </w:t>
      </w:r>
      <w:r>
        <w:t xml:space="preserve">airmen caught with psychological warfare material. This section will dispute the official reasons given by the </w:t>
      </w:r>
      <w:r w:rsidR="007915D4">
        <w:t>Royal Flying Corps (</w:t>
      </w:r>
      <w:r>
        <w:t>RFC</w:t>
      </w:r>
      <w:r w:rsidR="007915D4">
        <w:t>)</w:t>
      </w:r>
      <w:r>
        <w:t xml:space="preserve">, arguing that British airmen believed in the </w:t>
      </w:r>
      <w:r w:rsidR="008A4775">
        <w:t>superiority</w:t>
      </w:r>
      <w:r>
        <w:t xml:space="preserve"> of physical violence over psychological warfare.</w:t>
      </w:r>
      <w:r>
        <w:rPr>
          <w:rStyle w:val="FootnoteReference"/>
        </w:rPr>
        <w:footnoteReference w:id="245"/>
      </w:r>
    </w:p>
    <w:p w14:paraId="2A52E830" w14:textId="61B68024" w:rsidR="0048510E" w:rsidRDefault="0048510E" w:rsidP="008A4775">
      <w:pPr>
        <w:jc w:val="both"/>
      </w:pPr>
      <w:r>
        <w:t xml:space="preserve">The final two sections will focus on alternative means of distribution. German threats and the abundance of aerial propaganda inspired the French and the British to search for other ways to distribute propaganda. Various tools and methods were explored, with </w:t>
      </w:r>
      <w:r w:rsidR="00DA1452">
        <w:t>moderate</w:t>
      </w:r>
      <w:r>
        <w:t xml:space="preserve"> success. Balloons were the most successful alternative means</w:t>
      </w:r>
      <w:r w:rsidR="008A4775">
        <w:t>,</w:t>
      </w:r>
      <w:r>
        <w:t xml:space="preserve"> but </w:t>
      </w:r>
      <w:r w:rsidR="008A4775">
        <w:t xml:space="preserve">they </w:t>
      </w:r>
      <w:r>
        <w:t xml:space="preserve">had </w:t>
      </w:r>
      <w:r w:rsidR="008A4775">
        <w:t xml:space="preserve">their </w:t>
      </w:r>
      <w:r>
        <w:t xml:space="preserve">limitations. This section will determine that the adoption of balloons had negative consequences. Their limited range meant that the eastern provinces of Belgium </w:t>
      </w:r>
      <w:r w:rsidR="00347BD9">
        <w:t xml:space="preserve">rarely </w:t>
      </w:r>
      <w:r>
        <w:t>received propaganda. Smuggling operations through neutral countries were also conducted. It will be determined whether these missions were carried out successfully or not, and the extent to which they triggered diplomatic incidents with Switzerland and the Netherlands.</w:t>
      </w:r>
    </w:p>
    <w:p w14:paraId="49A23754" w14:textId="77777777" w:rsidR="0048510E" w:rsidRDefault="0048510E" w:rsidP="0048510E">
      <w:pPr>
        <w:jc w:val="both"/>
      </w:pPr>
      <w:r>
        <w:t xml:space="preserve">   </w:t>
      </w:r>
    </w:p>
    <w:p w14:paraId="6F316CB3" w14:textId="25B4226B" w:rsidR="0048510E" w:rsidRDefault="0048510E" w:rsidP="0048510E">
      <w:pPr>
        <w:pStyle w:val="Heading2"/>
      </w:pPr>
      <w:bookmarkStart w:id="20" w:name="_Toc378223847"/>
      <w:bookmarkStart w:id="21" w:name="_Toc402192954"/>
      <w:r>
        <w:t>Distribu</w:t>
      </w:r>
      <w:r w:rsidR="003918F7">
        <w:t>tion and collaboration between a</w:t>
      </w:r>
      <w:r>
        <w:t>llies</w:t>
      </w:r>
      <w:bookmarkEnd w:id="20"/>
      <w:bookmarkEnd w:id="21"/>
      <w:r>
        <w:t xml:space="preserve"> </w:t>
      </w:r>
    </w:p>
    <w:p w14:paraId="56241167" w14:textId="7E952CBF" w:rsidR="0048510E" w:rsidRDefault="008A4775" w:rsidP="00605DB1">
      <w:pPr>
        <w:jc w:val="both"/>
      </w:pPr>
      <w:r>
        <w:t>At</w:t>
      </w:r>
      <w:r w:rsidR="0048510E">
        <w:t xml:space="preserve"> the beginning of the First World War, aviation was still a </w:t>
      </w:r>
      <w:r>
        <w:t>novel</w:t>
      </w:r>
      <w:r w:rsidR="0048510E">
        <w:t xml:space="preserve"> invention</w:t>
      </w:r>
      <w:r>
        <w:t>,</w:t>
      </w:r>
      <w:r w:rsidR="0048510E">
        <w:t xml:space="preserve"> but </w:t>
      </w:r>
      <w:r>
        <w:t xml:space="preserve">it </w:t>
      </w:r>
      <w:r w:rsidR="0048510E">
        <w:t>had imposed itself as the most practical means of propaganda distribution on the other side of the lines. Planes were not only fast and relatively safe</w:t>
      </w:r>
      <w:r>
        <w:t>,</w:t>
      </w:r>
      <w:r w:rsidR="0048510E">
        <w:t xml:space="preserve"> but also able to carry heavy loads above the trenches. Moreover, there was no such thing as fighting planes</w:t>
      </w:r>
      <w:r>
        <w:t>,</w:t>
      </w:r>
      <w:r w:rsidR="0048510E">
        <w:t xml:space="preserve"> and only a handful of German air defence guns</w:t>
      </w:r>
      <w:r w:rsidR="007915D4">
        <w:t xml:space="preserve"> existed</w:t>
      </w:r>
      <w:r w:rsidR="0048510E">
        <w:t xml:space="preserve"> in August 1914.</w:t>
      </w:r>
      <w:r w:rsidR="0048510E">
        <w:rPr>
          <w:rStyle w:val="FootnoteReference"/>
        </w:rPr>
        <w:footnoteReference w:id="246"/>
      </w:r>
      <w:r w:rsidR="0048510E">
        <w:t xml:space="preserve"> The idea of using planes seems to have </w:t>
      </w:r>
      <w:r>
        <w:t>appeared</w:t>
      </w:r>
      <w:r w:rsidR="0048510E">
        <w:t xml:space="preserve"> </w:t>
      </w:r>
      <w:r w:rsidR="007915D4">
        <w:t>as early as</w:t>
      </w:r>
      <w:r w:rsidR="0048510E">
        <w:t xml:space="preserve"> September 1914</w:t>
      </w:r>
      <w:r>
        <w:t>,</w:t>
      </w:r>
      <w:r w:rsidR="0048510E">
        <w:t xml:space="preserve"> when Lord Northcliffe and General Swinton tried – and failed – to organise a paper war with the help of the RFC.</w:t>
      </w:r>
      <w:r w:rsidR="0048510E">
        <w:rPr>
          <w:rStyle w:val="FootnoteReference"/>
        </w:rPr>
        <w:footnoteReference w:id="247"/>
      </w:r>
      <w:r w:rsidR="0048510E">
        <w:t xml:space="preserve"> Historiography has been silent on the fact that the French involved their </w:t>
      </w:r>
      <w:r w:rsidR="00605DB1">
        <w:t>aeroplanes</w:t>
      </w:r>
      <w:r w:rsidR="0048510E">
        <w:t xml:space="preserve"> in an early form of propaganda aimed at enemy troops and civilians</w:t>
      </w:r>
      <w:r w:rsidRPr="008A4775">
        <w:t xml:space="preserve"> </w:t>
      </w:r>
      <w:r>
        <w:t>toward the end of the year 1914</w:t>
      </w:r>
      <w:r w:rsidR="0048510E">
        <w:t>. Air squadrons, belonging to army corps</w:t>
      </w:r>
      <w:r w:rsidR="00DA1452" w:rsidRPr="00DA1452">
        <w:t xml:space="preserve"> </w:t>
      </w:r>
      <w:r w:rsidR="00DA1452">
        <w:t>at that time</w:t>
      </w:r>
      <w:r w:rsidR="0048510E">
        <w:t>, and hydrogen balloon groups were entrusted with the distribution of aerial pamphlets and Parisian newspapers.</w:t>
      </w:r>
      <w:r w:rsidR="0048510E">
        <w:rPr>
          <w:rStyle w:val="FootnoteReference"/>
        </w:rPr>
        <w:footnoteReference w:id="248"/>
      </w:r>
      <w:r w:rsidR="0048510E">
        <w:t xml:space="preserve"> The system was impractical; chaotic </w:t>
      </w:r>
      <w:r w:rsidR="007915D4">
        <w:t>internal</w:t>
      </w:r>
      <w:r w:rsidR="0048510E">
        <w:t xml:space="preserve"> distribution meant that propaganda material was slow to arrive </w:t>
      </w:r>
      <w:r>
        <w:t>by the time it was</w:t>
      </w:r>
      <w:r w:rsidR="0048510E">
        <w:t xml:space="preserve"> when finally sent by plane</w:t>
      </w:r>
      <w:r>
        <w:t xml:space="preserve"> it was out of date</w:t>
      </w:r>
      <w:r w:rsidR="0048510E">
        <w:t>. This lack of professionalism was addressed when the SPA was created in August 1915.</w:t>
      </w:r>
      <w:r w:rsidR="0048510E">
        <w:rPr>
          <w:rStyle w:val="FootnoteReference"/>
        </w:rPr>
        <w:footnoteReference w:id="249"/>
      </w:r>
      <w:r w:rsidR="0048510E">
        <w:t xml:space="preserve"> A plan was elaborated by the </w:t>
      </w:r>
      <w:r w:rsidR="0048510E">
        <w:rPr>
          <w:i/>
          <w:iCs/>
        </w:rPr>
        <w:t xml:space="preserve">Service Aéronautique </w:t>
      </w:r>
      <w:r w:rsidR="0048510E">
        <w:t xml:space="preserve">(SA) of the GQG to decrease the time spent between the conception of a propaganda leaflet and its distribution. 50,000 copies of the </w:t>
      </w:r>
      <w:r w:rsidR="0048510E">
        <w:rPr>
          <w:i/>
          <w:iCs/>
        </w:rPr>
        <w:t>Voix du Pays</w:t>
      </w:r>
      <w:r w:rsidR="0048510E">
        <w:t xml:space="preserve"> were now sent </w:t>
      </w:r>
      <w:r w:rsidR="00DA1452">
        <w:t xml:space="preserve">by the SPA </w:t>
      </w:r>
      <w:r>
        <w:t>from Paris</w:t>
      </w:r>
      <w:r w:rsidRPr="008A4775">
        <w:t xml:space="preserve"> </w:t>
      </w:r>
      <w:r>
        <w:t>bi-monthly t</w:t>
      </w:r>
      <w:r w:rsidR="0048510E">
        <w:t xml:space="preserve">o the leader of the </w:t>
      </w:r>
      <w:r w:rsidR="0048510E">
        <w:rPr>
          <w:i/>
          <w:iCs/>
        </w:rPr>
        <w:t>Deuxième Réserve de Ravitaillement d’Aéronautique</w:t>
      </w:r>
      <w:r w:rsidR="0048510E">
        <w:t xml:space="preserve"> (2RRA) based in Versailles-Mortemets. </w:t>
      </w:r>
      <w:r w:rsidR="007915D4">
        <w:t>From there, propaganda was sent</w:t>
      </w:r>
      <w:r w:rsidR="0048510E">
        <w:t xml:space="preserve"> to the SA and the </w:t>
      </w:r>
      <w:r w:rsidR="0048510E">
        <w:rPr>
          <w:i/>
          <w:iCs/>
        </w:rPr>
        <w:t>Groupes de Bombardement</w:t>
      </w:r>
      <w:r w:rsidR="0048510E">
        <w:t xml:space="preserve"> (GB) through the </w:t>
      </w:r>
      <w:r w:rsidR="0048510E">
        <w:rPr>
          <w:i/>
          <w:iCs/>
        </w:rPr>
        <w:t xml:space="preserve">Parc Aéronautiques </w:t>
      </w:r>
      <w:r w:rsidR="0048510E">
        <w:t xml:space="preserve">(PA) and </w:t>
      </w:r>
      <w:r w:rsidR="0048510E">
        <w:rPr>
          <w:i/>
          <w:iCs/>
        </w:rPr>
        <w:t>Ports d’Attaches</w:t>
      </w:r>
      <w:r w:rsidR="0048510E">
        <w:t xml:space="preserve"> (PoA).</w:t>
      </w:r>
      <w:r w:rsidR="0048510E">
        <w:rPr>
          <w:rStyle w:val="FootnoteReference"/>
        </w:rPr>
        <w:footnoteReference w:id="250"/>
      </w:r>
      <w:r w:rsidR="0048510E">
        <w:t xml:space="preserve"> The PA and the PoA were in turn responsible for the correct distribution to the squadrons. In addition, 2,950 copies of the </w:t>
      </w:r>
      <w:r w:rsidR="0048510E">
        <w:rPr>
          <w:i/>
          <w:iCs/>
        </w:rPr>
        <w:t>Voix du Pays</w:t>
      </w:r>
      <w:r w:rsidR="0048510E">
        <w:t xml:space="preserve"> and 5,000 copies of the </w:t>
      </w:r>
      <w:r w:rsidR="0048510E">
        <w:rPr>
          <w:i/>
          <w:iCs/>
        </w:rPr>
        <w:t>Feldpost</w:t>
      </w:r>
      <w:r w:rsidR="0048510E">
        <w:t xml:space="preserve">, a fake German newspaper, were sent to the </w:t>
      </w:r>
      <w:r w:rsidR="0048510E">
        <w:rPr>
          <w:i/>
          <w:iCs/>
        </w:rPr>
        <w:t>Companies d’Aérostiers</w:t>
      </w:r>
      <w:r w:rsidR="0048510E">
        <w:t xml:space="preserve"> (CA) to be distributed by balloons.</w:t>
      </w:r>
      <w:r w:rsidR="0048510E">
        <w:rPr>
          <w:rStyle w:val="FootnoteReference"/>
        </w:rPr>
        <w:footnoteReference w:id="251"/>
      </w:r>
      <w:r w:rsidR="0048510E">
        <w:t xml:space="preserve"> </w:t>
      </w:r>
    </w:p>
    <w:p w14:paraId="40BC785B" w14:textId="234FE502" w:rsidR="0048510E" w:rsidRDefault="0048510E" w:rsidP="00605DB1">
      <w:pPr>
        <w:jc w:val="both"/>
      </w:pPr>
      <w:r>
        <w:t xml:space="preserve">In the first months of its existence, the new dissemination plan was plagued by major problems. More than 200,000 leaflets and newspapers were sent by the </w:t>
      </w:r>
      <w:r w:rsidR="00605DB1">
        <w:t>pilots</w:t>
      </w:r>
      <w:r w:rsidR="008A4775" w:rsidRPr="008A4775">
        <w:t xml:space="preserve"> </w:t>
      </w:r>
      <w:r w:rsidR="008A4775">
        <w:t>without coordination or feedback</w:t>
      </w:r>
      <w:r>
        <w:t xml:space="preserve">. As a result, the authorities expressed their concern at the delays and the lack of precision which were destroying </w:t>
      </w:r>
      <w:r w:rsidR="00DA1452">
        <w:t>the efficiency of propaganda</w:t>
      </w:r>
      <w:r w:rsidR="008A4775">
        <w:t>,</w:t>
      </w:r>
      <w:r>
        <w:t xml:space="preserve"> and wasting the time of the personnel involved. A bi-monthly report was introduced on 6 November 1915 to address these issues and evaluate the overall quality of distribution.</w:t>
      </w:r>
      <w:r>
        <w:rPr>
          <w:rStyle w:val="FootnoteReference"/>
        </w:rPr>
        <w:footnoteReference w:id="252"/>
      </w:r>
      <w:r>
        <w:t xml:space="preserve"> Interviews </w:t>
      </w:r>
      <w:r w:rsidR="008A4775">
        <w:t>with</w:t>
      </w:r>
      <w:r>
        <w:t xml:space="preserve"> repatriated civilians from the occupied territories were also scrutinised to corroborate the reports</w:t>
      </w:r>
      <w:r w:rsidR="008A4775">
        <w:t>,</w:t>
      </w:r>
      <w:r>
        <w:t xml:space="preserve"> and </w:t>
      </w:r>
      <w:r w:rsidR="008A4775">
        <w:t xml:space="preserve">in order to </w:t>
      </w:r>
      <w:r>
        <w:t xml:space="preserve">understand the </w:t>
      </w:r>
      <w:r>
        <w:rPr>
          <w:i/>
          <w:iCs/>
        </w:rPr>
        <w:t>occupé</w:t>
      </w:r>
      <w:r w:rsidR="007915D4">
        <w:t>s’</w:t>
      </w:r>
      <w:r>
        <w:t xml:space="preserve"> point of view on aerial propaganda missions.</w:t>
      </w:r>
      <w:r>
        <w:rPr>
          <w:rStyle w:val="FootnoteReference"/>
        </w:rPr>
        <w:footnoteReference w:id="253"/>
      </w:r>
      <w:r>
        <w:t xml:space="preserve"> Far from the cynicism described by Annette Becker, the French authorities were taking into account what was said by evacuated</w:t>
      </w:r>
      <w:r w:rsidR="008907E3">
        <w:t xml:space="preserve"> individuals</w:t>
      </w:r>
      <w:r>
        <w:t xml:space="preserve"> in order to </w:t>
      </w:r>
      <w:r w:rsidR="008A4775">
        <w:t xml:space="preserve">understand how best to </w:t>
      </w:r>
      <w:r>
        <w:t>improve morale in the occupied territories.</w:t>
      </w:r>
      <w:r>
        <w:rPr>
          <w:rStyle w:val="FootnoteReference"/>
        </w:rPr>
        <w:footnoteReference w:id="254"/>
      </w:r>
    </w:p>
    <w:p w14:paraId="19621008" w14:textId="74DC9E5F" w:rsidR="0048510E" w:rsidRDefault="0048510E" w:rsidP="00605DB1">
      <w:pPr>
        <w:jc w:val="both"/>
      </w:pPr>
      <w:r>
        <w:t xml:space="preserve">This distribution plan had its flaws. The biggest was undoubtedly that the </w:t>
      </w:r>
      <w:r>
        <w:rPr>
          <w:i/>
          <w:iCs/>
        </w:rPr>
        <w:t>department du Nord</w:t>
      </w:r>
      <w:r>
        <w:t xml:space="preserve"> was on the other side of the British sector and was unreachable </w:t>
      </w:r>
      <w:r w:rsidR="008A4775">
        <w:t>the</w:t>
      </w:r>
      <w:r>
        <w:t xml:space="preserve"> French </w:t>
      </w:r>
      <w:r w:rsidR="00605DB1">
        <w:t>aeroplanes</w:t>
      </w:r>
      <w:r>
        <w:t xml:space="preserve"> – s</w:t>
      </w:r>
      <w:r w:rsidR="00DA1452">
        <w:t>tationed too far south. Yet, this</w:t>
      </w:r>
      <w:r>
        <w:t xml:space="preserve"> department was too crucial to be ignored. In his PhD thesis, James Connolly underlined the economic and demographic importance of the</w:t>
      </w:r>
      <w:r w:rsidR="008907E3">
        <w:t xml:space="preserve"> industrial</w:t>
      </w:r>
      <w:r>
        <w:t xml:space="preserve"> triangle</w:t>
      </w:r>
      <w:r w:rsidR="008907E3">
        <w:t xml:space="preserve"> of</w:t>
      </w:r>
      <w:r>
        <w:t xml:space="preserve"> Lille-Roubaix-Tourcoing.</w:t>
      </w:r>
      <w:r>
        <w:rPr>
          <w:rStyle w:val="FootnoteReference"/>
        </w:rPr>
        <w:footnoteReference w:id="255"/>
      </w:r>
      <w:r>
        <w:t xml:space="preserve"> The French had no other solution </w:t>
      </w:r>
      <w:r w:rsidR="008A4775">
        <w:t>but</w:t>
      </w:r>
      <w:r>
        <w:t xml:space="preserve"> </w:t>
      </w:r>
      <w:r w:rsidR="0012021F">
        <w:t>to ask for</w:t>
      </w:r>
      <w:r>
        <w:t xml:space="preserve"> the assistance of the RFC on the matter. </w:t>
      </w:r>
      <w:r w:rsidRPr="00DE3AC9">
        <w:rPr>
          <w:lang w:val="fr-FR"/>
        </w:rPr>
        <w:t xml:space="preserve">A compromise was </w:t>
      </w:r>
      <w:r w:rsidR="008A4775" w:rsidRPr="00DE3AC9">
        <w:rPr>
          <w:lang w:val="fr-FR"/>
        </w:rPr>
        <w:t>reached</w:t>
      </w:r>
      <w:r w:rsidRPr="00DE3AC9">
        <w:rPr>
          <w:lang w:val="fr-FR"/>
        </w:rPr>
        <w:t xml:space="preserve"> by Lt-Colonel de Bellaigue de Bughas and his </w:t>
      </w:r>
      <w:r w:rsidRPr="00DE3AC9">
        <w:rPr>
          <w:i/>
          <w:iCs/>
          <w:lang w:val="fr-FR"/>
        </w:rPr>
        <w:t xml:space="preserve">Mission Militaire Française Attachée à l’Armée Britannique </w:t>
      </w:r>
      <w:r w:rsidRPr="00DE3AC9">
        <w:rPr>
          <w:lang w:val="fr-FR"/>
        </w:rPr>
        <w:t>(MFAAB).</w:t>
      </w:r>
      <w:r>
        <w:rPr>
          <w:rStyle w:val="FootnoteReference"/>
        </w:rPr>
        <w:footnoteReference w:id="256"/>
      </w:r>
      <w:r w:rsidRPr="00DE3AC9">
        <w:rPr>
          <w:lang w:val="fr-FR"/>
        </w:rPr>
        <w:t xml:space="preserve"> </w:t>
      </w:r>
      <w:r>
        <w:t xml:space="preserve">In September 1915, British </w:t>
      </w:r>
      <w:r w:rsidR="00605DB1">
        <w:t>pilots</w:t>
      </w:r>
      <w:r>
        <w:t xml:space="preserve"> agreed to drop Parisian newspapers such as </w:t>
      </w:r>
      <w:r>
        <w:rPr>
          <w:i/>
          <w:iCs/>
        </w:rPr>
        <w:t xml:space="preserve">L’Echo de Paris, </w:t>
      </w:r>
      <w:r>
        <w:t xml:space="preserve">the </w:t>
      </w:r>
      <w:r>
        <w:rPr>
          <w:i/>
          <w:iCs/>
        </w:rPr>
        <w:t>Journal</w:t>
      </w:r>
      <w:r>
        <w:t xml:space="preserve">, the </w:t>
      </w:r>
      <w:r>
        <w:rPr>
          <w:i/>
          <w:iCs/>
        </w:rPr>
        <w:t>Matin</w:t>
      </w:r>
      <w:r>
        <w:t xml:space="preserve">, the </w:t>
      </w:r>
      <w:r>
        <w:rPr>
          <w:i/>
          <w:iCs/>
        </w:rPr>
        <w:t xml:space="preserve">Petit Journal </w:t>
      </w:r>
      <w:r>
        <w:t xml:space="preserve">and the </w:t>
      </w:r>
      <w:r>
        <w:rPr>
          <w:i/>
          <w:iCs/>
        </w:rPr>
        <w:t>Petit Parisien</w:t>
      </w:r>
      <w:r w:rsidR="00DA1452" w:rsidRPr="00DA1452">
        <w:t xml:space="preserve"> </w:t>
      </w:r>
      <w:r w:rsidR="00DA1452">
        <w:t>on a daily basis</w:t>
      </w:r>
      <w:r>
        <w:t>.</w:t>
      </w:r>
      <w:r>
        <w:rPr>
          <w:rStyle w:val="FootnoteReference"/>
        </w:rPr>
        <w:footnoteReference w:id="257"/>
      </w:r>
      <w:r>
        <w:t xml:space="preserve"> This collaboration was pushed further at the end of 1915, and again at the end of 1916</w:t>
      </w:r>
      <w:r w:rsidR="008A4775">
        <w:t>,</w:t>
      </w:r>
      <w:r>
        <w:t xml:space="preserve"> as table 2.1 shows, when the British agreed to disseminate the </w:t>
      </w:r>
      <w:r>
        <w:rPr>
          <w:i/>
          <w:iCs/>
        </w:rPr>
        <w:t>Voix du Pays</w:t>
      </w:r>
      <w:r>
        <w:t>. The SPA was given information about the progress of the RFC</w:t>
      </w:r>
      <w:r w:rsidR="008A4775">
        <w:t>,</w:t>
      </w:r>
      <w:r>
        <w:t xml:space="preserve"> and was even allowed to suggest target</w:t>
      </w:r>
      <w:r w:rsidR="00DA1452">
        <w:t>s</w:t>
      </w:r>
      <w:r>
        <w:t xml:space="preserve"> in the occupied territories when necessary. This collaboration </w:t>
      </w:r>
      <w:r w:rsidR="008A4775">
        <w:t>lasted</w:t>
      </w:r>
      <w:r>
        <w:t xml:space="preserve"> until the end of the conflict and was warmly remembered by French propagandists. They offered a much brighter picture of Anglo-French collaboration during the First World War than the one usually remembered by the historiography:</w:t>
      </w:r>
      <w:r>
        <w:rPr>
          <w:rStyle w:val="FootnoteReference"/>
        </w:rPr>
        <w:footnoteReference w:id="258"/>
      </w:r>
    </w:p>
    <w:p w14:paraId="620DB5A2" w14:textId="77777777" w:rsidR="0048510E" w:rsidRDefault="0048510E" w:rsidP="0048510E">
      <w:pPr>
        <w:ind w:left="567" w:right="567"/>
        <w:jc w:val="both"/>
        <w:rPr>
          <w:lang w:val="fr-FR"/>
        </w:rPr>
      </w:pPr>
      <w:r w:rsidRPr="00120DBE">
        <w:t xml:space="preserve"> </w:t>
      </w:r>
      <w:r w:rsidRPr="00C355E9">
        <w:rPr>
          <w:lang w:val="fr-FR"/>
        </w:rPr>
        <w:t xml:space="preserve">[…] Il ne nous était pas possible, </w:t>
      </w:r>
      <w:r>
        <w:rPr>
          <w:lang w:val="fr-FR"/>
        </w:rPr>
        <w:t>naturellement, d’exercer aucun contrôle sur eux. Pourtant, nous avons l’impression que le commandement britannique avait pris très au sérieux cette question de lancement de journaux. Nous ne pouvions exiger de lui, comme nous le faisions des unités françaises, des comptes rendus de lancement. Mais, de lui-même, il nous renseignait sur les efforts faits et sur les résultats obtenus. A maintes reprises, dans les périodes de calme, il nous pria d’augmenter l’importance de nos envois ; inversement, lors de diverses offensives, il nous engagea à diriger sur d’autres points du front les journaux  dont nous disposions, afin qu’ils ne demeurassent point inutilisés dans les réserves des parcs d’aviation.</w:t>
      </w:r>
      <w:r>
        <w:rPr>
          <w:rStyle w:val="FootnoteReference"/>
          <w:lang w:val="fr-FR"/>
        </w:rPr>
        <w:footnoteReference w:id="259"/>
      </w:r>
    </w:p>
    <w:p w14:paraId="42FDE091" w14:textId="77777777" w:rsidR="0048510E" w:rsidRPr="00152300" w:rsidRDefault="0048510E" w:rsidP="0048510E">
      <w:pPr>
        <w:rPr>
          <w:lang w:val="fr-FR"/>
        </w:rPr>
      </w:pPr>
    </w:p>
    <w:p w14:paraId="209CF6EA" w14:textId="77777777" w:rsidR="0048510E" w:rsidRDefault="00F66EAB" w:rsidP="0048510E">
      <w:r>
        <w:t>Figure</w:t>
      </w:r>
      <w:r w:rsidR="0048510E" w:rsidRPr="002354EB">
        <w:t xml:space="preserve"> 2.1: </w:t>
      </w:r>
      <w:r w:rsidR="0048510E">
        <w:rPr>
          <w:i/>
          <w:iCs/>
        </w:rPr>
        <w:t>Quantity of</w:t>
      </w:r>
      <w:r w:rsidR="0048510E" w:rsidRPr="002354EB">
        <w:rPr>
          <w:i/>
          <w:iCs/>
        </w:rPr>
        <w:t xml:space="preserve"> French propaganda newspapers </w:t>
      </w:r>
      <w:r w:rsidR="0048510E">
        <w:rPr>
          <w:i/>
          <w:iCs/>
        </w:rPr>
        <w:t xml:space="preserve">distributed by the British from </w:t>
      </w:r>
      <w:r w:rsidR="0048510E" w:rsidRPr="002354EB">
        <w:rPr>
          <w:i/>
          <w:iCs/>
        </w:rPr>
        <w:t xml:space="preserve">August 1916 to </w:t>
      </w:r>
      <w:r w:rsidR="0048510E">
        <w:rPr>
          <w:i/>
          <w:iCs/>
        </w:rPr>
        <w:t>August</w:t>
      </w:r>
      <w:r w:rsidR="0048510E" w:rsidRPr="002354EB">
        <w:rPr>
          <w:i/>
          <w:iCs/>
        </w:rPr>
        <w:t xml:space="preserve"> 1917.</w:t>
      </w:r>
      <w:r w:rsidR="0048510E" w:rsidRPr="002354EB">
        <w:t xml:space="preserve"> </w:t>
      </w:r>
      <w:r w:rsidR="0048510E">
        <w:rPr>
          <w:noProof/>
        </w:rPr>
        <w:drawing>
          <wp:inline distT="0" distB="0" distL="0" distR="0" wp14:anchorId="07998CF5" wp14:editId="28C13ACB">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B9397D" w14:textId="77777777" w:rsidR="0048510E" w:rsidRDefault="0048510E" w:rsidP="0048510E">
      <w:pPr>
        <w:jc w:val="both"/>
      </w:pPr>
      <w:r>
        <w:rPr>
          <w:i/>
          <w:iCs/>
        </w:rPr>
        <w:t>Source</w:t>
      </w:r>
      <w:r>
        <w:t>: IWM: Collection of documents kept by Lt-Colonel A. Lee of the Sherwood Foresters. Reports about aerial propaganda distribution. August 1916 – August 1917.</w:t>
      </w:r>
    </w:p>
    <w:p w14:paraId="1CDF3905" w14:textId="77777777" w:rsidR="0048510E" w:rsidRDefault="0048510E" w:rsidP="0048510E">
      <w:pPr>
        <w:jc w:val="both"/>
      </w:pPr>
    </w:p>
    <w:p w14:paraId="3A9B28AB" w14:textId="1D534E70" w:rsidR="0048510E" w:rsidRDefault="0048510E" w:rsidP="008A4775">
      <w:pPr>
        <w:jc w:val="both"/>
      </w:pPr>
      <w:r>
        <w:t xml:space="preserve">Distribution followed a similar pattern in the British army. Chapter one has shown that the creation of MI7 in </w:t>
      </w:r>
      <w:r w:rsidR="0012021F">
        <w:t xml:space="preserve">1916 led to the development of </w:t>
      </w:r>
      <w:r>
        <w:t xml:space="preserve">British-made propaganda aimed at </w:t>
      </w:r>
      <w:r w:rsidR="008A4775">
        <w:t xml:space="preserve">the </w:t>
      </w:r>
      <w:r>
        <w:t xml:space="preserve">occupied populations. A plan </w:t>
      </w:r>
      <w:r w:rsidR="008A4775">
        <w:t xml:space="preserve">of distribution </w:t>
      </w:r>
      <w:r>
        <w:t>was developed by the headquarters of the RFC in August 1916. Expanded at the beginning of 1917 with the help of MI7, it stated that aerial propaganda had to be printed in Lond</w:t>
      </w:r>
      <w:r w:rsidR="003918F7">
        <w:t>on before being shipped to the w</w:t>
      </w:r>
      <w:r>
        <w:t xml:space="preserve">estern front. Propaganda material was then given to the </w:t>
      </w:r>
      <w:r w:rsidR="00F0759A">
        <w:t>headquarters of the RFC by i</w:t>
      </w:r>
      <w:r>
        <w:t>ntelligence staff before being transferred to squadrons. Once propaganda was distributed, squadron commanders had to fill reports aimed at British intelligence indicating the location of the drop and its date.</w:t>
      </w:r>
      <w:r>
        <w:rPr>
          <w:rStyle w:val="FootnoteReference"/>
        </w:rPr>
        <w:footnoteReference w:id="260"/>
      </w:r>
      <w:r>
        <w:t xml:space="preserve"> These reports were compared with interviews of repatriated</w:t>
      </w:r>
      <w:r w:rsidR="0012021F">
        <w:t xml:space="preserve"> persons</w:t>
      </w:r>
      <w:r>
        <w:t xml:space="preserve">, who were offering their thoughts on propaganda, to coordinate future missions. Repatriated </w:t>
      </w:r>
      <w:r w:rsidR="0012021F">
        <w:t xml:space="preserve">persons </w:t>
      </w:r>
      <w:r>
        <w:t xml:space="preserve">also described the state of mind </w:t>
      </w:r>
      <w:r w:rsidR="008A4775">
        <w:t xml:space="preserve">of people </w:t>
      </w:r>
      <w:r>
        <w:t>in their area in order to determine the stability of morale.</w:t>
      </w:r>
      <w:r>
        <w:rPr>
          <w:rStyle w:val="FootnoteReference"/>
        </w:rPr>
        <w:footnoteReference w:id="261"/>
      </w:r>
      <w:r>
        <w:t xml:space="preserve"> Overall, the British seem to have followed the path taken by the French in terms of distribution. </w:t>
      </w:r>
    </w:p>
    <w:p w14:paraId="6D73F645" w14:textId="1D45B613" w:rsidR="0048510E" w:rsidRDefault="0048510E" w:rsidP="00605DB1">
      <w:pPr>
        <w:jc w:val="both"/>
      </w:pPr>
      <w:r>
        <w:t xml:space="preserve">In May 1916, Belgian aviators were asked to distribute the </w:t>
      </w:r>
      <w:r>
        <w:rPr>
          <w:i/>
          <w:iCs/>
        </w:rPr>
        <w:t>Clairon du Roi</w:t>
      </w:r>
      <w:r>
        <w:t xml:space="preserve">, created by the Belgian government in exile to communicate with the </w:t>
      </w:r>
      <w:r>
        <w:rPr>
          <w:i/>
          <w:iCs/>
        </w:rPr>
        <w:t>occupés</w:t>
      </w:r>
      <w:r>
        <w:t xml:space="preserve">. Conceived by the army, the newspaper was brought directly to aviation units from the rear. </w:t>
      </w:r>
      <w:r w:rsidR="00F0759A">
        <w:t xml:space="preserve">The </w:t>
      </w:r>
      <w:r>
        <w:t xml:space="preserve">Belgian </w:t>
      </w:r>
      <w:r w:rsidR="00605DB1">
        <w:t>air service</w:t>
      </w:r>
      <w:r>
        <w:t xml:space="preserve"> was small and poorly equipped but its pilots carried</w:t>
      </w:r>
      <w:r w:rsidR="00362C97">
        <w:t xml:space="preserve"> out</w:t>
      </w:r>
      <w:r>
        <w:t xml:space="preserve"> propaganda missions with enthusiasm. It was not </w:t>
      </w:r>
      <w:r w:rsidR="008A4775">
        <w:t>uncommon</w:t>
      </w:r>
      <w:r>
        <w:t xml:space="preserve"> for Belgian aviators to do acrobatic </w:t>
      </w:r>
      <w:r w:rsidR="008A4775">
        <w:t>tricks</w:t>
      </w:r>
      <w:r>
        <w:t xml:space="preserve"> or throw Belgian flags while dropping propaganda </w:t>
      </w:r>
      <w:r w:rsidR="00F0759A">
        <w:t>down on</w:t>
      </w:r>
      <w:r>
        <w:t xml:space="preserve"> large cities. Since 95% of the country was occupied, most pilots had relatives or friends living in the occupied provinces and therefore felt more concerned than other </w:t>
      </w:r>
      <w:r w:rsidR="002068A7">
        <w:t>a</w:t>
      </w:r>
      <w:r>
        <w:t>llied aviators.</w:t>
      </w:r>
      <w:r>
        <w:rPr>
          <w:rStyle w:val="FootnoteReference"/>
        </w:rPr>
        <w:footnoteReference w:id="262"/>
      </w:r>
      <w:r>
        <w:t xml:space="preserve"> These actions were a form of provocation but had a </w:t>
      </w:r>
      <w:r w:rsidR="008A4775">
        <w:t>positive</w:t>
      </w:r>
      <w:r>
        <w:t xml:space="preserve"> impact on the population’s morale.</w:t>
      </w:r>
      <w:r>
        <w:rPr>
          <w:rStyle w:val="FootnoteReference"/>
        </w:rPr>
        <w:footnoteReference w:id="263"/>
      </w:r>
      <w:r>
        <w:t xml:space="preserve"> However, the Belgian air force was trapped </w:t>
      </w:r>
      <w:r w:rsidR="0012021F">
        <w:t xml:space="preserve">behind the Yser River, </w:t>
      </w:r>
      <w:r w:rsidR="008A4775">
        <w:t xml:space="preserve">which was </w:t>
      </w:r>
      <w:r w:rsidR="0012021F">
        <w:t>too far i</w:t>
      </w:r>
      <w:r>
        <w:t xml:space="preserve">n the north-west part of the country to reach eastern and southern provinces. The only solution for the Belgians was to ask the British and the French for help. Propaganda material was submitted to </w:t>
      </w:r>
      <w:r w:rsidR="002068A7">
        <w:t>a</w:t>
      </w:r>
      <w:r>
        <w:t xml:space="preserve">llied HQ and transferred to </w:t>
      </w:r>
      <w:r w:rsidR="00605DB1">
        <w:t>air</w:t>
      </w:r>
      <w:r>
        <w:t xml:space="preserve"> units after having been approved. The content occasionally triggered nationalistic concerns but relations between armies remained courteous and efficient until the end of the war.</w:t>
      </w:r>
      <w:r>
        <w:rPr>
          <w:rStyle w:val="FootnoteReference"/>
        </w:rPr>
        <w:footnoteReference w:id="264"/>
      </w:r>
      <w:r>
        <w:t xml:space="preserve"> </w:t>
      </w:r>
      <w:r w:rsidR="008A4775">
        <w:t>However</w:t>
      </w:r>
      <w:r>
        <w:t xml:space="preserve">, chapter seven will show that the inability to reach remote locations in the Eastern part of the country had serious </w:t>
      </w:r>
      <w:r w:rsidR="008A4775">
        <w:t>implications for</w:t>
      </w:r>
      <w:r>
        <w:t xml:space="preserve"> morale in that area.</w:t>
      </w:r>
      <w:r>
        <w:rPr>
          <w:rStyle w:val="FootnoteReference"/>
        </w:rPr>
        <w:footnoteReference w:id="265"/>
      </w:r>
    </w:p>
    <w:p w14:paraId="14BBA038" w14:textId="1D007C57" w:rsidR="0048510E" w:rsidRDefault="0048510E" w:rsidP="00605DB1">
      <w:pPr>
        <w:jc w:val="both"/>
      </w:pPr>
      <w:r>
        <w:t xml:space="preserve">This section </w:t>
      </w:r>
      <w:r w:rsidR="00E43109">
        <w:t>has shown</w:t>
      </w:r>
      <w:r>
        <w:t xml:space="preserve"> that army headquarters and intelligence departments had a lot of faith in </w:t>
      </w:r>
      <w:r w:rsidR="00605DB1">
        <w:t>the air</w:t>
      </w:r>
      <w:r>
        <w:t xml:space="preserve"> service</w:t>
      </w:r>
      <w:r w:rsidR="00E43109">
        <w:t>,</w:t>
      </w:r>
      <w:r>
        <w:t xml:space="preserve"> without which propaganda aimed both at occupied territories and enemy soldiers would have been unable to work. However, after the war</w:t>
      </w:r>
      <w:r w:rsidR="00E43109">
        <w:t>, members of the British and French air forces criticised the authorities</w:t>
      </w:r>
      <w:r>
        <w:t xml:space="preserve"> for mistrusting their branch. This view has been recently contested in the historiography of First World War aviation.</w:t>
      </w:r>
      <w:r>
        <w:rPr>
          <w:rStyle w:val="FootnoteReference"/>
        </w:rPr>
        <w:footnoteReference w:id="266"/>
      </w:r>
      <w:r>
        <w:t xml:space="preserve"> The next section will also dispu</w:t>
      </w:r>
      <w:r w:rsidR="00E43109">
        <w:t>te this view, arguing that the</w:t>
      </w:r>
      <w:r>
        <w:t xml:space="preserve"> air forces were actually </w:t>
      </w:r>
      <w:r w:rsidR="00F0759A">
        <w:t>guilty of</w:t>
      </w:r>
      <w:r>
        <w:t xml:space="preserve"> sabotaging collaboration with the army and services of the rear.</w:t>
      </w:r>
    </w:p>
    <w:p w14:paraId="7CFE2E3A" w14:textId="77777777" w:rsidR="0048510E" w:rsidRDefault="0048510E" w:rsidP="0048510E">
      <w:pPr>
        <w:pStyle w:val="Heading2"/>
      </w:pPr>
      <w:bookmarkStart w:id="22" w:name="_Toc378223848"/>
      <w:bookmarkStart w:id="23" w:name="_Toc402192955"/>
      <w:r>
        <w:t>Tensions between aviators and propagandists</w:t>
      </w:r>
      <w:bookmarkEnd w:id="22"/>
      <w:bookmarkEnd w:id="23"/>
    </w:p>
    <w:p w14:paraId="3E405584" w14:textId="3739335C" w:rsidR="0048510E" w:rsidRPr="008F10FD" w:rsidRDefault="0048510E" w:rsidP="00E43109">
      <w:pPr>
        <w:jc w:val="both"/>
      </w:pPr>
      <w:r>
        <w:t xml:space="preserve">In 1916, French aviators were starting to voice their discontent </w:t>
      </w:r>
      <w:r w:rsidR="00E43109">
        <w:t>over</w:t>
      </w:r>
      <w:r>
        <w:t xml:space="preserve"> aerial propaganda missions. This attitude in turn triggered resentment within propagandist circles. </w:t>
      </w:r>
      <w:r w:rsidRPr="008F10FD">
        <w:t>Hansi and Tonnelat wrote after the war:</w:t>
      </w:r>
    </w:p>
    <w:p w14:paraId="451D78E7" w14:textId="77777777" w:rsidR="0048510E" w:rsidRDefault="0048510E" w:rsidP="0048510E">
      <w:pPr>
        <w:ind w:left="567" w:right="567"/>
        <w:jc w:val="both"/>
        <w:rPr>
          <w:lang w:val="fr-FR"/>
        </w:rPr>
      </w:pPr>
      <w:r w:rsidRPr="000014FB">
        <w:rPr>
          <w:lang w:val="fr-FR"/>
        </w:rPr>
        <w:t>Les aviateurs, forcés d’accomplir des besognes fort variées</w:t>
      </w:r>
      <w:r>
        <w:rPr>
          <w:lang w:val="fr-FR"/>
        </w:rPr>
        <w:t>, ne pouvaient emporter chaque jour qu’un poids déterminé et relativement faible d’imprimés. Loin de pouvoir distribuer tout ce que nous leur faisions parvenir, ils étaient souvent obligés de laisser aux parcs les ballots qu’ils avaient reçus. Peut-être aussi, il faut bien le dire, certains aviateurs considéraient-ils comme médiocre et sans gloire le travail qui consistait à lancer, non des bombes, mais de simples papiers. Le GQG veillait de son mieux à ce que le service de distribution fût fait avec exactitude ; mais ses instructions étaient parfois éludées.</w:t>
      </w:r>
      <w:r>
        <w:rPr>
          <w:rStyle w:val="FootnoteReference"/>
          <w:lang w:val="fr-FR"/>
        </w:rPr>
        <w:footnoteReference w:id="267"/>
      </w:r>
      <w:r>
        <w:rPr>
          <w:lang w:val="fr-FR"/>
        </w:rPr>
        <w:t xml:space="preserve"> </w:t>
      </w:r>
    </w:p>
    <w:p w14:paraId="16B4087E" w14:textId="09CC0C32" w:rsidR="0048510E" w:rsidRDefault="0048510E" w:rsidP="000E3A5F">
      <w:pPr>
        <w:jc w:val="both"/>
      </w:pPr>
      <w:r>
        <w:t xml:space="preserve">Inside the RFC, aviators voiced their irritation and openly doubted </w:t>
      </w:r>
      <w:r w:rsidR="000E3A5F">
        <w:t xml:space="preserve">the effectiveness of </w:t>
      </w:r>
      <w:r>
        <w:t xml:space="preserve">propaganda. One key problem was the lack of faith in the results gained </w:t>
      </w:r>
      <w:r w:rsidR="001F56D4">
        <w:t>from</w:t>
      </w:r>
      <w:r>
        <w:t xml:space="preserve"> those missions. </w:t>
      </w:r>
      <w:r w:rsidR="000E3A5F">
        <w:t>Mistrusting</w:t>
      </w:r>
      <w:r>
        <w:t xml:space="preserve"> psychological warfare was not new; Colonel Swinton had faced widespread disbelief </w:t>
      </w:r>
      <w:r w:rsidR="000E3A5F">
        <w:t>in</w:t>
      </w:r>
      <w:r>
        <w:t xml:space="preserve"> the headquarters when he tried to organise propaganda missions in 1914.</w:t>
      </w:r>
      <w:r>
        <w:rPr>
          <w:rStyle w:val="FootnoteReference"/>
        </w:rPr>
        <w:footnoteReference w:id="268"/>
      </w:r>
      <w:r>
        <w:t xml:space="preserve"> Lt-Colonel Lee, in charge of the distribution on behalf of MI7, mentioned the unwillingness of aviators to execute their missions and the general scepticism surrounding propaganda</w:t>
      </w:r>
      <w:r w:rsidR="000E3A5F" w:rsidRPr="000E3A5F">
        <w:t xml:space="preserve"> </w:t>
      </w:r>
      <w:r w:rsidR="000E3A5F">
        <w:t>later in the conflict</w:t>
      </w:r>
      <w:r>
        <w:t>.</w:t>
      </w:r>
      <w:r>
        <w:rPr>
          <w:rStyle w:val="FootnoteReference"/>
        </w:rPr>
        <w:footnoteReference w:id="269"/>
      </w:r>
      <w:r>
        <w:t xml:space="preserve"> Likewise, MI7(b) received reports from the headquarters of the RFC clearly stating that propaganda was </w:t>
      </w:r>
      <w:r w:rsidR="000E3A5F">
        <w:t>wasting</w:t>
      </w:r>
      <w:r>
        <w:t xml:space="preserve"> the time of busy aviators. These reports also asked anxious questions about the </w:t>
      </w:r>
      <w:r w:rsidR="000E3A5F">
        <w:t>number</w:t>
      </w:r>
      <w:r>
        <w:t xml:space="preserve"> of paper</w:t>
      </w:r>
      <w:r w:rsidR="001F56D4">
        <w:t>s</w:t>
      </w:r>
      <w:r>
        <w:t xml:space="preserve"> given for distrib</w:t>
      </w:r>
      <w:r w:rsidR="000E3A5F">
        <w:t>ution, and the likelihood of their</w:t>
      </w:r>
      <w:r>
        <w:t xml:space="preserve"> causing inconvenience.</w:t>
      </w:r>
      <w:r>
        <w:rPr>
          <w:rStyle w:val="FootnoteReference"/>
        </w:rPr>
        <w:footnoteReference w:id="270"/>
      </w:r>
      <w:r>
        <w:t xml:space="preserve"> The French SPA was convinced that a special squadron assigned </w:t>
      </w:r>
      <w:r w:rsidR="000E3A5F">
        <w:t>to</w:t>
      </w:r>
      <w:r>
        <w:t xml:space="preserve"> the distribution of propaganda, or at least one plane </w:t>
      </w:r>
      <w:r w:rsidR="000E3A5F">
        <w:t>per</w:t>
      </w:r>
      <w:r>
        <w:t xml:space="preserve"> army dedicated to that kind of mission, was a way of having both a better distribution and </w:t>
      </w:r>
      <w:r w:rsidR="000E3A5F">
        <w:t xml:space="preserve">as </w:t>
      </w:r>
      <w:r>
        <w:t>answer the anxiety of aviators.</w:t>
      </w:r>
      <w:r>
        <w:rPr>
          <w:rStyle w:val="FootnoteReference"/>
        </w:rPr>
        <w:footnoteReference w:id="271"/>
      </w:r>
      <w:r>
        <w:t xml:space="preserve"> On 13 February </w:t>
      </w:r>
      <w:r w:rsidR="003757EA">
        <w:t>1917, General Guillemin of the w</w:t>
      </w:r>
      <w:r>
        <w:t xml:space="preserve">ar </w:t>
      </w:r>
      <w:r w:rsidR="003757EA">
        <w:t>m</w:t>
      </w:r>
      <w:r>
        <w:t xml:space="preserve">inister cabinet </w:t>
      </w:r>
      <w:r w:rsidR="000E3A5F">
        <w:t>suggested this</w:t>
      </w:r>
      <w:r w:rsidR="002C178A">
        <w:t xml:space="preserve"> to the g</w:t>
      </w:r>
      <w:r>
        <w:t>eneral in chief.</w:t>
      </w:r>
      <w:r>
        <w:rPr>
          <w:rStyle w:val="FootnoteReference"/>
        </w:rPr>
        <w:footnoteReference w:id="272"/>
      </w:r>
      <w:r>
        <w:t xml:space="preserve"> The unequivocal answer came a few days later: </w:t>
      </w:r>
      <w:r w:rsidR="000E3A5F">
        <w:t>dedicating</w:t>
      </w:r>
      <w:r>
        <w:t xml:space="preserve"> even one plane exclusively for propaganda missions </w:t>
      </w:r>
      <w:r w:rsidR="000E3A5F">
        <w:t xml:space="preserve">was out of question </w:t>
      </w:r>
      <w:r>
        <w:t xml:space="preserve">as the danger was too </w:t>
      </w:r>
      <w:r w:rsidR="001F56D4">
        <w:t>great</w:t>
      </w:r>
      <w:r>
        <w:t xml:space="preserve"> and the machines too precious.</w:t>
      </w:r>
      <w:r>
        <w:rPr>
          <w:rStyle w:val="FootnoteReference"/>
        </w:rPr>
        <w:footnoteReference w:id="273"/>
      </w:r>
      <w:r>
        <w:t xml:space="preserve"> A similar request was made on 28 August 1918 by the SR</w:t>
      </w:r>
      <w:r w:rsidR="000E3A5F">
        <w:t>,</w:t>
      </w:r>
      <w:r>
        <w:t xml:space="preserve"> but was again denied</w:t>
      </w:r>
      <w:r w:rsidR="000E3A5F">
        <w:t>,</w:t>
      </w:r>
      <w:r>
        <w:t xml:space="preserve"> on the ground</w:t>
      </w:r>
      <w:r w:rsidR="00F0759A">
        <w:t>s</w:t>
      </w:r>
      <w:r>
        <w:t xml:space="preserve"> that propaganda was easy to distribute during normal missions.</w:t>
      </w:r>
      <w:r>
        <w:rPr>
          <w:rStyle w:val="FootnoteReference"/>
        </w:rPr>
        <w:footnoteReference w:id="274"/>
      </w:r>
      <w:r>
        <w:t xml:space="preserve"> </w:t>
      </w:r>
    </w:p>
    <w:p w14:paraId="13B683B2" w14:textId="7588E71C" w:rsidR="0048510E" w:rsidRDefault="0048510E" w:rsidP="00605DB1">
      <w:pPr>
        <w:jc w:val="both"/>
      </w:pPr>
      <w:r>
        <w:t>Th</w:t>
      </w:r>
      <w:r w:rsidR="000E3A5F">
        <w:t>ese multiple reactions confirm</w:t>
      </w:r>
      <w:r>
        <w:t xml:space="preserve"> the fact that elements of the army and the </w:t>
      </w:r>
      <w:r w:rsidR="00605DB1">
        <w:t>air</w:t>
      </w:r>
      <w:r w:rsidR="001F56D4">
        <w:t xml:space="preserve"> service</w:t>
      </w:r>
      <w:r>
        <w:t xml:space="preserve"> had little faith in psychological warfare. Propaganda was deeply anchored in history</w:t>
      </w:r>
      <w:r w:rsidR="000E3A5F">
        <w:t>,</w:t>
      </w:r>
      <w:r>
        <w:t xml:space="preserve"> but had been institutionalised at the end of the nineteenth century. In fact, the First World War was a revolutionary testing ground leading to the universal acknowledgement of propaganda’s efficiency. Yet, this </w:t>
      </w:r>
      <w:r w:rsidR="00362C97">
        <w:t>appreciation</w:t>
      </w:r>
      <w:r>
        <w:t xml:space="preserve"> only came in the </w:t>
      </w:r>
      <w:r w:rsidR="000E3A5F">
        <w:t>1920s</w:t>
      </w:r>
      <w:r>
        <w:t xml:space="preserve"> when books </w:t>
      </w:r>
      <w:r w:rsidR="001F56D4">
        <w:t>demonising</w:t>
      </w:r>
      <w:r>
        <w:t xml:space="preserve"> or praising propaganda surfaced.</w:t>
      </w:r>
      <w:r>
        <w:rPr>
          <w:rStyle w:val="FootnoteReference"/>
        </w:rPr>
        <w:footnoteReference w:id="275"/>
      </w:r>
      <w:r>
        <w:t xml:space="preserve"> In the years 1916-1917, sceptics simply </w:t>
      </w:r>
      <w:r w:rsidR="00F0759A">
        <w:t>lacked the perspective</w:t>
      </w:r>
      <w:r w:rsidR="000E3A5F">
        <w:t xml:space="preserve"> needed</w:t>
      </w:r>
      <w:r>
        <w:t xml:space="preserve"> to grasp the growing potential of propaganda as a weapon.</w:t>
      </w:r>
      <w:r>
        <w:rPr>
          <w:rStyle w:val="FootnoteReference"/>
        </w:rPr>
        <w:footnoteReference w:id="276"/>
      </w:r>
      <w:r>
        <w:t xml:space="preserve"> Military violence was perceived by many as the only </w:t>
      </w:r>
      <w:r w:rsidR="000E3A5F">
        <w:t>possible</w:t>
      </w:r>
      <w:r>
        <w:t xml:space="preserve"> answer to the conflict. </w:t>
      </w:r>
      <w:r w:rsidR="00F0759A">
        <w:t>William Weir, president of the a</w:t>
      </w:r>
      <w:r>
        <w:t xml:space="preserve">ir </w:t>
      </w:r>
      <w:r w:rsidR="00F0759A">
        <w:t>c</w:t>
      </w:r>
      <w:r>
        <w:t>ouncil in 1918, summarised this</w:t>
      </w:r>
      <w:r w:rsidR="003757EA">
        <w:t xml:space="preserve"> view in a reply to the m</w:t>
      </w:r>
      <w:r>
        <w:t>inister of Information Lord Beaverbr</w:t>
      </w:r>
      <w:r w:rsidR="000E3A5F">
        <w:t>ook who was asking for aircraft</w:t>
      </w:r>
      <w:r>
        <w:t xml:space="preserve"> for propaganda missions. </w:t>
      </w:r>
      <w:r w:rsidR="00362C97">
        <w:t>He</w:t>
      </w:r>
      <w:r>
        <w:t xml:space="preserve"> wrote that ‘the dropping of bombs was more effective as propaganda than the dropping of pamphlets’.</w:t>
      </w:r>
      <w:r>
        <w:rPr>
          <w:rStyle w:val="FootnoteReference"/>
        </w:rPr>
        <w:footnoteReference w:id="277"/>
      </w:r>
      <w:r>
        <w:t xml:space="preserve"> As late as October 1918, Major-G</w:t>
      </w:r>
      <w:r w:rsidR="003757EA">
        <w:t xml:space="preserve">eneral J. Salmond wrote </w:t>
      </w:r>
      <w:r>
        <w:t>a corrosive comment about propaganda</w:t>
      </w:r>
      <w:r w:rsidR="000E3A5F" w:rsidRPr="000E3A5F">
        <w:t xml:space="preserve"> </w:t>
      </w:r>
      <w:r w:rsidR="000E3A5F">
        <w:t>to the air minister</w:t>
      </w:r>
      <w:r>
        <w:t xml:space="preserve"> </w:t>
      </w:r>
      <w:r w:rsidR="00F0759A">
        <w:t>stating</w:t>
      </w:r>
      <w:r>
        <w:t xml:space="preserve"> that ‘it will be a great deal more efficacious to concentrate our efforts on killing him [the enemy] than on educating him’.</w:t>
      </w:r>
      <w:r>
        <w:rPr>
          <w:rStyle w:val="FootnoteReference"/>
        </w:rPr>
        <w:footnoteReference w:id="278"/>
      </w:r>
      <w:r>
        <w:t xml:space="preserve"> </w:t>
      </w:r>
    </w:p>
    <w:p w14:paraId="5BE706CC" w14:textId="7B18F6BD" w:rsidR="0048510E" w:rsidRDefault="0048510E" w:rsidP="00605DB1">
      <w:pPr>
        <w:jc w:val="both"/>
      </w:pPr>
      <w:r>
        <w:t>At the bottom of the hierarchy, aviators might have shared this vision</w:t>
      </w:r>
      <w:r w:rsidR="000E3A5F">
        <w:t>,</w:t>
      </w:r>
      <w:r>
        <w:t xml:space="preserve"> but were also hostile to air propaganda for more pragmatic reasons. Three quarters of the casualties suffered by French </w:t>
      </w:r>
      <w:r w:rsidR="00605DB1">
        <w:t>pilots</w:t>
      </w:r>
      <w:r>
        <w:t xml:space="preserve"> occurred in the last two years of the war, precisely when aerial propaganda was expanding considerably. These losses were the result of an aggres</w:t>
      </w:r>
      <w:r w:rsidR="001F56D4">
        <w:t xml:space="preserve">sive </w:t>
      </w:r>
      <w:r w:rsidR="002068A7">
        <w:t>a</w:t>
      </w:r>
      <w:r w:rsidR="001F56D4">
        <w:t>llied doctrine in the air</w:t>
      </w:r>
      <w:r>
        <w:t>. Propaganda missions were usually conducted by vulnerable bombardment and observation planes above the enemy sky. Aviators saw these missions as an unnecessary risk and preferred to ‘kill Germans’.</w:t>
      </w:r>
      <w:r>
        <w:rPr>
          <w:rStyle w:val="FootnoteReference"/>
        </w:rPr>
        <w:footnoteReference w:id="279"/>
      </w:r>
      <w:r>
        <w:t xml:space="preserve"> </w:t>
      </w:r>
      <w:r w:rsidR="001F56D4">
        <w:t>Unsurprisingly</w:t>
      </w:r>
      <w:r>
        <w:t xml:space="preserve">, pilots were </w:t>
      </w:r>
      <w:r w:rsidR="000E3A5F">
        <w:t xml:space="preserve">therefore </w:t>
      </w:r>
      <w:r>
        <w:t>suspected of bein</w:t>
      </w:r>
      <w:r w:rsidR="001F56D4">
        <w:t>g careless about these missions</w:t>
      </w:r>
      <w:r w:rsidR="002331D6">
        <w:t xml:space="preserve"> by propagandists</w:t>
      </w:r>
      <w:r w:rsidR="001F56D4">
        <w:t xml:space="preserve">. As the senior officer in charge of </w:t>
      </w:r>
      <w:r w:rsidR="003918F7">
        <w:t>propaganda distribution on the w</w:t>
      </w:r>
      <w:r w:rsidR="001F56D4">
        <w:t>estern front noted:</w:t>
      </w:r>
    </w:p>
    <w:p w14:paraId="48FCB6B8" w14:textId="77777777" w:rsidR="0048510E" w:rsidRDefault="0048510E" w:rsidP="0048510E">
      <w:pPr>
        <w:ind w:left="567" w:right="567"/>
        <w:jc w:val="both"/>
      </w:pPr>
      <w:r>
        <w:t>During all these months we had been continuously using Air Propaganda over the German lines by airplanes and to some extent our pigeon balloons and were dropping an increasing quantity of stuff, but it was unsatisfactory in that we never could tell for certain that the pilots were really dropping the stuff where it was intended or whether they were unloading anywhere because of the extra weight and the fact that the Air Force didn’t believe in the idea.</w:t>
      </w:r>
      <w:r>
        <w:rPr>
          <w:rStyle w:val="FootnoteReference"/>
        </w:rPr>
        <w:footnoteReference w:id="280"/>
      </w:r>
    </w:p>
    <w:p w14:paraId="21FA9F4A" w14:textId="07115E5B" w:rsidR="0048510E" w:rsidRDefault="0048510E" w:rsidP="00605DB1">
      <w:pPr>
        <w:jc w:val="both"/>
      </w:pPr>
      <w:r>
        <w:t xml:space="preserve">It will be shown later in this chapter that the hostility of </w:t>
      </w:r>
      <w:r w:rsidR="00605DB1">
        <w:t>air</w:t>
      </w:r>
      <w:r>
        <w:t xml:space="preserve"> units and their hierarchy </w:t>
      </w:r>
      <w:r w:rsidR="001F56D4">
        <w:t>towards</w:t>
      </w:r>
      <w:r>
        <w:t xml:space="preserve"> propaganda missions </w:t>
      </w:r>
      <w:r w:rsidR="000E3A5F">
        <w:t>would</w:t>
      </w:r>
      <w:r>
        <w:t xml:space="preserve"> have </w:t>
      </w:r>
      <w:r w:rsidR="002331D6">
        <w:t>significant</w:t>
      </w:r>
      <w:r>
        <w:t xml:space="preserve"> consequences for aerial propaganda.</w:t>
      </w:r>
    </w:p>
    <w:p w14:paraId="26BDA9AF" w14:textId="77777777" w:rsidR="0048510E" w:rsidRDefault="0048510E" w:rsidP="0048510E">
      <w:pPr>
        <w:pStyle w:val="Heading2"/>
      </w:pPr>
      <w:bookmarkStart w:id="24" w:name="_Toc378223849"/>
      <w:bookmarkStart w:id="25" w:name="_Toc402192956"/>
      <w:r>
        <w:t>German use of international law</w:t>
      </w:r>
      <w:bookmarkEnd w:id="24"/>
      <w:bookmarkEnd w:id="25"/>
    </w:p>
    <w:p w14:paraId="55236335" w14:textId="3A1707D6" w:rsidR="0048510E" w:rsidRDefault="0048510E" w:rsidP="0048510E">
      <w:pPr>
        <w:jc w:val="both"/>
      </w:pPr>
      <w:r>
        <w:t xml:space="preserve">In April 1917, two FE2b observation planes of N. 22 squadron of the RFC were shot down by German pilots of </w:t>
      </w:r>
      <w:r w:rsidRPr="002331D6">
        <w:rPr>
          <w:i/>
        </w:rPr>
        <w:t>Jagdstaffel</w:t>
      </w:r>
      <w:r>
        <w:t xml:space="preserve"> 5 during a dogfight. The four crew members managed to land safely behind enemy lines before being captured alive. This incident was a daily occurrence and </w:t>
      </w:r>
      <w:r w:rsidR="001F56D4">
        <w:t>little would have been made of it</w:t>
      </w:r>
      <w:r>
        <w:t xml:space="preserve"> if bundles of propaganda leaflets, printed in German, had not been found inside the nacelle of one of the British planes. The airmen were promptly interrogated but denied having taken part in propaganda missions</w:t>
      </w:r>
      <w:r w:rsidR="000E3A5F">
        <w:t>,</w:t>
      </w:r>
      <w:r>
        <w:t xml:space="preserve"> or even being aware that they were carrying leaflets.</w:t>
      </w:r>
      <w:r>
        <w:rPr>
          <w:rStyle w:val="FootnoteReference"/>
        </w:rPr>
        <w:footnoteReference w:id="281"/>
      </w:r>
      <w:r>
        <w:t xml:space="preserve"> On 6 June 1917, a note </w:t>
      </w:r>
      <w:r w:rsidR="002331D6">
        <w:t>issued by the German f</w:t>
      </w:r>
      <w:r>
        <w:t xml:space="preserve">oreign </w:t>
      </w:r>
      <w:r w:rsidR="002331D6">
        <w:t>o</w:t>
      </w:r>
      <w:r>
        <w:t xml:space="preserve">ffice was transmitted to the Swiss </w:t>
      </w:r>
      <w:r w:rsidR="001F56D4">
        <w:t>ambassador to Britain,</w:t>
      </w:r>
      <w:r>
        <w:t xml:space="preserve"> who </w:t>
      </w:r>
      <w:r w:rsidR="002331D6">
        <w:t>in turn sent it to the foreign o</w:t>
      </w:r>
      <w:r>
        <w:t>ffice. This note stated that enemy airmen dropping propaganda material were now considered outside the scope of international laws of war. The main consequence was critical; captured pilots and observers carrying leaflets were now facing trial by a c</w:t>
      </w:r>
      <w:r w:rsidR="00A53017">
        <w:t>ourt martial on the basis that the Hague C</w:t>
      </w:r>
      <w:r>
        <w:t>onvention did not recognise aerial propaganda.</w:t>
      </w:r>
      <w:r>
        <w:rPr>
          <w:rStyle w:val="FootnoteReference"/>
        </w:rPr>
        <w:footnoteReference w:id="282"/>
      </w:r>
      <w:r>
        <w:t xml:space="preserve"> </w:t>
      </w:r>
    </w:p>
    <w:p w14:paraId="49A1D0C7" w14:textId="1F72E482" w:rsidR="0048510E" w:rsidRDefault="0048510E" w:rsidP="000E3A5F">
      <w:pPr>
        <w:jc w:val="both"/>
      </w:pPr>
      <w:r>
        <w:t xml:space="preserve">The French and the Belgians were notified by the British of the decision to interrupt aerial propaganda distribution on 27 June 1917. In turn, the French </w:t>
      </w:r>
      <w:r>
        <w:rPr>
          <w:i/>
          <w:iCs/>
        </w:rPr>
        <w:t>Service Géographique de l’Armée</w:t>
      </w:r>
      <w:r>
        <w:t xml:space="preserve"> (SGA) recalled all leaflets and newspapers in French and German to distribution centres.</w:t>
      </w:r>
      <w:r>
        <w:rPr>
          <w:rStyle w:val="FootnoteReference"/>
        </w:rPr>
        <w:footnoteReference w:id="283"/>
      </w:r>
      <w:r>
        <w:t xml:space="preserve"> However, the absence of</w:t>
      </w:r>
      <w:r w:rsidR="000E3A5F">
        <w:t xml:space="preserve"> a</w:t>
      </w:r>
      <w:r>
        <w:t xml:space="preserve"> reaction from Germany led the </w:t>
      </w:r>
      <w:r w:rsidR="003918F7">
        <w:t>a</w:t>
      </w:r>
      <w:r>
        <w:t xml:space="preserve">llies to resume aerial distribution the next month. In fact, the threat was a divisive issue for the British headquarters. Some, such as Lt-Colonel Lee, thought that these menaces were a bluff designed to interfere with propaganda missions while others </w:t>
      </w:r>
      <w:r w:rsidR="000E3A5F">
        <w:t>took</w:t>
      </w:r>
      <w:r>
        <w:t xml:space="preserve"> German threats seriously.</w:t>
      </w:r>
      <w:r>
        <w:rPr>
          <w:rStyle w:val="FootnoteReference"/>
        </w:rPr>
        <w:footnoteReference w:id="284"/>
      </w:r>
      <w:r>
        <w:t xml:space="preserve"> </w:t>
      </w:r>
    </w:p>
    <w:p w14:paraId="5FD34B0B" w14:textId="657EC3E1" w:rsidR="0048510E" w:rsidRDefault="0048510E" w:rsidP="00605DB1">
      <w:pPr>
        <w:jc w:val="both"/>
      </w:pPr>
      <w:r>
        <w:t>The legality of the German note was also examined by the SR of the French army. The SR issued a memo on 9 June 1917 which contained an analysis articulated around three major points</w:t>
      </w:r>
      <w:r w:rsidR="000E3A5F" w:rsidRPr="000E3A5F">
        <w:t xml:space="preserve"> </w:t>
      </w:r>
      <w:r w:rsidR="000E3A5F">
        <w:t>for the headquarters</w:t>
      </w:r>
      <w:r>
        <w:t>.</w:t>
      </w:r>
      <w:r>
        <w:rPr>
          <w:rStyle w:val="FootnoteReference"/>
        </w:rPr>
        <w:footnoteReference w:id="285"/>
      </w:r>
      <w:r>
        <w:t xml:space="preserve"> The note first acknowledged that aerial propaganda was not a type of warfare recognised by the Hague convention. According to the SR, this </w:t>
      </w:r>
      <w:r w:rsidR="002331D6">
        <w:t>omission</w:t>
      </w:r>
      <w:r>
        <w:t xml:space="preserve"> was due to the unforeseen development of </w:t>
      </w:r>
      <w:r w:rsidR="00605DB1">
        <w:t>aeroplanes</w:t>
      </w:r>
      <w:r>
        <w:t xml:space="preserve"> since the convention and not to opposition to propaganda. Indeed, the Hague convention was signed in 1907 before </w:t>
      </w:r>
      <w:r w:rsidR="000921F2">
        <w:t>aeroplanes</w:t>
      </w:r>
      <w:r>
        <w:t xml:space="preserve"> became useful military tools. The first point of the memo also argued that French propaganda was not targeting </w:t>
      </w:r>
      <w:r w:rsidR="002331D6">
        <w:t>German people</w:t>
      </w:r>
      <w:r>
        <w:t xml:space="preserve"> but Prussian militarism. This argument was contradicted by a number of historians, including Stéphane Audoin-Rouzeau, Annette Becker, Jean-François Sirinelli, and Philip Taylor, all</w:t>
      </w:r>
      <w:r w:rsidR="000E3A5F">
        <w:t xml:space="preserve"> of whom</w:t>
      </w:r>
      <w:r>
        <w:t xml:space="preserve"> demonstrated how intense and diverse French propaganda was.</w:t>
      </w:r>
      <w:r>
        <w:rPr>
          <w:rStyle w:val="FootnoteReference"/>
        </w:rPr>
        <w:footnoteReference w:id="286"/>
      </w:r>
      <w:r>
        <w:t xml:space="preserve"> Indeed, German morale</w:t>
      </w:r>
      <w:r w:rsidR="000E3A5F">
        <w:t>, religion, society and culture</w:t>
      </w:r>
      <w:r>
        <w:t xml:space="preserve"> were not spared by propaganda. This notion will be explored further in the second part of this thesis.</w:t>
      </w:r>
    </w:p>
    <w:p w14:paraId="47F2BC4A" w14:textId="4BF4BF8A" w:rsidR="0048510E" w:rsidRDefault="0048510E" w:rsidP="000E3A5F">
      <w:pPr>
        <w:jc w:val="both"/>
      </w:pPr>
      <w:r>
        <w:t xml:space="preserve">The </w:t>
      </w:r>
      <w:r w:rsidR="00A53017">
        <w:t>next</w:t>
      </w:r>
      <w:r>
        <w:t xml:space="preserve"> major point made by the SR note revolved around the fact that Germany was </w:t>
      </w:r>
      <w:r w:rsidR="00A53017">
        <w:t>also engaging in aerial</w:t>
      </w:r>
      <w:r>
        <w:t xml:space="preserve"> propaganda. Undeniably, unmanned balloons carrying copies of the </w:t>
      </w:r>
      <w:r>
        <w:rPr>
          <w:i/>
          <w:iCs/>
        </w:rPr>
        <w:t>Gazette des Ardennes</w:t>
      </w:r>
      <w:r>
        <w:t xml:space="preserve"> were sent from the enemy lines</w:t>
      </w:r>
      <w:r w:rsidR="00A53017">
        <w:t xml:space="preserve"> to France</w:t>
      </w:r>
      <w:r>
        <w:t xml:space="preserve">. However, the use of German </w:t>
      </w:r>
      <w:r w:rsidR="000921F2">
        <w:t>aeroplanes</w:t>
      </w:r>
      <w:r>
        <w:t xml:space="preserve"> with crews to distribute propaganda did not continue beyond the first few months of the war. After 1914, notes inviting fighters for duels were the only papers physically</w:t>
      </w:r>
      <w:r w:rsidR="000E3A5F">
        <w:t xml:space="preserve"> thrown</w:t>
      </w:r>
      <w:r>
        <w:t xml:space="preserve"> by German airmen.</w:t>
      </w:r>
      <w:r>
        <w:rPr>
          <w:rStyle w:val="FootnoteReference"/>
        </w:rPr>
        <w:footnoteReference w:id="287"/>
      </w:r>
      <w:r>
        <w:t xml:space="preserve"> </w:t>
      </w:r>
    </w:p>
    <w:p w14:paraId="462E2DD0" w14:textId="4EB8E3CC" w:rsidR="0048510E" w:rsidRDefault="0048510E" w:rsidP="000E3A5F">
      <w:pPr>
        <w:jc w:val="both"/>
      </w:pPr>
      <w:r>
        <w:t xml:space="preserve">The third point of the memo </w:t>
      </w:r>
      <w:r w:rsidR="000E3A5F">
        <w:t>looked</w:t>
      </w:r>
      <w:r>
        <w:t xml:space="preserve"> at the threats against subversive writings. The SR rightly underlined that any </w:t>
      </w:r>
      <w:r w:rsidR="00362C97">
        <w:t>criticism</w:t>
      </w:r>
      <w:r>
        <w:t xml:space="preserve"> expressed </w:t>
      </w:r>
      <w:r w:rsidR="000E3A5F">
        <w:t>about</w:t>
      </w:r>
      <w:r>
        <w:t xml:space="preserve"> a regime was by nature subversive. In such conditions, anything could potentially be interpreted as seditious. Therefore, punishing subversive opinions </w:t>
      </w:r>
      <w:r w:rsidR="000E3A5F">
        <w:t>threatened</w:t>
      </w:r>
      <w:r>
        <w:t xml:space="preserve"> the safety of all prisoners of war. Three recommendations concluded the memo:</w:t>
      </w:r>
    </w:p>
    <w:p w14:paraId="74A0509D" w14:textId="77777777" w:rsidR="0048510E" w:rsidRDefault="0048510E" w:rsidP="0048510E">
      <w:pPr>
        <w:pStyle w:val="ListParagraph"/>
        <w:numPr>
          <w:ilvl w:val="0"/>
          <w:numId w:val="1"/>
        </w:numPr>
        <w:ind w:left="924" w:right="567" w:hanging="357"/>
        <w:jc w:val="both"/>
        <w:rPr>
          <w:lang w:val="fr-FR"/>
        </w:rPr>
      </w:pPr>
      <w:r w:rsidRPr="00CC5F92">
        <w:rPr>
          <w:lang w:val="fr-FR"/>
        </w:rPr>
        <w:t>Que cette propagande, qui n’a</w:t>
      </w:r>
      <w:r>
        <w:rPr>
          <w:lang w:val="fr-FR"/>
        </w:rPr>
        <w:t xml:space="preserve"> jamais été aussi utile que dans les circonstances actuelles ou le moral des troupes allemandes lui confère une portée particulière, soit poursuivie ;</w:t>
      </w:r>
    </w:p>
    <w:p w14:paraId="45417EE3" w14:textId="77777777" w:rsidR="0048510E" w:rsidRDefault="0048510E" w:rsidP="0048510E">
      <w:pPr>
        <w:pStyle w:val="ListParagraph"/>
        <w:numPr>
          <w:ilvl w:val="0"/>
          <w:numId w:val="1"/>
        </w:numPr>
        <w:ind w:left="924" w:right="567" w:hanging="357"/>
        <w:jc w:val="both"/>
        <w:rPr>
          <w:lang w:val="fr-FR"/>
        </w:rPr>
      </w:pPr>
      <w:r>
        <w:rPr>
          <w:lang w:val="fr-FR"/>
        </w:rPr>
        <w:t>Que les réclamations allemandes, pour les raisons indiquées plus haut, soient repoussées ;</w:t>
      </w:r>
    </w:p>
    <w:p w14:paraId="7CAD9B02" w14:textId="77777777" w:rsidR="0048510E" w:rsidRPr="00CC5F92" w:rsidRDefault="0048510E" w:rsidP="0048510E">
      <w:pPr>
        <w:pStyle w:val="ListParagraph"/>
        <w:numPr>
          <w:ilvl w:val="0"/>
          <w:numId w:val="1"/>
        </w:numPr>
        <w:ind w:left="924" w:right="567" w:hanging="357"/>
        <w:jc w:val="both"/>
        <w:rPr>
          <w:lang w:val="fr-FR"/>
        </w:rPr>
      </w:pPr>
      <w:r>
        <w:rPr>
          <w:lang w:val="fr-FR"/>
        </w:rPr>
        <w:t>Qu’il soit porté à la connaissance du gouvernement impérial ; qu’au cas où des mesures de rigueur seraient prises contre nos aviateurs, des mesures de représailles seraient immédiatement exercées notamment contre les équipages des zeppelins prisonniers qui n’ont jamais été traduits en conseil de guerre.</w:t>
      </w:r>
      <w:r>
        <w:rPr>
          <w:rStyle w:val="FootnoteReference"/>
          <w:lang w:val="fr-FR"/>
        </w:rPr>
        <w:footnoteReference w:id="288"/>
      </w:r>
    </w:p>
    <w:p w14:paraId="2B20A60C" w14:textId="6630B860" w:rsidR="0048510E" w:rsidRPr="005E298E" w:rsidRDefault="0048510E" w:rsidP="000E3A5F">
      <w:pPr>
        <w:jc w:val="both"/>
      </w:pPr>
      <w:r>
        <w:t>General Philippe Pétain, recen</w:t>
      </w:r>
      <w:r w:rsidR="002331D6">
        <w:t>tly appointed commander of the north and n</w:t>
      </w:r>
      <w:r>
        <w:t>orth-</w:t>
      </w:r>
      <w:r w:rsidR="002331D6">
        <w:t>e</w:t>
      </w:r>
      <w:r>
        <w:t>ast armies, used this note to advise the government.</w:t>
      </w:r>
      <w:r>
        <w:rPr>
          <w:rStyle w:val="FootnoteReference"/>
        </w:rPr>
        <w:footnoteReference w:id="289"/>
      </w:r>
      <w:r>
        <w:t xml:space="preserve"> Pétain underlined that the </w:t>
      </w:r>
      <w:r>
        <w:rPr>
          <w:i/>
          <w:iCs/>
        </w:rPr>
        <w:t>Gazette des Ardennes</w:t>
      </w:r>
      <w:r>
        <w:t xml:space="preserve"> was spread</w:t>
      </w:r>
      <w:r w:rsidR="000E3A5F">
        <w:t xml:space="preserve"> exclusively</w:t>
      </w:r>
      <w:r>
        <w:t xml:space="preserve"> by balloon, meaning that there was not a single German pilot in captivity to put on trial for propaganda activities. Sentencing another catego</w:t>
      </w:r>
      <w:r w:rsidR="002331D6">
        <w:t>ry of prisoners of war such as z</w:t>
      </w:r>
      <w:r>
        <w:t xml:space="preserve">eppelin crew members was the best way to open Pandora’s Box of counter-retaliations. </w:t>
      </w:r>
      <w:r w:rsidRPr="005E298E">
        <w:t>Pétain concluded his report, which was to influence the government and the army to carry on as usual, by saying:</w:t>
      </w:r>
    </w:p>
    <w:p w14:paraId="1E8ED9D3" w14:textId="77777777" w:rsidR="0048510E" w:rsidRPr="004D3F92" w:rsidRDefault="0048510E" w:rsidP="0048510E">
      <w:pPr>
        <w:ind w:left="567" w:right="567"/>
        <w:jc w:val="both"/>
        <w:rPr>
          <w:lang w:val="fr-FR"/>
        </w:rPr>
      </w:pPr>
      <w:r w:rsidRPr="004D3F92">
        <w:rPr>
          <w:lang w:val="fr-FR"/>
        </w:rPr>
        <w:t xml:space="preserve">A l’heure présente, ou les facteurs moraux </w:t>
      </w:r>
      <w:r>
        <w:rPr>
          <w:lang w:val="fr-FR"/>
        </w:rPr>
        <w:t>jouent dans la lutte un rôle de premier plan ; i</w:t>
      </w:r>
      <w:r w:rsidR="00A53017">
        <w:rPr>
          <w:lang w:val="fr-FR"/>
        </w:rPr>
        <w:t>l</w:t>
      </w:r>
      <w:r>
        <w:rPr>
          <w:lang w:val="fr-FR"/>
        </w:rPr>
        <w:t xml:space="preserve"> ne saurait être question de renoncer à la propagande aérienne. La coercition à laquelle recourt le Gouvernement allemand, en nous montrant bien qu’elle l’inquiète, nous engagerait plutôt à l’intensifier. J’avise nos aviateurs des peines auxquelles ils s’exposent en répandant des tracts. Les alarmes de l’ennemi leur soulignent suffisamment la gravité des blessures qu’ils lui causeront en persévérant dans cette voie. Quels que soient les dangers qui les menacent, leur patriotisme donnera le pas à cette considération.</w:t>
      </w:r>
      <w:r>
        <w:rPr>
          <w:rStyle w:val="FootnoteReference"/>
          <w:lang w:val="fr-FR"/>
        </w:rPr>
        <w:footnoteReference w:id="290"/>
      </w:r>
    </w:p>
    <w:p w14:paraId="694747B8" w14:textId="3FED0FF6" w:rsidR="0048510E" w:rsidRDefault="0048510E" w:rsidP="000E3A5F">
      <w:pPr>
        <w:jc w:val="both"/>
      </w:pPr>
      <w:r w:rsidRPr="00CC5F92">
        <w:t>In October 1917, the B</w:t>
      </w:r>
      <w:r>
        <w:t>ritish govern</w:t>
      </w:r>
      <w:r w:rsidR="003757EA">
        <w:t>ment was informed by the Swiss ambassador</w:t>
      </w:r>
      <w:r w:rsidRPr="00CC5F92">
        <w:t xml:space="preserve"> </w:t>
      </w:r>
      <w:r>
        <w:t>that</w:t>
      </w:r>
      <w:r w:rsidRPr="00CC5F92">
        <w:t xml:space="preserve"> the </w:t>
      </w:r>
      <w:r>
        <w:t>Germans were about to carry out</w:t>
      </w:r>
      <w:r w:rsidR="000E3A5F">
        <w:t xml:space="preserve"> their threats against the crew</w:t>
      </w:r>
      <w:r>
        <w:t xml:space="preserve"> of </w:t>
      </w:r>
      <w:r w:rsidR="000E3A5F">
        <w:t xml:space="preserve">the </w:t>
      </w:r>
      <w:r>
        <w:t xml:space="preserve">No. 22 squadron captured during a propaganda mission in April. The four British officers were brought </w:t>
      </w:r>
      <w:r w:rsidR="000E3A5F">
        <w:t>before</w:t>
      </w:r>
      <w:r>
        <w:t xml:space="preserve"> a court-martial</w:t>
      </w:r>
      <w:r w:rsidR="000E3A5F">
        <w:t>,</w:t>
      </w:r>
      <w:r>
        <w:t xml:space="preserve"> on the basis of paragraph 59</w:t>
      </w:r>
      <w:r w:rsidR="00A53017">
        <w:t>,</w:t>
      </w:r>
      <w:r>
        <w:t xml:space="preserve"> subpar</w:t>
      </w:r>
      <w:r w:rsidR="00A53017">
        <w:t>agraph</w:t>
      </w:r>
      <w:r>
        <w:t xml:space="preserve"> 9</w:t>
      </w:r>
      <w:r w:rsidR="000E3A5F">
        <w:t>,</w:t>
      </w:r>
      <w:r>
        <w:t xml:space="preserve"> of the </w:t>
      </w:r>
      <w:r w:rsidRPr="003470A9">
        <w:rPr>
          <w:i/>
          <w:iCs/>
        </w:rPr>
        <w:t>Militärstrafgesetzbuch</w:t>
      </w:r>
      <w:r w:rsidR="000E3A5F">
        <w:t>:</w:t>
      </w:r>
      <w:r w:rsidR="002331D6">
        <w:t xml:space="preserve"> the German m</w:t>
      </w:r>
      <w:r>
        <w:t xml:space="preserve">anual of </w:t>
      </w:r>
      <w:r w:rsidR="002331D6">
        <w:t>military l</w:t>
      </w:r>
      <w:r>
        <w:t>aw</w:t>
      </w:r>
      <w:r w:rsidR="000E3A5F">
        <w:t>. This prescribed</w:t>
      </w:r>
      <w:r>
        <w:t xml:space="preserve"> death for treason for </w:t>
      </w:r>
      <w:r w:rsidR="000E3A5F">
        <w:t xml:space="preserve">those </w:t>
      </w:r>
      <w:r w:rsidR="00A53017">
        <w:t>‘</w:t>
      </w:r>
      <w:r>
        <w:t xml:space="preserve">who, with the intention to give aid to a foreign power or to prejudice the German or </w:t>
      </w:r>
      <w:r w:rsidR="002068A7">
        <w:t>a</w:t>
      </w:r>
      <w:r>
        <w:t>llied troops spreads hostile appeals or proclamations in the Army’. Belonging to a hostile army was considered a mitigating factor</w:t>
      </w:r>
      <w:r w:rsidR="000E3A5F">
        <w:t>,</w:t>
      </w:r>
      <w:r>
        <w:t xml:space="preserve"> but was not enough to avoid trial. This opinion was based on paragraph 160 of the same </w:t>
      </w:r>
      <w:r w:rsidRPr="003470A9">
        <w:rPr>
          <w:i/>
          <w:iCs/>
        </w:rPr>
        <w:t>Militärstrafgesetzbuch</w:t>
      </w:r>
      <w:r>
        <w:t xml:space="preserve">: </w:t>
      </w:r>
      <w:r w:rsidR="00A53017">
        <w:t>‘</w:t>
      </w:r>
      <w:r>
        <w:t>A foreigner or German who makes himself guilty of one of the Acts mentioned in paragraphs 57-59 and 134 during a war against the German Empire, will be punished in accordance with the sentences mentioned in these paragraphs’.</w:t>
      </w:r>
      <w:r>
        <w:rPr>
          <w:rStyle w:val="FootnoteReference"/>
        </w:rPr>
        <w:footnoteReference w:id="291"/>
      </w:r>
      <w:r>
        <w:t xml:space="preserve"> The first crew was acquitted without difficulty as no propaganda had been found in its plane. The second crew was in a more difficult position since propaganda leaflets had been found inside the</w:t>
      </w:r>
      <w:r w:rsidR="000E3A5F">
        <w:t>ir</w:t>
      </w:r>
      <w:r>
        <w:t xml:space="preserve"> machine. Despite recognising the legitimacy of the case, the court acquitted them on the ground that the accused officers were unaware of the illegality of their actions. A decl</w:t>
      </w:r>
      <w:r w:rsidR="002331D6">
        <w:t>aration from the higher army c</w:t>
      </w:r>
      <w:r>
        <w:t>ommand was read by the president of the tribunal after the pleading. This speech, which stated that incendiary pamphlets were regarded as contrary to international laws, was transmitted to enemy nations through foreign legations.</w:t>
      </w:r>
      <w:r>
        <w:rPr>
          <w:rStyle w:val="FootnoteReference"/>
        </w:rPr>
        <w:footnoteReference w:id="292"/>
      </w:r>
      <w:r>
        <w:t xml:space="preserve"> </w:t>
      </w:r>
    </w:p>
    <w:p w14:paraId="6E975667" w14:textId="369D4332" w:rsidR="0048510E" w:rsidRPr="00A57017" w:rsidRDefault="0048510E" w:rsidP="000E3A5F">
      <w:pPr>
        <w:jc w:val="both"/>
      </w:pPr>
      <w:r>
        <w:t>On 17 October 1917, a German fighting pilot brought down in his lines a British plane from N. 11 squadron near Cambrai.</w:t>
      </w:r>
      <w:r>
        <w:rPr>
          <w:rStyle w:val="FootnoteReference"/>
        </w:rPr>
        <w:footnoteReference w:id="293"/>
      </w:r>
      <w:r>
        <w:t xml:space="preserve"> Inside the </w:t>
      </w:r>
      <w:r w:rsidR="00A53017">
        <w:t>aircraft</w:t>
      </w:r>
      <w:r>
        <w:t xml:space="preserve">, German soldiers found propaganda leaflets encouraging surrender. To the </w:t>
      </w:r>
      <w:r w:rsidR="003918F7">
        <w:t>a</w:t>
      </w:r>
      <w:r>
        <w:t>llies</w:t>
      </w:r>
      <w:r w:rsidR="000E3A5F">
        <w:t>’ indignation</w:t>
      </w:r>
      <w:r>
        <w:t>, a new court-martial sentenced the unfortunate crew to ten years of penal servitude for dropping leaflets. This trial was perceived not only as a farce</w:t>
      </w:r>
      <w:r w:rsidR="000E3A5F">
        <w:t>,</w:t>
      </w:r>
      <w:r>
        <w:t xml:space="preserve"> but also as a sign of weakness against allied propaganda.</w:t>
      </w:r>
      <w:r>
        <w:rPr>
          <w:rStyle w:val="FootnoteReference"/>
        </w:rPr>
        <w:footnoteReference w:id="294"/>
      </w:r>
      <w:r>
        <w:t xml:space="preserve"> The story was a</w:t>
      </w:r>
      <w:r w:rsidR="00A53017">
        <w:t>lso echoed in the press of the home f</w:t>
      </w:r>
      <w:r>
        <w:t>ro</w:t>
      </w:r>
      <w:r w:rsidR="00EF3C04">
        <w:t>nt in Britain and France</w:t>
      </w:r>
      <w:r w:rsidR="000E3A5F">
        <w:t>,</w:t>
      </w:r>
      <w:r w:rsidR="00EF3C04">
        <w:t xml:space="preserve"> where a</w:t>
      </w:r>
      <w:r>
        <w:t xml:space="preserve">llied propaganda </w:t>
      </w:r>
      <w:r w:rsidR="002331D6">
        <w:t>operations</w:t>
      </w:r>
      <w:r>
        <w:t xml:space="preserve"> were compared to German </w:t>
      </w:r>
      <w:r w:rsidR="002331D6">
        <w:t>z</w:t>
      </w:r>
      <w:r>
        <w:t xml:space="preserve">eppelin </w:t>
      </w:r>
      <w:r w:rsidR="002331D6">
        <w:t>raids</w:t>
      </w:r>
      <w:r>
        <w:t xml:space="preserve"> over civilian cities. Germany’s position was mocked in articles such as the one published in </w:t>
      </w:r>
      <w:r w:rsidRPr="00A57017">
        <w:rPr>
          <w:i/>
          <w:iCs/>
        </w:rPr>
        <w:t>Le Pays</w:t>
      </w:r>
      <w:r w:rsidRPr="00A57017">
        <w:t xml:space="preserve">: </w:t>
      </w:r>
    </w:p>
    <w:p w14:paraId="3EDA9139" w14:textId="77777777" w:rsidR="0048510E" w:rsidRPr="00547123" w:rsidRDefault="0048510E" w:rsidP="0048510E">
      <w:pPr>
        <w:ind w:left="567" w:right="567"/>
        <w:jc w:val="both"/>
      </w:pPr>
      <w:r w:rsidRPr="00F10AE2">
        <w:rPr>
          <w:lang w:val="fr-FR"/>
        </w:rPr>
        <w:t>On a vu l’aventure de ces deux aviateurs</w:t>
      </w:r>
      <w:r>
        <w:rPr>
          <w:lang w:val="fr-FR"/>
        </w:rPr>
        <w:t xml:space="preserve"> anglais qui, faits prisonniers par les Allemands, ont été soumis à un régime de dure punition parce qu’ils avaient lancé, du haut de leurs appareils, des proclamations. Un journal ajoute que les Allemands voient dans ce lancement une violation du droit des gens. Ainsi, on ne viole pas le droit des gens en lançant des bombes sur les populations, on les viole en lançant des papiers ! […] Et bien, puisque, de l’aveu même de ses maîtres, le peuple allemand n’est plus aussi insensible auxdits appels de la raison, n’est-ce pas le moment de multiplier ces appels ? N’est-ce pas le moment de s’ingénier pour les répandre en Allemagne, par tous les moyens, dans tous les milieux, dans tous les temps, avec une obstination inlassable ? </w:t>
      </w:r>
      <w:r w:rsidRPr="00547123">
        <w:t>[…]</w:t>
      </w:r>
      <w:r>
        <w:rPr>
          <w:rStyle w:val="FootnoteReference"/>
          <w:lang w:val="fr-FR"/>
        </w:rPr>
        <w:footnoteReference w:id="295"/>
      </w:r>
    </w:p>
    <w:p w14:paraId="62020F72" w14:textId="0D1BC987" w:rsidR="0048510E" w:rsidRDefault="0048510E" w:rsidP="00904A42">
      <w:pPr>
        <w:jc w:val="both"/>
      </w:pPr>
      <w:r>
        <w:t>The press of the rear and the French army adopted a defiant attitude against German menaces</w:t>
      </w:r>
      <w:r w:rsidR="000E3A5F">
        <w:t>,</w:t>
      </w:r>
      <w:r>
        <w:t xml:space="preserve"> but confusion was more present than ever inside the British HQ. To an outsider, Great Britain </w:t>
      </w:r>
      <w:r w:rsidR="000E3A5F">
        <w:t>maintained</w:t>
      </w:r>
      <w:r>
        <w:t xml:space="preserve"> a ri</w:t>
      </w:r>
      <w:r w:rsidR="002331D6">
        <w:t>gid and coherent line when hand</w:t>
      </w:r>
      <w:r>
        <w:t>ing a notification to the German government on 12 February 1918</w:t>
      </w:r>
      <w:r w:rsidR="000E3A5F">
        <w:t>,</w:t>
      </w:r>
      <w:r>
        <w:t xml:space="preserve"> stating that</w:t>
      </w:r>
      <w:r w:rsidR="000E3A5F">
        <w:t xml:space="preserve"> the</w:t>
      </w:r>
      <w:r>
        <w:t xml:space="preserve"> German airmen caught in </w:t>
      </w:r>
      <w:r w:rsidR="000E3A5F">
        <w:t xml:space="preserve">a </w:t>
      </w:r>
      <w:r>
        <w:t>propaganda mission would be tried by a court-martial. The sentence passed on the two British aviators shot</w:t>
      </w:r>
      <w:r w:rsidR="00507BDC">
        <w:t xml:space="preserve"> down</w:t>
      </w:r>
      <w:r>
        <w:t xml:space="preserve"> on 17 October 1917 was suspended in March 1918 but, despite British claims that it was the result of their counter-threats, nothing</w:t>
      </w:r>
      <w:r w:rsidR="000E3A5F">
        <w:t xml:space="preserve"> was done</w:t>
      </w:r>
      <w:r>
        <w:t xml:space="preserve"> to modify the position of the German government on air propaganda missions and how to handle prisoners of war.</w:t>
      </w:r>
      <w:r>
        <w:rPr>
          <w:rStyle w:val="FootnoteReference"/>
        </w:rPr>
        <w:footnoteReference w:id="296"/>
      </w:r>
      <w:r>
        <w:t xml:space="preserve"> The legal aspect was </w:t>
      </w:r>
      <w:r w:rsidR="002331D6">
        <w:t xml:space="preserve">examined </w:t>
      </w:r>
      <w:r w:rsidR="000E3A5F">
        <w:t xml:space="preserve">by </w:t>
      </w:r>
      <w:r w:rsidR="002331D6">
        <w:t>the foreign o</w:t>
      </w:r>
      <w:r>
        <w:t>ffice</w:t>
      </w:r>
      <w:r w:rsidR="000E3A5F">
        <w:t>,</w:t>
      </w:r>
      <w:r>
        <w:t xml:space="preserve"> who concluded</w:t>
      </w:r>
      <w:r w:rsidR="000E3A5F">
        <w:t>,</w:t>
      </w:r>
      <w:r>
        <w:t xml:space="preserve"> after a thorough examination of internat</w:t>
      </w:r>
      <w:r w:rsidR="00507BDC">
        <w:t>ional laws</w:t>
      </w:r>
      <w:r w:rsidR="00904A42">
        <w:t>,</w:t>
      </w:r>
      <w:r w:rsidR="00507BDC">
        <w:t xml:space="preserve"> that the </w:t>
      </w:r>
      <w:r w:rsidR="002331D6">
        <w:t>omission</w:t>
      </w:r>
      <w:r w:rsidR="00507BDC">
        <w:t xml:space="preserve"> of the Hague C</w:t>
      </w:r>
      <w:r>
        <w:t>onvention was not a</w:t>
      </w:r>
      <w:r w:rsidR="00904A42">
        <w:t xml:space="preserve"> valid</w:t>
      </w:r>
      <w:r>
        <w:t xml:space="preserve"> argument to declare air propaganda illega</w:t>
      </w:r>
      <w:r w:rsidR="00904A42">
        <w:t>l. They recommended retaliation</w:t>
      </w:r>
      <w:r>
        <w:t xml:space="preserve"> in </w:t>
      </w:r>
      <w:r w:rsidR="00904A42">
        <w:t xml:space="preserve">the </w:t>
      </w:r>
      <w:r>
        <w:t>case of further sentences against members of the RFC.</w:t>
      </w:r>
      <w:r>
        <w:rPr>
          <w:rStyle w:val="FootnoteReference"/>
        </w:rPr>
        <w:footnoteReference w:id="297"/>
      </w:r>
      <w:r>
        <w:t xml:space="preserve"> However, this image of unity hid deep dissension between propaganda units and air departments. The RFC and those who had little faith in psychological warfare </w:t>
      </w:r>
      <w:r w:rsidR="00904A42">
        <w:t xml:space="preserve">now </w:t>
      </w:r>
      <w:r>
        <w:t>had valid reasons to try to restrict the use of planes to distribute propaganda. Continuous attacks were given by officers working for the air force:</w:t>
      </w:r>
    </w:p>
    <w:p w14:paraId="04177D28" w14:textId="77777777" w:rsidR="0048510E" w:rsidRDefault="0048510E" w:rsidP="0048510E">
      <w:pPr>
        <w:ind w:left="567" w:right="567"/>
        <w:jc w:val="both"/>
      </w:pPr>
      <w:r>
        <w:t>The question appears to be whether the dropping of propaganda in Germany by aeroplanes will have a more important effect in our favour than the morale effect on pilots and observers who have been detailed to carry propaganda would have a reverse effect.</w:t>
      </w:r>
      <w:r>
        <w:rPr>
          <w:rStyle w:val="FootnoteReference"/>
        </w:rPr>
        <w:footnoteReference w:id="298"/>
      </w:r>
    </w:p>
    <w:p w14:paraId="14291ADC" w14:textId="77777777" w:rsidR="0048510E" w:rsidRDefault="0048510E" w:rsidP="0048510E">
      <w:pPr>
        <w:jc w:val="both"/>
      </w:pPr>
      <w:r>
        <w:t>These reports even openly doubted the effectiveness of propaganda:</w:t>
      </w:r>
    </w:p>
    <w:p w14:paraId="07F82DA9" w14:textId="77777777" w:rsidR="0048510E" w:rsidRDefault="0048510E" w:rsidP="0048510E">
      <w:pPr>
        <w:ind w:left="567" w:right="567"/>
        <w:jc w:val="both"/>
      </w:pPr>
      <w:r>
        <w:t>Again, the risk to machines and personnel is equally as great when carrying a lead of leaflets as when carrying a load of bombs, and it would be only natural for the pilots to feel that they were running the risk of being shot down while engaged on an operation productive of no visible results.</w:t>
      </w:r>
      <w:r>
        <w:rPr>
          <w:rStyle w:val="FootnoteReference"/>
        </w:rPr>
        <w:footnoteReference w:id="299"/>
      </w:r>
    </w:p>
    <w:p w14:paraId="56FC67A9" w14:textId="77777777" w:rsidR="0048510E" w:rsidRDefault="0048510E" w:rsidP="0048510E">
      <w:pPr>
        <w:jc w:val="both"/>
      </w:pPr>
    </w:p>
    <w:p w14:paraId="2C21B23C" w14:textId="1B03443D" w:rsidR="0048510E" w:rsidRDefault="0048510E" w:rsidP="00605DB1">
      <w:pPr>
        <w:jc w:val="both"/>
      </w:pPr>
      <w:r>
        <w:t>These worries were not entirely without foundation</w:t>
      </w:r>
      <w:r w:rsidR="00035C0E">
        <w:t>,</w:t>
      </w:r>
      <w:r>
        <w:t xml:space="preserve"> as German threats </w:t>
      </w:r>
      <w:r w:rsidR="007C594F">
        <w:t>had come</w:t>
      </w:r>
      <w:r>
        <w:t xml:space="preserve"> right after a time of crisis for the RFC. During the month of April 1917, the British air force had been overwhelmed by German air superiority, losing 245 aircraft in what was later known as ‘bloody April’. Domination of the sky had shifted by the end of the year to the A</w:t>
      </w:r>
      <w:r w:rsidR="00035C0E">
        <w:t>l</w:t>
      </w:r>
      <w:r>
        <w:t>lied side</w:t>
      </w:r>
      <w:r w:rsidR="00035C0E">
        <w:t>,</w:t>
      </w:r>
      <w:r>
        <w:t xml:space="preserve"> but the Germans still gained temporary local</w:t>
      </w:r>
      <w:r w:rsidR="00035C0E">
        <w:t>ised</w:t>
      </w:r>
      <w:r>
        <w:t xml:space="preserve"> control </w:t>
      </w:r>
      <w:r w:rsidR="00035C0E">
        <w:t xml:space="preserve">of the air, </w:t>
      </w:r>
      <w:r>
        <w:t xml:space="preserve">through the use of mobile </w:t>
      </w:r>
      <w:r>
        <w:rPr>
          <w:i/>
          <w:iCs/>
        </w:rPr>
        <w:t xml:space="preserve">Jagdgeschwader. </w:t>
      </w:r>
      <w:r>
        <w:t>This strategy meant that</w:t>
      </w:r>
      <w:r>
        <w:rPr>
          <w:i/>
          <w:iCs/>
        </w:rPr>
        <w:t xml:space="preserve"> </w:t>
      </w:r>
      <w:r>
        <w:t>operations behind the lines were dangerous and unpredictable.</w:t>
      </w:r>
      <w:r>
        <w:rPr>
          <w:rStyle w:val="FootnoteReference"/>
        </w:rPr>
        <w:footnoteReference w:id="300"/>
      </w:r>
      <w:r>
        <w:t xml:space="preserve"> Of course, propagandists had a very different view. They thought that losses and danger were part of the job of a soldier fighting a war. Nonetheless, an embargo on propaganda distribution by </w:t>
      </w:r>
      <w:r w:rsidR="00035C0E">
        <w:t>aeroplane</w:t>
      </w:r>
      <w:r w:rsidR="007C594F">
        <w:t xml:space="preserve"> was decided by the chief of s</w:t>
      </w:r>
      <w:r>
        <w:t>taff in January 1918. It was a serious setback for propagandists</w:t>
      </w:r>
      <w:r w:rsidR="00035C0E">
        <w:t>,</w:t>
      </w:r>
      <w:r>
        <w:t xml:space="preserve"> who were now deprived of the most convenient and precise mean</w:t>
      </w:r>
      <w:r w:rsidR="007C594F">
        <w:t>s</w:t>
      </w:r>
      <w:r>
        <w:t xml:space="preserve"> of distribution.</w:t>
      </w:r>
      <w:r>
        <w:rPr>
          <w:rStyle w:val="FootnoteReference"/>
        </w:rPr>
        <w:footnoteReference w:id="301"/>
      </w:r>
      <w:r>
        <w:t xml:space="preserve"> Sir Campbell Stuart, of the propaganda department nicknamed Crewe House, wrote that ‘the British authorities tamely submitted’ while Lord Northcliffe repeatedly campaigned for the reintroduction of planes into the distribution circuit.</w:t>
      </w:r>
      <w:r>
        <w:rPr>
          <w:rStyle w:val="FootnoteReference"/>
        </w:rPr>
        <w:footnoteReference w:id="302"/>
      </w:r>
      <w:r>
        <w:t xml:space="preserve"> In fact, the year 1918 </w:t>
      </w:r>
      <w:r w:rsidR="00035C0E">
        <w:t>would</w:t>
      </w:r>
      <w:r>
        <w:t xml:space="preserve"> be a difficult time in terms of relations with the </w:t>
      </w:r>
      <w:r w:rsidR="00605DB1">
        <w:t>air service</w:t>
      </w:r>
      <w:r>
        <w:t xml:space="preserve"> and led to different outcomes for the French, the British and indirectly the Belgians.</w:t>
      </w:r>
    </w:p>
    <w:p w14:paraId="23BF7A98" w14:textId="77777777" w:rsidR="0048510E" w:rsidRDefault="0048510E" w:rsidP="0048510E">
      <w:pPr>
        <w:pStyle w:val="Heading2"/>
      </w:pPr>
      <w:bookmarkStart w:id="26" w:name="_Toc378223850"/>
      <w:bookmarkStart w:id="27" w:name="_Toc402192957"/>
      <w:r>
        <w:t>Reorganisation and hesitation</w:t>
      </w:r>
      <w:bookmarkEnd w:id="26"/>
      <w:bookmarkEnd w:id="27"/>
    </w:p>
    <w:p w14:paraId="03CEE80C" w14:textId="7989FD83" w:rsidR="0048510E" w:rsidRDefault="0048510E" w:rsidP="00605DB1">
      <w:pPr>
        <w:jc w:val="both"/>
      </w:pPr>
      <w:r>
        <w:t>In France, problems around the distribution</w:t>
      </w:r>
      <w:r w:rsidR="00035C0E">
        <w:t xml:space="preserve"> of propaganda</w:t>
      </w:r>
      <w:r>
        <w:t xml:space="preserve"> an</w:t>
      </w:r>
      <w:r w:rsidR="003757EA">
        <w:t>tagonised the EMA and the w</w:t>
      </w:r>
      <w:r>
        <w:t xml:space="preserve">ar </w:t>
      </w:r>
      <w:r w:rsidR="003757EA">
        <w:t>m</w:t>
      </w:r>
      <w:r>
        <w:t xml:space="preserve">inister against the rest of the army. Initiated in 1917, the discussion surrounding the creation of a dedicated propaganda squadron turned sour when the aeronautic </w:t>
      </w:r>
      <w:r w:rsidR="007C594F">
        <w:t xml:space="preserve">categorically </w:t>
      </w:r>
      <w:r>
        <w:t>refused to consider the matter. The commander of the DB of the EMA wrote a violent letter in February 1918</w:t>
      </w:r>
      <w:r w:rsidR="00035C0E">
        <w:t>,</w:t>
      </w:r>
      <w:r>
        <w:t xml:space="preserve"> saying that the only way to avoid the creation of a special </w:t>
      </w:r>
      <w:r w:rsidR="00605DB1">
        <w:t>air</w:t>
      </w:r>
      <w:r>
        <w:t xml:space="preserve"> unit in charge of propaganda was to </w:t>
      </w:r>
      <w:r w:rsidR="007C594F">
        <w:t xml:space="preserve">considerably </w:t>
      </w:r>
      <w:r>
        <w:t>improve the current situation.</w:t>
      </w:r>
      <w:r>
        <w:rPr>
          <w:rStyle w:val="FootnoteReference"/>
        </w:rPr>
        <w:footnoteReference w:id="303"/>
      </w:r>
      <w:r>
        <w:t xml:space="preserve"> The dispute was resolved on 29 April 1918 by o</w:t>
      </w:r>
      <w:r w:rsidR="003757EA">
        <w:t>fficers of the EMA and the w</w:t>
      </w:r>
      <w:r>
        <w:t xml:space="preserve">ar minister who were able to introduce a reorganisation of the distribution, aimed at a better coordination and a reduction </w:t>
      </w:r>
      <w:r w:rsidR="00035C0E">
        <w:t>in</w:t>
      </w:r>
      <w:r>
        <w:t xml:space="preserve"> delays. The SR was made responsible for the operation and was the link allowing </w:t>
      </w:r>
      <w:r w:rsidR="00035C0E">
        <w:t>for</w:t>
      </w:r>
      <w:r>
        <w:t xml:space="preserve"> improved communication between services. Aerial propaganda was still conceived by the SPA</w:t>
      </w:r>
      <w:r w:rsidR="00035C0E">
        <w:t>,</w:t>
      </w:r>
      <w:r>
        <w:t xml:space="preserve"> but the unit was now included in the CAPCE.</w:t>
      </w:r>
      <w:r w:rsidR="007C594F">
        <w:rPr>
          <w:rStyle w:val="FootnoteReference"/>
        </w:rPr>
        <w:footnoteReference w:id="304"/>
      </w:r>
      <w:r>
        <w:t xml:space="preserve"> It was printed by the </w:t>
      </w:r>
      <w:r>
        <w:rPr>
          <w:i/>
          <w:iCs/>
        </w:rPr>
        <w:t>Imprimerie nationale</w:t>
      </w:r>
      <w:r>
        <w:t xml:space="preserve"> before being sent to the </w:t>
      </w:r>
      <w:r w:rsidRPr="00522B64">
        <w:rPr>
          <w:i/>
          <w:iCs/>
        </w:rPr>
        <w:t>Parc annexe d’arti</w:t>
      </w:r>
      <w:r w:rsidRPr="00931C5D">
        <w:rPr>
          <w:i/>
          <w:iCs/>
        </w:rPr>
        <w:t>llerie</w:t>
      </w:r>
      <w:r>
        <w:t xml:space="preserve"> of Mitry-Claye. From there, propaganda was shipped to CA, army squadrons and bombing units. Brief pamphlets describing recent military events were now printed by the armies following the</w:t>
      </w:r>
      <w:r w:rsidR="00035C0E">
        <w:t>ir</w:t>
      </w:r>
      <w:r>
        <w:t xml:space="preserve"> approbation </w:t>
      </w:r>
      <w:r w:rsidR="00035C0E">
        <w:t>by</w:t>
      </w:r>
      <w:r>
        <w:t xml:space="preserve"> the SR. The whole scheme was supervised </w:t>
      </w:r>
      <w:r w:rsidR="00035C0E">
        <w:t>through</w:t>
      </w:r>
      <w:r>
        <w:t xml:space="preserve"> bi-monthly reports and worked as such until the end of the conflict.</w:t>
      </w:r>
      <w:r>
        <w:rPr>
          <w:rStyle w:val="FootnoteReference"/>
        </w:rPr>
        <w:footnoteReference w:id="305"/>
      </w:r>
      <w:r>
        <w:t xml:space="preserve"> </w:t>
      </w:r>
    </w:p>
    <w:p w14:paraId="33A8CB22" w14:textId="5CE61AB2" w:rsidR="0048510E" w:rsidRPr="00F5369B" w:rsidRDefault="0048510E" w:rsidP="00605DB1">
      <w:pPr>
        <w:jc w:val="both"/>
      </w:pPr>
      <w:r>
        <w:t>Occasionally, the French had to rely on the cooperation of the Belgians for specific missions. For example, intelligence reported the presence of Alsatian soldiers of the 83</w:t>
      </w:r>
      <w:r w:rsidRPr="00906DBF">
        <w:rPr>
          <w:vertAlign w:val="superscript"/>
        </w:rPr>
        <w:t>rd</w:t>
      </w:r>
      <w:r>
        <w:t xml:space="preserve"> division positioned on the Belgian sector</w:t>
      </w:r>
      <w:r w:rsidR="007C594F" w:rsidRPr="007C594F">
        <w:t xml:space="preserve"> </w:t>
      </w:r>
      <w:r w:rsidR="007C594F">
        <w:t>in May 1918</w:t>
      </w:r>
      <w:r>
        <w:t xml:space="preserve">. </w:t>
      </w:r>
      <w:r w:rsidR="00035C0E">
        <w:t>T</w:t>
      </w:r>
      <w:r>
        <w:t xml:space="preserve">he French mission </w:t>
      </w:r>
      <w:r w:rsidR="00035C0E">
        <w:t xml:space="preserve">sent a request of assistance </w:t>
      </w:r>
      <w:r>
        <w:t xml:space="preserve">and </w:t>
      </w:r>
      <w:r w:rsidR="00035C0E">
        <w:t>the</w:t>
      </w:r>
      <w:r>
        <w:t xml:space="preserve"> Belgian </w:t>
      </w:r>
      <w:r w:rsidR="00605DB1">
        <w:t>air service</w:t>
      </w:r>
      <w:r w:rsidR="00035C0E">
        <w:t xml:space="preserve"> answered favourably</w:t>
      </w:r>
      <w:r>
        <w:t>.</w:t>
      </w:r>
      <w:r>
        <w:rPr>
          <w:rStyle w:val="FootnoteReference"/>
        </w:rPr>
        <w:footnoteReference w:id="306"/>
      </w:r>
      <w:r>
        <w:t xml:space="preserve"> However, the Belgians were facing their own problems of dissemination. This fact </w:t>
      </w:r>
      <w:r w:rsidR="00035C0E">
        <w:t>is</w:t>
      </w:r>
      <w:r>
        <w:t xml:space="preserve"> illustrated by the London-produced </w:t>
      </w:r>
      <w:r>
        <w:rPr>
          <w:i/>
          <w:iCs/>
        </w:rPr>
        <w:t>Lettre du Soldat</w:t>
      </w:r>
      <w:r>
        <w:t xml:space="preserve"> which was distributed mostly by the British </w:t>
      </w:r>
      <w:r w:rsidR="00605DB1">
        <w:t>air force</w:t>
      </w:r>
      <w:r w:rsidR="00035C0E">
        <w:t xml:space="preserve"> service </w:t>
      </w:r>
      <w:r>
        <w:t>rather than by</w:t>
      </w:r>
      <w:r w:rsidR="007C594F">
        <w:t xml:space="preserve"> the</w:t>
      </w:r>
      <w:r w:rsidR="007E65AF">
        <w:t xml:space="preserve"> </w:t>
      </w:r>
      <w:r>
        <w:t xml:space="preserve">Belgian. </w:t>
      </w:r>
    </w:p>
    <w:p w14:paraId="6D85A8B9" w14:textId="564F15D9" w:rsidR="0048510E" w:rsidRDefault="0048510E" w:rsidP="00035C0E">
      <w:pPr>
        <w:jc w:val="both"/>
      </w:pPr>
      <w:r>
        <w:t xml:space="preserve">Henri Davignon tried to convince his compatriots to </w:t>
      </w:r>
      <w:r w:rsidR="00035C0E">
        <w:t>involve themselves more,</w:t>
      </w:r>
      <w:r>
        <w:t xml:space="preserve"> but offered a grim picture of Belgian army’s ability to communicate:</w:t>
      </w:r>
    </w:p>
    <w:p w14:paraId="3BA6A516" w14:textId="77777777" w:rsidR="0048510E" w:rsidRDefault="0048510E" w:rsidP="0048510E">
      <w:pPr>
        <w:ind w:left="567" w:right="567"/>
        <w:jc w:val="both"/>
        <w:rPr>
          <w:rFonts w:eastAsia="PMingLiU"/>
          <w:lang w:val="fr-FR" w:eastAsia="zh-TW"/>
        </w:rPr>
      </w:pPr>
      <w:r w:rsidRPr="008038FD">
        <w:rPr>
          <w:rFonts w:eastAsia="PMingLiU"/>
          <w:lang w:val="fr-FR" w:eastAsia="zh-TW"/>
        </w:rPr>
        <w:t xml:space="preserve">Jusqu’à présent j’ai dû me contenter </w:t>
      </w:r>
      <w:r>
        <w:rPr>
          <w:rFonts w:eastAsia="PMingLiU"/>
          <w:lang w:val="fr-FR" w:eastAsia="zh-TW"/>
        </w:rPr>
        <w:t>des assurances officielles de l</w:t>
      </w:r>
      <w:r w:rsidR="00507BDC">
        <w:rPr>
          <w:rFonts w:eastAsia="PMingLiU"/>
          <w:lang w:val="fr-FR" w:eastAsia="zh-TW"/>
        </w:rPr>
        <w:t>’autorité militaire belge, quant</w:t>
      </w:r>
      <w:r>
        <w:rPr>
          <w:rFonts w:eastAsia="PMingLiU"/>
          <w:lang w:val="fr-FR" w:eastAsia="zh-TW"/>
        </w:rPr>
        <w:t xml:space="preserve"> à l’envoi de ce journal par avion en Belgique. J’expédie en effet 5000 exemplaires de chaque numéro par la voie de Légation Militaire au GQG belge, d’où je m’en remets aux services de l’aviation belge, qui a reçu les instructions nécessaires pour les faire jeter le plus loin possible. Je ne suis pas à même de contrôler si la diffusion en est réellement assurée et j’ai fait de vains efforts jusqu’ici pour le savoir.</w:t>
      </w:r>
      <w:r>
        <w:rPr>
          <w:rStyle w:val="FootnoteReference"/>
          <w:rFonts w:eastAsia="PMingLiU"/>
          <w:lang w:val="fr-FR" w:eastAsia="zh-TW"/>
        </w:rPr>
        <w:footnoteReference w:id="307"/>
      </w:r>
    </w:p>
    <w:p w14:paraId="03181BC8" w14:textId="58FE5365" w:rsidR="0048510E" w:rsidRDefault="0048510E" w:rsidP="00605DB1">
      <w:pPr>
        <w:jc w:val="both"/>
        <w:rPr>
          <w:rFonts w:eastAsia="PMingLiU"/>
          <w:lang w:eastAsia="zh-TW"/>
        </w:rPr>
      </w:pPr>
      <w:r>
        <w:rPr>
          <w:rFonts w:eastAsia="PMingLiU"/>
          <w:lang w:eastAsia="zh-TW"/>
        </w:rPr>
        <w:t xml:space="preserve">The fact that the British </w:t>
      </w:r>
      <w:r w:rsidR="00605DB1">
        <w:rPr>
          <w:rFonts w:eastAsia="PMingLiU"/>
          <w:lang w:eastAsia="zh-TW"/>
        </w:rPr>
        <w:t>air force</w:t>
      </w:r>
      <w:r>
        <w:rPr>
          <w:rFonts w:eastAsia="PMingLiU"/>
          <w:lang w:eastAsia="zh-TW"/>
        </w:rPr>
        <w:t xml:space="preserve"> refused to </w:t>
      </w:r>
      <w:r w:rsidR="00035C0E">
        <w:rPr>
          <w:rFonts w:eastAsia="PMingLiU"/>
          <w:lang w:eastAsia="zh-TW"/>
        </w:rPr>
        <w:t>continue</w:t>
      </w:r>
      <w:r>
        <w:rPr>
          <w:rFonts w:eastAsia="PMingLiU"/>
          <w:lang w:eastAsia="zh-TW"/>
        </w:rPr>
        <w:t xml:space="preserve"> </w:t>
      </w:r>
      <w:r w:rsidR="00035C0E">
        <w:rPr>
          <w:rFonts w:eastAsia="PMingLiU"/>
          <w:lang w:eastAsia="zh-TW"/>
        </w:rPr>
        <w:t>distributing propaganda</w:t>
      </w:r>
      <w:r>
        <w:rPr>
          <w:rFonts w:eastAsia="PMingLiU"/>
          <w:lang w:eastAsia="zh-TW"/>
        </w:rPr>
        <w:t xml:space="preserve"> meant that </w:t>
      </w:r>
      <w:r w:rsidR="00035C0E">
        <w:rPr>
          <w:rFonts w:eastAsia="PMingLiU"/>
          <w:lang w:eastAsia="zh-TW"/>
        </w:rPr>
        <w:t xml:space="preserve">the </w:t>
      </w:r>
      <w:r>
        <w:rPr>
          <w:rFonts w:eastAsia="PMingLiU"/>
          <w:lang w:eastAsia="zh-TW"/>
        </w:rPr>
        <w:t xml:space="preserve">Belgian propaganda </w:t>
      </w:r>
      <w:r w:rsidR="00035C0E">
        <w:rPr>
          <w:rFonts w:eastAsia="PMingLiU"/>
          <w:lang w:eastAsia="zh-TW"/>
        </w:rPr>
        <w:t xml:space="preserve">campaign </w:t>
      </w:r>
      <w:r>
        <w:rPr>
          <w:rFonts w:eastAsia="PMingLiU"/>
          <w:lang w:eastAsia="zh-TW"/>
        </w:rPr>
        <w:t xml:space="preserve">was also seriously </w:t>
      </w:r>
      <w:r w:rsidR="00507BDC">
        <w:rPr>
          <w:rFonts w:eastAsia="PMingLiU"/>
          <w:lang w:eastAsia="zh-TW"/>
        </w:rPr>
        <w:t>affected</w:t>
      </w:r>
      <w:r>
        <w:rPr>
          <w:rFonts w:eastAsia="PMingLiU"/>
          <w:lang w:eastAsia="zh-TW"/>
        </w:rPr>
        <w:t xml:space="preserve">. By the end of 1917, Belgian </w:t>
      </w:r>
      <w:r w:rsidR="00605DB1">
        <w:rPr>
          <w:rFonts w:eastAsia="PMingLiU"/>
          <w:lang w:eastAsia="zh-TW"/>
        </w:rPr>
        <w:t>aerial units</w:t>
      </w:r>
      <w:r>
        <w:rPr>
          <w:rFonts w:eastAsia="PMingLiU"/>
          <w:lang w:eastAsia="zh-TW"/>
        </w:rPr>
        <w:t xml:space="preserve"> </w:t>
      </w:r>
      <w:r w:rsidR="00605DB1">
        <w:rPr>
          <w:rFonts w:eastAsia="PMingLiU"/>
          <w:lang w:eastAsia="zh-TW"/>
        </w:rPr>
        <w:t>were</w:t>
      </w:r>
      <w:r>
        <w:rPr>
          <w:rFonts w:eastAsia="PMingLiU"/>
          <w:lang w:eastAsia="zh-TW"/>
        </w:rPr>
        <w:t xml:space="preserve"> doing little in terms of aerial psychological warfare. This lethargy was partially lifted on 13 July 1918 when the British offered their support during an international propaganda conference held in Paris. 600 balloons were given to the Belgian army</w:t>
      </w:r>
      <w:r w:rsidR="00CA68DC" w:rsidRPr="00CA68DC">
        <w:rPr>
          <w:rFonts w:eastAsia="PMingLiU"/>
          <w:lang w:eastAsia="zh-TW"/>
        </w:rPr>
        <w:t xml:space="preserve"> </w:t>
      </w:r>
      <w:r w:rsidR="00CA68DC">
        <w:rPr>
          <w:rFonts w:eastAsia="PMingLiU"/>
          <w:lang w:eastAsia="zh-TW"/>
        </w:rPr>
        <w:t>on a daily basis</w:t>
      </w:r>
      <w:r>
        <w:rPr>
          <w:rFonts w:eastAsia="PMingLiU"/>
          <w:lang w:eastAsia="zh-TW"/>
        </w:rPr>
        <w:t>. They were imprecise</w:t>
      </w:r>
      <w:r w:rsidR="00035C0E">
        <w:rPr>
          <w:rFonts w:eastAsia="PMingLiU"/>
          <w:lang w:eastAsia="zh-TW"/>
        </w:rPr>
        <w:t>,</w:t>
      </w:r>
      <w:r>
        <w:rPr>
          <w:rFonts w:eastAsia="PMingLiU"/>
          <w:lang w:eastAsia="zh-TW"/>
        </w:rPr>
        <w:t xml:space="preserve"> but the Belgians</w:t>
      </w:r>
      <w:r w:rsidR="00035C0E">
        <w:rPr>
          <w:rFonts w:eastAsia="PMingLiU"/>
          <w:lang w:eastAsia="zh-TW"/>
        </w:rPr>
        <w:t xml:space="preserve">, who were always looking for </w:t>
      </w:r>
      <w:r>
        <w:rPr>
          <w:rFonts w:eastAsia="PMingLiU"/>
          <w:lang w:eastAsia="zh-TW"/>
        </w:rPr>
        <w:t>way</w:t>
      </w:r>
      <w:r w:rsidR="00035C0E">
        <w:rPr>
          <w:rFonts w:eastAsia="PMingLiU"/>
          <w:lang w:eastAsia="zh-TW"/>
        </w:rPr>
        <w:t>s</w:t>
      </w:r>
      <w:r>
        <w:rPr>
          <w:rFonts w:eastAsia="PMingLiU"/>
          <w:lang w:eastAsia="zh-TW"/>
        </w:rPr>
        <w:t xml:space="preserve"> to save money, </w:t>
      </w:r>
      <w:r w:rsidR="00507BDC">
        <w:rPr>
          <w:rFonts w:eastAsia="PMingLiU"/>
          <w:lang w:eastAsia="zh-TW"/>
        </w:rPr>
        <w:t>gladly accepted</w:t>
      </w:r>
      <w:r>
        <w:rPr>
          <w:rFonts w:eastAsia="PMingLiU"/>
          <w:lang w:eastAsia="zh-TW"/>
        </w:rPr>
        <w:t xml:space="preserve"> the offer. Cooperation between </w:t>
      </w:r>
      <w:r w:rsidR="00CA68DC">
        <w:rPr>
          <w:rFonts w:eastAsia="PMingLiU"/>
          <w:lang w:eastAsia="zh-TW"/>
        </w:rPr>
        <w:t xml:space="preserve">the </w:t>
      </w:r>
      <w:r>
        <w:rPr>
          <w:rFonts w:eastAsia="PMingLiU"/>
          <w:lang w:eastAsia="zh-TW"/>
        </w:rPr>
        <w:t xml:space="preserve">Belgians and </w:t>
      </w:r>
      <w:r w:rsidR="00CA68DC">
        <w:rPr>
          <w:rFonts w:eastAsia="PMingLiU"/>
          <w:lang w:eastAsia="zh-TW"/>
        </w:rPr>
        <w:t xml:space="preserve">the </w:t>
      </w:r>
      <w:r>
        <w:rPr>
          <w:rFonts w:eastAsia="PMingLiU"/>
          <w:lang w:eastAsia="zh-TW"/>
        </w:rPr>
        <w:t xml:space="preserve">British </w:t>
      </w:r>
      <w:r w:rsidR="00035C0E">
        <w:rPr>
          <w:rFonts w:eastAsia="PMingLiU"/>
          <w:lang w:eastAsia="zh-TW"/>
        </w:rPr>
        <w:t>would</w:t>
      </w:r>
      <w:r>
        <w:rPr>
          <w:rFonts w:eastAsia="PMingLiU"/>
          <w:lang w:eastAsia="zh-TW"/>
        </w:rPr>
        <w:t xml:space="preserve"> last until the end of the war and led to spectacular actions. Indeed, 400,000 portraits of the sovereigns of Belgium were </w:t>
      </w:r>
      <w:r w:rsidR="00035C0E">
        <w:rPr>
          <w:rFonts w:eastAsia="PMingLiU"/>
          <w:lang w:eastAsia="zh-TW"/>
        </w:rPr>
        <w:t>distributed</w:t>
      </w:r>
      <w:r>
        <w:rPr>
          <w:rFonts w:eastAsia="PMingLiU"/>
          <w:lang w:eastAsia="zh-TW"/>
        </w:rPr>
        <w:t xml:space="preserve"> to the occupied country for the </w:t>
      </w:r>
      <w:r w:rsidR="00CA68DC" w:rsidRPr="00CA68DC">
        <w:rPr>
          <w:rFonts w:eastAsia="PMingLiU"/>
          <w:iCs/>
          <w:lang w:eastAsia="zh-TW"/>
        </w:rPr>
        <w:t>national</w:t>
      </w:r>
      <w:r w:rsidR="00CA68DC">
        <w:rPr>
          <w:rFonts w:eastAsia="PMingLiU"/>
          <w:i/>
          <w:iCs/>
          <w:lang w:eastAsia="zh-TW"/>
        </w:rPr>
        <w:t xml:space="preserve"> </w:t>
      </w:r>
      <w:r w:rsidR="00CA68DC" w:rsidRPr="00CA68DC">
        <w:rPr>
          <w:rFonts w:eastAsia="PMingLiU"/>
          <w:iCs/>
          <w:lang w:eastAsia="zh-TW"/>
        </w:rPr>
        <w:t>day</w:t>
      </w:r>
      <w:r w:rsidR="00CA68DC">
        <w:rPr>
          <w:rFonts w:eastAsia="PMingLiU"/>
          <w:i/>
          <w:iCs/>
          <w:lang w:eastAsia="zh-TW"/>
        </w:rPr>
        <w:t xml:space="preserve"> </w:t>
      </w:r>
      <w:r w:rsidR="00CA68DC">
        <w:rPr>
          <w:rFonts w:eastAsia="PMingLiU"/>
          <w:lang w:eastAsia="zh-TW"/>
        </w:rPr>
        <w:t>on 21 July 1918</w:t>
      </w:r>
      <w:r>
        <w:rPr>
          <w:rFonts w:eastAsia="PMingLiU"/>
          <w:lang w:eastAsia="zh-TW"/>
        </w:rPr>
        <w:t>.</w:t>
      </w:r>
      <w:r>
        <w:rPr>
          <w:rStyle w:val="FootnoteReference"/>
          <w:rFonts w:eastAsia="PMingLiU"/>
          <w:lang w:eastAsia="zh-TW"/>
        </w:rPr>
        <w:footnoteReference w:id="308"/>
      </w:r>
      <w:r>
        <w:rPr>
          <w:rFonts w:eastAsia="PMingLiU"/>
          <w:lang w:eastAsia="zh-TW"/>
        </w:rPr>
        <w:t xml:space="preserve"> </w:t>
      </w:r>
    </w:p>
    <w:p w14:paraId="4EEE7284" w14:textId="50409CD0" w:rsidR="0048510E" w:rsidRDefault="0048510E" w:rsidP="00035C0E">
      <w:pPr>
        <w:jc w:val="both"/>
        <w:rPr>
          <w:rFonts w:eastAsia="PMingLiU"/>
          <w:lang w:eastAsia="zh-TW"/>
        </w:rPr>
      </w:pPr>
      <w:r>
        <w:rPr>
          <w:rFonts w:eastAsia="PMingLiU"/>
          <w:lang w:eastAsia="zh-TW"/>
        </w:rPr>
        <w:t xml:space="preserve">The Belgians were fortunate to benefit from the collaboration of other nations. In August 1918, an order </w:t>
      </w:r>
      <w:r w:rsidR="00035C0E">
        <w:rPr>
          <w:rFonts w:eastAsia="PMingLiU"/>
          <w:lang w:eastAsia="zh-TW"/>
        </w:rPr>
        <w:t>from</w:t>
      </w:r>
      <w:r>
        <w:rPr>
          <w:rFonts w:eastAsia="PMingLiU"/>
          <w:lang w:eastAsia="zh-TW"/>
        </w:rPr>
        <w:t xml:space="preserve"> the Belgian army HQ interrupted all propaganda missions conducted by the Belgian air force. This decision had nothing to do with German threats</w:t>
      </w:r>
      <w:r w:rsidR="00035C0E">
        <w:rPr>
          <w:rFonts w:eastAsia="PMingLiU"/>
          <w:lang w:eastAsia="zh-TW"/>
        </w:rPr>
        <w:t>,</w:t>
      </w:r>
      <w:r>
        <w:rPr>
          <w:rFonts w:eastAsia="PMingLiU"/>
          <w:lang w:eastAsia="zh-TW"/>
        </w:rPr>
        <w:t xml:space="preserve"> but was rather </w:t>
      </w:r>
      <w:r w:rsidR="00507BDC">
        <w:rPr>
          <w:rFonts w:eastAsia="PMingLiU"/>
          <w:lang w:eastAsia="zh-TW"/>
        </w:rPr>
        <w:t>a</w:t>
      </w:r>
      <w:r>
        <w:rPr>
          <w:rFonts w:eastAsia="PMingLiU"/>
          <w:lang w:eastAsia="zh-TW"/>
        </w:rPr>
        <w:t xml:space="preserve"> </w:t>
      </w:r>
      <w:r w:rsidR="00507BDC">
        <w:rPr>
          <w:rFonts w:eastAsia="PMingLiU"/>
          <w:lang w:eastAsia="zh-TW"/>
        </w:rPr>
        <w:t>response</w:t>
      </w:r>
      <w:r>
        <w:rPr>
          <w:rFonts w:eastAsia="PMingLiU"/>
          <w:lang w:eastAsia="zh-TW"/>
        </w:rPr>
        <w:t xml:space="preserve"> to</w:t>
      </w:r>
      <w:r w:rsidR="00CA68DC">
        <w:rPr>
          <w:rFonts w:eastAsia="PMingLiU"/>
          <w:lang w:eastAsia="zh-TW"/>
        </w:rPr>
        <w:t xml:space="preserve"> the</w:t>
      </w:r>
      <w:r w:rsidR="003918F7">
        <w:rPr>
          <w:rFonts w:eastAsia="PMingLiU"/>
          <w:lang w:eastAsia="zh-TW"/>
        </w:rPr>
        <w:t xml:space="preserve"> progress on the w</w:t>
      </w:r>
      <w:r>
        <w:rPr>
          <w:rFonts w:eastAsia="PMingLiU"/>
          <w:lang w:eastAsia="zh-TW"/>
        </w:rPr>
        <w:t xml:space="preserve">estern front. All </w:t>
      </w:r>
      <w:r w:rsidR="000921F2">
        <w:rPr>
          <w:rFonts w:eastAsia="PMingLiU"/>
          <w:lang w:eastAsia="zh-TW"/>
        </w:rPr>
        <w:t>aeroplanes</w:t>
      </w:r>
      <w:r>
        <w:rPr>
          <w:rFonts w:eastAsia="PMingLiU"/>
          <w:lang w:eastAsia="zh-TW"/>
        </w:rPr>
        <w:t xml:space="preserve"> </w:t>
      </w:r>
      <w:r w:rsidR="00035C0E">
        <w:rPr>
          <w:rFonts w:eastAsia="PMingLiU"/>
          <w:lang w:eastAsia="zh-TW"/>
        </w:rPr>
        <w:t>were</w:t>
      </w:r>
      <w:r>
        <w:rPr>
          <w:rFonts w:eastAsia="PMingLiU"/>
          <w:lang w:eastAsia="zh-TW"/>
        </w:rPr>
        <w:t xml:space="preserve"> to be used for combat missions only. This decision was reversed in September 1918 when a captured German</w:t>
      </w:r>
      <w:r w:rsidR="00507BDC">
        <w:rPr>
          <w:rFonts w:eastAsia="PMingLiU"/>
          <w:lang w:eastAsia="zh-TW"/>
        </w:rPr>
        <w:t xml:space="preserve"> </w:t>
      </w:r>
      <w:r w:rsidR="00507BDC" w:rsidRPr="00CA68DC">
        <w:rPr>
          <w:rFonts w:eastAsia="PMingLiU"/>
          <w:i/>
          <w:lang w:eastAsia="zh-TW"/>
        </w:rPr>
        <w:t>Friedrichshafen</w:t>
      </w:r>
      <w:r w:rsidR="00507BDC">
        <w:rPr>
          <w:rFonts w:eastAsia="PMingLiU"/>
          <w:lang w:eastAsia="zh-TW"/>
        </w:rPr>
        <w:t xml:space="preserve"> G.III, a three-crew giant bomber with a 12-met</w:t>
      </w:r>
      <w:r>
        <w:rPr>
          <w:rFonts w:eastAsia="PMingLiU"/>
          <w:lang w:eastAsia="zh-TW"/>
        </w:rPr>
        <w:t>r</w:t>
      </w:r>
      <w:r w:rsidR="00507BDC">
        <w:rPr>
          <w:rFonts w:eastAsia="PMingLiU"/>
          <w:lang w:eastAsia="zh-TW"/>
        </w:rPr>
        <w:t>e</w:t>
      </w:r>
      <w:r>
        <w:rPr>
          <w:rFonts w:eastAsia="PMingLiU"/>
          <w:lang w:eastAsia="zh-TW"/>
        </w:rPr>
        <w:t xml:space="preserve"> wingspan</w:t>
      </w:r>
      <w:r w:rsidR="00035C0E">
        <w:rPr>
          <w:rFonts w:eastAsia="PMingLiU"/>
          <w:lang w:eastAsia="zh-TW"/>
        </w:rPr>
        <w:t>,</w:t>
      </w:r>
      <w:r>
        <w:rPr>
          <w:rFonts w:eastAsia="PMingLiU"/>
          <w:lang w:eastAsia="zh-TW"/>
        </w:rPr>
        <w:t xml:space="preserve"> capable of carrying 600 kilos of pamphlets monthly, was assigned </w:t>
      </w:r>
      <w:r w:rsidR="00035C0E">
        <w:rPr>
          <w:rFonts w:eastAsia="PMingLiU"/>
          <w:lang w:eastAsia="zh-TW"/>
        </w:rPr>
        <w:t>to</w:t>
      </w:r>
      <w:r>
        <w:rPr>
          <w:rFonts w:eastAsia="PMingLiU"/>
          <w:lang w:eastAsia="zh-TW"/>
        </w:rPr>
        <w:t xml:space="preserve"> propaganda missions.</w:t>
      </w:r>
      <w:r>
        <w:rPr>
          <w:rStyle w:val="FootnoteReference"/>
          <w:rFonts w:eastAsia="PMingLiU"/>
          <w:lang w:eastAsia="zh-TW"/>
        </w:rPr>
        <w:footnoteReference w:id="309"/>
      </w:r>
      <w:r>
        <w:rPr>
          <w:rFonts w:eastAsia="PMingLiU"/>
          <w:lang w:eastAsia="zh-TW"/>
        </w:rPr>
        <w:t xml:space="preserve"> This effort was limited</w:t>
      </w:r>
      <w:r w:rsidR="00035C0E">
        <w:rPr>
          <w:rFonts w:eastAsia="PMingLiU"/>
          <w:lang w:eastAsia="zh-TW"/>
        </w:rPr>
        <w:t>,</w:t>
      </w:r>
      <w:r>
        <w:rPr>
          <w:rFonts w:eastAsia="PMingLiU"/>
          <w:lang w:eastAsia="zh-TW"/>
        </w:rPr>
        <w:t xml:space="preserve"> but the Belgians were </w:t>
      </w:r>
      <w:r w:rsidR="00CA68DC">
        <w:rPr>
          <w:rFonts w:eastAsia="PMingLiU"/>
          <w:lang w:eastAsia="zh-TW"/>
        </w:rPr>
        <w:t>now</w:t>
      </w:r>
      <w:r>
        <w:rPr>
          <w:rFonts w:eastAsia="PMingLiU"/>
          <w:lang w:eastAsia="zh-TW"/>
        </w:rPr>
        <w:t xml:space="preserve"> able to rely on the French to reach the provinces of Namur, Liège and Luxemburg, and the British for the rest of the country.</w:t>
      </w:r>
      <w:r>
        <w:rPr>
          <w:rStyle w:val="FootnoteReference"/>
          <w:rFonts w:eastAsia="PMingLiU"/>
          <w:lang w:eastAsia="zh-TW"/>
        </w:rPr>
        <w:footnoteReference w:id="310"/>
      </w:r>
      <w:r>
        <w:rPr>
          <w:rFonts w:eastAsia="PMingLiU"/>
          <w:lang w:eastAsia="zh-TW"/>
        </w:rPr>
        <w:t xml:space="preserve"> </w:t>
      </w:r>
    </w:p>
    <w:p w14:paraId="2CAC07E6" w14:textId="5A26390E" w:rsidR="0048510E" w:rsidRPr="009744AE" w:rsidRDefault="0048510E" w:rsidP="00035C0E">
      <w:pPr>
        <w:jc w:val="both"/>
        <w:rPr>
          <w:rFonts w:eastAsia="PMingLiU"/>
          <w:lang w:eastAsia="zh-TW"/>
        </w:rPr>
      </w:pPr>
      <w:r>
        <w:rPr>
          <w:rFonts w:eastAsia="PMingLiU"/>
          <w:lang w:eastAsia="zh-TW"/>
        </w:rPr>
        <w:t xml:space="preserve">French and Belgian internal difficulties were minor </w:t>
      </w:r>
      <w:r w:rsidR="00035C0E">
        <w:rPr>
          <w:rFonts w:eastAsia="PMingLiU"/>
          <w:lang w:eastAsia="zh-TW"/>
        </w:rPr>
        <w:t>when compared</w:t>
      </w:r>
      <w:r>
        <w:rPr>
          <w:rFonts w:eastAsia="PMingLiU"/>
          <w:lang w:eastAsia="zh-TW"/>
        </w:rPr>
        <w:t xml:space="preserve"> with the </w:t>
      </w:r>
      <w:r w:rsidR="00035C0E">
        <w:rPr>
          <w:rFonts w:eastAsia="PMingLiU"/>
          <w:lang w:eastAsia="zh-TW"/>
        </w:rPr>
        <w:t>hostile climate</w:t>
      </w:r>
      <w:r>
        <w:rPr>
          <w:rFonts w:eastAsia="PMingLiU"/>
          <w:lang w:eastAsia="zh-TW"/>
        </w:rPr>
        <w:t xml:space="preserve"> in Britain. The spiral of bitterness explained in the last section was still going strong during the year 1918. Other propaganda departments were affected by the RFC</w:t>
      </w:r>
      <w:r w:rsidR="00507BDC">
        <w:rPr>
          <w:rFonts w:eastAsia="PMingLiU"/>
          <w:lang w:eastAsia="zh-TW"/>
        </w:rPr>
        <w:t>’s</w:t>
      </w:r>
      <w:r>
        <w:rPr>
          <w:rFonts w:eastAsia="PMingLiU"/>
          <w:lang w:eastAsia="zh-TW"/>
        </w:rPr>
        <w:t xml:space="preserve"> refusal to distribute propa</w:t>
      </w:r>
      <w:r w:rsidR="00CA68DC">
        <w:rPr>
          <w:rFonts w:eastAsia="PMingLiU"/>
          <w:lang w:eastAsia="zh-TW"/>
        </w:rPr>
        <w:t xml:space="preserve">ganda. </w:t>
      </w:r>
      <w:r w:rsidR="00035C0E">
        <w:rPr>
          <w:rFonts w:eastAsia="PMingLiU"/>
          <w:lang w:eastAsia="zh-TW"/>
        </w:rPr>
        <w:t>From</w:t>
      </w:r>
      <w:r w:rsidR="00CA68DC">
        <w:rPr>
          <w:rFonts w:eastAsia="PMingLiU"/>
          <w:lang w:eastAsia="zh-TW"/>
        </w:rPr>
        <w:t xml:space="preserve"> January 1918, the m</w:t>
      </w:r>
      <w:r>
        <w:rPr>
          <w:rFonts w:eastAsia="PMingLiU"/>
          <w:lang w:eastAsia="zh-TW"/>
        </w:rPr>
        <w:t xml:space="preserve">inistry of </w:t>
      </w:r>
      <w:r w:rsidR="00CA68DC">
        <w:rPr>
          <w:rFonts w:eastAsia="PMingLiU"/>
          <w:lang w:eastAsia="zh-TW"/>
        </w:rPr>
        <w:t>i</w:t>
      </w:r>
      <w:r>
        <w:rPr>
          <w:rFonts w:eastAsia="PMingLiU"/>
          <w:lang w:eastAsia="zh-TW"/>
        </w:rPr>
        <w:t>nformation led by Lord Beaverbrook was in charge of propaganda aimed at enemy soldiers. The lack of plane</w:t>
      </w:r>
      <w:r w:rsidR="00507BDC">
        <w:rPr>
          <w:rFonts w:eastAsia="PMingLiU"/>
          <w:lang w:eastAsia="zh-TW"/>
        </w:rPr>
        <w:t>s</w:t>
      </w:r>
      <w:r>
        <w:rPr>
          <w:rFonts w:eastAsia="PMingLiU"/>
          <w:lang w:eastAsia="zh-TW"/>
        </w:rPr>
        <w:t xml:space="preserve"> was causing this department enormous difficulty.</w:t>
      </w:r>
      <w:r>
        <w:rPr>
          <w:rStyle w:val="FootnoteReference"/>
          <w:rFonts w:eastAsia="PMingLiU"/>
          <w:lang w:eastAsia="zh-TW"/>
        </w:rPr>
        <w:footnoteReference w:id="311"/>
      </w:r>
      <w:r w:rsidR="00CA68DC">
        <w:rPr>
          <w:rFonts w:eastAsia="PMingLiU"/>
          <w:lang w:eastAsia="zh-TW"/>
        </w:rPr>
        <w:t xml:space="preserve"> In these circumstances, the director of p</w:t>
      </w:r>
      <w:r>
        <w:rPr>
          <w:rFonts w:eastAsia="PMingLiU"/>
          <w:lang w:eastAsia="zh-TW"/>
        </w:rPr>
        <w:t xml:space="preserve">ropaganda led the </w:t>
      </w:r>
      <w:r w:rsidR="00035C0E">
        <w:rPr>
          <w:rFonts w:eastAsia="PMingLiU"/>
          <w:lang w:eastAsia="zh-TW"/>
        </w:rPr>
        <w:t>campaign</w:t>
      </w:r>
      <w:r>
        <w:rPr>
          <w:rFonts w:eastAsia="PMingLiU"/>
          <w:lang w:eastAsia="zh-TW"/>
        </w:rPr>
        <w:t xml:space="preserve"> to reintroduce </w:t>
      </w:r>
      <w:r w:rsidR="00507BDC">
        <w:rPr>
          <w:rFonts w:eastAsia="PMingLiU"/>
          <w:lang w:eastAsia="zh-TW"/>
        </w:rPr>
        <w:t>aircrafts</w:t>
      </w:r>
      <w:r>
        <w:rPr>
          <w:rFonts w:eastAsia="PMingLiU"/>
          <w:lang w:eastAsia="zh-TW"/>
        </w:rPr>
        <w:t xml:space="preserve"> as a mean</w:t>
      </w:r>
      <w:r w:rsidR="00CA68DC">
        <w:rPr>
          <w:rFonts w:eastAsia="PMingLiU"/>
          <w:lang w:eastAsia="zh-TW"/>
        </w:rPr>
        <w:t>s</w:t>
      </w:r>
      <w:r>
        <w:rPr>
          <w:rFonts w:eastAsia="PMingLiU"/>
          <w:lang w:eastAsia="zh-TW"/>
        </w:rPr>
        <w:t xml:space="preserve"> of distribution. On 17 July 1918, Lord Beaverbrook explained i</w:t>
      </w:r>
      <w:r w:rsidR="00CA68DC">
        <w:rPr>
          <w:rFonts w:eastAsia="PMingLiU"/>
          <w:lang w:eastAsia="zh-TW"/>
        </w:rPr>
        <w:t>n front of the war c</w:t>
      </w:r>
      <w:r>
        <w:rPr>
          <w:rFonts w:eastAsia="PMingLiU"/>
          <w:lang w:eastAsia="zh-TW"/>
        </w:rPr>
        <w:t>abinet how unsuccessful the temporary solution of balloons was</w:t>
      </w:r>
      <w:r w:rsidR="00CA68DC">
        <w:rPr>
          <w:rFonts w:eastAsia="PMingLiU"/>
          <w:lang w:eastAsia="zh-TW"/>
        </w:rPr>
        <w:t>. He was opposed by Lord Weir, secretary of s</w:t>
      </w:r>
      <w:r>
        <w:rPr>
          <w:rFonts w:eastAsia="PMingLiU"/>
          <w:lang w:eastAsia="zh-TW"/>
        </w:rPr>
        <w:t xml:space="preserve">tate for the </w:t>
      </w:r>
      <w:r w:rsidR="00CA68DC">
        <w:rPr>
          <w:rFonts w:eastAsia="PMingLiU"/>
          <w:lang w:eastAsia="zh-TW"/>
        </w:rPr>
        <w:t>a</w:t>
      </w:r>
      <w:r>
        <w:rPr>
          <w:rFonts w:eastAsia="PMingLiU"/>
          <w:lang w:eastAsia="zh-TW"/>
        </w:rPr>
        <w:t>ir force, was stiffly opposed to propaganda mission</w:t>
      </w:r>
      <w:r w:rsidR="00CA68DC">
        <w:rPr>
          <w:rFonts w:eastAsia="PMingLiU"/>
          <w:lang w:eastAsia="zh-TW"/>
        </w:rPr>
        <w:t>s</w:t>
      </w:r>
      <w:r>
        <w:rPr>
          <w:rFonts w:eastAsia="PMingLiU"/>
          <w:lang w:eastAsia="zh-TW"/>
        </w:rPr>
        <w:t>. He cleverly declared that ‘he would be very glad to fall in with Lord Beaverbrook’s request, provided that it could be proved that dropping pamphlets over enemy towns was achieving real results’.</w:t>
      </w:r>
      <w:r>
        <w:rPr>
          <w:rStyle w:val="FootnoteReference"/>
          <w:rFonts w:eastAsia="PMingLiU"/>
          <w:lang w:eastAsia="zh-TW"/>
        </w:rPr>
        <w:footnoteReference w:id="312"/>
      </w:r>
      <w:r>
        <w:rPr>
          <w:rFonts w:eastAsia="PMingLiU"/>
          <w:lang w:eastAsia="zh-TW"/>
        </w:rPr>
        <w:t xml:space="preserve"> Lord Weir knew the effects were, due to the elusive nature of propaganda, </w:t>
      </w:r>
      <w:r w:rsidR="00CA68DC">
        <w:rPr>
          <w:rFonts w:eastAsia="PMingLiU"/>
          <w:lang w:eastAsia="zh-TW"/>
        </w:rPr>
        <w:t xml:space="preserve">almost </w:t>
      </w:r>
      <w:r>
        <w:rPr>
          <w:rFonts w:eastAsia="PMingLiU"/>
          <w:lang w:eastAsia="zh-TW"/>
        </w:rPr>
        <w:t>impossible to prove. Of course, the French had interpreted German threats as a manifestation of anxiety and a confirmation of propaganda’s successful nature</w:t>
      </w:r>
      <w:r w:rsidR="00035C0E">
        <w:rPr>
          <w:rFonts w:eastAsia="PMingLiU"/>
          <w:lang w:eastAsia="zh-TW"/>
        </w:rPr>
        <w:t>,</w:t>
      </w:r>
      <w:r>
        <w:rPr>
          <w:rFonts w:eastAsia="PMingLiU"/>
          <w:lang w:eastAsia="zh-TW"/>
        </w:rPr>
        <w:t xml:space="preserve"> but the British air force was ready to display tremendous bad faith in order to avoid bein</w:t>
      </w:r>
      <w:r w:rsidR="00035C0E">
        <w:rPr>
          <w:rFonts w:eastAsia="PMingLiU"/>
          <w:lang w:eastAsia="zh-TW"/>
        </w:rPr>
        <w:t>g involved. The matter was hand</w:t>
      </w:r>
      <w:r>
        <w:rPr>
          <w:rFonts w:eastAsia="PMingLiU"/>
          <w:lang w:eastAsia="zh-TW"/>
        </w:rPr>
        <w:t>ed to Hugh Trenchard, the chief of the new Royal Air Force, who unsurprisingly advocated the use of balloons over planes. The matter would have been settled for good</w:t>
      </w:r>
      <w:r w:rsidR="00035C0E">
        <w:rPr>
          <w:rFonts w:eastAsia="PMingLiU"/>
          <w:lang w:eastAsia="zh-TW"/>
        </w:rPr>
        <w:t>,</w:t>
      </w:r>
      <w:r>
        <w:rPr>
          <w:rFonts w:eastAsia="PMingLiU"/>
          <w:lang w:eastAsia="zh-TW"/>
        </w:rPr>
        <w:t xml:space="preserve"> but aerial propaganda received the most unexpected and powerful help it could have asked for </w:t>
      </w:r>
      <w:r w:rsidR="00CA68DC">
        <w:rPr>
          <w:rFonts w:eastAsia="PMingLiU"/>
          <w:lang w:eastAsia="zh-TW"/>
        </w:rPr>
        <w:t xml:space="preserve">at the last minute </w:t>
      </w:r>
      <w:r>
        <w:rPr>
          <w:rFonts w:eastAsia="PMingLiU"/>
          <w:lang w:eastAsia="zh-TW"/>
        </w:rPr>
        <w:t xml:space="preserve">– the contribution of </w:t>
      </w:r>
      <w:r w:rsidR="003757EA">
        <w:rPr>
          <w:rFonts w:eastAsia="PMingLiU"/>
          <w:lang w:eastAsia="zh-TW"/>
        </w:rPr>
        <w:t>G</w:t>
      </w:r>
      <w:r>
        <w:rPr>
          <w:rFonts w:eastAsia="PMingLiU"/>
          <w:lang w:eastAsia="zh-TW"/>
        </w:rPr>
        <w:t xml:space="preserve">eneral von Hindenburg. The most iconic German commander </w:t>
      </w:r>
      <w:r w:rsidR="00035C0E">
        <w:rPr>
          <w:rFonts w:eastAsia="PMingLiU"/>
          <w:lang w:eastAsia="zh-TW"/>
        </w:rPr>
        <w:t>validated</w:t>
      </w:r>
      <w:r>
        <w:rPr>
          <w:rFonts w:eastAsia="PMingLiU"/>
          <w:lang w:eastAsia="zh-TW"/>
        </w:rPr>
        <w:t xml:space="preserve"> aerial propaganda in a declaration issued to the German press in September 1918.</w:t>
      </w:r>
      <w:r>
        <w:rPr>
          <w:rStyle w:val="FootnoteReference"/>
          <w:rFonts w:eastAsia="PMingLiU"/>
          <w:lang w:eastAsia="zh-TW"/>
        </w:rPr>
        <w:footnoteReference w:id="313"/>
      </w:r>
      <w:r w:rsidR="00EF3C04">
        <w:rPr>
          <w:rFonts w:eastAsia="PMingLiU"/>
          <w:lang w:eastAsia="zh-TW"/>
        </w:rPr>
        <w:t xml:space="preserve"> The statement that a</w:t>
      </w:r>
      <w:r>
        <w:rPr>
          <w:rFonts w:eastAsia="PMingLiU"/>
          <w:lang w:eastAsia="zh-TW"/>
        </w:rPr>
        <w:t xml:space="preserve">llied propaganda was ‘poisoning German souls’ was later echoed by Ludendorff and even Hitler in </w:t>
      </w:r>
      <w:r>
        <w:rPr>
          <w:rFonts w:eastAsia="PMingLiU"/>
          <w:i/>
          <w:iCs/>
          <w:lang w:eastAsia="zh-TW"/>
        </w:rPr>
        <w:t xml:space="preserve">Mein Kampf. </w:t>
      </w:r>
      <w:r>
        <w:rPr>
          <w:rFonts w:eastAsia="PMingLiU"/>
          <w:lang w:eastAsia="zh-TW"/>
        </w:rPr>
        <w:t>These statements were more an attempt to preserve the honour of the German army</w:t>
      </w:r>
      <w:r w:rsidR="00035C0E">
        <w:rPr>
          <w:rFonts w:eastAsia="PMingLiU"/>
          <w:lang w:eastAsia="zh-TW"/>
        </w:rPr>
        <w:t>,</w:t>
      </w:r>
      <w:r>
        <w:rPr>
          <w:rFonts w:eastAsia="PMingLiU"/>
          <w:lang w:eastAsia="zh-TW"/>
        </w:rPr>
        <w:t xml:space="preserve"> as well as its reputation of invincibility</w:t>
      </w:r>
      <w:r w:rsidR="00035C0E">
        <w:rPr>
          <w:rFonts w:eastAsia="PMingLiU"/>
          <w:lang w:eastAsia="zh-TW"/>
        </w:rPr>
        <w:t>,</w:t>
      </w:r>
      <w:r>
        <w:rPr>
          <w:rFonts w:eastAsia="PMingLiU"/>
          <w:lang w:eastAsia="zh-TW"/>
        </w:rPr>
        <w:t xml:space="preserve"> but served propagandists</w:t>
      </w:r>
      <w:r w:rsidR="00507BDC">
        <w:rPr>
          <w:rFonts w:eastAsia="PMingLiU"/>
          <w:lang w:eastAsia="zh-TW"/>
        </w:rPr>
        <w:t xml:space="preserve"> </w:t>
      </w:r>
      <w:r w:rsidR="00CA68DC">
        <w:rPr>
          <w:rFonts w:eastAsia="PMingLiU"/>
          <w:lang w:eastAsia="zh-TW"/>
        </w:rPr>
        <w:t>well</w:t>
      </w:r>
      <w:r>
        <w:rPr>
          <w:rFonts w:eastAsia="PMingLiU"/>
          <w:lang w:eastAsia="zh-TW"/>
        </w:rPr>
        <w:t>.</w:t>
      </w:r>
      <w:r>
        <w:rPr>
          <w:rStyle w:val="FootnoteReference"/>
          <w:rFonts w:eastAsia="PMingLiU"/>
          <w:lang w:eastAsia="zh-TW"/>
        </w:rPr>
        <w:footnoteReference w:id="314"/>
      </w:r>
      <w:r>
        <w:rPr>
          <w:rFonts w:eastAsia="PMingLiU"/>
          <w:lang w:eastAsia="zh-TW"/>
        </w:rPr>
        <w:t xml:space="preserve"> </w:t>
      </w:r>
      <w:r w:rsidR="00507BDC">
        <w:rPr>
          <w:rFonts w:eastAsia="PMingLiU"/>
          <w:lang w:eastAsia="zh-TW"/>
        </w:rPr>
        <w:t xml:space="preserve">The </w:t>
      </w:r>
      <w:r>
        <w:rPr>
          <w:rFonts w:eastAsia="PMingLiU"/>
          <w:lang w:eastAsia="zh-TW"/>
        </w:rPr>
        <w:t>RAF’s resistance broke in October 1918</w:t>
      </w:r>
      <w:r w:rsidR="00035C0E">
        <w:rPr>
          <w:rFonts w:eastAsia="PMingLiU"/>
          <w:lang w:eastAsia="zh-TW"/>
        </w:rPr>
        <w:t>,</w:t>
      </w:r>
      <w:r>
        <w:rPr>
          <w:rFonts w:eastAsia="PMingLiU"/>
          <w:lang w:eastAsia="zh-TW"/>
        </w:rPr>
        <w:t xml:space="preserve"> when it was recognised that propaganda was useful and planes were superior to balloons. Bombardment planes, such as</w:t>
      </w:r>
      <w:r w:rsidR="00507BDC">
        <w:rPr>
          <w:rFonts w:eastAsia="PMingLiU"/>
          <w:lang w:eastAsia="zh-TW"/>
        </w:rPr>
        <w:t xml:space="preserve"> the</w:t>
      </w:r>
      <w:r>
        <w:rPr>
          <w:rFonts w:eastAsia="PMingLiU"/>
          <w:lang w:eastAsia="zh-TW"/>
        </w:rPr>
        <w:t xml:space="preserve"> D.H.4,</w:t>
      </w:r>
      <w:r w:rsidR="00507BDC">
        <w:rPr>
          <w:rFonts w:eastAsia="PMingLiU"/>
          <w:lang w:eastAsia="zh-TW"/>
        </w:rPr>
        <w:t xml:space="preserve"> the</w:t>
      </w:r>
      <w:r>
        <w:rPr>
          <w:rFonts w:eastAsia="PMingLiU"/>
          <w:lang w:eastAsia="zh-TW"/>
        </w:rPr>
        <w:t xml:space="preserve"> F.E.2.b and </w:t>
      </w:r>
      <w:r w:rsidR="00507BDC">
        <w:rPr>
          <w:rFonts w:eastAsia="PMingLiU"/>
          <w:lang w:eastAsia="zh-TW"/>
        </w:rPr>
        <w:t xml:space="preserve">the </w:t>
      </w:r>
      <w:r>
        <w:rPr>
          <w:rFonts w:eastAsia="PMingLiU"/>
          <w:lang w:eastAsia="zh-TW"/>
        </w:rPr>
        <w:t xml:space="preserve">Handley Page, were assigned </w:t>
      </w:r>
      <w:r w:rsidR="00035C0E">
        <w:rPr>
          <w:rFonts w:eastAsia="PMingLiU"/>
          <w:lang w:eastAsia="zh-TW"/>
        </w:rPr>
        <w:t>to</w:t>
      </w:r>
      <w:r>
        <w:rPr>
          <w:rFonts w:eastAsia="PMingLiU"/>
          <w:lang w:eastAsia="zh-TW"/>
        </w:rPr>
        <w:t xml:space="preserve"> propaganda missions and distributed an average of seven and a half</w:t>
      </w:r>
      <w:r w:rsidR="00507BDC">
        <w:rPr>
          <w:rFonts w:eastAsia="PMingLiU"/>
          <w:lang w:eastAsia="zh-TW"/>
        </w:rPr>
        <w:t xml:space="preserve"> tons</w:t>
      </w:r>
      <w:r>
        <w:rPr>
          <w:rFonts w:eastAsia="PMingLiU"/>
          <w:lang w:eastAsia="zh-TW"/>
        </w:rPr>
        <w:t xml:space="preserve"> a week.</w:t>
      </w:r>
      <w:r>
        <w:rPr>
          <w:rStyle w:val="FootnoteReference"/>
          <w:rFonts w:eastAsia="PMingLiU"/>
          <w:lang w:eastAsia="zh-TW"/>
        </w:rPr>
        <w:footnoteReference w:id="315"/>
      </w:r>
    </w:p>
    <w:p w14:paraId="5EB7DA25" w14:textId="77777777" w:rsidR="0048510E" w:rsidRDefault="0048510E" w:rsidP="0048510E">
      <w:pPr>
        <w:pStyle w:val="Heading2"/>
      </w:pPr>
      <w:bookmarkStart w:id="28" w:name="_Toc378223851"/>
      <w:bookmarkStart w:id="29" w:name="_Toc402192958"/>
      <w:r>
        <w:t>Alternative means of distribution</w:t>
      </w:r>
      <w:bookmarkEnd w:id="28"/>
      <w:bookmarkEnd w:id="29"/>
    </w:p>
    <w:p w14:paraId="4E38A43E" w14:textId="5AD91B80" w:rsidR="0048510E" w:rsidRDefault="0048510E" w:rsidP="00605DB1">
      <w:pPr>
        <w:jc w:val="both"/>
      </w:pPr>
      <w:r>
        <w:t>The rise of aerial propaganda was sometimes received with scepticism</w:t>
      </w:r>
      <w:r w:rsidR="00035C0E">
        <w:t>,</w:t>
      </w:r>
      <w:r>
        <w:t xml:space="preserve"> but also triggered interest and enthusiasm. </w:t>
      </w:r>
      <w:r w:rsidR="00035C0E">
        <w:t>Large-scale</w:t>
      </w:r>
      <w:r>
        <w:t xml:space="preserve"> resources were offered to perfect the means of distribution and to solve technical challenges. In 1915, the French used unmanned balloons made of rubber and paper</w:t>
      </w:r>
      <w:r w:rsidR="00CA68DC" w:rsidRPr="00CA68DC">
        <w:t xml:space="preserve"> </w:t>
      </w:r>
      <w:r w:rsidR="00CA68DC">
        <w:t>for the first time</w:t>
      </w:r>
      <w:r>
        <w:t xml:space="preserve">. The design and </w:t>
      </w:r>
      <w:r w:rsidR="00035C0E">
        <w:t>appearance</w:t>
      </w:r>
      <w:r>
        <w:t xml:space="preserve"> of German balloons were replicated over time</w:t>
      </w:r>
      <w:r w:rsidR="00035C0E">
        <w:t>,</w:t>
      </w:r>
      <w:r>
        <w:t xml:space="preserve"> in order to trick enemy troops and populations into reading propaganda released by these </w:t>
      </w:r>
      <w:r w:rsidR="00CA68DC">
        <w:t>unusual</w:t>
      </w:r>
      <w:r>
        <w:t xml:space="preserve"> flying objects.</w:t>
      </w:r>
      <w:r>
        <w:rPr>
          <w:rStyle w:val="FootnoteReference"/>
        </w:rPr>
        <w:footnoteReference w:id="316"/>
      </w:r>
      <w:r>
        <w:t xml:space="preserve"> </w:t>
      </w:r>
      <w:r w:rsidR="00507BDC">
        <w:t>In</w:t>
      </w:r>
      <w:r>
        <w:t xml:space="preserve"> 1917, balloons were also an answer to the intensification of psychological warfare and the accumulation of material to distribute. Excluding the issue of German legal threats, </w:t>
      </w:r>
      <w:r w:rsidR="00605DB1">
        <w:t>pilots</w:t>
      </w:r>
      <w:r>
        <w:t xml:space="preserve"> </w:t>
      </w:r>
      <w:r w:rsidR="00605DB1">
        <w:t>were</w:t>
      </w:r>
      <w:r>
        <w:t xml:space="preserve"> sometimes too heavily solicited during offensives to distribute material that had increased tenfold</w:t>
      </w:r>
      <w:r w:rsidR="00035C0E">
        <w:t xml:space="preserve"> in volume</w:t>
      </w:r>
      <w:r>
        <w:t xml:space="preserve"> in two years.</w:t>
      </w:r>
      <w:r>
        <w:rPr>
          <w:rStyle w:val="FootnoteReference"/>
        </w:rPr>
        <w:footnoteReference w:id="317"/>
      </w:r>
      <w:r>
        <w:t xml:space="preserve"> Balloons were only one of the numerous solutions </w:t>
      </w:r>
      <w:r w:rsidR="00CA68DC">
        <w:t>provided</w:t>
      </w:r>
      <w:r>
        <w:t xml:space="preserve"> by the </w:t>
      </w:r>
      <w:r>
        <w:rPr>
          <w:i/>
          <w:iCs/>
        </w:rPr>
        <w:t>Service des Inventions</w:t>
      </w:r>
      <w:r>
        <w:t xml:space="preserve">. </w:t>
      </w:r>
      <w:r w:rsidR="00035C0E">
        <w:t>A new type of shell</w:t>
      </w:r>
      <w:r>
        <w:t xml:space="preserve">, filled with pamphlets and named Paonessa, </w:t>
      </w:r>
      <w:r w:rsidR="00035C0E">
        <w:t>was</w:t>
      </w:r>
      <w:r>
        <w:t xml:space="preserve"> tried successfully</w:t>
      </w:r>
      <w:r w:rsidR="00035C0E">
        <w:t>,</w:t>
      </w:r>
      <w:r>
        <w:t xml:space="preserve"> while grenade launchers, the ‘Naud’</w:t>
      </w:r>
      <w:r w:rsidR="00035C0E">
        <w:t>,</w:t>
      </w:r>
      <w:r>
        <w:t xml:space="preserve"> containing propaganda material, </w:t>
      </w:r>
      <w:r w:rsidR="00035C0E">
        <w:t>was</w:t>
      </w:r>
      <w:r w:rsidR="003918F7">
        <w:t xml:space="preserve"> distributed widely on the w</w:t>
      </w:r>
      <w:r>
        <w:t>estern front. These tools were used mostly to distribute propaganda in German to the enemy soldiers</w:t>
      </w:r>
      <w:r w:rsidR="00035C0E">
        <w:t>,</w:t>
      </w:r>
      <w:r>
        <w:t xml:space="preserve"> but allowed </w:t>
      </w:r>
      <w:r w:rsidR="00035C0E">
        <w:t xml:space="preserve">the </w:t>
      </w:r>
      <w:r w:rsidR="00605DB1">
        <w:t>pilots</w:t>
      </w:r>
      <w:r>
        <w:t xml:space="preserve"> to concentrate on propaganda aimed at occupied populations. Mechanisms were also conceived by engineers to release propaganda safely from a plane without being sucked by the engine. Two </w:t>
      </w:r>
      <w:r w:rsidR="000732A0">
        <w:t>separate mechanisms,</w:t>
      </w:r>
      <w:r>
        <w:t xml:space="preserve"> named</w:t>
      </w:r>
      <w:r w:rsidR="000732A0">
        <w:t xml:space="preserve"> Pineau and Maurice after their designers, </w:t>
      </w:r>
      <w:r>
        <w:t xml:space="preserve">were accepted </w:t>
      </w:r>
      <w:r w:rsidR="000732A0">
        <w:t>for</w:t>
      </w:r>
      <w:r>
        <w:t xml:space="preserve"> trial</w:t>
      </w:r>
      <w:r w:rsidR="000732A0">
        <w:t xml:space="preserve">. Successful tests were </w:t>
      </w:r>
      <w:r w:rsidR="00CA68DC">
        <w:t>conducted</w:t>
      </w:r>
      <w:r w:rsidR="000732A0">
        <w:t>,</w:t>
      </w:r>
      <w:r>
        <w:t xml:space="preserve"> including dropping from the Eiffel tower, </w:t>
      </w:r>
      <w:r w:rsidR="000732A0">
        <w:t>before being</w:t>
      </w:r>
      <w:r>
        <w:t xml:space="preserve"> mounted on planes. It was a major improvement </w:t>
      </w:r>
      <w:r w:rsidR="00035C0E">
        <w:t>on</w:t>
      </w:r>
      <w:r>
        <w:t xml:space="preserve"> having observers throwing papers by hand.</w:t>
      </w:r>
      <w:r>
        <w:rPr>
          <w:rStyle w:val="FootnoteReference"/>
        </w:rPr>
        <w:footnoteReference w:id="318"/>
      </w:r>
    </w:p>
    <w:p w14:paraId="6E01C074" w14:textId="24FCDFD0" w:rsidR="0048510E" w:rsidRDefault="0048510E" w:rsidP="00605DB1">
      <w:pPr>
        <w:jc w:val="both"/>
      </w:pPr>
      <w:r>
        <w:t xml:space="preserve">Innovation was even more important for the British. The embargo on </w:t>
      </w:r>
      <w:r w:rsidR="00605DB1">
        <w:t>aeroplanes</w:t>
      </w:r>
      <w:r>
        <w:t xml:space="preserve"> pronounced in January 1918 meant that propagandists had to rely on alternative means of transport. In effect, the distribution of the </w:t>
      </w:r>
      <w:r>
        <w:rPr>
          <w:i/>
          <w:iCs/>
        </w:rPr>
        <w:t>Courrier de l’Air</w:t>
      </w:r>
      <w:r>
        <w:t xml:space="preserve"> was completely interrupted between January and March 1918 while propaganda departments </w:t>
      </w:r>
      <w:r w:rsidR="00035C0E">
        <w:t>sought</w:t>
      </w:r>
      <w:r>
        <w:t xml:space="preserve"> a solution. Captain Chalmers Mitchell of </w:t>
      </w:r>
      <w:r w:rsidR="00CA68DC">
        <w:t>MI7(b) collaborated with the war office and the a</w:t>
      </w:r>
      <w:r>
        <w:t xml:space="preserve">ir </w:t>
      </w:r>
      <w:r w:rsidR="00CA68DC">
        <w:t>i</w:t>
      </w:r>
      <w:r>
        <w:t xml:space="preserve">nvention Board to evaluate and test all possibilities. The deterioration of </w:t>
      </w:r>
      <w:r w:rsidR="000732A0">
        <w:t>civilian</w:t>
      </w:r>
      <w:r>
        <w:t xml:space="preserve"> morale in occupied territories meant that the matter was urgent. Moreover, the reputation of British propaganda and relations with the French army were threatened. The scientific background of Captain Chalmers Mitchell, a fellow of the Royal Society, was useful in these circumstances. He conducted various studi</w:t>
      </w:r>
      <w:r w:rsidR="000732A0">
        <w:t>es and experiments, including th</w:t>
      </w:r>
      <w:r>
        <w:t>e dropping of leaflets from the top of Albert Hall to calculate the velocity of leaflets</w:t>
      </w:r>
      <w:r w:rsidR="00CA68DC">
        <w:t>.</w:t>
      </w:r>
      <w:r>
        <w:rPr>
          <w:rStyle w:val="FootnoteReference"/>
        </w:rPr>
        <w:footnoteReference w:id="319"/>
      </w:r>
      <w:r>
        <w:t xml:space="preserve"> Kites were explored as a serious possibility as they were cheap and easy to use. However, the wire </w:t>
      </w:r>
      <w:r w:rsidR="00CA68DC">
        <w:t>presented</w:t>
      </w:r>
      <w:r>
        <w:t xml:space="preserve"> a major danger </w:t>
      </w:r>
      <w:r w:rsidR="00035C0E">
        <w:t>to</w:t>
      </w:r>
      <w:r>
        <w:t xml:space="preserve"> </w:t>
      </w:r>
      <w:r w:rsidR="000921F2">
        <w:t>aeroplanes</w:t>
      </w:r>
      <w:r>
        <w:t>.</w:t>
      </w:r>
      <w:r>
        <w:rPr>
          <w:rStyle w:val="FootnoteReference"/>
        </w:rPr>
        <w:footnoteReference w:id="320"/>
      </w:r>
      <w:r>
        <w:t xml:space="preserve"> French shells and mortars were also tested but were quickly discarded because they attracted too much attention on the men operating them and could not be operated safely.</w:t>
      </w:r>
      <w:r>
        <w:rPr>
          <w:rStyle w:val="FootnoteReference"/>
        </w:rPr>
        <w:footnoteReference w:id="321"/>
      </w:r>
      <w:r>
        <w:t xml:space="preserve"> The b</w:t>
      </w:r>
      <w:r w:rsidR="00013F31">
        <w:t xml:space="preserve">est solution, </w:t>
      </w:r>
      <w:r>
        <w:t>inspired by the French</w:t>
      </w:r>
      <w:r w:rsidR="00013F31">
        <w:t>, turned out to be balloons</w:t>
      </w:r>
      <w:r>
        <w:t>. British-made balloons were soon produced but proved to be inferior to those used by the French army. Balloons were dropped by an officer and his team after having consulted meteorological experts who determined where the wind would carry them.</w:t>
      </w:r>
      <w:r>
        <w:rPr>
          <w:rStyle w:val="FootnoteReference"/>
        </w:rPr>
        <w:footnoteReference w:id="322"/>
      </w:r>
      <w:r>
        <w:t xml:space="preserve"> They were heavily criticised for being fragile, dependant on the winds, unable to carry heavy weights, imprecise and limited in range</w:t>
      </w:r>
      <w:r w:rsidR="00013F31">
        <w:t>,</w:t>
      </w:r>
      <w:r>
        <w:t xml:space="preserve"> but, despite all these negative points, </w:t>
      </w:r>
      <w:r w:rsidR="00013F31">
        <w:t xml:space="preserve">they </w:t>
      </w:r>
      <w:r>
        <w:t>remained the main mean</w:t>
      </w:r>
      <w:r w:rsidR="000732A0">
        <w:t>s</w:t>
      </w:r>
      <w:r>
        <w:t xml:space="preserve"> of distribution </w:t>
      </w:r>
      <w:r w:rsidR="00013F31">
        <w:t>for</w:t>
      </w:r>
      <w:r>
        <w:t xml:space="preserve"> the British army during the year 1918.</w:t>
      </w:r>
      <w:r>
        <w:rPr>
          <w:rStyle w:val="FootnoteReference"/>
        </w:rPr>
        <w:footnoteReference w:id="323"/>
      </w:r>
      <w:r>
        <w:t xml:space="preserve"> However, criticism surrounding balloons must be balanced against the impressive increase in the number of leaflets produced and dropped behind enemy lines. </w:t>
      </w:r>
      <w:r w:rsidR="00362C97">
        <w:t>Looking at the numbers provided, it is possible to determine that</w:t>
      </w:r>
      <w:r>
        <w:t xml:space="preserve"> the amount of propaganda sent by the British to the Belgians </w:t>
      </w:r>
      <w:r w:rsidR="00013F31">
        <w:t>was multiplied</w:t>
      </w:r>
      <w:r>
        <w:t xml:space="preserve"> by thirty between 1917 and 1918</w:t>
      </w:r>
      <w:r w:rsidR="00013F31">
        <w:t>,</w:t>
      </w:r>
      <w:r>
        <w:t xml:space="preserve"> and </w:t>
      </w:r>
      <w:r w:rsidR="00013F31">
        <w:t>to</w:t>
      </w:r>
      <w:r>
        <w:t xml:space="preserve"> the French population</w:t>
      </w:r>
      <w:r w:rsidR="00013F31">
        <w:t xml:space="preserve"> by three</w:t>
      </w:r>
      <w:r>
        <w:t xml:space="preserve">. These numbers, shown in </w:t>
      </w:r>
      <w:r w:rsidR="00CA68DC">
        <w:t>figure</w:t>
      </w:r>
      <w:r>
        <w:t xml:space="preserve"> 2.2, meant increased </w:t>
      </w:r>
      <w:r w:rsidR="00013F31">
        <w:t>likelihood</w:t>
      </w:r>
      <w:r>
        <w:t xml:space="preserve"> of reaching a broader public. However, limited ranges also meant that cities and localities closer to the frontline, such as Lille, </w:t>
      </w:r>
      <w:r w:rsidR="00013F31">
        <w:t>had a greater chance of</w:t>
      </w:r>
      <w:r w:rsidR="000732A0">
        <w:t xml:space="preserve"> receiv</w:t>
      </w:r>
      <w:r w:rsidR="00013F31">
        <w:t>ing</w:t>
      </w:r>
      <w:r>
        <w:t xml:space="preserve"> pamphlets than urban centres</w:t>
      </w:r>
      <w:r w:rsidR="000732A0">
        <w:t xml:space="preserve"> located further away</w:t>
      </w:r>
      <w:r>
        <w:t>.</w:t>
      </w:r>
      <w:r>
        <w:rPr>
          <w:rStyle w:val="FootnoteReference"/>
        </w:rPr>
        <w:footnoteReference w:id="324"/>
      </w:r>
    </w:p>
    <w:p w14:paraId="78D22806" w14:textId="77777777" w:rsidR="00F51E28" w:rsidRDefault="00F51E28" w:rsidP="0048510E">
      <w:pPr>
        <w:jc w:val="both"/>
      </w:pPr>
    </w:p>
    <w:p w14:paraId="3156561B" w14:textId="77777777" w:rsidR="00F51E28" w:rsidRDefault="00F51E28" w:rsidP="0048510E">
      <w:pPr>
        <w:jc w:val="both"/>
      </w:pPr>
    </w:p>
    <w:p w14:paraId="58322140" w14:textId="77777777" w:rsidR="00F51E28" w:rsidRDefault="00F51E28" w:rsidP="0048510E">
      <w:pPr>
        <w:jc w:val="both"/>
      </w:pPr>
    </w:p>
    <w:p w14:paraId="16326D1E" w14:textId="77777777" w:rsidR="00F51E28" w:rsidRDefault="00F51E28" w:rsidP="0048510E">
      <w:pPr>
        <w:jc w:val="both"/>
      </w:pPr>
    </w:p>
    <w:p w14:paraId="2790DBB6" w14:textId="77777777" w:rsidR="00F51E28" w:rsidRDefault="00F51E28" w:rsidP="0048510E">
      <w:pPr>
        <w:jc w:val="both"/>
      </w:pPr>
    </w:p>
    <w:p w14:paraId="764B992A" w14:textId="64EB8EF0" w:rsidR="0048510E" w:rsidRDefault="00CA68DC" w:rsidP="0048510E">
      <w:pPr>
        <w:jc w:val="both"/>
        <w:rPr>
          <w:i/>
          <w:iCs/>
        </w:rPr>
      </w:pPr>
      <w:r>
        <w:t>Figure</w:t>
      </w:r>
      <w:r w:rsidR="0048510E">
        <w:t xml:space="preserve"> 2.2: </w:t>
      </w:r>
      <w:r w:rsidR="0048510E" w:rsidRPr="005A2B00">
        <w:rPr>
          <w:i/>
          <w:iCs/>
        </w:rPr>
        <w:t xml:space="preserve">Amount of propaganda </w:t>
      </w:r>
      <w:r w:rsidR="005B0F61">
        <w:rPr>
          <w:i/>
          <w:iCs/>
        </w:rPr>
        <w:t xml:space="preserve">leaflets and newspapers </w:t>
      </w:r>
      <w:r w:rsidR="0048510E" w:rsidRPr="005A2B00">
        <w:rPr>
          <w:i/>
          <w:iCs/>
        </w:rPr>
        <w:t>distributed by the British during 1917-1918.</w:t>
      </w:r>
    </w:p>
    <w:p w14:paraId="4D3FD871" w14:textId="77777777" w:rsidR="0048510E" w:rsidRDefault="0048510E" w:rsidP="0048510E">
      <w:pPr>
        <w:keepNext/>
        <w:jc w:val="both"/>
      </w:pPr>
      <w:r>
        <w:rPr>
          <w:noProof/>
        </w:rPr>
        <w:drawing>
          <wp:inline distT="0" distB="0" distL="0" distR="0" wp14:anchorId="17F94288" wp14:editId="22955B29">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5F4E61" w14:textId="77777777" w:rsidR="0048510E" w:rsidRDefault="0048510E" w:rsidP="0048510E">
      <w:pPr>
        <w:jc w:val="both"/>
      </w:pPr>
      <w:r>
        <w:rPr>
          <w:i/>
          <w:iCs/>
        </w:rPr>
        <w:t>Source</w:t>
      </w:r>
      <w:r>
        <w:t>: SHD AT: 16N1570. Report from MI7(b) to the DB. October 1918.</w:t>
      </w:r>
    </w:p>
    <w:p w14:paraId="544EA538" w14:textId="77777777" w:rsidR="0048510E" w:rsidRPr="005A2B00" w:rsidRDefault="0048510E" w:rsidP="0048510E">
      <w:pPr>
        <w:jc w:val="both"/>
      </w:pPr>
    </w:p>
    <w:p w14:paraId="68254835" w14:textId="77777777" w:rsidR="0048510E" w:rsidRDefault="0048510E" w:rsidP="0048510E">
      <w:pPr>
        <w:pStyle w:val="Heading2"/>
      </w:pPr>
      <w:bookmarkStart w:id="30" w:name="_Toc378223852"/>
      <w:bookmarkStart w:id="31" w:name="_Toc402192959"/>
      <w:r>
        <w:t>Smuggling through neutral countries</w:t>
      </w:r>
      <w:bookmarkEnd w:id="30"/>
      <w:bookmarkEnd w:id="31"/>
    </w:p>
    <w:p w14:paraId="7950048C" w14:textId="1250AEBF" w:rsidR="0048510E" w:rsidRDefault="0048510E" w:rsidP="00605DB1">
      <w:pPr>
        <w:jc w:val="both"/>
      </w:pPr>
      <w:r>
        <w:t>Aside</w:t>
      </w:r>
      <w:r w:rsidR="00CA68DC">
        <w:t xml:space="preserve"> from</w:t>
      </w:r>
      <w:r>
        <w:t xml:space="preserve"> aerial dissemination, another mean</w:t>
      </w:r>
      <w:r w:rsidR="00CA68DC">
        <w:t>s</w:t>
      </w:r>
      <w:r>
        <w:t xml:space="preserve"> of distribution was explored with </w:t>
      </w:r>
      <w:r w:rsidR="003C55FC">
        <w:t xml:space="preserve">limited success during </w:t>
      </w:r>
      <w:r>
        <w:t xml:space="preserve">1916.  Early in the war, neutral countries had become relays for the distribution of newspapers and other goods </w:t>
      </w:r>
      <w:r w:rsidR="00A346DC">
        <w:t>to</w:t>
      </w:r>
      <w:r>
        <w:t xml:space="preserve"> occupied Belgium and France. These underground activities led to the erection </w:t>
      </w:r>
      <w:r w:rsidR="00A30EEF">
        <w:t>of an electric</w:t>
      </w:r>
      <w:r w:rsidR="00A346DC">
        <w:t xml:space="preserve"> fence, running along</w:t>
      </w:r>
      <w:r>
        <w:t xml:space="preserve"> the border </w:t>
      </w:r>
      <w:r w:rsidR="00A346DC">
        <w:t>between</w:t>
      </w:r>
      <w:r>
        <w:t xml:space="preserve"> Belgium and the Netherlands</w:t>
      </w:r>
      <w:r w:rsidR="00A346DC">
        <w:t xml:space="preserve">, </w:t>
      </w:r>
      <w:r w:rsidR="00CA68DC">
        <w:t>during spring 1915</w:t>
      </w:r>
      <w:r>
        <w:t>. This formidable protection did little to p</w:t>
      </w:r>
      <w:r w:rsidR="00A346DC">
        <w:t>revent the Belgians, the French</w:t>
      </w:r>
      <w:r>
        <w:t xml:space="preserve"> and the British from encouraging smuggling across the frontier.</w:t>
      </w:r>
      <w:r>
        <w:rPr>
          <w:rStyle w:val="FootnoteReference"/>
        </w:rPr>
        <w:footnoteReference w:id="325"/>
      </w:r>
      <w:r>
        <w:t xml:space="preserve"> The operation was not without risk</w:t>
      </w:r>
      <w:r w:rsidR="00A346DC">
        <w:t>s,</w:t>
      </w:r>
      <w:r>
        <w:t xml:space="preserve"> but was an important way of bringing fresh news </w:t>
      </w:r>
      <w:r w:rsidR="00A346DC">
        <w:t>into the occupied countries</w:t>
      </w:r>
      <w:r>
        <w:t xml:space="preserve">. Imaginative ways were used to cross the border, such as a member of the </w:t>
      </w:r>
      <w:r w:rsidR="00A346DC">
        <w:t>editing</w:t>
      </w:r>
      <w:r>
        <w:t xml:space="preserve"> team of the clandestine </w:t>
      </w:r>
      <w:r w:rsidRPr="00F32C1D">
        <w:rPr>
          <w:i/>
          <w:iCs/>
        </w:rPr>
        <w:t>La Libre Belgique</w:t>
      </w:r>
      <w:r>
        <w:t xml:space="preserve"> </w:t>
      </w:r>
      <w:r w:rsidR="00F21295">
        <w:t>smuggling</w:t>
      </w:r>
      <w:r w:rsidR="00A346DC">
        <w:t xml:space="preserve"> in</w:t>
      </w:r>
      <w:r w:rsidR="00F21295">
        <w:t xml:space="preserve"> </w:t>
      </w:r>
      <w:r>
        <w:t>inside a barrel of manure.</w:t>
      </w:r>
      <w:r>
        <w:rPr>
          <w:rStyle w:val="FootnoteReference"/>
        </w:rPr>
        <w:footnoteReference w:id="326"/>
      </w:r>
      <w:r>
        <w:t xml:space="preserve"> Likewise, German propaganda used accomplices in Switzerland to introduce </w:t>
      </w:r>
      <w:r>
        <w:rPr>
          <w:i/>
          <w:iCs/>
        </w:rPr>
        <w:t>La Gazette des Ardennes</w:t>
      </w:r>
      <w:r>
        <w:t xml:space="preserve"> in</w:t>
      </w:r>
      <w:r w:rsidR="00A346DC">
        <w:t>to</w:t>
      </w:r>
      <w:r>
        <w:t xml:space="preserve"> France. The Swiss authorities were well aware of these activities, as internal reports revealed, but were usually sympathetic to Germany and did little to fight her propaganda.</w:t>
      </w:r>
      <w:r>
        <w:rPr>
          <w:rStyle w:val="FootnoteReference"/>
        </w:rPr>
        <w:footnoteReference w:id="327"/>
      </w:r>
      <w:r>
        <w:t xml:space="preserve"> The SPA also tried to use Switzerland as a rear-base to occupied France and Germany. To do so, SPA member Raymond Schuhl travelled six times to Switzerland during the year 1916. This operation was not meant </w:t>
      </w:r>
      <w:r w:rsidR="00A346DC">
        <w:t>to replace</w:t>
      </w:r>
      <w:r>
        <w:t xml:space="preserve"> aerial propaganda</w:t>
      </w:r>
      <w:r w:rsidR="00A346DC">
        <w:t>,</w:t>
      </w:r>
      <w:r>
        <w:t xml:space="preserve"> but </w:t>
      </w:r>
      <w:r w:rsidR="00A346DC">
        <w:t>to</w:t>
      </w:r>
      <w:r>
        <w:t xml:space="preserve"> complement</w:t>
      </w:r>
      <w:r w:rsidR="00A346DC">
        <w:t xml:space="preserve"> it</w:t>
      </w:r>
      <w:r>
        <w:t xml:space="preserve">. The nature of these </w:t>
      </w:r>
      <w:r w:rsidR="00A346DC">
        <w:t>trips</w:t>
      </w:r>
      <w:r>
        <w:t>, mentioned in his personal file, was kept confidential in military reports but was revealed after the war.</w:t>
      </w:r>
      <w:r>
        <w:rPr>
          <w:rStyle w:val="FootnoteReference"/>
        </w:rPr>
        <w:footnoteReference w:id="328"/>
      </w:r>
      <w:r>
        <w:t xml:space="preserve"> The Alsatian propagandist sought the collaboration of the ‘lost provinces’ refugees and other Francophile communities in Switzerland. Ingenious devices were used by these people to smuggle propaganda material through the border.</w:t>
      </w:r>
      <w:r>
        <w:rPr>
          <w:rStyle w:val="FootnoteReference"/>
        </w:rPr>
        <w:footnoteReference w:id="329"/>
      </w:r>
      <w:r>
        <w:t xml:space="preserve"> Indeed, copies of the faked </w:t>
      </w:r>
      <w:r>
        <w:rPr>
          <w:i/>
          <w:iCs/>
        </w:rPr>
        <w:t>Gazette des Ardennes</w:t>
      </w:r>
      <w:r>
        <w:t xml:space="preserve"> and issues of the </w:t>
      </w:r>
      <w:r>
        <w:rPr>
          <w:i/>
          <w:iCs/>
        </w:rPr>
        <w:t>Kriegsblatter</w:t>
      </w:r>
      <w:r>
        <w:t xml:space="preserve"> were sold in kiosks in Switzerland</w:t>
      </w:r>
      <w:r w:rsidR="00A346DC">
        <w:t>,</w:t>
      </w:r>
      <w:r>
        <w:t xml:space="preserve"> and sent by post over the border. However, they triggered a reaction </w:t>
      </w:r>
      <w:r w:rsidR="00A346DC">
        <w:t>from</w:t>
      </w:r>
      <w:r>
        <w:t xml:space="preserve"> the German ambassador</w:t>
      </w:r>
      <w:r w:rsidR="00A346DC">
        <w:t>,</w:t>
      </w:r>
      <w:r>
        <w:t xml:space="preserve"> who officially complained to the Swiss authorities. On 19 September 1916, an enquiry led to the decision to seize French propaganda.</w:t>
      </w:r>
      <w:r>
        <w:rPr>
          <w:rStyle w:val="FootnoteReference"/>
        </w:rPr>
        <w:footnoteReference w:id="330"/>
      </w:r>
      <w:r>
        <w:t xml:space="preserve"> This setback did not discourage the French</w:t>
      </w:r>
      <w:r w:rsidR="00A346DC">
        <w:t>,</w:t>
      </w:r>
      <w:r>
        <w:t xml:space="preserve"> who displayed </w:t>
      </w:r>
      <w:r w:rsidR="00A346DC">
        <w:t xml:space="preserve">further </w:t>
      </w:r>
      <w:r>
        <w:t xml:space="preserve">creativity to smuggle leaflets </w:t>
      </w:r>
      <w:r w:rsidR="00A346DC">
        <w:t>in</w:t>
      </w:r>
      <w:r>
        <w:t>to the neutral country. A network of accomplices was trusted with the distribution</w:t>
      </w:r>
      <w:r w:rsidR="00A346DC">
        <w:t xml:space="preserve"> of them</w:t>
      </w:r>
      <w:r>
        <w:t>. These actions inevitably attracted the atten</w:t>
      </w:r>
      <w:r w:rsidR="00A30EEF">
        <w:t>tion of the Swiss press. German-</w:t>
      </w:r>
      <w:r>
        <w:t>speaking newspapers were vehemently hostile to the French</w:t>
      </w:r>
      <w:r w:rsidR="00A346DC">
        <w:t>,</w:t>
      </w:r>
      <w:r>
        <w:t xml:space="preserve"> and condemned these operations strongly. For example, the </w:t>
      </w:r>
      <w:r>
        <w:rPr>
          <w:i/>
          <w:iCs/>
        </w:rPr>
        <w:t>Volkszeitung</w:t>
      </w:r>
      <w:r>
        <w:t xml:space="preserve"> of Zurich used the discovery of a balloon found in Villigen, filled with French propaganda written in German and French, to </w:t>
      </w:r>
      <w:r w:rsidR="00CA68DC">
        <w:t>denounce</w:t>
      </w:r>
      <w:r w:rsidR="00A346DC">
        <w:t xml:space="preserve"> the </w:t>
      </w:r>
      <w:r>
        <w:t>psychological warfare led by the neighbour country.</w:t>
      </w:r>
      <w:r>
        <w:rPr>
          <w:rStyle w:val="FootnoteReference"/>
        </w:rPr>
        <w:footnoteReference w:id="331"/>
      </w:r>
      <w:r>
        <w:t xml:space="preserve"> However, this point of view was not shared </w:t>
      </w:r>
      <w:r w:rsidR="00A30EEF">
        <w:t>by</w:t>
      </w:r>
      <w:r>
        <w:t xml:space="preserve"> the </w:t>
      </w:r>
      <w:r>
        <w:rPr>
          <w:i/>
          <w:iCs/>
        </w:rPr>
        <w:t>Romande</w:t>
      </w:r>
      <w:r>
        <w:t xml:space="preserve"> part of the country which, as the </w:t>
      </w:r>
      <w:r>
        <w:rPr>
          <w:i/>
          <w:iCs/>
        </w:rPr>
        <w:t>Tribune de Lausanne</w:t>
      </w:r>
      <w:r>
        <w:t xml:space="preserve"> echoed, was rather intrigued and amused by the ingenuity of the French:</w:t>
      </w:r>
    </w:p>
    <w:p w14:paraId="0DCB7343" w14:textId="77777777" w:rsidR="0048510E" w:rsidRPr="00812E20" w:rsidRDefault="0048510E" w:rsidP="0048510E">
      <w:pPr>
        <w:ind w:left="567" w:right="567"/>
        <w:jc w:val="both"/>
      </w:pPr>
      <w:r w:rsidRPr="00D468A7">
        <w:rPr>
          <w:lang w:val="fr-FR"/>
        </w:rPr>
        <w:t xml:space="preserve">[…] Or les Français publient également une </w:t>
      </w:r>
      <w:r>
        <w:rPr>
          <w:lang w:val="fr-FR"/>
        </w:rPr>
        <w:t xml:space="preserve">« Gazette des Ardennes » datée aussi de Charleville, et cette « Gazette » est une édition illustrée, très joliment illustrée. Je ne sais trop où on se la procure, mais elle vaut d’être lue, d’être admirée. Les vues sont nettes, l’illustration est due aux procédés les plus modernes. Bref il est certain que les rédacteurs de la « Gazette des Ardennes », si Ententophobe, n’avaient jamais songé à une édition aussi Ententophile. </w:t>
      </w:r>
      <w:r w:rsidRPr="00812E20">
        <w:t>La leçon ne manque pas de piquant.</w:t>
      </w:r>
      <w:r>
        <w:rPr>
          <w:rStyle w:val="FootnoteReference"/>
          <w:lang w:val="fr-FR"/>
        </w:rPr>
        <w:footnoteReference w:id="332"/>
      </w:r>
    </w:p>
    <w:p w14:paraId="51118351" w14:textId="047A412E" w:rsidR="0048510E" w:rsidRDefault="0048510E" w:rsidP="0048510E">
      <w:pPr>
        <w:jc w:val="both"/>
      </w:pPr>
      <w:r w:rsidRPr="006F4583">
        <w:t xml:space="preserve">The Swiss authorities did not share this </w:t>
      </w:r>
      <w:r>
        <w:t>enthusiasm</w:t>
      </w:r>
      <w:r w:rsidR="00A346DC">
        <w:t>,</w:t>
      </w:r>
      <w:r>
        <w:t xml:space="preserve"> and pursued their campaign to ban propaganda. Hansi and Tonnelat were infuriated by the attitude of the Federal Council and wrote after the war that the Swiss were biased toward the Germans.</w:t>
      </w:r>
      <w:r>
        <w:rPr>
          <w:rStyle w:val="FootnoteReference"/>
        </w:rPr>
        <w:footnoteReference w:id="333"/>
      </w:r>
      <w:r w:rsidR="00CA68DC">
        <w:t xml:space="preserve"> L</w:t>
      </w:r>
      <w:r>
        <w:t xml:space="preserve">etters between the army and the federal government contained in the Swiss archives showed that </w:t>
      </w:r>
      <w:r w:rsidR="00CA68DC">
        <w:t>French</w:t>
      </w:r>
      <w:r>
        <w:t xml:space="preserve"> pamphlets were seen as rather harmless compared to their German equivalent:</w:t>
      </w:r>
    </w:p>
    <w:p w14:paraId="27E79A30" w14:textId="77777777" w:rsidR="0048510E" w:rsidRDefault="0048510E" w:rsidP="0048510E">
      <w:pPr>
        <w:ind w:left="567" w:right="567"/>
        <w:jc w:val="both"/>
        <w:rPr>
          <w:lang w:val="fr-FR"/>
        </w:rPr>
      </w:pPr>
      <w:r w:rsidRPr="003D6CD6">
        <w:rPr>
          <w:lang w:val="fr-FR"/>
        </w:rPr>
        <w:t>La propagande allemande est la plus dan</w:t>
      </w:r>
      <w:r>
        <w:rPr>
          <w:lang w:val="fr-FR"/>
        </w:rPr>
        <w:t>gereuse, parce quelle [sic] est méthodique et subtile et celle de la France fait, sans y parvenir invitation les plus grands ef</w:t>
      </w:r>
      <w:r w:rsidR="00820ADB">
        <w:rPr>
          <w:lang w:val="fr-FR"/>
        </w:rPr>
        <w:t>forts pour être à sa hauteur. Ce</w:t>
      </w:r>
      <w:r>
        <w:rPr>
          <w:lang w:val="fr-FR"/>
        </w:rPr>
        <w:t xml:space="preserve"> qui rend cette dernière, je ne dirai pas inoffensive mais beaucoup moins dangereuse, c’est que les agents ne sont d’accords ni entre eux, ni avec l’ambassade, (où ne règne pas non plus l’union parfaite, c’est un nid d’intrigues et de rivalités et on travaille beaucoup derrière le dos de l’ambassadeur).</w:t>
      </w:r>
      <w:r>
        <w:rPr>
          <w:rStyle w:val="FootnoteReference"/>
          <w:lang w:val="fr-FR"/>
        </w:rPr>
        <w:footnoteReference w:id="334"/>
      </w:r>
    </w:p>
    <w:p w14:paraId="7B12DC28" w14:textId="350CC64C" w:rsidR="0048510E" w:rsidRDefault="0048510E" w:rsidP="00A346DC">
      <w:pPr>
        <w:jc w:val="both"/>
      </w:pPr>
      <w:r>
        <w:t>It was difficult to judge the extent of these activities since t</w:t>
      </w:r>
      <w:r w:rsidRPr="0016666B">
        <w:t xml:space="preserve">he archives of the SPA </w:t>
      </w:r>
      <w:r>
        <w:t>were</w:t>
      </w:r>
      <w:r w:rsidRPr="0016666B">
        <w:t xml:space="preserve"> almost </w:t>
      </w:r>
      <w:r>
        <w:t xml:space="preserve">entirely </w:t>
      </w:r>
      <w:r w:rsidRPr="0016666B">
        <w:t xml:space="preserve">silent on border operations. </w:t>
      </w:r>
      <w:r>
        <w:t>The amount of propaganda smuggled t</w:t>
      </w:r>
      <w:r w:rsidR="00820ADB">
        <w:t>hrough Switzerland, as well as t</w:t>
      </w:r>
      <w:r>
        <w:t>he Netherlands by the Belgians, between 1916 and 1918</w:t>
      </w:r>
      <w:r w:rsidR="00A346DC">
        <w:t>,</w:t>
      </w:r>
      <w:r>
        <w:t xml:space="preserve"> was kept out </w:t>
      </w:r>
      <w:r w:rsidR="00A346DC">
        <w:t>of the tables but was mentioned</w:t>
      </w:r>
      <w:r>
        <w:t xml:space="preserve"> after the war</w:t>
      </w:r>
      <w:r w:rsidR="00A346DC">
        <w:t>,</w:t>
      </w:r>
      <w:r w:rsidR="00A346DC" w:rsidRPr="00A346DC">
        <w:t xml:space="preserve"> </w:t>
      </w:r>
      <w:r w:rsidR="00A346DC">
        <w:t>once again by Hansi and Tonnelat</w:t>
      </w:r>
      <w:r>
        <w:t xml:space="preserve">. The </w:t>
      </w:r>
      <w:r w:rsidR="00F21295">
        <w:t>duo talked about a few thousand</w:t>
      </w:r>
      <w:r w:rsidR="00CA68DC">
        <w:t xml:space="preserve"> </w:t>
      </w:r>
      <w:r>
        <w:t>leaflets which, if correct, was not much</w:t>
      </w:r>
      <w:r w:rsidR="00A346DC">
        <w:t>,</w:t>
      </w:r>
      <w:r>
        <w:t xml:space="preserve"> compared to the 50,000 copies of </w:t>
      </w:r>
      <w:r>
        <w:rPr>
          <w:i/>
          <w:iCs/>
        </w:rPr>
        <w:t>La Voix du Pays</w:t>
      </w:r>
      <w:r>
        <w:t xml:space="preserve"> dropped by plane every other week.</w:t>
      </w:r>
      <w:r>
        <w:rPr>
          <w:rStyle w:val="FootnoteReference"/>
        </w:rPr>
        <w:footnoteReference w:id="335"/>
      </w:r>
      <w:r>
        <w:t xml:space="preserve"> Air distribution was therefore</w:t>
      </w:r>
      <w:r w:rsidR="00A346DC">
        <w:t>,</w:t>
      </w:r>
      <w:r>
        <w:t xml:space="preserve"> without a doubt</w:t>
      </w:r>
      <w:r w:rsidR="00A346DC">
        <w:t>,</w:t>
      </w:r>
      <w:r>
        <w:t xml:space="preserve"> considerably more important than any other mean</w:t>
      </w:r>
      <w:r w:rsidR="00CA68DC">
        <w:t>s</w:t>
      </w:r>
      <w:r>
        <w:t xml:space="preserve"> of dissemination.</w:t>
      </w:r>
    </w:p>
    <w:p w14:paraId="1D94D7A1" w14:textId="77777777" w:rsidR="0048510E" w:rsidRDefault="0048510E" w:rsidP="0048510E">
      <w:pPr>
        <w:pStyle w:val="Heading2"/>
      </w:pPr>
      <w:bookmarkStart w:id="32" w:name="_Toc378223853"/>
      <w:bookmarkStart w:id="33" w:name="_Toc402192960"/>
      <w:r>
        <w:t>Conclusion</w:t>
      </w:r>
      <w:bookmarkEnd w:id="32"/>
      <w:bookmarkEnd w:id="33"/>
    </w:p>
    <w:p w14:paraId="722100F2" w14:textId="663ACCB5" w:rsidR="0048510E" w:rsidRDefault="0048510E" w:rsidP="00605DB1">
      <w:pPr>
        <w:jc w:val="both"/>
      </w:pPr>
      <w:r>
        <w:t>Aviation, a polyvalent mode of transportation, imposed itself at the beginning of the war as the most practical mean</w:t>
      </w:r>
      <w:r w:rsidR="00820ADB">
        <w:t>s of distributing</w:t>
      </w:r>
      <w:r>
        <w:t xml:space="preserve"> pamphlets. Following the creating of the SPA, the French established and revised a plan to distribute propaganda</w:t>
      </w:r>
      <w:r w:rsidR="00A346DC" w:rsidRPr="00A346DC">
        <w:t xml:space="preserve"> </w:t>
      </w:r>
      <w:r w:rsidR="00A346DC">
        <w:t>numerous times during the conflict</w:t>
      </w:r>
      <w:r>
        <w:t>. The British were involved in these operations</w:t>
      </w:r>
      <w:r w:rsidR="00A346DC">
        <w:t>,</w:t>
      </w:r>
      <w:r>
        <w:t xml:space="preserve"> which saw millions of leaflets being spread each month. Great Britain equally impleme</w:t>
      </w:r>
      <w:r w:rsidR="00820ADB">
        <w:t>nted a sophisticated propaganda-</w:t>
      </w:r>
      <w:r>
        <w:t>dropping scheme after the creation of MI7 in 1916. The Belgians tried to replicate these plans</w:t>
      </w:r>
      <w:r w:rsidR="00A346DC">
        <w:t>,</w:t>
      </w:r>
      <w:r>
        <w:t xml:space="preserve"> but faced difficulties. Their </w:t>
      </w:r>
      <w:r w:rsidR="00605DB1">
        <w:t>air</w:t>
      </w:r>
      <w:r>
        <w:t xml:space="preserve"> </w:t>
      </w:r>
      <w:r w:rsidR="00820ADB">
        <w:t xml:space="preserve">force </w:t>
      </w:r>
      <w:r>
        <w:t>was too small to handle the amount of propaganda created by their services</w:t>
      </w:r>
      <w:r w:rsidR="00A346DC">
        <w:t>,</w:t>
      </w:r>
      <w:r>
        <w:t xml:space="preserve"> but they received invaluable assistance </w:t>
      </w:r>
      <w:r w:rsidR="00A346DC">
        <w:t>from</w:t>
      </w:r>
      <w:r>
        <w:t xml:space="preserve"> the British and the French.  </w:t>
      </w:r>
    </w:p>
    <w:p w14:paraId="772E2C5C" w14:textId="2E62ACEF" w:rsidR="0048510E" w:rsidRDefault="0048510E" w:rsidP="00A346DC">
      <w:pPr>
        <w:jc w:val="both"/>
      </w:pPr>
      <w:r>
        <w:t xml:space="preserve">However, the amount of material spread from the </w:t>
      </w:r>
      <w:r w:rsidR="00A346DC">
        <w:t>air gradually generated tension</w:t>
      </w:r>
      <w:r>
        <w:t xml:space="preserve"> between pilots and propagandists. Evidence demonstrated that many Franco-British aviators and high-ranking air force officers were deeply hostile to propaganda operations. In their opinion, these missions were putting expensive machines and lives at risk. Worse, the principle of propaganda itself was questioned by soldiers and officers who saw </w:t>
      </w:r>
      <w:r w:rsidR="00A346DC">
        <w:t>greater</w:t>
      </w:r>
      <w:r>
        <w:t xml:space="preserve"> benefits in </w:t>
      </w:r>
      <w:r w:rsidR="00A346DC">
        <w:t>destruction missions</w:t>
      </w:r>
      <w:r>
        <w:t xml:space="preserve"> rather than in psychological warfare. Anger turned into crisis when the German authorities threatened </w:t>
      </w:r>
      <w:r w:rsidR="00864D41">
        <w:t>to court-martial aviators</w:t>
      </w:r>
      <w:r>
        <w:t xml:space="preserve"> caught distributing propaganda</w:t>
      </w:r>
      <w:r w:rsidR="00A346DC" w:rsidRPr="00A346DC">
        <w:t xml:space="preserve"> </w:t>
      </w:r>
      <w:r w:rsidR="00A346DC">
        <w:t>at the end of 1917</w:t>
      </w:r>
      <w:r>
        <w:t xml:space="preserve">. The Germans </w:t>
      </w:r>
      <w:r w:rsidR="00A346DC">
        <w:t>used</w:t>
      </w:r>
      <w:r>
        <w:t xml:space="preserve"> the </w:t>
      </w:r>
      <w:r w:rsidR="000070CB">
        <w:t>gaps</w:t>
      </w:r>
      <w:r>
        <w:t xml:space="preserve"> of the Hagu</w:t>
      </w:r>
      <w:r w:rsidR="00864D41">
        <w:t>e C</w:t>
      </w:r>
      <w:r>
        <w:t>onvention regarding aerial warfare to their own benefit. The French not only ignored these threats</w:t>
      </w:r>
      <w:r w:rsidR="00A346DC">
        <w:t>,</w:t>
      </w:r>
      <w:r>
        <w:t xml:space="preserve"> but also managed to discipline aviators and commanding officers. However, the British banned planes for leaflet missions at the beginning of 1918, following the court-martial trial and condemnation of air force members. Despite a campaign led by prominent personalities such as Lord Northcliffe, the embargo o</w:t>
      </w:r>
      <w:r w:rsidR="003757EA">
        <w:t>n planes was maintained by the a</w:t>
      </w:r>
      <w:r>
        <w:t xml:space="preserve">ir </w:t>
      </w:r>
      <w:r w:rsidR="003757EA">
        <w:t>m</w:t>
      </w:r>
      <w:r>
        <w:t>inister until October 1918.</w:t>
      </w:r>
    </w:p>
    <w:p w14:paraId="4168CDB7" w14:textId="4EA63818" w:rsidR="0048510E" w:rsidRDefault="0048510E" w:rsidP="00605DB1">
      <w:pPr>
        <w:jc w:val="both"/>
      </w:pPr>
      <w:r>
        <w:t xml:space="preserve">Other means of distributions, such as balloons, rockets and kites, were explored by the Entente to supplement or assist the </w:t>
      </w:r>
      <w:r w:rsidR="00605DB1">
        <w:t>air</w:t>
      </w:r>
      <w:r w:rsidR="00864D41">
        <w:t xml:space="preserve"> service</w:t>
      </w:r>
      <w:r>
        <w:t>. Despite obvious problems of precision and reliability, balloons became the main mean</w:t>
      </w:r>
      <w:r w:rsidR="00864D41">
        <w:t>s</w:t>
      </w:r>
      <w:r>
        <w:t xml:space="preserve"> of distribution</w:t>
      </w:r>
      <w:r w:rsidRPr="00D51DE4">
        <w:t xml:space="preserve"> </w:t>
      </w:r>
      <w:r>
        <w:t>for British propaganda</w:t>
      </w:r>
      <w:r w:rsidRPr="00BE352A">
        <w:t xml:space="preserve"> </w:t>
      </w:r>
      <w:r w:rsidR="00864D41">
        <w:t>in</w:t>
      </w:r>
      <w:r>
        <w:t xml:space="preserve"> 1918. This reluctance to use </w:t>
      </w:r>
      <w:r w:rsidR="000921F2">
        <w:t>aeroplanes</w:t>
      </w:r>
      <w:r>
        <w:t xml:space="preserve"> had </w:t>
      </w:r>
      <w:r w:rsidR="00864D41">
        <w:t>profound</w:t>
      </w:r>
      <w:r>
        <w:t xml:space="preserve"> effects on the efficiency of psychological war</w:t>
      </w:r>
      <w:r w:rsidR="000070CB">
        <w:t>fare. Precision and range were a</w:t>
      </w:r>
      <w:r>
        <w:t>ffected, ultimately impairing the ability of propaganda to reach eastern parts of Belgium. The option of smuggling propaganda through neutral Switzerland and Netherlands wa</w:t>
      </w:r>
      <w:r w:rsidR="00864D41">
        <w:t xml:space="preserve">s also explored during </w:t>
      </w:r>
      <w:r>
        <w:t xml:space="preserve">1916 by the French. </w:t>
      </w:r>
      <w:r w:rsidR="00864D41">
        <w:t>As discussed,</w:t>
      </w:r>
      <w:r>
        <w:t xml:space="preserve"> </w:t>
      </w:r>
      <w:r w:rsidR="000070CB">
        <w:t xml:space="preserve">this form of distribution had only a </w:t>
      </w:r>
      <w:r>
        <w:t xml:space="preserve">moderate impact </w:t>
      </w:r>
      <w:r w:rsidR="000070CB">
        <w:t>on</w:t>
      </w:r>
      <w:r>
        <w:t xml:space="preserve"> the </w:t>
      </w:r>
      <w:r w:rsidR="000070CB">
        <w:t xml:space="preserve">overall </w:t>
      </w:r>
      <w:r>
        <w:t xml:space="preserve">campaign of propaganda. Indeed, the risks of diplomatic incidents were too big to conduct such underground missions on a </w:t>
      </w:r>
      <w:r w:rsidR="00864D41">
        <w:t>large</w:t>
      </w:r>
      <w:r>
        <w:t xml:space="preserve"> scale.</w:t>
      </w:r>
    </w:p>
    <w:p w14:paraId="6CA8CEE7" w14:textId="4C996409" w:rsidR="0048510E" w:rsidRDefault="0048510E" w:rsidP="00A346DC">
      <w:pPr>
        <w:jc w:val="both"/>
      </w:pPr>
      <w:r>
        <w:t xml:space="preserve">The first part of the thesis has demonstrated the importance of logistics. From creating appropriate structures to organising distribution, all steps had a considerable impact </w:t>
      </w:r>
      <w:r w:rsidR="00733B73">
        <w:t>on</w:t>
      </w:r>
      <w:r>
        <w:t xml:space="preserve"> the efficiency of aerial propaganda aimed at the occupied territories. The second part will explore the </w:t>
      </w:r>
      <w:r w:rsidR="00F21295">
        <w:t>content</w:t>
      </w:r>
      <w:r w:rsidR="00A346DC">
        <w:t xml:space="preserve"> of aerial propaganda</w:t>
      </w:r>
      <w:r w:rsidR="00F21295">
        <w:t>,</w:t>
      </w:r>
      <w:r>
        <w:t xml:space="preserve"> </w:t>
      </w:r>
      <w:r w:rsidR="00F21295">
        <w:t>showing that it was</w:t>
      </w:r>
      <w:r>
        <w:t xml:space="preserve"> affected by the issues raised in the two first chapters.</w:t>
      </w:r>
    </w:p>
    <w:p w14:paraId="18990907" w14:textId="77777777" w:rsidR="00570D9C" w:rsidRDefault="00570D9C" w:rsidP="0048510E">
      <w:pPr>
        <w:jc w:val="both"/>
      </w:pPr>
    </w:p>
    <w:p w14:paraId="73443B2C" w14:textId="77777777" w:rsidR="00570D9C" w:rsidRDefault="00570D9C" w:rsidP="0048510E">
      <w:pPr>
        <w:jc w:val="both"/>
        <w:sectPr w:rsidR="00570D9C" w:rsidSect="00F51E28">
          <w:headerReference w:type="default" r:id="rId36"/>
          <w:pgSz w:w="11907" w:h="16839" w:code="9"/>
          <w:pgMar w:top="1440" w:right="1440" w:bottom="1440" w:left="1440" w:header="708" w:footer="708" w:gutter="0"/>
          <w:cols w:space="708"/>
          <w:titlePg/>
          <w:docGrid w:linePitch="360"/>
        </w:sectPr>
      </w:pPr>
    </w:p>
    <w:p w14:paraId="48BA8BCE" w14:textId="4C54FB94" w:rsidR="00570D9C" w:rsidRDefault="00570D9C" w:rsidP="0048510E">
      <w:pPr>
        <w:jc w:val="both"/>
      </w:pPr>
    </w:p>
    <w:p w14:paraId="4CED091F" w14:textId="77777777" w:rsidR="00093FD8" w:rsidRDefault="00093FD8" w:rsidP="0048510E">
      <w:pPr>
        <w:jc w:val="center"/>
        <w:rPr>
          <w:sz w:val="144"/>
          <w:szCs w:val="144"/>
        </w:rPr>
      </w:pPr>
    </w:p>
    <w:p w14:paraId="3C83D7E2" w14:textId="77777777" w:rsidR="00093FD8" w:rsidRDefault="00093FD8" w:rsidP="0048510E">
      <w:pPr>
        <w:jc w:val="center"/>
        <w:rPr>
          <w:sz w:val="144"/>
          <w:szCs w:val="144"/>
        </w:rPr>
      </w:pPr>
    </w:p>
    <w:p w14:paraId="178048DE" w14:textId="77777777" w:rsidR="0048510E" w:rsidRPr="002B4CE0" w:rsidRDefault="0048510E" w:rsidP="0048510E">
      <w:pPr>
        <w:jc w:val="center"/>
        <w:rPr>
          <w:sz w:val="144"/>
          <w:szCs w:val="144"/>
        </w:rPr>
      </w:pPr>
      <w:r>
        <w:rPr>
          <w:sz w:val="144"/>
          <w:szCs w:val="144"/>
        </w:rPr>
        <w:t>PART 2</w:t>
      </w:r>
    </w:p>
    <w:p w14:paraId="2F783195" w14:textId="77777777" w:rsidR="0048510E" w:rsidRPr="002B4CE0" w:rsidRDefault="0048510E" w:rsidP="0048510E">
      <w:pPr>
        <w:jc w:val="center"/>
        <w:rPr>
          <w:sz w:val="144"/>
          <w:szCs w:val="144"/>
        </w:rPr>
        <w:sectPr w:rsidR="0048510E" w:rsidRPr="002B4CE0" w:rsidSect="00415A32">
          <w:type w:val="continuous"/>
          <w:pgSz w:w="11907" w:h="16839" w:code="9"/>
          <w:pgMar w:top="1440" w:right="1440" w:bottom="1440" w:left="1440" w:header="708" w:footer="708" w:gutter="0"/>
          <w:cols w:space="708"/>
          <w:titlePg/>
          <w:docGrid w:linePitch="360"/>
        </w:sectPr>
      </w:pPr>
      <w:r>
        <w:rPr>
          <w:sz w:val="144"/>
          <w:szCs w:val="144"/>
        </w:rPr>
        <w:t>CONTENT</w:t>
      </w:r>
    </w:p>
    <w:p w14:paraId="70583E62" w14:textId="77777777" w:rsidR="00F51E28" w:rsidRDefault="00F51E28" w:rsidP="0048510E">
      <w:pPr>
        <w:pStyle w:val="Title"/>
        <w:outlineLvl w:val="0"/>
        <w:sectPr w:rsidR="00F51E28" w:rsidSect="00415A32">
          <w:headerReference w:type="default" r:id="rId37"/>
          <w:footerReference w:type="first" r:id="rId38"/>
          <w:type w:val="continuous"/>
          <w:pgSz w:w="11907" w:h="16839" w:code="9"/>
          <w:pgMar w:top="1440" w:right="1440" w:bottom="1440" w:left="1440" w:header="708" w:footer="708" w:gutter="0"/>
          <w:cols w:space="708"/>
          <w:titlePg/>
          <w:docGrid w:linePitch="360"/>
        </w:sectPr>
      </w:pPr>
    </w:p>
    <w:p w14:paraId="3112FF2A" w14:textId="2A0080C1" w:rsidR="0048510E" w:rsidRDefault="0048510E" w:rsidP="0048510E">
      <w:pPr>
        <w:pStyle w:val="Title"/>
        <w:outlineLvl w:val="0"/>
      </w:pPr>
      <w:bookmarkStart w:id="34" w:name="_Toc402192961"/>
      <w:r w:rsidRPr="004278E6">
        <w:t>III</w:t>
      </w:r>
      <w:r w:rsidRPr="004278E6">
        <w:tab/>
      </w:r>
      <w:r>
        <w:rPr>
          <w:sz w:val="48"/>
          <w:szCs w:val="48"/>
        </w:rPr>
        <w:t>Tools</w:t>
      </w:r>
      <w:r w:rsidRPr="000F6889">
        <w:rPr>
          <w:sz w:val="48"/>
          <w:szCs w:val="48"/>
        </w:rPr>
        <w:t xml:space="preserve"> of communication</w:t>
      </w:r>
      <w:bookmarkEnd w:id="34"/>
      <w:r>
        <w:rPr>
          <w:sz w:val="48"/>
          <w:szCs w:val="48"/>
        </w:rPr>
        <w:t xml:space="preserve"> </w:t>
      </w:r>
    </w:p>
    <w:p w14:paraId="40D3C686" w14:textId="77777777" w:rsidR="0048510E" w:rsidRDefault="0048510E" w:rsidP="0048510E">
      <w:pPr>
        <w:pStyle w:val="Heading2"/>
      </w:pPr>
      <w:bookmarkStart w:id="35" w:name="_Toc378223854"/>
      <w:bookmarkStart w:id="36" w:name="_Toc402192962"/>
      <w:r>
        <w:t>Predominance of white propaganda</w:t>
      </w:r>
      <w:bookmarkEnd w:id="35"/>
      <w:bookmarkEnd w:id="36"/>
    </w:p>
    <w:p w14:paraId="1773DB79" w14:textId="4FAA9816" w:rsidR="0048510E" w:rsidRDefault="0048510E" w:rsidP="00961BE5">
      <w:pPr>
        <w:jc w:val="both"/>
      </w:pPr>
      <w:r>
        <w:t xml:space="preserve">Historians and psychological warfare theorists have </w:t>
      </w:r>
      <w:r w:rsidR="00EF3C04">
        <w:t>highlighted the superiority of a</w:t>
      </w:r>
      <w:r>
        <w:t>llied propaganda over its German counterpart during the First World War.</w:t>
      </w:r>
      <w:r>
        <w:rPr>
          <w:rStyle w:val="FootnoteReference"/>
        </w:rPr>
        <w:footnoteReference w:id="336"/>
      </w:r>
      <w:r>
        <w:t xml:space="preserve"> However, the </w:t>
      </w:r>
      <w:r w:rsidR="00961BE5">
        <w:t xml:space="preserve">Entente’s </w:t>
      </w:r>
      <w:r>
        <w:t>aggressive campaigns of communication on the national and international stage were unsuitable in the occupied territories</w:t>
      </w:r>
      <w:r w:rsidR="00961BE5">
        <w:t>,</w:t>
      </w:r>
      <w:r>
        <w:t xml:space="preserve"> where the enemy had the initiative.</w:t>
      </w:r>
      <w:r>
        <w:rPr>
          <w:rStyle w:val="FootnoteReference"/>
        </w:rPr>
        <w:footnoteReference w:id="337"/>
      </w:r>
      <w:r>
        <w:t xml:space="preserve"> The omnipresence of German psychological warfare in these regions required innovative solutions to </w:t>
      </w:r>
      <w:r w:rsidR="00961BE5">
        <w:t>counteract</w:t>
      </w:r>
      <w:r>
        <w:t xml:space="preserve"> the enemy’s arguments and stimulate ne</w:t>
      </w:r>
      <w:r w:rsidR="003918F7">
        <w:t>w debates. In other words, the a</w:t>
      </w:r>
      <w:r>
        <w:t xml:space="preserve">llies had to deal </w:t>
      </w:r>
      <w:r w:rsidR="00F61693">
        <w:t>with propaganda and counter-propaganda</w:t>
      </w:r>
      <w:r>
        <w:t>.</w:t>
      </w:r>
      <w:r w:rsidR="00C85EF1">
        <w:t xml:space="preserve"> The latter</w:t>
      </w:r>
      <w:r w:rsidR="00F61693">
        <w:t xml:space="preserve"> has been understudied by historians and communication specialists.</w:t>
      </w:r>
      <w:r>
        <w:t xml:space="preserve"> An attempt was made by psychologists to understand its mechanisms, but little else has been done to contextualise this phenomenon.</w:t>
      </w:r>
      <w:r>
        <w:rPr>
          <w:rStyle w:val="FootnoteReference"/>
        </w:rPr>
        <w:footnoteReference w:id="338"/>
      </w:r>
      <w:r>
        <w:t xml:space="preserve"> This historiographical gap </w:t>
      </w:r>
      <w:r w:rsidR="00D6436F">
        <w:t>impairs</w:t>
      </w:r>
      <w:r>
        <w:t xml:space="preserve"> </w:t>
      </w:r>
      <w:r w:rsidR="00961BE5">
        <w:t>understanding</w:t>
      </w:r>
      <w:r>
        <w:t xml:space="preserve"> of the subject, but </w:t>
      </w:r>
      <w:r w:rsidR="00F61693">
        <w:t xml:space="preserve">we can resolve the problem </w:t>
      </w:r>
      <w:r>
        <w:t xml:space="preserve">by </w:t>
      </w:r>
      <w:r w:rsidR="00D6436F">
        <w:t>exploring</w:t>
      </w:r>
      <w:r>
        <w:t xml:space="preserve"> the dynamic</w:t>
      </w:r>
      <w:r w:rsidR="00D6436F">
        <w:t>s</w:t>
      </w:r>
      <w:r w:rsidR="00EF3C04">
        <w:t xml:space="preserve"> between a</w:t>
      </w:r>
      <w:r>
        <w:t>llied and German propaganda in the occupied territories. This chapter will e</w:t>
      </w:r>
      <w:r w:rsidR="00D6436F">
        <w:t>xamine how the rigidity of the western f</w:t>
      </w:r>
      <w:r>
        <w:t>ront shaped the tools of communication used behind the lines. It will be shown that there were indeed attempts to answer enemy propaganda</w:t>
      </w:r>
      <w:r w:rsidR="00961BE5">
        <w:t>,</w:t>
      </w:r>
      <w:r>
        <w:t xml:space="preserve"> but it will also be argued that </w:t>
      </w:r>
      <w:r w:rsidR="00961BE5">
        <w:t xml:space="preserve">the </w:t>
      </w:r>
      <w:r>
        <w:t xml:space="preserve">original campaigns of communication were designed to gain the initiative.  </w:t>
      </w:r>
    </w:p>
    <w:p w14:paraId="52B76DCC" w14:textId="193F1021" w:rsidR="0048510E" w:rsidRDefault="0048510E" w:rsidP="00C10DB6">
      <w:pPr>
        <w:jc w:val="both"/>
      </w:pPr>
      <w:r>
        <w:t>The first section of the chapter will explore the reasons behind the adoption of newspapers, a form of white propaganda, as the main medium of psychological warfare.</w:t>
      </w:r>
      <w:r>
        <w:rPr>
          <w:rStyle w:val="FootnoteReference"/>
        </w:rPr>
        <w:footnoteReference w:id="339"/>
      </w:r>
      <w:r>
        <w:t xml:space="preserve"> It wi</w:t>
      </w:r>
      <w:r w:rsidR="00EF3C04">
        <w:t>ll be shown that a</w:t>
      </w:r>
      <w:r>
        <w:t xml:space="preserve">llied governments used Parisian </w:t>
      </w:r>
      <w:r w:rsidR="00C10DB6">
        <w:t>newspapers</w:t>
      </w:r>
      <w:r>
        <w:t xml:space="preserve"> as an emergency tool to break</w:t>
      </w:r>
      <w:r w:rsidR="00961BE5">
        <w:t xml:space="preserve"> down</w:t>
      </w:r>
      <w:r>
        <w:t xml:space="preserve"> German dominance over communication in the occupied territories. This section will also underline that all </w:t>
      </w:r>
      <w:r w:rsidR="00961BE5">
        <w:t xml:space="preserve">the </w:t>
      </w:r>
      <w:r>
        <w:t xml:space="preserve">nations involved in aerial psychological warfare implicitly understood the </w:t>
      </w:r>
      <w:r w:rsidR="00F61693">
        <w:t xml:space="preserve">differences between </w:t>
      </w:r>
      <w:r w:rsidR="00913FF1">
        <w:t>war culture on the home f</w:t>
      </w:r>
      <w:r>
        <w:t>ront and the ‘</w:t>
      </w:r>
      <w:r w:rsidR="00FD02BF">
        <w:t>culture de</w:t>
      </w:r>
      <w:r w:rsidRPr="00D962A0">
        <w:t xml:space="preserve"> </w:t>
      </w:r>
      <w:r w:rsidR="00FD02BF">
        <w:t>l’occupé</w:t>
      </w:r>
      <w:r w:rsidRPr="00D962A0">
        <w:t>’</w:t>
      </w:r>
      <w:r>
        <w:t>. This implicit understanding led to the creation of specific newspapers – exclusively targeted at the occupied territories.</w:t>
      </w:r>
    </w:p>
    <w:p w14:paraId="61FC17D4" w14:textId="0A1E91A0" w:rsidR="0048510E" w:rsidRDefault="0048510E" w:rsidP="00961BE5">
      <w:pPr>
        <w:jc w:val="both"/>
      </w:pPr>
      <w:r>
        <w:t>The following section will examine the unique character of each publication. It will be shown that all</w:t>
      </w:r>
      <w:r w:rsidR="00961BE5">
        <w:t xml:space="preserve"> the</w:t>
      </w:r>
      <w:r>
        <w:t xml:space="preserve"> nations</w:t>
      </w:r>
      <w:r w:rsidR="00961BE5">
        <w:t xml:space="preserve"> involved</w:t>
      </w:r>
      <w:r>
        <w:t xml:space="preserve"> tried to </w:t>
      </w:r>
      <w:r w:rsidR="00316518">
        <w:t xml:space="preserve">counter </w:t>
      </w:r>
      <w:r>
        <w:t>German communication</w:t>
      </w:r>
      <w:r w:rsidR="00961BE5">
        <w:t xml:space="preserve"> efforts</w:t>
      </w:r>
      <w:r>
        <w:t xml:space="preserve"> in their own way. Cultural specificities also </w:t>
      </w:r>
      <w:r w:rsidR="00D6436F">
        <w:t>pose</w:t>
      </w:r>
      <w:r>
        <w:t xml:space="preserve"> important question</w:t>
      </w:r>
      <w:r w:rsidR="00961BE5">
        <w:t>s</w:t>
      </w:r>
      <w:r>
        <w:t>. Were refugees consulted before propaganda newspapers</w:t>
      </w:r>
      <w:r w:rsidR="00D6436F">
        <w:t xml:space="preserve"> were created</w:t>
      </w:r>
      <w:r>
        <w:t>? Did propagan</w:t>
      </w:r>
      <w:r w:rsidR="00D6436F">
        <w:t>dists understand regional sensitivities</w:t>
      </w:r>
      <w:r>
        <w:t xml:space="preserve"> and linguistic problems? Answering these </w:t>
      </w:r>
      <w:r w:rsidR="00D6436F">
        <w:t>questions</w:t>
      </w:r>
      <w:r>
        <w:t xml:space="preserve"> will show that major mistakes were </w:t>
      </w:r>
      <w:r w:rsidR="00F61693">
        <w:t>made.</w:t>
      </w:r>
    </w:p>
    <w:p w14:paraId="1F2B0F5D" w14:textId="5D114E7F" w:rsidR="0048510E" w:rsidRDefault="0048510E" w:rsidP="00961BE5">
      <w:pPr>
        <w:jc w:val="both"/>
      </w:pPr>
      <w:r>
        <w:t>The third section will focus on broad strategies of communication, introducing the arguments us</w:t>
      </w:r>
      <w:r w:rsidR="00EF3C04">
        <w:t>ed by a</w:t>
      </w:r>
      <w:r>
        <w:t>llied newspapers to communicate with occupied populations.</w:t>
      </w:r>
      <w:r>
        <w:rPr>
          <w:rStyle w:val="FootnoteReference"/>
        </w:rPr>
        <w:footnoteReference w:id="340"/>
      </w:r>
      <w:r>
        <w:t xml:space="preserve"> The concept of national identity was </w:t>
      </w:r>
      <w:r w:rsidR="00961BE5">
        <w:t>used</w:t>
      </w:r>
      <w:r>
        <w:t xml:space="preserve"> on several occasion</w:t>
      </w:r>
      <w:r w:rsidR="00D6436F">
        <w:t>s</w:t>
      </w:r>
      <w:r w:rsidR="00961BE5">
        <w:t>,</w:t>
      </w:r>
      <w:r>
        <w:t xml:space="preserve"> to remind civilians to which side they belonged. Such arguments induced a post-war guilt for not being part of the action. This section will also explore the issue of exaggeration and </w:t>
      </w:r>
      <w:r>
        <w:rPr>
          <w:i/>
          <w:iCs/>
        </w:rPr>
        <w:t>bourrage de crâne</w:t>
      </w:r>
      <w:r>
        <w:t>,</w:t>
      </w:r>
      <w:r w:rsidR="00F61693">
        <w:t xml:space="preserve"> showing that propagandists had</w:t>
      </w:r>
      <w:r>
        <w:t xml:space="preserve"> </w:t>
      </w:r>
      <w:r w:rsidR="00316518">
        <w:t xml:space="preserve">conflicting </w:t>
      </w:r>
      <w:r>
        <w:t xml:space="preserve">views on the subject. It will also be asked why visual material was used on </w:t>
      </w:r>
      <w:r w:rsidR="00316518">
        <w:t xml:space="preserve">so </w:t>
      </w:r>
      <w:r w:rsidR="00D6436F">
        <w:t xml:space="preserve">few </w:t>
      </w:r>
      <w:r>
        <w:t>occasion</w:t>
      </w:r>
      <w:r w:rsidR="00D6436F">
        <w:t>s</w:t>
      </w:r>
      <w:r>
        <w:t xml:space="preserve">. </w:t>
      </w:r>
    </w:p>
    <w:p w14:paraId="51F9131D" w14:textId="77777777" w:rsidR="0048510E" w:rsidRDefault="0048510E" w:rsidP="0048510E">
      <w:pPr>
        <w:jc w:val="both"/>
      </w:pPr>
      <w:r>
        <w:t xml:space="preserve">Black propaganda will constitute the last focus of the chapter. The French were the only nation using this controversial tool to communicate with the occupied population. This section will show that covert propaganda was not a way to cheat French people but a trick to mislead the Germans.          </w:t>
      </w:r>
    </w:p>
    <w:p w14:paraId="5B5F1F71" w14:textId="77777777" w:rsidR="0048510E" w:rsidRDefault="0048510E" w:rsidP="0048510E">
      <w:pPr>
        <w:pStyle w:val="Heading2"/>
      </w:pPr>
      <w:bookmarkStart w:id="37" w:name="_Toc378223855"/>
      <w:bookmarkStart w:id="38" w:name="_Toc402192963"/>
      <w:r>
        <w:t>Breaking the monopoly</w:t>
      </w:r>
      <w:bookmarkEnd w:id="37"/>
      <w:bookmarkEnd w:id="38"/>
    </w:p>
    <w:p w14:paraId="6B461F12" w14:textId="458A28FD" w:rsidR="0048510E" w:rsidRDefault="00EF3C04" w:rsidP="00D60109">
      <w:pPr>
        <w:jc w:val="both"/>
      </w:pPr>
      <w:r>
        <w:t>Chapter one showed that a</w:t>
      </w:r>
      <w:r w:rsidR="0048510E">
        <w:t>llied authorities shared deep concerns about the occupier’s monopoly of the press in the occupied territories. By the beginning of 1915, they were perfectly aware that the absence of contradictory info</w:t>
      </w:r>
      <w:r w:rsidR="00D6436F">
        <w:t xml:space="preserve">rmation was hugely </w:t>
      </w:r>
      <w:r w:rsidR="00961BE5">
        <w:t>beneficial to</w:t>
      </w:r>
      <w:r w:rsidR="0048510E">
        <w:t xml:space="preserve"> the Germans.</w:t>
      </w:r>
      <w:r w:rsidR="0048510E">
        <w:rPr>
          <w:rStyle w:val="FootnoteReference"/>
        </w:rPr>
        <w:footnoteReference w:id="341"/>
      </w:r>
      <w:r w:rsidR="0048510E">
        <w:t xml:space="preserve"> The French did</w:t>
      </w:r>
      <w:r w:rsidR="00D6436F">
        <w:t xml:space="preserve"> the only possible thing</w:t>
      </w:r>
      <w:r w:rsidR="0048510E">
        <w:t xml:space="preserve"> – drop Parisian newspapers on a large scale. This measure was </w:t>
      </w:r>
      <w:r w:rsidR="00D6436F">
        <w:t>born out of</w:t>
      </w:r>
      <w:r w:rsidR="0048510E">
        <w:t xml:space="preserve"> the state of emergency</w:t>
      </w:r>
      <w:r w:rsidR="00961BE5">
        <w:t>,</w:t>
      </w:r>
      <w:r w:rsidR="0048510E">
        <w:t xml:space="preserve"> rather than </w:t>
      </w:r>
      <w:r w:rsidR="00D6436F">
        <w:t>being a practical solution</w:t>
      </w:r>
      <w:r w:rsidR="00961BE5">
        <w:t>,</w:t>
      </w:r>
      <w:r w:rsidR="0048510E">
        <w:t xml:space="preserve"> as home front </w:t>
      </w:r>
      <w:r w:rsidR="00660480">
        <w:t>newspapers</w:t>
      </w:r>
      <w:r w:rsidR="0048510E">
        <w:t xml:space="preserve"> were inconvenient for aerial distribution. Worse, their content was not designed to target the</w:t>
      </w:r>
      <w:r w:rsidR="00961BE5">
        <w:t xml:space="preserve"> specific conditions</w:t>
      </w:r>
      <w:r w:rsidR="0048510E">
        <w:t xml:space="preserve"> of occupation. Chapter seven will explain that the Parisian press either reconnected </w:t>
      </w:r>
      <w:r w:rsidR="0048510E">
        <w:rPr>
          <w:i/>
          <w:iCs/>
        </w:rPr>
        <w:t>occupés</w:t>
      </w:r>
      <w:r w:rsidR="0048510E">
        <w:t xml:space="preserve"> to the French society or made the occupied civilians realise how far they </w:t>
      </w:r>
      <w:r w:rsidR="00913FF1">
        <w:t xml:space="preserve">were </w:t>
      </w:r>
      <w:r w:rsidR="00D6436F">
        <w:t xml:space="preserve">removed </w:t>
      </w:r>
      <w:r w:rsidR="00913FF1">
        <w:t xml:space="preserve">from the </w:t>
      </w:r>
      <w:r w:rsidR="00F61693">
        <w:t>narrative of propaganda</w:t>
      </w:r>
      <w:r w:rsidR="00913FF1">
        <w:t xml:space="preserve"> of the home f</w:t>
      </w:r>
      <w:r w:rsidR="0048510E">
        <w:t>ront – an extremely negative consequence</w:t>
      </w:r>
      <w:r w:rsidR="00D6436F">
        <w:t xml:space="preserve"> of this measure</w:t>
      </w:r>
      <w:r w:rsidR="0048510E">
        <w:t>.</w:t>
      </w:r>
      <w:r w:rsidR="0048510E">
        <w:rPr>
          <w:rStyle w:val="FootnoteReference"/>
        </w:rPr>
        <w:footnoteReference w:id="342"/>
      </w:r>
      <w:r w:rsidR="0048510E">
        <w:t xml:space="preserve"> The cultural split between France and the occupied territories was </w:t>
      </w:r>
      <w:r w:rsidR="00D60109">
        <w:t>difficult to avoid</w:t>
      </w:r>
      <w:r w:rsidR="0048510E">
        <w:t xml:space="preserve">. Historians such as Jean-Jacques Becker, Stéphane Audoin-Rouzeau, or Annette Becker have exposed the impact that the conflict had on all sociocultural aspects of society. This phenomenon is now better understood and has been named </w:t>
      </w:r>
      <w:r w:rsidR="0048510E">
        <w:rPr>
          <w:i/>
          <w:iCs/>
        </w:rPr>
        <w:t>‘</w:t>
      </w:r>
      <w:r w:rsidR="00D6436F">
        <w:t>culture de g</w:t>
      </w:r>
      <w:r w:rsidR="0048510E" w:rsidRPr="00D962A0">
        <w:t>uerre’</w:t>
      </w:r>
      <w:r w:rsidR="00D6436F">
        <w:t xml:space="preserve"> or w</w:t>
      </w:r>
      <w:r w:rsidR="0048510E">
        <w:t xml:space="preserve">ar </w:t>
      </w:r>
      <w:r w:rsidR="00D6436F">
        <w:t>c</w:t>
      </w:r>
      <w:r w:rsidR="0048510E">
        <w:t>ulture.</w:t>
      </w:r>
      <w:r w:rsidR="0048510E">
        <w:rPr>
          <w:rStyle w:val="FootnoteReference"/>
        </w:rPr>
        <w:footnoteReference w:id="343"/>
      </w:r>
      <w:r w:rsidR="0048510E">
        <w:t xml:space="preserve"> But is </w:t>
      </w:r>
      <w:r w:rsidR="00D6436F">
        <w:t>it coherent to talk about one ‘c</w:t>
      </w:r>
      <w:r w:rsidR="0048510E">
        <w:t xml:space="preserve">ulture de </w:t>
      </w:r>
      <w:r w:rsidR="00D6436F">
        <w:t>g</w:t>
      </w:r>
      <w:r w:rsidR="0048510E">
        <w:t xml:space="preserve">uerre’? </w:t>
      </w:r>
      <w:r w:rsidR="00FD02BF">
        <w:t>As stated in the introduction, t</w:t>
      </w:r>
      <w:r w:rsidR="0048510E">
        <w:t>he question was recently raised by James Connolly</w:t>
      </w:r>
      <w:r w:rsidR="00961BE5">
        <w:t>,</w:t>
      </w:r>
      <w:r w:rsidR="0048510E">
        <w:t xml:space="preserve"> who argued that years of isolation had shaped a different form of war culture – one that had little in common with </w:t>
      </w:r>
      <w:r w:rsidR="00F61693" w:rsidRPr="00F61693">
        <w:t>the home front. He named</w:t>
      </w:r>
      <w:r w:rsidR="00316518" w:rsidRPr="00F61693">
        <w:t xml:space="preserve"> the</w:t>
      </w:r>
      <w:r w:rsidR="0048510E" w:rsidRPr="00F61693">
        <w:t xml:space="preserve"> specific phenomenon</w:t>
      </w:r>
      <w:r w:rsidR="0048510E">
        <w:t xml:space="preserve"> the </w:t>
      </w:r>
      <w:r w:rsidR="00D6436F">
        <w:rPr>
          <w:i/>
          <w:iCs/>
        </w:rPr>
        <w:t>c</w:t>
      </w:r>
      <w:r w:rsidR="00FD02BF">
        <w:rPr>
          <w:i/>
          <w:iCs/>
        </w:rPr>
        <w:t>ulture de</w:t>
      </w:r>
      <w:r w:rsidR="0048510E">
        <w:rPr>
          <w:i/>
          <w:iCs/>
        </w:rPr>
        <w:t xml:space="preserve"> </w:t>
      </w:r>
      <w:r w:rsidR="00FD02BF">
        <w:rPr>
          <w:i/>
          <w:iCs/>
        </w:rPr>
        <w:t>l’</w:t>
      </w:r>
      <w:r w:rsidR="0048510E">
        <w:rPr>
          <w:i/>
          <w:iCs/>
        </w:rPr>
        <w:t>occupé</w:t>
      </w:r>
      <w:r w:rsidR="0048510E">
        <w:t>.</w:t>
      </w:r>
      <w:r w:rsidR="0048510E">
        <w:rPr>
          <w:rStyle w:val="FootnoteReference"/>
        </w:rPr>
        <w:footnoteReference w:id="344"/>
      </w:r>
      <w:r w:rsidR="0048510E">
        <w:t xml:space="preserve"> </w:t>
      </w:r>
    </w:p>
    <w:p w14:paraId="7C22DA64" w14:textId="0B581E47" w:rsidR="0048510E" w:rsidRDefault="0048510E" w:rsidP="00961BE5">
      <w:pPr>
        <w:jc w:val="both"/>
      </w:pPr>
      <w:r>
        <w:t xml:space="preserve">The existence of </w:t>
      </w:r>
      <w:r w:rsidR="00961BE5">
        <w:t>specific cultural conditions</w:t>
      </w:r>
      <w:r>
        <w:t xml:space="preserve"> was implicitly understood by all propagandists involved in aerial psychological warfare</w:t>
      </w:r>
      <w:r w:rsidR="00961BE5">
        <w:t>,</w:t>
      </w:r>
      <w:r>
        <w:t xml:space="preserve"> who identified the need to </w:t>
      </w:r>
      <w:r w:rsidR="00C85EF1">
        <w:t>create</w:t>
      </w:r>
      <w:r>
        <w:t xml:space="preserve"> newspapers aimed solely at the occupied territories. </w:t>
      </w:r>
      <w:r w:rsidR="00961BE5">
        <w:t>Due</w:t>
      </w:r>
      <w:r w:rsidR="00D6436F">
        <w:t xml:space="preserve"> to frequent contact</w:t>
      </w:r>
      <w:r>
        <w:t xml:space="preserve"> with refugees, </w:t>
      </w:r>
      <w:r w:rsidR="00961BE5">
        <w:t xml:space="preserve">they knew </w:t>
      </w:r>
      <w:r>
        <w:t xml:space="preserve">that </w:t>
      </w:r>
      <w:r w:rsidR="00660480">
        <w:t>newspapers</w:t>
      </w:r>
      <w:r>
        <w:t xml:space="preserve"> were widely desired</w:t>
      </w:r>
      <w:r w:rsidR="00961BE5">
        <w:t>,</w:t>
      </w:r>
      <w:r>
        <w:t xml:space="preserve"> but also had to address the question of demoralisation.</w:t>
      </w:r>
      <w:r>
        <w:rPr>
          <w:rStyle w:val="FootnoteReference"/>
        </w:rPr>
        <w:footnoteReference w:id="345"/>
      </w:r>
      <w:r>
        <w:t xml:space="preserve"> </w:t>
      </w:r>
      <w:r w:rsidR="00660480">
        <w:t>They</w:t>
      </w:r>
      <w:r>
        <w:t xml:space="preserve"> were the best medium</w:t>
      </w:r>
      <w:r w:rsidR="00961BE5">
        <w:t xml:space="preserve"> through which</w:t>
      </w:r>
      <w:r>
        <w:t xml:space="preserve"> to do so, providing enough space to develop lengthy arguments. This type of communication was later called ‘white propaganda’, a form of psychological warfare particularly favoured during the First World War. It was defined by Jowett and O’Donnel in </w:t>
      </w:r>
      <w:r>
        <w:rPr>
          <w:i/>
          <w:iCs/>
        </w:rPr>
        <w:t>Propaganda and persuasion</w:t>
      </w:r>
      <w:r>
        <w:t xml:space="preserve"> as ‘from a source that is identified correctly, and the information in the message tends to be accurate’.</w:t>
      </w:r>
      <w:r>
        <w:rPr>
          <w:rStyle w:val="FootnoteReference"/>
        </w:rPr>
        <w:footnoteReference w:id="346"/>
      </w:r>
      <w:r>
        <w:t xml:space="preserve"> This chapter will show that other forms of propaganda were also used </w:t>
      </w:r>
      <w:r w:rsidR="005737DD">
        <w:t xml:space="preserve">in </w:t>
      </w:r>
      <w:r>
        <w:t>aerial psychological warfare on exceptional occasions. The fact that white propaganda was widely used reflected the increasingly important role played by the printed press through the nineteenth century. By the beginning of the First World War, the media in Europe and in the United States were a key element shaping public opinion on most major issues.</w:t>
      </w:r>
      <w:r>
        <w:rPr>
          <w:rStyle w:val="FootnoteReference"/>
        </w:rPr>
        <w:footnoteReference w:id="347"/>
      </w:r>
      <w:r>
        <w:t xml:space="preserve"> In fact, the influence of the news </w:t>
      </w:r>
      <w:r w:rsidR="00122BB7">
        <w:t>on</w:t>
      </w:r>
      <w:r>
        <w:t xml:space="preserve"> cognitive understanding of the world, later demonstrated by the study of media effects, was instinctively understood by the authorities.</w:t>
      </w:r>
      <w:r>
        <w:rPr>
          <w:rStyle w:val="FootnoteReference"/>
        </w:rPr>
        <w:footnoteReference w:id="348"/>
      </w:r>
      <w:r>
        <w:t xml:space="preserve"> They knew that newspapers had an important role to play, </w:t>
      </w:r>
      <w:r w:rsidR="00122BB7">
        <w:t>which was on</w:t>
      </w:r>
      <w:r>
        <w:t xml:space="preserve"> reason </w:t>
      </w:r>
      <w:r w:rsidR="00122BB7">
        <w:t>why</w:t>
      </w:r>
      <w:r>
        <w:t xml:space="preserve"> drawings, postcards or caricatures featured only on rare occasions. The consensus surrounding white propaganda did not mean </w:t>
      </w:r>
      <w:r w:rsidR="00961BE5">
        <w:t xml:space="preserve">however </w:t>
      </w:r>
      <w:r>
        <w:t xml:space="preserve">that papers </w:t>
      </w:r>
      <w:r w:rsidR="00122BB7">
        <w:t xml:space="preserve">for aerial distribution </w:t>
      </w:r>
      <w:r>
        <w:t>were uniform in terms of style or content. On the contrary, there were great variations betraying not only different objectives</w:t>
      </w:r>
      <w:r w:rsidR="00961BE5">
        <w:t>,</w:t>
      </w:r>
      <w:r>
        <w:t xml:space="preserve"> but also </w:t>
      </w:r>
      <w:r w:rsidR="00D6436F">
        <w:t xml:space="preserve">a </w:t>
      </w:r>
      <w:r>
        <w:t>sh</w:t>
      </w:r>
      <w:r w:rsidR="00961BE5">
        <w:t>arp contrast in editorial style</w:t>
      </w:r>
      <w:r>
        <w:t xml:space="preserve"> or cultural understanding. These differences </w:t>
      </w:r>
      <w:r w:rsidR="00961BE5">
        <w:t>render necessary</w:t>
      </w:r>
      <w:r>
        <w:t xml:space="preserve"> closer </w:t>
      </w:r>
      <w:r w:rsidR="00961BE5">
        <w:t>consideration of</w:t>
      </w:r>
      <w:r>
        <w:t xml:space="preserve"> how these various newspapers were envisioned, created and developed.</w:t>
      </w:r>
      <w:r>
        <w:rPr>
          <w:rStyle w:val="FootnoteReference"/>
        </w:rPr>
        <w:footnoteReference w:id="349"/>
      </w:r>
    </w:p>
    <w:p w14:paraId="60211B0C" w14:textId="77777777" w:rsidR="0048510E" w:rsidRPr="00E40E2F" w:rsidRDefault="0048510E" w:rsidP="0048510E">
      <w:pPr>
        <w:pStyle w:val="Heading2"/>
      </w:pPr>
      <w:bookmarkStart w:id="39" w:name="_Toc378223856"/>
      <w:bookmarkStart w:id="40" w:name="_Toc402192964"/>
      <w:r>
        <w:t>One concept, many shapes</w:t>
      </w:r>
      <w:bookmarkEnd w:id="39"/>
      <w:bookmarkEnd w:id="40"/>
    </w:p>
    <w:p w14:paraId="71178AC6" w14:textId="0B92B05F" w:rsidR="0048510E" w:rsidRDefault="0048510E" w:rsidP="00961BE5">
      <w:pPr>
        <w:jc w:val="both"/>
      </w:pPr>
      <w:r>
        <w:t>The fact that British propaganda was supervised by the army</w:t>
      </w:r>
      <w:r w:rsidR="00961BE5">
        <w:t>,</w:t>
      </w:r>
      <w:r>
        <w:t xml:space="preserve"> while the French and the Belgians </w:t>
      </w:r>
      <w:r w:rsidR="00961BE5">
        <w:t>followed</w:t>
      </w:r>
      <w:r>
        <w:t xml:space="preserve"> governmental orders</w:t>
      </w:r>
      <w:r w:rsidR="00961BE5">
        <w:t>,</w:t>
      </w:r>
      <w:r>
        <w:t xml:space="preserve"> has already been highlighted in chapter one. This lack of uniformity had an impact not only on how the departments worked, but also on how the methods of communication with the occupied territory were envisioned. The archives of the French army showed that French propaganda to</w:t>
      </w:r>
      <w:r w:rsidR="00F61693">
        <w:t>ols were designed solely by the highest authority.</w:t>
      </w:r>
      <w:r>
        <w:t xml:space="preserve"> </w:t>
      </w:r>
      <w:r w:rsidRPr="00291161">
        <w:t>In July 1915, a let</w:t>
      </w:r>
      <w:r w:rsidR="003757EA">
        <w:t>ter from General Joffre to the w</w:t>
      </w:r>
      <w:r>
        <w:t>ar minister addressed the issue of organising the SPA. This document revealed that the authorities had already considered different methods of communication with the occupied territories</w:t>
      </w:r>
      <w:r w:rsidR="00961BE5">
        <w:t>,</w:t>
      </w:r>
      <w:r>
        <w:t xml:space="preserve"> and were now leaning toward an information sheet. The </w:t>
      </w:r>
      <w:r w:rsidR="00122BB7">
        <w:t>proposed</w:t>
      </w:r>
      <w:r>
        <w:t xml:space="preserve"> newspaper was presented by the head of the army to the government as a supply of fresh news to fight the influence of the </w:t>
      </w:r>
      <w:r>
        <w:rPr>
          <w:i/>
          <w:iCs/>
        </w:rPr>
        <w:t>Gazette des Ardennes.</w:t>
      </w:r>
      <w:r>
        <w:rPr>
          <w:rStyle w:val="FootnoteReference"/>
        </w:rPr>
        <w:footnoteReference w:id="350"/>
      </w:r>
      <w:r>
        <w:t xml:space="preserve">  The spirit of competition was clearly present when aerial propaganda was first conc</w:t>
      </w:r>
      <w:r w:rsidR="003757EA">
        <w:t>eived by French officials. The war m</w:t>
      </w:r>
      <w:r>
        <w:t xml:space="preserve">inister and the GQG agreed on a bimonthly newspaper named </w:t>
      </w:r>
      <w:r>
        <w:rPr>
          <w:i/>
        </w:rPr>
        <w:t>La Voix du Pays</w:t>
      </w:r>
      <w:r>
        <w:t xml:space="preserve"> during summer 1915. Printed for the first time at the end of September 1915, this </w:t>
      </w:r>
      <w:r w:rsidR="00660480">
        <w:t>newspaper</w:t>
      </w:r>
      <w:r>
        <w:t xml:space="preserve"> was a straightforward approach to the lack of French propaganda in the occupied territories. There was no visible link to the government or the army</w:t>
      </w:r>
      <w:r w:rsidR="00961BE5">
        <w:t>,</w:t>
      </w:r>
      <w:r>
        <w:t xml:space="preserve"> but the name and the content of </w:t>
      </w:r>
      <w:r>
        <w:rPr>
          <w:i/>
          <w:iCs/>
        </w:rPr>
        <w:t xml:space="preserve">La Voix du </w:t>
      </w:r>
      <w:r w:rsidRPr="00664094">
        <w:rPr>
          <w:i/>
          <w:iCs/>
        </w:rPr>
        <w:t>Pays</w:t>
      </w:r>
      <w:r>
        <w:rPr>
          <w:i/>
          <w:iCs/>
        </w:rPr>
        <w:t xml:space="preserve"> </w:t>
      </w:r>
      <w:r>
        <w:t>clearly symbolised its relation with</w:t>
      </w:r>
      <w:r>
        <w:rPr>
          <w:iCs/>
        </w:rPr>
        <w:t xml:space="preserve"> the French nation</w:t>
      </w:r>
      <w:r>
        <w:t xml:space="preserve">. The absence of </w:t>
      </w:r>
      <w:r w:rsidR="00675F3A">
        <w:t xml:space="preserve">designated </w:t>
      </w:r>
      <w:r>
        <w:t xml:space="preserve">authors did not fool the Germans, a fact confirmed by Major Nicolai who strongly suspected governmental action. </w:t>
      </w:r>
      <w:r>
        <w:rPr>
          <w:i/>
          <w:iCs/>
        </w:rPr>
        <w:t>Abteilung IIIb</w:t>
      </w:r>
      <w:r>
        <w:t xml:space="preserve"> knew that the newspaper </w:t>
      </w:r>
      <w:r w:rsidR="00BE1A31">
        <w:t xml:space="preserve">had significant </w:t>
      </w:r>
      <w:r>
        <w:t>financial</w:t>
      </w:r>
      <w:r w:rsidR="00BE1A31">
        <w:t xml:space="preserve"> support</w:t>
      </w:r>
      <w:r>
        <w:t xml:space="preserve"> and </w:t>
      </w:r>
      <w:r w:rsidR="00BE1A31">
        <w:t xml:space="preserve">was </w:t>
      </w:r>
      <w:r>
        <w:t>distributed by military planes.</w:t>
      </w:r>
      <w:r>
        <w:rPr>
          <w:rStyle w:val="FootnoteReference"/>
        </w:rPr>
        <w:footnoteReference w:id="351"/>
      </w:r>
      <w:r>
        <w:t xml:space="preserve"> The cockerel spreading its wings on the headline was another way to underline the French character of the publication.</w:t>
      </w:r>
      <w:r>
        <w:rPr>
          <w:rStyle w:val="FootnoteReference"/>
        </w:rPr>
        <w:footnoteReference w:id="352"/>
      </w:r>
      <w:r>
        <w:t xml:space="preserve"> Border cities of Belgium came in contact with </w:t>
      </w:r>
      <w:r>
        <w:rPr>
          <w:i/>
          <w:iCs/>
        </w:rPr>
        <w:t xml:space="preserve">La Voix du Pays </w:t>
      </w:r>
      <w:r>
        <w:t xml:space="preserve">but Belgians were not really a targeted audience. The paper was written solely in French – despite large </w:t>
      </w:r>
      <w:r w:rsidR="00961BE5">
        <w:t>Flemish-</w:t>
      </w:r>
      <w:r>
        <w:t>dialects</w:t>
      </w:r>
      <w:r w:rsidR="00961BE5">
        <w:t xml:space="preserve"> speaking communities</w:t>
      </w:r>
      <w:r>
        <w:t xml:space="preserve"> in the North.</w:t>
      </w:r>
      <w:r>
        <w:rPr>
          <w:rStyle w:val="FootnoteReference"/>
        </w:rPr>
        <w:footnoteReference w:id="353"/>
      </w:r>
    </w:p>
    <w:p w14:paraId="2F33D1F4" w14:textId="49EB5735" w:rsidR="0048510E" w:rsidRDefault="0048510E" w:rsidP="00961BE5">
      <w:pPr>
        <w:jc w:val="both"/>
      </w:pPr>
      <w:r>
        <w:t xml:space="preserve">The local refugee </w:t>
      </w:r>
      <w:r w:rsidR="006000D5">
        <w:t>committees</w:t>
      </w:r>
      <w:r>
        <w:t xml:space="preserve"> section was a unique feature of </w:t>
      </w:r>
      <w:r>
        <w:rPr>
          <w:i/>
          <w:iCs/>
        </w:rPr>
        <w:t>La Voix du Pays</w:t>
      </w:r>
      <w:r>
        <w:t xml:space="preserve">. In fact, two separate editions for the north and the east were aimed at different parts of the invaded country and contained updates about targeted </w:t>
      </w:r>
      <w:r w:rsidR="00BE1A31">
        <w:rPr>
          <w:i/>
        </w:rPr>
        <w:t>départements</w:t>
      </w:r>
      <w:r>
        <w:t xml:space="preserve">. These regional additions to the paper were a compromise </w:t>
      </w:r>
      <w:r w:rsidR="00961BE5">
        <w:t>reached</w:t>
      </w:r>
      <w:r>
        <w:t xml:space="preserve"> between the army and the refugees themselves</w:t>
      </w:r>
      <w:r w:rsidR="00961BE5">
        <w:t>,</w:t>
      </w:r>
      <w:r>
        <w:t xml:space="preserve"> to give a </w:t>
      </w:r>
      <w:r w:rsidR="00961BE5">
        <w:t>method</w:t>
      </w:r>
      <w:r>
        <w:t xml:space="preserve"> of communication, tightly supervised by censorship, between re</w:t>
      </w:r>
      <w:r w:rsidR="00961BE5">
        <w:t xml:space="preserve">gional associations of </w:t>
      </w:r>
      <w:r w:rsidR="00BE1A31">
        <w:t>evacuees</w:t>
      </w:r>
      <w:r>
        <w:t xml:space="preserve"> and their inaccessible territories. Some of these refugees suggested using this page for the publication of personal letters. However, the idea was dismissed for security reasons by the intelligence department.</w:t>
      </w:r>
      <w:r>
        <w:rPr>
          <w:rStyle w:val="FootnoteReference"/>
        </w:rPr>
        <w:footnoteReference w:id="354"/>
      </w:r>
      <w:r w:rsidR="00961BE5">
        <w:t xml:space="preserve"> Alterations to the structure</w:t>
      </w:r>
      <w:r>
        <w:t xml:space="preserve"> of the </w:t>
      </w:r>
      <w:r w:rsidR="00660480">
        <w:t>newspaper</w:t>
      </w:r>
      <w:r>
        <w:t xml:space="preserve"> were another </w:t>
      </w:r>
      <w:r w:rsidR="000D542F">
        <w:t>sign</w:t>
      </w:r>
      <w:r>
        <w:t xml:space="preserve"> that propagandists were driven by the sense of competition with their German rivals. In December 1915, lists of French refugees appeared for the first time inside </w:t>
      </w:r>
      <w:r w:rsidR="00BE1A31">
        <w:rPr>
          <w:i/>
        </w:rPr>
        <w:t>La</w:t>
      </w:r>
      <w:r>
        <w:t xml:space="preserve"> </w:t>
      </w:r>
      <w:r>
        <w:rPr>
          <w:i/>
          <w:iCs/>
        </w:rPr>
        <w:t>Voix du Pays</w:t>
      </w:r>
      <w:r>
        <w:t>.</w:t>
      </w:r>
      <w:r>
        <w:rPr>
          <w:rStyle w:val="FootnoteReference"/>
        </w:rPr>
        <w:footnoteReference w:id="355"/>
      </w:r>
      <w:r>
        <w:t xml:space="preserve"> This new addition was a blatant </w:t>
      </w:r>
      <w:r w:rsidR="00961BE5">
        <w:t>imitation</w:t>
      </w:r>
      <w:r>
        <w:t xml:space="preserve"> of </w:t>
      </w:r>
      <w:r w:rsidR="000D542F">
        <w:t>what the</w:t>
      </w:r>
      <w:r>
        <w:t xml:space="preserve"> </w:t>
      </w:r>
      <w:r>
        <w:rPr>
          <w:i/>
          <w:iCs/>
        </w:rPr>
        <w:t xml:space="preserve">Gazette des Ardennes </w:t>
      </w:r>
      <w:r w:rsidR="000D542F">
        <w:rPr>
          <w:iCs/>
        </w:rPr>
        <w:t xml:space="preserve">had done </w:t>
      </w:r>
      <w:r>
        <w:t xml:space="preserve">to increase its readership. The German </w:t>
      </w:r>
      <w:r w:rsidR="00660480">
        <w:t>newspaper</w:t>
      </w:r>
      <w:r>
        <w:t xml:space="preserve"> had introduced registers of French prisoners of war in April 1915 to attract families of soldiers at the front.</w:t>
      </w:r>
      <w:r>
        <w:rPr>
          <w:rStyle w:val="FootnoteReference"/>
        </w:rPr>
        <w:footnoteReference w:id="356"/>
      </w:r>
      <w:r>
        <w:t xml:space="preserve"> The idea of refugee lists </w:t>
      </w:r>
      <w:r w:rsidR="000D542F">
        <w:t>proved</w:t>
      </w:r>
      <w:r>
        <w:t xml:space="preserve"> too time-consuming for such a small unit. Unlike German propaganda departments, manpower in the SPA was </w:t>
      </w:r>
      <w:r w:rsidR="00961BE5">
        <w:t>minimal</w:t>
      </w:r>
      <w:r>
        <w:t xml:space="preserve">. These lists were published irregularly for a time before ultimately </w:t>
      </w:r>
      <w:r w:rsidR="00961BE5">
        <w:t xml:space="preserve">being </w:t>
      </w:r>
      <w:r>
        <w:t xml:space="preserve">abandoned </w:t>
      </w:r>
      <w:r w:rsidR="00961BE5">
        <w:t>in</w:t>
      </w:r>
      <w:r>
        <w:t xml:space="preserve"> June 1916.</w:t>
      </w:r>
      <w:r>
        <w:rPr>
          <w:rStyle w:val="FootnoteReference"/>
        </w:rPr>
        <w:footnoteReference w:id="357"/>
      </w:r>
      <w:r>
        <w:t xml:space="preserve"> </w:t>
      </w:r>
      <w:r w:rsidR="000D542F">
        <w:t>Despite this</w:t>
      </w:r>
      <w:r>
        <w:t xml:space="preserve"> failure</w:t>
      </w:r>
      <w:r w:rsidR="00961BE5">
        <w:t>,</w:t>
      </w:r>
      <w:r>
        <w:t xml:space="preserve"> the </w:t>
      </w:r>
      <w:r>
        <w:rPr>
          <w:i/>
          <w:iCs/>
        </w:rPr>
        <w:t>Voix du Pays</w:t>
      </w:r>
      <w:r>
        <w:t xml:space="preserve"> proved otherwise stable and remained largely unaltered until the end of war, with the notable exception of a change in</w:t>
      </w:r>
      <w:r w:rsidR="00961BE5">
        <w:t xml:space="preserve"> design, in</w:t>
      </w:r>
      <w:r>
        <w:t xml:space="preserve"> June 1917</w:t>
      </w:r>
      <w:r w:rsidR="00961BE5">
        <w:t>,</w:t>
      </w:r>
      <w:r>
        <w:t xml:space="preserve"> which saw the disappearance of the cockerel occupying half of the first page.</w:t>
      </w:r>
      <w:r>
        <w:rPr>
          <w:rStyle w:val="FootnoteReference"/>
        </w:rPr>
        <w:footnoteReference w:id="358"/>
      </w:r>
      <w:r>
        <w:t xml:space="preserve"> </w:t>
      </w:r>
    </w:p>
    <w:p w14:paraId="720A5993" w14:textId="0DBE3FFB" w:rsidR="0048510E" w:rsidRDefault="0048510E" w:rsidP="002200E1">
      <w:pPr>
        <w:jc w:val="both"/>
      </w:pPr>
      <w:r>
        <w:t>The lack of communication between the members of the Belgian government in exile at Le Havre and the refugees in London meant that Belgian propaganda aimed at invaded territories suffered from instability and incoherence. A</w:t>
      </w:r>
      <w:r w:rsidR="00BE1A31">
        <w:t>n</w:t>
      </w:r>
      <w:r>
        <w:t xml:space="preserve"> </w:t>
      </w:r>
      <w:r w:rsidR="00BE1A31">
        <w:t xml:space="preserve">initial </w:t>
      </w:r>
      <w:r>
        <w:t xml:space="preserve">paper named </w:t>
      </w:r>
      <w:r>
        <w:rPr>
          <w:i/>
          <w:iCs/>
        </w:rPr>
        <w:t xml:space="preserve">Le Clairon du Roi </w:t>
      </w:r>
      <w:r w:rsidR="003757EA">
        <w:t>was created by the w</w:t>
      </w:r>
      <w:r>
        <w:t>ar minister to answer German propaganda</w:t>
      </w:r>
      <w:r w:rsidR="000D542F" w:rsidRPr="000D542F">
        <w:t xml:space="preserve"> </w:t>
      </w:r>
      <w:r w:rsidR="000D542F">
        <w:t>in May 1916</w:t>
      </w:r>
      <w:r>
        <w:t>.</w:t>
      </w:r>
      <w:r>
        <w:rPr>
          <w:rStyle w:val="FootnoteReference"/>
        </w:rPr>
        <w:footnoteReference w:id="359"/>
      </w:r>
      <w:r>
        <w:t xml:space="preserve"> The front page was </w:t>
      </w:r>
      <w:r w:rsidR="00961BE5">
        <w:t>deliberately</w:t>
      </w:r>
      <w:r>
        <w:t xml:space="preserve"> confusing; the notice printed on </w:t>
      </w:r>
      <w:r w:rsidR="002200E1">
        <w:t xml:space="preserve">it </w:t>
      </w:r>
      <w:r>
        <w:t xml:space="preserve">announced that the publication was an aerial supplement to the famous clandestine newspaper </w:t>
      </w:r>
      <w:r>
        <w:rPr>
          <w:i/>
          <w:iCs/>
        </w:rPr>
        <w:t>La Libre Belgique</w:t>
      </w:r>
      <w:r>
        <w:t>. The patriotic stance contained in the name of the paper was reinforced by a heading carrying a quote from King Albert I</w:t>
      </w:r>
      <w:r w:rsidR="00BE1A31">
        <w:t>:</w:t>
      </w:r>
      <w:r>
        <w:t xml:space="preserve"> ‘</w:t>
      </w:r>
      <w:r w:rsidRPr="00D962A0">
        <w:t>un seul devoir nous reste: la</w:t>
      </w:r>
      <w:r>
        <w:rPr>
          <w:i/>
          <w:iCs/>
        </w:rPr>
        <w:t xml:space="preserve"> </w:t>
      </w:r>
      <w:r w:rsidRPr="00D962A0">
        <w:t>résistance opiniâtre’</w:t>
      </w:r>
      <w:r>
        <w:t>.</w:t>
      </w:r>
      <w:r>
        <w:rPr>
          <w:rStyle w:val="FootnoteReference"/>
        </w:rPr>
        <w:footnoteReference w:id="360"/>
      </w:r>
      <w:r>
        <w:t xml:space="preserve"> The claimed </w:t>
      </w:r>
      <w:r w:rsidR="005737DD">
        <w:t>af</w:t>
      </w:r>
      <w:r>
        <w:t xml:space="preserve">filiation with the resistance </w:t>
      </w:r>
      <w:r w:rsidR="00660480">
        <w:t>newspaper</w:t>
      </w:r>
      <w:r>
        <w:t xml:space="preserve"> was </w:t>
      </w:r>
      <w:r w:rsidR="000D542F">
        <w:t>pure fiction</w:t>
      </w:r>
      <w:r w:rsidR="002200E1">
        <w:t>,</w:t>
      </w:r>
      <w:r w:rsidR="000D542F">
        <w:t xml:space="preserve"> and designed</w:t>
      </w:r>
      <w:r>
        <w:t xml:space="preserve"> by Belgian propagandists to publicise the leaflet in occupied countries and confuse the Germans. The newspaper was in fact a single page printed recto-verso in French and Flemish. Its poor design carried a limited amount of information about the Belgian army and the situation in general. The </w:t>
      </w:r>
      <w:r w:rsidR="00660480">
        <w:t>newspaper</w:t>
      </w:r>
      <w:r>
        <w:t xml:space="preserve"> seems to have been stopped at the end of 1917 but the archives</w:t>
      </w:r>
      <w:r w:rsidR="00BE1A31">
        <w:t xml:space="preserve"> provide no explanation for this</w:t>
      </w:r>
      <w:r>
        <w:t xml:space="preserve">. </w:t>
      </w:r>
      <w:r w:rsidRPr="00746EBA">
        <w:rPr>
          <w:lang w:val="fr-FR"/>
        </w:rPr>
        <w:t>Another Belgian aerial newspaper,</w:t>
      </w:r>
      <w:r w:rsidRPr="00746EBA">
        <w:rPr>
          <w:i/>
          <w:iCs/>
          <w:lang w:val="fr-FR"/>
        </w:rPr>
        <w:t xml:space="preserve"> La Lettre du Soldat</w:t>
      </w:r>
      <w:r w:rsidRPr="00746EBA">
        <w:rPr>
          <w:lang w:val="fr-FR"/>
        </w:rPr>
        <w:t xml:space="preserve"> (</w:t>
      </w:r>
      <w:r w:rsidRPr="00746EBA">
        <w:rPr>
          <w:i/>
          <w:iCs/>
          <w:lang w:val="fr-FR"/>
        </w:rPr>
        <w:t>à ceux du pays envahi</w:t>
      </w:r>
      <w:r w:rsidRPr="00746EBA">
        <w:rPr>
          <w:lang w:val="fr-FR"/>
        </w:rPr>
        <w:t xml:space="preserve">), ran in parallel with </w:t>
      </w:r>
      <w:r w:rsidRPr="00746EBA">
        <w:rPr>
          <w:i/>
          <w:iCs/>
          <w:lang w:val="fr-FR"/>
        </w:rPr>
        <w:t>Le Clairon du Roi</w:t>
      </w:r>
      <w:r w:rsidRPr="00746EBA">
        <w:rPr>
          <w:lang w:val="fr-FR"/>
        </w:rPr>
        <w:t xml:space="preserve">. </w:t>
      </w:r>
      <w:r>
        <w:t xml:space="preserve">The title of the </w:t>
      </w:r>
      <w:r w:rsidR="00660480">
        <w:t>newspaper</w:t>
      </w:r>
      <w:r>
        <w:t>, created in January 1917, was once agai</w:t>
      </w:r>
      <w:r w:rsidR="002200E1">
        <w:t xml:space="preserve">n </w:t>
      </w:r>
      <w:r w:rsidR="00BE1A31">
        <w:t>deliberately</w:t>
      </w:r>
      <w:r w:rsidR="002200E1">
        <w:t xml:space="preserve"> misleading as the paper</w:t>
      </w:r>
      <w:r>
        <w:t xml:space="preserve"> was </w:t>
      </w:r>
      <w:r w:rsidR="002200E1">
        <w:t xml:space="preserve">in fact </w:t>
      </w:r>
      <w:r>
        <w:t>the work of exiled Belgians living in London. They received material assistance from the British who expected Anglophile articles</w:t>
      </w:r>
      <w:r w:rsidR="000D542F" w:rsidRPr="000D542F">
        <w:t xml:space="preserve"> </w:t>
      </w:r>
      <w:r w:rsidR="000D542F">
        <w:t>in exchange</w:t>
      </w:r>
      <w:r>
        <w:t xml:space="preserve">. </w:t>
      </w:r>
      <w:r>
        <w:rPr>
          <w:i/>
          <w:iCs/>
        </w:rPr>
        <w:t>La Lettre du Soldat</w:t>
      </w:r>
      <w:r>
        <w:t xml:space="preserve"> was a private initiative </w:t>
      </w:r>
      <w:r w:rsidR="000D542F">
        <w:t>during its first year</w:t>
      </w:r>
      <w:r w:rsidR="002200E1">
        <w:t>,</w:t>
      </w:r>
      <w:r w:rsidR="000D542F">
        <w:t xml:space="preserve"> </w:t>
      </w:r>
      <w:r>
        <w:t xml:space="preserve">but was endorsed by the Belgian government when the </w:t>
      </w:r>
      <w:r>
        <w:rPr>
          <w:i/>
          <w:iCs/>
        </w:rPr>
        <w:t>Clairon du Roi</w:t>
      </w:r>
      <w:r>
        <w:t xml:space="preserve"> was shut down at the end of 1917. The </w:t>
      </w:r>
      <w:r>
        <w:rPr>
          <w:i/>
          <w:iCs/>
        </w:rPr>
        <w:t>Lettre du Soldat</w:t>
      </w:r>
      <w:r>
        <w:t xml:space="preserve"> was filled with long articles on broad issues about Belgium and th</w:t>
      </w:r>
      <w:r w:rsidR="00BE1A31">
        <w:t>e battles led by the Entente. The</w:t>
      </w:r>
      <w:r>
        <w:t xml:space="preserve"> first two numbers were exclusively in French, </w:t>
      </w:r>
      <w:r w:rsidR="00BE1A31">
        <w:t xml:space="preserve">but </w:t>
      </w:r>
      <w:r>
        <w:t xml:space="preserve">Flemish was soon introduced and </w:t>
      </w:r>
      <w:r>
        <w:rPr>
          <w:i/>
          <w:iCs/>
        </w:rPr>
        <w:t xml:space="preserve">La Lettre du Soldat </w:t>
      </w:r>
      <w:r w:rsidR="002200E1">
        <w:t>remained</w:t>
      </w:r>
      <w:r>
        <w:t xml:space="preserve"> bi-lingual until the end of the conflict.</w:t>
      </w:r>
      <w:r>
        <w:rPr>
          <w:rStyle w:val="FootnoteReference"/>
        </w:rPr>
        <w:footnoteReference w:id="361"/>
      </w:r>
      <w:r>
        <w:t xml:space="preserve"> </w:t>
      </w:r>
    </w:p>
    <w:p w14:paraId="121B57BD" w14:textId="7638BBBB" w:rsidR="0048510E" w:rsidRPr="0009484A" w:rsidRDefault="0048510E" w:rsidP="00D60109">
      <w:pPr>
        <w:jc w:val="both"/>
      </w:pPr>
      <w:r>
        <w:t xml:space="preserve">This attention to the Flemish population did not stop there. Special initiatives were created to reach the people living in the north of the country. These attempts demonstrated that the language issue in Belgium was not entirely forgotten by the government. The newspaper </w:t>
      </w:r>
      <w:r>
        <w:rPr>
          <w:i/>
          <w:iCs/>
        </w:rPr>
        <w:t>t’Kerelsblad</w:t>
      </w:r>
      <w:r>
        <w:t>, translated as the ‘newspaper of the boys’, was a shor</w:t>
      </w:r>
      <w:r w:rsidR="000D542F">
        <w:t>t-lived attempt created by the m</w:t>
      </w:r>
      <w:r>
        <w:t xml:space="preserve">inistry of national reconstruction to counter the German </w:t>
      </w:r>
      <w:r>
        <w:rPr>
          <w:i/>
          <w:iCs/>
        </w:rPr>
        <w:t xml:space="preserve">Flamenpolitik. </w:t>
      </w:r>
      <w:r>
        <w:t xml:space="preserve">This piece of propaganda was a </w:t>
      </w:r>
      <w:r w:rsidR="00D60109">
        <w:t>good</w:t>
      </w:r>
      <w:r>
        <w:t xml:space="preserve"> illustration of how poor communication and planning </w:t>
      </w:r>
      <w:r w:rsidR="002200E1">
        <w:t>stood</w:t>
      </w:r>
      <w:r>
        <w:t xml:space="preserve"> between the Belgian government and its army. The Belgian headquarter</w:t>
      </w:r>
      <w:r w:rsidR="002200E1">
        <w:t>s</w:t>
      </w:r>
      <w:r>
        <w:t xml:space="preserve"> of the army was </w:t>
      </w:r>
      <w:r w:rsidR="000D542F">
        <w:t>alerted</w:t>
      </w:r>
      <w:r>
        <w:t xml:space="preserve"> </w:t>
      </w:r>
      <w:r w:rsidR="002200E1">
        <w:t>about</w:t>
      </w:r>
      <w:r>
        <w:t xml:space="preserve"> the </w:t>
      </w:r>
      <w:r>
        <w:rPr>
          <w:i/>
          <w:iCs/>
        </w:rPr>
        <w:t>t’Kerelsbad</w:t>
      </w:r>
      <w:r>
        <w:t xml:space="preserve"> by its intelligence department and only discovered that it was an official piece of Belgian propaganda after </w:t>
      </w:r>
      <w:r w:rsidR="00BE1A31">
        <w:t>making enquiries with</w:t>
      </w:r>
      <w:r>
        <w:t xml:space="preserve"> the French army.</w:t>
      </w:r>
      <w:r>
        <w:rPr>
          <w:rStyle w:val="FootnoteReference"/>
        </w:rPr>
        <w:footnoteReference w:id="362"/>
      </w:r>
      <w:r>
        <w:t xml:space="preserve"> This attempt to arouse Belgian patriotism in Flanders was discontinued at the beginning of 1918.</w:t>
      </w:r>
      <w:r>
        <w:rPr>
          <w:rStyle w:val="FootnoteReference"/>
        </w:rPr>
        <w:footnoteReference w:id="363"/>
      </w:r>
      <w:r>
        <w:t xml:space="preserve"> These multiple failures were less the consequence of indifference for the fate of occupied Belgians than</w:t>
      </w:r>
      <w:r w:rsidR="002200E1">
        <w:t xml:space="preserve"> of</w:t>
      </w:r>
      <w:r>
        <w:t xml:space="preserve"> an inability to </w:t>
      </w:r>
      <w:r w:rsidR="000D542F">
        <w:t xml:space="preserve">successfully </w:t>
      </w:r>
      <w:r>
        <w:t>coordinate communication between departments and the army. Indeed, the efforts of the president of the BDB, who campaigned from 1915 to 1918 for a better aerial propaganda service, were plagued by a lack of funding and organisation.</w:t>
      </w:r>
      <w:r>
        <w:rPr>
          <w:rStyle w:val="FootnoteReference"/>
        </w:rPr>
        <w:footnoteReference w:id="364"/>
      </w:r>
      <w:r>
        <w:t xml:space="preserve"> It was not until August 1918 that an agreement was reached between the BDB and the government to create a newspaper named </w:t>
      </w:r>
      <w:r>
        <w:rPr>
          <w:i/>
          <w:iCs/>
        </w:rPr>
        <w:t xml:space="preserve">Les Bonnes Nouvelles. </w:t>
      </w:r>
      <w:r>
        <w:t xml:space="preserve">By then, the belief in propaganda had </w:t>
      </w:r>
      <w:r w:rsidR="002068A7">
        <w:t>dramatically increased and all a</w:t>
      </w:r>
      <w:r>
        <w:t xml:space="preserve">llied nations were trying to improve their </w:t>
      </w:r>
      <w:r w:rsidR="002200E1">
        <w:t xml:space="preserve">communication </w:t>
      </w:r>
      <w:r w:rsidR="00BE1A31">
        <w:t>operations. This</w:t>
      </w:r>
      <w:r>
        <w:t xml:space="preserve"> bilingual </w:t>
      </w:r>
      <w:r w:rsidR="00660480">
        <w:t>newspaper</w:t>
      </w:r>
      <w:r>
        <w:t xml:space="preserve"> was clearly identified as </w:t>
      </w:r>
      <w:r w:rsidR="002200E1">
        <w:t>being produced</w:t>
      </w:r>
      <w:r>
        <w:t xml:space="preserve"> </w:t>
      </w:r>
      <w:r w:rsidR="002200E1">
        <w:t>by</w:t>
      </w:r>
      <w:r>
        <w:t xml:space="preserve"> the Belgian army</w:t>
      </w:r>
      <w:r w:rsidR="002200E1">
        <w:t>,</w:t>
      </w:r>
      <w:r>
        <w:t xml:space="preserve"> but was once again let down by a lack of ambition and content. Brief dispatches about the situation on the Belgian front were rep</w:t>
      </w:r>
      <w:r w:rsidR="002200E1">
        <w:t>roduced without further comment</w:t>
      </w:r>
      <w:r>
        <w:t>. This publication lasted until November 1918.</w:t>
      </w:r>
      <w:r>
        <w:rPr>
          <w:rStyle w:val="FootnoteReference"/>
        </w:rPr>
        <w:footnoteReference w:id="365"/>
      </w:r>
    </w:p>
    <w:p w14:paraId="3E01A089" w14:textId="6EC30B0B" w:rsidR="0048510E" w:rsidRDefault="0048510E" w:rsidP="002200E1">
      <w:pPr>
        <w:jc w:val="both"/>
      </w:pPr>
      <w:r>
        <w:t>The main medium used by British propaganda to communicate with the occupied territories was not the result of careful debates between the highest authorities</w:t>
      </w:r>
      <w:r w:rsidR="002200E1">
        <w:t>,</w:t>
      </w:r>
      <w:r>
        <w:t xml:space="preserve"> </w:t>
      </w:r>
      <w:r w:rsidR="002200E1">
        <w:t>as</w:t>
      </w:r>
      <w:r>
        <w:t xml:space="preserve"> in France</w:t>
      </w:r>
      <w:r w:rsidR="002200E1">
        <w:t>,</w:t>
      </w:r>
      <w:r>
        <w:t xml:space="preserve"> but the product of one man’s work. Captain Peter Chalmers-Mitchell of MI7(b) </w:t>
      </w:r>
      <w:r w:rsidR="000D542F">
        <w:t>designed</w:t>
      </w:r>
      <w:r>
        <w:t xml:space="preserve"> a weekly newspaper named </w:t>
      </w:r>
      <w:r>
        <w:rPr>
          <w:i/>
          <w:iCs/>
        </w:rPr>
        <w:t>Le Courrier de l’Air</w:t>
      </w:r>
      <w:r>
        <w:t xml:space="preserve"> aimed at the Belgia</w:t>
      </w:r>
      <w:r w:rsidR="00BE1A31">
        <w:t xml:space="preserve">n territory and at the French </w:t>
      </w:r>
      <w:r w:rsidR="00BE1A31" w:rsidRPr="00BE1A31">
        <w:rPr>
          <w:i/>
        </w:rPr>
        <w:t>dé</w:t>
      </w:r>
      <w:r w:rsidRPr="00BE1A31">
        <w:rPr>
          <w:i/>
        </w:rPr>
        <w:t>part</w:t>
      </w:r>
      <w:r w:rsidR="00BE1A31" w:rsidRPr="00BE1A31">
        <w:rPr>
          <w:i/>
        </w:rPr>
        <w:t>e</w:t>
      </w:r>
      <w:r w:rsidRPr="00BE1A31">
        <w:rPr>
          <w:i/>
        </w:rPr>
        <w:t>ments</w:t>
      </w:r>
      <w:r>
        <w:t xml:space="preserve"> facing the</w:t>
      </w:r>
      <w:r w:rsidR="002200E1">
        <w:t xml:space="preserve"> British sector. Identified as produced</w:t>
      </w:r>
      <w:r>
        <w:t xml:space="preserve"> </w:t>
      </w:r>
      <w:r w:rsidR="002200E1">
        <w:t>in</w:t>
      </w:r>
      <w:r>
        <w:t xml:space="preserve"> London, it was supposed to be a remedy </w:t>
      </w:r>
      <w:r w:rsidR="000D542F">
        <w:t>against</w:t>
      </w:r>
      <w:r>
        <w:t xml:space="preserve"> German propaganda.</w:t>
      </w:r>
      <w:r>
        <w:rPr>
          <w:rStyle w:val="FootnoteReference"/>
        </w:rPr>
        <w:footnoteReference w:id="366"/>
      </w:r>
      <w:r>
        <w:t xml:space="preserve"> This fact was acknowledged in the editorial </w:t>
      </w:r>
      <w:r w:rsidR="002200E1">
        <w:t xml:space="preserve">note </w:t>
      </w:r>
      <w:r>
        <w:t xml:space="preserve">of the first issue where the British </w:t>
      </w:r>
      <w:r w:rsidR="0090266B">
        <w:t xml:space="preserve">contrasted </w:t>
      </w:r>
      <w:r>
        <w:t xml:space="preserve">the truth contained in </w:t>
      </w:r>
      <w:r>
        <w:rPr>
          <w:i/>
          <w:iCs/>
        </w:rPr>
        <w:t>Le Courrier de l’Air</w:t>
      </w:r>
      <w:r>
        <w:t xml:space="preserve"> </w:t>
      </w:r>
      <w:r w:rsidR="00BE1A31">
        <w:t>with</w:t>
      </w:r>
      <w:r>
        <w:t xml:space="preserve"> the lies of German propaganda. But the members of MI7 failed to identify one of the most burning issues </w:t>
      </w:r>
      <w:r w:rsidR="002200E1">
        <w:t>in</w:t>
      </w:r>
      <w:r>
        <w:t xml:space="preserve"> Belgium: the language situation. </w:t>
      </w:r>
      <w:r>
        <w:rPr>
          <w:i/>
          <w:iCs/>
        </w:rPr>
        <w:t>Le Courrier de l’Air</w:t>
      </w:r>
      <w:r>
        <w:t xml:space="preserve"> was </w:t>
      </w:r>
      <w:r w:rsidR="0090266B">
        <w:t>extensively</w:t>
      </w:r>
      <w:r>
        <w:t xml:space="preserve"> dropped over Flanders, closer to the British sector than Wallonia, but was entirely written in French. This peculiar</w:t>
      </w:r>
      <w:r w:rsidR="00BE1A31">
        <w:t xml:space="preserve"> flaw</w:t>
      </w:r>
      <w:r>
        <w:t xml:space="preserve"> </w:t>
      </w:r>
      <w:r w:rsidR="002200E1">
        <w:t>was</w:t>
      </w:r>
      <w:r w:rsidR="0090266B">
        <w:t xml:space="preserve"> hard to fathom.</w:t>
      </w:r>
      <w:r w:rsidR="002200E1">
        <w:t xml:space="preserve"> It was</w:t>
      </w:r>
      <w:r>
        <w:t xml:space="preserve"> real</w:t>
      </w:r>
      <w:r w:rsidR="002200E1">
        <w:t>ly a</w:t>
      </w:r>
      <w:r>
        <w:t xml:space="preserve"> cardinal sin against communication rules</w:t>
      </w:r>
      <w:r w:rsidR="002200E1">
        <w:t>,</w:t>
      </w:r>
      <w:r>
        <w:t xml:space="preserve"> and demonstrated a vast ignorance of Belgium’s internal situation. Terence Qualter emphasised the necessity to adapt to the particular needs of an audience at which propaganda was aimed</w:t>
      </w:r>
      <w:r w:rsidR="000D542F" w:rsidRPr="000D542F">
        <w:t xml:space="preserve"> </w:t>
      </w:r>
      <w:r w:rsidR="000D542F">
        <w:t xml:space="preserve">in </w:t>
      </w:r>
      <w:r w:rsidR="000D542F">
        <w:rPr>
          <w:i/>
          <w:iCs/>
        </w:rPr>
        <w:t>Propaganda and psychological warfare</w:t>
      </w:r>
      <w:r>
        <w:t>.</w:t>
      </w:r>
      <w:r>
        <w:rPr>
          <w:rStyle w:val="FootnoteReference"/>
        </w:rPr>
        <w:footnoteReference w:id="367"/>
      </w:r>
      <w:r>
        <w:t xml:space="preserve"> This principle seemed logical, in fact almost intuitive, but was completely overlooked by British propagandists. To a certain extent, they were aware that </w:t>
      </w:r>
      <w:r w:rsidR="003324C0">
        <w:t>quality of text</w:t>
      </w:r>
      <w:r>
        <w:t xml:space="preserve"> was important</w:t>
      </w:r>
      <w:r w:rsidR="002200E1">
        <w:t>,</w:t>
      </w:r>
      <w:r>
        <w:t xml:space="preserve"> as they hired a French woman to supervise the language used in the </w:t>
      </w:r>
      <w:r>
        <w:rPr>
          <w:i/>
          <w:iCs/>
        </w:rPr>
        <w:t>Courrier</w:t>
      </w:r>
      <w:r>
        <w:t>. Yet, excluding Flemish was de facto a way to limit the audience to the elite parts of Flemish society</w:t>
      </w:r>
      <w:r w:rsidR="002200E1">
        <w:t>,</w:t>
      </w:r>
      <w:r>
        <w:t xml:space="preserve"> who had a perfect command of the French language. Fortunately</w:t>
      </w:r>
      <w:r w:rsidR="003324C0">
        <w:t xml:space="preserve"> for the British</w:t>
      </w:r>
      <w:r>
        <w:t xml:space="preserve">, </w:t>
      </w:r>
      <w:r w:rsidR="00080F90">
        <w:t xml:space="preserve">as </w:t>
      </w:r>
      <w:r>
        <w:t xml:space="preserve">chapter seven will show </w:t>
      </w:r>
      <w:r>
        <w:rPr>
          <w:i/>
          <w:iCs/>
        </w:rPr>
        <w:t>Le Courrier de l’Air</w:t>
      </w:r>
      <w:r>
        <w:t xml:space="preserve"> was translated by resistance groups. Nonetheless, this mistake was also </w:t>
      </w:r>
      <w:r w:rsidR="003324C0">
        <w:t xml:space="preserve">a sign of deficient communication </w:t>
      </w:r>
      <w:r>
        <w:t>between British departments</w:t>
      </w:r>
      <w:r w:rsidR="003324C0">
        <w:t>, a fact highlighted by Taylor and Sanders</w:t>
      </w:r>
      <w:r>
        <w:t>. Indeed, a memento from a rival British propaganda group named Wellington House advocated bilingual pamphlets for Belgium.</w:t>
      </w:r>
      <w:r>
        <w:rPr>
          <w:rStyle w:val="FootnoteReference"/>
        </w:rPr>
        <w:footnoteReference w:id="368"/>
      </w:r>
      <w:r>
        <w:t xml:space="preserve"> </w:t>
      </w:r>
      <w:r>
        <w:rPr>
          <w:i/>
          <w:iCs/>
        </w:rPr>
        <w:t>Le Courrier de l’Air</w:t>
      </w:r>
      <w:r>
        <w:t xml:space="preserve"> appeared for the first time in April 1917 and was to last, with one interruption </w:t>
      </w:r>
      <w:r w:rsidR="003324C0">
        <w:t>triggered</w:t>
      </w:r>
      <w:r>
        <w:t xml:space="preserve"> by </w:t>
      </w:r>
      <w:r w:rsidR="002200E1">
        <w:t xml:space="preserve">the </w:t>
      </w:r>
      <w:r>
        <w:t xml:space="preserve">German legal threats against allied aviators during the months of January and February 1918, until the end of the war. </w:t>
      </w:r>
    </w:p>
    <w:p w14:paraId="5F788E6B" w14:textId="77777777" w:rsidR="0048510E" w:rsidRDefault="0048510E" w:rsidP="0048510E">
      <w:pPr>
        <w:pStyle w:val="Heading2"/>
      </w:pPr>
      <w:bookmarkStart w:id="41" w:name="_Toc378223857"/>
      <w:bookmarkStart w:id="42" w:name="_Toc402192965"/>
      <w:r>
        <w:t>Strategies of communication</w:t>
      </w:r>
      <w:bookmarkEnd w:id="41"/>
      <w:bookmarkEnd w:id="42"/>
    </w:p>
    <w:p w14:paraId="2EFC993B" w14:textId="12324656" w:rsidR="0048510E" w:rsidRDefault="0048510E" w:rsidP="002200E1">
      <w:pPr>
        <w:jc w:val="both"/>
      </w:pPr>
      <w:r>
        <w:t>A variety of strategies were used by propaganda departments to increase the impact of the</w:t>
      </w:r>
      <w:r w:rsidR="002200E1">
        <w:t>ir</w:t>
      </w:r>
      <w:r>
        <w:t xml:space="preserve"> message</w:t>
      </w:r>
      <w:r w:rsidR="002200E1">
        <w:t>s</w:t>
      </w:r>
      <w:r>
        <w:t xml:space="preserve"> </w:t>
      </w:r>
      <w:r w:rsidR="00080F90">
        <w:t>on</w:t>
      </w:r>
      <w:r>
        <w:t xml:space="preserve"> the target</w:t>
      </w:r>
      <w:r w:rsidR="00080F90">
        <w:t xml:space="preserve"> audience</w:t>
      </w:r>
      <w:r>
        <w:t>. There was no coordinatio</w:t>
      </w:r>
      <w:r w:rsidR="003324C0">
        <w:t>n between units but some techniques</w:t>
      </w:r>
      <w:r>
        <w:t xml:space="preserve"> were nonetheless common to all publications. It was widely understood that occupied populations needed to feel a sense of belonging to the nation from which they were separated. According to psychology and communication studies, this phenomenon was triggered by the gregarious nature of men</w:t>
      </w:r>
      <w:r w:rsidR="002200E1">
        <w:t>,</w:t>
      </w:r>
      <w:r>
        <w:t xml:space="preserve"> who had to </w:t>
      </w:r>
      <w:r w:rsidR="002200E1">
        <w:t>be</w:t>
      </w:r>
      <w:r>
        <w:t xml:space="preserve"> inspir</w:t>
      </w:r>
      <w:r w:rsidR="002200E1">
        <w:t>ed by</w:t>
      </w:r>
      <w:r>
        <w:t xml:space="preserve"> the group </w:t>
      </w:r>
      <w:r w:rsidR="002200E1">
        <w:t xml:space="preserve">from which </w:t>
      </w:r>
      <w:r>
        <w:t xml:space="preserve">they originated in order to fight isolation and hostile </w:t>
      </w:r>
      <w:r w:rsidR="002200E1">
        <w:t xml:space="preserve">surrounding </w:t>
      </w:r>
      <w:r>
        <w:t>forces.</w:t>
      </w:r>
      <w:r>
        <w:rPr>
          <w:rStyle w:val="FootnoteReference"/>
        </w:rPr>
        <w:footnoteReference w:id="369"/>
      </w:r>
      <w:r>
        <w:t xml:space="preserve"> There was also a more pragmatic explanation </w:t>
      </w:r>
      <w:r w:rsidR="003324C0">
        <w:t>tied</w:t>
      </w:r>
      <w:r>
        <w:t xml:space="preserve"> to the war</w:t>
      </w:r>
      <w:r w:rsidR="002200E1">
        <w:t>: it brought</w:t>
      </w:r>
      <w:r>
        <w:t xml:space="preserve"> an acute sense of national identity. </w:t>
      </w:r>
      <w:r w:rsidR="003324C0">
        <w:t>It was a case of ‘u</w:t>
      </w:r>
      <w:r>
        <w:t>s against them’</w:t>
      </w:r>
      <w:r w:rsidR="002200E1">
        <w:t>,</w:t>
      </w:r>
      <w:r>
        <w:t xml:space="preserve"> uniting people of different classes or </w:t>
      </w:r>
      <w:r w:rsidR="002200E1">
        <w:t xml:space="preserve">who had been </w:t>
      </w:r>
      <w:r>
        <w:t xml:space="preserve">separated by philosophical gaps before the conflict. </w:t>
      </w:r>
      <w:r w:rsidR="00080F90">
        <w:t>In France, e</w:t>
      </w:r>
      <w:r>
        <w:t>ven strong Dreyfusards and anti-Dreyfusards were brought together by the banner of patriotism</w:t>
      </w:r>
      <w:r w:rsidR="002200E1">
        <w:t>,</w:t>
      </w:r>
      <w:r>
        <w:t xml:space="preserve"> </w:t>
      </w:r>
      <w:r w:rsidR="002200E1">
        <w:t>and</w:t>
      </w:r>
      <w:r>
        <w:t xml:space="preserve"> the idea</w:t>
      </w:r>
      <w:r w:rsidR="002200E1">
        <w:t>l</w:t>
      </w:r>
      <w:r>
        <w:t xml:space="preserve"> of the survival of the Republic.</w:t>
      </w:r>
      <w:r>
        <w:rPr>
          <w:rStyle w:val="FootnoteReference"/>
        </w:rPr>
        <w:footnoteReference w:id="370"/>
      </w:r>
      <w:r>
        <w:t xml:space="preserve"> The sentiment of fitting into a community was used by propagandists who prioritised national news about the audience’s country of origin or military forces. </w:t>
      </w:r>
      <w:r>
        <w:rPr>
          <w:i/>
        </w:rPr>
        <w:t>La Voix du Pays</w:t>
      </w:r>
      <w:r>
        <w:t xml:space="preserve"> systematically dedicated its first page to the efforts of the French army</w:t>
      </w:r>
      <w:r w:rsidR="002200E1">
        <w:t>,</w:t>
      </w:r>
      <w:r>
        <w:t xml:space="preserve"> while Belgian newspapers vastly publicised </w:t>
      </w:r>
      <w:r w:rsidR="00F61693">
        <w:t>the actions of the Belgian army</w:t>
      </w:r>
      <w:r>
        <w:t xml:space="preserve">. The fact that the British were writing for a foreign audience meant that they were in a complex situation. They had to find a balance </w:t>
      </w:r>
      <w:r w:rsidR="003324C0">
        <w:t xml:space="preserve">between promoting </w:t>
      </w:r>
      <w:r>
        <w:t>the Belgians and the French</w:t>
      </w:r>
      <w:r w:rsidR="003324C0">
        <w:t xml:space="preserve"> on </w:t>
      </w:r>
      <w:r w:rsidR="00080F90">
        <w:t xml:space="preserve">the </w:t>
      </w:r>
      <w:r w:rsidR="003324C0">
        <w:t xml:space="preserve">one </w:t>
      </w:r>
      <w:r w:rsidR="00080F90">
        <w:t>hand</w:t>
      </w:r>
      <w:r w:rsidR="002200E1">
        <w:t>,</w:t>
      </w:r>
      <w:r w:rsidR="003324C0" w:rsidRPr="003324C0">
        <w:t xml:space="preserve"> </w:t>
      </w:r>
      <w:r w:rsidR="003324C0">
        <w:t>in order to make the publication interesting</w:t>
      </w:r>
      <w:r w:rsidR="002200E1">
        <w:t>,</w:t>
      </w:r>
      <w:r>
        <w:t xml:space="preserve"> and on the other </w:t>
      </w:r>
      <w:r w:rsidR="002200E1">
        <w:t xml:space="preserve">hand </w:t>
      </w:r>
      <w:r>
        <w:t>push</w:t>
      </w:r>
      <w:r w:rsidR="003324C0">
        <w:t>ing</w:t>
      </w:r>
      <w:r>
        <w:t xml:space="preserve"> </w:t>
      </w:r>
      <w:r w:rsidR="002200E1">
        <w:t>an</w:t>
      </w:r>
      <w:r>
        <w:t xml:space="preserve"> Anglophile </w:t>
      </w:r>
      <w:r w:rsidR="003324C0">
        <w:t xml:space="preserve">agenda. </w:t>
      </w:r>
      <w:r>
        <w:t>Updates about France and Belgium were not solely</w:t>
      </w:r>
      <w:r w:rsidR="002200E1">
        <w:t xml:space="preserve"> used</w:t>
      </w:r>
      <w:r>
        <w:t xml:space="preserve"> to reinforce the feeling of belonging to the group. </w:t>
      </w:r>
      <w:r w:rsidR="002200E1">
        <w:t>They were</w:t>
      </w:r>
      <w:r>
        <w:t xml:space="preserve"> also a good way </w:t>
      </w:r>
      <w:r w:rsidR="003324C0">
        <w:t>to demonstrate the tenacity of al</w:t>
      </w:r>
      <w:r>
        <w:t xml:space="preserve">lied forces. The belief in a positive outcome was </w:t>
      </w:r>
      <w:r w:rsidR="00F61693">
        <w:t>necessary</w:t>
      </w:r>
      <w:r>
        <w:t xml:space="preserve"> to avoid </w:t>
      </w:r>
      <w:r w:rsidR="002200E1">
        <w:t xml:space="preserve">psychological </w:t>
      </w:r>
      <w:r>
        <w:t>resignation or capitulation.</w:t>
      </w:r>
      <w:r>
        <w:rPr>
          <w:rStyle w:val="FootnoteReference"/>
        </w:rPr>
        <w:footnoteReference w:id="371"/>
      </w:r>
      <w:r>
        <w:t xml:space="preserve"> </w:t>
      </w:r>
      <w:r w:rsidR="002200E1">
        <w:t>However,</w:t>
      </w:r>
      <w:r>
        <w:t xml:space="preserve"> it also triggered a form of emotional blackmail reminding the occupied that others were spilling their blood for the country while </w:t>
      </w:r>
      <w:r w:rsidR="002200E1">
        <w:t>they waited</w:t>
      </w:r>
      <w:r>
        <w:t xml:space="preserve"> behind the lines. This national narrative of guilt</w:t>
      </w:r>
      <w:r w:rsidR="002200E1">
        <w:t>,</w:t>
      </w:r>
      <w:r>
        <w:t xml:space="preserve"> based on the glorification of the fighting component of the society</w:t>
      </w:r>
      <w:r w:rsidR="002200E1">
        <w:t>,</w:t>
      </w:r>
      <w:r>
        <w:t xml:space="preserve"> was echoed in the post-war society</w:t>
      </w:r>
      <w:r w:rsidR="00E623B5">
        <w:t xml:space="preserve">. The soldiers attracted far more attention than </w:t>
      </w:r>
      <w:r w:rsidR="00080F90">
        <w:t>the tragedy of occupation or</w:t>
      </w:r>
      <w:r w:rsidRPr="00E623B5">
        <w:t xml:space="preserve"> the suffering of the forced labo</w:t>
      </w:r>
      <w:r w:rsidR="00080F90">
        <w:t>urers</w:t>
      </w:r>
      <w:r w:rsidR="00E623B5" w:rsidRPr="00E623B5">
        <w:t xml:space="preserve"> and prisoners of war</w:t>
      </w:r>
      <w:r w:rsidRPr="00E623B5">
        <w:t>.</w:t>
      </w:r>
      <w:r w:rsidRPr="00E623B5">
        <w:rPr>
          <w:rStyle w:val="FootnoteReference"/>
        </w:rPr>
        <w:footnoteReference w:id="372"/>
      </w:r>
    </w:p>
    <w:p w14:paraId="2B8F37AA" w14:textId="62DBA1A0" w:rsidR="0048510E" w:rsidRDefault="0048510E" w:rsidP="002200E1">
      <w:pPr>
        <w:jc w:val="both"/>
      </w:pPr>
      <w:r>
        <w:t>National efforts were irrelevant without a form of integration into a broader narrative. The public knew that one country alone did not have the resources to defeat the German army</w:t>
      </w:r>
      <w:r w:rsidR="002200E1">
        <w:t>,</w:t>
      </w:r>
      <w:r>
        <w:t xml:space="preserve"> and </w:t>
      </w:r>
      <w:r w:rsidR="002200E1">
        <w:t>they</w:t>
      </w:r>
      <w:r>
        <w:t xml:space="preserve"> de</w:t>
      </w:r>
      <w:r w:rsidR="002200E1">
        <w:t>pended</w:t>
      </w:r>
      <w:r>
        <w:t xml:space="preserve"> on a common effort to achieve victory. This demonstration of unity w</w:t>
      </w:r>
      <w:r w:rsidR="00F61693">
        <w:t>as highlighted by the Belgians</w:t>
      </w:r>
      <w:r>
        <w:t xml:space="preserve">, </w:t>
      </w:r>
      <w:r w:rsidRPr="00F61693">
        <w:t>who</w:t>
      </w:r>
      <w:r>
        <w:t xml:space="preserve"> discussed the need to offer a global picture of the situation</w:t>
      </w:r>
      <w:r w:rsidR="003324C0" w:rsidRPr="003324C0">
        <w:t xml:space="preserve"> </w:t>
      </w:r>
      <w:r w:rsidR="003324C0">
        <w:t xml:space="preserve">as </w:t>
      </w:r>
      <w:r w:rsidR="00080F90">
        <w:t>early</w:t>
      </w:r>
      <w:r w:rsidR="003324C0">
        <w:t xml:space="preserve"> as October 1915</w:t>
      </w:r>
      <w:r>
        <w:t xml:space="preserve">. A note from </w:t>
      </w:r>
      <w:r w:rsidR="003757EA">
        <w:t>the director of the BDB to the w</w:t>
      </w:r>
      <w:r>
        <w:t>ar minister revealed the need for a broad picture:</w:t>
      </w:r>
    </w:p>
    <w:p w14:paraId="30573652" w14:textId="77777777" w:rsidR="0048510E" w:rsidRDefault="0048510E" w:rsidP="0048510E">
      <w:pPr>
        <w:ind w:left="567" w:right="567"/>
        <w:jc w:val="both"/>
        <w:rPr>
          <w:lang w:val="fr-FR"/>
        </w:rPr>
      </w:pPr>
      <w:r w:rsidRPr="00E16637">
        <w:rPr>
          <w:lang w:val="fr-FR"/>
        </w:rPr>
        <w:t>Une partie d’information militaire</w:t>
      </w:r>
      <w:r>
        <w:rPr>
          <w:lang w:val="fr-FR"/>
        </w:rPr>
        <w:t xml:space="preserve">, </w:t>
      </w:r>
      <w:r w:rsidRPr="00E16637">
        <w:rPr>
          <w:lang w:val="fr-FR"/>
        </w:rPr>
        <w:t>résumé régulier</w:t>
      </w:r>
      <w:r>
        <w:rPr>
          <w:lang w:val="fr-FR"/>
        </w:rPr>
        <w:t xml:space="preserve"> des opérations de la semaine – vue d’ensemble sur la guerre – cartes – graphiques et de notes politiques ou documentaires opposées aux faussetés et nouvelles tendancieuses de la presse allemande.</w:t>
      </w:r>
      <w:r>
        <w:rPr>
          <w:rStyle w:val="FootnoteReference"/>
          <w:lang w:val="fr-FR"/>
        </w:rPr>
        <w:footnoteReference w:id="373"/>
      </w:r>
    </w:p>
    <w:p w14:paraId="1CCBBF28" w14:textId="6513C7D5" w:rsidR="0048510E" w:rsidRDefault="002200E1" w:rsidP="002200E1">
      <w:pPr>
        <w:jc w:val="both"/>
      </w:pPr>
      <w:r>
        <w:t>Diplomatic news and u</w:t>
      </w:r>
      <w:r w:rsidR="0048510E" w:rsidRPr="00DA7C85">
        <w:t xml:space="preserve">pdates </w:t>
      </w:r>
      <w:r w:rsidR="0048510E">
        <w:t>about the situation on other parts of the</w:t>
      </w:r>
      <w:r w:rsidR="0048510E" w:rsidRPr="00DA7C85">
        <w:t xml:space="preserve"> fronts, predominantly</w:t>
      </w:r>
      <w:r w:rsidR="0048510E">
        <w:t xml:space="preserve"> but not exclusively </w:t>
      </w:r>
      <w:r>
        <w:t>in the west</w:t>
      </w:r>
      <w:r w:rsidR="0048510E">
        <w:t>, were therefore a calculated way to increase the appeal of the publications. Lasswell later voiced the importance of such a strategy. He underlined that the preservation of unity</w:t>
      </w:r>
      <w:r>
        <w:t>,</w:t>
      </w:r>
      <w:r w:rsidR="0048510E">
        <w:t xml:space="preserve"> or </w:t>
      </w:r>
      <w:r w:rsidR="003324C0">
        <w:t xml:space="preserve">at </w:t>
      </w:r>
      <w:r w:rsidR="0048510E">
        <w:t>least the appearance of harmony</w:t>
      </w:r>
      <w:r>
        <w:t>,</w:t>
      </w:r>
      <w:r w:rsidR="0048510E">
        <w:t xml:space="preserve"> was paramount to propaganda and was dependant on the demonstrations of respect offered to each other in the press.</w:t>
      </w:r>
      <w:r w:rsidR="0048510E">
        <w:rPr>
          <w:rStyle w:val="FootnoteReference"/>
        </w:rPr>
        <w:footnoteReference w:id="374"/>
      </w:r>
      <w:r w:rsidR="0048510E">
        <w:t xml:space="preserve"> Tight links meant power, exhaustion of the enemy and legitimacy of cause. It was not by accident that the British sought the support of the Belgians and the French to redress their image in</w:t>
      </w:r>
      <w:r w:rsidR="003324C0">
        <w:t xml:space="preserve"> the</w:t>
      </w:r>
      <w:r w:rsidR="0048510E">
        <w:t xml:space="preserve"> occupied territories. The question of counter-propaganda was once again at the heart of the problem. For the same reasons, the French tried to seduce the OPB and the BDB</w:t>
      </w:r>
      <w:r>
        <w:t>,</w:t>
      </w:r>
      <w:r w:rsidR="0048510E">
        <w:t xml:space="preserve"> but sporadically complained about the partiality of Belgian propaganda toward Great Britain.</w:t>
      </w:r>
      <w:r w:rsidR="0048510E">
        <w:rPr>
          <w:rStyle w:val="FootnoteReference"/>
        </w:rPr>
        <w:footnoteReference w:id="375"/>
      </w:r>
      <w:r w:rsidR="0048510E">
        <w:t xml:space="preserve"> The next chapter will examine examples of narration inflating solidarity between allies. International </w:t>
      </w:r>
      <w:r w:rsidR="00080F90">
        <w:t>developments</w:t>
      </w:r>
      <w:r w:rsidR="0048510E">
        <w:t xml:space="preserve"> were also an endless source of exciting events and positive news</w:t>
      </w:r>
      <w:r w:rsidR="00E623B5">
        <w:t>,</w:t>
      </w:r>
      <w:r w:rsidR="0048510E">
        <w:t xml:space="preserve"> a form of propaganda of agitation asking ‘the individual to bear heavy ordeals’</w:t>
      </w:r>
      <w:r w:rsidR="00E623B5">
        <w:t xml:space="preserve">. These </w:t>
      </w:r>
      <w:r w:rsidR="00080F90">
        <w:t>news</w:t>
      </w:r>
      <w:r w:rsidR="00E623B5">
        <w:t xml:space="preserve"> answered</w:t>
      </w:r>
      <w:r>
        <w:t xml:space="preserve"> the craving for novelty caused by the essence of psychological war behind the lines </w:t>
      </w:r>
      <w:r w:rsidR="0048510E">
        <w:t>which required a constant renewal of stimuli</w:t>
      </w:r>
      <w:r w:rsidR="003324C0" w:rsidRPr="003324C0">
        <w:t xml:space="preserve"> </w:t>
      </w:r>
      <w:r w:rsidR="003324C0">
        <w:t>for the sake of its efficiency</w:t>
      </w:r>
      <w:r w:rsidR="0048510E">
        <w:t>.</w:t>
      </w:r>
      <w:r w:rsidR="0048510E">
        <w:rPr>
          <w:rStyle w:val="FootnoteReference"/>
        </w:rPr>
        <w:footnoteReference w:id="376"/>
      </w:r>
      <w:r w:rsidR="0048510E">
        <w:t xml:space="preserve">  </w:t>
      </w:r>
    </w:p>
    <w:p w14:paraId="4F71336D" w14:textId="2AE6ADC7" w:rsidR="0048510E" w:rsidRDefault="0048510E" w:rsidP="00BE4198">
      <w:pPr>
        <w:jc w:val="both"/>
      </w:pPr>
      <w:r>
        <w:t xml:space="preserve">Other distinct specificities contributed to the unique character of each publication. </w:t>
      </w:r>
      <w:r>
        <w:rPr>
          <w:i/>
          <w:iCs/>
        </w:rPr>
        <w:t xml:space="preserve">La Voix du Pays </w:t>
      </w:r>
      <w:r>
        <w:t xml:space="preserve">was resolutely French and </w:t>
      </w:r>
      <w:r w:rsidR="00BE4198">
        <w:t>acted</w:t>
      </w:r>
      <w:r>
        <w:t xml:space="preserve"> as such. Beside news about the mi</w:t>
      </w:r>
      <w:r w:rsidR="003324C0">
        <w:t>litary situation, the newspaper</w:t>
      </w:r>
      <w:r>
        <w:t xml:space="preserve"> offered updates about th</w:t>
      </w:r>
      <w:r w:rsidR="00BE4198">
        <w:t>e political situation in Paris and</w:t>
      </w:r>
      <w:r>
        <w:t xml:space="preserve"> the French economy.</w:t>
      </w:r>
      <w:r>
        <w:rPr>
          <w:rStyle w:val="FootnoteReference"/>
        </w:rPr>
        <w:footnoteReference w:id="377"/>
      </w:r>
      <w:r>
        <w:t xml:space="preserve"> In essence, </w:t>
      </w:r>
      <w:r w:rsidR="003324C0">
        <w:t>this</w:t>
      </w:r>
      <w:r>
        <w:t xml:space="preserve"> </w:t>
      </w:r>
      <w:r w:rsidR="00660480">
        <w:t>newspaper</w:t>
      </w:r>
      <w:r>
        <w:t xml:space="preserve"> was written to respect the principle that ‘propaganda must express the fundamental currents of society’.</w:t>
      </w:r>
      <w:r>
        <w:rPr>
          <w:rStyle w:val="FootnoteReference"/>
        </w:rPr>
        <w:footnoteReference w:id="378"/>
      </w:r>
      <w:r>
        <w:t xml:space="preserve"> The fact that the </w:t>
      </w:r>
      <w:r w:rsidR="005737DD">
        <w:t>c</w:t>
      </w:r>
      <w:r w:rsidR="00313D55">
        <w:rPr>
          <w:i/>
          <w:iCs/>
        </w:rPr>
        <w:t>ulture de l’</w:t>
      </w:r>
      <w:r>
        <w:rPr>
          <w:i/>
          <w:iCs/>
        </w:rPr>
        <w:t>occupé</w:t>
      </w:r>
      <w:r>
        <w:t xml:space="preserve"> was now splitting the nation did not mean that the occupied public was not feeling French and was not interested in what was happening in Paris.</w:t>
      </w:r>
      <w:r>
        <w:rPr>
          <w:rStyle w:val="FootnoteReference"/>
        </w:rPr>
        <w:footnoteReference w:id="379"/>
      </w:r>
      <w:r>
        <w:t xml:space="preserve">   </w:t>
      </w:r>
    </w:p>
    <w:p w14:paraId="44CECAE4" w14:textId="781307EC" w:rsidR="0048510E" w:rsidRDefault="0048510E" w:rsidP="00D60109">
      <w:pPr>
        <w:jc w:val="both"/>
      </w:pPr>
      <w:r>
        <w:t>There were also noticeable differences between French pr</w:t>
      </w:r>
      <w:r w:rsidR="00913FF1">
        <w:t>opaganda on the home f</w:t>
      </w:r>
      <w:r>
        <w:t xml:space="preserve">ront and in the occupied territories. Indeed, the blatant exaltations and the exaggerations to which the French public </w:t>
      </w:r>
      <w:r w:rsidR="007A5728">
        <w:t>were</w:t>
      </w:r>
      <w:r>
        <w:t xml:space="preserve"> accustomed </w:t>
      </w:r>
      <w:r w:rsidR="007A5728">
        <w:t>from</w:t>
      </w:r>
      <w:r>
        <w:t xml:space="preserve"> the beginning of the conflict were not used in the </w:t>
      </w:r>
      <w:r>
        <w:rPr>
          <w:i/>
          <w:iCs/>
        </w:rPr>
        <w:t>Voix du Pays</w:t>
      </w:r>
      <w:r>
        <w:t>.</w:t>
      </w:r>
      <w:r>
        <w:rPr>
          <w:rStyle w:val="FootnoteReference"/>
        </w:rPr>
        <w:footnoteReference w:id="380"/>
      </w:r>
      <w:r>
        <w:t xml:space="preserve"> Even more noticeable was the absence of outrageous propaganda against the enemy. Insults, caricatures or offensive stories, such as the famous German cadaver factory </w:t>
      </w:r>
      <w:r w:rsidR="00080F90">
        <w:t>(invented</w:t>
      </w:r>
      <w:r>
        <w:t xml:space="preserve"> by the British</w:t>
      </w:r>
      <w:r w:rsidR="00080F90">
        <w:t>)</w:t>
      </w:r>
      <w:r>
        <w:t xml:space="preserve">, never appeared in French white propaganda. It will be highlighted later in this chapter that the French saved a more aggressive </w:t>
      </w:r>
      <w:r w:rsidR="00FB6BDC">
        <w:t xml:space="preserve">tone </w:t>
      </w:r>
      <w:r>
        <w:t>for the production of black propaganda.</w:t>
      </w:r>
      <w:r>
        <w:rPr>
          <w:rStyle w:val="FootnoteReference"/>
        </w:rPr>
        <w:footnoteReference w:id="381"/>
      </w:r>
      <w:r>
        <w:t xml:space="preserve"> In the </w:t>
      </w:r>
      <w:r>
        <w:rPr>
          <w:i/>
          <w:iCs/>
        </w:rPr>
        <w:t>Voix du Pays</w:t>
      </w:r>
      <w:r>
        <w:t xml:space="preserve">, Germany was systematically attacked on the issues of neutrality </w:t>
      </w:r>
      <w:r w:rsidR="00080F90">
        <w:t>and</w:t>
      </w:r>
      <w:r>
        <w:t xml:space="preserve"> the rights of individuals. The enemy was</w:t>
      </w:r>
      <w:r w:rsidR="00080F90">
        <w:t xml:space="preserve"> presented</w:t>
      </w:r>
      <w:r>
        <w:t xml:space="preserve"> </w:t>
      </w:r>
      <w:r w:rsidR="007A5728">
        <w:t>a</w:t>
      </w:r>
      <w:r w:rsidR="00080F90">
        <w:t>s</w:t>
      </w:r>
      <w:r w:rsidR="007A5728">
        <w:t xml:space="preserve"> </w:t>
      </w:r>
      <w:r>
        <w:t>misled and mismanaged nation on the edge of disaster.</w:t>
      </w:r>
      <w:r>
        <w:rPr>
          <w:rStyle w:val="FootnoteReference"/>
        </w:rPr>
        <w:footnoteReference w:id="382"/>
      </w:r>
      <w:r>
        <w:t xml:space="preserve"> Chapter six will develop these arguments</w:t>
      </w:r>
      <w:r w:rsidR="00FB6BDC">
        <w:t xml:space="preserve"> further</w:t>
      </w:r>
      <w:r>
        <w:t>. Was this moderation a way to offer a positive image of self-co</w:t>
      </w:r>
      <w:r w:rsidR="00FB6BDC">
        <w:t xml:space="preserve">ntrol and avoid accusations of </w:t>
      </w:r>
      <w:r w:rsidR="00FB6BDC">
        <w:rPr>
          <w:i/>
          <w:iCs/>
        </w:rPr>
        <w:t xml:space="preserve">bourrage de </w:t>
      </w:r>
      <w:r w:rsidR="007A5728">
        <w:rPr>
          <w:i/>
          <w:iCs/>
        </w:rPr>
        <w:t>crane,</w:t>
      </w:r>
      <w:r>
        <w:t xml:space="preserve"> or just the</w:t>
      </w:r>
      <w:r w:rsidR="00FB6BDC">
        <w:t xml:space="preserve"> fear of being contradicted by s</w:t>
      </w:r>
      <w:r>
        <w:t xml:space="preserve">ection IIIB of the OHL and its </w:t>
      </w:r>
      <w:r>
        <w:rPr>
          <w:i/>
          <w:iCs/>
        </w:rPr>
        <w:t>Gazette des Ardennes</w:t>
      </w:r>
      <w:r>
        <w:t>?</w:t>
      </w:r>
      <w:r>
        <w:rPr>
          <w:rStyle w:val="FootnoteReference"/>
        </w:rPr>
        <w:footnoteReference w:id="383"/>
      </w:r>
      <w:r>
        <w:t xml:space="preserve"> Interviews </w:t>
      </w:r>
      <w:r w:rsidR="00080F90">
        <w:t>with</w:t>
      </w:r>
      <w:r>
        <w:t xml:space="preserve"> refugees from the occupied territories showed that they were upset </w:t>
      </w:r>
      <w:r w:rsidR="007A5728">
        <w:t>by</w:t>
      </w:r>
      <w:r>
        <w:t xml:space="preserve"> the exaggerations of the Parisian press.</w:t>
      </w:r>
      <w:r>
        <w:rPr>
          <w:rStyle w:val="FootnoteReference"/>
        </w:rPr>
        <w:footnoteReference w:id="384"/>
      </w:r>
      <w:r>
        <w:t xml:space="preserve"> Moderation was in fact the only way to satisfy the audience. This fact illustrated once again the fracture between the home front and the occupied territories, thus supporting the </w:t>
      </w:r>
      <w:r w:rsidR="005737DD">
        <w:rPr>
          <w:i/>
          <w:iCs/>
        </w:rPr>
        <w:t>c</w:t>
      </w:r>
      <w:r>
        <w:rPr>
          <w:i/>
          <w:iCs/>
        </w:rPr>
        <w:t xml:space="preserve">ulture de </w:t>
      </w:r>
      <w:r w:rsidR="00313D55">
        <w:rPr>
          <w:i/>
          <w:iCs/>
        </w:rPr>
        <w:t>l’</w:t>
      </w:r>
      <w:r>
        <w:rPr>
          <w:i/>
          <w:iCs/>
        </w:rPr>
        <w:t>occupé</w:t>
      </w:r>
      <w:r>
        <w:t xml:space="preserve"> theory. </w:t>
      </w:r>
    </w:p>
    <w:p w14:paraId="4C4A750E" w14:textId="42AD9605" w:rsidR="0048510E" w:rsidRDefault="0048510E" w:rsidP="007A5728">
      <w:pPr>
        <w:jc w:val="both"/>
      </w:pPr>
      <w:r>
        <w:t xml:space="preserve">Yet, moderation did not mean </w:t>
      </w:r>
      <w:r w:rsidR="007A5728">
        <w:t>in</w:t>
      </w:r>
      <w:r>
        <w:t xml:space="preserve">accuracy. </w:t>
      </w:r>
      <w:r w:rsidR="007A5728">
        <w:t>It is</w:t>
      </w:r>
      <w:r>
        <w:t xml:space="preserve"> important to part with the notion</w:t>
      </w:r>
      <w:r w:rsidR="007A5728">
        <w:t>,</w:t>
      </w:r>
      <w:r>
        <w:t xml:space="preserve"> first popularised by Ponsonby in </w:t>
      </w:r>
      <w:r>
        <w:rPr>
          <w:i/>
          <w:iCs/>
        </w:rPr>
        <w:t xml:space="preserve">Falsehood in </w:t>
      </w:r>
      <w:r w:rsidRPr="00510AEB">
        <w:rPr>
          <w:i/>
          <w:iCs/>
        </w:rPr>
        <w:t>wartime</w:t>
      </w:r>
      <w:r w:rsidR="007A5728">
        <w:rPr>
          <w:i/>
          <w:iCs/>
        </w:rPr>
        <w:t>,</w:t>
      </w:r>
      <w:r>
        <w:t xml:space="preserve"> stating that propaganda </w:t>
      </w:r>
      <w:r w:rsidR="007A5728">
        <w:t>is</w:t>
      </w:r>
      <w:r>
        <w:t xml:space="preserve"> predominantly a lie.</w:t>
      </w:r>
      <w:r>
        <w:rPr>
          <w:rStyle w:val="FootnoteReference"/>
        </w:rPr>
        <w:footnoteReference w:id="385"/>
      </w:r>
      <w:r>
        <w:t xml:space="preserve"> This idea was still </w:t>
      </w:r>
      <w:r w:rsidR="00080F90">
        <w:t xml:space="preserve">being </w:t>
      </w:r>
      <w:r>
        <w:t>recently publicised by a Belgian historian</w:t>
      </w:r>
      <w:r w:rsidR="007A5728">
        <w:t>,</w:t>
      </w:r>
      <w:r>
        <w:t xml:space="preserve"> but has been discarded by most t</w:t>
      </w:r>
      <w:r w:rsidR="007A5728">
        <w:t>heory books on the subject. These have</w:t>
      </w:r>
      <w:r>
        <w:t xml:space="preserve"> demonstrated that propaganda was stronger when based on controlled true facts.</w:t>
      </w:r>
      <w:r>
        <w:rPr>
          <w:rStyle w:val="FootnoteReference"/>
        </w:rPr>
        <w:footnoteReference w:id="386"/>
      </w:r>
      <w:r>
        <w:t xml:space="preserve"> Indeed, the French managed the public opinion p</w:t>
      </w:r>
      <w:r w:rsidR="007A5728">
        <w:t>redominantly through</w:t>
      </w:r>
      <w:r w:rsidR="00FB6BDC">
        <w:t xml:space="preserve"> technique</w:t>
      </w:r>
      <w:r w:rsidR="007A5728">
        <w:t>s</w:t>
      </w:r>
      <w:r w:rsidR="00FB6BDC">
        <w:t xml:space="preserve"> of omission and</w:t>
      </w:r>
      <w:r>
        <w:t xml:space="preserve"> strict control of the information flow</w:t>
      </w:r>
      <w:r w:rsidR="007A5728">
        <w:t>,</w:t>
      </w:r>
      <w:r>
        <w:t xml:space="preserve"> rather than by printing misinformation. News was usually selected for its positive nature and its contribution toward the idea of victory. </w:t>
      </w:r>
      <w:r w:rsidR="00080F90">
        <w:t>A</w:t>
      </w:r>
      <w:r>
        <w:t>dmissions of German success or merits were rare and occurred only in times of great danger or in special circumstances</w:t>
      </w:r>
      <w:r w:rsidR="007A5728">
        <w:t>,</w:t>
      </w:r>
      <w:r>
        <w:t xml:space="preserve"> to pub</w:t>
      </w:r>
      <w:r w:rsidR="00FB6BDC">
        <w:t xml:space="preserve">licise even </w:t>
      </w:r>
      <w:r w:rsidR="00080F90">
        <w:t>more the</w:t>
      </w:r>
      <w:r w:rsidR="00FB6BDC">
        <w:t xml:space="preserve"> success of a</w:t>
      </w:r>
      <w:r>
        <w:t>llied armies.</w:t>
      </w:r>
      <w:r>
        <w:rPr>
          <w:rStyle w:val="FootnoteReference"/>
        </w:rPr>
        <w:footnoteReference w:id="387"/>
      </w:r>
    </w:p>
    <w:p w14:paraId="5F7966F6" w14:textId="7DC9E533" w:rsidR="0048510E" w:rsidRDefault="0048510E" w:rsidP="007A5728">
      <w:pPr>
        <w:jc w:val="both"/>
      </w:pPr>
      <w:r>
        <w:t xml:space="preserve">Debates concerning the </w:t>
      </w:r>
      <w:r w:rsidR="007A5728">
        <w:t>creation</w:t>
      </w:r>
      <w:r>
        <w:t xml:space="preserve"> of the content of Belgian propaganda partially survived in the archives of the </w:t>
      </w:r>
      <w:r w:rsidR="003757EA">
        <w:t>f</w:t>
      </w:r>
      <w:r>
        <w:t>oreign minister. The importance given to military events and the collaboration with the allies was especially vital for the Belgians who wanted to ‘oppose the false and partisan German press’.</w:t>
      </w:r>
      <w:r>
        <w:rPr>
          <w:rStyle w:val="FootnoteReference"/>
        </w:rPr>
        <w:footnoteReference w:id="388"/>
      </w:r>
      <w:r>
        <w:t xml:space="preserve"> Ironically, strategies deployed to oppose German propaganda were not free of cynicism and tendentiousness. The editorial line of the </w:t>
      </w:r>
      <w:r>
        <w:rPr>
          <w:i/>
          <w:iCs/>
        </w:rPr>
        <w:t xml:space="preserve">Bonnes Nouvelles </w:t>
      </w:r>
      <w:r>
        <w:t>was discussed between the BDB and the government:</w:t>
      </w:r>
    </w:p>
    <w:p w14:paraId="4F6FD324" w14:textId="77777777" w:rsidR="0048510E" w:rsidRPr="0015751E" w:rsidRDefault="0048510E" w:rsidP="0048510E">
      <w:pPr>
        <w:ind w:left="567" w:right="567"/>
        <w:jc w:val="both"/>
      </w:pPr>
      <w:r w:rsidRPr="001B2D2B">
        <w:rPr>
          <w:lang w:val="fr-FR"/>
        </w:rPr>
        <w:t xml:space="preserve">Composée uniquement de renseignements d’actualité, positifs, </w:t>
      </w:r>
      <w:r>
        <w:rPr>
          <w:lang w:val="fr-FR"/>
        </w:rPr>
        <w:t xml:space="preserve">indiscutables, bref, exempts de tout « bourrage », choisis avec soin parmi les nouvelles du jour les plus réconfortantes dont la censure allemande prive nos compatriotes. </w:t>
      </w:r>
      <w:r w:rsidRPr="0015751E">
        <w:t>Exemple : toutes les données sur l’effort américain.</w:t>
      </w:r>
      <w:r>
        <w:rPr>
          <w:rStyle w:val="FootnoteReference"/>
          <w:lang w:val="fr-FR"/>
        </w:rPr>
        <w:footnoteReference w:id="389"/>
      </w:r>
    </w:p>
    <w:p w14:paraId="1003FBE0" w14:textId="5F84DD53" w:rsidR="0048510E" w:rsidRDefault="0048510E" w:rsidP="007A5728">
      <w:pPr>
        <w:jc w:val="both"/>
      </w:pPr>
      <w:r w:rsidRPr="00A7225B">
        <w:t xml:space="preserve">This </w:t>
      </w:r>
      <w:r>
        <w:t>will</w:t>
      </w:r>
      <w:r w:rsidRPr="00A7225B">
        <w:t xml:space="preserve"> to avoid </w:t>
      </w:r>
      <w:r>
        <w:t>any form of</w:t>
      </w:r>
      <w:r w:rsidR="00FB6BDC">
        <w:t xml:space="preserve"> </w:t>
      </w:r>
      <w:r w:rsidRPr="00FB6BDC">
        <w:rPr>
          <w:i/>
        </w:rPr>
        <w:t>bourrage de cr</w:t>
      </w:r>
      <w:r w:rsidR="00FB6BDC" w:rsidRPr="00FB6BDC">
        <w:rPr>
          <w:i/>
        </w:rPr>
        <w:t>âne</w:t>
      </w:r>
      <w:r>
        <w:t xml:space="preserve">, </w:t>
      </w:r>
      <w:r w:rsidR="00FB6BDC">
        <w:t>a</w:t>
      </w:r>
      <w:r>
        <w:t xml:space="preserve"> heroic and highly distorted depiction of war denounced by intellectuals and soldiers alike</w:t>
      </w:r>
      <w:r w:rsidR="00FB6BDC" w:rsidRPr="00FB6BDC">
        <w:t xml:space="preserve"> </w:t>
      </w:r>
      <w:r w:rsidR="00FB6BDC">
        <w:t xml:space="preserve">as </w:t>
      </w:r>
      <w:r w:rsidR="00080F90">
        <w:t>early</w:t>
      </w:r>
      <w:r w:rsidR="00FB6BDC">
        <w:t xml:space="preserve"> as 1916</w:t>
      </w:r>
      <w:r>
        <w:t>, demonstrated that propagandists were taking into consideration criticisms coming from the public. They wanted to refine the narrative construction in order to avoid accusations of fabricating or embellishing events</w:t>
      </w:r>
      <w:r w:rsidR="007A5728" w:rsidRPr="007A5728">
        <w:t xml:space="preserve"> </w:t>
      </w:r>
      <w:r w:rsidR="007A5728">
        <w:t>at all costs</w:t>
      </w:r>
      <w:r>
        <w:t>.</w:t>
      </w:r>
      <w:r>
        <w:rPr>
          <w:rStyle w:val="FootnoteReference"/>
        </w:rPr>
        <w:footnoteReference w:id="390"/>
      </w:r>
      <w:r>
        <w:t xml:space="preserve"> </w:t>
      </w:r>
      <w:r w:rsidR="007A5728">
        <w:t>I</w:t>
      </w:r>
      <w:r>
        <w:t xml:space="preserve">t </w:t>
      </w:r>
      <w:r w:rsidR="007A5728">
        <w:t>is</w:t>
      </w:r>
      <w:r>
        <w:t xml:space="preserve"> equally clear</w:t>
      </w:r>
      <w:r w:rsidR="007A5728">
        <w:t>, however,</w:t>
      </w:r>
      <w:r>
        <w:t xml:space="preserve"> that the Belgians were ready to follow the French on the path of omission and filtered news. Optimism and the promotion of encouraging news were the pillars on which Belgian propaganda </w:t>
      </w:r>
      <w:r w:rsidR="007A5728">
        <w:t>rested</w:t>
      </w:r>
      <w:r>
        <w:t xml:space="preserve">, a fact </w:t>
      </w:r>
      <w:r w:rsidR="007A5728">
        <w:t>which</w:t>
      </w:r>
      <w:r>
        <w:t xml:space="preserve"> the name of the publication itself</w:t>
      </w:r>
      <w:r w:rsidR="007A5728">
        <w:t xml:space="preserve"> highlights</w:t>
      </w:r>
      <w:r>
        <w:t xml:space="preserve">. </w:t>
      </w:r>
      <w:r w:rsidRPr="00E30BC1">
        <w:t xml:space="preserve">Moreover, </w:t>
      </w:r>
      <w:r w:rsidRPr="00E30BC1">
        <w:rPr>
          <w:i/>
          <w:iCs/>
        </w:rPr>
        <w:t xml:space="preserve">Le Clairon du Roi </w:t>
      </w:r>
      <w:r w:rsidRPr="00E30BC1">
        <w:t xml:space="preserve">and </w:t>
      </w:r>
      <w:r w:rsidRPr="00E30BC1">
        <w:rPr>
          <w:i/>
          <w:iCs/>
        </w:rPr>
        <w:t xml:space="preserve">Les Bonnes Nouvelles </w:t>
      </w:r>
      <w:r w:rsidRPr="00E30BC1">
        <w:t xml:space="preserve">carefully weighted </w:t>
      </w:r>
      <w:r>
        <w:t>any reference to the German army</w:t>
      </w:r>
      <w:r w:rsidRPr="00E30BC1">
        <w:t>.</w:t>
      </w:r>
      <w:r>
        <w:t xml:space="preserve"> With the exception of submarine operations </w:t>
      </w:r>
      <w:r w:rsidR="007A5728">
        <w:t xml:space="preserve">being </w:t>
      </w:r>
      <w:r>
        <w:t>compared to piracy, the</w:t>
      </w:r>
      <w:r w:rsidR="007A5728">
        <w:t>ir</w:t>
      </w:r>
      <w:r>
        <w:t xml:space="preserve"> tone was usually moderate and free of insults.</w:t>
      </w:r>
      <w:r>
        <w:rPr>
          <w:rStyle w:val="FootnoteReference"/>
        </w:rPr>
        <w:footnoteReference w:id="391"/>
      </w:r>
      <w:r>
        <w:t xml:space="preserve"> </w:t>
      </w:r>
    </w:p>
    <w:p w14:paraId="03E27428" w14:textId="1851818D" w:rsidR="0048510E" w:rsidRPr="00E30BC1" w:rsidRDefault="0048510E" w:rsidP="007A5728">
      <w:pPr>
        <w:jc w:val="both"/>
      </w:pPr>
      <w:r>
        <w:t>The editorial line of</w:t>
      </w:r>
      <w:r w:rsidRPr="00E30BC1">
        <w:t xml:space="preserve"> </w:t>
      </w:r>
      <w:r w:rsidRPr="00E30BC1">
        <w:rPr>
          <w:i/>
          <w:iCs/>
        </w:rPr>
        <w:t>La Lettre du Soldat</w:t>
      </w:r>
      <w:r w:rsidRPr="00E30BC1">
        <w:t xml:space="preserve"> </w:t>
      </w:r>
      <w:r>
        <w:t xml:space="preserve">was more aggressive and introduced caricatures mocking the enemy. Drawings were of British origin and had probably been offered to the Belgians by MI7; their </w:t>
      </w:r>
      <w:r w:rsidR="00080F90">
        <w:t>artist</w:t>
      </w:r>
      <w:r>
        <w:t xml:space="preserve"> was Bernard Partridge</w:t>
      </w:r>
      <w:r w:rsidR="007A5728">
        <w:t>,</w:t>
      </w:r>
      <w:r>
        <w:t xml:space="preserve"> who had been the main cartoonist for </w:t>
      </w:r>
      <w:r>
        <w:rPr>
          <w:i/>
          <w:iCs/>
        </w:rPr>
        <w:t xml:space="preserve">Punch </w:t>
      </w:r>
      <w:r>
        <w:t>before the war.</w:t>
      </w:r>
      <w:r>
        <w:rPr>
          <w:rStyle w:val="FootnoteReference"/>
        </w:rPr>
        <w:footnoteReference w:id="392"/>
      </w:r>
      <w:r w:rsidRPr="001C544E">
        <w:t xml:space="preserve"> </w:t>
      </w:r>
      <w:r>
        <w:t>They followed t</w:t>
      </w:r>
      <w:r w:rsidR="00FB6BDC">
        <w:t>raditional themes exploited by w</w:t>
      </w:r>
      <w:r>
        <w:t>estern powers in which Germany was enslaved by militarism, slavery and ‘Kaiserism’.</w:t>
      </w:r>
      <w:r>
        <w:rPr>
          <w:rStyle w:val="FootnoteReference"/>
        </w:rPr>
        <w:footnoteReference w:id="393"/>
      </w:r>
      <w:r>
        <w:t xml:space="preserve"> In addition to caricatures, photography was also included inside the </w:t>
      </w:r>
      <w:r w:rsidR="00660480">
        <w:t>newspaper</w:t>
      </w:r>
      <w:r>
        <w:t xml:space="preserve">. The </w:t>
      </w:r>
      <w:r w:rsidR="007A5728">
        <w:t xml:space="preserve">great majority of </w:t>
      </w:r>
      <w:r>
        <w:t xml:space="preserve">pictures contained in </w:t>
      </w:r>
      <w:r w:rsidR="00080F90">
        <w:rPr>
          <w:i/>
        </w:rPr>
        <w:t>La</w:t>
      </w:r>
      <w:r>
        <w:t xml:space="preserve"> </w:t>
      </w:r>
      <w:r>
        <w:rPr>
          <w:i/>
          <w:iCs/>
        </w:rPr>
        <w:t>Lettre du Soldat</w:t>
      </w:r>
      <w:r>
        <w:t xml:space="preserve"> were </w:t>
      </w:r>
      <w:r w:rsidR="00080F90">
        <w:t>of a patriotic tone,</w:t>
      </w:r>
      <w:r>
        <w:t xml:space="preserve"> the king and the Belgian army being prominently depicted, or relations with the British, the Americans and the French</w:t>
      </w:r>
      <w:r w:rsidR="007A5728">
        <w:t xml:space="preserve"> being publicised</w:t>
      </w:r>
      <w:r>
        <w:t>.</w:t>
      </w:r>
      <w:r>
        <w:rPr>
          <w:rStyle w:val="FootnoteReference"/>
        </w:rPr>
        <w:footnoteReference w:id="394"/>
      </w:r>
      <w:r w:rsidR="00FB6BDC">
        <w:t xml:space="preserve"> It must be highlighted</w:t>
      </w:r>
      <w:r>
        <w:t xml:space="preserve"> that visual propaganda was used only on </w:t>
      </w:r>
      <w:r w:rsidR="00FB6BDC">
        <w:t>rare</w:t>
      </w:r>
      <w:r w:rsidR="003918F7">
        <w:t xml:space="preserve"> occasions by the a</w:t>
      </w:r>
      <w:r>
        <w:t>llies to communicate with the occupied</w:t>
      </w:r>
      <w:r w:rsidR="00080F90">
        <w:t xml:space="preserve"> populations</w:t>
      </w:r>
      <w:r w:rsidR="007A5728">
        <w:t>,</w:t>
      </w:r>
      <w:r>
        <w:t xml:space="preserve"> despite its powerful potential. The </w:t>
      </w:r>
      <w:r w:rsidR="00080F90">
        <w:t xml:space="preserve">inclusion of </w:t>
      </w:r>
      <w:r>
        <w:t xml:space="preserve">two pictures in each edition of the </w:t>
      </w:r>
      <w:r>
        <w:rPr>
          <w:i/>
          <w:iCs/>
        </w:rPr>
        <w:t>Lettre du Soldat</w:t>
      </w:r>
      <w:r>
        <w:t xml:space="preserve"> </w:t>
      </w:r>
      <w:r w:rsidR="00080F90">
        <w:t>was</w:t>
      </w:r>
      <w:r>
        <w:t xml:space="preserve"> in fact unique </w:t>
      </w:r>
      <w:r w:rsidR="00080F90">
        <w:t>amongst</w:t>
      </w:r>
      <w:r>
        <w:t xml:space="preserve"> aerial newspapers. </w:t>
      </w:r>
      <w:r w:rsidR="007A5728">
        <w:t>On rare occasions</w:t>
      </w:r>
      <w:r>
        <w:t>, bilingual postcards were sent by the Belgians and also centred on the army, the king or the friendship between allies.</w:t>
      </w:r>
      <w:r>
        <w:rPr>
          <w:rStyle w:val="FootnoteReference"/>
        </w:rPr>
        <w:footnoteReference w:id="395"/>
      </w:r>
    </w:p>
    <w:p w14:paraId="218EC35A" w14:textId="4D3DF88C" w:rsidR="0048510E" w:rsidRDefault="0048510E" w:rsidP="007A5728">
      <w:pPr>
        <w:jc w:val="both"/>
      </w:pPr>
      <w:r>
        <w:t xml:space="preserve">The British were also anxious to dissociate their publication from the stereotypes usually associated with the war-time press. The motto printed on the headline of the </w:t>
      </w:r>
      <w:r>
        <w:rPr>
          <w:i/>
          <w:iCs/>
        </w:rPr>
        <w:t>Courrier de l’Air</w:t>
      </w:r>
      <w:r>
        <w:t>, ‘</w:t>
      </w:r>
      <w:r w:rsidRPr="00F72AF6">
        <w:t>Le Journal Hebdomadaire Aérien de la Vérité</w:t>
      </w:r>
      <w:r>
        <w:rPr>
          <w:i/>
          <w:iCs/>
        </w:rPr>
        <w:t>’,</w:t>
      </w:r>
      <w:r>
        <w:t xml:space="preserve"> was an attempt to stress the value of the information contained in the pages of the weekly </w:t>
      </w:r>
      <w:r w:rsidR="00660480">
        <w:t>newspaper</w:t>
      </w:r>
      <w:r w:rsidR="007A5728">
        <w:t>,</w:t>
      </w:r>
      <w:r>
        <w:t xml:space="preserve"> and to </w:t>
      </w:r>
      <w:r w:rsidR="00FB6BDC">
        <w:t xml:space="preserve">create a </w:t>
      </w:r>
      <w:r>
        <w:t xml:space="preserve">contrast with the lies encountered in German propaganda. This opposition also underlined the counter-propagandist nature of the newspaper. Despite using the word </w:t>
      </w:r>
      <w:r>
        <w:rPr>
          <w:i/>
          <w:iCs/>
        </w:rPr>
        <w:t>vérité</w:t>
      </w:r>
      <w:r>
        <w:t xml:space="preserve"> no less than six times in the first editorial, the actual content was a campaign of calumny and denunciation.</w:t>
      </w:r>
      <w:r>
        <w:rPr>
          <w:rStyle w:val="FootnoteReference"/>
        </w:rPr>
        <w:footnoteReference w:id="396"/>
      </w:r>
      <w:r>
        <w:t xml:space="preserve"> The editor of the </w:t>
      </w:r>
      <w:r>
        <w:rPr>
          <w:i/>
          <w:iCs/>
        </w:rPr>
        <w:t>Courrier</w:t>
      </w:r>
      <w:r>
        <w:t xml:space="preserve"> Edward Heron-Allen explained that strategies of communication were clearly defined:</w:t>
      </w:r>
    </w:p>
    <w:p w14:paraId="7CE91C99" w14:textId="77777777" w:rsidR="0048510E" w:rsidRDefault="0048510E" w:rsidP="0048510E">
      <w:pPr>
        <w:pStyle w:val="ListParagraph"/>
        <w:numPr>
          <w:ilvl w:val="0"/>
          <w:numId w:val="3"/>
        </w:numPr>
        <w:ind w:left="924" w:right="567" w:hanging="357"/>
        <w:jc w:val="both"/>
      </w:pPr>
      <w:r>
        <w:t>Current and historical – matter relating to, or commenting upon recent events which had to be used before they became ancient history or out of date.</w:t>
      </w:r>
    </w:p>
    <w:p w14:paraId="15FB0FAC" w14:textId="77777777" w:rsidR="0048510E" w:rsidRDefault="0048510E" w:rsidP="0048510E">
      <w:pPr>
        <w:pStyle w:val="ListParagraph"/>
        <w:numPr>
          <w:ilvl w:val="0"/>
          <w:numId w:val="3"/>
        </w:numPr>
        <w:ind w:left="924" w:right="567" w:hanging="357"/>
        <w:jc w:val="both"/>
      </w:pPr>
      <w:r>
        <w:t>Permanent and academic – matter relating to affairs and general conditions in Germany, criticisms from German papers, and general articles upon the war activities of the Allies, which were good for use at any time.</w:t>
      </w:r>
    </w:p>
    <w:p w14:paraId="5B94F726" w14:textId="77777777" w:rsidR="0048510E" w:rsidRDefault="0048510E" w:rsidP="0048510E">
      <w:pPr>
        <w:pStyle w:val="ListParagraph"/>
        <w:numPr>
          <w:ilvl w:val="0"/>
          <w:numId w:val="3"/>
        </w:numPr>
        <w:ind w:left="924" w:right="567" w:hanging="357"/>
        <w:jc w:val="both"/>
      </w:pPr>
      <w:r>
        <w:t>Humorous and abusive – comic, scurrilous, or scandalous stories about the Germans, revealing their weaknesses or immoralities, and making fun of their institutions and war regulations.</w:t>
      </w:r>
    </w:p>
    <w:p w14:paraId="7CDA5973" w14:textId="77777777" w:rsidR="0048510E" w:rsidRDefault="0048510E" w:rsidP="0048510E">
      <w:pPr>
        <w:pStyle w:val="ListParagraph"/>
        <w:numPr>
          <w:ilvl w:val="0"/>
          <w:numId w:val="3"/>
        </w:numPr>
        <w:ind w:left="924" w:right="567" w:hanging="357"/>
        <w:jc w:val="both"/>
      </w:pPr>
      <w:r>
        <w:t>Leading articles on matters of current importance, taken from the leading papers, or written by myself.</w:t>
      </w:r>
      <w:r>
        <w:rPr>
          <w:rStyle w:val="FootnoteReference"/>
        </w:rPr>
        <w:footnoteReference w:id="397"/>
      </w:r>
    </w:p>
    <w:p w14:paraId="5FA67927" w14:textId="24FBCCBE" w:rsidR="0048510E" w:rsidRDefault="0048510E" w:rsidP="007A5728">
      <w:pPr>
        <w:jc w:val="both"/>
      </w:pPr>
      <w:r>
        <w:t>Using humour and outrage in white propaganda was unique to the British. The methods were similar to the ones employed by the popular press</w:t>
      </w:r>
      <w:r w:rsidR="007A5728">
        <w:t>,</w:t>
      </w:r>
      <w:r>
        <w:t xml:space="preserve"> and </w:t>
      </w:r>
      <w:r w:rsidR="007A5728">
        <w:t>revealed</w:t>
      </w:r>
      <w:r>
        <w:t xml:space="preserve"> a deep understanding </w:t>
      </w:r>
      <w:r w:rsidR="007A5728">
        <w:t>of</w:t>
      </w:r>
      <w:r>
        <w:t xml:space="preserve"> the mechanisms </w:t>
      </w:r>
      <w:r w:rsidR="007A5728">
        <w:t>useful for</w:t>
      </w:r>
      <w:r>
        <w:t xml:space="preserve"> catch</w:t>
      </w:r>
      <w:r w:rsidR="007A5728">
        <w:t>ing</w:t>
      </w:r>
      <w:r>
        <w:t xml:space="preserve"> the interest of the public. The arguments behind this strategy of communication were in fact a legacy of the press during the Boer War. The notion of barbarism reflected an Anglocentric vision inspired by the Conservative </w:t>
      </w:r>
      <w:r w:rsidR="005737DD">
        <w:t>party</w:t>
      </w:r>
      <w:r w:rsidR="007A5728">
        <w:t>,</w:t>
      </w:r>
      <w:r w:rsidR="005737DD">
        <w:t xml:space="preserve"> </w:t>
      </w:r>
      <w:r>
        <w:t>while the protection of small nations was a Gladstonian liberal heritage. Both notions were mixed in an unlikely, but efficient, blend of imperialism and liberal visions.</w:t>
      </w:r>
      <w:r>
        <w:rPr>
          <w:rStyle w:val="FootnoteReference"/>
        </w:rPr>
        <w:footnoteReference w:id="398"/>
      </w:r>
      <w:r>
        <w:t xml:space="preserve"> Similarities between the popular press and the </w:t>
      </w:r>
      <w:r>
        <w:rPr>
          <w:i/>
          <w:iCs/>
        </w:rPr>
        <w:t>Courrier de l’Air</w:t>
      </w:r>
      <w:r>
        <w:t xml:space="preserve"> were not accidental. MI7 included men like Captain Rees, Captain Grierson and Captain Morton, who had </w:t>
      </w:r>
      <w:r w:rsidR="007A5728">
        <w:t>worked</w:t>
      </w:r>
      <w:r>
        <w:t xml:space="preserve"> as journalists </w:t>
      </w:r>
      <w:r w:rsidR="00080F90">
        <w:t>before the war</w:t>
      </w:r>
      <w:r w:rsidR="007A5728">
        <w:t xml:space="preserve"> </w:t>
      </w:r>
      <w:r>
        <w:t xml:space="preserve">for papers such as </w:t>
      </w:r>
      <w:r>
        <w:rPr>
          <w:i/>
          <w:iCs/>
        </w:rPr>
        <w:t>The Sunday Times</w:t>
      </w:r>
      <w:r>
        <w:t xml:space="preserve">, </w:t>
      </w:r>
      <w:r>
        <w:rPr>
          <w:i/>
          <w:iCs/>
        </w:rPr>
        <w:t xml:space="preserve">The Daily Mail </w:t>
      </w:r>
      <w:r>
        <w:t xml:space="preserve">or </w:t>
      </w:r>
      <w:r>
        <w:rPr>
          <w:i/>
          <w:iCs/>
        </w:rPr>
        <w:t>The Daily Express</w:t>
      </w:r>
      <w:r w:rsidR="007A5728">
        <w:rPr>
          <w:i/>
          <w:iCs/>
        </w:rPr>
        <w:t>,</w:t>
      </w:r>
      <w:r>
        <w:rPr>
          <w:i/>
          <w:iCs/>
        </w:rPr>
        <w:t xml:space="preserve"> </w:t>
      </w:r>
      <w:r>
        <w:t xml:space="preserve">and </w:t>
      </w:r>
      <w:r w:rsidR="007A5728">
        <w:t>were</w:t>
      </w:r>
      <w:r>
        <w:t xml:space="preserve"> recruited </w:t>
      </w:r>
      <w:r w:rsidR="00FB6BDC">
        <w:t>by the</w:t>
      </w:r>
      <w:r w:rsidR="00E623B5">
        <w:t xml:space="preserve"> War Office</w:t>
      </w:r>
      <w:r w:rsidR="00FB6BDC">
        <w:t xml:space="preserve"> </w:t>
      </w:r>
      <w:r>
        <w:t>on the basis of their past experience</w:t>
      </w:r>
      <w:r w:rsidR="00FB6BDC">
        <w:t>.</w:t>
      </w:r>
      <w:r>
        <w:rPr>
          <w:rStyle w:val="FootnoteReference"/>
        </w:rPr>
        <w:footnoteReference w:id="399"/>
      </w:r>
      <w:r>
        <w:t xml:space="preserve"> Involving journalists to supervise war-time propaganda operations was deemed ‘most desirable’ by Harold Lasswell who argued that the profession knew how to manage emotions, facts and ‘how to get over to the average man in the street, as well as to exploit his vocabulary, prejudices and enthusiasms’.</w:t>
      </w:r>
      <w:r>
        <w:rPr>
          <w:rStyle w:val="FootnoteReference"/>
        </w:rPr>
        <w:footnoteReference w:id="400"/>
      </w:r>
      <w:r>
        <w:t xml:space="preserve"> The rigid editorial line used by Heron-Allen also indicated that British propagandists were adopting a methodical approach to psychological combat. A list of objectives, based on serious thoughts and meticulous planning, </w:t>
      </w:r>
      <w:r w:rsidR="00FB6BDC">
        <w:t>showed</w:t>
      </w:r>
      <w:r>
        <w:t xml:space="preserve"> a clear dissociation </w:t>
      </w:r>
      <w:r w:rsidR="007A5728">
        <w:t>from</w:t>
      </w:r>
      <w:r>
        <w:t xml:space="preserve"> the amateurism of the beginning of the conflict and the consecration of pr</w:t>
      </w:r>
      <w:r w:rsidR="00FB6BDC">
        <w:t>opaganda as a professional tool;</w:t>
      </w:r>
      <w:r>
        <w:t xml:space="preserve"> </w:t>
      </w:r>
      <w:r w:rsidR="00080F90">
        <w:t>later historians</w:t>
      </w:r>
      <w:r>
        <w:t xml:space="preserve"> ev</w:t>
      </w:r>
      <w:r w:rsidR="00972DAB">
        <w:t>en talk</w:t>
      </w:r>
      <w:r w:rsidR="00080F90">
        <w:t>ed</w:t>
      </w:r>
      <w:r w:rsidR="00972DAB">
        <w:t xml:space="preserve"> about scientific method</w:t>
      </w:r>
      <w:r>
        <w:t>.</w:t>
      </w:r>
      <w:r>
        <w:rPr>
          <w:rStyle w:val="FootnoteReference"/>
        </w:rPr>
        <w:footnoteReference w:id="401"/>
      </w:r>
      <w:r>
        <w:t xml:space="preserve"> However, the failure to integrate the Flemish language is also a sober reminder that propaganda rules and dynamics </w:t>
      </w:r>
      <w:r w:rsidR="00E623B5">
        <w:t>had still a long way to go</w:t>
      </w:r>
      <w:r>
        <w:t>.</w:t>
      </w:r>
      <w:r>
        <w:rPr>
          <w:rStyle w:val="FootnoteReference"/>
        </w:rPr>
        <w:footnoteReference w:id="402"/>
      </w:r>
      <w:r>
        <w:t xml:space="preserve">  </w:t>
      </w:r>
    </w:p>
    <w:p w14:paraId="1082A80F" w14:textId="453614C9" w:rsidR="0048510E" w:rsidRPr="008B232B" w:rsidRDefault="0048510E" w:rsidP="0048510E">
      <w:pPr>
        <w:jc w:val="both"/>
      </w:pPr>
      <w:r>
        <w:t xml:space="preserve">It was also striking to notice in the third point of the strategy defined by Edward Heron-Allen the calculated brutalisation of moral codes. Annette Becker demonstrated in </w:t>
      </w:r>
      <w:r>
        <w:rPr>
          <w:i/>
          <w:iCs/>
        </w:rPr>
        <w:t>Les oubliés de la Grande Guerre</w:t>
      </w:r>
      <w:r>
        <w:t xml:space="preserve"> that the violence of the First World War corrupted humanitarian standards and laws as well as relations between belligerents.</w:t>
      </w:r>
      <w:r>
        <w:rPr>
          <w:rStyle w:val="FootnoteReference"/>
        </w:rPr>
        <w:footnoteReference w:id="403"/>
      </w:r>
      <w:r>
        <w:t xml:space="preserve"> This escalation, already explored before the Second World War by Georges Moss, was visible in British propaganda aimed at </w:t>
      </w:r>
      <w:r w:rsidR="00972DAB">
        <w:t xml:space="preserve">the </w:t>
      </w:r>
      <w:r>
        <w:t>occupied population</w:t>
      </w:r>
      <w:r w:rsidR="00972DAB">
        <w:t>s</w:t>
      </w:r>
      <w:r>
        <w:t xml:space="preserve"> where verbal violence, rooted in racial discrimination and prejudice, was trivialised.</w:t>
      </w:r>
      <w:r>
        <w:rPr>
          <w:rStyle w:val="FootnoteReference"/>
        </w:rPr>
        <w:footnoteReference w:id="404"/>
      </w:r>
      <w:r>
        <w:t xml:space="preserve"> This point will be explored further in chapter six.</w:t>
      </w:r>
    </w:p>
    <w:p w14:paraId="7F760796" w14:textId="3BD4A6AD" w:rsidR="0048510E" w:rsidRDefault="0048510E" w:rsidP="007A5728">
      <w:pPr>
        <w:jc w:val="both"/>
      </w:pPr>
      <w:r>
        <w:t xml:space="preserve">Postcards depicting British soldiers or generals and accompanied by a bilingual text in French and Flemish were also sent over the lines by the British. It is not known who was behind them but </w:t>
      </w:r>
      <w:r w:rsidR="00972DAB">
        <w:t xml:space="preserve">their presence in the archives of the Belgian GQG </w:t>
      </w:r>
      <w:r>
        <w:t xml:space="preserve">might </w:t>
      </w:r>
      <w:r w:rsidR="00972DAB">
        <w:t>suggest that they were</w:t>
      </w:r>
      <w:r>
        <w:t xml:space="preserve"> a collaborative effort between the British and the Belgians in London.</w:t>
      </w:r>
      <w:r w:rsidR="00972DAB">
        <w:rPr>
          <w:rStyle w:val="FootnoteReference"/>
        </w:rPr>
        <w:footnoteReference w:id="405"/>
      </w:r>
      <w:r>
        <w:t xml:space="preserve"> These postcards revealed that the men designing visual communication material were more careful about language conflicts in Belgium than the team behind the </w:t>
      </w:r>
      <w:r>
        <w:rPr>
          <w:i/>
          <w:iCs/>
        </w:rPr>
        <w:t>Courrier de l’Air</w:t>
      </w:r>
      <w:r>
        <w:t xml:space="preserve">. They were uncommon as MI7 usually </w:t>
      </w:r>
      <w:r w:rsidR="00E623B5">
        <w:t>avoided any form of</w:t>
      </w:r>
      <w:r>
        <w:t xml:space="preserve"> </w:t>
      </w:r>
      <w:r w:rsidR="00080F90">
        <w:t>visual image</w:t>
      </w:r>
      <w:r>
        <w:t>. This reticence to use visual language was in contradiction with its efficiency. Images and amateur photography had become important tools in the British press during the Boer War.</w:t>
      </w:r>
      <w:r>
        <w:rPr>
          <w:rStyle w:val="FootnoteReference"/>
        </w:rPr>
        <w:footnoteReference w:id="406"/>
      </w:r>
      <w:r>
        <w:t xml:space="preserve"> Philippe Robert underlined its value for propaganda when writing that ‘the image is thus liberated from the grammar of space and time and the print remains dynamic, aggressive, fertile and creative’.</w:t>
      </w:r>
      <w:r>
        <w:rPr>
          <w:rStyle w:val="FootnoteReference"/>
        </w:rPr>
        <w:footnoteReference w:id="407"/>
      </w:r>
      <w:r>
        <w:t xml:space="preserve"> The reasons for this absence of illustrations were linked to the risks associated with the use of pictures. Indeed, the British </w:t>
      </w:r>
      <w:r w:rsidRPr="00E623B5">
        <w:t xml:space="preserve">were </w:t>
      </w:r>
      <w:r w:rsidR="007A5728" w:rsidRPr="00E623B5">
        <w:t>wary</w:t>
      </w:r>
      <w:r w:rsidRPr="00E623B5">
        <w:t>, as a letter to the French mission revealed, of the inflammatory iconography contained in the Parisian press</w:t>
      </w:r>
      <w:r w:rsidR="007A5728" w:rsidRPr="00E623B5">
        <w:t>,</w:t>
      </w:r>
      <w:r w:rsidRPr="00E623B5">
        <w:t xml:space="preserve"> </w:t>
      </w:r>
      <w:r w:rsidR="00E623B5" w:rsidRPr="00E623B5">
        <w:t>which</w:t>
      </w:r>
      <w:r>
        <w:t xml:space="preserve"> they had been asked to distribute over their sector:</w:t>
      </w:r>
    </w:p>
    <w:p w14:paraId="6E0DF1E9" w14:textId="77777777" w:rsidR="0048510E" w:rsidRDefault="0048510E" w:rsidP="0048510E">
      <w:pPr>
        <w:ind w:left="567" w:right="567"/>
        <w:jc w:val="both"/>
      </w:pPr>
      <w:r>
        <w:t xml:space="preserve">We shall be glad to do this [distribute the </w:t>
      </w:r>
      <w:r>
        <w:rPr>
          <w:i/>
          <w:iCs/>
        </w:rPr>
        <w:t>Matin</w:t>
      </w:r>
      <w:r>
        <w:t>] each week provided the edition in question contains nothing wich [sic] is openly derogatory to the Kaiser and nothing wich [sic] can be constructed as intending to incite rebellion against or discontent with the Rulers of the German people, either in cartoon, pictures or letter-press. Can arrangements be made that the edition of the date should be free from such inflammatory matter, or in the alternative, a specially censored edition be prepared for aerial distribution?</w:t>
      </w:r>
      <w:r>
        <w:rPr>
          <w:rStyle w:val="FootnoteReference"/>
        </w:rPr>
        <w:footnoteReference w:id="408"/>
      </w:r>
    </w:p>
    <w:p w14:paraId="2806718E" w14:textId="77777777" w:rsidR="0048510E" w:rsidRDefault="0048510E" w:rsidP="0048510E">
      <w:pPr>
        <w:jc w:val="both"/>
      </w:pPr>
      <w:r>
        <w:t>The British understood that visual propaganda, and especially its ability to transcend the language barrier, was easily camouflaged and misused by enemy propaganda. In fact, the French SPA had mastered this method both to undermine the morale of the German army and to ridicule the occupier in its black propaganda.</w:t>
      </w:r>
      <w:r>
        <w:rPr>
          <w:rStyle w:val="FootnoteReference"/>
        </w:rPr>
        <w:footnoteReference w:id="409"/>
      </w:r>
      <w:r>
        <w:t xml:space="preserve">  </w:t>
      </w:r>
    </w:p>
    <w:p w14:paraId="1A3F1C72" w14:textId="77777777" w:rsidR="0048510E" w:rsidRDefault="0048510E" w:rsidP="0048510E">
      <w:pPr>
        <w:pStyle w:val="Heading2"/>
      </w:pPr>
      <w:bookmarkStart w:id="43" w:name="_Toc378223858"/>
      <w:bookmarkStart w:id="44" w:name="_Toc402192966"/>
      <w:r>
        <w:t>Black propaganda</w:t>
      </w:r>
      <w:bookmarkEnd w:id="43"/>
      <w:bookmarkEnd w:id="44"/>
    </w:p>
    <w:p w14:paraId="0232FC50" w14:textId="6A28C9ED" w:rsidR="0048510E" w:rsidRDefault="0048510E" w:rsidP="007A5728">
      <w:pPr>
        <w:jc w:val="both"/>
      </w:pPr>
      <w:r>
        <w:t xml:space="preserve">Deception propaganda, and in particular fabricated atrocity stories, attracted a considerable amount of attention in the aftermath of the First World War and damaged both </w:t>
      </w:r>
      <w:r w:rsidR="00080F90">
        <w:t xml:space="preserve">appreciation of </w:t>
      </w:r>
      <w:r>
        <w:t>the reality of massacres during the German invasion and the reputation of propaganda.</w:t>
      </w:r>
      <w:r>
        <w:rPr>
          <w:rStyle w:val="FootnoteReference"/>
        </w:rPr>
        <w:footnoteReference w:id="410"/>
      </w:r>
      <w:r>
        <w:t xml:space="preserve"> </w:t>
      </w:r>
      <w:r w:rsidR="007A5728">
        <w:t>However,</w:t>
      </w:r>
      <w:r>
        <w:t xml:space="preserve"> this hostility usually betrayed an ignorance of covert propaganda’s nature which was defined by </w:t>
      </w:r>
      <w:r>
        <w:rPr>
          <w:i/>
          <w:iCs/>
        </w:rPr>
        <w:t xml:space="preserve">Propaganda and mass persuasion: a historical encyclopedia </w:t>
      </w:r>
      <w:r>
        <w:t>as:</w:t>
      </w:r>
    </w:p>
    <w:p w14:paraId="790633B2" w14:textId="77777777" w:rsidR="0048510E" w:rsidRDefault="0048510E" w:rsidP="0048510E">
      <w:pPr>
        <w:ind w:left="567" w:right="567"/>
        <w:jc w:val="both"/>
      </w:pPr>
      <w:r>
        <w:t>“Black” propaganda (sometimes referred to as ‘covert’ propaganda) tries to conceal its own identity by purporting to emanate from someone or somewhere other than the true source. In black propaganda not only is there deliberate distortion but the identity of the source is usually concealed or inaccurate.</w:t>
      </w:r>
      <w:r>
        <w:rPr>
          <w:rStyle w:val="FootnoteReference"/>
        </w:rPr>
        <w:footnoteReference w:id="411"/>
      </w:r>
    </w:p>
    <w:p w14:paraId="7DFA1B10" w14:textId="04EC8AE2" w:rsidR="0048510E" w:rsidRDefault="0048510E" w:rsidP="007A5728">
      <w:pPr>
        <w:jc w:val="both"/>
      </w:pPr>
      <w:r>
        <w:t>In fact, white and grey propaganda were vastly preferred to the black form during the First World War, a fact confirmed when looking at communication operation</w:t>
      </w:r>
      <w:r w:rsidR="00972DAB">
        <w:t>s</w:t>
      </w:r>
      <w:r>
        <w:t xml:space="preserve"> behind the lines.</w:t>
      </w:r>
      <w:r>
        <w:rPr>
          <w:rStyle w:val="FootnoteReference"/>
        </w:rPr>
        <w:footnoteReference w:id="412"/>
      </w:r>
      <w:r>
        <w:t xml:space="preserve"> If all nations extensively used deception against German soldiers, France was the only country </w:t>
      </w:r>
      <w:r w:rsidR="007A5728">
        <w:t>which put</w:t>
      </w:r>
      <w:r>
        <w:t xml:space="preserve"> this method of persuasion to the test against a frien</w:t>
      </w:r>
      <w:r w:rsidR="00972DAB">
        <w:t>dly civilian population on the w</w:t>
      </w:r>
      <w:r>
        <w:t xml:space="preserve">estern </w:t>
      </w:r>
      <w:r w:rsidR="00972DAB">
        <w:t>f</w:t>
      </w:r>
      <w:r>
        <w:t xml:space="preserve">ront. It seems that the British and the Belgians failed to identify the principle later underlined by Ellul </w:t>
      </w:r>
      <w:r w:rsidR="00972DAB">
        <w:t>that</w:t>
      </w:r>
      <w:r>
        <w:t xml:space="preserve"> </w:t>
      </w:r>
      <w:r w:rsidR="00972DAB">
        <w:t>stated</w:t>
      </w:r>
      <w:r>
        <w:t xml:space="preserve"> that white and black propaganda needed to be combined</w:t>
      </w:r>
      <w:r w:rsidR="007A5728">
        <w:t>,</w:t>
      </w:r>
      <w:r>
        <w:t xml:space="preserve"> as they </w:t>
      </w:r>
      <w:r w:rsidR="007A5728">
        <w:t>pursued</w:t>
      </w:r>
      <w:r>
        <w:t xml:space="preserve"> different objectives.</w:t>
      </w:r>
      <w:r>
        <w:rPr>
          <w:rStyle w:val="FootnoteReference"/>
        </w:rPr>
        <w:footnoteReference w:id="413"/>
      </w:r>
      <w:r>
        <w:t xml:space="preserve"> Indeed, one was used to inform</w:t>
      </w:r>
      <w:r w:rsidR="007A5728">
        <w:t>,</w:t>
      </w:r>
      <w:r>
        <w:t xml:space="preserve"> while the other was employed to ridicule. Moreover, overt propaganda was traditionally admitted and assumed by its authors</w:t>
      </w:r>
      <w:r w:rsidR="007A5728">
        <w:t>,</w:t>
      </w:r>
      <w:r>
        <w:t xml:space="preserve"> in</w:t>
      </w:r>
      <w:r w:rsidR="007A5728">
        <w:t xml:space="preserve"> order to deny its covert alter-</w:t>
      </w:r>
      <w:r>
        <w:t>ego.</w:t>
      </w:r>
      <w:r>
        <w:rPr>
          <w:rStyle w:val="FootnoteReference"/>
        </w:rPr>
        <w:footnoteReference w:id="414"/>
      </w:r>
      <w:r>
        <w:t xml:space="preserve"> However, the memoirs of Walter Nicolai suggested that the falsifications</w:t>
      </w:r>
      <w:r w:rsidR="00972DAB">
        <w:t xml:space="preserve"> were clearly identified as an a</w:t>
      </w:r>
      <w:r>
        <w:t>llied product by the German secret services.</w:t>
      </w:r>
      <w:r>
        <w:rPr>
          <w:rStyle w:val="FootnoteReference"/>
        </w:rPr>
        <w:footnoteReference w:id="415"/>
      </w:r>
      <w:r>
        <w:t xml:space="preserve"> </w:t>
      </w:r>
    </w:p>
    <w:p w14:paraId="7EED3F34" w14:textId="38112787" w:rsidR="0048510E" w:rsidRDefault="0048510E" w:rsidP="007A5728">
      <w:pPr>
        <w:jc w:val="both"/>
      </w:pPr>
      <w:r>
        <w:t xml:space="preserve">The French used black propaganda solely to attack the </w:t>
      </w:r>
      <w:r>
        <w:rPr>
          <w:i/>
          <w:iCs/>
        </w:rPr>
        <w:t>Gazette des Ardennes</w:t>
      </w:r>
      <w:r>
        <w:t>. The enemy newspaper from Charleville was faked almost to perfection more than eight times between 1916 and 1917. The exact number of forged editions published by the French is not known as surviving copies are very rare</w:t>
      </w:r>
      <w:r w:rsidR="007A5728">
        <w:t>,</w:t>
      </w:r>
      <w:r>
        <w:t xml:space="preserve"> but production appears to have </w:t>
      </w:r>
      <w:r w:rsidR="00972DAB">
        <w:t>stopped</w:t>
      </w:r>
      <w:r>
        <w:t xml:space="preserve"> without </w:t>
      </w:r>
      <w:r w:rsidR="006433E6">
        <w:t>any reason</w:t>
      </w:r>
      <w:r>
        <w:t xml:space="preserve"> after September 1917.</w:t>
      </w:r>
      <w:r>
        <w:rPr>
          <w:rStyle w:val="FootnoteReference"/>
        </w:rPr>
        <w:footnoteReference w:id="416"/>
      </w:r>
      <w:r>
        <w:t xml:space="preserve"> The motives for </w:t>
      </w:r>
      <w:r w:rsidR="006433E6">
        <w:t xml:space="preserve">the use of </w:t>
      </w:r>
      <w:r>
        <w:t>an action of covert propaganda were explained by Hansi and Tonnelat after the war:</w:t>
      </w:r>
    </w:p>
    <w:p w14:paraId="6E9E9A9C" w14:textId="77777777" w:rsidR="0048510E" w:rsidRDefault="0048510E" w:rsidP="0048510E">
      <w:pPr>
        <w:ind w:left="567" w:right="567"/>
        <w:jc w:val="both"/>
        <w:rPr>
          <w:lang w:val="fr-FR"/>
        </w:rPr>
      </w:pPr>
      <w:r w:rsidRPr="0059600A">
        <w:rPr>
          <w:lang w:val="fr-FR"/>
        </w:rPr>
        <w:t xml:space="preserve">Quant à la </w:t>
      </w:r>
      <w:r w:rsidRPr="0059600A">
        <w:rPr>
          <w:i/>
          <w:iCs/>
          <w:lang w:val="fr-FR"/>
        </w:rPr>
        <w:t>Gazette des Ardennes</w:t>
      </w:r>
      <w:r>
        <w:rPr>
          <w:lang w:val="fr-FR"/>
        </w:rPr>
        <w:t xml:space="preserve"> elle-même, elle nous prêta, à plusieurs reprises, un pavillon commode pour répandre dans les régions du Nord des paroles d’encouragement et d’espoir. Ce journal avait trois éditions différentes : l’édition ordinaire qui paraissait quatre fois par semaine ; l’édition hebdomadaire, qui n’était qu’un résumé de la première ; et enfin l’édition illustrée, publiée à des intervalles assez irréguliers. Dans les unes comme dans les autres, une propagande puérile, mais tenace, cherchait à représenter l’Angleterre comme la grande ennemie commune de l’Allemagne et de la France, les gouvernants français comme les jouets de la perfide Albion, le peuple français comme une pitoyable victime, et l’Etat-Major allemand comme le parangon de toutes les vertus chevaleresques.</w:t>
      </w:r>
      <w:r>
        <w:rPr>
          <w:rStyle w:val="FootnoteReference"/>
          <w:lang w:val="fr-FR"/>
        </w:rPr>
        <w:footnoteReference w:id="417"/>
      </w:r>
    </w:p>
    <w:p w14:paraId="559E4217" w14:textId="76067138" w:rsidR="0048510E" w:rsidRDefault="0048510E" w:rsidP="007A5728">
      <w:pPr>
        <w:jc w:val="both"/>
      </w:pPr>
      <w:r>
        <w:t xml:space="preserve">This quotation </w:t>
      </w:r>
      <w:r w:rsidR="007A5728">
        <w:t>makes</w:t>
      </w:r>
      <w:r>
        <w:t xml:space="preserve"> it clear that deception was used </w:t>
      </w:r>
      <w:r w:rsidR="00972DAB">
        <w:t xml:space="preserve">to cheat the Germans, who </w:t>
      </w:r>
      <w:r>
        <w:t xml:space="preserve">thought that civilians were reading a paper controlled by the invader. Nonetheless, members of the SPA failed to identify properly the person who decided these operations. It </w:t>
      </w:r>
      <w:r w:rsidR="007A5728">
        <w:t>appears</w:t>
      </w:r>
      <w:r>
        <w:t xml:space="preserve"> unlikely that the duo ventured in such a complex campaign of communication without orders. It has been underlined before that the SPA was limited in its action</w:t>
      </w:r>
      <w:r w:rsidR="00972DAB">
        <w:t>s</w:t>
      </w:r>
      <w:r>
        <w:t xml:space="preserve"> by a mixed </w:t>
      </w:r>
      <w:r w:rsidR="00972DAB">
        <w:t>committee</w:t>
      </w:r>
      <w:r>
        <w:t xml:space="preserve"> of politicians and officers.</w:t>
      </w:r>
      <w:r>
        <w:rPr>
          <w:rStyle w:val="FootnoteReference"/>
        </w:rPr>
        <w:footnoteReference w:id="418"/>
      </w:r>
      <w:r>
        <w:t xml:space="preserve">  </w:t>
      </w:r>
      <w:r>
        <w:rPr>
          <w:i/>
          <w:iCs/>
        </w:rPr>
        <w:t>La Voix du Pays</w:t>
      </w:r>
      <w:r>
        <w:t xml:space="preserve"> was already an idea of the highest French authorities</w:t>
      </w:r>
      <w:r w:rsidR="0088753A">
        <w:t>,</w:t>
      </w:r>
      <w:r>
        <w:t xml:space="preserve"> who had denounced </w:t>
      </w:r>
      <w:r>
        <w:rPr>
          <w:i/>
          <w:iCs/>
        </w:rPr>
        <w:t>La Gazette des Ardennes</w:t>
      </w:r>
      <w:r w:rsidR="00972DAB" w:rsidRPr="00972DAB">
        <w:t xml:space="preserve"> </w:t>
      </w:r>
      <w:r w:rsidR="00972DAB">
        <w:t>on multiple occasions</w:t>
      </w:r>
      <w:r>
        <w:t>. Covert operations were a coherent continuation to a strategy of counter-propaganda against the German press</w:t>
      </w:r>
      <w:r w:rsidR="0088753A">
        <w:t>,</w:t>
      </w:r>
      <w:r>
        <w:t xml:space="preserve"> in French</w:t>
      </w:r>
      <w:r w:rsidR="0088753A">
        <w:t>,</w:t>
      </w:r>
      <w:r>
        <w:t xml:space="preserve"> initiated with the creation of </w:t>
      </w:r>
      <w:r>
        <w:rPr>
          <w:i/>
          <w:iCs/>
        </w:rPr>
        <w:t xml:space="preserve">La Voix du </w:t>
      </w:r>
      <w:r w:rsidRPr="009523DE">
        <w:rPr>
          <w:i/>
          <w:iCs/>
        </w:rPr>
        <w:t>Pays</w:t>
      </w:r>
      <w:r>
        <w:rPr>
          <w:i/>
          <w:iCs/>
        </w:rPr>
        <w:t xml:space="preserve">. </w:t>
      </w:r>
    </w:p>
    <w:p w14:paraId="335A4A18" w14:textId="688B0E5E" w:rsidR="0048510E" w:rsidRPr="00054A1F" w:rsidRDefault="0048510E" w:rsidP="0088753A">
      <w:pPr>
        <w:jc w:val="both"/>
      </w:pPr>
      <w:r>
        <w:t>This state-sanctioned manipulation was opposed in many ways to French white propaganda. Of course, omissions and optimism remained key ingredients at the core of communication</w:t>
      </w:r>
      <w:r w:rsidR="0088753A">
        <w:t>,</w:t>
      </w:r>
      <w:r>
        <w:t xml:space="preserve"> but were</w:t>
      </w:r>
      <w:r w:rsidR="0088753A">
        <w:t xml:space="preserve"> here</w:t>
      </w:r>
      <w:r>
        <w:t xml:space="preserve"> joined by an aggressive and well-written campaign against the Germans. There was also a vast amount of visual material in the fake </w:t>
      </w:r>
      <w:r>
        <w:rPr>
          <w:i/>
          <w:iCs/>
        </w:rPr>
        <w:t>Gazette des Ardennes illustrée</w:t>
      </w:r>
      <w:r>
        <w:t xml:space="preserve">. In this </w:t>
      </w:r>
      <w:r w:rsidR="00905B4F">
        <w:t>newspaper</w:t>
      </w:r>
      <w:r>
        <w:t>, the SPA carried to the extreme the idea of a war of defence against a menacing aggress</w:t>
      </w:r>
      <w:r w:rsidR="0088753A">
        <w:t>or in order to mobilise the hatred in</w:t>
      </w:r>
      <w:r>
        <w:t xml:space="preserve"> the people. Alan Kramer demonstrated in </w:t>
      </w:r>
      <w:r>
        <w:rPr>
          <w:i/>
          <w:iCs/>
        </w:rPr>
        <w:t>Dynamic of destruction</w:t>
      </w:r>
      <w:r>
        <w:t xml:space="preserve"> that France was united </w:t>
      </w:r>
      <w:r w:rsidR="0088753A">
        <w:t>from</w:t>
      </w:r>
      <w:r>
        <w:t xml:space="preserve"> the beginning of the conflict by principles such as guarding the country and holding the principles of the republic.</w:t>
      </w:r>
      <w:r>
        <w:rPr>
          <w:rStyle w:val="FootnoteReference"/>
        </w:rPr>
        <w:footnoteReference w:id="419"/>
      </w:r>
      <w:r>
        <w:t xml:space="preserve"> To underline the danger, all aspects of enemy society were covered</w:t>
      </w:r>
      <w:r w:rsidR="0088753A">
        <w:t>,</w:t>
      </w:r>
      <w:r>
        <w:t xml:space="preserve"> to harden prevailing stereotypes such as the militarism, the bestiality of Germany and her ‘Kultur’ or the perverted figure of the Kaiser, and offer new prejudices targeted at the realities of occupation.</w:t>
      </w:r>
      <w:r>
        <w:rPr>
          <w:rStyle w:val="FootnoteReference"/>
        </w:rPr>
        <w:footnoteReference w:id="420"/>
      </w:r>
      <w:r>
        <w:t xml:space="preserve"> It was a common and efficient strategy employed </w:t>
      </w:r>
      <w:r w:rsidR="00991D7C">
        <w:t xml:space="preserve">on numerous occasions </w:t>
      </w:r>
      <w:r>
        <w:t xml:space="preserve">during the First World War toward populations already partial to the </w:t>
      </w:r>
      <w:r w:rsidR="002068A7">
        <w:t>a</w:t>
      </w:r>
      <w:r>
        <w:t>llied cause.</w:t>
      </w:r>
      <w:r>
        <w:rPr>
          <w:rStyle w:val="FootnoteReference"/>
        </w:rPr>
        <w:footnoteReference w:id="421"/>
      </w:r>
      <w:r>
        <w:t xml:space="preserve"> </w:t>
      </w:r>
    </w:p>
    <w:p w14:paraId="29D9371D" w14:textId="4165A219" w:rsidR="0048510E" w:rsidRDefault="0048510E" w:rsidP="0088753A">
      <w:pPr>
        <w:jc w:val="both"/>
      </w:pPr>
      <w:r>
        <w:t xml:space="preserve">The iconography was carefully selected and showed a high degree of </w:t>
      </w:r>
      <w:r w:rsidR="006433E6">
        <w:t>thought</w:t>
      </w:r>
      <w:r>
        <w:t>. Pictures were chosen first and foremost for their ability to advertise the French army and society. The sight of a friendly uniform and the display of military power were ways to trigger enthusiasm, a stimulus sought by propagandists, and to reassure</w:t>
      </w:r>
      <w:r w:rsidR="0088753A">
        <w:t xml:space="preserve"> their viewer</w:t>
      </w:r>
      <w:r>
        <w:t>.</w:t>
      </w:r>
      <w:r>
        <w:rPr>
          <w:rStyle w:val="FootnoteReference"/>
        </w:rPr>
        <w:footnoteReference w:id="422"/>
      </w:r>
      <w:r w:rsidR="0088753A">
        <w:t xml:space="preserve"> But the visual content seems</w:t>
      </w:r>
      <w:r>
        <w:t xml:space="preserve"> </w:t>
      </w:r>
      <w:r w:rsidR="006433E6">
        <w:t xml:space="preserve">also </w:t>
      </w:r>
      <w:r>
        <w:t xml:space="preserve">to have </w:t>
      </w:r>
      <w:r w:rsidR="0088753A">
        <w:t>been</w:t>
      </w:r>
      <w:r>
        <w:t xml:space="preserve"> targeted at German soldiers. Several images of prisoners of war leading a peaceful and comfortable existence were published in the fake </w:t>
      </w:r>
      <w:r>
        <w:rPr>
          <w:i/>
          <w:iCs/>
        </w:rPr>
        <w:t>Gazette des Ardennes illustrée</w:t>
      </w:r>
      <w:r>
        <w:t>.</w:t>
      </w:r>
      <w:r>
        <w:rPr>
          <w:rStyle w:val="FootnoteReference"/>
        </w:rPr>
        <w:footnoteReference w:id="423"/>
      </w:r>
      <w:r>
        <w:t xml:space="preserve"> As Robert Philippe said:</w:t>
      </w:r>
    </w:p>
    <w:p w14:paraId="0D241673" w14:textId="77777777" w:rsidR="0048510E" w:rsidRDefault="0048510E" w:rsidP="0048510E">
      <w:pPr>
        <w:ind w:left="567" w:right="567"/>
        <w:jc w:val="both"/>
      </w:pPr>
      <w:r>
        <w:t>The synthesizing power of the print expresses both what is visible and what is concealed. To what is, it adds what has been and what will be. The image is thus liberated from the grammar of space and time and the print remains dynamic, aggressive, fertile, and creative.</w:t>
      </w:r>
      <w:r>
        <w:rPr>
          <w:rStyle w:val="FootnoteReference"/>
        </w:rPr>
        <w:footnoteReference w:id="424"/>
      </w:r>
    </w:p>
    <w:p w14:paraId="3C7DF51F" w14:textId="467B0901" w:rsidR="0048510E" w:rsidRDefault="0048510E" w:rsidP="0048510E">
      <w:pPr>
        <w:jc w:val="both"/>
      </w:pPr>
      <w:r>
        <w:t>The move was clever</w:t>
      </w:r>
      <w:r w:rsidR="006433E6">
        <w:t>,</w:t>
      </w:r>
      <w:r>
        <w:t xml:space="preserve"> as the occupier, who was likely to confiscate this literature sooner or later, was bound to recognise the unequivocal pictures without </w:t>
      </w:r>
      <w:r w:rsidR="00991D7C">
        <w:t>understanding</w:t>
      </w:r>
      <w:r>
        <w:t xml:space="preserve"> French. </w:t>
      </w:r>
    </w:p>
    <w:p w14:paraId="47317AB5" w14:textId="77777777" w:rsidR="0048510E" w:rsidRDefault="0048510E" w:rsidP="0048510E">
      <w:pPr>
        <w:pStyle w:val="Heading2"/>
      </w:pPr>
      <w:bookmarkStart w:id="45" w:name="_Toc378223859"/>
      <w:bookmarkStart w:id="46" w:name="_Toc402192967"/>
      <w:r>
        <w:t>Conclusion</w:t>
      </w:r>
      <w:bookmarkEnd w:id="45"/>
      <w:bookmarkEnd w:id="46"/>
    </w:p>
    <w:p w14:paraId="503D406E" w14:textId="0CCCF53C" w:rsidR="0048510E" w:rsidRDefault="0048510E" w:rsidP="0088753A">
      <w:pPr>
        <w:jc w:val="both"/>
      </w:pPr>
      <w:r>
        <w:t xml:space="preserve">Evidence suggests that </w:t>
      </w:r>
      <w:r w:rsidR="002068A7">
        <w:t>a</w:t>
      </w:r>
      <w:r>
        <w:t xml:space="preserve">llied domination over the communication channels on the international scene held little relevance in the occupied territories where German propaganda had a tight control over the flow of information. The lack of initiative forced the </w:t>
      </w:r>
      <w:r w:rsidR="0088753A">
        <w:t xml:space="preserve">allied </w:t>
      </w:r>
      <w:r>
        <w:t>nations to rethink their strategy. Parisian newspapers were dropped in a hurry but were unsuited for the occupied populations who were now disconnect</w:t>
      </w:r>
      <w:r w:rsidR="00913FF1">
        <w:t>ed from the war culture on the home f</w:t>
      </w:r>
      <w:r>
        <w:t xml:space="preserve">ront. The </w:t>
      </w:r>
      <w:r w:rsidR="005737DD">
        <w:rPr>
          <w:i/>
          <w:iCs/>
        </w:rPr>
        <w:t>c</w:t>
      </w:r>
      <w:r w:rsidR="00313D55">
        <w:rPr>
          <w:i/>
          <w:iCs/>
        </w:rPr>
        <w:t>ulture de</w:t>
      </w:r>
      <w:r>
        <w:rPr>
          <w:i/>
          <w:iCs/>
        </w:rPr>
        <w:t xml:space="preserve"> </w:t>
      </w:r>
      <w:r w:rsidR="00313D55">
        <w:rPr>
          <w:i/>
          <w:iCs/>
        </w:rPr>
        <w:t>l’</w:t>
      </w:r>
      <w:r>
        <w:rPr>
          <w:i/>
          <w:iCs/>
        </w:rPr>
        <w:t>occupé</w:t>
      </w:r>
      <w:r>
        <w:t xml:space="preserve"> meant that Parisian </w:t>
      </w:r>
      <w:r w:rsidR="00905B4F">
        <w:t>newspapers</w:t>
      </w:r>
      <w:r>
        <w:t xml:space="preserve"> had to be </w:t>
      </w:r>
      <w:r w:rsidR="00991D7C">
        <w:t>supplemented</w:t>
      </w:r>
      <w:r>
        <w:t xml:space="preserve"> by specific publications answering cultural </w:t>
      </w:r>
      <w:r w:rsidR="00991D7C">
        <w:t>sensitivities</w:t>
      </w:r>
      <w:r>
        <w:t xml:space="preserve"> in the occupied territories. Without consulting </w:t>
      </w:r>
      <w:r w:rsidR="0088753A">
        <w:t>one</w:t>
      </w:r>
      <w:r>
        <w:t xml:space="preserve"> other, </w:t>
      </w:r>
      <w:r w:rsidR="0088753A">
        <w:t>Britain, France and Belgium</w:t>
      </w:r>
      <w:r>
        <w:t xml:space="preserve"> concluded that a dedicated form of psychological warfare was necessary. </w:t>
      </w:r>
    </w:p>
    <w:p w14:paraId="58DD8B29" w14:textId="5ABD4A66" w:rsidR="0048510E" w:rsidRDefault="0048510E" w:rsidP="0088753A">
      <w:pPr>
        <w:jc w:val="both"/>
      </w:pPr>
      <w:r>
        <w:t xml:space="preserve">White propaganda, in the shape of newspapers, was unanimously adopted by </w:t>
      </w:r>
      <w:r w:rsidR="0088753A">
        <w:t>all three nations</w:t>
      </w:r>
      <w:r>
        <w:t xml:space="preserve">. German domination over communication meant that aerial propaganda was at least partially a form of counter-propaganda. This phenomenon translated into attempts to answer the Germans, </w:t>
      </w:r>
      <w:r w:rsidR="0088753A">
        <w:t xml:space="preserve">through </w:t>
      </w:r>
      <w:r>
        <w:t>copy</w:t>
      </w:r>
      <w:r w:rsidR="0088753A">
        <w:t>ing</w:t>
      </w:r>
      <w:r>
        <w:t xml:space="preserve"> their method</w:t>
      </w:r>
      <w:r w:rsidR="0088753A">
        <w:t>s of communication, or devaluing</w:t>
      </w:r>
      <w:r w:rsidR="003918F7">
        <w:t xml:space="preserve"> their publications. Yet, the a</w:t>
      </w:r>
      <w:r>
        <w:t xml:space="preserve">llies also tried to attack the enemy on new grounds. The French were the first to create a specific </w:t>
      </w:r>
      <w:r w:rsidR="00905B4F">
        <w:t>newspaper</w:t>
      </w:r>
      <w:r>
        <w:t xml:space="preserve">. The tone </w:t>
      </w:r>
      <w:r w:rsidR="0088753A">
        <w:t xml:space="preserve">of this </w:t>
      </w:r>
      <w:r>
        <w:t xml:space="preserve">was far from the exaggerations contained in the Parisian press and uniquely offered a space dedicated to the refugees. Strategies of communication were centred on optimism </w:t>
      </w:r>
      <w:r w:rsidR="00991D7C">
        <w:t>for</w:t>
      </w:r>
      <w:r>
        <w:t xml:space="preserve"> the future and the omission of embarrassing facts</w:t>
      </w:r>
      <w:r w:rsidR="0088753A">
        <w:t>,</w:t>
      </w:r>
      <w:r>
        <w:t xml:space="preserve"> but usually avoided blatant lies. Belgium equally promoted enthusiasm but suffered from disorganisation. No </w:t>
      </w:r>
      <w:r w:rsidR="006433E6">
        <w:t>fewer</w:t>
      </w:r>
      <w:r>
        <w:t xml:space="preserve"> than four newspapers, including one fully written in Flemish, were created. If Belgian publications </w:t>
      </w:r>
      <w:r w:rsidR="006433E6">
        <w:t>emanating from</w:t>
      </w:r>
      <w:r>
        <w:t xml:space="preserve"> Le Havre offered moderation in their content, collaboration with the British </w:t>
      </w:r>
      <w:r w:rsidR="0088753A">
        <w:t>resulted in</w:t>
      </w:r>
      <w:r>
        <w:t xml:space="preserve"> more hateful</w:t>
      </w:r>
      <w:r w:rsidR="00991D7C">
        <w:t xml:space="preserve"> content</w:t>
      </w:r>
      <w:r>
        <w:t xml:space="preserve">. But </w:t>
      </w:r>
      <w:r w:rsidR="00E623B5">
        <w:t>prejudice</w:t>
      </w:r>
      <w:r>
        <w:t xml:space="preserve"> was mainly the trademark of the British </w:t>
      </w:r>
      <w:r w:rsidR="00905B4F">
        <w:t>newspaper</w:t>
      </w:r>
      <w:r w:rsidR="0088753A">
        <w:t>,</w:t>
      </w:r>
      <w:r>
        <w:t xml:space="preserve"> where discrimination and cynicism were commonly used. </w:t>
      </w:r>
      <w:r w:rsidR="00991D7C">
        <w:t>This chapter suggested</w:t>
      </w:r>
      <w:r>
        <w:t xml:space="preserve"> that strategies of the popular press, </w:t>
      </w:r>
      <w:r w:rsidR="006433E6">
        <w:t>for which</w:t>
      </w:r>
      <w:r w:rsidR="0088753A">
        <w:t xml:space="preserve"> came </w:t>
      </w:r>
      <w:r>
        <w:t>several</w:t>
      </w:r>
      <w:r w:rsidR="006433E6">
        <w:t xml:space="preserve"> of the</w:t>
      </w:r>
      <w:r>
        <w:t xml:space="preserve"> British propagandists</w:t>
      </w:r>
      <w:r w:rsidR="006433E6">
        <w:t xml:space="preserve"> had worked</w:t>
      </w:r>
      <w:r>
        <w:t xml:space="preserve">, were adopted and adapted to the necessities of war. </w:t>
      </w:r>
    </w:p>
    <w:p w14:paraId="46307D82" w14:textId="1C00FA90" w:rsidR="0048510E" w:rsidRDefault="0048510E" w:rsidP="0088753A">
      <w:pPr>
        <w:jc w:val="both"/>
      </w:pPr>
      <w:r>
        <w:t>Visual communication, mostly British caricatures attacking the Kaiser and the German army</w:t>
      </w:r>
      <w:r w:rsidR="00991D7C" w:rsidRPr="00991D7C">
        <w:t xml:space="preserve"> </w:t>
      </w:r>
      <w:r w:rsidR="00991D7C">
        <w:t>with ferocity</w:t>
      </w:r>
      <w:r>
        <w:t xml:space="preserve">, was employed by the Belgians in their publication printed in England. Coupled with the violence of British propaganda, they tend to confirm the brutalisation of the First World War. Unfortunately, visual supports in aerial propaganda </w:t>
      </w:r>
      <w:r w:rsidR="0088753A">
        <w:t>are</w:t>
      </w:r>
      <w:r>
        <w:t xml:space="preserve"> poorly documented in the archives.</w:t>
      </w:r>
    </w:p>
    <w:p w14:paraId="645D5B5D" w14:textId="17B40846" w:rsidR="00EF1534" w:rsidRDefault="0048510E" w:rsidP="0088753A">
      <w:pPr>
        <w:jc w:val="both"/>
      </w:pPr>
      <w:r>
        <w:t xml:space="preserve">Black propaganda was used by all major nations against frontline soldiers during the First World War. Yet, its possibilities were only exploited by the French in the occupied territories. </w:t>
      </w:r>
      <w:r w:rsidR="0088753A">
        <w:t>However,</w:t>
      </w:r>
      <w:r>
        <w:t xml:space="preserve"> the fraud was not aimed at the French</w:t>
      </w:r>
      <w:r w:rsidR="0088753A">
        <w:t>,</w:t>
      </w:r>
      <w:r>
        <w:t xml:space="preserve"> but at the Germans</w:t>
      </w:r>
      <w:r w:rsidR="0088753A">
        <w:t>,</w:t>
      </w:r>
      <w:r>
        <w:t xml:space="preserve"> who were led to believe that the populations were reading authorised publications. </w:t>
      </w:r>
      <w:r w:rsidR="00991D7C">
        <w:t>It</w:t>
      </w:r>
      <w:r>
        <w:t xml:space="preserve"> appears almost certain that black propaganda was initiated at the highest levels to </w:t>
      </w:r>
      <w:r w:rsidR="0088753A">
        <w:t>damage</w:t>
      </w:r>
      <w:r>
        <w:t xml:space="preserve"> the reputation of the German secret services. The content of these fake newspapers was in line with the common French narrative of war and was mainly dedicated to the necessity </w:t>
      </w:r>
      <w:r w:rsidR="006433E6">
        <w:t>of</w:t>
      </w:r>
      <w:r>
        <w:t xml:space="preserve"> defend</w:t>
      </w:r>
      <w:r w:rsidR="006433E6">
        <w:t>ing</w:t>
      </w:r>
      <w:r>
        <w:t xml:space="preserve"> the republic against a power-hungry invader. </w:t>
      </w:r>
      <w:r w:rsidR="0088753A">
        <w:t>I</w:t>
      </w:r>
      <w:r>
        <w:t>conography was inserted not only to demonstrate the might of the French army to the occupied populations</w:t>
      </w:r>
      <w:r w:rsidR="0088753A">
        <w:t>,</w:t>
      </w:r>
      <w:r>
        <w:t xml:space="preserve"> but also to induce, through representations of comfortable prisoners of war camps, </w:t>
      </w:r>
      <w:r w:rsidRPr="00E623B5">
        <w:t>the idea of surrender and captivity in</w:t>
      </w:r>
      <w:r w:rsidR="0088753A" w:rsidRPr="00E623B5">
        <w:t>to</w:t>
      </w:r>
      <w:r w:rsidRPr="00E623B5">
        <w:t xml:space="preserve"> the mind</w:t>
      </w:r>
      <w:r w:rsidR="0088753A" w:rsidRPr="00E623B5">
        <w:t>s</w:t>
      </w:r>
      <w:r w:rsidR="00EF1534" w:rsidRPr="00E623B5">
        <w:t xml:space="preserve"> of the German soldi</w:t>
      </w:r>
      <w:r w:rsidR="00E623B5" w:rsidRPr="00E623B5">
        <w:t>ers.</w:t>
      </w:r>
    </w:p>
    <w:p w14:paraId="08298203" w14:textId="77777777" w:rsidR="006B0B31" w:rsidRDefault="006B0B31" w:rsidP="0088753A">
      <w:pPr>
        <w:jc w:val="both"/>
        <w:sectPr w:rsidR="006B0B31" w:rsidSect="00F51E28">
          <w:pgSz w:w="11907" w:h="16839" w:code="9"/>
          <w:pgMar w:top="1440" w:right="1440" w:bottom="1440" w:left="1440" w:header="708" w:footer="708" w:gutter="0"/>
          <w:cols w:space="708"/>
          <w:titlePg/>
          <w:docGrid w:linePitch="360"/>
        </w:sectPr>
      </w:pPr>
    </w:p>
    <w:p w14:paraId="64612766" w14:textId="77777777" w:rsidR="00EF1534" w:rsidRDefault="00EF1534" w:rsidP="0088753A">
      <w:pPr>
        <w:jc w:val="both"/>
        <w:sectPr w:rsidR="00EF1534" w:rsidSect="00F51E28">
          <w:pgSz w:w="11907" w:h="16839" w:code="9"/>
          <w:pgMar w:top="1440" w:right="1440" w:bottom="1440" w:left="1440" w:header="708" w:footer="708" w:gutter="0"/>
          <w:cols w:space="708"/>
          <w:titlePg/>
          <w:docGrid w:linePitch="360"/>
        </w:sectPr>
      </w:pPr>
    </w:p>
    <w:p w14:paraId="3FEB808C" w14:textId="4B2A14A3" w:rsidR="007D5EBA" w:rsidRPr="0059665D" w:rsidRDefault="007D5EBA" w:rsidP="007D5EBA">
      <w:pPr>
        <w:pStyle w:val="Title"/>
        <w:outlineLvl w:val="0"/>
        <w:rPr>
          <w:sz w:val="48"/>
          <w:szCs w:val="48"/>
        </w:rPr>
      </w:pPr>
      <w:bookmarkStart w:id="47" w:name="_Toc402192968"/>
      <w:r>
        <w:rPr>
          <w:sz w:val="48"/>
          <w:szCs w:val="48"/>
        </w:rPr>
        <w:t>I</w:t>
      </w:r>
      <w:r w:rsidRPr="0059665D">
        <w:rPr>
          <w:sz w:val="48"/>
          <w:szCs w:val="48"/>
        </w:rPr>
        <w:t xml:space="preserve">V </w:t>
      </w:r>
      <w:r w:rsidRPr="0059665D">
        <w:rPr>
          <w:sz w:val="48"/>
          <w:szCs w:val="48"/>
        </w:rPr>
        <w:tab/>
        <w:t>Legitimising the war</w:t>
      </w:r>
      <w:bookmarkEnd w:id="47"/>
    </w:p>
    <w:p w14:paraId="48AF4317" w14:textId="2C12A34D" w:rsidR="007D5EBA" w:rsidRDefault="009C76D5" w:rsidP="007D5EBA">
      <w:pPr>
        <w:pStyle w:val="Heading2"/>
      </w:pPr>
      <w:bookmarkStart w:id="48" w:name="_Toc402192969"/>
      <w:r>
        <w:t>Uncertainties of morale</w:t>
      </w:r>
      <w:bookmarkEnd w:id="48"/>
    </w:p>
    <w:p w14:paraId="06ADA718" w14:textId="1A5A1D24" w:rsidR="007D5EBA" w:rsidRDefault="007D5EBA" w:rsidP="009C76D5">
      <w:pPr>
        <w:jc w:val="both"/>
      </w:pPr>
      <w:r>
        <w:t xml:space="preserve">To solidify public support, propaganda had to go </w:t>
      </w:r>
      <w:r w:rsidR="000A4EAD">
        <w:t>beyond</w:t>
      </w:r>
      <w:r>
        <w:t xml:space="preserve"> </w:t>
      </w:r>
      <w:r w:rsidR="000A4EAD">
        <w:t>commentary on d</w:t>
      </w:r>
      <w:r>
        <w:t>aily events</w:t>
      </w:r>
      <w:r w:rsidR="009C76D5">
        <w:t>,</w:t>
      </w:r>
      <w:r>
        <w:t xml:space="preserve"> </w:t>
      </w:r>
      <w:r w:rsidR="009C76D5">
        <w:t>and</w:t>
      </w:r>
      <w:r>
        <w:t xml:space="preserve"> offer a cause worth suffering and dying for.</w:t>
      </w:r>
      <w:r>
        <w:rPr>
          <w:rStyle w:val="FootnoteReference"/>
        </w:rPr>
        <w:footnoteReference w:id="425"/>
      </w:r>
      <w:r>
        <w:t xml:space="preserve"> This legitimisation of violence was carefully constructed around the origins of the conflict. Indeed, propagandists had to tie responsibilit</w:t>
      </w:r>
      <w:r w:rsidR="009C76D5">
        <w:t>y for the war on</w:t>
      </w:r>
      <w:r>
        <w:t xml:space="preserve"> the enemy</w:t>
      </w:r>
      <w:r w:rsidR="009C76D5">
        <w:t>,</w:t>
      </w:r>
      <w:r>
        <w:t xml:space="preserve"> in order to deflect </w:t>
      </w:r>
      <w:r w:rsidR="009C76D5">
        <w:t xml:space="preserve">onto him </w:t>
      </w:r>
      <w:r>
        <w:t>the people’s hostility to organised violence.</w:t>
      </w:r>
      <w:r>
        <w:rPr>
          <w:rStyle w:val="FootnoteReference"/>
        </w:rPr>
        <w:footnoteReference w:id="426"/>
      </w:r>
      <w:r>
        <w:t xml:space="preserve"> In addition, propaganda used war aims as a way to galvanise the determination of the public. These war aims were portrayed as the means to secure national values and restore international justice.</w:t>
      </w:r>
      <w:r>
        <w:rPr>
          <w:rStyle w:val="FootnoteReference"/>
        </w:rPr>
        <w:footnoteReference w:id="427"/>
      </w:r>
      <w:r>
        <w:t xml:space="preserve">  </w:t>
      </w:r>
    </w:p>
    <w:p w14:paraId="4EF0001C" w14:textId="1DDEBE5F" w:rsidR="007D5EBA" w:rsidRDefault="007D5EBA" w:rsidP="007D5EBA">
      <w:pPr>
        <w:jc w:val="both"/>
      </w:pPr>
      <w:r>
        <w:t xml:space="preserve">The first section of this chapter will briefly examine German methods to legitimise the war in the occupied territories before underlining not only the main arguments used to explain the conflict but also the confusion resulting from fluctuating war aims. This </w:t>
      </w:r>
      <w:r w:rsidR="000A4EAD">
        <w:t>does not attempt to offer</w:t>
      </w:r>
      <w:r>
        <w:t xml:space="preserve"> </w:t>
      </w:r>
      <w:r w:rsidR="000A4EAD">
        <w:t>a complete study of the subject - a whole thesis would be needed to do that -</w:t>
      </w:r>
      <w:r>
        <w:t xml:space="preserve"> but rather to contextualise the difficulties faced by the allies when they decided to legitimise the war in their publications aimed at the occupied territories.</w:t>
      </w:r>
    </w:p>
    <w:p w14:paraId="68411B72" w14:textId="38A33579" w:rsidR="007D5EBA" w:rsidRDefault="007D5EBA" w:rsidP="007D5EBA">
      <w:pPr>
        <w:jc w:val="both"/>
      </w:pPr>
      <w:r>
        <w:t xml:space="preserve">A number of problems surrounding responsibilities and war aims will be answered in the second section of the chapter. The allies tried on several occasions to justify the conflict and to do so used a range of arguments, sometimes departing from the version offered on the home front. The question of Belgium and her neutrality was, </w:t>
      </w:r>
      <w:r w:rsidR="000A4EAD">
        <w:t>as</w:t>
      </w:r>
      <w:r>
        <w:t xml:space="preserve"> on the international stage, central to a campaign blaming less the Austrians and the Turks than the Germans. Internal and external factors had also an important part to play. Were war aims contextualised and redefined over time to match the remobilisation process? Did the growing </w:t>
      </w:r>
      <w:r w:rsidR="000A4EAD">
        <w:t>expectation</w:t>
      </w:r>
      <w:r>
        <w:t xml:space="preserve"> of peace in 1918 have an influence on the propaganda narrative? In this part the relationship between propaganda and democracy will also be examined. This uneasy partnership, denounced by Stéphane Corbin and Emmanuel Romain as being fundamentally incompatible, was omnipresent in aerial propaganda aimed at the occupied territories.</w:t>
      </w:r>
      <w:r>
        <w:rPr>
          <w:rStyle w:val="FootnoteReference"/>
        </w:rPr>
        <w:footnoteReference w:id="428"/>
      </w:r>
      <w:r>
        <w:t xml:space="preserve"> Psychological warfare tried to portray a conflict born out of a unanimous desire to restore international justice. This section will explore the techniques and arguments used to imprint this idea and also ask whether there was a pretence or not to impose democracy in autocratic states. </w:t>
      </w:r>
    </w:p>
    <w:p w14:paraId="24C6C61F" w14:textId="32A7FB9C" w:rsidR="007D5EBA" w:rsidRDefault="007D5EBA" w:rsidP="007D5EBA">
      <w:pPr>
        <w:jc w:val="both"/>
      </w:pPr>
      <w:r>
        <w:t>Playing with the idea that everybody was supporting the war was not without dangers. The third section of this chapter will explore how propaganda dealt with difficult topics contradicting the hypothesis of a democratic war and will examine if French socialist and radical attempts to find a peace of compromise, which were contradicting the u</w:t>
      </w:r>
      <w:r>
        <w:rPr>
          <w:i/>
          <w:iCs/>
        </w:rPr>
        <w:t>nion sacrée,</w:t>
      </w:r>
      <w:r>
        <w:t xml:space="preserve"> were mentioned. This topic will inevitably lead to an examination of the way propaganda dealt with international contradictions.  Was the Russian revolution perceived as a threat?  What did allied newspapers aimed at the occupied populations do when it was impossible to cover internal or international opposition to war? Accordingly, three important international events will be studied in their context. In December 1916, the Germans and the president of the United States both tried to negotiate with the allies. </w:t>
      </w:r>
      <w:r w:rsidR="000A4EAD">
        <w:t>If these</w:t>
      </w:r>
      <w:r>
        <w:t xml:space="preserve"> attempts failed</w:t>
      </w:r>
      <w:r w:rsidR="000A4EAD">
        <w:t>, they were nonetheless</w:t>
      </w:r>
      <w:r>
        <w:t xml:space="preserve"> heavily instrumentalised </w:t>
      </w:r>
      <w:r w:rsidR="000A4EAD">
        <w:t>by propaganda on both sides</w:t>
      </w:r>
      <w:r>
        <w:t>. In the same fashion, the August 1917 peace attempt by Pope Benedict XV was heavily commented on not only by allied propaganda aimed at the occupied territories but also by their German equivalent. How did propaganda react to this offer? Did differences between national religions affect propagandists and the way they covered the subject?</w:t>
      </w:r>
    </w:p>
    <w:p w14:paraId="78AB67B4" w14:textId="77777777" w:rsidR="007D5EBA" w:rsidRPr="0059665D" w:rsidRDefault="007D5EBA" w:rsidP="007D5EBA">
      <w:pPr>
        <w:pStyle w:val="Heading2"/>
      </w:pPr>
      <w:bookmarkStart w:id="49" w:name="_Toc402192970"/>
      <w:r>
        <w:t>German war aims and the causes of war</w:t>
      </w:r>
      <w:bookmarkEnd w:id="49"/>
    </w:p>
    <w:p w14:paraId="62B6596D" w14:textId="0018B226" w:rsidR="007D5EBA" w:rsidRDefault="009C76D5" w:rsidP="00DA1713">
      <w:pPr>
        <w:jc w:val="both"/>
      </w:pPr>
      <w:r>
        <w:t>From</w:t>
      </w:r>
      <w:r w:rsidR="007D5EBA">
        <w:t xml:space="preserve"> early</w:t>
      </w:r>
      <w:r>
        <w:t xml:space="preserve"> on</w:t>
      </w:r>
      <w:r w:rsidR="007D5EBA">
        <w:t xml:space="preserve"> the Germans</w:t>
      </w:r>
      <w:r>
        <w:t xml:space="preserve"> offered justification for the war</w:t>
      </w:r>
      <w:r w:rsidR="007D5EBA">
        <w:t xml:space="preserve"> in the occupied territories. The decision to invade Belgium and occupy the northern departments of France was of prime interest to the populations trapped behind the lines. In his analysis of the </w:t>
      </w:r>
      <w:r w:rsidR="007D5EBA">
        <w:rPr>
          <w:i/>
          <w:iCs/>
        </w:rPr>
        <w:t>Gazette des Ardennes</w:t>
      </w:r>
      <w:r w:rsidR="007D5EBA">
        <w:t>, Andreas Laska demonstrated that arguments used by the Germans in their press in French aimed at the invaded parts of France and Belgium varied little from what was printed on the home front.</w:t>
      </w:r>
      <w:r w:rsidR="007D5EBA">
        <w:rPr>
          <w:rStyle w:val="FootnoteReference"/>
        </w:rPr>
        <w:footnoteReference w:id="429"/>
      </w:r>
      <w:r w:rsidR="007D5EBA">
        <w:t xml:space="preserve"> Germany was presented as a young and vigorous country asking</w:t>
      </w:r>
      <w:r>
        <w:t xml:space="preserve"> only</w:t>
      </w:r>
      <w:r w:rsidR="007D5EBA">
        <w:t xml:space="preserve"> for a place in the sun among </w:t>
      </w:r>
      <w:r>
        <w:t xml:space="preserve">the </w:t>
      </w:r>
      <w:r w:rsidR="007D5EBA">
        <w:t xml:space="preserve">great powers. Her deeply pacifist intentions were opposed to </w:t>
      </w:r>
      <w:r>
        <w:t xml:space="preserve">those of </w:t>
      </w:r>
      <w:r w:rsidR="007D5EBA">
        <w:t xml:space="preserve">the bellicose European nations and especially Great Britain. This theme was used in the very first issue of the </w:t>
      </w:r>
      <w:r w:rsidR="007D5EBA">
        <w:rPr>
          <w:i/>
          <w:iCs/>
        </w:rPr>
        <w:t>Gazette des Ardennes</w:t>
      </w:r>
      <w:r w:rsidR="007D5EBA">
        <w:t xml:space="preserve"> where the alleged military alliance between Belgium and Great Britain was discussed in length.</w:t>
      </w:r>
      <w:r w:rsidR="007D5EBA">
        <w:rPr>
          <w:rStyle w:val="FootnoteReference"/>
        </w:rPr>
        <w:footnoteReference w:id="430"/>
      </w:r>
      <w:r>
        <w:t xml:space="preserve"> The</w:t>
      </w:r>
      <w:r w:rsidR="007D5EBA">
        <w:t xml:space="preserve"> accusations </w:t>
      </w:r>
      <w:r w:rsidR="00DA1713">
        <w:t xml:space="preserve">made </w:t>
      </w:r>
      <w:r w:rsidR="007D5EBA">
        <w:t>were based on documents found in the Belgian government archives</w:t>
      </w:r>
      <w:r w:rsidR="00DA1713">
        <w:t>,</w:t>
      </w:r>
      <w:r w:rsidR="007D5EBA">
        <w:t xml:space="preserve"> in which it was </w:t>
      </w:r>
      <w:r w:rsidR="000A4EAD">
        <w:t>shown</w:t>
      </w:r>
      <w:r w:rsidR="007D5EBA">
        <w:t xml:space="preserve"> that Belgium had discussed the entry of British troops </w:t>
      </w:r>
      <w:r w:rsidR="000A4EAD">
        <w:t>into</w:t>
      </w:r>
      <w:r w:rsidR="007D5EBA">
        <w:t xml:space="preserve"> her territory to fight Germany as </w:t>
      </w:r>
      <w:r w:rsidR="00DA1713">
        <w:t>early</w:t>
      </w:r>
      <w:r w:rsidR="007D5EBA">
        <w:t xml:space="preserve"> as 1906. For the Germans, these documents w</w:t>
      </w:r>
      <w:r w:rsidR="00DA1713">
        <w:t>ere the proof that Belgium was</w:t>
      </w:r>
      <w:r w:rsidR="007D5EBA">
        <w:t xml:space="preserve"> belligerent and had no rightful claim on neutrality. It also </w:t>
      </w:r>
      <w:r w:rsidR="00DA1713">
        <w:t>demonstrated</w:t>
      </w:r>
      <w:r w:rsidR="007D5EBA">
        <w:t xml:space="preserve"> that there was an international plot against the country. However, the arguments were heavily flawed. The papers were merely a non-binding discussion in case of a German invasion, which happened, and defensive alliances were not always perceived as a violation of neutrality</w:t>
      </w:r>
      <w:r w:rsidR="007D5EBA" w:rsidRPr="006F55FC">
        <w:t xml:space="preserve"> </w:t>
      </w:r>
      <w:r w:rsidR="007D5EBA">
        <w:t>in any case.</w:t>
      </w:r>
      <w:r w:rsidR="007D5EBA">
        <w:rPr>
          <w:rStyle w:val="FootnoteReference"/>
        </w:rPr>
        <w:footnoteReference w:id="431"/>
      </w:r>
      <w:r w:rsidR="007D5EBA">
        <w:t xml:space="preserve"> Nonetheless, the responsibility of Great Britain for the present situation was emphasised again a few weeks later: </w:t>
      </w:r>
    </w:p>
    <w:p w14:paraId="0891A02A" w14:textId="77777777" w:rsidR="007D5EBA" w:rsidRDefault="007D5EBA" w:rsidP="007D5EBA">
      <w:pPr>
        <w:ind w:left="567" w:right="567"/>
        <w:jc w:val="both"/>
        <w:rPr>
          <w:lang w:val="fr-FR"/>
        </w:rPr>
      </w:pPr>
      <w:r w:rsidRPr="008000FF">
        <w:rPr>
          <w:lang w:val="fr-FR"/>
        </w:rPr>
        <w:t xml:space="preserve">[…] Le facteur </w:t>
      </w:r>
      <w:r>
        <w:rPr>
          <w:lang w:val="fr-FR"/>
        </w:rPr>
        <w:t>décisif</w:t>
      </w:r>
      <w:r w:rsidRPr="008000FF">
        <w:rPr>
          <w:lang w:val="fr-FR"/>
        </w:rPr>
        <w:t xml:space="preserve"> de cette guerre</w:t>
      </w:r>
      <w:r>
        <w:rPr>
          <w:lang w:val="fr-FR"/>
        </w:rPr>
        <w:t>, est la manière avec laquelle l’Angleterre pratique sa politique mondiale. Lorsque l’Espagne possédait sa fière Armada, ce fut l’Espagne qui devint son ennemie déclarée. Lorsque la Hollande régnait sur les mers, au dix-septième siècle, son aversion se dirigea vers la Hollande. Au moment où Louis XIV et Napoléon Ier menacèrent le pays, la France fut regardée comme son ennemi juré.[…]</w:t>
      </w:r>
      <w:r>
        <w:rPr>
          <w:rStyle w:val="FootnoteReference"/>
          <w:lang w:val="fr-FR"/>
        </w:rPr>
        <w:footnoteReference w:id="432"/>
      </w:r>
    </w:p>
    <w:p w14:paraId="55BA1E82" w14:textId="48896F38" w:rsidR="007D5EBA" w:rsidRDefault="007D5EBA" w:rsidP="007D5EBA">
      <w:pPr>
        <w:jc w:val="both"/>
      </w:pPr>
      <w:r>
        <w:t xml:space="preserve">These early arguments changed little during the war. Until 1918, Great Britain was portrayed as a nation of hypocrites for denouncing Germany as a threat to the balance of power in Europe. The notion of balance itself was perceived as a British attempt to disguise their unequal advantage on the high seas. The power of Britain on the seas was a threat </w:t>
      </w:r>
      <w:r w:rsidR="000A4EAD">
        <w:t>to</w:t>
      </w:r>
      <w:r>
        <w:t xml:space="preserve"> progress and was denounced as a heritage of Elizabethan piracy. Caricatures and articles portrayed Great Britain as a sea monster terrorising the world and brutalising neutral nations.</w:t>
      </w:r>
      <w:r>
        <w:rPr>
          <w:rStyle w:val="FootnoteReference"/>
        </w:rPr>
        <w:footnoteReference w:id="433"/>
      </w:r>
      <w:r>
        <w:t xml:space="preserve"> </w:t>
      </w:r>
    </w:p>
    <w:p w14:paraId="6031445B" w14:textId="3501AE5E" w:rsidR="007D5EBA" w:rsidRDefault="007D5EBA" w:rsidP="00E916DA">
      <w:pPr>
        <w:jc w:val="both"/>
      </w:pPr>
      <w:r>
        <w:t xml:space="preserve">Despite the violence of these arguments, concrete war aims remained unclear in the press aimed at the occupied territories. In fact, German propagandists were in an uneasy situation since their audience was predominantly French. It was not possible </w:t>
      </w:r>
      <w:r w:rsidR="00DA1713">
        <w:t xml:space="preserve">to </w:t>
      </w:r>
      <w:r>
        <w:t>blame their readers</w:t>
      </w:r>
      <w:r w:rsidR="00E916DA">
        <w:t>’ country,</w:t>
      </w:r>
      <w:r>
        <w:t xml:space="preserve"> or voice aggressive war aims threatening France. While Europe was supposed to be struck by British decadence, the victory of Germany was to free the continent from its domination and inspire a new wave of progress. Under the leadership of Germany, </w:t>
      </w:r>
      <w:r w:rsidR="00E916DA">
        <w:t xml:space="preserve">the </w:t>
      </w:r>
      <w:r>
        <w:t xml:space="preserve">peoples of France and Belgium </w:t>
      </w:r>
      <w:r w:rsidR="00E916DA">
        <w:t>would</w:t>
      </w:r>
      <w:r>
        <w:t xml:space="preserve"> experience a ‘</w:t>
      </w:r>
      <w:r>
        <w:rPr>
          <w:iCs/>
        </w:rPr>
        <w:t>r</w:t>
      </w:r>
      <w:r w:rsidRPr="006F55FC">
        <w:rPr>
          <w:iCs/>
        </w:rPr>
        <w:t>enouveau de l’Europe</w:t>
      </w:r>
      <w:r w:rsidRPr="006F55FC">
        <w:t>’</w:t>
      </w:r>
      <w:r>
        <w:t>.</w:t>
      </w:r>
      <w:r>
        <w:rPr>
          <w:rStyle w:val="FootnoteReference"/>
        </w:rPr>
        <w:footnoteReference w:id="434"/>
      </w:r>
      <w:r>
        <w:t xml:space="preserve">  The French newspaper controlled by Section IIIb went as far as to print that Germany would ‘heal the world’.</w:t>
      </w:r>
      <w:r>
        <w:rPr>
          <w:rStyle w:val="FootnoteReference"/>
        </w:rPr>
        <w:footnoteReference w:id="435"/>
      </w:r>
      <w:r>
        <w:t xml:space="preserve"> These affirmations did little to reassure those wh</w:t>
      </w:r>
      <w:r w:rsidR="00E916DA">
        <w:t>o were aware of the arguments made by</w:t>
      </w:r>
      <w:r>
        <w:t xml:space="preserve"> the French press from the free part of the country </w:t>
      </w:r>
      <w:r w:rsidR="00E916DA">
        <w:t>stating</w:t>
      </w:r>
      <w:r>
        <w:t xml:space="preserve"> that Germany was a power-hungry military dictatorship.</w:t>
      </w:r>
      <w:r>
        <w:rPr>
          <w:rStyle w:val="FootnoteReference"/>
        </w:rPr>
        <w:footnoteReference w:id="436"/>
      </w:r>
      <w:r>
        <w:t xml:space="preserve"> </w:t>
      </w:r>
    </w:p>
    <w:p w14:paraId="5D183CCF" w14:textId="51872D7D" w:rsidR="007D5EBA" w:rsidRDefault="007D5EBA" w:rsidP="00533D0B">
      <w:pPr>
        <w:jc w:val="both"/>
      </w:pPr>
      <w:r>
        <w:t xml:space="preserve">In fact, the lack of clarity of </w:t>
      </w:r>
      <w:r>
        <w:rPr>
          <w:i/>
          <w:iCs/>
        </w:rPr>
        <w:t>La Gazette des Ardennes</w:t>
      </w:r>
      <w:r>
        <w:t xml:space="preserve"> </w:t>
      </w:r>
      <w:r w:rsidR="00E916DA">
        <w:t>over</w:t>
      </w:r>
      <w:r>
        <w:t xml:space="preserve"> war aims was </w:t>
      </w:r>
      <w:r w:rsidR="00533D0B">
        <w:t>linked to the situation on the German political front</w:t>
      </w:r>
      <w:r>
        <w:t>. The goals were in a permanent state of flux and were responsible for disagreements between German politicians and generals.</w:t>
      </w:r>
      <w:r>
        <w:rPr>
          <w:rStyle w:val="FootnoteReference"/>
        </w:rPr>
        <w:footnoteReference w:id="437"/>
      </w:r>
      <w:r>
        <w:t xml:space="preserve"> However, the Belgian population had to contemplate one war aim on which most German officials agreed – the </w:t>
      </w:r>
      <w:r>
        <w:rPr>
          <w:i/>
          <w:iCs/>
        </w:rPr>
        <w:t>Flamenpolitik</w:t>
      </w:r>
      <w:r>
        <w:t xml:space="preserve">. The goal behind the </w:t>
      </w:r>
      <w:r w:rsidR="00E916DA">
        <w:t>‘</w:t>
      </w:r>
      <w:r>
        <w:t>Flemish politics</w:t>
      </w:r>
      <w:r w:rsidR="00E916DA">
        <w:t>’</w:t>
      </w:r>
      <w:r>
        <w:t xml:space="preserve"> was </w:t>
      </w:r>
      <w:r w:rsidR="00E916DA">
        <w:t>neither</w:t>
      </w:r>
      <w:r>
        <w:t xml:space="preserve"> clear </w:t>
      </w:r>
      <w:r w:rsidR="00E916DA">
        <w:t>n</w:t>
      </w:r>
      <w:r>
        <w:t xml:space="preserve">or defined in advance. </w:t>
      </w:r>
      <w:r w:rsidR="00E916DA">
        <w:t>However</w:t>
      </w:r>
      <w:r>
        <w:t xml:space="preserve">, it was certain that if Germany </w:t>
      </w:r>
      <w:r w:rsidR="00E916DA">
        <w:t>were</w:t>
      </w:r>
      <w:r>
        <w:t xml:space="preserve"> to win the war, Belgium would cease to exist; a Germanic Flemish state would replace the northern part of the country.</w:t>
      </w:r>
      <w:r>
        <w:rPr>
          <w:rStyle w:val="FootnoteReference"/>
        </w:rPr>
        <w:footnoteReference w:id="438"/>
      </w:r>
      <w:r>
        <w:t xml:space="preserve"> Occupied Belgians were made aware of this fact through collaboration papers such as </w:t>
      </w:r>
      <w:r>
        <w:rPr>
          <w:i/>
          <w:iCs/>
        </w:rPr>
        <w:t>De Nieuwe Gazet van Gent</w:t>
      </w:r>
      <w:r>
        <w:t xml:space="preserve"> or </w:t>
      </w:r>
      <w:r>
        <w:rPr>
          <w:i/>
          <w:iCs/>
        </w:rPr>
        <w:t>De Morgenbode</w:t>
      </w:r>
      <w:r>
        <w:t>.  A puppet state offering acc</w:t>
      </w:r>
      <w:r w:rsidR="00E916DA">
        <w:t>ess to the port of Antwerp was</w:t>
      </w:r>
      <w:r>
        <w:t xml:space="preserve"> vital for Germany</w:t>
      </w:r>
      <w:r w:rsidR="00E916DA">
        <w:t>’s ambitions as a nation</w:t>
      </w:r>
      <w:r>
        <w:t>.</w:t>
      </w:r>
      <w:r>
        <w:rPr>
          <w:rStyle w:val="FootnoteReference"/>
        </w:rPr>
        <w:footnoteReference w:id="439"/>
      </w:r>
      <w:r>
        <w:t xml:space="preserve"> </w:t>
      </w:r>
    </w:p>
    <w:p w14:paraId="05E1C4AB" w14:textId="77777777" w:rsidR="007D5EBA" w:rsidRPr="00B15571" w:rsidRDefault="007D5EBA" w:rsidP="007D5EBA">
      <w:pPr>
        <w:pStyle w:val="Heading2"/>
      </w:pPr>
      <w:bookmarkStart w:id="50" w:name="_Toc402192971"/>
      <w:r>
        <w:t>The allied point of view</w:t>
      </w:r>
      <w:bookmarkEnd w:id="50"/>
    </w:p>
    <w:p w14:paraId="41428413" w14:textId="5C3CF3F9" w:rsidR="007D5EBA" w:rsidRDefault="007D5EBA" w:rsidP="00EC3E3B">
      <w:pPr>
        <w:jc w:val="both"/>
      </w:pPr>
      <w:r>
        <w:t xml:space="preserve">Almost a year separated the creation of the German </w:t>
      </w:r>
      <w:r>
        <w:rPr>
          <w:i/>
          <w:iCs/>
        </w:rPr>
        <w:t>Gazette des Ardennes</w:t>
      </w:r>
      <w:r>
        <w:t xml:space="preserve"> and the French </w:t>
      </w:r>
      <w:r>
        <w:rPr>
          <w:i/>
          <w:iCs/>
        </w:rPr>
        <w:t>Voix du Pays</w:t>
      </w:r>
      <w:r w:rsidR="00EC3E3B">
        <w:t>. It is difficult to evaluate whether</w:t>
      </w:r>
      <w:r>
        <w:t xml:space="preserve"> the 1915 collapse of morale observed in the occupied territories was due to the German monopoly over communication channels or to a range of factors such as the rarity of food, grief or boredom.</w:t>
      </w:r>
      <w:r w:rsidRPr="007112DA">
        <w:rPr>
          <w:rStyle w:val="FootnoteReference"/>
        </w:rPr>
        <w:t xml:space="preserve"> </w:t>
      </w:r>
      <w:r>
        <w:rPr>
          <w:rStyle w:val="FootnoteReference"/>
        </w:rPr>
        <w:footnoteReference w:id="440"/>
      </w:r>
      <w:r>
        <w:t xml:space="preserve"> In fact, all these elements</w:t>
      </w:r>
      <w:r w:rsidR="00EC3E3B">
        <w:t xml:space="preserve"> combined</w:t>
      </w:r>
      <w:r>
        <w:t xml:space="preserve"> were probably to blame for the general loss of faith in victory observed at that time.</w:t>
      </w:r>
      <w:r>
        <w:rPr>
          <w:rStyle w:val="FootnoteReference"/>
        </w:rPr>
        <w:footnoteReference w:id="441"/>
      </w:r>
      <w:r>
        <w:t xml:space="preserve"> The allies had little control over the</w:t>
      </w:r>
      <w:r w:rsidRPr="006E46A7">
        <w:t xml:space="preserve"> </w:t>
      </w:r>
      <w:r>
        <w:t xml:space="preserve">brutal rule imposed by the Germans </w:t>
      </w:r>
      <w:r w:rsidR="00EC3E3B">
        <w:t xml:space="preserve">on civilians, </w:t>
      </w:r>
      <w:r>
        <w:t xml:space="preserve">or </w:t>
      </w:r>
      <w:r w:rsidR="00EC3E3B">
        <w:t>over</w:t>
      </w:r>
      <w:r>
        <w:t xml:space="preserve"> material well-being in occupied territories, with the notable exception of food through organisations such as the commission for relief in Belgium, but </w:t>
      </w:r>
      <w:r w:rsidR="00EC3E3B">
        <w:t xml:space="preserve">they </w:t>
      </w:r>
      <w:r>
        <w:t xml:space="preserve">certainly thought that legitimising the war was important </w:t>
      </w:r>
      <w:r w:rsidR="00EC3E3B">
        <w:t xml:space="preserve">for them </w:t>
      </w:r>
      <w:r>
        <w:t>to regain the trust of their people.</w:t>
      </w:r>
      <w:r>
        <w:rPr>
          <w:rStyle w:val="FootnoteReference"/>
        </w:rPr>
        <w:footnoteReference w:id="442"/>
      </w:r>
      <w:r>
        <w:t xml:space="preserve"> From the beginning, explaining how the conflict had</w:t>
      </w:r>
      <w:r w:rsidR="00EC3E3B">
        <w:t xml:space="preserve"> started and distributing blame</w:t>
      </w:r>
      <w:r>
        <w:t xml:space="preserve"> </w:t>
      </w:r>
      <w:r w:rsidR="00EC3E3B">
        <w:t>was</w:t>
      </w:r>
      <w:r>
        <w:t xml:space="preserve"> a prominent subject in aerial propaganda. </w:t>
      </w:r>
    </w:p>
    <w:p w14:paraId="2FD1B055" w14:textId="1D387A1C" w:rsidR="007D5EBA" w:rsidRDefault="007D5EBA" w:rsidP="00EC3E3B">
      <w:pPr>
        <w:jc w:val="both"/>
      </w:pPr>
      <w:r>
        <w:t xml:space="preserve">In November 1915, the recently created French </w:t>
      </w:r>
      <w:r>
        <w:rPr>
          <w:i/>
          <w:iCs/>
        </w:rPr>
        <w:t>Voix du Pays</w:t>
      </w:r>
      <w:r>
        <w:t xml:space="preserve"> reproduced a governmental speech in which the responsibilities for the conflict were clearly stated. According to the article, France had resisted countless provocations and done everything to see peace prevail. Despite her best efforts, Germany’s premeditated aggression had </w:t>
      </w:r>
      <w:r w:rsidR="00EC3E3B">
        <w:t>made</w:t>
      </w:r>
      <w:r>
        <w:t xml:space="preserve"> war was inevitable.</w:t>
      </w:r>
      <w:r>
        <w:rPr>
          <w:rStyle w:val="FootnoteReference"/>
        </w:rPr>
        <w:footnoteReference w:id="443"/>
      </w:r>
      <w:r>
        <w:t xml:space="preserve">  This view was in line with the pre-war message, taught in most French schools, </w:t>
      </w:r>
      <w:r w:rsidR="00EC3E3B">
        <w:t xml:space="preserve">of </w:t>
      </w:r>
      <w:r>
        <w:t>presenting the nation as the cradle of peace, freedom and liberty.</w:t>
      </w:r>
      <w:r>
        <w:rPr>
          <w:rStyle w:val="FootnoteReference"/>
        </w:rPr>
        <w:footnoteReference w:id="444"/>
      </w:r>
      <w:r>
        <w:t xml:space="preserve"> This article was just the first of a series on the same theme.</w:t>
      </w:r>
      <w:r>
        <w:rPr>
          <w:rStyle w:val="FootnoteReference"/>
        </w:rPr>
        <w:footnoteReference w:id="445"/>
      </w:r>
      <w:r>
        <w:t xml:space="preserve"> Indeed, Germany’s international hostility remained the main argument </w:t>
      </w:r>
      <w:r w:rsidR="00EC3E3B">
        <w:t xml:space="preserve">in </w:t>
      </w:r>
      <w:r>
        <w:t>explaining the origins of the conflict in the newspapers aimed at the occupied territories</w:t>
      </w:r>
      <w:r w:rsidRPr="006F55FC">
        <w:t xml:space="preserve"> </w:t>
      </w:r>
      <w:r>
        <w:t xml:space="preserve">until 1918. Britain’s reasons </w:t>
      </w:r>
      <w:r w:rsidR="00EC3E3B">
        <w:t>for</w:t>
      </w:r>
      <w:r>
        <w:t xml:space="preserve"> enter</w:t>
      </w:r>
      <w:r w:rsidR="00EC3E3B">
        <w:t>ing</w:t>
      </w:r>
      <w:r>
        <w:t xml:space="preserve"> the war were of the same order. They revolved around the idea that Germany had been hungry for power, had violated all treaties and was threatening the survival of Great Britain.</w:t>
      </w:r>
      <w:r>
        <w:rPr>
          <w:rStyle w:val="FootnoteReference"/>
        </w:rPr>
        <w:footnoteReference w:id="446"/>
      </w:r>
      <w:r>
        <w:t xml:space="preserve"> These arguments </w:t>
      </w:r>
      <w:r w:rsidR="00EC3E3B">
        <w:t>were</w:t>
      </w:r>
      <w:r>
        <w:t xml:space="preserve"> nothing uncommon. In fact, French historian Jean-Jacques Becker reminded us that all nations involved in the First World War perceived the conflict as an act of defence against an aggressive neighbour.</w:t>
      </w:r>
      <w:r>
        <w:rPr>
          <w:rStyle w:val="FootnoteReference"/>
        </w:rPr>
        <w:footnoteReference w:id="447"/>
      </w:r>
      <w:r>
        <w:t xml:space="preserve"> </w:t>
      </w:r>
    </w:p>
    <w:p w14:paraId="1A668825" w14:textId="7D08A28D" w:rsidR="007D5EBA" w:rsidRDefault="007D5EBA" w:rsidP="00BB3444">
      <w:pPr>
        <w:jc w:val="both"/>
      </w:pPr>
      <w:r>
        <w:t xml:space="preserve">It should be highlighted that the responsibility of the Austro-Hungarian Empire was never mentioned. There was no doubt that </w:t>
      </w:r>
      <w:r w:rsidR="00BB3444">
        <w:t xml:space="preserve">the </w:t>
      </w:r>
      <w:r>
        <w:t xml:space="preserve">way </w:t>
      </w:r>
      <w:r w:rsidR="00EC3E3B">
        <w:t xml:space="preserve">in which </w:t>
      </w:r>
      <w:r w:rsidR="00BB3444">
        <w:t xml:space="preserve">the Habsburg Empire </w:t>
      </w:r>
      <w:r w:rsidR="00EC3E3B">
        <w:t>had</w:t>
      </w:r>
      <w:r>
        <w:t xml:space="preserve"> deal</w:t>
      </w:r>
      <w:r w:rsidR="00EC3E3B">
        <w:t>t</w:t>
      </w:r>
      <w:r>
        <w:t xml:space="preserve"> with Serbia had contributed to the crisis</w:t>
      </w:r>
      <w:r w:rsidR="00EC3E3B">
        <w:t>,</w:t>
      </w:r>
      <w:r>
        <w:t xml:space="preserve"> leading to the conflict.</w:t>
      </w:r>
      <w:r>
        <w:rPr>
          <w:rStyle w:val="FootnoteReference"/>
        </w:rPr>
        <w:footnoteReference w:id="448"/>
      </w:r>
      <w:r>
        <w:t xml:space="preserve"> Yet, propagandists chose to explain the war as a consequence of Germany’s long-term policies rather than as a succession of events following </w:t>
      </w:r>
      <w:r w:rsidR="00EC3E3B">
        <w:t>the</w:t>
      </w:r>
      <w:r>
        <w:t xml:space="preserve"> murders</w:t>
      </w:r>
      <w:r w:rsidR="00EC3E3B">
        <w:t xml:space="preserve"> in Sarajevo</w:t>
      </w:r>
      <w:r>
        <w:t xml:space="preserve">. This interpretation was </w:t>
      </w:r>
      <w:r w:rsidR="00EC3E3B">
        <w:t>quite</w:t>
      </w:r>
      <w:r>
        <w:t xml:space="preserve"> different </w:t>
      </w:r>
      <w:r w:rsidR="00EC3E3B">
        <w:t>to</w:t>
      </w:r>
      <w:r>
        <w:t xml:space="preserve"> the historical point of view offered by the French and the British just after the war</w:t>
      </w:r>
      <w:r w:rsidR="00EC3E3B">
        <w:t>,</w:t>
      </w:r>
      <w:r>
        <w:t xml:space="preserve"> in which Austria’s responsibility was acknowledged.</w:t>
      </w:r>
      <w:r>
        <w:rPr>
          <w:rStyle w:val="FootnoteReference"/>
        </w:rPr>
        <w:footnoteReference w:id="449"/>
      </w:r>
      <w:r>
        <w:t xml:space="preserve"> It will be shown in </w:t>
      </w:r>
      <w:r w:rsidR="00AD35FA">
        <w:t>chapter six</w:t>
      </w:r>
      <w:r>
        <w:t xml:space="preserve"> that tactical considerations were behind this selective </w:t>
      </w:r>
      <w:r w:rsidR="00EC3E3B">
        <w:t>distribution of responsibility</w:t>
      </w:r>
      <w:r>
        <w:t>. Indeed, Germany was a target</w:t>
      </w:r>
      <w:r w:rsidR="00EC3E3B">
        <w:t xml:space="preserve"> for propaganda</w:t>
      </w:r>
      <w:r>
        <w:t xml:space="preserve"> largely preferred to the Austrian, Bulgarian or Ottoman powers.</w:t>
      </w:r>
      <w:r>
        <w:rPr>
          <w:rStyle w:val="FootnoteReference"/>
        </w:rPr>
        <w:footnoteReference w:id="450"/>
      </w:r>
      <w:r>
        <w:t xml:space="preserve"> This inclination meant that new elements, mostly inspired by the press or publications of the rear, were constantly brought</w:t>
      </w:r>
      <w:r w:rsidR="00EC3E3B">
        <w:t xml:space="preserve"> forwards to make the case for</w:t>
      </w:r>
      <w:r>
        <w:t xml:space="preserve"> German aggression stronger. For example, t</w:t>
      </w:r>
      <w:r>
        <w:rPr>
          <w:rFonts w:eastAsia="PMingLiU"/>
          <w:lang w:eastAsia="zh-TW"/>
        </w:rPr>
        <w:t>he story surrounding the 1916 Lichnowsky pamphlet was skilfully exploited</w:t>
      </w:r>
      <w:r w:rsidR="00EC3E3B">
        <w:rPr>
          <w:rFonts w:eastAsia="PMingLiU"/>
          <w:lang w:eastAsia="zh-TW"/>
        </w:rPr>
        <w:t>,</w:t>
      </w:r>
      <w:r>
        <w:rPr>
          <w:rFonts w:eastAsia="PMingLiU"/>
          <w:lang w:eastAsia="zh-TW"/>
        </w:rPr>
        <w:t xml:space="preserve"> for it was not only a new source of information</w:t>
      </w:r>
      <w:r w:rsidR="00EC3E3B">
        <w:rPr>
          <w:rFonts w:eastAsia="PMingLiU"/>
          <w:lang w:eastAsia="zh-TW"/>
        </w:rPr>
        <w:t>,</w:t>
      </w:r>
      <w:r>
        <w:rPr>
          <w:rFonts w:eastAsia="PMingLiU"/>
          <w:lang w:eastAsia="zh-TW"/>
        </w:rPr>
        <w:t xml:space="preserve"> but also a direct admission of guilt from a senior member of Germany’s diplomatic corps of 1914.</w:t>
      </w:r>
      <w:r>
        <w:rPr>
          <w:rStyle w:val="FootnoteReference"/>
          <w:rFonts w:eastAsia="PMingLiU"/>
          <w:lang w:eastAsia="zh-TW"/>
        </w:rPr>
        <w:footnoteReference w:id="451"/>
      </w:r>
      <w:r>
        <w:t xml:space="preserve"> Here, similarities can be highlighted</w:t>
      </w:r>
      <w:r w:rsidR="00EC3E3B" w:rsidRPr="00EC3E3B">
        <w:t xml:space="preserve"> </w:t>
      </w:r>
      <w:r w:rsidR="00EC3E3B">
        <w:t>between propaganda strategies on opposite sides</w:t>
      </w:r>
      <w:r>
        <w:t>. While the Germans dedicated their energy to destroying the reputation of the British, the French exclusively focused on the Germans.</w:t>
      </w:r>
    </w:p>
    <w:p w14:paraId="6A81B00E" w14:textId="5B7C845E" w:rsidR="007D5EBA" w:rsidRPr="00D56D74" w:rsidRDefault="007D5EBA" w:rsidP="00EC3E3B">
      <w:pPr>
        <w:jc w:val="both"/>
      </w:pPr>
      <w:r>
        <w:t xml:space="preserve">In their quest to hold the moral high ground, the allies had another powerful argument - the violation of </w:t>
      </w:r>
      <w:r w:rsidR="00EC3E3B">
        <w:t>the</w:t>
      </w:r>
      <w:r>
        <w:t xml:space="preserve"> neutrality</w:t>
      </w:r>
      <w:r w:rsidR="00EC3E3B">
        <w:t xml:space="preserve"> of Belgium</w:t>
      </w:r>
      <w:r>
        <w:t xml:space="preserve">. The Germans were in a delicate position regarding the matter. This chapter earlier </w:t>
      </w:r>
      <w:r w:rsidR="00EC3E3B">
        <w:t xml:space="preserve">showed </w:t>
      </w:r>
      <w:r>
        <w:t>how they tried to justify their decision to break international laws with faked documents, an attempt met with scepticism. The use of the rape of Belgium by aerial newspapers aimed at the occupied territories was directly inspired by the success of propaganda on the international stage.</w:t>
      </w:r>
      <w:r>
        <w:rPr>
          <w:rStyle w:val="FootnoteReference"/>
        </w:rPr>
        <w:footnoteReference w:id="452"/>
      </w:r>
      <w:r>
        <w:t xml:space="preserve"> For the Belgians in Le Havre and London, the argument was more than enough on its own. There was no need to go beyond the aggression suffered by their country to justify the war in their various newspapers distributed in the invaded territory.</w:t>
      </w:r>
      <w:r>
        <w:rPr>
          <w:rStyle w:val="FootnoteReference"/>
        </w:rPr>
        <w:footnoteReference w:id="453"/>
      </w:r>
      <w:r>
        <w:t xml:space="preserve"> The violation of neutrality and the subsequent occupation by the German army epitomised the need to fight for international laws and for the rights of the people. The subject was also instrumentalised by French and British propaganda. Public demonstrations of help and collaboration between great powers and innocent victims were to last until the end of the war.</w:t>
      </w:r>
      <w:r>
        <w:rPr>
          <w:rStyle w:val="FootnoteReference"/>
        </w:rPr>
        <w:footnoteReference w:id="454"/>
      </w:r>
      <w:r>
        <w:t xml:space="preserve"> However, the exploitation of Belgium’s image had little to do with genuine generosity or pity. In reality, the French and the British wanted the country to be independent in order to protect their own flanks from the Germans.</w:t>
      </w:r>
      <w:r>
        <w:rPr>
          <w:rStyle w:val="FootnoteReference"/>
        </w:rPr>
        <w:footnoteReference w:id="455"/>
      </w:r>
      <w:r>
        <w:t xml:space="preserve"> The victimisation of Belgium was a fabrication to which the Belgian government in exile became fundamentally hostile by the year 1916. Indeed, the caricature of ‘poor little Belgium’ had gone too far in the clichés and was totally out of control. In the US, the Belgians were almost exclusively portrayed as starved civilians, in rags</w:t>
      </w:r>
      <w:r w:rsidR="000A4EAD">
        <w:t>,</w:t>
      </w:r>
      <w:r w:rsidR="00EC3E3B" w:rsidRPr="00EC3E3B">
        <w:t xml:space="preserve"> </w:t>
      </w:r>
      <w:r w:rsidR="00EC3E3B">
        <w:t>often raped or brutalised</w:t>
      </w:r>
      <w:r>
        <w:t>. There was no room for the Belgian army fighting in Flanders. The politicians based in Le Havre wanted to reflect the idea of a heroic nation</w:t>
      </w:r>
      <w:r w:rsidR="00EC3E3B">
        <w:t>,</w:t>
      </w:r>
      <w:r>
        <w:t xml:space="preserve"> but were trapped in the net of the international propaganda machine over which they had lost control at the beginning of the war. The French and British cared little for the desires of their ally. Indeed, the invasion of Belgium was set in stone and was impossible to change. The Belgians stopped </w:t>
      </w:r>
      <w:r w:rsidR="00EC3E3B">
        <w:t>portraying</w:t>
      </w:r>
      <w:r>
        <w:t xml:space="preserve"> their country as a victim by 1917</w:t>
      </w:r>
      <w:r w:rsidR="00EC3E3B">
        <w:t>,</w:t>
      </w:r>
      <w:r>
        <w:t xml:space="preserve"> but the French and the British refused to do the same.</w:t>
      </w:r>
      <w:r>
        <w:rPr>
          <w:rStyle w:val="FootnoteReference"/>
        </w:rPr>
        <w:footnoteReference w:id="456"/>
      </w:r>
    </w:p>
    <w:p w14:paraId="0C4C0745" w14:textId="32C8FC55" w:rsidR="007D5EBA" w:rsidRDefault="007D5EBA" w:rsidP="00EC3E3B">
      <w:pPr>
        <w:jc w:val="both"/>
      </w:pPr>
      <w:r>
        <w:t>Underlying Germany’s responsibility for the current conflict allowed allied aerial propaganda aimed at the occupied territories to seize the moral high ground</w:t>
      </w:r>
      <w:r w:rsidR="00EC3E3B">
        <w:t>,</w:t>
      </w:r>
      <w:r>
        <w:t xml:space="preserve"> on the basis of international justice. This interpretation of the past had to be complemented with a vision of the future. A conflict implied not only causes but also consequences. </w:t>
      </w:r>
      <w:r w:rsidR="00EC3E3B">
        <w:t>W</w:t>
      </w:r>
      <w:r>
        <w:t>ar aims were offered to the occupied public</w:t>
      </w:r>
      <w:r w:rsidR="00EC3E3B" w:rsidRPr="00EC3E3B">
        <w:t xml:space="preserve"> </w:t>
      </w:r>
      <w:r w:rsidR="00EC3E3B">
        <w:t>to give a sense of direction and to normalise the struggle</w:t>
      </w:r>
      <w:r>
        <w:t>.</w:t>
      </w:r>
      <w:r>
        <w:rPr>
          <w:rStyle w:val="FootnoteReference"/>
        </w:rPr>
        <w:footnoteReference w:id="457"/>
      </w:r>
      <w:r>
        <w:t xml:space="preserve"> These objectives were dictated by the mood on the home front and varied greatly from 1914 to 1918. When aerial propaganda appeared in 1915, the conflict was understood as a matter of survival. Yet, the deterioration of morale, culminating with the crisis of 1917, challenged the mobilisation process. Widespread doubts meant that war aims had to adapt in order to remobilise the nation.</w:t>
      </w:r>
      <w:r>
        <w:rPr>
          <w:rStyle w:val="FootnoteReference"/>
        </w:rPr>
        <w:footnoteReference w:id="458"/>
      </w:r>
      <w:r>
        <w:t xml:space="preserve"> </w:t>
      </w:r>
    </w:p>
    <w:p w14:paraId="5BBF910C" w14:textId="1ACC36D9" w:rsidR="007D5EBA" w:rsidRPr="00794080" w:rsidRDefault="007D5EBA" w:rsidP="00BB3444">
      <w:pPr>
        <w:jc w:val="both"/>
      </w:pPr>
      <w:r w:rsidRPr="005D3D92">
        <w:t xml:space="preserve">In November 1915, </w:t>
      </w:r>
      <w:r w:rsidRPr="005D3D92">
        <w:rPr>
          <w:i/>
          <w:iCs/>
        </w:rPr>
        <w:t>La Voix du Pays</w:t>
      </w:r>
      <w:r w:rsidRPr="005D3D92">
        <w:t xml:space="preserve"> reproduced a </w:t>
      </w:r>
      <w:r>
        <w:t xml:space="preserve">governmental declaration in which the need to fight for survival was emphasised. The speech was printed alongside the translation of an article </w:t>
      </w:r>
      <w:r w:rsidR="000A4EAD">
        <w:t>from</w:t>
      </w:r>
      <w:r>
        <w:t xml:space="preserve"> the </w:t>
      </w:r>
      <w:r>
        <w:rPr>
          <w:i/>
          <w:iCs/>
        </w:rPr>
        <w:t>Times</w:t>
      </w:r>
      <w:r>
        <w:t xml:space="preserve"> stating that war was fought to restore the right for self-determination on the international stage.</w:t>
      </w:r>
      <w:r>
        <w:rPr>
          <w:rStyle w:val="FootnoteReference"/>
        </w:rPr>
        <w:footnoteReference w:id="459"/>
      </w:r>
      <w:r>
        <w:t xml:space="preserve"> The reproduction of this article was </w:t>
      </w:r>
      <w:r w:rsidR="00BB3444">
        <w:t>quite ambiguous</w:t>
      </w:r>
      <w:r>
        <w:t xml:space="preserve">. It was quite obvious that this right for self-determination was exclusively aimed at </w:t>
      </w:r>
      <w:r w:rsidR="00EC3E3B">
        <w:t xml:space="preserve">the </w:t>
      </w:r>
      <w:r>
        <w:t>minorities of the central empires and not at French and British colonies or dominions. In fact, it was more a hidden threat to dismember central empires than a real goal based on moral values. This war aim was considered cynical as the French and the British involved African and Asian troops in their fight against the Germans.</w:t>
      </w:r>
      <w:r>
        <w:rPr>
          <w:rStyle w:val="FootnoteReference"/>
        </w:rPr>
        <w:footnoteReference w:id="460"/>
      </w:r>
      <w:r>
        <w:t xml:space="preserve"> The paradox was quickly spotted by German propagandists who opposed the idea of a war of self-determination and the use of colonial troops in the </w:t>
      </w:r>
      <w:r>
        <w:rPr>
          <w:i/>
          <w:iCs/>
        </w:rPr>
        <w:t>Gazette des Ardennes</w:t>
      </w:r>
      <w:r>
        <w:t>.</w:t>
      </w:r>
      <w:r>
        <w:rPr>
          <w:rStyle w:val="FootnoteReference"/>
        </w:rPr>
        <w:footnoteReference w:id="461"/>
      </w:r>
    </w:p>
    <w:p w14:paraId="5F2C4EED" w14:textId="77777777" w:rsidR="007D5EBA" w:rsidRDefault="007D5EBA" w:rsidP="007D5EBA">
      <w:pPr>
        <w:jc w:val="both"/>
      </w:pPr>
      <w:r>
        <w:t>Soon, the discourse evolved to include tangible objectives with a potential to please the public.</w:t>
      </w:r>
      <w:r w:rsidRPr="00055540">
        <w:t xml:space="preserve"> </w:t>
      </w:r>
      <w:r>
        <w:t xml:space="preserve">In 1916, the situation of Alsace and Lorraine was mentioned for the first time as a war aim by </w:t>
      </w:r>
      <w:r>
        <w:rPr>
          <w:i/>
          <w:iCs/>
        </w:rPr>
        <w:t>La Voix du Pays</w:t>
      </w:r>
      <w:r>
        <w:t>:</w:t>
      </w:r>
    </w:p>
    <w:p w14:paraId="41DCC492" w14:textId="77777777" w:rsidR="007D5EBA" w:rsidRPr="007C50C0" w:rsidRDefault="007D5EBA" w:rsidP="007D5EBA">
      <w:pPr>
        <w:ind w:left="567" w:right="567"/>
        <w:jc w:val="both"/>
      </w:pPr>
      <w:r w:rsidRPr="008E2FAC">
        <w:rPr>
          <w:lang w:val="fr-FR"/>
        </w:rPr>
        <w:t>[…] Pour que se réalisent nos vœux unanimes, il faut que la paix, imposant nos conditions à nos ennemis vaincus, nous rende le</w:t>
      </w:r>
      <w:r>
        <w:rPr>
          <w:lang w:val="fr-FR"/>
        </w:rPr>
        <w:t xml:space="preserve">s provinces dont nous a dépouillé la violence, reconstitue intégralement la France démembrée et nous offre des garanties sérieuses contre la folie guerrière de l’Allemagne impériale. </w:t>
      </w:r>
      <w:r w:rsidRPr="007C50C0">
        <w:t>[…]</w:t>
      </w:r>
      <w:r>
        <w:rPr>
          <w:rStyle w:val="FootnoteReference"/>
          <w:lang w:val="fr-FR"/>
        </w:rPr>
        <w:footnoteReference w:id="462"/>
      </w:r>
    </w:p>
    <w:p w14:paraId="4D6DF326" w14:textId="602434BD" w:rsidR="007D5EBA" w:rsidRPr="009D54D8" w:rsidRDefault="007D5EBA" w:rsidP="00EC3E3B">
      <w:pPr>
        <w:jc w:val="both"/>
      </w:pPr>
      <w:r>
        <w:t>The fact that the lost provinces had not been mentioned earlier was not surprising. As Jean-Jacques Becker argued, France did not go to war to retrieve Alsace and Lorraine but to resist aggression. However, the idea of restitution quickly became popular among the French. In fact, it was the only war aim which all sides of the political spectrum agreed on.</w:t>
      </w:r>
      <w:r>
        <w:rPr>
          <w:rStyle w:val="FootnoteReference"/>
        </w:rPr>
        <w:footnoteReference w:id="463"/>
      </w:r>
      <w:r>
        <w:t xml:space="preserve"> The growing enthusiasm for a return of Alsace and Lorraine was perceptible in the </w:t>
      </w:r>
      <w:r>
        <w:rPr>
          <w:i/>
          <w:iCs/>
        </w:rPr>
        <w:t>Voix du Pays</w:t>
      </w:r>
      <w:r>
        <w:t>. Indeed, an article about war aims published on 25 September 1917 on the front page of the French newspaper mentioned the restitution of the lost provinces as the main objective.</w:t>
      </w:r>
      <w:r>
        <w:rPr>
          <w:rStyle w:val="FootnoteReference"/>
        </w:rPr>
        <w:footnoteReference w:id="464"/>
      </w:r>
      <w:r>
        <w:t xml:space="preserve"> The subject was advertised during the year 1918</w:t>
      </w:r>
      <w:r w:rsidRPr="00CB0368">
        <w:t xml:space="preserve"> </w:t>
      </w:r>
      <w:r>
        <w:t>on different occasions.</w:t>
      </w:r>
      <w:r>
        <w:rPr>
          <w:rStyle w:val="FootnoteReference"/>
        </w:rPr>
        <w:footnoteReference w:id="465"/>
      </w:r>
      <w:r>
        <w:t xml:space="preserve"> </w:t>
      </w:r>
      <w:r w:rsidRPr="00C9082E">
        <w:t>The</w:t>
      </w:r>
      <w:r>
        <w:t xml:space="preserve"> return of Alsace and Lorraine was also advocated by the British. The support of the British government for this war aim was underlined for the first time in the </w:t>
      </w:r>
      <w:r>
        <w:rPr>
          <w:i/>
          <w:iCs/>
        </w:rPr>
        <w:t>Courrier de l’Air</w:t>
      </w:r>
      <w:r>
        <w:t xml:space="preserve"> of 8 June 1917 and was reaffirmed on other occasions.</w:t>
      </w:r>
      <w:r>
        <w:rPr>
          <w:rStyle w:val="FootnoteReference"/>
        </w:rPr>
        <w:footnoteReference w:id="466"/>
      </w:r>
      <w:r>
        <w:t xml:space="preserve"> There was logic behind the return of the provinces to France, including the fact that the treaty of Frankfurt had been nullified by Germany’s declaration of war. Moreover, the confiscation of 1871 was reinterpreted as an early sign of </w:t>
      </w:r>
      <w:r w:rsidR="00EC3E3B">
        <w:t xml:space="preserve">the </w:t>
      </w:r>
      <w:r>
        <w:t>Prussian militarism</w:t>
      </w:r>
      <w:r w:rsidR="00EC3E3B">
        <w:t xml:space="preserve"> which had led</w:t>
      </w:r>
      <w:r>
        <w:t xml:space="preserve"> to the current state of war.</w:t>
      </w:r>
      <w:r>
        <w:rPr>
          <w:rStyle w:val="FootnoteReference"/>
        </w:rPr>
        <w:footnoteReference w:id="467"/>
      </w:r>
      <w:r>
        <w:t xml:space="preserve"> Past actions imposed by this militarism had to be corrected to complete the restoration of national territorial integrity.</w:t>
      </w:r>
      <w:r>
        <w:rPr>
          <w:rStyle w:val="FootnoteReference"/>
        </w:rPr>
        <w:footnoteReference w:id="468"/>
      </w:r>
      <w:r>
        <w:t xml:space="preserve"> Welcoming back Alsace and Lorrain was a fundamental shift. France was not only fighting to survive but to be reborn in her previous borders. </w:t>
      </w:r>
    </w:p>
    <w:p w14:paraId="0E15D80B" w14:textId="46FD1569" w:rsidR="007D5EBA" w:rsidRDefault="00EC3E3B" w:rsidP="00EC3E3B">
      <w:pPr>
        <w:jc w:val="both"/>
      </w:pPr>
      <w:r>
        <w:t>Propagandists said that a military</w:t>
      </w:r>
      <w:r w:rsidR="007D5EBA">
        <w:t xml:space="preserve"> victory was </w:t>
      </w:r>
      <w:r>
        <w:t>essential</w:t>
      </w:r>
      <w:r w:rsidR="007D5EBA">
        <w:t xml:space="preserve"> to impose war aims as soon as 1915. Yet, military victory became more important than ever by the end of 1917. This fact was clearly stated in an article of the </w:t>
      </w:r>
      <w:r w:rsidR="007D5EBA">
        <w:rPr>
          <w:i/>
          <w:iCs/>
        </w:rPr>
        <w:t>Courrier de l’Air</w:t>
      </w:r>
      <w:r w:rsidR="007D5EBA">
        <w:t xml:space="preserve"> titled </w:t>
      </w:r>
      <w:r w:rsidR="007D5EBA">
        <w:rPr>
          <w:i/>
          <w:iCs/>
        </w:rPr>
        <w:t xml:space="preserve">Nos buts de guerre </w:t>
      </w:r>
      <w:r w:rsidR="007D5EBA">
        <w:t>in which a successful outcome was mentioned at the top of a list also including the restitution of the invaded territories, the future of Mesopotamia, Palestine and the German colonies</w:t>
      </w:r>
      <w:r>
        <w:t>,</w:t>
      </w:r>
      <w:r w:rsidR="007D5EBA">
        <w:t xml:space="preserve"> as well as the guarantee of peace.</w:t>
      </w:r>
      <w:r w:rsidR="007D5EBA">
        <w:rPr>
          <w:rStyle w:val="FootnoteReference"/>
        </w:rPr>
        <w:footnoteReference w:id="469"/>
      </w:r>
      <w:r w:rsidR="007D5EBA">
        <w:t xml:space="preserve"> Another article published a few days later also listed military victory as the first war aim. Interestingly, the term ‘</w:t>
      </w:r>
      <w:r w:rsidR="007D5EBA" w:rsidRPr="00CB0368">
        <w:rPr>
          <w:iCs/>
        </w:rPr>
        <w:t>buts de guerre’</w:t>
      </w:r>
      <w:r w:rsidR="007D5EBA">
        <w:t xml:space="preserve"> was relabelled ‘</w:t>
      </w:r>
      <w:r w:rsidR="007D5EBA" w:rsidRPr="00CB0368">
        <w:rPr>
          <w:iCs/>
        </w:rPr>
        <w:t>conditions de paix’</w:t>
      </w:r>
      <w:r w:rsidR="007D5EBA">
        <w:t>.</w:t>
      </w:r>
      <w:r w:rsidR="007D5EBA">
        <w:rPr>
          <w:rStyle w:val="FootnoteReference"/>
        </w:rPr>
        <w:footnoteReference w:id="470"/>
      </w:r>
      <w:r w:rsidR="007D5EBA">
        <w:t xml:space="preserve"> The same semantic shift occurred in the French </w:t>
      </w:r>
      <w:r w:rsidR="007D5EBA">
        <w:rPr>
          <w:i/>
          <w:iCs/>
        </w:rPr>
        <w:t>Voix du Pays</w:t>
      </w:r>
      <w:r w:rsidR="007D5EBA">
        <w:t xml:space="preserve"> where war aims were renamed ‘</w:t>
      </w:r>
      <w:r w:rsidR="007D5EBA" w:rsidRPr="00CB0368">
        <w:rPr>
          <w:iCs/>
        </w:rPr>
        <w:t>buts de paix’</w:t>
      </w:r>
      <w:r w:rsidR="007D5EBA">
        <w:t>.</w:t>
      </w:r>
      <w:r w:rsidR="007D5EBA">
        <w:rPr>
          <w:rStyle w:val="FootnoteReference"/>
        </w:rPr>
        <w:footnoteReference w:id="471"/>
      </w:r>
      <w:r w:rsidR="007D5EBA">
        <w:t xml:space="preserve"> This change of vocabulary suggests that peace was becoming a tangible reality. Indeed, the failure of the spring offensive and the growing confidence in the main allied leaders meant that, by May 1918, a German defeat was closer than ever. However, losses were rising quickly. In 1918, French casualties were almost twice as high as the year before.</w:t>
      </w:r>
      <w:r w:rsidR="007D5EBA">
        <w:rPr>
          <w:rStyle w:val="FootnoteReference"/>
        </w:rPr>
        <w:footnoteReference w:id="472"/>
      </w:r>
      <w:r w:rsidR="007D5EBA">
        <w:t xml:space="preserve"> These losses explained why a peace based on victory was so heavily</w:t>
      </w:r>
      <w:r>
        <w:t xml:space="preserve"> advertised</w:t>
      </w:r>
      <w:r w:rsidR="007D5EBA">
        <w:t xml:space="preserve">. It was the answer of the </w:t>
      </w:r>
      <w:r w:rsidR="007D5EBA">
        <w:rPr>
          <w:i/>
          <w:iCs/>
        </w:rPr>
        <w:t xml:space="preserve">jusqu’au-boutistes </w:t>
      </w:r>
      <w:r w:rsidR="007D5EBA">
        <w:t>to overcome war exhaustion and fight the idea of a negotiated peace at this crucial moment.</w:t>
      </w:r>
      <w:r w:rsidR="007D5EBA">
        <w:rPr>
          <w:rStyle w:val="FootnoteReference"/>
        </w:rPr>
        <w:footnoteReference w:id="473"/>
      </w:r>
      <w:r w:rsidR="007D5EBA">
        <w:t xml:space="preserve"> In essence, peace was the reward for </w:t>
      </w:r>
      <w:r>
        <w:t>the last sacrifices requested for</w:t>
      </w:r>
      <w:r w:rsidR="007D5EBA">
        <w:t xml:space="preserve"> a victorious outcome. The argument was inspired by the press of the </w:t>
      </w:r>
      <w:r w:rsidR="000A4EAD">
        <w:t>home front</w:t>
      </w:r>
      <w:r w:rsidR="007D5EBA">
        <w:t xml:space="preserve"> and the predominant mood in French urban centres.</w:t>
      </w:r>
      <w:r w:rsidR="007D5EBA">
        <w:rPr>
          <w:rStyle w:val="FootnoteReference"/>
        </w:rPr>
        <w:footnoteReference w:id="474"/>
      </w:r>
    </w:p>
    <w:p w14:paraId="770DCC4C" w14:textId="4AF03084" w:rsidR="007D5EBA" w:rsidRDefault="007D5EBA" w:rsidP="00EC3E3B">
      <w:pPr>
        <w:jc w:val="both"/>
      </w:pPr>
      <w:r>
        <w:t xml:space="preserve">In this section, </w:t>
      </w:r>
      <w:r w:rsidR="000A4EAD">
        <w:t xml:space="preserve">the </w:t>
      </w:r>
      <w:r>
        <w:t xml:space="preserve">evidence </w:t>
      </w:r>
      <w:r w:rsidR="000A4EAD">
        <w:t xml:space="preserve">has </w:t>
      </w:r>
      <w:r>
        <w:t xml:space="preserve">demonstrated that the conflict was presented as an act of defence. According to allied propaganda, Germany was a power hungry nation dominated by military elite. The fate of Belgium, but also the Franco-Prussian war, was given as a proof. Victory was vital to secure a peaceful future in which the consequences of the treaty of Frankfurt were to be nullified. However, the strategy of victimisation antagonised Belgian ministers who </w:t>
      </w:r>
      <w:r w:rsidR="00EC3E3B">
        <w:t xml:space="preserve">did not </w:t>
      </w:r>
      <w:r>
        <w:t>want</w:t>
      </w:r>
      <w:r w:rsidR="00EC3E3B">
        <w:t xml:space="preserve"> to remain associated with t</w:t>
      </w:r>
      <w:r>
        <w:t>he image of a brutalised nation. By the end of the war, peace was used as a motivation to preserve the fighting spirit of exhausted populations.</w:t>
      </w:r>
    </w:p>
    <w:p w14:paraId="6763898D" w14:textId="77777777" w:rsidR="007D5EBA" w:rsidRDefault="007D5EBA" w:rsidP="007D5EBA">
      <w:pPr>
        <w:pStyle w:val="Heading2"/>
      </w:pPr>
      <w:bookmarkStart w:id="51" w:name="_Toc402192972"/>
      <w:r>
        <w:t>A struggle for democracy?</w:t>
      </w:r>
      <w:bookmarkEnd w:id="51"/>
    </w:p>
    <w:p w14:paraId="70A0CF7F" w14:textId="56299B2B" w:rsidR="007D5EBA" w:rsidRDefault="007D5EBA" w:rsidP="001B3457">
      <w:pPr>
        <w:jc w:val="both"/>
      </w:pPr>
      <w:r>
        <w:t xml:space="preserve">Fulfilling ambitious war aims </w:t>
      </w:r>
      <w:r w:rsidR="00EC3E3B">
        <w:t>would</w:t>
      </w:r>
      <w:r>
        <w:t xml:space="preserve"> doubtlessly cost the life of many soldiers. However, were the people of Belgium, Britain and France ready to consent to heavy sacrifices to fulfil these objectives? It should be remembered that the people of the occupied territories were not in a position to fight but were nonetheless exposed to disease, hunger, and death. As Philippe Nivet showed, war also had a significant human cost in the occupied territories.</w:t>
      </w:r>
      <w:r>
        <w:rPr>
          <w:rStyle w:val="FootnoteReference"/>
        </w:rPr>
        <w:footnoteReference w:id="475"/>
      </w:r>
      <w:r>
        <w:t xml:space="preserve"> An analysis of the content of propaganda aimed at the occupied territories seems to suggest that propagandists had doubts</w:t>
      </w:r>
      <w:r w:rsidR="001B3457">
        <w:t>,</w:t>
      </w:r>
      <w:r>
        <w:t xml:space="preserve"> and keenly brought in other elements to solidify popular support. To make losses acceptable, war had also to be fought on the ground of ideology. The conflict was therefore portrayed as more than a struggle between European states</w:t>
      </w:r>
      <w:r w:rsidR="001B3457">
        <w:t>;</w:t>
      </w:r>
      <w:r>
        <w:t xml:space="preserve"> </w:t>
      </w:r>
      <w:r w:rsidR="001B3457">
        <w:t>it was</w:t>
      </w:r>
      <w:r>
        <w:t xml:space="preserve"> also as a crusade to protect and impose democracy.</w:t>
      </w:r>
      <w:r>
        <w:rPr>
          <w:rStyle w:val="FootnoteReference"/>
        </w:rPr>
        <w:footnoteReference w:id="476"/>
      </w:r>
      <w:r>
        <w:t xml:space="preserve"> After all, </w:t>
      </w:r>
      <w:r w:rsidR="001B3457">
        <w:t xml:space="preserve">before the war </w:t>
      </w:r>
      <w:r>
        <w:t xml:space="preserve">Western Europe had </w:t>
      </w:r>
      <w:r w:rsidR="001B3457">
        <w:t xml:space="preserve">already </w:t>
      </w:r>
      <w:r>
        <w:t>been divided into two blocks. Britain, France and Belgium had been led by democratic institutions</w:t>
      </w:r>
      <w:r w:rsidR="001B3457">
        <w:t>,</w:t>
      </w:r>
      <w:r>
        <w:t xml:space="preserve"> while Germany, despite universal suffrage for the Reichstag, was still </w:t>
      </w:r>
      <w:r w:rsidR="000A4EAD">
        <w:t>largely</w:t>
      </w:r>
      <w:r>
        <w:t xml:space="preserve"> controlled by the higher class of the society.</w:t>
      </w:r>
      <w:r>
        <w:rPr>
          <w:rStyle w:val="FootnoteReference"/>
        </w:rPr>
        <w:footnoteReference w:id="477"/>
      </w:r>
      <w:r>
        <w:t xml:space="preserve"> It must be highlighted that Austria-Hungary, the Ottoman Empire and Bulgaria were once again ignored. Allied propaganda played with the political situation of Germany</w:t>
      </w:r>
      <w:r w:rsidRPr="00CB0368">
        <w:t xml:space="preserve"> </w:t>
      </w:r>
      <w:r>
        <w:t>on countless occasions.</w:t>
      </w:r>
      <w:r>
        <w:rPr>
          <w:rStyle w:val="FootnoteReference"/>
        </w:rPr>
        <w:footnoteReference w:id="478"/>
      </w:r>
      <w:r>
        <w:t xml:space="preserve"> They drew the picture of an authoritarian regime leading their people to slaughter to impose an autocratic domination over Europe. Atrocity propaganda, studied in </w:t>
      </w:r>
      <w:r w:rsidR="00AD35FA">
        <w:t>chapter six</w:t>
      </w:r>
      <w:r>
        <w:t>, contributed to the idea that the tyrannical militarist institution at the head of Germany led to murder and destruction.</w:t>
      </w:r>
      <w:r>
        <w:rPr>
          <w:rStyle w:val="FootnoteReference"/>
        </w:rPr>
        <w:footnoteReference w:id="479"/>
      </w:r>
      <w:r>
        <w:t xml:space="preserve"> </w:t>
      </w:r>
    </w:p>
    <w:p w14:paraId="64451CD7" w14:textId="2C60FBBC" w:rsidR="007D5EBA" w:rsidRDefault="007D5EBA" w:rsidP="001B3457">
      <w:pPr>
        <w:jc w:val="both"/>
      </w:pPr>
      <w:r>
        <w:t xml:space="preserve">If war was imposed on the people of Germany, propaganda </w:t>
      </w:r>
      <w:r w:rsidR="003D7E23">
        <w:t>suggested</w:t>
      </w:r>
      <w:r>
        <w:t xml:space="preserve"> that it was freely supported by the people of Belgium, Britain and France. To imprint this image, propagandists had to convince their audience that the conflict was widely approved and was the expression of a democratic will. </w:t>
      </w:r>
      <w:r w:rsidR="003D7E23">
        <w:t>This</w:t>
      </w:r>
      <w:r>
        <w:t xml:space="preserve"> strategy was also widely used on the home fronts of Britain and France.</w:t>
      </w:r>
      <w:r>
        <w:rPr>
          <w:rStyle w:val="FootnoteReference"/>
        </w:rPr>
        <w:footnoteReference w:id="480"/>
      </w:r>
      <w:r>
        <w:t xml:space="preserve"> </w:t>
      </w:r>
      <w:r>
        <w:rPr>
          <w:i/>
          <w:iCs/>
        </w:rPr>
        <w:t>La Voix du Pays</w:t>
      </w:r>
      <w:r>
        <w:t xml:space="preserve"> played with the idea early</w:t>
      </w:r>
      <w:r w:rsidR="001B3457">
        <w:t xml:space="preserve"> on</w:t>
      </w:r>
      <w:r>
        <w:t>. French propagandists reminded their audience that both the senate and the chamber, in essence those representing the nation, were voting unanim</w:t>
      </w:r>
      <w:r w:rsidR="001B3457">
        <w:t>ously for conscription, taxes and</w:t>
      </w:r>
      <w:r>
        <w:t xml:space="preserve"> other laws supporting the war effort.</w:t>
      </w:r>
      <w:r>
        <w:rPr>
          <w:rStyle w:val="FootnoteReference"/>
        </w:rPr>
        <w:footnoteReference w:id="481"/>
      </w:r>
      <w:r>
        <w:t xml:space="preserve"> These attempts to forge a picture of solidarity grew stronger with time. In 1916, it was demonstrated that the u</w:t>
      </w:r>
      <w:r>
        <w:rPr>
          <w:i/>
          <w:iCs/>
        </w:rPr>
        <w:t>nion sacrée</w:t>
      </w:r>
      <w:r>
        <w:t xml:space="preserve"> was going above the political divide. Geographical differences between north and south, division between classes</w:t>
      </w:r>
      <w:r w:rsidR="001B3457">
        <w:t>,</w:t>
      </w:r>
      <w:r>
        <w:t xml:space="preserve"> and antagonism about religious beliefs were all forgotten for the greater good:</w:t>
      </w:r>
    </w:p>
    <w:p w14:paraId="4A705EEA" w14:textId="77777777" w:rsidR="007D5EBA" w:rsidRPr="00055AAD" w:rsidRDefault="007D5EBA" w:rsidP="007D5EBA">
      <w:pPr>
        <w:ind w:left="567" w:right="567"/>
        <w:jc w:val="both"/>
        <w:rPr>
          <w:lang w:val="fr-FR"/>
        </w:rPr>
      </w:pPr>
      <w:r w:rsidRPr="00055AAD">
        <w:rPr>
          <w:lang w:val="fr-FR"/>
        </w:rPr>
        <w:t>A la voix de la patrie en danger</w:t>
      </w:r>
      <w:r>
        <w:rPr>
          <w:lang w:val="fr-FR"/>
        </w:rPr>
        <w:t>, ils se sont levés, ils ont couru aux armes, ils se sont précipités aux frontières, les jeunes comme les ainés, les fils comme les pères, ceux qui, leur service terminé, avaient repris la vie tranquille du foyer domestique, comme ceux qui s’exerçaient encore dans les casernes et dans les camps, ceux qui travaillaient à l’usine comme ceux qui cultivaient les champs, ceux qui enseignaient la jeunesse comme ceux qui collaboraient à l’administration de la justice, ceux qui pratiquaient un culte religieux comme ceux qui ne priaient pas dans les temples, ceux qui étaient nés sous le ciel du Midi comme ceux qui avaient grandi sur les rives de l’Océan ou dans le voisinage de l’étranger.</w:t>
      </w:r>
      <w:r>
        <w:rPr>
          <w:rStyle w:val="FootnoteReference"/>
          <w:lang w:val="fr-FR"/>
        </w:rPr>
        <w:footnoteReference w:id="482"/>
      </w:r>
    </w:p>
    <w:p w14:paraId="53F605AE" w14:textId="363FE16E" w:rsidR="007D5EBA" w:rsidRDefault="007D5EBA" w:rsidP="001B3457">
      <w:pPr>
        <w:jc w:val="both"/>
      </w:pPr>
      <w:r>
        <w:t>This idea was again expressed at the end of 1917 with the slogan ‘</w:t>
      </w:r>
      <w:r w:rsidRPr="00D35BA3">
        <w:t>un seul front, une seule armée, une seule nation</w:t>
      </w:r>
      <w:r>
        <w:t xml:space="preserve">’, </w:t>
      </w:r>
      <w:r w:rsidR="001B3457">
        <w:t>which tried</w:t>
      </w:r>
      <w:r>
        <w:t xml:space="preserve"> to fight the numerous prejudices against French soldiers from the provinces</w:t>
      </w:r>
      <w:r w:rsidRPr="009E77B3">
        <w:t xml:space="preserve"> </w:t>
      </w:r>
      <w:r>
        <w:t>among other things.</w:t>
      </w:r>
      <w:r>
        <w:rPr>
          <w:rStyle w:val="FootnoteReference"/>
        </w:rPr>
        <w:footnoteReference w:id="483"/>
      </w:r>
      <w:r>
        <w:t xml:space="preserve"> Belgian newspapers were animated by the same principle of unity. Despite the lack of contact between exiled Belgians in France and Britain and with the occupied territories, </w:t>
      </w:r>
      <w:r>
        <w:rPr>
          <w:i/>
          <w:iCs/>
        </w:rPr>
        <w:t>La Lettre du Soldat</w:t>
      </w:r>
      <w:r>
        <w:t xml:space="preserve"> saluted a nation united around the king and the government by ‘thoughts, soul, hope and pain’.</w:t>
      </w:r>
      <w:r>
        <w:rPr>
          <w:rStyle w:val="FootnoteReference"/>
        </w:rPr>
        <w:footnoteReference w:id="484"/>
      </w:r>
      <w:r>
        <w:t xml:space="preserve"> The British equally highlighted how their nation was coming to fig</w:t>
      </w:r>
      <w:r w:rsidR="003D7E23">
        <w:t>ht tyranny as one</w:t>
      </w:r>
      <w:r>
        <w:t xml:space="preserve">. On 1 July 1917, the </w:t>
      </w:r>
      <w:r>
        <w:rPr>
          <w:i/>
          <w:iCs/>
        </w:rPr>
        <w:t xml:space="preserve">Courrier de l’Air </w:t>
      </w:r>
      <w:r>
        <w:t>advertised a demonstration of support organised by a worker’s league in Hyde Park to convey the idea that the working class approv</w:t>
      </w:r>
      <w:r w:rsidR="003D7E23">
        <w:t>ed</w:t>
      </w:r>
      <w:r>
        <w:t xml:space="preserve"> </w:t>
      </w:r>
      <w:r w:rsidR="003D7E23">
        <w:t>of the</w:t>
      </w:r>
      <w:r>
        <w:t xml:space="preserve"> war effort and the actions of the government.</w:t>
      </w:r>
      <w:r>
        <w:rPr>
          <w:rStyle w:val="FootnoteReference"/>
        </w:rPr>
        <w:footnoteReference w:id="485"/>
      </w:r>
    </w:p>
    <w:p w14:paraId="2044D9C7" w14:textId="7F78969F" w:rsidR="007D5EBA" w:rsidRPr="00C24ADA" w:rsidRDefault="007D5EBA" w:rsidP="002257A1">
      <w:pPr>
        <w:jc w:val="both"/>
      </w:pPr>
      <w:r>
        <w:t>However, articles based on propaganda strategies were manipulations of facts</w:t>
      </w:r>
      <w:r w:rsidR="001B3457">
        <w:t>,</w:t>
      </w:r>
      <w:r>
        <w:t xml:space="preserve"> harming the principles of democracy they </w:t>
      </w:r>
      <w:r w:rsidR="001B3457">
        <w:t>pretended</w:t>
      </w:r>
      <w:r>
        <w:t xml:space="preserve"> to defend. The sovereignty of the people, an essential element in a democratic state, was diverted by psychological warfare. Indeed, the claim that war was approved by everybody was not only unsupported but also doubtful. Yet, by claiming to express the will of the people without actually giving them the opportunity to do so</w:t>
      </w:r>
      <w:r w:rsidR="003D7E23">
        <w:t xml:space="preserve"> themselves</w:t>
      </w:r>
      <w:r>
        <w:t>, propaganda was crushing democracy in its</w:t>
      </w:r>
      <w:r w:rsidR="001B3457">
        <w:t xml:space="preserve"> own</w:t>
      </w:r>
      <w:r>
        <w:t xml:space="preserve"> name.</w:t>
      </w:r>
      <w:r>
        <w:rPr>
          <w:rStyle w:val="FootnoteReference"/>
        </w:rPr>
        <w:footnoteReference w:id="486"/>
      </w:r>
      <w:r>
        <w:t xml:space="preserve"> The paradox was expressed by Jacques Ellul</w:t>
      </w:r>
      <w:r w:rsidR="001B3457">
        <w:t>,</w:t>
      </w:r>
      <w:r>
        <w:t xml:space="preserve"> who underlined how pernicious the illusion that psychological action could respect democratic values was.</w:t>
      </w:r>
      <w:r>
        <w:rPr>
          <w:rStyle w:val="FootnoteReference"/>
        </w:rPr>
        <w:footnoteReference w:id="487"/>
      </w:r>
      <w:r>
        <w:t xml:space="preserve"> As expected, the actual popular support for the conflict was more ambiguous than what was claimed by psychological warfare. Opposite views have been tearing French historians apart since the publication of </w:t>
      </w:r>
      <w:r w:rsidRPr="00A50249">
        <w:rPr>
          <w:i/>
          <w:iCs/>
        </w:rPr>
        <w:t xml:space="preserve">14-18, Retrouver la guerre </w:t>
      </w:r>
      <w:r>
        <w:t>by Annette Becker and Stéphane Audoin-Rouzeau in 2000.</w:t>
      </w:r>
      <w:r>
        <w:rPr>
          <w:rStyle w:val="FootnoteReference"/>
        </w:rPr>
        <w:footnoteReference w:id="488"/>
      </w:r>
      <w:r>
        <w:t xml:space="preserve"> The </w:t>
      </w:r>
      <w:r>
        <w:rPr>
          <w:i/>
          <w:iCs/>
        </w:rPr>
        <w:t xml:space="preserve">consentement patriotique </w:t>
      </w:r>
      <w:r>
        <w:t>has been supported by a majority of historians</w:t>
      </w:r>
      <w:r w:rsidR="001B3457">
        <w:t>,</w:t>
      </w:r>
      <w:r>
        <w:t xml:space="preserve"> coming mainly from the </w:t>
      </w:r>
      <w:r>
        <w:rPr>
          <w:i/>
          <w:iCs/>
        </w:rPr>
        <w:t>Historial de la grande guerre de Péronne</w:t>
      </w:r>
      <w:r w:rsidR="001B3457">
        <w:rPr>
          <w:i/>
          <w:iCs/>
        </w:rPr>
        <w:t>,</w:t>
      </w:r>
      <w:r>
        <w:rPr>
          <w:i/>
          <w:iCs/>
        </w:rPr>
        <w:t xml:space="preserve"> </w:t>
      </w:r>
      <w:r>
        <w:t xml:space="preserve">but was, and still is, contested by the historians from the </w:t>
      </w:r>
      <w:r>
        <w:rPr>
          <w:i/>
          <w:iCs/>
        </w:rPr>
        <w:t xml:space="preserve">Collectif de recherche international et débat sur la guerre de 1914-1918 (CRID 1914-1918) </w:t>
      </w:r>
      <w:r>
        <w:t xml:space="preserve">who have been arguing for the notion of </w:t>
      </w:r>
      <w:r>
        <w:rPr>
          <w:i/>
          <w:iCs/>
        </w:rPr>
        <w:t>contrainte.</w:t>
      </w:r>
      <w:r w:rsidRPr="00410F8F">
        <w:rPr>
          <w:rStyle w:val="FootnoteReference"/>
        </w:rPr>
        <w:footnoteReference w:id="489"/>
      </w:r>
      <w:r>
        <w:t xml:space="preserve"> Whether general </w:t>
      </w:r>
      <w:r>
        <w:rPr>
          <w:i/>
          <w:iCs/>
        </w:rPr>
        <w:t>consentement</w:t>
      </w:r>
      <w:r>
        <w:t xml:space="preserve"> was indeed present or not</w:t>
      </w:r>
      <w:r w:rsidR="003D7E23">
        <w:t>,</w:t>
      </w:r>
      <w:r>
        <w:t xml:space="preserve"> some people</w:t>
      </w:r>
      <w:r w:rsidR="003D7E23">
        <w:t xml:space="preserve"> still</w:t>
      </w:r>
      <w:r>
        <w:t xml:space="preserve"> voiced their opposition to war. The next section of this chapter will examine how propaganda dealt with them.</w:t>
      </w:r>
    </w:p>
    <w:p w14:paraId="0C635A8C" w14:textId="5B69B58C" w:rsidR="007D5EBA" w:rsidRDefault="007D5EBA" w:rsidP="007D5EBA">
      <w:pPr>
        <w:jc w:val="both"/>
      </w:pPr>
      <w:r>
        <w:t>According to propaganda aimed at occupied territories, the conflict was not only the democratic expression of the people</w:t>
      </w:r>
      <w:r w:rsidR="001B3457">
        <w:t>,</w:t>
      </w:r>
      <w:r>
        <w:t xml:space="preserve"> but was also fought to guarantee international security to the whole</w:t>
      </w:r>
      <w:r w:rsidR="001B3457">
        <w:t xml:space="preserve"> of</w:t>
      </w:r>
      <w:r>
        <w:t xml:space="preserve"> humanity:</w:t>
      </w:r>
    </w:p>
    <w:p w14:paraId="5A9569A0" w14:textId="77777777" w:rsidR="007D5EBA" w:rsidRPr="006176D7" w:rsidRDefault="007D5EBA" w:rsidP="007D5EBA">
      <w:pPr>
        <w:ind w:left="567" w:right="567"/>
        <w:jc w:val="both"/>
      </w:pPr>
      <w:r w:rsidRPr="00C24ADA">
        <w:t xml:space="preserve"> </w:t>
      </w:r>
      <w:r w:rsidRPr="00035CCC">
        <w:rPr>
          <w:lang w:val="fr-FR"/>
        </w:rPr>
        <w:t xml:space="preserve">[…] </w:t>
      </w:r>
      <w:r w:rsidRPr="00592DC9">
        <w:rPr>
          <w:lang w:val="fr-FR"/>
        </w:rPr>
        <w:t xml:space="preserve">La démocratie anglaise ne se remue pas pour agrandir </w:t>
      </w:r>
      <w:r>
        <w:rPr>
          <w:lang w:val="fr-FR"/>
        </w:rPr>
        <w:t xml:space="preserve">l’Empire britannique. Aucune nation n’a été plus dévouée à la cause de la paix que la nation anglaise ; nous n’avons tiré l’épée du fourreau que lorsque les droits les plus élémentaires de l’humanité avaient été brutalement violés. Nous croyons que c’est seulement par une défaite décisive des auteurs de ces violations que la sécurité des droits de l’humanité et de la liberté sera assurée. </w:t>
      </w:r>
      <w:r w:rsidRPr="006176D7">
        <w:t>[…]</w:t>
      </w:r>
      <w:r>
        <w:rPr>
          <w:rStyle w:val="FootnoteReference"/>
          <w:lang w:val="fr-FR"/>
        </w:rPr>
        <w:footnoteReference w:id="490"/>
      </w:r>
    </w:p>
    <w:p w14:paraId="310204E1" w14:textId="424D7404" w:rsidR="007D5EBA" w:rsidRDefault="007D5EBA" w:rsidP="001B3457">
      <w:pPr>
        <w:jc w:val="both"/>
      </w:pPr>
      <w:r>
        <w:t>Annette Becker argued that most people had the impression that war was waged in order to establish a better world. The new order coming from the conflict would have destroyed war itself. This eschatological view, in which good triumphed over the forces of evil, was evidently inspired by a mixture of war culture, religion and propaganda.</w:t>
      </w:r>
      <w:r>
        <w:rPr>
          <w:rStyle w:val="FootnoteReference"/>
        </w:rPr>
        <w:footnoteReference w:id="491"/>
      </w:r>
      <w:r>
        <w:t xml:space="preserve"> These ideas were echoed in the newspapers aimed at the occupied territories</w:t>
      </w:r>
      <w:r w:rsidR="001B3457">
        <w:t>,</w:t>
      </w:r>
      <w:r>
        <w:t xml:space="preserve"> </w:t>
      </w:r>
      <w:r w:rsidR="001B3457">
        <w:t>in which</w:t>
      </w:r>
      <w:r>
        <w:t xml:space="preserve"> a change in the current political system in Germany and the adoption of a democratic regime were presented as vital conditions for peace:</w:t>
      </w:r>
    </w:p>
    <w:p w14:paraId="3581F8D7" w14:textId="77777777" w:rsidR="007D5EBA" w:rsidRDefault="007D5EBA" w:rsidP="007D5EBA">
      <w:pPr>
        <w:ind w:left="567" w:right="567"/>
        <w:jc w:val="both"/>
        <w:rPr>
          <w:lang w:val="fr-FR"/>
        </w:rPr>
      </w:pPr>
      <w:r w:rsidRPr="00314EDD">
        <w:rPr>
          <w:lang w:val="fr-FR"/>
        </w:rPr>
        <w:t xml:space="preserve">[…] La meilleure garantie de la paix sera </w:t>
      </w:r>
      <w:r>
        <w:rPr>
          <w:lang w:val="fr-FR"/>
        </w:rPr>
        <w:t>la démocratisation du gouvernement de l’Allemagne. Personne ne veut dicter aux Allemands la forme à venir de leur gouvernement, mais nous aurions dans nos négociations avec une Allemagne démocratisée une attitude fort différente de celle que nous observerions envers une Allemagne dominée par l’esprit agressif et arrogant du militarisme prussien. Les gouvernements alliés feront bien de faire ressortir cette distinction.</w:t>
      </w:r>
      <w:r>
        <w:rPr>
          <w:rStyle w:val="FootnoteReference"/>
          <w:lang w:val="fr-FR"/>
        </w:rPr>
        <w:footnoteReference w:id="492"/>
      </w:r>
    </w:p>
    <w:p w14:paraId="5634266C" w14:textId="69444FB8" w:rsidR="007D5EBA" w:rsidRPr="0002561E" w:rsidRDefault="007D5EBA" w:rsidP="001B3457">
      <w:pPr>
        <w:jc w:val="both"/>
      </w:pPr>
      <w:r>
        <w:t xml:space="preserve">However, the fate of the Kaiser was still the subject of debate. Wilhelm was one of the most mocked men in the allied press of the </w:t>
      </w:r>
      <w:r w:rsidR="00981931">
        <w:t>home front</w:t>
      </w:r>
      <w:r>
        <w:t xml:space="preserve"> and was often abused in caricatures.</w:t>
      </w:r>
      <w:r>
        <w:rPr>
          <w:rStyle w:val="FootnoteReference"/>
        </w:rPr>
        <w:footnoteReference w:id="493"/>
      </w:r>
      <w:r>
        <w:t xml:space="preserve"> Yet, an article of the </w:t>
      </w:r>
      <w:r>
        <w:rPr>
          <w:i/>
          <w:iCs/>
        </w:rPr>
        <w:t>Courrier de l’Air</w:t>
      </w:r>
      <w:r>
        <w:t xml:space="preserve"> of March 1918 suggested that despite being dangerous, the imperial regime of Germany was not a reason to fight. The British newspaper also stressed that war was not led against German people or to destroy the country.</w:t>
      </w:r>
      <w:r>
        <w:rPr>
          <w:rStyle w:val="FootnoteReference"/>
        </w:rPr>
        <w:footnoteReference w:id="494"/>
      </w:r>
      <w:r>
        <w:t xml:space="preserve"> This article almost suggests that British propagandists anticipated a German audience. Despite this moderation, the intentions of the British were clear. As it will be seen in </w:t>
      </w:r>
      <w:r w:rsidR="00AD35FA">
        <w:t>chapter six</w:t>
      </w:r>
      <w:r>
        <w:t>, propagandists systematically led a campaign of hate against the Germans and even applauded the bombardment of their civilian urban centres.</w:t>
      </w:r>
      <w:r>
        <w:rPr>
          <w:rStyle w:val="FootnoteReference"/>
        </w:rPr>
        <w:footnoteReference w:id="495"/>
      </w:r>
      <w:r>
        <w:t xml:space="preserve"> In fact, it was generally understood in the French press of the home front that the German people could not be separated from </w:t>
      </w:r>
      <w:r w:rsidR="001B3457">
        <w:t>its</w:t>
      </w:r>
      <w:r>
        <w:t xml:space="preserve"> leaders.</w:t>
      </w:r>
      <w:r>
        <w:rPr>
          <w:rStyle w:val="FootnoteReference"/>
        </w:rPr>
        <w:footnoteReference w:id="496"/>
      </w:r>
      <w:r>
        <w:t xml:space="preserve"> Moreover, the British newspaper quickly left aside what had been said before. When victory became clear, the </w:t>
      </w:r>
      <w:r>
        <w:rPr>
          <w:i/>
          <w:iCs/>
        </w:rPr>
        <w:t>Courrier de l’Air</w:t>
      </w:r>
      <w:r>
        <w:t xml:space="preserve"> supported the removal of the Kaiser.</w:t>
      </w:r>
      <w:r>
        <w:rPr>
          <w:rStyle w:val="FootnoteReference"/>
        </w:rPr>
        <w:footnoteReference w:id="497"/>
      </w:r>
      <w:r>
        <w:t xml:space="preserve"> By then, extreme views against the Germ</w:t>
      </w:r>
      <w:r w:rsidR="001B3457">
        <w:t>ans and their leader were wide</w:t>
      </w:r>
      <w:r>
        <w:t>spread in France.</w:t>
      </w:r>
      <w:r>
        <w:rPr>
          <w:rStyle w:val="FootnoteReference"/>
        </w:rPr>
        <w:footnoteReference w:id="498"/>
      </w:r>
      <w:r>
        <w:t xml:space="preserve"> </w:t>
      </w:r>
    </w:p>
    <w:p w14:paraId="29B2E0AA" w14:textId="0FEF3AB8" w:rsidR="007D5EBA" w:rsidRPr="005C5FFA" w:rsidRDefault="007D5EBA" w:rsidP="002257A1">
      <w:pPr>
        <w:jc w:val="both"/>
      </w:pPr>
      <w:r>
        <w:t xml:space="preserve">In the context of 1918, any trouble on the home front of Germany or Austria was perceived as a proof that autocracy was </w:t>
      </w:r>
      <w:r w:rsidR="00981931">
        <w:t>collapsing</w:t>
      </w:r>
      <w:r>
        <w:t>. Incidents in factories were relayed in the press in order to demonstrate that enemy civilians were aspiring to a democratic regime.</w:t>
      </w:r>
      <w:r>
        <w:rPr>
          <w:rStyle w:val="FootnoteReference"/>
        </w:rPr>
        <w:footnoteReference w:id="499"/>
      </w:r>
      <w:r>
        <w:t xml:space="preserve"> A climax was reached at the end of the war when the victorious outcome was seen as the promise of a better world. An article, titled </w:t>
      </w:r>
      <w:r>
        <w:rPr>
          <w:i/>
          <w:iCs/>
        </w:rPr>
        <w:t xml:space="preserve">La </w:t>
      </w:r>
      <w:r>
        <w:t xml:space="preserve">[sic] </w:t>
      </w:r>
      <w:r>
        <w:rPr>
          <w:i/>
          <w:iCs/>
        </w:rPr>
        <w:t>triomphe de la démocratie,</w:t>
      </w:r>
      <w:r>
        <w:t xml:space="preserve"> printed in the </w:t>
      </w:r>
      <w:r>
        <w:rPr>
          <w:i/>
          <w:iCs/>
        </w:rPr>
        <w:t xml:space="preserve">Courrier de l’Air </w:t>
      </w:r>
      <w:r>
        <w:t xml:space="preserve">of 14 November 1918 was particularly enlightening. </w:t>
      </w:r>
      <w:r w:rsidRPr="005C5FFA">
        <w:t xml:space="preserve">Although never distributed, the text demonstrated how </w:t>
      </w:r>
      <w:r>
        <w:t>ideological and incoherent</w:t>
      </w:r>
      <w:r w:rsidRPr="005C5FFA">
        <w:t xml:space="preserve"> propaganda had become. </w:t>
      </w:r>
      <w:r w:rsidR="001B3457">
        <w:t xml:space="preserve">Written with </w:t>
      </w:r>
      <w:r>
        <w:t xml:space="preserve">religious vocabulary and </w:t>
      </w:r>
      <w:r w:rsidR="00981931">
        <w:t xml:space="preserve">introducing </w:t>
      </w:r>
      <w:r>
        <w:t>spiritual values, the article mixed the ideals of the French revolution, monarchies such as Belgium and Great Britain</w:t>
      </w:r>
      <w:r w:rsidR="001B3457">
        <w:t>,</w:t>
      </w:r>
      <w:r>
        <w:t xml:space="preserve"> and national </w:t>
      </w:r>
      <w:r w:rsidRPr="006B0B31">
        <w:t>romanti</w:t>
      </w:r>
      <w:r w:rsidR="0070440A" w:rsidRPr="006B0B31">
        <w:t>ci</w:t>
      </w:r>
      <w:r w:rsidRPr="006B0B31">
        <w:t>sm</w:t>
      </w:r>
      <w:r>
        <w:t xml:space="preserve"> to offer a </w:t>
      </w:r>
      <w:r w:rsidR="002257A1">
        <w:t>simplistic</w:t>
      </w:r>
      <w:r>
        <w:t xml:space="preserve"> picture of the new world order:    </w:t>
      </w:r>
    </w:p>
    <w:p w14:paraId="4E61B505" w14:textId="77777777" w:rsidR="007D5EBA" w:rsidRDefault="007D5EBA" w:rsidP="007D5EBA">
      <w:pPr>
        <w:ind w:left="567" w:right="567"/>
        <w:jc w:val="both"/>
        <w:rPr>
          <w:lang w:val="fr-FR"/>
        </w:rPr>
      </w:pPr>
      <w:r w:rsidRPr="00035CCC">
        <w:rPr>
          <w:lang w:val="fr-FR"/>
        </w:rPr>
        <w:t xml:space="preserve">[…] </w:t>
      </w:r>
      <w:r>
        <w:rPr>
          <w:lang w:val="fr-FR"/>
        </w:rPr>
        <w:t>La démocratie a triomphé. Les peuples se dressent devant leurs oppresseurs, les nationalités secouent le joug de leur esclave. Nous sommes en présence de quelque chose de plus grand que la rénovation de la chair ; nous sommes devant la résurrection des idéaux romantiques des peuples et des nations. Tendons nos lauriers à la Belgique, à la France de la Révolution, à l’Angleterre, à tous les alliés, à Clémenceau, à Lloyd George, à Wilson.</w:t>
      </w:r>
      <w:r>
        <w:rPr>
          <w:rStyle w:val="FootnoteReference"/>
          <w:lang w:val="fr-FR"/>
        </w:rPr>
        <w:footnoteReference w:id="500"/>
      </w:r>
    </w:p>
    <w:p w14:paraId="156A63CD" w14:textId="5897410A" w:rsidR="007D5EBA" w:rsidRDefault="007D5EBA" w:rsidP="001B3457">
      <w:pPr>
        <w:jc w:val="both"/>
      </w:pPr>
      <w:r>
        <w:t>Despite this artificial enthusiasm, the conflict was quickly perceived by a vast portion of society as an absurdity in which culture had been taken hostage by propaganda and the war effort.</w:t>
      </w:r>
      <w:r>
        <w:rPr>
          <w:rStyle w:val="FootnoteReference"/>
        </w:rPr>
        <w:footnoteReference w:id="501"/>
      </w:r>
      <w:r>
        <w:t xml:space="preserve"> Rather than democratic ideals, people of the post-war world faced the saturation of a conflict which had invaded the public memory and national spaces.</w:t>
      </w:r>
      <w:r>
        <w:rPr>
          <w:rStyle w:val="FootnoteReference"/>
        </w:rPr>
        <w:footnoteReference w:id="502"/>
      </w:r>
      <w:r w:rsidR="001B3457">
        <w:t xml:space="preserve"> With a world as u</w:t>
      </w:r>
      <w:r>
        <w:t xml:space="preserve">nstable as ever, people were </w:t>
      </w:r>
      <w:r w:rsidR="00981931">
        <w:t>quick</w:t>
      </w:r>
      <w:r>
        <w:t xml:space="preserve"> to realise that the ‘war to end all wars’ was just another propaganda slogan. Russia was now deep in a civil war, Germany was on a slippery path and the propaganda promise of European stability based on democratic nations was now clearly a short-lived illusion.</w:t>
      </w:r>
      <w:r>
        <w:rPr>
          <w:rStyle w:val="FootnoteReference"/>
        </w:rPr>
        <w:footnoteReference w:id="503"/>
      </w:r>
      <w:r>
        <w:t xml:space="preserve"> </w:t>
      </w:r>
    </w:p>
    <w:p w14:paraId="2D8360ED" w14:textId="77777777" w:rsidR="007D5EBA" w:rsidRPr="003B2272" w:rsidRDefault="007D5EBA" w:rsidP="007D5EBA">
      <w:pPr>
        <w:pStyle w:val="Heading2"/>
      </w:pPr>
      <w:bookmarkStart w:id="52" w:name="_Toc402192973"/>
      <w:r>
        <w:t>Radicalism, socialism and bolshevism</w:t>
      </w:r>
      <w:bookmarkEnd w:id="52"/>
    </w:p>
    <w:p w14:paraId="242A3971" w14:textId="42C5A5FC" w:rsidR="007D5EBA" w:rsidRDefault="007D5EBA" w:rsidP="001B3457">
      <w:pPr>
        <w:jc w:val="both"/>
      </w:pPr>
      <w:r>
        <w:t>The last section showed that war was pictured by propaganda as an effort supported by a unanimous democratic will. Political backing was essential to the idea of a society at war</w:t>
      </w:r>
      <w:r w:rsidR="001B3457" w:rsidRPr="001B3457">
        <w:t xml:space="preserve"> </w:t>
      </w:r>
      <w:r w:rsidR="001B3457">
        <w:t>as a whole</w:t>
      </w:r>
      <w:r>
        <w:t xml:space="preserve">, epitomised in France by the concept of </w:t>
      </w:r>
      <w:r>
        <w:rPr>
          <w:i/>
          <w:iCs/>
        </w:rPr>
        <w:t>union sacrée</w:t>
      </w:r>
      <w:r>
        <w:t>. In this context, internal dissensions and disagreements to the conflict were a contradiction to the national effort. International events, such as the revolution in Russia in 1917, were also closely monitored as a potential seed of discord threatening national union. Sceptics and pacifists had to be silenced when possible or minimised to a marginal portion of society</w:t>
      </w:r>
      <w:r w:rsidR="001B3457">
        <w:t>, in order</w:t>
      </w:r>
      <w:r>
        <w:t xml:space="preserve"> to keep resolve intact. The task was not as easy as it might have seemed at first</w:t>
      </w:r>
      <w:r w:rsidR="001B3457">
        <w:t>,</w:t>
      </w:r>
      <w:r>
        <w:t xml:space="preserve"> as the Germans were keen to advertise internal peace discussions.</w:t>
      </w:r>
    </w:p>
    <w:p w14:paraId="02EA799F" w14:textId="1218674B" w:rsidR="007D5EBA" w:rsidRDefault="006B0B31" w:rsidP="002257A1">
      <w:pPr>
        <w:jc w:val="both"/>
      </w:pPr>
      <w:r w:rsidRPr="006B0B31">
        <w:t>The French</w:t>
      </w:r>
      <w:r w:rsidR="007D5EBA" w:rsidRPr="006B0B31">
        <w:t xml:space="preserve"> socialists and radicals were </w:t>
      </w:r>
      <w:r w:rsidRPr="006B0B31">
        <w:t>discussed in the propaganda newspapers</w:t>
      </w:r>
      <w:r w:rsidR="007D5EBA" w:rsidRPr="006B0B31">
        <w:t xml:space="preserve"> aimed at the occupied territories</w:t>
      </w:r>
      <w:r w:rsidR="007D5EBA">
        <w:t xml:space="preserve">. The socialists had supported the </w:t>
      </w:r>
      <w:r w:rsidR="007D5EBA">
        <w:rPr>
          <w:i/>
          <w:iCs/>
        </w:rPr>
        <w:t>union sacrée</w:t>
      </w:r>
      <w:r w:rsidR="007D5EBA">
        <w:t xml:space="preserve"> since 1914 and had even provided ministers to the government. However, a socialist minority was voicing its opposition to the war. These pacifists, named </w:t>
      </w:r>
      <w:r w:rsidR="007D5EBA">
        <w:rPr>
          <w:i/>
          <w:iCs/>
        </w:rPr>
        <w:t>Zimmerwaldiens</w:t>
      </w:r>
      <w:r w:rsidR="007D5EBA">
        <w:t xml:space="preserve"> as a reference to an anti-militarist socialist conference held in Zimmerwald (Switzerland)</w:t>
      </w:r>
      <w:r w:rsidR="007D5EBA">
        <w:rPr>
          <w:i/>
          <w:iCs/>
        </w:rPr>
        <w:t xml:space="preserve">, </w:t>
      </w:r>
      <w:r w:rsidR="007D5EBA">
        <w:t>included three members of parliament – Blanc, Brizon and Raffin-Dugens.</w:t>
      </w:r>
      <w:r w:rsidR="007D5EBA">
        <w:rPr>
          <w:rStyle w:val="FootnoteReference"/>
        </w:rPr>
        <w:footnoteReference w:id="504"/>
      </w:r>
      <w:r w:rsidR="007D5EBA">
        <w:t xml:space="preserve"> The support they found in the unions was totally covered</w:t>
      </w:r>
      <w:r w:rsidR="001B3457">
        <w:t xml:space="preserve"> up</w:t>
      </w:r>
      <w:r w:rsidR="007D5EBA">
        <w:t xml:space="preserve"> by allied aerial propaganda</w:t>
      </w:r>
      <w:r w:rsidR="001B3457">
        <w:t>,</w:t>
      </w:r>
      <w:r w:rsidR="007D5EBA">
        <w:t xml:space="preserve"> but attracted the attention of the German </w:t>
      </w:r>
      <w:r w:rsidR="007D5EBA">
        <w:rPr>
          <w:i/>
          <w:iCs/>
        </w:rPr>
        <w:t>Gazette des Ardennes.</w:t>
      </w:r>
      <w:r w:rsidR="007D5EBA" w:rsidRPr="00732061">
        <w:rPr>
          <w:rStyle w:val="FootnoteReference"/>
        </w:rPr>
        <w:footnoteReference w:id="505"/>
      </w:r>
      <w:r w:rsidR="007D5EBA">
        <w:t xml:space="preserve"> In fact, the </w:t>
      </w:r>
      <w:r w:rsidR="007D5EBA">
        <w:rPr>
          <w:i/>
          <w:iCs/>
        </w:rPr>
        <w:t>Voix du Pays</w:t>
      </w:r>
      <w:r w:rsidR="007D5EBA">
        <w:t xml:space="preserve"> even lied in December 1915 by saying that the whole socialist party was united in its support to the war effort.</w:t>
      </w:r>
      <w:r w:rsidR="007D5EBA">
        <w:rPr>
          <w:rStyle w:val="FootnoteReference"/>
        </w:rPr>
        <w:footnoteReference w:id="506"/>
      </w:r>
      <w:r w:rsidR="007D5EBA">
        <w:t xml:space="preserve"> Yet, this socialist dissension was only the first sign of a growing dissatisfaction on the home front. During the year 1916, the </w:t>
      </w:r>
      <w:r w:rsidR="007D5EBA">
        <w:rPr>
          <w:i/>
          <w:iCs/>
        </w:rPr>
        <w:t>union sacrée</w:t>
      </w:r>
      <w:r w:rsidR="007D5EBA">
        <w:t xml:space="preserve"> </w:t>
      </w:r>
      <w:r w:rsidR="001B3457">
        <w:t>increasingly weakened</w:t>
      </w:r>
      <w:r w:rsidR="007D5EBA">
        <w:t xml:space="preserve"> as it went through numerous changes.</w:t>
      </w:r>
      <w:r w:rsidR="007D5EBA">
        <w:rPr>
          <w:rStyle w:val="FootnoteReference"/>
        </w:rPr>
        <w:footnoteReference w:id="507"/>
      </w:r>
      <w:r w:rsidR="007D5EBA">
        <w:t xml:space="preserve"> The cost of the war was now a cause of concern even outside the socialist party. A minority coming from the radical socialists, including radicals’ president Joseph Caillaux, tried to convince parliament to reach a peace of compromise.</w:t>
      </w:r>
      <w:r w:rsidR="007D5EBA">
        <w:rPr>
          <w:rStyle w:val="FootnoteReference"/>
        </w:rPr>
        <w:footnoteReference w:id="508"/>
      </w:r>
      <w:r w:rsidR="007D5EBA">
        <w:t xml:space="preserve"> Caillaux was acting on his own as the political party of which he was in theory the leader was part of the </w:t>
      </w:r>
      <w:r w:rsidR="007D5EBA">
        <w:rPr>
          <w:i/>
          <w:iCs/>
        </w:rPr>
        <w:t>union s</w:t>
      </w:r>
      <w:r w:rsidR="007D5EBA" w:rsidRPr="00FD549B">
        <w:rPr>
          <w:i/>
          <w:iCs/>
        </w:rPr>
        <w:t>acrée</w:t>
      </w:r>
      <w:r w:rsidR="007D5EBA">
        <w:t>. It was an unnatural alliance in which the radicals had renounced their pre-war core principles.</w:t>
      </w:r>
      <w:r w:rsidR="007D5EBA">
        <w:rPr>
          <w:rStyle w:val="FootnoteReference"/>
        </w:rPr>
        <w:footnoteReference w:id="509"/>
      </w:r>
      <w:r w:rsidR="007D5EBA">
        <w:t xml:space="preserve"> The idea of a negotiated peace was unacceptable for most French politicians. On the right side of the political spectrum, Caillaux became an object of hatred and was violently attacked by the far-right </w:t>
      </w:r>
      <w:r w:rsidR="007D5EBA">
        <w:rPr>
          <w:i/>
          <w:iCs/>
        </w:rPr>
        <w:t>Action française</w:t>
      </w:r>
      <w:r w:rsidR="007D5EBA">
        <w:t>. Worst</w:t>
      </w:r>
      <w:r w:rsidR="00931237">
        <w:t xml:space="preserve"> of all</w:t>
      </w:r>
      <w:r w:rsidR="007D5EBA">
        <w:t xml:space="preserve">, German propaganda jumped on the subject and published the debates of the parliament in the </w:t>
      </w:r>
      <w:r w:rsidR="007D5EBA">
        <w:rPr>
          <w:i/>
          <w:iCs/>
        </w:rPr>
        <w:t xml:space="preserve">Gazette des Ardennes </w:t>
      </w:r>
      <w:r w:rsidR="007D5EBA">
        <w:t xml:space="preserve">or mocked the background of Caillaux in the </w:t>
      </w:r>
      <w:r w:rsidR="007D5EBA">
        <w:rPr>
          <w:i/>
          <w:iCs/>
        </w:rPr>
        <w:t>Nieuwe Gentsche Courant</w:t>
      </w:r>
      <w:r w:rsidR="007D5EBA">
        <w:t>.</w:t>
      </w:r>
      <w:r w:rsidR="007D5EBA">
        <w:rPr>
          <w:rStyle w:val="FootnoteReference"/>
        </w:rPr>
        <w:footnoteReference w:id="510"/>
      </w:r>
      <w:r w:rsidR="00931237">
        <w:t xml:space="preserve"> French propagandists were</w:t>
      </w:r>
      <w:r w:rsidR="007D5EBA">
        <w:t xml:space="preserve"> embarrassed by this move. </w:t>
      </w:r>
      <w:r w:rsidR="001B3457">
        <w:t>They</w:t>
      </w:r>
      <w:r w:rsidR="007D5EBA">
        <w:t xml:space="preserve"> decided to answer the German newspaper with a manifest</w:t>
      </w:r>
      <w:r w:rsidR="00931237">
        <w:t>o</w:t>
      </w:r>
      <w:r w:rsidR="007D5EBA">
        <w:t xml:space="preserve"> written by the radicals expressing the party’s unanimous support to the war effort. However, the short article felt more like damage control.</w:t>
      </w:r>
      <w:r w:rsidR="007D5EBA">
        <w:rPr>
          <w:rStyle w:val="FootnoteReference"/>
        </w:rPr>
        <w:footnoteReference w:id="511"/>
      </w:r>
      <w:r w:rsidR="007D5EBA">
        <w:t xml:space="preserve"> </w:t>
      </w:r>
    </w:p>
    <w:p w14:paraId="78488CDE" w14:textId="679EA04F" w:rsidR="007D5EBA" w:rsidRPr="00487A25" w:rsidRDefault="007D5EBA" w:rsidP="002257A1">
      <w:pPr>
        <w:jc w:val="both"/>
        <w:rPr>
          <w:lang w:val="fr-FR"/>
        </w:rPr>
      </w:pPr>
      <w:r>
        <w:t>In 1917, the situation changed drastically</w:t>
      </w:r>
      <w:r w:rsidR="00A06FA2">
        <w:t>,</w:t>
      </w:r>
      <w:r>
        <w:t xml:space="preserve"> both from the inside and the outside. The allies feared that the Russian revolution of February </w:t>
      </w:r>
      <w:r w:rsidR="00840ED9">
        <w:t>threatened</w:t>
      </w:r>
      <w:r>
        <w:t xml:space="preserve"> the war on the eastern front to an end, bringing back German divisions on the western front. From a propaganda perspective, the revolution </w:t>
      </w:r>
      <w:r w:rsidR="00931237">
        <w:t xml:space="preserve">also </w:t>
      </w:r>
      <w:r>
        <w:t>had</w:t>
      </w:r>
      <w:r w:rsidR="002257A1">
        <w:t xml:space="preserve"> </w:t>
      </w:r>
      <w:r>
        <w:t>an advantage: the allies were freed from</w:t>
      </w:r>
      <w:r w:rsidR="00A06FA2">
        <w:t xml:space="preserve"> their alliance</w:t>
      </w:r>
      <w:r>
        <w:t xml:space="preserve"> </w:t>
      </w:r>
      <w:r w:rsidR="00931237">
        <w:t xml:space="preserve">with </w:t>
      </w:r>
      <w:r>
        <w:t>the most autocratic regime involved in the war. The narrative behind the democratic conflict was reinforced. More importantly, following a declaration made by Pavel Milioukov, the Russian foreign minister, who wanted to respect previous international agreements</w:t>
      </w:r>
      <w:r w:rsidR="00A06FA2">
        <w:t>, French, Belgian and British propagandists were pleased to announce that Russia was still at war with Germany</w:t>
      </w:r>
      <w:r>
        <w:t>.</w:t>
      </w:r>
      <w:r>
        <w:rPr>
          <w:rStyle w:val="FootnoteReference"/>
        </w:rPr>
        <w:footnoteReference w:id="512"/>
      </w:r>
      <w:r>
        <w:t xml:space="preserve"> However, </w:t>
      </w:r>
      <w:r w:rsidR="00A06FA2">
        <w:t>R</w:t>
      </w:r>
      <w:r>
        <w:t>ussian soldiers and workers</w:t>
      </w:r>
      <w:r w:rsidR="00A06FA2">
        <w:t xml:space="preserve"> made calls</w:t>
      </w:r>
      <w:r>
        <w:t xml:space="preserve"> to find a peaceful resolution. On 18 May, </w:t>
      </w:r>
      <w:r w:rsidR="00A06FA2">
        <w:t>they</w:t>
      </w:r>
      <w:r>
        <w:t xml:space="preserve"> were answered by a Dutc</w:t>
      </w:r>
      <w:r w:rsidR="00A06FA2">
        <w:t>h-Scandinavian committee call</w:t>
      </w:r>
      <w:r>
        <w:t xml:space="preserve"> for an international socialist conference in Stockholm. French socialists were keen to go, if only to prove Germans</w:t>
      </w:r>
      <w:r w:rsidR="00A06FA2">
        <w:t>’</w:t>
      </w:r>
      <w:r w:rsidR="00A06FA2" w:rsidRPr="00A06FA2">
        <w:t xml:space="preserve"> </w:t>
      </w:r>
      <w:r w:rsidR="00A06FA2">
        <w:t>lack of good faith</w:t>
      </w:r>
      <w:r>
        <w:t xml:space="preserve">, but had to request passports. The matter </w:t>
      </w:r>
      <w:r w:rsidR="00A06FA2">
        <w:t>would</w:t>
      </w:r>
      <w:r>
        <w:t xml:space="preserve"> trigger one of the most heated debates in the French parliament and contribute to the dissolution of the </w:t>
      </w:r>
      <w:r>
        <w:rPr>
          <w:i/>
          <w:iCs/>
        </w:rPr>
        <w:t>union sacrée</w:t>
      </w:r>
      <w:r>
        <w:t>.</w:t>
      </w:r>
      <w:r>
        <w:rPr>
          <w:rStyle w:val="FootnoteReference"/>
        </w:rPr>
        <w:footnoteReference w:id="513"/>
      </w:r>
      <w:r>
        <w:t xml:space="preserve"> The timing for this expedition was disastrous. The French army was just starting to experience rebellions</w:t>
      </w:r>
      <w:r w:rsidR="00A06FA2">
        <w:t>,</w:t>
      </w:r>
      <w:r>
        <w:t xml:space="preserve"> following the battle of the </w:t>
      </w:r>
      <w:r w:rsidRPr="00DE7158">
        <w:rPr>
          <w:i/>
          <w:iCs/>
        </w:rPr>
        <w:t>Chemin des Dames</w:t>
      </w:r>
      <w:r>
        <w:t xml:space="preserve">. </w:t>
      </w:r>
      <w:r w:rsidR="00A06FA2">
        <w:t>M</w:t>
      </w:r>
      <w:r>
        <w:t xml:space="preserve">orale on the home front and in the occupied territories was also extremely low. </w:t>
      </w:r>
      <w:r w:rsidR="00A06FA2">
        <w:t>V</w:t>
      </w:r>
      <w:r>
        <w:t>arious reports sent to the government</w:t>
      </w:r>
      <w:r w:rsidR="00A06FA2">
        <w:t xml:space="preserve"> feared revolution</w:t>
      </w:r>
      <w:r>
        <w:t>.</w:t>
      </w:r>
      <w:r>
        <w:rPr>
          <w:rStyle w:val="FootnoteReference"/>
        </w:rPr>
        <w:footnoteReference w:id="514"/>
      </w:r>
      <w:r>
        <w:t xml:space="preserve"> This time, French propaganda had no choice but to talk about the scandal. </w:t>
      </w:r>
      <w:r w:rsidRPr="00487A25">
        <w:rPr>
          <w:i/>
          <w:iCs/>
          <w:lang w:val="fr-FR"/>
        </w:rPr>
        <w:t>La Voix du Pays</w:t>
      </w:r>
      <w:r w:rsidRPr="00487A25">
        <w:rPr>
          <w:lang w:val="fr-FR"/>
        </w:rPr>
        <w:t xml:space="preserve"> described the Stockholm conference as a German manipulation designed to exploit naïve socialist feelings:</w:t>
      </w:r>
    </w:p>
    <w:p w14:paraId="12512521" w14:textId="77777777" w:rsidR="007D5EBA" w:rsidRPr="002C6CD6" w:rsidRDefault="007D5EBA" w:rsidP="007D5EBA">
      <w:pPr>
        <w:ind w:left="567" w:right="567"/>
        <w:jc w:val="both"/>
      </w:pPr>
      <w:r w:rsidRPr="00390CB0">
        <w:rPr>
          <w:lang w:val="fr-FR"/>
        </w:rPr>
        <w:t xml:space="preserve">[…] Le </w:t>
      </w:r>
      <w:r w:rsidRPr="007A6F63">
        <w:rPr>
          <w:lang w:val="fr-FR"/>
        </w:rPr>
        <w:t xml:space="preserve">Gouvernement allemand, avec sa duplicité habituelle, a songé immédiatement </w:t>
      </w:r>
      <w:r>
        <w:rPr>
          <w:lang w:val="fr-FR"/>
        </w:rPr>
        <w:t xml:space="preserve">à tirer parti de ces circonstances pour amorcer une intrigue pacifiste. Il a dépêché à Stockholm les principaux socialistes « majoritaires », qui sont aujourd’hui les meilleurs défenseurs de la politique du chancelier, et les a chargés d’abuser de leur mieux les socialistes russes, pour arriver à conclure le plus tôt possible la paix dont l’Allemagne ressent si vivement le besoin. </w:t>
      </w:r>
      <w:r w:rsidRPr="002C6CD6">
        <w:rPr>
          <w:lang w:val="fr-FR"/>
        </w:rPr>
        <w:t xml:space="preserve">[…] </w:t>
      </w:r>
      <w:r w:rsidRPr="007A6F63">
        <w:rPr>
          <w:lang w:val="fr-FR"/>
        </w:rPr>
        <w:t>Le 1</w:t>
      </w:r>
      <w:r w:rsidRPr="007A6F63">
        <w:rPr>
          <w:vertAlign w:val="superscript"/>
          <w:lang w:val="fr-FR"/>
        </w:rPr>
        <w:t>er</w:t>
      </w:r>
      <w:r w:rsidRPr="007A6F63">
        <w:rPr>
          <w:lang w:val="fr-FR"/>
        </w:rPr>
        <w:t xml:space="preserve"> juin, M. Ribot, president du Conseil, répondant à une interp</w:t>
      </w:r>
      <w:r>
        <w:rPr>
          <w:lang w:val="fr-FR"/>
        </w:rPr>
        <w:t xml:space="preserve">ellation, a déclaré que le Gouvernement français accorderait volontiers des passeports aux délégués socialistes qui voudraient se rendre à Pétrograd, à condition que toutes précautions fussent prises pour qu’ils ne rencontrassent pas à Stockholm des Allemands, qui d’ailleurs ne seraient guère que des émissaires du Gouvernement impérial. </w:t>
      </w:r>
      <w:r w:rsidRPr="002C6CD6">
        <w:t>[…]</w:t>
      </w:r>
      <w:r>
        <w:t>.</w:t>
      </w:r>
      <w:r>
        <w:rPr>
          <w:rStyle w:val="FootnoteReference"/>
          <w:lang w:val="fr-FR"/>
        </w:rPr>
        <w:footnoteReference w:id="515"/>
      </w:r>
    </w:p>
    <w:p w14:paraId="4E0A0C6C" w14:textId="48CA8099" w:rsidR="007D5EBA" w:rsidRDefault="007D5EBA" w:rsidP="00710D30">
      <w:pPr>
        <w:jc w:val="both"/>
      </w:pPr>
      <w:r>
        <w:t xml:space="preserve">Belgian propaganda never showed any interest </w:t>
      </w:r>
      <w:r w:rsidR="00A06FA2">
        <w:t xml:space="preserve">in </w:t>
      </w:r>
      <w:r>
        <w:t xml:space="preserve">or concern </w:t>
      </w:r>
      <w:r w:rsidR="00A06FA2">
        <w:t>over</w:t>
      </w:r>
      <w:r>
        <w:t xml:space="preserve"> the event. This position was probably dictated by the willingness of Belgian socialists to follow the government and its refusal to </w:t>
      </w:r>
      <w:r w:rsidR="00A06FA2">
        <w:t xml:space="preserve">seek to </w:t>
      </w:r>
      <w:r>
        <w:t>reach a peace of compromise.</w:t>
      </w:r>
      <w:r>
        <w:rPr>
          <w:rStyle w:val="FootnoteReference"/>
        </w:rPr>
        <w:footnoteReference w:id="516"/>
      </w:r>
      <w:r>
        <w:t xml:space="preserve"> The British showed far more concern </w:t>
      </w:r>
      <w:r w:rsidR="00A06FA2">
        <w:t>over</w:t>
      </w:r>
      <w:r>
        <w:t xml:space="preserve"> the conference</w:t>
      </w:r>
      <w:r w:rsidR="00A06FA2">
        <w:t>,</w:t>
      </w:r>
      <w:r>
        <w:t xml:space="preserve"> in a vindictive editorial published in June 1917.</w:t>
      </w:r>
      <w:r>
        <w:rPr>
          <w:rStyle w:val="FootnoteReference"/>
        </w:rPr>
        <w:footnoteReference w:id="517"/>
      </w:r>
      <w:r>
        <w:t xml:space="preserve"> Accusations of being agents of the Kaiser were thrown at the face of German socialists. For the first time, </w:t>
      </w:r>
      <w:r>
        <w:rPr>
          <w:i/>
          <w:iCs/>
        </w:rPr>
        <w:t>Le Courrier de l’Air</w:t>
      </w:r>
      <w:r>
        <w:t xml:space="preserve"> not only betrayed anxiety</w:t>
      </w:r>
      <w:r w:rsidR="00A06FA2">
        <w:t>,</w:t>
      </w:r>
      <w:r>
        <w:t xml:space="preserve"> but also inadvertently admitted the power of German propaganda. Indeed, knowing that the decision to refuse passports to French and British socialist delegates would be used, </w:t>
      </w:r>
      <w:r w:rsidR="00710D30">
        <w:t xml:space="preserve">the British newspaper </w:t>
      </w:r>
      <w:r>
        <w:t xml:space="preserve">tried a </w:t>
      </w:r>
      <w:r w:rsidR="0070440A">
        <w:t xml:space="preserve">pre-emptive </w:t>
      </w:r>
      <w:r>
        <w:t xml:space="preserve">strike at German arguments: </w:t>
      </w:r>
    </w:p>
    <w:p w14:paraId="728B763B" w14:textId="77777777" w:rsidR="007D5EBA" w:rsidRPr="005F64CA" w:rsidRDefault="007D5EBA" w:rsidP="007D5EBA">
      <w:pPr>
        <w:ind w:left="567" w:right="567"/>
        <w:jc w:val="both"/>
      </w:pPr>
      <w:r w:rsidRPr="001979ED">
        <w:t xml:space="preserve"> </w:t>
      </w:r>
      <w:r>
        <w:rPr>
          <w:lang w:val="fr-FR"/>
        </w:rPr>
        <w:t xml:space="preserve">[…] </w:t>
      </w:r>
      <w:r w:rsidRPr="005F64CA">
        <w:rPr>
          <w:lang w:val="fr-FR"/>
        </w:rPr>
        <w:t>Les gouvernements alliés, ainsi que les leaders démocratiques des grandes démocraties</w:t>
      </w:r>
      <w:r>
        <w:rPr>
          <w:lang w:val="fr-FR"/>
        </w:rPr>
        <w:t xml:space="preserve"> occidentales, sont au courant du complot. Il se peut, néanmoins, que quelques démagogues irresponsables aillent à Stockholm. S’ils y vont, vos maîtres allemands vous raconteront probablement que ce sont les démocraties mondiales qui sont en train de parlementer. </w:t>
      </w:r>
      <w:r w:rsidRPr="005F64CA">
        <w:t>Ce sera faux.</w:t>
      </w:r>
      <w:r>
        <w:t xml:space="preserve"> Méfiez-vous. […]</w:t>
      </w:r>
      <w:r>
        <w:rPr>
          <w:rStyle w:val="FootnoteReference"/>
        </w:rPr>
        <w:footnoteReference w:id="518"/>
      </w:r>
      <w:r w:rsidRPr="005F64CA">
        <w:t xml:space="preserve"> </w:t>
      </w:r>
    </w:p>
    <w:p w14:paraId="6B439DF5" w14:textId="773B0BE8" w:rsidR="007D5EBA" w:rsidRDefault="007D5EBA" w:rsidP="00487A25">
      <w:pPr>
        <w:jc w:val="both"/>
      </w:pPr>
      <w:r>
        <w:t>By July 1917, the attention of aerial propaganda aimed at the occupied territories had left Stockholm for Russia. The nomination of Kerensky was once again saluted during the summer of 1917 as a step toward democratisation</w:t>
      </w:r>
      <w:r w:rsidR="00487A25">
        <w:t>,</w:t>
      </w:r>
      <w:r>
        <w:t xml:space="preserve"> while Lenin was denounced as a German agent.</w:t>
      </w:r>
      <w:r>
        <w:rPr>
          <w:rStyle w:val="FootnoteReference"/>
        </w:rPr>
        <w:footnoteReference w:id="519"/>
      </w:r>
      <w:r>
        <w:t xml:space="preserve"> However, the October revolution brought consternation. In France, the government and the army were anxious at the </w:t>
      </w:r>
      <w:r w:rsidR="00931237">
        <w:t>prospect</w:t>
      </w:r>
      <w:r>
        <w:t xml:space="preserve"> of having to face experienced German troops brought back from the eastern front. </w:t>
      </w:r>
      <w:r w:rsidR="00487A25">
        <w:t>Not unsurprisingly</w:t>
      </w:r>
      <w:r>
        <w:t>, the Russian capitulation and the destruction of French interests in Russia tri</w:t>
      </w:r>
      <w:r w:rsidR="00487A25">
        <w:t>ggered waves of hostile feeling</w:t>
      </w:r>
      <w:r>
        <w:t xml:space="preserve"> against the Bolsheviks.</w:t>
      </w:r>
      <w:r>
        <w:rPr>
          <w:rStyle w:val="FootnoteReference"/>
        </w:rPr>
        <w:footnoteReference w:id="520"/>
      </w:r>
      <w:r>
        <w:t xml:space="preserve"> The events surrounding Russia were kept silent until 20 December 1917 when </w:t>
      </w:r>
      <w:r>
        <w:rPr>
          <w:i/>
          <w:iCs/>
        </w:rPr>
        <w:t>La Voix du Pays</w:t>
      </w:r>
      <w:r>
        <w:t xml:space="preserve"> finally offered an analysis. According to the paper, the American intervention </w:t>
      </w:r>
      <w:r w:rsidR="00487A25">
        <w:t>would</w:t>
      </w:r>
      <w:r>
        <w:t xml:space="preserve"> compensate</w:t>
      </w:r>
      <w:r w:rsidR="00487A25">
        <w:t xml:space="preserve"> for</w:t>
      </w:r>
      <w:r>
        <w:t xml:space="preserve"> and even exceed Russia’s contribution to the war effort. The working class of Russia was described in very violent terms:</w:t>
      </w:r>
    </w:p>
    <w:p w14:paraId="1C0FA8D5" w14:textId="77777777" w:rsidR="007D5EBA" w:rsidRPr="002C6CD6" w:rsidRDefault="007D5EBA" w:rsidP="007D5EBA">
      <w:pPr>
        <w:ind w:left="567" w:right="567"/>
        <w:jc w:val="both"/>
      </w:pPr>
      <w:r w:rsidRPr="009C417F">
        <w:rPr>
          <w:lang w:val="fr-FR"/>
        </w:rPr>
        <w:t>[…] La mise en culture du champ russe</w:t>
      </w:r>
      <w:r>
        <w:rPr>
          <w:lang w:val="fr-FR"/>
        </w:rPr>
        <w:t xml:space="preserve">, les semailles au printemps, la récolte en été ? Il faudrait d’abord que le moujik, occupé à partager, à brûler et à piller, redevint en un tour de main le bétail docile qu’il était hier. </w:t>
      </w:r>
      <w:r w:rsidRPr="002C6CD6">
        <w:t>[…]</w:t>
      </w:r>
      <w:r>
        <w:rPr>
          <w:rStyle w:val="FootnoteReference"/>
          <w:lang w:val="fr-FR"/>
        </w:rPr>
        <w:footnoteReference w:id="521"/>
      </w:r>
    </w:p>
    <w:p w14:paraId="1FCCAB5A" w14:textId="577993DF" w:rsidR="007D5EBA" w:rsidRDefault="007D5EBA" w:rsidP="00487A25">
      <w:pPr>
        <w:jc w:val="both"/>
      </w:pPr>
      <w:r>
        <w:t xml:space="preserve">A few weeks later, the French refined their arguments. The Bolsheviks, mistaken by the </w:t>
      </w:r>
      <w:r>
        <w:rPr>
          <w:i/>
          <w:iCs/>
        </w:rPr>
        <w:t xml:space="preserve">Voix du Pays </w:t>
      </w:r>
      <w:r>
        <w:t xml:space="preserve">for anarchists </w:t>
      </w:r>
      <w:r>
        <w:rPr>
          <w:i/>
          <w:iCs/>
        </w:rPr>
        <w:t>maximalistes</w:t>
      </w:r>
      <w:r>
        <w:t>, were the puppets of the Germans</w:t>
      </w:r>
      <w:r w:rsidR="00487A25">
        <w:t>,</w:t>
      </w:r>
      <w:r>
        <w:t xml:space="preserve"> but were far from representing the whole of Russia. In any case, the Brest-Litovsk treaty</w:t>
      </w:r>
      <w:r w:rsidR="00487A25">
        <w:t xml:space="preserve"> was the seed for more conflict</w:t>
      </w:r>
      <w:r>
        <w:t>.</w:t>
      </w:r>
      <w:r>
        <w:rPr>
          <w:rStyle w:val="FootnoteReference"/>
        </w:rPr>
        <w:footnoteReference w:id="522"/>
      </w:r>
      <w:r>
        <w:t xml:space="preserve"> The French had</w:t>
      </w:r>
      <w:r w:rsidR="00487A25">
        <w:t xml:space="preserve"> good</w:t>
      </w:r>
      <w:r>
        <w:t xml:space="preserve"> reasons to be worried. The mutinies in the French army were over</w:t>
      </w:r>
      <w:r w:rsidR="00487A25">
        <w:t>,</w:t>
      </w:r>
      <w:r>
        <w:t xml:space="preserve"> but the country had subsequently faced strikes in Paris and in the provinces. If the events in Russia were not openly commented</w:t>
      </w:r>
      <w:r w:rsidR="00487A25">
        <w:t xml:space="preserve"> upon</w:t>
      </w:r>
      <w:r>
        <w:t>, the word ‘revolution’ was heard</w:t>
      </w:r>
      <w:r w:rsidR="00487A25">
        <w:t xml:space="preserve"> often</w:t>
      </w:r>
      <w:r>
        <w:t xml:space="preserve"> among the working class.</w:t>
      </w:r>
      <w:r>
        <w:rPr>
          <w:rStyle w:val="FootnoteReference"/>
        </w:rPr>
        <w:footnoteReference w:id="523"/>
      </w:r>
      <w:r>
        <w:t xml:space="preserve"> </w:t>
      </w:r>
    </w:p>
    <w:p w14:paraId="09D66979" w14:textId="77777777" w:rsidR="007D5EBA" w:rsidRDefault="007D5EBA" w:rsidP="007D5EBA">
      <w:pPr>
        <w:jc w:val="both"/>
      </w:pPr>
      <w:r>
        <w:t>For once, the British displayed more moderation than the French in their propaganda aimed at the occupied territories. The Bolsheviks were not the accomplices of the Germans but their victims. Tired by the war, the Bolsheviks had disarmed only to realise that Germany did not desire a peace of compromise but a capitulation.</w:t>
      </w:r>
      <w:r>
        <w:rPr>
          <w:rStyle w:val="FootnoteReference"/>
        </w:rPr>
        <w:footnoteReference w:id="524"/>
      </w:r>
      <w:r>
        <w:t xml:space="preserve"> Once again, British propagandists put the blame on their main enemy.</w:t>
      </w:r>
    </w:p>
    <w:p w14:paraId="01990F44" w14:textId="758B61D0" w:rsidR="007D5EBA" w:rsidRDefault="007D5EBA" w:rsidP="007D5EBA">
      <w:pPr>
        <w:jc w:val="both"/>
      </w:pPr>
      <w:r>
        <w:t>The Belgians also covered the subject. They made it clear that Russia’s revolution was not only responsible for a longer war</w:t>
      </w:r>
      <w:r w:rsidR="00487A25">
        <w:t>,</w:t>
      </w:r>
      <w:r>
        <w:t xml:space="preserve"> but was also disapproved </w:t>
      </w:r>
      <w:r w:rsidR="00487A25">
        <w:t xml:space="preserve">of </w:t>
      </w:r>
      <w:r>
        <w:t>by Belgian socialists:</w:t>
      </w:r>
    </w:p>
    <w:p w14:paraId="67EB620B" w14:textId="77777777" w:rsidR="007D5EBA" w:rsidRPr="008E7AA3" w:rsidRDefault="007D5EBA" w:rsidP="007D5EBA">
      <w:pPr>
        <w:ind w:left="567" w:right="567"/>
        <w:jc w:val="both"/>
      </w:pPr>
      <w:r>
        <w:rPr>
          <w:lang w:val="fr-FR"/>
        </w:rPr>
        <w:t xml:space="preserve">[…] </w:t>
      </w:r>
      <w:r w:rsidRPr="00C40CEB">
        <w:rPr>
          <w:lang w:val="fr-FR"/>
        </w:rPr>
        <w:t xml:space="preserve">La victoire était proche. Les armées </w:t>
      </w:r>
      <w:r>
        <w:rPr>
          <w:lang w:val="fr-FR"/>
        </w:rPr>
        <w:t xml:space="preserve">alliées n’avaient qu’à resserrer quelque peu leur étreinte pour obliger les Empires Centraux exténués à conclure une paix satisfaisante. Les uns parlaient de rentrer au pays pour le Nouvel An, les autres au printemps. Nous étions près du but. Et voilà qu’un nouveau malheur remet tout en cause, permet à l’Allemagne de participer à l’offensive italienne, retarde les progrès des armées anglo-françaises à l’Ouest, et nous oblige à attendre les renforts américains. Je ne conseillerais pas à Lenin de venir faire un tour dans nos tranchées. </w:t>
      </w:r>
      <w:r w:rsidRPr="008E7AA3">
        <w:t>Les socialistes seraient les premiers à lui tomber dessus. […]</w:t>
      </w:r>
      <w:r>
        <w:rPr>
          <w:rStyle w:val="FootnoteReference"/>
          <w:lang w:val="fr-FR"/>
        </w:rPr>
        <w:footnoteReference w:id="525"/>
      </w:r>
    </w:p>
    <w:p w14:paraId="4C1D1EA2" w14:textId="031EFFBD" w:rsidR="007D5EBA" w:rsidRDefault="007D5EBA" w:rsidP="002257A1">
      <w:pPr>
        <w:jc w:val="both"/>
      </w:pPr>
      <w:r w:rsidRPr="002F1B06">
        <w:t>The British later wen</w:t>
      </w:r>
      <w:r>
        <w:t>t to the rescue of the Belgians</w:t>
      </w:r>
      <w:r w:rsidR="00487A25">
        <w:t>. On 9 May</w:t>
      </w:r>
      <w:r w:rsidRPr="002F1B06">
        <w:t xml:space="preserve"> 1918, </w:t>
      </w:r>
      <w:r w:rsidRPr="002F1B06">
        <w:rPr>
          <w:i/>
          <w:iCs/>
        </w:rPr>
        <w:t>Le Courrier de l’Air</w:t>
      </w:r>
      <w:r w:rsidRPr="002F1B06">
        <w:t xml:space="preserve"> announced that Belgian socialists were in a coalition government. I</w:t>
      </w:r>
      <w:r>
        <w:t>t was a way t</w:t>
      </w:r>
      <w:r w:rsidR="00487A25">
        <w:t>o prove that they were respected the institution</w:t>
      </w:r>
      <w:r w:rsidR="00931237">
        <w:t xml:space="preserve"> and had no intention of organising</w:t>
      </w:r>
      <w:r>
        <w:t xml:space="preserve"> a revolution.</w:t>
      </w:r>
      <w:r w:rsidRPr="002F1B06">
        <w:t xml:space="preserve"> </w:t>
      </w:r>
      <w:r>
        <w:t>Moreover,</w:t>
      </w:r>
      <w:r w:rsidR="00487A25">
        <w:t xml:space="preserve"> German socialists had no room o</w:t>
      </w:r>
      <w:r>
        <w:t>n the international</w:t>
      </w:r>
      <w:r w:rsidR="00487A25">
        <w:t xml:space="preserve"> scene</w:t>
      </w:r>
      <w:r>
        <w:t xml:space="preserve"> as they had betrayed the freedom of the people and international rights.</w:t>
      </w:r>
      <w:r>
        <w:rPr>
          <w:rStyle w:val="FootnoteReference"/>
        </w:rPr>
        <w:footnoteReference w:id="526"/>
      </w:r>
      <w:r>
        <w:t xml:space="preserve"> The articles mentioned above clearly showed a fear of revolution. This anxiety, triggered by the events in Russia at the end of 1917, </w:t>
      </w:r>
      <w:r w:rsidR="00487A25">
        <w:t>had entirely</w:t>
      </w:r>
      <w:r>
        <w:t xml:space="preserve"> disappeared by July 1918. Once again, aerial propaganda seems to have been influenced by the prevailing mood of the home front. It is known that in Britain and France most of the groups advocating for peace or revolution lost influence</w:t>
      </w:r>
      <w:r w:rsidR="00487A25">
        <w:t>,</w:t>
      </w:r>
      <w:r>
        <w:t xml:space="preserve"> due to the military success making an outright victory possible.</w:t>
      </w:r>
      <w:r>
        <w:rPr>
          <w:rStyle w:val="FootnoteReference"/>
        </w:rPr>
        <w:footnoteReference w:id="527"/>
      </w:r>
      <w:r>
        <w:t xml:space="preserve"> </w:t>
      </w:r>
    </w:p>
    <w:p w14:paraId="142CFB9B" w14:textId="4F1A91DA" w:rsidR="007D5EBA" w:rsidRPr="00475D33" w:rsidRDefault="007D5EBA" w:rsidP="007D5EBA">
      <w:pPr>
        <w:jc w:val="both"/>
      </w:pPr>
      <w:r>
        <w:t xml:space="preserve">This section </w:t>
      </w:r>
      <w:r w:rsidR="00931237">
        <w:t>has shown</w:t>
      </w:r>
      <w:r>
        <w:t xml:space="preserve"> that propagandists feared internal dissension and its manipulation by the opposite side. Evidence demonstrated that party disagreements with</w:t>
      </w:r>
      <w:r w:rsidR="00487A25">
        <w:t>in</w:t>
      </w:r>
      <w:r>
        <w:t xml:space="preserve"> the government were kept secret when possible. International incidents threatening the stability between classes were portrayed with animosity. In the same spirit, international pressures to find peace were met with disbelief and hostility</w:t>
      </w:r>
      <w:r w:rsidR="00487A25">
        <w:t>,</w:t>
      </w:r>
      <w:r>
        <w:t xml:space="preserve"> but were always answered. Germany’s offers were dismissed easily</w:t>
      </w:r>
      <w:r w:rsidR="00487A25">
        <w:t>,</w:t>
      </w:r>
      <w:r>
        <w:t xml:space="preserve"> but Wilson’s attempt to settle the conflict was handled with care and turned into an allied diplomatic victory when the US entered the war. Yet, the allies failed to answer the pope properly</w:t>
      </w:r>
      <w:r w:rsidR="00487A25">
        <w:t>,</w:t>
      </w:r>
      <w:r>
        <w:t xml:space="preserve"> and exposed their own disagreements.  </w:t>
      </w:r>
    </w:p>
    <w:p w14:paraId="1CBD191E" w14:textId="77777777" w:rsidR="007D5EBA" w:rsidRDefault="007D5EBA" w:rsidP="007D5EBA">
      <w:pPr>
        <w:pStyle w:val="Heading2"/>
      </w:pPr>
      <w:bookmarkStart w:id="53" w:name="_Toc402192974"/>
      <w:r>
        <w:t>Peace offers</w:t>
      </w:r>
      <w:bookmarkEnd w:id="53"/>
    </w:p>
    <w:p w14:paraId="1D794308" w14:textId="2740B249" w:rsidR="007D5EBA" w:rsidRDefault="007D5EBA" w:rsidP="007D5EBA">
      <w:pPr>
        <w:jc w:val="both"/>
      </w:pPr>
      <w:r>
        <w:t>The previous section determined that propaganda tried to silence pol</w:t>
      </w:r>
      <w:r w:rsidR="00931237">
        <w:t>itical dissensions and minimise</w:t>
      </w:r>
      <w:r>
        <w:t xml:space="preserve"> the threat of revolution. Most internal attempts to oppose the governments were kept under control</w:t>
      </w:r>
      <w:r w:rsidR="00487A25">
        <w:t>,</w:t>
      </w:r>
      <w:r>
        <w:t xml:space="preserve"> but propaganda had little power over influential figures based in neutral countries or heavily-publicised enemy declarations. </w:t>
      </w:r>
    </w:p>
    <w:p w14:paraId="500D470C" w14:textId="0C9461EB" w:rsidR="007D5EBA" w:rsidRDefault="007D5EBA" w:rsidP="00487A25">
      <w:pPr>
        <w:jc w:val="both"/>
      </w:pPr>
      <w:r>
        <w:t>In December 1916, both the Germans and the president of the United States engaged in peace negotiations.</w:t>
      </w:r>
      <w:r>
        <w:rPr>
          <w:rStyle w:val="FootnoteReference"/>
        </w:rPr>
        <w:footnoteReference w:id="528"/>
      </w:r>
      <w:r>
        <w:t xml:space="preserve"> In August 1917, these initiatives were followed by an attempt</w:t>
      </w:r>
      <w:r w:rsidR="00487A25">
        <w:t>, prompted by the pope,</w:t>
      </w:r>
      <w:r>
        <w:t xml:space="preserve"> to settle for peace.</w:t>
      </w:r>
      <w:r>
        <w:rPr>
          <w:rStyle w:val="FootnoteReference"/>
        </w:rPr>
        <w:footnoteReference w:id="529"/>
      </w:r>
      <w:r>
        <w:t xml:space="preserve">  These three initiatives were heavily discussed both in the allied and German press aimed at the occupied territories</w:t>
      </w:r>
      <w:r w:rsidR="00487A25">
        <w:t>,</w:t>
      </w:r>
      <w:r>
        <w:t xml:space="preserve"> where they became fiercely debated topics.</w:t>
      </w:r>
    </w:p>
    <w:p w14:paraId="286B7998" w14:textId="5956341E" w:rsidR="007D5EBA" w:rsidRPr="006A6F11" w:rsidRDefault="007D5EBA" w:rsidP="00487A25">
      <w:pPr>
        <w:jc w:val="both"/>
      </w:pPr>
      <w:r>
        <w:t xml:space="preserve"> On 12 </w:t>
      </w:r>
      <w:r w:rsidR="00487A25">
        <w:t>December 1916, the Germans hand</w:t>
      </w:r>
      <w:r>
        <w:t>ed a note to the USA</w:t>
      </w:r>
      <w:r w:rsidR="00487A25">
        <w:t>,</w:t>
      </w:r>
      <w:r>
        <w:t xml:space="preserve"> declaring their willingness to negotiate peace. </w:t>
      </w:r>
      <w:r w:rsidR="00487A25">
        <w:t>Un</w:t>
      </w:r>
      <w:r>
        <w:t>surpris</w:t>
      </w:r>
      <w:r w:rsidR="00487A25">
        <w:t>ingly</w:t>
      </w:r>
      <w:r>
        <w:t xml:space="preserve">, the German </w:t>
      </w:r>
      <w:r>
        <w:rPr>
          <w:i/>
          <w:iCs/>
        </w:rPr>
        <w:t xml:space="preserve">Gazette des Ardennes </w:t>
      </w:r>
      <w:r>
        <w:t>was first to advertise Bethmann-Hollweg’s offer.</w:t>
      </w:r>
      <w:r>
        <w:rPr>
          <w:rStyle w:val="FootnoteReference"/>
        </w:rPr>
        <w:footnoteReference w:id="530"/>
      </w:r>
      <w:r>
        <w:t xml:space="preserve"> The note was supposed to be proof of Germany’s reasonable intentions.</w:t>
      </w:r>
      <w:r>
        <w:rPr>
          <w:rStyle w:val="FootnoteReference"/>
        </w:rPr>
        <w:footnoteReference w:id="531"/>
      </w:r>
      <w:r>
        <w:t xml:space="preserve"> The proposal was heavily commented </w:t>
      </w:r>
      <w:r w:rsidR="00487A25">
        <w:t xml:space="preserve">upon </w:t>
      </w:r>
      <w:r>
        <w:t>by allied propagandists who immediately denounced it as a trap.</w:t>
      </w:r>
      <w:r w:rsidRPr="00F349D3">
        <w:t xml:space="preserve"> </w:t>
      </w:r>
      <w:r w:rsidRPr="00917037">
        <w:rPr>
          <w:lang w:val="fr-FR"/>
        </w:rPr>
        <w:t xml:space="preserve">Indeed, the French </w:t>
      </w:r>
      <w:r w:rsidRPr="00917037">
        <w:rPr>
          <w:i/>
          <w:iCs/>
          <w:lang w:val="fr-FR"/>
        </w:rPr>
        <w:t>Voix du Pays</w:t>
      </w:r>
      <w:r w:rsidRPr="00917037">
        <w:rPr>
          <w:lang w:val="fr-FR"/>
        </w:rPr>
        <w:t xml:space="preserve"> claimed that it was a </w:t>
      </w:r>
      <w:r w:rsidRPr="00C1583F">
        <w:rPr>
          <w:lang w:val="fr-FR"/>
        </w:rPr>
        <w:t>‘</w:t>
      </w:r>
      <w:r w:rsidRPr="00C1583F">
        <w:rPr>
          <w:iCs/>
          <w:lang w:val="fr-FR"/>
        </w:rPr>
        <w:t>démarche destinée dans l’esprit de ses diplomates à troubler les adversaires et à remonter le moral du peuple allemand’</w:t>
      </w:r>
      <w:r>
        <w:rPr>
          <w:lang w:val="fr-FR"/>
        </w:rPr>
        <w:t>.</w:t>
      </w:r>
      <w:r w:rsidRPr="00917037">
        <w:rPr>
          <w:rStyle w:val="FootnoteReference"/>
          <w:lang w:val="fr-FR"/>
        </w:rPr>
        <w:t xml:space="preserve"> </w:t>
      </w:r>
      <w:r>
        <w:rPr>
          <w:rStyle w:val="FootnoteReference"/>
        </w:rPr>
        <w:footnoteReference w:id="532"/>
      </w:r>
      <w:r>
        <w:rPr>
          <w:lang w:val="fr-FR"/>
        </w:rPr>
        <w:t xml:space="preserve"> </w:t>
      </w:r>
      <w:r>
        <w:t>To back</w:t>
      </w:r>
      <w:r w:rsidR="00487A25">
        <w:t xml:space="preserve"> up</w:t>
      </w:r>
      <w:r>
        <w:t xml:space="preserve"> this affirmation, the newspaper offered evidence suggesting that morale was poor on the German home front and in the army.</w:t>
      </w:r>
      <w:r>
        <w:rPr>
          <w:rStyle w:val="FootnoteReference"/>
        </w:rPr>
        <w:footnoteReference w:id="533"/>
      </w:r>
      <w:r>
        <w:t xml:space="preserve"> The Belgian </w:t>
      </w:r>
      <w:r>
        <w:rPr>
          <w:i/>
          <w:iCs/>
        </w:rPr>
        <w:t>La Lettre du Soldat</w:t>
      </w:r>
      <w:r>
        <w:t xml:space="preserve"> saw in it a way to blame the allies for the prolongation of the conflict.</w:t>
      </w:r>
      <w:r>
        <w:rPr>
          <w:rStyle w:val="FootnoteReference"/>
        </w:rPr>
        <w:footnoteReference w:id="534"/>
      </w:r>
      <w:r>
        <w:t xml:space="preserve"> Both newspapers also denounced Germany’s lack of clarity </w:t>
      </w:r>
      <w:r w:rsidR="00487A25">
        <w:t>over</w:t>
      </w:r>
      <w:r>
        <w:t xml:space="preserve"> the future of Belgium. Historiography later confirmed that Germany had little desire for peace. In reality, the offer was an attempt to convince the American public opinion that the allies were responsible for the prolongation of war to anticipate the expected mediation planned by Woodrow Wilson. More importantly, the Germans were days from launching a new campaign of unlimited submarine warfare and were afraid of a US intervention.</w:t>
      </w:r>
      <w:r>
        <w:rPr>
          <w:rStyle w:val="FootnoteReference"/>
        </w:rPr>
        <w:footnoteReference w:id="535"/>
      </w:r>
      <w:r>
        <w:t xml:space="preserve"> The lack of sincerity and a sense of embarrassment were perceivable in the German </w:t>
      </w:r>
      <w:r>
        <w:rPr>
          <w:i/>
          <w:iCs/>
        </w:rPr>
        <w:t>Gazette des Ardennes</w:t>
      </w:r>
      <w:r>
        <w:t xml:space="preserve"> which</w:t>
      </w:r>
      <w:r w:rsidR="00487A25">
        <w:t xml:space="preserve"> examined</w:t>
      </w:r>
      <w:r>
        <w:t xml:space="preserve"> the allied reply to the note.</w:t>
      </w:r>
      <w:r>
        <w:rPr>
          <w:rStyle w:val="FootnoteReference"/>
        </w:rPr>
        <w:footnoteReference w:id="536"/>
      </w:r>
      <w:r>
        <w:t xml:space="preserve"> Justifications were offered by the German newspaper which </w:t>
      </w:r>
      <w:r w:rsidR="00487A25">
        <w:t>adopted</w:t>
      </w:r>
      <w:r>
        <w:t xml:space="preserve"> a defensive position. The fate of Belgium was a moral thorn in their side. The German newspaper tried once again</w:t>
      </w:r>
      <w:r w:rsidR="00487A25">
        <w:t xml:space="preserve"> to use</w:t>
      </w:r>
      <w:r>
        <w:t xml:space="preserve"> the faked documents found in Brussels to deny Belgium’s right to neutrality. This line of defence had little chance </w:t>
      </w:r>
      <w:r w:rsidR="00487A25">
        <w:t>of</w:t>
      </w:r>
      <w:r>
        <w:t xml:space="preserve"> convinc</w:t>
      </w:r>
      <w:r w:rsidR="00487A25">
        <w:t>ing the</w:t>
      </w:r>
      <w:r>
        <w:t xml:space="preserve"> invaded people and was later denounced as irrelevant.</w:t>
      </w:r>
      <w:r>
        <w:rPr>
          <w:rStyle w:val="FootnoteReference"/>
        </w:rPr>
        <w:footnoteReference w:id="537"/>
      </w:r>
      <w:r>
        <w:t xml:space="preserve"> The negotiation offer was a communication </w:t>
      </w:r>
      <w:r w:rsidR="00931237">
        <w:t>failure</w:t>
      </w:r>
      <w:r>
        <w:t xml:space="preserve"> for German propaganda in the occupied territories.</w:t>
      </w:r>
    </w:p>
    <w:p w14:paraId="3E2474B7" w14:textId="3A99FC91" w:rsidR="007D5EBA" w:rsidRPr="009854AF" w:rsidRDefault="007D5EBA" w:rsidP="007D5EBA">
      <w:pPr>
        <w:jc w:val="both"/>
      </w:pPr>
      <w:r>
        <w:t>Despite Germany’s attempt to stall America, the president of the US released a note on which he had worked for months and in which he asked both sides to list their peace conditions</w:t>
      </w:r>
      <w:r w:rsidRPr="00C1583F">
        <w:t xml:space="preserve"> </w:t>
      </w:r>
      <w:r>
        <w:t>on 20 December 1916.</w:t>
      </w:r>
      <w:r>
        <w:rPr>
          <w:rStyle w:val="FootnoteReference"/>
        </w:rPr>
        <w:footnoteReference w:id="538"/>
      </w:r>
      <w:r>
        <w:t xml:space="preserve"> Woodrow Wilson’s attempt had to be handled carefully by the allies and by their propaganda departments. For one thing, French war aims were not officially defined, making it impossible to answer the US president clearly. In fact, the allies had absolutely no desire to be drawn into negotiations with the neutral state.</w:t>
      </w:r>
      <w:r>
        <w:rPr>
          <w:rStyle w:val="FootnoteReference"/>
        </w:rPr>
        <w:footnoteReference w:id="539"/>
      </w:r>
      <w:r>
        <w:t xml:space="preserve"> Following Wilson’s attempt to negotiate, French and Belgian aerial newspapers played a </w:t>
      </w:r>
      <w:r w:rsidR="00931237">
        <w:t>delaying game</w:t>
      </w:r>
      <w:r>
        <w:t xml:space="preserve"> as the official answer was still being debated between allied governments.</w:t>
      </w:r>
      <w:r>
        <w:rPr>
          <w:rStyle w:val="FootnoteReference"/>
        </w:rPr>
        <w:footnoteReference w:id="540"/>
      </w:r>
      <w:r>
        <w:t xml:space="preserve"> The official answer was released on 10 January 1917 and was echoed a few days later in the </w:t>
      </w:r>
      <w:r>
        <w:rPr>
          <w:i/>
          <w:iCs/>
        </w:rPr>
        <w:t>Voix du Pays</w:t>
      </w:r>
      <w:r>
        <w:t>. The French newspaper played its cards well. A summary of the official answer was offered alongside sub-articles about the martyr</w:t>
      </w:r>
      <w:r w:rsidR="00931237">
        <w:t>dom</w:t>
      </w:r>
      <w:r>
        <w:t xml:space="preserve"> of Belgium and the restitution of Alsace-Lorraine. The British view was also summarised by the French paper to strengthen the idea of collaboration.</w:t>
      </w:r>
      <w:r>
        <w:rPr>
          <w:rStyle w:val="FootnoteReference"/>
        </w:rPr>
        <w:footnoteReference w:id="541"/>
      </w:r>
      <w:r>
        <w:t xml:space="preserve"> Once again, the Germans felt compelled to answer the allied </w:t>
      </w:r>
      <w:r w:rsidR="00931237">
        <w:t>position</w:t>
      </w:r>
      <w:r>
        <w:t xml:space="preserve">. The usual arguments were used, such as the world domination of Great Britain or the encirclement of Germany, but German propagandists failed once again to properly </w:t>
      </w:r>
      <w:r w:rsidR="00D5389B">
        <w:t xml:space="preserve">answer </w:t>
      </w:r>
      <w:r>
        <w:t>the question of Belgium.</w:t>
      </w:r>
      <w:r>
        <w:rPr>
          <w:rStyle w:val="FootnoteReference"/>
        </w:rPr>
        <w:footnoteReference w:id="542"/>
      </w:r>
      <w:r>
        <w:t xml:space="preserve"> Within a month, German propaganda in the occupied territories had conceded two moral victories</w:t>
      </w:r>
      <w:r w:rsidR="00D5389B" w:rsidRPr="00D5389B">
        <w:t xml:space="preserve"> </w:t>
      </w:r>
      <w:r w:rsidR="00D5389B">
        <w:t>to its allied counterpart</w:t>
      </w:r>
      <w:r>
        <w:t>. The allied answer to Wilson was also a success on the international stage. Paying homage to the League of Nations meant that the road to war on the allied side was opened for America. Moreover, the unmistakable claim on Alsace and Lorraine solidified the opinion on the French home front.</w:t>
      </w:r>
      <w:r>
        <w:rPr>
          <w:rStyle w:val="FootnoteReference"/>
        </w:rPr>
        <w:footnoteReference w:id="543"/>
      </w:r>
    </w:p>
    <w:p w14:paraId="179E68AD" w14:textId="69156566" w:rsidR="007D5EBA" w:rsidRDefault="007D5EBA" w:rsidP="007D5EBA">
      <w:pPr>
        <w:jc w:val="both"/>
      </w:pPr>
      <w:r>
        <w:t>In August 1917, Pope Benedict XV also wrote specific proposals in a note asking for peace. The text called for reason to prevail and played on the conscience of people when saying that ‘the strength of weapons must be replaced by the strength of moral right’.</w:t>
      </w:r>
      <w:r>
        <w:rPr>
          <w:rStyle w:val="FootnoteReference"/>
        </w:rPr>
        <w:footnoteReference w:id="544"/>
      </w:r>
      <w:r>
        <w:t xml:space="preserve"> The pontifical attempt was a difficult challenge for the coalition’s diplomatic unity. Rumours </w:t>
      </w:r>
      <w:r w:rsidR="00D5389B">
        <w:t>said</w:t>
      </w:r>
      <w:r>
        <w:t xml:space="preserve"> that the note had been partly inspired by central powers. Yet, the matter had to be handled skilfully to satisfy </w:t>
      </w:r>
      <w:r w:rsidR="00D5389B">
        <w:t xml:space="preserve">the </w:t>
      </w:r>
      <w:r>
        <w:t>catholic majorities of Belgium and France.</w:t>
      </w:r>
      <w:r>
        <w:rPr>
          <w:rStyle w:val="FootnoteReference"/>
        </w:rPr>
        <w:footnoteReference w:id="545"/>
      </w:r>
      <w:r>
        <w:t xml:space="preserve"> However, the </w:t>
      </w:r>
      <w:r w:rsidR="00D5389B">
        <w:t xml:space="preserve">French </w:t>
      </w:r>
      <w:r>
        <w:t xml:space="preserve">Catholics were the first to </w:t>
      </w:r>
      <w:r w:rsidR="00D5389B">
        <w:t>express</w:t>
      </w:r>
      <w:r>
        <w:t xml:space="preserve"> their hostility to the initiative. Some of them went as far as to call Benedict XV the </w:t>
      </w:r>
      <w:r>
        <w:rPr>
          <w:i/>
          <w:iCs/>
        </w:rPr>
        <w:t>‘</w:t>
      </w:r>
      <w:r w:rsidRPr="009F0169">
        <w:rPr>
          <w:iCs/>
        </w:rPr>
        <w:t>pape boche’</w:t>
      </w:r>
      <w:r>
        <w:t>.</w:t>
      </w:r>
      <w:r>
        <w:rPr>
          <w:rStyle w:val="FootnoteReference"/>
          <w:rFonts w:eastAsia="PMingLiU"/>
          <w:lang w:eastAsia="zh-TW"/>
        </w:rPr>
        <w:footnoteReference w:id="546"/>
      </w:r>
      <w:r>
        <w:t xml:space="preserve"> The </w:t>
      </w:r>
      <w:r>
        <w:rPr>
          <w:i/>
          <w:iCs/>
        </w:rPr>
        <w:t>Voix du Pays</w:t>
      </w:r>
      <w:r>
        <w:t xml:space="preserve"> echoed this aggression</w:t>
      </w:r>
      <w:r w:rsidR="00D5389B">
        <w:t>,</w:t>
      </w:r>
      <w:r>
        <w:t xml:space="preserve"> but mainly quoted the foreign press, mostly British and American newspapers, to demolish the pope’s attempt for peace.</w:t>
      </w:r>
      <w:r>
        <w:rPr>
          <w:rStyle w:val="FootnoteReference"/>
          <w:rFonts w:eastAsia="PMingLiU"/>
          <w:lang w:eastAsia="zh-TW"/>
        </w:rPr>
        <w:footnoteReference w:id="547"/>
      </w:r>
      <w:r>
        <w:t xml:space="preserve"> Two days after this article, another twist occurred when the American president Wilson decided to answer the note w</w:t>
      </w:r>
      <w:r w:rsidR="00D5389B">
        <w:t>ithout consulting his allies. H</w:t>
      </w:r>
      <w:r>
        <w:t>is answer alarmed the French and the British</w:t>
      </w:r>
      <w:r w:rsidR="00D5389B">
        <w:t>,</w:t>
      </w:r>
      <w:r>
        <w:t xml:space="preserve"> </w:t>
      </w:r>
      <w:r w:rsidR="00D5389B">
        <w:t>as</w:t>
      </w:r>
      <w:r>
        <w:t xml:space="preserve"> it criticised their plan for punitive damages and dismemberment of empires.</w:t>
      </w:r>
      <w:r>
        <w:rPr>
          <w:rStyle w:val="FootnoteReference"/>
        </w:rPr>
        <w:footnoteReference w:id="548"/>
      </w:r>
      <w:r>
        <w:t xml:space="preserve"> This time, German propaganda seized the moment. </w:t>
      </w:r>
      <w:r>
        <w:rPr>
          <w:i/>
          <w:iCs/>
        </w:rPr>
        <w:t>La Gazette des Ardennes</w:t>
      </w:r>
      <w:r>
        <w:t xml:space="preserve"> jumped on Wilson’s lack of enthusiasm for extreme war aims:</w:t>
      </w:r>
    </w:p>
    <w:p w14:paraId="3322604F" w14:textId="77777777" w:rsidR="007D5EBA" w:rsidRPr="00B4362F" w:rsidRDefault="007D5EBA" w:rsidP="007D5EBA">
      <w:pPr>
        <w:ind w:left="567" w:right="567"/>
        <w:jc w:val="both"/>
      </w:pPr>
      <w:r w:rsidRPr="00475BFB">
        <w:rPr>
          <w:lang w:val="fr-FR"/>
        </w:rPr>
        <w:t xml:space="preserve">[…] Il faut reconnaitre, il est vrai, </w:t>
      </w:r>
      <w:r>
        <w:rPr>
          <w:lang w:val="fr-FR"/>
        </w:rPr>
        <w:t xml:space="preserve">que les annexionnistes et les impérialistes de Londres, de Paris et de Rome liront sans grand plaisir la note présidentielle. M. Wilson se garde d’appuyer leurs folles revendications. A-t-il compris qu’elles sont irréalisables ? </w:t>
      </w:r>
      <w:r w:rsidRPr="00B4362F">
        <w:t>[…]</w:t>
      </w:r>
      <w:r>
        <w:rPr>
          <w:rStyle w:val="FootnoteReference"/>
          <w:lang w:val="fr-FR"/>
        </w:rPr>
        <w:footnoteReference w:id="549"/>
      </w:r>
    </w:p>
    <w:p w14:paraId="48D577A9" w14:textId="503EE6BE" w:rsidR="007D5EBA" w:rsidRPr="005C662C" w:rsidRDefault="007D5EBA" w:rsidP="007D5EBA">
      <w:pPr>
        <w:jc w:val="both"/>
      </w:pPr>
      <w:r>
        <w:t xml:space="preserve">In the </w:t>
      </w:r>
      <w:r w:rsidR="00D5389B">
        <w:t>following</w:t>
      </w:r>
      <w:r>
        <w:t xml:space="preserve"> days, t</w:t>
      </w:r>
      <w:r w:rsidRPr="003169FE">
        <w:t xml:space="preserve">he German newspaper pushed the matter further. </w:t>
      </w:r>
      <w:r>
        <w:t xml:space="preserve">Reactions to the American answer, rather than to the papal initiative itself, were featured on the cover of the next four issues of the </w:t>
      </w:r>
      <w:r>
        <w:rPr>
          <w:i/>
          <w:iCs/>
        </w:rPr>
        <w:t>Gazette des Ardennes</w:t>
      </w:r>
      <w:r>
        <w:t>.</w:t>
      </w:r>
      <w:r>
        <w:rPr>
          <w:rStyle w:val="FootnoteReference"/>
        </w:rPr>
        <w:footnoteReference w:id="550"/>
      </w:r>
      <w:r>
        <w:t xml:space="preserve"> Faced with this avalanche of articles, the allies had to handle the matter</w:t>
      </w:r>
      <w:r w:rsidR="00D5389B">
        <w:t>s</w:t>
      </w:r>
      <w:r>
        <w:t xml:space="preserve"> carefully. At the end of August, the British </w:t>
      </w:r>
      <w:r>
        <w:rPr>
          <w:i/>
          <w:iCs/>
        </w:rPr>
        <w:t>Courrier de l’Air</w:t>
      </w:r>
      <w:r>
        <w:t xml:space="preserve"> had briefly mentioned Wilson’s answer</w:t>
      </w:r>
      <w:r w:rsidR="00D5389B">
        <w:t>,</w:t>
      </w:r>
      <w:r>
        <w:t xml:space="preserve"> and stated that the terms of the papal note were not adequate to guarantee a long and stable peace.</w:t>
      </w:r>
      <w:r>
        <w:rPr>
          <w:rStyle w:val="FootnoteReference"/>
        </w:rPr>
        <w:footnoteReference w:id="551"/>
      </w:r>
      <w:r>
        <w:t xml:space="preserve"> The matter was never developed further. One short article to comment on the papal peace proposal and its official US answer was more than negligence – it was an invitation for German propagandists to highlight embarrassment. The French </w:t>
      </w:r>
      <w:r>
        <w:rPr>
          <w:i/>
          <w:iCs/>
        </w:rPr>
        <w:t>Voix du Pays</w:t>
      </w:r>
      <w:r w:rsidRPr="00354A7B">
        <w:rPr>
          <w:rFonts w:eastAsia="PMingLiU"/>
          <w:lang w:eastAsia="zh-TW"/>
        </w:rPr>
        <w:t xml:space="preserve"> </w:t>
      </w:r>
      <w:r>
        <w:rPr>
          <w:rFonts w:eastAsia="PMingLiU"/>
          <w:lang w:eastAsia="zh-TW"/>
        </w:rPr>
        <w:t>did a little more. SPA propagandists published a summary of Wilson’s note.</w:t>
      </w:r>
      <w:r>
        <w:rPr>
          <w:rStyle w:val="FootnoteReference"/>
          <w:rFonts w:eastAsia="PMingLiU"/>
          <w:lang w:eastAsia="zh-TW"/>
        </w:rPr>
        <w:footnoteReference w:id="552"/>
      </w:r>
      <w:r>
        <w:rPr>
          <w:rFonts w:eastAsia="PMingLiU"/>
          <w:lang w:eastAsia="zh-TW"/>
        </w:rPr>
        <w:t xml:space="preserve"> </w:t>
      </w:r>
      <w:r w:rsidR="00D5389B">
        <w:rPr>
          <w:rFonts w:eastAsia="PMingLiU"/>
          <w:lang w:eastAsia="zh-TW"/>
        </w:rPr>
        <w:t>However</w:t>
      </w:r>
      <w:r>
        <w:rPr>
          <w:rFonts w:eastAsia="PMingLiU"/>
          <w:lang w:eastAsia="zh-TW"/>
        </w:rPr>
        <w:t xml:space="preserve">, this answer was not without consequences for the perception of the country. It was a silent confirmation that France was losing her leadership to the Americans. This episode was in fact </w:t>
      </w:r>
      <w:r w:rsidR="00D5389B">
        <w:rPr>
          <w:rFonts w:eastAsia="PMingLiU"/>
          <w:lang w:eastAsia="zh-TW"/>
        </w:rPr>
        <w:t xml:space="preserve">only a taste of what was </w:t>
      </w:r>
      <w:r>
        <w:rPr>
          <w:rFonts w:eastAsia="PMingLiU"/>
          <w:lang w:eastAsia="zh-TW"/>
        </w:rPr>
        <w:t xml:space="preserve">to come </w:t>
      </w:r>
      <w:r w:rsidR="00931237">
        <w:rPr>
          <w:rFonts w:eastAsia="PMingLiU"/>
          <w:lang w:eastAsia="zh-TW"/>
        </w:rPr>
        <w:t>after</w:t>
      </w:r>
      <w:r>
        <w:rPr>
          <w:rFonts w:eastAsia="PMingLiU"/>
          <w:lang w:eastAsia="zh-TW"/>
        </w:rPr>
        <w:t xml:space="preserve"> the Armistice.</w:t>
      </w:r>
      <w:r>
        <w:rPr>
          <w:rStyle w:val="FootnoteReference"/>
          <w:rFonts w:eastAsia="PMingLiU"/>
          <w:lang w:eastAsia="zh-TW"/>
        </w:rPr>
        <w:footnoteReference w:id="553"/>
      </w:r>
    </w:p>
    <w:p w14:paraId="405C7ABE" w14:textId="77777777" w:rsidR="007D5EBA" w:rsidRDefault="007D5EBA" w:rsidP="007D5EBA">
      <w:pPr>
        <w:pStyle w:val="Heading2"/>
      </w:pPr>
      <w:bookmarkStart w:id="54" w:name="_Toc402192975"/>
      <w:r>
        <w:t>Conclusion</w:t>
      </w:r>
      <w:bookmarkEnd w:id="54"/>
    </w:p>
    <w:p w14:paraId="36DD9787" w14:textId="6344278C" w:rsidR="007D5EBA" w:rsidRDefault="007D5EBA" w:rsidP="007D5EBA">
      <w:pPr>
        <w:jc w:val="both"/>
      </w:pPr>
      <w:r>
        <w:t xml:space="preserve">This chapter investigated the legitimisation of the conflict and the difficulties for propaganda </w:t>
      </w:r>
      <w:r w:rsidR="00931237">
        <w:t>in</w:t>
      </w:r>
      <w:r>
        <w:t xml:space="preserve"> deal</w:t>
      </w:r>
      <w:r w:rsidR="00931237">
        <w:t>ing</w:t>
      </w:r>
      <w:r>
        <w:t xml:space="preserve"> with internal and international dissentions. German propaganda in the occupied territories blamed Great Britain for the war much more than France. Until 1918, the main argument explaining the international situation</w:t>
      </w:r>
      <w:r w:rsidR="00D5389B">
        <w:t xml:space="preserve"> remained Britain’s desire to crush a rising nation</w:t>
      </w:r>
      <w:r>
        <w:t>. Yet, Germany’s inability to define</w:t>
      </w:r>
      <w:r w:rsidR="00D5389B">
        <w:t xml:space="preserve"> its</w:t>
      </w:r>
      <w:r>
        <w:t xml:space="preserve"> long-term war aims clearly meant that </w:t>
      </w:r>
      <w:r w:rsidR="00D5389B">
        <w:t>her</w:t>
      </w:r>
      <w:r>
        <w:t xml:space="preserve"> propagandists were in an uneasy situation</w:t>
      </w:r>
      <w:r w:rsidR="00D5389B">
        <w:t>,</w:t>
      </w:r>
      <w:r>
        <w:t xml:space="preserve"> and were left with </w:t>
      </w:r>
      <w:r w:rsidR="00D5389B">
        <w:t>few</w:t>
      </w:r>
      <w:r>
        <w:t xml:space="preserve"> tools to explain the conflict to the occupied citizens of Belgium and France. Moreover, ambitions over Belgium were poorly received by the invaded civilians</w:t>
      </w:r>
      <w:r w:rsidR="00D5389B">
        <w:t>,</w:t>
      </w:r>
      <w:r>
        <w:t xml:space="preserve"> </w:t>
      </w:r>
      <w:r w:rsidR="00D5389B">
        <w:t>who believed</w:t>
      </w:r>
      <w:r>
        <w:t xml:space="preserve"> in a Belgian unity.</w:t>
      </w:r>
    </w:p>
    <w:p w14:paraId="6E0ADAF9" w14:textId="5F014028" w:rsidR="007D5EBA" w:rsidRDefault="007D5EBA" w:rsidP="007D5EBA">
      <w:pPr>
        <w:jc w:val="both"/>
      </w:pPr>
      <w:r>
        <w:t xml:space="preserve">Evidence clearly shows that all allied nations portrayed the struggle as a war of defence. The French established continuity between the Franco-Prussian war and the current events, while the British underlined Germany’s hunger for power. The Belgians, </w:t>
      </w:r>
      <w:r w:rsidR="00D5389B">
        <w:t>alongside</w:t>
      </w:r>
      <w:r>
        <w:t xml:space="preserve"> the other allied nations, played on the violation of their neutrality to prove Germany’s responsibility. All these arguments bore striking similarities to </w:t>
      </w:r>
      <w:r w:rsidR="00D5389B">
        <w:t>those</w:t>
      </w:r>
      <w:r>
        <w:t xml:space="preserve"> used on the home front. It can be suspected that allied propagandists did not feel the need to adapt their arguments or fear German propaganda. </w:t>
      </w:r>
    </w:p>
    <w:p w14:paraId="317F86DB" w14:textId="1B3CB4F4" w:rsidR="007D5EBA" w:rsidRDefault="007D5EBA" w:rsidP="007D5EBA">
      <w:pPr>
        <w:jc w:val="both"/>
      </w:pPr>
      <w:r>
        <w:t>Sources also demonstrated that the allies increasingly relied on war aims to motivate the</w:t>
      </w:r>
      <w:r w:rsidR="00D5389B">
        <w:t xml:space="preserve"> occupied</w:t>
      </w:r>
      <w:r>
        <w:t xml:space="preserve"> populations. In 1915, poorly defined objectives meant that propagandists had to rest on broad concepts. </w:t>
      </w:r>
      <w:r w:rsidR="00D5389B">
        <w:t>However</w:t>
      </w:r>
      <w:r>
        <w:t>, following the 1917 remobilisation process</w:t>
      </w:r>
      <w:r w:rsidR="00D5389B">
        <w:t>, war aims were redefined</w:t>
      </w:r>
      <w:r>
        <w:t>. This governmental clarification changed the situation. The French progressively portrayed the return of Alsace and Lorraine and the liberation of the occupied territor</w:t>
      </w:r>
      <w:r w:rsidR="00D5389B">
        <w:t>ies as the main reason to fight, and</w:t>
      </w:r>
      <w:r>
        <w:t xml:space="preserve"> these war aims </w:t>
      </w:r>
      <w:r w:rsidR="00D5389B">
        <w:t>were</w:t>
      </w:r>
      <w:r>
        <w:t xml:space="preserve"> supported by the British. The freedom of Belgium was used, and abused, by all nations</w:t>
      </w:r>
      <w:r w:rsidR="00D5389B">
        <w:t>,</w:t>
      </w:r>
      <w:r>
        <w:t xml:space="preserve"> despite Belgium’s </w:t>
      </w:r>
      <w:r w:rsidR="00D5389B">
        <w:t>desire</w:t>
      </w:r>
      <w:r>
        <w:t xml:space="preserve"> to be portrayed as a fighting nation rather than merely a victim. Victory itself became a major objective</w:t>
      </w:r>
      <w:r w:rsidR="00D5389B">
        <w:t>,</w:t>
      </w:r>
      <w:r>
        <w:t xml:space="preserve"> without which peace was impossible. The possibility of a German defeat in 1918 altered the way propaganda was conceived. The words ‘war aims’ were replaced by ‘peace conditions’</w:t>
      </w:r>
      <w:r w:rsidR="00D5389B">
        <w:t>,</w:t>
      </w:r>
      <w:r>
        <w:t xml:space="preserve"> to remind citizens that the end of the hostilities was close</w:t>
      </w:r>
      <w:r w:rsidR="00D5389B">
        <w:t>,</w:t>
      </w:r>
      <w:r>
        <w:t xml:space="preserve"> but still conditional to a military victory. </w:t>
      </w:r>
    </w:p>
    <w:p w14:paraId="046557E7" w14:textId="673CE242" w:rsidR="007D5EBA" w:rsidRDefault="007D5EBA" w:rsidP="007D5EBA">
      <w:pPr>
        <w:jc w:val="both"/>
      </w:pPr>
      <w:r>
        <w:t xml:space="preserve">In order to justify the </w:t>
      </w:r>
      <w:r w:rsidR="00D5389B">
        <w:t>length of the war</w:t>
      </w:r>
      <w:r>
        <w:t xml:space="preserve">, propagandists tried to convey the idea that the conflict was the expression of a unanimous will. To do so, articles described citizens of different social or geographic backgrounds united by their desire to fight Germany to restore international justice. It was underlined that this instrumentalisation of democracy was actually hurting it. Propagandists </w:t>
      </w:r>
      <w:r w:rsidR="00D5389B">
        <w:t>could not</w:t>
      </w:r>
      <w:r>
        <w:t xml:space="preserve"> </w:t>
      </w:r>
      <w:r w:rsidR="00D5389B">
        <w:t>legitimately speak for the</w:t>
      </w:r>
      <w:r>
        <w:t xml:space="preserve"> people they were trying to trap in the net of brutalisation. The hypocrisy behind the </w:t>
      </w:r>
      <w:r w:rsidR="00D5389B">
        <w:t>pretence</w:t>
      </w:r>
      <w:r>
        <w:t xml:space="preserve"> to impose self-determination and democracy in the world was also highlighted. Indeed, the allies only meant to talk about central powers and not their own colonies or allied autocratic regimes such as Russia.</w:t>
      </w:r>
    </w:p>
    <w:p w14:paraId="3EE9F250" w14:textId="428B1481" w:rsidR="007D5EBA" w:rsidRDefault="007D5EBA" w:rsidP="007D5EBA">
      <w:pPr>
        <w:jc w:val="both"/>
      </w:pPr>
      <w:r>
        <w:t>The last part of the chapter studied propagandists’ attempts to deal with war opponents. Evidence clearly shows that aerial propaganda only mentioned peace attempts when they were known by the Germans and advertised in their own newspapers</w:t>
      </w:r>
      <w:r w:rsidR="00D5389B">
        <w:t>,</w:t>
      </w:r>
      <w:r>
        <w:t xml:space="preserve"> but otherwise chose to keep silent. Propaganda lied on different occasions to convince its audience that French radicals and socialists were unanimously united behind the government. It was also underlined that the Russian revolution constituted a difficult challenge. First welcomed as a democratic change, it was soon reviled as a German plot to compromise international stability. This hostility was guided by the fear that revolution would spread to the western front. Attempts to find peace were received with different degrees of scepticism. The German note of December 1916 was unanimously rejected as a machination. Historiography later proved propagandists right. However, Wilson’s note was handled with diplomacy and ultimately reinforced the credibility of the allies. On the other hand, the pope’s attempt to settle the situation and </w:t>
      </w:r>
      <w:r w:rsidR="00D5389B">
        <w:t>Wilson’s</w:t>
      </w:r>
      <w:r>
        <w:t xml:space="preserve"> following answer </w:t>
      </w:r>
      <w:r w:rsidR="00D5389B">
        <w:t xml:space="preserve">caused </w:t>
      </w:r>
      <w:r>
        <w:t xml:space="preserve">damage. The lack of coherence between </w:t>
      </w:r>
      <w:r w:rsidR="00D5389B">
        <w:t xml:space="preserve">the </w:t>
      </w:r>
      <w:r>
        <w:t xml:space="preserve">allies, highlighted by the extremism of the French and the British, was exploited by the </w:t>
      </w:r>
      <w:r>
        <w:rPr>
          <w:i/>
          <w:iCs/>
        </w:rPr>
        <w:t>Gazette des Ardennes</w:t>
      </w:r>
      <w:r>
        <w:t>. This episode exposed the limits of a rational propaganda. It cannot be said that one side won the propaganda battle on the ground of legitimacy. Both sides took the lead at different times</w:t>
      </w:r>
      <w:r w:rsidR="00D5389B">
        <w:t>,</w:t>
      </w:r>
      <w:r>
        <w:t xml:space="preserve"> but had also to face embarrassing moments. </w:t>
      </w:r>
    </w:p>
    <w:p w14:paraId="3001C626" w14:textId="34A9AFE0" w:rsidR="007D5EBA" w:rsidRDefault="007D5EBA" w:rsidP="00E43192">
      <w:pPr>
        <w:jc w:val="both"/>
      </w:pPr>
      <w:r>
        <w:t xml:space="preserve">The next chapter will </w:t>
      </w:r>
      <w:r w:rsidR="00931237">
        <w:t>show</w:t>
      </w:r>
      <w:r>
        <w:t xml:space="preserve"> that </w:t>
      </w:r>
      <w:r w:rsidR="00E43192">
        <w:t xml:space="preserve">the legitimisation of the conflict worked hand in hand with </w:t>
      </w:r>
      <w:r w:rsidR="00931237">
        <w:t xml:space="preserve">the presentation of </w:t>
      </w:r>
      <w:r w:rsidR="00E43192">
        <w:t xml:space="preserve">military news. </w:t>
      </w:r>
    </w:p>
    <w:p w14:paraId="0F76E9BE" w14:textId="77777777" w:rsidR="00E35CCD" w:rsidRDefault="00E35CCD" w:rsidP="0048510E">
      <w:pPr>
        <w:pStyle w:val="Title"/>
        <w:outlineLvl w:val="0"/>
        <w:rPr>
          <w:sz w:val="48"/>
          <w:szCs w:val="48"/>
        </w:rPr>
        <w:sectPr w:rsidR="00E35CCD" w:rsidSect="00415A32">
          <w:headerReference w:type="default" r:id="rId39"/>
          <w:type w:val="continuous"/>
          <w:pgSz w:w="11907" w:h="16839" w:code="9"/>
          <w:pgMar w:top="1440" w:right="1440" w:bottom="1440" w:left="1440" w:header="708" w:footer="708" w:gutter="0"/>
          <w:cols w:space="708"/>
          <w:titlePg/>
          <w:docGrid w:linePitch="360"/>
        </w:sectPr>
      </w:pPr>
    </w:p>
    <w:p w14:paraId="4D2E8347" w14:textId="6DC73CDD" w:rsidR="0048510E" w:rsidRPr="00E6467B" w:rsidRDefault="0048510E" w:rsidP="0048510E">
      <w:pPr>
        <w:pStyle w:val="Title"/>
        <w:outlineLvl w:val="0"/>
        <w:rPr>
          <w:sz w:val="48"/>
          <w:szCs w:val="48"/>
        </w:rPr>
      </w:pPr>
      <w:bookmarkStart w:id="55" w:name="_Toc402192976"/>
      <w:r w:rsidRPr="00E6467B">
        <w:rPr>
          <w:sz w:val="48"/>
          <w:szCs w:val="48"/>
        </w:rPr>
        <w:t>V</w:t>
      </w:r>
      <w:r w:rsidRPr="00E6467B">
        <w:rPr>
          <w:sz w:val="48"/>
          <w:szCs w:val="48"/>
        </w:rPr>
        <w:tab/>
        <w:t>Military news: the backbone of propaganda</w:t>
      </w:r>
      <w:bookmarkEnd w:id="55"/>
    </w:p>
    <w:p w14:paraId="0C6F18E8" w14:textId="77777777" w:rsidR="0048510E" w:rsidRDefault="0048510E" w:rsidP="0048510E">
      <w:pPr>
        <w:pStyle w:val="Heading2"/>
      </w:pPr>
      <w:bookmarkStart w:id="56" w:name="_Toc378223860"/>
      <w:bookmarkStart w:id="57" w:name="_Toc402192977"/>
      <w:r>
        <w:t>Feeding the fighting spirit</w:t>
      </w:r>
      <w:bookmarkEnd w:id="56"/>
      <w:bookmarkEnd w:id="57"/>
    </w:p>
    <w:p w14:paraId="1D1B3527" w14:textId="07162065" w:rsidR="0048510E" w:rsidRDefault="0048510E" w:rsidP="0048510E">
      <w:pPr>
        <w:jc w:val="both"/>
      </w:pPr>
      <w:r>
        <w:t>Battles and offensives were the backbone of both allied and German propaganda in the occupied territories. The overwhelming i</w:t>
      </w:r>
      <w:r w:rsidR="004B3C94">
        <w:t>nterest</w:t>
      </w:r>
      <w:r>
        <w:t xml:space="preserve"> </w:t>
      </w:r>
      <w:r w:rsidR="00746EBA">
        <w:t>in</w:t>
      </w:r>
      <w:r>
        <w:t xml:space="preserve"> military matters</w:t>
      </w:r>
      <w:r w:rsidR="004B3C94">
        <w:t>,</w:t>
      </w:r>
      <w:r w:rsidR="004B3C94" w:rsidRPr="004B3C94">
        <w:t xml:space="preserve"> </w:t>
      </w:r>
      <w:r w:rsidR="004B3C94">
        <w:t>present in all layers of society,</w:t>
      </w:r>
      <w:r>
        <w:t xml:space="preserve"> was deeply rooted in the nature of the First World War. Never before in a conflict had civilian populations been asked to forgo their interests on such a scale.</w:t>
      </w:r>
      <w:r>
        <w:rPr>
          <w:rStyle w:val="FootnoteReference"/>
        </w:rPr>
        <w:footnoteReference w:id="554"/>
      </w:r>
      <w:r>
        <w:t xml:space="preserve"> It was particularly true for the invaded territories where, from August 1914, distinctions between civilians and soldiers were blurred in a society submerged by violence and war culture. Annette Becker hypothesised that the German military occupation brought to the people of northern France and Belgium their own front line in which the experience of living was entirely determined by the conflict.</w:t>
      </w:r>
      <w:r>
        <w:rPr>
          <w:rStyle w:val="FootnoteReference"/>
        </w:rPr>
        <w:footnoteReference w:id="555"/>
      </w:r>
      <w:r>
        <w:t xml:space="preserve"> Invaded citizens were not fighters but were nonetheless actors, objects of propaganda and victims of the war.</w:t>
      </w:r>
      <w:r>
        <w:rPr>
          <w:rStyle w:val="FootnoteReference"/>
        </w:rPr>
        <w:footnoteReference w:id="556"/>
      </w:r>
      <w:r>
        <w:t xml:space="preserve"> The absence of a diplomatic </w:t>
      </w:r>
      <w:r w:rsidR="00746EBA">
        <w:t>route</w:t>
      </w:r>
      <w:r>
        <w:t xml:space="preserve"> meant that military victory remained the only foreseeable way to bring the ordeal of occupation to an end. As such, military events had a strong potential to raise or destroy morale.</w:t>
      </w:r>
      <w:r>
        <w:rPr>
          <w:rStyle w:val="FootnoteReference"/>
        </w:rPr>
        <w:footnoteReference w:id="557"/>
      </w:r>
      <w:r>
        <w:t xml:space="preserve"> This was well understood and used not only by the allies but also by the Germans</w:t>
      </w:r>
      <w:r w:rsidR="00224CE9">
        <w:t>,</w:t>
      </w:r>
      <w:r>
        <w:t xml:space="preserve"> who attempted to convince the occupied populations of their military invincibility. If this strategy was received unevenly, it partially influenced the wish for peace at all cost in Belgium.</w:t>
      </w:r>
      <w:r>
        <w:rPr>
          <w:rStyle w:val="FootnoteReference"/>
        </w:rPr>
        <w:footnoteReference w:id="558"/>
      </w:r>
      <w:r>
        <w:t xml:space="preserve"> </w:t>
      </w:r>
    </w:p>
    <w:p w14:paraId="37D2EDD6" w14:textId="08B339CE" w:rsidR="0048510E" w:rsidRDefault="0048510E" w:rsidP="0048510E">
      <w:pPr>
        <w:jc w:val="both"/>
      </w:pPr>
      <w:r>
        <w:t xml:space="preserve">The </w:t>
      </w:r>
      <w:r w:rsidR="00224CE9">
        <w:t>desire</w:t>
      </w:r>
      <w:r>
        <w:t xml:space="preserve"> for freedom, as well as an interest </w:t>
      </w:r>
      <w:r w:rsidR="00224CE9">
        <w:t>in</w:t>
      </w:r>
      <w:r>
        <w:t xml:space="preserve"> a national narrative</w:t>
      </w:r>
      <w:r w:rsidR="00224CE9">
        <w:t xml:space="preserve"> in France and Belgium</w:t>
      </w:r>
      <w:r>
        <w:t>, meant a stronger curios</w:t>
      </w:r>
      <w:r w:rsidR="00972DAB">
        <w:t xml:space="preserve">ity </w:t>
      </w:r>
      <w:r w:rsidR="00746EBA">
        <w:t>about</w:t>
      </w:r>
      <w:r w:rsidR="00972DAB">
        <w:t xml:space="preserve"> the news regarding the w</w:t>
      </w:r>
      <w:r>
        <w:t xml:space="preserve">estern </w:t>
      </w:r>
      <w:r w:rsidR="00972DAB">
        <w:t>f</w:t>
      </w:r>
      <w:r>
        <w:t>ront. Propagandists took into account their audience’s presumed desire to be informed about the events in France and Belgium and as a consequence offered little space for the other theatres of operations. In fact, major events</w:t>
      </w:r>
      <w:r w:rsidR="00224CE9">
        <w:t>,</w:t>
      </w:r>
      <w:r>
        <w:t xml:space="preserve"> such as resounding defeats or victories concerning the allies of Belgium, Britain and France, were mostly </w:t>
      </w:r>
      <w:r w:rsidR="00224CE9">
        <w:t>used only</w:t>
      </w:r>
      <w:r>
        <w:t xml:space="preserve"> when they had the potential to </w:t>
      </w:r>
      <w:r w:rsidR="00746EBA">
        <w:t>raise spirits</w:t>
      </w:r>
      <w:r>
        <w:t xml:space="preserve"> or to counter German propaganda.</w:t>
      </w:r>
      <w:r>
        <w:rPr>
          <w:rStyle w:val="FootnoteReference"/>
        </w:rPr>
        <w:footnoteReference w:id="559"/>
      </w:r>
      <w:r>
        <w:t xml:space="preserve"> It was, and still is, a characteristic of psychological warfare to filter news to amplify the effects of propaganda.</w:t>
      </w:r>
      <w:r>
        <w:rPr>
          <w:rStyle w:val="FootnoteReference"/>
        </w:rPr>
        <w:footnoteReference w:id="560"/>
      </w:r>
      <w:r>
        <w:t xml:space="preserve"> This strategy also meant a system of </w:t>
      </w:r>
      <w:r w:rsidR="004B3C94">
        <w:t>prioritisation</w:t>
      </w:r>
      <w:r>
        <w:t xml:space="preserve"> </w:t>
      </w:r>
      <w:r w:rsidR="00224CE9">
        <w:t>within</w:t>
      </w:r>
      <w:r>
        <w:t xml:space="preserve"> military institutions; attention revolved aro</w:t>
      </w:r>
      <w:r w:rsidR="00C87350">
        <w:t>und the actions of the infantry</w:t>
      </w:r>
      <w:r>
        <w:t xml:space="preserve"> for its ability</w:t>
      </w:r>
      <w:r w:rsidR="00C87350">
        <w:t xml:space="preserve"> to conquer, and the artillery for </w:t>
      </w:r>
      <w:r>
        <w:t xml:space="preserve">its capacity </w:t>
      </w:r>
      <w:r w:rsidR="00C87350">
        <w:t>for</w:t>
      </w:r>
      <w:r>
        <w:t xml:space="preserve"> destruction, rather than the role of </w:t>
      </w:r>
      <w:r w:rsidR="00746EBA">
        <w:t>air forces</w:t>
      </w:r>
      <w:r>
        <w:t xml:space="preserve"> or </w:t>
      </w:r>
      <w:r w:rsidR="00C87350">
        <w:t xml:space="preserve">the </w:t>
      </w:r>
      <w:r>
        <w:t>navy.</w:t>
      </w:r>
    </w:p>
    <w:p w14:paraId="31FB0E53" w14:textId="02804C6A" w:rsidR="0048510E" w:rsidRDefault="0048510E" w:rsidP="0048510E">
      <w:pPr>
        <w:jc w:val="both"/>
      </w:pPr>
      <w:r>
        <w:t xml:space="preserve">In order to comprehend how psychological warfare benefitted from the narration of military operations, this chapter will focus on the battles of Verdun, the Somme, the </w:t>
      </w:r>
      <w:r w:rsidRPr="00CE70B4">
        <w:rPr>
          <w:i/>
          <w:iCs/>
        </w:rPr>
        <w:t>Chemin des Dames</w:t>
      </w:r>
      <w:r>
        <w:t xml:space="preserve"> and the Spring Offensive. This selection proceeds from a rational choice dictated by the ability of these events to offer a transnational </w:t>
      </w:r>
      <w:r w:rsidR="00224CE9">
        <w:t>perspective</w:t>
      </w:r>
      <w:r>
        <w:t xml:space="preserve">, raise the understanding of military news in aerial propaganda and occasionally </w:t>
      </w:r>
      <w:r w:rsidR="004B3C94">
        <w:t>highlight</w:t>
      </w:r>
      <w:r>
        <w:t xml:space="preserve"> unusual methods of communication. Other offensives were equally important for the conflict but have been excluded from this work to avoid redundancy. Indeed, the semantic</w:t>
      </w:r>
      <w:r w:rsidR="007F7E73">
        <w:t>s</w:t>
      </w:r>
      <w:r>
        <w:t xml:space="preserve"> and mechanisms used to </w:t>
      </w:r>
      <w:r w:rsidR="005737DD">
        <w:t>represent</w:t>
      </w:r>
      <w:r>
        <w:t xml:space="preserve"> battles such as Arras or Passchendaele in 1917 </w:t>
      </w:r>
      <w:r w:rsidR="007F7E73">
        <w:t>were similar to</w:t>
      </w:r>
      <w:r>
        <w:t xml:space="preserve"> the operations described here. This ch</w:t>
      </w:r>
      <w:r w:rsidR="00972DAB">
        <w:t>apter’s exclusive focus on the w</w:t>
      </w:r>
      <w:r>
        <w:t>estern front mirrored the editorial choice</w:t>
      </w:r>
      <w:r w:rsidR="00746EBA">
        <w:t>s</w:t>
      </w:r>
      <w:r>
        <w:t xml:space="preserve"> </w:t>
      </w:r>
      <w:r w:rsidR="00746EBA">
        <w:t>made</w:t>
      </w:r>
      <w:r>
        <w:t xml:space="preserve"> by Belgian, British, and French propagand</w:t>
      </w:r>
      <w:r w:rsidR="00746EBA">
        <w:t>ists in almost completely ignoring</w:t>
      </w:r>
      <w:r>
        <w:t xml:space="preserve"> t</w:t>
      </w:r>
      <w:r w:rsidR="00746EBA">
        <w:t>he events i</w:t>
      </w:r>
      <w:r>
        <w:t>n the other theatres of war. In an attempt to create a coherent narrative, Germ</w:t>
      </w:r>
      <w:r w:rsidR="004B3C94">
        <w:t>any’s arguments and answers to a</w:t>
      </w:r>
      <w:r>
        <w:t xml:space="preserve">llied propaganda aimed at the occupied territories </w:t>
      </w:r>
      <w:r w:rsidR="007F7E73">
        <w:t>will also be</w:t>
      </w:r>
      <w:r w:rsidR="004B3C94">
        <w:t xml:space="preserve"> presented</w:t>
      </w:r>
      <w:r>
        <w:t xml:space="preserve">. Each section will be organised chronologically to show the evolution of each propaganda department and try to highlight a potential learning curve when conceiving psychological warfare material aimed at occupied territories. Furthermore, the selection of events will offer an insight </w:t>
      </w:r>
      <w:r w:rsidR="004B3C94">
        <w:t>into</w:t>
      </w:r>
      <w:r>
        <w:t xml:space="preserve"> the prevail</w:t>
      </w:r>
      <w:r w:rsidR="005737DD">
        <w:t>ing</w:t>
      </w:r>
      <w:r>
        <w:t xml:space="preserve"> mood inside these units at given times of danger and hope.</w:t>
      </w:r>
      <w:r>
        <w:rPr>
          <w:rStyle w:val="FootnoteReference"/>
        </w:rPr>
        <w:footnoteReference w:id="561"/>
      </w:r>
      <w:r>
        <w:t xml:space="preserve"> </w:t>
      </w:r>
    </w:p>
    <w:p w14:paraId="076148FE" w14:textId="6D656094" w:rsidR="0048510E" w:rsidRDefault="007F7E73" w:rsidP="008F12F2">
      <w:pPr>
        <w:jc w:val="both"/>
      </w:pPr>
      <w:r>
        <w:t xml:space="preserve">The first of the selected battles is </w:t>
      </w:r>
      <w:r w:rsidR="0048510E">
        <w:t xml:space="preserve">Verdun, or rather the myth of Verdun, </w:t>
      </w:r>
      <w:r>
        <w:t xml:space="preserve">which </w:t>
      </w:r>
      <w:r w:rsidR="0048510E">
        <w:t>is still very much present in the collective and cultural mind of the French society today.</w:t>
      </w:r>
      <w:r w:rsidR="0048510E">
        <w:rPr>
          <w:rStyle w:val="FootnoteReference"/>
        </w:rPr>
        <w:footnoteReference w:id="562"/>
      </w:r>
      <w:r w:rsidR="0048510E">
        <w:t xml:space="preserve"> The narration of the battle in the invaded territories, mainly a duel between German and French propaganda departments, played its part in the construction of the post-war legend surrounding ‘</w:t>
      </w:r>
      <w:r w:rsidR="0048510E" w:rsidRPr="00B35ECC">
        <w:t>ceux de Verdun’</w:t>
      </w:r>
      <w:r w:rsidR="0048510E">
        <w:t xml:space="preserve">. The events on the Meuse will be explored in the first section in order to understand how propaganda aimed at occupied countries worked in a situation of great uncertainty when the French army was on </w:t>
      </w:r>
      <w:r w:rsidR="004B3C94">
        <w:t>the edge</w:t>
      </w:r>
      <w:r w:rsidR="0048510E">
        <w:t xml:space="preserve"> of disaster. </w:t>
      </w:r>
      <w:r>
        <w:t>Likewise</w:t>
      </w:r>
      <w:r w:rsidR="0048510E">
        <w:t>, periods of successful counterattacks triggered national pride and euphoria.</w:t>
      </w:r>
      <w:r w:rsidR="008F12F2">
        <w:rPr>
          <w:rStyle w:val="FootnoteReference"/>
        </w:rPr>
        <w:footnoteReference w:id="563"/>
      </w:r>
      <w:r w:rsidR="008F12F2">
        <w:t xml:space="preserve"> </w:t>
      </w:r>
      <w:r w:rsidR="0048510E">
        <w:t xml:space="preserve"> </w:t>
      </w:r>
    </w:p>
    <w:p w14:paraId="3A39ECA6" w14:textId="0826BB3C" w:rsidR="0048510E" w:rsidRDefault="0048510E" w:rsidP="0048510E">
      <w:pPr>
        <w:jc w:val="both"/>
      </w:pPr>
      <w:r>
        <w:t xml:space="preserve">However, Verdun’s defensive nature </w:t>
      </w:r>
      <w:r w:rsidR="007F7E73">
        <w:t>means</w:t>
      </w:r>
      <w:r>
        <w:t xml:space="preserve"> that </w:t>
      </w:r>
      <w:r w:rsidR="007F7E73">
        <w:t>another perspective is needed</w:t>
      </w:r>
      <w:r>
        <w:t xml:space="preserve"> to understand the mechanisms of propaganda during the year 1916. </w:t>
      </w:r>
      <w:r w:rsidR="00746EBA">
        <w:t>T</w:t>
      </w:r>
      <w:r>
        <w:t xml:space="preserve">he </w:t>
      </w:r>
      <w:r w:rsidRPr="00840ED9">
        <w:t xml:space="preserve">battle of the Somme was supposed to underline the offensive spirit of the allies. Despite the necessity to defend the </w:t>
      </w:r>
      <w:r w:rsidR="00840ED9" w:rsidRPr="00840ED9">
        <w:t>reputation</w:t>
      </w:r>
      <w:r w:rsidR="00840ED9">
        <w:t xml:space="preserve"> of the French and British armies</w:t>
      </w:r>
      <w:r>
        <w:t xml:space="preserve">, limited territorial gains and accusations of failure by the German press in French made the controversial attack in Picardie a major </w:t>
      </w:r>
      <w:r w:rsidR="00746EBA">
        <w:t>challenge for propagandists</w:t>
      </w:r>
      <w:r>
        <w:t>.</w:t>
      </w:r>
      <w:r w:rsidR="008F12F2">
        <w:rPr>
          <w:rStyle w:val="FootnoteReference"/>
        </w:rPr>
        <w:footnoteReference w:id="564"/>
      </w:r>
      <w:r>
        <w:t xml:space="preserve"> </w:t>
      </w:r>
      <w:r w:rsidR="007F7E73">
        <w:t>T</w:t>
      </w:r>
      <w:r>
        <w:t xml:space="preserve">he year 1916 will also allow the study of black propaganda production by the French and the first attempt, of poor quality, at aerial propaganda </w:t>
      </w:r>
      <w:r w:rsidR="007F7E73">
        <w:t>produced</w:t>
      </w:r>
      <w:r>
        <w:t xml:space="preserve"> by the Belgians. </w:t>
      </w:r>
    </w:p>
    <w:p w14:paraId="5B3874DE" w14:textId="0AF1278E" w:rsidR="0048510E" w:rsidRDefault="0048510E" w:rsidP="0048510E">
      <w:pPr>
        <w:jc w:val="both"/>
      </w:pPr>
      <w:r>
        <w:t>Yet, the difficulties of 1916 were small matters compared to the challenges faced by propaganda aimed at</w:t>
      </w:r>
      <w:r w:rsidR="004B3C94">
        <w:t xml:space="preserve"> the</w:t>
      </w:r>
      <w:r>
        <w:t xml:space="preserve"> invaded territories during 1917</w:t>
      </w:r>
      <w:r w:rsidR="004B3C94">
        <w:t>, to which Britain was now contributing</w:t>
      </w:r>
      <w:r>
        <w:t>. To understand why morale collapsed to its lowest point during the war, one event has been selected for the importance of its negative contribution to the campaign of communication and for the amount of attention it received in the media.</w:t>
      </w:r>
      <w:r>
        <w:rPr>
          <w:rStyle w:val="FootnoteReference"/>
        </w:rPr>
        <w:footnoteReference w:id="565"/>
      </w:r>
      <w:r>
        <w:t xml:space="preserve"> The failure of the battle of the </w:t>
      </w:r>
      <w:r w:rsidRPr="00E73B52">
        <w:rPr>
          <w:i/>
          <w:iCs/>
        </w:rPr>
        <w:t>Chemin des Dames</w:t>
      </w:r>
      <w:r>
        <w:t xml:space="preserve"> was responsible for a crisis of confidence, a leadership problem and mutinies inside the French army</w:t>
      </w:r>
      <w:r w:rsidRPr="00D82826">
        <w:t xml:space="preserve"> </w:t>
      </w:r>
      <w:r>
        <w:t xml:space="preserve">as well as the loss of initiative to the British on the </w:t>
      </w:r>
      <w:r w:rsidR="00972DAB">
        <w:t>w</w:t>
      </w:r>
      <w:r>
        <w:t>estern front.</w:t>
      </w:r>
      <w:r>
        <w:rPr>
          <w:rStyle w:val="FootnoteReference"/>
        </w:rPr>
        <w:footnoteReference w:id="566"/>
      </w:r>
      <w:r>
        <w:t xml:space="preserve"> In the first phase of the battle, </w:t>
      </w:r>
      <w:r w:rsidR="00840ED9">
        <w:t>the propagandists working for the press</w:t>
      </w:r>
      <w:r>
        <w:t xml:space="preserve"> aimed at </w:t>
      </w:r>
      <w:r w:rsidR="004B3C94">
        <w:t xml:space="preserve">the </w:t>
      </w:r>
      <w:r>
        <w:t xml:space="preserve">occupied territories </w:t>
      </w:r>
      <w:r w:rsidRPr="00840ED9">
        <w:t xml:space="preserve">contributed to the creation of an atmosphere of artificial enthusiasm based on the promise of a quick victory. As such, </w:t>
      </w:r>
      <w:r w:rsidR="00840ED9" w:rsidRPr="00840ED9">
        <w:t>they</w:t>
      </w:r>
      <w:r w:rsidRPr="00840ED9">
        <w:t xml:space="preserve"> carried </w:t>
      </w:r>
      <w:r w:rsidR="00840ED9" w:rsidRPr="00840ED9">
        <w:t>their</w:t>
      </w:r>
      <w:r w:rsidRPr="00840ED9">
        <w:t xml:space="preserve"> part of responsibility in the collapse of the morale which followed the disclosure of the disaster by the Germans</w:t>
      </w:r>
      <w:r w:rsidRPr="00260761">
        <w:t xml:space="preserve">. This section will show that aerial propaganda had to react quickly to stop a </w:t>
      </w:r>
      <w:r w:rsidR="007F7E73" w:rsidRPr="00260761">
        <w:t>level of</w:t>
      </w:r>
      <w:r w:rsidR="007F7E73">
        <w:t xml:space="preserve"> </w:t>
      </w:r>
      <w:r>
        <w:t xml:space="preserve">demoralisation without precedent. In essence, to study the campaign of communication surrounding </w:t>
      </w:r>
      <w:r w:rsidRPr="00260761">
        <w:t xml:space="preserve">the battle of the </w:t>
      </w:r>
      <w:r w:rsidRPr="00260761">
        <w:rPr>
          <w:i/>
          <w:iCs/>
        </w:rPr>
        <w:t>Chemin des Dames</w:t>
      </w:r>
      <w:r w:rsidRPr="00260761">
        <w:t xml:space="preserve"> is to examine a clear case of damage control.</w:t>
      </w:r>
      <w:r>
        <w:t xml:space="preserve"> </w:t>
      </w:r>
    </w:p>
    <w:p w14:paraId="1FE85D50" w14:textId="2F9C80D3" w:rsidR="0048510E" w:rsidRDefault="0048510E" w:rsidP="0048510E">
      <w:pPr>
        <w:jc w:val="both"/>
      </w:pPr>
      <w:r>
        <w:t xml:space="preserve">By the beginning of 1918, propaganda aimed at </w:t>
      </w:r>
      <w:r w:rsidR="004B3C94">
        <w:t xml:space="preserve">the </w:t>
      </w:r>
      <w:r>
        <w:t xml:space="preserve">occupied territories was working at full capacity. Belgians, British and French all had dedicated units professionally designed and </w:t>
      </w:r>
      <w:r w:rsidR="007F7E73">
        <w:t>benefitting</w:t>
      </w:r>
      <w:r>
        <w:t xml:space="preserve"> from increased financial means. In this context, the German gamble of March 1918 triggered a skilful counteroffensive of psychological warfare. The first German attack since Verdun brought the prospect of a breakdown of the front and a collapse of the allied armies. Yet, </w:t>
      </w:r>
      <w:r w:rsidR="007F7E73">
        <w:t>the final</w:t>
      </w:r>
      <w:r>
        <w:t xml:space="preserve"> section will </w:t>
      </w:r>
      <w:r w:rsidR="004B3C94">
        <w:t>highlight</w:t>
      </w:r>
      <w:r>
        <w:t xml:space="preserve"> that propaganda </w:t>
      </w:r>
      <w:r w:rsidR="007F7E73">
        <w:t>around this battle presented a different reaction to</w:t>
      </w:r>
      <w:r>
        <w:t xml:space="preserve"> the </w:t>
      </w:r>
      <w:r w:rsidRPr="00E73B52">
        <w:rPr>
          <w:i/>
          <w:iCs/>
        </w:rPr>
        <w:t>Chemin des Dames</w:t>
      </w:r>
      <w:r w:rsidR="007F7E73">
        <w:rPr>
          <w:i/>
          <w:iCs/>
        </w:rPr>
        <w:t>,</w:t>
      </w:r>
      <w:r>
        <w:t xml:space="preserve"> where the catastrophic situation had been brought </w:t>
      </w:r>
      <w:r w:rsidR="004B3C94">
        <w:t xml:space="preserve">about </w:t>
      </w:r>
      <w:r>
        <w:t>by an ill-prepared French attack rather than by an enemy offensive.</w:t>
      </w:r>
      <w:r>
        <w:rPr>
          <w:rStyle w:val="FootnoteReference"/>
        </w:rPr>
        <w:footnoteReference w:id="567"/>
      </w:r>
      <w:r>
        <w:t xml:space="preserve"> Propagandists had learned from their mistakes and were now using a refined narrative. </w:t>
      </w:r>
    </w:p>
    <w:p w14:paraId="305098C9" w14:textId="553DB411" w:rsidR="0048510E" w:rsidRDefault="007F7E73" w:rsidP="0048510E">
      <w:pPr>
        <w:pStyle w:val="Heading2"/>
      </w:pPr>
      <w:bookmarkStart w:id="58" w:name="_Toc378223861"/>
      <w:bookmarkStart w:id="59" w:name="_Toc402192978"/>
      <w:r>
        <w:t>Verdun: r</w:t>
      </w:r>
      <w:r w:rsidR="0048510E">
        <w:t>esistance, hope and deception</w:t>
      </w:r>
      <w:bookmarkEnd w:id="58"/>
      <w:bookmarkEnd w:id="59"/>
    </w:p>
    <w:p w14:paraId="1F021EE1" w14:textId="24AAB129" w:rsidR="0048510E" w:rsidRDefault="0048510E" w:rsidP="0048510E">
      <w:pPr>
        <w:jc w:val="both"/>
      </w:pPr>
      <w:r>
        <w:t xml:space="preserve">The struggle for Verdun </w:t>
      </w:r>
      <w:r w:rsidR="005A51D9">
        <w:t>promptly became a topic of propaganda</w:t>
      </w:r>
      <w:r w:rsidR="00972DAB">
        <w:t xml:space="preserve"> in the invaded parts of the w</w:t>
      </w:r>
      <w:r>
        <w:t xml:space="preserve">estern </w:t>
      </w:r>
      <w:r w:rsidR="00972DAB">
        <w:t>f</w:t>
      </w:r>
      <w:r>
        <w:t>ront</w:t>
      </w:r>
      <w:r w:rsidRPr="00DA256A">
        <w:t xml:space="preserve">. </w:t>
      </w:r>
      <w:r w:rsidR="00DA256A" w:rsidRPr="00DA256A">
        <w:t>Most Germans and French believed that the offensive was the turning point of the war</w:t>
      </w:r>
      <w:r w:rsidRPr="00DA256A">
        <w:t>.</w:t>
      </w:r>
      <w:r w:rsidRPr="00DA256A">
        <w:rPr>
          <w:rStyle w:val="FootnoteReference"/>
        </w:rPr>
        <w:footnoteReference w:id="568"/>
      </w:r>
      <w:r>
        <w:t xml:space="preserve"> In these circumstances, propaganda on both sides had to convince the public that the situation was under control in the Meuse sector in order to solidify the idea of victory. To do so, spectacular announcements, such as the capture and the recapture of the fort of Douaumont, were used with </w:t>
      </w:r>
      <w:r w:rsidR="004B3C94">
        <w:t>regularity</w:t>
      </w:r>
      <w:r>
        <w:t xml:space="preserve"> </w:t>
      </w:r>
      <w:r w:rsidR="007F7E73">
        <w:t xml:space="preserve">in </w:t>
      </w:r>
      <w:r>
        <w:t>psychological warfare aimed at the occupied regions. Black propaganda was also involved for the first time to help minimise the stalemate and territorial losses.</w:t>
      </w:r>
      <w:r>
        <w:rPr>
          <w:rStyle w:val="FootnoteReference"/>
        </w:rPr>
        <w:footnoteReference w:id="569"/>
      </w:r>
      <w:r>
        <w:t xml:space="preserve">   </w:t>
      </w:r>
    </w:p>
    <w:p w14:paraId="2F6758A2" w14:textId="4BDC987D" w:rsidR="0048510E" w:rsidRDefault="0048510E" w:rsidP="00CC5661">
      <w:pPr>
        <w:jc w:val="both"/>
      </w:pPr>
      <w:r>
        <w:t xml:space="preserve">The offensive was launched on 21 February 1916 but was not disclosed immediately by the French and German propaganda targeting the </w:t>
      </w:r>
      <w:r w:rsidR="00CC5661">
        <w:t>invaded territories</w:t>
      </w:r>
      <w:r>
        <w:t xml:space="preserve">. </w:t>
      </w:r>
      <w:r w:rsidR="00CC5661">
        <w:t>In occupied France, t</w:t>
      </w:r>
      <w:r>
        <w:t xml:space="preserve">he German </w:t>
      </w:r>
      <w:r>
        <w:rPr>
          <w:i/>
        </w:rPr>
        <w:t>Gazette des Ardennes</w:t>
      </w:r>
      <w:r>
        <w:t xml:space="preserve"> was the first to announce the great battle on 26 February through a </w:t>
      </w:r>
      <w:r w:rsidR="004B3C94">
        <w:rPr>
          <w:i/>
          <w:iCs/>
        </w:rPr>
        <w:t>Bulletin o</w:t>
      </w:r>
      <w:r>
        <w:rPr>
          <w:i/>
          <w:iCs/>
        </w:rPr>
        <w:t>fficiel</w:t>
      </w:r>
      <w:r>
        <w:t xml:space="preserve"> of the German army.</w:t>
      </w:r>
      <w:r>
        <w:rPr>
          <w:rStyle w:val="FootnoteReference"/>
        </w:rPr>
        <w:footnoteReference w:id="570"/>
      </w:r>
      <w:r>
        <w:t xml:space="preserve"> </w:t>
      </w:r>
      <w:r w:rsidR="00CC5661">
        <w:t xml:space="preserve">On the same day, the Belgians were warned of a massive offensive by the collaboration newspaper </w:t>
      </w:r>
      <w:r w:rsidR="00CC5661">
        <w:rPr>
          <w:i/>
          <w:iCs/>
        </w:rPr>
        <w:t>L’Ami de l’ordre</w:t>
      </w:r>
      <w:r w:rsidR="00CC5661">
        <w:t>.</w:t>
      </w:r>
      <w:r w:rsidR="00CC5661">
        <w:rPr>
          <w:rStyle w:val="FootnoteReference"/>
        </w:rPr>
        <w:footnoteReference w:id="571"/>
      </w:r>
      <w:r w:rsidR="00CC5661">
        <w:t xml:space="preserve"> </w:t>
      </w:r>
      <w:r>
        <w:t xml:space="preserve">The official reason for </w:t>
      </w:r>
      <w:r w:rsidR="00C87350">
        <w:t>non-disclosure</w:t>
      </w:r>
      <w:r>
        <w:t xml:space="preserve"> was the wish of the OHL to hide the importance of the attack to the enemy</w:t>
      </w:r>
      <w:r w:rsidR="007F7E73">
        <w:t>, though</w:t>
      </w:r>
      <w:r>
        <w:t xml:space="preserve"> Laska hypothesised in his study that the </w:t>
      </w:r>
      <w:r w:rsidR="00C87350">
        <w:t>delay</w:t>
      </w:r>
      <w:r>
        <w:t xml:space="preserve"> was in fact dic</w:t>
      </w:r>
      <w:r w:rsidR="00F705DD">
        <w:t xml:space="preserve">tated by the anticipation of a great </w:t>
      </w:r>
      <w:r>
        <w:t>success which could have been exploited by propaganda.</w:t>
      </w:r>
      <w:r>
        <w:rPr>
          <w:rStyle w:val="FootnoteReference"/>
        </w:rPr>
        <w:footnoteReference w:id="572"/>
      </w:r>
      <w:r>
        <w:t xml:space="preserve"> The events during the battle of the </w:t>
      </w:r>
      <w:r w:rsidRPr="008D44EE">
        <w:rPr>
          <w:i/>
          <w:iCs/>
        </w:rPr>
        <w:t>Chemin des Dames</w:t>
      </w:r>
      <w:r>
        <w:t xml:space="preserve"> in 1917 would later demonstrate that delaying the announcement was a sensible decision. During the first phase of the offensive, the German newspaper of Charleville relied almost solely on the press releases of the HQ, always advertised on the first page, to provide information. The editorial team underlined the lack of information available to justify the move.</w:t>
      </w:r>
      <w:r>
        <w:rPr>
          <w:rStyle w:val="FootnoteReference"/>
        </w:rPr>
        <w:footnoteReference w:id="573"/>
      </w:r>
      <w:r>
        <w:t xml:space="preserve"> </w:t>
      </w:r>
    </w:p>
    <w:p w14:paraId="2AC00FDA" w14:textId="32C73E00" w:rsidR="0048510E" w:rsidRDefault="0048510E" w:rsidP="00905B4F">
      <w:pPr>
        <w:jc w:val="both"/>
      </w:pPr>
      <w:r>
        <w:t xml:space="preserve">The French identified the need to react promptly against German propaganda to prevent any further damage to morale in occupied territories and to defend the strong symbols associated </w:t>
      </w:r>
      <w:r w:rsidR="003757EA">
        <w:t>with Verdun. A note written by G</w:t>
      </w:r>
      <w:r>
        <w:t>eneral Joffre to the Superior Council of Defence showed that the GQG was convinced of the German intention to destroy the morale of the country with the capture of the city bordering the Meuse River.</w:t>
      </w:r>
      <w:r>
        <w:rPr>
          <w:rStyle w:val="FootnoteReference"/>
        </w:rPr>
        <w:footnoteReference w:id="574"/>
      </w:r>
      <w:r>
        <w:t xml:space="preserve"> This theory was supported by Falkenhayn’s writing but has been contested by Jean-Jacques Becker who </w:t>
      </w:r>
      <w:r w:rsidR="00F705DD">
        <w:t>argued</w:t>
      </w:r>
      <w:r>
        <w:t xml:space="preserve"> that the General wrote after the battle and might have tried to hide the failure of the initial goal.</w:t>
      </w:r>
      <w:r>
        <w:rPr>
          <w:rStyle w:val="FootnoteReference"/>
        </w:rPr>
        <w:footnoteReference w:id="575"/>
      </w:r>
      <w:r w:rsidR="00F705DD">
        <w:t xml:space="preserve"> </w:t>
      </w:r>
      <w:r>
        <w:t>The sluggish distribution plan highlighted in chapter two meant that aerial propaganda had a hard time reacting promptly. Indeed, t</w:t>
      </w:r>
      <w:r w:rsidRPr="00463769">
        <w:t xml:space="preserve">he </w:t>
      </w:r>
      <w:r w:rsidRPr="00463769">
        <w:rPr>
          <w:i/>
          <w:iCs/>
        </w:rPr>
        <w:t>Voix du Pays</w:t>
      </w:r>
      <w:r w:rsidRPr="00463769">
        <w:t xml:space="preserve"> of 22 February </w:t>
      </w:r>
      <w:r>
        <w:t xml:space="preserve">had in fact been produced in the preceding days and was too close to the </w:t>
      </w:r>
      <w:r w:rsidR="007F7E73">
        <w:t xml:space="preserve">beginning of the </w:t>
      </w:r>
      <w:r w:rsidRPr="00463769">
        <w:t xml:space="preserve">German offensive to </w:t>
      </w:r>
      <w:r>
        <w:t>mention the battle. The following issue</w:t>
      </w:r>
      <w:r w:rsidR="007F7E73">
        <w:t>,</w:t>
      </w:r>
      <w:r>
        <w:t xml:space="preserve"> printed on 6 March</w:t>
      </w:r>
      <w:r w:rsidR="007F7E73">
        <w:t>,</w:t>
      </w:r>
      <w:r>
        <w:t xml:space="preserve"> addressed the action on its first and second pages</w:t>
      </w:r>
      <w:r w:rsidR="00F705DD" w:rsidRPr="00F705DD">
        <w:t xml:space="preserve"> </w:t>
      </w:r>
      <w:r w:rsidR="00F705DD">
        <w:t>for the first time</w:t>
      </w:r>
      <w:r>
        <w:t xml:space="preserve">. In fact, almost all the </w:t>
      </w:r>
      <w:r w:rsidR="00C87350">
        <w:t xml:space="preserve">subsequent </w:t>
      </w:r>
      <w:r>
        <w:t xml:space="preserve">1916 issues of the paper </w:t>
      </w:r>
      <w:r w:rsidR="00C87350">
        <w:t xml:space="preserve">revisited </w:t>
      </w:r>
      <w:r>
        <w:t xml:space="preserve">the whole battle </w:t>
      </w:r>
      <w:r w:rsidRPr="00C87350">
        <w:t>from the beginning of the German attack.</w:t>
      </w:r>
      <w:r>
        <w:t xml:space="preserve"> </w:t>
      </w:r>
      <w:r w:rsidR="008F57C0">
        <w:t xml:space="preserve">This was done because it was understood that </w:t>
      </w:r>
      <w:r>
        <w:t xml:space="preserve">aerial propaganda was </w:t>
      </w:r>
      <w:r w:rsidR="00C87350">
        <w:t>scarce</w:t>
      </w:r>
      <w:r>
        <w:t xml:space="preserve"> in occupied territories and </w:t>
      </w:r>
      <w:r w:rsidR="00C87350">
        <w:t>consequently</w:t>
      </w:r>
      <w:r>
        <w:t xml:space="preserve"> was read </w:t>
      </w:r>
      <w:r w:rsidR="00C87350">
        <w:t xml:space="preserve">only </w:t>
      </w:r>
      <w:r w:rsidRPr="00C87350">
        <w:t>occasionally</w:t>
      </w:r>
      <w:r>
        <w:t xml:space="preserve">, </w:t>
      </w:r>
      <w:r w:rsidR="00746EBA">
        <w:t xml:space="preserve">so </w:t>
      </w:r>
      <w:r>
        <w:t xml:space="preserve">constant reminders had to be printed. But repeating </w:t>
      </w:r>
      <w:r w:rsidR="00746EBA">
        <w:t xml:space="preserve">accounts of </w:t>
      </w:r>
      <w:r>
        <w:t xml:space="preserve">the major phases of the offensive was also an important way to create conditioned reflexes amongst those who had regular access to the French propaganda </w:t>
      </w:r>
      <w:r w:rsidR="00905B4F">
        <w:t>newspaper</w:t>
      </w:r>
      <w:r>
        <w:t>. The technique, already used in advertising, was designed to prepare the m</w:t>
      </w:r>
      <w:r w:rsidR="00F705DD">
        <w:t>ind of the occupied civilians for</w:t>
      </w:r>
      <w:r>
        <w:t xml:space="preserve"> an artificial version of the battle of Verdun dictated by the French authorities.</w:t>
      </w:r>
      <w:r>
        <w:rPr>
          <w:rStyle w:val="FootnoteReference"/>
        </w:rPr>
        <w:footnoteReference w:id="576"/>
      </w:r>
    </w:p>
    <w:p w14:paraId="252CDF3C" w14:textId="59E92E62" w:rsidR="0048510E" w:rsidRDefault="0048510E" w:rsidP="0048510E">
      <w:pPr>
        <w:jc w:val="both"/>
      </w:pPr>
      <w:r>
        <w:t xml:space="preserve">French propagandists’ efforts to improve the morale of the invaded citizens over the situation in Verdun were limited by the size of the </w:t>
      </w:r>
      <w:r>
        <w:rPr>
          <w:i/>
          <w:iCs/>
        </w:rPr>
        <w:t>Voix du Pays</w:t>
      </w:r>
      <w:r>
        <w:t xml:space="preserve">. The format was too small to deal efficiently with the sheer number of events and the critical nature of the battle. Worse, the </w:t>
      </w:r>
      <w:r w:rsidR="007F7E73">
        <w:t>connection</w:t>
      </w:r>
      <w:r>
        <w:t xml:space="preserve"> with the government and the army also had disadvantages, such as the need to maintain respectability, and </w:t>
      </w:r>
      <w:r w:rsidR="007F7E73">
        <w:t>was</w:t>
      </w:r>
      <w:r>
        <w:t xml:space="preserve"> not always suitable to fight the efforts deployed by the Germans. These facts were probably behind the decision to introduce black propaganda aimed at occupied civilians.</w:t>
      </w:r>
      <w:r>
        <w:rPr>
          <w:rStyle w:val="FootnoteReference"/>
        </w:rPr>
        <w:footnoteReference w:id="577"/>
      </w:r>
      <w:r>
        <w:t xml:space="preserve"> The first faked </w:t>
      </w:r>
      <w:r>
        <w:rPr>
          <w:i/>
          <w:iCs/>
        </w:rPr>
        <w:t>Gazette des Ardennes</w:t>
      </w:r>
      <w:r>
        <w:t xml:space="preserve"> was </w:t>
      </w:r>
      <w:r w:rsidR="008F57C0">
        <w:t>dropped</w:t>
      </w:r>
      <w:r>
        <w:t xml:space="preserve"> over occupied </w:t>
      </w:r>
      <w:r w:rsidR="007F7E73">
        <w:t>territory</w:t>
      </w:r>
      <w:r>
        <w:t xml:space="preserve"> on 1 March, at a dangerous time for the French army, and addressed </w:t>
      </w:r>
      <w:r w:rsidR="008F57C0">
        <w:t>in detail</w:t>
      </w:r>
      <w:r>
        <w:t xml:space="preserve">, in tandem with white propaganda, the most pressing issues of the battle of Verdun. The first task of the </w:t>
      </w:r>
      <w:r>
        <w:rPr>
          <w:i/>
          <w:iCs/>
        </w:rPr>
        <w:t>Voix du Pays</w:t>
      </w:r>
      <w:r>
        <w:t xml:space="preserve"> was to explain the reasons for this offensive. A good way to publicise the </w:t>
      </w:r>
      <w:r w:rsidR="00746EBA">
        <w:t xml:space="preserve">role of the </w:t>
      </w:r>
      <w:r>
        <w:t>army was to present France as the main enemy of the Kaiser. According to the propaganda paper, Verdun was a desperate attempt to distract the German public from hea</w:t>
      </w:r>
      <w:r w:rsidR="003918F7">
        <w:t>vy casualties inflicted by the a</w:t>
      </w:r>
      <w:r>
        <w:t>llies and by famine. This diversion was supposedly going to trigger a new enthusiasm for war bonds. Lastly, it was supposed to be a warning for the Ba</w:t>
      </w:r>
      <w:r w:rsidR="003918F7">
        <w:t>lkans</w:t>
      </w:r>
      <w:r w:rsidR="007F7E73">
        <w:t>,</w:t>
      </w:r>
      <w:r w:rsidR="003918F7">
        <w:t xml:space="preserve"> where sympathies for the a</w:t>
      </w:r>
      <w:r>
        <w:t>llies were growing.</w:t>
      </w:r>
      <w:r>
        <w:rPr>
          <w:rStyle w:val="FootnoteReference"/>
        </w:rPr>
        <w:footnoteReference w:id="578"/>
      </w:r>
      <w:r>
        <w:t xml:space="preserve"> Black propaganda had a less subtle approach as the reasons for the battle were presented as a desperate need</w:t>
      </w:r>
      <w:r w:rsidR="003918F7">
        <w:t xml:space="preserve"> to obtain victory against the a</w:t>
      </w:r>
      <w:r>
        <w:t xml:space="preserve">llies and prevent a major attack </w:t>
      </w:r>
      <w:r w:rsidR="00746EBA">
        <w:t>of</w:t>
      </w:r>
      <w:r>
        <w:t xml:space="preserve"> the Entente.</w:t>
      </w:r>
      <w:r>
        <w:rPr>
          <w:rStyle w:val="FootnoteReference"/>
        </w:rPr>
        <w:footnoteReference w:id="579"/>
      </w:r>
      <w:r>
        <w:t xml:space="preserve"> </w:t>
      </w:r>
    </w:p>
    <w:p w14:paraId="457CCDC0" w14:textId="59C3241E" w:rsidR="0048510E" w:rsidRPr="00CB248F" w:rsidRDefault="0048510E" w:rsidP="00CB248F">
      <w:pPr>
        <w:jc w:val="both"/>
        <w:rPr>
          <w:lang w:val="fr-FR"/>
        </w:rPr>
      </w:pPr>
      <w:r>
        <w:t xml:space="preserve">But, despite this façade of confidence, the events were unfavourable to the French who were in a precarious position. After four days of </w:t>
      </w:r>
      <w:r w:rsidR="00746EBA">
        <w:t xml:space="preserve">the </w:t>
      </w:r>
      <w:r>
        <w:t>offensive, the Germans captured five kilometres of territory while Brandenburg soldiers took the fort of Douaumont. Such a threatening situation on the east bank of the Meuse meant a possible collapse of the front.</w:t>
      </w:r>
      <w:r>
        <w:rPr>
          <w:rStyle w:val="FootnoteReference"/>
        </w:rPr>
        <w:footnoteReference w:id="580"/>
      </w:r>
      <w:r>
        <w:t xml:space="preserve"> The symbolic loss of Douaumont was probably the most catastrophic news and had to be </w:t>
      </w:r>
      <w:r w:rsidR="008F57C0">
        <w:t>addressed carefully</w:t>
      </w:r>
      <w:r>
        <w:t>.</w:t>
      </w:r>
      <w:r w:rsidR="00CB248F">
        <w:rPr>
          <w:rStyle w:val="FootnoteReference"/>
        </w:rPr>
        <w:footnoteReference w:id="581"/>
      </w:r>
      <w:r>
        <w:t xml:space="preserve"> A technique to circumvent panic in case of bad news, similar to what was later described by Lasswell</w:t>
      </w:r>
      <w:r w:rsidR="00746EBA">
        <w:t xml:space="preserve"> as</w:t>
      </w:r>
      <w:r>
        <w:t xml:space="preserve"> using comforting facts before announcing the worst was used by the members of the SPA.</w:t>
      </w:r>
      <w:r>
        <w:rPr>
          <w:rStyle w:val="FootnoteReference"/>
        </w:rPr>
        <w:footnoteReference w:id="582"/>
      </w:r>
      <w:r>
        <w:t xml:space="preserve"> First, </w:t>
      </w:r>
      <w:r>
        <w:rPr>
          <w:i/>
          <w:iCs/>
        </w:rPr>
        <w:t xml:space="preserve">La Voix du </w:t>
      </w:r>
      <w:r w:rsidRPr="00A80DE6">
        <w:rPr>
          <w:i/>
          <w:iCs/>
        </w:rPr>
        <w:t>Pays</w:t>
      </w:r>
      <w:r>
        <w:rPr>
          <w:i/>
          <w:iCs/>
        </w:rPr>
        <w:t xml:space="preserve"> </w:t>
      </w:r>
      <w:r>
        <w:t xml:space="preserve">insisted on the solidity of the front and on the fact that defences had been holding for the </w:t>
      </w:r>
      <w:r w:rsidR="007F7E73">
        <w:t>previous</w:t>
      </w:r>
      <w:r>
        <w:t xml:space="preserve"> fifteen days. Reasonably accurate details of the German progress from 21 to 29 February were given</w:t>
      </w:r>
      <w:r w:rsidR="007F7E73">
        <w:t>,</w:t>
      </w:r>
      <w:r>
        <w:t xml:space="preserve"> but the fort of Douaumont was described as an unusable ruin destroyed by French bombardments. In fact, the fate of the stronghold was unclear as propagandists admitted</w:t>
      </w:r>
      <w:r w:rsidR="007F7E73">
        <w:t xml:space="preserve"> to</w:t>
      </w:r>
      <w:r>
        <w:t xml:space="preserve"> its capture but insisted on mentioning </w:t>
      </w:r>
      <w:r w:rsidR="008F57C0" w:rsidRPr="00DA256A">
        <w:t>engagements</w:t>
      </w:r>
      <w:r>
        <w:t xml:space="preserve"> in the surrounding area</w:t>
      </w:r>
      <w:r w:rsidR="007F7E73">
        <w:t xml:space="preserve"> to give the idea that the fort was not forever lost</w:t>
      </w:r>
      <w:r>
        <w:t>.</w:t>
      </w:r>
      <w:r>
        <w:rPr>
          <w:rStyle w:val="FootnoteReference"/>
        </w:rPr>
        <w:footnoteReference w:id="583"/>
      </w:r>
      <w:r>
        <w:t xml:space="preserve"> </w:t>
      </w:r>
      <w:r w:rsidR="00746EBA">
        <w:t>A</w:t>
      </w:r>
      <w:r>
        <w:t>n article written by General de Lacroix in covert propaganda admitted its seizure</w:t>
      </w:r>
      <w:r w:rsidR="007F7E73" w:rsidRPr="007F7E73">
        <w:t xml:space="preserve"> </w:t>
      </w:r>
      <w:r w:rsidR="007F7E73">
        <w:t>more openly</w:t>
      </w:r>
      <w:r>
        <w:t xml:space="preserve"> but </w:t>
      </w:r>
      <w:r w:rsidR="00746EBA">
        <w:t>downplayed</w:t>
      </w:r>
      <w:r>
        <w:t xml:space="preserve"> the action as a pointless move. Indeed, the officer tried to demonstrate how </w:t>
      </w:r>
      <w:r w:rsidR="007F7E73">
        <w:t xml:space="preserve">the </w:t>
      </w:r>
      <w:r>
        <w:t>fortifications had become obsolete in the present war because of the devastating effects of the artillery.</w:t>
      </w:r>
      <w:r>
        <w:rPr>
          <w:rStyle w:val="FootnoteReference"/>
        </w:rPr>
        <w:footnoteReference w:id="584"/>
      </w:r>
      <w:r>
        <w:t xml:space="preserve"> This attempt to minimise a dangerous German victory, heavily celebrated on the other side, was written in the heat of the moment and was in total contradiction </w:t>
      </w:r>
      <w:r w:rsidR="00F705DD">
        <w:t>to</w:t>
      </w:r>
      <w:r>
        <w:t xml:space="preserve"> the importance</w:t>
      </w:r>
      <w:r w:rsidR="00F705DD">
        <w:t xml:space="preserve"> </w:t>
      </w:r>
      <w:r w:rsidR="00746EBA">
        <w:t>Douaumont</w:t>
      </w:r>
      <w:r w:rsidR="00F705DD">
        <w:t xml:space="preserve"> was</w:t>
      </w:r>
      <w:r>
        <w:t xml:space="preserve"> given by the French GQG who sacrificed thousands of soldiers in vain attempts to recapture the fort.</w:t>
      </w:r>
      <w:r>
        <w:rPr>
          <w:rStyle w:val="FootnoteReference"/>
        </w:rPr>
        <w:footnoteReference w:id="585"/>
      </w:r>
      <w:r w:rsidR="00AF7174">
        <w:t xml:space="preserve"> Pro-German propaganda understood this contradiction and jumped on the opportunity to denounce it.</w:t>
      </w:r>
      <w:r w:rsidR="00AF7174">
        <w:rPr>
          <w:rStyle w:val="FootnoteReference"/>
        </w:rPr>
        <w:footnoteReference w:id="586"/>
      </w:r>
      <w:r w:rsidR="00CB248F">
        <w:t xml:space="preserve"> </w:t>
      </w:r>
      <w:r w:rsidR="00CB248F" w:rsidRPr="00CB248F">
        <w:rPr>
          <w:i/>
          <w:iCs/>
          <w:lang w:val="fr-FR"/>
        </w:rPr>
        <w:t>Le Bruxellois</w:t>
      </w:r>
      <w:r w:rsidR="00CB248F" w:rsidRPr="00CB248F">
        <w:rPr>
          <w:lang w:val="fr-FR"/>
        </w:rPr>
        <w:t xml:space="preserve"> even wrote:</w:t>
      </w:r>
    </w:p>
    <w:p w14:paraId="5FEE0721" w14:textId="22F78B5A" w:rsidR="00CB248F" w:rsidRPr="002C0F9C" w:rsidRDefault="00CB248F" w:rsidP="00CB248F">
      <w:pPr>
        <w:ind w:left="567" w:right="567"/>
        <w:jc w:val="both"/>
      </w:pPr>
      <w:r>
        <w:rPr>
          <w:lang w:val="fr-FR"/>
        </w:rPr>
        <w:t xml:space="preserve">[…]. </w:t>
      </w:r>
      <w:r w:rsidRPr="00CB248F">
        <w:rPr>
          <w:lang w:val="fr-FR"/>
        </w:rPr>
        <w:t xml:space="preserve">De la même façon que les critiques militaires français désignaient Verdun comme leur forteresse la plus moderne, et, de ce fait, imprenable, on lira probablement un de ces jours que Verdun n’était qu’une forteresse démodée et de moindre importance. </w:t>
      </w:r>
      <w:r w:rsidRPr="002C0F9C">
        <w:t>[…]</w:t>
      </w:r>
      <w:r w:rsidR="00F705DD">
        <w:t>.</w:t>
      </w:r>
      <w:r>
        <w:rPr>
          <w:rStyle w:val="FootnoteReference"/>
          <w:lang w:val="fr-FR"/>
        </w:rPr>
        <w:footnoteReference w:id="587"/>
      </w:r>
    </w:p>
    <w:p w14:paraId="499468A9" w14:textId="0A60D960" w:rsidR="0048510E" w:rsidRDefault="0048510E" w:rsidP="0048510E">
      <w:pPr>
        <w:jc w:val="both"/>
      </w:pPr>
      <w:r w:rsidRPr="002C0F9C">
        <w:t>In this gloomy context, bright examples of devotion to the cause were needed to inspire and fortify the French spirit. The ba</w:t>
      </w:r>
      <w:r>
        <w:t xml:space="preserve">ttle of the </w:t>
      </w:r>
      <w:r>
        <w:rPr>
          <w:i/>
          <w:iCs/>
        </w:rPr>
        <w:t>Bois des Caures</w:t>
      </w:r>
      <w:r>
        <w:t xml:space="preserve"> on the first days of the German offensive offered an opportunity to prove the valour of the army and gave the public a famous martyr. The wood was held for two days by Lieutenant-Colonel Driant, a member of parliament and the stepson of General Boulanger, who had stopped the advance of the German army before bein</w:t>
      </w:r>
      <w:r w:rsidR="00F705DD">
        <w:t>g</w:t>
      </w:r>
      <w:r>
        <w:t xml:space="preserve"> killed at the head of his </w:t>
      </w:r>
      <w:r>
        <w:rPr>
          <w:i/>
          <w:iCs/>
        </w:rPr>
        <w:t>chasseurs</w:t>
      </w:r>
      <w:r>
        <w:t xml:space="preserve"> on 22 February. The battalion suffered a ninety per cent loss but gave enough time to the French army to reorganise a line of defence. This heroic act was celebrated loudly in black propaga</w:t>
      </w:r>
      <w:r w:rsidR="00F705DD">
        <w:t>nda as well as in the Parisian p</w:t>
      </w:r>
      <w:r>
        <w:t>ress as a symbol of French abnegation, courage and tenacity.</w:t>
      </w:r>
      <w:r>
        <w:rPr>
          <w:rStyle w:val="FootnoteReference"/>
        </w:rPr>
        <w:footnoteReference w:id="588"/>
      </w:r>
      <w:r>
        <w:t xml:space="preserve"> An anonymous letter written by an officer present at the battle and published in the fake </w:t>
      </w:r>
      <w:r>
        <w:rPr>
          <w:i/>
          <w:iCs/>
        </w:rPr>
        <w:t xml:space="preserve">Gazette des Ardennes </w:t>
      </w:r>
      <w:r>
        <w:t>advertised heavy losses:</w:t>
      </w:r>
    </w:p>
    <w:p w14:paraId="5D7FF5E8" w14:textId="77777777" w:rsidR="0048510E" w:rsidRDefault="0048510E" w:rsidP="0048510E">
      <w:pPr>
        <w:ind w:left="567" w:right="567"/>
        <w:jc w:val="both"/>
        <w:rPr>
          <w:lang w:val="fr-FR"/>
        </w:rPr>
      </w:pPr>
      <w:r w:rsidRPr="0082217B">
        <w:rPr>
          <w:lang w:val="fr-FR"/>
        </w:rPr>
        <w:t>J’estime que dans les combats</w:t>
      </w:r>
      <w:r>
        <w:rPr>
          <w:lang w:val="fr-FR"/>
        </w:rPr>
        <w:t xml:space="preserve"> du bois des Caures, nous avons bien abattu 2,000 ennemis tués ou blessés, et je n’avance là que le chiffre le plus modeste.</w:t>
      </w:r>
      <w:r>
        <w:rPr>
          <w:rStyle w:val="FootnoteReference"/>
          <w:lang w:val="fr-FR"/>
        </w:rPr>
        <w:footnoteReference w:id="589"/>
      </w:r>
    </w:p>
    <w:p w14:paraId="1109AF4F" w14:textId="74BA1413" w:rsidR="0048510E" w:rsidRDefault="0048510E" w:rsidP="0048510E">
      <w:pPr>
        <w:jc w:val="both"/>
      </w:pPr>
      <w:r w:rsidRPr="00F73370">
        <w:t xml:space="preserve">German archives seem to back </w:t>
      </w:r>
      <w:r>
        <w:t xml:space="preserve">these numbers, also mentioned in the </w:t>
      </w:r>
      <w:r>
        <w:rPr>
          <w:i/>
          <w:iCs/>
        </w:rPr>
        <w:t xml:space="preserve">Voix du Pays </w:t>
      </w:r>
      <w:r>
        <w:t>of 21 March, but French losses were never clearly stated.</w:t>
      </w:r>
      <w:r>
        <w:rPr>
          <w:rStyle w:val="FootnoteReference"/>
        </w:rPr>
        <w:footnoteReference w:id="590"/>
      </w:r>
      <w:r>
        <w:t xml:space="preserve"> In this case, it did not matter</w:t>
      </w:r>
      <w:r w:rsidR="007F7E73">
        <w:t>,</w:t>
      </w:r>
      <w:r>
        <w:t xml:space="preserve"> as heavy casualties were admitted as a way to demonstrate the grit of the French army. But </w:t>
      </w:r>
      <w:r w:rsidR="00DA256A">
        <w:t>propagandists were anxious, as witnessed by the following</w:t>
      </w:r>
      <w:r>
        <w:t xml:space="preserve"> words of caution used to describe the future:</w:t>
      </w:r>
    </w:p>
    <w:p w14:paraId="3B971E00" w14:textId="77777777" w:rsidR="0048510E" w:rsidRDefault="0048510E" w:rsidP="0048510E">
      <w:pPr>
        <w:ind w:left="567" w:right="567"/>
        <w:jc w:val="both"/>
        <w:rPr>
          <w:lang w:val="fr-FR"/>
        </w:rPr>
      </w:pPr>
      <w:r w:rsidRPr="00BB58BD">
        <w:rPr>
          <w:lang w:val="fr-FR"/>
        </w:rPr>
        <w:t xml:space="preserve">Si, contre tout légitime espoir et contre toutes probabilités, nous devions perdre cette partie, notre ligne de défense se trouverait reportée à quelques kilomètres en arrière, mais notre force de résistance ne serait pas brisée ; ce ne serait en aucun cas une “décision” pouvant </w:t>
      </w:r>
      <w:r>
        <w:rPr>
          <w:lang w:val="fr-FR"/>
        </w:rPr>
        <w:t>influer sur l’issue du conflit.</w:t>
      </w:r>
      <w:r>
        <w:rPr>
          <w:rStyle w:val="FootnoteReference"/>
          <w:lang w:val="fr-FR"/>
        </w:rPr>
        <w:footnoteReference w:id="591"/>
      </w:r>
    </w:p>
    <w:p w14:paraId="2F66B799" w14:textId="4923C966" w:rsidR="0048510E" w:rsidRDefault="0048510E" w:rsidP="0048510E">
      <w:pPr>
        <w:jc w:val="both"/>
      </w:pPr>
      <w:r w:rsidRPr="009C5667">
        <w:t>I</w:t>
      </w:r>
      <w:r>
        <w:t>n fact, this fabricated atmosphere of optimism and heroism was not shared by the GQG where it was understood that France was fighting a crucial battle for her survival. Verdun was a strategic place and the carrier of strong symbols closely associated with the fate of the country. Aristide Briand illustrated the country’s desperation when he threatened to fire the whole of Joffre</w:t>
      </w:r>
      <w:r w:rsidR="007F7E73">
        <w:t>’ staff</w:t>
      </w:r>
      <w:r>
        <w:t xml:space="preserve"> after its officers had suggested a retreat behind the city of Verdun to organise a strong line of defence.</w:t>
      </w:r>
      <w:r>
        <w:rPr>
          <w:rStyle w:val="FootnoteReference"/>
        </w:rPr>
        <w:footnoteReference w:id="592"/>
      </w:r>
      <w:r>
        <w:t xml:space="preserve"> </w:t>
      </w:r>
    </w:p>
    <w:p w14:paraId="129E3B02" w14:textId="747ADA68" w:rsidR="0048510E" w:rsidRDefault="0048510E" w:rsidP="0048510E">
      <w:pPr>
        <w:jc w:val="both"/>
      </w:pPr>
      <w:r>
        <w:t>The events during the following weeks showed how propagandists, despite the strategies employed to divert public opinion, were dependent on the fate of the battle. Indeed, the German a</w:t>
      </w:r>
      <w:r w:rsidR="00F705DD">
        <w:t>ttack on 6 March slowed on the e</w:t>
      </w:r>
      <w:r>
        <w:t>ast bank in ord</w:t>
      </w:r>
      <w:r w:rsidR="00F705DD">
        <w:t>er to shift the efforts to the w</w:t>
      </w:r>
      <w:r>
        <w:t>est bank and silence the French artillery fire from the other side of the Meuse. The slow advance during the month failed to ca</w:t>
      </w:r>
      <w:r w:rsidR="00F705DD">
        <w:t>pture important points such as h</w:t>
      </w:r>
      <w:r>
        <w:t>ill 304, the Mort Homme and the fort of Vaux.</w:t>
      </w:r>
      <w:r>
        <w:rPr>
          <w:rStyle w:val="FootnoteReference"/>
        </w:rPr>
        <w:footnoteReference w:id="593"/>
      </w:r>
      <w:r>
        <w:t xml:space="preserve"> This stalemate was interpreted by the </w:t>
      </w:r>
      <w:r>
        <w:rPr>
          <w:i/>
          <w:iCs/>
        </w:rPr>
        <w:t>Voix du Pays</w:t>
      </w:r>
      <w:r>
        <w:t xml:space="preserve"> as a sign of exhaustion while black propaganda used carefully selected quotes from the German press to demonstrate the loss of determination.</w:t>
      </w:r>
      <w:r>
        <w:rPr>
          <w:rStyle w:val="FootnoteReference"/>
        </w:rPr>
        <w:footnoteReference w:id="594"/>
      </w:r>
      <w:r>
        <w:t xml:space="preserve"> Using negative articles from the enemy country was, according to Lasswell, the most efficient method of counter-propaganda.</w:t>
      </w:r>
      <w:r>
        <w:rPr>
          <w:rStyle w:val="FootnoteReference"/>
        </w:rPr>
        <w:footnoteReference w:id="595"/>
      </w:r>
      <w:r>
        <w:t xml:space="preserve"> The resistance of Vaux was especially celebrated since the German press had announced</w:t>
      </w:r>
      <w:r w:rsidR="00F705DD">
        <w:t xml:space="preserve"> its capture</w:t>
      </w:r>
      <w:r>
        <w:t xml:space="preserve"> too</w:t>
      </w:r>
      <w:r w:rsidR="00F705DD">
        <w:t xml:space="preserve"> quickly</w:t>
      </w:r>
      <w:r>
        <w:t>. Ironically, this premature triumph was exploited on different occasions to prove the biased nature of the enemy’s press.</w:t>
      </w:r>
      <w:r>
        <w:rPr>
          <w:rStyle w:val="FootnoteReference"/>
        </w:rPr>
        <w:footnoteReference w:id="596"/>
      </w:r>
      <w:r>
        <w:t xml:space="preserve"> Both </w:t>
      </w:r>
      <w:r>
        <w:rPr>
          <w:i/>
        </w:rPr>
        <w:t xml:space="preserve">La Voix du Pays </w:t>
      </w:r>
      <w:r>
        <w:t>and the Parisian press publicised t</w:t>
      </w:r>
      <w:r w:rsidRPr="00FC2750">
        <w:t>he</w:t>
      </w:r>
      <w:r>
        <w:t xml:space="preserve"> </w:t>
      </w:r>
      <w:r w:rsidR="008F57C0">
        <w:t>number</w:t>
      </w:r>
      <w:r>
        <w:t xml:space="preserve"> of casualties inflicted by the French during the month of March. The strategy of communication triggered reactions from </w:t>
      </w:r>
      <w:r>
        <w:rPr>
          <w:i/>
          <w:iCs/>
        </w:rPr>
        <w:t>La Gazette des Ardennes</w:t>
      </w:r>
      <w:r>
        <w:t xml:space="preserve"> where this theme was seen as a diversion hiding German successes on the ground.</w:t>
      </w:r>
      <w:r>
        <w:rPr>
          <w:rStyle w:val="FootnoteReference"/>
        </w:rPr>
        <w:footnoteReference w:id="597"/>
      </w:r>
      <w:r>
        <w:t xml:space="preserve"> However, the description of the French tactics offered by </w:t>
      </w:r>
      <w:r>
        <w:rPr>
          <w:i/>
          <w:iCs/>
        </w:rPr>
        <w:t>La Voix du Pays</w:t>
      </w:r>
      <w:r>
        <w:t xml:space="preserve"> of 21 March, which explained the politic</w:t>
      </w:r>
      <w:r w:rsidR="00447820">
        <w:t>s</w:t>
      </w:r>
      <w:r>
        <w:t xml:space="preserve"> of defence and small counter-attack, proved to be in line with reality.</w:t>
      </w:r>
      <w:r>
        <w:rPr>
          <w:rStyle w:val="FootnoteReference"/>
        </w:rPr>
        <w:footnoteReference w:id="598"/>
      </w:r>
      <w:r>
        <w:t xml:space="preserve"> </w:t>
      </w:r>
    </w:p>
    <w:p w14:paraId="5B4A67B5" w14:textId="6E8D3B15" w:rsidR="0048510E" w:rsidRDefault="0048510E" w:rsidP="0048510E">
      <w:pPr>
        <w:jc w:val="both"/>
      </w:pPr>
      <w:r>
        <w:t xml:space="preserve">The renewed efforts of the German army between 9 and 12 April were directed both at the west and the east bank but were soon replaced by local actions and </w:t>
      </w:r>
      <w:r w:rsidR="00447820" w:rsidRPr="008F57C0">
        <w:t>unsucces</w:t>
      </w:r>
      <w:r w:rsidR="008F57C0" w:rsidRPr="008F57C0">
        <w:t>s</w:t>
      </w:r>
      <w:r w:rsidR="00447820" w:rsidRPr="008F57C0">
        <w:t>fully</w:t>
      </w:r>
      <w:r w:rsidR="00746EBA">
        <w:t xml:space="preserve"> renewed attempts to capture h</w:t>
      </w:r>
      <w:r>
        <w:t>ill 304 and Mort Homme.</w:t>
      </w:r>
      <w:r>
        <w:rPr>
          <w:rStyle w:val="FootnoteReference"/>
        </w:rPr>
        <w:footnoteReference w:id="599"/>
      </w:r>
      <w:r>
        <w:t xml:space="preserve"> Despite the inability of General Nivelle to retake the fort of Douaumont, a growing sense of confidence was perceptible in </w:t>
      </w:r>
      <w:r>
        <w:rPr>
          <w:i/>
          <w:iCs/>
        </w:rPr>
        <w:t xml:space="preserve">La Voix du Pays </w:t>
      </w:r>
      <w:r>
        <w:t>where the German offensive was called a heavy failure.</w:t>
      </w:r>
      <w:r>
        <w:rPr>
          <w:rStyle w:val="FootnoteReference"/>
        </w:rPr>
        <w:footnoteReference w:id="600"/>
      </w:r>
      <w:r>
        <w:t xml:space="preserve"> This optimism probably explained why no black propaganda was produced during the month of April. The feeling that the battle of Verdun was at a turning point was also noticeable in the German press in French where the lac</w:t>
      </w:r>
      <w:r w:rsidR="005737DD">
        <w:t>k of spectacular news was weigh</w:t>
      </w:r>
      <w:r>
        <w:t>ing on the ability to exploit the army’s efforts. A shift occurred during which German propaganda focused on failed French attacks instead of German victories.</w:t>
      </w:r>
      <w:r>
        <w:rPr>
          <w:rStyle w:val="FootnoteReference"/>
        </w:rPr>
        <w:footnoteReference w:id="601"/>
      </w:r>
    </w:p>
    <w:p w14:paraId="50797C7F" w14:textId="77777777" w:rsidR="0048510E" w:rsidRDefault="0048510E" w:rsidP="0048510E">
      <w:pPr>
        <w:jc w:val="both"/>
      </w:pPr>
      <w:r>
        <w:t>However, the euphoria of French propagandists was premature at best. The beginning of May seemed full of promise and translated into optimistic articles:</w:t>
      </w:r>
    </w:p>
    <w:p w14:paraId="5FA9E3A2" w14:textId="77777777" w:rsidR="0048510E" w:rsidRDefault="0048510E" w:rsidP="0048510E">
      <w:pPr>
        <w:ind w:left="567" w:right="567"/>
        <w:jc w:val="both"/>
        <w:rPr>
          <w:lang w:val="fr-FR"/>
        </w:rPr>
      </w:pPr>
      <w:r w:rsidRPr="00A30635">
        <w:rPr>
          <w:lang w:val="fr-FR"/>
        </w:rPr>
        <w:t xml:space="preserve">La France a gagné en prestige, aux yeux du monde, tout ce que l’Allemagne a perdu. </w:t>
      </w:r>
      <w:r>
        <w:rPr>
          <w:lang w:val="fr-FR"/>
        </w:rPr>
        <w:t>Les opérations devant Verdun ne sont pas seulement un échec militaire pour l’Allemagne, c’est aussi une défaite morale aux yeux des témoins neutres.</w:t>
      </w:r>
      <w:r>
        <w:rPr>
          <w:rStyle w:val="FootnoteReference"/>
          <w:lang w:val="fr-FR"/>
        </w:rPr>
        <w:footnoteReference w:id="602"/>
      </w:r>
    </w:p>
    <w:p w14:paraId="138EB358" w14:textId="375F4A24" w:rsidR="0048510E" w:rsidRDefault="0048510E" w:rsidP="0048510E">
      <w:pPr>
        <w:jc w:val="both"/>
      </w:pPr>
      <w:r w:rsidRPr="009C129D">
        <w:t>But renewed  assaults in the middle of May saw the capture of Mort Homme, Hill 304</w:t>
      </w:r>
      <w:r>
        <w:t xml:space="preserve"> and another failure of the French to take back the fort of Douaumont. From 17 to 22 May, the French fought their way inside the stron</w:t>
      </w:r>
      <w:r w:rsidR="00746EBA">
        <w:t>ghold but were ultimately repell</w:t>
      </w:r>
      <w:r>
        <w:t>ed by the Germans.</w:t>
      </w:r>
      <w:r>
        <w:rPr>
          <w:rStyle w:val="FootnoteReference"/>
        </w:rPr>
        <w:footnoteReference w:id="603"/>
      </w:r>
      <w:r>
        <w:t xml:space="preserve"> In this dangerous context, Belgian propaganda made its first attempt to communicate with the populations in </w:t>
      </w:r>
      <w:r>
        <w:rPr>
          <w:i/>
          <w:iCs/>
        </w:rPr>
        <w:t>Le Clairon du Roi</w:t>
      </w:r>
      <w:r>
        <w:t>:</w:t>
      </w:r>
    </w:p>
    <w:p w14:paraId="6482E340" w14:textId="77777777" w:rsidR="0048510E" w:rsidRDefault="0048510E" w:rsidP="0048510E">
      <w:pPr>
        <w:ind w:left="567" w:right="567"/>
        <w:jc w:val="both"/>
        <w:rPr>
          <w:lang w:val="fr-FR"/>
        </w:rPr>
      </w:pPr>
      <w:r w:rsidRPr="00527732">
        <w:rPr>
          <w:lang w:val="fr-FR"/>
        </w:rPr>
        <w:t>Les armées du Kronprinz s’</w:t>
      </w:r>
      <w:r>
        <w:rPr>
          <w:lang w:val="fr-FR"/>
        </w:rPr>
        <w:t>épuisent en efforts dé</w:t>
      </w:r>
      <w:r w:rsidRPr="00527732">
        <w:rPr>
          <w:lang w:val="fr-FR"/>
        </w:rPr>
        <w:t>s</w:t>
      </w:r>
      <w:r>
        <w:rPr>
          <w:lang w:val="fr-FR"/>
        </w:rPr>
        <w:t>e</w:t>
      </w:r>
      <w:r w:rsidRPr="00527732">
        <w:rPr>
          <w:lang w:val="fr-FR"/>
        </w:rPr>
        <w:t>spérés devant V</w:t>
      </w:r>
      <w:r>
        <w:rPr>
          <w:lang w:val="fr-FR"/>
        </w:rPr>
        <w:t>erdun. Le colonel suisse Feyler a qualifié la bataille de Verdun de défaite allemande. Verdun est comme une plaie chez un diabétique par où la vie s’écoule peu à peu. Tandis que l’armée allemande s’affaiblit, les forces des alliés ne cessent de croître.</w:t>
      </w:r>
      <w:r>
        <w:rPr>
          <w:rStyle w:val="FootnoteReference"/>
          <w:lang w:val="fr-FR"/>
        </w:rPr>
        <w:footnoteReference w:id="604"/>
      </w:r>
    </w:p>
    <w:p w14:paraId="0C54F581" w14:textId="3047D1AC" w:rsidR="0048510E" w:rsidRPr="00F9699E" w:rsidRDefault="0048510E" w:rsidP="00905B4F">
      <w:pPr>
        <w:jc w:val="both"/>
        <w:rPr>
          <w:lang w:val="fr-FR"/>
        </w:rPr>
      </w:pPr>
      <w:r>
        <w:t xml:space="preserve">In the next issue of the </w:t>
      </w:r>
      <w:r w:rsidR="00905B4F">
        <w:t>newspaper</w:t>
      </w:r>
      <w:r>
        <w:t>, t</w:t>
      </w:r>
      <w:r w:rsidRPr="005D549A">
        <w:t>his vague statement was</w:t>
      </w:r>
      <w:r>
        <w:t xml:space="preserve"> followed</w:t>
      </w:r>
      <w:r w:rsidRPr="005D549A">
        <w:t xml:space="preserve"> </w:t>
      </w:r>
      <w:r>
        <w:t>by a similarly unclear communiqué announcing that the French army had recaptured most of the previously lost positions.</w:t>
      </w:r>
      <w:r>
        <w:rPr>
          <w:rStyle w:val="FootnoteReference"/>
        </w:rPr>
        <w:footnoteReference w:id="605"/>
      </w:r>
      <w:r>
        <w:t xml:space="preserve"> At the same time, German propaganda was advertising the recent </w:t>
      </w:r>
      <w:r w:rsidR="00447820">
        <w:t>territorial gains</w:t>
      </w:r>
      <w:r>
        <w:t xml:space="preserve"> made by the Kaiser’s army and was calling the offensive a success.</w:t>
      </w:r>
      <w:r>
        <w:rPr>
          <w:rStyle w:val="FootnoteReference"/>
        </w:rPr>
        <w:footnoteReference w:id="606"/>
      </w:r>
      <w:r>
        <w:t xml:space="preserve"> A crude argumentation devoid of facts such as the one contained in </w:t>
      </w:r>
      <w:r>
        <w:rPr>
          <w:i/>
          <w:iCs/>
        </w:rPr>
        <w:t>Le Clairon du Roi</w:t>
      </w:r>
      <w:r>
        <w:t xml:space="preserve"> was inferior to the well-informed propag</w:t>
      </w:r>
      <w:r w:rsidR="00746EBA">
        <w:t xml:space="preserve">anda produced by the Germans. A </w:t>
      </w:r>
      <w:r>
        <w:t>civilian</w:t>
      </w:r>
      <w:r w:rsidR="00746EBA">
        <w:t xml:space="preserve"> under occupation</w:t>
      </w:r>
      <w:r>
        <w:t xml:space="preserve"> would have learned nothing factual about the battle of Verdun, such as losses, positions, dates or objectives, while reading solely Belgian aerial papers. Undeniably, the team behind the Belgian newspaper failed to understand that irrational arguments or empty sentences were far less convincing than confirmed facts.</w:t>
      </w:r>
      <w:r>
        <w:rPr>
          <w:rStyle w:val="FootnoteReference"/>
        </w:rPr>
        <w:footnoteReference w:id="607"/>
      </w:r>
      <w:r w:rsidR="00447820">
        <w:t xml:space="preserve"> </w:t>
      </w:r>
      <w:r>
        <w:t xml:space="preserve">Lasswell </w:t>
      </w:r>
      <w:r w:rsidR="00447820">
        <w:t>theorised</w:t>
      </w:r>
      <w:r>
        <w:t xml:space="preserve"> that it is never wise to use material that is likely to be contradicted before the objective is reached.</w:t>
      </w:r>
      <w:r>
        <w:rPr>
          <w:rStyle w:val="FootnoteReference"/>
        </w:rPr>
        <w:footnoteReference w:id="608"/>
      </w:r>
      <w:r>
        <w:t xml:space="preserve"> This example </w:t>
      </w:r>
      <w:r w:rsidR="00F705DD">
        <w:t>re-emphasises, as highlighted in c</w:t>
      </w:r>
      <w:r>
        <w:t xml:space="preserve">hapter three, that the use of truth, even if distorted and taken out of context, was a better strategy than the widely denounced </w:t>
      </w:r>
      <w:r>
        <w:rPr>
          <w:i/>
          <w:iCs/>
        </w:rPr>
        <w:t>bourrage de crâne</w:t>
      </w:r>
      <w:r>
        <w:t>.</w:t>
      </w:r>
      <w:r>
        <w:rPr>
          <w:rStyle w:val="FootnoteReference"/>
        </w:rPr>
        <w:footnoteReference w:id="609"/>
      </w:r>
      <w:r>
        <w:t xml:space="preserve"> This fact was well-understood by the authors of </w:t>
      </w:r>
      <w:r>
        <w:rPr>
          <w:i/>
          <w:iCs/>
        </w:rPr>
        <w:t>La Voix du Pays</w:t>
      </w:r>
      <w:r>
        <w:t xml:space="preserve"> who tried to answer every German success</w:t>
      </w:r>
      <w:r w:rsidR="00F705DD">
        <w:t xml:space="preserve"> rationally</w:t>
      </w:r>
      <w:r>
        <w:t xml:space="preserve">. </w:t>
      </w:r>
      <w:r w:rsidRPr="00F9699E">
        <w:rPr>
          <w:lang w:val="fr-FR"/>
        </w:rPr>
        <w:t>The loss of Hill 304 was announced cautiously:</w:t>
      </w:r>
    </w:p>
    <w:p w14:paraId="325B14E1" w14:textId="77777777" w:rsidR="0048510E" w:rsidRDefault="0048510E" w:rsidP="0048510E">
      <w:pPr>
        <w:ind w:left="567" w:right="567"/>
        <w:jc w:val="both"/>
        <w:rPr>
          <w:lang w:val="fr-FR"/>
        </w:rPr>
      </w:pPr>
      <w:r w:rsidRPr="00F9699E">
        <w:rPr>
          <w:lang w:val="fr-FR"/>
        </w:rPr>
        <w:t xml:space="preserve">Il s’est produit sur ce front les petites fluctuations qui sont la suite inévitable d’attaques acharnées suivies de violentes contre-attaques. </w:t>
      </w:r>
      <w:r>
        <w:rPr>
          <w:lang w:val="fr-FR"/>
        </w:rPr>
        <w:t>Les Allemands sont parvenus à occuper çà et là des tranchées françaises […]</w:t>
      </w:r>
      <w:r>
        <w:rPr>
          <w:rStyle w:val="FootnoteReference"/>
          <w:lang w:val="fr-FR"/>
        </w:rPr>
        <w:footnoteReference w:id="610"/>
      </w:r>
    </w:p>
    <w:p w14:paraId="6B3CCC5C" w14:textId="77777777" w:rsidR="0048510E" w:rsidRDefault="0048510E" w:rsidP="0048510E">
      <w:pPr>
        <w:jc w:val="both"/>
      </w:pPr>
      <w:r w:rsidRPr="00F9699E">
        <w:t xml:space="preserve">The </w:t>
      </w:r>
      <w:r>
        <w:t>failure of the French to</w:t>
      </w:r>
      <w:r w:rsidRPr="00F9699E">
        <w:t xml:space="preserve"> recapture the fort of Douaumont was </w:t>
      </w:r>
      <w:r>
        <w:t xml:space="preserve">therefore </w:t>
      </w:r>
      <w:r w:rsidRPr="00F9699E">
        <w:t xml:space="preserve">transformed into </w:t>
      </w:r>
      <w:r>
        <w:t xml:space="preserve">a success, leading to the seizure of many prisoners, even if its loss the following day was acknowledged. But the worst was yet to come. </w:t>
      </w:r>
    </w:p>
    <w:p w14:paraId="1678D059" w14:textId="4D73E6DA" w:rsidR="0048510E" w:rsidRDefault="001D7A9F" w:rsidP="0048510E">
      <w:pPr>
        <w:jc w:val="both"/>
      </w:pPr>
      <w:r>
        <w:t>On 7</w:t>
      </w:r>
      <w:r w:rsidR="0048510E">
        <w:t xml:space="preserve"> June, the fort of Vaux, defended by Commandant Raynal, was captured after a week of heavy bombing and fighting. During the rest of the month, the combination of infiltration and encirclement tactics allowed the enemy to capture the village of Fleury and key terrain on both sides of the Meuse. After 23 June, a wind of panic spread through the French GQG where the situation was deemed desperate.</w:t>
      </w:r>
      <w:r w:rsidR="0048510E">
        <w:rPr>
          <w:rStyle w:val="FootnoteReference"/>
        </w:rPr>
        <w:footnoteReference w:id="611"/>
      </w:r>
      <w:r w:rsidR="0048510E">
        <w:t xml:space="preserve"> The loss of Vaux was not only a strategic disaster but also a communication nightmare. </w:t>
      </w:r>
      <w:r w:rsidR="0048510E">
        <w:rPr>
          <w:i/>
          <w:iCs/>
        </w:rPr>
        <w:t>La Gazette des Ardennes</w:t>
      </w:r>
      <w:r w:rsidR="0048510E">
        <w:t xml:space="preserve">, relatively quiet about the battle of Verdun since the initial advance, understood well its value and </w:t>
      </w:r>
      <w:r w:rsidR="00BC3DB2">
        <w:t xml:space="preserve">heavily </w:t>
      </w:r>
      <w:r w:rsidR="0048510E">
        <w:t>advertised its capture.</w:t>
      </w:r>
      <w:r w:rsidR="0048510E">
        <w:rPr>
          <w:rStyle w:val="FootnoteReference"/>
        </w:rPr>
        <w:footnoteReference w:id="612"/>
      </w:r>
      <w:r w:rsidR="0048510E">
        <w:t xml:space="preserve"> Once again, the Belgian story of a broken German assault over Verdun failed to address the problem of credibility properly. The lack of pertinence was even more obvious when compared with French propaganda</w:t>
      </w:r>
      <w:r w:rsidR="00447820">
        <w:t>,</w:t>
      </w:r>
      <w:r w:rsidR="0048510E">
        <w:t xml:space="preserve"> </w:t>
      </w:r>
      <w:r w:rsidR="00447820">
        <w:t xml:space="preserve">with </w:t>
      </w:r>
      <w:r w:rsidR="0048510E">
        <w:t>its whole first page dedicated to the loss of the stronghold.</w:t>
      </w:r>
      <w:r w:rsidR="0048510E">
        <w:rPr>
          <w:rStyle w:val="FootnoteReference"/>
        </w:rPr>
        <w:footnoteReference w:id="613"/>
      </w:r>
      <w:r w:rsidR="0048510E">
        <w:t xml:space="preserve"> The strategy used by propagandists to announce such embarrassing news was not without similarities with what had been used for the capture of Douaumont. Vaux had indeed been taken, admitted the paper, but not without tremendous German losses and the total destruction of the fort. However, admitting high casualties were signs revealing the danger of the situation. In all issues of June, the overall amount of information available about the battle of Verdun was far inferior </w:t>
      </w:r>
      <w:r w:rsidR="00447820">
        <w:t>to what it had been</w:t>
      </w:r>
      <w:r w:rsidR="0048510E">
        <w:t xml:space="preserve">. The </w:t>
      </w:r>
      <w:r w:rsidR="0048510E">
        <w:rPr>
          <w:i/>
          <w:iCs/>
        </w:rPr>
        <w:t>Voix du Pays</w:t>
      </w:r>
      <w:r w:rsidR="0048510E">
        <w:t xml:space="preserve"> unusually </w:t>
      </w:r>
      <w:r w:rsidR="00447820">
        <w:t>filled</w:t>
      </w:r>
      <w:r w:rsidR="0048510E">
        <w:t xml:space="preserve"> its space </w:t>
      </w:r>
      <w:r w:rsidR="00447820">
        <w:t>with news of</w:t>
      </w:r>
      <w:r w:rsidR="0048510E">
        <w:t xml:space="preserve"> the Belgian, British and Italian fronts and to the providential battle of Jutland, branded an </w:t>
      </w:r>
      <w:r w:rsidR="002068A7">
        <w:t>a</w:t>
      </w:r>
      <w:r w:rsidR="0048510E">
        <w:t>llied victory.</w:t>
      </w:r>
      <w:r w:rsidR="0048510E">
        <w:rPr>
          <w:rStyle w:val="FootnoteReference"/>
        </w:rPr>
        <w:footnoteReference w:id="614"/>
      </w:r>
      <w:r w:rsidR="0048510E">
        <w:t xml:space="preserve"> Two fake</w:t>
      </w:r>
      <w:r w:rsidR="00746EBA">
        <w:t xml:space="preserve"> editions of the</w:t>
      </w:r>
      <w:r w:rsidR="0048510E">
        <w:t xml:space="preserve"> </w:t>
      </w:r>
      <w:r w:rsidR="0048510E">
        <w:rPr>
          <w:i/>
          <w:iCs/>
        </w:rPr>
        <w:t xml:space="preserve">Gazette des Ardennes </w:t>
      </w:r>
      <w:r w:rsidR="0048510E">
        <w:t>were also produced during the month of June but similarly dedicated their articles to victories on other fronts or on the sea. It was as if the battle of Verdun had never happened.</w:t>
      </w:r>
      <w:r w:rsidR="0048510E">
        <w:rPr>
          <w:rStyle w:val="FootnoteReference"/>
        </w:rPr>
        <w:footnoteReference w:id="615"/>
      </w:r>
      <w:r w:rsidR="0048510E">
        <w:t xml:space="preserve"> In other words, the potential collapse of the French army was proactively excused by victories </w:t>
      </w:r>
      <w:r w:rsidR="00746EBA">
        <w:t>for</w:t>
      </w:r>
      <w:r w:rsidR="0048510E">
        <w:t xml:space="preserve"> the </w:t>
      </w:r>
      <w:r w:rsidR="00BC3DB2">
        <w:t>e</w:t>
      </w:r>
      <w:r w:rsidR="0048510E">
        <w:t>ntente on other fronts.</w:t>
      </w:r>
    </w:p>
    <w:p w14:paraId="33DDA19A" w14:textId="6D06B5C6" w:rsidR="0048510E" w:rsidRPr="00385A70" w:rsidRDefault="0048510E" w:rsidP="0048510E">
      <w:pPr>
        <w:jc w:val="both"/>
        <w:rPr>
          <w:lang w:val="fr-FR"/>
        </w:rPr>
      </w:pPr>
      <w:r>
        <w:t>Despite an attack on Souville, the Germans were now facing an assault on the Somme and thus failed to exploit their advantage in the sector of Verdun during the following month.</w:t>
      </w:r>
      <w:r>
        <w:rPr>
          <w:rStyle w:val="FootnoteReference"/>
        </w:rPr>
        <w:footnoteReference w:id="616"/>
      </w:r>
      <w:r>
        <w:t xml:space="preserve"> The relative quietness of the front, echoed in the press, was a blessing for propagandists who jumped on the allied offensive in Picardie to distract the public from the recent territorial losses in Verdun.</w:t>
      </w:r>
      <w:r>
        <w:rPr>
          <w:rStyle w:val="FootnoteReference"/>
        </w:rPr>
        <w:footnoteReference w:id="617"/>
      </w:r>
      <w:r>
        <w:t xml:space="preserve"> But the capture of the village of Fleury on 18 August by the French army triggered a new wave of optimism both in the </w:t>
      </w:r>
      <w:r>
        <w:rPr>
          <w:i/>
          <w:iCs/>
        </w:rPr>
        <w:t xml:space="preserve">Voix du Pays </w:t>
      </w:r>
      <w:r>
        <w:t xml:space="preserve">and in the </w:t>
      </w:r>
      <w:r>
        <w:rPr>
          <w:i/>
          <w:iCs/>
        </w:rPr>
        <w:t>Clairon du Roi</w:t>
      </w:r>
      <w:r>
        <w:t>.</w:t>
      </w:r>
      <w:r>
        <w:rPr>
          <w:rStyle w:val="FootnoteReference"/>
        </w:rPr>
        <w:footnoteReference w:id="618"/>
      </w:r>
      <w:r>
        <w:t xml:space="preserve"> If the Somme was now attracting more attention, Verdun was still</w:t>
      </w:r>
      <w:r w:rsidR="00BC3DB2">
        <w:t xml:space="preserve"> occasionally</w:t>
      </w:r>
      <w:r>
        <w:t xml:space="preserve"> used to promote the tenacity of the army. The month of September went quietly but October saw a massive counter-attack against the fort of Douaumont. The French army retook the fort on 24 October before arriving at the edge of Vaux.</w:t>
      </w:r>
      <w:r>
        <w:rPr>
          <w:rStyle w:val="FootnoteReference"/>
        </w:rPr>
        <w:footnoteReference w:id="619"/>
      </w:r>
      <w:r>
        <w:t xml:space="preserve"> This successful operation, in which the French suffered only light casualties, </w:t>
      </w:r>
      <w:r w:rsidR="00447820">
        <w:t>was heavily publicised</w:t>
      </w:r>
      <w:r>
        <w:t xml:space="preserve">. </w:t>
      </w:r>
      <w:r>
        <w:rPr>
          <w:i/>
          <w:iCs/>
        </w:rPr>
        <w:t>La Voix du Pays</w:t>
      </w:r>
      <w:r>
        <w:t xml:space="preserve"> of 31 October dedicated its first page to the narration of the recapture of Douaumont. The fort was not a ruin anymore but a location dominating the whole sector and offering a formidable defensive power.</w:t>
      </w:r>
      <w:r>
        <w:rPr>
          <w:rStyle w:val="FootnoteReference"/>
        </w:rPr>
        <w:footnoteReference w:id="620"/>
      </w:r>
      <w:r>
        <w:t xml:space="preserve"> David Welch said that agitation propaganda had </w:t>
      </w:r>
      <w:r w:rsidR="00BC3DB2">
        <w:t xml:space="preserve">a </w:t>
      </w:r>
      <w:r>
        <w:t>short life and needed to be renewed constantly.</w:t>
      </w:r>
      <w:r>
        <w:rPr>
          <w:rStyle w:val="FootnoteReference"/>
        </w:rPr>
        <w:footnoteReference w:id="621"/>
      </w:r>
      <w:r>
        <w:t xml:space="preserve"> The example of Douaumont demonstrated indeed that agitation propaganda was able to contradict itself within months without harming the ca</w:t>
      </w:r>
      <w:r w:rsidR="00746EBA">
        <w:t>mpaign of communication. Unsurprisingly</w:t>
      </w:r>
      <w:r>
        <w:t xml:space="preserve">, the importance of Douaumont was </w:t>
      </w:r>
      <w:r w:rsidR="00746EBA">
        <w:t>downplayed</w:t>
      </w:r>
      <w:r>
        <w:t xml:space="preserve"> with vigour by the German press. </w:t>
      </w:r>
      <w:r w:rsidRPr="00F1253B">
        <w:rPr>
          <w:lang w:val="fr-FR"/>
        </w:rPr>
        <w:t xml:space="preserve">This move was denounced </w:t>
      </w:r>
      <w:r w:rsidR="008F57C0">
        <w:rPr>
          <w:lang w:val="fr-FR"/>
        </w:rPr>
        <w:t>insistently</w:t>
      </w:r>
      <w:r w:rsidRPr="00F1253B">
        <w:rPr>
          <w:lang w:val="fr-FR"/>
        </w:rPr>
        <w:t xml:space="preserve"> </w:t>
      </w:r>
      <w:r w:rsidR="008F57C0">
        <w:rPr>
          <w:lang w:val="fr-FR"/>
        </w:rPr>
        <w:t>in</w:t>
      </w:r>
      <w:r w:rsidRPr="00F1253B">
        <w:rPr>
          <w:lang w:val="fr-FR"/>
        </w:rPr>
        <w:t xml:space="preserve"> French propaganda</w:t>
      </w:r>
      <w:r w:rsidRPr="00D478D9">
        <w:rPr>
          <w:lang w:val="fr-FR"/>
        </w:rPr>
        <w:t xml:space="preserve">: </w:t>
      </w:r>
    </w:p>
    <w:p w14:paraId="588D5E6C" w14:textId="77777777" w:rsidR="0048510E" w:rsidRPr="00D478D9" w:rsidRDefault="0048510E" w:rsidP="0048510E">
      <w:pPr>
        <w:ind w:left="567" w:right="567"/>
        <w:jc w:val="both"/>
        <w:rPr>
          <w:lang w:val="fr-FR"/>
        </w:rPr>
      </w:pPr>
      <w:r w:rsidRPr="00D478D9">
        <w:rPr>
          <w:lang w:val="fr-FR"/>
        </w:rPr>
        <w:t xml:space="preserve">Aujourd’hui la presse allemande s’ingénie à transformer la victoire française en un épisode </w:t>
      </w:r>
      <w:r>
        <w:rPr>
          <w:lang w:val="fr-FR"/>
        </w:rPr>
        <w:t>insignifiant de la grande bataille européenne. La tâche n’est pas aisée et les verbeuses considérations dont les critiques militaires allemands gratifient leurs lecteurs n’ont pas un accent bien convaincant.</w:t>
      </w:r>
      <w:r>
        <w:rPr>
          <w:rStyle w:val="FootnoteReference"/>
          <w:lang w:val="fr-FR"/>
        </w:rPr>
        <w:footnoteReference w:id="622"/>
      </w:r>
      <w:r w:rsidRPr="00D478D9">
        <w:rPr>
          <w:lang w:val="fr-FR"/>
        </w:rPr>
        <w:t xml:space="preserve"> </w:t>
      </w:r>
    </w:p>
    <w:p w14:paraId="426C2808" w14:textId="77777777" w:rsidR="0048510E" w:rsidRDefault="0048510E" w:rsidP="0048510E">
      <w:pPr>
        <w:jc w:val="both"/>
      </w:pPr>
      <w:r>
        <w:t>The French were doing nothing new in denouncing German propaganda. One of the main goals of propagandists was to induce the idea that any information contradicting propaganda was itself manipulation.</w:t>
      </w:r>
      <w:r>
        <w:rPr>
          <w:rStyle w:val="FootnoteReference"/>
        </w:rPr>
        <w:footnoteReference w:id="623"/>
      </w:r>
      <w:r>
        <w:t xml:space="preserve"> </w:t>
      </w:r>
    </w:p>
    <w:p w14:paraId="4A4889BB" w14:textId="4E8897F6" w:rsidR="0048510E" w:rsidRPr="0054086C" w:rsidRDefault="0048510E" w:rsidP="00905B4F">
      <w:pPr>
        <w:jc w:val="both"/>
      </w:pPr>
      <w:r>
        <w:t>The capture of Douaumont and the lost territories of February marked an end to Verdun as a major subject in aerial propaganda. The name itself became</w:t>
      </w:r>
      <w:r w:rsidR="00746EBA">
        <w:t xml:space="preserve"> an</w:t>
      </w:r>
      <w:r>
        <w:t xml:space="preserve"> eponym of resistance and was used on several occasions by the French and her allies in propaganda aimed at </w:t>
      </w:r>
      <w:r w:rsidR="00BC3DB2">
        <w:t xml:space="preserve">the </w:t>
      </w:r>
      <w:r>
        <w:t>occupied territories to illustrate the failure of the German army.</w:t>
      </w:r>
      <w:r w:rsidRPr="005648AD">
        <w:rPr>
          <w:rStyle w:val="FootnoteReference"/>
        </w:rPr>
        <w:t xml:space="preserve"> </w:t>
      </w:r>
      <w:r>
        <w:rPr>
          <w:rStyle w:val="FootnoteReference"/>
        </w:rPr>
        <w:footnoteReference w:id="624"/>
      </w:r>
      <w:r>
        <w:t xml:space="preserve"> A comparison between the facts and the narrative of propaganda </w:t>
      </w:r>
      <w:r w:rsidR="00905B4F">
        <w:t>newspapers</w:t>
      </w:r>
      <w:r>
        <w:t xml:space="preserve"> showed the complexity of Verdun as a subject. Bel</w:t>
      </w:r>
      <w:r w:rsidR="00746EBA">
        <w:t>gian psychological warfare, stuck</w:t>
      </w:r>
      <w:r>
        <w:t xml:space="preserve"> in a primitive argumentation, totally failed to exploit the battle. The French </w:t>
      </w:r>
      <w:r>
        <w:rPr>
          <w:i/>
          <w:iCs/>
        </w:rPr>
        <w:t>Voix du Pays</w:t>
      </w:r>
      <w:r>
        <w:t xml:space="preserve"> risked its credibility in</w:t>
      </w:r>
      <w:r w:rsidR="00BC3DB2">
        <w:t xml:space="preserve"> different</w:t>
      </w:r>
      <w:r>
        <w:t xml:space="preserve"> desperate attempts to show optimism. In this context, the eagerness of the French to denounce the German press as propaganda must be understood as an anxious attempt to protect its own reputation. The evidence also demonstrated inconsistencies in the discourse and a remorseless use of shifting arguments to promote the idea of normality on the front. However, these methods were commonly used in propaganda missions. During the battle of Verdun, the French showed skills and understanding for techniques and methods of communication. The introduction of black propaganda</w:t>
      </w:r>
      <w:r w:rsidR="00447820">
        <w:t xml:space="preserve"> in the form of a fake German newspaper</w:t>
      </w:r>
      <w:r>
        <w:t>, later understood to be an indispensable complement to its white counterpart by propaganda theory, was a mark of ingenuity and helped sabotage German psychological warfare.</w:t>
      </w:r>
      <w:r>
        <w:rPr>
          <w:rStyle w:val="FootnoteReference"/>
        </w:rPr>
        <w:footnoteReference w:id="625"/>
      </w:r>
      <w:r>
        <w:t xml:space="preserve"> Indeed, the </w:t>
      </w:r>
      <w:r w:rsidR="008F57C0">
        <w:t>disappearance</w:t>
      </w:r>
      <w:r>
        <w:t xml:space="preserve"> of the battle on the M</w:t>
      </w:r>
      <w:r w:rsidR="00746EBA">
        <w:t>euse as a subject in the German-</w:t>
      </w:r>
      <w:r>
        <w:t xml:space="preserve">controlled </w:t>
      </w:r>
      <w:r>
        <w:rPr>
          <w:i/>
          <w:iCs/>
        </w:rPr>
        <w:t xml:space="preserve">Gazette des Ardennes </w:t>
      </w:r>
      <w:r w:rsidR="00CB25E0">
        <w:t xml:space="preserve">from May 1916 </w:t>
      </w:r>
      <w:r>
        <w:t>suggested that France was slowly winning the battle for morale. But was this victory the result of aerial papers? It was clear that the transformation of Verdun’s image as a myth by propaganda raised the stakes and applied an incredible psychological pressure on the press of occupation. But it was also obvious that these benefits would have been nullified without the determination of the French army to recapture symbolic points on the battlefield. As theory highlighted, propaganda must be rooted in reality to be efficient.</w:t>
      </w:r>
      <w:r>
        <w:rPr>
          <w:rStyle w:val="FootnoteReference"/>
        </w:rPr>
        <w:footnoteReference w:id="626"/>
      </w:r>
    </w:p>
    <w:p w14:paraId="5BD8A811" w14:textId="77777777" w:rsidR="0048510E" w:rsidRDefault="0048510E" w:rsidP="0048510E">
      <w:pPr>
        <w:pStyle w:val="Heading2"/>
      </w:pPr>
      <w:bookmarkStart w:id="60" w:name="_Toc378223862"/>
      <w:bookmarkStart w:id="61" w:name="_Toc402192979"/>
      <w:r>
        <w:t>Tactical friendship on the Somme</w:t>
      </w:r>
      <w:bookmarkEnd w:id="60"/>
      <w:bookmarkEnd w:id="61"/>
    </w:p>
    <w:p w14:paraId="21B48BEA" w14:textId="46ECD7CD" w:rsidR="0048510E" w:rsidRDefault="0048510E" w:rsidP="00905B4F">
      <w:pPr>
        <w:jc w:val="both"/>
      </w:pPr>
      <w:r>
        <w:t xml:space="preserve">By the end of June 1916, French propaganda behind the lines was struggling to fight news of a renewed German offensive over Verdun. In this context, the attack of the Somme offered not only a relief </w:t>
      </w:r>
      <w:r w:rsidR="00447820">
        <w:t>but also a powerful argument</w:t>
      </w:r>
      <w:r>
        <w:t xml:space="preserve"> against German </w:t>
      </w:r>
      <w:r w:rsidR="00905B4F">
        <w:t>newspapers</w:t>
      </w:r>
      <w:r>
        <w:t xml:space="preserve"> in </w:t>
      </w:r>
      <w:r w:rsidR="00472978">
        <w:t xml:space="preserve">the </w:t>
      </w:r>
      <w:r>
        <w:t xml:space="preserve">occupied territories. For propaganda publications, the offensive was the proof that France was fit enough to endure the shock in Verdun while delivering a blow on another part of the front. This strategy invalidated the narrative of the German </w:t>
      </w:r>
      <w:r w:rsidR="00905B4F">
        <w:t>newspapers</w:t>
      </w:r>
      <w:r>
        <w:t>, present</w:t>
      </w:r>
      <w:r w:rsidR="00447820">
        <w:t>ing the main enemy as exhausted</w:t>
      </w:r>
      <w:r>
        <w:t xml:space="preserve">. In fact, the offensive </w:t>
      </w:r>
      <w:r w:rsidR="00434573">
        <w:t>in</w:t>
      </w:r>
      <w:r>
        <w:t xml:space="preserve"> Picardie redefined the objectives of propaganda on both sides. France had now to convince the population of her ability to win </w:t>
      </w:r>
      <w:r w:rsidR="00CB25E0">
        <w:t>in</w:t>
      </w:r>
      <w:r>
        <w:t xml:space="preserve"> the field</w:t>
      </w:r>
      <w:r w:rsidR="0023634D">
        <w:t>,</w:t>
      </w:r>
      <w:r>
        <w:t xml:space="preserve"> while Germany had to present the allies as aggressors.</w:t>
      </w:r>
      <w:r>
        <w:rPr>
          <w:rStyle w:val="FootnoteReference"/>
        </w:rPr>
        <w:footnoteReference w:id="627"/>
      </w:r>
      <w:r>
        <w:t xml:space="preserve"> Belgium was the other country involved in propaganda aimed at civilians behind the lines in 1916 but had no military role in the battles, having refused offensive actions. Nonetheless, Belgian propagandists had to promote the progress of her military partners in order to capitalise on their success.</w:t>
      </w:r>
    </w:p>
    <w:p w14:paraId="26684D87" w14:textId="071FB9C1" w:rsidR="0048510E" w:rsidRDefault="0048510E" w:rsidP="0048510E">
      <w:pPr>
        <w:jc w:val="both"/>
      </w:pPr>
      <w:r>
        <w:t xml:space="preserve">Readers received a hint of unusual activity in the British sector in the </w:t>
      </w:r>
      <w:r>
        <w:rPr>
          <w:i/>
          <w:iCs/>
        </w:rPr>
        <w:t>Voix du Pays</w:t>
      </w:r>
      <w:r>
        <w:t xml:space="preserve"> of 27 June 1916. Indeed, the French paper announced the intensification of the bombardment and the detonation of powerful mines below German trenches.</w:t>
      </w:r>
      <w:r>
        <w:rPr>
          <w:rStyle w:val="FootnoteReference"/>
        </w:rPr>
        <w:footnoteReference w:id="628"/>
      </w:r>
      <w:r>
        <w:t xml:space="preserve"> This information was in fact an involuntary betrayal of the seven-day artillery preparation preceding the attack on 1 July 1916.</w:t>
      </w:r>
      <w:r>
        <w:rPr>
          <w:rStyle w:val="FootnoteReference"/>
        </w:rPr>
        <w:footnoteReference w:id="629"/>
      </w:r>
      <w:r>
        <w:t xml:space="preserve"> However, no harm was done since the Germans were already aware that a great offensive was about to come, a fact suspected in May and confirmed without doubt on 24 June, and were preparing themselves for the attack.</w:t>
      </w:r>
      <w:r>
        <w:rPr>
          <w:rStyle w:val="FootnoteReference"/>
        </w:rPr>
        <w:footnoteReference w:id="630"/>
      </w:r>
      <w:r>
        <w:t xml:space="preserve"> This chapter will later show that the involuntary disclosure of information regarding British troops would later trigger tensions amongst allies.</w:t>
      </w:r>
      <w:r>
        <w:rPr>
          <w:rStyle w:val="FootnoteReference"/>
        </w:rPr>
        <w:footnoteReference w:id="631"/>
      </w:r>
      <w:r>
        <w:t xml:space="preserve"> The battle itself was unveiled to the public in the following issue of </w:t>
      </w:r>
      <w:r>
        <w:rPr>
          <w:i/>
          <w:iCs/>
        </w:rPr>
        <w:t>La Voix du Pays</w:t>
      </w:r>
      <w:r>
        <w:t xml:space="preserve">, and in the July edition of </w:t>
      </w:r>
      <w:r>
        <w:rPr>
          <w:i/>
          <w:iCs/>
        </w:rPr>
        <w:t>Le Clairon du Roi</w:t>
      </w:r>
      <w:r>
        <w:t>.</w:t>
      </w:r>
      <w:r>
        <w:rPr>
          <w:i/>
          <w:iCs/>
        </w:rPr>
        <w:t xml:space="preserve"> </w:t>
      </w:r>
      <w:r w:rsidR="00652D42">
        <w:rPr>
          <w:iCs/>
        </w:rPr>
        <w:t>Alongside Verdun, the Somme</w:t>
      </w:r>
      <w:r>
        <w:t xml:space="preserve"> remained the principal subject developed in the French publication</w:t>
      </w:r>
      <w:r w:rsidR="0023634D">
        <w:t>s</w:t>
      </w:r>
      <w:r>
        <w:t xml:space="preserve"> until the end of the year.</w:t>
      </w:r>
      <w:r>
        <w:rPr>
          <w:rStyle w:val="FootnoteReference"/>
        </w:rPr>
        <w:footnoteReference w:id="632"/>
      </w:r>
      <w:r>
        <w:t xml:space="preserve"> The narration of the battle proved difficult and incomplete; actions were led by two different countries and concentrated on small villages or localities. There was no symbolic objective such as the fort of Douaumont and the big push never materialised. In fact, the Picardie offensive was more an object of diversion for aerial propagandists who tried to divert attention</w:t>
      </w:r>
      <w:r w:rsidR="0023634D">
        <w:t xml:space="preserve"> away from</w:t>
      </w:r>
      <w:r>
        <w:t xml:space="preserve"> the </w:t>
      </w:r>
      <w:r w:rsidR="0023634D">
        <w:t xml:space="preserve">critical </w:t>
      </w:r>
      <w:r>
        <w:t>situation in Verdun. The Somme was thoroughly used to prove that the initiative was still on the allied side:</w:t>
      </w:r>
    </w:p>
    <w:p w14:paraId="0A72EC65" w14:textId="77777777" w:rsidR="0048510E" w:rsidRPr="00FC5188" w:rsidRDefault="0048510E" w:rsidP="0048510E">
      <w:pPr>
        <w:ind w:left="567" w:right="567"/>
        <w:jc w:val="both"/>
        <w:rPr>
          <w:lang w:val="fr-FR"/>
        </w:rPr>
      </w:pPr>
      <w:r w:rsidRPr="00FC5188">
        <w:rPr>
          <w:lang w:val="fr-FR"/>
        </w:rPr>
        <w:t xml:space="preserve">Depuis des mois, les stratèges en </w:t>
      </w:r>
      <w:r>
        <w:rPr>
          <w:lang w:val="fr-FR"/>
        </w:rPr>
        <w:t>chamb</w:t>
      </w:r>
      <w:r w:rsidRPr="00FC5188">
        <w:rPr>
          <w:lang w:val="fr-FR"/>
        </w:rPr>
        <w:t>r</w:t>
      </w:r>
      <w:r>
        <w:rPr>
          <w:lang w:val="fr-FR"/>
        </w:rPr>
        <w:t>e</w:t>
      </w:r>
      <w:r w:rsidRPr="00FC5188">
        <w:rPr>
          <w:lang w:val="fr-FR"/>
        </w:rPr>
        <w:t xml:space="preserve"> d’outre-Rhin s’évertuaient à démontrer à leurs lecteurs que l’armée française avait d</w:t>
      </w:r>
      <w:r>
        <w:rPr>
          <w:lang w:val="fr-FR"/>
        </w:rPr>
        <w:t>û fondre presque toute entière dans les combats de Verdun ; et le public allemand les croyait. Nous avons toujours mis en garde nos compatriotes des régions envahies contre les mensonges inconscients ou voulus de la propagande allemande.</w:t>
      </w:r>
      <w:r>
        <w:rPr>
          <w:rStyle w:val="FootnoteReference"/>
          <w:lang w:val="fr-FR"/>
        </w:rPr>
        <w:footnoteReference w:id="633"/>
      </w:r>
    </w:p>
    <w:p w14:paraId="75E38294" w14:textId="5FE425DC" w:rsidR="0048510E" w:rsidRDefault="0048510E" w:rsidP="00905B4F">
      <w:pPr>
        <w:jc w:val="both"/>
      </w:pPr>
      <w:r>
        <w:t xml:space="preserve">The Somme was not only a concerted effort between the French </w:t>
      </w:r>
      <w:r w:rsidR="00972DAB">
        <w:t xml:space="preserve">and the British to </w:t>
      </w:r>
      <w:r w:rsidR="0023634D">
        <w:t>break through</w:t>
      </w:r>
      <w:r w:rsidR="00972DAB">
        <w:t xml:space="preserve"> the w</w:t>
      </w:r>
      <w:r>
        <w:t>estern front</w:t>
      </w:r>
      <w:r w:rsidR="0023634D">
        <w:t>,</w:t>
      </w:r>
      <w:r>
        <w:t xml:space="preserve"> but also part of </w:t>
      </w:r>
      <w:r w:rsidR="00652D42">
        <w:t xml:space="preserve">a </w:t>
      </w:r>
      <w:r>
        <w:t>grand strategy realised in cooperation with the Italians and the Russians to attack the Germans on all fronts at once and induce a fatal blow.</w:t>
      </w:r>
      <w:r>
        <w:rPr>
          <w:rStyle w:val="FootnoteReference"/>
        </w:rPr>
        <w:footnoteReference w:id="634"/>
      </w:r>
      <w:r>
        <w:t xml:space="preserve"> The French </w:t>
      </w:r>
      <w:r w:rsidR="00905B4F">
        <w:t>newspaper</w:t>
      </w:r>
      <w:r>
        <w:t xml:space="preserve"> correctly advertised the international aspect but carefully left aside the idea of a quick victory.</w:t>
      </w:r>
      <w:r>
        <w:rPr>
          <w:rStyle w:val="FootnoteReference"/>
        </w:rPr>
        <w:footnoteReference w:id="635"/>
      </w:r>
      <w:r>
        <w:t xml:space="preserve"> The defeat of Germany was regularly mentioned as a certainty but propagandists had learned to be cautious about predictions concerning the immediate future.  </w:t>
      </w:r>
    </w:p>
    <w:p w14:paraId="34156832" w14:textId="6FAF830B" w:rsidR="0048510E" w:rsidRDefault="0048510E" w:rsidP="00905B4F">
      <w:pPr>
        <w:jc w:val="both"/>
      </w:pPr>
      <w:r>
        <w:t xml:space="preserve">The artillery preparation begun on 24 June lasted until the beginning of the attack but, despite one and a half million shells fired, did not manage to disrupt German lines. This failure to destroy the first trenches was due </w:t>
      </w:r>
      <w:r w:rsidR="00CB25E0">
        <w:t>to the shortage</w:t>
      </w:r>
      <w:r>
        <w:t xml:space="preserve"> of high explosive shells, replaced by shrapnel filled ammunition, but also by technical problems.</w:t>
      </w:r>
      <w:r>
        <w:rPr>
          <w:rStyle w:val="FootnoteReference"/>
        </w:rPr>
        <w:footnoteReference w:id="636"/>
      </w:r>
      <w:r>
        <w:t xml:space="preserve"> The intensity of the bombardment was, for the </w:t>
      </w:r>
      <w:r>
        <w:rPr>
          <w:i/>
          <w:iCs/>
        </w:rPr>
        <w:t>Voix du Pays,</w:t>
      </w:r>
      <w:r>
        <w:t xml:space="preserve"> a demonstration proving allied material superiority. </w:t>
      </w:r>
      <w:r w:rsidR="00DA256A">
        <w:t>Having</w:t>
      </w:r>
      <w:r>
        <w:t xml:space="preserve"> the artillery advantage, a theme used recurrently by propaganda during the battle of the Somme, induced the idea of minimal infantry losses on the side of the Entente and having the upper hand on the enemy.</w:t>
      </w:r>
      <w:r>
        <w:rPr>
          <w:rStyle w:val="FootnoteReference"/>
        </w:rPr>
        <w:footnoteReference w:id="637"/>
      </w:r>
      <w:r>
        <w:t xml:space="preserve"> The </w:t>
      </w:r>
      <w:r w:rsidR="00905B4F">
        <w:t>newspaper</w:t>
      </w:r>
      <w:r w:rsidR="005A51D9">
        <w:t>, probably trying to show military prowess,</w:t>
      </w:r>
      <w:r>
        <w:t xml:space="preserve"> announced tremendous results for the bombardments of 24 June to 1 July:</w:t>
      </w:r>
    </w:p>
    <w:p w14:paraId="344B0687" w14:textId="77777777" w:rsidR="0048510E" w:rsidRDefault="0048510E" w:rsidP="0048510E">
      <w:pPr>
        <w:ind w:left="567" w:right="567"/>
        <w:jc w:val="both"/>
        <w:rPr>
          <w:lang w:val="fr-FR"/>
        </w:rPr>
      </w:pPr>
      <w:r w:rsidRPr="009A120C">
        <w:rPr>
          <w:lang w:val="fr-FR"/>
        </w:rPr>
        <w:t xml:space="preserve">A de fréquentes reprises, les Anglais envoyèrent dans les positions des reconnaissances qui purent constater l’efficacité du </w:t>
      </w:r>
      <w:r>
        <w:rPr>
          <w:lang w:val="fr-FR"/>
        </w:rPr>
        <w:t>tir de l’artillerie lourde. Ce qui restait des retranchements allemands était rempli de cadavres ; les quelques survivants, démoralisés, se laissaient capturer sans presque faire de résistance.</w:t>
      </w:r>
      <w:r>
        <w:rPr>
          <w:rStyle w:val="FootnoteReference"/>
          <w:lang w:val="fr-FR"/>
        </w:rPr>
        <w:footnoteReference w:id="638"/>
      </w:r>
    </w:p>
    <w:p w14:paraId="3D464402" w14:textId="7D14E306" w:rsidR="0048510E" w:rsidRDefault="0048510E" w:rsidP="0048510E">
      <w:pPr>
        <w:jc w:val="both"/>
      </w:pPr>
      <w:r>
        <w:t xml:space="preserve">On 1 July, 57,470 British soldiers were killed, injured or captured, in what was going to be the most catastrophic day in the history of the army. Yet the few gains recorded during the following two weeks, such as the overrun of the line Fricourt to Mametz and the breaking through Longueval, were, </w:t>
      </w:r>
      <w:r w:rsidR="00434573">
        <w:t>unsurprisingly</w:t>
      </w:r>
      <w:r>
        <w:t>, the focus of propaganda.</w:t>
      </w:r>
      <w:r>
        <w:rPr>
          <w:rStyle w:val="FootnoteReference"/>
        </w:rPr>
        <w:footnoteReference w:id="639"/>
      </w:r>
      <w:r>
        <w:t xml:space="preserve"> </w:t>
      </w:r>
      <w:r>
        <w:rPr>
          <w:i/>
          <w:iCs/>
        </w:rPr>
        <w:t>La Voix du Pays</w:t>
      </w:r>
      <w:r>
        <w:t xml:space="preserve"> was first and foremost interested in the actions of the French army. It was said that 12,000 German prisoners had been seized in fifteen days, a correct number also echoed in Belgian propaganda, while colonial troops had progressed and captured the important village of Maisonette.</w:t>
      </w:r>
      <w:r>
        <w:rPr>
          <w:rStyle w:val="FootnoteReference"/>
        </w:rPr>
        <w:footnoteReference w:id="640"/>
      </w:r>
      <w:r>
        <w:t xml:space="preserve"> However, little was known abo</w:t>
      </w:r>
      <w:r w:rsidR="00434573">
        <w:t>ut the actions of France’s ally.</w:t>
      </w:r>
      <w:r>
        <w:t xml:space="preserve"> British casualties were kept silent, except for the fact that the situation on the field was uneasy.</w:t>
      </w:r>
      <w:r w:rsidR="000E48B9">
        <w:t xml:space="preserve"> German newspapers in Belgium talked about ‘bloody losses, exceptionally high’.</w:t>
      </w:r>
      <w:r w:rsidR="000E48B9">
        <w:rPr>
          <w:rStyle w:val="FootnoteReference"/>
        </w:rPr>
        <w:footnoteReference w:id="641"/>
      </w:r>
      <w:r>
        <w:t xml:space="preserve"> Propagandists revealed that Delville wood, fiercely disputed for two months, had been captured, lost and recaptured by the British who were facing elite German troops in an incredibly violent and bloody battle.</w:t>
      </w:r>
      <w:r>
        <w:rPr>
          <w:rStyle w:val="FootnoteReference"/>
        </w:rPr>
        <w:footnoteReference w:id="642"/>
      </w:r>
      <w:r>
        <w:t xml:space="preserve"> Admitting that </w:t>
      </w:r>
      <w:r w:rsidR="00975419">
        <w:t xml:space="preserve">engagements </w:t>
      </w:r>
      <w:r>
        <w:t xml:space="preserve">were so fierce was a rare occurrence preferably made when an ally was involved rather than when the French army was facing strong opposition. Evidence showed that aerial propaganda offered less on the reality of warfare than the </w:t>
      </w:r>
      <w:r w:rsidR="00913FF1">
        <w:t xml:space="preserve">home front </w:t>
      </w:r>
      <w:r>
        <w:t xml:space="preserve">where propaganda movies such as </w:t>
      </w:r>
      <w:r w:rsidR="00652D42">
        <w:rPr>
          <w:i/>
          <w:iCs/>
        </w:rPr>
        <w:t>The B</w:t>
      </w:r>
      <w:r>
        <w:rPr>
          <w:i/>
          <w:iCs/>
        </w:rPr>
        <w:t xml:space="preserve">attle of the Somme </w:t>
      </w:r>
      <w:r>
        <w:t xml:space="preserve">or French illustrated </w:t>
      </w:r>
      <w:r w:rsidRPr="00DA256A">
        <w:t>magazine</w:t>
      </w:r>
      <w:r w:rsidR="00CB25E0" w:rsidRPr="00DA256A">
        <w:t>s</w:t>
      </w:r>
      <w:r>
        <w:t xml:space="preserve"> </w:t>
      </w:r>
      <w:r w:rsidR="00CB25E0">
        <w:t>de</w:t>
      </w:r>
      <w:r>
        <w:t xml:space="preserve">parted </w:t>
      </w:r>
      <w:r w:rsidR="00CB25E0">
        <w:t xml:space="preserve">from </w:t>
      </w:r>
      <w:r>
        <w:t>a sterilised narrati</w:t>
      </w:r>
      <w:r w:rsidR="00CB25E0">
        <w:t>ve and included</w:t>
      </w:r>
      <w:r>
        <w:t xml:space="preserve"> suffering and </w:t>
      </w:r>
      <w:r w:rsidR="00CB25E0">
        <w:t>military</w:t>
      </w:r>
      <w:r>
        <w:t xml:space="preserve"> losses.</w:t>
      </w:r>
      <w:r>
        <w:rPr>
          <w:rStyle w:val="FootnoteReference"/>
        </w:rPr>
        <w:footnoteReference w:id="643"/>
      </w:r>
      <w:r>
        <w:t xml:space="preserve"> </w:t>
      </w:r>
    </w:p>
    <w:p w14:paraId="4BABC7D5" w14:textId="1ECDC76A" w:rsidR="0048510E" w:rsidRDefault="0048510E" w:rsidP="0048510E">
      <w:pPr>
        <w:jc w:val="both"/>
      </w:pPr>
      <w:r>
        <w:t xml:space="preserve">Despite </w:t>
      </w:r>
      <w:r w:rsidR="0023634D">
        <w:t>rapidly</w:t>
      </w:r>
      <w:r>
        <w:t xml:space="preserve"> deteriorating relations between allies, British soldiers were favourably depicted during the course of May and June 1916: </w:t>
      </w:r>
    </w:p>
    <w:p w14:paraId="181E1EAF" w14:textId="77777777" w:rsidR="0048510E" w:rsidRPr="00C83993" w:rsidRDefault="0048510E" w:rsidP="0048510E">
      <w:pPr>
        <w:ind w:left="567" w:right="567"/>
        <w:jc w:val="both"/>
        <w:rPr>
          <w:lang w:val="fr-FR"/>
        </w:rPr>
      </w:pPr>
      <w:r w:rsidRPr="00C83993">
        <w:rPr>
          <w:lang w:val="fr-FR"/>
        </w:rPr>
        <w:t>Dans toutes ces batailles, les soldats anglais ont fait preuve des plus belles qualités de bravoure, de mordant et d’esprit de sacrifice.</w:t>
      </w:r>
      <w:r>
        <w:rPr>
          <w:rStyle w:val="FootnoteReference"/>
          <w:lang w:val="fr-FR"/>
        </w:rPr>
        <w:footnoteReference w:id="644"/>
      </w:r>
    </w:p>
    <w:p w14:paraId="568BCD0E" w14:textId="6CC18EEB" w:rsidR="0048510E" w:rsidRDefault="0048510E" w:rsidP="0048510E">
      <w:pPr>
        <w:jc w:val="both"/>
      </w:pPr>
      <w:r>
        <w:t>These compliments were not dictated by friendship but by necessity. The French were angry at the British for their refusal to relieve them. The inexperience and inefficiency displayed during the disaster of July 1916 brought even greater disappointment and made the French anxious at the idea of having to rely on such poor allies.</w:t>
      </w:r>
      <w:r>
        <w:rPr>
          <w:rStyle w:val="FootnoteReference"/>
        </w:rPr>
        <w:footnoteReference w:id="645"/>
      </w:r>
      <w:r>
        <w:t xml:space="preserve"> But the role of propaganda was not dictated by feeling but by the need to protect the appearance of cordial relations between partners. It was a prerequisite used to solidify the idea of having a fighting chance and disprove the Anglophobic </w:t>
      </w:r>
      <w:r w:rsidR="0023634D">
        <w:t>view</w:t>
      </w:r>
      <w:r>
        <w:t xml:space="preserve"> published daily in the occupied territories and Germany.</w:t>
      </w:r>
      <w:r>
        <w:rPr>
          <w:rStyle w:val="FootnoteReference"/>
        </w:rPr>
        <w:footnoteReference w:id="646"/>
      </w:r>
      <w:r>
        <w:t xml:space="preserve"> </w:t>
      </w:r>
    </w:p>
    <w:p w14:paraId="4C4675BD" w14:textId="7A77CABB" w:rsidR="0048510E" w:rsidRDefault="0048510E" w:rsidP="0048510E">
      <w:pPr>
        <w:jc w:val="both"/>
      </w:pPr>
      <w:r>
        <w:t>From 15 July to 31 August, the British army struggled to chase the Germans from their second position. The capture of Pozière</w:t>
      </w:r>
      <w:r w:rsidR="00434573">
        <w:t>s</w:t>
      </w:r>
      <w:r>
        <w:t xml:space="preserve">, the key to Bapaume and </w:t>
      </w:r>
      <w:r w:rsidRPr="00DA256A">
        <w:t>Thi</w:t>
      </w:r>
      <w:r w:rsidR="00CB25E0" w:rsidRPr="00DA256A">
        <w:t>ep</w:t>
      </w:r>
      <w:r w:rsidRPr="00DA256A">
        <w:t>val</w:t>
      </w:r>
      <w:r>
        <w:t xml:space="preserve">, became one of the main objectives and was assigned to the Australians. Following days of bombardment, the assault on 22 July was </w:t>
      </w:r>
      <w:r w:rsidR="00FB1D92">
        <w:t>strongly resisted</w:t>
      </w:r>
      <w:r>
        <w:t xml:space="preserve"> by the Germans who launched counter-attacks. On 6 August, Pozière</w:t>
      </w:r>
      <w:r w:rsidR="00434573">
        <w:t>s</w:t>
      </w:r>
      <w:r>
        <w:t xml:space="preserve"> was taken for good but not without having claimed the</w:t>
      </w:r>
      <w:r w:rsidR="00FB1D92">
        <w:t xml:space="preserve"> liv</w:t>
      </w:r>
      <w:r>
        <w:t>e</w:t>
      </w:r>
      <w:r w:rsidR="00FB1D92">
        <w:t>s</w:t>
      </w:r>
      <w:r>
        <w:t xml:space="preserve"> of thousands of Australians and New-Zealanders.</w:t>
      </w:r>
      <w:r>
        <w:rPr>
          <w:rStyle w:val="FootnoteReference"/>
        </w:rPr>
        <w:footnoteReference w:id="647"/>
      </w:r>
      <w:r>
        <w:t xml:space="preserve"> The action was saluted by the </w:t>
      </w:r>
      <w:r>
        <w:rPr>
          <w:i/>
          <w:iCs/>
        </w:rPr>
        <w:t>Voix du Pays</w:t>
      </w:r>
      <w:r>
        <w:t xml:space="preserve"> which unusually described it as one of the bloodiest </w:t>
      </w:r>
      <w:r w:rsidRPr="00FB1D92">
        <w:t>battle</w:t>
      </w:r>
      <w:r w:rsidR="00FB1D92" w:rsidRPr="00FB1D92">
        <w:t>s</w:t>
      </w:r>
      <w:r>
        <w:t xml:space="preserve"> of the war.</w:t>
      </w:r>
      <w:r>
        <w:rPr>
          <w:rStyle w:val="FootnoteReference"/>
        </w:rPr>
        <w:footnoteReference w:id="648"/>
      </w:r>
      <w:r>
        <w:t xml:space="preserve"> However, the actions during the month of August, which saw the loss of 100,000 men for the conquest of 5.5 square miles, were barely mentioned in propaganda.</w:t>
      </w:r>
      <w:r>
        <w:rPr>
          <w:rStyle w:val="FootnoteReference"/>
        </w:rPr>
        <w:footnoteReference w:id="649"/>
      </w:r>
      <w:r>
        <w:t xml:space="preserve"> On the contrary, the inability to break the positions on the front was used by the </w:t>
      </w:r>
      <w:r>
        <w:rPr>
          <w:i/>
          <w:iCs/>
        </w:rPr>
        <w:t>Gazette des Ardennes</w:t>
      </w:r>
      <w:r>
        <w:t xml:space="preserve"> to claim the Somme </w:t>
      </w:r>
      <w:r w:rsidR="0023634D">
        <w:t xml:space="preserve">as </w:t>
      </w:r>
      <w:r>
        <w:t>a German victory.</w:t>
      </w:r>
      <w:r>
        <w:rPr>
          <w:rStyle w:val="FootnoteReference"/>
        </w:rPr>
        <w:footnoteReference w:id="650"/>
      </w:r>
      <w:r>
        <w:t xml:space="preserve"> </w:t>
      </w:r>
    </w:p>
    <w:p w14:paraId="461FC3D4" w14:textId="5DC4FBC5" w:rsidR="0048510E" w:rsidRDefault="0048510E" w:rsidP="0048510E">
      <w:pPr>
        <w:jc w:val="both"/>
      </w:pPr>
      <w:r>
        <w:t xml:space="preserve">The French, under Foch, launched another attack on 3 September. The first days were crowned with success, but soon difficulties, such as the impossibility to seize key objectives, </w:t>
      </w:r>
      <w:r w:rsidR="0023634D">
        <w:t>emerged</w:t>
      </w:r>
      <w:r>
        <w:t>. A renewed offensive on 12 September allowed further advances inside enemy lines but was stopped before obtaining significant gains. Part of the problem was the absence of coordination between the French and their British allie</w:t>
      </w:r>
      <w:r w:rsidR="00652D42">
        <w:t>s</w:t>
      </w:r>
      <w:r>
        <w:t>, sharing bitter feeling</w:t>
      </w:r>
      <w:r w:rsidR="00652D42">
        <w:t>s</w:t>
      </w:r>
      <w:r>
        <w:t xml:space="preserve"> for each other, who were about to try on their own a last attempt to achieve a vast breakthrough on the Somme.</w:t>
      </w:r>
      <w:r>
        <w:rPr>
          <w:rStyle w:val="FootnoteReference"/>
        </w:rPr>
        <w:footnoteReference w:id="651"/>
      </w:r>
      <w:r>
        <w:t xml:space="preserve"> This ambitious idea materialised on 15 September at the battle of Flers-Courcelette.</w:t>
      </w:r>
      <w:r>
        <w:rPr>
          <w:rStyle w:val="FootnoteReference"/>
        </w:rPr>
        <w:footnoteReference w:id="652"/>
      </w:r>
      <w:r>
        <w:t xml:space="preserve"> Despite dreadful weather, the British army took major points such as Thiepval, on 26 September as well as some of the German third positions. The lack of coordination between French and British was not made apparent by propagandists who presented the two separate offensives as another joint Franco-British effort.</w:t>
      </w:r>
      <w:r>
        <w:rPr>
          <w:rStyle w:val="FootnoteReference"/>
        </w:rPr>
        <w:footnoteReference w:id="653"/>
      </w:r>
      <w:r>
        <w:t xml:space="preserve"> The introduction of tanks by the British h</w:t>
      </w:r>
      <w:r w:rsidR="0023634D">
        <w:t>ad helped improve</w:t>
      </w:r>
      <w:r>
        <w:t xml:space="preserve"> the relation</w:t>
      </w:r>
      <w:r w:rsidR="0023634D">
        <w:t>s</w:t>
      </w:r>
      <w:r>
        <w:t xml:space="preserve"> between allies, at least temporarily, and was saluted by propaganda papers as a miracle invention.</w:t>
      </w:r>
      <w:r>
        <w:rPr>
          <w:rStyle w:val="FootnoteReference"/>
        </w:rPr>
        <w:footnoteReference w:id="654"/>
      </w:r>
      <w:r>
        <w:t xml:space="preserve"> </w:t>
      </w:r>
      <w:r>
        <w:rPr>
          <w:i/>
          <w:iCs/>
        </w:rPr>
        <w:t>Le Clairon du Roi</w:t>
      </w:r>
      <w:r>
        <w:t xml:space="preserve"> described them as a fortified car going through trenches and barb</w:t>
      </w:r>
      <w:r w:rsidR="00434573">
        <w:t xml:space="preserve">ed </w:t>
      </w:r>
      <w:r>
        <w:t xml:space="preserve">wire while </w:t>
      </w:r>
      <w:r>
        <w:rPr>
          <w:i/>
          <w:iCs/>
        </w:rPr>
        <w:t xml:space="preserve">La Voix du Pays </w:t>
      </w:r>
      <w:r>
        <w:t xml:space="preserve">claimed enthusiastically that ‘no obstacle can stop </w:t>
      </w:r>
      <w:r w:rsidR="00652D42">
        <w:t>them</w:t>
      </w:r>
      <w:r>
        <w:t>’.</w:t>
      </w:r>
      <w:r>
        <w:rPr>
          <w:rStyle w:val="FootnoteReference"/>
        </w:rPr>
        <w:footnoteReference w:id="655"/>
      </w:r>
      <w:r>
        <w:t xml:space="preserve"> But despite their tanks, it became clear by the beginning of October that the British were once more pinned </w:t>
      </w:r>
      <w:r w:rsidR="00652D42">
        <w:t xml:space="preserve">down </w:t>
      </w:r>
      <w:r>
        <w:t>on the ground. This failure, caused by exceptionally bad weather, was drown</w:t>
      </w:r>
      <w:r w:rsidR="00652D42">
        <w:t>ed</w:t>
      </w:r>
      <w:r>
        <w:t xml:space="preserve"> in lengthy articles justifying the gains of the recent days.</w:t>
      </w:r>
      <w:r>
        <w:rPr>
          <w:rStyle w:val="FootnoteReference"/>
        </w:rPr>
        <w:footnoteReference w:id="656"/>
      </w:r>
      <w:r>
        <w:t xml:space="preserve"> </w:t>
      </w:r>
    </w:p>
    <w:p w14:paraId="4BA872A2" w14:textId="4775A28E" w:rsidR="0048510E" w:rsidRDefault="0048510E" w:rsidP="0048510E">
      <w:pPr>
        <w:jc w:val="both"/>
      </w:pPr>
      <w:r>
        <w:t>The battle of the Somme was coming to an end</w:t>
      </w:r>
      <w:r w:rsidR="0023634D">
        <w:t>,</w:t>
      </w:r>
      <w:r>
        <w:t xml:space="preserve"> but caused yet another problem between the British and the French at the beginning of 1917. On 23 January, </w:t>
      </w:r>
      <w:r>
        <w:rPr>
          <w:i/>
          <w:iCs/>
        </w:rPr>
        <w:t>La Voix du Pays</w:t>
      </w:r>
      <w:r>
        <w:t xml:space="preserve"> revealed secret information about the front of Picardie:</w:t>
      </w:r>
    </w:p>
    <w:p w14:paraId="184289CB" w14:textId="77777777" w:rsidR="0048510E" w:rsidRDefault="0048510E" w:rsidP="0048510E">
      <w:pPr>
        <w:ind w:left="567" w:right="567"/>
        <w:jc w:val="both"/>
        <w:rPr>
          <w:lang w:val="fr-FR"/>
        </w:rPr>
      </w:pPr>
      <w:r w:rsidRPr="00C41A92">
        <w:rPr>
          <w:lang w:val="fr-FR"/>
        </w:rPr>
        <w:t>Les Anglais ont continué à étendre leurs lignes ; un important secteur au sud de la Somme a été occupé par leurs troupes.</w:t>
      </w:r>
      <w:r>
        <w:rPr>
          <w:lang w:val="fr-FR"/>
        </w:rPr>
        <w:t xml:space="preserve"> Les régiments français rendus libres par cette relève deviennent disponibles pour d’autres rôles.</w:t>
      </w:r>
      <w:r>
        <w:rPr>
          <w:rStyle w:val="FootnoteReference"/>
          <w:lang w:val="fr-FR"/>
        </w:rPr>
        <w:footnoteReference w:id="657"/>
      </w:r>
      <w:r w:rsidRPr="00C41A92">
        <w:rPr>
          <w:lang w:val="fr-FR"/>
        </w:rPr>
        <w:t xml:space="preserve"> </w:t>
      </w:r>
    </w:p>
    <w:p w14:paraId="4BACFB86" w14:textId="059207FC" w:rsidR="0048510E" w:rsidRPr="002A1979" w:rsidRDefault="0048510E" w:rsidP="0048510E">
      <w:pPr>
        <w:jc w:val="both"/>
      </w:pPr>
      <w:r>
        <w:t xml:space="preserve">The British army was already anxious that air propaganda might be used by spies and had little trust </w:t>
      </w:r>
      <w:r w:rsidRPr="00FB1D92">
        <w:t>in French publication</w:t>
      </w:r>
      <w:r w:rsidR="00FB1D92" w:rsidRPr="00FB1D92">
        <w:t>s</w:t>
      </w:r>
      <w:r>
        <w:t xml:space="preserve">. </w:t>
      </w:r>
      <w:r w:rsidRPr="00DA256A">
        <w:rPr>
          <w:i/>
          <w:iCs/>
        </w:rPr>
        <w:t xml:space="preserve">La Voix du Pays’ </w:t>
      </w:r>
      <w:r w:rsidRPr="00DA256A">
        <w:t>confidentiality breach was examined</w:t>
      </w:r>
      <w:r>
        <w:t xml:space="preserve"> by counter espionage agents who advised the HQ to delay propaganda distribution in the future to prevent the leak of fresh news.</w:t>
      </w:r>
      <w:r>
        <w:rPr>
          <w:rStyle w:val="FootnoteReference"/>
        </w:rPr>
        <w:footnoteReference w:id="658"/>
      </w:r>
      <w:r>
        <w:t xml:space="preserve"> This incident was also brought to the attention of General Charteris, chief </w:t>
      </w:r>
      <w:r w:rsidR="00652D42">
        <w:t>of intelligence of the British expeditionary f</w:t>
      </w:r>
      <w:r>
        <w:t>orce, who in turn complained bitterly to the French mission.</w:t>
      </w:r>
      <w:r>
        <w:rPr>
          <w:rStyle w:val="FootnoteReference"/>
        </w:rPr>
        <w:footnoteReference w:id="659"/>
      </w:r>
      <w:r>
        <w:t xml:space="preserve"> Behind demonstrations of friendship, tensions were clearly running high.</w:t>
      </w:r>
    </w:p>
    <w:p w14:paraId="463A2829" w14:textId="15DB2A64" w:rsidR="0048510E" w:rsidRDefault="0048510E" w:rsidP="0048510E">
      <w:pPr>
        <w:jc w:val="both"/>
      </w:pPr>
      <w:r>
        <w:t xml:space="preserve">Propagandists offered an evaluation of the events of 1916 and tried to defend, </w:t>
      </w:r>
      <w:r w:rsidR="0023634D">
        <w:t>in spite of</w:t>
      </w:r>
      <w:r>
        <w:t xml:space="preserve"> the sacrifices, the perspective of another year of war. Communication wise, the results of the battle of Verdun were easier to promote than the operations on the Somme. The failure of the German army to capture the city and the loss of the forts were highly publicised events with a strong emotional echo</w:t>
      </w:r>
      <w:r w:rsidR="0023634D">
        <w:t>,</w:t>
      </w:r>
      <w:r>
        <w:t xml:space="preserve"> while the gains in Picardie, a few </w:t>
      </w:r>
      <w:r w:rsidR="00652D42">
        <w:t xml:space="preserve">square </w:t>
      </w:r>
      <w:r>
        <w:t>kilometres, were being ridiculed by German propaganda.</w:t>
      </w:r>
      <w:r>
        <w:rPr>
          <w:rStyle w:val="FootnoteReference"/>
        </w:rPr>
        <w:footnoteReference w:id="660"/>
      </w:r>
      <w:r>
        <w:t xml:space="preserve"> More than ever, the military deadlock seemed impossible to resolve and offered the promise of numerous communication challenges for the year to come. </w:t>
      </w:r>
    </w:p>
    <w:p w14:paraId="402376A0" w14:textId="77777777" w:rsidR="0048510E" w:rsidRPr="006E1AD2" w:rsidRDefault="0048510E" w:rsidP="0048510E">
      <w:pPr>
        <w:pStyle w:val="Heading2"/>
      </w:pPr>
      <w:bookmarkStart w:id="62" w:name="_Toc378223863"/>
      <w:bookmarkStart w:id="63" w:name="_Toc402192980"/>
      <w:r w:rsidRPr="006E1AD2">
        <w:t>From euphoria to despair</w:t>
      </w:r>
      <w:bookmarkEnd w:id="62"/>
      <w:bookmarkEnd w:id="63"/>
    </w:p>
    <w:p w14:paraId="2B8AA7C6" w14:textId="42531655" w:rsidR="0048510E" w:rsidRDefault="0048510E" w:rsidP="00905B4F">
      <w:pPr>
        <w:jc w:val="both"/>
      </w:pPr>
      <w:r>
        <w:t>The preparation phase before t</w:t>
      </w:r>
      <w:r w:rsidRPr="00D869D9">
        <w:t>he</w:t>
      </w:r>
      <w:r>
        <w:t xml:space="preserve"> second battle of the Aisne, more famously known in France by its retrospective name of </w:t>
      </w:r>
      <w:r>
        <w:rPr>
          <w:i/>
          <w:iCs/>
        </w:rPr>
        <w:t>Le Chemin des Dames,</w:t>
      </w:r>
      <w:r>
        <w:t xml:space="preserve"> was supposed to be a secret</w:t>
      </w:r>
      <w:r w:rsidR="0023634D">
        <w:t>,</w:t>
      </w:r>
      <w:r>
        <w:t xml:space="preserve"> but had been anticipated by the </w:t>
      </w:r>
      <w:r w:rsidR="00434573">
        <w:t>home front</w:t>
      </w:r>
      <w:r>
        <w:t xml:space="preserve"> and the men in the trenches. Yet, while the Somme offensive had accidentally been leaked beforehand in the </w:t>
      </w:r>
      <w:r w:rsidR="00905B4F">
        <w:t>newspapers</w:t>
      </w:r>
      <w:r>
        <w:t xml:space="preserve"> aimed at occupied populations, nothing of the Nivelle attack </w:t>
      </w:r>
      <w:r w:rsidR="0023634D">
        <w:t>found its way into</w:t>
      </w:r>
      <w:r>
        <w:t xml:space="preserve"> the aerial media. The beginning of the battle, combined with the British operation in Arras, was saluted too quickly by the press of the </w:t>
      </w:r>
      <w:r w:rsidR="00434573">
        <w:t>home front</w:t>
      </w:r>
      <w:r w:rsidR="0023634D">
        <w:t>. Propaganda</w:t>
      </w:r>
      <w:r>
        <w:t xml:space="preserve"> aimed at invaded countries </w:t>
      </w:r>
      <w:r w:rsidR="0023634D">
        <w:t>described it as the battle with</w:t>
      </w:r>
      <w:r>
        <w:t xml:space="preserve"> the potential to bring victory. The offensive planned by General Nivelle was not only the promising final blow expected both by soldiers and civilians</w:t>
      </w:r>
      <w:r w:rsidR="0023634D">
        <w:t>,</w:t>
      </w:r>
      <w:r>
        <w:t xml:space="preserve"> but was also distracting the attention of the public from the turmoil in Russia and the unfavourable events in Italy.</w:t>
      </w:r>
      <w:r>
        <w:rPr>
          <w:rStyle w:val="FootnoteReference"/>
        </w:rPr>
        <w:footnoteReference w:id="661"/>
      </w:r>
      <w:r>
        <w:t xml:space="preserve"> However, the terrible outcome of the first week of the battle quickly led the Germans to mock the attack as a total failure in their propaganda in French.</w:t>
      </w:r>
      <w:r>
        <w:rPr>
          <w:rStyle w:val="FootnoteReference"/>
        </w:rPr>
        <w:footnoteReference w:id="662"/>
      </w:r>
      <w:r>
        <w:t xml:space="preserve"> </w:t>
      </w:r>
      <w:r w:rsidRPr="005F1CB6">
        <w:rPr>
          <w:i/>
          <w:iCs/>
        </w:rPr>
        <w:t>Le Chemin des Dames</w:t>
      </w:r>
      <w:r>
        <w:t xml:space="preserve"> not only seriously damaged the spirit of the French army but also brought civilian morale in free and occupied countries to a depth never reached before.</w:t>
      </w:r>
      <w:r w:rsidRPr="00775B24">
        <w:rPr>
          <w:rStyle w:val="FootnoteReference"/>
        </w:rPr>
        <w:t xml:space="preserve"> </w:t>
      </w:r>
      <w:r>
        <w:rPr>
          <w:rStyle w:val="FootnoteReference"/>
        </w:rPr>
        <w:footnoteReference w:id="663"/>
      </w:r>
      <w:r>
        <w:t xml:space="preserve"> The number of casualties, matched in previous offensives, was less a factor in this crisis of confidence than the lost promise of victory and the certain prolongation of the conflict.</w:t>
      </w:r>
      <w:r>
        <w:rPr>
          <w:rStyle w:val="FootnoteReference"/>
        </w:rPr>
        <w:footnoteReference w:id="664"/>
      </w:r>
      <w:r>
        <w:t xml:space="preserve"> Jean-Jacques Becker and David Stevenson even suggested that the short-war illusion finally died during the year 1917.</w:t>
      </w:r>
      <w:r>
        <w:rPr>
          <w:rStyle w:val="FootnoteReference"/>
        </w:rPr>
        <w:footnoteReference w:id="665"/>
      </w:r>
      <w:r>
        <w:t xml:space="preserve"> In these circumstances, propaganda aimed at </w:t>
      </w:r>
      <w:r w:rsidR="008E7899">
        <w:t xml:space="preserve">the </w:t>
      </w:r>
      <w:r>
        <w:t>occupied populations had the difficult task of having to restore faith in victory and fight back</w:t>
      </w:r>
      <w:r w:rsidR="00434573">
        <w:t xml:space="preserve"> against</w:t>
      </w:r>
      <w:r>
        <w:t xml:space="preserve"> German triumphalism. The French were concerned first-hand </w:t>
      </w:r>
      <w:r w:rsidR="003872E6">
        <w:t>about</w:t>
      </w:r>
      <w:r>
        <w:t xml:space="preserve"> their image as the crisis was not only military but also diplomatic and political. They had criticised the credibility of the British army but were now facing similar failure.</w:t>
      </w:r>
      <w:r>
        <w:rPr>
          <w:rStyle w:val="FootnoteReference"/>
        </w:rPr>
        <w:footnoteReference w:id="666"/>
      </w:r>
      <w:r>
        <w:t xml:space="preserve"> The Belgians also played a minor role in the battle. More than any other nation, the British suggested in their aerial </w:t>
      </w:r>
      <w:r w:rsidR="00905B4F">
        <w:t>newspaper</w:t>
      </w:r>
      <w:r>
        <w:t xml:space="preserve"> the proximity of victory. The disastrous outcome of the battle meant that they had to deal with their mistake to protect the reputation of their ally and their own credibility. British propagandists were</w:t>
      </w:r>
      <w:r w:rsidR="00434573">
        <w:t xml:space="preserve"> under</w:t>
      </w:r>
      <w:r>
        <w:t xml:space="preserve"> pressur</w:t>
      </w:r>
      <w:r w:rsidR="00434573">
        <w:t>e</w:t>
      </w:r>
      <w:r>
        <w:t xml:space="preserve"> as they knew that a collapse of the French front would have been fatal for the British who were struggling in Flanders.</w:t>
      </w:r>
      <w:r>
        <w:rPr>
          <w:rStyle w:val="FootnoteReference"/>
        </w:rPr>
        <w:footnoteReference w:id="667"/>
      </w:r>
      <w:r>
        <w:t xml:space="preserve"> Fortunately, important international events such as the American declaration of war eased the difficulty of the task. Sticking to a militarist narrative, propaganda </w:t>
      </w:r>
      <w:r w:rsidR="00905B4F">
        <w:t>newspapers</w:t>
      </w:r>
      <w:r>
        <w:t xml:space="preserve"> managed to divert the attention from the hum</w:t>
      </w:r>
      <w:r w:rsidR="0023634D">
        <w:t>an cost of the battle. A pacifist</w:t>
      </w:r>
      <w:r>
        <w:t xml:space="preserve"> reinterpretation of the Nivelle offensive would only come after the conflict.</w:t>
      </w:r>
      <w:r>
        <w:rPr>
          <w:rStyle w:val="FootnoteReference"/>
        </w:rPr>
        <w:footnoteReference w:id="668"/>
      </w:r>
      <w:r>
        <w:t xml:space="preserve"> </w:t>
      </w:r>
    </w:p>
    <w:p w14:paraId="015333FF" w14:textId="0B4E65E1" w:rsidR="0048510E" w:rsidRDefault="0048510E" w:rsidP="0048510E">
      <w:pPr>
        <w:jc w:val="both"/>
      </w:pPr>
      <w:r>
        <w:t xml:space="preserve">The </w:t>
      </w:r>
      <w:r w:rsidRPr="00DA256A">
        <w:t xml:space="preserve">morale </w:t>
      </w:r>
      <w:r w:rsidR="00DA256A">
        <w:t>crisis</w:t>
      </w:r>
      <w:r>
        <w:t xml:space="preserve"> following the battle of the </w:t>
      </w:r>
      <w:r w:rsidRPr="00496BA0">
        <w:rPr>
          <w:i/>
          <w:iCs/>
        </w:rPr>
        <w:t>Chemin des Dames</w:t>
      </w:r>
      <w:r>
        <w:t xml:space="preserve"> might have been contained if the principles of caution ruling psychological warfare had not been violated. The media of the </w:t>
      </w:r>
      <w:r w:rsidR="00434573">
        <w:t>home front</w:t>
      </w:r>
      <w:r>
        <w:t xml:space="preserve"> and allied propaganda </w:t>
      </w:r>
      <w:r w:rsidR="0023634D">
        <w:t>raised</w:t>
      </w:r>
      <w:r>
        <w:t xml:space="preserve"> the hopes of the populations in free and occupied territories</w:t>
      </w:r>
      <w:r w:rsidR="0023634D" w:rsidRPr="0023634D">
        <w:t xml:space="preserve"> </w:t>
      </w:r>
      <w:r w:rsidR="0023634D">
        <w:t>too soon and too high</w:t>
      </w:r>
      <w:r>
        <w:t xml:space="preserve">. Indeed, claims of success were printed before having received the confirmation of victory on the field. Therefore, journalists and propagandists gambled both the credibility of the French army and of their own papers. There was no doubt that the battle had to be disclosed as it was no longer a secret but over-enthusiasm should have been avoided. To understand why aerial propaganda broke this elementary principle of security, the prevailing mood in France just before the attack </w:t>
      </w:r>
      <w:r w:rsidR="0023634D">
        <w:t>has</w:t>
      </w:r>
      <w:r>
        <w:t xml:space="preserve"> to be examined. Despite being protected by mil</w:t>
      </w:r>
      <w:r w:rsidR="0023634D">
        <w:t>itary secre</w:t>
      </w:r>
      <w:r w:rsidR="00434573">
        <w:t>cy</w:t>
      </w:r>
      <w:r w:rsidR="0023634D">
        <w:t xml:space="preserve">, evidence </w:t>
      </w:r>
      <w:r w:rsidR="00FB1D92" w:rsidRPr="00FB1D92">
        <w:t>confirm</w:t>
      </w:r>
      <w:r w:rsidR="0023634D" w:rsidRPr="00FB1D92">
        <w:t>s</w:t>
      </w:r>
      <w:r>
        <w:t xml:space="preserve"> that the battle was expected by the press, the soldiers, and even the Germans. To the horror of his British allies, Nivelle had </w:t>
      </w:r>
      <w:r w:rsidR="0023634D">
        <w:t>eve</w:t>
      </w:r>
      <w:r w:rsidR="00434573">
        <w:t>n</w:t>
      </w:r>
      <w:r w:rsidR="0023634D">
        <w:t xml:space="preserve"> </w:t>
      </w:r>
      <w:r>
        <w:t>mentioned the plans in the presence of civilians.</w:t>
      </w:r>
      <w:r>
        <w:rPr>
          <w:rStyle w:val="FootnoteReference"/>
        </w:rPr>
        <w:footnoteReference w:id="669"/>
      </w:r>
      <w:r>
        <w:t xml:space="preserve"> But this lack of caution was not the only reason to suspect a new operation. Indeed, the arrival of spring was usually the moment </w:t>
      </w:r>
      <w:r w:rsidR="00972DAB">
        <w:t>to renew activities on the w</w:t>
      </w:r>
      <w:r>
        <w:t xml:space="preserve">estern front. The proximity of a </w:t>
      </w:r>
      <w:r w:rsidR="0023634D">
        <w:t>new offensive</w:t>
      </w:r>
      <w:r>
        <w:t xml:space="preserve"> was hinted </w:t>
      </w:r>
      <w:r w:rsidR="003872E6">
        <w:t xml:space="preserve">at </w:t>
      </w:r>
      <w:r>
        <w:t>by the French press which decided to launch debates concerning the conduct of war. If nothing factual came out of it, the media managed to raise the expectations of the population and the army.</w:t>
      </w:r>
      <w:r>
        <w:rPr>
          <w:rStyle w:val="FootnoteReference"/>
        </w:rPr>
        <w:footnoteReference w:id="670"/>
      </w:r>
      <w:r>
        <w:t xml:space="preserve"> The beginning of April seemed to confirm the advantage of the allies. After the American declaration of war, the </w:t>
      </w:r>
      <w:r w:rsidR="0023634D">
        <w:t>Canadian</w:t>
      </w:r>
      <w:r>
        <w:t xml:space="preserve"> offensive over the sector of Arras on 9 April 1917 was perceived as yet another comforting sign. The attack was inevitably saluted by the British </w:t>
      </w:r>
      <w:r>
        <w:rPr>
          <w:i/>
          <w:iCs/>
        </w:rPr>
        <w:t>Courrier de l’Air</w:t>
      </w:r>
      <w:r>
        <w:t xml:space="preserve"> but was also widely advertised in the French </w:t>
      </w:r>
      <w:r>
        <w:rPr>
          <w:i/>
        </w:rPr>
        <w:t>La Voix du Pays</w:t>
      </w:r>
      <w:r>
        <w:t>.</w:t>
      </w:r>
      <w:r>
        <w:rPr>
          <w:rStyle w:val="FootnoteReference"/>
        </w:rPr>
        <w:footnoteReference w:id="671"/>
      </w:r>
      <w:r>
        <w:t xml:space="preserve"> Indeed, the first day of this little-known battle was very encouraging; the British soldiers obtained their most spectacular success since the beginning of trench warfare.</w:t>
      </w:r>
      <w:r>
        <w:rPr>
          <w:rStyle w:val="FootnoteReference"/>
        </w:rPr>
        <w:footnoteReference w:id="672"/>
      </w:r>
      <w:r>
        <w:t xml:space="preserve"> Yet, one of the keys to the morale situation just before the second battle of the Aisne resided in the optimism of General Nivelle himself. The mastermind behind the offensive had displayed absolute confidence in a </w:t>
      </w:r>
      <w:r w:rsidR="0023634D">
        <w:t>quick</w:t>
      </w:r>
      <w:r>
        <w:t xml:space="preserve"> victory.</w:t>
      </w:r>
      <w:r>
        <w:rPr>
          <w:rStyle w:val="FootnoteReference"/>
        </w:rPr>
        <w:footnoteReference w:id="673"/>
      </w:r>
      <w:r>
        <w:t xml:space="preserve"> His principal objective was to pierce through the German defences, capture the city of Laon and chase the enemy in a renewed war of movement.</w:t>
      </w:r>
      <w:r>
        <w:rPr>
          <w:rStyle w:val="FootnoteReference"/>
        </w:rPr>
        <w:footnoteReference w:id="674"/>
      </w:r>
      <w:r>
        <w:t xml:space="preserve"> Despite doubts shared by politicians and generals such as Pétain and H</w:t>
      </w:r>
      <w:r w:rsidRPr="00DA256A">
        <w:t xml:space="preserve">aig, the </w:t>
      </w:r>
      <w:r w:rsidR="00DA256A" w:rsidRPr="00DA256A">
        <w:t>home front</w:t>
      </w:r>
      <w:r w:rsidRPr="00DA256A">
        <w:t xml:space="preserve"> and the men of the frontline were</w:t>
      </w:r>
      <w:r>
        <w:t xml:space="preserve"> quickly contaminated by the optimism of a charismatic man who was famous for having recaptured the fort of Douaumont at the end of the battle of Verdun.</w:t>
      </w:r>
      <w:r>
        <w:rPr>
          <w:rStyle w:val="FootnoteReference"/>
        </w:rPr>
        <w:footnoteReference w:id="675"/>
      </w:r>
      <w:r>
        <w:t xml:space="preserve"> As John Horne underlined, soldiers and civilians alike had absolute confidence in the positive outcome of the future battle.</w:t>
      </w:r>
      <w:r>
        <w:rPr>
          <w:rStyle w:val="FootnoteReference"/>
        </w:rPr>
        <w:footnoteReference w:id="676"/>
      </w:r>
      <w:r>
        <w:t xml:space="preserve"> Aerial propaganda aimed at </w:t>
      </w:r>
      <w:r w:rsidR="0023634D">
        <w:t xml:space="preserve">the </w:t>
      </w:r>
      <w:r>
        <w:t xml:space="preserve">occupied territories was </w:t>
      </w:r>
      <w:r w:rsidR="0023634D">
        <w:t>also confident in victory</w:t>
      </w:r>
      <w:r>
        <w:t>. The unusual display of faith in victory seen during the month of April demonstrated that propagandists were in line with the prevailing mood of the French society.</w:t>
      </w:r>
      <w:r>
        <w:rPr>
          <w:rStyle w:val="FootnoteReference"/>
        </w:rPr>
        <w:footnoteReference w:id="677"/>
      </w:r>
    </w:p>
    <w:p w14:paraId="6FFE61AD" w14:textId="2BCF3C99" w:rsidR="0048510E" w:rsidRPr="00FE1F40" w:rsidRDefault="0048510E" w:rsidP="0048510E">
      <w:pPr>
        <w:jc w:val="both"/>
      </w:pPr>
      <w:r>
        <w:t xml:space="preserve">Yet, the French soldiers who left their trenches on 16 April quickly realised the mistakes of the GQG. Despite ten days of bombardment, defensive positions and German morale had been left almost intact. By the end of the first day, five hundred meters of enemy ground had been conquered instead of the expected ten kilometres. Nivelle immediately understood that the offensive was doomed but ordered the continuation of the attack </w:t>
      </w:r>
      <w:r w:rsidR="003872E6">
        <w:t xml:space="preserve">nonetheless </w:t>
      </w:r>
      <w:r>
        <w:t xml:space="preserve">in the hope that the </w:t>
      </w:r>
      <w:r w:rsidRPr="00472A6F">
        <w:rPr>
          <w:i/>
          <w:iCs/>
        </w:rPr>
        <w:t>Chemin des Dames</w:t>
      </w:r>
      <w:r>
        <w:t xml:space="preserve"> would be captured.</w:t>
      </w:r>
      <w:r w:rsidRPr="004D6051">
        <w:rPr>
          <w:rStyle w:val="FootnoteReference"/>
        </w:rPr>
        <w:t xml:space="preserve"> </w:t>
      </w:r>
      <w:r>
        <w:rPr>
          <w:rStyle w:val="FootnoteReference"/>
        </w:rPr>
        <w:footnoteReference w:id="678"/>
      </w:r>
      <w:r>
        <w:t xml:space="preserve"> By 20 April, the French GQG, the British HQ and the political world were all aware that the offensive of the </w:t>
      </w:r>
      <w:r w:rsidRPr="008D44EE">
        <w:rPr>
          <w:i/>
          <w:iCs/>
        </w:rPr>
        <w:t xml:space="preserve">Chemin des Dames </w:t>
      </w:r>
      <w:r>
        <w:t>was a considerable and expensive failure.</w:t>
      </w:r>
      <w:r>
        <w:rPr>
          <w:rStyle w:val="FootnoteReference"/>
        </w:rPr>
        <w:footnoteReference w:id="679"/>
      </w:r>
      <w:r>
        <w:t xml:space="preserve"> This realisation came too late to stop </w:t>
      </w:r>
      <w:r w:rsidR="00DA256A">
        <w:t>the crisis</w:t>
      </w:r>
      <w:r>
        <w:t xml:space="preserve">. The operation had already been promoted by French and British propaganda targeted at occupied civilians. On 17 April, the French </w:t>
      </w:r>
      <w:r>
        <w:rPr>
          <w:i/>
          <w:iCs/>
        </w:rPr>
        <w:t xml:space="preserve">La Voix du </w:t>
      </w:r>
      <w:r w:rsidRPr="001C39D6">
        <w:rPr>
          <w:i/>
          <w:iCs/>
        </w:rPr>
        <w:t>Pays</w:t>
      </w:r>
      <w:r>
        <w:rPr>
          <w:i/>
          <w:iCs/>
        </w:rPr>
        <w:t xml:space="preserve"> </w:t>
      </w:r>
      <w:r>
        <w:rPr>
          <w:iCs/>
        </w:rPr>
        <w:t xml:space="preserve">had </w:t>
      </w:r>
      <w:r>
        <w:t>announced a brilliant success, thousands of prisoners and the control of all German first lines following the start of an offensive between Soissons and Reims.</w:t>
      </w:r>
      <w:r>
        <w:rPr>
          <w:rStyle w:val="FootnoteReference"/>
        </w:rPr>
        <w:footnoteReference w:id="680"/>
      </w:r>
      <w:r>
        <w:t xml:space="preserve"> Three days later, the battle made the front page of the British </w:t>
      </w:r>
      <w:r>
        <w:rPr>
          <w:i/>
          <w:iCs/>
        </w:rPr>
        <w:t xml:space="preserve">Courrier de l’Air </w:t>
      </w:r>
      <w:r>
        <w:t xml:space="preserve">in which propagandists went as far as to imply that the end of the conflict was near. </w:t>
      </w:r>
      <w:r w:rsidRPr="00C912E5">
        <w:t xml:space="preserve">A quote from the </w:t>
      </w:r>
      <w:r w:rsidR="0023634D">
        <w:t xml:space="preserve">British </w:t>
      </w:r>
      <w:r w:rsidRPr="00C912E5">
        <w:t>leader of the House of Common</w:t>
      </w:r>
      <w:r w:rsidR="0023634D">
        <w:t>s</w:t>
      </w:r>
      <w:r w:rsidRPr="00C912E5">
        <w:t xml:space="preserve">, carried </w:t>
      </w:r>
      <w:r>
        <w:t xml:space="preserve">away </w:t>
      </w:r>
      <w:r w:rsidRPr="00C912E5">
        <w:t xml:space="preserve">by the attacks and the intervention of the United States, saying </w:t>
      </w:r>
      <w:r w:rsidRPr="00541EC3">
        <w:t>‘Je crois que cette longue nuit de deuil et de misère, dans laquelle le monde fut plongé, tire à sa fin’</w:t>
      </w:r>
      <w:r w:rsidRPr="00C912E5">
        <w:t xml:space="preserve"> was reproduced. </w:t>
      </w:r>
      <w:r>
        <w:t>The same</w:t>
      </w:r>
      <w:r w:rsidRPr="00AA68E2">
        <w:t xml:space="preserve"> vague details</w:t>
      </w:r>
      <w:r>
        <w:t>,</w:t>
      </w:r>
      <w:r w:rsidRPr="00AA68E2">
        <w:t xml:space="preserve"> giving names of captured villages and numbers of prisoners of war or canons</w:t>
      </w:r>
      <w:r>
        <w:t>, as in any other offensive</w:t>
      </w:r>
      <w:r w:rsidRPr="00AA68E2">
        <w:t xml:space="preserve"> were reproduced to emphasis</w:t>
      </w:r>
      <w:r>
        <w:t>e the importance of the success.</w:t>
      </w:r>
      <w:r>
        <w:rPr>
          <w:rStyle w:val="FootnoteReference"/>
        </w:rPr>
        <w:footnoteReference w:id="681"/>
      </w:r>
    </w:p>
    <w:p w14:paraId="0CF611DA" w14:textId="7EF15E9C" w:rsidR="0048510E" w:rsidRDefault="0048510E" w:rsidP="000E48B9">
      <w:pPr>
        <w:jc w:val="both"/>
      </w:pPr>
      <w:r>
        <w:t xml:space="preserve">German propaganda in French counterattacked as soon as </w:t>
      </w:r>
      <w:r w:rsidR="0023634D">
        <w:t>the details became known</w:t>
      </w:r>
      <w:r>
        <w:t xml:space="preserve">. On </w:t>
      </w:r>
      <w:r w:rsidR="000E48B9">
        <w:t>22</w:t>
      </w:r>
      <w:r>
        <w:t xml:space="preserve"> April, the </w:t>
      </w:r>
      <w:r w:rsidR="000E48B9">
        <w:rPr>
          <w:i/>
          <w:iCs/>
        </w:rPr>
        <w:t>Belgique</w:t>
      </w:r>
      <w:r>
        <w:t xml:space="preserve"> gave a precise account of the objective and the first days of the second battle of the Aisne. The offensive also became a fight between propagandists; the German </w:t>
      </w:r>
      <w:r w:rsidR="00905B4F">
        <w:t>newspaper</w:t>
      </w:r>
      <w:r>
        <w:t xml:space="preserve"> denounced the silence of the French media.</w:t>
      </w:r>
      <w:r>
        <w:rPr>
          <w:rStyle w:val="FootnoteReference"/>
        </w:rPr>
        <w:footnoteReference w:id="682"/>
      </w:r>
      <w:r>
        <w:t xml:space="preserve"> In the following days, the role of the Parisian press was attacked further:</w:t>
      </w:r>
    </w:p>
    <w:p w14:paraId="57179BB4" w14:textId="77777777" w:rsidR="0048510E" w:rsidRDefault="0048510E" w:rsidP="0048510E">
      <w:pPr>
        <w:ind w:left="567" w:right="567"/>
        <w:jc w:val="both"/>
        <w:rPr>
          <w:lang w:val="fr-FR"/>
        </w:rPr>
      </w:pPr>
      <w:r w:rsidRPr="006B1D08">
        <w:rPr>
          <w:lang w:val="fr-FR"/>
        </w:rPr>
        <w:t xml:space="preserve">Il faut s’attendre toutefois à de nouveaux </w:t>
      </w:r>
      <w:r>
        <w:rPr>
          <w:lang w:val="fr-FR"/>
        </w:rPr>
        <w:t>et rudes assauts ; car les vastes espoirs nourris dans le peuple français par la grande presse parisienne et par certaines interviews de chefs militaires haut placés ne permettraient guère de renoncer à de nouvelles tentatives énergiques pour atteindre tout de même le but manqué.</w:t>
      </w:r>
      <w:r>
        <w:rPr>
          <w:rStyle w:val="FootnoteReference"/>
          <w:lang w:val="fr-FR"/>
        </w:rPr>
        <w:footnoteReference w:id="683"/>
      </w:r>
      <w:r>
        <w:rPr>
          <w:lang w:val="fr-FR"/>
        </w:rPr>
        <w:t xml:space="preserve"> </w:t>
      </w:r>
    </w:p>
    <w:p w14:paraId="3FBD3B7B" w14:textId="77777777" w:rsidR="0048510E" w:rsidRDefault="0048510E" w:rsidP="0048510E">
      <w:pPr>
        <w:jc w:val="both"/>
      </w:pPr>
      <w:r>
        <w:t xml:space="preserve">More disturbing were these echoes of a collapse of the fighting spirit in the French army which were printed by German propaganda in the occupied territories at the beginning of May: </w:t>
      </w:r>
    </w:p>
    <w:p w14:paraId="599FB785" w14:textId="77777777" w:rsidR="0048510E" w:rsidRDefault="0048510E" w:rsidP="0048510E">
      <w:pPr>
        <w:ind w:left="567" w:right="567"/>
        <w:jc w:val="both"/>
        <w:rPr>
          <w:lang w:val="fr-FR"/>
        </w:rPr>
      </w:pPr>
      <w:r w:rsidRPr="00EB38C1">
        <w:rPr>
          <w:lang w:val="fr-FR"/>
        </w:rPr>
        <w:t>Il res</w:t>
      </w:r>
      <w:r>
        <w:rPr>
          <w:lang w:val="fr-FR"/>
        </w:rPr>
        <w:t>s</w:t>
      </w:r>
      <w:r w:rsidRPr="00EB38C1">
        <w:rPr>
          <w:lang w:val="fr-FR"/>
        </w:rPr>
        <w:t xml:space="preserve">ort des </w:t>
      </w:r>
      <w:r>
        <w:rPr>
          <w:lang w:val="fr-FR"/>
        </w:rPr>
        <w:t>dé</w:t>
      </w:r>
      <w:r w:rsidRPr="00EB38C1">
        <w:rPr>
          <w:lang w:val="fr-FR"/>
        </w:rPr>
        <w:t xml:space="preserve">clarations de combattants </w:t>
      </w:r>
      <w:r>
        <w:rPr>
          <w:lang w:val="fr-FR"/>
        </w:rPr>
        <w:t>allemands et de prisonniers français, qui viennent de l’Aisne et de Champagne, que l’infanterie française est sérieusement désillusionnée par l’échec subi. […] En face de ces faits, peut-on en vouloir à ces fantassins, qui hésitent de se jeter contre l’inébranlable muraille de feu et de fer ? Peut-on s’étonner que les jeunes « bleuets » de la classe 17 hésitent à franchir les champs couverts des cadavres de leurs frères et de leurs pères ? Faut-il s’étonner de ce que, dans les conditions présentes, le fantassin français se demande pourquoi on l’envoie à la mort ?</w:t>
      </w:r>
      <w:r>
        <w:rPr>
          <w:rStyle w:val="FootnoteReference"/>
          <w:lang w:val="fr-FR"/>
        </w:rPr>
        <w:footnoteReference w:id="684"/>
      </w:r>
      <w:r>
        <w:rPr>
          <w:lang w:val="fr-FR"/>
        </w:rPr>
        <w:t xml:space="preserve"> </w:t>
      </w:r>
    </w:p>
    <w:p w14:paraId="5F50615A" w14:textId="64AF4C3B" w:rsidR="0048510E" w:rsidRDefault="0048510E" w:rsidP="0048510E">
      <w:pPr>
        <w:jc w:val="both"/>
      </w:pPr>
      <w:r>
        <w:t>This article was right to say that the great expectations preceding the anticipation of the Nivelle offensive had given room to an even bigger demoralisation.</w:t>
      </w:r>
      <w:r>
        <w:rPr>
          <w:rStyle w:val="FootnoteReference"/>
        </w:rPr>
        <w:footnoteReference w:id="685"/>
      </w:r>
      <w:r>
        <w:t xml:space="preserve"> The fact that Germany knew about the morale collapse of the French army has been discovered only recently but did not mean that their propagandists knew how to exploit such knowledge.</w:t>
      </w:r>
      <w:r>
        <w:rPr>
          <w:rStyle w:val="FootnoteReference"/>
        </w:rPr>
        <w:footnoteReference w:id="686"/>
      </w:r>
      <w:r>
        <w:t xml:space="preserve"> In fact, the lack of propaganda surrounding the mutinies </w:t>
      </w:r>
      <w:r w:rsidR="00434573">
        <w:t>is explained by Benjamin Ziemann,</w:t>
      </w:r>
      <w:r>
        <w:t xml:space="preserve"> </w:t>
      </w:r>
      <w:r w:rsidR="00434573">
        <w:t>who</w:t>
      </w:r>
      <w:r>
        <w:t xml:space="preserve"> </w:t>
      </w:r>
      <w:r w:rsidR="00434573">
        <w:t>highlights</w:t>
      </w:r>
      <w:r>
        <w:t xml:space="preserve"> that German officers did not perceive these events as inhibiting the offensive potential of the French army.</w:t>
      </w:r>
      <w:r>
        <w:rPr>
          <w:rStyle w:val="FootnoteReference"/>
        </w:rPr>
        <w:footnoteReference w:id="687"/>
      </w:r>
    </w:p>
    <w:p w14:paraId="29B39316" w14:textId="140EADBE" w:rsidR="0048510E" w:rsidRPr="00374CF4" w:rsidRDefault="0048510E" w:rsidP="00905B4F">
      <w:pPr>
        <w:jc w:val="both"/>
        <w:rPr>
          <w:lang w:val="fr-FR"/>
        </w:rPr>
      </w:pPr>
      <w:r>
        <w:t xml:space="preserve">The fact remained that the Nivelle offensive was a disaster. This reality was inadmissible without damaging the reputation of both </w:t>
      </w:r>
      <w:r w:rsidRPr="00DA256A">
        <w:t xml:space="preserve">the </w:t>
      </w:r>
      <w:r w:rsidR="00FB1D92" w:rsidRPr="00DA256A">
        <w:t>commander-in-</w:t>
      </w:r>
      <w:r w:rsidRPr="00DA256A">
        <w:t>chief and</w:t>
      </w:r>
      <w:r>
        <w:t xml:space="preserve"> the French army. Nivelle and his GQG understood the </w:t>
      </w:r>
      <w:r w:rsidRPr="00DA256A">
        <w:t xml:space="preserve">problem and </w:t>
      </w:r>
      <w:r w:rsidR="00FB1D92" w:rsidRPr="00DA256A">
        <w:t xml:space="preserve">had </w:t>
      </w:r>
      <w:r w:rsidRPr="00DA256A">
        <w:t>redefined the goal of the offensive</w:t>
      </w:r>
      <w:r w:rsidR="00F67388" w:rsidRPr="00DA256A">
        <w:t xml:space="preserve"> </w:t>
      </w:r>
      <w:r w:rsidR="00FB1D92" w:rsidRPr="00DA256A">
        <w:t>by</w:t>
      </w:r>
      <w:r w:rsidR="00F67388" w:rsidRPr="00DA256A">
        <w:t xml:space="preserve"> 22 April</w:t>
      </w:r>
      <w:r>
        <w:t>. The priority was reduced to captur</w:t>
      </w:r>
      <w:r w:rsidR="00FB1D92">
        <w:t>ing</w:t>
      </w:r>
      <w:r>
        <w:t xml:space="preserve"> the position of the </w:t>
      </w:r>
      <w:r w:rsidRPr="00E600A5">
        <w:rPr>
          <w:i/>
          <w:iCs/>
        </w:rPr>
        <w:t>Chemin des Dames</w:t>
      </w:r>
      <w:r>
        <w:t xml:space="preserve">. Such a change was not different from what had been done by Joffre during 1915 when he </w:t>
      </w:r>
      <w:r w:rsidRPr="00DA256A">
        <w:t>had settled for tactical success to save his reputation</w:t>
      </w:r>
      <w:r w:rsidR="00F67388" w:rsidRPr="00DA256A">
        <w:t xml:space="preserve"> on </w:t>
      </w:r>
      <w:r w:rsidR="00FB1D92" w:rsidRPr="00DA256A">
        <w:t>numerous</w:t>
      </w:r>
      <w:r w:rsidR="00F67388" w:rsidRPr="00DA256A">
        <w:t xml:space="preserve"> occasions</w:t>
      </w:r>
      <w:r w:rsidRPr="00DA256A">
        <w:t>.</w:t>
      </w:r>
      <w:r w:rsidRPr="00DA256A">
        <w:rPr>
          <w:rStyle w:val="FootnoteReference"/>
        </w:rPr>
        <w:footnoteReference w:id="688"/>
      </w:r>
      <w:r w:rsidRPr="00DA256A">
        <w:t xml:space="preserve"> After May 1917, the media of the </w:t>
      </w:r>
      <w:r w:rsidR="00DA256A" w:rsidRPr="00DA256A">
        <w:t>home front</w:t>
      </w:r>
      <w:r w:rsidRPr="00DA256A">
        <w:t xml:space="preserve"> and</w:t>
      </w:r>
      <w:r>
        <w:t xml:space="preserve"> the press aimed at the occupied territories used a common me</w:t>
      </w:r>
      <w:r w:rsidR="0023634D">
        <w:t>thod to slowly rebuild civilian</w:t>
      </w:r>
      <w:r>
        <w:t xml:space="preserve"> confidence. The battle was merged with its successors to blur the chronology and </w:t>
      </w:r>
      <w:r w:rsidR="00667A0B">
        <w:t>create</w:t>
      </w:r>
      <w:r>
        <w:t xml:space="preserve"> the idea that the events of April and May were part of </w:t>
      </w:r>
      <w:r w:rsidRPr="00DA256A">
        <w:t>a long</w:t>
      </w:r>
      <w:r w:rsidR="00434573">
        <w:t>er-</w:t>
      </w:r>
      <w:r w:rsidR="00667A0B" w:rsidRPr="00DA256A">
        <w:t>term</w:t>
      </w:r>
      <w:r>
        <w:t xml:space="preserve"> effort. Indeed, new operations had been ordered to consolidate the vulnerable positions captured during the Nivelle offensive.</w:t>
      </w:r>
      <w:r>
        <w:rPr>
          <w:rStyle w:val="FootnoteReference"/>
        </w:rPr>
        <w:footnoteReference w:id="689"/>
      </w:r>
      <w:r>
        <w:t xml:space="preserve"> This reinterpretation of the battle’s objectives meant that the press and propaganda institutions were both following and refining the manipulations of the GQG. </w:t>
      </w:r>
      <w:r w:rsidR="00667A0B">
        <w:t>In real terms</w:t>
      </w:r>
      <w:r>
        <w:t xml:space="preserve">, the generic name </w:t>
      </w:r>
      <w:r w:rsidRPr="00E600A5">
        <w:rPr>
          <w:i/>
          <w:iCs/>
        </w:rPr>
        <w:t>Chemin des Dames</w:t>
      </w:r>
      <w:r>
        <w:t xml:space="preserve"> was used in aerial propaganda until the battle of La Malmaison in November 1917 where the French </w:t>
      </w:r>
      <w:r w:rsidR="00667A0B" w:rsidRPr="00DA256A">
        <w:t>g</w:t>
      </w:r>
      <w:r w:rsidRPr="00DA256A">
        <w:t>ained</w:t>
      </w:r>
      <w:r>
        <w:t xml:space="preserve"> a significant success. The capture of the sector was saluted by </w:t>
      </w:r>
      <w:r>
        <w:rPr>
          <w:i/>
        </w:rPr>
        <w:t>Le Courrier de l’Air</w:t>
      </w:r>
      <w:r>
        <w:t xml:space="preserve"> with the title ‘</w:t>
      </w:r>
      <w:r w:rsidRPr="00F67388">
        <w:t>Le Chemin des Dames est à nous</w:t>
      </w:r>
      <w:r>
        <w:t>!’.</w:t>
      </w:r>
      <w:r>
        <w:rPr>
          <w:rStyle w:val="FootnoteReference"/>
        </w:rPr>
        <w:footnoteReference w:id="690"/>
      </w:r>
      <w:r>
        <w:t xml:space="preserve"> In essence, the British </w:t>
      </w:r>
      <w:r w:rsidR="00905B4F">
        <w:t>newspaper</w:t>
      </w:r>
      <w:r>
        <w:t xml:space="preserve"> was artificially putting the Nivelle offensive to a successful end after having dragged it for months. </w:t>
      </w:r>
      <w:r w:rsidRPr="00374CF4">
        <w:rPr>
          <w:i/>
          <w:lang w:val="fr-FR"/>
        </w:rPr>
        <w:t xml:space="preserve">La Voix du Pays </w:t>
      </w:r>
      <w:r w:rsidRPr="00374CF4">
        <w:rPr>
          <w:lang w:val="fr-FR"/>
        </w:rPr>
        <w:t>used a similar strategy:</w:t>
      </w:r>
    </w:p>
    <w:p w14:paraId="691E8137" w14:textId="77777777" w:rsidR="0048510E" w:rsidRPr="00AD67CF" w:rsidRDefault="0048510E" w:rsidP="0048510E">
      <w:pPr>
        <w:ind w:left="567" w:right="567"/>
        <w:jc w:val="both"/>
        <w:rPr>
          <w:lang w:val="fr-BE"/>
        </w:rPr>
      </w:pPr>
      <w:r w:rsidRPr="00AD67CF">
        <w:rPr>
          <w:lang w:val="fr-BE"/>
        </w:rPr>
        <w:t>[...]Ainsi le fameux Chemin des Dames, les villages de Courleçon, de Cerny-</w:t>
      </w:r>
      <w:r>
        <w:rPr>
          <w:lang w:val="fr-BE"/>
        </w:rPr>
        <w:t>en-Laonnois, d’Allies et de Chevr</w:t>
      </w:r>
      <w:r w:rsidR="006D57F2">
        <w:rPr>
          <w:lang w:val="fr-BE"/>
        </w:rPr>
        <w:t>eux</w:t>
      </w:r>
      <w:r>
        <w:rPr>
          <w:lang w:val="fr-BE"/>
        </w:rPr>
        <w:t>, dont les abords ont été le théâtre de tant de rudes combats, sont maintenant entre nos mains. L’ennemi connaissait fort bien l’importance de ces positions. C’est pour cela qu’afin de les conserver ou de reconquérir celles qu’il avait perdues, il n’a pas hésité a[sic] y employer, pendant des mois, ses meilleurs troupes. Les divisions de la garde, les divisions bavaroises et wurtembergeoises ont été sacrifiées en pure perte. Si notre victoire de la Malmaison avait besoin d’une illustration elle ne pourrait en avoir de meilleure que celle de ce résultat qu’elle vient d’atteindre.</w:t>
      </w:r>
      <w:r>
        <w:rPr>
          <w:rStyle w:val="FootnoteReference"/>
          <w:lang w:val="fr-BE"/>
        </w:rPr>
        <w:footnoteReference w:id="691"/>
      </w:r>
      <w:r w:rsidRPr="00AD67CF">
        <w:rPr>
          <w:lang w:val="fr-BE"/>
        </w:rPr>
        <w:t xml:space="preserve"> </w:t>
      </w:r>
    </w:p>
    <w:p w14:paraId="52500D18" w14:textId="65BE41B3" w:rsidR="0048510E" w:rsidRDefault="0048510E" w:rsidP="0048510E">
      <w:pPr>
        <w:jc w:val="both"/>
      </w:pPr>
      <w:r>
        <w:t xml:space="preserve">The battle was mentioned only infrequently afterwards. The </w:t>
      </w:r>
      <w:r w:rsidR="00913FF1" w:rsidRPr="00DA256A">
        <w:t>home front</w:t>
      </w:r>
      <w:r w:rsidRPr="00DA256A">
        <w:t xml:space="preserve"> also successfully managed to alter the narrative</w:t>
      </w:r>
      <w:r>
        <w:t xml:space="preserve"> surrounding the offensive. Such was the impact of the media, as Olivera </w:t>
      </w:r>
      <w:r w:rsidR="00F67388">
        <w:t>highlighted</w:t>
      </w:r>
      <w:r>
        <w:t xml:space="preserve">, that it influenced the historiography of the </w:t>
      </w:r>
      <w:r w:rsidRPr="00E600A5">
        <w:rPr>
          <w:i/>
          <w:iCs/>
        </w:rPr>
        <w:t>Chemin des Dames</w:t>
      </w:r>
      <w:r>
        <w:rPr>
          <w:i/>
          <w:iCs/>
        </w:rPr>
        <w:t>.</w:t>
      </w:r>
      <w:r>
        <w:t xml:space="preserve"> To this day, French historians either place the end of the battle after May or</w:t>
      </w:r>
      <w:r w:rsidR="0023634D">
        <w:t xml:space="preserve"> even</w:t>
      </w:r>
      <w:r>
        <w:t xml:space="preserve"> in November 1917.</w:t>
      </w:r>
      <w:r>
        <w:rPr>
          <w:rStyle w:val="FootnoteReference"/>
        </w:rPr>
        <w:footnoteReference w:id="692"/>
      </w:r>
      <w:r>
        <w:t xml:space="preserve"> </w:t>
      </w:r>
    </w:p>
    <w:p w14:paraId="6413440F" w14:textId="122BFF0F" w:rsidR="0048510E" w:rsidRDefault="0048510E" w:rsidP="0048510E">
      <w:pPr>
        <w:jc w:val="both"/>
      </w:pPr>
      <w:r>
        <w:t>The second half of 1917 saw a clear improvement of morale in free and occupied territories. The reasons for the change of mood on the home front were highlighted by John Horne who demonstrated that allied countries had</w:t>
      </w:r>
      <w:r w:rsidR="00F67388">
        <w:t xml:space="preserve"> for the first time</w:t>
      </w:r>
      <w:r>
        <w:t xml:space="preserve"> launched a coordinated propaganda campaign promoting an outright military victory.</w:t>
      </w:r>
      <w:r>
        <w:rPr>
          <w:rStyle w:val="FootnoteReference"/>
        </w:rPr>
        <w:footnoteReference w:id="693"/>
      </w:r>
      <w:r>
        <w:t xml:space="preserve"> It seems plausible to conclude that the allied press aimed at the occupied countries </w:t>
      </w:r>
      <w:r w:rsidR="0023634D">
        <w:t xml:space="preserve">had </w:t>
      </w:r>
      <w:r>
        <w:t xml:space="preserve">integrated this narrative. Its determination to transform a disaster into a success probably preserved the prestige of the </w:t>
      </w:r>
      <w:r w:rsidRPr="00DA256A">
        <w:t>French army.</w:t>
      </w:r>
      <w:r w:rsidRPr="00DA256A">
        <w:rPr>
          <w:rStyle w:val="FootnoteReference"/>
        </w:rPr>
        <w:footnoteReference w:id="694"/>
      </w:r>
    </w:p>
    <w:p w14:paraId="5226D455" w14:textId="294CCBC7" w:rsidR="0048510E" w:rsidRDefault="0048510E" w:rsidP="00CD4C7B">
      <w:pPr>
        <w:jc w:val="both"/>
      </w:pPr>
      <w:r>
        <w:t xml:space="preserve">The Nivelle offensive was both a military and a communication failure for the allies. The press aimed at the occupied territories fell victim to </w:t>
      </w:r>
      <w:r w:rsidR="0023634D">
        <w:t>the</w:t>
      </w:r>
      <w:r>
        <w:t xml:space="preserve"> widespread enthusiasm born out of the false promise </w:t>
      </w:r>
      <w:r w:rsidR="0023634D">
        <w:t>of</w:t>
      </w:r>
      <w:r>
        <w:t xml:space="preserve"> an easy victory. This lack of reserve generated false hopes among the audience targeted. As a consequence, the aerial </w:t>
      </w:r>
      <w:r w:rsidR="00905B4F">
        <w:t>newspapers</w:t>
      </w:r>
      <w:r>
        <w:t xml:space="preserve"> risked their reputation and offered powerful arguments to </w:t>
      </w:r>
      <w:r w:rsidR="00434573">
        <w:t xml:space="preserve">counter </w:t>
      </w:r>
      <w:r>
        <w:t>German propaganda in French which</w:t>
      </w:r>
      <w:r w:rsidR="00434573">
        <w:t xml:space="preserve"> had</w:t>
      </w:r>
      <w:r>
        <w:t xml:space="preserve"> considerably </w:t>
      </w:r>
      <w:r w:rsidR="0023634D">
        <w:t xml:space="preserve">demoralised </w:t>
      </w:r>
      <w:r>
        <w:t xml:space="preserve">the occupied citizen. </w:t>
      </w:r>
      <w:r w:rsidR="00CD4C7B">
        <w:t>However</w:t>
      </w:r>
      <w:r>
        <w:t xml:space="preserve">, the failure of the French army was never acknowledged and the mutinies were successfully hidden. The Nivelle offensive was merged into a larger chronological frame in order to contextualise the battle as the prelude to a long operation leading to the victory of La Malmaison in November 1917. This move successfully sabotaged the arguments of German newspapers in French and their media offensive of April and May 1917. The morale recovery observed at the end of 1917 suggests that allied propaganda aimed at occupied territories </w:t>
      </w:r>
      <w:r w:rsidR="0023634D">
        <w:t xml:space="preserve">had </w:t>
      </w:r>
      <w:r>
        <w:t xml:space="preserve">recovered from its initial failure. </w:t>
      </w:r>
    </w:p>
    <w:p w14:paraId="36AC9566" w14:textId="77777777" w:rsidR="0048510E" w:rsidRDefault="0048510E" w:rsidP="0048510E">
      <w:pPr>
        <w:pStyle w:val="Heading2"/>
      </w:pPr>
      <w:bookmarkStart w:id="64" w:name="_Toc378223864"/>
      <w:bookmarkStart w:id="65" w:name="_Toc402192981"/>
      <w:r>
        <w:t>The difficult road to victory</w:t>
      </w:r>
      <w:bookmarkEnd w:id="64"/>
      <w:bookmarkEnd w:id="65"/>
    </w:p>
    <w:p w14:paraId="15EC3FB3" w14:textId="1E2F5EC7" w:rsidR="0048510E" w:rsidRDefault="0048510E" w:rsidP="00905B4F">
      <w:pPr>
        <w:jc w:val="both"/>
      </w:pPr>
      <w:r>
        <w:t>At the beginning of 1918, the allied leaders were haunted by indecision and doubts. The lack of obvious solution</w:t>
      </w:r>
      <w:r w:rsidR="00F67388">
        <w:t>s</w:t>
      </w:r>
      <w:r>
        <w:t xml:space="preserve"> to end the conflict meant that victory was more than ever unsure. The perspective of yet another prolongation of the hostilities was perhaps the only certainty on which the military commanders agreed. The reasons for this pessimism were linked to the events of 1917 which, as David Stevenson </w:t>
      </w:r>
      <w:r w:rsidR="00F67388">
        <w:t>pointed out</w:t>
      </w:r>
      <w:r>
        <w:t>, had almost all gone wrong.</w:t>
      </w:r>
      <w:r>
        <w:rPr>
          <w:rStyle w:val="FootnoteReference"/>
        </w:rPr>
        <w:footnoteReference w:id="695"/>
      </w:r>
      <w:r>
        <w:t xml:space="preserve"> However, morale in</w:t>
      </w:r>
      <w:r w:rsidR="0023634D">
        <w:t xml:space="preserve"> the</w:t>
      </w:r>
      <w:r>
        <w:t xml:space="preserve"> occupied and free territories was actually on an ascending curve </w:t>
      </w:r>
      <w:r w:rsidRPr="00DA256A">
        <w:t xml:space="preserve">after having reached a </w:t>
      </w:r>
      <w:r w:rsidR="00667A0B" w:rsidRPr="00DA256A">
        <w:t>low</w:t>
      </w:r>
      <w:r w:rsidR="00667A0B">
        <w:t xml:space="preserve"> point</w:t>
      </w:r>
      <w:r>
        <w:t xml:space="preserve"> during the previous year. It was far from the optimism displayed at the beginning of the war but the </w:t>
      </w:r>
      <w:r w:rsidR="00667A0B">
        <w:t>scars</w:t>
      </w:r>
      <w:r>
        <w:t xml:space="preserve"> of the terrible blows suffered after the </w:t>
      </w:r>
      <w:r w:rsidRPr="001F70EE">
        <w:rPr>
          <w:i/>
          <w:iCs/>
        </w:rPr>
        <w:t>Chemin des Dames</w:t>
      </w:r>
      <w:r>
        <w:t xml:space="preserve"> and the offensives in Flanders </w:t>
      </w:r>
      <w:r w:rsidR="0023634D">
        <w:t>was</w:t>
      </w:r>
      <w:r>
        <w:t xml:space="preserve"> </w:t>
      </w:r>
      <w:r w:rsidR="00F67388">
        <w:t>healed</w:t>
      </w:r>
      <w:r>
        <w:t>.</w:t>
      </w:r>
      <w:r>
        <w:rPr>
          <w:rStyle w:val="FootnoteReference"/>
        </w:rPr>
        <w:footnoteReference w:id="696"/>
      </w:r>
      <w:r>
        <w:t xml:space="preserve"> The actions of the British and French governments </w:t>
      </w:r>
      <w:r w:rsidR="00667A0B">
        <w:t xml:space="preserve">reflected this. </w:t>
      </w:r>
      <w:r w:rsidR="00DA256A">
        <w:t xml:space="preserve">John Horne argued that the Allies launched </w:t>
      </w:r>
      <w:r w:rsidR="001B3FFB">
        <w:t xml:space="preserve">successful </w:t>
      </w:r>
      <w:r>
        <w:t xml:space="preserve">coordinated governmental propaganda operations promoting victory </w:t>
      </w:r>
      <w:r w:rsidR="001B3FFB">
        <w:t>in the middle of 1917</w:t>
      </w:r>
      <w:r>
        <w:t>.</w:t>
      </w:r>
      <w:r>
        <w:rPr>
          <w:rStyle w:val="FootnoteReference"/>
        </w:rPr>
        <w:footnoteReference w:id="697"/>
      </w:r>
      <w:r>
        <w:t xml:space="preserve"> The </w:t>
      </w:r>
      <w:r w:rsidR="00AD182A">
        <w:t>subsequent return</w:t>
      </w:r>
      <w:r>
        <w:t xml:space="preserve"> of confidence came</w:t>
      </w:r>
      <w:r w:rsidR="00AD182A">
        <w:t xml:space="preserve"> in s</w:t>
      </w:r>
      <w:r>
        <w:t>pite</w:t>
      </w:r>
      <w:r w:rsidR="00AD182A">
        <w:t xml:space="preserve"> of</w:t>
      </w:r>
      <w:r>
        <w:t xml:space="preserve"> the fact that the HQ of the armies, but also the Parisian press and allied propagandists writing for the occupied p</w:t>
      </w:r>
      <w:r w:rsidR="00AD182A">
        <w:t>opulations</w:t>
      </w:r>
      <w:r>
        <w:t xml:space="preserve"> were well aware of a possible German assault on </w:t>
      </w:r>
      <w:r w:rsidR="00972DAB">
        <w:t>the w</w:t>
      </w:r>
      <w:r>
        <w:t>estern front.</w:t>
      </w:r>
      <w:r>
        <w:rPr>
          <w:rStyle w:val="FootnoteReference"/>
        </w:rPr>
        <w:footnoteReference w:id="698"/>
      </w:r>
      <w:r>
        <w:t xml:space="preserve"> In early March 1918, the Belgian </w:t>
      </w:r>
      <w:r>
        <w:rPr>
          <w:i/>
          <w:iCs/>
        </w:rPr>
        <w:t>La Lettre du Soldat</w:t>
      </w:r>
      <w:r>
        <w:t xml:space="preserve"> prophesised an enemy offensive but offered reassurances about the outcome. Propagandists wrote that the enemy had the resources to modify the front on a few kilometres</w:t>
      </w:r>
      <w:r w:rsidR="00F67388">
        <w:t xml:space="preserve"> at most</w:t>
      </w:r>
      <w:r>
        <w:t xml:space="preserve">. To confirm this fact, a confident interview given to </w:t>
      </w:r>
      <w:r>
        <w:rPr>
          <w:i/>
          <w:iCs/>
        </w:rPr>
        <w:t>Le Matin</w:t>
      </w:r>
      <w:r>
        <w:t xml:space="preserve"> by Joffre was reproduced in the pages of the Belgian </w:t>
      </w:r>
      <w:r w:rsidR="00905B4F">
        <w:t>newspaper</w:t>
      </w:r>
      <w:r>
        <w:t>.</w:t>
      </w:r>
      <w:r>
        <w:rPr>
          <w:rStyle w:val="FootnoteReference"/>
        </w:rPr>
        <w:footnoteReference w:id="699"/>
      </w:r>
      <w:r>
        <w:t xml:space="preserve"> </w:t>
      </w:r>
    </w:p>
    <w:p w14:paraId="2354811C" w14:textId="00ECEC3D" w:rsidR="0048510E" w:rsidRPr="00771F92" w:rsidRDefault="0048510E" w:rsidP="00023759">
      <w:pPr>
        <w:jc w:val="both"/>
      </w:pPr>
      <w:r>
        <w:t xml:space="preserve">It </w:t>
      </w:r>
      <w:r w:rsidR="00AD182A">
        <w:t>was</w:t>
      </w:r>
      <w:r>
        <w:t xml:space="preserve"> in that context that Ludendorff launched five coordinated operations lasting from 21 March to 17 July.</w:t>
      </w:r>
      <w:r>
        <w:rPr>
          <w:rStyle w:val="FootnoteReference"/>
        </w:rPr>
        <w:footnoteReference w:id="700"/>
      </w:r>
      <w:r>
        <w:t xml:space="preserve"> During the first day of the battle, the British suffered 38,000 casualties and lost most of their forward zones. When the first part of the battle was called off on 5 April, the German</w:t>
      </w:r>
      <w:r w:rsidR="00AD182A">
        <w:t>s were in possession of a forty-</w:t>
      </w:r>
      <w:r>
        <w:t>mile salient and had damaged the strength of the fifth British army.</w:t>
      </w:r>
      <w:r>
        <w:rPr>
          <w:rStyle w:val="FootnoteReference"/>
        </w:rPr>
        <w:footnoteReference w:id="701"/>
      </w:r>
      <w:r>
        <w:t xml:space="preserve"> The risks taken to lead an offensive on such a scale were such that the strategy was nothing short of a desperate gamble in which the country was fighting for her survival. </w:t>
      </w:r>
      <w:r w:rsidRPr="001B3FFB">
        <w:t xml:space="preserve">German psychological warfare </w:t>
      </w:r>
      <w:r w:rsidR="001B3FFB" w:rsidRPr="001B3FFB">
        <w:t>also gambled everything to promote the offensive</w:t>
      </w:r>
      <w:r w:rsidRPr="001B3FFB">
        <w:t>. This</w:t>
      </w:r>
      <w:r>
        <w:t xml:space="preserve"> was highlighted by the campaign orchestrated in the occupied </w:t>
      </w:r>
      <w:r w:rsidR="00667A0B">
        <w:t xml:space="preserve">French-language </w:t>
      </w:r>
      <w:r>
        <w:t>press where the offensive was renamed the ‘</w:t>
      </w:r>
      <w:r w:rsidRPr="00AA40BF">
        <w:rPr>
          <w:iCs/>
        </w:rPr>
        <w:t>Bataille de France’</w:t>
      </w:r>
      <w:r>
        <w:t xml:space="preserve"> only five days after its beginning.</w:t>
      </w:r>
      <w:r>
        <w:rPr>
          <w:rStyle w:val="FootnoteReference"/>
        </w:rPr>
        <w:footnoteReference w:id="702"/>
      </w:r>
      <w:r>
        <w:t xml:space="preserve"> This highly symbolic name was introduced to induce a sense of finality, an allied </w:t>
      </w:r>
      <w:r w:rsidRPr="001F70EE">
        <w:rPr>
          <w:i/>
          <w:iCs/>
        </w:rPr>
        <w:t>Gotterdammerung</w:t>
      </w:r>
      <w:r>
        <w:t xml:space="preserve">, and was built around the initial success of the German army – </w:t>
      </w:r>
      <w:r w:rsidR="00667A0B">
        <w:t>a</w:t>
      </w:r>
      <w:r>
        <w:t xml:space="preserve"> strategy </w:t>
      </w:r>
      <w:r w:rsidR="00667A0B">
        <w:t xml:space="preserve">that </w:t>
      </w:r>
      <w:r>
        <w:t>was also used in news poster</w:t>
      </w:r>
      <w:r w:rsidR="00F67388">
        <w:t>s</w:t>
      </w:r>
      <w:r>
        <w:t xml:space="preserve"> plastered on walls </w:t>
      </w:r>
      <w:r w:rsidR="00434573">
        <w:t>across</w:t>
      </w:r>
      <w:r>
        <w:t xml:space="preserve"> Belgium.</w:t>
      </w:r>
      <w:r>
        <w:rPr>
          <w:rStyle w:val="FootnoteReference"/>
        </w:rPr>
        <w:footnoteReference w:id="703"/>
      </w:r>
      <w:r w:rsidR="006D57F2">
        <w:t xml:space="preserve"> </w:t>
      </w:r>
      <w:r>
        <w:t xml:space="preserve">Yet, this </w:t>
      </w:r>
      <w:r w:rsidR="00434573">
        <w:t>label</w:t>
      </w:r>
      <w:r>
        <w:t xml:space="preserve"> was used prematurely and demonstrated the irresponsibility of its authors who had rejected all the hard-learned lessons of communication </w:t>
      </w:r>
      <w:r w:rsidR="00AD182A">
        <w:t>from</w:t>
      </w:r>
      <w:r>
        <w:t xml:space="preserve"> the previous years of the war. Overconfidence even encouraged propagandists to talk about the ‘German victory’, a notion shared by Ludendorff at that time, in the </w:t>
      </w:r>
      <w:r>
        <w:rPr>
          <w:i/>
          <w:iCs/>
        </w:rPr>
        <w:t xml:space="preserve">Gazette des Ardennes </w:t>
      </w:r>
      <w:r>
        <w:t>of 31 March.</w:t>
      </w:r>
      <w:r>
        <w:rPr>
          <w:rStyle w:val="FootnoteReference"/>
        </w:rPr>
        <w:footnoteReference w:id="704"/>
      </w:r>
      <w:r>
        <w:t xml:space="preserve"> Interestingly, the French, at the beginning of 1917, had pondered the possibility of renaming the Nivelle offensive </w:t>
      </w:r>
      <w:r>
        <w:rPr>
          <w:i/>
        </w:rPr>
        <w:t>La bataille de France</w:t>
      </w:r>
      <w:r>
        <w:t xml:space="preserve"> but had quickly changed their mind when faced with the disastrous outcome. It must also be noted that the name would resurface in allied propaganda targeted at </w:t>
      </w:r>
      <w:r w:rsidR="001B3FFB">
        <w:t>the departments occupied by the Germans</w:t>
      </w:r>
      <w:r>
        <w:t xml:space="preserve"> following the end of </w:t>
      </w:r>
      <w:r w:rsidR="00AD182A">
        <w:t xml:space="preserve">the </w:t>
      </w:r>
      <w:r>
        <w:t xml:space="preserve">summer </w:t>
      </w:r>
      <w:r w:rsidR="00AD182A">
        <w:t xml:space="preserve">of </w:t>
      </w:r>
      <w:r>
        <w:t>1918 and the victorious allied operations leading to the end of the conflict.</w:t>
      </w:r>
      <w:r>
        <w:rPr>
          <w:rStyle w:val="FootnoteReference"/>
        </w:rPr>
        <w:footnoteReference w:id="705"/>
      </w:r>
      <w:r w:rsidR="00771F92">
        <w:t xml:space="preserve"> </w:t>
      </w:r>
      <w:r w:rsidR="00023759">
        <w:t>In Flanders</w:t>
      </w:r>
      <w:r w:rsidR="00771F92">
        <w:t xml:space="preserve">, the German press </w:t>
      </w:r>
      <w:r w:rsidR="00023759">
        <w:t xml:space="preserve">also underlined the importance of the March offensive but used other words. The </w:t>
      </w:r>
      <w:r w:rsidR="00771F92">
        <w:t xml:space="preserve">‘Duitsche opmarsch in het Westen’ (the German </w:t>
      </w:r>
      <w:r w:rsidR="001D3AFA">
        <w:t xml:space="preserve">advance </w:t>
      </w:r>
      <w:r w:rsidR="00771F92">
        <w:t>in the West) or ‘De groote veldslag’ (the great battle)</w:t>
      </w:r>
      <w:r w:rsidR="00023759">
        <w:t xml:space="preserve"> were less about the fate of France than about the western front in general, a logical choice considering that Flanders </w:t>
      </w:r>
      <w:r w:rsidR="00AD182A">
        <w:t>had been</w:t>
      </w:r>
      <w:r w:rsidR="00023759">
        <w:t xml:space="preserve"> the theatre of heavy fighting since the beginning of the war</w:t>
      </w:r>
      <w:r w:rsidR="00771F92">
        <w:t>.</w:t>
      </w:r>
      <w:r w:rsidR="00771F92">
        <w:rPr>
          <w:rStyle w:val="FootnoteReference"/>
        </w:rPr>
        <w:footnoteReference w:id="706"/>
      </w:r>
      <w:r w:rsidR="00771F92">
        <w:t xml:space="preserve"> </w:t>
      </w:r>
    </w:p>
    <w:p w14:paraId="7BE9C2CB" w14:textId="2D79DBD3" w:rsidR="0048510E" w:rsidRPr="000F075A" w:rsidRDefault="0048510E" w:rsidP="0048510E">
      <w:pPr>
        <w:jc w:val="both"/>
        <w:rPr>
          <w:rStyle w:val="FootnoteReference"/>
        </w:rPr>
      </w:pPr>
      <w:r>
        <w:t>The war of words launched by German newspapers in French meant that difficult decisions had to be taken by the allied propaganda departments aimed at the occupied countries. On the home front, the news of the attack initially reinforced the spirit by making the reality of the risks encountered clearer.</w:t>
      </w:r>
      <w:r>
        <w:rPr>
          <w:rStyle w:val="FootnoteReference"/>
        </w:rPr>
        <w:footnoteReference w:id="707"/>
      </w:r>
      <w:r>
        <w:t xml:space="preserve"> Without solid evidence, it is hard to assess the state of mind in the occupied territories. Despite the display of assurance of the pre</w:t>
      </w:r>
      <w:r w:rsidR="00F67388">
        <w:t>vious months, the scale of the s</w:t>
      </w:r>
      <w:r>
        <w:t xml:space="preserve">pring </w:t>
      </w:r>
      <w:r w:rsidR="00F67388">
        <w:t>o</w:t>
      </w:r>
      <w:r>
        <w:t xml:space="preserve">ffensive took </w:t>
      </w:r>
      <w:r w:rsidR="00AD182A">
        <w:t xml:space="preserve">the </w:t>
      </w:r>
      <w:r>
        <w:t>aerial propaganda</w:t>
      </w:r>
      <w:r w:rsidR="00AD182A">
        <w:t xml:space="preserve"> units</w:t>
      </w:r>
      <w:r>
        <w:t xml:space="preserve"> by surprise. In fact, members of allied psychological warfare units worked for three months with the serious prospect of a rupture of the front and a military defeat. Propagandists were aware that the Germans were suffering high casualties but did not realise that the losses were such that the Kaiser’s army was facing a pyrrhic victory.</w:t>
      </w:r>
      <w:r>
        <w:rPr>
          <w:rStyle w:val="FootnoteReference"/>
        </w:rPr>
        <w:footnoteReference w:id="708"/>
      </w:r>
      <w:r>
        <w:t xml:space="preserve"> The tone adopted by newspapers aimed at</w:t>
      </w:r>
      <w:r w:rsidR="00AD182A">
        <w:t xml:space="preserve"> the</w:t>
      </w:r>
      <w:r>
        <w:t xml:space="preserve"> invaded territories suggests that the situation was regarded as extremely serious. The Germans, for the first time since 1914, were on the move and were bringing the fate of both the country and the war in the balance. The gravity of the situation was understood and addressed accordingly by all three nations involved in propaganda behind the lines. Despite the initial retreat, it was fundamental to show that the allies remained in control. More than anything else, German triumphalism had to be addressed to avoid further civilian morale damage. The stakes were even higher for the British who were the focus of the initial shock on the field and had conceded large positions. To make things worse, the reputation of the British army was already low in occupied Belgium where the German army was perceived as invincible.</w:t>
      </w:r>
      <w:r>
        <w:rPr>
          <w:rStyle w:val="FootnoteReference"/>
        </w:rPr>
        <w:footnoteReference w:id="709"/>
      </w:r>
      <w:r>
        <w:t xml:space="preserve"> The Belgian army was less concerned by the </w:t>
      </w:r>
      <w:r w:rsidR="00F67388">
        <w:t>s</w:t>
      </w:r>
      <w:r>
        <w:t xml:space="preserve">pring </w:t>
      </w:r>
      <w:r w:rsidR="00F67388">
        <w:t>o</w:t>
      </w:r>
      <w:r>
        <w:t>ffensive, but had to defend the credibility of her allies and fight the German arguments published in their French newspapers. Fortunately, Belgian psychological warfare had gone through numerous changes and was now equipped with a quality newspaper written in French and Dutch.</w:t>
      </w:r>
      <w:r>
        <w:rPr>
          <w:rStyle w:val="FootnoteReference"/>
        </w:rPr>
        <w:footnoteReference w:id="710"/>
      </w:r>
      <w:r>
        <w:t xml:space="preserve"> </w:t>
      </w:r>
    </w:p>
    <w:p w14:paraId="51E2EBB8" w14:textId="6122CECF" w:rsidR="0048510E" w:rsidRDefault="0048510E" w:rsidP="0048510E">
      <w:pPr>
        <w:jc w:val="both"/>
      </w:pPr>
      <w:r>
        <w:t>But despite the shared will to neutralise German propaganda, no coordination was in sight. All allied newspapers aimed at occupied territories adopted different strategies to cope with such bad news. The 47</w:t>
      </w:r>
      <w:r w:rsidRPr="00D22EDD">
        <w:rPr>
          <w:vertAlign w:val="superscript"/>
        </w:rPr>
        <w:t>th</w:t>
      </w:r>
      <w:r>
        <w:t xml:space="preserve"> issue of the British </w:t>
      </w:r>
      <w:r>
        <w:rPr>
          <w:i/>
          <w:iCs/>
        </w:rPr>
        <w:t xml:space="preserve">Courrier de l’Air </w:t>
      </w:r>
      <w:r>
        <w:t>was published only a few days after the beginning of the offensive when the situation was deemed critical. The battle was announced under the dramatic title ‘</w:t>
      </w:r>
      <w:r w:rsidRPr="002A79D5">
        <w:rPr>
          <w:iCs/>
        </w:rPr>
        <w:t>les pertes énormes des Allemands dans la grande offensive’</w:t>
      </w:r>
      <w:r>
        <w:t>.</w:t>
      </w:r>
      <w:r>
        <w:rPr>
          <w:rStyle w:val="FootnoteReference"/>
        </w:rPr>
        <w:footnoteReference w:id="711"/>
      </w:r>
      <w:r>
        <w:t xml:space="preserve"> From the start, British propagandists decided to emphasise the large number of German casualties rather than trying to minimise the quantity of territory lost. This choice was dictated by the events on the ground but also by the amount of publicity offered by the publications in the occupied territories surrounding the strength of the German army.</w:t>
      </w:r>
      <w:r>
        <w:rPr>
          <w:rStyle w:val="FootnoteReference"/>
        </w:rPr>
        <w:footnoteReference w:id="712"/>
      </w:r>
      <w:r>
        <w:t xml:space="preserve"> To </w:t>
      </w:r>
      <w:r w:rsidR="004B3F64">
        <w:t>destroy the credibility of the Germans</w:t>
      </w:r>
      <w:r>
        <w:t>, enemy soldiers were stereotyped and ridiculed in a fashion employed on many occasions on both sides of the lines by British propaganda.</w:t>
      </w:r>
      <w:r>
        <w:rPr>
          <w:rStyle w:val="FootnoteReference"/>
        </w:rPr>
        <w:footnoteReference w:id="713"/>
      </w:r>
      <w:r>
        <w:t xml:space="preserve"> Very little factual information </w:t>
      </w:r>
      <w:r w:rsidR="00434573">
        <w:t xml:space="preserve">was conveyed in </w:t>
      </w:r>
      <w:r>
        <w:t>a text carrying all the aspects of a brutalised narrative:</w:t>
      </w:r>
    </w:p>
    <w:p w14:paraId="0979C2FF" w14:textId="77777777" w:rsidR="0048510E" w:rsidRPr="00576C78" w:rsidRDefault="0048510E" w:rsidP="0048510E">
      <w:pPr>
        <w:ind w:left="567" w:right="567"/>
        <w:jc w:val="both"/>
      </w:pPr>
      <w:r>
        <w:rPr>
          <w:lang w:val="fr-FR"/>
        </w:rPr>
        <w:t>[…]</w:t>
      </w:r>
      <w:r w:rsidRPr="003468E8">
        <w:rPr>
          <w:lang w:val="fr-FR"/>
        </w:rPr>
        <w:t xml:space="preserve">La première phase de la bataille a occasionné le massacre de centaines </w:t>
      </w:r>
      <w:r>
        <w:rPr>
          <w:lang w:val="fr-FR"/>
        </w:rPr>
        <w:t xml:space="preserve">de mille de soldats allemands, et a forcé le Haut Commandement brittanique [sic] à rectifier la ligne défensive, qui a dûe être reculée à quelques kilomètres à l’ouest de l’ancienne ligne. En passant sur les cadavres de leurs camarades les dociles legionnaires [sic] de l’autocratie prussienne ont repris une certaine portion du territoire qu’ils avaient évacué il y a un a. Il y aura bien des hauts et des bas avant que les Allemands ne découvrent – comme ils le feront certainement – qu’ils ne font que se briser contre un mur qui ne cédera jamais. </w:t>
      </w:r>
      <w:r w:rsidRPr="00576C78">
        <w:t>[…]</w:t>
      </w:r>
      <w:r>
        <w:rPr>
          <w:rStyle w:val="FootnoteReference"/>
          <w:lang w:val="fr-FR"/>
        </w:rPr>
        <w:footnoteReference w:id="714"/>
      </w:r>
    </w:p>
    <w:p w14:paraId="1F3A5940" w14:textId="332BEF90" w:rsidR="0048510E" w:rsidRDefault="0048510E" w:rsidP="00905B4F">
      <w:pPr>
        <w:jc w:val="both"/>
        <w:rPr>
          <w:iCs/>
        </w:rPr>
      </w:pPr>
      <w:r>
        <w:t xml:space="preserve">The Belgian </w:t>
      </w:r>
      <w:r>
        <w:rPr>
          <w:i/>
          <w:iCs/>
        </w:rPr>
        <w:t xml:space="preserve">La Lettre du Soldat, </w:t>
      </w:r>
      <w:r>
        <w:t>published at the beginning of April 1918, advertised half a million casualties in the German army. In reality, the number of soldiers killed, wounded and captured was closer to 250,000.</w:t>
      </w:r>
      <w:r>
        <w:rPr>
          <w:rStyle w:val="FootnoteReference"/>
        </w:rPr>
        <w:footnoteReference w:id="715"/>
      </w:r>
      <w:r>
        <w:t xml:space="preserve"> Interestingly, a parallel was established with the battle of the </w:t>
      </w:r>
      <w:r w:rsidRPr="002A79D5">
        <w:rPr>
          <w:i/>
        </w:rPr>
        <w:t>Chemin des Dames</w:t>
      </w:r>
      <w:r>
        <w:t xml:space="preserve"> to prove that Germany, unlike France, did not care about her losses and was bleeding to death. The blame for this was put on the autocratic nature of the country and on the unlimited power given to Ludendorff and Hindenburg.</w:t>
      </w:r>
      <w:r>
        <w:rPr>
          <w:rStyle w:val="FootnoteReference"/>
        </w:rPr>
        <w:footnoteReference w:id="716"/>
      </w:r>
      <w:r w:rsidR="00AD182A">
        <w:t xml:space="preserve"> This argument</w:t>
      </w:r>
      <w:r>
        <w:t xml:space="preserve"> was the sign that </w:t>
      </w:r>
      <w:r w:rsidR="00434573">
        <w:t>Belgium</w:t>
      </w:r>
      <w:r>
        <w:t xml:space="preserve"> had finally parted with the crude </w:t>
      </w:r>
      <w:r w:rsidR="002A79D5">
        <w:t>narrative</w:t>
      </w:r>
      <w:r>
        <w:t xml:space="preserve"> displayed previously. In contrast </w:t>
      </w:r>
      <w:r w:rsidR="00AD182A">
        <w:t>to</w:t>
      </w:r>
      <w:r>
        <w:t xml:space="preserve"> the Belgians and the British, the French </w:t>
      </w:r>
      <w:r>
        <w:rPr>
          <w:i/>
          <w:iCs/>
        </w:rPr>
        <w:t>Voix du Pays</w:t>
      </w:r>
      <w:r>
        <w:rPr>
          <w:iCs/>
        </w:rPr>
        <w:t xml:space="preserve"> displayed great caution. The </w:t>
      </w:r>
      <w:r w:rsidR="00905B4F">
        <w:rPr>
          <w:iCs/>
        </w:rPr>
        <w:t>newspaper</w:t>
      </w:r>
      <w:r>
        <w:rPr>
          <w:iCs/>
        </w:rPr>
        <w:t xml:space="preserve"> was delayed by more than a week to allow a better view of the events. On 2 April, the French paper gave an account of the battle </w:t>
      </w:r>
      <w:r w:rsidR="002A79D5">
        <w:rPr>
          <w:iCs/>
        </w:rPr>
        <w:t xml:space="preserve">for the first time </w:t>
      </w:r>
      <w:r>
        <w:rPr>
          <w:iCs/>
        </w:rPr>
        <w:t xml:space="preserve">but remained extremely </w:t>
      </w:r>
      <w:r w:rsidR="00434573">
        <w:rPr>
          <w:iCs/>
        </w:rPr>
        <w:t>cautious</w:t>
      </w:r>
      <w:r>
        <w:rPr>
          <w:iCs/>
        </w:rPr>
        <w:t xml:space="preserve"> about the outcome. The article offered an accurate description of the German advance, underlining that Ludendorff had failed to go through the lock between the French and the British army. But it was also reminded that the battle was far from over.</w:t>
      </w:r>
      <w:r>
        <w:rPr>
          <w:rStyle w:val="FootnoteReference"/>
          <w:iCs/>
        </w:rPr>
        <w:footnoteReference w:id="717"/>
      </w:r>
      <w:r>
        <w:rPr>
          <w:iCs/>
        </w:rPr>
        <w:t xml:space="preserve"> This prudence offered a sharp contrast with the British press behind the line. Such a difference of strategy cannot be blamed on a lack of awareness of what was happening </w:t>
      </w:r>
      <w:r w:rsidR="00AD182A">
        <w:rPr>
          <w:iCs/>
        </w:rPr>
        <w:t>in</w:t>
      </w:r>
      <w:r>
        <w:rPr>
          <w:iCs/>
        </w:rPr>
        <w:t xml:space="preserve"> the field or on a British underestimation of the danger. I</w:t>
      </w:r>
      <w:r w:rsidR="00AD182A">
        <w:rPr>
          <w:iCs/>
        </w:rPr>
        <w:t>ndeed, the archives demonstrate</w:t>
      </w:r>
      <w:r>
        <w:rPr>
          <w:iCs/>
        </w:rPr>
        <w:t xml:space="preserve"> that they were at least as informed about the seriousness of the military situation as their French colleagues.</w:t>
      </w:r>
      <w:r>
        <w:rPr>
          <w:rStyle w:val="FootnoteReference"/>
          <w:iCs/>
        </w:rPr>
        <w:footnoteReference w:id="718"/>
      </w:r>
      <w:r>
        <w:rPr>
          <w:iCs/>
        </w:rPr>
        <w:t xml:space="preserve"> But the absence of solid evidence only leave</w:t>
      </w:r>
      <w:r w:rsidR="002A79D5">
        <w:rPr>
          <w:iCs/>
        </w:rPr>
        <w:t>s</w:t>
      </w:r>
      <w:r>
        <w:rPr>
          <w:iCs/>
        </w:rPr>
        <w:t xml:space="preserve"> the hypothesis that </w:t>
      </w:r>
      <w:r w:rsidR="002A79D5">
        <w:rPr>
          <w:iCs/>
        </w:rPr>
        <w:t>the</w:t>
      </w:r>
      <w:r>
        <w:rPr>
          <w:iCs/>
        </w:rPr>
        <w:t xml:space="preserve"> careful attitude</w:t>
      </w:r>
      <w:r w:rsidR="002A79D5">
        <w:rPr>
          <w:iCs/>
        </w:rPr>
        <w:t xml:space="preserve"> of the French</w:t>
      </w:r>
      <w:r>
        <w:rPr>
          <w:iCs/>
        </w:rPr>
        <w:t xml:space="preserve"> was the result of their long experience in propaganda behind the lines.</w:t>
      </w:r>
    </w:p>
    <w:p w14:paraId="1C7EB0F6" w14:textId="5D075928" w:rsidR="0048510E" w:rsidRDefault="002A79D5" w:rsidP="0048510E">
      <w:pPr>
        <w:jc w:val="both"/>
        <w:rPr>
          <w:iCs/>
        </w:rPr>
      </w:pPr>
      <w:r>
        <w:rPr>
          <w:iCs/>
        </w:rPr>
        <w:t>Despite the end of o</w:t>
      </w:r>
      <w:r w:rsidR="0048510E">
        <w:rPr>
          <w:iCs/>
        </w:rPr>
        <w:t>peration Michael on 5 April, propagandists had no time to rest. O</w:t>
      </w:r>
      <w:r>
        <w:rPr>
          <w:iCs/>
        </w:rPr>
        <w:t>n 9 April, o</w:t>
      </w:r>
      <w:r w:rsidR="0048510E">
        <w:rPr>
          <w:iCs/>
        </w:rPr>
        <w:t>peration Georgette was launched on the Lys and was followed by an attack toward Amiens on the 24</w:t>
      </w:r>
      <w:r w:rsidR="00565E09">
        <w:rPr>
          <w:iCs/>
        </w:rPr>
        <w:t>th</w:t>
      </w:r>
      <w:r w:rsidR="0048510E">
        <w:rPr>
          <w:iCs/>
        </w:rPr>
        <w:t xml:space="preserve"> of the same month.</w:t>
      </w:r>
      <w:r w:rsidR="0048510E">
        <w:rPr>
          <w:rStyle w:val="FootnoteReference"/>
          <w:iCs/>
        </w:rPr>
        <w:footnoteReference w:id="719"/>
      </w:r>
      <w:r w:rsidR="0048510E">
        <w:rPr>
          <w:iCs/>
        </w:rPr>
        <w:t xml:space="preserve"> The situation soon became critical for the British who went as far as to describe it as the ‘climax of the war’.</w:t>
      </w:r>
      <w:r w:rsidR="0048510E">
        <w:rPr>
          <w:rStyle w:val="FootnoteReference"/>
          <w:iCs/>
        </w:rPr>
        <w:footnoteReference w:id="720"/>
      </w:r>
      <w:r w:rsidR="0048510E">
        <w:rPr>
          <w:iCs/>
        </w:rPr>
        <w:t xml:space="preserve"> On 11 April, Haig issued his famous order of the day in which he described his army as being ‘back to the wall’.</w:t>
      </w:r>
      <w:r w:rsidR="0048510E">
        <w:rPr>
          <w:rStyle w:val="FootnoteReference"/>
          <w:iCs/>
        </w:rPr>
        <w:footnoteReference w:id="721"/>
      </w:r>
      <w:r w:rsidR="0048510E">
        <w:rPr>
          <w:iCs/>
        </w:rPr>
        <w:t xml:space="preserve"> By 14 April, the Germans had gained fifteen kilometres and the British front was close to collapse. In this difficult context, British propaganda tried to maintain a climate of optimism but cracks in this strategy began to appear. The bravado of the first days gave </w:t>
      </w:r>
      <w:r w:rsidR="00565E09">
        <w:rPr>
          <w:iCs/>
        </w:rPr>
        <w:t>way</w:t>
      </w:r>
      <w:r w:rsidR="0048510E">
        <w:rPr>
          <w:iCs/>
        </w:rPr>
        <w:t xml:space="preserve"> to a serious tone. Propagandists acknowledged severe territorial losses such as Ploegsteert, Armentières and the north of Arras, and </w:t>
      </w:r>
      <w:r>
        <w:rPr>
          <w:iCs/>
        </w:rPr>
        <w:t xml:space="preserve">for the first time </w:t>
      </w:r>
      <w:r w:rsidR="0048510E">
        <w:rPr>
          <w:iCs/>
        </w:rPr>
        <w:t>mentioned the destruction of the British army as the main German aim.</w:t>
      </w:r>
      <w:r w:rsidR="0048510E">
        <w:rPr>
          <w:rStyle w:val="FootnoteReference"/>
          <w:iCs/>
        </w:rPr>
        <w:footnoteReference w:id="722"/>
      </w:r>
      <w:r w:rsidR="0048510E">
        <w:rPr>
          <w:iCs/>
        </w:rPr>
        <w:t xml:space="preserve"> To make things worse, tensions between </w:t>
      </w:r>
      <w:r>
        <w:rPr>
          <w:iCs/>
        </w:rPr>
        <w:t xml:space="preserve">the </w:t>
      </w:r>
      <w:r w:rsidR="0048510E">
        <w:rPr>
          <w:iCs/>
        </w:rPr>
        <w:t xml:space="preserve">British and French </w:t>
      </w:r>
      <w:r w:rsidR="00667A0B">
        <w:rPr>
          <w:iCs/>
        </w:rPr>
        <w:t xml:space="preserve">increased </w:t>
      </w:r>
      <w:r w:rsidR="0048510E">
        <w:rPr>
          <w:iCs/>
        </w:rPr>
        <w:t>following accusations of negligence thrown by Haig at Foch. Despite a delayed French intervention, the relations between allies were once again seriously damaged.</w:t>
      </w:r>
      <w:r w:rsidR="0048510E">
        <w:rPr>
          <w:rStyle w:val="FootnoteReference"/>
          <w:iCs/>
        </w:rPr>
        <w:footnoteReference w:id="723"/>
      </w:r>
      <w:r w:rsidR="0048510E">
        <w:rPr>
          <w:iCs/>
        </w:rPr>
        <w:t xml:space="preserve"> As usual, the bitterness rarely transpired in propaganda aimed at occupied territories. If the nomination of Foch as supreme commander was never mentioned in the British </w:t>
      </w:r>
      <w:r w:rsidR="0048510E">
        <w:rPr>
          <w:i/>
        </w:rPr>
        <w:t>Courrier de l’Air</w:t>
      </w:r>
      <w:r w:rsidR="0048510E">
        <w:rPr>
          <w:iCs/>
        </w:rPr>
        <w:t xml:space="preserve">, French actions were described on a regular basis. The French newspaper </w:t>
      </w:r>
      <w:r w:rsidR="0048510E">
        <w:rPr>
          <w:i/>
        </w:rPr>
        <w:t>La Voix du Pays</w:t>
      </w:r>
      <w:r w:rsidR="0048510E">
        <w:rPr>
          <w:iCs/>
        </w:rPr>
        <w:t xml:space="preserve"> behaved in the same manner and even reproduced a long interview of a British officer about the situation on the field.</w:t>
      </w:r>
      <w:r w:rsidR="0048510E">
        <w:rPr>
          <w:rStyle w:val="FootnoteReference"/>
          <w:iCs/>
        </w:rPr>
        <w:footnoteReference w:id="724"/>
      </w:r>
      <w:r w:rsidR="0048510E">
        <w:rPr>
          <w:iCs/>
        </w:rPr>
        <w:t xml:space="preserve"> Almost two years after the battle of the Somme, the French, joined by the British, were still adhering to the fundamental principle of maintaining the appearance of </w:t>
      </w:r>
      <w:r>
        <w:rPr>
          <w:iCs/>
        </w:rPr>
        <w:t>solid relations between allies</w:t>
      </w:r>
      <w:r w:rsidR="0048510E">
        <w:rPr>
          <w:iCs/>
        </w:rPr>
        <w:t xml:space="preserve"> at all cost.</w:t>
      </w:r>
      <w:r w:rsidR="0048510E">
        <w:rPr>
          <w:rStyle w:val="FootnoteReference"/>
          <w:iCs/>
        </w:rPr>
        <w:footnoteReference w:id="725"/>
      </w:r>
      <w:r w:rsidR="0048510E">
        <w:rPr>
          <w:iCs/>
        </w:rPr>
        <w:t xml:space="preserve"> </w:t>
      </w:r>
    </w:p>
    <w:p w14:paraId="4357967F" w14:textId="0F856DF9" w:rsidR="0048510E" w:rsidRDefault="002A79D5" w:rsidP="0048510E">
      <w:pPr>
        <w:jc w:val="both"/>
        <w:rPr>
          <w:iCs/>
        </w:rPr>
      </w:pPr>
      <w:r>
        <w:rPr>
          <w:iCs/>
        </w:rPr>
        <w:t>By the end of April, t</w:t>
      </w:r>
      <w:r w:rsidR="0048510E">
        <w:rPr>
          <w:iCs/>
        </w:rPr>
        <w:t xml:space="preserve">he situation was confusing but had temporarily stabilised. On 17 April, six French divisions had finally moved and allowed the British to pull seven of their divisions out of the line. </w:t>
      </w:r>
      <w:r>
        <w:rPr>
          <w:iCs/>
        </w:rPr>
        <w:t>At</w:t>
      </w:r>
      <w:r w:rsidR="0048510E">
        <w:rPr>
          <w:iCs/>
        </w:rPr>
        <w:t xml:space="preserve"> the same time, the Germans were falling </w:t>
      </w:r>
      <w:r w:rsidR="003918F7">
        <w:rPr>
          <w:iCs/>
        </w:rPr>
        <w:t>short of their objectives. The a</w:t>
      </w:r>
      <w:r w:rsidR="0048510E">
        <w:rPr>
          <w:iCs/>
        </w:rPr>
        <w:t xml:space="preserve">llies were still in a dangerous defensive position but the German territorial gains were of little strategic value and had been made at </w:t>
      </w:r>
      <w:r>
        <w:rPr>
          <w:iCs/>
        </w:rPr>
        <w:t xml:space="preserve">a </w:t>
      </w:r>
      <w:r w:rsidR="0048510E">
        <w:rPr>
          <w:iCs/>
        </w:rPr>
        <w:t>cost of 326,000 soldiers.</w:t>
      </w:r>
      <w:r w:rsidR="0048510E">
        <w:rPr>
          <w:rStyle w:val="FootnoteReference"/>
          <w:iCs/>
        </w:rPr>
        <w:footnoteReference w:id="726"/>
      </w:r>
      <w:r w:rsidR="0048510E">
        <w:rPr>
          <w:iCs/>
        </w:rPr>
        <w:t xml:space="preserve"> Heavy German losses were noticed by </w:t>
      </w:r>
      <w:r w:rsidR="002068A7">
        <w:rPr>
          <w:iCs/>
        </w:rPr>
        <w:t>a</w:t>
      </w:r>
      <w:r w:rsidR="0048510E">
        <w:rPr>
          <w:iCs/>
        </w:rPr>
        <w:t xml:space="preserve">llied propaganda who regularly inflated them. The </w:t>
      </w:r>
      <w:r w:rsidR="0048510E">
        <w:rPr>
          <w:i/>
        </w:rPr>
        <w:t>Courrier de l’Air</w:t>
      </w:r>
      <w:r w:rsidR="0048510E">
        <w:rPr>
          <w:iCs/>
        </w:rPr>
        <w:t xml:space="preserve"> used these losses on 25 April as the base for an exaggeration in order to </w:t>
      </w:r>
      <w:r w:rsidR="00D717C9">
        <w:rPr>
          <w:iCs/>
        </w:rPr>
        <w:t>highlight</w:t>
      </w:r>
      <w:r w:rsidR="0048510E">
        <w:rPr>
          <w:iCs/>
        </w:rPr>
        <w:t xml:space="preserve"> the destructive nature of the militarist politic</w:t>
      </w:r>
      <w:r w:rsidR="00D717C9">
        <w:rPr>
          <w:iCs/>
        </w:rPr>
        <w:t>s</w:t>
      </w:r>
      <w:r w:rsidR="0048510E">
        <w:rPr>
          <w:iCs/>
        </w:rPr>
        <w:t xml:space="preserve"> led by Hindenburg. The British paper wrote that according to information coming from Berlin the old general was ready to sacrifice 1,500,000 soldiers to win the </w:t>
      </w:r>
      <w:r w:rsidR="00D717C9">
        <w:rPr>
          <w:iCs/>
        </w:rPr>
        <w:t>spring o</w:t>
      </w:r>
      <w:r w:rsidR="0048510E">
        <w:rPr>
          <w:iCs/>
        </w:rPr>
        <w:t>ffensive.</w:t>
      </w:r>
      <w:r w:rsidR="0048510E">
        <w:rPr>
          <w:rStyle w:val="FootnoteReference"/>
          <w:iCs/>
        </w:rPr>
        <w:footnoteReference w:id="727"/>
      </w:r>
      <w:r w:rsidR="0048510E">
        <w:rPr>
          <w:iCs/>
        </w:rPr>
        <w:t xml:space="preserve"> However, the intensity of the operation had a negative effect on the French home front where doubt grew stronger during the months of April and May.</w:t>
      </w:r>
      <w:r w:rsidR="0048510E">
        <w:rPr>
          <w:rStyle w:val="FootnoteReference"/>
          <w:iCs/>
        </w:rPr>
        <w:footnoteReference w:id="728"/>
      </w:r>
      <w:r w:rsidR="0048510E">
        <w:rPr>
          <w:iCs/>
        </w:rPr>
        <w:t xml:space="preserve"> Onc</w:t>
      </w:r>
      <w:r w:rsidR="00D717C9">
        <w:rPr>
          <w:iCs/>
        </w:rPr>
        <w:t>e again, it was hard to judge</w:t>
      </w:r>
      <w:r w:rsidR="0048510E">
        <w:rPr>
          <w:iCs/>
        </w:rPr>
        <w:t xml:space="preserve"> the situation in the occupied territories as a whole but it is assumed that the populations shared similar uncertainties. </w:t>
      </w:r>
    </w:p>
    <w:p w14:paraId="12356AC5" w14:textId="037D625F" w:rsidR="0048510E" w:rsidRDefault="0048510E" w:rsidP="0048510E">
      <w:pPr>
        <w:jc w:val="both"/>
        <w:rPr>
          <w:iCs/>
        </w:rPr>
      </w:pPr>
      <w:r>
        <w:rPr>
          <w:iCs/>
        </w:rPr>
        <w:t>The third phase of the offensive, operation Blücher-Yorck, started on 27 May. During the next days, the French faced the prospect of the capital’s capture while the allied forces lost control of the situation. Pétain went as far as to recommend the evacuation of Paris amidst a collapse of morale affecting most o</w:t>
      </w:r>
      <w:r w:rsidR="00D717C9">
        <w:rPr>
          <w:iCs/>
        </w:rPr>
        <w:t>f the superior officers of the e</w:t>
      </w:r>
      <w:r>
        <w:rPr>
          <w:iCs/>
        </w:rPr>
        <w:t>ntente.</w:t>
      </w:r>
      <w:r>
        <w:rPr>
          <w:rStyle w:val="FootnoteReference"/>
          <w:iCs/>
        </w:rPr>
        <w:footnoteReference w:id="729"/>
      </w:r>
      <w:r>
        <w:rPr>
          <w:iCs/>
        </w:rPr>
        <w:t xml:space="preserve"> This burning situation proved too much for the French propaganda unit working for the occupied territories. For the second time in three months, the </w:t>
      </w:r>
      <w:r>
        <w:rPr>
          <w:i/>
        </w:rPr>
        <w:t xml:space="preserve">Voix du Pays </w:t>
      </w:r>
      <w:r>
        <w:rPr>
          <w:iCs/>
        </w:rPr>
        <w:t xml:space="preserve">was delayed without explanation. Indeed, issue 67 of the </w:t>
      </w:r>
      <w:r>
        <w:rPr>
          <w:i/>
        </w:rPr>
        <w:t>Voix du Pays</w:t>
      </w:r>
      <w:r>
        <w:rPr>
          <w:iCs/>
        </w:rPr>
        <w:t xml:space="preserve">, which should have been published on 29 May, only appeared on 16 June when the danger was over. The archives of the </w:t>
      </w:r>
      <w:r w:rsidR="001B3FFB">
        <w:rPr>
          <w:iCs/>
        </w:rPr>
        <w:t>SPA</w:t>
      </w:r>
      <w:r>
        <w:rPr>
          <w:iCs/>
        </w:rPr>
        <w:t xml:space="preserve"> do not contain any clue regarding the reasons for such a delay but a close investigation demonstrate</w:t>
      </w:r>
      <w:r w:rsidR="00D717C9">
        <w:rPr>
          <w:iCs/>
        </w:rPr>
        <w:t>s</w:t>
      </w:r>
      <w:r>
        <w:rPr>
          <w:iCs/>
        </w:rPr>
        <w:t xml:space="preserve"> that the publication was systematically adjourned when the German army obtained significant gains on the field.</w:t>
      </w:r>
      <w:r>
        <w:rPr>
          <w:rStyle w:val="FootnoteReference"/>
          <w:iCs/>
        </w:rPr>
        <w:footnoteReference w:id="730"/>
      </w:r>
      <w:r>
        <w:rPr>
          <w:iCs/>
        </w:rPr>
        <w:t xml:space="preserve"> This strategy was dubious as the populations were left at the mercy of the enemy press. However, a cautious attitude had the merit of avoiding clumsy arguments written in a moment of panic. The British </w:t>
      </w:r>
      <w:r>
        <w:rPr>
          <w:i/>
        </w:rPr>
        <w:t>Courrier de l’Air</w:t>
      </w:r>
      <w:r>
        <w:rPr>
          <w:iCs/>
        </w:rPr>
        <w:t xml:space="preserve"> carried on but deliberately delayed </w:t>
      </w:r>
      <w:r w:rsidR="007701E9">
        <w:rPr>
          <w:iCs/>
        </w:rPr>
        <w:t xml:space="preserve">the </w:t>
      </w:r>
      <w:r>
        <w:rPr>
          <w:iCs/>
        </w:rPr>
        <w:t>German army’s move toward Paris until 13 June when the danger was largely over.</w:t>
      </w:r>
      <w:r>
        <w:rPr>
          <w:rStyle w:val="FootnoteReference"/>
          <w:iCs/>
        </w:rPr>
        <w:footnoteReference w:id="731"/>
      </w:r>
      <w:r>
        <w:rPr>
          <w:iCs/>
        </w:rPr>
        <w:t xml:space="preserve"> </w:t>
      </w:r>
      <w:r w:rsidR="00DF70F7">
        <w:rPr>
          <w:iCs/>
        </w:rPr>
        <w:t xml:space="preserve">But what was the morale like in the occupied territories? The question is not easy to answer but it seems that the Belgians </w:t>
      </w:r>
      <w:r w:rsidR="005747B8">
        <w:rPr>
          <w:iCs/>
        </w:rPr>
        <w:t>were in a state of despair during the spring offensive. This</w:t>
      </w:r>
      <w:r w:rsidR="00473C5B">
        <w:rPr>
          <w:iCs/>
        </w:rPr>
        <w:t xml:space="preserve"> morale</w:t>
      </w:r>
      <w:r w:rsidR="005747B8">
        <w:rPr>
          <w:iCs/>
        </w:rPr>
        <w:t xml:space="preserve"> crisis suddenly stopped when the German army failed to change the course of the war.</w:t>
      </w:r>
      <w:r w:rsidR="005747B8">
        <w:rPr>
          <w:rStyle w:val="FootnoteReference"/>
          <w:iCs/>
        </w:rPr>
        <w:footnoteReference w:id="732"/>
      </w:r>
      <w:r w:rsidR="00473C5B">
        <w:rPr>
          <w:iCs/>
        </w:rPr>
        <w:t xml:space="preserve"> The French were also preoccupied. Their proximity to the front meant that they were at risk during air raids and bombardments. Despite the risks, their morale also improved after the month of June.</w:t>
      </w:r>
      <w:r w:rsidR="00473C5B">
        <w:rPr>
          <w:rStyle w:val="FootnoteReference"/>
          <w:iCs/>
        </w:rPr>
        <w:footnoteReference w:id="733"/>
      </w:r>
    </w:p>
    <w:p w14:paraId="264DB8DF" w14:textId="03659797" w:rsidR="0048510E" w:rsidRPr="00930062" w:rsidRDefault="0048510E" w:rsidP="0048510E">
      <w:pPr>
        <w:jc w:val="both"/>
        <w:rPr>
          <w:iCs/>
        </w:rPr>
      </w:pPr>
      <w:r>
        <w:rPr>
          <w:iCs/>
        </w:rPr>
        <w:t>The end of operation Blücher-Yorck also signified a shift of power on the western front. The German army, despite two further phases, lost its ability to hurt the allies seriously and had buried itself into an operational nightmare.</w:t>
      </w:r>
      <w:r>
        <w:rPr>
          <w:rStyle w:val="FootnoteReference"/>
          <w:iCs/>
        </w:rPr>
        <w:footnoteReference w:id="734"/>
      </w:r>
      <w:r>
        <w:rPr>
          <w:iCs/>
        </w:rPr>
        <w:t xml:space="preserve"> By the end of June, it became obvious to propaganda units aimed at occupied countries that the enemy was </w:t>
      </w:r>
      <w:r w:rsidR="00565E09">
        <w:rPr>
          <w:iCs/>
        </w:rPr>
        <w:t>no longer in a</w:t>
      </w:r>
      <w:r>
        <w:rPr>
          <w:iCs/>
        </w:rPr>
        <w:t xml:space="preserve"> position to reverse the situation. The failed offensive became a subject of irony and the starting point for a reversed campai</w:t>
      </w:r>
      <w:r w:rsidR="00D717C9">
        <w:rPr>
          <w:iCs/>
        </w:rPr>
        <w:t>gn of communication, rooted in</w:t>
      </w:r>
      <w:r>
        <w:rPr>
          <w:iCs/>
        </w:rPr>
        <w:t xml:space="preserve"> the success of the armies of the entente, based on triumphalism.</w:t>
      </w:r>
      <w:r>
        <w:rPr>
          <w:rStyle w:val="FootnoteReference"/>
          <w:iCs/>
        </w:rPr>
        <w:footnoteReference w:id="735"/>
      </w:r>
      <w:r>
        <w:rPr>
          <w:iCs/>
        </w:rPr>
        <w:t xml:space="preserve">   </w:t>
      </w:r>
    </w:p>
    <w:p w14:paraId="0EBA0A6C" w14:textId="77777777" w:rsidR="0048510E" w:rsidRDefault="0048510E" w:rsidP="0048510E">
      <w:pPr>
        <w:pStyle w:val="Heading2"/>
      </w:pPr>
      <w:bookmarkStart w:id="66" w:name="_Toc378223865"/>
      <w:bookmarkStart w:id="67" w:name="_Toc402192982"/>
      <w:r>
        <w:t>Conclusion</w:t>
      </w:r>
      <w:bookmarkEnd w:id="66"/>
      <w:bookmarkEnd w:id="67"/>
    </w:p>
    <w:p w14:paraId="122E88AF" w14:textId="50E1A0EB" w:rsidR="0048510E" w:rsidRDefault="0048510E" w:rsidP="00313D55">
      <w:pPr>
        <w:jc w:val="both"/>
      </w:pPr>
      <w:r>
        <w:t xml:space="preserve">Questions surrounding the motivation to read military news have been implicitly answered by historians such as James Connolly, Annette Becker, or Philippe Nivet who </w:t>
      </w:r>
      <w:r w:rsidR="00D717C9">
        <w:t>highlighted</w:t>
      </w:r>
      <w:r>
        <w:t xml:space="preserve"> the specificities of the civilian society during the First World War. The hardship imposed by the Germans on the invaded territories deeply impregnated occupied French and Belgians with a </w:t>
      </w:r>
      <w:r>
        <w:rPr>
          <w:i/>
          <w:iCs/>
        </w:rPr>
        <w:t xml:space="preserve">culture de </w:t>
      </w:r>
      <w:r w:rsidR="00313D55">
        <w:rPr>
          <w:i/>
          <w:iCs/>
        </w:rPr>
        <w:t>l’</w:t>
      </w:r>
      <w:r>
        <w:rPr>
          <w:i/>
          <w:iCs/>
        </w:rPr>
        <w:t>occupé</w:t>
      </w:r>
      <w:r>
        <w:t xml:space="preserve"> and created an acute sense of involvement with the events. From spectators, they became actors experiencing depravation, suffering and death. This explains the increased appetite for updates about the military situation. Indeed, progress on the front </w:t>
      </w:r>
      <w:r w:rsidR="00565E09">
        <w:t>was</w:t>
      </w:r>
      <w:r>
        <w:t xml:space="preserve"> not only scrutinised to satisfy curiosity but also with the hope of finding signs anticipating the end of the war and therefore the ordeal of occupation. </w:t>
      </w:r>
    </w:p>
    <w:p w14:paraId="1E3E64F0" w14:textId="7509AB54" w:rsidR="0048510E" w:rsidRDefault="0048510E" w:rsidP="0048510E">
      <w:pPr>
        <w:jc w:val="both"/>
      </w:pPr>
      <w:r>
        <w:t>The evidence presented has demonstrated that this strong desire for updates about the military</w:t>
      </w:r>
      <w:r w:rsidR="00972DAB">
        <w:t xml:space="preserve"> situation, and especially the w</w:t>
      </w:r>
      <w:r>
        <w:t>estern front, was perfectly understood by propagandists of all nations who almost systematically dedicated the majority of the space available in their publications to the topic. Significant case studies comparing newspapers of Belgium, France and Great Britain, highlighted that the narration of the conflict went through different stages and was refined as time went on. The examination also revealed the manipulative nature of the content. Demand was primarily answered to impose an official, state-controlled, version of the events designed to reflect the actions of the government and the army positively as well as reinforcing their legitimacy. However, important variations of the discourse confirmed that allied nations had no agreement or coordinated strategy between them as how to present the conduct of war.</w:t>
      </w:r>
    </w:p>
    <w:p w14:paraId="5AB309FA" w14:textId="464D3303" w:rsidR="0048510E" w:rsidRDefault="0048510E" w:rsidP="0048510E">
      <w:pPr>
        <w:jc w:val="both"/>
      </w:pPr>
      <w:r>
        <w:t xml:space="preserve">In February 1916, French propaganda aimed at occupied territories faced its first test during the German attack </w:t>
      </w:r>
      <w:r w:rsidR="007701E9">
        <w:t>on</w:t>
      </w:r>
      <w:r>
        <w:t xml:space="preserve"> Verdun. The crystallisation of the public’s attention around the city and its forts, a fact to which German propaganda contributed by advertising the early seizure of Douaumont, defined a highly symbolised </w:t>
      </w:r>
      <w:r w:rsidR="00434573">
        <w:t xml:space="preserve">communication </w:t>
      </w:r>
      <w:r>
        <w:t>campaign lasting until the end of the year. The communication campaign suffered severe setbacks such as the proclamation of Germany’s defeat on the Meuse just days before the capture of the important fort of Vaux by the enemy. Yet, the successful defence of the front was skilfully exploited to reinforce the myth surrounding the French army and the determination of its commanders. By contrast, early forms of Belgian propaganda aimed at the invaded parts of the country offered a crude reminder of the ‘</w:t>
      </w:r>
      <w:r w:rsidRPr="00434573">
        <w:rPr>
          <w:i/>
          <w:iCs/>
        </w:rPr>
        <w:t>Bourrage de</w:t>
      </w:r>
      <w:r w:rsidRPr="00434573">
        <w:rPr>
          <w:i/>
        </w:rPr>
        <w:t xml:space="preserve"> </w:t>
      </w:r>
      <w:r w:rsidRPr="00434573">
        <w:rPr>
          <w:i/>
          <w:iCs/>
        </w:rPr>
        <w:t>crâne’</w:t>
      </w:r>
      <w:r>
        <w:t xml:space="preserve"> denounced by soldiers and intellectuals alike. They illustrated the difficulties encountered by the country to build a viable campaign of communication with her invaded citizen</w:t>
      </w:r>
      <w:r w:rsidR="00565E09">
        <w:t>s</w:t>
      </w:r>
      <w:r>
        <w:t xml:space="preserve">.          </w:t>
      </w:r>
    </w:p>
    <w:p w14:paraId="21929DE7" w14:textId="26E6743B" w:rsidR="0048510E" w:rsidRDefault="0048510E" w:rsidP="0048510E">
      <w:pPr>
        <w:jc w:val="both"/>
      </w:pPr>
      <w:r>
        <w:t>To convince the public of their ability to win the war, the governments had to prove their capability to lead a successful operation. But while Verdun had been a defensive battle with clear objectives, the different phases of the Franco-British offensive on the Somme proved to be a confusing and complex subject to present to the invaded population</w:t>
      </w:r>
      <w:r w:rsidR="00D717C9" w:rsidRPr="00D717C9">
        <w:t xml:space="preserve"> </w:t>
      </w:r>
      <w:r w:rsidR="00D717C9">
        <w:t>in a clear manner</w:t>
      </w:r>
      <w:r>
        <w:t xml:space="preserve">. To make the matter worse, the absence of significant progress soon stalled the initial enthusiasm. Unsurprisingly, Germany was prompt to jump on the opportunity to mock her enemy’s ability to lead an offensive. The Somme was never a communication disaster, nor was it a beneficial operation for morale. The stalemate only proved to the occupied populations that the war was to last longer. </w:t>
      </w:r>
    </w:p>
    <w:p w14:paraId="10C077D8" w14:textId="28BBEA2D" w:rsidR="0048510E" w:rsidRDefault="0048510E" w:rsidP="0048510E">
      <w:pPr>
        <w:jc w:val="both"/>
      </w:pPr>
      <w:r>
        <w:t xml:space="preserve">The sources also reveal that propagandists were deeply influenced by their environment. The expectations shared by the rear and the army at the beginning of 1917 for a decisive operation penetrated the press aimed at occupied territories. Misled by faith in the doomed Nivelle offensive, newspapers relayed an artificial climate of enthusiasm and exposed their flank to German propaganda. Yet allied psychological warfare managed to recover from its mistakes by artificially merging the battle with its successor. The transformation of a humiliating defeat into a victory demonstrated that propaganda was a useful resource to manipulate symbols. Far from </w:t>
      </w:r>
      <w:r w:rsidR="00434573">
        <w:t>insignificant</w:t>
      </w:r>
      <w:r>
        <w:t xml:space="preserve">, this campaign of communication eased the profound crisis of the morale felt in the occupied territories after the failure of the </w:t>
      </w:r>
      <w:r w:rsidRPr="008D44EE">
        <w:rPr>
          <w:i/>
          <w:iCs/>
        </w:rPr>
        <w:t>Chemin des Dames</w:t>
      </w:r>
      <w:r>
        <w:t xml:space="preserve">. </w:t>
      </w:r>
    </w:p>
    <w:p w14:paraId="42C2538A" w14:textId="10016149" w:rsidR="0048510E" w:rsidRDefault="0048510E" w:rsidP="0048510E">
      <w:pPr>
        <w:jc w:val="both"/>
      </w:pPr>
      <w:r>
        <w:t xml:space="preserve">The events of the </w:t>
      </w:r>
      <w:r w:rsidRPr="008D44EE">
        <w:rPr>
          <w:i/>
          <w:iCs/>
        </w:rPr>
        <w:t>Chemin des Dames</w:t>
      </w:r>
      <w:r w:rsidR="00D717C9">
        <w:t xml:space="preserve"> and the s</w:t>
      </w:r>
      <w:r>
        <w:t xml:space="preserve">pring </w:t>
      </w:r>
      <w:r w:rsidR="00D717C9">
        <w:t>o</w:t>
      </w:r>
      <w:r>
        <w:t xml:space="preserve">ffensive also demonstrate that psychological warfare behind the lines integrated the efforts imposed by the governments of Britain and France from the middle of 1917 to convince the public of an outright victory. While setbacks were admitted, different strategies were </w:t>
      </w:r>
      <w:r w:rsidR="00D717C9">
        <w:t>designed</w:t>
      </w:r>
      <w:r>
        <w:t xml:space="preserve"> to justify or minimalize them. Yet, there was a limit to what propagandists could do. Du</w:t>
      </w:r>
      <w:r w:rsidR="00D717C9">
        <w:t>ring the critical phase of the spring o</w:t>
      </w:r>
      <w:r>
        <w:t>ffensive at the end of May, French prop</w:t>
      </w:r>
      <w:r w:rsidR="00565E09">
        <w:t>aganda newspapers were temporarily</w:t>
      </w:r>
      <w:r>
        <w:t xml:space="preserve"> interrupt</w:t>
      </w:r>
      <w:r w:rsidR="00434573">
        <w:t>ed while British articles revert</w:t>
      </w:r>
      <w:r>
        <w:t xml:space="preserve">ed to a crude form of argumentation. This episode highlights how deeply First World War propaganda behind the lines was </w:t>
      </w:r>
      <w:r w:rsidR="00D717C9">
        <w:t xml:space="preserve">dependant on </w:t>
      </w:r>
      <w:r>
        <w:t xml:space="preserve">the events. The ever-present threat of a German contradiction </w:t>
      </w:r>
      <w:r w:rsidR="00434573">
        <w:t>by</w:t>
      </w:r>
      <w:r>
        <w:t xml:space="preserve"> its press in French and Dutch meant that allied propaganda in the occupied territory had to be anchored, </w:t>
      </w:r>
      <w:r w:rsidR="00D717C9">
        <w:t>at least to a certain extent, in</w:t>
      </w:r>
      <w:r>
        <w:t xml:space="preserve"> the reality of the battlefield.</w:t>
      </w:r>
    </w:p>
    <w:p w14:paraId="36041AEA" w14:textId="5E48218F" w:rsidR="00E43192" w:rsidRDefault="0048510E" w:rsidP="00E43192">
      <w:pPr>
        <w:jc w:val="both"/>
      </w:pPr>
      <w:r>
        <w:t>This chapter illustrated the importance and the mechanisms of military news for propaganda aimed at occupied c</w:t>
      </w:r>
      <w:r w:rsidR="00E43192">
        <w:t xml:space="preserve">ivilians. The next chapter will show that rational arguments were not enough to trigger long-term support for war and had to coexist with a range of emotional articles designed to empty the conflict of its moral ambiguity.     </w:t>
      </w:r>
    </w:p>
    <w:p w14:paraId="3094F4C0" w14:textId="77777777" w:rsidR="00E35CCD" w:rsidRDefault="00E35CCD" w:rsidP="00E43192">
      <w:pPr>
        <w:pStyle w:val="Title"/>
        <w:outlineLvl w:val="0"/>
        <w:sectPr w:rsidR="00E35CCD" w:rsidSect="00E35CCD">
          <w:headerReference w:type="default" r:id="rId40"/>
          <w:pgSz w:w="11907" w:h="16839" w:code="9"/>
          <w:pgMar w:top="1440" w:right="1440" w:bottom="1440" w:left="1440" w:header="708" w:footer="708" w:gutter="0"/>
          <w:cols w:space="708"/>
          <w:titlePg/>
          <w:docGrid w:linePitch="360"/>
        </w:sectPr>
      </w:pPr>
    </w:p>
    <w:p w14:paraId="380E23DD" w14:textId="0620BA3A" w:rsidR="0048510E" w:rsidRDefault="0048510E" w:rsidP="00E43192">
      <w:pPr>
        <w:pStyle w:val="Title"/>
        <w:outlineLvl w:val="0"/>
      </w:pPr>
      <w:bookmarkStart w:id="68" w:name="_Toc402192983"/>
      <w:r>
        <w:t>VI The radicalisation of propaganda</w:t>
      </w:r>
      <w:bookmarkEnd w:id="68"/>
    </w:p>
    <w:p w14:paraId="1182B8F1" w14:textId="77777777" w:rsidR="0048510E" w:rsidRDefault="0048510E" w:rsidP="0048510E">
      <w:pPr>
        <w:pStyle w:val="Heading2"/>
      </w:pPr>
      <w:bookmarkStart w:id="69" w:name="_Toc378223873"/>
      <w:bookmarkStart w:id="70" w:name="_Toc402192984"/>
      <w:r>
        <w:t>Fighting the psychological resistance to war</w:t>
      </w:r>
      <w:bookmarkEnd w:id="69"/>
      <w:bookmarkEnd w:id="70"/>
    </w:p>
    <w:p w14:paraId="5EFDBF5B" w14:textId="4571D1C3" w:rsidR="0048510E" w:rsidRDefault="00AD35FA" w:rsidP="0048510E">
      <w:pPr>
        <w:jc w:val="both"/>
      </w:pPr>
      <w:r>
        <w:t>Chapter four</w:t>
      </w:r>
      <w:r w:rsidR="002068A7">
        <w:t xml:space="preserve"> established that both a</w:t>
      </w:r>
      <w:r w:rsidR="0048510E">
        <w:t xml:space="preserve">llied and German propaganda aimed at the occupied territories was built on a network of rational arguments attempting to sell the idea of a democratic war of defence. Yet, rationality had to coexist with a range of articles designed to trigger </w:t>
      </w:r>
      <w:r w:rsidR="00544F32">
        <w:t>emotional</w:t>
      </w:r>
      <w:r w:rsidR="0048510E">
        <w:t xml:space="preserve"> </w:t>
      </w:r>
      <w:r w:rsidR="00544F32">
        <w:t>responses</w:t>
      </w:r>
      <w:r w:rsidR="0048510E">
        <w:t>. Indeed, the exhaustion of a fully mobilised society and what Harold Lasswell called ‘psychological resistance to war’ meant that official war aims were not powerful enough on their own to draw public support over a long period of time.</w:t>
      </w:r>
      <w:r w:rsidR="0048510E">
        <w:rPr>
          <w:rStyle w:val="FootnoteReference"/>
        </w:rPr>
        <w:footnoteReference w:id="736"/>
      </w:r>
      <w:r w:rsidR="0048510E">
        <w:t xml:space="preserve"> In order to stiffen the determination of the population, propagandists had to make sure that no moral ambiguity survived.</w:t>
      </w:r>
      <w:r w:rsidR="0048510E">
        <w:rPr>
          <w:rStyle w:val="FootnoteReference"/>
        </w:rPr>
        <w:footnoteReference w:id="737"/>
      </w:r>
      <w:r w:rsidR="0048510E">
        <w:t xml:space="preserve"> In other words, the public required not only clear boundaries but also an enemy devoid of humanity and emotions to despise.</w:t>
      </w:r>
      <w:r w:rsidR="0048510E">
        <w:rPr>
          <w:rStyle w:val="FootnoteReference"/>
        </w:rPr>
        <w:footnoteReference w:id="738"/>
      </w:r>
      <w:r w:rsidR="0048510E">
        <w:t xml:space="preserve">  </w:t>
      </w:r>
    </w:p>
    <w:p w14:paraId="47A2DCAD" w14:textId="2649D884" w:rsidR="0048510E" w:rsidRDefault="0048510E" w:rsidP="0048510E">
      <w:pPr>
        <w:jc w:val="both"/>
      </w:pPr>
      <w:r>
        <w:t xml:space="preserve">The careful construction of a myth surrounding the Germans will be examined in the first section of this chapter. To do so, the notions of ‘hate propaganda’ and ‘atrocity propaganda’, often used to describe the same thing in propaganda theory books, will be clarified in order to classify and </w:t>
      </w:r>
      <w:r w:rsidR="00565E09">
        <w:t>contrast</w:t>
      </w:r>
      <w:r>
        <w:t xml:space="preserve"> the techniques used by the Franco-Belgian and the British propaganda newspapers.</w:t>
      </w:r>
      <w:r>
        <w:rPr>
          <w:rStyle w:val="FootnoteReference"/>
        </w:rPr>
        <w:footnoteReference w:id="739"/>
      </w:r>
      <w:r>
        <w:t xml:space="preserve"> Emotional arguments will be investigated to understand if they were based on facts or if they were complete </w:t>
      </w:r>
      <w:r w:rsidR="00544F32">
        <w:t>inventions</w:t>
      </w:r>
      <w:r>
        <w:t>. Aerial propaganda based on a violent or a shocking narrative will also be com</w:t>
      </w:r>
      <w:r w:rsidR="00913FF1">
        <w:t>pared to its equivalent on the home f</w:t>
      </w:r>
      <w:r>
        <w:t xml:space="preserve">ront to examine if propaganda of the </w:t>
      </w:r>
      <w:r w:rsidR="00544F32">
        <w:t>home front</w:t>
      </w:r>
      <w:r>
        <w:t xml:space="preserve"> was suitable or if it was </w:t>
      </w:r>
      <w:r w:rsidR="00565E09">
        <w:t>necessary</w:t>
      </w:r>
      <w:r>
        <w:t xml:space="preserve"> to adapt the content to answer the specificities of the occupied territories. Moreo</w:t>
      </w:r>
      <w:r w:rsidR="00130BFA">
        <w:t>ver, this section will examine whether</w:t>
      </w:r>
      <w:r>
        <w:t xml:space="preserve"> Germany was presented as the main target</w:t>
      </w:r>
      <w:r w:rsidR="00565E09">
        <w:t>,</w:t>
      </w:r>
      <w:r>
        <w:t xml:space="preserve"> or if all the enemies were denounced with the same intensity. In addition to these points, this section of the chapter will explore Germany’s reaction. Enemy propagandists were bound to answer violent </w:t>
      </w:r>
      <w:r w:rsidR="00544F32">
        <w:t>attacks</w:t>
      </w:r>
      <w:r>
        <w:t xml:space="preserve"> denouncing their very nature and their military actions. Did they engage in a similar form of propaganda with the occupied population and if so, did they use the same themes? </w:t>
      </w:r>
    </w:p>
    <w:p w14:paraId="4DF8B1C9" w14:textId="4D7EF446" w:rsidR="0048510E" w:rsidRPr="00886121" w:rsidRDefault="0048510E" w:rsidP="0048510E">
      <w:pPr>
        <w:jc w:val="both"/>
      </w:pPr>
      <w:r>
        <w:t xml:space="preserve">The second part of the chapter </w:t>
      </w:r>
      <w:r w:rsidR="001B3FFB">
        <w:t>will investigate</w:t>
      </w:r>
      <w:r>
        <w:t xml:space="preserve"> signs of radicalisation in aerial propaganda. </w:t>
      </w:r>
      <w:r w:rsidR="00544F32">
        <w:t>One might speculate</w:t>
      </w:r>
      <w:r>
        <w:t xml:space="preserve"> that atrocity and hate stories triggered a spiral of animosity and were responsible for the brutalisation of mentalities. It will be suggested that increasing verbal and physical aggression against the opposite side contributed to an </w:t>
      </w:r>
      <w:r w:rsidR="00CB0445">
        <w:t>acceptance</w:t>
      </w:r>
      <w:r>
        <w:t xml:space="preserve"> of violence against enemy civilians. This theory will be investigated by looking at subjects such as aerial bombardments or food supplies in which enemy civilians were regularly mentioned. This particular line of investigation </w:t>
      </w:r>
      <w:r w:rsidR="00CB0445">
        <w:t>is</w:t>
      </w:r>
      <w:r>
        <w:t xml:space="preserve"> </w:t>
      </w:r>
      <w:r w:rsidR="00544F32">
        <w:t>developed</w:t>
      </w:r>
      <w:r>
        <w:t xml:space="preserve"> chronologically to trace signs of degradation. With the help of this transnational comparison, this chapter </w:t>
      </w:r>
      <w:r w:rsidR="00565E09">
        <w:t>will try</w:t>
      </w:r>
      <w:r>
        <w:t xml:space="preserve"> to determine the role played by allied propaganda aimed at occupied territories in building the society found at the end of the First World War and described by Annette Becker as a world of ‘</w:t>
      </w:r>
      <w:r w:rsidRPr="00BE6D5C">
        <w:t>non-droit’</w:t>
      </w:r>
      <w:r>
        <w:t xml:space="preserve"> and ‘</w:t>
      </w:r>
      <w:r w:rsidRPr="00BE6D5C">
        <w:t>non-humain’</w:t>
      </w:r>
      <w:r>
        <w:t>.</w:t>
      </w:r>
      <w:r>
        <w:rPr>
          <w:rStyle w:val="FootnoteReference"/>
        </w:rPr>
        <w:footnoteReference w:id="740"/>
      </w:r>
    </w:p>
    <w:p w14:paraId="58C95D29" w14:textId="77777777" w:rsidR="0048510E" w:rsidRDefault="0048510E" w:rsidP="0048510E">
      <w:pPr>
        <w:pStyle w:val="Heading2"/>
      </w:pPr>
      <w:bookmarkStart w:id="71" w:name="_Toc378223874"/>
      <w:bookmarkStart w:id="72" w:name="_Toc402192985"/>
      <w:r>
        <w:t>The enemy discredited</w:t>
      </w:r>
      <w:bookmarkEnd w:id="71"/>
      <w:bookmarkEnd w:id="72"/>
      <w:r>
        <w:tab/>
      </w:r>
    </w:p>
    <w:p w14:paraId="4007D260" w14:textId="7DF80C65" w:rsidR="0048510E" w:rsidRDefault="00AD35FA" w:rsidP="0048510E">
      <w:pPr>
        <w:jc w:val="both"/>
      </w:pPr>
      <w:r>
        <w:t>Chapter four</w:t>
      </w:r>
      <w:r w:rsidR="0048510E">
        <w:t xml:space="preserve"> showed that there were numerous attempts to provide rational arguments, based on official war aims and political declarations, justifying the war. Yet it appears that propagandists did not have full faith in rationality as a mean</w:t>
      </w:r>
      <w:r w:rsidR="00CB0445">
        <w:t>s</w:t>
      </w:r>
      <w:r w:rsidR="0048510E">
        <w:t xml:space="preserve"> to mobilise and felt the need to gradually int</w:t>
      </w:r>
      <w:r w:rsidR="00565E09">
        <w:t>roduce another line of argument</w:t>
      </w:r>
      <w:r w:rsidR="0048510E">
        <w:t xml:space="preserve"> built on irrational feelings and prejudices. In fact, balancing reasoned a</w:t>
      </w:r>
      <w:r w:rsidR="00544F32">
        <w:t>nd emotional subjects was not specific to</w:t>
      </w:r>
      <w:r w:rsidR="0048510E">
        <w:t xml:space="preserve"> aerial psy</w:t>
      </w:r>
      <w:r w:rsidR="00CB0445">
        <w:t>chological warfare but a technique</w:t>
      </w:r>
      <w:r w:rsidR="0048510E">
        <w:t xml:space="preserve"> commonly found in war-time propaganda. Propagandists working on aerial newspapers were instinctively following the principles of what Jacques Ellul later coined ‘agitation propaganda’, used to keep popular mobilisation intact.</w:t>
      </w:r>
      <w:r w:rsidR="0048510E">
        <w:rPr>
          <w:rStyle w:val="FootnoteReference"/>
        </w:rPr>
        <w:footnoteReference w:id="741"/>
      </w:r>
      <w:r w:rsidR="0048510E">
        <w:t xml:space="preserve"> The public had not only to be convinced that the war was justified but also that the enemy was despicable.</w:t>
      </w:r>
      <w:r w:rsidR="0048510E">
        <w:rPr>
          <w:rStyle w:val="FootnoteReference"/>
        </w:rPr>
        <w:footnoteReference w:id="742"/>
      </w:r>
      <w:r w:rsidR="0048510E">
        <w:t xml:space="preserve"> As it will be shown below, this phenomenon spiralled as the war dragged on and as the support of the public flagged.</w:t>
      </w:r>
    </w:p>
    <w:p w14:paraId="071E769C" w14:textId="33390CDE" w:rsidR="0048510E" w:rsidRDefault="0048510E" w:rsidP="0048510E">
      <w:pPr>
        <w:jc w:val="both"/>
      </w:pPr>
      <w:r>
        <w:t xml:space="preserve">The process of </w:t>
      </w:r>
      <w:r w:rsidR="00544F32">
        <w:t>demonization</w:t>
      </w:r>
      <w:r>
        <w:t xml:space="preserve"> used to discredit the enemy was described by John Horne as an essential component of the war culture of the First World War. It developed in the first days of the conflict in the press where a polarised vocabulary reduced the enemy to an adversary of civilisation.</w:t>
      </w:r>
      <w:r>
        <w:rPr>
          <w:rStyle w:val="FootnoteReference"/>
        </w:rPr>
        <w:footnoteReference w:id="743"/>
      </w:r>
      <w:r>
        <w:t xml:space="preserve"> Theor</w:t>
      </w:r>
      <w:r w:rsidR="00544F32">
        <w:t>etical</w:t>
      </w:r>
      <w:r>
        <w:t xml:space="preserve"> studies of propaganda underline that the barbarisation of the enemy was a powerful tool based on preconceived opinions, ready-made judgments or blatant lies to build an object of contempt. This manipulation was designed to empty the war of its ambiguity and simplify prevailing moral codes.</w:t>
      </w:r>
      <w:r>
        <w:rPr>
          <w:rStyle w:val="FootnoteReference"/>
        </w:rPr>
        <w:footnoteReference w:id="744"/>
      </w:r>
      <w:r>
        <w:t xml:space="preserve"> Whether supported by legitimate arguments or not, propaganda portraying the enemy was stripped of its ethical concerns in order to create emotional answers.</w:t>
      </w:r>
      <w:r>
        <w:rPr>
          <w:rStyle w:val="FootnoteReference"/>
        </w:rPr>
        <w:footnoteReference w:id="745"/>
      </w:r>
      <w:r>
        <w:t xml:space="preserve"> This form of communication has been routinely mentioned as </w:t>
      </w:r>
      <w:r w:rsidRPr="003903FE">
        <w:t>‘hate propaganda’ and ‘atrocity propaganda’ in propaganda studies.</w:t>
      </w:r>
      <w:r>
        <w:rPr>
          <w:rStyle w:val="FootnoteReference"/>
        </w:rPr>
        <w:footnoteReference w:id="746"/>
      </w:r>
      <w:r w:rsidRPr="003903FE">
        <w:t xml:space="preserve"> </w:t>
      </w:r>
      <w:r>
        <w:t xml:space="preserve">It seems that this </w:t>
      </w:r>
      <w:r w:rsidR="00544F32">
        <w:t>conflation</w:t>
      </w:r>
      <w:r>
        <w:t xml:space="preserve"> is a source of confusion as the words hate and atrocity carry </w:t>
      </w:r>
      <w:r w:rsidR="00544F32">
        <w:t>different</w:t>
      </w:r>
      <w:r>
        <w:t xml:space="preserve"> meanings. The terminology needs to be redefined to understand two different propaganda methods used to discredit the enemy. In this thesis, the </w:t>
      </w:r>
      <w:r w:rsidR="00544F32">
        <w:t>terms</w:t>
      </w:r>
      <w:r>
        <w:t xml:space="preserve"> ‘atrocity propaganda’ will describe a technique linking a belligerent to an event perceived </w:t>
      </w:r>
      <w:r w:rsidRPr="001B3FFB">
        <w:t>by their contemporar</w:t>
      </w:r>
      <w:r w:rsidR="00775AE7" w:rsidRPr="001B3FFB">
        <w:t>ies</w:t>
      </w:r>
      <w:r>
        <w:t xml:space="preserve"> as a blatant violation of international laws and/or involving human abuse. The violation of Belgium’s neutrality and the </w:t>
      </w:r>
      <w:r w:rsidR="00565E09">
        <w:t>subsequent</w:t>
      </w:r>
      <w:r>
        <w:t xml:space="preserve"> murder of civilians would exemplify this definition. </w:t>
      </w:r>
      <w:r w:rsidR="001B3FFB">
        <w:t xml:space="preserve">This thesis will </w:t>
      </w:r>
      <w:r w:rsidR="00544F32">
        <w:t>refer to</w:t>
      </w:r>
      <w:r w:rsidR="001B3FFB">
        <w:t xml:space="preserve"> ‘hate propaganda’ </w:t>
      </w:r>
      <w:r w:rsidR="00544F32">
        <w:t>as</w:t>
      </w:r>
      <w:r w:rsidR="001B3FFB">
        <w:t xml:space="preserve"> the arguments mocking German identity, morality, culture or history. </w:t>
      </w:r>
      <w:r w:rsidR="00CB0445">
        <w:t>The allied sarcasm</w:t>
      </w:r>
      <w:r>
        <w:t xml:space="preserve"> surrounding ‘Kultur’ and denying Germany any major intellectual achievement in history would be a good example of hate propaganda. It must be kept in mind that both methods were ultimately designed to stiffen the determination against the enemy. However, they triggered different emotional responses.</w:t>
      </w:r>
      <w:r>
        <w:rPr>
          <w:rStyle w:val="FootnoteReference"/>
        </w:rPr>
        <w:footnoteReference w:id="747"/>
      </w:r>
    </w:p>
    <w:p w14:paraId="36B8E7F5" w14:textId="6501AE35" w:rsidR="0048510E" w:rsidRDefault="0048510E" w:rsidP="0048510E">
      <w:pPr>
        <w:jc w:val="both"/>
      </w:pPr>
      <w:r>
        <w:t xml:space="preserve">Emotional arguments were printed in all aerial newspapers aimed at the occupied territories. Yet, the two methods described above, hate propaganda on one </w:t>
      </w:r>
      <w:r w:rsidR="00565E09">
        <w:t>hand</w:t>
      </w:r>
      <w:r>
        <w:t xml:space="preserve"> and atrocity propaganda on the other, were not used in all publications. This fact betrayed two dissimilar philosophies </w:t>
      </w:r>
      <w:r w:rsidR="001B3FFB">
        <w:t>in</w:t>
      </w:r>
      <w:r w:rsidR="00775AE7">
        <w:t xml:space="preserve"> </w:t>
      </w:r>
      <w:r>
        <w:t>psychological warfare. The Belgians and the French relied solely on atrocity propaganda and published articles about eye-catching events, always genuine violations of treaties or abuse of people’s rights</w:t>
      </w:r>
      <w:r w:rsidRPr="001B3FFB">
        <w:t xml:space="preserve">, to </w:t>
      </w:r>
      <w:r w:rsidR="00775AE7" w:rsidRPr="001B3FFB">
        <w:t xml:space="preserve">highlight the </w:t>
      </w:r>
      <w:r w:rsidRPr="001B3FFB">
        <w:t>moral</w:t>
      </w:r>
      <w:r w:rsidR="00775AE7" w:rsidRPr="001B3FFB">
        <w:t xml:space="preserve"> dimensions of </w:t>
      </w:r>
      <w:r w:rsidRPr="001B3FFB">
        <w:t>the war.</w:t>
      </w:r>
      <w:r>
        <w:t xml:space="preserve"> There is no surprise here as verified facts were, and still are, the most effective arguments in a campaign of propaganda. This point was investigated by Jacques Ellul and later by Philip Taylor who both categorically insisted that the best form of psychological warfare usually provided true facts but distorted interpretations.</w:t>
      </w:r>
      <w:r>
        <w:rPr>
          <w:rStyle w:val="FootnoteReference"/>
        </w:rPr>
        <w:footnoteReference w:id="748"/>
      </w:r>
      <w:r>
        <w:t xml:space="preserve"> This method was observed in the topic</w:t>
      </w:r>
      <w:r w:rsidR="00CB0445">
        <w:t>s</w:t>
      </w:r>
      <w:r>
        <w:t xml:space="preserve"> selected by the Belgian and French aerial press aimed at occupied countries. Atrocity stories as they appeared in these newspapers were handpicked to reflect poorly on the Germans. For example, the Armenian genocide was only mentioned when the opportunity arouse to blame the Kaiser and his mi</w:t>
      </w:r>
      <w:r w:rsidR="00544F32">
        <w:t xml:space="preserve">nisters. But the subject was far </w:t>
      </w:r>
      <w:r>
        <w:t xml:space="preserve">less covered, despite the </w:t>
      </w:r>
      <w:r w:rsidR="00CB0445">
        <w:t>significant</w:t>
      </w:r>
      <w:r>
        <w:t xml:space="preserve"> number of victims, than the bombing of Paris or submarine attacks which were more </w:t>
      </w:r>
      <w:r w:rsidR="00775AE7">
        <w:t>likely</w:t>
      </w:r>
      <w:r>
        <w:t xml:space="preserve"> to raise indignation.</w:t>
      </w:r>
      <w:r>
        <w:rPr>
          <w:rStyle w:val="FootnoteReference"/>
        </w:rPr>
        <w:footnoteReference w:id="749"/>
      </w:r>
    </w:p>
    <w:p w14:paraId="6EA77F10" w14:textId="59691726" w:rsidR="0048510E" w:rsidRDefault="0048510E" w:rsidP="0048510E">
      <w:pPr>
        <w:jc w:val="both"/>
      </w:pPr>
      <w:r>
        <w:t xml:space="preserve">The relative moderation found in French and Belgian propaganda when portraying the enemy was totally absent from the British </w:t>
      </w:r>
      <w:r>
        <w:rPr>
          <w:i/>
          <w:iCs/>
        </w:rPr>
        <w:t>Le Courrier de l’Air</w:t>
      </w:r>
      <w:r w:rsidR="00544F32">
        <w:t>. Indeed, the MI7</w:t>
      </w:r>
      <w:r>
        <w:t xml:space="preserve"> publication </w:t>
      </w:r>
      <w:r w:rsidR="00544F32">
        <w:t>produced</w:t>
      </w:r>
      <w:r>
        <w:t xml:space="preserve"> a violent campaign using both hate and atrocity propaganda to dehumanise not only the German army but also the German people as a whole. The articles published in the </w:t>
      </w:r>
      <w:r>
        <w:rPr>
          <w:i/>
          <w:iCs/>
        </w:rPr>
        <w:t>Courrier de l’Air</w:t>
      </w:r>
      <w:r>
        <w:t xml:space="preserve"> did not show any concern for veracity and usually heavily distorted the facts to darken the picture. It seems clear that ethics had no place in a publication seeking results before anything else.</w:t>
      </w:r>
      <w:r w:rsidRPr="000E363C">
        <w:t xml:space="preserve"> </w:t>
      </w:r>
      <w:r>
        <w:t>This aggressive cultural mobilisation was contingent upon the cultivation of hatred, a term coined by Peter Gay and later developed by Jay Winter, which in the broader picture paved the way for the intellectual brutalisation of millions of people during and after the First World War.</w:t>
      </w:r>
      <w:r>
        <w:rPr>
          <w:rStyle w:val="FootnoteReference"/>
        </w:rPr>
        <w:footnoteReference w:id="750"/>
      </w:r>
    </w:p>
    <w:p w14:paraId="2AC27995" w14:textId="77777777" w:rsidR="0048510E" w:rsidRPr="000E363C" w:rsidRDefault="0048510E" w:rsidP="0048510E">
      <w:pPr>
        <w:pStyle w:val="Heading2"/>
      </w:pPr>
      <w:bookmarkStart w:id="73" w:name="_Toc378223875"/>
      <w:bookmarkStart w:id="74" w:name="_Toc402192986"/>
      <w:r>
        <w:t>Atrocities in the Franco-Belgian aerial press</w:t>
      </w:r>
      <w:bookmarkEnd w:id="73"/>
      <w:bookmarkEnd w:id="74"/>
    </w:p>
    <w:p w14:paraId="01BF0AD8" w14:textId="7EEE1E7B" w:rsidR="0048510E" w:rsidRPr="00827D67" w:rsidRDefault="0048510E" w:rsidP="0048510E">
      <w:pPr>
        <w:jc w:val="both"/>
      </w:pPr>
      <w:r>
        <w:t xml:space="preserve">Atrocity propaganda appeared at the end of 1915 following the creation of the first aerial newspaper, the French </w:t>
      </w:r>
      <w:r>
        <w:rPr>
          <w:i/>
          <w:iCs/>
        </w:rPr>
        <w:t xml:space="preserve">La Voix du Pays, </w:t>
      </w:r>
      <w:r>
        <w:t>aimed at occupied civilians. Still small</w:t>
      </w:r>
      <w:r w:rsidR="00565E09">
        <w:t xml:space="preserve"> in</w:t>
      </w:r>
      <w:r>
        <w:t xml:space="preserve"> number, the articles revolved mainly around the death of civilian passengers of ocean liners following Germany’s decision to wage unlimited submarine warfare.</w:t>
      </w:r>
      <w:r>
        <w:rPr>
          <w:rStyle w:val="FootnoteReference"/>
        </w:rPr>
        <w:footnoteReference w:id="751"/>
      </w:r>
      <w:r>
        <w:t xml:space="preserve"> There was obviously a strong link with the campaign of communication launched by the British on the international scene following the sinking of the </w:t>
      </w:r>
      <w:r>
        <w:rPr>
          <w:i/>
          <w:iCs/>
        </w:rPr>
        <w:t>Lusitania</w:t>
      </w:r>
      <w:r>
        <w:t xml:space="preserve"> on 7 May 1915. Indeed, the global outrage surrounding the destruction of the ocean liner was used to confirm the stereotypes conveyed after the invasion of Belgium against Germany. Furthermore, relations between Germany and the United States were now damaged.</w:t>
      </w:r>
      <w:r>
        <w:rPr>
          <w:rStyle w:val="FootnoteReference"/>
        </w:rPr>
        <w:footnoteReference w:id="752"/>
      </w:r>
      <w:r>
        <w:t xml:space="preserve"> </w:t>
      </w:r>
    </w:p>
    <w:p w14:paraId="190FBF69" w14:textId="77FE028E" w:rsidR="0048510E" w:rsidRPr="00065BE6" w:rsidRDefault="0048510E" w:rsidP="0048510E">
      <w:pPr>
        <w:jc w:val="both"/>
        <w:rPr>
          <w:lang w:val="fr-FR"/>
        </w:rPr>
      </w:pPr>
      <w:r>
        <w:t xml:space="preserve">The case of the </w:t>
      </w:r>
      <w:r>
        <w:rPr>
          <w:i/>
          <w:iCs/>
        </w:rPr>
        <w:t xml:space="preserve">Ancona </w:t>
      </w:r>
      <w:r>
        <w:t xml:space="preserve">was a typical example of how naval warfare was </w:t>
      </w:r>
      <w:r w:rsidR="00775AE7" w:rsidRPr="00775AE7">
        <w:t>us</w:t>
      </w:r>
      <w:r w:rsidRPr="00775AE7">
        <w:t>ed</w:t>
      </w:r>
      <w:r>
        <w:t xml:space="preserve"> by the French aerial newspaper </w:t>
      </w:r>
      <w:r>
        <w:rPr>
          <w:i/>
          <w:iCs/>
        </w:rPr>
        <w:t>La Voix du Pays</w:t>
      </w:r>
      <w:r>
        <w:t xml:space="preserve">. On 8 November 1915, the Italian ship </w:t>
      </w:r>
      <w:r>
        <w:rPr>
          <w:i/>
          <w:iCs/>
        </w:rPr>
        <w:t xml:space="preserve">Ancona, </w:t>
      </w:r>
      <w:r>
        <w:t>carrying 496 people from Naples to New York, was torpedoed by a German submarine operating under the flag of</w:t>
      </w:r>
      <w:r w:rsidR="00CB0445">
        <w:t xml:space="preserve"> the Austro-Hungarian e</w:t>
      </w:r>
      <w:r>
        <w:t>mpire. Nine American citizens were killed in this incident in which the lives of two hundred people were lost. Inevitably, the sinking triggered a major diplomatic crisis between the United States and Austria who had been forced to take full responsibility to cover her ally.</w:t>
      </w:r>
      <w:r>
        <w:rPr>
          <w:rStyle w:val="FootnoteReference"/>
        </w:rPr>
        <w:footnoteReference w:id="753"/>
      </w:r>
      <w:r>
        <w:t xml:space="preserve"> </w:t>
      </w:r>
      <w:r w:rsidRPr="00065BE6">
        <w:rPr>
          <w:lang w:val="fr-FR"/>
        </w:rPr>
        <w:t xml:space="preserve">The incident was reported by </w:t>
      </w:r>
      <w:r w:rsidRPr="00065BE6">
        <w:rPr>
          <w:i/>
          <w:iCs/>
          <w:lang w:val="fr-FR"/>
        </w:rPr>
        <w:t>La Voix du Pays</w:t>
      </w:r>
      <w:r w:rsidRPr="00065BE6">
        <w:rPr>
          <w:lang w:val="fr-FR"/>
        </w:rPr>
        <w:t>:</w:t>
      </w:r>
    </w:p>
    <w:p w14:paraId="0C2EE8CE" w14:textId="77777777" w:rsidR="0048510E" w:rsidRDefault="0048510E" w:rsidP="0048510E">
      <w:pPr>
        <w:ind w:left="567" w:right="567"/>
        <w:jc w:val="both"/>
        <w:rPr>
          <w:lang w:val="fr-FR"/>
        </w:rPr>
      </w:pPr>
      <w:r w:rsidRPr="009319AA">
        <w:rPr>
          <w:lang w:val="fr-FR"/>
        </w:rPr>
        <w:t>On se souvient que ce navire, chargé d’émigrants pour l’Amérique, a été, sans ave</w:t>
      </w:r>
      <w:r>
        <w:rPr>
          <w:lang w:val="fr-FR"/>
        </w:rPr>
        <w:t>rtissement, canonné puis coulé par un sous-marin dans la Méditerranée. Plus de deux cent passagers, en majorité femmes et enfants, périrent victimes de cet attentat qui a soulevé la réprobation universelle et provoque actuellement un échange de notes entre les Etats-Unis et l’Autriche-Hongrie. Le sous-marin arborait en effet le pavillon autrichien ; mais il y a beaucoup de raisons de penser qu’en fait il était allemand. Par cet acte de sauvage terrorisme, l’ennemi espérait peut-être intimider l’Italie ; il n’a fait que rendre plus énergique sa décision de poursuivre une lutte impitoyable.</w:t>
      </w:r>
      <w:r>
        <w:rPr>
          <w:rStyle w:val="FootnoteReference"/>
          <w:lang w:val="fr-FR"/>
        </w:rPr>
        <w:footnoteReference w:id="754"/>
      </w:r>
    </w:p>
    <w:p w14:paraId="7EA5E027" w14:textId="7B458195" w:rsidR="0048510E" w:rsidRDefault="0048510E" w:rsidP="0048510E">
      <w:pPr>
        <w:jc w:val="both"/>
      </w:pPr>
      <w:r w:rsidRPr="00990540">
        <w:t>T</w:t>
      </w:r>
      <w:r>
        <w:t xml:space="preserve">he semantic choice was without ambiguity. Immigrant women and children, killed without warning, were victims of a savage terrorist act of intimidation. During the year 1916, other articles about the </w:t>
      </w:r>
      <w:r>
        <w:rPr>
          <w:i/>
          <w:iCs/>
        </w:rPr>
        <w:t xml:space="preserve">Ancona </w:t>
      </w:r>
      <w:r>
        <w:t xml:space="preserve">followed while the incident of the </w:t>
      </w:r>
      <w:r>
        <w:rPr>
          <w:i/>
          <w:iCs/>
        </w:rPr>
        <w:t xml:space="preserve">Lusitania </w:t>
      </w:r>
      <w:r>
        <w:t xml:space="preserve">was </w:t>
      </w:r>
      <w:r w:rsidR="00544F32">
        <w:t>remembered</w:t>
      </w:r>
      <w:r>
        <w:t xml:space="preserve"> no </w:t>
      </w:r>
      <w:r w:rsidR="00544F32">
        <w:t>fewer</w:t>
      </w:r>
      <w:r>
        <w:t xml:space="preserve"> than seven </w:t>
      </w:r>
      <w:r w:rsidR="00D774B3">
        <w:t>times</w:t>
      </w:r>
      <w:r>
        <w:t xml:space="preserve"> in the twenty-six issues published.</w:t>
      </w:r>
      <w:r>
        <w:rPr>
          <w:rStyle w:val="FootnoteReference"/>
        </w:rPr>
        <w:footnoteReference w:id="755"/>
      </w:r>
      <w:r>
        <w:t xml:space="preserve"> The short-lived Belgian </w:t>
      </w:r>
      <w:r>
        <w:rPr>
          <w:i/>
          <w:iCs/>
        </w:rPr>
        <w:t>Clairon du Roi</w:t>
      </w:r>
      <w:r>
        <w:t xml:space="preserve"> also mentioned </w:t>
      </w:r>
      <w:r w:rsidRPr="001B3FFB">
        <w:t>the</w:t>
      </w:r>
      <w:r>
        <w:t xml:space="preserve"> submarine warfare </w:t>
      </w:r>
      <w:r w:rsidR="00D774B3">
        <w:t>once</w:t>
      </w:r>
      <w:r>
        <w:t>. In its last issue published November 1916, the ‘Boches’ submarines were denounced for their violation of the territorial waters of Norway and their complete contempt for the liberty of small nations.</w:t>
      </w:r>
      <w:r>
        <w:rPr>
          <w:rStyle w:val="FootnoteReference"/>
        </w:rPr>
        <w:footnoteReference w:id="756"/>
      </w:r>
      <w:r>
        <w:t xml:space="preserve"> </w:t>
      </w:r>
    </w:p>
    <w:p w14:paraId="3C9536A6" w14:textId="000ACB19" w:rsidR="0048510E" w:rsidRDefault="0048510E" w:rsidP="0048510E">
      <w:pPr>
        <w:jc w:val="both"/>
      </w:pPr>
      <w:r>
        <w:t xml:space="preserve">The second part of the year 1916 saw the </w:t>
      </w:r>
      <w:r w:rsidR="00775AE7">
        <w:t xml:space="preserve">appearance </w:t>
      </w:r>
      <w:r>
        <w:t>of a graver subject used to s</w:t>
      </w:r>
      <w:r w:rsidR="00544F32">
        <w:t>tain the reputation of Germany:</w:t>
      </w:r>
      <w:r>
        <w:t xml:space="preserve"> the Armenian genocide. The massacre was first mentioned on 22 August in the French </w:t>
      </w:r>
      <w:r>
        <w:rPr>
          <w:i/>
          <w:iCs/>
        </w:rPr>
        <w:t>Voix du Pays</w:t>
      </w:r>
      <w:r>
        <w:t xml:space="preserve">. Despite identifying the Turks as the perpetrators, the authors of the article managed to raise </w:t>
      </w:r>
      <w:r w:rsidR="00544F32">
        <w:t>questions</w:t>
      </w:r>
      <w:r>
        <w:t xml:space="preserve"> about Germany’s involvement:</w:t>
      </w:r>
    </w:p>
    <w:p w14:paraId="435E4928" w14:textId="77777777" w:rsidR="0048510E" w:rsidRPr="002D63BE" w:rsidRDefault="0048510E" w:rsidP="0048510E">
      <w:pPr>
        <w:ind w:left="567" w:right="567"/>
        <w:jc w:val="both"/>
        <w:rPr>
          <w:lang w:val="fr-FR"/>
        </w:rPr>
      </w:pPr>
      <w:r>
        <w:rPr>
          <w:lang w:val="fr-FR"/>
        </w:rPr>
        <w:t>[…]</w:t>
      </w:r>
      <w:r w:rsidRPr="002D63BE">
        <w:rPr>
          <w:lang w:val="fr-FR"/>
        </w:rPr>
        <w:t>Les Turcs ont voulu saisir ce</w:t>
      </w:r>
      <w:r>
        <w:rPr>
          <w:lang w:val="fr-FR"/>
        </w:rPr>
        <w:t>tte occasion d’exterminer un peu</w:t>
      </w:r>
      <w:r w:rsidRPr="002D63BE">
        <w:rPr>
          <w:lang w:val="fr-FR"/>
        </w:rPr>
        <w:t xml:space="preserve">ple </w:t>
      </w:r>
      <w:r>
        <w:rPr>
          <w:lang w:val="fr-FR"/>
        </w:rPr>
        <w:t xml:space="preserve">détesté. Une seule nation eut pu empêcher cette boucherie sans nom, c’est l’Allemagne, puissance suzeraine et maitresse de la Turquie. </w:t>
      </w:r>
      <w:r>
        <w:rPr>
          <w:i/>
          <w:iCs/>
          <w:lang w:val="fr-FR"/>
        </w:rPr>
        <w:t>L’Allemagne n’a pas dit un mot en faveur des victimes innocentes de la férocité ottomane</w:t>
      </w:r>
      <w:r>
        <w:rPr>
          <w:lang w:val="fr-FR"/>
        </w:rPr>
        <w:t xml:space="preserve">. [In italic in the text]. Bien mieux la censure allemande a interdit aux journaux de mentionner les évènements d’Arménie. </w:t>
      </w:r>
      <w:r w:rsidRPr="00173F8E">
        <w:rPr>
          <w:lang w:val="fr-FR"/>
        </w:rPr>
        <w:t xml:space="preserve">[…] </w:t>
      </w:r>
      <w:r w:rsidRPr="002D63BE">
        <w:rPr>
          <w:lang w:val="fr-FR"/>
        </w:rPr>
        <w:t xml:space="preserve">Le silence de l’Allemagne officielle est significatif. Personne au reste ne s’en étonnera ; c’est aussi par la terreur que </w:t>
      </w:r>
      <w:r>
        <w:rPr>
          <w:lang w:val="fr-FR"/>
        </w:rPr>
        <w:t>l’Allemagne prétend établir son autorité. Mais un temps viendra où les crimes commis contre l’humanité trouveront leur châtiment.</w:t>
      </w:r>
      <w:r>
        <w:rPr>
          <w:rStyle w:val="FootnoteReference"/>
          <w:lang w:val="fr-FR"/>
        </w:rPr>
        <w:footnoteReference w:id="757"/>
      </w:r>
    </w:p>
    <w:p w14:paraId="13296EFB" w14:textId="64A4E46F" w:rsidR="0048510E" w:rsidRPr="0026438A" w:rsidRDefault="0048510E" w:rsidP="0048510E">
      <w:pPr>
        <w:jc w:val="both"/>
      </w:pPr>
      <w:r>
        <w:t xml:space="preserve">It is relevant to note that in the whole article the words </w:t>
      </w:r>
      <w:r>
        <w:rPr>
          <w:i/>
          <w:iCs/>
        </w:rPr>
        <w:t xml:space="preserve">Allemagne </w:t>
      </w:r>
      <w:r>
        <w:t xml:space="preserve">or </w:t>
      </w:r>
      <w:r>
        <w:rPr>
          <w:i/>
          <w:iCs/>
        </w:rPr>
        <w:t>Allemands</w:t>
      </w:r>
      <w:r>
        <w:t xml:space="preserve"> were mentioned no less than eight times while the term </w:t>
      </w:r>
      <w:r>
        <w:rPr>
          <w:i/>
          <w:iCs/>
        </w:rPr>
        <w:t xml:space="preserve">Turcs </w:t>
      </w:r>
      <w:r>
        <w:t xml:space="preserve">was only used on four occasions. Undeniably, Germany’s </w:t>
      </w:r>
      <w:r w:rsidR="001B3FFB">
        <w:t>did not</w:t>
      </w:r>
      <w:r>
        <w:t xml:space="preserve"> </w:t>
      </w:r>
      <w:r w:rsidR="001B3FFB">
        <w:t>react</w:t>
      </w:r>
      <w:r w:rsidR="00544F32">
        <w:t xml:space="preserve"> to bring the genocide to halt and t</w:t>
      </w:r>
      <w:r w:rsidR="001B3FFB">
        <w:t>he Kaiser even had military advisors</w:t>
      </w:r>
      <w:r w:rsidR="00544F32">
        <w:t xml:space="preserve"> in the Ottoman empire</w:t>
      </w:r>
      <w:r w:rsidR="001B3FFB">
        <w:t>.</w:t>
      </w:r>
      <w:r>
        <w:rPr>
          <w:rStyle w:val="FootnoteReference"/>
        </w:rPr>
        <w:footnoteReference w:id="758"/>
      </w:r>
      <w:r>
        <w:t xml:space="preserve"> Yet, the accusation implied in this text, coupled with the lack of balance when mentioning the perpetrators of the genocide and their silent ally, went far beyond the facts. According to French propagandist, Germany’s contempt for international laws set a precedent </w:t>
      </w:r>
      <w:r w:rsidR="00544F32">
        <w:t>for</w:t>
      </w:r>
      <w:r>
        <w:t xml:space="preserve"> nations wanting to commit crimes against humanity.</w:t>
      </w:r>
      <w:r>
        <w:rPr>
          <w:rStyle w:val="FootnoteReference"/>
        </w:rPr>
        <w:footnoteReference w:id="759"/>
      </w:r>
      <w:r>
        <w:rPr>
          <w:i/>
          <w:iCs/>
        </w:rPr>
        <w:t xml:space="preserve"> </w:t>
      </w:r>
      <w:r>
        <w:t xml:space="preserve">In terms of potential communication gains, there were rational reasons </w:t>
      </w:r>
      <w:r w:rsidR="00D774B3">
        <w:t>for implicating</w:t>
      </w:r>
      <w:r>
        <w:t xml:space="preserve"> the Germans in the Armenian genocide. It was easier for the French living in the invaded territories to relate to the harshness of the German authorities, which they were all experiencing first hand</w:t>
      </w:r>
      <w:r w:rsidR="00D774B3">
        <w:t>, than to</w:t>
      </w:r>
      <w:r w:rsidR="00544F32">
        <w:t xml:space="preserve"> atrocities in</w:t>
      </w:r>
      <w:r w:rsidR="00D774B3">
        <w:t xml:space="preserve"> the far away Ottoman e</w:t>
      </w:r>
      <w:r>
        <w:t>mpire.</w:t>
      </w:r>
      <w:r>
        <w:rPr>
          <w:rStyle w:val="FootnoteReference"/>
        </w:rPr>
        <w:footnoteReference w:id="760"/>
      </w:r>
      <w:r>
        <w:t xml:space="preserve"> </w:t>
      </w:r>
    </w:p>
    <w:p w14:paraId="379358CB" w14:textId="7694A4A5" w:rsidR="0048510E" w:rsidRDefault="0048510E" w:rsidP="00905B4F">
      <w:pPr>
        <w:jc w:val="both"/>
      </w:pPr>
      <w:r>
        <w:t xml:space="preserve">The subject was mentioned again at the beginning of September 1916, but this time in the fake French-made </w:t>
      </w:r>
      <w:r>
        <w:rPr>
          <w:i/>
          <w:iCs/>
        </w:rPr>
        <w:t>Gazette des Ardennes</w:t>
      </w:r>
      <w:r>
        <w:t xml:space="preserve">. The </w:t>
      </w:r>
      <w:r w:rsidR="00905B4F">
        <w:t>newspaper</w:t>
      </w:r>
      <w:r>
        <w:t xml:space="preserve"> reproduced a translation of a German letter written by </w:t>
      </w:r>
      <w:r>
        <w:rPr>
          <w:i/>
          <w:iCs/>
        </w:rPr>
        <w:t xml:space="preserve">Realschule </w:t>
      </w:r>
      <w:r>
        <w:t>teachers based in</w:t>
      </w:r>
      <w:r w:rsidR="00D774B3">
        <w:t xml:space="preserve"> Aleppo and sent to the German foreign o</w:t>
      </w:r>
      <w:r>
        <w:t>ffice in Berlin.</w:t>
      </w:r>
      <w:r>
        <w:rPr>
          <w:rStyle w:val="FootnoteReference"/>
        </w:rPr>
        <w:footnoteReference w:id="761"/>
      </w:r>
      <w:r>
        <w:t xml:space="preserve"> The original text was a first-hand account of the rapes, tortures and murders inflicted on the Armenian population of the city. This let</w:t>
      </w:r>
      <w:r w:rsidR="00D774B3">
        <w:t>ter was part of a bigger effort</w:t>
      </w:r>
      <w:r>
        <w:t xml:space="preserve"> made by the teachers in collaboration with the Germa</w:t>
      </w:r>
      <w:r w:rsidR="00D774B3">
        <w:t>n consul Hoffmann to alert the e</w:t>
      </w:r>
      <w:r>
        <w:t>mbassy in Constantinople. Dr. Niepage, one of the authors of the letter, later explained that this graphic narration had been written to raise the awareness in Germany and try to provoke a governmental reaction. The teachers also wanted to warn the German authorities about the f</w:t>
      </w:r>
      <w:r w:rsidR="00D774B3">
        <w:t>eelings of the local population</w:t>
      </w:r>
      <w:r>
        <w:t>. Indeed, the people of Aleppo were allegedly unable to believe that their own government was behind the massacre. According to Niepage, the blame was put on Germany and her overwhelming influence over the Sublime Porte.</w:t>
      </w:r>
      <w:r>
        <w:rPr>
          <w:rStyle w:val="FootnoteReference"/>
        </w:rPr>
        <w:footnoteReference w:id="762"/>
      </w:r>
      <w:r>
        <w:t xml:space="preserve"> Whether true or not, there was no doubt that the letter was a real gift for allied propaganda. Presented without context, it looked like an admission of guilt: </w:t>
      </w:r>
    </w:p>
    <w:p w14:paraId="2AC233C5" w14:textId="77777777" w:rsidR="0048510E" w:rsidRDefault="0048510E" w:rsidP="0048510E">
      <w:pPr>
        <w:ind w:left="567" w:right="567"/>
        <w:jc w:val="both"/>
        <w:rPr>
          <w:lang w:val="fr-FR"/>
        </w:rPr>
      </w:pPr>
      <w:r w:rsidRPr="00173F8E">
        <w:rPr>
          <w:lang w:val="fr-FR"/>
        </w:rPr>
        <w:t xml:space="preserve">[…] </w:t>
      </w:r>
      <w:r w:rsidRPr="00803FEC">
        <w:rPr>
          <w:lang w:val="fr-FR"/>
        </w:rPr>
        <w:t xml:space="preserve">C’est là </w:t>
      </w:r>
      <w:r>
        <w:rPr>
          <w:lang w:val="fr-FR"/>
        </w:rPr>
        <w:t>« </w:t>
      </w:r>
      <w:r w:rsidRPr="00803FEC">
        <w:rPr>
          <w:lang w:val="fr-FR"/>
        </w:rPr>
        <w:t xml:space="preserve">Ta-â-lim el </w:t>
      </w:r>
      <w:r>
        <w:rPr>
          <w:lang w:val="fr-FR"/>
        </w:rPr>
        <w:t>alman » (la doctrine des Allemands), disent les indigènes. Il est à craindre que l’honneur allemand ne soit terni de taches abominables dans le souvenir que garderont désormais de ce temps les peuples orientaux. Les Allemands, disent les plus cultivés des habitants d’Alep, ne veulent pas ces cruautés. Peut-être même le peuple allemand n’en est-il pas instruit. S’il en était autrement, comment serait-il possible que les Allemands, qui aiment la vérité, fissent paraître des articles de journaux où l’on parle de l’humanité du traitement auquel sont soumis des Arméniens coupables de haute trahison ! Mais peut-être le gouvernement allemand a-t-il les mains liées par certains traités fixant ses attributions et celles des Turcs ?[…]</w:t>
      </w:r>
      <w:r>
        <w:rPr>
          <w:rStyle w:val="FootnoteReference"/>
          <w:lang w:val="fr-FR"/>
        </w:rPr>
        <w:footnoteReference w:id="763"/>
      </w:r>
    </w:p>
    <w:p w14:paraId="7748E61A" w14:textId="37CD2772" w:rsidR="0048510E" w:rsidRDefault="0048510E" w:rsidP="0048510E">
      <w:pPr>
        <w:jc w:val="both"/>
      </w:pPr>
      <w:r w:rsidRPr="001B3FFB">
        <w:t>The instrumentalisation of the Armenian genocide was al</w:t>
      </w:r>
      <w:r w:rsidR="00913FF1" w:rsidRPr="001B3FFB">
        <w:t>so used</w:t>
      </w:r>
      <w:r w:rsidR="00913FF1">
        <w:t xml:space="preserve"> by the French on their home f</w:t>
      </w:r>
      <w:r>
        <w:t xml:space="preserve">ront and bore many similarities to what had been done in the newspaper aimed at the occupied territories. </w:t>
      </w:r>
      <w:r w:rsidRPr="00F619D8">
        <w:t xml:space="preserve">A book </w:t>
      </w:r>
      <w:r w:rsidR="00565E09">
        <w:t>en</w:t>
      </w:r>
      <w:r w:rsidRPr="00F619D8">
        <w:t xml:space="preserve">titled </w:t>
      </w:r>
      <w:r w:rsidRPr="00F619D8">
        <w:rPr>
          <w:i/>
          <w:iCs/>
        </w:rPr>
        <w:t>L’Arménie et la question arménienne</w:t>
      </w:r>
      <w:r w:rsidRPr="00F619D8">
        <w:t>, publi</w:t>
      </w:r>
      <w:r>
        <w:t xml:space="preserve">shed in Laval in 1917, reproduced an earlier version of the </w:t>
      </w:r>
      <w:r w:rsidRPr="00F619D8">
        <w:t>letter</w:t>
      </w:r>
      <w:r>
        <w:t xml:space="preserve"> written by the </w:t>
      </w:r>
      <w:r>
        <w:rPr>
          <w:i/>
          <w:iCs/>
        </w:rPr>
        <w:t xml:space="preserve">Realschule </w:t>
      </w:r>
      <w:r>
        <w:t>teachers</w:t>
      </w:r>
      <w:r w:rsidRPr="00F619D8">
        <w:t xml:space="preserve"> to </w:t>
      </w:r>
      <w:r>
        <w:t>prove the responsibility of Germany in the genocide.</w:t>
      </w:r>
      <w:r>
        <w:rPr>
          <w:rStyle w:val="FootnoteReference"/>
        </w:rPr>
        <w:footnoteReference w:id="764"/>
      </w:r>
      <w:r w:rsidRPr="00F619D8">
        <w:t xml:space="preserve"> </w:t>
      </w:r>
      <w:r>
        <w:t xml:space="preserve">Despite these efforts, the subject did not raise a vast campaign of indignation such as the outrage following the invasion of Belgium in 1914 or the submarine warfare in 1915. The Armenian genocide was mentioned one last time in another faked </w:t>
      </w:r>
      <w:r>
        <w:rPr>
          <w:i/>
          <w:iCs/>
        </w:rPr>
        <w:t>Gazette des Ardennes</w:t>
      </w:r>
      <w:r>
        <w:t xml:space="preserve"> of December 1916 where Germany was once again denounced for the passivity she was displaying against this </w:t>
      </w:r>
      <w:r w:rsidRPr="00D774B3">
        <w:t>‘</w:t>
      </w:r>
      <w:r w:rsidRPr="00D774B3">
        <w:rPr>
          <w:iCs/>
        </w:rPr>
        <w:t>crime monstrueux’</w:t>
      </w:r>
      <w:r>
        <w:t>.</w:t>
      </w:r>
      <w:r>
        <w:rPr>
          <w:rStyle w:val="FootnoteReference"/>
        </w:rPr>
        <w:footnoteReference w:id="765"/>
      </w:r>
      <w:r>
        <w:t xml:space="preserve"> Yet, the Armenian genocide vanished from allied propaganda aimed at the occupied territories as </w:t>
      </w:r>
      <w:r w:rsidR="00544F32">
        <w:t>early</w:t>
      </w:r>
      <w:r>
        <w:t xml:space="preserve"> as January 1917 and never came back. In the absence of documentation, the reasons for this disappearance remain unclear. It is suppos</w:t>
      </w:r>
      <w:r w:rsidR="00D774B3">
        <w:t>ed that the subject fell victim</w:t>
      </w:r>
      <w:r>
        <w:t xml:space="preserve"> to the propaganda principle stating that all news designed to agitate the public opinion are extremely perishable and must therefore be either constantly renewed or replaced.</w:t>
      </w:r>
      <w:r>
        <w:rPr>
          <w:rStyle w:val="FootnoteReference"/>
        </w:rPr>
        <w:footnoteReference w:id="766"/>
      </w:r>
    </w:p>
    <w:p w14:paraId="42B075F8" w14:textId="77777777" w:rsidR="0048510E" w:rsidRDefault="0048510E" w:rsidP="0048510E">
      <w:pPr>
        <w:pStyle w:val="Heading2"/>
      </w:pPr>
      <w:bookmarkStart w:id="75" w:name="_Toc378223876"/>
      <w:bookmarkStart w:id="76" w:name="_Toc402192987"/>
      <w:r>
        <w:t>Fabricated lies</w:t>
      </w:r>
      <w:bookmarkEnd w:id="75"/>
      <w:bookmarkEnd w:id="76"/>
    </w:p>
    <w:p w14:paraId="06AA951F" w14:textId="3652850B" w:rsidR="0048510E" w:rsidRDefault="0048510E" w:rsidP="00905B4F">
      <w:pPr>
        <w:jc w:val="both"/>
      </w:pPr>
      <w:r>
        <w:t xml:space="preserve">The launch of a British newspaper aimed at the invaded populations in 1917 radically changed the tone of atrocity propaganda. Chapter three showed that one of the leading British propagandists working on the </w:t>
      </w:r>
      <w:r>
        <w:rPr>
          <w:i/>
          <w:iCs/>
        </w:rPr>
        <w:t>Courrier de l’Air</w:t>
      </w:r>
      <w:r>
        <w:t xml:space="preserve">, Heron-Allen, used in the </w:t>
      </w:r>
      <w:r w:rsidR="00905B4F">
        <w:t>newspaper</w:t>
      </w:r>
      <w:r>
        <w:t xml:space="preserve"> what he described as ‘humorous and abusive – comic, scurrilous, or scandalous stories about the Germans, revealing their weaknesses or immoralities, and making fun of their institutions and war regulations’.</w:t>
      </w:r>
      <w:r>
        <w:rPr>
          <w:rStyle w:val="FootnoteReference"/>
        </w:rPr>
        <w:footnoteReference w:id="767"/>
      </w:r>
      <w:r>
        <w:t xml:space="preserve"> The papers of Edward Heron-Allen revealed that the use of atrocity and hate propaganda was his decision alone.</w:t>
      </w:r>
      <w:r>
        <w:rPr>
          <w:rStyle w:val="FootnoteReference"/>
        </w:rPr>
        <w:footnoteReference w:id="768"/>
      </w:r>
      <w:r>
        <w:t xml:space="preserve"> This admission was important as Edward Heron-Allen was not a professional soldier and had never seen combat. In fact, the middle-age</w:t>
      </w:r>
      <w:r w:rsidR="007C5DA3">
        <w:t>d</w:t>
      </w:r>
      <w:r>
        <w:t xml:space="preserve"> man was more than fifty years old and was spending, even after joining MI7, a comfortable </w:t>
      </w:r>
      <w:r w:rsidR="007C5DA3" w:rsidRPr="001B3FFB">
        <w:t>life</w:t>
      </w:r>
      <w:r w:rsidRPr="001B3FFB">
        <w:t xml:space="preserve"> in London.</w:t>
      </w:r>
      <w:r w:rsidRPr="001B3FFB">
        <w:rPr>
          <w:rStyle w:val="FootnoteReference"/>
        </w:rPr>
        <w:footnoteReference w:id="769"/>
      </w:r>
      <w:r>
        <w:t xml:space="preserve"> Despite this disconnection with the reality of warfare, Heron-Allen had been deeply impregnated by war culture and was willingly twisting his own intellectual integrity to contribute to the national effort through the </w:t>
      </w:r>
      <w:r w:rsidR="007C5DA3">
        <w:t>war o</w:t>
      </w:r>
      <w:r>
        <w:t>ffice. This complicity between authorities and</w:t>
      </w:r>
      <w:r w:rsidR="007C5DA3">
        <w:t xml:space="preserve"> public has been summarised qui</w:t>
      </w:r>
      <w:r>
        <w:t>t</w:t>
      </w:r>
      <w:r w:rsidR="007C5DA3">
        <w:t>e</w:t>
      </w:r>
      <w:r>
        <w:t xml:space="preserve"> simply by Jay Winter who underlined that the ‘effort to mobilize the imagination in wartime came from below’.</w:t>
      </w:r>
      <w:r>
        <w:rPr>
          <w:rStyle w:val="FootnoteReference"/>
        </w:rPr>
        <w:footnoteReference w:id="770"/>
      </w:r>
      <w:r>
        <w:t xml:space="preserve"> It must be remembered that barbarism was already an established tool of warfare, already used during the Boer War. Heron-Allen was probably inspired by a decade of articles advocating the notion of barbarism when he decided to introduce it in the </w:t>
      </w:r>
      <w:r>
        <w:rPr>
          <w:i/>
          <w:iCs/>
        </w:rPr>
        <w:t>Courrier de l’Air</w:t>
      </w:r>
      <w:r>
        <w:t>.</w:t>
      </w:r>
      <w:r>
        <w:rPr>
          <w:rStyle w:val="FootnoteReference"/>
        </w:rPr>
        <w:footnoteReference w:id="771"/>
      </w:r>
      <w:r w:rsidR="009E63B0">
        <w:t xml:space="preserve"> However, war culture</w:t>
      </w:r>
      <w:r>
        <w:t xml:space="preserve"> </w:t>
      </w:r>
      <w:r w:rsidR="009E63B0">
        <w:t>(</w:t>
      </w:r>
      <w:r>
        <w:t>too often used to justify any First World War phenomenon</w:t>
      </w:r>
      <w:r w:rsidR="009E63B0">
        <w:t>,</w:t>
      </w:r>
      <w:r>
        <w:t xml:space="preserve"> </w:t>
      </w:r>
      <w:r w:rsidR="009E63B0">
        <w:t>as Christophe Prochasson argued)</w:t>
      </w:r>
      <w:r>
        <w:t xml:space="preserve"> was not the only reason for a violent campaign against the Germans.</w:t>
      </w:r>
      <w:r>
        <w:rPr>
          <w:rStyle w:val="FootnoteReference"/>
        </w:rPr>
        <w:footnoteReference w:id="772"/>
      </w:r>
      <w:r>
        <w:t xml:space="preserve"> Germany’s own propaganda in the occupied territories was resolutely playing on Anglophobia. This point, already raised before and developed later in the chapter, suggested that Britain </w:t>
      </w:r>
      <w:r w:rsidR="00565E09">
        <w:t>was trying to give</w:t>
      </w:r>
      <w:r>
        <w:t xml:space="preserve"> Germany a taste of her own medicine.</w:t>
      </w:r>
    </w:p>
    <w:p w14:paraId="59277A8F" w14:textId="74C8CEE3" w:rsidR="0048510E" w:rsidRPr="00146C63" w:rsidRDefault="0048510E" w:rsidP="0048510E">
      <w:pPr>
        <w:jc w:val="both"/>
        <w:rPr>
          <w:lang w:val="fr-FR"/>
        </w:rPr>
      </w:pPr>
      <w:r>
        <w:t xml:space="preserve">Attempts to undermine the reputation of the enemy appeared less than a month after </w:t>
      </w:r>
      <w:r>
        <w:rPr>
          <w:i/>
          <w:iCs/>
        </w:rPr>
        <w:t xml:space="preserve">Le Courrier de l’Air </w:t>
      </w:r>
      <w:r>
        <w:t>was created. On 27 April 1917, it was reported that explosive toys had been given to refugee children by the ‘</w:t>
      </w:r>
      <w:r w:rsidRPr="007C5DA3">
        <w:rPr>
          <w:iCs/>
        </w:rPr>
        <w:t>barbares’</w:t>
      </w:r>
      <w:r>
        <w:t>.</w:t>
      </w:r>
      <w:r>
        <w:rPr>
          <w:rStyle w:val="FootnoteReference"/>
        </w:rPr>
        <w:footnoteReference w:id="773"/>
      </w:r>
      <w:r>
        <w:t xml:space="preserve"> The week after, a brief news</w:t>
      </w:r>
      <w:r w:rsidR="009E63B0">
        <w:t xml:space="preserve"> item</w:t>
      </w:r>
      <w:r>
        <w:t xml:space="preserve"> mentioned how the ‘</w:t>
      </w:r>
      <w:r w:rsidRPr="007C5DA3">
        <w:rPr>
          <w:iCs/>
        </w:rPr>
        <w:t>barbares’</w:t>
      </w:r>
      <w:r>
        <w:t xml:space="preserve"> had opened civilian coffins buried in a cemetery.</w:t>
      </w:r>
      <w:r>
        <w:rPr>
          <w:rStyle w:val="FootnoteReference"/>
        </w:rPr>
        <w:footnoteReference w:id="774"/>
      </w:r>
      <w:r>
        <w:t xml:space="preserve"> In his brilliant semantic analysis, Reinhart Koselleck demonstrated how the word barbarian evolved over time to carry pejorative connotations and mark clear distinctions.</w:t>
      </w:r>
      <w:r>
        <w:rPr>
          <w:rStyle w:val="FootnoteReference"/>
        </w:rPr>
        <w:footnoteReference w:id="775"/>
      </w:r>
      <w:r>
        <w:t xml:space="preserve"> </w:t>
      </w:r>
      <w:r w:rsidR="00515E87">
        <w:t>We</w:t>
      </w:r>
      <w:r>
        <w:t xml:space="preserve">, the peaceful and enlightened people, were opposed </w:t>
      </w:r>
      <w:r w:rsidR="00515E87">
        <w:t>to the enemies of civilization:</w:t>
      </w:r>
      <w:r>
        <w:t xml:space="preserve"> the barbarians. This precise line of attack, as seen later in this chapter, triggered a wave of reactions in the German newspaper </w:t>
      </w:r>
      <w:r>
        <w:rPr>
          <w:i/>
          <w:iCs/>
        </w:rPr>
        <w:t>La Gazette des Ardennes</w:t>
      </w:r>
      <w:r>
        <w:t xml:space="preserve"> where the journalists tried hard to prove the greatness of German culture.</w:t>
      </w:r>
      <w:r>
        <w:rPr>
          <w:rStyle w:val="FootnoteReference"/>
        </w:rPr>
        <w:footnoteReference w:id="776"/>
      </w:r>
      <w:r>
        <w:t xml:space="preserve"> It was clear that the British were willing to go where the French and the Belgians were not ready to follow. Indeed, they had not hesitated to make up or heavily twist events in order to portray the Germans negatively. This point was illustrated by the famous ‘cadaver factory’ story which appeared in the </w:t>
      </w:r>
      <w:r>
        <w:rPr>
          <w:i/>
          <w:iCs/>
        </w:rPr>
        <w:t>Courrier de l’Air</w:t>
      </w:r>
      <w:r>
        <w:t xml:space="preserve"> of 27 April 1917.</w:t>
      </w:r>
      <w:r>
        <w:rPr>
          <w:rStyle w:val="FootnoteReference"/>
        </w:rPr>
        <w:footnoteReference w:id="777"/>
      </w:r>
      <w:r>
        <w:t xml:space="preserve"> </w:t>
      </w:r>
      <w:r w:rsidRPr="00146C63">
        <w:rPr>
          <w:lang w:val="fr-FR"/>
        </w:rPr>
        <w:t>The story w</w:t>
      </w:r>
      <w:r w:rsidR="00515E87">
        <w:rPr>
          <w:lang w:val="fr-FR"/>
        </w:rPr>
        <w:t>as introduced under the title ‘L</w:t>
      </w:r>
      <w:r w:rsidRPr="00146C63">
        <w:rPr>
          <w:lang w:val="fr-FR"/>
        </w:rPr>
        <w:t xml:space="preserve">es </w:t>
      </w:r>
      <w:r w:rsidRPr="007C5DA3">
        <w:rPr>
          <w:iCs/>
          <w:lang w:val="fr-FR"/>
        </w:rPr>
        <w:t>cannibales’</w:t>
      </w:r>
      <w:r w:rsidRPr="00146C63">
        <w:rPr>
          <w:lang w:val="fr-FR"/>
        </w:rPr>
        <w:t>:</w:t>
      </w:r>
    </w:p>
    <w:p w14:paraId="5A95B7E8" w14:textId="77777777" w:rsidR="0048510E" w:rsidRDefault="0048510E" w:rsidP="0048510E">
      <w:pPr>
        <w:ind w:left="567" w:right="567"/>
        <w:jc w:val="both"/>
        <w:rPr>
          <w:lang w:val="fr-FR"/>
        </w:rPr>
      </w:pPr>
      <w:r w:rsidRPr="00146C63">
        <w:rPr>
          <w:lang w:val="fr-FR"/>
        </w:rPr>
        <w:t xml:space="preserve">C’est avec des sentiments d’une inexprimable horreur que le monde civilise, c’est-à-dire le monde </w:t>
      </w:r>
      <w:r>
        <w:rPr>
          <w:lang w:val="fr-FR"/>
        </w:rPr>
        <w:t xml:space="preserve">entier en dehors des Puissances Centrales, vient d’apprendre la manière atroce dont les Boches utilisent les cadavres des malheureux soldats.[…] </w:t>
      </w:r>
    </w:p>
    <w:p w14:paraId="3CBD3811" w14:textId="77777777" w:rsidR="0048510E" w:rsidRDefault="0048510E" w:rsidP="0048510E">
      <w:pPr>
        <w:ind w:left="567" w:right="567"/>
        <w:jc w:val="both"/>
        <w:rPr>
          <w:lang w:val="fr-FR"/>
        </w:rPr>
      </w:pPr>
      <w:r>
        <w:rPr>
          <w:lang w:val="fr-FR"/>
        </w:rPr>
        <w:t>Il s’agit d’utiliser les cadavres des soldats tombés sur le champ de bataille. Toutefois, les Boches, ennuyés de l’effet désastreux de cette révélation indiscrète, affirment que seules les charognes de chevaux et de rats sont utilisées dans de telles usines. Mais d’où vient-il que le ministre allemand à Péking, en vantant l’efficacité scientifique des Allemands, a fait allusion, il y a quelques semaines, à l’utilisation des soldats tués pour en extraire de la graisse ?</w:t>
      </w:r>
      <w:r>
        <w:rPr>
          <w:rStyle w:val="FootnoteReference"/>
          <w:lang w:val="fr-FR"/>
        </w:rPr>
        <w:footnoteReference w:id="778"/>
      </w:r>
    </w:p>
    <w:p w14:paraId="421CB686" w14:textId="56B5BE0B" w:rsidR="0048510E" w:rsidRDefault="0048510E" w:rsidP="00905B4F">
      <w:pPr>
        <w:jc w:val="both"/>
      </w:pPr>
      <w:r>
        <w:t xml:space="preserve">The origins of this fabricated horror story have been traced back to the </w:t>
      </w:r>
      <w:r w:rsidR="007C5DA3">
        <w:t>f</w:t>
      </w:r>
      <w:r>
        <w:t>o</w:t>
      </w:r>
      <w:r w:rsidR="007C5DA3">
        <w:t>reign o</w:t>
      </w:r>
      <w:r>
        <w:t xml:space="preserve">ffice propaganda department directed at allied and neutral targets and familiarly called ‘Wellington House’. This British propaganda department led by Charles Masterman had manipulated information transmitted by Belgian officers as well as an article published in the Berlin newspaper </w:t>
      </w:r>
      <w:r>
        <w:rPr>
          <w:i/>
          <w:iCs/>
        </w:rPr>
        <w:t xml:space="preserve">Lokal Anzeiger </w:t>
      </w:r>
      <w:r>
        <w:t>about the use of animal cadavers to fabricate soap.</w:t>
      </w:r>
      <w:r>
        <w:rPr>
          <w:rStyle w:val="FootnoteReference"/>
        </w:rPr>
        <w:footnoteReference w:id="779"/>
      </w:r>
      <w:r>
        <w:t xml:space="preserve"> The cadaver factory story quickly attracted international attention but was not denounced as a fake until 1925 when it was debated in the British House of Common</w:t>
      </w:r>
      <w:r w:rsidR="007C5DA3">
        <w:t>s</w:t>
      </w:r>
      <w:r>
        <w:t>.</w:t>
      </w:r>
      <w:r>
        <w:rPr>
          <w:rStyle w:val="FootnoteReference"/>
        </w:rPr>
        <w:footnoteReference w:id="780"/>
      </w:r>
      <w:r>
        <w:t xml:space="preserve"> It might be tempting to conclude that MI7 was assisted by Wellington House</w:t>
      </w:r>
      <w:r w:rsidR="007C5DA3" w:rsidRPr="007C5DA3">
        <w:t xml:space="preserve"> </w:t>
      </w:r>
      <w:r w:rsidR="007C5DA3">
        <w:t>in this story</w:t>
      </w:r>
      <w:r>
        <w:t>. Yet, evidence suggested that cooperation between propaganda units was diffi</w:t>
      </w:r>
      <w:r w:rsidR="007C5DA3">
        <w:t>cult or even non-existent. The f</w:t>
      </w:r>
      <w:r>
        <w:t xml:space="preserve">oreign </w:t>
      </w:r>
      <w:r w:rsidR="007C5DA3">
        <w:t>o</w:t>
      </w:r>
      <w:r>
        <w:t xml:space="preserve">ffice and the </w:t>
      </w:r>
      <w:r w:rsidR="007C5DA3">
        <w:t>war o</w:t>
      </w:r>
      <w:r>
        <w:t>ffice were competing for the leadership of British psychological warfare and were therefore working separately.</w:t>
      </w:r>
      <w:r>
        <w:rPr>
          <w:rStyle w:val="FootnoteReference"/>
        </w:rPr>
        <w:footnoteReference w:id="781"/>
      </w:r>
      <w:r>
        <w:t xml:space="preserve">Ironically, it seems that the ‘Kadaververwertungsanstalt’ story was delivered to MI7 by the national press. On 17 April 1917, the </w:t>
      </w:r>
      <w:r>
        <w:rPr>
          <w:i/>
          <w:iCs/>
        </w:rPr>
        <w:t>Times</w:t>
      </w:r>
      <w:r>
        <w:t xml:space="preserve"> and the </w:t>
      </w:r>
      <w:r>
        <w:rPr>
          <w:i/>
          <w:iCs/>
        </w:rPr>
        <w:t>Daily Mail</w:t>
      </w:r>
      <w:r>
        <w:t xml:space="preserve"> had published</w:t>
      </w:r>
      <w:r w:rsidR="007C5DA3" w:rsidRPr="007C5DA3">
        <w:t xml:space="preserve"> </w:t>
      </w:r>
      <w:r w:rsidR="007C5DA3">
        <w:t>the gruesome story</w:t>
      </w:r>
      <w:r>
        <w:t xml:space="preserve"> for the first time in Great Britain.</w:t>
      </w:r>
      <w:r>
        <w:rPr>
          <w:rStyle w:val="FootnoteReference"/>
        </w:rPr>
        <w:footnoteReference w:id="782"/>
      </w:r>
      <w:r>
        <w:t xml:space="preserve"> Those </w:t>
      </w:r>
      <w:r w:rsidR="00905B4F">
        <w:t>newspapers</w:t>
      </w:r>
      <w:r>
        <w:t xml:space="preserve">, as Heron-Allen explained in his notes, were systematically used as an inspiration and one of the main sources of information for the </w:t>
      </w:r>
      <w:r>
        <w:rPr>
          <w:i/>
          <w:iCs/>
        </w:rPr>
        <w:t>Courrier de l’Air</w:t>
      </w:r>
      <w:r>
        <w:t>.</w:t>
      </w:r>
      <w:r>
        <w:rPr>
          <w:rStyle w:val="FootnoteReference"/>
        </w:rPr>
        <w:footnoteReference w:id="783"/>
      </w:r>
      <w:r>
        <w:t xml:space="preserve"> It is therefore unsurprising that the cadaver factory story appeared in the British newspaper aimed at the occupied territories only ten days after it had surfaced on the British home front. In essence, the misinformation fabricated by Wellington House and fed to the British media indirectly contaminated another propaganda department. The story, like all other articles attacking the Germans, was short-lived. It was developed further on 18 May 1917 by the </w:t>
      </w:r>
      <w:r>
        <w:rPr>
          <w:i/>
          <w:iCs/>
        </w:rPr>
        <w:t>Courrier de l’Air</w:t>
      </w:r>
      <w:r>
        <w:t xml:space="preserve"> before disappearing for good</w:t>
      </w:r>
      <w:r w:rsidR="00515E87">
        <w:t xml:space="preserve"> from propaganda</w:t>
      </w:r>
      <w:r>
        <w:t>.</w:t>
      </w:r>
      <w:r>
        <w:rPr>
          <w:rStyle w:val="FootnoteReference"/>
        </w:rPr>
        <w:footnoteReference w:id="784"/>
      </w:r>
    </w:p>
    <w:p w14:paraId="6292FE0E" w14:textId="11CD581F" w:rsidR="0048510E" w:rsidRDefault="0048510E" w:rsidP="00905B4F">
      <w:pPr>
        <w:jc w:val="both"/>
      </w:pPr>
      <w:r>
        <w:t xml:space="preserve">In the first months of </w:t>
      </w:r>
      <w:r w:rsidR="00565E09">
        <w:t xml:space="preserve">the </w:t>
      </w:r>
      <w:r>
        <w:t xml:space="preserve">life of the </w:t>
      </w:r>
      <w:r>
        <w:rPr>
          <w:i/>
          <w:iCs/>
        </w:rPr>
        <w:t>Courrier de l’Air</w:t>
      </w:r>
      <w:r>
        <w:t xml:space="preserve">, the amount of hate propaganda in the British newspaper remained constant – at least one article per issue in April and May 1917. Since the British </w:t>
      </w:r>
      <w:r w:rsidR="00905B4F">
        <w:t>newspaper</w:t>
      </w:r>
      <w:r>
        <w:t xml:space="preserve"> brought a new style to aerial propaganda, we must examine </w:t>
      </w:r>
      <w:r w:rsidR="007C5DA3">
        <w:t>whether</w:t>
      </w:r>
      <w:r>
        <w:t xml:space="preserve"> this strategy had an influence on French and Belgian propaganda. A study of the articles contained in the French </w:t>
      </w:r>
      <w:r>
        <w:rPr>
          <w:i/>
          <w:iCs/>
        </w:rPr>
        <w:t>Voix du Pays</w:t>
      </w:r>
      <w:r>
        <w:t xml:space="preserve"> clearly demonstrated that the British had absolutely no influence on their ally. The same pattern as studied earlier</w:t>
      </w:r>
      <w:r w:rsidR="00515E87">
        <w:t xml:space="preserve"> -</w:t>
      </w:r>
      <w:r>
        <w:t xml:space="preserve"> the denunciation of subma</w:t>
      </w:r>
      <w:r w:rsidR="00515E87">
        <w:t>rine warfare or verified crimes -</w:t>
      </w:r>
      <w:r>
        <w:t xml:space="preserve"> applied from 1915 to 1918.</w:t>
      </w:r>
      <w:r>
        <w:rPr>
          <w:rStyle w:val="FootnoteReference"/>
        </w:rPr>
        <w:footnoteReference w:id="785"/>
      </w:r>
      <w:r>
        <w:t xml:space="preserve"> The same indifference was observed in Belgian propaganda. Despite being financed by the British, the </w:t>
      </w:r>
      <w:r>
        <w:rPr>
          <w:i/>
          <w:iCs/>
        </w:rPr>
        <w:t>Lettre du Soldat</w:t>
      </w:r>
      <w:r>
        <w:t xml:space="preserve"> did not show signs of excessive</w:t>
      </w:r>
      <w:r w:rsidR="007C5DA3">
        <w:t>ly</w:t>
      </w:r>
      <w:r>
        <w:t xml:space="preserve"> brutalised narration.</w:t>
      </w:r>
      <w:r>
        <w:rPr>
          <w:rStyle w:val="FootnoteReference"/>
        </w:rPr>
        <w:footnoteReference w:id="786"/>
      </w:r>
      <w:r>
        <w:t xml:space="preserve"> Therefore, it can be said without a doubt that the use of violent and fabricated hate propaganda in allied newspapers aimed at the occupied territories </w:t>
      </w:r>
      <w:r w:rsidR="00565E09">
        <w:t>began and remained</w:t>
      </w:r>
      <w:r>
        <w:t xml:space="preserve"> a specifically British phenomenon</w:t>
      </w:r>
      <w:r w:rsidR="00565E09" w:rsidRPr="00565E09">
        <w:t xml:space="preserve"> </w:t>
      </w:r>
      <w:r w:rsidR="00565E09">
        <w:t>until the end of the war</w:t>
      </w:r>
      <w:r>
        <w:t xml:space="preserve">. </w:t>
      </w:r>
    </w:p>
    <w:p w14:paraId="3C2954F3" w14:textId="438F481A" w:rsidR="0048510E" w:rsidRPr="006B0952" w:rsidRDefault="0048510E" w:rsidP="0048510E">
      <w:pPr>
        <w:jc w:val="both"/>
      </w:pPr>
      <w:r>
        <w:t xml:space="preserve">In fact, even the British did not </w:t>
      </w:r>
      <w:r w:rsidR="00515E87">
        <w:t>consistently</w:t>
      </w:r>
      <w:r w:rsidR="007C5DA3">
        <w:t xml:space="preserve"> </w:t>
      </w:r>
      <w:r>
        <w:t xml:space="preserve">portray the Germans as monsters. A systematic study of the </w:t>
      </w:r>
      <w:r>
        <w:rPr>
          <w:i/>
          <w:iCs/>
        </w:rPr>
        <w:t>Courrier de l’Air</w:t>
      </w:r>
      <w:r>
        <w:t xml:space="preserve"> shows that hostile articles were mostly published in times of crisis. The first wave of hate propaganda came during and immed</w:t>
      </w:r>
      <w:r w:rsidR="007C5DA3">
        <w:t xml:space="preserve">iately after the battle of the </w:t>
      </w:r>
      <w:r w:rsidR="007C5DA3" w:rsidRPr="007C5DA3">
        <w:rPr>
          <w:i/>
        </w:rPr>
        <w:t>Chemin des Dames</w:t>
      </w:r>
      <w:r>
        <w:t>. From 27 April 1917 to 6 July 1917, thirteen articles matching the definitions of hate and atrocity propaganda were published.</w:t>
      </w:r>
      <w:r>
        <w:rPr>
          <w:rStyle w:val="FootnoteReference"/>
        </w:rPr>
        <w:footnoteReference w:id="787"/>
      </w:r>
      <w:r>
        <w:t xml:space="preserve"> Yet, this type of article </w:t>
      </w:r>
      <w:r w:rsidR="00565E09">
        <w:t>completely</w:t>
      </w:r>
      <w:r>
        <w:t xml:space="preserve"> disappeared following the beginning of the battle of Passchendaele.</w:t>
      </w:r>
      <w:r>
        <w:rPr>
          <w:rStyle w:val="FootnoteReference"/>
        </w:rPr>
        <w:footnoteReference w:id="788"/>
      </w:r>
      <w:r>
        <w:t xml:space="preserve"> Until the end of December, papers were predominantly oriented toward the progress of the British army in Flanders. This seems to confirm that hate and atrocity articles were emergency tools used to stiffen the morale when the army was failing or stalling. The content published during the</w:t>
      </w:r>
      <w:r w:rsidR="007C5DA3">
        <w:t xml:space="preserve"> German spring o</w:t>
      </w:r>
      <w:r>
        <w:t xml:space="preserve">ffensive of 1918 provided vital clues to verify this theory. While nothing violently anti-German had been published during the period of July 1917 to February 1918, the end of March saw a renewed campaign of hate on a scale never reached before. From the beginning of </w:t>
      </w:r>
      <w:r w:rsidR="007C5DA3">
        <w:t>o</w:t>
      </w:r>
      <w:r>
        <w:t>peration Michael on 2</w:t>
      </w:r>
      <w:r w:rsidR="007C5DA3">
        <w:t xml:space="preserve">1 March 1918 to the failure of </w:t>
      </w:r>
      <w:r w:rsidRPr="007C5DA3">
        <w:rPr>
          <w:i/>
        </w:rPr>
        <w:t>Friedensturm</w:t>
      </w:r>
      <w:r>
        <w:t xml:space="preserve"> on 17 July, no less than 46 hate and atrocity propaganda articles were published in the </w:t>
      </w:r>
      <w:r>
        <w:rPr>
          <w:i/>
          <w:iCs/>
        </w:rPr>
        <w:t>Courrier de l’Air</w:t>
      </w:r>
      <w:r>
        <w:t>.</w:t>
      </w:r>
      <w:r>
        <w:rPr>
          <w:rStyle w:val="FootnoteReference"/>
        </w:rPr>
        <w:footnoteReference w:id="789"/>
      </w:r>
    </w:p>
    <w:p w14:paraId="18ACBD68" w14:textId="14E88246" w:rsidR="0048510E" w:rsidRDefault="0048510E" w:rsidP="0048510E">
      <w:pPr>
        <w:jc w:val="both"/>
      </w:pPr>
      <w:r>
        <w:t>During this period, the subjects used by the British to attack the Germans were less concerted attacks than various accusations against moral flaws, alleged crimes or pseudo-racial characteristics. The goal</w:t>
      </w:r>
      <w:r w:rsidR="007C5DA3">
        <w:t xml:space="preserve"> as usual</w:t>
      </w:r>
      <w:r>
        <w:t xml:space="preserve"> was to present the Germans as a threat to civilisation.</w:t>
      </w:r>
      <w:r>
        <w:rPr>
          <w:rStyle w:val="FootnoteReference"/>
        </w:rPr>
        <w:footnoteReference w:id="790"/>
      </w:r>
      <w:r>
        <w:t xml:space="preserve"> The first wave came with the recycl</w:t>
      </w:r>
      <w:r w:rsidR="007C5DA3">
        <w:t>ed theme of the bombing of the c</w:t>
      </w:r>
      <w:r>
        <w:t>athedral of Reims. The subject had already been explored as early as 1914 by the press of the rear. Reims, the city where Jeanne d’Arc had brought Charles VII to his coronation during a foreign invasion, was charged with symbolism.</w:t>
      </w:r>
      <w:r>
        <w:rPr>
          <w:rStyle w:val="FootnoteReference"/>
        </w:rPr>
        <w:footnoteReference w:id="791"/>
      </w:r>
      <w:r>
        <w:t xml:space="preserve"> The damage suffered by the impressive medieval building was merely a pretext to resuscitate a war of religion in whi</w:t>
      </w:r>
      <w:r w:rsidR="00565E09">
        <w:t>ch the C</w:t>
      </w:r>
      <w:r w:rsidR="007C5DA3">
        <w:t>atholic populations of n</w:t>
      </w:r>
      <w:r>
        <w:t>orthern France and Belgium wer</w:t>
      </w:r>
      <w:r w:rsidR="007C5DA3">
        <w:t>e opposed to the country where Protestantism</w:t>
      </w:r>
      <w:r>
        <w:t xml:space="preserve"> and Luther were born.</w:t>
      </w:r>
      <w:r>
        <w:rPr>
          <w:rStyle w:val="FootnoteReference"/>
        </w:rPr>
        <w:footnoteReference w:id="792"/>
      </w:r>
      <w:r>
        <w:t xml:space="preserve"> The home front of France was also exposed to this re</w:t>
      </w:r>
      <w:r w:rsidR="007C5DA3">
        <w:t>ligious discourse in which the c</w:t>
      </w:r>
      <w:r>
        <w:t>athedral of Reims was taking a prominent place.</w:t>
      </w:r>
      <w:r>
        <w:rPr>
          <w:rStyle w:val="FootnoteReference"/>
        </w:rPr>
        <w:footnoteReference w:id="793"/>
      </w:r>
      <w:r>
        <w:t xml:space="preserve"> The effects of this propaganda were still clearly perceptible a</w:t>
      </w:r>
      <w:r w:rsidR="007C5DA3">
        <w:t>fter the war. For example, the b</w:t>
      </w:r>
      <w:r>
        <w:t>ishop of Dijon, Maurice Land</w:t>
      </w:r>
      <w:r w:rsidR="007C5DA3">
        <w:t>rieux, blamed the Lutheran</w:t>
      </w:r>
      <w:r>
        <w:t xml:space="preserve"> Germans for the destruction of the </w:t>
      </w:r>
      <w:r w:rsidR="007C5DA3">
        <w:t>c</w:t>
      </w:r>
      <w:r>
        <w:t xml:space="preserve">athedral in his </w:t>
      </w:r>
      <w:r w:rsidRPr="001B3FFB">
        <w:t>book</w:t>
      </w:r>
      <w:r w:rsidR="001B3FFB" w:rsidRPr="001B3FFB">
        <w:t>.</w:t>
      </w:r>
      <w:r w:rsidRPr="001B3FFB">
        <w:rPr>
          <w:rStyle w:val="FootnoteReference"/>
        </w:rPr>
        <w:footnoteReference w:id="794"/>
      </w:r>
      <w:r>
        <w:t xml:space="preserve"> </w:t>
      </w:r>
    </w:p>
    <w:p w14:paraId="35EAEB11" w14:textId="6ACDF0DF" w:rsidR="0048510E" w:rsidRPr="001B3FFB" w:rsidRDefault="0048510E" w:rsidP="0048510E">
      <w:pPr>
        <w:jc w:val="both"/>
      </w:pPr>
      <w:r>
        <w:t xml:space="preserve">During the </w:t>
      </w:r>
      <w:r w:rsidR="00DC5E72">
        <w:t>spring o</w:t>
      </w:r>
      <w:r>
        <w:t>ffensive, sexual behaviour and the topic of women in general also appeared in the British aerial propaganda aimed at the occupied territories</w:t>
      </w:r>
      <w:r w:rsidR="00DC5E72" w:rsidRPr="00DC5E72">
        <w:t xml:space="preserve"> </w:t>
      </w:r>
      <w:r w:rsidR="00DC5E72">
        <w:t>for the first time</w:t>
      </w:r>
      <w:r>
        <w:t xml:space="preserve">. The topic was not </w:t>
      </w:r>
      <w:r w:rsidR="00565E09">
        <w:t xml:space="preserve">completely </w:t>
      </w:r>
      <w:r>
        <w:t xml:space="preserve">new, as sexual violence had already been regularly used by British propagandists on the international scene and on the home front – the rape of Belgium of 1914 and the </w:t>
      </w:r>
      <w:r w:rsidR="00DC5E72">
        <w:rPr>
          <w:i/>
          <w:iCs/>
        </w:rPr>
        <w:t>Report of the c</w:t>
      </w:r>
      <w:r>
        <w:rPr>
          <w:i/>
          <w:iCs/>
        </w:rPr>
        <w:t xml:space="preserve">ommittee on </w:t>
      </w:r>
      <w:r w:rsidR="00DC5E72">
        <w:rPr>
          <w:i/>
          <w:iCs/>
        </w:rPr>
        <w:t>alleged German o</w:t>
      </w:r>
      <w:r>
        <w:rPr>
          <w:i/>
          <w:iCs/>
        </w:rPr>
        <w:t>utrages</w:t>
      </w:r>
      <w:r>
        <w:t xml:space="preserve"> of 1915 were two famous examples.</w:t>
      </w:r>
      <w:r>
        <w:rPr>
          <w:rStyle w:val="FootnoteReference"/>
        </w:rPr>
        <w:footnoteReference w:id="795"/>
      </w:r>
      <w:r>
        <w:t xml:space="preserve"> The depravation of the enemy was demonstrated by articles denouncing the perversity displayed against women belonging to allied nations. </w:t>
      </w:r>
      <w:r w:rsidR="001B3FFB">
        <w:t>In one</w:t>
      </w:r>
      <w:r>
        <w:t xml:space="preserve"> of these articles, titled </w:t>
      </w:r>
      <w:r w:rsidRPr="00DC5E72">
        <w:t>‘</w:t>
      </w:r>
      <w:r w:rsidRPr="00DC5E72">
        <w:rPr>
          <w:iCs/>
        </w:rPr>
        <w:t>Le supreme outrage’</w:t>
      </w:r>
      <w:r>
        <w:t>,</w:t>
      </w:r>
      <w:r w:rsidR="001B3FFB">
        <w:t xml:space="preserve"> a</w:t>
      </w:r>
      <w:r w:rsidRPr="001B3FFB">
        <w:t>ccusations of practices close to necrophilia were voiced:</w:t>
      </w:r>
    </w:p>
    <w:p w14:paraId="1048AC11" w14:textId="77777777" w:rsidR="0048510E" w:rsidRPr="003F0F90" w:rsidRDefault="0048510E" w:rsidP="0048510E">
      <w:pPr>
        <w:ind w:left="567" w:right="567"/>
        <w:jc w:val="both"/>
        <w:rPr>
          <w:lang w:val="fr-FR"/>
        </w:rPr>
      </w:pPr>
      <w:r w:rsidRPr="003F0F90">
        <w:rPr>
          <w:lang w:val="fr-FR"/>
        </w:rPr>
        <w:t>Des preuves nouvelles et saisissantes de la luxure honteuse et avilissante qui est tolérée et m</w:t>
      </w:r>
      <w:r>
        <w:rPr>
          <w:lang w:val="fr-FR"/>
        </w:rPr>
        <w:t>ême encouragée parmi les troupes allemandes, viennent de nous tomber sous la main. Plusieurs copies d’une infâme carte-postale illustrée ont été trouvées sur des prisonniers du 131me régiment d’infanterie, capturés sur le front occidental. Cette carte représente une jeune fille russe en uniforme. Elle est couchée sur le dos, les jambes écartées. Ses vêtements sont déchirés de manière à montrer son ventre, percé d’une balle, et ses parties génitales.</w:t>
      </w:r>
      <w:r>
        <w:rPr>
          <w:rStyle w:val="FootnoteReference"/>
          <w:lang w:val="fr-FR"/>
        </w:rPr>
        <w:footnoteReference w:id="796"/>
      </w:r>
      <w:r w:rsidRPr="003F0F90">
        <w:rPr>
          <w:lang w:val="fr-FR"/>
        </w:rPr>
        <w:t xml:space="preserve"> </w:t>
      </w:r>
    </w:p>
    <w:p w14:paraId="4EFDC731" w14:textId="7C3CA1CB" w:rsidR="0048510E" w:rsidRDefault="0048510E" w:rsidP="0048510E">
      <w:pPr>
        <w:jc w:val="both"/>
      </w:pPr>
      <w:r>
        <w:t>This article might have sounded like an exaggeration but was in fact based on real pictures owned by German soldiers.</w:t>
      </w:r>
      <w:r>
        <w:rPr>
          <w:rStyle w:val="FootnoteReference"/>
        </w:rPr>
        <w:footnoteReference w:id="797"/>
      </w:r>
      <w:r>
        <w:t xml:space="preserve"> A similar photograph, more than likely the same, was reproduced by the anarcho-pacifist Ernst Friedrich in his 1924 photographic book </w:t>
      </w:r>
      <w:r>
        <w:rPr>
          <w:i/>
          <w:iCs/>
        </w:rPr>
        <w:t>Krieg dem Kriege!</w:t>
      </w:r>
      <w:r w:rsidRPr="00400B10">
        <w:rPr>
          <w:rStyle w:val="FootnoteReference"/>
        </w:rPr>
        <w:footnoteReference w:id="798"/>
      </w:r>
      <w:r>
        <w:rPr>
          <w:i/>
          <w:iCs/>
        </w:rPr>
        <w:t xml:space="preserve"> </w:t>
      </w:r>
      <w:r>
        <w:t>The gruesome picture found in the book showed a dead woman, the legs wide open leaving the genital area exposed, wearing a un</w:t>
      </w:r>
      <w:r w:rsidR="00DC5E72">
        <w:t>iform belonging to the Russian b</w:t>
      </w:r>
      <w:r>
        <w:t xml:space="preserve">attalion of </w:t>
      </w:r>
      <w:r w:rsidR="00DC5E72">
        <w:t>d</w:t>
      </w:r>
      <w:r>
        <w:t xml:space="preserve">eath. Everything, including a belly wound and the idea that the woman was raped, matched the description offered by the </w:t>
      </w:r>
      <w:r>
        <w:rPr>
          <w:i/>
          <w:iCs/>
        </w:rPr>
        <w:t>Courrier de l’Air</w:t>
      </w:r>
      <w:r>
        <w:t>.</w:t>
      </w:r>
      <w:r>
        <w:rPr>
          <w:rStyle w:val="FootnoteReference"/>
        </w:rPr>
        <w:footnoteReference w:id="799"/>
      </w:r>
      <w:r>
        <w:t xml:space="preserve"> Dora Apel underlined the ambiguity of this picture, reproduced in figure 6.1, in which gender boundaries were broken. Had the woman been raped for transgressing defined roles?</w:t>
      </w:r>
      <w:r>
        <w:rPr>
          <w:rStyle w:val="FootnoteReference"/>
        </w:rPr>
        <w:footnoteReference w:id="800"/>
      </w:r>
      <w:r>
        <w:t xml:space="preserve"> In any case, it was another opportunity for the British newspaper aimed at the invaded territories to emphasis the role of allied women. The virginal qualities given to those women were naïve and remote from the reality in which promiscuity between occupied civilians and German soldiers </w:t>
      </w:r>
      <w:r w:rsidR="00515E87">
        <w:t>occurred</w:t>
      </w:r>
      <w:r>
        <w:t>. Indeed, Jean-Yves Le Naour showed how ‘horizontal collaboration’ in the occupied territories led to public humiliations of women during the liberation.</w:t>
      </w:r>
      <w:r>
        <w:rPr>
          <w:rStyle w:val="FootnoteReference"/>
        </w:rPr>
        <w:footnoteReference w:id="801"/>
      </w:r>
      <w:r>
        <w:t xml:space="preserve"> But propaganda was precisely designed to simplify ambiguities; women were either victims of German brutality or determined to defend their country. </w:t>
      </w:r>
    </w:p>
    <w:p w14:paraId="78CF736C" w14:textId="77777777" w:rsidR="0048510E" w:rsidRPr="00463F39" w:rsidRDefault="0048510E" w:rsidP="0048510E">
      <w:pPr>
        <w:jc w:val="both"/>
      </w:pPr>
    </w:p>
    <w:p w14:paraId="498BE128" w14:textId="77777777" w:rsidR="0048510E" w:rsidRPr="008B15E2" w:rsidRDefault="0048510E" w:rsidP="0048510E">
      <w:pPr>
        <w:jc w:val="both"/>
        <w:rPr>
          <w:lang w:val="de-DE"/>
        </w:rPr>
      </w:pPr>
      <w:r w:rsidRPr="008B15E2">
        <w:rPr>
          <w:lang w:val="de-DE"/>
        </w:rPr>
        <w:t xml:space="preserve">Figure 6.1: </w:t>
      </w:r>
      <w:r w:rsidRPr="008B15E2">
        <w:rPr>
          <w:i/>
          <w:iCs/>
          <w:lang w:val="de-DE"/>
        </w:rPr>
        <w:t>picture found in Krieg dem Krieg and reproduced in Dora Apel’s article.</w:t>
      </w:r>
    </w:p>
    <w:p w14:paraId="16499D2A" w14:textId="77777777" w:rsidR="0048510E" w:rsidRDefault="0048510E" w:rsidP="0048510E">
      <w:pPr>
        <w:keepNext/>
        <w:jc w:val="center"/>
      </w:pPr>
      <w:r>
        <w:rPr>
          <w:noProof/>
        </w:rPr>
        <w:drawing>
          <wp:inline distT="0" distB="0" distL="0" distR="0" wp14:anchorId="79E3D45E" wp14:editId="3457188E">
            <wp:extent cx="5401198" cy="35718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_18_tif.jpg"/>
                    <pic:cNvPicPr/>
                  </pic:nvPicPr>
                  <pic:blipFill>
                    <a:blip r:embed="rId41">
                      <a:extLst>
                        <a:ext uri="{28A0092B-C50C-407E-A947-70E740481C1C}">
                          <a14:useLocalDpi xmlns:a14="http://schemas.microsoft.com/office/drawing/2010/main" val="0"/>
                        </a:ext>
                      </a:extLst>
                    </a:blip>
                    <a:stretch>
                      <a:fillRect/>
                    </a:stretch>
                  </pic:blipFill>
                  <pic:spPr>
                    <a:xfrm>
                      <a:off x="0" y="0"/>
                      <a:ext cx="5402570" cy="3572782"/>
                    </a:xfrm>
                    <a:prstGeom prst="rect">
                      <a:avLst/>
                    </a:prstGeom>
                  </pic:spPr>
                </pic:pic>
              </a:graphicData>
            </a:graphic>
          </wp:inline>
        </w:drawing>
      </w:r>
    </w:p>
    <w:p w14:paraId="211F21BC" w14:textId="77777777" w:rsidR="0048510E" w:rsidRDefault="0048510E" w:rsidP="0048510E">
      <w:pPr>
        <w:jc w:val="both"/>
      </w:pPr>
      <w:r w:rsidRPr="008B15E2">
        <w:rPr>
          <w:i/>
          <w:iCs/>
        </w:rPr>
        <w:t>Source</w:t>
      </w:r>
      <w:r>
        <w:t xml:space="preserve">: Dora Apel, “Heroes” and “Whores”: the politics of gender in Weimar anti-war imagery’, in: </w:t>
      </w:r>
      <w:r>
        <w:rPr>
          <w:i/>
          <w:iCs/>
        </w:rPr>
        <w:t xml:space="preserve">The Art Bulletin, </w:t>
      </w:r>
      <w:r>
        <w:t>79 (1997), pp. 376-377.</w:t>
      </w:r>
      <w:r>
        <w:rPr>
          <w:rStyle w:val="FootnoteReference"/>
        </w:rPr>
        <w:footnoteReference w:id="802"/>
      </w:r>
    </w:p>
    <w:p w14:paraId="425DFC18" w14:textId="77777777" w:rsidR="0048510E" w:rsidRPr="008B15E2" w:rsidRDefault="0048510E" w:rsidP="0048510E">
      <w:pPr>
        <w:jc w:val="both"/>
      </w:pPr>
    </w:p>
    <w:p w14:paraId="2A9CF38C" w14:textId="4AC7C27F" w:rsidR="0048510E" w:rsidRDefault="0048510E" w:rsidP="0048510E">
      <w:pPr>
        <w:jc w:val="both"/>
      </w:pPr>
      <w:r>
        <w:t xml:space="preserve">These subjects </w:t>
      </w:r>
      <w:r w:rsidR="00F919BA">
        <w:t>were not unfamiliar to war propaganda</w:t>
      </w:r>
      <w:r>
        <w:t>. Nicoletta Gullace argued that crimes against women and the family in general had always been a way to wage war but were given a central status by British propagandists during the First World War. The gendered debate was a skilful move to colourfully illustrate the violation of international laws and what was held sacred by most people.</w:t>
      </w:r>
      <w:r>
        <w:rPr>
          <w:rStyle w:val="FootnoteReference"/>
        </w:rPr>
        <w:footnoteReference w:id="803"/>
      </w:r>
      <w:r>
        <w:t xml:space="preserve"> While women belonging to allied nations were portrayed in rigid roles in order to promote the cause, German women were used to support pseudo-Darwinist arguments against the ‘German race’. This last argument was not dissimilar to the promotion of the Anglo-saxon rac</w:t>
      </w:r>
      <w:r w:rsidR="00DC5E72">
        <w:t>e, a concept dear to Victorian Tories</w:t>
      </w:r>
      <w:r>
        <w:t>.</w:t>
      </w:r>
      <w:r>
        <w:rPr>
          <w:rStyle w:val="FootnoteReference"/>
        </w:rPr>
        <w:footnoteReference w:id="804"/>
      </w:r>
      <w:r>
        <w:t xml:space="preserve"> S</w:t>
      </w:r>
      <w:r w:rsidRPr="003C737A">
        <w:t>exual relations were</w:t>
      </w:r>
      <w:r>
        <w:t xml:space="preserve"> pictured as an instrument of warfare deployed to provide the next generation of soldiers to the fatherland. The topic was analysed in an article titled ‘</w:t>
      </w:r>
      <w:r w:rsidRPr="00DC5E72">
        <w:rPr>
          <w:iCs/>
        </w:rPr>
        <w:t>La militarisation de l’amour’</w:t>
      </w:r>
      <w:r w:rsidRPr="00DC5E72">
        <w:t>:</w:t>
      </w:r>
    </w:p>
    <w:p w14:paraId="6237F8A1" w14:textId="77777777" w:rsidR="0048510E" w:rsidRPr="006A5A30" w:rsidRDefault="0048510E" w:rsidP="0048510E">
      <w:pPr>
        <w:ind w:left="567" w:right="567"/>
        <w:jc w:val="both"/>
      </w:pPr>
      <w:r w:rsidRPr="00B56E61">
        <w:rPr>
          <w:lang w:val="fr-FR"/>
        </w:rPr>
        <w:t xml:space="preserve">Dociles à ce principe biologique que l’amour est le frère de la mort, les peuplades bochiques se sont scientifiquement ingérées d’unifier leur double besogne, illusoirement contradictoire, mais où se résume tout le grand jeu de la nature. </w:t>
      </w:r>
      <w:r>
        <w:rPr>
          <w:lang w:val="fr-FR"/>
        </w:rPr>
        <w:t xml:space="preserve">L’amour travaille pour la mort, la mort besogne pour l’amour. Grâce à cette collaboration organisée, le Kaiser peut, à son gré, rejeter des millions d’hommes au néant sans craindre d’en manquer pour les dolmens mégalithiques du dieu Thor. Pour dix Teutons perdus, les femmes allemandes lui en rendent la centaine. Où cela ? Dans les tentes mêmes, à l’arrière. […] Il n’y a pas, sur ce terrain, à lutter contre une race où la matrice féminine est consignée au rôle officiel de moule à chair à canon. </w:t>
      </w:r>
      <w:r w:rsidRPr="006A5A30">
        <w:t>[…]</w:t>
      </w:r>
      <w:r>
        <w:rPr>
          <w:rStyle w:val="FootnoteReference"/>
          <w:lang w:val="fr-FR"/>
        </w:rPr>
        <w:footnoteReference w:id="805"/>
      </w:r>
    </w:p>
    <w:p w14:paraId="184A303A" w14:textId="77777777" w:rsidR="0048510E" w:rsidRDefault="0048510E" w:rsidP="0048510E">
      <w:pPr>
        <w:jc w:val="both"/>
      </w:pPr>
      <w:r>
        <w:t>These arguments, as it will be seen in the next section of this chapter, had a deep impact on libertarian principles ruli</w:t>
      </w:r>
      <w:r w:rsidR="00913FF1">
        <w:t>ng both the h</w:t>
      </w:r>
      <w:r>
        <w:t xml:space="preserve">ome front and enemy populations. </w:t>
      </w:r>
    </w:p>
    <w:p w14:paraId="7128DE95" w14:textId="55BAC0D3" w:rsidR="0048510E" w:rsidRPr="006A5A30" w:rsidRDefault="0048510E" w:rsidP="0048510E">
      <w:pPr>
        <w:jc w:val="both"/>
      </w:pPr>
      <w:r>
        <w:t>The end of August 1918 saw a sharp decrease in hate propaganda. By then, propaganda newspapers aimed at the occupied populations were once again interested i</w:t>
      </w:r>
      <w:r w:rsidR="00972DAB">
        <w:t>n the military progress on the w</w:t>
      </w:r>
      <w:r>
        <w:t xml:space="preserve">estern front as victory was now a real possibility. However, the British never completely interrupted the campaign of discrimination and stuck to the principle of at least </w:t>
      </w:r>
      <w:r w:rsidR="00515E87">
        <w:t>one</w:t>
      </w:r>
      <w:r>
        <w:t xml:space="preserve"> article of hate propaganda per issue of the </w:t>
      </w:r>
      <w:r>
        <w:rPr>
          <w:i/>
          <w:iCs/>
        </w:rPr>
        <w:t>Courrier de l’Air</w:t>
      </w:r>
      <w:r>
        <w:t xml:space="preserve"> until the end of the conflict.</w:t>
      </w:r>
      <w:r>
        <w:rPr>
          <w:rStyle w:val="FootnoteReference"/>
        </w:rPr>
        <w:footnoteReference w:id="806"/>
      </w:r>
      <w:r>
        <w:t xml:space="preserve">   </w:t>
      </w:r>
    </w:p>
    <w:p w14:paraId="47EFFF34" w14:textId="77777777" w:rsidR="0048510E" w:rsidRDefault="0048510E" w:rsidP="0048510E">
      <w:pPr>
        <w:pStyle w:val="Heading2"/>
      </w:pPr>
      <w:bookmarkStart w:id="77" w:name="_Toc378223877"/>
      <w:bookmarkStart w:id="78" w:name="_Toc402192988"/>
      <w:r>
        <w:t>Germany’s views on barbarism</w:t>
      </w:r>
      <w:bookmarkEnd w:id="77"/>
      <w:bookmarkEnd w:id="78"/>
    </w:p>
    <w:p w14:paraId="5D1E3825" w14:textId="463BF1E5" w:rsidR="0048510E" w:rsidRDefault="0048510E" w:rsidP="0048510E">
      <w:pPr>
        <w:jc w:val="both"/>
      </w:pPr>
      <w:r>
        <w:t xml:space="preserve">A study of the German press in French published in the invaded territories demonstrated that the occupier was perfectly aware of the accusations thrown at him and was trying to answer back. Interestingly, this meant that occupied civilians were exposed </w:t>
      </w:r>
      <w:r w:rsidR="003918F7">
        <w:t>to a form of exchange in which a</w:t>
      </w:r>
      <w:r>
        <w:t>llies and Germans were trying to outweigh the other. This confirmed the idea expressed in chapter three that propaganda aimed at the occupied territories, from both sides, was also a form of counter-propaganda.</w:t>
      </w:r>
      <w:r>
        <w:rPr>
          <w:rStyle w:val="FootnoteReference"/>
        </w:rPr>
        <w:footnoteReference w:id="807"/>
      </w:r>
      <w:r>
        <w:t xml:space="preserve"> However, it would be wrong to assume that Germany’s attempts to d</w:t>
      </w:r>
      <w:r w:rsidR="00515E87">
        <w:t>efend her reputation were a one-</w:t>
      </w:r>
      <w:r>
        <w:t>on</w:t>
      </w:r>
      <w:r w:rsidR="00515E87">
        <w:t>-</w:t>
      </w:r>
      <w:r>
        <w:t xml:space="preserve">one debate with the aerial press. It must be </w:t>
      </w:r>
      <w:r w:rsidR="00565E09">
        <w:t>remembered</w:t>
      </w:r>
      <w:r>
        <w:t xml:space="preserve"> that the ideas printed in these allied newspapers were similar to what was found in clandestine papers or other illegally distributed media.</w:t>
      </w:r>
      <w:r>
        <w:rPr>
          <w:rStyle w:val="FootnoteReference"/>
        </w:rPr>
        <w:footnoteReference w:id="808"/>
      </w:r>
      <w:r>
        <w:t xml:space="preserve"> Yet, the fact remained that Germany, despite her monopoly over communication channels, felt threatened enough to defend her credibility and morality in her own press. </w:t>
      </w:r>
    </w:p>
    <w:p w14:paraId="6B5CBD81" w14:textId="7069A651" w:rsidR="0048510E" w:rsidRDefault="0048510E" w:rsidP="0048510E">
      <w:pPr>
        <w:jc w:val="both"/>
      </w:pPr>
      <w:r>
        <w:t xml:space="preserve">The Germans did not try to answer each attack but rather chose to focus broadly on specific themes. Among these, the accusation of being a nation of barbarians probably caused the most passionate </w:t>
      </w:r>
      <w:r w:rsidR="00515E87">
        <w:t>responses</w:t>
      </w:r>
      <w:r>
        <w:t xml:space="preserve">. The first one was published as </w:t>
      </w:r>
      <w:r w:rsidR="00565E09">
        <w:t>early</w:t>
      </w:r>
      <w:r>
        <w:t xml:space="preserve"> as December 1914 in the </w:t>
      </w:r>
      <w:r>
        <w:rPr>
          <w:i/>
          <w:iCs/>
        </w:rPr>
        <w:t xml:space="preserve">Gazette des Ardennes </w:t>
      </w:r>
      <w:r>
        <w:t>and was followed by others until the end of the war.</w:t>
      </w:r>
      <w:r>
        <w:rPr>
          <w:rStyle w:val="FootnoteReference"/>
        </w:rPr>
        <w:footnoteReference w:id="809"/>
      </w:r>
      <w:r>
        <w:t xml:space="preserve"> Arguments usually revolved around Germany’s impressive contribution to various field</w:t>
      </w:r>
      <w:r w:rsidR="00DC5E72">
        <w:t>s</w:t>
      </w:r>
      <w:r>
        <w:t xml:space="preserve"> such as music, sciences or humanities. In the same spirit, famous German names were put forward to prove the qualities of the nation and the superiority of its citizens.</w:t>
      </w:r>
      <w:r>
        <w:rPr>
          <w:rStyle w:val="FootnoteReference"/>
        </w:rPr>
        <w:footnoteReference w:id="810"/>
      </w:r>
      <w:r>
        <w:t xml:space="preserve"> The German press in French also tried to defend its soldiers who were presented as mobilised student</w:t>
      </w:r>
      <w:r w:rsidR="00DC5E72">
        <w:t>s</w:t>
      </w:r>
      <w:r>
        <w:t xml:space="preserve"> eager to learn and respect occupied populations.</w:t>
      </w:r>
      <w:r>
        <w:rPr>
          <w:rStyle w:val="FootnoteReference"/>
        </w:rPr>
        <w:footnoteReference w:id="811"/>
      </w:r>
      <w:r>
        <w:t xml:space="preserve"> This line of defence was also used on the international stage but the argument quickly backfired. Indeed, French and English propagandists hijacked the term ‘Kultur’ and used it as a symbol of German brutality.</w:t>
      </w:r>
      <w:r>
        <w:rPr>
          <w:rStyle w:val="FootnoteReference"/>
        </w:rPr>
        <w:footnoteReference w:id="812"/>
      </w:r>
      <w:r>
        <w:t xml:space="preserve"> </w:t>
      </w:r>
    </w:p>
    <w:p w14:paraId="5FDEE470" w14:textId="7AC308F3" w:rsidR="0048510E" w:rsidRDefault="00AD35FA" w:rsidP="0048510E">
      <w:pPr>
        <w:jc w:val="both"/>
      </w:pPr>
      <w:r>
        <w:t>Chapter four</w:t>
      </w:r>
      <w:r w:rsidR="0048510E">
        <w:t xml:space="preserve"> showed that British war aims were used to demonstrate Great Britain’s hunger for world domination.</w:t>
      </w:r>
      <w:r w:rsidR="0048510E">
        <w:rPr>
          <w:rStyle w:val="FootnoteReference"/>
        </w:rPr>
        <w:footnoteReference w:id="813"/>
      </w:r>
      <w:r w:rsidR="0048510E">
        <w:t xml:space="preserve"> Logically, British soldiers were presented as the true barbarians. In the spirit of this campaign of Anglophobia, it was important to demonstrate that the British army was </w:t>
      </w:r>
      <w:r w:rsidR="00DC5E72">
        <w:t>guilty</w:t>
      </w:r>
      <w:r w:rsidR="0048510E">
        <w:t xml:space="preserve"> of war crimes. To that effect, list</w:t>
      </w:r>
      <w:r w:rsidR="00DC5E72">
        <w:t>s</w:t>
      </w:r>
      <w:r w:rsidR="0048510E">
        <w:t xml:space="preserve"> of French and Belgian civilian victims of British bombardments were published. The theme was also instru</w:t>
      </w:r>
      <w:r w:rsidR="00565E09">
        <w:t>mentalised to answer the damage</w:t>
      </w:r>
      <w:r w:rsidR="0048510E">
        <w:t xml:space="preserve"> caused to the cathedral of Reims. Indeed, the illustrated edition of the </w:t>
      </w:r>
      <w:r w:rsidR="0048510E">
        <w:rPr>
          <w:i/>
          <w:iCs/>
        </w:rPr>
        <w:t>Gazette des Ardennes</w:t>
      </w:r>
      <w:r w:rsidR="0048510E">
        <w:t xml:space="preserve"> published pictures of </w:t>
      </w:r>
      <w:r w:rsidR="001E4661">
        <w:t>heritage</w:t>
      </w:r>
      <w:r w:rsidR="0048510E">
        <w:t xml:space="preserve"> buildings destroyed by the British artillery in France and Belgium</w:t>
      </w:r>
      <w:r w:rsidR="00565E09" w:rsidRPr="00565E09">
        <w:t xml:space="preserve"> </w:t>
      </w:r>
      <w:r w:rsidR="00565E09">
        <w:t>on a regular basis</w:t>
      </w:r>
      <w:r w:rsidR="0048510E">
        <w:t>.</w:t>
      </w:r>
      <w:r w:rsidR="0048510E">
        <w:rPr>
          <w:rStyle w:val="FootnoteReference"/>
        </w:rPr>
        <w:footnoteReference w:id="814"/>
      </w:r>
      <w:r w:rsidR="0048510E">
        <w:t xml:space="preserve"> </w:t>
      </w:r>
    </w:p>
    <w:p w14:paraId="04EE9028" w14:textId="0ADEEC99" w:rsidR="0048510E" w:rsidRDefault="0048510E" w:rsidP="0048510E">
      <w:pPr>
        <w:jc w:val="both"/>
      </w:pPr>
      <w:r>
        <w:t>It has been shown that the conflict had been</w:t>
      </w:r>
      <w:r w:rsidR="00DC5E72">
        <w:t xml:space="preserve"> repeatedly</w:t>
      </w:r>
      <w:r>
        <w:t xml:space="preserve"> justified by the Belgians, the French and the British. The concept that the current war was a mission to restore civilisation and see right prevail was mocked by the Germans who used racial arguments</w:t>
      </w:r>
      <w:r w:rsidR="00DC5E72" w:rsidRPr="00DC5E72">
        <w:t xml:space="preserve"> </w:t>
      </w:r>
      <w:r w:rsidR="00DC5E72">
        <w:t>to that effect</w:t>
      </w:r>
      <w:r>
        <w:t>. Indeed, pictures of French colonial troops captured by the German army were reproduced with ironic captions.</w:t>
      </w:r>
      <w:r>
        <w:rPr>
          <w:rStyle w:val="FootnoteReference"/>
        </w:rPr>
        <w:footnoteReference w:id="815"/>
      </w:r>
      <w:r>
        <w:t xml:space="preserve"> The article called ‘</w:t>
      </w:r>
      <w:r w:rsidR="001E4661">
        <w:rPr>
          <w:iCs/>
        </w:rPr>
        <w:t>P</w:t>
      </w:r>
      <w:r w:rsidRPr="00DC5E72">
        <w:rPr>
          <w:iCs/>
        </w:rPr>
        <w:t>our la civilisation’</w:t>
      </w:r>
      <w:r>
        <w:t xml:space="preserve"> was a clear illustration of how German propagandists tried to play on prejudice to turn their audience:</w:t>
      </w:r>
    </w:p>
    <w:p w14:paraId="4F1CFE7C" w14:textId="77777777" w:rsidR="0048510E" w:rsidRPr="001559AD" w:rsidRDefault="0048510E" w:rsidP="0048510E">
      <w:pPr>
        <w:ind w:left="567" w:right="567"/>
        <w:jc w:val="both"/>
      </w:pPr>
      <w:r w:rsidRPr="001559AD">
        <w:rPr>
          <w:lang w:val="fr-FR"/>
        </w:rPr>
        <w:t>[…] Esclaves menés à l’abattoir, ces fils de l’Afrique ne sont pas responsables.</w:t>
      </w:r>
      <w:r>
        <w:rPr>
          <w:lang w:val="fr-FR"/>
        </w:rPr>
        <w:t xml:space="preserve"> L’image que nous reproduisons ci-contre n’en est pas moins un acte d’accusation devant le tribunal de l’Histoire. Il est d’ailleurs probable que les conséquences immédiates de cet appel aux tribus sauvages contre la race blanche ne tarderont pas à se faire sentir, en se retournant contre ceux qui méconnurent ainsi le principe élémentaire de la solidarité de la vieille Europe, qui devra se reconstituer un jour. </w:t>
      </w:r>
      <w:r w:rsidRPr="001559AD">
        <w:t>[…</w:t>
      </w:r>
      <w:r>
        <w:t>]</w:t>
      </w:r>
      <w:r>
        <w:rPr>
          <w:rStyle w:val="FootnoteReference"/>
        </w:rPr>
        <w:footnoteReference w:id="816"/>
      </w:r>
      <w:r w:rsidRPr="001559AD">
        <w:t xml:space="preserve">  </w:t>
      </w:r>
    </w:p>
    <w:p w14:paraId="265BBE7B" w14:textId="2049DCD2" w:rsidR="0048510E" w:rsidRPr="001559AD" w:rsidRDefault="0048510E" w:rsidP="0048510E">
      <w:pPr>
        <w:jc w:val="both"/>
      </w:pPr>
      <w:r>
        <w:t>As it can be seen, German propaganda in the occupied territories reached the same level of violence as the British. Atrocity and hate propaganda were used side by side with pseudo-Darwinism and racism to justify the conflict and answer the enemy’s psychological warfare. Ultimately, the level of fear and prejudice on which German propaganda in French thrived by the end of the conflict betrayed a progressive radicalisation. Exposure to a society at war had increasingly made the use of verbal violence as a mean</w:t>
      </w:r>
      <w:r w:rsidR="00DC5E72">
        <w:t>s</w:t>
      </w:r>
      <w:r>
        <w:t xml:space="preserve"> to fight</w:t>
      </w:r>
      <w:r w:rsidR="00DC5E72">
        <w:t xml:space="preserve"> acceptable</w:t>
      </w:r>
      <w:r>
        <w:t xml:space="preserve"> and had confirmed old and new prejudices.  </w:t>
      </w:r>
    </w:p>
    <w:p w14:paraId="28A72996" w14:textId="49FCF8FC" w:rsidR="0048510E" w:rsidRPr="001559AD" w:rsidRDefault="0048510E" w:rsidP="0048510E">
      <w:pPr>
        <w:pStyle w:val="Heading2"/>
      </w:pPr>
      <w:bookmarkStart w:id="79" w:name="_Toc378223878"/>
      <w:bookmarkStart w:id="80" w:name="_Toc402192989"/>
      <w:r w:rsidRPr="001559AD">
        <w:t xml:space="preserve">A brutalised </w:t>
      </w:r>
      <w:r w:rsidRPr="001B3FFB">
        <w:t>narrati</w:t>
      </w:r>
      <w:bookmarkEnd w:id="79"/>
      <w:bookmarkEnd w:id="80"/>
      <w:r w:rsidR="001B3FFB" w:rsidRPr="001B3FFB">
        <w:t>ve</w:t>
      </w:r>
    </w:p>
    <w:p w14:paraId="2FF31C1C" w14:textId="5BFF9D44" w:rsidR="0048510E" w:rsidRDefault="00565E09" w:rsidP="00905B4F">
      <w:pPr>
        <w:jc w:val="both"/>
      </w:pPr>
      <w:r>
        <w:t>T</w:t>
      </w:r>
      <w:r w:rsidR="0048510E" w:rsidRPr="001559AD">
        <w:t xml:space="preserve">he </w:t>
      </w:r>
      <w:r w:rsidR="0048510E">
        <w:t>first section of the chapter</w:t>
      </w:r>
      <w:r>
        <w:t xml:space="preserve"> mentioned</w:t>
      </w:r>
      <w:r w:rsidR="0048510E" w:rsidRPr="001559AD">
        <w:t xml:space="preserve"> the dangers of an aggressive cultural mobilisat</w:t>
      </w:r>
      <w:r w:rsidR="0048510E">
        <w:t xml:space="preserve">ion based on the cultivation of hatred, </w:t>
      </w:r>
      <w:r>
        <w:t xml:space="preserve">a </w:t>
      </w:r>
      <w:r w:rsidR="0048510E">
        <w:t xml:space="preserve">theory developed by </w:t>
      </w:r>
      <w:r>
        <w:t>Peter Gay</w:t>
      </w:r>
      <w:r w:rsidR="0048510E">
        <w:t>.</w:t>
      </w:r>
      <w:r w:rsidR="0048510E">
        <w:rPr>
          <w:rStyle w:val="FootnoteReference"/>
        </w:rPr>
        <w:footnoteReference w:id="817"/>
      </w:r>
      <w:r w:rsidR="0048510E">
        <w:t xml:space="preserve"> These ideas were complemented by George Kassimeris who explored how the process of dehumanising the enemy and inserting a psychological distance led to a degradation of military ethics which in turn encouraged violence against civilian populations. In this framework, the enemy was not perceived as an individual driven by the same emotions as everybody else, or as a potential victim of war whose loss would have been grieved, but as an impersonal adversary to crush.</w:t>
      </w:r>
      <w:r w:rsidR="0048510E">
        <w:rPr>
          <w:rStyle w:val="FootnoteReference"/>
        </w:rPr>
        <w:footnoteReference w:id="818"/>
      </w:r>
      <w:r w:rsidR="0048510E">
        <w:t xml:space="preserve"> It has been argued that aerial propaganda papers aimed at occupied territories actively dehumanised</w:t>
      </w:r>
      <w:r>
        <w:t xml:space="preserve"> the Germans</w:t>
      </w:r>
      <w:r w:rsidR="0048510E">
        <w:t xml:space="preserve">, with different degrees of intensity depending on the </w:t>
      </w:r>
      <w:r w:rsidR="00905B4F">
        <w:t>newspaper</w:t>
      </w:r>
      <w:r w:rsidR="0048510E">
        <w:t>, through hate and atrocity propaganda. Yet, was the degradation of the moral code mentioned in Kassimeris’ theories perceptible? Were the arguments and the inevitable escalation used to justify the continuation of war responsible for a radicalisation of aerial propaganda?</w:t>
      </w:r>
    </w:p>
    <w:p w14:paraId="1C8A35FE" w14:textId="2ADABECB" w:rsidR="0048510E" w:rsidRDefault="0048510E" w:rsidP="0048510E">
      <w:pPr>
        <w:jc w:val="both"/>
      </w:pPr>
      <w:r>
        <w:t xml:space="preserve">In order to answer these questions, a chronological examination of the articles found in aerial propaganda in which the enemy, and especially German civilians, were mentioned has been done. </w:t>
      </w:r>
      <w:r w:rsidR="00DC5E72">
        <w:t>This</w:t>
      </w:r>
      <w:r>
        <w:t xml:space="preserve"> study revealed the level of hostility displayed by propagandists, and the radicalisation of propaganda against civilians. From November 1915 to April 1917, enemy civilians were discussed almost exclusively to illustrate the consequences of Germany’s blockade by the Royal Navy. Propagandists were particularly interested by its effect on food supplies and the consequences of famine on the rear. The subject was mentioned for the first time on 16 November 1915 when the </w:t>
      </w:r>
      <w:r>
        <w:rPr>
          <w:i/>
          <w:iCs/>
        </w:rPr>
        <w:t>Voix du Pays</w:t>
      </w:r>
      <w:r>
        <w:t xml:space="preserve"> talked about</w:t>
      </w:r>
      <w:r w:rsidRPr="003C3341">
        <w:t xml:space="preserve"> the p</w:t>
      </w:r>
      <w:r>
        <w:t>ossibility of a food crisis in Germany.</w:t>
      </w:r>
      <w:r>
        <w:rPr>
          <w:rStyle w:val="FootnoteReference"/>
        </w:rPr>
        <w:footnoteReference w:id="819"/>
      </w:r>
      <w:r>
        <w:t xml:space="preserve"> This was suspected a few times over the following months but was formally established on 8 February 1916 when the French paper talked about serious health problems linked to malnourishment.</w:t>
      </w:r>
      <w:r>
        <w:rPr>
          <w:rStyle w:val="FootnoteReference"/>
        </w:rPr>
        <w:footnoteReference w:id="820"/>
      </w:r>
      <w:r>
        <w:t xml:space="preserve"> The confirmation of a food crisis marked the starting point of a new campaign in French propaganda aimed at the occupied territories. From February 1916, the subject of hunger and starvation was exploited in almost all issues of the </w:t>
      </w:r>
      <w:r>
        <w:rPr>
          <w:i/>
          <w:iCs/>
        </w:rPr>
        <w:t>Voix du Pays</w:t>
      </w:r>
      <w:r>
        <w:t>.</w:t>
      </w:r>
      <w:r>
        <w:rPr>
          <w:rStyle w:val="FootnoteReference"/>
        </w:rPr>
        <w:footnoteReference w:id="821"/>
      </w:r>
      <w:r>
        <w:t xml:space="preserve"> However, the French were not followed by their Belgian ally who, during the year 1916, never mentioned the blockade and its consequences in their </w:t>
      </w:r>
      <w:r>
        <w:rPr>
          <w:i/>
          <w:iCs/>
        </w:rPr>
        <w:t>Clairon du Roi</w:t>
      </w:r>
      <w:r>
        <w:t>.</w:t>
      </w:r>
      <w:r>
        <w:rPr>
          <w:rStyle w:val="FootnoteReference"/>
        </w:rPr>
        <w:footnoteReference w:id="822"/>
      </w:r>
      <w:r>
        <w:t xml:space="preserve"> The primary goal of this new French strategy was to discredit the men behind the campaign of unlimited submarine warfare but also convince the French population that their German alter</w:t>
      </w:r>
      <w:r w:rsidR="001E4661">
        <w:t xml:space="preserve"> </w:t>
      </w:r>
      <w:r>
        <w:t xml:space="preserve">ego was not leading a better life. Yet, a significant change had occurred. Until then, violence against civilians had always been denounced as a German specificity. For the first time, the suffering experienced by enemy civilians, which </w:t>
      </w:r>
      <w:r w:rsidR="002068A7">
        <w:t>was an indirect consequence of a</w:t>
      </w:r>
      <w:r>
        <w:t>llied operations, was portrayed in a positive light. However, the starvation of civilians was not the only questionable point in this propaganda. The blockade itself was a source of debate. Avner Offer argued that Great Britain had entered the war to defend international legality but had consciously violated international trading rights with her naval policy.</w:t>
      </w:r>
      <w:r>
        <w:rPr>
          <w:rStyle w:val="FootnoteReference"/>
        </w:rPr>
        <w:footnoteReference w:id="823"/>
      </w:r>
      <w:r>
        <w:t xml:space="preserve"> As expected, this problematic aspect of the allied strategy on the sea was never mentioned by propagandists working </w:t>
      </w:r>
      <w:r w:rsidR="00565E09">
        <w:t>on</w:t>
      </w:r>
      <w:r>
        <w:t xml:space="preserve"> the occupied territories. </w:t>
      </w:r>
    </w:p>
    <w:p w14:paraId="7D460040" w14:textId="1BD4CEAF" w:rsidR="0048510E" w:rsidRDefault="0048510E" w:rsidP="0048510E">
      <w:pPr>
        <w:jc w:val="both"/>
      </w:pPr>
      <w:r>
        <w:t xml:space="preserve">During the year 1917, the starvation of the German population continued to feature in the press aimed at the invaded territories but lost prominence </w:t>
      </w:r>
      <w:r w:rsidR="001E4661">
        <w:t>to</w:t>
      </w:r>
      <w:r>
        <w:t xml:space="preserve"> a more direct and brutal theme - civilian bombardments from aeroplanes or zeppelins. The legality behind these bombardments was more complex than it seemed. The Hague conventions of 1899 and 1907 had foreseen potential problems with the development </w:t>
      </w:r>
      <w:r w:rsidR="00DC5E72">
        <w:t>of aviation. As a consequence, a</w:t>
      </w:r>
      <w:r>
        <w:t xml:space="preserve">rticle 25 of the </w:t>
      </w:r>
      <w:r w:rsidR="00DC5E72">
        <w:t>laws and c</w:t>
      </w:r>
      <w:r>
        <w:t xml:space="preserve">ustoms of </w:t>
      </w:r>
      <w:r w:rsidR="00DC5E72">
        <w:t>war on l</w:t>
      </w:r>
      <w:r>
        <w:t>and of 18 October 1907 had been written to ensure that ‘the attack or bombardment, by whatever means, of towns, villages, dwellings, or buildings which are undefended is prohibited’.</w:t>
      </w:r>
      <w:r>
        <w:rPr>
          <w:rStyle w:val="FootnoteReference"/>
        </w:rPr>
        <w:footnoteReference w:id="824"/>
      </w:r>
      <w:r>
        <w:t xml:space="preserve"> Howe</w:t>
      </w:r>
      <w:r w:rsidR="00DC5E72">
        <w:t>ver, this article of the Hague c</w:t>
      </w:r>
      <w:r>
        <w:t>onventio</w:t>
      </w:r>
      <w:r w:rsidR="00DC5E72">
        <w:t>n had been contradicted by the n</w:t>
      </w:r>
      <w:r>
        <w:t xml:space="preserve">aval </w:t>
      </w:r>
      <w:r w:rsidR="00DC5E72">
        <w:t>c</w:t>
      </w:r>
      <w:r>
        <w:t>onvention of 1907 in which the bombardment of civilian targets was allowed as long as it was strategically justified.</w:t>
      </w:r>
      <w:r>
        <w:rPr>
          <w:rStyle w:val="FootnoteReference"/>
        </w:rPr>
        <w:footnoteReference w:id="825"/>
      </w:r>
      <w:r>
        <w:t xml:space="preserve"> When the First World War began, the legal situation was therefore more than unclear. However, the public did not feel concerned by these legal considerations. As </w:t>
      </w:r>
      <w:r w:rsidR="001E4661">
        <w:t>early</w:t>
      </w:r>
      <w:r>
        <w:t xml:space="preserve"> as 1914, German bombardments over Paris had been perceived as yet another act of barbarism and had featured p</w:t>
      </w:r>
      <w:r w:rsidR="00913FF1">
        <w:t>rominently in the press of the home f</w:t>
      </w:r>
      <w:r>
        <w:t xml:space="preserve">ront. This view was later relayed in the </w:t>
      </w:r>
      <w:r>
        <w:rPr>
          <w:i/>
          <w:iCs/>
        </w:rPr>
        <w:t>Voix du Pays</w:t>
      </w:r>
      <w:r>
        <w:t xml:space="preserve"> where bombardments were denounced as ‘</w:t>
      </w:r>
      <w:r w:rsidRPr="00463F39">
        <w:t>attentat</w:t>
      </w:r>
      <w:r w:rsidR="00565E09">
        <w:t>s</w:t>
      </w:r>
      <w:r w:rsidRPr="00463F39">
        <w:t>’</w:t>
      </w:r>
      <w:r>
        <w:t>.</w:t>
      </w:r>
      <w:r>
        <w:rPr>
          <w:rStyle w:val="FootnoteReference"/>
        </w:rPr>
        <w:footnoteReference w:id="826"/>
      </w:r>
      <w:r>
        <w:t xml:space="preserve"> Similarly, the victims of zeppelin raids over England were </w:t>
      </w:r>
      <w:r w:rsidR="001E4661">
        <w:t>reported</w:t>
      </w:r>
      <w:r>
        <w:t xml:space="preserve"> in the </w:t>
      </w:r>
      <w:r>
        <w:rPr>
          <w:i/>
          <w:iCs/>
        </w:rPr>
        <w:t>Courrier de l’Air</w:t>
      </w:r>
      <w:r>
        <w:t xml:space="preserve"> in order to trigger indignation.</w:t>
      </w:r>
      <w:r>
        <w:rPr>
          <w:rStyle w:val="FootnoteReference"/>
        </w:rPr>
        <w:footnoteReference w:id="827"/>
      </w:r>
      <w:r>
        <w:t xml:space="preserve"> </w:t>
      </w:r>
    </w:p>
    <w:p w14:paraId="0184932F" w14:textId="71FE6F0C" w:rsidR="0048510E" w:rsidRDefault="0048510E" w:rsidP="0048510E">
      <w:pPr>
        <w:jc w:val="both"/>
      </w:pPr>
      <w:r>
        <w:t>After April 1917, t</w:t>
      </w:r>
      <w:r w:rsidR="003918F7">
        <w:t>he situation reversed when the a</w:t>
      </w:r>
      <w:r>
        <w:t>llies gained control of the sky and defined a common strategy coordinating aerial bombardments over Germany.</w:t>
      </w:r>
      <w:r>
        <w:rPr>
          <w:rStyle w:val="FootnoteReference"/>
        </w:rPr>
        <w:footnoteReference w:id="828"/>
      </w:r>
      <w:r>
        <w:t xml:space="preserve"> The arguments changed overnight as actions called crimes when committed by the enemy were now saluted as military triumphs by the aerial press aimed at the occupied territories. Signs of a radicalisation were in sight when the press started justifying bombardments against civilian targets. The first article of this type appeared in the British </w:t>
      </w:r>
      <w:r>
        <w:rPr>
          <w:i/>
          <w:iCs/>
        </w:rPr>
        <w:t>Courrier de l’Air</w:t>
      </w:r>
      <w:r>
        <w:t xml:space="preserve"> of 20 April 1917 in which propagandists applauded a retaliation raid, an answer to a submarine attack, against civilian targets on Freiburg.</w:t>
      </w:r>
      <w:r>
        <w:rPr>
          <w:rStyle w:val="FootnoteReference"/>
        </w:rPr>
        <w:footnoteReference w:id="829"/>
      </w:r>
      <w:r>
        <w:t xml:space="preserve"> These operations of retaliation were </w:t>
      </w:r>
      <w:r w:rsidR="001E4661">
        <w:t>controversial:</w:t>
      </w:r>
      <w:r>
        <w:t xml:space="preserve"> influent</w:t>
      </w:r>
      <w:r w:rsidR="00565E09">
        <w:t>ial</w:t>
      </w:r>
      <w:r>
        <w:t xml:space="preserve"> people like Clemenceau disapproved</w:t>
      </w:r>
      <w:r w:rsidR="003F560E">
        <w:t xml:space="preserve"> of</w:t>
      </w:r>
      <w:r>
        <w:t xml:space="preserve"> them, but </w:t>
      </w:r>
      <w:r w:rsidR="00565E09">
        <w:t xml:space="preserve">they </w:t>
      </w:r>
      <w:r>
        <w:t>had nonetheless been used by both sides since 1915.</w:t>
      </w:r>
      <w:r>
        <w:rPr>
          <w:rStyle w:val="FootnoteReference"/>
        </w:rPr>
        <w:footnoteReference w:id="830"/>
      </w:r>
      <w:r>
        <w:t xml:space="preserve"> If the moral principle was more than questionable, no trace of such ambiguity appeared in the aerial press were the bombardments w</w:t>
      </w:r>
      <w:r w:rsidR="001E4661">
        <w:t>h</w:t>
      </w:r>
      <w:r>
        <w:t>ere welcomed with great enthusiasm.</w:t>
      </w:r>
      <w:r>
        <w:rPr>
          <w:rStyle w:val="FootnoteReference"/>
        </w:rPr>
        <w:footnoteReference w:id="831"/>
      </w:r>
    </w:p>
    <w:p w14:paraId="560F3655" w14:textId="77777777" w:rsidR="0048510E" w:rsidRDefault="0048510E" w:rsidP="0048510E">
      <w:pPr>
        <w:jc w:val="both"/>
      </w:pPr>
      <w:r>
        <w:t xml:space="preserve">During the year 1918, the rapid brutalisation of aerial propaganda’s content became visible. On 27 August 1918, the French </w:t>
      </w:r>
      <w:r>
        <w:rPr>
          <w:i/>
          <w:iCs/>
        </w:rPr>
        <w:t xml:space="preserve">Voix du </w:t>
      </w:r>
      <w:r w:rsidRPr="00360E52">
        <w:rPr>
          <w:i/>
          <w:iCs/>
        </w:rPr>
        <w:t>Pays</w:t>
      </w:r>
      <w:r>
        <w:rPr>
          <w:i/>
          <w:iCs/>
        </w:rPr>
        <w:t xml:space="preserve"> </w:t>
      </w:r>
      <w:r w:rsidRPr="00360E52">
        <w:t>coldly</w:t>
      </w:r>
      <w:r>
        <w:t xml:space="preserve"> advertised a raid killing civilians and causing terror among the population:</w:t>
      </w:r>
    </w:p>
    <w:p w14:paraId="20A446EE" w14:textId="77777777" w:rsidR="0048510E" w:rsidRPr="00360E52" w:rsidRDefault="0048510E" w:rsidP="0048510E">
      <w:pPr>
        <w:ind w:left="567" w:right="567"/>
        <w:jc w:val="both"/>
        <w:rPr>
          <w:lang w:val="fr-FR"/>
        </w:rPr>
      </w:pPr>
      <w:r w:rsidRPr="00360E52">
        <w:rPr>
          <w:lang w:val="fr-FR"/>
        </w:rPr>
        <w:t xml:space="preserve">Un communiqué officieux </w:t>
      </w:r>
      <w:r>
        <w:rPr>
          <w:lang w:val="fr-FR"/>
        </w:rPr>
        <w:t>allemand</w:t>
      </w:r>
      <w:r w:rsidRPr="00360E52">
        <w:rPr>
          <w:lang w:val="fr-FR"/>
        </w:rPr>
        <w:t xml:space="preserve"> dit que l’attaque </w:t>
      </w:r>
      <w:r>
        <w:rPr>
          <w:lang w:val="fr-FR"/>
        </w:rPr>
        <w:t>aérienne entre Francfort a été menée par douze avions qui ont jeté vingt bombes. Malgré les mesures aussitôt prises par la défense antiaérienne de la ville, le communiqué avoue douze morts, cinq blessés grièvement et plusieurs légèrement. Des réfugiés de Mannheim, Fribourg, Carlsruhe et Francfort encombrent les villes de l’Allemagne du sud.</w:t>
      </w:r>
      <w:r>
        <w:rPr>
          <w:rStyle w:val="FootnoteReference"/>
          <w:lang w:val="fr-FR"/>
        </w:rPr>
        <w:footnoteReference w:id="832"/>
      </w:r>
    </w:p>
    <w:p w14:paraId="5941D48D" w14:textId="49F4C73C" w:rsidR="0048510E" w:rsidRPr="00A27B2E" w:rsidRDefault="0048510E" w:rsidP="0048510E">
      <w:pPr>
        <w:jc w:val="both"/>
      </w:pPr>
      <w:r w:rsidRPr="00A27B2E">
        <w:t xml:space="preserve">Similar operations were saluted by </w:t>
      </w:r>
      <w:r>
        <w:t xml:space="preserve">the Belgians </w:t>
      </w:r>
      <w:r w:rsidRPr="00A27B2E">
        <w:t xml:space="preserve">in </w:t>
      </w:r>
      <w:r w:rsidRPr="00A27B2E">
        <w:rPr>
          <w:i/>
          <w:iCs/>
        </w:rPr>
        <w:t>Les Bonnes Nouvelles</w:t>
      </w:r>
      <w:r>
        <w:rPr>
          <w:i/>
          <w:iCs/>
        </w:rPr>
        <w:t xml:space="preserve"> </w:t>
      </w:r>
      <w:r>
        <w:t>who were now also reporting aerial missions against German urban centres</w:t>
      </w:r>
      <w:r w:rsidRPr="00A27B2E">
        <w:t>.</w:t>
      </w:r>
      <w:r>
        <w:rPr>
          <w:rStyle w:val="FootnoteReference"/>
        </w:rPr>
        <w:footnoteReference w:id="833"/>
      </w:r>
      <w:r w:rsidRPr="00A27B2E">
        <w:t xml:space="preserve"> However, the British went, once again, a step further</w:t>
      </w:r>
      <w:r w:rsidR="003918F7">
        <w:t xml:space="preserve"> than their a</w:t>
      </w:r>
      <w:r>
        <w:t>llies</w:t>
      </w:r>
      <w:r w:rsidRPr="00A27B2E">
        <w:t xml:space="preserve"> </w:t>
      </w:r>
      <w:r>
        <w:t>with an article explaining</w:t>
      </w:r>
      <w:r w:rsidRPr="00A27B2E">
        <w:t xml:space="preserve"> how </w:t>
      </w:r>
      <w:r>
        <w:t xml:space="preserve">an </w:t>
      </w:r>
      <w:r w:rsidRPr="00A27B2E">
        <w:t>allied</w:t>
      </w:r>
      <w:r>
        <w:t xml:space="preserve"> aerial raid</w:t>
      </w:r>
      <w:r w:rsidRPr="00A27B2E">
        <w:t xml:space="preserve"> killing civilians had triggered a debate in Germany to sign a treaty banning civilian bombings:</w:t>
      </w:r>
    </w:p>
    <w:p w14:paraId="4D8418FD" w14:textId="77777777" w:rsidR="0048510E" w:rsidRDefault="0048510E" w:rsidP="0048510E">
      <w:pPr>
        <w:ind w:left="567" w:right="567"/>
        <w:jc w:val="both"/>
        <w:rPr>
          <w:lang w:val="fr-FR"/>
        </w:rPr>
      </w:pPr>
      <w:r>
        <w:rPr>
          <w:lang w:val="fr-FR"/>
        </w:rPr>
        <w:t>Le député de Cologne Kuckoff a télégraphié au chancelier que l’attaque des avions anglais a fait un nombre extraordinaire de victimes, tuées et blessées. Le chancelier est-il disposé à faire le nécessaire pour qu’il soit mis fin par des accords internationaux à cet assassinat, sans raison d’être, de femmes et d’enfants. Nous apprenons, d’autre part, que le nombre total des victimes lors du dernier raid sur Cologne s’élève à 35 morts et 185 blessés.</w:t>
      </w:r>
    </w:p>
    <w:p w14:paraId="5FBF6DBC" w14:textId="77777777" w:rsidR="0048510E" w:rsidRPr="00257845" w:rsidRDefault="0048510E" w:rsidP="0048510E">
      <w:pPr>
        <w:ind w:left="567" w:right="567"/>
        <w:jc w:val="both"/>
      </w:pPr>
      <w:r>
        <w:rPr>
          <w:lang w:val="fr-FR"/>
        </w:rPr>
        <w:t>Herr Kuckoff fait actuellement une vive propagande dans plusieurs villes telles que Magdebourg, Brunswick et Hanovre, dans le but de recueillir des adhésions à une pétition contre les raids aériens. Il conviendrait, dit-il, d’arriver sur ce point à une entente. Ces raids, inutiles militairement parlant, n’ont pour résultats que des assassinats de femmes et d’enfants. D’après une correspondance de la frontière, le raid de samedi dernier sur Cologne a rempli de terreur toute la population rhénane, surtout à Duisbourg et à Dusseldorf.</w:t>
      </w:r>
      <w:r>
        <w:rPr>
          <w:rStyle w:val="FootnoteReference"/>
          <w:lang w:val="fr-FR"/>
        </w:rPr>
        <w:footnoteReference w:id="834"/>
      </w:r>
      <w:r>
        <w:rPr>
          <w:lang w:val="fr-FR"/>
        </w:rPr>
        <w:t xml:space="preserve"> </w:t>
      </w:r>
      <w:r w:rsidRPr="00257845">
        <w:t>[…]</w:t>
      </w:r>
    </w:p>
    <w:p w14:paraId="4DE1BE9B" w14:textId="77777777" w:rsidR="0048510E" w:rsidRPr="00257845" w:rsidRDefault="0048510E" w:rsidP="0048510E">
      <w:pPr>
        <w:jc w:val="both"/>
      </w:pPr>
      <w:r>
        <w:t>But the British propaganda paper was far from moved by this call to ban aerial bombing. On the contrary, t</w:t>
      </w:r>
      <w:r w:rsidRPr="00257845">
        <w:t>he same article</w:t>
      </w:r>
      <w:r>
        <w:t xml:space="preserve"> rejoiced at the distress expressed and fully embraced violence against civilians. The conclusion, the reproduction of an </w:t>
      </w:r>
      <w:r w:rsidRPr="00257845">
        <w:t xml:space="preserve">opinion </w:t>
      </w:r>
      <w:r>
        <w:t>written by a</w:t>
      </w:r>
      <w:r w:rsidRPr="00257845">
        <w:t xml:space="preserve"> Frenc</w:t>
      </w:r>
      <w:r>
        <w:t>h</w:t>
      </w:r>
      <w:r w:rsidRPr="00257845">
        <w:t xml:space="preserve"> Lt-Colonel</w:t>
      </w:r>
      <w:r>
        <w:t>, was clear</w:t>
      </w:r>
      <w:r w:rsidRPr="00257845">
        <w:t>:</w:t>
      </w:r>
    </w:p>
    <w:p w14:paraId="685A1D11" w14:textId="77777777" w:rsidR="0048510E" w:rsidRPr="00257845" w:rsidRDefault="0048510E" w:rsidP="0048510E">
      <w:pPr>
        <w:ind w:left="567" w:right="567"/>
        <w:jc w:val="both"/>
        <w:rPr>
          <w:lang w:val="fr-FR"/>
        </w:rPr>
      </w:pPr>
      <w:r>
        <w:rPr>
          <w:lang w:val="fr-FR"/>
        </w:rPr>
        <w:t>[…]«</w:t>
      </w:r>
      <w:r w:rsidRPr="00257845">
        <w:rPr>
          <w:lang w:val="fr-FR"/>
        </w:rPr>
        <w:t>Maintenant, dit-il, que nous avons acquis une puissance aérienne formidable capable d’entraver les plans de Ludendorff et de plonger dans le désespoir et la terreur les sujets du Kaiser, cette bande d’assassins et de pillards qui n’ont peur que de la verge, nous ne devons pas nous laisser arr</w:t>
      </w:r>
      <w:r>
        <w:rPr>
          <w:lang w:val="fr-FR"/>
        </w:rPr>
        <w:t>êter par ces jérémiades. »</w:t>
      </w:r>
      <w:r>
        <w:rPr>
          <w:rStyle w:val="FootnoteReference"/>
          <w:lang w:val="fr-FR"/>
        </w:rPr>
        <w:footnoteReference w:id="835"/>
      </w:r>
    </w:p>
    <w:p w14:paraId="641A106E" w14:textId="2F1F4B1B" w:rsidR="0048510E" w:rsidRPr="005E7DFF" w:rsidRDefault="001B3FFB" w:rsidP="0048510E">
      <w:pPr>
        <w:jc w:val="both"/>
      </w:pPr>
      <w:r w:rsidRPr="001B3FFB">
        <w:t>M</w:t>
      </w:r>
      <w:r w:rsidR="0048510E" w:rsidRPr="001B3FFB">
        <w:t>ilitary violence</w:t>
      </w:r>
      <w:r w:rsidR="0048510E">
        <w:t xml:space="preserve"> against unarmed civilians was now a justified way of conducting war. The theme of starvation had followed a parallel evolution. Indeed, the consequence of years of hunger was by 1918 a subject of satisfaction and even a joking matter.</w:t>
      </w:r>
      <w:r w:rsidR="0048510E">
        <w:rPr>
          <w:rStyle w:val="FootnoteReference"/>
        </w:rPr>
        <w:footnoteReference w:id="836"/>
      </w:r>
      <w:r w:rsidR="0048510E">
        <w:t xml:space="preserve"> But this semantic brutality was not a rupture with the idea that war </w:t>
      </w:r>
      <w:r w:rsidR="0048510E" w:rsidRPr="001B3FFB">
        <w:t xml:space="preserve">was </w:t>
      </w:r>
      <w:r w:rsidR="00512422">
        <w:t>fought</w:t>
      </w:r>
      <w:r w:rsidR="0048510E">
        <w:t xml:space="preserve"> to restore international rights and civilisation. In fact, these articles implied quite the contrary. </w:t>
      </w:r>
      <w:r w:rsidR="00565E09">
        <w:t>Propaganda</w:t>
      </w:r>
      <w:r w:rsidR="0048510E">
        <w:t xml:space="preserve"> s</w:t>
      </w:r>
      <w:r w:rsidR="00565E09">
        <w:t>uggested</w:t>
      </w:r>
      <w:r w:rsidR="0048510E">
        <w:t xml:space="preserve"> that</w:t>
      </w:r>
      <w:r w:rsidR="00565E09">
        <w:t xml:space="preserve"> the Germans</w:t>
      </w:r>
      <w:r w:rsidR="0048510E">
        <w:t xml:space="preserve">, as a result of their own violent actions, </w:t>
      </w:r>
      <w:r w:rsidR="00565E09">
        <w:t>had lost their humanity</w:t>
      </w:r>
      <w:r w:rsidR="0048510E">
        <w:t>. Therefore, resorting to brutal methods to fight an enemy who had renounced his honour and was perceived as a beast was a legitimate way to protect civilisation. Dehumanising the enemy was also a convenient method to dismiss</w:t>
      </w:r>
      <w:r w:rsidR="00787003">
        <w:t xml:space="preserve"> the</w:t>
      </w:r>
      <w:r w:rsidR="0048510E">
        <w:t xml:space="preserve"> moral dilemma triggered by questionable military actions. This point was illustrated by Joanna Bourke who demonstrated how cultural mechanisms led civilians and the rear to demonstrate apathetic or enthusiastic feeling</w:t>
      </w:r>
      <w:r w:rsidR="009C4797">
        <w:t>s</w:t>
      </w:r>
      <w:r w:rsidR="0048510E">
        <w:t xml:space="preserve"> about crimes committed by their armies.</w:t>
      </w:r>
      <w:r w:rsidR="0048510E">
        <w:rPr>
          <w:rStyle w:val="FootnoteReference"/>
        </w:rPr>
        <w:footnoteReference w:id="837"/>
      </w:r>
      <w:r w:rsidR="0048510E">
        <w:t xml:space="preserve"> The findings of Peter Gay, echoed by Jay Winter, about the shaping of a brutalised post-First World War society by propaganda seem to have been verified</w:t>
      </w:r>
      <w:r w:rsidR="009C4797">
        <w:t xml:space="preserve"> here</w:t>
      </w:r>
      <w:r w:rsidR="0048510E">
        <w:t>.</w:t>
      </w:r>
      <w:r w:rsidR="0048510E">
        <w:rPr>
          <w:rStyle w:val="FootnoteReference"/>
        </w:rPr>
        <w:footnoteReference w:id="838"/>
      </w:r>
      <w:r w:rsidR="002068A7">
        <w:t xml:space="preserve"> By 1918, a</w:t>
      </w:r>
      <w:r w:rsidR="0048510E">
        <w:t xml:space="preserve">llied </w:t>
      </w:r>
      <w:r w:rsidR="0048510E" w:rsidRPr="001B3FFB">
        <w:t xml:space="preserve">newspapers aimed </w:t>
      </w:r>
      <w:r w:rsidR="009C4797" w:rsidRPr="001B3FFB">
        <w:t xml:space="preserve">at </w:t>
      </w:r>
      <w:r w:rsidR="0048510E" w:rsidRPr="001B3FFB">
        <w:t xml:space="preserve">the occupied territories were actively supporting </w:t>
      </w:r>
      <w:r w:rsidR="00512422" w:rsidRPr="001B3FFB">
        <w:t>policies that involved</w:t>
      </w:r>
      <w:r w:rsidR="0048510E" w:rsidRPr="001B3FFB">
        <w:t xml:space="preserve"> starving men, women and children</w:t>
      </w:r>
      <w:r w:rsidR="00512422" w:rsidRPr="001B3FFB">
        <w:t>,</w:t>
      </w:r>
      <w:r w:rsidR="0048510E" w:rsidRPr="001B3FFB">
        <w:t xml:space="preserve"> as well as terror raids over urban centres. The underlying message was that violence</w:t>
      </w:r>
      <w:r w:rsidR="0048510E">
        <w:t xml:space="preserve"> against civilians was a legitimate way to win the war. In fact, dehumanising the enemy through propaganda triggered an even </w:t>
      </w:r>
      <w:r w:rsidR="009C4797">
        <w:t xml:space="preserve">more </w:t>
      </w:r>
      <w:r w:rsidR="0048510E">
        <w:t>sinister mechanism whic</w:t>
      </w:r>
      <w:r w:rsidR="009C4797">
        <w:t xml:space="preserve">h would </w:t>
      </w:r>
      <w:r w:rsidR="0048510E">
        <w:t>become apparent</w:t>
      </w:r>
      <w:r w:rsidR="00787003" w:rsidRPr="00787003">
        <w:t xml:space="preserve"> </w:t>
      </w:r>
      <w:r w:rsidR="00787003">
        <w:t>later in the twentieth century, when</w:t>
      </w:r>
      <w:r w:rsidR="0048510E">
        <w:t xml:space="preserve"> </w:t>
      </w:r>
      <w:r w:rsidR="00787003">
        <w:t>b</w:t>
      </w:r>
      <w:r w:rsidR="0048510E">
        <w:t>rutality against civilians became not only a mean</w:t>
      </w:r>
      <w:r w:rsidR="009C4797">
        <w:t>s</w:t>
      </w:r>
      <w:r w:rsidR="0048510E">
        <w:t xml:space="preserve"> to an end but also an objective in its own right. Aerial propaganda, on its modest scale, was contributing to a broader tendency toward ‘the expansion of the space for unnecessary, gratuitous, and irrational violence against both enemy combatants and non-combatants’ which was seen as an important step to the barbarisation of warfare in the era of total war</w:t>
      </w:r>
      <w:r w:rsidR="009C4797" w:rsidRPr="009C4797">
        <w:t xml:space="preserve"> </w:t>
      </w:r>
      <w:r w:rsidR="009C4797">
        <w:t>by Jay Winter</w:t>
      </w:r>
      <w:r w:rsidR="0048510E">
        <w:t>.</w:t>
      </w:r>
      <w:r w:rsidR="0048510E">
        <w:rPr>
          <w:rStyle w:val="FootnoteReference"/>
        </w:rPr>
        <w:footnoteReference w:id="839"/>
      </w:r>
      <w:r w:rsidR="0048510E">
        <w:t xml:space="preserve"> </w:t>
      </w:r>
    </w:p>
    <w:p w14:paraId="56F54472" w14:textId="77777777" w:rsidR="0048510E" w:rsidRPr="00A511AC" w:rsidRDefault="0048510E" w:rsidP="0048510E">
      <w:pPr>
        <w:pStyle w:val="Heading2"/>
      </w:pPr>
      <w:bookmarkStart w:id="81" w:name="_Toc378223879"/>
      <w:bookmarkStart w:id="82" w:name="_Toc402192990"/>
      <w:r>
        <w:t>Conclusion</w:t>
      </w:r>
      <w:bookmarkEnd w:id="81"/>
      <w:bookmarkEnd w:id="82"/>
    </w:p>
    <w:p w14:paraId="1A4FA641" w14:textId="16A7C168" w:rsidR="0048510E" w:rsidRDefault="0048510E" w:rsidP="0048510E">
      <w:pPr>
        <w:jc w:val="both"/>
      </w:pPr>
      <w:r>
        <w:t>In this chapter, questions surrounding the radicalisation of propaganda were raised. War aims and other rational arguments were backed by a network of emotional articles playing with the fears and the moral code of the people in order to strengthen the determination of the civilian society. The inconsistency of psychological warfare studies, often merging the terms ‘hate’ and ‘atrocity’ propaganda, have been underlined. It was suggested that atrocity propaganda should be understood as a method of communication based on an act perceived by its contemporaries as a blatant violation of human rights or prevailing moral codes. Hate propaganda was defined as exploiting clichés, prejudices or false images and targeting not only the enemy’s acts of war but also its identity, moral, culture or history. Both methods were ultimately designed to strengthen the determination of the public but triggered different emotional answers.</w:t>
      </w:r>
    </w:p>
    <w:p w14:paraId="7CA9C11C" w14:textId="4979ADAB" w:rsidR="0048510E" w:rsidRDefault="00787003" w:rsidP="0048510E">
      <w:pPr>
        <w:jc w:val="both"/>
      </w:pPr>
      <w:r>
        <w:t xml:space="preserve">The </w:t>
      </w:r>
      <w:r w:rsidR="0048510E">
        <w:t xml:space="preserve">Belgians and French stayed within the realm of atrocity propaganda throughout the war. The German army was </w:t>
      </w:r>
      <w:r w:rsidR="001E4661">
        <w:t>demonised</w:t>
      </w:r>
      <w:r w:rsidR="0048510E">
        <w:t xml:space="preserve"> using events such as submarine warfare or the Armenian genocide. Yet, Belgian and French propagandists never crossed the Rubicon of hate propaganda. This might come as a surprise, since French propaganda on the home front was extremely aggressive. While the archives of the propaganda units in charge never stated the reasons for such a strategy, this chapter </w:t>
      </w:r>
      <w:r>
        <w:t>suggested</w:t>
      </w:r>
      <w:r w:rsidR="0048510E">
        <w:t xml:space="preserve"> that moderation was self-imposed. After all, aerial propaganda newspapers were not private initiatives but governmental publications. Moreover, civilians</w:t>
      </w:r>
      <w:r w:rsidR="001E4661">
        <w:t xml:space="preserve"> living under occupation</w:t>
      </w:r>
      <w:r w:rsidR="0048510E">
        <w:t xml:space="preserve"> were heavily exposed to German propaganda in which French and Belgians were usually preserved from abusive arguments.</w:t>
      </w:r>
    </w:p>
    <w:p w14:paraId="1762438A" w14:textId="061EBAAC" w:rsidR="0048510E" w:rsidRDefault="0048510E" w:rsidP="0048510E">
      <w:pPr>
        <w:jc w:val="both"/>
      </w:pPr>
      <w:r>
        <w:t>Sources demonstrated that the British fully embraced hate and atrocity propaganda. Far from being a governmental inspiration, these forms of propaganda were brought to MI7 by its civilian members who were impregnated by war culture. The British did not shy away from using false stories, such as the cadaver factory, or from extreme arguments involving racial difference or pseudo-Darwinism. A chronological study made it apparent that abusive articles were predominantly used when the</w:t>
      </w:r>
      <w:r w:rsidR="00972DAB">
        <w:t xml:space="preserve"> situation was perilous on the w</w:t>
      </w:r>
      <w:r>
        <w:t xml:space="preserve">estern front. Yet, this fact did not explain why the British were so eager to publish hate stories while the French and the Belgians were showing some restraint. The answer was partially found in German propaganda aimed at the occupied territories. The chapter demonstrated that Anglophobia was at the heart of Germany’s strategy of communication. Brutal articles against the British were published on a daily basis for almost four years while the French and the Belgians were </w:t>
      </w:r>
      <w:r w:rsidR="009C4797">
        <w:t>more or less</w:t>
      </w:r>
      <w:r>
        <w:t xml:space="preserve"> spared. Viewed in this way, British aggressive behaviour </w:t>
      </w:r>
      <w:r w:rsidR="000E462F">
        <w:t>was perhaps</w:t>
      </w:r>
      <w:r>
        <w:t xml:space="preserve"> proportionate to the attack. </w:t>
      </w:r>
    </w:p>
    <w:p w14:paraId="2FC5BC0E" w14:textId="65609E51" w:rsidR="0048510E" w:rsidRDefault="0048510E" w:rsidP="0048510E">
      <w:pPr>
        <w:jc w:val="both"/>
      </w:pPr>
      <w:r>
        <w:t xml:space="preserve">The second part of the chapter reflected on comments made by Annette Becker about a post-war society of </w:t>
      </w:r>
      <w:r>
        <w:rPr>
          <w:i/>
          <w:iCs/>
        </w:rPr>
        <w:t xml:space="preserve">non-droit </w:t>
      </w:r>
      <w:r>
        <w:t xml:space="preserve">and </w:t>
      </w:r>
      <w:r>
        <w:rPr>
          <w:i/>
          <w:iCs/>
        </w:rPr>
        <w:t>non-humain</w:t>
      </w:r>
      <w:r>
        <w:t xml:space="preserve"> but also </w:t>
      </w:r>
      <w:r w:rsidR="00787003">
        <w:t>by</w:t>
      </w:r>
      <w:r>
        <w:t xml:space="preserve"> Jay Winter and Peter Gay</w:t>
      </w:r>
      <w:r w:rsidR="00787003">
        <w:t>,</w:t>
      </w:r>
      <w:r>
        <w:t xml:space="preserve"> who both identified a progressive degradation of human values and moral codes during the First World War. According to these historians, this degeneration of values paved the way for the normalisation of violence, experienced </w:t>
      </w:r>
      <w:r w:rsidR="009C4797">
        <w:t>later in the twentieth c</w:t>
      </w:r>
      <w:r>
        <w:t xml:space="preserve">entury, against civilians. Sources were closely examined in a </w:t>
      </w:r>
      <w:r w:rsidRPr="001B3FFB">
        <w:t xml:space="preserve">chronological order to determine if this degradation was indeed perceptible. The chapter also tried to understand </w:t>
      </w:r>
      <w:r w:rsidR="00512422" w:rsidRPr="001B3FFB">
        <w:t xml:space="preserve">the </w:t>
      </w:r>
      <w:r w:rsidRPr="001B3FFB">
        <w:t xml:space="preserve">extent </w:t>
      </w:r>
      <w:r w:rsidR="00512422" w:rsidRPr="001B3FFB">
        <w:t xml:space="preserve">to which </w:t>
      </w:r>
      <w:r w:rsidRPr="001B3FFB">
        <w:t>propaganda contributed to the broader picture. This study made it immediately visible that a brutalisation did occur in aerial propaganda aimed at the occupied populations. The Belgians, the French</w:t>
      </w:r>
      <w:r>
        <w:t xml:space="preserve"> and the British all advocated</w:t>
      </w:r>
      <w:r w:rsidR="009C4797">
        <w:t xml:space="preserve"> </w:t>
      </w:r>
      <w:r>
        <w:t>military violence against enemy civilians. This degradation happened progressively but became obvious by the year 1917. It is therefore clear that aerial propaganda aimed at the occupied territories</w:t>
      </w:r>
      <w:r w:rsidR="00787003">
        <w:t>,</w:t>
      </w:r>
      <w:r>
        <w:t xml:space="preserve"> reflected the brutalisation of society. This analysis must accept tha</w:t>
      </w:r>
      <w:r w:rsidR="001E4661">
        <w:t>t this contribution was modest i</w:t>
      </w:r>
      <w:r>
        <w:t xml:space="preserve">n the scale of the conflict. Yet, this example serves as a barometer measuring chronologically and quantitatively the phenomenon of written violence during the First World War.  </w:t>
      </w:r>
    </w:p>
    <w:p w14:paraId="51396017" w14:textId="77777777" w:rsidR="00F51E28" w:rsidRDefault="00F51E28" w:rsidP="0048510E">
      <w:pPr>
        <w:jc w:val="center"/>
        <w:rPr>
          <w:sz w:val="144"/>
          <w:szCs w:val="144"/>
        </w:rPr>
        <w:sectPr w:rsidR="00F51E28" w:rsidSect="00E35CCD">
          <w:headerReference w:type="default" r:id="rId42"/>
          <w:pgSz w:w="11907" w:h="16839" w:code="9"/>
          <w:pgMar w:top="1440" w:right="1440" w:bottom="1440" w:left="1440" w:header="708" w:footer="708" w:gutter="0"/>
          <w:cols w:space="708"/>
          <w:titlePg/>
          <w:docGrid w:linePitch="360"/>
        </w:sectPr>
      </w:pPr>
    </w:p>
    <w:p w14:paraId="4CD6B973" w14:textId="77777777" w:rsidR="00F51E28" w:rsidRDefault="00F51E28" w:rsidP="0048510E">
      <w:pPr>
        <w:jc w:val="center"/>
        <w:rPr>
          <w:sz w:val="144"/>
          <w:szCs w:val="144"/>
        </w:rPr>
      </w:pPr>
    </w:p>
    <w:p w14:paraId="521660D5" w14:textId="77777777" w:rsidR="00F51E28" w:rsidRDefault="00F51E28" w:rsidP="0048510E">
      <w:pPr>
        <w:jc w:val="center"/>
        <w:rPr>
          <w:sz w:val="144"/>
          <w:szCs w:val="144"/>
        </w:rPr>
      </w:pPr>
    </w:p>
    <w:p w14:paraId="606D7D08" w14:textId="77777777" w:rsidR="0048510E" w:rsidRPr="002B4CE0" w:rsidRDefault="0048510E" w:rsidP="0048510E">
      <w:pPr>
        <w:jc w:val="center"/>
        <w:rPr>
          <w:sz w:val="144"/>
          <w:szCs w:val="144"/>
        </w:rPr>
      </w:pPr>
      <w:r>
        <w:rPr>
          <w:sz w:val="144"/>
          <w:szCs w:val="144"/>
        </w:rPr>
        <w:t>PART 3</w:t>
      </w:r>
    </w:p>
    <w:p w14:paraId="6362731F" w14:textId="3F8DA8D1" w:rsidR="0048510E" w:rsidRPr="002B4CE0" w:rsidRDefault="0048510E" w:rsidP="00F51E28">
      <w:pPr>
        <w:jc w:val="center"/>
        <w:rPr>
          <w:sz w:val="144"/>
          <w:szCs w:val="144"/>
        </w:rPr>
        <w:sectPr w:rsidR="0048510E" w:rsidRPr="002B4CE0" w:rsidSect="00F51E28">
          <w:pgSz w:w="11907" w:h="16839" w:code="9"/>
          <w:pgMar w:top="1440" w:right="1440" w:bottom="1440" w:left="1440" w:header="708" w:footer="708" w:gutter="0"/>
          <w:cols w:space="708"/>
          <w:titlePg/>
          <w:docGrid w:linePitch="360"/>
        </w:sectPr>
      </w:pPr>
      <w:r>
        <w:rPr>
          <w:sz w:val="144"/>
          <w:szCs w:val="144"/>
        </w:rPr>
        <w:t>RECEPTION</w:t>
      </w:r>
    </w:p>
    <w:p w14:paraId="419A1B21" w14:textId="77777777" w:rsidR="00F51E28" w:rsidRDefault="00F51E28" w:rsidP="0048510E">
      <w:pPr>
        <w:pStyle w:val="Title"/>
        <w:outlineLvl w:val="0"/>
        <w:sectPr w:rsidR="00F51E28" w:rsidSect="00415A32">
          <w:headerReference w:type="default" r:id="rId43"/>
          <w:footerReference w:type="first" r:id="rId44"/>
          <w:type w:val="continuous"/>
          <w:pgSz w:w="11907" w:h="16839" w:code="9"/>
          <w:pgMar w:top="1440" w:right="1440" w:bottom="1440" w:left="1440" w:header="708" w:footer="708" w:gutter="0"/>
          <w:cols w:space="708"/>
          <w:titlePg/>
          <w:docGrid w:linePitch="360"/>
        </w:sectPr>
      </w:pPr>
    </w:p>
    <w:p w14:paraId="52E75696" w14:textId="287C3F6E" w:rsidR="0048510E" w:rsidRDefault="002068A7" w:rsidP="0048510E">
      <w:pPr>
        <w:pStyle w:val="Title"/>
        <w:outlineLvl w:val="0"/>
      </w:pPr>
      <w:bookmarkStart w:id="83" w:name="_Toc402192991"/>
      <w:r>
        <w:t>VII The effectiveness of a</w:t>
      </w:r>
      <w:r w:rsidR="0048510E">
        <w:t>llied propaganda aimed at the occupied territories</w:t>
      </w:r>
      <w:bookmarkEnd w:id="83"/>
    </w:p>
    <w:p w14:paraId="0FF188AB" w14:textId="77777777" w:rsidR="0048510E" w:rsidRDefault="0048510E" w:rsidP="0048510E">
      <w:pPr>
        <w:pStyle w:val="Heading2"/>
      </w:pPr>
      <w:bookmarkStart w:id="84" w:name="_Toc378223880"/>
      <w:bookmarkStart w:id="85" w:name="_Toc402192992"/>
      <w:r>
        <w:t>A difficult investigation</w:t>
      </w:r>
      <w:bookmarkEnd w:id="84"/>
      <w:bookmarkEnd w:id="85"/>
    </w:p>
    <w:p w14:paraId="4014C93C" w14:textId="4870E9EE" w:rsidR="0048510E" w:rsidRDefault="0048510E" w:rsidP="00644560">
      <w:pPr>
        <w:jc w:val="both"/>
      </w:pPr>
      <w:r>
        <w:t xml:space="preserve">In the first two parts of the thesis, the machinery, the methods, and the arguments used by allied propaganda to communicate with the population of the occupied territories have been examined in detail. This third and last part will explore a </w:t>
      </w:r>
      <w:r w:rsidR="001E4661" w:rsidRPr="001E4661">
        <w:t xml:space="preserve">vital </w:t>
      </w:r>
      <w:r w:rsidRPr="001E4661">
        <w:t>aspect of propaganda</w:t>
      </w:r>
      <w:r w:rsidR="001E4661" w:rsidRPr="001E4661">
        <w:t>:</w:t>
      </w:r>
      <w:r w:rsidRPr="001E4661">
        <w:t xml:space="preserve"> its effectiveness. The id</w:t>
      </w:r>
      <w:r>
        <w:t>ea that psychological warfare is a measurable entity has divided specialists and remains a contentious subject</w:t>
      </w:r>
      <w:r w:rsidR="009C4797" w:rsidRPr="009C4797">
        <w:t xml:space="preserve"> </w:t>
      </w:r>
      <w:r w:rsidR="009C4797">
        <w:t>to this day</w:t>
      </w:r>
      <w:r>
        <w:t>. Harold Lasswell was the first to suggest that the exercise was challenging, if not impossible.</w:t>
      </w:r>
      <w:r>
        <w:rPr>
          <w:rStyle w:val="FootnoteReference"/>
        </w:rPr>
        <w:footnoteReference w:id="840"/>
      </w:r>
      <w:r>
        <w:t xml:space="preserve"> A more optimistic view was offered by Garth Jowett and Victoria O’Donnell who suggested in their 2012 book </w:t>
      </w:r>
      <w:r>
        <w:rPr>
          <w:i/>
          <w:iCs/>
        </w:rPr>
        <w:t xml:space="preserve">Propaganda and persuasion </w:t>
      </w:r>
      <w:r>
        <w:t>that a thorough understanding of propaganda’s effectiveness was possible by asking the right questions.</w:t>
      </w:r>
      <w:r>
        <w:rPr>
          <w:rStyle w:val="FootnoteReference"/>
        </w:rPr>
        <w:footnoteReference w:id="841"/>
      </w:r>
      <w:r>
        <w:t xml:space="preserve"> However, this simplistic method was dismissed by Jacques Ellul who wrote that traditional investigations ‘preserve the old notion that the effect of propaganda manifests itself in clear, consciou</w:t>
      </w:r>
      <w:r w:rsidR="009C4797">
        <w:t>s opinions and that the propag</w:t>
      </w:r>
      <w:r>
        <w:t>andee will respond in a specific way according to the propagandist’s slogans’.</w:t>
      </w:r>
      <w:r>
        <w:rPr>
          <w:rStyle w:val="FootnoteReference"/>
        </w:rPr>
        <w:footnoteReference w:id="842"/>
      </w:r>
      <w:r>
        <w:t xml:space="preserve"> Ellul’s views harshly underlined the evanescent nature of pro</w:t>
      </w:r>
      <w:r w:rsidR="009C4797">
        <w:t>paganda but offered reassurance</w:t>
      </w:r>
      <w:r>
        <w:t xml:space="preserve"> for the possibility of analysing its effectiveness. The French thinker made a fundamental distinction between ‘propaganda effects’, or in other words what propagandists tried to achieve, and involuntary results accidentally triggered by propaganda.</w:t>
      </w:r>
      <w:r>
        <w:rPr>
          <w:rStyle w:val="FootnoteReference"/>
        </w:rPr>
        <w:footnoteReference w:id="843"/>
      </w:r>
      <w:r>
        <w:t xml:space="preserve"> The lack of clear evidence</w:t>
      </w:r>
      <w:r w:rsidR="00644560">
        <w:t xml:space="preserve"> surrounding propaganda’s effects</w:t>
      </w:r>
      <w:r>
        <w:t xml:space="preserve"> has led us to </w:t>
      </w:r>
      <w:r w:rsidR="00B6436B">
        <w:t>take into consideration both</w:t>
      </w:r>
      <w:r>
        <w:t xml:space="preserve"> </w:t>
      </w:r>
      <w:r w:rsidR="00644560">
        <w:t xml:space="preserve">Ellul’s theories and </w:t>
      </w:r>
      <w:r>
        <w:t xml:space="preserve">the methodology </w:t>
      </w:r>
      <w:r w:rsidR="009C4797" w:rsidRPr="00F76047">
        <w:t>created</w:t>
      </w:r>
      <w:r w:rsidRPr="00F76047">
        <w:t xml:space="preserve"> by </w:t>
      </w:r>
      <w:r w:rsidR="00F76047" w:rsidRPr="00F76047">
        <w:t>O’</w:t>
      </w:r>
      <w:r w:rsidRPr="00F76047">
        <w:t>Donne</w:t>
      </w:r>
      <w:r w:rsidR="001E4661">
        <w:t>l</w:t>
      </w:r>
      <w:r w:rsidRPr="00F76047">
        <w:t>l and</w:t>
      </w:r>
      <w:r>
        <w:t xml:space="preserve"> Jowett. </w:t>
      </w:r>
    </w:p>
    <w:p w14:paraId="7878D6B7" w14:textId="7A7B62F6" w:rsidR="0048510E" w:rsidRDefault="002F42A2" w:rsidP="00466620">
      <w:pPr>
        <w:jc w:val="both"/>
      </w:pPr>
      <w:r>
        <w:t xml:space="preserve">The first part of the chapter will </w:t>
      </w:r>
      <w:r w:rsidR="00316269">
        <w:t>examine important contextual issues. Allied propaganda was</w:t>
      </w:r>
      <w:r w:rsidR="00466620">
        <w:t xml:space="preserve"> one of the few ways to introduce illegal newspapers inside the occupied territories. Resistance networks, mainly Belgian ones, paid smugglers to bring banned publications over the border. The same networks </w:t>
      </w:r>
      <w:r w:rsidR="00D9300C">
        <w:t xml:space="preserve">also </w:t>
      </w:r>
      <w:r w:rsidR="00466620">
        <w:t xml:space="preserve">printed their own newspapers, using as sources both smuggled publications and aerial propaganda. Therefore, the usefulness of aerial propaganda must be understood as one piece of a complex machine. </w:t>
      </w:r>
      <w:r w:rsidR="0048510E">
        <w:t xml:space="preserve">The </w:t>
      </w:r>
      <w:r>
        <w:t xml:space="preserve">second </w:t>
      </w:r>
      <w:r w:rsidR="0048510E">
        <w:t xml:space="preserve">and the </w:t>
      </w:r>
      <w:r>
        <w:t xml:space="preserve">third </w:t>
      </w:r>
      <w:r w:rsidR="0048510E">
        <w:t xml:space="preserve">sections of the chapter will examine how allied propaganda had an impact upon occupied populations of France and Belgium. A distinction between countries was essential to highlight the consequences of a propaganda aimed at specific nationalities and even, in the case of Belgium, language groups. To explore the impact, it must be determined in the first place if the populations had access to these newspapers. The historiography of the occupied territories has </w:t>
      </w:r>
      <w:r w:rsidR="00EE5B98">
        <w:t xml:space="preserve">so far </w:t>
      </w:r>
      <w:r w:rsidR="0048510E">
        <w:t>systematically ignored this complex question.</w:t>
      </w:r>
      <w:r w:rsidR="0048510E">
        <w:rPr>
          <w:rStyle w:val="FootnoteReference"/>
        </w:rPr>
        <w:footnoteReference w:id="844"/>
      </w:r>
      <w:r w:rsidR="0048510E">
        <w:t xml:space="preserve"> </w:t>
      </w:r>
      <w:r w:rsidR="009C4797">
        <w:t>In fact</w:t>
      </w:r>
      <w:r w:rsidR="0048510E">
        <w:t xml:space="preserve">, the occupier’s ban on private diaries, the lack of written communication and the climate of censorship made the </w:t>
      </w:r>
      <w:r w:rsidR="00027F3F">
        <w:t>question</w:t>
      </w:r>
      <w:r w:rsidR="0048510E">
        <w:t xml:space="preserve"> hard to answer.</w:t>
      </w:r>
      <w:r w:rsidR="0048510E">
        <w:rPr>
          <w:rStyle w:val="FootnoteReference"/>
        </w:rPr>
        <w:footnoteReference w:id="845"/>
      </w:r>
      <w:r w:rsidR="0048510E">
        <w:t xml:space="preserve"> Nonetheless, </w:t>
      </w:r>
      <w:r w:rsidR="00027F3F">
        <w:t>archives, interviews and diaries made it</w:t>
      </w:r>
      <w:r w:rsidR="0048510E">
        <w:t xml:space="preserve"> possible not only to determine that the population of France had regular access to aerial propaganda but also that the situation in Belgium was more nuanced. These findings raised another set of questions allowing us to establish whether or not propaganda objectives were met. How were these newspapers and leaflets received and did they raise the morale of the occupied territories? Did they manage to counter the arguments of German propaganda or contribute to fight activism in Belgium? Jacque Ellul’s ‘accidental results’ theory will also be put to the test. This section will show that operations of aerial propaganda were not without triggering unexpected consequences affecting different layers of society. Indeed, resistance used allied newspapers to divert the attention of the Germans while aerial leaflets became an expensive commodity on the black market. </w:t>
      </w:r>
    </w:p>
    <w:p w14:paraId="4ED2151A" w14:textId="4271AF8F" w:rsidR="0048510E" w:rsidRDefault="0048510E" w:rsidP="002F42A2">
      <w:pPr>
        <w:jc w:val="both"/>
      </w:pPr>
      <w:r>
        <w:t xml:space="preserve">The </w:t>
      </w:r>
      <w:r w:rsidR="002F42A2">
        <w:t xml:space="preserve">fourth </w:t>
      </w:r>
      <w:r>
        <w:t>section will study how the campaign of allied propaganda in the invaded territories had an impact upon the occupiers. In contrast with the ‘occupés’ who experienced psychological warfare on a personal level, the Germans had a global understanding of propaganda’s effectiveness. It will be argued that aerial psychological warfare disrupted the doctrine of total order, fundamental to the rules of occupation followed by the Germans.</w:t>
      </w:r>
      <w:r>
        <w:rPr>
          <w:rStyle w:val="FootnoteReference"/>
        </w:rPr>
        <w:footnoteReference w:id="846"/>
      </w:r>
      <w:r>
        <w:t xml:space="preserve"> As such, aerial psychological warfare was considered as a threat. Actions were taken from the lowest echelons to the highest </w:t>
      </w:r>
      <w:r w:rsidR="001E4661">
        <w:t>levels</w:t>
      </w:r>
      <w:r>
        <w:t xml:space="preserve"> of the German army to fight back. Harsh punitive measures were imposed on those who were caught in possession of aerial propaganda and even international laws were bent as an attempt to interrupt these operations. Moreover, this section of the chapter will show that aerial propaganda had consequences in Germany where the falsification of the </w:t>
      </w:r>
      <w:r>
        <w:rPr>
          <w:i/>
          <w:iCs/>
        </w:rPr>
        <w:t>Gazette des Ardennes</w:t>
      </w:r>
      <w:r>
        <w:t xml:space="preserve"> was welcomed with indignation by the press of the </w:t>
      </w:r>
      <w:r w:rsidR="001E4661">
        <w:t>home front</w:t>
      </w:r>
      <w:r>
        <w:t xml:space="preserve">. It will also be argued that aerial propaganda had post-war consequences in German society where it fuelled the stab-in-the-back myth.   </w:t>
      </w:r>
    </w:p>
    <w:p w14:paraId="6C807290" w14:textId="5C171241" w:rsidR="0048510E" w:rsidRDefault="0048510E" w:rsidP="0048510E">
      <w:pPr>
        <w:jc w:val="both"/>
      </w:pPr>
      <w:r w:rsidRPr="0099744C">
        <w:t xml:space="preserve">The occupied territories were a </w:t>
      </w:r>
      <w:r>
        <w:t xml:space="preserve">vast </w:t>
      </w:r>
      <w:r w:rsidR="009C4797">
        <w:t xml:space="preserve">experimental </w:t>
      </w:r>
      <w:r w:rsidRPr="0099744C">
        <w:t>laboratory in which aerial propaganda was tested</w:t>
      </w:r>
      <w:r>
        <w:t xml:space="preserve"> and constantly perfected by the authorities</w:t>
      </w:r>
      <w:r w:rsidRPr="0099744C">
        <w:t xml:space="preserve">. </w:t>
      </w:r>
      <w:r>
        <w:t>The last part of this chapter will tr</w:t>
      </w:r>
      <w:r w:rsidR="00913FF1">
        <w:t>y to answer questions from the home f</w:t>
      </w:r>
      <w:r>
        <w:t>ront’s perspective. Did the governments, the military and the propagandists see the operations as a success? Did this form of propaganda leave a legacy in post-war military structures? Did the aerial propaganda campaign set a precedent for the Second World War?</w:t>
      </w:r>
    </w:p>
    <w:p w14:paraId="16B802A4" w14:textId="09BACEBF" w:rsidR="0048510E" w:rsidRPr="0099744C" w:rsidRDefault="0048510E" w:rsidP="0048510E">
      <w:pPr>
        <w:jc w:val="both"/>
      </w:pPr>
      <w:r>
        <w:t xml:space="preserve">Having explored the effectiveness from all points of view, this chapter will </w:t>
      </w:r>
      <w:r w:rsidR="009C4797">
        <w:t>conclude with answering</w:t>
      </w:r>
      <w:r>
        <w:t xml:space="preserve"> a crucial question: did allied aerial propaganda in the occupied territories matter at all? The historiographical black hole surrounding this form of psychological warfare suggested a limited impact. Yet, our findings will argue that aerial propaganda had important short-term and long-term effects both in the invaded territories and on the international stage.  </w:t>
      </w:r>
    </w:p>
    <w:p w14:paraId="56B28FFF" w14:textId="2752B6AF" w:rsidR="002F42A2" w:rsidRDefault="002F42A2" w:rsidP="0048510E">
      <w:pPr>
        <w:pStyle w:val="Heading2"/>
      </w:pPr>
      <w:bookmarkStart w:id="86" w:name="_Toc402192993"/>
      <w:bookmarkStart w:id="87" w:name="_Toc378223881"/>
      <w:r>
        <w:t>Routes of information</w:t>
      </w:r>
      <w:bookmarkEnd w:id="86"/>
    </w:p>
    <w:p w14:paraId="64A59095" w14:textId="56F93B6C" w:rsidR="006120F1" w:rsidRDefault="00ED08EF" w:rsidP="00DD047D">
      <w:pPr>
        <w:jc w:val="both"/>
      </w:pPr>
      <w:r>
        <w:rPr>
          <w:lang w:eastAsia="en-US"/>
        </w:rPr>
        <w:t>Allied</w:t>
      </w:r>
      <w:r w:rsidR="006120F1">
        <w:rPr>
          <w:lang w:eastAsia="en-US"/>
        </w:rPr>
        <w:t xml:space="preserve"> </w:t>
      </w:r>
      <w:r>
        <w:rPr>
          <w:lang w:eastAsia="en-US"/>
        </w:rPr>
        <w:t xml:space="preserve">and German propaganda units </w:t>
      </w:r>
      <w:r w:rsidR="006120F1">
        <w:rPr>
          <w:lang w:eastAsia="en-US"/>
        </w:rPr>
        <w:t xml:space="preserve">were not the only </w:t>
      </w:r>
      <w:r>
        <w:rPr>
          <w:lang w:eastAsia="en-US"/>
        </w:rPr>
        <w:t>organisations</w:t>
      </w:r>
      <w:r w:rsidR="006120F1">
        <w:rPr>
          <w:lang w:eastAsia="en-US"/>
        </w:rPr>
        <w:t xml:space="preserve"> </w:t>
      </w:r>
      <w:r w:rsidR="00645739">
        <w:rPr>
          <w:lang w:eastAsia="en-US"/>
        </w:rPr>
        <w:t>engaging in</w:t>
      </w:r>
      <w:r w:rsidR="006120F1">
        <w:rPr>
          <w:lang w:eastAsia="en-US"/>
        </w:rPr>
        <w:t xml:space="preserve"> </w:t>
      </w:r>
      <w:r>
        <w:rPr>
          <w:lang w:eastAsia="en-US"/>
        </w:rPr>
        <w:t>psychological warfare</w:t>
      </w:r>
      <w:r w:rsidR="006120F1">
        <w:rPr>
          <w:lang w:eastAsia="en-US"/>
        </w:rPr>
        <w:t xml:space="preserve"> in the occupied territ</w:t>
      </w:r>
      <w:r>
        <w:rPr>
          <w:lang w:eastAsia="en-US"/>
        </w:rPr>
        <w:t xml:space="preserve">ories. If we are to understand the </w:t>
      </w:r>
      <w:r w:rsidR="00557CAA">
        <w:rPr>
          <w:lang w:eastAsia="en-US"/>
        </w:rPr>
        <w:t>effects</w:t>
      </w:r>
      <w:r>
        <w:rPr>
          <w:lang w:eastAsia="en-US"/>
        </w:rPr>
        <w:t xml:space="preserve"> of aerial propaganda, we must first acknowledge that </w:t>
      </w:r>
      <w:r w:rsidR="00645739">
        <w:rPr>
          <w:lang w:eastAsia="en-US"/>
        </w:rPr>
        <w:t>other</w:t>
      </w:r>
      <w:r w:rsidR="00295B1A">
        <w:rPr>
          <w:lang w:eastAsia="en-US"/>
        </w:rPr>
        <w:t xml:space="preserve"> external sources</w:t>
      </w:r>
      <w:r w:rsidR="00645739">
        <w:rPr>
          <w:lang w:eastAsia="en-US"/>
        </w:rPr>
        <w:t xml:space="preserve"> also</w:t>
      </w:r>
      <w:r>
        <w:rPr>
          <w:lang w:eastAsia="en-US"/>
        </w:rPr>
        <w:t xml:space="preserve"> </w:t>
      </w:r>
      <w:r w:rsidR="00557CAA">
        <w:rPr>
          <w:lang w:eastAsia="en-US"/>
        </w:rPr>
        <w:t xml:space="preserve">had an influence on </w:t>
      </w:r>
      <w:r w:rsidR="00295B1A">
        <w:rPr>
          <w:lang w:eastAsia="en-US"/>
        </w:rPr>
        <w:t xml:space="preserve">the </w:t>
      </w:r>
      <w:r w:rsidR="002A1150">
        <w:rPr>
          <w:lang w:eastAsia="en-US"/>
        </w:rPr>
        <w:t>occupied civilians.</w:t>
      </w:r>
    </w:p>
    <w:p w14:paraId="23A40F89" w14:textId="0966031B" w:rsidR="00163B67" w:rsidRPr="00D36789" w:rsidRDefault="002416D3" w:rsidP="002416D3">
      <w:pPr>
        <w:jc w:val="both"/>
        <w:rPr>
          <w:lang w:eastAsia="en-US"/>
        </w:rPr>
      </w:pPr>
      <w:r>
        <w:rPr>
          <w:lang w:eastAsia="en-US"/>
        </w:rPr>
        <w:t>The German army tried to close t</w:t>
      </w:r>
      <w:r w:rsidR="002F0F06">
        <w:rPr>
          <w:lang w:eastAsia="en-US"/>
        </w:rPr>
        <w:t xml:space="preserve">he border between Belgium and the Netherland </w:t>
      </w:r>
      <w:r>
        <w:rPr>
          <w:lang w:eastAsia="en-US"/>
        </w:rPr>
        <w:t>by building a</w:t>
      </w:r>
      <w:r w:rsidR="002F0F06">
        <w:rPr>
          <w:lang w:eastAsia="en-US"/>
        </w:rPr>
        <w:t xml:space="preserve"> deadly electric fence </w:t>
      </w:r>
      <w:r w:rsidR="00163B67">
        <w:rPr>
          <w:lang w:eastAsia="en-US"/>
        </w:rPr>
        <w:t>in the</w:t>
      </w:r>
      <w:r w:rsidR="002F0F06">
        <w:rPr>
          <w:lang w:eastAsia="en-US"/>
        </w:rPr>
        <w:t xml:space="preserve"> spring </w:t>
      </w:r>
      <w:r w:rsidR="00163B67">
        <w:rPr>
          <w:lang w:eastAsia="en-US"/>
        </w:rPr>
        <w:t xml:space="preserve">of </w:t>
      </w:r>
      <w:r w:rsidR="002F0F06">
        <w:rPr>
          <w:lang w:eastAsia="en-US"/>
        </w:rPr>
        <w:t xml:space="preserve">1915. This barrier made the work of resistance organisations more dangerous but did not </w:t>
      </w:r>
      <w:r w:rsidR="00163B67">
        <w:rPr>
          <w:lang w:eastAsia="en-US"/>
        </w:rPr>
        <w:t>seal the border</w:t>
      </w:r>
      <w:r w:rsidR="002F0F06">
        <w:rPr>
          <w:lang w:eastAsia="en-US"/>
        </w:rPr>
        <w:t xml:space="preserve">. </w:t>
      </w:r>
      <w:r w:rsidR="00163B67">
        <w:rPr>
          <w:lang w:eastAsia="en-US"/>
        </w:rPr>
        <w:t>In fact, t</w:t>
      </w:r>
      <w:r w:rsidR="002A1150">
        <w:rPr>
          <w:lang w:eastAsia="en-US"/>
        </w:rPr>
        <w:t xml:space="preserve">he historiography suggests that professional smuggling, done by well-paid individuals, was </w:t>
      </w:r>
      <w:r>
        <w:rPr>
          <w:lang w:eastAsia="en-US"/>
        </w:rPr>
        <w:t xml:space="preserve">very </w:t>
      </w:r>
      <w:r w:rsidR="002A1150">
        <w:rPr>
          <w:lang w:eastAsia="en-US"/>
        </w:rPr>
        <w:t>frequent.</w:t>
      </w:r>
      <w:r w:rsidR="002F0F06">
        <w:rPr>
          <w:rStyle w:val="FootnoteReference"/>
          <w:lang w:eastAsia="en-US"/>
        </w:rPr>
        <w:footnoteReference w:id="847"/>
      </w:r>
      <w:r w:rsidR="002F0F06">
        <w:rPr>
          <w:lang w:eastAsia="en-US"/>
        </w:rPr>
        <w:t xml:space="preserve"> </w:t>
      </w:r>
      <w:r w:rsidR="002A1150">
        <w:rPr>
          <w:lang w:eastAsia="en-US"/>
        </w:rPr>
        <w:t xml:space="preserve">These smugglers brought in or out newspapers, food, confidential information and even wanted men and women. </w:t>
      </w:r>
      <w:r w:rsidR="00163B67">
        <w:rPr>
          <w:lang w:eastAsia="en-US"/>
        </w:rPr>
        <w:t xml:space="preserve">This </w:t>
      </w:r>
      <w:r w:rsidR="006935E2">
        <w:rPr>
          <w:lang w:eastAsia="en-US"/>
        </w:rPr>
        <w:t>access point with the outside world</w:t>
      </w:r>
      <w:r w:rsidR="00163B67">
        <w:rPr>
          <w:lang w:eastAsia="en-US"/>
        </w:rPr>
        <w:t xml:space="preserve"> was vital for the 250 to 300 active </w:t>
      </w:r>
      <w:r w:rsidR="00D36789">
        <w:rPr>
          <w:lang w:eastAsia="en-US"/>
        </w:rPr>
        <w:t xml:space="preserve">Belgian </w:t>
      </w:r>
      <w:r w:rsidR="00163B67">
        <w:rPr>
          <w:lang w:eastAsia="en-US"/>
        </w:rPr>
        <w:t xml:space="preserve">resistance groups.  Each network </w:t>
      </w:r>
      <w:r w:rsidR="006935E2">
        <w:rPr>
          <w:lang w:eastAsia="en-US"/>
        </w:rPr>
        <w:t>had</w:t>
      </w:r>
      <w:r w:rsidR="00163B67">
        <w:rPr>
          <w:lang w:eastAsia="en-US"/>
        </w:rPr>
        <w:t xml:space="preserve"> between twenty and thirty members and a life expectancy of a few months. </w:t>
      </w:r>
      <w:r w:rsidR="00D36789">
        <w:rPr>
          <w:lang w:eastAsia="en-US"/>
        </w:rPr>
        <w:t xml:space="preserve">The only noticeable exception was the famous </w:t>
      </w:r>
      <w:r w:rsidR="00D36789">
        <w:rPr>
          <w:i/>
          <w:iCs/>
          <w:lang w:eastAsia="en-US"/>
        </w:rPr>
        <w:t>Dame Blanche</w:t>
      </w:r>
      <w:r w:rsidR="00D36789">
        <w:rPr>
          <w:lang w:eastAsia="en-US"/>
        </w:rPr>
        <w:t xml:space="preserve">, a network of 1000 agents lasting until the end of the war. These groups usually followed the orders of the Belgian </w:t>
      </w:r>
      <w:r w:rsidR="00254A28">
        <w:rPr>
          <w:lang w:eastAsia="en-US"/>
        </w:rPr>
        <w:t>and</w:t>
      </w:r>
      <w:r w:rsidR="00D36789">
        <w:rPr>
          <w:lang w:eastAsia="en-US"/>
        </w:rPr>
        <w:t xml:space="preserve"> French governments or </w:t>
      </w:r>
      <w:r w:rsidR="00D36789" w:rsidRPr="001E4661">
        <w:rPr>
          <w:lang w:eastAsia="en-US"/>
        </w:rPr>
        <w:t>the British army.</w:t>
      </w:r>
      <w:r w:rsidR="00D36789" w:rsidRPr="001E4661">
        <w:rPr>
          <w:rStyle w:val="FootnoteReference"/>
          <w:lang w:eastAsia="en-US"/>
        </w:rPr>
        <w:footnoteReference w:id="848"/>
      </w:r>
      <w:r w:rsidR="00D36789">
        <w:rPr>
          <w:lang w:eastAsia="en-US"/>
        </w:rPr>
        <w:t xml:space="preserve"> </w:t>
      </w:r>
    </w:p>
    <w:p w14:paraId="1CAA01E9" w14:textId="2BF45412" w:rsidR="00163B67" w:rsidRDefault="00254A28" w:rsidP="00BE3007">
      <w:pPr>
        <w:jc w:val="both"/>
        <w:rPr>
          <w:lang w:eastAsia="en-US"/>
        </w:rPr>
      </w:pPr>
      <w:r>
        <w:rPr>
          <w:lang w:eastAsia="en-US"/>
        </w:rPr>
        <w:t xml:space="preserve">These groups </w:t>
      </w:r>
      <w:r w:rsidR="002416D3">
        <w:rPr>
          <w:lang w:eastAsia="en-US"/>
        </w:rPr>
        <w:t xml:space="preserve">not only </w:t>
      </w:r>
      <w:r>
        <w:rPr>
          <w:lang w:eastAsia="en-US"/>
        </w:rPr>
        <w:t xml:space="preserve">spied on the Germans but </w:t>
      </w:r>
      <w:r w:rsidR="002416D3">
        <w:rPr>
          <w:lang w:eastAsia="en-US"/>
        </w:rPr>
        <w:t xml:space="preserve">also </w:t>
      </w:r>
      <w:r w:rsidR="00123DD6">
        <w:rPr>
          <w:lang w:eastAsia="en-US"/>
        </w:rPr>
        <w:t xml:space="preserve">influenced morale </w:t>
      </w:r>
      <w:r w:rsidR="002416D3">
        <w:rPr>
          <w:lang w:eastAsia="en-US"/>
        </w:rPr>
        <w:t xml:space="preserve">in the occupied territories </w:t>
      </w:r>
      <w:r w:rsidR="00123DD6">
        <w:rPr>
          <w:lang w:eastAsia="en-US"/>
        </w:rPr>
        <w:t>by</w:t>
      </w:r>
      <w:r w:rsidR="002416D3">
        <w:rPr>
          <w:lang w:eastAsia="en-US"/>
        </w:rPr>
        <w:t xml:space="preserve"> </w:t>
      </w:r>
      <w:r w:rsidR="00123DD6">
        <w:rPr>
          <w:lang w:eastAsia="en-US"/>
        </w:rPr>
        <w:t>introducing</w:t>
      </w:r>
      <w:r w:rsidR="002416D3">
        <w:rPr>
          <w:lang w:eastAsia="en-US"/>
        </w:rPr>
        <w:t xml:space="preserve"> various illegal publications contradicting the </w:t>
      </w:r>
      <w:r w:rsidR="00371217">
        <w:rPr>
          <w:lang w:eastAsia="en-US"/>
        </w:rPr>
        <w:t>invader</w:t>
      </w:r>
      <w:r w:rsidR="002416D3">
        <w:rPr>
          <w:lang w:eastAsia="en-US"/>
        </w:rPr>
        <w:t>.</w:t>
      </w:r>
      <w:r>
        <w:rPr>
          <w:lang w:eastAsia="en-US"/>
        </w:rPr>
        <w:t xml:space="preserve"> </w:t>
      </w:r>
      <w:r w:rsidR="00843A73">
        <w:rPr>
          <w:i/>
          <w:iCs/>
          <w:lang w:eastAsia="en-US"/>
        </w:rPr>
        <w:t>Le Mot du Soldat</w:t>
      </w:r>
      <w:r w:rsidR="007D6D69">
        <w:rPr>
          <w:lang w:eastAsia="en-US"/>
        </w:rPr>
        <w:t>, short personal letters written by Belgian soldiers, appeared in March 1915.</w:t>
      </w:r>
      <w:r w:rsidR="00843A73">
        <w:rPr>
          <w:lang w:eastAsia="en-US"/>
        </w:rPr>
        <w:t xml:space="preserve"> </w:t>
      </w:r>
      <w:r w:rsidR="00371217">
        <w:rPr>
          <w:lang w:eastAsia="en-US"/>
        </w:rPr>
        <w:t>Due to its personal content</w:t>
      </w:r>
      <w:r w:rsidR="004379BC">
        <w:rPr>
          <w:lang w:eastAsia="en-US"/>
        </w:rPr>
        <w:t xml:space="preserve">, </w:t>
      </w:r>
      <w:r w:rsidR="00295B1A">
        <w:rPr>
          <w:i/>
          <w:iCs/>
          <w:lang w:eastAsia="en-US"/>
        </w:rPr>
        <w:t>Le Mot du Soldat</w:t>
      </w:r>
      <w:r w:rsidR="00295B1A">
        <w:rPr>
          <w:lang w:eastAsia="en-US"/>
        </w:rPr>
        <w:t xml:space="preserve"> </w:t>
      </w:r>
      <w:r w:rsidR="00371217">
        <w:rPr>
          <w:lang w:eastAsia="en-US"/>
        </w:rPr>
        <w:t>did not appeal</w:t>
      </w:r>
      <w:r w:rsidR="002416D3">
        <w:rPr>
          <w:lang w:eastAsia="en-US"/>
        </w:rPr>
        <w:t xml:space="preserve"> to a broad public.</w:t>
      </w:r>
      <w:r w:rsidR="004379BC">
        <w:rPr>
          <w:lang w:eastAsia="en-US"/>
        </w:rPr>
        <w:t xml:space="preserve"> Clandestine groups </w:t>
      </w:r>
      <w:r w:rsidR="00371217">
        <w:rPr>
          <w:lang w:eastAsia="en-US"/>
        </w:rPr>
        <w:t>had more success with</w:t>
      </w:r>
      <w:r w:rsidR="004379BC">
        <w:rPr>
          <w:lang w:eastAsia="en-US"/>
        </w:rPr>
        <w:t xml:space="preserve"> French, Dutch, or British home front newspapers.</w:t>
      </w:r>
      <w:r w:rsidR="00D4151B">
        <w:rPr>
          <w:rStyle w:val="FootnoteReference"/>
          <w:lang w:eastAsia="en-US"/>
        </w:rPr>
        <w:footnoteReference w:id="849"/>
      </w:r>
      <w:r w:rsidR="004379BC">
        <w:rPr>
          <w:lang w:eastAsia="en-US"/>
        </w:rPr>
        <w:t xml:space="preserve"> </w:t>
      </w:r>
      <w:r w:rsidR="000059FE">
        <w:rPr>
          <w:lang w:eastAsia="en-US"/>
        </w:rPr>
        <w:t xml:space="preserve">They also introduced </w:t>
      </w:r>
      <w:r w:rsidR="00D4151B">
        <w:rPr>
          <w:lang w:eastAsia="en-US"/>
        </w:rPr>
        <w:t>anti-</w:t>
      </w:r>
      <w:r w:rsidR="00D4151B">
        <w:rPr>
          <w:i/>
          <w:iCs/>
          <w:lang w:eastAsia="en-US"/>
        </w:rPr>
        <w:t>Flamenpolitik</w:t>
      </w:r>
      <w:r w:rsidR="00D4151B">
        <w:rPr>
          <w:lang w:eastAsia="en-US"/>
        </w:rPr>
        <w:t xml:space="preserve"> </w:t>
      </w:r>
      <w:r w:rsidR="000059FE">
        <w:rPr>
          <w:lang w:eastAsia="en-US"/>
        </w:rPr>
        <w:t>publications</w:t>
      </w:r>
      <w:r w:rsidR="00D4151B">
        <w:rPr>
          <w:lang w:eastAsia="en-US"/>
        </w:rPr>
        <w:t>,</w:t>
      </w:r>
      <w:r w:rsidR="000059FE">
        <w:rPr>
          <w:lang w:eastAsia="en-US"/>
        </w:rPr>
        <w:t xml:space="preserve"> such as </w:t>
      </w:r>
      <w:r w:rsidR="000059FE">
        <w:rPr>
          <w:i/>
          <w:iCs/>
          <w:lang w:eastAsia="en-US"/>
        </w:rPr>
        <w:t xml:space="preserve">Les Nouvelles, La Belgique, Vlaamsche Stem, Vrij België and Belgisch </w:t>
      </w:r>
      <w:r w:rsidR="000059FE" w:rsidRPr="00415A32">
        <w:rPr>
          <w:i/>
          <w:iCs/>
          <w:lang w:eastAsia="en-US"/>
        </w:rPr>
        <w:t>Dagblad</w:t>
      </w:r>
      <w:r w:rsidR="000059FE">
        <w:rPr>
          <w:lang w:eastAsia="en-US"/>
        </w:rPr>
        <w:t xml:space="preserve">, </w:t>
      </w:r>
      <w:r w:rsidR="001E4661">
        <w:rPr>
          <w:lang w:eastAsia="en-US"/>
        </w:rPr>
        <w:t>produced</w:t>
      </w:r>
      <w:r w:rsidR="000059FE">
        <w:rPr>
          <w:lang w:eastAsia="en-US"/>
        </w:rPr>
        <w:t xml:space="preserve"> in the Netherlands</w:t>
      </w:r>
      <w:r w:rsidR="00D4151B">
        <w:rPr>
          <w:lang w:eastAsia="en-US"/>
        </w:rPr>
        <w:t xml:space="preserve"> by Belgian refugees.</w:t>
      </w:r>
      <w:r w:rsidR="00D4151B">
        <w:rPr>
          <w:rStyle w:val="FootnoteReference"/>
          <w:lang w:eastAsia="en-US"/>
        </w:rPr>
        <w:footnoteReference w:id="850"/>
      </w:r>
      <w:r w:rsidR="000059FE">
        <w:rPr>
          <w:lang w:eastAsia="en-US"/>
        </w:rPr>
        <w:t xml:space="preserve"> </w:t>
      </w:r>
      <w:r w:rsidR="00371217">
        <w:rPr>
          <w:lang w:eastAsia="en-US"/>
        </w:rPr>
        <w:t>Emmanuel Debruyne</w:t>
      </w:r>
      <w:r w:rsidR="002A1150">
        <w:rPr>
          <w:lang w:eastAsia="en-US"/>
        </w:rPr>
        <w:t xml:space="preserve"> came to the conclusion that hundreds, if not thousands, of ordinary Belgians carried these newspapers in each province of the country.</w:t>
      </w:r>
      <w:r w:rsidR="002A1150">
        <w:rPr>
          <w:rStyle w:val="FootnoteReference"/>
          <w:lang w:eastAsia="en-US"/>
        </w:rPr>
        <w:footnoteReference w:id="851"/>
      </w:r>
      <w:r w:rsidR="002A1150">
        <w:rPr>
          <w:lang w:eastAsia="en-US"/>
        </w:rPr>
        <w:t xml:space="preserve"> </w:t>
      </w:r>
      <w:r w:rsidR="00371217">
        <w:rPr>
          <w:lang w:eastAsia="en-US"/>
        </w:rPr>
        <w:t>This fact is important because it seems that these networks also distributed aerial propaganda when they found it. But t</w:t>
      </w:r>
      <w:r w:rsidR="00163B67">
        <w:rPr>
          <w:lang w:eastAsia="en-US"/>
        </w:rPr>
        <w:t xml:space="preserve">he men who brought allied newspapers inside </w:t>
      </w:r>
      <w:r w:rsidR="00371217">
        <w:rPr>
          <w:lang w:eastAsia="en-US"/>
        </w:rPr>
        <w:t>Belgium</w:t>
      </w:r>
      <w:r w:rsidR="00163B67">
        <w:rPr>
          <w:lang w:eastAsia="en-US"/>
        </w:rPr>
        <w:t xml:space="preserve"> </w:t>
      </w:r>
      <w:r w:rsidR="00371217">
        <w:rPr>
          <w:lang w:eastAsia="en-US"/>
        </w:rPr>
        <w:t xml:space="preserve">were not merely </w:t>
      </w:r>
      <w:r w:rsidR="00BE3007">
        <w:rPr>
          <w:lang w:eastAsia="en-US"/>
        </w:rPr>
        <w:t>an illegal post service</w:t>
      </w:r>
      <w:r w:rsidR="00163B67">
        <w:rPr>
          <w:lang w:eastAsia="en-US"/>
        </w:rPr>
        <w:t xml:space="preserve">. They </w:t>
      </w:r>
      <w:r w:rsidR="007D6D69">
        <w:rPr>
          <w:lang w:eastAsia="en-US"/>
        </w:rPr>
        <w:t xml:space="preserve">also </w:t>
      </w:r>
      <w:r w:rsidR="00163B67">
        <w:rPr>
          <w:lang w:eastAsia="en-US"/>
        </w:rPr>
        <w:t xml:space="preserve">used </w:t>
      </w:r>
      <w:r w:rsidR="007D6D69">
        <w:rPr>
          <w:lang w:eastAsia="en-US"/>
        </w:rPr>
        <w:t>smuggled and aerial publications to feed clandestine newspapers printed inside the country</w:t>
      </w:r>
      <w:r w:rsidR="00163B67">
        <w:rPr>
          <w:lang w:eastAsia="en-US"/>
        </w:rPr>
        <w:t xml:space="preserve">. </w:t>
      </w:r>
      <w:r w:rsidR="007D6D69">
        <w:rPr>
          <w:lang w:eastAsia="en-US"/>
        </w:rPr>
        <w:t>There wer</w:t>
      </w:r>
      <w:r w:rsidR="001E4661">
        <w:rPr>
          <w:lang w:eastAsia="en-US"/>
        </w:rPr>
        <w:t>e at least seventy-seven of these</w:t>
      </w:r>
      <w:r w:rsidR="00163B67">
        <w:rPr>
          <w:lang w:eastAsia="en-US"/>
        </w:rPr>
        <w:t>, in French or Dutch, during the course of the war</w:t>
      </w:r>
      <w:r w:rsidR="001E4661">
        <w:rPr>
          <w:lang w:eastAsia="en-US"/>
        </w:rPr>
        <w:t>, leading</w:t>
      </w:r>
      <w:r w:rsidR="007D6D69">
        <w:rPr>
          <w:lang w:eastAsia="en-US"/>
        </w:rPr>
        <w:t xml:space="preserve"> d</w:t>
      </w:r>
      <w:r w:rsidR="00163B67">
        <w:rPr>
          <w:lang w:eastAsia="en-US"/>
        </w:rPr>
        <w:t xml:space="preserve">e Schaepdrijver </w:t>
      </w:r>
      <w:r w:rsidR="007D6D69">
        <w:rPr>
          <w:lang w:eastAsia="en-US"/>
        </w:rPr>
        <w:t>to talk about</w:t>
      </w:r>
      <w:r w:rsidR="00163B67">
        <w:rPr>
          <w:lang w:eastAsia="en-US"/>
        </w:rPr>
        <w:t xml:space="preserve"> ‘an intensive underground discourse’.</w:t>
      </w:r>
      <w:r w:rsidR="00163B67">
        <w:rPr>
          <w:rStyle w:val="FootnoteReference"/>
        </w:rPr>
        <w:footnoteReference w:id="852"/>
      </w:r>
    </w:p>
    <w:p w14:paraId="2D746651" w14:textId="57385AB0" w:rsidR="0015733F" w:rsidRDefault="00CA739E" w:rsidP="00415A32">
      <w:pPr>
        <w:jc w:val="both"/>
        <w:rPr>
          <w:lang w:eastAsia="en-US"/>
        </w:rPr>
      </w:pPr>
      <w:r>
        <w:rPr>
          <w:lang w:eastAsia="en-US"/>
        </w:rPr>
        <w:t xml:space="preserve">In occupied France, information came from different channels. There was no border with the Netherlands but, as </w:t>
      </w:r>
      <w:r w:rsidR="00B95E32">
        <w:rPr>
          <w:lang w:eastAsia="en-US"/>
        </w:rPr>
        <w:t xml:space="preserve">was already explained in </w:t>
      </w:r>
      <w:r>
        <w:rPr>
          <w:lang w:eastAsia="en-US"/>
        </w:rPr>
        <w:t xml:space="preserve">chapter two, the SPA used Switzerland to </w:t>
      </w:r>
      <w:r w:rsidR="004379BC">
        <w:rPr>
          <w:lang w:eastAsia="en-US"/>
        </w:rPr>
        <w:t xml:space="preserve">smuggle or simply </w:t>
      </w:r>
      <w:r>
        <w:rPr>
          <w:lang w:eastAsia="en-US"/>
        </w:rPr>
        <w:t xml:space="preserve">post newspapers. </w:t>
      </w:r>
      <w:r w:rsidR="00D7599E">
        <w:rPr>
          <w:lang w:eastAsia="en-US"/>
        </w:rPr>
        <w:t>Transmissions also played a part</w:t>
      </w:r>
      <w:r>
        <w:rPr>
          <w:lang w:eastAsia="en-US"/>
        </w:rPr>
        <w:t>. There were two radio stations within reasonable distance from the occupied territories</w:t>
      </w:r>
      <w:r w:rsidR="004379BC">
        <w:rPr>
          <w:lang w:eastAsia="en-US"/>
        </w:rPr>
        <w:t xml:space="preserve"> of France</w:t>
      </w:r>
      <w:r>
        <w:rPr>
          <w:lang w:eastAsia="en-US"/>
        </w:rPr>
        <w:t xml:space="preserve">: one at the top of the Eiffel tower and a British one in Poldhu. </w:t>
      </w:r>
      <w:r w:rsidR="00D7599E">
        <w:rPr>
          <w:lang w:eastAsia="en-US"/>
        </w:rPr>
        <w:t>A clandestine organisation</w:t>
      </w:r>
      <w:r>
        <w:rPr>
          <w:lang w:eastAsia="en-US"/>
        </w:rPr>
        <w:t xml:space="preserve"> </w:t>
      </w:r>
      <w:r w:rsidR="00D7599E">
        <w:rPr>
          <w:lang w:eastAsia="en-US"/>
        </w:rPr>
        <w:t xml:space="preserve">from Roubaix </w:t>
      </w:r>
      <w:r>
        <w:rPr>
          <w:lang w:eastAsia="en-US"/>
        </w:rPr>
        <w:t>manag</w:t>
      </w:r>
      <w:r w:rsidRPr="00F76047">
        <w:rPr>
          <w:lang w:eastAsia="en-US"/>
        </w:rPr>
        <w:t xml:space="preserve">ed </w:t>
      </w:r>
      <w:r w:rsidR="00711F9E" w:rsidRPr="00F76047">
        <w:rPr>
          <w:lang w:eastAsia="en-US"/>
        </w:rPr>
        <w:t>to build a devic</w:t>
      </w:r>
      <w:r w:rsidRPr="00F76047">
        <w:rPr>
          <w:lang w:eastAsia="en-US"/>
        </w:rPr>
        <w:t xml:space="preserve">e to </w:t>
      </w:r>
      <w:r w:rsidR="00D7599E" w:rsidRPr="00F76047">
        <w:rPr>
          <w:lang w:eastAsia="en-US"/>
        </w:rPr>
        <w:t>listen to the</w:t>
      </w:r>
      <w:r w:rsidR="004379BC" w:rsidRPr="00F76047">
        <w:rPr>
          <w:lang w:eastAsia="en-US"/>
        </w:rPr>
        <w:t>se</w:t>
      </w:r>
      <w:r w:rsidR="00D7599E" w:rsidRPr="00F76047">
        <w:rPr>
          <w:lang w:eastAsia="en-US"/>
        </w:rPr>
        <w:t xml:space="preserve"> </w:t>
      </w:r>
      <w:r w:rsidR="004379BC" w:rsidRPr="00F76047">
        <w:rPr>
          <w:lang w:eastAsia="en-US"/>
        </w:rPr>
        <w:t>transmissions</w:t>
      </w:r>
      <w:r w:rsidR="00D7599E" w:rsidRPr="00F76047">
        <w:rPr>
          <w:lang w:eastAsia="en-US"/>
        </w:rPr>
        <w:t>. The same group also used the aerial</w:t>
      </w:r>
      <w:r w:rsidR="00D7599E">
        <w:rPr>
          <w:lang w:eastAsia="en-US"/>
        </w:rPr>
        <w:t xml:space="preserve"> press, as this chapter will show,</w:t>
      </w:r>
      <w:r w:rsidR="008E1FB4">
        <w:rPr>
          <w:lang w:eastAsia="en-US"/>
        </w:rPr>
        <w:t xml:space="preserve"> to create their own newspaper b</w:t>
      </w:r>
      <w:r w:rsidR="00BE3007">
        <w:rPr>
          <w:lang w:eastAsia="en-US"/>
        </w:rPr>
        <w:t>ut it should be underlined that resistan</w:t>
      </w:r>
      <w:r w:rsidR="00EE5B98">
        <w:rPr>
          <w:lang w:eastAsia="en-US"/>
        </w:rPr>
        <w:t>ce</w:t>
      </w:r>
      <w:r w:rsidR="00BE3007">
        <w:rPr>
          <w:lang w:eastAsia="en-US"/>
        </w:rPr>
        <w:t xml:space="preserve"> did not play the same part in France as it did in Belgium. There were only three or four clandestine papers, a huge gap </w:t>
      </w:r>
      <w:r w:rsidR="00EE5B98">
        <w:rPr>
          <w:lang w:eastAsia="en-US"/>
        </w:rPr>
        <w:t>from</w:t>
      </w:r>
      <w:r w:rsidR="00BE3007">
        <w:rPr>
          <w:lang w:eastAsia="en-US"/>
        </w:rPr>
        <w:t xml:space="preserve"> the seventy-seven publications printed in Belgium.</w:t>
      </w:r>
      <w:r w:rsidR="00BE3007">
        <w:rPr>
          <w:rStyle w:val="FootnoteReference"/>
          <w:lang w:eastAsia="en-US"/>
        </w:rPr>
        <w:footnoteReference w:id="853"/>
      </w:r>
      <w:r w:rsidR="00BE3007">
        <w:rPr>
          <w:lang w:eastAsia="en-US"/>
        </w:rPr>
        <w:t xml:space="preserve"> </w:t>
      </w:r>
      <w:r w:rsidR="004379BC">
        <w:rPr>
          <w:lang w:eastAsia="en-US"/>
        </w:rPr>
        <w:t>Allied and German s</w:t>
      </w:r>
      <w:r w:rsidR="00D7599E">
        <w:rPr>
          <w:lang w:eastAsia="en-US"/>
        </w:rPr>
        <w:t xml:space="preserve">oldiers </w:t>
      </w:r>
      <w:r w:rsidR="004379BC">
        <w:rPr>
          <w:lang w:eastAsia="en-US"/>
        </w:rPr>
        <w:t>also relayed oral and written news</w:t>
      </w:r>
      <w:r w:rsidR="00D7599E">
        <w:rPr>
          <w:lang w:eastAsia="en-US"/>
        </w:rPr>
        <w:t xml:space="preserve">. Prisoners of war sometimes sold Parisian papers </w:t>
      </w:r>
      <w:r w:rsidR="004379BC">
        <w:rPr>
          <w:lang w:eastAsia="en-US"/>
        </w:rPr>
        <w:t xml:space="preserve">brought from the trenches </w:t>
      </w:r>
      <w:r w:rsidR="00EE5B98">
        <w:rPr>
          <w:lang w:eastAsia="en-US"/>
        </w:rPr>
        <w:t>behind the German lines. They</w:t>
      </w:r>
      <w:r w:rsidR="00D7599E">
        <w:rPr>
          <w:lang w:eastAsia="en-US"/>
        </w:rPr>
        <w:t xml:space="preserve"> </w:t>
      </w:r>
      <w:r w:rsidR="00EE5B98">
        <w:rPr>
          <w:lang w:eastAsia="en-US"/>
        </w:rPr>
        <w:t>also</w:t>
      </w:r>
      <w:r w:rsidR="00D7599E">
        <w:rPr>
          <w:lang w:eastAsia="en-US"/>
        </w:rPr>
        <w:t xml:space="preserve"> </w:t>
      </w:r>
      <w:r w:rsidR="00EE5B98">
        <w:rPr>
          <w:lang w:eastAsia="en-US"/>
        </w:rPr>
        <w:t>gave</w:t>
      </w:r>
      <w:r w:rsidR="00D7599E">
        <w:rPr>
          <w:lang w:eastAsia="en-US"/>
        </w:rPr>
        <w:t xml:space="preserve"> oral information to the occupied civilians. Even the Germans </w:t>
      </w:r>
      <w:r w:rsidR="004379BC">
        <w:rPr>
          <w:lang w:eastAsia="en-US"/>
        </w:rPr>
        <w:t xml:space="preserve">ignored specific orders and </w:t>
      </w:r>
      <w:r w:rsidR="00D7599E">
        <w:rPr>
          <w:lang w:eastAsia="en-US"/>
        </w:rPr>
        <w:t>used home front newspapers and aerial propaganda</w:t>
      </w:r>
      <w:r w:rsidR="00D7599E" w:rsidRPr="00F76047">
        <w:rPr>
          <w:lang w:eastAsia="en-US"/>
        </w:rPr>
        <w:t>, found either in</w:t>
      </w:r>
      <w:r w:rsidR="00D7599E">
        <w:rPr>
          <w:lang w:eastAsia="en-US"/>
        </w:rPr>
        <w:t xml:space="preserve"> the trenches or scattered after aerial droppings, as a tradable commodity.</w:t>
      </w:r>
      <w:r w:rsidR="00637259">
        <w:rPr>
          <w:lang w:eastAsia="en-US"/>
        </w:rPr>
        <w:t xml:space="preserve"> Sometimes, the French and the Belgians would read German newspapers aimed at their home front, thinking that they were better than German propaganda written in Dutch or French.</w:t>
      </w:r>
      <w:r w:rsidR="00637259">
        <w:rPr>
          <w:rStyle w:val="FootnoteReference"/>
          <w:lang w:eastAsia="en-US"/>
        </w:rPr>
        <w:footnoteReference w:id="854"/>
      </w:r>
      <w:r w:rsidR="00637259">
        <w:rPr>
          <w:lang w:eastAsia="en-US"/>
        </w:rPr>
        <w:t xml:space="preserve"> </w:t>
      </w:r>
    </w:p>
    <w:p w14:paraId="2E137DC9" w14:textId="574A0909" w:rsidR="00BE3007" w:rsidRDefault="00DD047D" w:rsidP="00DD047D">
      <w:pPr>
        <w:jc w:val="both"/>
      </w:pPr>
      <w:r>
        <w:rPr>
          <w:lang w:eastAsia="en-US"/>
        </w:rPr>
        <w:t>The routes of information i</w:t>
      </w:r>
      <w:r w:rsidR="00604160">
        <w:rPr>
          <w:lang w:eastAsia="en-US"/>
        </w:rPr>
        <w:t>n the occupied territories were</w:t>
      </w:r>
      <w:r w:rsidR="00EE5B98">
        <w:rPr>
          <w:lang w:eastAsia="en-US"/>
        </w:rPr>
        <w:t xml:space="preserve"> thus </w:t>
      </w:r>
      <w:r>
        <w:rPr>
          <w:lang w:eastAsia="en-US"/>
        </w:rPr>
        <w:t>complex structures resting on various organisations, groups and armies. This chapter will now turn to the specific case of allied aerial propaganda, but without forgetting that there were many more factors influencing the</w:t>
      </w:r>
      <w:r w:rsidR="001E4661">
        <w:rPr>
          <w:lang w:eastAsia="en-US"/>
        </w:rPr>
        <w:t xml:space="preserve"> opinion amongst</w:t>
      </w:r>
      <w:r>
        <w:rPr>
          <w:lang w:eastAsia="en-US"/>
        </w:rPr>
        <w:t xml:space="preserve"> occupied populations.  </w:t>
      </w:r>
    </w:p>
    <w:p w14:paraId="2C49F8AA" w14:textId="77777777" w:rsidR="0048510E" w:rsidRDefault="0048510E" w:rsidP="0048510E">
      <w:pPr>
        <w:pStyle w:val="Heading2"/>
      </w:pPr>
      <w:bookmarkStart w:id="88" w:name="_Toc402192994"/>
      <w:r>
        <w:t>The campaign of allied propaganda in occupied France</w:t>
      </w:r>
      <w:bookmarkEnd w:id="87"/>
      <w:bookmarkEnd w:id="88"/>
    </w:p>
    <w:p w14:paraId="2CD5563E" w14:textId="02AB21EA" w:rsidR="0048510E" w:rsidRDefault="0048510E" w:rsidP="00644560">
      <w:pPr>
        <w:jc w:val="both"/>
      </w:pPr>
      <w:r>
        <w:t xml:space="preserve">The introduction </w:t>
      </w:r>
      <w:r w:rsidR="009C4797">
        <w:t>highlighted</w:t>
      </w:r>
      <w:r>
        <w:t xml:space="preserve"> how important it was to explore </w:t>
      </w:r>
      <w:r w:rsidR="00644560">
        <w:t>whether</w:t>
      </w:r>
      <w:r>
        <w:t xml:space="preserve"> the occupied population of France had access to propaganda sent by the allies. It is fundamental to remember here that the British and the French dropped not only newspapers and pamphlets designed for the occupied territories but also newspapers from the rear, mainly from Paris but also from London.</w:t>
      </w:r>
      <w:r w:rsidR="00644560">
        <w:t xml:space="preserve"> Occupied civilians were </w:t>
      </w:r>
      <w:r w:rsidR="00644560" w:rsidRPr="00F76047">
        <w:t>usually unaware that Parisian newspapers had been thrown from a plane.</w:t>
      </w:r>
      <w:r w:rsidRPr="00F76047">
        <w:t xml:space="preserve"> </w:t>
      </w:r>
      <w:r w:rsidR="00F76047" w:rsidRPr="00F76047">
        <w:t>As stated in the introduction, b</w:t>
      </w:r>
      <w:r w:rsidRPr="00F76047">
        <w:t>oth types will be called ‘aerial propaganda’ except when a differentiation had to be made. To investigate</w:t>
      </w:r>
      <w:r>
        <w:t xml:space="preserve"> the effectiveness of propaganda in occupied France, the situation has been examined predominantly</w:t>
      </w:r>
      <w:r w:rsidR="00BD0CA2" w:rsidRPr="00BD0CA2">
        <w:t xml:space="preserve"> </w:t>
      </w:r>
      <w:r w:rsidR="00BD0CA2">
        <w:t>in urban agglomerations</w:t>
      </w:r>
      <w:r>
        <w:t xml:space="preserve">, with an emphasis on </w:t>
      </w:r>
      <w:r w:rsidR="00F76047">
        <w:t>Nord Department</w:t>
      </w:r>
      <w:r>
        <w:t xml:space="preserve"> where 71% of the two million French under German rule were living.</w:t>
      </w:r>
      <w:r>
        <w:rPr>
          <w:rStyle w:val="FootnoteReference"/>
        </w:rPr>
        <w:footnoteReference w:id="855"/>
      </w:r>
      <w:r>
        <w:t xml:space="preserve"> </w:t>
      </w:r>
    </w:p>
    <w:p w14:paraId="0F5A631D" w14:textId="4E497795" w:rsidR="0048510E" w:rsidRDefault="0048510E" w:rsidP="0048510E">
      <w:pPr>
        <w:jc w:val="both"/>
      </w:pPr>
      <w:r>
        <w:t>According to a census conducted by the Germans during the war, around 1,176,</w:t>
      </w:r>
      <w:r w:rsidR="00BD0CA2">
        <w:t>000 people were living in t</w:t>
      </w:r>
      <w:r w:rsidR="00604160">
        <w:t xml:space="preserve">he </w:t>
      </w:r>
      <w:r w:rsidR="00F76047">
        <w:t>Nord Department</w:t>
      </w:r>
      <w:r>
        <w:t>.</w:t>
      </w:r>
      <w:r>
        <w:rPr>
          <w:rStyle w:val="FootnoteReference"/>
        </w:rPr>
        <w:footnoteReference w:id="856"/>
      </w:r>
      <w:r>
        <w:t xml:space="preserve"> The area of Lille-Roubaix-Tourcoing was the most densely populated region with a population of 600,000.</w:t>
      </w:r>
      <w:r>
        <w:rPr>
          <w:rStyle w:val="FootnoteReference"/>
        </w:rPr>
        <w:footnoteReference w:id="857"/>
      </w:r>
      <w:r>
        <w:t xml:space="preserve"> As a result, numerous sources recorded the efficiency of aerial propaganda in the sector. Flying newspapers and leaflets were seen there as soon as November 1914 when a French aviator dropped copies of </w:t>
      </w:r>
      <w:r>
        <w:rPr>
          <w:i/>
          <w:iCs/>
        </w:rPr>
        <w:t>Le Cri des Flandres</w:t>
      </w:r>
      <w:r>
        <w:t xml:space="preserve"> over </w:t>
      </w:r>
      <w:r w:rsidRPr="00F76047">
        <w:t>Lille</w:t>
      </w:r>
      <w:r w:rsidR="00604160" w:rsidRPr="00F76047">
        <w:t xml:space="preserve"> on </w:t>
      </w:r>
      <w:r w:rsidR="00711F9E" w:rsidRPr="00F76047">
        <w:t xml:space="preserve">several </w:t>
      </w:r>
      <w:r w:rsidR="00604160" w:rsidRPr="00F76047">
        <w:t>occasions</w:t>
      </w:r>
      <w:r w:rsidRPr="00F76047">
        <w:t>.</w:t>
      </w:r>
      <w:r w:rsidRPr="00F76047">
        <w:rPr>
          <w:rStyle w:val="FootnoteReference"/>
        </w:rPr>
        <w:footnoteReference w:id="858"/>
      </w:r>
      <w:r w:rsidRPr="00F76047">
        <w:t xml:space="preserve"> Another source revealed how beneficial these papers were for morale:</w:t>
      </w:r>
    </w:p>
    <w:p w14:paraId="19991A2B" w14:textId="77777777" w:rsidR="0048510E" w:rsidRPr="00934705" w:rsidRDefault="0048510E" w:rsidP="0048510E">
      <w:pPr>
        <w:ind w:left="567" w:right="567"/>
        <w:jc w:val="both"/>
      </w:pPr>
      <w:r w:rsidRPr="000A46BD">
        <w:rPr>
          <w:lang w:val="fr-FR"/>
        </w:rPr>
        <w:t>L’œil brillant de joie, mon ami</w:t>
      </w:r>
      <w:r>
        <w:rPr>
          <w:lang w:val="fr-FR"/>
        </w:rPr>
        <w:t xml:space="preserve"> ouvrit une armoire et en sortir un </w:t>
      </w:r>
      <w:r>
        <w:rPr>
          <w:i/>
          <w:iCs/>
          <w:lang w:val="fr-FR"/>
        </w:rPr>
        <w:t>Petit Parisien</w:t>
      </w:r>
      <w:r>
        <w:rPr>
          <w:lang w:val="fr-FR"/>
        </w:rPr>
        <w:t xml:space="preserve"> du 16 novembre [1914]. Un aéroplane en a jeté hier tout un paquet dans mon jardin, m’expliqua-t-il ; j’en ai déjà fait parvenir un exemplaire au maire, vous pouvez garder celui-ci. Plus heureux qu’un roi, j’empochai la précieuse feuille et rentrai chez moi triomphant. </w:t>
      </w:r>
      <w:r w:rsidRPr="00934705">
        <w:rPr>
          <w:lang w:val="fr-FR"/>
        </w:rPr>
        <w:t>« Devinez ce que j’apporte ? », criai-je aux miens, déjà réunis pour le repas de midi.</w:t>
      </w:r>
      <w:r>
        <w:rPr>
          <w:lang w:val="fr-FR"/>
        </w:rPr>
        <w:t xml:space="preserve"> </w:t>
      </w:r>
      <w:r w:rsidRPr="00D74F33">
        <w:t>Ces derniers comprirent tout de suite : « un journal français !</w:t>
      </w:r>
      <w:r w:rsidRPr="00934705">
        <w:t> »</w:t>
      </w:r>
      <w:r>
        <w:t>.</w:t>
      </w:r>
      <w:r>
        <w:rPr>
          <w:rStyle w:val="FootnoteReference"/>
        </w:rPr>
        <w:footnoteReference w:id="859"/>
      </w:r>
      <w:r w:rsidRPr="00934705">
        <w:t xml:space="preserve"> </w:t>
      </w:r>
    </w:p>
    <w:p w14:paraId="218D93CD" w14:textId="6C5DB683" w:rsidR="0048510E" w:rsidRDefault="0048510E" w:rsidP="00905B4F">
      <w:pPr>
        <w:jc w:val="both"/>
      </w:pPr>
      <w:r>
        <w:t>This testimony als</w:t>
      </w:r>
      <w:r w:rsidR="00604160">
        <w:t>o highlighted an important fact:</w:t>
      </w:r>
      <w:r>
        <w:t xml:space="preserve"> any newspaper found by </w:t>
      </w:r>
      <w:r w:rsidR="001E4661">
        <w:t xml:space="preserve">a </w:t>
      </w:r>
      <w:r>
        <w:t xml:space="preserve">citizen </w:t>
      </w:r>
      <w:r w:rsidR="001E4661">
        <w:t xml:space="preserve">under the occupation </w:t>
      </w:r>
      <w:r>
        <w:t xml:space="preserve">was potentially shared with his/her family and friends, meaning potentially dozens of readers. As it will be seen later, the ability to share information was even more relevant if the aerial </w:t>
      </w:r>
      <w:r w:rsidR="00905B4F">
        <w:t>newspaper</w:t>
      </w:r>
      <w:r>
        <w:t xml:space="preserve"> was reproduced by underground organisations.</w:t>
      </w:r>
    </w:p>
    <w:p w14:paraId="4F6BF172" w14:textId="7C29D0ED" w:rsidR="0048510E" w:rsidRDefault="0048510E" w:rsidP="00605DB1">
      <w:pPr>
        <w:jc w:val="both"/>
      </w:pPr>
      <w:r>
        <w:t xml:space="preserve">In 1915, Lille seems to have </w:t>
      </w:r>
      <w:r w:rsidR="00644560">
        <w:t>received</w:t>
      </w:r>
      <w:r>
        <w:t xml:space="preserve"> aerial propaganda</w:t>
      </w:r>
      <w:r w:rsidR="00644560">
        <w:t xml:space="preserve"> several </w:t>
      </w:r>
      <w:r w:rsidR="00BD0CA2">
        <w:t>times</w:t>
      </w:r>
      <w:r>
        <w:t xml:space="preserve">. Witnesses remembered mostly </w:t>
      </w:r>
      <w:r>
        <w:rPr>
          <w:i/>
          <w:iCs/>
        </w:rPr>
        <w:t>Le Cri des Flandres</w:t>
      </w:r>
      <w:r>
        <w:t xml:space="preserve"> and the Parisian press.</w:t>
      </w:r>
      <w:r>
        <w:rPr>
          <w:rStyle w:val="FootnoteReference"/>
        </w:rPr>
        <w:footnoteReference w:id="860"/>
      </w:r>
      <w:r>
        <w:t xml:space="preserve"> It was also during the same year that British </w:t>
      </w:r>
      <w:r w:rsidR="00605DB1">
        <w:t>RFC</w:t>
      </w:r>
      <w:r>
        <w:t xml:space="preserve"> took charge of the distribution over Lille-Tourcoing-Roubaix. As it has been shown in chapter one, their responsibility was confined to the delivery of material provided by the </w:t>
      </w:r>
      <w:r w:rsidR="00BD0CA2">
        <w:t>French authorities. Interviews with</w:t>
      </w:r>
      <w:r>
        <w:t xml:space="preserve"> refugees showed that propaganda was correctly distributed by the British, a conclusion also reached by the men working at the EMA who were keeping a close eye on the situation.</w:t>
      </w:r>
      <w:r>
        <w:rPr>
          <w:rStyle w:val="FootnoteReference"/>
        </w:rPr>
        <w:footnoteReference w:id="861"/>
      </w:r>
      <w:r>
        <w:t xml:space="preserve"> According to French reports, distribution increased sharply over Lille-</w:t>
      </w:r>
      <w:r w:rsidRPr="00F76047">
        <w:t>Tourcoing-Roubaix during the year 1916. Indeed, the RFC org</w:t>
      </w:r>
      <w:r w:rsidR="00BD0CA2" w:rsidRPr="00F76047">
        <w:t>anised daily missions over the n</w:t>
      </w:r>
      <w:r w:rsidR="00F76047" w:rsidRPr="00F76047">
        <w:t>orthern cities</w:t>
      </w:r>
      <w:r w:rsidRPr="00F76047">
        <w:t xml:space="preserve"> of France between August 1916 and September 1917.</w:t>
      </w:r>
      <w:r w:rsidRPr="00F76047">
        <w:rPr>
          <w:rStyle w:val="FootnoteReference"/>
        </w:rPr>
        <w:footnoteReference w:id="862"/>
      </w:r>
      <w:r w:rsidRPr="00F76047">
        <w:t xml:space="preserve"> J. Arnoux, an occupied citizen of</w:t>
      </w:r>
      <w:r>
        <w:t xml:space="preserve"> Lille, remembered in his post-war book the relief brought by good news and the uneasy routine adopted by the Germans when propaganda was falling over the city:</w:t>
      </w:r>
    </w:p>
    <w:p w14:paraId="7B1A714F" w14:textId="77777777" w:rsidR="0048510E" w:rsidRPr="00AF710C" w:rsidRDefault="0048510E" w:rsidP="0048510E">
      <w:pPr>
        <w:ind w:left="567" w:right="567"/>
        <w:jc w:val="both"/>
      </w:pPr>
      <w:r w:rsidRPr="00A803D6">
        <w:rPr>
          <w:lang w:val="fr-BE"/>
        </w:rPr>
        <w:t xml:space="preserve">[…]Mais nos aviateurs songent à nous, et le 22, ils </w:t>
      </w:r>
      <w:r>
        <w:rPr>
          <w:lang w:val="fr-FR"/>
        </w:rPr>
        <w:t xml:space="preserve">nous lancent, dans une pluie de papiers imprimés en Français et en Allemand, les premiers résultats connus. Comme chaque fois que les nouvelles sont bonnes, nous voyons réapparaitre la traditionnelle affiche qui vient nous rappeler à la réalité par l’énumération réitérée, accentuée, revue et augmentée, de toutes les peines. </w:t>
      </w:r>
      <w:r w:rsidRPr="00AF710C">
        <w:t>[…</w:t>
      </w:r>
      <w:r>
        <w:t>]</w:t>
      </w:r>
      <w:r>
        <w:rPr>
          <w:rStyle w:val="FootnoteReference"/>
        </w:rPr>
        <w:footnoteReference w:id="863"/>
      </w:r>
      <w:r w:rsidRPr="00AF710C">
        <w:t xml:space="preserve">  </w:t>
      </w:r>
    </w:p>
    <w:p w14:paraId="4079EE2B" w14:textId="020F84D3" w:rsidR="0048510E" w:rsidRDefault="0048510E" w:rsidP="00644560">
      <w:pPr>
        <w:jc w:val="both"/>
      </w:pPr>
      <w:r>
        <w:t xml:space="preserve">At the end of 1917, German threats to </w:t>
      </w:r>
      <w:r w:rsidR="00027F3F">
        <w:t>prosecute</w:t>
      </w:r>
      <w:r>
        <w:t xml:space="preserve"> British </w:t>
      </w:r>
      <w:r w:rsidR="001E4661">
        <w:t>pilots</w:t>
      </w:r>
      <w:r w:rsidRPr="00F76047">
        <w:t xml:space="preserve"> engaged in propaganda missions brought </w:t>
      </w:r>
      <w:r w:rsidR="00644560" w:rsidRPr="00F76047">
        <w:t>British aerial propaganda</w:t>
      </w:r>
      <w:r w:rsidRPr="00F76047">
        <w:t xml:space="preserve"> operations to a halt. </w:t>
      </w:r>
      <w:r w:rsidR="00644560" w:rsidRPr="00F76047">
        <w:t>It seems</w:t>
      </w:r>
      <w:r w:rsidRPr="00F76047">
        <w:t xml:space="preserve"> that morale</w:t>
      </w:r>
      <w:r>
        <w:t xml:space="preserve"> in Lille and its surroundings was affected by this interruption. Indeed, post-war testimonies echoed the resulting climate of psychological distress caused by the absence of news during the period of November 1917 to January 1918. In fact, people</w:t>
      </w:r>
      <w:r w:rsidR="001E4661">
        <w:t xml:space="preserve"> living in the occupied territories</w:t>
      </w:r>
      <w:r>
        <w:t xml:space="preserve"> were completely unaware of the dangers to which aviators were exposed and judged the British harshly for interrupting the distribution. Rumours explaining the absence of aerial propaganda were reported by different witnesses. One mentioned spies and intelligence dangers as the main reason</w:t>
      </w:r>
      <w:r w:rsidR="00BD0CA2">
        <w:t xml:space="preserve"> for</w:t>
      </w:r>
      <w:r>
        <w:t xml:space="preserve"> having pushed the RFC to stop the delivery of aerial papers.</w:t>
      </w:r>
      <w:r>
        <w:rPr>
          <w:rStyle w:val="FootnoteReference"/>
        </w:rPr>
        <w:footnoteReference w:id="864"/>
      </w:r>
      <w:r>
        <w:t xml:space="preserve"> Newspapers and leaflets reappeared progressively after March 1918 when</w:t>
      </w:r>
      <w:r w:rsidR="00604160">
        <w:t xml:space="preserve"> the</w:t>
      </w:r>
      <w:r>
        <w:t xml:space="preserve"> balloons without pilots were adopted by the British. Another witness claimed that these renewed operations were triggered by the ‘cris de détresse et de pitié poussés par les derniers évacués arrivés en France’.</w:t>
      </w:r>
      <w:r>
        <w:rPr>
          <w:rStyle w:val="FootnoteReference"/>
        </w:rPr>
        <w:footnoteReference w:id="865"/>
      </w:r>
      <w:r>
        <w:t xml:space="preserve"> In the last months of the war, reports were more positive. The British noted that the population around Lille was greatly encouraged by aerial propaganda.</w:t>
      </w:r>
      <w:r>
        <w:rPr>
          <w:rStyle w:val="FootnoteReference"/>
        </w:rPr>
        <w:footnoteReference w:id="866"/>
      </w:r>
      <w:r>
        <w:t xml:space="preserve"> This opinion was confirmed by several reports, based on interviews of refugees, noting that morale was excellent.</w:t>
      </w:r>
      <w:r>
        <w:rPr>
          <w:rStyle w:val="FootnoteReference"/>
        </w:rPr>
        <w:footnoteReference w:id="867"/>
      </w:r>
    </w:p>
    <w:p w14:paraId="20B2B4E0" w14:textId="099FF2F4" w:rsidR="0048510E" w:rsidRDefault="0048510E" w:rsidP="00905B4F">
      <w:pPr>
        <w:jc w:val="both"/>
      </w:pPr>
      <w:r>
        <w:t xml:space="preserve">In </w:t>
      </w:r>
      <w:r w:rsidR="00BD0CA2">
        <w:t>other areas of the ‘département du n</w:t>
      </w:r>
      <w:r>
        <w:t>ord’, the situation was less documented but seems to have followed the</w:t>
      </w:r>
      <w:r w:rsidR="00604160">
        <w:t xml:space="preserve"> same</w:t>
      </w:r>
      <w:r>
        <w:t xml:space="preserve"> pattern </w:t>
      </w:r>
      <w:r w:rsidR="00604160">
        <w:t>as</w:t>
      </w:r>
      <w:r>
        <w:t xml:space="preserve"> Lille. In Valenciennes, allied planes throwing French newspapers were spotted on a regular basis.</w:t>
      </w:r>
      <w:r>
        <w:rPr>
          <w:rStyle w:val="FootnoteReference"/>
        </w:rPr>
        <w:footnoteReference w:id="868"/>
      </w:r>
      <w:r>
        <w:t xml:space="preserve"> In the area of Cambrai, British aviators were often seen distributing the </w:t>
      </w:r>
      <w:r>
        <w:rPr>
          <w:i/>
          <w:iCs/>
        </w:rPr>
        <w:t xml:space="preserve">Courrier de l’Air </w:t>
      </w:r>
      <w:r>
        <w:t xml:space="preserve">and Parisian </w:t>
      </w:r>
      <w:r w:rsidR="00905B4F">
        <w:t>newspapers</w:t>
      </w:r>
      <w:r>
        <w:t>.</w:t>
      </w:r>
      <w:r>
        <w:rPr>
          <w:rStyle w:val="FootnoteReference"/>
        </w:rPr>
        <w:footnoteReference w:id="869"/>
      </w:r>
      <w:r>
        <w:t xml:space="preserve"> A witness</w:t>
      </w:r>
      <w:r w:rsidR="009B6582">
        <w:t xml:space="preserve"> named Demolon and</w:t>
      </w:r>
      <w:r>
        <w:t xml:space="preserve"> living in Cambrai remembered the positive impact they had on his morale.</w:t>
      </w:r>
      <w:r>
        <w:rPr>
          <w:rStyle w:val="FootnoteReference"/>
        </w:rPr>
        <w:footnoteReference w:id="870"/>
      </w:r>
    </w:p>
    <w:p w14:paraId="02D1B345" w14:textId="4D6A4AF2" w:rsidR="0048510E" w:rsidRPr="0051092F" w:rsidRDefault="001263F1" w:rsidP="00644560">
      <w:pPr>
        <w:jc w:val="both"/>
      </w:pPr>
      <w:r>
        <w:t xml:space="preserve">The other occupied </w:t>
      </w:r>
      <w:r w:rsidRPr="001263F1">
        <w:rPr>
          <w:i/>
        </w:rPr>
        <w:t>dé</w:t>
      </w:r>
      <w:r w:rsidR="0048510E" w:rsidRPr="001263F1">
        <w:rPr>
          <w:i/>
        </w:rPr>
        <w:t>part</w:t>
      </w:r>
      <w:r w:rsidRPr="001263F1">
        <w:rPr>
          <w:i/>
        </w:rPr>
        <w:t>e</w:t>
      </w:r>
      <w:r w:rsidR="0048510E" w:rsidRPr="001263F1">
        <w:rPr>
          <w:i/>
        </w:rPr>
        <w:t>ments</w:t>
      </w:r>
      <w:r w:rsidR="0048510E">
        <w:t xml:space="preserve"> of France were far less populated than the north. As such, the efficiency of propaganda in these regions will be examined only briefly. In</w:t>
      </w:r>
      <w:r w:rsidR="009B6582">
        <w:t xml:space="preserve"> the</w:t>
      </w:r>
      <w:r w:rsidR="0048510E">
        <w:t xml:space="preserve"> Aisne, aerial newspapers and the French press were commonly available</w:t>
      </w:r>
      <w:r w:rsidR="00027F3F">
        <w:t>, a fact highlighted by Philippe Salson in his thesis on the occupation in the department</w:t>
      </w:r>
      <w:r w:rsidR="0048510E">
        <w:t>.</w:t>
      </w:r>
      <w:r w:rsidR="00027F3F">
        <w:t xml:space="preserve"> </w:t>
      </w:r>
      <w:r w:rsidR="00CD2C6F">
        <w:t>Of</w:t>
      </w:r>
      <w:r w:rsidR="00027F3F">
        <w:t xml:space="preserve"> the twenty-four </w:t>
      </w:r>
      <w:r w:rsidR="00027F3F">
        <w:rPr>
          <w:i/>
          <w:iCs/>
        </w:rPr>
        <w:t>occupés</w:t>
      </w:r>
      <w:r w:rsidR="00CD2C6F">
        <w:rPr>
          <w:i/>
          <w:iCs/>
        </w:rPr>
        <w:t xml:space="preserve"> </w:t>
      </w:r>
      <w:r w:rsidR="00644560">
        <w:t>selected for his case-study</w:t>
      </w:r>
      <w:r w:rsidR="00027F3F">
        <w:t>, eighteen had access to aerial propaganda.</w:t>
      </w:r>
      <w:r w:rsidR="00027F3F">
        <w:rPr>
          <w:rStyle w:val="FootnoteReference"/>
        </w:rPr>
        <w:footnoteReference w:id="871"/>
      </w:r>
      <w:r w:rsidR="0048510E">
        <w:t xml:space="preserve"> </w:t>
      </w:r>
      <w:r w:rsidR="0048510E" w:rsidRPr="00367CC1">
        <w:rPr>
          <w:i/>
          <w:iCs/>
        </w:rPr>
        <w:t xml:space="preserve">La Voix du Pays </w:t>
      </w:r>
      <w:r w:rsidR="0048510E" w:rsidRPr="00367CC1">
        <w:t xml:space="preserve">and </w:t>
      </w:r>
      <w:r w:rsidR="0048510E" w:rsidRPr="00367CC1">
        <w:rPr>
          <w:i/>
          <w:iCs/>
        </w:rPr>
        <w:t>Le Courrier de l’Air</w:t>
      </w:r>
      <w:r w:rsidR="0048510E" w:rsidRPr="00367CC1">
        <w:t xml:space="preserve"> were</w:t>
      </w:r>
      <w:r w:rsidR="0048510E">
        <w:t xml:space="preserve"> even</w:t>
      </w:r>
      <w:r w:rsidR="0048510E" w:rsidRPr="00367CC1">
        <w:t xml:space="preserve"> described</w:t>
      </w:r>
      <w:r w:rsidR="0048510E">
        <w:t xml:space="preserve"> by the EMA</w:t>
      </w:r>
      <w:r w:rsidR="0048510E" w:rsidRPr="00367CC1">
        <w:t xml:space="preserve"> as having enormous benefits over morale.</w:t>
      </w:r>
      <w:r w:rsidR="0048510E">
        <w:rPr>
          <w:rStyle w:val="FootnoteReference"/>
        </w:rPr>
        <w:footnoteReference w:id="872"/>
      </w:r>
      <w:r w:rsidR="0048510E" w:rsidRPr="00367CC1">
        <w:t xml:space="preserve"> </w:t>
      </w:r>
      <w:r w:rsidR="0048510E">
        <w:t xml:space="preserve">Yet, one inhabitant of Saint-Quentin expressed his dissatisfaction at the </w:t>
      </w:r>
      <w:r w:rsidR="0048510E">
        <w:rPr>
          <w:i/>
          <w:iCs/>
        </w:rPr>
        <w:t>Voix du Pays</w:t>
      </w:r>
      <w:r w:rsidR="0048510E">
        <w:t xml:space="preserve">, </w:t>
      </w:r>
      <w:r w:rsidR="00BD0CA2">
        <w:t xml:space="preserve">which he </w:t>
      </w:r>
      <w:r w:rsidR="0048510E">
        <w:t>called ‘insignificant’.</w:t>
      </w:r>
      <w:r w:rsidR="0048510E">
        <w:rPr>
          <w:rStyle w:val="FootnoteReference"/>
        </w:rPr>
        <w:footnoteReference w:id="873"/>
      </w:r>
      <w:r w:rsidR="0048510E">
        <w:t xml:space="preserve"> However, this negative opinion was an isolated case. For Belgium and France, no other hostile reaction targeted at the </w:t>
      </w:r>
      <w:r w:rsidR="0048510E">
        <w:rPr>
          <w:i/>
          <w:iCs/>
        </w:rPr>
        <w:t>Voix du Pays</w:t>
      </w:r>
      <w:r w:rsidR="0048510E">
        <w:t xml:space="preserve"> or other dedicated aerial newspaper was found. It will be shown later that Parisian </w:t>
      </w:r>
      <w:r w:rsidR="00905B4F">
        <w:t>newspapers</w:t>
      </w:r>
      <w:r w:rsidR="0048510E">
        <w:t xml:space="preserve"> were more prone to raise eyebrows.</w:t>
      </w:r>
    </w:p>
    <w:p w14:paraId="41D712E4" w14:textId="4F78F9CF" w:rsidR="0048510E" w:rsidRDefault="0048510E" w:rsidP="0048510E">
      <w:pPr>
        <w:jc w:val="both"/>
      </w:pPr>
      <w:r>
        <w:t xml:space="preserve">In the </w:t>
      </w:r>
      <w:r w:rsidR="00387E30">
        <w:t>d</w:t>
      </w:r>
      <w:r w:rsidRPr="001446ED">
        <w:rPr>
          <w:i/>
          <w:iCs/>
        </w:rPr>
        <w:t>épartement des Ardennes</w:t>
      </w:r>
      <w:r>
        <w:t xml:space="preserve">, aerial propaganda was a regular sight. From 1916 to 1918, Charleville-Mézières was particularly targeted by aerial psychological warfare. Ironically, the city was hosting the editorial team of the German newspaper </w:t>
      </w:r>
      <w:r>
        <w:rPr>
          <w:i/>
          <w:iCs/>
        </w:rPr>
        <w:t>La Gazette des Ardennes</w:t>
      </w:r>
      <w:r>
        <w:t>. In his post-war book, Clément Karleskind described aerial propaganda as a ‘véritable baume appliqué sur nos blessures morales’ and on several other occasions emphasised its benefits for the morale of Charleville-Mézières.</w:t>
      </w:r>
      <w:r>
        <w:rPr>
          <w:rStyle w:val="FootnoteReference"/>
        </w:rPr>
        <w:footnoteReference w:id="874"/>
      </w:r>
      <w:r>
        <w:t xml:space="preserve"> </w:t>
      </w:r>
    </w:p>
    <w:p w14:paraId="72FC90D7" w14:textId="71313B7E" w:rsidR="0048510E" w:rsidRPr="005A49BE" w:rsidRDefault="0048510E" w:rsidP="00905B4F">
      <w:pPr>
        <w:jc w:val="both"/>
      </w:pPr>
      <w:r>
        <w:t>Almost nothing is known of the Meuse department</w:t>
      </w:r>
      <w:r w:rsidR="009B6582">
        <w:t>,</w:t>
      </w:r>
      <w:r>
        <w:t xml:space="preserve"> as the occupied part was scarcely populated. Planes dropping newspapers were sighted in Saint-Mihiel but no other information was found.</w:t>
      </w:r>
      <w:r>
        <w:rPr>
          <w:rStyle w:val="FootnoteReference"/>
        </w:rPr>
        <w:footnoteReference w:id="875"/>
      </w:r>
      <w:r>
        <w:t xml:space="preserve"> The same silence surrounded the ‘département de Meurthe-et-Moselle’ of which most of the territory remained under French control.</w:t>
      </w:r>
      <w:r>
        <w:rPr>
          <w:rStyle w:val="FootnoteReference"/>
        </w:rPr>
        <w:footnoteReference w:id="876"/>
      </w:r>
      <w:r>
        <w:t xml:space="preserve"> Finally, more is known about the small invaded parts of the Vosges department. Indeed, a priest in Senones reported several distributions of the </w:t>
      </w:r>
      <w:r>
        <w:rPr>
          <w:i/>
          <w:iCs/>
        </w:rPr>
        <w:t>Voix du Pays</w:t>
      </w:r>
      <w:r>
        <w:t xml:space="preserve"> and other Parisian newspapers by French aeroplanes from 1915 to the end of the war. These </w:t>
      </w:r>
      <w:r w:rsidR="00905B4F">
        <w:t>newspapers</w:t>
      </w:r>
      <w:r>
        <w:t xml:space="preserve"> were shared among the inhabitants of Senones but their reaction was not noted.</w:t>
      </w:r>
      <w:r>
        <w:rPr>
          <w:rStyle w:val="FootnoteReference"/>
        </w:rPr>
        <w:footnoteReference w:id="877"/>
      </w:r>
      <w:r>
        <w:t xml:space="preserve"> </w:t>
      </w:r>
    </w:p>
    <w:p w14:paraId="5E4D7B0B" w14:textId="3FF4C34D" w:rsidR="0048510E" w:rsidRDefault="0048510E" w:rsidP="00905B4F">
      <w:pPr>
        <w:jc w:val="both"/>
      </w:pPr>
      <w:r w:rsidRPr="00934705">
        <w:t xml:space="preserve">In the last paragraphs, </w:t>
      </w:r>
      <w:r>
        <w:t xml:space="preserve">it was </w:t>
      </w:r>
      <w:r w:rsidRPr="00934705">
        <w:t xml:space="preserve">underlined that aerial propaganda was usually received with joy and proved to be </w:t>
      </w:r>
      <w:r>
        <w:t>a psychological relief. Despite a majority of positive comments, propaganda</w:t>
      </w:r>
      <w:r w:rsidR="00387E30" w:rsidRPr="00387E30">
        <w:t xml:space="preserve"> </w:t>
      </w:r>
      <w:r w:rsidR="00387E30">
        <w:t>occasionally</w:t>
      </w:r>
      <w:r>
        <w:t xml:space="preserve"> caused more harm than good</w:t>
      </w:r>
      <w:r w:rsidR="009B6582">
        <w:t xml:space="preserve">. Sending Parisian newspapers </w:t>
      </w:r>
      <w:r>
        <w:t xml:space="preserve">for the occupied territories was a counter-productive paradox. </w:t>
      </w:r>
      <w:r w:rsidRPr="00BD23C7">
        <w:t xml:space="preserve">Newspapers such as </w:t>
      </w:r>
      <w:r w:rsidRPr="00BD23C7">
        <w:rPr>
          <w:i/>
          <w:iCs/>
        </w:rPr>
        <w:t>La Voix du Pays</w:t>
      </w:r>
      <w:r w:rsidRPr="00BD23C7">
        <w:t xml:space="preserve"> and </w:t>
      </w:r>
      <w:r w:rsidRPr="00BD23C7">
        <w:rPr>
          <w:i/>
          <w:iCs/>
        </w:rPr>
        <w:t>Le Courrier de l’Air</w:t>
      </w:r>
      <w:r w:rsidRPr="00BD23C7">
        <w:t xml:space="preserve"> were carefully designed with an occupied audience in mind</w:t>
      </w:r>
      <w:r w:rsidR="009B6582">
        <w:t>,</w:t>
      </w:r>
      <w:r w:rsidRPr="00BD23C7">
        <w:t xml:space="preserve"> but titles </w:t>
      </w:r>
      <w:r w:rsidR="00387E30">
        <w:t xml:space="preserve">aimed at </w:t>
      </w:r>
      <w:r w:rsidRPr="00BD23C7">
        <w:t xml:space="preserve">the </w:t>
      </w:r>
      <w:r w:rsidR="001263F1">
        <w:t>home front</w:t>
      </w:r>
      <w:r>
        <w:t xml:space="preserve"> were not always suitable to accommodate the German domination or specific sensibilities. Refugees from the occupied parts of France </w:t>
      </w:r>
      <w:r w:rsidR="00387E30">
        <w:t>stated</w:t>
      </w:r>
      <w:r>
        <w:t xml:space="preserve"> that the content of the Parisian press had sometimes negative consequences.</w:t>
      </w:r>
      <w:r w:rsidRPr="00BD23C7">
        <w:t xml:space="preserve"> </w:t>
      </w:r>
      <w:r w:rsidR="00387E30">
        <w:t>Not surprisingly</w:t>
      </w:r>
      <w:r>
        <w:t>, the Germans were also reading aerial propaganda and reacted to articles describing the occupation and repatriation</w:t>
      </w:r>
      <w:r w:rsidR="00387E30" w:rsidRPr="00387E30">
        <w:t xml:space="preserve"> </w:t>
      </w:r>
      <w:r w:rsidR="00387E30">
        <w:t>with hostility</w:t>
      </w:r>
      <w:r>
        <w:t>:</w:t>
      </w:r>
    </w:p>
    <w:p w14:paraId="5D764769" w14:textId="77777777" w:rsidR="0048510E" w:rsidRDefault="0048510E" w:rsidP="0048510E">
      <w:pPr>
        <w:ind w:left="567" w:right="567"/>
        <w:jc w:val="both"/>
        <w:rPr>
          <w:lang w:val="fr-FR"/>
        </w:rPr>
      </w:pPr>
      <w:r w:rsidRPr="00C22C42">
        <w:rPr>
          <w:lang w:val="fr-FR"/>
        </w:rPr>
        <w:t xml:space="preserve">Les rapatriés se plaignent notamment des journalistes </w:t>
      </w:r>
      <w:r>
        <w:rPr>
          <w:lang w:val="fr-FR"/>
        </w:rPr>
        <w:t>français et demandent qu’on signale au Gouvernement le fait suivant : à propos des rapatriements, les journaux publient des choses inéxactes [sic], souvent fausses, et presque toujours exagérées. Ces journaus [sic] ont tort de signaler ce qui se passe dans certaines localités des pays envahis, en signalant que ces renseignements leur sont fournis par un rapatrié de tel endroit : ils font ainsi beaucoup de mal aux populations de ces localités. Les Allemands deviennent alors sévères, infligent des amendes, rendent la vie intenable et s’opposent à bien des rapatriements.</w:t>
      </w:r>
      <w:r>
        <w:rPr>
          <w:rStyle w:val="FootnoteReference"/>
          <w:lang w:val="fr-FR"/>
        </w:rPr>
        <w:footnoteReference w:id="878"/>
      </w:r>
      <w:r>
        <w:rPr>
          <w:lang w:val="fr-FR"/>
        </w:rPr>
        <w:t xml:space="preserve"> </w:t>
      </w:r>
    </w:p>
    <w:p w14:paraId="1D9E6EFF" w14:textId="5D5BD62F" w:rsidR="0048510E" w:rsidRDefault="0048510E" w:rsidP="0048510E">
      <w:pPr>
        <w:jc w:val="both"/>
      </w:pPr>
      <w:r w:rsidRPr="007A2E52">
        <w:t xml:space="preserve">This report was not an isolated case. </w:t>
      </w:r>
      <w:r>
        <w:t>Numerous ex-occupied French complained about the consequences, suc</w:t>
      </w:r>
      <w:r w:rsidR="009B6582">
        <w:t>h as vexations or bad treatment</w:t>
      </w:r>
      <w:r>
        <w:t>, following articles published in the French press and distributed in the occupied territories.</w:t>
      </w:r>
      <w:r>
        <w:rPr>
          <w:rStyle w:val="FootnoteReference"/>
        </w:rPr>
        <w:footnoteReference w:id="879"/>
      </w:r>
      <w:r>
        <w:t xml:space="preserve"> The situation was even worse for the families of those who had agreed to be interviewed and who were still living under German rule. They were rigorously questioned by the occupier and sometimes locked in disciplinary rooms.</w:t>
      </w:r>
      <w:r>
        <w:rPr>
          <w:rStyle w:val="FootnoteReference"/>
        </w:rPr>
        <w:footnoteReference w:id="880"/>
      </w:r>
      <w:r>
        <w:t xml:space="preserve"> Another Parisian newspaper had mentioned refugees from Lille having managed to hide gold during the evacuation. As a result, the Germans searched civilians about to leave for Switzerland more meticulously.</w:t>
      </w:r>
      <w:r>
        <w:rPr>
          <w:rStyle w:val="FootnoteReference"/>
        </w:rPr>
        <w:footnoteReference w:id="881"/>
      </w:r>
      <w:r>
        <w:t xml:space="preserve"> </w:t>
      </w:r>
    </w:p>
    <w:p w14:paraId="6214FD08" w14:textId="2734B01A" w:rsidR="0048510E" w:rsidRPr="00D74F33" w:rsidRDefault="0048510E" w:rsidP="0048510E">
      <w:pPr>
        <w:jc w:val="both"/>
        <w:rPr>
          <w:lang w:val="fr-FR"/>
        </w:rPr>
      </w:pPr>
      <w:r>
        <w:t>Another negative aspect of the Parisian press was due to the quality of the information itself. In free France, the press had lost much credibility since 1914 but was still largely responsible for influencing public opinion. Yet, censorship and the fact that journalists were refused access to the battlefields meant that until 1918 newspapers often reproduced badly inaccurate information.</w:t>
      </w:r>
      <w:r>
        <w:rPr>
          <w:rStyle w:val="FootnoteReference"/>
        </w:rPr>
        <w:footnoteReference w:id="882"/>
      </w:r>
      <w:r>
        <w:t xml:space="preserve"> In the occupied parts of France, the misinformation of the French press was a gift for German propaganda and even for German officers who took on their own to denounce the </w:t>
      </w:r>
      <w:r>
        <w:rPr>
          <w:i/>
          <w:iCs/>
        </w:rPr>
        <w:t>bourrage de crâne</w:t>
      </w:r>
      <w:r>
        <w:t xml:space="preserve">. </w:t>
      </w:r>
      <w:r w:rsidRPr="00D74F33">
        <w:rPr>
          <w:lang w:val="fr-FR"/>
        </w:rPr>
        <w:t>This fact was explained by a refugee:</w:t>
      </w:r>
    </w:p>
    <w:p w14:paraId="5A3C1849" w14:textId="77777777" w:rsidR="0048510E" w:rsidRPr="000A7D49" w:rsidRDefault="0048510E" w:rsidP="0048510E">
      <w:pPr>
        <w:ind w:left="567" w:right="567"/>
        <w:jc w:val="both"/>
        <w:rPr>
          <w:lang w:val="fr-FR"/>
        </w:rPr>
      </w:pPr>
      <w:r w:rsidRPr="000A7D49">
        <w:rPr>
          <w:lang w:val="fr-FR"/>
        </w:rPr>
        <w:t xml:space="preserve">Les journaux français arrivaient assez fréquemment </w:t>
      </w:r>
      <w:r>
        <w:rPr>
          <w:lang w:val="fr-FR"/>
        </w:rPr>
        <w:t>à Péronne, mais n’étaient point recherchés. Ils avaient tellement altéré la vérité qu’on ne les croyait plus. Les officiers allemands éprouvaient un malin plaisir à montrer les journaux français à nos concitoyens pour leur faire sentir surtout en ce qui concernait, au début des hostilités, les combats autour de Péronne, combien les faits étaient dénaturés par nos journalistes.</w:t>
      </w:r>
      <w:r>
        <w:rPr>
          <w:rStyle w:val="FootnoteReference"/>
          <w:lang w:val="fr-FR"/>
        </w:rPr>
        <w:footnoteReference w:id="883"/>
      </w:r>
      <w:r w:rsidRPr="000A7D49">
        <w:rPr>
          <w:lang w:val="fr-FR"/>
        </w:rPr>
        <w:t xml:space="preserve"> </w:t>
      </w:r>
    </w:p>
    <w:p w14:paraId="4E7C9670" w14:textId="483C84FC" w:rsidR="0048510E" w:rsidRDefault="0048510E" w:rsidP="00905B4F">
      <w:pPr>
        <w:jc w:val="both"/>
      </w:pPr>
      <w:r w:rsidRPr="00D74F33">
        <w:t xml:space="preserve">Allied aerial propaganda was designed as a source of information for the population but unexpectedly proved useful </w:t>
      </w:r>
      <w:r>
        <w:t>to the French resistance. The EMA and the SPA had not anticipated these consequences. This fact seems to confirm the ‘accidental results’ theory highlighted by Ellul and mentioned in the introduction of the chapter. For France, evidence suggests that aerial newspapers were used by different underground organisations, mainly in the area of Lille.</w:t>
      </w:r>
      <w:r>
        <w:rPr>
          <w:rStyle w:val="FootnoteReference"/>
        </w:rPr>
        <w:footnoteReference w:id="884"/>
      </w:r>
      <w:r>
        <w:t xml:space="preserve"> One of the most documented examples was the case of Firmin Dubar, a textile manufacturer from Roubaix who was also involved in </w:t>
      </w:r>
      <w:r w:rsidR="00387E30">
        <w:t xml:space="preserve">the </w:t>
      </w:r>
      <w:r>
        <w:t xml:space="preserve">resistance. On 1 January 1915, Dubar initiated in his hometown the publication of an illegal newspaper called </w:t>
      </w:r>
      <w:r w:rsidRPr="00193A0F">
        <w:rPr>
          <w:i/>
          <w:iCs/>
        </w:rPr>
        <w:t>Le</w:t>
      </w:r>
      <w:r>
        <w:rPr>
          <w:i/>
          <w:iCs/>
        </w:rPr>
        <w:t xml:space="preserve"> Journal des Occupés…inoccupés</w:t>
      </w:r>
      <w:r>
        <w:t>.</w:t>
      </w:r>
      <w:r>
        <w:rPr>
          <w:rStyle w:val="FootnoteReference"/>
        </w:rPr>
        <w:footnoteReference w:id="885"/>
      </w:r>
      <w:r>
        <w:t xml:space="preserve"> The paper was received warmly by a population deprived of news and was in fact one of the rare clandestine publications in the north of France to thrive. Indeed, out of the eighty illegal publications created in occupied territories, seventy-seven were in Belgium.</w:t>
      </w:r>
      <w:r>
        <w:rPr>
          <w:rStyle w:val="FootnoteReference"/>
        </w:rPr>
        <w:footnoteReference w:id="886"/>
      </w:r>
      <w:r>
        <w:t xml:space="preserve"> The success of </w:t>
      </w:r>
      <w:r>
        <w:rPr>
          <w:i/>
          <w:iCs/>
        </w:rPr>
        <w:t xml:space="preserve">Le Journal des </w:t>
      </w:r>
      <w:r w:rsidRPr="00CE1B1C">
        <w:rPr>
          <w:i/>
          <w:iCs/>
        </w:rPr>
        <w:t>Occupés</w:t>
      </w:r>
      <w:r>
        <w:rPr>
          <w:i/>
          <w:iCs/>
        </w:rPr>
        <w:t xml:space="preserve"> </w:t>
      </w:r>
      <w:r w:rsidRPr="00CE1B1C">
        <w:t>encouraged</w:t>
      </w:r>
      <w:r>
        <w:t xml:space="preserve"> Dubar, now helped by a university professor named Joseph Willot and a priest called Pinte, to create </w:t>
      </w:r>
      <w:r w:rsidR="00387E30">
        <w:t xml:space="preserve">another </w:t>
      </w:r>
      <w:r w:rsidR="00905B4F">
        <w:t>newspaper</w:t>
      </w:r>
      <w:r>
        <w:t xml:space="preserve"> named </w:t>
      </w:r>
      <w:r>
        <w:rPr>
          <w:i/>
          <w:iCs/>
        </w:rPr>
        <w:t>La Patience</w:t>
      </w:r>
      <w:r>
        <w:t xml:space="preserve"> aimed at the bigger city of Lille</w:t>
      </w:r>
      <w:r w:rsidR="00387E30" w:rsidRPr="00387E30">
        <w:t xml:space="preserve"> </w:t>
      </w:r>
      <w:r w:rsidR="00387E30">
        <w:t>the next month</w:t>
      </w:r>
      <w:r>
        <w:t>. Once again, the newspaper was welcomed by French civilians and encouraged the trio to increase their activities.</w:t>
      </w:r>
      <w:r>
        <w:rPr>
          <w:rStyle w:val="FootnoteReference"/>
        </w:rPr>
        <w:footnoteReference w:id="887"/>
      </w:r>
      <w:r>
        <w:t xml:space="preserve"> The content was inspired by French newspapers from Paris such as </w:t>
      </w:r>
      <w:r>
        <w:rPr>
          <w:i/>
          <w:iCs/>
        </w:rPr>
        <w:t xml:space="preserve">Le Figaro, Le Temps </w:t>
      </w:r>
      <w:r>
        <w:t xml:space="preserve">and </w:t>
      </w:r>
      <w:r>
        <w:rPr>
          <w:i/>
          <w:iCs/>
        </w:rPr>
        <w:t>Le Petit Journal</w:t>
      </w:r>
      <w:r>
        <w:t xml:space="preserve">. The provenance of those newspapers was explained after the war by </w:t>
      </w:r>
      <w:r>
        <w:rPr>
          <w:i/>
          <w:iCs/>
        </w:rPr>
        <w:t>Le Dimanche du Journal de Roubaix</w:t>
      </w:r>
      <w:r>
        <w:t xml:space="preserve"> which stated that they were dropped by an allied aviator over the park Barbieux in Roubaix. They were picked </w:t>
      </w:r>
      <w:r w:rsidR="00131ACA">
        <w:t xml:space="preserve">up </w:t>
      </w:r>
      <w:r>
        <w:t xml:space="preserve">by children who would sell them at an expensive price to the editorial team of </w:t>
      </w:r>
      <w:r>
        <w:rPr>
          <w:i/>
          <w:iCs/>
        </w:rPr>
        <w:t>La Patience</w:t>
      </w:r>
      <w:r>
        <w:t>.</w:t>
      </w:r>
      <w:r>
        <w:rPr>
          <w:rStyle w:val="FootnoteReference"/>
        </w:rPr>
        <w:footnoteReference w:id="888"/>
      </w:r>
      <w:r>
        <w:t xml:space="preserve"> An occupied citizen of Lille remembered the effect produced by the illegal publication:</w:t>
      </w:r>
    </w:p>
    <w:p w14:paraId="1CA43270" w14:textId="77777777" w:rsidR="0048510E" w:rsidRPr="001A3F25" w:rsidRDefault="0048510E" w:rsidP="0048510E">
      <w:pPr>
        <w:ind w:left="567" w:right="567"/>
        <w:jc w:val="both"/>
        <w:rPr>
          <w:lang w:val="fr-FR"/>
        </w:rPr>
      </w:pPr>
      <w:r w:rsidRPr="001A3F25">
        <w:rPr>
          <w:lang w:val="fr-FR"/>
        </w:rPr>
        <w:t xml:space="preserve">Nous lisons donc avidement ces pages. </w:t>
      </w:r>
      <w:r>
        <w:rPr>
          <w:lang w:val="fr-FR"/>
        </w:rPr>
        <w:t>C’est avec bonheur que nous savourons un langage français en même temps que des nouvelles exactes. Ce sont là d’excellentes réponses aux mensonges et aux outrages de plumes des gazettes mercenaires qui nous envahissent et qui sont démoralisantes pour ceux qui ont la faiblesse d’y croire.</w:t>
      </w:r>
      <w:r>
        <w:rPr>
          <w:rStyle w:val="FootnoteReference"/>
          <w:lang w:val="fr-FR"/>
        </w:rPr>
        <w:footnoteReference w:id="889"/>
      </w:r>
    </w:p>
    <w:p w14:paraId="622FADCE" w14:textId="37338584" w:rsidR="0048510E" w:rsidRPr="00D131AB" w:rsidRDefault="0048510E" w:rsidP="0048510E">
      <w:pPr>
        <w:jc w:val="both"/>
      </w:pPr>
      <w:r>
        <w:t xml:space="preserve">By the end of 1915, the Germans had been made aware of the illegal publication and were actively looking for the authors. Concerned, the editorial team </w:t>
      </w:r>
      <w:r w:rsidR="00387E30">
        <w:t xml:space="preserve">took the decision </w:t>
      </w:r>
      <w:r>
        <w:t xml:space="preserve">to interrupt </w:t>
      </w:r>
      <w:r w:rsidRPr="004456E0">
        <w:rPr>
          <w:i/>
          <w:iCs/>
        </w:rPr>
        <w:t>La</w:t>
      </w:r>
      <w:r>
        <w:t xml:space="preserve"> </w:t>
      </w:r>
      <w:r>
        <w:rPr>
          <w:i/>
          <w:iCs/>
        </w:rPr>
        <w:t>Patience</w:t>
      </w:r>
      <w:r>
        <w:t xml:space="preserve"> until a solution was found. The wife of Joseph Willot came with the idea of a distraction to divert the attention of the Germans. </w:t>
      </w:r>
      <w:r>
        <w:rPr>
          <w:i/>
          <w:iCs/>
        </w:rPr>
        <w:t>La Patience</w:t>
      </w:r>
      <w:r>
        <w:t xml:space="preserve"> was renamed </w:t>
      </w:r>
      <w:r>
        <w:rPr>
          <w:i/>
          <w:iCs/>
        </w:rPr>
        <w:t>L’Oiseau de France</w:t>
      </w:r>
      <w:r>
        <w:t xml:space="preserve"> and was stamped with the words ‘French airmail’ in order to camouflage the publication as a form of air propaganda coming from the other side of the trenches. To complete the illusion, the sentence ‘</w:t>
      </w:r>
      <w:r>
        <w:rPr>
          <w:i/>
          <w:iCs/>
        </w:rPr>
        <w:t>Imprimerie nationale – Annexe de guerre – Service de l’aviation</w:t>
      </w:r>
      <w:r>
        <w:t>’ was added below the title.</w:t>
      </w:r>
      <w:r>
        <w:rPr>
          <w:rStyle w:val="FootnoteReference"/>
        </w:rPr>
        <w:footnoteReference w:id="890"/>
      </w:r>
      <w:r>
        <w:t xml:space="preserve"> </w:t>
      </w:r>
      <w:r w:rsidRPr="00E47B3F">
        <w:rPr>
          <w:lang w:val="fr-FR"/>
        </w:rPr>
        <w:t xml:space="preserve">The illusion was perpetuated during the year 1916. </w:t>
      </w:r>
      <w:r w:rsidRPr="00E94573">
        <w:rPr>
          <w:lang w:val="fr-FR"/>
        </w:rPr>
        <w:t>On 14 July, the front page bore the French colours and the text ‘La France envoie aux vaillantes populations des départements occupés par l’ennemi l’expression de sa vive affection, de sa profonde admiration</w:t>
      </w:r>
      <w:r>
        <w:rPr>
          <w:lang w:val="fr-FR"/>
        </w:rPr>
        <w:t xml:space="preserve"> et de son éternelle reconnaissance’.</w:t>
      </w:r>
      <w:r>
        <w:rPr>
          <w:rStyle w:val="FootnoteReference"/>
          <w:lang w:val="fr-FR"/>
        </w:rPr>
        <w:footnoteReference w:id="891"/>
      </w:r>
      <w:r>
        <w:rPr>
          <w:lang w:val="fr-FR"/>
        </w:rPr>
        <w:t xml:space="preserve"> </w:t>
      </w:r>
      <w:r w:rsidRPr="00D131AB">
        <w:t>This strategy went undetected until October 1916 when the Germans finally arrested Pinte and Dubar. Willot was captured later and died in 1919 of an illness contracted in prison.</w:t>
      </w:r>
      <w:r>
        <w:rPr>
          <w:rStyle w:val="FootnoteReference"/>
        </w:rPr>
        <w:footnoteReference w:id="892"/>
      </w:r>
      <w:r>
        <w:t xml:space="preserve"> Other individuals tried after 1916 to reproduce articles from the aerial press. The sources in the archives have not kept information about them except for Jules Eucheur, a stenographer living in Roubaix, who copied aerial newspapers which were later distributed to the population. His activities were known of the British intelligence service.</w:t>
      </w:r>
      <w:r>
        <w:rPr>
          <w:rStyle w:val="FootnoteReference"/>
        </w:rPr>
        <w:footnoteReference w:id="893"/>
      </w:r>
    </w:p>
    <w:p w14:paraId="5A2B9DBD" w14:textId="77777777" w:rsidR="0048510E" w:rsidRDefault="0048510E" w:rsidP="0048510E">
      <w:pPr>
        <w:pStyle w:val="Heading2"/>
      </w:pPr>
      <w:bookmarkStart w:id="89" w:name="_Toc378223882"/>
      <w:bookmarkStart w:id="90" w:name="_Toc402192995"/>
      <w:r>
        <w:t>The campaign of allied propaganda in occupied Belgium</w:t>
      </w:r>
      <w:bookmarkEnd w:id="89"/>
      <w:bookmarkEnd w:id="90"/>
    </w:p>
    <w:p w14:paraId="564F36B2" w14:textId="77777777" w:rsidR="0048510E" w:rsidRDefault="0048510E" w:rsidP="0048510E">
      <w:pPr>
        <w:jc w:val="both"/>
      </w:pPr>
      <w:r>
        <w:t>Reports and testimonies offered a contrast picture of aerial propaganda’s effectiveness in Belgium. Taking into account the words of Sophie de Schaepdrijver, who reminded us that the experience of war in Belgium was different from one place to another, the situation in Brussels, Wallonia and Flanders, will be examined separately.</w:t>
      </w:r>
      <w:r>
        <w:rPr>
          <w:rStyle w:val="FootnoteReference"/>
        </w:rPr>
        <w:footnoteReference w:id="894"/>
      </w:r>
      <w:r>
        <w:t xml:space="preserve"> </w:t>
      </w:r>
    </w:p>
    <w:p w14:paraId="37F23F1A" w14:textId="3CD05DDC" w:rsidR="0048510E" w:rsidRPr="0089311A" w:rsidRDefault="0048510E" w:rsidP="0048510E">
      <w:pPr>
        <w:jc w:val="both"/>
      </w:pPr>
      <w:r>
        <w:t xml:space="preserve">The situation in Brussels was documented both by the </w:t>
      </w:r>
      <w:r w:rsidR="003918F7">
        <w:t>a</w:t>
      </w:r>
      <w:r>
        <w:t xml:space="preserve">llies and by citizens who took notes during the occupation. These sources </w:t>
      </w:r>
      <w:r w:rsidR="00387E30">
        <w:t>highlighted</w:t>
      </w:r>
      <w:r>
        <w:t xml:space="preserve"> that from 1915 aerial propaganda had a positive and lasting impact on the city </w:t>
      </w:r>
      <w:r w:rsidR="009B6582">
        <w:t>in spite</w:t>
      </w:r>
      <w:r>
        <w:t xml:space="preserve"> </w:t>
      </w:r>
      <w:r w:rsidR="009B6582">
        <w:t xml:space="preserve">the </w:t>
      </w:r>
      <w:r>
        <w:t>temporary crisis due to distribution problems. As early as March 1915 already, Charles de Broqueville, the leader of the Belgian government in exile, received an anonymous report stating that the city was supplied by a regular stream of British and French newspapers.</w:t>
      </w:r>
      <w:r>
        <w:rPr>
          <w:rStyle w:val="FootnoteReference"/>
        </w:rPr>
        <w:footnoteReference w:id="895"/>
      </w:r>
      <w:r>
        <w:t xml:space="preserve"> Propaganda droppings were confirmed by various Belgians living in the occupied city for which allied planes were still an unusual sight, and welcomed with enthusiasm. They were perceived as a sign of solidarity between the front and the invaded parts of the country. Yet, droppings of propaganda material were sometimes responsible for burlesque incidents. On 19 September 1915, a flying machine throwing French newspapers and a Belgian flag caused significant conflicts among civilians wanting to take home the national emblem.</w:t>
      </w:r>
      <w:r>
        <w:rPr>
          <w:rStyle w:val="FootnoteReference"/>
        </w:rPr>
        <w:footnoteReference w:id="896"/>
      </w:r>
      <w:r>
        <w:t xml:space="preserve"> Similar episodes of Belgian </w:t>
      </w:r>
      <w:r w:rsidR="000921F2">
        <w:t>aeroplanes</w:t>
      </w:r>
      <w:r>
        <w:t xml:space="preserve"> sending newspapers, leaflets and flags were recorded during the years 1916 and 1917.</w:t>
      </w:r>
      <w:r>
        <w:rPr>
          <w:rStyle w:val="FootnoteReference"/>
        </w:rPr>
        <w:footnoteReference w:id="897"/>
      </w:r>
      <w:r>
        <w:t xml:space="preserve"> The campaign of aerial propaganda in Brussels was evaluated in a secret report made by the British MI7(b) and based on interviews of Belgian refugees who had fled Brussels in December 1917:</w:t>
      </w:r>
    </w:p>
    <w:p w14:paraId="636BAC9F" w14:textId="4AC264A7" w:rsidR="0048510E" w:rsidRDefault="0048510E" w:rsidP="0048510E">
      <w:pPr>
        <w:ind w:left="567" w:right="567"/>
        <w:jc w:val="both"/>
      </w:pPr>
      <w:r>
        <w:t>Our airmen drop pamphlets fairly often, and this create</w:t>
      </w:r>
      <w:r w:rsidR="00D16887">
        <w:t>s</w:t>
      </w:r>
      <w:r>
        <w:t xml:space="preserve"> a very favourable impression among the Belgians. The sight of only one of our machines causes great enthusiasm.</w:t>
      </w:r>
      <w:r>
        <w:rPr>
          <w:rStyle w:val="FootnoteReference"/>
        </w:rPr>
        <w:footnoteReference w:id="898"/>
      </w:r>
    </w:p>
    <w:p w14:paraId="34CA4A58" w14:textId="20AD86AF" w:rsidR="0048510E" w:rsidRPr="00C63CED" w:rsidRDefault="0048510E" w:rsidP="00C63CED">
      <w:pPr>
        <w:jc w:val="both"/>
      </w:pPr>
      <w:r>
        <w:t xml:space="preserve">However, people of Brussels offered a more contrasted picture. By February 1918, citizens complained that </w:t>
      </w:r>
      <w:r w:rsidR="000921F2">
        <w:t>aeroplanes</w:t>
      </w:r>
      <w:r w:rsidR="00F919BA">
        <w:t>’</w:t>
      </w:r>
      <w:r>
        <w:t xml:space="preserve"> visits were ‘too rare’.</w:t>
      </w:r>
      <w:r>
        <w:rPr>
          <w:rStyle w:val="FootnoteReference"/>
        </w:rPr>
        <w:footnoteReference w:id="899"/>
      </w:r>
      <w:r>
        <w:t xml:space="preserve"> In these circumstances, the renewed British efforts of September and October 1918 to communicate with the civilian populations were welcomed. </w:t>
      </w:r>
      <w:r w:rsidRPr="002D473B">
        <w:rPr>
          <w:lang w:val="fr-FR"/>
        </w:rPr>
        <w:t>Maps showing the progress</w:t>
      </w:r>
      <w:r w:rsidR="002068A7">
        <w:rPr>
          <w:lang w:val="fr-FR"/>
        </w:rPr>
        <w:t xml:space="preserve"> of the a</w:t>
      </w:r>
      <w:r>
        <w:rPr>
          <w:lang w:val="fr-FR"/>
        </w:rPr>
        <w:t>llied armies</w:t>
      </w:r>
      <w:r w:rsidR="00972DAB">
        <w:rPr>
          <w:lang w:val="fr-FR"/>
        </w:rPr>
        <w:t xml:space="preserve"> on the w</w:t>
      </w:r>
      <w:r w:rsidRPr="002D473B">
        <w:rPr>
          <w:lang w:val="fr-FR"/>
        </w:rPr>
        <w:t>estern front were described as</w:t>
      </w:r>
      <w:r>
        <w:rPr>
          <w:lang w:val="fr-FR"/>
        </w:rPr>
        <w:t xml:space="preserve"> a</w:t>
      </w:r>
      <w:r w:rsidRPr="002D473B">
        <w:rPr>
          <w:lang w:val="fr-FR"/>
        </w:rPr>
        <w:t xml:space="preserve"> ‘propagande extrêmement amusante (pour nous) et sans doute aussi très efficace, puisque c’est à son sujet que le généralissime von Hindenburg a cru devoir sortir, ces jours derniers, une proclamation angoissée</w:t>
      </w:r>
      <w:r>
        <w:rPr>
          <w:lang w:val="fr-FR"/>
        </w:rPr>
        <w:t xml:space="preserve"> […]’.</w:t>
      </w:r>
      <w:r>
        <w:rPr>
          <w:rStyle w:val="FootnoteReference"/>
          <w:lang w:val="fr-FR"/>
        </w:rPr>
        <w:footnoteReference w:id="900"/>
      </w:r>
      <w:r w:rsidRPr="002D473B">
        <w:rPr>
          <w:lang w:val="fr-FR"/>
        </w:rPr>
        <w:t xml:space="preserve"> </w:t>
      </w:r>
      <w:r>
        <w:rPr>
          <w:lang w:val="fr-FR"/>
        </w:rPr>
        <w:t>Distribution itself was praised ‘Ces imprimés qui tombent partout, chaque jour, dans toute l’étendue du pays et peut-être même en Allemagne sont traqués avec rage[…]’.</w:t>
      </w:r>
      <w:r>
        <w:rPr>
          <w:rStyle w:val="FootnoteReference"/>
          <w:lang w:val="fr-FR"/>
        </w:rPr>
        <w:footnoteReference w:id="901"/>
      </w:r>
      <w:r w:rsidR="00C63CED">
        <w:rPr>
          <w:lang w:val="fr-FR"/>
        </w:rPr>
        <w:t xml:space="preserve"> </w:t>
      </w:r>
      <w:r w:rsidR="00C63CED" w:rsidRPr="002C0F9C">
        <w:t xml:space="preserve">The role played by aerial propaganda in Brussels was underlined in the </w:t>
      </w:r>
      <w:r w:rsidR="00C63CED" w:rsidRPr="002C0F9C">
        <w:rPr>
          <w:i/>
          <w:iCs/>
        </w:rPr>
        <w:t>Revue belge d’histoire militaire</w:t>
      </w:r>
      <w:r w:rsidR="00C63CED" w:rsidRPr="002C0F9C">
        <w:t xml:space="preserve">. </w:t>
      </w:r>
      <w:r w:rsidR="00C63CED" w:rsidRPr="00C63CED">
        <w:t xml:space="preserve">Sorgeloos and Veirman </w:t>
      </w:r>
      <w:r w:rsidR="00C63CED">
        <w:t>emphasised the fact</w:t>
      </w:r>
      <w:r w:rsidR="002068A7">
        <w:t xml:space="preserve"> that a</w:t>
      </w:r>
      <w:r w:rsidR="00C63CED" w:rsidRPr="00C63CED">
        <w:t xml:space="preserve">llied propaganda was a lifeline </w:t>
      </w:r>
      <w:r w:rsidR="00C63CED">
        <w:t>for</w:t>
      </w:r>
      <w:r w:rsidR="00C63CED" w:rsidRPr="00C63CED">
        <w:t xml:space="preserve"> the Belgian</w:t>
      </w:r>
      <w:r w:rsidR="00C63CED">
        <w:t xml:space="preserve"> capital. This form of press was not only fighting German newspapers but also giving the feeling that </w:t>
      </w:r>
      <w:r w:rsidR="009B6582">
        <w:t xml:space="preserve">the </w:t>
      </w:r>
      <w:r w:rsidR="00C63CED">
        <w:t>occupied Belgians were not abandoned by their government.</w:t>
      </w:r>
      <w:r w:rsidR="00C63CED">
        <w:rPr>
          <w:rStyle w:val="FootnoteReference"/>
        </w:rPr>
        <w:footnoteReference w:id="902"/>
      </w:r>
    </w:p>
    <w:p w14:paraId="4F92F21A" w14:textId="7E2B2C47" w:rsidR="0048510E" w:rsidRDefault="0048510E" w:rsidP="00905B4F">
      <w:pPr>
        <w:jc w:val="both"/>
      </w:pPr>
      <w:r>
        <w:t xml:space="preserve">The large variations of distance between cities and the front meant that aerial propaganda did not have a unified impact in Wallonia. The region of Liège, close to the German border in the eastern part of the country, illustrated how </w:t>
      </w:r>
      <w:r w:rsidR="009B6582">
        <w:t>significant</w:t>
      </w:r>
      <w:r>
        <w:t xml:space="preserve"> the geographic factor was to the dissemination of psychological warfare. At the beginning of the conflict, people of Liège were able to buy French newspapers smuggled through the Dutch border.</w:t>
      </w:r>
      <w:r>
        <w:rPr>
          <w:rStyle w:val="FootnoteReference"/>
        </w:rPr>
        <w:footnoteReference w:id="903"/>
      </w:r>
      <w:r>
        <w:t xml:space="preserve"> Witnesses also remembered </w:t>
      </w:r>
      <w:r w:rsidR="000921F2">
        <w:t>aeroplanes</w:t>
      </w:r>
      <w:r>
        <w:t xml:space="preserve"> throwing allied </w:t>
      </w:r>
      <w:r w:rsidR="00905B4F">
        <w:t>newspapers</w:t>
      </w:r>
      <w:r>
        <w:t xml:space="preserve"> and French flags during the month of September 1914.</w:t>
      </w:r>
      <w:r>
        <w:rPr>
          <w:rStyle w:val="FootnoteReference"/>
        </w:rPr>
        <w:footnoteReference w:id="904"/>
      </w:r>
      <w:r>
        <w:t xml:space="preserve"> Similar stories were echoed by the people living in the nearby city of Verviers who underlined how beneficial French newspapers were.</w:t>
      </w:r>
      <w:r>
        <w:rPr>
          <w:rStyle w:val="FootnoteReference"/>
        </w:rPr>
        <w:footnoteReference w:id="905"/>
      </w:r>
      <w:r>
        <w:t xml:space="preserve"> However, mentions of air droppings disappeared altogether after 1914. Diaries still declared having access to the French and the British press but these copies might have been brought through the </w:t>
      </w:r>
      <w:r w:rsidR="00D16887">
        <w:t xml:space="preserve">Dutch </w:t>
      </w:r>
      <w:r>
        <w:t>border.</w:t>
      </w:r>
      <w:r>
        <w:rPr>
          <w:rStyle w:val="FootnoteReference"/>
        </w:rPr>
        <w:footnoteReference w:id="906"/>
      </w:r>
      <w:r>
        <w:t xml:space="preserve"> In fact, the morale in the area surrounding Liège seems to have worsened considerably during the war. The leader of the Belgian government was warned in a note written in French:</w:t>
      </w:r>
    </w:p>
    <w:p w14:paraId="535EAB02" w14:textId="77777777" w:rsidR="0048510E" w:rsidRPr="00CD7CFB" w:rsidRDefault="0048510E" w:rsidP="0048510E">
      <w:pPr>
        <w:ind w:left="567" w:right="567"/>
        <w:jc w:val="both"/>
        <w:rPr>
          <w:lang w:val="fr-FR"/>
        </w:rPr>
      </w:pPr>
      <w:r w:rsidRPr="00CD7CFB">
        <w:rPr>
          <w:lang w:val="fr-FR"/>
        </w:rPr>
        <w:t>Dans les villes de Verviers et de</w:t>
      </w:r>
      <w:r>
        <w:rPr>
          <w:lang w:val="fr-FR"/>
        </w:rPr>
        <w:t xml:space="preserve"> Dohain-Limbourg rien ne rendrait le peuple si confiant et si joyeux si l’on apercevrait un aéroplane allié survolant la ville. Depuis deux ans, la population verviétoise et dolhaintoise meurt d’envie, pour voir un de ces oiseaux apporter quelques bonnes nouvelles du front.</w:t>
      </w:r>
      <w:r>
        <w:rPr>
          <w:rStyle w:val="FootnoteReference"/>
          <w:lang w:val="fr-FR"/>
        </w:rPr>
        <w:footnoteReference w:id="907"/>
      </w:r>
    </w:p>
    <w:p w14:paraId="71D34437" w14:textId="0437649C" w:rsidR="0048510E" w:rsidRDefault="0048510E" w:rsidP="00644560">
      <w:pPr>
        <w:jc w:val="both"/>
      </w:pPr>
      <w:r>
        <w:t xml:space="preserve">Despite these signs, little was done to correct the situation. A 1917 testimony confirmed the crisis of morale in the region of Liège and blamed the German press in French for what was called an operation of ‘systematic deterioration’ </w:t>
      </w:r>
      <w:r w:rsidR="00D16887">
        <w:t>of</w:t>
      </w:r>
      <w:r>
        <w:t xml:space="preserve"> the spirit.</w:t>
      </w:r>
      <w:r>
        <w:rPr>
          <w:rStyle w:val="FootnoteReference"/>
        </w:rPr>
        <w:footnoteReference w:id="908"/>
      </w:r>
      <w:r>
        <w:t xml:space="preserve"> It was not until September 1918 that aerial propaganda again </w:t>
      </w:r>
      <w:r w:rsidR="009B6582">
        <w:t xml:space="preserve">reached </w:t>
      </w:r>
      <w:r>
        <w:t xml:space="preserve">the east of Belgium. Favourable winds brought British balloons carrying copies of the </w:t>
      </w:r>
      <w:r>
        <w:rPr>
          <w:i/>
          <w:iCs/>
        </w:rPr>
        <w:t>Courrier de l’Air</w:t>
      </w:r>
      <w:r>
        <w:t xml:space="preserve"> in abundance.</w:t>
      </w:r>
      <w:r>
        <w:rPr>
          <w:rStyle w:val="FootnoteReference"/>
        </w:rPr>
        <w:footnoteReference w:id="909"/>
      </w:r>
      <w:r>
        <w:t xml:space="preserve"> Looking back at the available evidence, it can be said that allied propaganda failed to support the people living in the region of Liège during the Great War.</w:t>
      </w:r>
    </w:p>
    <w:p w14:paraId="50ECDFAD" w14:textId="3D4E9974" w:rsidR="0048510E" w:rsidRDefault="0048510E" w:rsidP="00905B4F">
      <w:pPr>
        <w:jc w:val="both"/>
      </w:pPr>
      <w:r>
        <w:t xml:space="preserve">The case of the remote and scarcely populated province of Luxemburg, in the south of Belgium, was harder to assess. In 1918, the French GQG mentioned in </w:t>
      </w:r>
      <w:r w:rsidR="00D16887">
        <w:t xml:space="preserve">a </w:t>
      </w:r>
      <w:r>
        <w:t>report how aerial propaganda had had a beneficial impact on the people.</w:t>
      </w:r>
      <w:r>
        <w:rPr>
          <w:rStyle w:val="FootnoteReference"/>
        </w:rPr>
        <w:footnoteReference w:id="910"/>
      </w:r>
      <w:r>
        <w:t xml:space="preserve"> This was confirmed by a witness who remembered occasional visits of allied aeroplanes throwing </w:t>
      </w:r>
      <w:r w:rsidR="00905B4F">
        <w:t>newspapers</w:t>
      </w:r>
      <w:r>
        <w:t>.</w:t>
      </w:r>
      <w:r>
        <w:rPr>
          <w:rStyle w:val="FootnoteReference"/>
        </w:rPr>
        <w:footnoteReference w:id="911"/>
      </w:r>
      <w:r>
        <w:t xml:space="preserve"> However, primary sources were far too limited to establish whether or not aerial propaganda had a lasting effect on the province of Luxemburg.</w:t>
      </w:r>
    </w:p>
    <w:p w14:paraId="2A4DC6B1" w14:textId="504D9E7B" w:rsidR="0048510E" w:rsidRDefault="0048510E" w:rsidP="0048510E">
      <w:pPr>
        <w:jc w:val="both"/>
      </w:pPr>
      <w:r>
        <w:t>Unsurprisingly, the closer cities were to the French border and the frontline, the easier it was to find aerial propaganda. Namur, in the middle of Wallonia, was still too far to receive leaflets and the morale situation was considered poor by Belgian politicians in Le Havre. In 1916, the Belgian government at Le Havre was even made aware that people in Namur were openly voicing their anger for not receiving news of the war or of their relatives.</w:t>
      </w:r>
      <w:r>
        <w:rPr>
          <w:rStyle w:val="FootnoteReference"/>
        </w:rPr>
        <w:footnoteReference w:id="912"/>
      </w:r>
      <w:r>
        <w:t xml:space="preserve"> The situation was very different in Charleroi where witnesses saw aeroplanes throwing the Parisian press as </w:t>
      </w:r>
      <w:r w:rsidR="009B6582">
        <w:t>early</w:t>
      </w:r>
      <w:r>
        <w:t xml:space="preserve"> as 1915.</w:t>
      </w:r>
      <w:r>
        <w:rPr>
          <w:rStyle w:val="FootnoteReference"/>
        </w:rPr>
        <w:footnoteReference w:id="913"/>
      </w:r>
      <w:r>
        <w:t xml:space="preserve"> Various British reports underlined the positive results that aerial psychological warfare had on the population of Charleroi during the year 1918.</w:t>
      </w:r>
      <w:r>
        <w:rPr>
          <w:rStyle w:val="FootnoteReference"/>
        </w:rPr>
        <w:footnoteReference w:id="914"/>
      </w:r>
      <w:r>
        <w:t xml:space="preserve"> In the area of Mons, the situation was well documented by individuals and governmental reports alike. The diaries of notary Hambye showed that the campaign of aerial propaganda over Mons intensified in 1916 and reached a peak during the year 1918. Hambye also explained that leaflets aimed at German soldiers were translated in French and therefore raised the morale of Belgians:</w:t>
      </w:r>
    </w:p>
    <w:p w14:paraId="04CC3BC9" w14:textId="77777777" w:rsidR="0048510E" w:rsidRPr="007E3F44" w:rsidRDefault="0048510E" w:rsidP="0048510E">
      <w:pPr>
        <w:ind w:left="567" w:right="567"/>
        <w:jc w:val="both"/>
        <w:rPr>
          <w:lang w:val="fr-FR"/>
        </w:rPr>
      </w:pPr>
      <w:r w:rsidRPr="007E3F44">
        <w:rPr>
          <w:lang w:val="fr-FR"/>
        </w:rPr>
        <w:t xml:space="preserve">24/07/1918: Des Avions Alliés passant au-dessus </w:t>
      </w:r>
      <w:r>
        <w:rPr>
          <w:lang w:val="fr-FR"/>
        </w:rPr>
        <w:t>de la ville le matin et l’après-midi ont jeté des photographies imprimées du roi Albert et de la reine Elisabeth et de nombreux petits papiers en langue allemande pour les soldats en leur disant que toutes les promesses faites par leurs chefs n’ont pas été tenues. Les sous-marins qui devaient amener la fin de la guerre sont devenus impuissants ; la prise de Reims, de Paris, d’Amiens, de Calais, attend toujours l’exécution. L’affaiblissement des Alliés est une illusion car ils sont plus forts que jamais et ont à leurs côtés un million d’Américains qui doublera bientôt etc. etc. Les soldats ne doivent donc pas avoir confiance dans la parole de leurs chefs.</w:t>
      </w:r>
      <w:r>
        <w:rPr>
          <w:rStyle w:val="FootnoteReference"/>
          <w:lang w:val="fr-FR"/>
        </w:rPr>
        <w:footnoteReference w:id="915"/>
      </w:r>
      <w:r w:rsidRPr="007E3F44">
        <w:rPr>
          <w:lang w:val="fr-FR"/>
        </w:rPr>
        <w:t xml:space="preserve"> </w:t>
      </w:r>
    </w:p>
    <w:p w14:paraId="2A1E4C70" w14:textId="0B61D375" w:rsidR="0048510E" w:rsidRDefault="0048510E" w:rsidP="0048510E">
      <w:pPr>
        <w:jc w:val="both"/>
      </w:pPr>
      <w:r>
        <w:t>Another entry on 13 September 1918 remarked that leaflets and newspapers were thrown in ‘considerable quantities’.</w:t>
      </w:r>
      <w:r>
        <w:rPr>
          <w:rStyle w:val="FootnoteReference"/>
        </w:rPr>
        <w:footnoteReference w:id="916"/>
      </w:r>
      <w:r>
        <w:t xml:space="preserve"> British official reports confirmed that propaganda was sent daily during the second part of 1918 and gave ‘great courage’ to the population.</w:t>
      </w:r>
      <w:r>
        <w:rPr>
          <w:rStyle w:val="FootnoteReference"/>
        </w:rPr>
        <w:footnoteReference w:id="917"/>
      </w:r>
      <w:r>
        <w:t xml:space="preserve"> In the case of the Province of Hainaut, evidence supported the idea that aerial psychological warfare was a familiar sight and improved civilian morale in the second half of the war. </w:t>
      </w:r>
    </w:p>
    <w:p w14:paraId="676723ED" w14:textId="45E0ABCB" w:rsidR="0048510E" w:rsidRDefault="0048510E" w:rsidP="00905B4F">
      <w:pPr>
        <w:jc w:val="both"/>
      </w:pPr>
      <w:r>
        <w:t xml:space="preserve">In Flanders, the effectiveness of propaganda was also uneven and sometimes poorly documented. In the city of Ghent, witnesses mentioned having access to British </w:t>
      </w:r>
      <w:r w:rsidR="00905B4F">
        <w:t>newspapers</w:t>
      </w:r>
      <w:r>
        <w:t xml:space="preserve"> such as the </w:t>
      </w:r>
      <w:r>
        <w:rPr>
          <w:i/>
          <w:iCs/>
        </w:rPr>
        <w:t>Daily Mail</w:t>
      </w:r>
      <w:r>
        <w:t xml:space="preserve"> as early as November 1915 but did not specify how they had acquired these newspapers.</w:t>
      </w:r>
      <w:r>
        <w:rPr>
          <w:rStyle w:val="FootnoteReference"/>
        </w:rPr>
        <w:footnoteReference w:id="918"/>
      </w:r>
      <w:r>
        <w:t xml:space="preserve"> However, secret reports sent to the Belgian government in exile </w:t>
      </w:r>
      <w:r w:rsidR="00D16887">
        <w:t xml:space="preserve">in April 1916 </w:t>
      </w:r>
      <w:r>
        <w:t>confirmed aerial propaganda activities over the city and asked for more:</w:t>
      </w:r>
    </w:p>
    <w:p w14:paraId="7ADA209F" w14:textId="77777777" w:rsidR="0048510E" w:rsidRDefault="0048510E" w:rsidP="0048510E">
      <w:pPr>
        <w:ind w:left="567" w:right="567"/>
        <w:jc w:val="both"/>
        <w:rPr>
          <w:lang w:val="fr-FR"/>
        </w:rPr>
      </w:pPr>
      <w:r w:rsidRPr="00563AAC">
        <w:rPr>
          <w:lang w:val="fr-FR"/>
        </w:rPr>
        <w:t xml:space="preserve">Un des moyens les plus </w:t>
      </w:r>
      <w:r>
        <w:rPr>
          <w:lang w:val="fr-FR"/>
        </w:rPr>
        <w:t>efficaces pour succiter [sic] l’enthousiasme et la joie (le fait s’est passé plusieurs fois à Gand) est l’arrivée d’aviateurs alliés au-dessus des villes. On désirerait qu’ils fissent tomber à chaque fois quelques proclamations.</w:t>
      </w:r>
      <w:r>
        <w:rPr>
          <w:rStyle w:val="FootnoteReference"/>
          <w:lang w:val="fr-FR"/>
        </w:rPr>
        <w:footnoteReference w:id="919"/>
      </w:r>
    </w:p>
    <w:p w14:paraId="1D2278B0" w14:textId="57045981" w:rsidR="0048510E" w:rsidRDefault="0048510E" w:rsidP="0048510E">
      <w:pPr>
        <w:jc w:val="both"/>
      </w:pPr>
      <w:r w:rsidRPr="006466FC">
        <w:t>Further calls for more propaganda were sent to Broqueville in November 1916.</w:t>
      </w:r>
      <w:r>
        <w:rPr>
          <w:rStyle w:val="FootnoteReference"/>
        </w:rPr>
        <w:footnoteReference w:id="920"/>
      </w:r>
      <w:r>
        <w:t xml:space="preserve"> </w:t>
      </w:r>
      <w:r w:rsidR="009B6582">
        <w:t>In spite of</w:t>
      </w:r>
      <w:r>
        <w:t xml:space="preserve"> these requests, there were no signs of increased activities during the year 1917. However, multiple sources indicated the resurgence of aerial propaganda in the last year of the war. An inhabitant of Ghent remembered how happy he was at receiving British papers toward the end of the conflict.</w:t>
      </w:r>
      <w:r>
        <w:rPr>
          <w:rStyle w:val="FootnoteReference"/>
        </w:rPr>
        <w:footnoteReference w:id="921"/>
      </w:r>
      <w:r>
        <w:t xml:space="preserve"> Even the </w:t>
      </w:r>
      <w:r>
        <w:rPr>
          <w:i/>
          <w:iCs/>
        </w:rPr>
        <w:t>Times</w:t>
      </w:r>
      <w:r>
        <w:t xml:space="preserve"> of 16 September 1918 echoed aerial propaganda operations over the Flemish city and mentioned the anger of Major von Blucher, the German commander of Ghent.</w:t>
      </w:r>
      <w:r>
        <w:rPr>
          <w:rStyle w:val="FootnoteReference"/>
        </w:rPr>
        <w:footnoteReference w:id="922"/>
      </w:r>
      <w:r>
        <w:t xml:space="preserve"> It will be determined later in this section that </w:t>
      </w:r>
      <w:r>
        <w:rPr>
          <w:i/>
          <w:iCs/>
        </w:rPr>
        <w:t>Le Courrier de l’Air</w:t>
      </w:r>
      <w:r>
        <w:t xml:space="preserve"> had also consequences on underground organisations of the city.</w:t>
      </w:r>
    </w:p>
    <w:p w14:paraId="4E7CB467" w14:textId="77777777" w:rsidR="0048510E" w:rsidRDefault="0048510E" w:rsidP="0048510E">
      <w:pPr>
        <w:jc w:val="both"/>
      </w:pPr>
      <w:r>
        <w:t xml:space="preserve">Edward Heron-Allen, the editor of </w:t>
      </w:r>
      <w:r>
        <w:rPr>
          <w:i/>
          <w:iCs/>
        </w:rPr>
        <w:t xml:space="preserve">Le Courrier de l’Air, </w:t>
      </w:r>
      <w:r>
        <w:t>told us about the reception of aerial propaganda in Bruges in his notes given to the British Museum:</w:t>
      </w:r>
    </w:p>
    <w:p w14:paraId="2121C3AA" w14:textId="77777777" w:rsidR="0048510E" w:rsidRDefault="0048510E" w:rsidP="0048510E">
      <w:pPr>
        <w:ind w:left="567" w:right="567"/>
        <w:jc w:val="both"/>
      </w:pPr>
      <w:r>
        <w:t>During the course of an official visit to the Western Front in October last [1918], I happened to visit Bruges two days after the Germans had evacuated the city. Several members of the Collège des Echevins whom I interviewed told me that the “Courrier” was eagerly looked out for, and sought for during the whole of the last year of the Occupation, in spite of the fact that in the later months, the fine for being in possession of a copy had been increased to 10,000 marks, in addition to the one year’s imprisonment.</w:t>
      </w:r>
      <w:r>
        <w:rPr>
          <w:rStyle w:val="FootnoteReference"/>
        </w:rPr>
        <w:footnoteReference w:id="923"/>
      </w:r>
      <w:r>
        <w:t xml:space="preserve"> </w:t>
      </w:r>
    </w:p>
    <w:p w14:paraId="275C07FB" w14:textId="7600D8B0" w:rsidR="0048510E" w:rsidRPr="00BD29C1" w:rsidRDefault="0048510E" w:rsidP="0048510E">
      <w:pPr>
        <w:jc w:val="both"/>
      </w:pPr>
      <w:r>
        <w:t xml:space="preserve">In his private diaries, he also remembered that ‘when they [the Collège des Echevins] heard that I was the editor of the </w:t>
      </w:r>
      <w:r>
        <w:rPr>
          <w:i/>
          <w:iCs/>
        </w:rPr>
        <w:t>Courrier</w:t>
      </w:r>
      <w:r>
        <w:t xml:space="preserve"> they all fell on my neck and solemnly embraced me - which was trying’.</w:t>
      </w:r>
      <w:r>
        <w:rPr>
          <w:rStyle w:val="FootnoteReference"/>
        </w:rPr>
        <w:footnoteReference w:id="924"/>
      </w:r>
      <w:r>
        <w:t xml:space="preserve"> Elsewhere in Flanders, the effectiveness of propaganda was much more difficult to investigate. In Antwerp, aeroplanes </w:t>
      </w:r>
      <w:r w:rsidR="00131ACA">
        <w:t>dropping</w:t>
      </w:r>
      <w:r>
        <w:t xml:space="preserve"> propaganda were reported as </w:t>
      </w:r>
      <w:r w:rsidR="009B6582">
        <w:t>early</w:t>
      </w:r>
      <w:r>
        <w:t xml:space="preserve"> as June 1916.</w:t>
      </w:r>
      <w:r>
        <w:rPr>
          <w:rStyle w:val="FootnoteReference"/>
        </w:rPr>
        <w:footnoteReference w:id="925"/>
      </w:r>
      <w:r>
        <w:t xml:space="preserve"> Other sights of droppings, made by the Belgian </w:t>
      </w:r>
      <w:r w:rsidR="00131ACA">
        <w:t>air force</w:t>
      </w:r>
      <w:r>
        <w:t xml:space="preserve">, were </w:t>
      </w:r>
      <w:r w:rsidR="009B6582">
        <w:t>mentioned during September 1916,</w:t>
      </w:r>
      <w:r>
        <w:t xml:space="preserve"> </w:t>
      </w:r>
      <w:r w:rsidR="009B6582">
        <w:t>yet</w:t>
      </w:r>
      <w:r>
        <w:t xml:space="preserve"> no other information was uncovered for the city of Antwerp.</w:t>
      </w:r>
      <w:r w:rsidR="009B6582" w:rsidRPr="009B6582">
        <w:rPr>
          <w:rStyle w:val="FootnoteReference"/>
        </w:rPr>
        <w:t xml:space="preserve"> </w:t>
      </w:r>
      <w:r w:rsidR="009B6582">
        <w:rPr>
          <w:rStyle w:val="FootnoteReference"/>
        </w:rPr>
        <w:footnoteReference w:id="926"/>
      </w:r>
      <w:r w:rsidR="009B6582">
        <w:t xml:space="preserve"> </w:t>
      </w:r>
      <w:r>
        <w:t>British archives also mentioned droppings in the region of Kortrijk during the year 1918 but once again offered little details.</w:t>
      </w:r>
      <w:r>
        <w:rPr>
          <w:rStyle w:val="FootnoteReference"/>
        </w:rPr>
        <w:footnoteReference w:id="927"/>
      </w:r>
      <w:r>
        <w:t xml:space="preserve"> Overall, the scarcity of primary sources impaired </w:t>
      </w:r>
      <w:r w:rsidR="00307811">
        <w:t>the drawing of</w:t>
      </w:r>
      <w:r>
        <w:t xml:space="preserve"> definitive conclusions on the effectiveness of aerial propaganda in Flanders as a whole. As it has been shown, evidence highlighted a strong presence of aerial psychological warfare material in Ghent from 1916 to 1918 and in Bruges during the last year of the war. If hints showed that aerial propaganda also arrived in other Flemish urban centres from 1916 to 1918, their importance can only be speculated upon. This form of psychological warfare probably did not turn those who actively supported Flemish activism. Yet, Sophie de Schaepdrijver underlined how prohibited papers kept the flame of patriotism alive among the ordinary population.</w:t>
      </w:r>
      <w:r>
        <w:rPr>
          <w:rStyle w:val="FootnoteReference"/>
        </w:rPr>
        <w:footnoteReference w:id="928"/>
      </w:r>
    </w:p>
    <w:p w14:paraId="10AAFD01" w14:textId="37BBA265" w:rsidR="0048510E" w:rsidRDefault="0048510E" w:rsidP="00905B4F">
      <w:pPr>
        <w:jc w:val="both"/>
      </w:pPr>
      <w:r>
        <w:t xml:space="preserve">In the previous section, it has been demonstrated that </w:t>
      </w:r>
      <w:r w:rsidR="00307811">
        <w:t xml:space="preserve">on different occasions </w:t>
      </w:r>
      <w:r>
        <w:t xml:space="preserve">aerial newspapers were used by French underground groups both to feed their illegal </w:t>
      </w:r>
      <w:r w:rsidR="00905B4F">
        <w:t>newspapers</w:t>
      </w:r>
      <w:r>
        <w:t xml:space="preserve"> and divert the attention of the Germans. Did allied propaganda sent by </w:t>
      </w:r>
      <w:r w:rsidR="000921F2">
        <w:t>aeroplanes</w:t>
      </w:r>
      <w:r>
        <w:t xml:space="preserve"> over occupied territories also play a part in clandestine Belgian papers? At first, the question might </w:t>
      </w:r>
      <w:r w:rsidR="009B6582">
        <w:t>seem</w:t>
      </w:r>
      <w:r>
        <w:t xml:space="preserve"> difficult to answer. The secrecy surrounding resistance groups and the fact that only twenty-five of the seventy-seven clandestine pap</w:t>
      </w:r>
      <w:r w:rsidR="009B6582">
        <w:t>ers survived to this day meant that we have a</w:t>
      </w:r>
      <w:r>
        <w:t xml:space="preserve"> limited understanding of underground movements.</w:t>
      </w:r>
      <w:r>
        <w:rPr>
          <w:rStyle w:val="FootnoteReference"/>
        </w:rPr>
        <w:footnoteReference w:id="929"/>
      </w:r>
      <w:r>
        <w:t xml:space="preserve"> Fortunately, reports held by the Belgian </w:t>
      </w:r>
      <w:r w:rsidR="00307811">
        <w:t>f</w:t>
      </w:r>
      <w:r>
        <w:t xml:space="preserve">oreign </w:t>
      </w:r>
      <w:r w:rsidR="00307811">
        <w:t>o</w:t>
      </w:r>
      <w:r>
        <w:t>ffice shed an invaluable light on the relation</w:t>
      </w:r>
      <w:r w:rsidR="00307811">
        <w:t>ship</w:t>
      </w:r>
      <w:r>
        <w:t xml:space="preserve"> between aerial propaganda and resistance. </w:t>
      </w:r>
    </w:p>
    <w:p w14:paraId="0AB8DA85" w14:textId="53E4EEA2" w:rsidR="0048510E" w:rsidRDefault="0048510E" w:rsidP="00905B4F">
      <w:pPr>
        <w:jc w:val="both"/>
      </w:pPr>
      <w:r w:rsidRPr="003A15CD">
        <w:t xml:space="preserve">As said before, aerial propaganda was roughly divided between dedicated publications such as </w:t>
      </w:r>
      <w:r w:rsidRPr="003A15CD">
        <w:rPr>
          <w:i/>
          <w:iCs/>
        </w:rPr>
        <w:t xml:space="preserve">Le Courrier de l’Air, Le Clairon du Roi, La Voix du Pays, </w:t>
      </w:r>
      <w:r w:rsidRPr="003A15CD">
        <w:t xml:space="preserve">etc…, </w:t>
      </w:r>
      <w:r>
        <w:t xml:space="preserve">and more traditional </w:t>
      </w:r>
      <w:r w:rsidR="00905B4F">
        <w:t>newspapers</w:t>
      </w:r>
      <w:r w:rsidR="00913FF1">
        <w:t xml:space="preserve"> conceived by and for the home f</w:t>
      </w:r>
      <w:r>
        <w:t xml:space="preserve">ront of France and Britain such as </w:t>
      </w:r>
      <w:r>
        <w:rPr>
          <w:i/>
          <w:iCs/>
        </w:rPr>
        <w:t>Le Gaulois, Le Petit Parisien, Le Temps</w:t>
      </w:r>
      <w:r>
        <w:t xml:space="preserve"> or </w:t>
      </w:r>
      <w:r>
        <w:rPr>
          <w:i/>
          <w:iCs/>
        </w:rPr>
        <w:t>The Times.</w:t>
      </w:r>
      <w:r>
        <w:rPr>
          <w:rStyle w:val="FootnoteReference"/>
        </w:rPr>
        <w:footnoteReference w:id="930"/>
      </w:r>
      <w:r>
        <w:rPr>
          <w:i/>
          <w:iCs/>
        </w:rPr>
        <w:t xml:space="preserve"> </w:t>
      </w:r>
      <w:r>
        <w:t xml:space="preserve">It was suspected from the beginning that clandestine Belgian papers such as </w:t>
      </w:r>
      <w:r>
        <w:rPr>
          <w:i/>
          <w:iCs/>
        </w:rPr>
        <w:t>L’Ame belge, La Revue de la presse</w:t>
      </w:r>
      <w:r>
        <w:t xml:space="preserve"> and </w:t>
      </w:r>
      <w:r>
        <w:rPr>
          <w:i/>
          <w:iCs/>
        </w:rPr>
        <w:t>La Revue hebdomadaire de la presse française</w:t>
      </w:r>
      <w:r>
        <w:t xml:space="preserve">, which </w:t>
      </w:r>
      <w:r w:rsidR="00942589">
        <w:t xml:space="preserve">contained </w:t>
      </w:r>
      <w:r>
        <w:t>reproduced ar</w:t>
      </w:r>
      <w:r w:rsidR="00C95759">
        <w:t>ticles from French and British home f</w:t>
      </w:r>
      <w:r>
        <w:t>ront papers, were at least partially fed by aerial propaganda.</w:t>
      </w:r>
      <w:r>
        <w:rPr>
          <w:rStyle w:val="FootnoteReference"/>
        </w:rPr>
        <w:footnoteReference w:id="931"/>
      </w:r>
      <w:r>
        <w:rPr>
          <w:i/>
          <w:iCs/>
        </w:rPr>
        <w:t xml:space="preserve"> </w:t>
      </w:r>
      <w:r w:rsidRPr="00245F51">
        <w:rPr>
          <w:lang w:val="fr-FR"/>
        </w:rPr>
        <w:t>After all, occupied Belgians from Brussels reminded us that ‘</w:t>
      </w:r>
      <w:r w:rsidRPr="00260D7B">
        <w:rPr>
          <w:lang w:val="fr-FR"/>
        </w:rPr>
        <w:t>A peine un document intéressant voit-il le jour (si l’on peut ainsi parler d’une circulation dans le mystère et l’ombre), il fait le tour des provinces, chacun l’a lu, chacun le connaît</w:t>
      </w:r>
      <w:r>
        <w:rPr>
          <w:i/>
          <w:iCs/>
          <w:lang w:val="fr-FR"/>
        </w:rPr>
        <w:t>’.</w:t>
      </w:r>
      <w:r>
        <w:rPr>
          <w:rStyle w:val="FootnoteReference"/>
          <w:i/>
          <w:iCs/>
          <w:lang w:val="fr-FR"/>
        </w:rPr>
        <w:footnoteReference w:id="932"/>
      </w:r>
      <w:r>
        <w:rPr>
          <w:lang w:val="fr-FR"/>
        </w:rPr>
        <w:t xml:space="preserve"> </w:t>
      </w:r>
      <w:r>
        <w:t xml:space="preserve">This discrete mode of distribution </w:t>
      </w:r>
      <w:r w:rsidRPr="00657472">
        <w:t>meant</w:t>
      </w:r>
      <w:r w:rsidRPr="002E0E4B">
        <w:t xml:space="preserve"> that</w:t>
      </w:r>
      <w:r>
        <w:t xml:space="preserve"> newspapers were </w:t>
      </w:r>
      <w:r w:rsidR="009B6582">
        <w:t>liable to fall</w:t>
      </w:r>
      <w:r>
        <w:t xml:space="preserve"> into the hands of resistance members.</w:t>
      </w:r>
      <w:r>
        <w:rPr>
          <w:rStyle w:val="FootnoteReference"/>
        </w:rPr>
        <w:footnoteReference w:id="933"/>
      </w:r>
      <w:r>
        <w:t xml:space="preserve"> A confirmation was later found in a letter written at the</w:t>
      </w:r>
      <w:r w:rsidR="003757EA">
        <w:t xml:space="preserve"> end of 1917 by the BDB to the foreign m</w:t>
      </w:r>
      <w:r>
        <w:t>inister, during the distribution crisis following German threats against aviators dropping propaganda. The report was based on the interview of a Belgian who had left the country a few days earlier. His testimony revealed that the lack of aerial propaganda distribution was detrimental to underground organisations. Clandestine publications were in dire need of French and British newspapers.</w:t>
      </w:r>
      <w:r>
        <w:rPr>
          <w:rStyle w:val="FootnoteReference"/>
        </w:rPr>
        <w:footnoteReference w:id="934"/>
      </w:r>
      <w:r>
        <w:t xml:space="preserve"> </w:t>
      </w:r>
    </w:p>
    <w:p w14:paraId="70A3DAE8" w14:textId="6FF5692B" w:rsidR="0048510E" w:rsidRPr="00E0459A" w:rsidRDefault="0048510E" w:rsidP="00905B4F">
      <w:pPr>
        <w:jc w:val="both"/>
      </w:pPr>
      <w:r>
        <w:t>Other evidence confirmed a working relationship between aerial propaganda and underground movements. These activities were impossible to quantify but showed an unexpected geographical spread. In the Flemish university city of Ghent, allied aerial propaganda was used by a secret society named ‘</w:t>
      </w:r>
      <w:r w:rsidRPr="00260D7B">
        <w:t>L’Action patriotique’</w:t>
      </w:r>
      <w:r>
        <w:t xml:space="preserve">. Two university professors, Joseph Bidez and Joseph Hombert, were behind this organisation aimed at fighting the German </w:t>
      </w:r>
      <w:r>
        <w:rPr>
          <w:i/>
          <w:iCs/>
        </w:rPr>
        <w:t>Flamenpolitik</w:t>
      </w:r>
      <w:r>
        <w:rPr>
          <w:rFonts w:ascii="PMingLiU" w:eastAsia="PMingLiU" w:hAnsi="PMingLiU" w:hint="eastAsia"/>
          <w:i/>
          <w:iCs/>
          <w:lang w:eastAsia="zh-TW"/>
        </w:rPr>
        <w:t xml:space="preserve"> </w:t>
      </w:r>
      <w:r w:rsidRPr="00E0459A">
        <w:t>and the language separation</w:t>
      </w:r>
      <w:r>
        <w:t xml:space="preserve"> which were both affecting the French-speaking university of Ghent</w:t>
      </w:r>
      <w:r w:rsidRPr="00E0459A">
        <w:t>.</w:t>
      </w:r>
      <w:r>
        <w:t xml:space="preserve"> To do so, the duo had two tools of different types. They had created a secret school providing lessons in French to teenagers. Their second weapon was a newspaper called </w:t>
      </w:r>
      <w:r>
        <w:rPr>
          <w:i/>
          <w:iCs/>
        </w:rPr>
        <w:t>L’Autre Cloche</w:t>
      </w:r>
      <w:r>
        <w:t>, written both in French and Dutch.</w:t>
      </w:r>
      <w:r>
        <w:rPr>
          <w:rStyle w:val="FootnoteReference"/>
        </w:rPr>
        <w:footnoteReference w:id="935"/>
      </w:r>
      <w:r>
        <w:t xml:space="preserve"> The content was </w:t>
      </w:r>
      <w:r w:rsidR="00942589">
        <w:t>unsurprisingly</w:t>
      </w:r>
      <w:r>
        <w:t xml:space="preserve"> </w:t>
      </w:r>
      <w:r w:rsidR="009B6582">
        <w:t>showing</w:t>
      </w:r>
      <w:r>
        <w:t xml:space="preserve"> strong Belgian patriotic tones and was violently attacking Flemish activists. The </w:t>
      </w:r>
      <w:r w:rsidR="00905B4F">
        <w:t>newspaper</w:t>
      </w:r>
      <w:r>
        <w:t xml:space="preserve"> was partly written with the help of extracts found in the British </w:t>
      </w:r>
      <w:r>
        <w:rPr>
          <w:i/>
          <w:iCs/>
        </w:rPr>
        <w:t>Le Courrier de l’Air</w:t>
      </w:r>
      <w:r>
        <w:t xml:space="preserve"> as well as articles inspired by allied aerial propaganda and usually subtitled </w:t>
      </w:r>
      <w:r w:rsidRPr="00260D7B">
        <w:t>‘par avion’</w:t>
      </w:r>
      <w:r>
        <w:t>.</w:t>
      </w:r>
      <w:r w:rsidRPr="006023EF">
        <w:rPr>
          <w:rStyle w:val="FootnoteReference"/>
        </w:rPr>
        <w:footnoteReference w:id="936"/>
      </w:r>
      <w:r w:rsidRPr="006023EF">
        <w:t xml:space="preserve"> </w:t>
      </w:r>
    </w:p>
    <w:p w14:paraId="5911F821" w14:textId="6531B41F" w:rsidR="0048510E" w:rsidRDefault="0048510E" w:rsidP="004B643E">
      <w:pPr>
        <w:jc w:val="both"/>
      </w:pPr>
      <w:r>
        <w:t>The understanding of the relation</w:t>
      </w:r>
      <w:r w:rsidR="00942589">
        <w:t>ship</w:t>
      </w:r>
      <w:r>
        <w:t xml:space="preserve"> between aerial propaganda and resistance newspapers in Brussels was enhanced by the collection gathered by a simple citizen with an interest in underground publications</w:t>
      </w:r>
      <w:r w:rsidR="00942589" w:rsidRPr="00942589">
        <w:t xml:space="preserve"> </w:t>
      </w:r>
      <w:r w:rsidR="00942589">
        <w:t>during the war</w:t>
      </w:r>
      <w:r>
        <w:t>. Indeed, Corneille Gram was living during the occupation in the Belgian capital where he kept more than three thousand papers and leaflets, subsequently given in 1922 to the Belgian state.</w:t>
      </w:r>
      <w:r>
        <w:rPr>
          <w:rStyle w:val="FootnoteReference"/>
        </w:rPr>
        <w:footnoteReference w:id="937"/>
      </w:r>
      <w:r>
        <w:t xml:space="preserve"> This unique collection contained original aerial leaflets giving news of the war and of allied progress, stamped with the words </w:t>
      </w:r>
      <w:r w:rsidRPr="00260D7B">
        <w:t>‘presse aérienne’</w:t>
      </w:r>
      <w:r>
        <w:t>. Alongside these papers were found exact reproductions made by Brussels underground groups.</w:t>
      </w:r>
      <w:r>
        <w:rPr>
          <w:rStyle w:val="FootnoteReference"/>
        </w:rPr>
        <w:footnoteReference w:id="938"/>
      </w:r>
      <w:r>
        <w:t xml:space="preserve"> </w:t>
      </w:r>
      <w:r w:rsidR="001F57F7">
        <w:t xml:space="preserve">Despite </w:t>
      </w:r>
      <w:r w:rsidR="004B643E">
        <w:t xml:space="preserve">both </w:t>
      </w:r>
      <w:r w:rsidR="001F57F7">
        <w:t xml:space="preserve">the danger of keeping allied propaganda and </w:t>
      </w:r>
      <w:r w:rsidR="004B643E">
        <w:t>the fragility of war-time paper</w:t>
      </w:r>
      <w:r w:rsidR="001F57F7">
        <w:t xml:space="preserve">, other examples of </w:t>
      </w:r>
      <w:r w:rsidR="004B643E">
        <w:t xml:space="preserve">reproduced </w:t>
      </w:r>
      <w:r w:rsidR="001F57F7">
        <w:t xml:space="preserve">aerial propaganda </w:t>
      </w:r>
      <w:r w:rsidR="004B643E">
        <w:t>leaflets</w:t>
      </w:r>
      <w:r w:rsidR="001F57F7">
        <w:t xml:space="preserve"> were also found in the archives of the CEGES.</w:t>
      </w:r>
      <w:r w:rsidR="001F57F7">
        <w:rPr>
          <w:rStyle w:val="FootnoteReference"/>
        </w:rPr>
        <w:footnoteReference w:id="939"/>
      </w:r>
      <w:r w:rsidR="001F57F7">
        <w:t xml:space="preserve"> </w:t>
      </w:r>
      <w:r>
        <w:t xml:space="preserve">According to Auguste Vierset, who experienced the occupation in the Belgian capital, typewritten papers were a common sight </w:t>
      </w:r>
      <w:r w:rsidR="009B6582">
        <w:t>after</w:t>
      </w:r>
      <w:r>
        <w:t xml:space="preserve"> 1914, although they were more often filled with incoherence or extraordinary news.</w:t>
      </w:r>
      <w:r>
        <w:rPr>
          <w:rStyle w:val="FootnoteReference"/>
        </w:rPr>
        <w:footnoteReference w:id="940"/>
      </w:r>
      <w:r>
        <w:t xml:space="preserve"> Paradoxically, clandestine newspapers also fed aerial propaganda. Indeed, the reputation of </w:t>
      </w:r>
      <w:r>
        <w:rPr>
          <w:i/>
          <w:iCs/>
        </w:rPr>
        <w:t>La Libre Belgique</w:t>
      </w:r>
      <w:r w:rsidRPr="00A159BB">
        <w:rPr>
          <w:rFonts w:eastAsia="PMingLiU"/>
          <w:lang w:eastAsia="zh-TW"/>
        </w:rPr>
        <w:t xml:space="preserve"> was such that the Belgian government in Le Havre decided to print thousands of miniature reproductions </w:t>
      </w:r>
      <w:r w:rsidR="00942589">
        <w:rPr>
          <w:rFonts w:eastAsia="PMingLiU"/>
          <w:lang w:eastAsia="zh-TW"/>
        </w:rPr>
        <w:t xml:space="preserve">during the year 1917 </w:t>
      </w:r>
      <w:r w:rsidRPr="00A159BB">
        <w:rPr>
          <w:rFonts w:eastAsia="PMingLiU"/>
          <w:lang w:eastAsia="zh-TW"/>
        </w:rPr>
        <w:t>and drop them by plane over the occupied territories.</w:t>
      </w:r>
      <w:r>
        <w:rPr>
          <w:rStyle w:val="FootnoteReference"/>
          <w:rFonts w:eastAsia="PMingLiU"/>
          <w:lang w:eastAsia="zh-TW"/>
        </w:rPr>
        <w:footnoteReference w:id="941"/>
      </w:r>
      <w:r>
        <w:rPr>
          <w:rFonts w:eastAsia="PMingLiU"/>
          <w:lang w:eastAsia="zh-TW"/>
        </w:rPr>
        <w:t xml:space="preserve"> </w:t>
      </w:r>
      <w:r>
        <w:t xml:space="preserve"> </w:t>
      </w:r>
    </w:p>
    <w:p w14:paraId="216901F3" w14:textId="75600DAD" w:rsidR="0048510E" w:rsidRDefault="0048510E" w:rsidP="0048510E">
      <w:pPr>
        <w:jc w:val="both"/>
      </w:pPr>
      <w:r>
        <w:t xml:space="preserve">Allied aerial propaganda and newspapers smuggled through the border had another unexpected consequence – the creation of a black market for illegal publications. Indeed, testimonies revealed that pro-allied newspapers were offered as an expensive commodity. In Brussels, </w:t>
      </w:r>
      <w:r>
        <w:rPr>
          <w:i/>
          <w:iCs/>
        </w:rPr>
        <w:t>The Times</w:t>
      </w:r>
      <w:r>
        <w:t xml:space="preserve"> was sold during the end of the year 1914 for the enormous price of 50 to 100 francs.</w:t>
      </w:r>
      <w:r>
        <w:rPr>
          <w:rStyle w:val="FootnoteReference"/>
        </w:rPr>
        <w:footnoteReference w:id="942"/>
      </w:r>
      <w:r>
        <w:t xml:space="preserve"> In December of the same year, French newspapers sent by air or smuggled </w:t>
      </w:r>
      <w:r w:rsidR="00131ACA">
        <w:t>across</w:t>
      </w:r>
      <w:r>
        <w:t xml:space="preserve"> the border were also offered on the black market in Liège.</w:t>
      </w:r>
      <w:r>
        <w:rPr>
          <w:rStyle w:val="FootnoteReference"/>
        </w:rPr>
        <w:footnoteReference w:id="943"/>
      </w:r>
      <w:r>
        <w:t xml:space="preserve"> Dishonest citizens even went through the hassle of creating fake newspapers filled with fantastic news to sell them at a high price.</w:t>
      </w:r>
      <w:r>
        <w:rPr>
          <w:rStyle w:val="FootnoteReference"/>
        </w:rPr>
        <w:footnoteReference w:id="944"/>
      </w:r>
      <w:r>
        <w:t xml:space="preserve"> Emmanuel Debruyne underlined in his paper about resistance in Belgium that crooks were al</w:t>
      </w:r>
      <w:r w:rsidR="002068A7">
        <w:t xml:space="preserve">so selling fake information to </w:t>
      </w:r>
      <w:r w:rsidR="009B6582">
        <w:t xml:space="preserve">the </w:t>
      </w:r>
      <w:r w:rsidR="002068A7">
        <w:t>a</w:t>
      </w:r>
      <w:r>
        <w:t>llied secret services.</w:t>
      </w:r>
      <w:r>
        <w:rPr>
          <w:rStyle w:val="FootnoteReference"/>
        </w:rPr>
        <w:footnoteReference w:id="945"/>
      </w:r>
      <w:r>
        <w:t xml:space="preserve"> These practices were not without negative consequences for aerial propaganda newspapers. Information in these crooked papers </w:t>
      </w:r>
      <w:r w:rsidR="009B6582">
        <w:t>was</w:t>
      </w:r>
      <w:r>
        <w:t xml:space="preserve"> made up and </w:t>
      </w:r>
      <w:r w:rsidR="009B6582">
        <w:t>led to</w:t>
      </w:r>
      <w:r>
        <w:t xml:space="preserve"> scepticism over copied news and confused a population already subjected to inevitable rumours of war.</w:t>
      </w:r>
      <w:r>
        <w:rPr>
          <w:rStyle w:val="FootnoteReference"/>
        </w:rPr>
        <w:footnoteReference w:id="946"/>
      </w:r>
    </w:p>
    <w:p w14:paraId="547C99B3" w14:textId="5C21BEFA" w:rsidR="0048510E" w:rsidRPr="00357F49" w:rsidRDefault="0048510E" w:rsidP="0048510E">
      <w:pPr>
        <w:jc w:val="both"/>
      </w:pPr>
      <w:r>
        <w:t xml:space="preserve">There is plenty of evidence to suggest that aerial propaganda was read and shared in Belgium. The next section will investigate </w:t>
      </w:r>
      <w:r w:rsidR="009B6582">
        <w:t>how</w:t>
      </w:r>
      <w:r>
        <w:t xml:space="preserve"> these findings were corroborated by German actions.</w:t>
      </w:r>
    </w:p>
    <w:p w14:paraId="4B213A60" w14:textId="77777777" w:rsidR="0048510E" w:rsidRDefault="0048510E" w:rsidP="0048510E">
      <w:pPr>
        <w:pStyle w:val="Heading2"/>
      </w:pPr>
      <w:bookmarkStart w:id="91" w:name="_Toc378223883"/>
      <w:bookmarkStart w:id="92" w:name="_Toc402192996"/>
      <w:r>
        <w:t>The German point of view</w:t>
      </w:r>
      <w:bookmarkEnd w:id="91"/>
      <w:bookmarkEnd w:id="92"/>
    </w:p>
    <w:p w14:paraId="54C94040" w14:textId="293F7F54" w:rsidR="0048510E" w:rsidRDefault="0048510E" w:rsidP="0048510E">
      <w:pPr>
        <w:jc w:val="both"/>
      </w:pPr>
      <w:r>
        <w:t>German authorities expressed no ambiguous feeling</w:t>
      </w:r>
      <w:r w:rsidR="009B6582">
        <w:t>s</w:t>
      </w:r>
      <w:r>
        <w:t xml:space="preserve"> about allied aerial propaganda. It was perceived as a major threat compromising discipline and morale in the occupied territories. David Welch reminded us in </w:t>
      </w:r>
      <w:r>
        <w:rPr>
          <w:i/>
        </w:rPr>
        <w:t xml:space="preserve">Germany, propaganda and total war </w:t>
      </w:r>
      <w:r>
        <w:t xml:space="preserve">that the Kaiser’s army had seized the control of its public opinion on the </w:t>
      </w:r>
      <w:r w:rsidR="00C95759">
        <w:t>home f</w:t>
      </w:r>
      <w:r>
        <w:t>ront.</w:t>
      </w:r>
      <w:r>
        <w:rPr>
          <w:rStyle w:val="FootnoteReference"/>
          <w:rFonts w:ascii="Calibri" w:hAnsi="Calibri" w:cs="Calibri"/>
        </w:rPr>
        <w:footnoteReference w:id="947"/>
      </w:r>
      <w:r>
        <w:t xml:space="preserve"> The same army was not about to tolerate dissen</w:t>
      </w:r>
      <w:r w:rsidR="009B6582">
        <w:t>t</w:t>
      </w:r>
      <w:r>
        <w:t>ion and contradicting voices in the occupied regions</w:t>
      </w:r>
      <w:r w:rsidR="009B6582">
        <w:t>,</w:t>
      </w:r>
      <w:r>
        <w:t xml:space="preserve"> where absolute discipline was th</w:t>
      </w:r>
      <w:r w:rsidR="00942589">
        <w:t>e ruling principle. It must be</w:t>
      </w:r>
      <w:r>
        <w:t xml:space="preserve"> remembered that Whilhelminian ideas of total victory were absolutely inseparable from the concept of total order.</w:t>
      </w:r>
      <w:r>
        <w:rPr>
          <w:rStyle w:val="FootnoteReference"/>
          <w:rFonts w:ascii="Calibri" w:hAnsi="Calibri" w:cs="Calibri"/>
        </w:rPr>
        <w:footnoteReference w:id="948"/>
      </w:r>
      <w:r>
        <w:t xml:space="preserve"> The experience in South West Africa from 1907 to 1915 showed that the German army did not hesitate to use great violence to fight dissen</w:t>
      </w:r>
      <w:r w:rsidR="009B6582">
        <w:t>t</w:t>
      </w:r>
      <w:r>
        <w:t>ion.</w:t>
      </w:r>
      <w:r>
        <w:rPr>
          <w:rStyle w:val="FootnoteReference"/>
        </w:rPr>
        <w:footnoteReference w:id="949"/>
      </w:r>
      <w:r>
        <w:t xml:space="preserve"> After all, the atrocities of 1914 in Belgium and France were also the result of a clash between the desire for absolute control and the mobilisation of fundamental fears triggered by the ghost of civilian violence – the elusive ‘franc-tireurs’.</w:t>
      </w:r>
      <w:r>
        <w:rPr>
          <w:rStyle w:val="FootnoteReference"/>
          <w:rFonts w:ascii="Calibri" w:hAnsi="Calibri" w:cs="Calibri"/>
        </w:rPr>
        <w:footnoteReference w:id="950"/>
      </w:r>
      <w:r>
        <w:t xml:space="preserve"> These worries about allied aerial propaganda were expressed by the commander of the German propaganda services who described flying leaflets and newspapers as an attempt to ‘stir up the masses’.</w:t>
      </w:r>
      <w:r>
        <w:rPr>
          <w:rStyle w:val="FootnoteReference"/>
          <w:rFonts w:ascii="Calibri" w:hAnsi="Calibri" w:cs="Calibri"/>
        </w:rPr>
        <w:footnoteReference w:id="951"/>
      </w:r>
      <w:r>
        <w:t xml:space="preserve"> The danger of chaos was also threatening German soldiers who were either targeted by a specific form of aerial propaganda or able to read leaflets and newspapers in French and Dutch.</w:t>
      </w:r>
      <w:r>
        <w:rPr>
          <w:rStyle w:val="FootnoteReference"/>
        </w:rPr>
        <w:footnoteReference w:id="952"/>
      </w:r>
      <w:r>
        <w:t xml:space="preserve"> A plan of action was needed to supress what was perceived as a fundamentally unfair way of waging war.</w:t>
      </w:r>
    </w:p>
    <w:p w14:paraId="47B2CD1D" w14:textId="0F26A51B" w:rsidR="0048510E" w:rsidRPr="0098688A" w:rsidRDefault="0048510E" w:rsidP="00E24909">
      <w:pPr>
        <w:jc w:val="both"/>
        <w:rPr>
          <w:sz w:val="24"/>
          <w:szCs w:val="24"/>
        </w:rPr>
      </w:pPr>
      <w:r>
        <w:t xml:space="preserve">The Germans scrutinised and fought aerial propaganda at different levels of power, ranging from local commanders to the highest authorities of the military and the government. </w:t>
      </w:r>
      <w:r w:rsidR="0098688A">
        <w:t>C</w:t>
      </w:r>
      <w:r>
        <w:t>hapter two has already discussed the most visible step</w:t>
      </w:r>
      <w:r w:rsidR="009B6582">
        <w:t>s</w:t>
      </w:r>
      <w:r>
        <w:t xml:space="preserve"> </w:t>
      </w:r>
      <w:r w:rsidRPr="004C0B3B">
        <w:t>taken by the Germans to fight aerial propaganda</w:t>
      </w:r>
      <w:r w:rsidR="0098688A" w:rsidRPr="004C0B3B">
        <w:t>.</w:t>
      </w:r>
      <w:r w:rsidRPr="004C0B3B">
        <w:t xml:space="preserve"> Threatening allied aviators through international channels was not only an extraordinary action but also a clumsy way to admit anger and concern over the situation.</w:t>
      </w:r>
      <w:r w:rsidRPr="004C0B3B">
        <w:rPr>
          <w:rStyle w:val="FootnoteReference"/>
        </w:rPr>
        <w:footnoteReference w:id="953"/>
      </w:r>
      <w:r w:rsidRPr="004C0B3B">
        <w:t xml:space="preserve"> </w:t>
      </w:r>
      <w:r w:rsidR="0098688A" w:rsidRPr="004C0B3B">
        <w:t>This at</w:t>
      </w:r>
      <w:r w:rsidR="002068A7">
        <w:t>tempt to prevent a</w:t>
      </w:r>
      <w:r w:rsidR="0098688A" w:rsidRPr="004C0B3B">
        <w:t xml:space="preserve">llied propaganda from being distributed was </w:t>
      </w:r>
      <w:r w:rsidR="009B6582">
        <w:t xml:space="preserve">though, </w:t>
      </w:r>
      <w:r w:rsidR="0098688A" w:rsidRPr="004C0B3B">
        <w:t xml:space="preserve">a concerted action, as the documents held in the </w:t>
      </w:r>
      <w:r w:rsidR="0098688A" w:rsidRPr="004C0B3B">
        <w:rPr>
          <w:i/>
          <w:iCs/>
        </w:rPr>
        <w:t>Politisches Archiv des A</w:t>
      </w:r>
      <w:r w:rsidR="00942589">
        <w:rPr>
          <w:i/>
          <w:iCs/>
        </w:rPr>
        <w:t>u</w:t>
      </w:r>
      <w:r w:rsidR="0098688A" w:rsidRPr="004C0B3B">
        <w:rPr>
          <w:i/>
          <w:iCs/>
        </w:rPr>
        <w:t xml:space="preserve">swärtigen Amts </w:t>
      </w:r>
      <w:r w:rsidR="0098688A" w:rsidRPr="004C0B3B">
        <w:t>show, between General Ludendorff, various regional commanders in Belgium and France and the authorities in Berlin</w:t>
      </w:r>
      <w:r w:rsidR="0098688A">
        <w:rPr>
          <w:sz w:val="24"/>
          <w:szCs w:val="24"/>
        </w:rPr>
        <w:t>.</w:t>
      </w:r>
      <w:r w:rsidR="0098688A">
        <w:rPr>
          <w:rStyle w:val="FootnoteReference"/>
        </w:rPr>
        <w:footnoteReference w:id="954"/>
      </w:r>
      <w:r w:rsidR="0098688A">
        <w:rPr>
          <w:sz w:val="24"/>
          <w:szCs w:val="24"/>
        </w:rPr>
        <w:t xml:space="preserve"> </w:t>
      </w:r>
      <w:r w:rsidR="008A61F4" w:rsidRPr="00942589">
        <w:t>Reports clearly show that the German Staff was concerned not only about propaganda aimed at its fighting troops but also targeted at occupied civilians.</w:t>
      </w:r>
      <w:r w:rsidR="008A61F4" w:rsidRPr="00942589">
        <w:rPr>
          <w:rStyle w:val="FootnoteReference"/>
        </w:rPr>
        <w:footnoteReference w:id="955"/>
      </w:r>
      <w:r w:rsidR="008A61F4" w:rsidRPr="00942589">
        <w:t xml:space="preserve"> </w:t>
      </w:r>
      <w:r>
        <w:t>Germany’s inability to deal with aerial propaganda was implicitly admitted by Major Walter Nicolai, commander of Section IIIb or news and p</w:t>
      </w:r>
      <w:r w:rsidR="00942589">
        <w:t>ropaganda department ‘Nachrichte</w:t>
      </w:r>
      <w:r>
        <w:t>ngabteilung’, after the war:</w:t>
      </w:r>
    </w:p>
    <w:p w14:paraId="3173A0A9" w14:textId="77777777" w:rsidR="0048510E" w:rsidRDefault="0048510E" w:rsidP="0048510E">
      <w:pPr>
        <w:ind w:left="567" w:right="567"/>
        <w:jc w:val="both"/>
      </w:pPr>
      <w:r>
        <w:t>The effect of the propaganda from the air was, among the French and the Belgian population, very considerable from the beginning. With passionate devotion, the documents were hidden and guarded like a treasure. It also happened that prudent persons among the French authorities made arrangements for the return of the provocative papers, in order to prevent indiscretions which might cause serious misfortunes to the population. At any rate, the air propaganda aroused among the people an admirable confidence in victory. This had an overawing effect on many a German soldier, especially when he compared it with the people’s state of mind at home, shattered by hostile propaganda and other influences.</w:t>
      </w:r>
      <w:r>
        <w:rPr>
          <w:rStyle w:val="FootnoteReference"/>
          <w:rFonts w:ascii="Calibri" w:hAnsi="Calibri" w:cs="Calibri"/>
        </w:rPr>
        <w:footnoteReference w:id="956"/>
      </w:r>
      <w:r>
        <w:t xml:space="preserve">     </w:t>
      </w:r>
    </w:p>
    <w:p w14:paraId="3BE7460A" w14:textId="51897612" w:rsidR="0048510E" w:rsidRDefault="0048510E" w:rsidP="0048510E">
      <w:pPr>
        <w:jc w:val="both"/>
        <w:rPr>
          <w:rFonts w:ascii="Calibri" w:hAnsi="Calibri" w:cs="Calibri"/>
        </w:rPr>
      </w:pPr>
      <w:r>
        <w:t xml:space="preserve">This praise was spectacular, especially since </w:t>
      </w:r>
      <w:r w:rsidR="00942589">
        <w:t>it was</w:t>
      </w:r>
      <w:r>
        <w:t xml:space="preserve"> coming straight from the top of the German army. Indeed, Section IIIb was part of the ‘Oberste Heeresleitung’ or High Command, itself included in the General Headquarters or ‘Grosse</w:t>
      </w:r>
      <w:r w:rsidR="00942589">
        <w:t>s</w:t>
      </w:r>
      <w:r>
        <w:t xml:space="preserve"> Hauptquartier’.</w:t>
      </w:r>
      <w:r>
        <w:rPr>
          <w:rStyle w:val="FootnoteReference"/>
        </w:rPr>
        <w:footnoteReference w:id="957"/>
      </w:r>
      <w:r>
        <w:t xml:space="preserve"> Despite its unremarkable name, the unit was responsible for propaganda, the collection of intelligence abroad as well as counterespionage operations. Yet, there was a sharp contradiction between the analysis offered by Nicolai and the more nuanced picture describing propaganda’s effectiveness at the beginning of this chapter. In fact, </w:t>
      </w:r>
      <w:r>
        <w:rPr>
          <w:rFonts w:ascii="Calibri" w:hAnsi="Calibri" w:cs="Calibri"/>
        </w:rPr>
        <w:t>Nicolai’s praises must be unders</w:t>
      </w:r>
      <w:r w:rsidR="006E7DD2">
        <w:rPr>
          <w:rFonts w:ascii="Calibri" w:hAnsi="Calibri" w:cs="Calibri"/>
        </w:rPr>
        <w:t>tood through the filter of the a</w:t>
      </w:r>
      <w:r>
        <w:rPr>
          <w:rFonts w:ascii="Calibri" w:hAnsi="Calibri" w:cs="Calibri"/>
        </w:rPr>
        <w:t xml:space="preserve">rmistice. He was a career officer and was willing to adopt the stab-in-the-back myth to cover the defeat of Germany. Praising </w:t>
      </w:r>
      <w:r w:rsidR="002068A7">
        <w:rPr>
          <w:rFonts w:ascii="Calibri" w:hAnsi="Calibri" w:cs="Calibri"/>
        </w:rPr>
        <w:t>a</w:t>
      </w:r>
      <w:r>
        <w:rPr>
          <w:rFonts w:ascii="Calibri" w:hAnsi="Calibri" w:cs="Calibri"/>
        </w:rPr>
        <w:t>llied propaganda was a common move adopted by senior officers of the German army</w:t>
      </w:r>
      <w:r w:rsidR="009B6582">
        <w:rPr>
          <w:rFonts w:ascii="Calibri" w:hAnsi="Calibri" w:cs="Calibri"/>
        </w:rPr>
        <w:t>,</w:t>
      </w:r>
      <w:r>
        <w:rPr>
          <w:rFonts w:ascii="Calibri" w:hAnsi="Calibri" w:cs="Calibri"/>
        </w:rPr>
        <w:t xml:space="preserve"> such as Hindenburg or Ludendorff</w:t>
      </w:r>
      <w:r w:rsidR="009B6582">
        <w:rPr>
          <w:rFonts w:ascii="Calibri" w:hAnsi="Calibri" w:cs="Calibri"/>
        </w:rPr>
        <w:t>,</w:t>
      </w:r>
      <w:r>
        <w:rPr>
          <w:rFonts w:ascii="Calibri" w:hAnsi="Calibri" w:cs="Calibri"/>
        </w:rPr>
        <w:t xml:space="preserve"> at the end of the war</w:t>
      </w:r>
      <w:r w:rsidR="009B6582">
        <w:rPr>
          <w:rFonts w:ascii="Calibri" w:hAnsi="Calibri" w:cs="Calibri"/>
        </w:rPr>
        <w:t xml:space="preserve"> in order</w:t>
      </w:r>
      <w:r>
        <w:rPr>
          <w:rFonts w:ascii="Calibri" w:hAnsi="Calibri" w:cs="Calibri"/>
        </w:rPr>
        <w:t xml:space="preserve"> to absolve the </w:t>
      </w:r>
      <w:r w:rsidR="009B6582">
        <w:rPr>
          <w:rFonts w:ascii="Calibri" w:hAnsi="Calibri" w:cs="Calibri"/>
        </w:rPr>
        <w:t xml:space="preserve">German </w:t>
      </w:r>
      <w:r>
        <w:rPr>
          <w:rFonts w:ascii="Calibri" w:hAnsi="Calibri" w:cs="Calibri"/>
        </w:rPr>
        <w:t>military</w:t>
      </w:r>
      <w:r w:rsidR="009B6582">
        <w:rPr>
          <w:rFonts w:ascii="Calibri" w:hAnsi="Calibri" w:cs="Calibri"/>
        </w:rPr>
        <w:t xml:space="preserve"> from blame</w:t>
      </w:r>
      <w:r>
        <w:rPr>
          <w:rFonts w:ascii="Calibri" w:hAnsi="Calibri" w:cs="Calibri"/>
        </w:rPr>
        <w:t>.</w:t>
      </w:r>
      <w:r>
        <w:rPr>
          <w:rStyle w:val="FootnoteReference"/>
          <w:rFonts w:ascii="Calibri" w:hAnsi="Calibri" w:cs="Calibri"/>
        </w:rPr>
        <w:footnoteReference w:id="958"/>
      </w:r>
      <w:r>
        <w:rPr>
          <w:rFonts w:ascii="Calibri" w:hAnsi="Calibri" w:cs="Calibri"/>
        </w:rPr>
        <w:t xml:space="preserve"> There was little doubt that aerial propaganda was a major source of concern for the Germans but precautions must be taken when looking at post-war testimonies and reinterpretations.</w:t>
      </w:r>
    </w:p>
    <w:p w14:paraId="3276D4E3" w14:textId="5D736B4A" w:rsidR="0048510E" w:rsidRDefault="0048510E" w:rsidP="0048510E">
      <w:pPr>
        <w:jc w:val="both"/>
        <w:rPr>
          <w:rFonts w:ascii="Calibri" w:hAnsi="Calibri" w:cs="Calibri"/>
        </w:rPr>
      </w:pPr>
      <w:r>
        <w:rPr>
          <w:rFonts w:ascii="Calibri" w:hAnsi="Calibri" w:cs="Calibri"/>
        </w:rPr>
        <w:t xml:space="preserve">Section IIIb involved its press in French to answer not only aerial propaganda but also allied newspapers and clandestine publications. According to </w:t>
      </w:r>
      <w:r w:rsidRPr="00487E99">
        <w:rPr>
          <w:rFonts w:ascii="Calibri" w:hAnsi="Calibri" w:cs="Calibri"/>
        </w:rPr>
        <w:t>Nicolai</w:t>
      </w:r>
      <w:r>
        <w:rPr>
          <w:rFonts w:ascii="Calibri" w:hAnsi="Calibri" w:cs="Calibri"/>
        </w:rPr>
        <w:t xml:space="preserve">, </w:t>
      </w:r>
      <w:r w:rsidRPr="00487E99">
        <w:rPr>
          <w:rFonts w:ascii="Calibri" w:hAnsi="Calibri" w:cs="Calibri"/>
          <w:i/>
        </w:rPr>
        <w:t>La Gazette des Ardennes</w:t>
      </w:r>
      <w:r>
        <w:t xml:space="preserve"> was even </w:t>
      </w:r>
      <w:r w:rsidRPr="00487E99">
        <w:t>created</w:t>
      </w:r>
      <w:r w:rsidR="009B6582">
        <w:t xml:space="preserve"> specifically</w:t>
      </w:r>
      <w:r w:rsidRPr="00487E99">
        <w:t xml:space="preserve"> </w:t>
      </w:r>
      <w:r>
        <w:t>for this task</w:t>
      </w:r>
      <w:r>
        <w:rPr>
          <w:rFonts w:ascii="Calibri" w:hAnsi="Calibri" w:cs="Calibri"/>
        </w:rPr>
        <w:t>.</w:t>
      </w:r>
      <w:r>
        <w:rPr>
          <w:rStyle w:val="FootnoteReference"/>
          <w:rFonts w:ascii="Calibri" w:hAnsi="Calibri" w:cs="Calibri"/>
        </w:rPr>
        <w:footnoteReference w:id="959"/>
      </w:r>
      <w:r>
        <w:rPr>
          <w:rFonts w:ascii="Calibri" w:hAnsi="Calibri" w:cs="Calibri"/>
        </w:rPr>
        <w:t xml:space="preserve"> Once again, this affirmation was in contradiction with what has been written in chapter one of this thesis and must be dismissed as a post-war reinterpretation. If it was true that Parisian papers were occasionally dropped over occupied cities toward the end of 1914, a systematic plan of aerial distribution was not introduced by the </w:t>
      </w:r>
      <w:r w:rsidR="003918F7">
        <w:rPr>
          <w:rFonts w:ascii="Calibri" w:hAnsi="Calibri" w:cs="Calibri"/>
        </w:rPr>
        <w:t>a</w:t>
      </w:r>
      <w:r>
        <w:rPr>
          <w:rFonts w:ascii="Calibri" w:hAnsi="Calibri" w:cs="Calibri"/>
        </w:rPr>
        <w:t xml:space="preserve">llies until 1915, well after the creation of the </w:t>
      </w:r>
      <w:r>
        <w:rPr>
          <w:rFonts w:ascii="Calibri" w:hAnsi="Calibri" w:cs="Calibri"/>
          <w:i/>
        </w:rPr>
        <w:t>Gazette des Ardennes</w:t>
      </w:r>
      <w:r>
        <w:rPr>
          <w:rFonts w:ascii="Calibri" w:hAnsi="Calibri" w:cs="Calibri"/>
        </w:rPr>
        <w:t>.</w:t>
      </w:r>
      <w:r>
        <w:rPr>
          <w:rStyle w:val="FootnoteReference"/>
          <w:rFonts w:ascii="Calibri" w:hAnsi="Calibri" w:cs="Calibri"/>
        </w:rPr>
        <w:footnoteReference w:id="960"/>
      </w:r>
      <w:r>
        <w:rPr>
          <w:rFonts w:ascii="Calibri" w:hAnsi="Calibri" w:cs="Calibri"/>
        </w:rPr>
        <w:t xml:space="preserve"> In fact, the German army was the only military power equipped with a pre-war propaganda department and was therefore better prepared to communicate with the invaded regions at the beginning of the conflict.</w:t>
      </w:r>
      <w:r>
        <w:rPr>
          <w:rStyle w:val="FootnoteReference"/>
          <w:rFonts w:ascii="Calibri" w:hAnsi="Calibri" w:cs="Calibri"/>
        </w:rPr>
        <w:footnoteReference w:id="961"/>
      </w:r>
      <w:r>
        <w:rPr>
          <w:rFonts w:ascii="Calibri" w:hAnsi="Calibri" w:cs="Calibri"/>
        </w:rPr>
        <w:t xml:space="preserve"> In any case, the use of occupation newspapers to answer aerial propaganda remained limited. Chapter three has already </w:t>
      </w:r>
      <w:r w:rsidR="005529EF">
        <w:rPr>
          <w:rFonts w:ascii="Calibri" w:hAnsi="Calibri" w:cs="Calibri"/>
        </w:rPr>
        <w:t>highlighted</w:t>
      </w:r>
      <w:r>
        <w:rPr>
          <w:rFonts w:ascii="Calibri" w:hAnsi="Calibri" w:cs="Calibri"/>
        </w:rPr>
        <w:t xml:space="preserve"> that the Germans were usually leading the war of communication in the occupied territories.</w:t>
      </w:r>
    </w:p>
    <w:p w14:paraId="13D1C77C" w14:textId="4E3F570B" w:rsidR="0048510E" w:rsidRDefault="0048510E" w:rsidP="0048510E">
      <w:pPr>
        <w:jc w:val="both"/>
        <w:rPr>
          <w:rFonts w:ascii="Calibri" w:hAnsi="Calibri" w:cs="Calibri"/>
        </w:rPr>
      </w:pPr>
      <w:r>
        <w:rPr>
          <w:rFonts w:ascii="Calibri" w:hAnsi="Calibri" w:cs="Calibri"/>
        </w:rPr>
        <w:t>More visible measures were taken on a regional scale. The Germans knew perfectly well that the superiority of the enemy’s air force and the use of balloons made it next to impossible to prevent propaganda from landing over the occupied regions. However, the iron fist used to maintain total order was a good tool of coercion against civilians. It was with authority that the Germans were hoping to neutralise allied propaganda.</w:t>
      </w:r>
      <w:r>
        <w:rPr>
          <w:rStyle w:val="FootnoteReference"/>
          <w:rFonts w:ascii="Calibri" w:hAnsi="Calibri" w:cs="Calibri"/>
        </w:rPr>
        <w:footnoteReference w:id="962"/>
      </w:r>
      <w:r>
        <w:rPr>
          <w:rFonts w:ascii="Calibri" w:hAnsi="Calibri" w:cs="Calibri"/>
        </w:rPr>
        <w:t xml:space="preserve"> In Belgium, the fines for being in possession of a copy of propaganda were of 10,000 marks, in addition to </w:t>
      </w:r>
      <w:r w:rsidR="00131ACA">
        <w:rPr>
          <w:rFonts w:ascii="Calibri" w:hAnsi="Calibri" w:cs="Calibri"/>
        </w:rPr>
        <w:t>one year’s</w:t>
      </w:r>
      <w:r>
        <w:rPr>
          <w:rFonts w:ascii="Calibri" w:hAnsi="Calibri" w:cs="Calibri"/>
        </w:rPr>
        <w:t xml:space="preserve"> imprisonment.</w:t>
      </w:r>
      <w:r>
        <w:rPr>
          <w:rStyle w:val="FootnoteReference"/>
          <w:rFonts w:ascii="Calibri" w:hAnsi="Calibri" w:cs="Calibri"/>
        </w:rPr>
        <w:footnoteReference w:id="963"/>
      </w:r>
      <w:r>
        <w:rPr>
          <w:rFonts w:ascii="Calibri" w:hAnsi="Calibri" w:cs="Calibri"/>
        </w:rPr>
        <w:t xml:space="preserve"> In Brussels, possessing forbidden newspapers or leaflets was even punished </w:t>
      </w:r>
      <w:r w:rsidR="005529EF">
        <w:rPr>
          <w:rFonts w:ascii="Calibri" w:hAnsi="Calibri" w:cs="Calibri"/>
        </w:rPr>
        <w:t>with</w:t>
      </w:r>
      <w:r>
        <w:rPr>
          <w:rFonts w:ascii="Calibri" w:hAnsi="Calibri" w:cs="Calibri"/>
        </w:rPr>
        <w:t xml:space="preserve"> three years </w:t>
      </w:r>
      <w:r w:rsidR="00131ACA">
        <w:rPr>
          <w:rFonts w:ascii="Calibri" w:hAnsi="Calibri" w:cs="Calibri"/>
        </w:rPr>
        <w:t>in</w:t>
      </w:r>
      <w:r>
        <w:rPr>
          <w:rFonts w:ascii="Calibri" w:hAnsi="Calibri" w:cs="Calibri"/>
        </w:rPr>
        <w:t xml:space="preserve"> prison.</w:t>
      </w:r>
      <w:r>
        <w:rPr>
          <w:rStyle w:val="FootnoteReference"/>
          <w:rFonts w:ascii="Calibri" w:hAnsi="Calibri" w:cs="Calibri"/>
        </w:rPr>
        <w:footnoteReference w:id="964"/>
      </w:r>
      <w:r>
        <w:rPr>
          <w:rFonts w:ascii="Calibri" w:hAnsi="Calibri" w:cs="Calibri"/>
        </w:rPr>
        <w:t xml:space="preserve"> On 26 April 1917, this threat was extended to any object thrown by an allied aeroplane.</w:t>
      </w:r>
      <w:r>
        <w:rPr>
          <w:rStyle w:val="FootnoteReference"/>
          <w:rFonts w:ascii="Calibri" w:hAnsi="Calibri" w:cs="Calibri"/>
        </w:rPr>
        <w:footnoteReference w:id="965"/>
      </w:r>
      <w:r>
        <w:rPr>
          <w:rFonts w:ascii="Calibri" w:hAnsi="Calibri" w:cs="Calibri"/>
        </w:rPr>
        <w:t xml:space="preserve"> Despite the severity of the sentence, most Belgians were</w:t>
      </w:r>
      <w:r w:rsidR="009B6582">
        <w:rPr>
          <w:rFonts w:ascii="Calibri" w:hAnsi="Calibri" w:cs="Calibri"/>
        </w:rPr>
        <w:t xml:space="preserve"> sufficiently</w:t>
      </w:r>
      <w:r>
        <w:rPr>
          <w:rFonts w:ascii="Calibri" w:hAnsi="Calibri" w:cs="Calibri"/>
        </w:rPr>
        <w:t xml:space="preserve"> animated by the spirit of resistance </w:t>
      </w:r>
      <w:r w:rsidR="009B6582">
        <w:rPr>
          <w:rFonts w:ascii="Calibri" w:hAnsi="Calibri" w:cs="Calibri"/>
        </w:rPr>
        <w:t>to be ready to take this</w:t>
      </w:r>
      <w:r>
        <w:rPr>
          <w:rFonts w:ascii="Calibri" w:hAnsi="Calibri" w:cs="Calibri"/>
        </w:rPr>
        <w:t xml:space="preserve"> risk.</w:t>
      </w:r>
      <w:r>
        <w:rPr>
          <w:rStyle w:val="FootnoteReference"/>
          <w:rFonts w:ascii="Calibri" w:hAnsi="Calibri" w:cs="Calibri"/>
        </w:rPr>
        <w:footnoteReference w:id="966"/>
      </w:r>
      <w:r>
        <w:rPr>
          <w:rFonts w:ascii="Calibri" w:hAnsi="Calibri" w:cs="Calibri"/>
        </w:rPr>
        <w:t xml:space="preserve"> In France, strict measures were taken as soon as 1914 and adapted over time. In the area of Lille, unauthorised newspapers were banned at the beginning of the occupation but the first specific ordinance against aerial propaganda was</w:t>
      </w:r>
      <w:r w:rsidR="009B6582">
        <w:rPr>
          <w:rFonts w:ascii="Calibri" w:hAnsi="Calibri" w:cs="Calibri"/>
        </w:rPr>
        <w:t xml:space="preserve"> not</w:t>
      </w:r>
      <w:r>
        <w:rPr>
          <w:rFonts w:ascii="Calibri" w:hAnsi="Calibri" w:cs="Calibri"/>
        </w:rPr>
        <w:t xml:space="preserve"> taken</w:t>
      </w:r>
      <w:r w:rsidR="009B6582">
        <w:rPr>
          <w:rFonts w:ascii="Calibri" w:hAnsi="Calibri" w:cs="Calibri"/>
        </w:rPr>
        <w:t xml:space="preserve"> until</w:t>
      </w:r>
      <w:r>
        <w:rPr>
          <w:rFonts w:ascii="Calibri" w:hAnsi="Calibri" w:cs="Calibri"/>
        </w:rPr>
        <w:t xml:space="preserve"> 28 May 1915. </w:t>
      </w:r>
      <w:r w:rsidRPr="009D61BD">
        <w:rPr>
          <w:rFonts w:ascii="Calibri" w:hAnsi="Calibri" w:cs="Calibri"/>
          <w:lang w:val="fr-FR"/>
        </w:rPr>
        <w:t xml:space="preserve">The text </w:t>
      </w:r>
      <w:r w:rsidR="009B6582">
        <w:rPr>
          <w:rFonts w:ascii="Calibri" w:hAnsi="Calibri" w:cs="Calibri"/>
          <w:lang w:val="fr-FR"/>
        </w:rPr>
        <w:t>reminded</w:t>
      </w:r>
      <w:r w:rsidRPr="009D61BD">
        <w:rPr>
          <w:rFonts w:ascii="Calibri" w:hAnsi="Calibri" w:cs="Calibri"/>
          <w:lang w:val="fr-FR"/>
        </w:rPr>
        <w:t xml:space="preserve"> </w:t>
      </w:r>
      <w:r>
        <w:rPr>
          <w:rFonts w:ascii="Calibri" w:hAnsi="Calibri" w:cs="Calibri"/>
          <w:lang w:val="fr-FR"/>
        </w:rPr>
        <w:t>citizens</w:t>
      </w:r>
      <w:r w:rsidRPr="009D61BD">
        <w:rPr>
          <w:rFonts w:ascii="Calibri" w:hAnsi="Calibri" w:cs="Calibri"/>
          <w:lang w:val="fr-FR"/>
        </w:rPr>
        <w:t xml:space="preserve"> that ‘les personnes qui trouveraient des journaux jetés par des aviateurs, doivent les porter à l’autorité militaire la plus proche, sous peine d’être suspectés d’espionnage’.</w:t>
      </w:r>
      <w:r>
        <w:rPr>
          <w:rStyle w:val="FootnoteReference"/>
          <w:rFonts w:ascii="Calibri" w:hAnsi="Calibri" w:cs="Calibri"/>
          <w:lang w:val="fr-FR"/>
        </w:rPr>
        <w:footnoteReference w:id="967"/>
      </w:r>
      <w:r w:rsidRPr="009D61BD">
        <w:rPr>
          <w:rFonts w:ascii="Calibri" w:hAnsi="Calibri" w:cs="Calibri"/>
          <w:lang w:val="fr-FR"/>
        </w:rPr>
        <w:t xml:space="preserve"> </w:t>
      </w:r>
      <w:r>
        <w:rPr>
          <w:rFonts w:ascii="Calibri" w:hAnsi="Calibri" w:cs="Calibri"/>
        </w:rPr>
        <w:t>Penalties were</w:t>
      </w:r>
      <w:r w:rsidR="009B6582">
        <w:rPr>
          <w:rFonts w:ascii="Calibri" w:hAnsi="Calibri" w:cs="Calibri"/>
        </w:rPr>
        <w:t xml:space="preserve"> also</w:t>
      </w:r>
      <w:r>
        <w:rPr>
          <w:rFonts w:ascii="Calibri" w:hAnsi="Calibri" w:cs="Calibri"/>
        </w:rPr>
        <w:t xml:space="preserve"> refined over time. In 1916, the commander of the ‘Etappen-Kommandantur’ of Roubaix, major von Grundherr, had a poster published for the population of Roubaix on which the new ru</w:t>
      </w:r>
      <w:r w:rsidR="005529EF">
        <w:rPr>
          <w:rFonts w:ascii="Calibri" w:hAnsi="Calibri" w:cs="Calibri"/>
        </w:rPr>
        <w:t xml:space="preserve">les for aerial propaganda were </w:t>
      </w:r>
      <w:r w:rsidR="00131ACA">
        <w:rPr>
          <w:rFonts w:ascii="Calibri" w:hAnsi="Calibri" w:cs="Calibri"/>
        </w:rPr>
        <w:t>announced</w:t>
      </w:r>
      <w:r>
        <w:rPr>
          <w:rFonts w:ascii="Calibri" w:hAnsi="Calibri" w:cs="Calibri"/>
        </w:rPr>
        <w:t>:</w:t>
      </w:r>
    </w:p>
    <w:p w14:paraId="71DE8A4E" w14:textId="77777777" w:rsidR="0048510E" w:rsidRDefault="0048510E" w:rsidP="0048510E">
      <w:pPr>
        <w:ind w:left="567" w:right="567"/>
        <w:jc w:val="both"/>
        <w:rPr>
          <w:rFonts w:ascii="Calibri" w:hAnsi="Calibri" w:cs="Calibri"/>
          <w:lang w:val="fr-FR"/>
        </w:rPr>
      </w:pPr>
      <w:r w:rsidRPr="00CA62F2">
        <w:rPr>
          <w:rFonts w:ascii="Calibri" w:hAnsi="Calibri" w:cs="Calibri"/>
          <w:lang w:val="fr-FR"/>
        </w:rPr>
        <w:t xml:space="preserve">[…] Les personnes qui trouveraient des pigeons voyageurs </w:t>
      </w:r>
      <w:r>
        <w:rPr>
          <w:rFonts w:ascii="Calibri" w:hAnsi="Calibri" w:cs="Calibri"/>
          <w:lang w:val="fr-FR"/>
        </w:rPr>
        <w:t>ou des objets, des correspondances ou des écrits de n’importe quel genre, particulièrement des journaux jetés par des aviateurs, sont tenues de les remettre à l’autorité militaire la plus proche, faute de quoi elles seront suspectées d’espionnage et s’exposeront à des poursuites ; les infractions commises par négligence seront punies d’un emprisonnement pouvant atteindre 3 ans ou d’une amende pouvant s’élever jusqu’à 10.000 marks.</w:t>
      </w:r>
      <w:r>
        <w:rPr>
          <w:rStyle w:val="FootnoteReference"/>
          <w:rFonts w:ascii="Calibri" w:hAnsi="Calibri" w:cs="Calibri"/>
          <w:lang w:val="fr-FR"/>
        </w:rPr>
        <w:footnoteReference w:id="968"/>
      </w:r>
      <w:r w:rsidRPr="00CA62F2">
        <w:rPr>
          <w:rFonts w:ascii="Calibri" w:hAnsi="Calibri" w:cs="Calibri"/>
          <w:lang w:val="fr-FR"/>
        </w:rPr>
        <w:t xml:space="preserve"> </w:t>
      </w:r>
    </w:p>
    <w:p w14:paraId="016CBD43" w14:textId="6E62D6CB" w:rsidR="0048510E" w:rsidRDefault="0048510E" w:rsidP="0048510E">
      <w:pPr>
        <w:jc w:val="both"/>
        <w:rPr>
          <w:rFonts w:ascii="Calibri" w:hAnsi="Calibri" w:cs="Calibri"/>
        </w:rPr>
      </w:pPr>
      <w:r w:rsidRPr="004F6898">
        <w:rPr>
          <w:rFonts w:ascii="Calibri" w:hAnsi="Calibri" w:cs="Calibri"/>
        </w:rPr>
        <w:t xml:space="preserve">These ordinances triggered different </w:t>
      </w:r>
      <w:r>
        <w:rPr>
          <w:rFonts w:ascii="Calibri" w:hAnsi="Calibri" w:cs="Calibri"/>
        </w:rPr>
        <w:t>feeling</w:t>
      </w:r>
      <w:r w:rsidR="005529EF">
        <w:rPr>
          <w:rFonts w:ascii="Calibri" w:hAnsi="Calibri" w:cs="Calibri"/>
        </w:rPr>
        <w:t>s</w:t>
      </w:r>
      <w:r>
        <w:rPr>
          <w:rFonts w:ascii="Calibri" w:hAnsi="Calibri" w:cs="Calibri"/>
        </w:rPr>
        <w:t xml:space="preserve"> among the population</w:t>
      </w:r>
      <w:r w:rsidRPr="004F6898">
        <w:rPr>
          <w:rFonts w:ascii="Calibri" w:hAnsi="Calibri" w:cs="Calibri"/>
        </w:rPr>
        <w:t xml:space="preserve">. </w:t>
      </w:r>
      <w:r>
        <w:rPr>
          <w:rFonts w:ascii="Calibri" w:hAnsi="Calibri" w:cs="Calibri"/>
        </w:rPr>
        <w:t>Clément Karleskind, an ‘occupé’ from Charleville, commented the threats formulated by the Germans:</w:t>
      </w:r>
    </w:p>
    <w:p w14:paraId="43A56E9C" w14:textId="77777777" w:rsidR="0048510E" w:rsidRDefault="0048510E" w:rsidP="0048510E">
      <w:pPr>
        <w:ind w:left="567" w:right="567"/>
        <w:jc w:val="both"/>
        <w:rPr>
          <w:lang w:val="fr-FR"/>
        </w:rPr>
      </w:pPr>
      <w:r w:rsidRPr="004F6898">
        <w:rPr>
          <w:lang w:val="fr-FR"/>
        </w:rPr>
        <w:t>Il semble que ces mesures détestables</w:t>
      </w:r>
      <w:r>
        <w:rPr>
          <w:lang w:val="fr-FR"/>
        </w:rPr>
        <w:t xml:space="preserve"> soient motivées par le dépit non dissimulé des Allemands devant l’audace de nos aviateurs qui, lorsqu’ils ne lancent pas des projectiles, envoient des ballonnets de tous côtés. C’est un prétexte pour fouiller les gens et s’assurer qu’ils ne colportent aucun journal français. </w:t>
      </w:r>
      <w:r w:rsidRPr="003E4F7B">
        <w:rPr>
          <w:lang w:val="fr-BE"/>
        </w:rPr>
        <w:t xml:space="preserve">[…] </w:t>
      </w:r>
      <w:r w:rsidRPr="004F6898">
        <w:rPr>
          <w:lang w:val="fr-FR"/>
        </w:rPr>
        <w:t>Quels crimes de notre part… et que bien vite soient punis</w:t>
      </w:r>
      <w:r>
        <w:rPr>
          <w:lang w:val="fr-FR"/>
        </w:rPr>
        <w:t xml:space="preserve"> ceux sur lesquels on trouverait jamais une feuille de ce genre, la punition devant remplir les caisses qui se vident….</w:t>
      </w:r>
      <w:r>
        <w:rPr>
          <w:rStyle w:val="FootnoteReference"/>
          <w:lang w:val="fr-FR"/>
        </w:rPr>
        <w:footnoteReference w:id="969"/>
      </w:r>
    </w:p>
    <w:p w14:paraId="3C912426" w14:textId="2CE01E57" w:rsidR="0048510E" w:rsidRDefault="0048510E" w:rsidP="0048510E">
      <w:pPr>
        <w:jc w:val="both"/>
      </w:pPr>
      <w:r>
        <w:t>This sort of irony was representative of the general feeling expressed by the occupied citizens who often saw German coercion as a sign of anxiety</w:t>
      </w:r>
      <w:r w:rsidRPr="00C90106">
        <w:t>.</w:t>
      </w:r>
      <w:r>
        <w:rPr>
          <w:rStyle w:val="FootnoteReference"/>
        </w:rPr>
        <w:footnoteReference w:id="970"/>
      </w:r>
      <w:r>
        <w:t xml:space="preserve"> The need for fresh news was so strong and the German intrusion so intolerable that most people were </w:t>
      </w:r>
      <w:r w:rsidR="005529EF">
        <w:t>prepared</w:t>
      </w:r>
      <w:r>
        <w:t xml:space="preserve"> to take a chance with their personal safety.</w:t>
      </w:r>
      <w:r>
        <w:rPr>
          <w:rStyle w:val="FootnoteReference"/>
        </w:rPr>
        <w:footnoteReference w:id="971"/>
      </w:r>
      <w:r>
        <w:t xml:space="preserve"> Yet, a minority confessed having taken threats very seriously. Two different witnesses mentioned the risk of being shot if captured in possession of aerial propaganda.</w:t>
      </w:r>
      <w:r>
        <w:rPr>
          <w:rStyle w:val="FootnoteReference"/>
        </w:rPr>
        <w:footnoteReference w:id="972"/>
      </w:r>
      <w:r>
        <w:t xml:space="preserve"> In fact, no such rules were taken by the Germans but these fears </w:t>
      </w:r>
      <w:r w:rsidR="005529EF">
        <w:t>perfectly i</w:t>
      </w:r>
      <w:r>
        <w:t>llustrated the paradigm of military terror denounced by Annette Becker. The instrumentalisation of brutality was such that the population was kept in a state of shock and deprived of its intellectual and physical liberty.</w:t>
      </w:r>
      <w:r>
        <w:rPr>
          <w:rStyle w:val="FootnoteReference"/>
        </w:rPr>
        <w:footnoteReference w:id="973"/>
      </w:r>
    </w:p>
    <w:p w14:paraId="2724A411" w14:textId="34D71C03" w:rsidR="0048510E" w:rsidRDefault="0048510E" w:rsidP="0048510E">
      <w:pPr>
        <w:jc w:val="both"/>
        <w:rPr>
          <w:rFonts w:ascii="Calibri" w:hAnsi="Calibri" w:cs="Calibri"/>
        </w:rPr>
      </w:pPr>
      <w:r>
        <w:t>In some cases, the local German commanders would coerce the population to handpick leaflets under military supervision, right after a dropping.</w:t>
      </w:r>
      <w:r>
        <w:rPr>
          <w:rStyle w:val="FootnoteReference"/>
        </w:rPr>
        <w:footnoteReference w:id="974"/>
      </w:r>
      <w:r>
        <w:t xml:space="preserve"> On one occasion, this led to a clumsy attempt to hurt patriotic feeling</w:t>
      </w:r>
      <w:r w:rsidR="005529EF">
        <w:t>s</w:t>
      </w:r>
      <w:r>
        <w:t xml:space="preserve">. Belgian people in Flanders were ordered to trample on royal portraits dropped by an </w:t>
      </w:r>
      <w:r w:rsidR="000921F2">
        <w:t>aeroplane</w:t>
      </w:r>
      <w:r w:rsidR="005529EF">
        <w:t xml:space="preserve"> after n</w:t>
      </w:r>
      <w:r>
        <w:t xml:space="preserve">ational </w:t>
      </w:r>
      <w:r w:rsidR="005529EF">
        <w:t>d</w:t>
      </w:r>
      <w:r>
        <w:t>ay.</w:t>
      </w:r>
      <w:r>
        <w:rPr>
          <w:rStyle w:val="FootnoteReference"/>
        </w:rPr>
        <w:footnoteReference w:id="975"/>
      </w:r>
      <w:r>
        <w:t xml:space="preserve"> More commonly, money was offered by the occupier as a reward for each paper brought to the authorities. Three</w:t>
      </w:r>
      <w:r>
        <w:rPr>
          <w:rFonts w:ascii="Calibri" w:hAnsi="Calibri" w:cs="Calibri"/>
        </w:rPr>
        <w:t xml:space="preserve"> marks were given for a pamphlet of a new type, thirty pfennigs for one already known and five marks for a bo</w:t>
      </w:r>
      <w:r w:rsidR="005529EF">
        <w:rPr>
          <w:rFonts w:ascii="Calibri" w:hAnsi="Calibri" w:cs="Calibri"/>
        </w:rPr>
        <w:t>ok. These payments were known to</w:t>
      </w:r>
      <w:r>
        <w:rPr>
          <w:rFonts w:ascii="Calibri" w:hAnsi="Calibri" w:cs="Calibri"/>
        </w:rPr>
        <w:t xml:space="preserve"> the French authorities who welcomed them as a formidable admittance of despair.</w:t>
      </w:r>
      <w:r>
        <w:rPr>
          <w:rStyle w:val="FootnoteReference"/>
          <w:rFonts w:ascii="Calibri" w:hAnsi="Calibri" w:cs="Calibri"/>
        </w:rPr>
        <w:footnoteReference w:id="976"/>
      </w:r>
      <w:r>
        <w:rPr>
          <w:rFonts w:ascii="Calibri" w:hAnsi="Calibri" w:cs="Calibri"/>
        </w:rPr>
        <w:t xml:space="preserve"> In fact, the more the Germans were trying to fight a</w:t>
      </w:r>
      <w:r w:rsidR="003918F7">
        <w:rPr>
          <w:rFonts w:ascii="Calibri" w:hAnsi="Calibri" w:cs="Calibri"/>
        </w:rPr>
        <w:t>erial propaganda, the more the a</w:t>
      </w:r>
      <w:r>
        <w:rPr>
          <w:rFonts w:ascii="Calibri" w:hAnsi="Calibri" w:cs="Calibri"/>
        </w:rPr>
        <w:t xml:space="preserve">llies felt encouraged to push these operations further. This fact suggests that aerial propaganda </w:t>
      </w:r>
      <w:r w:rsidR="005529EF">
        <w:rPr>
          <w:rFonts w:ascii="Calibri" w:hAnsi="Calibri" w:cs="Calibri"/>
        </w:rPr>
        <w:t>at least had some importance</w:t>
      </w:r>
      <w:r>
        <w:rPr>
          <w:rFonts w:ascii="Calibri" w:hAnsi="Calibri" w:cs="Calibri"/>
        </w:rPr>
        <w:t>.</w:t>
      </w:r>
    </w:p>
    <w:p w14:paraId="43B6E6FC" w14:textId="38E219CE" w:rsidR="0048510E" w:rsidRDefault="0048510E" w:rsidP="00905B4F">
      <w:pPr>
        <w:jc w:val="both"/>
        <w:rPr>
          <w:rFonts w:ascii="Calibri" w:hAnsi="Calibri" w:cs="Calibri"/>
        </w:rPr>
      </w:pPr>
      <w:r>
        <w:rPr>
          <w:rFonts w:ascii="Calibri" w:hAnsi="Calibri" w:cs="Calibri"/>
        </w:rPr>
        <w:t xml:space="preserve">There were </w:t>
      </w:r>
      <w:r w:rsidR="00644560">
        <w:rPr>
          <w:rFonts w:ascii="Calibri" w:hAnsi="Calibri" w:cs="Calibri"/>
        </w:rPr>
        <w:t xml:space="preserve">other </w:t>
      </w:r>
      <w:r>
        <w:rPr>
          <w:rFonts w:ascii="Calibri" w:hAnsi="Calibri" w:cs="Calibri"/>
        </w:rPr>
        <w:t>convincing signs showing that allied aerial propaganda had an influence and was worrying the occupier.</w:t>
      </w:r>
      <w:r w:rsidRPr="00301DF0">
        <w:t xml:space="preserve"> </w:t>
      </w:r>
      <w:r>
        <w:t xml:space="preserve">Posters were created on different occasions to </w:t>
      </w:r>
      <w:r w:rsidR="002068A7">
        <w:t>neutralise ‘rumours’ spread by a</w:t>
      </w:r>
      <w:r>
        <w:t xml:space="preserve">llied </w:t>
      </w:r>
      <w:r w:rsidR="00905B4F">
        <w:t>newspapers</w:t>
      </w:r>
      <w:r>
        <w:t>. For example, the German authorities of Belgium tried to answer accusations of barbarism, mistreatments in prisoners’ camps or the coercion of Belgian civilians by the German army.</w:t>
      </w:r>
      <w:r>
        <w:rPr>
          <w:rStyle w:val="FootnoteReference"/>
        </w:rPr>
        <w:footnoteReference w:id="977"/>
      </w:r>
      <w:r>
        <w:t xml:space="preserve"> Another spectacular sign was the mobilisation of the </w:t>
      </w:r>
      <w:r w:rsidR="00C95759">
        <w:rPr>
          <w:rFonts w:ascii="Calibri" w:hAnsi="Calibri" w:cs="Calibri"/>
        </w:rPr>
        <w:t>German home fr</w:t>
      </w:r>
      <w:r>
        <w:rPr>
          <w:rFonts w:ascii="Calibri" w:hAnsi="Calibri" w:cs="Calibri"/>
        </w:rPr>
        <w:t xml:space="preserve">ont press. The </w:t>
      </w:r>
      <w:r>
        <w:rPr>
          <w:rFonts w:ascii="Calibri" w:hAnsi="Calibri" w:cs="Calibri"/>
          <w:i/>
          <w:iCs/>
        </w:rPr>
        <w:t>Kölnische Zeitung</w:t>
      </w:r>
      <w:r>
        <w:rPr>
          <w:rFonts w:ascii="Calibri" w:hAnsi="Calibri" w:cs="Calibri"/>
        </w:rPr>
        <w:t xml:space="preserve"> denounced the </w:t>
      </w:r>
      <w:r>
        <w:rPr>
          <w:rFonts w:ascii="Calibri" w:hAnsi="Calibri" w:cs="Calibri"/>
          <w:i/>
          <w:iCs/>
        </w:rPr>
        <w:t>Voix du Pays</w:t>
      </w:r>
      <w:r>
        <w:rPr>
          <w:rFonts w:ascii="Calibri" w:hAnsi="Calibri" w:cs="Calibri"/>
        </w:rPr>
        <w:t xml:space="preserve"> as a:</w:t>
      </w:r>
    </w:p>
    <w:p w14:paraId="5AC81DF9" w14:textId="77777777" w:rsidR="0048510E" w:rsidRPr="006041B7" w:rsidRDefault="0048510E" w:rsidP="0048510E">
      <w:pPr>
        <w:ind w:left="567" w:right="567"/>
        <w:jc w:val="both"/>
        <w:rPr>
          <w:rFonts w:ascii="Calibri" w:hAnsi="Calibri" w:cs="Calibri"/>
        </w:rPr>
      </w:pPr>
      <w:r>
        <w:rPr>
          <w:rFonts w:ascii="Calibri" w:hAnsi="Calibri" w:cs="Calibri"/>
        </w:rPr>
        <w:t>French leaf carrying the symbol of France in a swollen rooster trying to look frightening. In this paper, dated 25 October, there is nothing to keep. It contains French communiqués and a general view of the situation, of course with huge lies, on other theatres of operations […].</w:t>
      </w:r>
      <w:r>
        <w:rPr>
          <w:rStyle w:val="FootnoteReference"/>
          <w:rFonts w:ascii="Calibri" w:hAnsi="Calibri" w:cs="Calibri"/>
        </w:rPr>
        <w:footnoteReference w:id="978"/>
      </w:r>
      <w:r>
        <w:rPr>
          <w:rFonts w:ascii="Calibri" w:hAnsi="Calibri" w:cs="Calibri"/>
        </w:rPr>
        <w:t xml:space="preserve"> </w:t>
      </w:r>
    </w:p>
    <w:p w14:paraId="4A32BDC9" w14:textId="33A5C561" w:rsidR="0048510E" w:rsidRDefault="0048510E" w:rsidP="0048510E">
      <w:pPr>
        <w:jc w:val="both"/>
        <w:rPr>
          <w:rFonts w:ascii="Calibri" w:hAnsi="Calibri" w:cs="Calibri"/>
        </w:rPr>
      </w:pPr>
      <w:r>
        <w:rPr>
          <w:rFonts w:ascii="Calibri" w:hAnsi="Calibri" w:cs="Calibri"/>
        </w:rPr>
        <w:t>Yet, nothing attracted the attention of the German media</w:t>
      </w:r>
      <w:r w:rsidR="00EF1534">
        <w:rPr>
          <w:rFonts w:ascii="Calibri" w:hAnsi="Calibri" w:cs="Calibri"/>
        </w:rPr>
        <w:t xml:space="preserve"> more</w:t>
      </w:r>
      <w:r>
        <w:rPr>
          <w:rFonts w:ascii="Calibri" w:hAnsi="Calibri" w:cs="Calibri"/>
        </w:rPr>
        <w:t xml:space="preserve"> than the operations of aerial black propaganda. The French-made fake </w:t>
      </w:r>
      <w:r>
        <w:rPr>
          <w:rFonts w:ascii="Calibri" w:hAnsi="Calibri" w:cs="Calibri"/>
          <w:i/>
          <w:iCs/>
        </w:rPr>
        <w:t>Gazette des Ardennes illustrée</w:t>
      </w:r>
      <w:r>
        <w:rPr>
          <w:rFonts w:ascii="Calibri" w:hAnsi="Calibri" w:cs="Calibri"/>
        </w:rPr>
        <w:t xml:space="preserve"> of March 1916 was heavily commented</w:t>
      </w:r>
      <w:r w:rsidR="005529EF">
        <w:rPr>
          <w:rFonts w:ascii="Calibri" w:hAnsi="Calibri" w:cs="Calibri"/>
        </w:rPr>
        <w:t xml:space="preserve"> on</w:t>
      </w:r>
      <w:r>
        <w:rPr>
          <w:rFonts w:ascii="Calibri" w:hAnsi="Calibri" w:cs="Calibri"/>
        </w:rPr>
        <w:t xml:space="preserve"> both by official publications and by the press of the </w:t>
      </w:r>
      <w:r w:rsidR="00131ACA">
        <w:rPr>
          <w:rFonts w:ascii="Calibri" w:hAnsi="Calibri" w:cs="Calibri"/>
        </w:rPr>
        <w:t>home front</w:t>
      </w:r>
      <w:r>
        <w:rPr>
          <w:rFonts w:ascii="Calibri" w:hAnsi="Calibri" w:cs="Calibri"/>
        </w:rPr>
        <w:t xml:space="preserve">. The reaction of the real </w:t>
      </w:r>
      <w:r>
        <w:rPr>
          <w:rFonts w:ascii="Calibri" w:hAnsi="Calibri" w:cs="Calibri"/>
          <w:i/>
          <w:iCs/>
        </w:rPr>
        <w:t>Gazette</w:t>
      </w:r>
      <w:r>
        <w:rPr>
          <w:rFonts w:ascii="Calibri" w:hAnsi="Calibri" w:cs="Calibri"/>
        </w:rPr>
        <w:t xml:space="preserve"> betrayed the anger of Section IIIb.</w:t>
      </w:r>
      <w:r>
        <w:rPr>
          <w:rStyle w:val="FootnoteReference"/>
          <w:rFonts w:ascii="Calibri" w:hAnsi="Calibri" w:cs="Calibri"/>
          <w:i/>
          <w:iCs/>
        </w:rPr>
        <w:footnoteReference w:id="979"/>
      </w:r>
      <w:r>
        <w:rPr>
          <w:rFonts w:ascii="Calibri" w:hAnsi="Calibri" w:cs="Calibri"/>
        </w:rPr>
        <w:t xml:space="preserve"> Meanwhile, the </w:t>
      </w:r>
      <w:r w:rsidRPr="00DC290A">
        <w:rPr>
          <w:rFonts w:ascii="Calibri" w:hAnsi="Calibri" w:cs="Calibri"/>
          <w:i/>
          <w:iCs/>
        </w:rPr>
        <w:t>Kölnische Zeitung</w:t>
      </w:r>
      <w:r>
        <w:rPr>
          <w:rFonts w:ascii="Calibri" w:hAnsi="Calibri" w:cs="Calibri"/>
        </w:rPr>
        <w:t xml:space="preserve"> denounced this mysterious piece as a work of the French government and tried to present it as a sign of desperation:</w:t>
      </w:r>
    </w:p>
    <w:p w14:paraId="17A7AA2E" w14:textId="77777777" w:rsidR="0048510E" w:rsidRPr="00EE25A8" w:rsidRDefault="0048510E" w:rsidP="0048510E">
      <w:pPr>
        <w:ind w:left="567" w:right="567"/>
        <w:jc w:val="both"/>
        <w:rPr>
          <w:rFonts w:ascii="Calibri" w:hAnsi="Calibri" w:cs="Calibri"/>
        </w:rPr>
      </w:pPr>
      <w:r>
        <w:rPr>
          <w:rFonts w:ascii="Calibri" w:hAnsi="Calibri" w:cs="Calibri"/>
        </w:rPr>
        <w:t>But we are pleased by this new fake from the French Governement because it strengthens our faith in our past and future victories. Only helplessness could lower people to lies and calumny such as when they have the vile souls of Poincaré’s Ministers. We, Germans, are aware of our strength which keeps us far from these things.</w:t>
      </w:r>
      <w:r>
        <w:rPr>
          <w:rStyle w:val="FootnoteReference"/>
          <w:rFonts w:ascii="Calibri" w:hAnsi="Calibri" w:cs="Calibri"/>
        </w:rPr>
        <w:footnoteReference w:id="980"/>
      </w:r>
      <w:r>
        <w:rPr>
          <w:rFonts w:ascii="Calibri" w:hAnsi="Calibri" w:cs="Calibri"/>
        </w:rPr>
        <w:t xml:space="preserve">   </w:t>
      </w:r>
      <w:r w:rsidRPr="007D5CF3">
        <w:rPr>
          <w:rFonts w:ascii="PMingLiU" w:eastAsia="PMingLiU" w:hAnsi="PMingLiU" w:cs="Calibri" w:hint="eastAsia"/>
          <w:i/>
          <w:iCs/>
          <w:lang w:eastAsia="zh-TW"/>
        </w:rPr>
        <w:t xml:space="preserve"> </w:t>
      </w:r>
    </w:p>
    <w:p w14:paraId="1638583E" w14:textId="2E4BD5DB" w:rsidR="0048510E" w:rsidRDefault="0048510E" w:rsidP="0048510E">
      <w:pPr>
        <w:jc w:val="both"/>
        <w:rPr>
          <w:rFonts w:ascii="Calibri" w:hAnsi="Calibri" w:cs="Calibri"/>
        </w:rPr>
      </w:pPr>
      <w:r>
        <w:rPr>
          <w:rFonts w:ascii="Calibri" w:hAnsi="Calibri" w:cs="Calibri"/>
        </w:rPr>
        <w:t>This violent reaction was inevitably taken as a good omen by French propagandists who were encouraged to produce more black propaganda.</w:t>
      </w:r>
      <w:r>
        <w:rPr>
          <w:rStyle w:val="FootnoteReference"/>
          <w:rFonts w:ascii="Calibri" w:hAnsi="Calibri" w:cs="Calibri"/>
        </w:rPr>
        <w:footnoteReference w:id="981"/>
      </w:r>
      <w:r>
        <w:rPr>
          <w:rFonts w:ascii="Calibri" w:hAnsi="Calibri" w:cs="Calibri"/>
        </w:rPr>
        <w:t xml:space="preserve"> The following faked </w:t>
      </w:r>
      <w:r>
        <w:rPr>
          <w:rFonts w:ascii="Calibri" w:hAnsi="Calibri" w:cs="Calibri"/>
          <w:i/>
          <w:iCs/>
        </w:rPr>
        <w:t>Gazette des Ardennes</w:t>
      </w:r>
      <w:r>
        <w:rPr>
          <w:rFonts w:ascii="Calibri" w:hAnsi="Calibri" w:cs="Calibri"/>
        </w:rPr>
        <w:t xml:space="preserve"> provoked w</w:t>
      </w:r>
      <w:r w:rsidR="005529EF">
        <w:rPr>
          <w:rFonts w:ascii="Calibri" w:hAnsi="Calibri" w:cs="Calibri"/>
        </w:rPr>
        <w:t>ave after wave</w:t>
      </w:r>
      <w:r>
        <w:rPr>
          <w:rFonts w:ascii="Calibri" w:hAnsi="Calibri" w:cs="Calibri"/>
        </w:rPr>
        <w:t xml:space="preserve"> of hostile reactions. On 13 April 1916, the </w:t>
      </w:r>
      <w:r>
        <w:rPr>
          <w:rFonts w:ascii="Calibri" w:hAnsi="Calibri" w:cs="Calibri"/>
          <w:i/>
          <w:iCs/>
        </w:rPr>
        <w:t>Vossische Zeitung</w:t>
      </w:r>
      <w:r>
        <w:rPr>
          <w:rFonts w:ascii="Calibri" w:hAnsi="Calibri" w:cs="Calibri"/>
        </w:rPr>
        <w:t xml:space="preserve"> criticized an ‘infamous fraud’ while the </w:t>
      </w:r>
      <w:r w:rsidR="005529EF">
        <w:rPr>
          <w:rFonts w:ascii="Calibri" w:hAnsi="Calibri" w:cs="Calibri"/>
          <w:i/>
          <w:iCs/>
        </w:rPr>
        <w:t>Stuttgarter neue T</w:t>
      </w:r>
      <w:r w:rsidRPr="00414136">
        <w:rPr>
          <w:rFonts w:ascii="Calibri" w:hAnsi="Calibri" w:cs="Calibri"/>
          <w:i/>
          <w:iCs/>
        </w:rPr>
        <w:t>agblatt</w:t>
      </w:r>
      <w:r>
        <w:rPr>
          <w:rFonts w:ascii="Calibri" w:hAnsi="Calibri" w:cs="Calibri"/>
        </w:rPr>
        <w:t xml:space="preserve"> of 19 April 1916 denounced ‘poisoned articles’.</w:t>
      </w:r>
      <w:r>
        <w:rPr>
          <w:rStyle w:val="FootnoteReference"/>
          <w:rFonts w:ascii="Calibri" w:hAnsi="Calibri" w:cs="Calibri"/>
        </w:rPr>
        <w:footnoteReference w:id="982"/>
      </w:r>
      <w:r>
        <w:rPr>
          <w:rFonts w:ascii="Calibri" w:hAnsi="Calibri" w:cs="Calibri"/>
        </w:rPr>
        <w:t xml:space="preserve"> The main victim, the German propaganda newspaper from Charleville, offered a violent denunciation of black propaganda</w:t>
      </w:r>
      <w:r w:rsidR="005529EF" w:rsidRPr="005529EF">
        <w:rPr>
          <w:rFonts w:ascii="Calibri" w:hAnsi="Calibri" w:cs="Calibri"/>
        </w:rPr>
        <w:t xml:space="preserve"> </w:t>
      </w:r>
      <w:r w:rsidR="005529EF">
        <w:rPr>
          <w:rFonts w:ascii="Calibri" w:hAnsi="Calibri" w:cs="Calibri"/>
        </w:rPr>
        <w:t>on the first page of its 29 March 1916 edition</w:t>
      </w:r>
      <w:r>
        <w:rPr>
          <w:rFonts w:ascii="Calibri" w:hAnsi="Calibri" w:cs="Calibri"/>
        </w:rPr>
        <w:t xml:space="preserve">. </w:t>
      </w:r>
      <w:r>
        <w:rPr>
          <w:rFonts w:ascii="Calibri" w:hAnsi="Calibri" w:cs="Calibri"/>
          <w:i/>
          <w:iCs/>
        </w:rPr>
        <w:t>La Gazette des Ardennes</w:t>
      </w:r>
      <w:r>
        <w:rPr>
          <w:rFonts w:ascii="Calibri" w:eastAsia="PMingLiU" w:hAnsi="Calibri" w:cs="Calibri" w:hint="eastAsia"/>
          <w:lang w:eastAsia="zh-TW"/>
        </w:rPr>
        <w:t xml:space="preserve"> </w:t>
      </w:r>
      <w:r>
        <w:rPr>
          <w:rFonts w:ascii="Calibri" w:hAnsi="Calibri" w:cs="Calibri"/>
        </w:rPr>
        <w:t>the symbol of the Entente’s dishonesty</w:t>
      </w:r>
      <w:r w:rsidR="005529EF" w:rsidRPr="005529EF">
        <w:rPr>
          <w:rFonts w:ascii="Calibri" w:hAnsi="Calibri" w:cs="Calibri"/>
        </w:rPr>
        <w:t xml:space="preserve"> </w:t>
      </w:r>
      <w:r w:rsidR="005529EF">
        <w:rPr>
          <w:rFonts w:ascii="Calibri" w:hAnsi="Calibri" w:cs="Calibri"/>
        </w:rPr>
        <w:t>saw behind this mysterious initiative</w:t>
      </w:r>
      <w:r>
        <w:rPr>
          <w:rFonts w:ascii="Calibri" w:hAnsi="Calibri" w:cs="Calibri"/>
        </w:rPr>
        <w:t xml:space="preserve"> and went on to denounce the French press:</w:t>
      </w:r>
    </w:p>
    <w:p w14:paraId="0A9DF87A" w14:textId="77777777" w:rsidR="0048510E" w:rsidRPr="00E57561" w:rsidRDefault="0048510E" w:rsidP="0048510E">
      <w:pPr>
        <w:ind w:left="567" w:right="567"/>
        <w:jc w:val="both"/>
        <w:rPr>
          <w:rFonts w:ascii="Calibri" w:hAnsi="Calibri" w:cs="Calibri"/>
          <w:lang w:val="fr-FR"/>
        </w:rPr>
      </w:pPr>
      <w:r w:rsidRPr="00EE2A0D">
        <w:rPr>
          <w:rFonts w:ascii="Calibri" w:hAnsi="Calibri" w:cs="Calibri"/>
          <w:lang w:val="fr-FR"/>
        </w:rPr>
        <w:t>Mais il y a longtemps que les journalistes de Paris ont désappris le bel esprit et la verve souveraine de certains de leurs anc</w:t>
      </w:r>
      <w:r>
        <w:rPr>
          <w:rFonts w:ascii="Calibri" w:hAnsi="Calibri" w:cs="Calibri"/>
          <w:lang w:val="fr-FR"/>
        </w:rPr>
        <w:t>êtres. La nouvelle « arme » qu’ils viennent de forger pour les besoins de leur cause, n’est pas digne de la vaillance de cette armée française, derrière laquelle ils abritent leur haine et leurs intrigues.</w:t>
      </w:r>
      <w:r>
        <w:rPr>
          <w:rStyle w:val="FootnoteReference"/>
          <w:rFonts w:ascii="Calibri" w:hAnsi="Calibri" w:cs="Calibri"/>
          <w:lang w:val="fr-FR"/>
        </w:rPr>
        <w:footnoteReference w:id="983"/>
      </w:r>
    </w:p>
    <w:p w14:paraId="69520B67" w14:textId="00AD1014" w:rsidR="0048510E" w:rsidRDefault="0048510E" w:rsidP="0048510E">
      <w:pPr>
        <w:jc w:val="both"/>
        <w:rPr>
          <w:rFonts w:ascii="Calibri" w:hAnsi="Calibri" w:cs="Calibri"/>
        </w:rPr>
      </w:pPr>
      <w:r w:rsidRPr="00E3337D">
        <w:rPr>
          <w:rFonts w:ascii="Calibri" w:hAnsi="Calibri" w:cs="Calibri"/>
        </w:rPr>
        <w:t>Allied aerial propaganda even affected German internal politics.</w:t>
      </w:r>
      <w:r>
        <w:rPr>
          <w:rFonts w:ascii="Calibri" w:hAnsi="Calibri" w:cs="Calibri"/>
        </w:rPr>
        <w:t xml:space="preserve"> Nicolai recalled an occasion </w:t>
      </w:r>
      <w:r w:rsidR="005529EF">
        <w:rPr>
          <w:rFonts w:ascii="Calibri" w:hAnsi="Calibri" w:cs="Calibri"/>
        </w:rPr>
        <w:t>i</w:t>
      </w:r>
      <w:r>
        <w:rPr>
          <w:rFonts w:ascii="Calibri" w:hAnsi="Calibri" w:cs="Calibri"/>
        </w:rPr>
        <w:t>n which Ludendorff showed stacks of leaflets to pro-peace parliamentarians:</w:t>
      </w:r>
    </w:p>
    <w:p w14:paraId="0B8C5945" w14:textId="77777777" w:rsidR="0048510E" w:rsidRDefault="0048510E" w:rsidP="0048510E">
      <w:pPr>
        <w:ind w:left="567" w:right="567"/>
        <w:jc w:val="both"/>
        <w:rPr>
          <w:rFonts w:ascii="Calibri" w:hAnsi="Calibri" w:cs="Calibri"/>
        </w:rPr>
      </w:pPr>
      <w:r>
        <w:rPr>
          <w:rFonts w:ascii="Calibri" w:hAnsi="Calibri" w:cs="Calibri"/>
        </w:rPr>
        <w:t>When, in 1917, the Supreme Command was quartered at Kreuznach, there was already a vast amount of material regarding this side of the activity of the enemy I. S [Intelligence Service]. A collection of it, consisting of extraordinarily clever brochures, pamphlets in prose and verse, and of single leaflets and pictures [aerial propaganda], covered, several layers thick, a table in my bureau large enough for twelve people to sit at, although, there was only one specimen of each document. General Ludendorff once ordered these documents to be shown to a group of Parliamentarians who had arrived at G. H. Q. As far as these people harboured the beliefs that the War could be settled otherwise than by arms, the material aroused among them almost unbelievable doubt. It was impossible to convince them of the hatred and the will to destruction of the enemy</w:t>
      </w:r>
      <w:r w:rsidRPr="00980636">
        <w:rPr>
          <w:rFonts w:ascii="Calibri" w:hAnsi="Calibri" w:cs="Calibri"/>
        </w:rPr>
        <w:t>.</w:t>
      </w:r>
      <w:r w:rsidRPr="00980636">
        <w:rPr>
          <w:rStyle w:val="FootnoteReference"/>
          <w:rFonts w:ascii="Calibri" w:hAnsi="Calibri" w:cs="Calibri"/>
        </w:rPr>
        <w:footnoteReference w:id="984"/>
      </w:r>
    </w:p>
    <w:p w14:paraId="2249604B" w14:textId="0139C1DB" w:rsidR="0048510E" w:rsidRPr="008248FE" w:rsidRDefault="0048510E" w:rsidP="0048510E">
      <w:pPr>
        <w:jc w:val="both"/>
        <w:rPr>
          <w:rFonts w:ascii="Calibri" w:hAnsi="Calibri" w:cs="Calibri"/>
        </w:rPr>
      </w:pPr>
      <w:r>
        <w:rPr>
          <w:rFonts w:ascii="Calibri" w:hAnsi="Calibri" w:cs="Calibri"/>
        </w:rPr>
        <w:t>Ludendorff would probably have been more concerned about leaflets aimed at German soldiers but these were nonetheless inseparable from propaganda in French, understood by educated members of the army. In fact, both the government and the military were preoccupied by the consequences of aerial propaganda over their men. The matter was discussed on different occasions in the Reichstag.</w:t>
      </w:r>
      <w:r>
        <w:rPr>
          <w:rStyle w:val="FootnoteReference"/>
          <w:rFonts w:ascii="Calibri" w:hAnsi="Calibri" w:cs="Calibri"/>
        </w:rPr>
        <w:footnoteReference w:id="985"/>
      </w:r>
      <w:r>
        <w:rPr>
          <w:rFonts w:ascii="Calibri" w:hAnsi="Calibri" w:cs="Calibri"/>
        </w:rPr>
        <w:t xml:space="preserve"> On the frontline, films, posters, newspapers and lectures were offered to troops in an attempt to induce a political education in line with the dominant views. The message carried by this propaganda campaign emphasised the idea that a violent resolution to the conflict was the only way to bring peace. Victory was the key to democracy and rendered social reforms unnecessary. Yet, patriotic actions offered little answers and raised more questions, thus ultimately resulting in a failure to counteract </w:t>
      </w:r>
      <w:r w:rsidR="005529EF">
        <w:rPr>
          <w:rFonts w:ascii="Calibri" w:hAnsi="Calibri" w:cs="Calibri"/>
        </w:rPr>
        <w:t>against</w:t>
      </w:r>
      <w:r>
        <w:rPr>
          <w:rFonts w:ascii="Calibri" w:hAnsi="Calibri" w:cs="Calibri"/>
        </w:rPr>
        <w:t xml:space="preserve"> allied aerial propaganda</w:t>
      </w:r>
      <w:r>
        <w:t>.</w:t>
      </w:r>
      <w:r>
        <w:rPr>
          <w:rStyle w:val="FootnoteReference"/>
        </w:rPr>
        <w:footnoteReference w:id="986"/>
      </w:r>
    </w:p>
    <w:p w14:paraId="73FFE7DF" w14:textId="6D6A8AA9" w:rsidR="0048510E" w:rsidRDefault="0048510E" w:rsidP="0048510E">
      <w:pPr>
        <w:jc w:val="both"/>
        <w:rPr>
          <w:rFonts w:ascii="Calibri" w:hAnsi="Calibri"/>
        </w:rPr>
      </w:pPr>
      <w:r>
        <w:rPr>
          <w:rFonts w:ascii="Calibri" w:hAnsi="Calibri"/>
        </w:rPr>
        <w:t>So far, it has been demonstrated that aerial propaganda had short and middle-term effects touching both the Germans and the populations living in the occupied territories. Yet, this form of psychological warfare was also a gigantic experiment testing new forms of military communication on a previously unexplored scale. For allied governments and armies, it was important to assess whether these complex operations were worth repeating in a future conflict. Knowing what the governments did with the legacy left by First World War aerial propaganda was fundamental to eva</w:t>
      </w:r>
      <w:r w:rsidR="00131ACA">
        <w:rPr>
          <w:rFonts w:ascii="Calibri" w:hAnsi="Calibri"/>
        </w:rPr>
        <w:t>luating</w:t>
      </w:r>
      <w:r>
        <w:rPr>
          <w:rFonts w:ascii="Calibri" w:hAnsi="Calibri"/>
        </w:rPr>
        <w:t xml:space="preserve"> its long-lasting effects.</w:t>
      </w:r>
    </w:p>
    <w:p w14:paraId="3B6F52EB" w14:textId="77777777" w:rsidR="0048510E" w:rsidRDefault="0048510E" w:rsidP="0048510E">
      <w:pPr>
        <w:pStyle w:val="Heading2"/>
      </w:pPr>
      <w:bookmarkStart w:id="93" w:name="_Toc378223884"/>
      <w:bookmarkStart w:id="94" w:name="_Toc402192997"/>
      <w:r>
        <w:t>Allied authorities and aerial propaganda</w:t>
      </w:r>
      <w:bookmarkEnd w:id="93"/>
      <w:bookmarkEnd w:id="94"/>
    </w:p>
    <w:p w14:paraId="38CCD36B" w14:textId="0E7E8FB1" w:rsidR="0048510E" w:rsidRDefault="0048510E" w:rsidP="0048510E">
      <w:pPr>
        <w:jc w:val="both"/>
        <w:rPr>
          <w:rFonts w:ascii="Calibri" w:hAnsi="Calibri"/>
        </w:rPr>
      </w:pPr>
      <w:r>
        <w:rPr>
          <w:rFonts w:ascii="Calibri" w:hAnsi="Calibri"/>
        </w:rPr>
        <w:t xml:space="preserve">Chapter one has already explored the structural changes to which aerial propaganda was exposed </w:t>
      </w:r>
      <w:r w:rsidR="004C2552">
        <w:rPr>
          <w:rFonts w:ascii="Calibri" w:hAnsi="Calibri"/>
        </w:rPr>
        <w:t xml:space="preserve">to </w:t>
      </w:r>
      <w:r>
        <w:rPr>
          <w:rFonts w:ascii="Calibri" w:hAnsi="Calibri"/>
        </w:rPr>
        <w:t>during the war.</w:t>
      </w:r>
      <w:r>
        <w:rPr>
          <w:rStyle w:val="FootnoteReference"/>
          <w:rFonts w:ascii="Calibri" w:hAnsi="Calibri"/>
        </w:rPr>
        <w:footnoteReference w:id="987"/>
      </w:r>
      <w:r>
        <w:rPr>
          <w:rFonts w:ascii="Calibri" w:hAnsi="Calibri"/>
        </w:rPr>
        <w:t xml:space="preserve"> The fact that the Belgians, the British and the French all drastically increased their resource</w:t>
      </w:r>
      <w:r w:rsidR="004C2552">
        <w:rPr>
          <w:rFonts w:ascii="Calibri" w:hAnsi="Calibri"/>
        </w:rPr>
        <w:t>s</w:t>
      </w:r>
      <w:r>
        <w:rPr>
          <w:rFonts w:ascii="Calibri" w:hAnsi="Calibri"/>
        </w:rPr>
        <w:t xml:space="preserve"> to communicate with the occupied populations suggests that the authorities had faith in this form of psychological warfare.</w:t>
      </w:r>
      <w:r>
        <w:rPr>
          <w:rStyle w:val="FootnoteReference"/>
          <w:rFonts w:ascii="Calibri" w:hAnsi="Calibri"/>
        </w:rPr>
        <w:footnoteReference w:id="988"/>
      </w:r>
      <w:r>
        <w:rPr>
          <w:rFonts w:ascii="Calibri" w:hAnsi="Calibri"/>
        </w:rPr>
        <w:t xml:space="preserve"> </w:t>
      </w:r>
      <w:r w:rsidR="004C2552">
        <w:rPr>
          <w:rFonts w:ascii="Calibri" w:hAnsi="Calibri"/>
        </w:rPr>
        <w:t>Not surprisingly</w:t>
      </w:r>
      <w:r>
        <w:rPr>
          <w:rFonts w:ascii="Calibri" w:hAnsi="Calibri"/>
        </w:rPr>
        <w:t>, propagandists were eager to confirm that their actions had had a positive impact. Edward Heron-Allen wrote in November 1918 that ‘there can be no question’</w:t>
      </w:r>
      <w:r w:rsidR="004C2552" w:rsidRPr="004C2552">
        <w:rPr>
          <w:rFonts w:ascii="Calibri" w:hAnsi="Calibri"/>
        </w:rPr>
        <w:t xml:space="preserve"> </w:t>
      </w:r>
      <w:r w:rsidR="004C2552">
        <w:rPr>
          <w:rFonts w:ascii="Calibri" w:hAnsi="Calibri"/>
        </w:rPr>
        <w:t>of the effect of aerial propaganda</w:t>
      </w:r>
      <w:r>
        <w:rPr>
          <w:rFonts w:ascii="Calibri" w:hAnsi="Calibri"/>
        </w:rPr>
        <w:t>.</w:t>
      </w:r>
      <w:r>
        <w:rPr>
          <w:rStyle w:val="FootnoteReference"/>
          <w:rFonts w:ascii="Calibri" w:hAnsi="Calibri"/>
        </w:rPr>
        <w:footnoteReference w:id="989"/>
      </w:r>
      <w:r>
        <w:rPr>
          <w:rFonts w:ascii="Calibri" w:hAnsi="Calibri"/>
        </w:rPr>
        <w:t xml:space="preserve"> The French team behind the </w:t>
      </w:r>
      <w:r>
        <w:rPr>
          <w:rFonts w:ascii="Calibri" w:hAnsi="Calibri"/>
          <w:i/>
          <w:iCs/>
        </w:rPr>
        <w:t>Voix du Pays</w:t>
      </w:r>
      <w:r>
        <w:rPr>
          <w:rFonts w:ascii="Calibri" w:hAnsi="Calibri"/>
        </w:rPr>
        <w:t xml:space="preserve"> was more modest about the work realised by the SPA:</w:t>
      </w:r>
    </w:p>
    <w:p w14:paraId="24D785BE" w14:textId="77777777" w:rsidR="0048510E" w:rsidRDefault="0048510E" w:rsidP="0048510E">
      <w:pPr>
        <w:ind w:left="567" w:right="567"/>
        <w:jc w:val="both"/>
        <w:rPr>
          <w:rFonts w:ascii="Calibri" w:hAnsi="Calibri"/>
          <w:lang w:val="fr-FR"/>
        </w:rPr>
      </w:pPr>
      <w:r w:rsidRPr="00ED1061">
        <w:rPr>
          <w:rFonts w:ascii="Calibri" w:hAnsi="Calibri"/>
          <w:lang w:val="fr-FR"/>
        </w:rPr>
        <w:t>C’était pourtant, pour ceux d’entre eux qui en recevaient, un grand réconfort.</w:t>
      </w:r>
      <w:r>
        <w:rPr>
          <w:rFonts w:ascii="Calibri" w:hAnsi="Calibri"/>
          <w:lang w:val="fr-FR"/>
        </w:rPr>
        <w:t xml:space="preserve"> Les rapatriés ne cessaient de le répéter, à leur arrivée à Annemasse. On n’était pas si exigeant en pays envahi que dans les couloirs de la Chambre. Les rapatriés ne faisaient guère qu’un reproche à la </w:t>
      </w:r>
      <w:r>
        <w:rPr>
          <w:rFonts w:ascii="Calibri" w:hAnsi="Calibri"/>
          <w:i/>
          <w:iCs/>
          <w:lang w:val="fr-FR"/>
        </w:rPr>
        <w:t>Voix du Pays </w:t>
      </w:r>
      <w:r>
        <w:rPr>
          <w:rFonts w:ascii="Calibri" w:hAnsi="Calibri"/>
          <w:lang w:val="fr-FR"/>
        </w:rPr>
        <w:t xml:space="preserve">: c’était d’arriver trop peu souvent et en trop peu d’exemplaires. Mais, quelque limitée qu’en fût la diffusion, cette feuille n’en servait pas moins en quelque mesure d’antidote l’ignominieuse </w:t>
      </w:r>
      <w:r>
        <w:rPr>
          <w:rFonts w:ascii="Calibri" w:hAnsi="Calibri"/>
          <w:i/>
          <w:iCs/>
          <w:lang w:val="fr-FR"/>
        </w:rPr>
        <w:t>Gazette des Ardennes</w:t>
      </w:r>
      <w:r>
        <w:rPr>
          <w:rFonts w:ascii="Calibri" w:hAnsi="Calibri"/>
          <w:lang w:val="fr-FR"/>
        </w:rPr>
        <w:t>.</w:t>
      </w:r>
      <w:r>
        <w:rPr>
          <w:rStyle w:val="FootnoteReference"/>
          <w:rFonts w:ascii="Calibri" w:hAnsi="Calibri"/>
          <w:lang w:val="fr-FR"/>
        </w:rPr>
        <w:footnoteReference w:id="990"/>
      </w:r>
      <w:r w:rsidRPr="00ED1061">
        <w:rPr>
          <w:rFonts w:ascii="Calibri" w:hAnsi="Calibri"/>
          <w:lang w:val="fr-FR"/>
        </w:rPr>
        <w:t xml:space="preserve"> </w:t>
      </w:r>
    </w:p>
    <w:p w14:paraId="7B3283A4" w14:textId="7483928F" w:rsidR="0048510E" w:rsidRDefault="0048510E" w:rsidP="0048510E">
      <w:pPr>
        <w:jc w:val="both"/>
        <w:rPr>
          <w:rFonts w:ascii="Calibri" w:hAnsi="Calibri"/>
        </w:rPr>
      </w:pPr>
      <w:r>
        <w:rPr>
          <w:rFonts w:ascii="Calibri" w:hAnsi="Calibri"/>
        </w:rPr>
        <w:t>Despite several positive signs, the fact remained that</w:t>
      </w:r>
      <w:r w:rsidRPr="00675D4F">
        <w:rPr>
          <w:rFonts w:ascii="Calibri" w:hAnsi="Calibri"/>
        </w:rPr>
        <w:t xml:space="preserve"> aerial propaganda went through difficult times at the end of the First World War. </w:t>
      </w:r>
      <w:r>
        <w:rPr>
          <w:rFonts w:ascii="Calibri" w:hAnsi="Calibri"/>
        </w:rPr>
        <w:t>The main contributing structures to the campaign of communication in the occupied territories were either shut down or reduced to little more than nothing.</w:t>
      </w:r>
      <w:r>
        <w:rPr>
          <w:rStyle w:val="FootnoteReference"/>
          <w:rFonts w:ascii="Calibri" w:hAnsi="Calibri"/>
        </w:rPr>
        <w:footnoteReference w:id="991"/>
      </w:r>
      <w:r w:rsidRPr="00675D4F">
        <w:rPr>
          <w:rFonts w:ascii="Calibri" w:hAnsi="Calibri"/>
        </w:rPr>
        <w:t xml:space="preserve"> </w:t>
      </w:r>
      <w:r>
        <w:rPr>
          <w:rFonts w:ascii="Calibri" w:hAnsi="Calibri"/>
        </w:rPr>
        <w:t xml:space="preserve">Yet, these radical actions should not be interpreted as a lack of faith in the role played by these units during the war. On the contrary, propaganda received a disproportionate amount of credit after the Armistice. Its new-found reputation of being able to manipulate the mind was vastly blown out of proportion. The fact that the </w:t>
      </w:r>
      <w:r w:rsidR="004C2552">
        <w:rPr>
          <w:rFonts w:ascii="Calibri" w:hAnsi="Calibri"/>
        </w:rPr>
        <w:t xml:space="preserve">in 1919 </w:t>
      </w:r>
      <w:r>
        <w:rPr>
          <w:rFonts w:ascii="Calibri" w:hAnsi="Calibri"/>
        </w:rPr>
        <w:t xml:space="preserve">British army felt compelled to burn the entire archives of MI7 to protect its reputation </w:t>
      </w:r>
      <w:r w:rsidR="004C2552">
        <w:rPr>
          <w:rFonts w:ascii="Calibri" w:hAnsi="Calibri"/>
        </w:rPr>
        <w:t>was significant in showing</w:t>
      </w:r>
      <w:r>
        <w:rPr>
          <w:rFonts w:ascii="Calibri" w:hAnsi="Calibri"/>
        </w:rPr>
        <w:t xml:space="preserve"> the shifting mood surrounding propaganda toward outright hostility.</w:t>
      </w:r>
      <w:r>
        <w:rPr>
          <w:rStyle w:val="FootnoteReference"/>
          <w:rFonts w:ascii="Calibri" w:hAnsi="Calibri"/>
        </w:rPr>
        <w:footnoteReference w:id="992"/>
      </w:r>
      <w:r>
        <w:rPr>
          <w:rFonts w:ascii="Calibri" w:hAnsi="Calibri"/>
        </w:rPr>
        <w:t xml:space="preserve"> As Tim Brooks said, the destruction of propaganda units after the war wasted ‘twenty years that could have been spent improving the propaganda system, removing flaws and incorporating radio broadcasting’.</w:t>
      </w:r>
      <w:r>
        <w:rPr>
          <w:rStyle w:val="FootnoteReference"/>
          <w:rFonts w:ascii="Calibri" w:hAnsi="Calibri"/>
        </w:rPr>
        <w:footnoteReference w:id="993"/>
      </w:r>
    </w:p>
    <w:p w14:paraId="5BF11E91" w14:textId="1BDB6621" w:rsidR="0048510E" w:rsidRPr="00E63EF5" w:rsidRDefault="0048510E" w:rsidP="0048510E">
      <w:pPr>
        <w:jc w:val="both"/>
        <w:rPr>
          <w:rFonts w:ascii="Calibri" w:hAnsi="Calibri"/>
        </w:rPr>
      </w:pPr>
      <w:r>
        <w:rPr>
          <w:rFonts w:ascii="Calibri" w:hAnsi="Calibri"/>
        </w:rPr>
        <w:t xml:space="preserve">The story could have ended there but the threat of a new conflict in Europe was to revive the legacy left by the experience of the First World War. In 1939, the French saw to the creation of a military propaganda unit named ‘Commissariat général à l’information’ (CGI), with close </w:t>
      </w:r>
      <w:r w:rsidR="004C2552">
        <w:rPr>
          <w:rFonts w:ascii="Calibri" w:hAnsi="Calibri"/>
        </w:rPr>
        <w:t>ties</w:t>
      </w:r>
      <w:r>
        <w:rPr>
          <w:rFonts w:ascii="Calibri" w:hAnsi="Calibri"/>
        </w:rPr>
        <w:t xml:space="preserve"> to the GQG, and with similar structures to the First World War CAPCE. The resemblance with the previous war was a desired factor based on the idea that French propaganda had been successful. There was no aerial department aimed at potentially occupied territories as the idea would have been deemed anti-patriotic. However, a sub-section was supposed to create aerial propaganda to demoralise German soldiers and civilians.</w:t>
      </w:r>
      <w:r>
        <w:rPr>
          <w:rStyle w:val="FootnoteReference"/>
          <w:rFonts w:ascii="Calibri" w:hAnsi="Calibri"/>
        </w:rPr>
        <w:footnoteReference w:id="994"/>
      </w:r>
      <w:r>
        <w:rPr>
          <w:rFonts w:ascii="Calibri" w:hAnsi="Calibri"/>
        </w:rPr>
        <w:t xml:space="preserve"> Even more significant was the fact that two of the three First World War veterans of the SPA were recalled as officers in the CGI. Ernest Tonnelat was brought to the Germanic section on 16 November 1938 while Raymond Schuhl was incorporated in the same department on 3 September 1939.</w:t>
      </w:r>
      <w:r>
        <w:rPr>
          <w:rStyle w:val="FootnoteReference"/>
          <w:rFonts w:ascii="Calibri" w:hAnsi="Calibri"/>
        </w:rPr>
        <w:footnoteReference w:id="995"/>
      </w:r>
      <w:r>
        <w:rPr>
          <w:rFonts w:ascii="Calibri" w:hAnsi="Calibri"/>
        </w:rPr>
        <w:t xml:space="preserve"> The French had little opportunity to use their new propaganda unit but nonetheless created leaflets aimed at their population living near the border with Germany.</w:t>
      </w:r>
      <w:r>
        <w:rPr>
          <w:rStyle w:val="FootnoteReference"/>
          <w:rFonts w:ascii="Calibri" w:hAnsi="Calibri"/>
        </w:rPr>
        <w:footnoteReference w:id="996"/>
      </w:r>
      <w:r>
        <w:rPr>
          <w:rFonts w:ascii="Calibri" w:hAnsi="Calibri"/>
        </w:rPr>
        <w:t xml:space="preserve">   </w:t>
      </w:r>
    </w:p>
    <w:p w14:paraId="4C2E8168" w14:textId="12CFC452" w:rsidR="0048510E" w:rsidRDefault="0048510E" w:rsidP="0048510E">
      <w:pPr>
        <w:jc w:val="both"/>
        <w:rPr>
          <w:rFonts w:ascii="Calibri" w:hAnsi="Calibri"/>
        </w:rPr>
      </w:pPr>
      <w:r>
        <w:rPr>
          <w:rFonts w:ascii="Calibri" w:hAnsi="Calibri"/>
        </w:rPr>
        <w:t>In September 1938, the Ministry of Information was resuscitated by the British who even recalled Sir Campbell Stuart, a key player in aerial propaganda against the Germans during the previous conflict.</w:t>
      </w:r>
      <w:r>
        <w:rPr>
          <w:rStyle w:val="FootnoteReference"/>
          <w:rFonts w:ascii="Calibri" w:hAnsi="Calibri"/>
        </w:rPr>
        <w:footnoteReference w:id="997"/>
      </w:r>
      <w:r>
        <w:rPr>
          <w:rFonts w:ascii="Calibri" w:hAnsi="Calibri"/>
        </w:rPr>
        <w:t xml:space="preserve"> Despite this burst of activity, nothing was done to deal with the morale of civilians in case of an occupation. The invasion of Belgium and France changed that. In September 1940, Electra House (EH) of the MIO started to send leaflets in French over the invaded territories. Basically, ‘A version of the First World War organisational system for propaganda was reinvigorated, ignoring bodies established in the inter-war period and failing to anticipate that the task would be quite different’ </w:t>
      </w:r>
      <w:r w:rsidR="004C2552">
        <w:rPr>
          <w:rFonts w:ascii="Calibri" w:hAnsi="Calibri"/>
        </w:rPr>
        <w:t>as</w:t>
      </w:r>
      <w:r>
        <w:rPr>
          <w:rFonts w:ascii="Calibri" w:hAnsi="Calibri"/>
        </w:rPr>
        <w:t xml:space="preserve"> Tim Brooks</w:t>
      </w:r>
      <w:r w:rsidR="004C2552">
        <w:rPr>
          <w:rFonts w:ascii="Calibri" w:hAnsi="Calibri"/>
        </w:rPr>
        <w:t xml:space="preserve"> claimed</w:t>
      </w:r>
      <w:r>
        <w:rPr>
          <w:rFonts w:ascii="Calibri" w:hAnsi="Calibri"/>
        </w:rPr>
        <w:t xml:space="preserve"> about aerial psychological warfare during the Second World War.</w:t>
      </w:r>
      <w:r>
        <w:rPr>
          <w:rStyle w:val="FootnoteReference"/>
          <w:rFonts w:ascii="Calibri" w:hAnsi="Calibri"/>
        </w:rPr>
        <w:footnoteReference w:id="998"/>
      </w:r>
      <w:r>
        <w:rPr>
          <w:rFonts w:ascii="Calibri" w:hAnsi="Calibri"/>
        </w:rPr>
        <w:t xml:space="preserve"> The British had obviously deemed the experience of the first conflict so successful that they were ready to reproduce it. This fact was even apparent in the type of leaflets produced. The flagship newspaper for France and Belgium was nothing </w:t>
      </w:r>
      <w:r w:rsidR="004C2552">
        <w:rPr>
          <w:rFonts w:ascii="Calibri" w:hAnsi="Calibri"/>
        </w:rPr>
        <w:t>other</w:t>
      </w:r>
      <w:r>
        <w:rPr>
          <w:rFonts w:ascii="Calibri" w:hAnsi="Calibri"/>
        </w:rPr>
        <w:t xml:space="preserve"> than the 1917 recreated </w:t>
      </w:r>
      <w:r>
        <w:rPr>
          <w:rFonts w:ascii="Calibri" w:hAnsi="Calibri"/>
          <w:i/>
          <w:iCs/>
        </w:rPr>
        <w:t>Courrier de l’Air</w:t>
      </w:r>
      <w:r>
        <w:rPr>
          <w:rFonts w:ascii="Calibri" w:hAnsi="Calibri"/>
        </w:rPr>
        <w:t>.</w:t>
      </w:r>
      <w:r>
        <w:rPr>
          <w:rStyle w:val="FootnoteReference"/>
          <w:rFonts w:ascii="Calibri" w:hAnsi="Calibri"/>
        </w:rPr>
        <w:footnoteReference w:id="999"/>
      </w:r>
    </w:p>
    <w:p w14:paraId="2F275FBA" w14:textId="77777777" w:rsidR="0048510E" w:rsidRPr="00675D4F" w:rsidRDefault="0048510E" w:rsidP="0048510E"/>
    <w:p w14:paraId="14904075" w14:textId="77777777" w:rsidR="0048510E" w:rsidRPr="00675D4F" w:rsidRDefault="0048510E" w:rsidP="0048510E">
      <w:pPr>
        <w:pStyle w:val="Heading2"/>
      </w:pPr>
      <w:bookmarkStart w:id="95" w:name="_Toc378223885"/>
      <w:bookmarkStart w:id="96" w:name="_Toc402192998"/>
      <w:r>
        <w:t>C</w:t>
      </w:r>
      <w:r w:rsidRPr="00675D4F">
        <w:t>onclusion</w:t>
      </w:r>
      <w:bookmarkEnd w:id="95"/>
      <w:bookmarkEnd w:id="96"/>
    </w:p>
    <w:p w14:paraId="7D0592D4" w14:textId="616F8A6B" w:rsidR="0048510E" w:rsidRDefault="0048510E" w:rsidP="00132392">
      <w:pPr>
        <w:jc w:val="both"/>
      </w:pPr>
      <w:r>
        <w:t xml:space="preserve">This chapter has examined a vast range of evidence in an attempt to </w:t>
      </w:r>
      <w:r w:rsidR="004C2552">
        <w:t>shed</w:t>
      </w:r>
      <w:r>
        <w:t xml:space="preserve"> a light on the effectiveness of propaganda and to understand if the historiographical </w:t>
      </w:r>
      <w:r w:rsidR="00EF1534">
        <w:t>gap</w:t>
      </w:r>
      <w:r>
        <w:t xml:space="preserve"> surrounding the topic was the consequence of an absence of impact or if it was the result of a lack of sources and the blackout to which the experience of occupation was subjected after the war. To investigate the matter in depth, the situation has been examined from three perspectives, thus allowing us to draw conclusions on the short and long term effects of aerial propaganda in the occupied territories.</w:t>
      </w:r>
      <w:r w:rsidR="00376BB4">
        <w:t xml:space="preserve"> </w:t>
      </w:r>
      <w:r w:rsidR="00EF1534">
        <w:t>T</w:t>
      </w:r>
      <w:r w:rsidR="00376BB4">
        <w:t xml:space="preserve">his chapter first acknowledged that there were other forms of propaganda penetrating the invaded regions </w:t>
      </w:r>
      <w:r w:rsidR="00132392">
        <w:t>beside</w:t>
      </w:r>
      <w:r w:rsidR="00376BB4">
        <w:t xml:space="preserve"> the </w:t>
      </w:r>
      <w:r w:rsidR="00132392">
        <w:t>type</w:t>
      </w:r>
      <w:r w:rsidR="00376BB4">
        <w:t xml:space="preserve"> studied in this thesis. Allied aerial propaganda must always be understood as part of a </w:t>
      </w:r>
      <w:r w:rsidR="00132392">
        <w:t>larger</w:t>
      </w:r>
      <w:r w:rsidR="00376BB4">
        <w:t xml:space="preserve"> effort to communicate with the occupied territories. </w:t>
      </w:r>
      <w:r>
        <w:t xml:space="preserve"> </w:t>
      </w:r>
    </w:p>
    <w:p w14:paraId="61F2A5B7" w14:textId="0CEE8A8D" w:rsidR="0024769A" w:rsidRPr="0024769A" w:rsidRDefault="0048510E" w:rsidP="0024769A">
      <w:pPr>
        <w:jc w:val="both"/>
      </w:pPr>
      <w:r>
        <w:t>A close examination of the situation in the ‘département du Nord’, the most populated section of occupied France, highlighted the role of aerial psychological warfare. Starting in 1915, newspapers and leaflets were regularly dropped by airmen over major cities. Results were encouraging enough to increase these operations. During the next two years, aerial propaganda was sent on a daily basis over the key sector of Lille-Roubaix-Tourcoing. If the benefits for morale were indisputable, they had to be kept in perspective. As good as propaganda was, i</w:t>
      </w:r>
      <w:r w:rsidR="00EF1534">
        <w:t xml:space="preserve">t was not a substitute for food, </w:t>
      </w:r>
      <w:r>
        <w:t>freedom</w:t>
      </w:r>
      <w:r w:rsidR="00EF1534">
        <w:t xml:space="preserve"> or victory</w:t>
      </w:r>
      <w:r>
        <w:t xml:space="preserve">. Yet, the effects were not insignificant either. When aerial distribution was interrupted after the Germans had threatened aviators, a unanimous outcry followed in occupied France. Propaganda operations were resumed at the beginning of 1918 and brought back hope and satisfaction. The same pattern seems to have been the rule in the other departments. Primary sources were less abundant but all signs show that propaganda played a significant role. </w:t>
      </w:r>
      <w:r w:rsidR="00D4151B">
        <w:t xml:space="preserve">In France, aerial propaganda </w:t>
      </w:r>
      <w:r w:rsidR="0024769A">
        <w:t xml:space="preserve">was supposed to address the ‘demoralising influence’ of the </w:t>
      </w:r>
      <w:r w:rsidR="0024769A">
        <w:rPr>
          <w:i/>
          <w:iCs/>
        </w:rPr>
        <w:t>Gazette des Ardennes</w:t>
      </w:r>
      <w:r w:rsidR="0024769A">
        <w:t>.</w:t>
      </w:r>
      <w:r w:rsidR="0024769A">
        <w:rPr>
          <w:rStyle w:val="FootnoteReference"/>
        </w:rPr>
        <w:footnoteReference w:id="1000"/>
      </w:r>
      <w:r w:rsidR="0024769A">
        <w:t xml:space="preserve"> There is enough evidence to suggest that this goal was successful.</w:t>
      </w:r>
    </w:p>
    <w:p w14:paraId="54D45CAD" w14:textId="153701FD" w:rsidR="0048510E" w:rsidRDefault="0048510E" w:rsidP="0048510E">
      <w:pPr>
        <w:jc w:val="both"/>
      </w:pPr>
      <w:r>
        <w:t xml:space="preserve">In Belgium, the nuanced situation was determined by geographical factors. Logically, cities closer to the frontline received more propaganda. As a result, Liège, Namur and Limburg were rarely visited by </w:t>
      </w:r>
      <w:r w:rsidR="000921F2">
        <w:t>aeroplane</w:t>
      </w:r>
      <w:r>
        <w:t xml:space="preserve">. The situation improved in 1918 when balloons were finally introduced. On the contrary, Brussels, Charleroi, Mons, Ghent and Bruges, all beneficiated from allied aerial propaganda operations from 1915. Doubts remain for other parts of Flanders, mainly Antwerp, for which no sources were available. </w:t>
      </w:r>
      <w:r w:rsidR="0024769A">
        <w:t>The Belgians wanted aerial propaganda to ‘strengthen the morale and counter the poisonous influence’ of German psychological warfare.</w:t>
      </w:r>
      <w:r w:rsidR="0024769A">
        <w:rPr>
          <w:rStyle w:val="FootnoteReference"/>
        </w:rPr>
        <w:footnoteReference w:id="1001"/>
      </w:r>
      <w:r w:rsidR="0024769A">
        <w:t xml:space="preserve"> </w:t>
      </w:r>
      <w:r w:rsidR="00C3709D">
        <w:t>It seems clear that this objective was not fulfilled in large parts of the country.</w:t>
      </w:r>
    </w:p>
    <w:p w14:paraId="71F42D37" w14:textId="16191CCB" w:rsidR="0048510E" w:rsidRDefault="0048510E" w:rsidP="00905B4F">
      <w:pPr>
        <w:jc w:val="both"/>
      </w:pPr>
      <w:r>
        <w:t xml:space="preserve">Allied aerial propaganda had unexpected effects. The most important was without a doubt the creation of a relation between propaganda departments and resistance organisations. In France, aerial propaganda was used not only to feed the content of a clandestine paper but also as a decoy. This newspaper was a vital support in the area of Lille until the end of 1916 when its creators were finally arrested by the Germans. Aerial </w:t>
      </w:r>
      <w:r w:rsidR="00905B4F">
        <w:t>newspapers</w:t>
      </w:r>
      <w:r>
        <w:t xml:space="preserve"> played an even bigger role with Belgian resistance. Indeed, </w:t>
      </w:r>
      <w:r w:rsidR="004C2552">
        <w:t xml:space="preserve">from 1915 until the end of the war, </w:t>
      </w:r>
      <w:r>
        <w:t>several clandestine publications reproduced articles borrowed from the aerial press. The Belgian government in exile in Le Havre, which had been made aware of that fact, tried to encourage the relation. More astonishing was the fact that clandestine new</w:t>
      </w:r>
      <w:r w:rsidR="003918F7">
        <w:t>spapers were reproduced by the a</w:t>
      </w:r>
      <w:r>
        <w:t>llies and distributed by air.</w:t>
      </w:r>
    </w:p>
    <w:p w14:paraId="3F77850D" w14:textId="09B40178" w:rsidR="0048510E" w:rsidRDefault="0048510E" w:rsidP="00905B4F">
      <w:pPr>
        <w:jc w:val="both"/>
      </w:pPr>
      <w:r>
        <w:t>German sources were another way of measuring the effects of aerial propaganda. As the ruling authority, the occupier had a good understanding of its impact on the population. Evidence demonstrated major concerns against psychological warfare. Indeed, all levels</w:t>
      </w:r>
      <w:r w:rsidR="004C2552">
        <w:t xml:space="preserve"> of powers were implicated in a</w:t>
      </w:r>
      <w:r>
        <w:t xml:space="preserve"> </w:t>
      </w:r>
      <w:r w:rsidR="004C2552">
        <w:t>significant</w:t>
      </w:r>
      <w:r>
        <w:t xml:space="preserve"> struggle to neutralise aerial leaflets and </w:t>
      </w:r>
      <w:r w:rsidR="00905B4F">
        <w:t>newspapers</w:t>
      </w:r>
      <w:r>
        <w:t>, perceived as a disruption in the doctrine of total order ruling the occupied territories. Aerial propaganda was seen as a fundamentally unfair way of waging war and was d</w:t>
      </w:r>
      <w:r w:rsidR="00C95759">
        <w:t>enounced as such by the German home f</w:t>
      </w:r>
      <w:r>
        <w:t>ront press. Despite the coercion and the harshness, the occupier never managed to neutralise this form of propaganda. On the contrary, all measures we</w:t>
      </w:r>
      <w:r w:rsidR="003918F7">
        <w:t>re taken as a good omen by the a</w:t>
      </w:r>
      <w:r>
        <w:t xml:space="preserve">llies and the invaded citizens. </w:t>
      </w:r>
    </w:p>
    <w:p w14:paraId="6738171E" w14:textId="59A90E2B" w:rsidR="0048510E" w:rsidRDefault="0048510E" w:rsidP="0048510E">
      <w:pPr>
        <w:jc w:val="both"/>
      </w:pPr>
      <w:r>
        <w:t>In the last part of the chapter, the legacy of aerial propaganda was investigated. It was determined that aerial propaganda was seen as a positive experiment by the governments and the military. However, the climate of hostility against propaganda after the war encouraged the authorities to shut down these activities. Despite this loss, the experience acquired during the war was not forgotten. At the beginning of the Second World War, structures and leaflets similar to the</w:t>
      </w:r>
      <w:r w:rsidR="004C2552">
        <w:t xml:space="preserve"> ones in the</w:t>
      </w:r>
      <w:r>
        <w:t xml:space="preserve"> previous conflict were used to communicate with the invaded territories of France and Belgium. </w:t>
      </w:r>
    </w:p>
    <w:p w14:paraId="6DDBBA1B" w14:textId="53C5BAD6" w:rsidR="0048510E" w:rsidRDefault="0048510E" w:rsidP="0048510E">
      <w:pPr>
        <w:jc w:val="both"/>
        <w:sectPr w:rsidR="0048510E" w:rsidSect="00F51E28">
          <w:pgSz w:w="11907" w:h="16839" w:code="9"/>
          <w:pgMar w:top="1440" w:right="1440" w:bottom="1440" w:left="1440" w:header="708" w:footer="708" w:gutter="0"/>
          <w:cols w:space="708"/>
          <w:titlePg/>
          <w:docGrid w:linePitch="360"/>
        </w:sectPr>
      </w:pPr>
      <w:r>
        <w:t xml:space="preserve">Having explored the effectiveness from different angles, evidence </w:t>
      </w:r>
      <w:r w:rsidR="00F919BA">
        <w:t>led</w:t>
      </w:r>
      <w:r>
        <w:t xml:space="preserve"> to the conclusion that aerial propaganda in occupied territories mattered much more than what the current state of historiography would suggest. No source taken alone offered a totally convincing picture. Yet, </w:t>
      </w:r>
      <w:r w:rsidR="004C2552">
        <w:t xml:space="preserve">the aggregated </w:t>
      </w:r>
      <w:r>
        <w:t>evidence show</w:t>
      </w:r>
      <w:r w:rsidR="00F919BA">
        <w:t>s</w:t>
      </w:r>
      <w:r>
        <w:t xml:space="preserve"> that aerial psychological warfare</w:t>
      </w:r>
      <w:r w:rsidR="004C2552">
        <w:t xml:space="preserve"> significantly</w:t>
      </w:r>
      <w:r>
        <w:t xml:space="preserve"> helped the people living in the occupied regions, contributed to resistance activities, disrupted German domination and left a long-lasting legacy determining the shape of aerial propaganda during the Second World War.</w:t>
      </w:r>
    </w:p>
    <w:p w14:paraId="00E1B222" w14:textId="77777777" w:rsidR="00F51E28" w:rsidRDefault="00F51E28" w:rsidP="0062090F">
      <w:pPr>
        <w:pStyle w:val="Title"/>
        <w:outlineLvl w:val="0"/>
        <w:sectPr w:rsidR="00F51E28" w:rsidSect="00415A32">
          <w:headerReference w:type="default" r:id="rId45"/>
          <w:type w:val="continuous"/>
          <w:pgSz w:w="11907" w:h="16839" w:code="9"/>
          <w:pgMar w:top="1440" w:right="1440" w:bottom="1440" w:left="1440" w:header="708" w:footer="708" w:gutter="0"/>
          <w:cols w:space="708"/>
          <w:titlePg/>
          <w:docGrid w:linePitch="360"/>
        </w:sectPr>
      </w:pPr>
    </w:p>
    <w:p w14:paraId="217F8057" w14:textId="500F955B" w:rsidR="0048510E" w:rsidRPr="00BF5CBF" w:rsidRDefault="0048510E" w:rsidP="0062090F">
      <w:pPr>
        <w:pStyle w:val="Title"/>
        <w:outlineLvl w:val="0"/>
      </w:pPr>
      <w:bookmarkStart w:id="97" w:name="_Toc402192999"/>
      <w:r>
        <w:t>C</w:t>
      </w:r>
      <w:r w:rsidRPr="00BF5CBF">
        <w:t>onclusion</w:t>
      </w:r>
      <w:bookmarkEnd w:id="97"/>
    </w:p>
    <w:p w14:paraId="336B5E0D" w14:textId="73EED534" w:rsidR="0048510E" w:rsidRDefault="0048510E" w:rsidP="0048510E">
      <w:pPr>
        <w:jc w:val="both"/>
      </w:pPr>
      <w:r>
        <w:t>This dissertation has sought to investigate the complexity of aerial propaganda and its effects during and after the First World War</w:t>
      </w:r>
      <w:r w:rsidRPr="0088379A">
        <w:t xml:space="preserve"> </w:t>
      </w:r>
      <w:r>
        <w:t xml:space="preserve">through a transnational comparison of institutions, distribution, messages and their impact. The introduction </w:t>
      </w:r>
      <w:r w:rsidR="00556B31">
        <w:t>highlighted</w:t>
      </w:r>
      <w:r>
        <w:t xml:space="preserve"> how propagandists of France and Britain had failed to </w:t>
      </w:r>
      <w:r w:rsidR="00EF1534">
        <w:t xml:space="preserve">keep </w:t>
      </w:r>
      <w:r>
        <w:t>the memory of aerial propaganda alive in post-war society.</w:t>
      </w:r>
      <w:r>
        <w:rPr>
          <w:rStyle w:val="FootnoteReference"/>
        </w:rPr>
        <w:footnoteReference w:id="1002"/>
      </w:r>
      <w:r>
        <w:t xml:space="preserve"> This topic vanished almost entirely not only from collective memory but also from the historiography of the occupation and the First World War. </w:t>
      </w:r>
      <w:r w:rsidR="00530DC5">
        <w:t>Since the end of the conflict</w:t>
      </w:r>
      <w:r>
        <w:t xml:space="preserve">, only a handful of studies have hinted </w:t>
      </w:r>
      <w:r w:rsidR="00556B31">
        <w:t xml:space="preserve">at </w:t>
      </w:r>
      <w:r>
        <w:t>the importance of aerial propaganda, without placing it at the centre of an</w:t>
      </w:r>
      <w:r w:rsidR="00EF1534">
        <w:t>y</w:t>
      </w:r>
      <w:r>
        <w:t xml:space="preserve"> investigation.</w:t>
      </w:r>
      <w:r>
        <w:rPr>
          <w:rStyle w:val="FootnoteReference"/>
        </w:rPr>
        <w:footnoteReference w:id="1003"/>
      </w:r>
      <w:r>
        <w:t xml:space="preserve"> Throughout the chapters of this dissertation, it has become apparent that this historiographical gap was in no way justified and was even detrimental to the understanding of various topics such as wartime institutions, propaganda distribution, international laws of war, propaganda during the Second World War and of course the phenomenon of occupation in France and Belgium as a whole </w:t>
      </w:r>
      <w:r w:rsidR="00EF1534">
        <w:t>throughout</w:t>
      </w:r>
      <w:r>
        <w:t xml:space="preserve"> the First World War. </w:t>
      </w:r>
    </w:p>
    <w:p w14:paraId="3903E766" w14:textId="547802E5" w:rsidR="0048510E" w:rsidRDefault="0048510E" w:rsidP="00905B4F">
      <w:pPr>
        <w:jc w:val="both"/>
      </w:pPr>
      <w:r>
        <w:t>Evidence clearly linked the dawn of aerial propaganda to the German campaign of communication in the occupied territories. Political circles an</w:t>
      </w:r>
      <w:r w:rsidR="00C95759">
        <w:t>d the press of the home f</w:t>
      </w:r>
      <w:r>
        <w:t xml:space="preserve">ront were deeply preoccupied by German </w:t>
      </w:r>
      <w:r w:rsidR="00905B4F">
        <w:t>newspapers</w:t>
      </w:r>
      <w:r>
        <w:t xml:space="preserve"> in French and Dutch, which they suspected of being designed to divide Belgium and destabilise the unity of France.</w:t>
      </w:r>
      <w:r w:rsidRPr="0067741F">
        <w:rPr>
          <w:rStyle w:val="FootnoteReference"/>
        </w:rPr>
        <w:footnoteReference w:id="1004"/>
      </w:r>
      <w:r>
        <w:t xml:space="preserve"> Military operations of aerial propaganda imposed themselves as the only viable course of action against the trenches’ impenetrability. Yet this thesis has argued that </w:t>
      </w:r>
      <w:r w:rsidR="00EF1534">
        <w:t xml:space="preserve">the </w:t>
      </w:r>
      <w:r>
        <w:t xml:space="preserve">French and Belgian governments were uncomfortable </w:t>
      </w:r>
      <w:r w:rsidR="00556B31">
        <w:t>with</w:t>
      </w:r>
      <w:r>
        <w:t xml:space="preserve"> entrusting propaganda aimed at the civilian populations</w:t>
      </w:r>
      <w:r w:rsidR="00EF1534">
        <w:t xml:space="preserve"> to the army</w:t>
      </w:r>
      <w:r>
        <w:t>.</w:t>
      </w:r>
      <w:r>
        <w:rPr>
          <w:rStyle w:val="FootnoteReference"/>
        </w:rPr>
        <w:footnoteReference w:id="1005"/>
      </w:r>
      <w:r>
        <w:t xml:space="preserve"> This lack of trust in the military, a characteristic of French republican society, was responsible for the creation of a military unit</w:t>
      </w:r>
      <w:r w:rsidR="003757EA">
        <w:t xml:space="preserve"> under the direct order</w:t>
      </w:r>
      <w:r w:rsidR="00EF1534">
        <w:t>s</w:t>
      </w:r>
      <w:r w:rsidR="003757EA">
        <w:t xml:space="preserve"> of the w</w:t>
      </w:r>
      <w:r>
        <w:t xml:space="preserve">ar </w:t>
      </w:r>
      <w:r w:rsidR="003757EA">
        <w:t>m</w:t>
      </w:r>
      <w:r>
        <w:t>inister and supervised by a governmental committee.</w:t>
      </w:r>
      <w:r>
        <w:rPr>
          <w:rStyle w:val="FootnoteReference"/>
        </w:rPr>
        <w:footnoteReference w:id="1006"/>
      </w:r>
      <w:r w:rsidR="00556B31">
        <w:t xml:space="preserve"> This solution e</w:t>
      </w:r>
      <w:r>
        <w:t xml:space="preserve">nsured democratic control but did not prevent occasional abuses, such as an attempt by a member of the French government to divert aerial propaganda for </w:t>
      </w:r>
      <w:r w:rsidR="00EF1534">
        <w:t>his</w:t>
      </w:r>
      <w:r>
        <w:t xml:space="preserve"> benefit.</w:t>
      </w:r>
      <w:r>
        <w:rPr>
          <w:rStyle w:val="FootnoteReference"/>
        </w:rPr>
        <w:footnoteReference w:id="1007"/>
      </w:r>
      <w:r>
        <w:t xml:space="preserve"> Following a similar principle, Belgian aerial propaganda was either controlled by the government or created by civilians in exile whose work was also supervised by elected officials.</w:t>
      </w:r>
      <w:r>
        <w:rPr>
          <w:rStyle w:val="FootnoteReference"/>
        </w:rPr>
        <w:footnoteReference w:id="1008"/>
      </w:r>
      <w:r>
        <w:t xml:space="preserve"> This dissertation also underlined that</w:t>
      </w:r>
      <w:r w:rsidR="00EF1534">
        <w:t xml:space="preserve"> the</w:t>
      </w:r>
      <w:r>
        <w:t xml:space="preserve"> French and Belgian governments remained firmly in control of aerial propaganda throughout the war, a fact illustrated by the reforms introduced to manage the collapse</w:t>
      </w:r>
      <w:r w:rsidR="00EF1534">
        <w:t xml:space="preserve"> of the morale</w:t>
      </w:r>
      <w:r>
        <w:t xml:space="preserve"> after the battle of the </w:t>
      </w:r>
      <w:r>
        <w:rPr>
          <w:i/>
          <w:iCs/>
        </w:rPr>
        <w:t>Chemin des Dames</w:t>
      </w:r>
      <w:r>
        <w:t>. Indeed, propaganda units were restructured in the aftermath of the disastrous offensive to incre</w:t>
      </w:r>
      <w:r w:rsidR="002068A7">
        <w:t>ase their efficiency. By then, a</w:t>
      </w:r>
      <w:r>
        <w:t>llied authorities were acutely aware that morale had a fundamental role to play in the remobilisation process of the civilian society.</w:t>
      </w:r>
      <w:r>
        <w:rPr>
          <w:rStyle w:val="FootnoteReference"/>
        </w:rPr>
        <w:footnoteReference w:id="1009"/>
      </w:r>
      <w:r>
        <w:t xml:space="preserve"> The French and Belgian structural model was irrelevant for the British, who joined aerial propaganda operations later. British aerial propaganda was not </w:t>
      </w:r>
      <w:r w:rsidR="00556B31">
        <w:t>subject to</w:t>
      </w:r>
      <w:r>
        <w:t xml:space="preserve"> ethical problems since their work of communication was a form of self-promotion designed to fight German Anglophobia and was targeted at foreign nationals who had no role to play in the British democratic process. It is for this reason that British aerial propaganda remained a secret tightly controlled by the army throughout the war, and carefully hidden from the government.</w:t>
      </w:r>
      <w:r>
        <w:rPr>
          <w:rStyle w:val="FootnoteReference"/>
        </w:rPr>
        <w:footnoteReference w:id="1010"/>
      </w:r>
      <w:r>
        <w:t xml:space="preserve">  </w:t>
      </w:r>
    </w:p>
    <w:p w14:paraId="65D10340" w14:textId="1186D2FA" w:rsidR="0048510E" w:rsidRDefault="0048510E" w:rsidP="00605DB1">
      <w:pPr>
        <w:jc w:val="both"/>
      </w:pPr>
      <w:r>
        <w:t xml:space="preserve">Evidence showed that the </w:t>
      </w:r>
      <w:r w:rsidR="002068A7">
        <w:t>a</w:t>
      </w:r>
      <w:r>
        <w:t>llied answer to German communication in the occupied territories, namely aerial propaganda, was less a continuation of the balloon press used during the Franco-Prussian war than an innovative solution inspired by the uniq</w:t>
      </w:r>
      <w:r w:rsidR="00972DAB">
        <w:t>ue static nature of war on the western f</w:t>
      </w:r>
      <w:r>
        <w:t>ront, new technologies and the progress of mass-literacy.</w:t>
      </w:r>
      <w:r>
        <w:rPr>
          <w:rStyle w:val="FootnoteReference"/>
        </w:rPr>
        <w:footnoteReference w:id="1011"/>
      </w:r>
      <w:r>
        <w:t xml:space="preserve"> The geographic scale on which these operations took place, going from the Channel to the Swiss border, was immense. It must be remembered that </w:t>
      </w:r>
      <w:r w:rsidR="002B4090">
        <w:t>though</w:t>
      </w:r>
      <w:r>
        <w:t xml:space="preserve"> this thesis focused on the occupied territories of France and Belgium, there were also aerial operations aimed at civilians </w:t>
      </w:r>
      <w:r w:rsidR="00556B31">
        <w:t>in</w:t>
      </w:r>
      <w:r>
        <w:t xml:space="preserve"> the lost provinces of Alsace and Lorraine and even in neutral Switzerland, which need to be investigated in a separate study. Chapter two underlined that propaganda units were dependent on </w:t>
      </w:r>
      <w:r w:rsidR="00605DB1">
        <w:t>aeroplanes</w:t>
      </w:r>
      <w:r>
        <w:t xml:space="preserve"> and balloon units to spread their material behind the lines. It was a dangerous exercise exposed to multiple threats such as enemy fighters or artillery and dependent on good weather conditions. Until the beginning of 1916, aviators complied without much protest against the distribution process. In fact, </w:t>
      </w:r>
      <w:r w:rsidR="00556B31">
        <w:t>that</w:t>
      </w:r>
      <w:r>
        <w:t xml:space="preserve"> year even saw international collaboration between French propagandists and British aviators. Yet, </w:t>
      </w:r>
      <w:r w:rsidR="00556B31">
        <w:t>the constantly growing scale of propaganda</w:t>
      </w:r>
      <w:r>
        <w:t xml:space="preserve"> was starting to worry both aviators and air force commanders. Aerial archives highlighted that pilots did not have faith in propaganda’s effects and saw dropping raids as a waste of time preventing them from ‘killing Germans’.</w:t>
      </w:r>
      <w:r>
        <w:rPr>
          <w:rStyle w:val="FootnoteReference"/>
        </w:rPr>
        <w:footnoteReference w:id="1012"/>
      </w:r>
      <w:r>
        <w:t xml:space="preserve"> </w:t>
      </w:r>
      <w:r w:rsidR="002B4090">
        <w:t>Air</w:t>
      </w:r>
      <w:r>
        <w:t xml:space="preserve"> officers were equally sceptical </w:t>
      </w:r>
      <w:r w:rsidR="002B4090">
        <w:t>about</w:t>
      </w:r>
      <w:r>
        <w:t xml:space="preserve"> the value of propaganda which they perceived as a waste of resources. This dissertation suggested that there was a clash of military values between the well-established efficiency of physical violence and the relative novelty of propaganda. This clash was kept under control by the French, who carried on aeroplane missions until the end of the war, but led to an explosive situation inside the British army. On their front, aeroplanes were replaced by less effective balloons.</w:t>
      </w:r>
      <w:r>
        <w:rPr>
          <w:rStyle w:val="FootnoteReference"/>
        </w:rPr>
        <w:footnoteReference w:id="1013"/>
      </w:r>
    </w:p>
    <w:p w14:paraId="1E76AE3B" w14:textId="5A415D76" w:rsidR="0048510E" w:rsidRDefault="0048510E" w:rsidP="00313D55">
      <w:pPr>
        <w:jc w:val="both"/>
      </w:pPr>
      <w:r>
        <w:t>In spite o</w:t>
      </w:r>
      <w:r w:rsidR="002068A7">
        <w:t>f these distribution problems, a</w:t>
      </w:r>
      <w:r>
        <w:t xml:space="preserve">llied authorities cared about making aerial propaganda as effective as possible. This thesis argued that propagandists had implicitly understood the </w:t>
      </w:r>
      <w:r w:rsidR="00313D55">
        <w:rPr>
          <w:i/>
          <w:iCs/>
        </w:rPr>
        <w:t>culture de l’</w:t>
      </w:r>
      <w:r>
        <w:rPr>
          <w:i/>
          <w:iCs/>
        </w:rPr>
        <w:t>occupé</w:t>
      </w:r>
      <w:r>
        <w:t xml:space="preserve">, preferring to write dedicated newspapers answering </w:t>
      </w:r>
      <w:r w:rsidR="00EF1534">
        <w:t>the</w:t>
      </w:r>
      <w:r w:rsidR="00530DC5">
        <w:t xml:space="preserve"> preoccupations</w:t>
      </w:r>
      <w:r>
        <w:t xml:space="preserve"> </w:t>
      </w:r>
      <w:r w:rsidR="00EF1534">
        <w:t xml:space="preserve">of the occupied civilians </w:t>
      </w:r>
      <w:r>
        <w:t xml:space="preserve">rather than sending exclusively inadequate Parisian </w:t>
      </w:r>
      <w:r w:rsidR="00905B4F">
        <w:t>newspapers</w:t>
      </w:r>
      <w:r>
        <w:t>.</w:t>
      </w:r>
      <w:r>
        <w:rPr>
          <w:rStyle w:val="FootnoteReference"/>
        </w:rPr>
        <w:footnoteReference w:id="1014"/>
      </w:r>
      <w:r>
        <w:t xml:space="preserve"> While the French and the British had only one stable periodic</w:t>
      </w:r>
      <w:r w:rsidR="00EF1534">
        <w:t>al</w:t>
      </w:r>
      <w:r>
        <w:t xml:space="preserve"> during the whole conflict, the Belgians went through chaotic phases during which they created at least four newspapers. The </w:t>
      </w:r>
      <w:r w:rsidR="003918F7">
        <w:t>a</w:t>
      </w:r>
      <w:r>
        <w:t xml:space="preserve">llies used various </w:t>
      </w:r>
      <w:r w:rsidR="00EF1534">
        <w:t>media</w:t>
      </w:r>
      <w:r>
        <w:t xml:space="preserve"> to communicate with civilians, the most common being the newspaper. Aerial propaganda was generally more moderate than </w:t>
      </w:r>
      <w:r w:rsidR="00905B4F">
        <w:t>newspapers</w:t>
      </w:r>
      <w:r>
        <w:t xml:space="preserve"> of the rear, with the exception of the British who adapted strategies of the popular press at home, but was not always totally exempt of </w:t>
      </w:r>
      <w:r>
        <w:rPr>
          <w:i/>
          <w:iCs/>
        </w:rPr>
        <w:t>bourrage de crâne</w:t>
      </w:r>
      <w:r>
        <w:t>.</w:t>
      </w:r>
      <w:r>
        <w:rPr>
          <w:rStyle w:val="FootnoteReference"/>
        </w:rPr>
        <w:footnoteReference w:id="1015"/>
      </w:r>
      <w:r>
        <w:t xml:space="preserve"> Despite all their flaws, the Belgians were the only nation to provide texts in Dutch for the Flemish population.</w:t>
      </w:r>
      <w:r>
        <w:rPr>
          <w:rStyle w:val="FootnoteReference"/>
        </w:rPr>
        <w:footnoteReference w:id="1016"/>
      </w:r>
      <w:r>
        <w:t xml:space="preserve"> The absence of Dutch in British and French propaganda is probably one of the biggest mistakes made in these aerial operations of communication. Alongside these newspapers, the French faked</w:t>
      </w:r>
      <w:r w:rsidR="00556B31" w:rsidRPr="00556B31">
        <w:t xml:space="preserve"> </w:t>
      </w:r>
      <w:r w:rsidR="00556B31">
        <w:t xml:space="preserve">the design of the </w:t>
      </w:r>
      <w:r w:rsidR="00556B31">
        <w:rPr>
          <w:i/>
          <w:iCs/>
        </w:rPr>
        <w:t>Gazette des Ardennes</w:t>
      </w:r>
      <w:r>
        <w:t xml:space="preserve"> to perfection to produce black propaganda. This imposture had the double benefit of giving the publication a legitimate look and introducing demoralising pictures aimed at the Germans. It was</w:t>
      </w:r>
      <w:r w:rsidR="00556B31">
        <w:t>,</w:t>
      </w:r>
      <w:r>
        <w:t xml:space="preserve"> however</w:t>
      </w:r>
      <w:r w:rsidR="00556B31">
        <w:t>,</w:t>
      </w:r>
      <w:r>
        <w:t xml:space="preserve"> mainly a tool of communication used when the situation was precarious on the </w:t>
      </w:r>
      <w:r w:rsidR="00EF1534">
        <w:t>battle</w:t>
      </w:r>
      <w:r>
        <w:t>field.</w:t>
      </w:r>
      <w:r>
        <w:rPr>
          <w:rStyle w:val="FootnoteReference"/>
        </w:rPr>
        <w:footnoteReference w:id="1017"/>
      </w:r>
      <w:r>
        <w:t xml:space="preserve"> </w:t>
      </w:r>
    </w:p>
    <w:p w14:paraId="4A06CA33" w14:textId="76F78238" w:rsidR="0048510E" w:rsidRDefault="0048510E" w:rsidP="0048510E">
      <w:pPr>
        <w:jc w:val="both"/>
      </w:pPr>
      <w:r>
        <w:t xml:space="preserve">White and black propaganda were both inspired by a network of arguments carefully </w:t>
      </w:r>
      <w:r w:rsidR="00EF1534">
        <w:t>written</w:t>
      </w:r>
      <w:r>
        <w:t xml:space="preserve"> to </w:t>
      </w:r>
      <w:r w:rsidR="00EF1534">
        <w:t>maximise</w:t>
      </w:r>
      <w:r>
        <w:t xml:space="preserve"> the impact of psychological warfare. Military updates were paramount to the </w:t>
      </w:r>
      <w:r>
        <w:rPr>
          <w:i/>
          <w:iCs/>
        </w:rPr>
        <w:t>occupés</w:t>
      </w:r>
      <w:r>
        <w:t>, who were feeling acutely involved with the events and were scrutinising any sign announcing the end of the ordeal.</w:t>
      </w:r>
      <w:r>
        <w:rPr>
          <w:rStyle w:val="FootnoteReference"/>
        </w:rPr>
        <w:footnoteReference w:id="1018"/>
      </w:r>
      <w:r>
        <w:t xml:space="preserve"> Propagandists answered this need</w:t>
      </w:r>
      <w:r w:rsidR="00EF1534">
        <w:t>,</w:t>
      </w:r>
      <w:r>
        <w:t xml:space="preserve"> but not without distorting the facts</w:t>
      </w:r>
      <w:r w:rsidR="00EF1534">
        <w:t xml:space="preserve"> heavily</w:t>
      </w:r>
      <w:r>
        <w:t xml:space="preserve"> in ord</w:t>
      </w:r>
      <w:r w:rsidR="002068A7">
        <w:t>er to shed a positive light on a</w:t>
      </w:r>
      <w:r>
        <w:t>llied governments and armies. This thesis clearly underline</w:t>
      </w:r>
      <w:r w:rsidR="00C95759">
        <w:t>d dynamics, reminiscent of the home f</w:t>
      </w:r>
      <w:r w:rsidR="002068A7">
        <w:t>ront press, in which a</w:t>
      </w:r>
      <w:r>
        <w:t xml:space="preserve">llied victories were systematically overblown while German offensives were used to show the resilience of the army. Yet, evidence suggests that propagandists were not immune to the </w:t>
      </w:r>
      <w:r>
        <w:rPr>
          <w:i/>
          <w:iCs/>
        </w:rPr>
        <w:t>culture de guerre</w:t>
      </w:r>
      <w:r>
        <w:t xml:space="preserve"> of the rear and reproduced on occasion arguments containing the hated </w:t>
      </w:r>
      <w:r>
        <w:rPr>
          <w:i/>
          <w:iCs/>
        </w:rPr>
        <w:t>bourrage de crâne</w:t>
      </w:r>
      <w:r w:rsidR="00D54682">
        <w:t xml:space="preserve"> found in the Parisian press;</w:t>
      </w:r>
      <w:r>
        <w:t xml:space="preserve"> the best example being an irrational confidence in victory immediately before the offensive of the </w:t>
      </w:r>
      <w:r>
        <w:rPr>
          <w:i/>
          <w:iCs/>
        </w:rPr>
        <w:t>Chemin des Dames</w:t>
      </w:r>
      <w:r>
        <w:t>.</w:t>
      </w:r>
      <w:r>
        <w:rPr>
          <w:rStyle w:val="FootnoteReference"/>
        </w:rPr>
        <w:footnoteReference w:id="1019"/>
      </w:r>
      <w:r>
        <w:t xml:space="preserve"> Without surprise, aerial propaganda’s gaffes were skilfully instrumentalised by the Germans who </w:t>
      </w:r>
      <w:r w:rsidR="00EF1534">
        <w:t xml:space="preserve">were scrutinising any </w:t>
      </w:r>
      <w:r w:rsidR="002B4090">
        <w:t>inaccuracies</w:t>
      </w:r>
      <w:r>
        <w:t>.</w:t>
      </w:r>
      <w:r>
        <w:rPr>
          <w:rStyle w:val="FootnoteReference"/>
        </w:rPr>
        <w:footnoteReference w:id="1020"/>
      </w:r>
      <w:r>
        <w:t xml:space="preserve"> </w:t>
      </w:r>
      <w:r w:rsidR="003918F7">
        <w:t>The same was also true for the a</w:t>
      </w:r>
      <w:r>
        <w:t>llies</w:t>
      </w:r>
      <w:r w:rsidR="00EF1534">
        <w:t>,</w:t>
      </w:r>
      <w:r>
        <w:t xml:space="preserve"> who </w:t>
      </w:r>
      <w:r w:rsidR="00D54682">
        <w:t xml:space="preserve">on different occasions </w:t>
      </w:r>
      <w:r>
        <w:t>used German articles to prove them wrong. In fact, aerial propaganda did not repeat the mistake of being too confident. Yet this form of communication was the slave of the events.</w:t>
      </w:r>
      <w:r w:rsidR="00D54682">
        <w:t xml:space="preserve"> The confusion surrounding the s</w:t>
      </w:r>
      <w:r>
        <w:t xml:space="preserve">pring </w:t>
      </w:r>
      <w:r w:rsidR="00D54682">
        <w:t>o</w:t>
      </w:r>
      <w:r>
        <w:t xml:space="preserve">ffensive in 1918 clearly </w:t>
      </w:r>
      <w:r w:rsidR="00D54682">
        <w:t>confirmed</w:t>
      </w:r>
      <w:r>
        <w:t xml:space="preserve"> that aerial propaganda was dependent on what was happening on the battlefield, not the other way around.</w:t>
      </w:r>
      <w:r>
        <w:rPr>
          <w:rStyle w:val="FootnoteReference"/>
        </w:rPr>
        <w:footnoteReference w:id="1021"/>
      </w:r>
    </w:p>
    <w:p w14:paraId="0187EC49" w14:textId="581440A7" w:rsidR="0048510E" w:rsidRDefault="0048510E" w:rsidP="0048510E">
      <w:pPr>
        <w:jc w:val="both"/>
      </w:pPr>
      <w:r>
        <w:t>The uncertainty of the battlefield was precisely the reason for which propagandists used other arguments to strengthen the discourse. It was crucial to give a strong meaning to the conflict, in order to convince the public that suffering was endured in the pursuit of a better world. The Germans had been the first to do so in the occupied territories by blaming Britain for her aggressive attitude and for being the enemy of small nations.</w:t>
      </w:r>
      <w:r>
        <w:rPr>
          <w:rStyle w:val="FootnoteReference"/>
        </w:rPr>
        <w:footnoteReference w:id="1022"/>
      </w:r>
      <w:r w:rsidR="003918F7">
        <w:t xml:space="preserve"> The a</w:t>
      </w:r>
      <w:r>
        <w:t>llies tried to do the same but suffered from the lack of a coherent narrative. Once again, there were as many versions explaining why the war was fought as there were nations doing aerial propaganda. France saw a direct line between the current conflict and the Franco-Prussian war while Belgium remained concentrated on the violation of neutrality.</w:t>
      </w:r>
      <w:r>
        <w:rPr>
          <w:rStyle w:val="FootnoteReference"/>
        </w:rPr>
        <w:footnoteReference w:id="1023"/>
      </w:r>
      <w:r>
        <w:t xml:space="preserve"> The British reversed Germany’s arguments to present the Kaiser as the enemy of small nations.</w:t>
      </w:r>
      <w:r>
        <w:rPr>
          <w:rStyle w:val="FootnoteReference"/>
        </w:rPr>
        <w:footnoteReference w:id="1024"/>
      </w:r>
      <w:r>
        <w:t xml:space="preserve"> All aerial newspapers had in common that no matter </w:t>
      </w:r>
      <w:r w:rsidR="00D54682">
        <w:t xml:space="preserve">what </w:t>
      </w:r>
      <w:r>
        <w:t xml:space="preserve">reason the war was fought for, it was always in the name of the people. This thesis showed that aerial propaganda built an artificial sense of unity and democratic legitimacy, </w:t>
      </w:r>
      <w:r w:rsidR="00D54682">
        <w:t xml:space="preserve">in the process </w:t>
      </w:r>
      <w:r>
        <w:t>dismissing national and international pacifists as irrelevant elements of the society.</w:t>
      </w:r>
      <w:r>
        <w:rPr>
          <w:rStyle w:val="FootnoteReference"/>
        </w:rPr>
        <w:footnoteReference w:id="1025"/>
      </w:r>
      <w:r>
        <w:t xml:space="preserve"> In this instance, elected committee</w:t>
      </w:r>
      <w:r w:rsidR="00530DC5">
        <w:t>s</w:t>
      </w:r>
      <w:r>
        <w:t xml:space="preserve"> supervising aerial propaganda sacrificed their democratic duties on the altar of wa</w:t>
      </w:r>
      <w:r w:rsidR="00D54682">
        <w:t>r effort and mobilisation. It was</w:t>
      </w:r>
      <w:r>
        <w:t xml:space="preserve"> also to promote </w:t>
      </w:r>
      <w:r w:rsidR="00530DC5">
        <w:t xml:space="preserve">the </w:t>
      </w:r>
      <w:r>
        <w:t xml:space="preserve">war effort that war aims gained prominence in aerial propaganda during the year 1917. This thesis has argued that propaganda units used war aims, renamed peace conditions in 1918, as an incentive </w:t>
      </w:r>
      <w:r w:rsidR="00D54682">
        <w:t>for</w:t>
      </w:r>
      <w:r>
        <w:t xml:space="preserve"> the remobilisation process of the occupied territories. Winning over Germany became synonymous with repossessing Alsace and Lorraine, regaining control of Belgium and neutralising the enemy’s global ambitions.</w:t>
      </w:r>
      <w:r>
        <w:rPr>
          <w:rStyle w:val="FootnoteReference"/>
        </w:rPr>
        <w:footnoteReference w:id="1026"/>
      </w:r>
    </w:p>
    <w:p w14:paraId="56805342" w14:textId="7B0531F2" w:rsidR="0048510E" w:rsidRDefault="0048510E" w:rsidP="0048510E">
      <w:pPr>
        <w:jc w:val="both"/>
      </w:pPr>
      <w:r>
        <w:t>It is hard to know if these promises were motivat</w:t>
      </w:r>
      <w:r w:rsidR="00EF1534">
        <w:t>ional enough to convince starving</w:t>
      </w:r>
      <w:r>
        <w:t xml:space="preserve"> populations to stoically endure the ordeal of occupation for an undetermined amount of time. This thesis has suggested that propagandists were not confident in the </w:t>
      </w:r>
      <w:r>
        <w:rPr>
          <w:i/>
          <w:iCs/>
        </w:rPr>
        <w:t xml:space="preserve">occupés’ </w:t>
      </w:r>
      <w:r w:rsidRPr="008254D4">
        <w:t>resilience</w:t>
      </w:r>
      <w:r>
        <w:t>. Propagandists felt the need to introduce another line of arguments resting on fear and playing with moral conventions.</w:t>
      </w:r>
      <w:r>
        <w:rPr>
          <w:rStyle w:val="FootnoteReference"/>
        </w:rPr>
        <w:footnoteReference w:id="1027"/>
      </w:r>
      <w:r>
        <w:t xml:space="preserve"> The Belgians and the French used atrocity propaganda on several occasions to demonstrate that only military victory had the potential to prevent further abuse against civilian populations. The British also published atrocity stories but went a step further by embracing hate propaganda in which they reproduced false stories and encouraged a form of pseudo-Darwinism against the Germans.</w:t>
      </w:r>
      <w:r>
        <w:rPr>
          <w:rStyle w:val="FootnoteReference"/>
        </w:rPr>
        <w:footnoteReference w:id="1028"/>
      </w:r>
      <w:r>
        <w:t xml:space="preserve"> This thesis has demonstrated that hate propaganda was predominantly used when</w:t>
      </w:r>
      <w:r w:rsidR="00972DAB">
        <w:t xml:space="preserve"> the military situation on the w</w:t>
      </w:r>
      <w:r>
        <w:t xml:space="preserve">estern front was precarious. It has also been hypothesised that the aggressive campaign of Anglophobia used by the enemy was the reason for which the British were more extreme. Remobilising occupied civilians through hate and atrocity propaganda was not without triggering long-term effects. In this dissertation, it has been </w:t>
      </w:r>
      <w:r w:rsidR="00EF1534">
        <w:t>shown</w:t>
      </w:r>
      <w:r>
        <w:t xml:space="preserve"> that aerial propaganda became increasingly more violent, encouraging a brutalised vision of society. By 1917, all aerial psychological warfare newspapers had legitimised military violence against German civilians</w:t>
      </w:r>
      <w:r w:rsidRPr="00635DA5">
        <w:t xml:space="preserve"> </w:t>
      </w:r>
      <w:r>
        <w:t>on the ground of reciprocity. The consequences of such a brutalised narration are hard to investigate but tend to be in line with the framework already established by other historians having worked on the brutalisation of society during and after the First World War.</w:t>
      </w:r>
      <w:r>
        <w:rPr>
          <w:rStyle w:val="FootnoteReference"/>
        </w:rPr>
        <w:footnoteReference w:id="1029"/>
      </w:r>
    </w:p>
    <w:p w14:paraId="1406E14C" w14:textId="3A5BB33F" w:rsidR="0048510E" w:rsidRDefault="0048510E" w:rsidP="00605DB1">
      <w:pPr>
        <w:jc w:val="both"/>
      </w:pPr>
      <w:r>
        <w:t>To judge the effects of aerial propaganda, this dissertation looked first at the impact over occupied civilians. Despite irregularities in its distribution, aerial propaganda was a success in the north-east</w:t>
      </w:r>
      <w:r w:rsidR="00EF1534">
        <w:t>ern</w:t>
      </w:r>
      <w:r>
        <w:t xml:space="preserve"> French departments bordering Belgium. Many sources originating from this area confirmed that aerial newspapers helped </w:t>
      </w:r>
      <w:r w:rsidR="002B4090">
        <w:t xml:space="preserve">in </w:t>
      </w:r>
      <w:r>
        <w:t>dealing with the ordeal of occupation.</w:t>
      </w:r>
      <w:r>
        <w:rPr>
          <w:rStyle w:val="FootnoteReference"/>
        </w:rPr>
        <w:footnoteReference w:id="1030"/>
      </w:r>
      <w:r>
        <w:t xml:space="preserve"> The same conclusion was reached for Belgian cities located within 50 miles of the French border, such as Brussels, Mons, Charleroi, Ghent or Bruges. The study of the effects showed however why understanding the distribution process was so important. The eastern provinces of Belgium were almost unreachable for </w:t>
      </w:r>
      <w:r w:rsidR="00605DB1">
        <w:t>aeroplanes</w:t>
      </w:r>
      <w:r>
        <w:t>, a reason for which aerial propaganda was a rare sight in these territories until 1918.</w:t>
      </w:r>
      <w:r>
        <w:rPr>
          <w:rStyle w:val="FootnoteReference"/>
        </w:rPr>
        <w:footnoteReference w:id="1031"/>
      </w:r>
      <w:r>
        <w:t xml:space="preserve"> Different sources </w:t>
      </w:r>
      <w:r w:rsidR="00D54682">
        <w:t>emphasised</w:t>
      </w:r>
      <w:r>
        <w:t xml:space="preserve"> that propaganda was not a substitute for food or freedom but was still hugely beneficial for morale. It was a contradiction to the German monopoly over communication and a reminder that the government was still thinking about trapped civilians. Such was the enthusiasm for aerial propaganda that one single </w:t>
      </w:r>
      <w:r w:rsidR="00905B4F">
        <w:t>newspaper</w:t>
      </w:r>
      <w:r>
        <w:t xml:space="preserve"> was commonly read by dozens of people who shared </w:t>
      </w:r>
      <w:r w:rsidR="00D54682">
        <w:t xml:space="preserve">and guarded </w:t>
      </w:r>
      <w:r>
        <w:t>it as a treasure.</w:t>
      </w:r>
      <w:r>
        <w:rPr>
          <w:rStyle w:val="FootnoteReference"/>
        </w:rPr>
        <w:footnoteReference w:id="1032"/>
      </w:r>
      <w:r>
        <w:t xml:space="preserve"> The Parisian press, also sent by aeroplanes, was</w:t>
      </w:r>
      <w:r w:rsidR="00D54682" w:rsidRPr="00D54682">
        <w:t xml:space="preserve"> </w:t>
      </w:r>
      <w:r w:rsidR="00D54682">
        <w:t>regularly</w:t>
      </w:r>
      <w:r>
        <w:t xml:space="preserve"> found in the occupied territories. It was usually</w:t>
      </w:r>
      <w:r w:rsidR="00D54682">
        <w:t xml:space="preserve"> positively received but was at times </w:t>
      </w:r>
      <w:r w:rsidR="00EF1534">
        <w:t>criticised for its exaggeration</w:t>
      </w:r>
      <w:r>
        <w:t xml:space="preserve"> and lack of empathy toward the invaded regions.</w:t>
      </w:r>
      <w:r>
        <w:rPr>
          <w:rStyle w:val="FootnoteReference"/>
        </w:rPr>
        <w:footnoteReference w:id="1033"/>
      </w:r>
      <w:r>
        <w:t xml:space="preserve"> This dissertation also demonstrated that aerial propaganda, </w:t>
      </w:r>
      <w:r w:rsidR="00D54682">
        <w:t xml:space="preserve">with </w:t>
      </w:r>
      <w:r>
        <w:t xml:space="preserve">both dedicated newspapers and Parisian </w:t>
      </w:r>
      <w:r w:rsidR="00905B4F">
        <w:t>newspapers</w:t>
      </w:r>
      <w:r>
        <w:t>, was a precious source of information for resistance networks. In France and Belgium, clandestine newspapers reproduced articles from aerial publications in their own columns.</w:t>
      </w:r>
      <w:r>
        <w:rPr>
          <w:rStyle w:val="FootnoteReference"/>
        </w:rPr>
        <w:footnoteReference w:id="1034"/>
      </w:r>
      <w:r>
        <w:t xml:space="preserve"> This significant finding provides at least a partial explanation as for how resistance groups found fresh information. </w:t>
      </w:r>
    </w:p>
    <w:p w14:paraId="66FDE923" w14:textId="66929A24" w:rsidR="0048510E" w:rsidRDefault="0048510E" w:rsidP="00905B4F">
      <w:pPr>
        <w:jc w:val="both"/>
      </w:pPr>
      <w:r>
        <w:t>This thesis also considered the effects that aerial propaganda had on the Germans and their campaign of communication in the occupied territories. Evidence demonstrated that the occup</w:t>
      </w:r>
      <w:r w:rsidR="002068A7">
        <w:t>ier was concerned by a</w:t>
      </w:r>
      <w:r>
        <w:t>llied propaganda and did everything possible to prevent its circulation. The Germans took harsh measures, such as fines or prison sentences, against civilians caught with aerial psychological warfare and also involved their own p</w:t>
      </w:r>
      <w:r w:rsidR="002068A7">
        <w:t>ropaganda department to answer a</w:t>
      </w:r>
      <w:r>
        <w:t xml:space="preserve">llied psychological warfare </w:t>
      </w:r>
      <w:r w:rsidR="00905B4F">
        <w:t>newspapers</w:t>
      </w:r>
      <w:r>
        <w:t>. Most civilians described these measures as ineffective. In fact, Germany’s determination to intercept aerial psychological warfare h</w:t>
      </w:r>
      <w:r w:rsidR="003918F7">
        <w:t xml:space="preserve">ad a </w:t>
      </w:r>
      <w:r w:rsidR="00EF1534">
        <w:t>significant</w:t>
      </w:r>
      <w:r w:rsidR="003918F7">
        <w:t xml:space="preserve"> reverse effect; the a</w:t>
      </w:r>
      <w:r>
        <w:t>llies saw it as a confirmation that they were on the right track and as a result increased their operations.</w:t>
      </w:r>
      <w:r>
        <w:rPr>
          <w:rStyle w:val="FootnoteReference"/>
        </w:rPr>
        <w:footnoteReference w:id="1035"/>
      </w:r>
      <w:r>
        <w:t xml:space="preserve"> These facts tend to contradict the current state of historiography on German propaganda in the occupied territories</w:t>
      </w:r>
      <w:r w:rsidR="002E275F">
        <w:t xml:space="preserve"> which</w:t>
      </w:r>
      <w:r>
        <w:t xml:space="preserve"> </w:t>
      </w:r>
      <w:r w:rsidR="002E275F">
        <w:t>presents it</w:t>
      </w:r>
      <w:r>
        <w:t xml:space="preserve"> as a total victory.</w:t>
      </w:r>
      <w:r>
        <w:rPr>
          <w:rStyle w:val="FootnoteReference"/>
        </w:rPr>
        <w:footnoteReference w:id="1036"/>
      </w:r>
      <w:r>
        <w:t xml:space="preserve"> The chief of German propaganda, Lieutenant-Colonel Nicolai, confirmed after the war that </w:t>
      </w:r>
      <w:r w:rsidR="002068A7">
        <w:t>a</w:t>
      </w:r>
      <w:r>
        <w:t>llied aerial propaganda had been a huge success among occupied civilians and even claimed that it had also demoralised German soldiers.</w:t>
      </w:r>
      <w:r>
        <w:rPr>
          <w:rStyle w:val="FootnoteReference"/>
        </w:rPr>
        <w:footnoteReference w:id="1037"/>
      </w:r>
      <w:r>
        <w:t xml:space="preserve"> This dissertation welcomed Nicolai’s testimony with caution, to avoid falling into the stab-in-the-back myth promoted in his book, but found other sources confirming Ger</w:t>
      </w:r>
      <w:r w:rsidR="00C95759">
        <w:t>many’s frustration. The German h</w:t>
      </w:r>
      <w:r>
        <w:t xml:space="preserve">ome </w:t>
      </w:r>
      <w:r w:rsidR="00C95759">
        <w:t>f</w:t>
      </w:r>
      <w:r>
        <w:t xml:space="preserve">ront press led violent attacks against aerial </w:t>
      </w:r>
      <w:r w:rsidR="00905B4F">
        <w:t>newspapers</w:t>
      </w:r>
      <w:r>
        <w:t xml:space="preserve"> but once again only managed to confirm propaganda’s efficiency.</w:t>
      </w:r>
      <w:r>
        <w:rPr>
          <w:rStyle w:val="FootnoteReference"/>
        </w:rPr>
        <w:footnoteReference w:id="1038"/>
      </w:r>
      <w:r>
        <w:t xml:space="preserve"> </w:t>
      </w:r>
    </w:p>
    <w:p w14:paraId="35E5DD53" w14:textId="15BB7532" w:rsidR="0048510E" w:rsidRDefault="0048510E" w:rsidP="0048510E">
      <w:pPr>
        <w:jc w:val="both"/>
      </w:pPr>
      <w:r>
        <w:t>Aerial propaganda’s influence was not confined to the occupied territories. The growing belief in the role of aerial psychological warfare encouraged governments and armies to perfect its structures and allocate more manpower. This dissertation demonstrated that by the end of the war even the rebellious Royal Flying Corps was forced to assist propaganda units</w:t>
      </w:r>
      <w:r w:rsidRPr="003C4DED">
        <w:t xml:space="preserve"> </w:t>
      </w:r>
      <w:r w:rsidR="002E275F">
        <w:t>by the w</w:t>
      </w:r>
      <w:r>
        <w:t xml:space="preserve">ar </w:t>
      </w:r>
      <w:r w:rsidR="002E275F">
        <w:t>c</w:t>
      </w:r>
      <w:r>
        <w:t>abinet.</w:t>
      </w:r>
      <w:r>
        <w:rPr>
          <w:rStyle w:val="FootnoteReference"/>
        </w:rPr>
        <w:footnoteReference w:id="1039"/>
      </w:r>
      <w:r>
        <w:t xml:space="preserve"> This new-found credibility did little to save these operations after the </w:t>
      </w:r>
      <w:r w:rsidR="002E275F">
        <w:t>a</w:t>
      </w:r>
      <w:r>
        <w:t xml:space="preserve">rmistice. Deprived of its </w:t>
      </w:r>
      <w:r>
        <w:rPr>
          <w:i/>
          <w:iCs/>
        </w:rPr>
        <w:t>raison d’être</w:t>
      </w:r>
      <w:r>
        <w:t>, aerial propaganda was dismantled by the Belgians, the British and the French.</w:t>
      </w:r>
      <w:r>
        <w:rPr>
          <w:rStyle w:val="FootnoteReference"/>
        </w:rPr>
        <w:footnoteReference w:id="1040"/>
      </w:r>
      <w:r>
        <w:t xml:space="preserve"> </w:t>
      </w:r>
    </w:p>
    <w:p w14:paraId="4E688B6C" w14:textId="33DDF713" w:rsidR="0048510E" w:rsidRDefault="002E275F" w:rsidP="00605DB1">
      <w:pPr>
        <w:jc w:val="both"/>
      </w:pPr>
      <w:r>
        <w:t>T</w:t>
      </w:r>
      <w:r w:rsidR="0048510E">
        <w:t xml:space="preserve">he abovementioned findings </w:t>
      </w:r>
      <w:r>
        <w:t xml:space="preserve">combined </w:t>
      </w:r>
      <w:r w:rsidR="0048510E">
        <w:t xml:space="preserve">confirmed that aerial propaganda was a far more complex, innovative and significant operation than previously </w:t>
      </w:r>
      <w:r>
        <w:t>thought</w:t>
      </w:r>
      <w:r w:rsidR="0048510E">
        <w:t xml:space="preserve"> and by doing so offered new perspectives for the study of the occupied territories of France and Belgium. </w:t>
      </w:r>
      <w:r>
        <w:t>Propaganda</w:t>
      </w:r>
      <w:r w:rsidR="0048510E">
        <w:t xml:space="preserve"> operations made a difference both in the o</w:t>
      </w:r>
      <w:r w:rsidR="00C95759">
        <w:t>ccupied territories and on the home f</w:t>
      </w:r>
      <w:r w:rsidR="0048510E">
        <w:t>ront. Aerial psychological warfare relieved occupied civilians, fuelled resistance, disrupted German propaganda, and angered German military inst</w:t>
      </w:r>
      <w:r w:rsidR="00C95759">
        <w:t>itutions as well as the German home f</w:t>
      </w:r>
      <w:r w:rsidR="0048510E">
        <w:t xml:space="preserve">ront press. Its impact </w:t>
      </w:r>
      <w:r>
        <w:t>on</w:t>
      </w:r>
      <w:r w:rsidR="0048510E">
        <w:t xml:space="preserve"> institutions and </w:t>
      </w:r>
      <w:r w:rsidR="00605DB1">
        <w:t>air units</w:t>
      </w:r>
      <w:r w:rsidR="0048510E">
        <w:t xml:space="preserve"> also reinforced </w:t>
      </w:r>
      <w:r w:rsidR="00605DB1">
        <w:t>their</w:t>
      </w:r>
      <w:r w:rsidR="0048510E">
        <w:t xml:space="preserve"> credibility as a modern tool of wartime communication. Yet aerial propaganda’s effects crossed the boundaries of the First World War. Germany’s threats against aviators to ban aerial propaganda had revealed a black hole in the international laws of war.</w:t>
      </w:r>
      <w:r w:rsidR="0048510E">
        <w:rPr>
          <w:rStyle w:val="FootnoteReference"/>
        </w:rPr>
        <w:footnoteReference w:id="1041"/>
      </w:r>
      <w:r w:rsidR="0048510E">
        <w:t xml:space="preserve"> This gap was addressed in a 1922-1923 international meeting of The Hague, where aerial propaganda was made legal.</w:t>
      </w:r>
      <w:r w:rsidR="0048510E">
        <w:rPr>
          <w:rStyle w:val="FootnoteReference"/>
        </w:rPr>
        <w:footnoteReference w:id="1042"/>
      </w:r>
      <w:r w:rsidR="0048510E">
        <w:t xml:space="preserve"> Shutting down units at the end of the war also had </w:t>
      </w:r>
      <w:r>
        <w:t>profound</w:t>
      </w:r>
      <w:r w:rsidR="0048510E">
        <w:t xml:space="preserve"> consequences. At the beginning of the Second World War, </w:t>
      </w:r>
      <w:r w:rsidR="00530DC5">
        <w:t xml:space="preserve">the </w:t>
      </w:r>
      <w:r w:rsidR="0048510E">
        <w:t xml:space="preserve">British and French had to recall propagandists from the previous conflict to overcome the absence of </w:t>
      </w:r>
      <w:r w:rsidR="00530DC5">
        <w:t xml:space="preserve">a </w:t>
      </w:r>
      <w:r w:rsidR="0048510E">
        <w:t>dedicated unit targeting civilians. As this thesis argued, the heritage left by aerial propaganda during the First World War proved in this instance ambiguous, relying on outdated structures and technology.</w:t>
      </w:r>
      <w:r w:rsidR="0048510E">
        <w:rPr>
          <w:rStyle w:val="FootnoteReference"/>
        </w:rPr>
        <w:footnoteReference w:id="1043"/>
      </w:r>
    </w:p>
    <w:p w14:paraId="1BB99902" w14:textId="77777777" w:rsidR="00012EA3" w:rsidRDefault="00012EA3" w:rsidP="0048510E">
      <w:pPr>
        <w:jc w:val="both"/>
        <w:sectPr w:rsidR="00012EA3" w:rsidSect="00F51E28">
          <w:pgSz w:w="11907" w:h="16839" w:code="9"/>
          <w:pgMar w:top="1440" w:right="1440" w:bottom="1440" w:left="1440" w:header="708" w:footer="708" w:gutter="0"/>
          <w:cols w:space="708"/>
          <w:titlePg/>
          <w:docGrid w:linePitch="360"/>
        </w:sectPr>
      </w:pPr>
    </w:p>
    <w:p w14:paraId="24DD8A78" w14:textId="77777777" w:rsidR="00E35CCD" w:rsidRPr="002C5A83" w:rsidRDefault="00E35CCD" w:rsidP="0048510E">
      <w:pPr>
        <w:pStyle w:val="Title"/>
        <w:outlineLvl w:val="0"/>
        <w:sectPr w:rsidR="00E35CCD" w:rsidRPr="002C5A83" w:rsidSect="00415A32">
          <w:headerReference w:type="default" r:id="rId46"/>
          <w:type w:val="continuous"/>
          <w:pgSz w:w="11907" w:h="16839" w:code="9"/>
          <w:pgMar w:top="1440" w:right="1440" w:bottom="1440" w:left="1440" w:header="708" w:footer="708" w:gutter="0"/>
          <w:cols w:space="708"/>
          <w:titlePg/>
          <w:docGrid w:linePitch="360"/>
        </w:sectPr>
      </w:pPr>
    </w:p>
    <w:p w14:paraId="3A2FB559" w14:textId="6E9D5548" w:rsidR="0048510E" w:rsidRPr="00DF7D2D" w:rsidRDefault="0048510E" w:rsidP="0048510E">
      <w:pPr>
        <w:pStyle w:val="Title"/>
        <w:outlineLvl w:val="0"/>
        <w:rPr>
          <w:lang w:val="fr-FR"/>
        </w:rPr>
      </w:pPr>
      <w:bookmarkStart w:id="98" w:name="_Toc402193000"/>
      <w:r w:rsidRPr="00DF7D2D">
        <w:rPr>
          <w:lang w:val="fr-FR"/>
        </w:rPr>
        <w:t>Bibliography</w:t>
      </w:r>
      <w:bookmarkEnd w:id="98"/>
    </w:p>
    <w:p w14:paraId="534CE615" w14:textId="77777777" w:rsidR="0048510E" w:rsidRPr="00DF7D2D" w:rsidRDefault="0048510E" w:rsidP="008C6A86">
      <w:pPr>
        <w:pStyle w:val="Heading2"/>
        <w:rPr>
          <w:lang w:val="fr-FR"/>
        </w:rPr>
      </w:pPr>
      <w:bookmarkStart w:id="99" w:name="_Toc378223886"/>
      <w:bookmarkStart w:id="100" w:name="_Toc402193001"/>
      <w:r w:rsidRPr="00DF7D2D">
        <w:rPr>
          <w:lang w:val="fr-FR"/>
        </w:rPr>
        <w:t>Primary sources</w:t>
      </w:r>
      <w:bookmarkEnd w:id="99"/>
      <w:bookmarkEnd w:id="100"/>
    </w:p>
    <w:p w14:paraId="482389CC" w14:textId="77777777" w:rsidR="0048510E" w:rsidRPr="00130BFA" w:rsidRDefault="0048510E" w:rsidP="00130BFA">
      <w:pPr>
        <w:rPr>
          <w:b/>
          <w:sz w:val="24"/>
          <w:szCs w:val="24"/>
          <w:lang w:val="fr-FR"/>
        </w:rPr>
      </w:pPr>
      <w:r w:rsidRPr="00130BFA">
        <w:rPr>
          <w:b/>
          <w:sz w:val="24"/>
          <w:szCs w:val="24"/>
          <w:lang w:val="fr-FR"/>
        </w:rPr>
        <w:t>Archives</w:t>
      </w:r>
    </w:p>
    <w:p w14:paraId="166A2C9B" w14:textId="77777777" w:rsidR="0048510E" w:rsidRPr="00130BFA" w:rsidRDefault="0048510E" w:rsidP="0048510E">
      <w:pPr>
        <w:rPr>
          <w:u w:val="single"/>
          <w:lang w:val="fr-FR"/>
        </w:rPr>
      </w:pPr>
      <w:r w:rsidRPr="00130BFA">
        <w:rPr>
          <w:u w:val="single"/>
          <w:lang w:val="fr-FR"/>
        </w:rPr>
        <w:t>Belgium</w:t>
      </w:r>
    </w:p>
    <w:p w14:paraId="023DF374" w14:textId="77777777" w:rsidR="0048510E" w:rsidRDefault="0048510E" w:rsidP="0048510E">
      <w:pPr>
        <w:rPr>
          <w:b/>
          <w:lang w:val="fr-FR"/>
        </w:rPr>
      </w:pPr>
      <w:r w:rsidRPr="00C675CB">
        <w:rPr>
          <w:b/>
          <w:lang w:val="fr-FR"/>
        </w:rPr>
        <w:t>Archives Générales du Royaume</w:t>
      </w:r>
    </w:p>
    <w:p w14:paraId="1DB16503" w14:textId="77777777" w:rsidR="0048510E" w:rsidRPr="00427709" w:rsidRDefault="0048510E" w:rsidP="0048510E">
      <w:pPr>
        <w:ind w:firstLine="720"/>
      </w:pPr>
      <w:r w:rsidRPr="00DF7D2D">
        <w:t xml:space="preserve">I. 555. </w:t>
      </w:r>
      <w:r w:rsidRPr="00427709">
        <w:t>Archives of the Belgian Relief Committee</w:t>
      </w:r>
    </w:p>
    <w:p w14:paraId="397CDC97" w14:textId="77777777" w:rsidR="0048510E" w:rsidRPr="00427709" w:rsidRDefault="0048510E" w:rsidP="0048510E">
      <w:pPr>
        <w:ind w:firstLine="720"/>
      </w:pPr>
      <w:r w:rsidRPr="00DF7D2D">
        <w:t xml:space="preserve">I.538. </w:t>
      </w:r>
      <w:r w:rsidRPr="00427709">
        <w:t>Archives of Corneille Gram containing various copies of aerial newspapers</w:t>
      </w:r>
      <w:r w:rsidRPr="00427709">
        <w:tab/>
      </w:r>
    </w:p>
    <w:p w14:paraId="062755B1" w14:textId="77777777" w:rsidR="0048510E" w:rsidRDefault="0048510E" w:rsidP="0048510E">
      <w:pPr>
        <w:ind w:firstLine="720"/>
        <w:rPr>
          <w:lang w:val="fr-FR"/>
        </w:rPr>
      </w:pPr>
      <w:r>
        <w:rPr>
          <w:lang w:val="fr-FR"/>
        </w:rPr>
        <w:t>T029.</w:t>
      </w:r>
      <w:r w:rsidR="003757EA">
        <w:rPr>
          <w:lang w:val="fr-FR"/>
        </w:rPr>
        <w:t xml:space="preserve"> Fonds Charles de Broqueville, w</w:t>
      </w:r>
      <w:r>
        <w:rPr>
          <w:lang w:val="fr-FR"/>
        </w:rPr>
        <w:t xml:space="preserve">ar </w:t>
      </w:r>
      <w:r w:rsidR="003757EA">
        <w:rPr>
          <w:lang w:val="fr-FR"/>
        </w:rPr>
        <w:t>m</w:t>
      </w:r>
      <w:r>
        <w:rPr>
          <w:lang w:val="fr-FR"/>
        </w:rPr>
        <w:t>inister</w:t>
      </w:r>
    </w:p>
    <w:p w14:paraId="2E0F09B2" w14:textId="77777777" w:rsidR="0048510E" w:rsidRPr="00DF7D2D" w:rsidRDefault="0048510E" w:rsidP="0048510E">
      <w:pPr>
        <w:ind w:firstLine="720"/>
      </w:pPr>
      <w:r>
        <w:rPr>
          <w:lang w:val="fr-FR"/>
        </w:rPr>
        <w:tab/>
      </w:r>
      <w:r w:rsidRPr="00DF7D2D">
        <w:t>/174. Reports about occupied Belgium</w:t>
      </w:r>
    </w:p>
    <w:p w14:paraId="11F3B374" w14:textId="77777777" w:rsidR="0048510E" w:rsidRPr="00DE3AC9" w:rsidRDefault="0048510E" w:rsidP="0048510E">
      <w:pPr>
        <w:ind w:firstLine="720"/>
        <w:rPr>
          <w:lang w:val="fr-FR"/>
        </w:rPr>
      </w:pPr>
      <w:r w:rsidRPr="005A3840">
        <w:t xml:space="preserve">T034. </w:t>
      </w:r>
      <w:r w:rsidRPr="00DE3AC9">
        <w:rPr>
          <w:lang w:val="fr-FR"/>
        </w:rPr>
        <w:t>Fonds Jules Van Den Heuvel</w:t>
      </w:r>
    </w:p>
    <w:p w14:paraId="4D382F0C" w14:textId="77777777" w:rsidR="0048510E" w:rsidRPr="00DE3AC9" w:rsidRDefault="0048510E" w:rsidP="0048510E">
      <w:pPr>
        <w:ind w:firstLine="720"/>
        <w:rPr>
          <w:lang w:val="fr-FR"/>
        </w:rPr>
      </w:pPr>
      <w:r w:rsidRPr="00DE3AC9">
        <w:rPr>
          <w:lang w:val="fr-FR"/>
        </w:rPr>
        <w:tab/>
        <w:t>/24. Collection of clandestine papers and reports about passive resistance</w:t>
      </w:r>
    </w:p>
    <w:p w14:paraId="7F71CB41" w14:textId="77777777" w:rsidR="0048510E" w:rsidRDefault="0048510E" w:rsidP="0048510E">
      <w:pPr>
        <w:ind w:firstLine="720"/>
        <w:rPr>
          <w:lang w:val="fr-FR"/>
        </w:rPr>
      </w:pPr>
      <w:r>
        <w:rPr>
          <w:lang w:val="fr-FR"/>
        </w:rPr>
        <w:t>T476. Archives de la Guerre. Comité officiel belge pour l’Angleterre</w:t>
      </w:r>
    </w:p>
    <w:p w14:paraId="4B8F6C08" w14:textId="77777777" w:rsidR="0048510E" w:rsidRPr="00593005" w:rsidRDefault="0048510E" w:rsidP="0048510E">
      <w:pPr>
        <w:ind w:left="1440"/>
        <w:rPr>
          <w:lang w:val="fr-FR"/>
        </w:rPr>
      </w:pPr>
      <w:r w:rsidRPr="00593005">
        <w:rPr>
          <w:lang w:val="fr-FR"/>
        </w:rPr>
        <w:t>/461. Letters and information about the occupation of Belgium</w:t>
      </w:r>
    </w:p>
    <w:p w14:paraId="58304CA4" w14:textId="77777777" w:rsidR="0048510E" w:rsidRPr="005124FF" w:rsidRDefault="0048510E" w:rsidP="0048510E">
      <w:pPr>
        <w:ind w:left="720" w:firstLine="720"/>
        <w:rPr>
          <w:lang w:val="fr-FR"/>
        </w:rPr>
      </w:pPr>
      <w:r>
        <w:rPr>
          <w:lang w:val="fr-FR"/>
        </w:rPr>
        <w:t>/462. Information about occupied Belgium</w:t>
      </w:r>
    </w:p>
    <w:p w14:paraId="4FF91255" w14:textId="77777777" w:rsidR="0048510E" w:rsidRDefault="0048510E" w:rsidP="0048510E">
      <w:pPr>
        <w:rPr>
          <w:b/>
          <w:lang w:val="fr-FR"/>
        </w:rPr>
      </w:pPr>
      <w:r w:rsidRPr="00C675CB">
        <w:rPr>
          <w:b/>
          <w:lang w:val="fr-FR"/>
        </w:rPr>
        <w:t>Archives du Musée de l’Armée</w:t>
      </w:r>
    </w:p>
    <w:p w14:paraId="21413028" w14:textId="77777777" w:rsidR="0048510E" w:rsidRDefault="0048510E" w:rsidP="0048510E">
      <w:pPr>
        <w:rPr>
          <w:lang w:val="fr-FR"/>
        </w:rPr>
      </w:pPr>
      <w:r>
        <w:rPr>
          <w:b/>
          <w:lang w:val="fr-FR"/>
        </w:rPr>
        <w:tab/>
      </w:r>
      <w:r>
        <w:rPr>
          <w:lang w:val="fr-FR"/>
        </w:rPr>
        <w:t>G.Q.G. 0010. Archives de la deuxième section du GQG</w:t>
      </w:r>
    </w:p>
    <w:p w14:paraId="5CE129DF" w14:textId="77777777" w:rsidR="0048510E" w:rsidRPr="00DF7D2D" w:rsidRDefault="0048510E" w:rsidP="0048510E">
      <w:r>
        <w:rPr>
          <w:lang w:val="fr-FR"/>
        </w:rPr>
        <w:tab/>
      </w:r>
      <w:r>
        <w:rPr>
          <w:lang w:val="fr-FR"/>
        </w:rPr>
        <w:tab/>
      </w:r>
      <w:r w:rsidRPr="00DF7D2D">
        <w:t>0096 – 0106: Reports about Belgian aerial propaganda</w:t>
      </w:r>
    </w:p>
    <w:p w14:paraId="45104AD2" w14:textId="77777777" w:rsidR="0048510E" w:rsidRPr="00DF7D2D" w:rsidRDefault="0048510E" w:rsidP="0048510E">
      <w:r w:rsidRPr="00DF7D2D">
        <w:tab/>
        <w:t>Collection of Belgian aerial papers</w:t>
      </w:r>
    </w:p>
    <w:p w14:paraId="1D1328F7" w14:textId="77777777" w:rsidR="0048510E" w:rsidRDefault="0048510E" w:rsidP="0048510E">
      <w:pPr>
        <w:rPr>
          <w:b/>
          <w:lang w:val="fr-FR"/>
        </w:rPr>
      </w:pPr>
      <w:r w:rsidRPr="00C675CB">
        <w:rPr>
          <w:b/>
          <w:lang w:val="fr-FR"/>
        </w:rPr>
        <w:t>Archives du Service Publique Fédéral des Affaires Etrangères</w:t>
      </w:r>
    </w:p>
    <w:p w14:paraId="03175AEF" w14:textId="77777777" w:rsidR="0048510E" w:rsidRPr="005124FF" w:rsidRDefault="0048510E" w:rsidP="0048510E">
      <w:pPr>
        <w:ind w:left="720"/>
      </w:pPr>
      <w:r w:rsidRPr="00427709">
        <w:t xml:space="preserve">B. 345. Collection of reports </w:t>
      </w:r>
      <w:r>
        <w:t>on</w:t>
      </w:r>
      <w:r w:rsidRPr="00427709">
        <w:t xml:space="preserve"> </w:t>
      </w:r>
      <w:r w:rsidRPr="005124FF">
        <w:t>Belgian propaganda units in Le Havre and London</w:t>
      </w:r>
      <w:r w:rsidR="003757EA">
        <w:t xml:space="preserve"> between the w</w:t>
      </w:r>
      <w:r>
        <w:t xml:space="preserve">ar </w:t>
      </w:r>
      <w:r w:rsidR="003757EA">
        <w:t>m</w:t>
      </w:r>
      <w:r>
        <w:t>inister and various departments</w:t>
      </w:r>
    </w:p>
    <w:p w14:paraId="32083614" w14:textId="77777777" w:rsidR="0048510E" w:rsidRDefault="00ED5984" w:rsidP="0048510E">
      <w:pPr>
        <w:rPr>
          <w:b/>
          <w:lang w:val="fr-FR"/>
        </w:rPr>
      </w:pPr>
      <w:r w:rsidRPr="00ED5984">
        <w:rPr>
          <w:b/>
          <w:lang w:val="fr-FR"/>
        </w:rPr>
        <w:t xml:space="preserve">Centre d’Etudes </w:t>
      </w:r>
      <w:r w:rsidR="00DD2897">
        <w:rPr>
          <w:b/>
          <w:lang w:val="fr-FR"/>
        </w:rPr>
        <w:t xml:space="preserve">et documentation </w:t>
      </w:r>
      <w:r w:rsidRPr="00ED5984">
        <w:rPr>
          <w:b/>
          <w:lang w:val="fr-FR"/>
        </w:rPr>
        <w:t xml:space="preserve">Guerres et </w:t>
      </w:r>
      <w:r w:rsidR="00F322AF">
        <w:rPr>
          <w:b/>
          <w:lang w:val="fr-FR"/>
        </w:rPr>
        <w:t>S</w:t>
      </w:r>
      <w:r w:rsidRPr="00ED5984">
        <w:rPr>
          <w:b/>
          <w:lang w:val="fr-FR"/>
        </w:rPr>
        <w:t>ociétés</w:t>
      </w:r>
      <w:r w:rsidR="00DD2897">
        <w:rPr>
          <w:b/>
          <w:lang w:val="fr-FR"/>
        </w:rPr>
        <w:t xml:space="preserve"> contempo</w:t>
      </w:r>
      <w:r w:rsidR="003B43D2">
        <w:rPr>
          <w:b/>
          <w:lang w:val="fr-FR"/>
        </w:rPr>
        <w:t>rai</w:t>
      </w:r>
      <w:r w:rsidR="00DD2897">
        <w:rPr>
          <w:b/>
          <w:lang w:val="fr-FR"/>
        </w:rPr>
        <w:t>n</w:t>
      </w:r>
      <w:r w:rsidR="003B43D2">
        <w:rPr>
          <w:b/>
          <w:lang w:val="fr-FR"/>
        </w:rPr>
        <w:t>e</w:t>
      </w:r>
      <w:r w:rsidR="00DD2897">
        <w:rPr>
          <w:b/>
          <w:lang w:val="fr-FR"/>
        </w:rPr>
        <w:t>s</w:t>
      </w:r>
      <w:r w:rsidRPr="00ED5984">
        <w:rPr>
          <w:b/>
          <w:lang w:val="fr-FR"/>
        </w:rPr>
        <w:t xml:space="preserve"> (CEGES – SOMA)</w:t>
      </w:r>
    </w:p>
    <w:p w14:paraId="000F5A0A" w14:textId="77777777" w:rsidR="00F322AF" w:rsidRPr="004F0A24" w:rsidRDefault="00F322AF" w:rsidP="0048510E">
      <w:pPr>
        <w:rPr>
          <w:lang w:val="it-IT"/>
        </w:rPr>
      </w:pPr>
      <w:r>
        <w:rPr>
          <w:b/>
          <w:lang w:val="fr-FR"/>
        </w:rPr>
        <w:tab/>
      </w:r>
      <w:r w:rsidRPr="004F0A24">
        <w:rPr>
          <w:lang w:val="it-IT"/>
        </w:rPr>
        <w:t>AA 2324. Anti-German clandestine propaganda</w:t>
      </w:r>
    </w:p>
    <w:p w14:paraId="67FDE1A9" w14:textId="77777777" w:rsidR="00F322AF" w:rsidRPr="00F322AF" w:rsidRDefault="00F322AF" w:rsidP="00F322AF">
      <w:pPr>
        <w:ind w:firstLine="720"/>
        <w:rPr>
          <w:lang w:val="en-US"/>
        </w:rPr>
      </w:pPr>
      <w:r w:rsidRPr="004F0A24">
        <w:rPr>
          <w:lang w:val="it-IT"/>
        </w:rPr>
        <w:t xml:space="preserve">AB 2619. </w:t>
      </w:r>
      <w:r w:rsidRPr="00F322AF">
        <w:rPr>
          <w:lang w:val="en-US"/>
        </w:rPr>
        <w:t>1914-1918: war diary of countess Renée d’Oultremont</w:t>
      </w:r>
    </w:p>
    <w:p w14:paraId="11C6FACC" w14:textId="77777777" w:rsidR="00F322AF" w:rsidRDefault="00F322AF" w:rsidP="00F322AF">
      <w:pPr>
        <w:ind w:firstLine="720"/>
        <w:rPr>
          <w:lang w:val="en-US"/>
        </w:rPr>
      </w:pPr>
      <w:r w:rsidRPr="00F322AF">
        <w:rPr>
          <w:lang w:val="en-US"/>
        </w:rPr>
        <w:t>Belgian War Press</w:t>
      </w:r>
      <w:r w:rsidR="003B43D2">
        <w:rPr>
          <w:lang w:val="en-US"/>
        </w:rPr>
        <w:t xml:space="preserve"> 1914-1918</w:t>
      </w:r>
      <w:r w:rsidRPr="00F322AF">
        <w:rPr>
          <w:lang w:val="en-US"/>
        </w:rPr>
        <w:t>. Censored and clandestine newspapers</w:t>
      </w:r>
    </w:p>
    <w:p w14:paraId="19902287" w14:textId="77777777" w:rsidR="00F4344C" w:rsidRPr="00F322AF" w:rsidRDefault="00F4344C" w:rsidP="00F322AF">
      <w:pPr>
        <w:ind w:firstLine="720"/>
        <w:rPr>
          <w:lang w:val="en-US"/>
        </w:rPr>
      </w:pPr>
    </w:p>
    <w:p w14:paraId="68E3D78B" w14:textId="77777777" w:rsidR="00130BFA" w:rsidRDefault="00130BFA" w:rsidP="0048510E">
      <w:pPr>
        <w:rPr>
          <w:u w:val="single"/>
        </w:rPr>
      </w:pPr>
    </w:p>
    <w:p w14:paraId="49895448" w14:textId="77777777" w:rsidR="0048510E" w:rsidRPr="009B1F1F" w:rsidRDefault="0048510E" w:rsidP="0048510E">
      <w:pPr>
        <w:rPr>
          <w:u w:val="single"/>
        </w:rPr>
      </w:pPr>
      <w:r w:rsidRPr="009B1F1F">
        <w:rPr>
          <w:u w:val="single"/>
        </w:rPr>
        <w:t>Britain</w:t>
      </w:r>
    </w:p>
    <w:p w14:paraId="347333AF" w14:textId="77777777" w:rsidR="0048510E" w:rsidRPr="009B1F1F" w:rsidRDefault="0048510E" w:rsidP="0048510E">
      <w:pPr>
        <w:rPr>
          <w:b/>
        </w:rPr>
      </w:pPr>
      <w:r w:rsidRPr="009B1F1F">
        <w:rPr>
          <w:b/>
        </w:rPr>
        <w:t>British Libray</w:t>
      </w:r>
    </w:p>
    <w:p w14:paraId="42929F22" w14:textId="77777777" w:rsidR="0048510E" w:rsidRDefault="0048510E" w:rsidP="0048510E">
      <w:pPr>
        <w:ind w:left="720"/>
        <w:rPr>
          <w:i/>
        </w:rPr>
      </w:pPr>
      <w:r w:rsidRPr="00F85534">
        <w:t xml:space="preserve">C.40.I.21. Notes and collection of papers about the </w:t>
      </w:r>
      <w:r>
        <w:rPr>
          <w:i/>
        </w:rPr>
        <w:t xml:space="preserve">Courrier de l’Air </w:t>
      </w:r>
      <w:r w:rsidRPr="00F85534">
        <w:t>given by Edward Heron-Allen</w:t>
      </w:r>
    </w:p>
    <w:p w14:paraId="0DEFBE09" w14:textId="77777777" w:rsidR="0048510E" w:rsidRDefault="0048510E" w:rsidP="0048510E">
      <w:pPr>
        <w:rPr>
          <w:b/>
        </w:rPr>
      </w:pPr>
      <w:r>
        <w:rPr>
          <w:b/>
        </w:rPr>
        <w:t>Imperial War Museum</w:t>
      </w:r>
    </w:p>
    <w:p w14:paraId="415A1B36" w14:textId="77777777" w:rsidR="0048510E" w:rsidRDefault="0048510E" w:rsidP="0048510E">
      <w:r>
        <w:tab/>
        <w:t>Archives of Lieutenant-Colonel A. Lee, Sherwood Foresters, in charge of balloon distribution</w:t>
      </w:r>
    </w:p>
    <w:p w14:paraId="38D2CC72" w14:textId="77777777" w:rsidR="0048510E" w:rsidRPr="005E6AA9" w:rsidRDefault="0048510E" w:rsidP="0048510E">
      <w:r>
        <w:tab/>
        <w:t>Unpublished manuscript of Lieutenant-Colonel A. Lee, Sherwood Foresters</w:t>
      </w:r>
    </w:p>
    <w:p w14:paraId="09FA057D" w14:textId="77777777" w:rsidR="0048510E" w:rsidRPr="009E0F73" w:rsidRDefault="0048510E" w:rsidP="0048510E">
      <w:pPr>
        <w:rPr>
          <w:b/>
        </w:rPr>
      </w:pPr>
      <w:r w:rsidRPr="009E0F73">
        <w:rPr>
          <w:b/>
        </w:rPr>
        <w:t>National Archives</w:t>
      </w:r>
    </w:p>
    <w:p w14:paraId="57B1383E" w14:textId="77777777" w:rsidR="0048510E" w:rsidRPr="000912A3" w:rsidRDefault="0048510E" w:rsidP="0048510E">
      <w:pPr>
        <w:ind w:firstLine="720"/>
        <w:jc w:val="both"/>
      </w:pPr>
      <w:r w:rsidRPr="000912A3">
        <w:t>Royal Flying Corps and Royal Air Force</w:t>
      </w:r>
    </w:p>
    <w:p w14:paraId="44C78654" w14:textId="77777777" w:rsidR="0048510E" w:rsidRPr="009B1F1F" w:rsidRDefault="0048510E" w:rsidP="0048510E">
      <w:pPr>
        <w:ind w:left="720" w:firstLine="720"/>
        <w:jc w:val="both"/>
      </w:pPr>
      <w:r>
        <w:t>AIR 1/32/15/1/176. Reports about aerial propaganda distribution</w:t>
      </w:r>
    </w:p>
    <w:p w14:paraId="35791C42" w14:textId="77777777" w:rsidR="0048510E" w:rsidRPr="009B1F1F" w:rsidRDefault="0048510E" w:rsidP="0048510E">
      <w:pPr>
        <w:ind w:left="1440"/>
        <w:jc w:val="both"/>
      </w:pPr>
      <w:r>
        <w:t xml:space="preserve">AIR 1/588/204/82/68. Various reports on propaganda distribution and on the effects of propaganda </w:t>
      </w:r>
    </w:p>
    <w:p w14:paraId="023DDE5B" w14:textId="77777777" w:rsidR="0048510E" w:rsidRPr="009B1F1F" w:rsidRDefault="0048510E" w:rsidP="0048510E">
      <w:pPr>
        <w:ind w:left="720" w:firstLine="720"/>
        <w:jc w:val="both"/>
      </w:pPr>
      <w:r>
        <w:t>AIR 1/678. Post-war report on the distribution of propaganda</w:t>
      </w:r>
    </w:p>
    <w:p w14:paraId="1A87FC63" w14:textId="77777777" w:rsidR="0048510E" w:rsidRPr="009B1F1F" w:rsidRDefault="0048510E" w:rsidP="0048510E">
      <w:pPr>
        <w:ind w:left="720" w:firstLine="720"/>
        <w:jc w:val="both"/>
      </w:pPr>
      <w:r>
        <w:t>AIR 1/723/68/4. Reports about aerial propaganda in the first months of the war</w:t>
      </w:r>
    </w:p>
    <w:p w14:paraId="6DEA25B3" w14:textId="77777777" w:rsidR="0048510E" w:rsidRPr="009B1F1F" w:rsidRDefault="0048510E" w:rsidP="0048510E">
      <w:pPr>
        <w:ind w:left="1440"/>
        <w:jc w:val="both"/>
      </w:pPr>
      <w:r>
        <w:t>AIR 1/1155/204/5/2424. Various reports about the effects of propaganda and its distribution</w:t>
      </w:r>
    </w:p>
    <w:p w14:paraId="4AB53CA9" w14:textId="77777777" w:rsidR="0048510E" w:rsidRPr="009B1F1F" w:rsidRDefault="0048510E" w:rsidP="0048510E">
      <w:pPr>
        <w:ind w:left="720" w:firstLine="720"/>
        <w:jc w:val="both"/>
      </w:pPr>
      <w:r>
        <w:t>AIR 2/48. Various reports about alternative methods of distribution</w:t>
      </w:r>
    </w:p>
    <w:p w14:paraId="25E50A52" w14:textId="77777777" w:rsidR="0048510E" w:rsidRPr="009B1F1F" w:rsidRDefault="0048510E" w:rsidP="0048510E">
      <w:pPr>
        <w:ind w:firstLine="720"/>
        <w:jc w:val="both"/>
      </w:pPr>
      <w:r>
        <w:t>Department of Information</w:t>
      </w:r>
    </w:p>
    <w:p w14:paraId="5EC9A6FB" w14:textId="77777777" w:rsidR="0048510E" w:rsidRPr="009B1F1F" w:rsidRDefault="0048510E" w:rsidP="0048510E">
      <w:pPr>
        <w:ind w:left="720" w:firstLine="720"/>
        <w:jc w:val="both"/>
      </w:pPr>
      <w:r>
        <w:t>INF 4/1B. Various reports from MI7(b)</w:t>
      </w:r>
    </w:p>
    <w:p w14:paraId="7917D80D" w14:textId="77777777" w:rsidR="0048510E" w:rsidRPr="009B1F1F" w:rsidRDefault="0048510E" w:rsidP="0048510E">
      <w:pPr>
        <w:ind w:firstLine="720"/>
        <w:jc w:val="both"/>
      </w:pPr>
      <w:r>
        <w:t xml:space="preserve">War Cabinet </w:t>
      </w:r>
    </w:p>
    <w:p w14:paraId="22C86801" w14:textId="77777777" w:rsidR="0048510E" w:rsidRPr="009B1F1F" w:rsidRDefault="0048510E" w:rsidP="0048510E">
      <w:pPr>
        <w:ind w:left="720" w:firstLine="720"/>
        <w:jc w:val="both"/>
      </w:pPr>
      <w:r w:rsidRPr="009B1F1F">
        <w:t>CAB 27/17</w:t>
      </w:r>
      <w:r>
        <w:t>. Report about the production and distribution of propaganda</w:t>
      </w:r>
    </w:p>
    <w:p w14:paraId="7D4ABCCF" w14:textId="77777777" w:rsidR="0048510E" w:rsidRPr="009B1F1F" w:rsidRDefault="0048510E" w:rsidP="0048510E">
      <w:pPr>
        <w:ind w:firstLine="720"/>
        <w:jc w:val="both"/>
      </w:pPr>
      <w:r w:rsidRPr="009B1F1F">
        <w:t>War Office</w:t>
      </w:r>
    </w:p>
    <w:p w14:paraId="373A5839" w14:textId="77777777" w:rsidR="0048510E" w:rsidRDefault="0048510E" w:rsidP="0048510E">
      <w:pPr>
        <w:ind w:left="1440"/>
        <w:jc w:val="both"/>
      </w:pPr>
      <w:r>
        <w:t>WO 32/5140. Various reports about the effects of aerial propaganda on civilians and German troops</w:t>
      </w:r>
    </w:p>
    <w:p w14:paraId="54574278" w14:textId="77777777" w:rsidR="0048510E" w:rsidRPr="00291285" w:rsidRDefault="0048510E" w:rsidP="0048510E">
      <w:pPr>
        <w:ind w:left="720" w:firstLine="720"/>
        <w:jc w:val="both"/>
      </w:pPr>
      <w:r w:rsidRPr="00291285">
        <w:t xml:space="preserve">WO 32/5141. Reports about propaganda balloon experiments </w:t>
      </w:r>
    </w:p>
    <w:p w14:paraId="329DE58A" w14:textId="77777777" w:rsidR="0048510E" w:rsidRDefault="0048510E" w:rsidP="0048510E">
      <w:pPr>
        <w:ind w:left="720" w:firstLine="720"/>
        <w:jc w:val="both"/>
      </w:pPr>
      <w:r w:rsidRPr="00291285">
        <w:t>WO 32/5143. Reports on the effects of aerial propaganda</w:t>
      </w:r>
    </w:p>
    <w:p w14:paraId="6E7BA0D8" w14:textId="77777777" w:rsidR="0048510E" w:rsidRPr="00DE3AC9" w:rsidRDefault="0048510E" w:rsidP="0048510E">
      <w:pPr>
        <w:ind w:left="720" w:firstLine="720"/>
        <w:jc w:val="both"/>
        <w:rPr>
          <w:lang w:val="fr-FR"/>
        </w:rPr>
      </w:pPr>
      <w:r w:rsidRPr="00DE3AC9">
        <w:rPr>
          <w:lang w:val="fr-FR"/>
        </w:rPr>
        <w:t>WO 32/9302. Organisation of MI7(b)</w:t>
      </w:r>
    </w:p>
    <w:p w14:paraId="17D663C6" w14:textId="77777777" w:rsidR="0048510E" w:rsidRPr="00DE3AC9" w:rsidRDefault="0048510E" w:rsidP="0048510E">
      <w:pPr>
        <w:rPr>
          <w:lang w:val="fr-FR"/>
        </w:rPr>
      </w:pPr>
    </w:p>
    <w:p w14:paraId="07D0D9F9" w14:textId="77777777" w:rsidR="00130BFA" w:rsidRPr="00DE3AC9" w:rsidRDefault="00130BFA" w:rsidP="0048510E">
      <w:pPr>
        <w:rPr>
          <w:lang w:val="fr-FR"/>
        </w:rPr>
      </w:pPr>
    </w:p>
    <w:p w14:paraId="16BE6C96" w14:textId="77777777" w:rsidR="0048510E" w:rsidRPr="00291285" w:rsidRDefault="0048510E" w:rsidP="0048510E">
      <w:pPr>
        <w:rPr>
          <w:u w:val="single"/>
          <w:lang w:val="fr-FR"/>
        </w:rPr>
      </w:pPr>
      <w:r w:rsidRPr="00291285">
        <w:rPr>
          <w:u w:val="single"/>
          <w:lang w:val="fr-FR"/>
        </w:rPr>
        <w:t>France</w:t>
      </w:r>
    </w:p>
    <w:p w14:paraId="22587F2D" w14:textId="77777777" w:rsidR="0048510E" w:rsidRDefault="0048510E" w:rsidP="0048510E">
      <w:pPr>
        <w:rPr>
          <w:b/>
          <w:lang w:val="fr-FR"/>
        </w:rPr>
      </w:pPr>
      <w:r w:rsidRPr="009E0F73">
        <w:rPr>
          <w:b/>
          <w:lang w:val="fr-FR"/>
        </w:rPr>
        <w:t>Archives Départementales de Haute-Savoie</w:t>
      </w:r>
    </w:p>
    <w:p w14:paraId="38139C2B" w14:textId="77777777" w:rsidR="0048510E" w:rsidRPr="00211D58" w:rsidRDefault="0048510E" w:rsidP="0048510E">
      <w:pPr>
        <w:ind w:left="720"/>
      </w:pPr>
      <w:r w:rsidRPr="00427709">
        <w:t>4 M 513-519. Summaries and transcripts of i</w:t>
      </w:r>
      <w:r w:rsidRPr="00211D58">
        <w:t>nterviews of repatriated</w:t>
      </w:r>
      <w:r>
        <w:t xml:space="preserve"> commenting on aerial propaganda and morale in the occupied territories</w:t>
      </w:r>
    </w:p>
    <w:p w14:paraId="635AE7A6" w14:textId="77777777" w:rsidR="0048510E" w:rsidRPr="00344D7E" w:rsidRDefault="0048510E" w:rsidP="0048510E">
      <w:pPr>
        <w:rPr>
          <w:b/>
          <w:lang w:val="fr-FR"/>
        </w:rPr>
      </w:pPr>
      <w:r w:rsidRPr="00344D7E">
        <w:rPr>
          <w:b/>
          <w:lang w:val="fr-FR"/>
        </w:rPr>
        <w:t>Archives Départementales du Nord</w:t>
      </w:r>
    </w:p>
    <w:p w14:paraId="3175B6D4" w14:textId="77777777" w:rsidR="0048510E" w:rsidRPr="00344D7E" w:rsidRDefault="0048510E" w:rsidP="0048510E">
      <w:pPr>
        <w:ind w:left="720"/>
      </w:pPr>
      <w:r w:rsidRPr="00344D7E">
        <w:rPr>
          <w:lang w:val="fr-FR"/>
        </w:rPr>
        <w:t xml:space="preserve">9R 644. </w:t>
      </w:r>
      <w:r w:rsidRPr="00344D7E">
        <w:t>Letters from France and reports about the occupation</w:t>
      </w:r>
    </w:p>
    <w:p w14:paraId="0BF3AF99" w14:textId="77777777" w:rsidR="0048510E" w:rsidRPr="00427709" w:rsidRDefault="0048510E" w:rsidP="0048510E">
      <w:pPr>
        <w:ind w:firstLine="720"/>
      </w:pPr>
      <w:r w:rsidRPr="00427709">
        <w:t>9R 649. Information about the clandestine press</w:t>
      </w:r>
    </w:p>
    <w:p w14:paraId="1EA42620" w14:textId="77777777" w:rsidR="0048510E" w:rsidRPr="00344D7E" w:rsidRDefault="0048510E" w:rsidP="0048510E">
      <w:pPr>
        <w:ind w:firstLine="720"/>
      </w:pPr>
      <w:r w:rsidRPr="00DF7D2D">
        <w:t xml:space="preserve">9R 785-786. </w:t>
      </w:r>
      <w:r w:rsidRPr="00344D7E">
        <w:t>French and British propaganda by balloons and aeroplanes</w:t>
      </w:r>
    </w:p>
    <w:p w14:paraId="1A574D2E" w14:textId="77777777" w:rsidR="0048510E" w:rsidRPr="00344D7E" w:rsidRDefault="0048510E" w:rsidP="0048510E">
      <w:pPr>
        <w:ind w:firstLine="720"/>
      </w:pPr>
      <w:r w:rsidRPr="00344D7E">
        <w:t xml:space="preserve">9R 788. </w:t>
      </w:r>
      <w:r>
        <w:t xml:space="preserve">Actions taken by the </w:t>
      </w:r>
      <w:r w:rsidRPr="00344D7E">
        <w:t>German</w:t>
      </w:r>
      <w:r>
        <w:t>s to</w:t>
      </w:r>
      <w:r w:rsidRPr="00344D7E">
        <w:t xml:space="preserve"> ban the printed press</w:t>
      </w:r>
    </w:p>
    <w:p w14:paraId="22388FFD" w14:textId="77777777" w:rsidR="0048510E" w:rsidRPr="00344D7E" w:rsidRDefault="0048510E" w:rsidP="0048510E">
      <w:pPr>
        <w:ind w:firstLine="720"/>
      </w:pPr>
      <w:r w:rsidRPr="00344D7E">
        <w:t>9R 789. Censorship and ban of the printed press</w:t>
      </w:r>
    </w:p>
    <w:p w14:paraId="6EF8B22D" w14:textId="77777777" w:rsidR="0048510E" w:rsidRPr="00DF7D2D" w:rsidRDefault="0048510E" w:rsidP="0048510E">
      <w:pPr>
        <w:ind w:firstLine="720"/>
      </w:pPr>
      <w:r w:rsidRPr="00DF7D2D">
        <w:t>9R 790. Newspapers distributed by aviators</w:t>
      </w:r>
    </w:p>
    <w:p w14:paraId="55D85D4F" w14:textId="77777777" w:rsidR="0048510E" w:rsidRPr="00080F90" w:rsidRDefault="0048510E" w:rsidP="0048510E">
      <w:pPr>
        <w:ind w:firstLine="720"/>
        <w:rPr>
          <w:lang w:val="fr-FR"/>
        </w:rPr>
      </w:pPr>
      <w:r w:rsidRPr="00DF7D2D">
        <w:t xml:space="preserve">9R 986. </w:t>
      </w:r>
      <w:r w:rsidRPr="00080F90">
        <w:rPr>
          <w:lang w:val="fr-FR"/>
        </w:rPr>
        <w:t>Anti-German propaganda</w:t>
      </w:r>
    </w:p>
    <w:p w14:paraId="68808E5E" w14:textId="77777777" w:rsidR="0048510E" w:rsidRPr="00344D7E" w:rsidRDefault="0048510E" w:rsidP="0048510E">
      <w:pPr>
        <w:ind w:firstLine="720"/>
        <w:rPr>
          <w:lang w:val="fr-FR"/>
        </w:rPr>
      </w:pPr>
      <w:r>
        <w:rPr>
          <w:lang w:val="fr-FR"/>
        </w:rPr>
        <w:t>9R 987. War propaganda collection</w:t>
      </w:r>
      <w:r w:rsidRPr="00344D7E">
        <w:rPr>
          <w:lang w:val="fr-FR"/>
        </w:rPr>
        <w:t xml:space="preserve"> </w:t>
      </w:r>
    </w:p>
    <w:p w14:paraId="26E290DB" w14:textId="77777777" w:rsidR="0048510E" w:rsidRPr="00DE3AC9" w:rsidRDefault="0048510E" w:rsidP="0048510E">
      <w:pPr>
        <w:rPr>
          <w:b/>
          <w:lang w:val="fr-FR"/>
        </w:rPr>
      </w:pPr>
      <w:r w:rsidRPr="00DE3AC9">
        <w:rPr>
          <w:b/>
          <w:lang w:val="fr-FR"/>
        </w:rPr>
        <w:t>Archives Nationales</w:t>
      </w:r>
    </w:p>
    <w:p w14:paraId="5CDBD9D4" w14:textId="77777777" w:rsidR="0048510E" w:rsidRPr="00903808" w:rsidRDefault="0048510E" w:rsidP="0048510E">
      <w:pPr>
        <w:ind w:left="720"/>
      </w:pPr>
      <w:r w:rsidRPr="00DE3AC9">
        <w:rPr>
          <w:lang w:val="fr-FR"/>
        </w:rPr>
        <w:t xml:space="preserve">72AJ/580. </w:t>
      </w:r>
      <w:r w:rsidRPr="00903808">
        <w:t>Private archives of Raymond Schu</w:t>
      </w:r>
      <w:r>
        <w:t>hl, member of the Service de la Propagande Aérienne</w:t>
      </w:r>
    </w:p>
    <w:p w14:paraId="794083A9" w14:textId="77777777" w:rsidR="0048510E" w:rsidRPr="00427709" w:rsidRDefault="0048510E" w:rsidP="0048510E">
      <w:pPr>
        <w:ind w:left="720"/>
      </w:pPr>
      <w:r w:rsidRPr="00427709">
        <w:t>F41/479. Archives of the Commissariat Général à l’Information containing various reports about French aerial propaganda during the First World War</w:t>
      </w:r>
    </w:p>
    <w:p w14:paraId="3B07EEF1" w14:textId="77777777" w:rsidR="0048510E" w:rsidRPr="00344D7E" w:rsidRDefault="0048510E" w:rsidP="0048510E">
      <w:pPr>
        <w:rPr>
          <w:b/>
          <w:lang w:val="fr-FR"/>
        </w:rPr>
      </w:pPr>
      <w:r w:rsidRPr="00344D7E">
        <w:rPr>
          <w:b/>
          <w:lang w:val="fr-FR"/>
        </w:rPr>
        <w:t>Service Historique de la Défense</w:t>
      </w:r>
    </w:p>
    <w:p w14:paraId="3A6679D4" w14:textId="77777777" w:rsidR="0048510E" w:rsidRPr="00211D58" w:rsidRDefault="0048510E" w:rsidP="0048510E">
      <w:pPr>
        <w:ind w:left="720"/>
      </w:pPr>
      <w:r w:rsidRPr="00DF7D2D">
        <w:rPr>
          <w:lang w:val="fr-FR"/>
        </w:rPr>
        <w:t xml:space="preserve">AA: 1A176-1A177. </w:t>
      </w:r>
      <w:r>
        <w:t>Aviation r</w:t>
      </w:r>
      <w:r w:rsidRPr="00211D58">
        <w:t xml:space="preserve">eports about propaganda distribution, German threats against aviators distributing propaganda and </w:t>
      </w:r>
      <w:r>
        <w:t xml:space="preserve">various other reports </w:t>
      </w:r>
      <w:r w:rsidRPr="00211D58">
        <w:t>about aerial propaganda in general</w:t>
      </w:r>
    </w:p>
    <w:p w14:paraId="085C9189" w14:textId="77777777" w:rsidR="0048510E" w:rsidRDefault="0048510E" w:rsidP="0048510E">
      <w:pPr>
        <w:ind w:firstLine="720"/>
      </w:pPr>
      <w:r w:rsidRPr="00DF7D2D">
        <w:t>AT: 6YE61</w:t>
      </w:r>
      <w:r w:rsidRPr="00A764C8">
        <w:t xml:space="preserve">601. Military file of Raymond </w:t>
      </w:r>
      <w:r>
        <w:t>Schuhl</w:t>
      </w:r>
    </w:p>
    <w:p w14:paraId="6247EE3D" w14:textId="77777777" w:rsidR="0048510E" w:rsidRPr="004F0A24" w:rsidRDefault="0048510E" w:rsidP="0048510E">
      <w:pPr>
        <w:ind w:firstLine="720"/>
        <w:rPr>
          <w:lang w:val="de-DE"/>
        </w:rPr>
      </w:pPr>
      <w:r w:rsidRPr="004F0A24">
        <w:rPr>
          <w:lang w:val="de-DE"/>
        </w:rPr>
        <w:t>AT: 16 N 1569-1571. Archives of the Service de la Propagande Aérienne</w:t>
      </w:r>
    </w:p>
    <w:p w14:paraId="7C8B8036" w14:textId="77777777" w:rsidR="0048510E" w:rsidRPr="004F0A24" w:rsidRDefault="0048510E" w:rsidP="0048510E">
      <w:pPr>
        <w:rPr>
          <w:u w:val="single"/>
          <w:lang w:val="de-DE"/>
        </w:rPr>
      </w:pPr>
    </w:p>
    <w:p w14:paraId="0EC28098" w14:textId="77777777" w:rsidR="0048510E" w:rsidRPr="002D1D14" w:rsidRDefault="0048510E" w:rsidP="0048510E">
      <w:pPr>
        <w:rPr>
          <w:u w:val="single"/>
          <w:lang w:val="de-DE"/>
        </w:rPr>
      </w:pPr>
      <w:r w:rsidRPr="002D1D14">
        <w:rPr>
          <w:u w:val="single"/>
          <w:lang w:val="de-DE"/>
        </w:rPr>
        <w:t>Germany</w:t>
      </w:r>
    </w:p>
    <w:p w14:paraId="56CC0D20" w14:textId="639D7B55" w:rsidR="0048510E" w:rsidRPr="002234BA" w:rsidRDefault="0048510E" w:rsidP="0048510E">
      <w:pPr>
        <w:rPr>
          <w:b/>
          <w:lang w:val="de-DE"/>
        </w:rPr>
      </w:pPr>
      <w:r w:rsidRPr="002234BA">
        <w:rPr>
          <w:b/>
          <w:lang w:val="de-DE"/>
        </w:rPr>
        <w:t>Politisches Archiv des A</w:t>
      </w:r>
      <w:r w:rsidR="004C2552">
        <w:rPr>
          <w:b/>
          <w:lang w:val="de-DE"/>
        </w:rPr>
        <w:t>u</w:t>
      </w:r>
      <w:r w:rsidRPr="002234BA">
        <w:rPr>
          <w:b/>
          <w:lang w:val="de-DE"/>
        </w:rPr>
        <w:t>swärtigen Amts</w:t>
      </w:r>
    </w:p>
    <w:p w14:paraId="6D207085" w14:textId="77777777" w:rsidR="0048510E" w:rsidRDefault="0048510E" w:rsidP="0048510E">
      <w:pPr>
        <w:ind w:left="720"/>
        <w:rPr>
          <w:lang w:val="de-DE"/>
        </w:rPr>
      </w:pPr>
      <w:r w:rsidRPr="002234BA">
        <w:rPr>
          <w:lang w:val="de-DE"/>
        </w:rPr>
        <w:t xml:space="preserve">R </w:t>
      </w:r>
      <w:r w:rsidRPr="002234BA">
        <w:rPr>
          <w:rFonts w:cstheme="minorHAnsi"/>
          <w:lang w:val="de-DE"/>
        </w:rPr>
        <w:t>20324 - 20236</w:t>
      </w:r>
      <w:r w:rsidRPr="002234BA">
        <w:rPr>
          <w:lang w:val="de-DE"/>
        </w:rPr>
        <w:t>: Vertrauliche Mitteilungen der Obersten Heeresleitung über Stimmung und Propaganda an der Front, Januar - Mai 1918</w:t>
      </w:r>
    </w:p>
    <w:p w14:paraId="10898DBD" w14:textId="77777777" w:rsidR="0048510E" w:rsidRDefault="0048510E" w:rsidP="0048510E">
      <w:pPr>
        <w:ind w:left="720"/>
        <w:rPr>
          <w:lang w:val="de-DE"/>
        </w:rPr>
      </w:pPr>
      <w:r w:rsidRPr="002234BA">
        <w:rPr>
          <w:lang w:val="de-DE"/>
        </w:rPr>
        <w:t xml:space="preserve">R </w:t>
      </w:r>
      <w:r w:rsidRPr="002234BA">
        <w:rPr>
          <w:rFonts w:cstheme="minorHAnsi"/>
          <w:lang w:val="de-DE"/>
        </w:rPr>
        <w:t>21362 - 21375</w:t>
      </w:r>
      <w:r w:rsidRPr="002234BA">
        <w:rPr>
          <w:lang w:val="de-DE"/>
        </w:rPr>
        <w:t>: Verwaltung besetzter</w:t>
      </w:r>
      <w:r>
        <w:rPr>
          <w:lang w:val="de-DE"/>
        </w:rPr>
        <w:t xml:space="preserve"> Gebiete - Belgien, 1914 – 1920</w:t>
      </w:r>
    </w:p>
    <w:p w14:paraId="080F4309" w14:textId="77777777" w:rsidR="0048510E" w:rsidRDefault="0048510E" w:rsidP="0048510E">
      <w:pPr>
        <w:ind w:left="720"/>
        <w:rPr>
          <w:lang w:val="de-DE"/>
        </w:rPr>
      </w:pPr>
      <w:r w:rsidRPr="002234BA">
        <w:rPr>
          <w:lang w:val="de-DE"/>
        </w:rPr>
        <w:t xml:space="preserve">R </w:t>
      </w:r>
      <w:r w:rsidRPr="002234BA">
        <w:rPr>
          <w:rFonts w:cstheme="minorHAnsi"/>
          <w:lang w:val="de-DE"/>
        </w:rPr>
        <w:t>21376 - 21377</w:t>
      </w:r>
      <w:r w:rsidRPr="002234BA">
        <w:rPr>
          <w:lang w:val="de-DE"/>
        </w:rPr>
        <w:t>: Verwaltung besetzter Ge</w:t>
      </w:r>
      <w:r>
        <w:rPr>
          <w:lang w:val="de-DE"/>
        </w:rPr>
        <w:t>biete - Frankreich, 1914 – 1919</w:t>
      </w:r>
    </w:p>
    <w:p w14:paraId="4C8B6CA9" w14:textId="77777777" w:rsidR="0048510E" w:rsidRDefault="0048510E" w:rsidP="0048510E">
      <w:pPr>
        <w:ind w:left="720"/>
        <w:rPr>
          <w:lang w:val="de-DE"/>
        </w:rPr>
      </w:pPr>
      <w:r w:rsidRPr="002234BA">
        <w:rPr>
          <w:lang w:val="de-DE"/>
        </w:rPr>
        <w:t xml:space="preserve">R </w:t>
      </w:r>
      <w:r w:rsidRPr="002234BA">
        <w:rPr>
          <w:rFonts w:cstheme="minorHAnsi"/>
          <w:lang w:val="de-DE"/>
        </w:rPr>
        <w:t>21561 - 21571</w:t>
      </w:r>
      <w:r w:rsidRPr="002234BA">
        <w:rPr>
          <w:lang w:val="de-DE"/>
        </w:rPr>
        <w:t>: die Zukunft der besetzten</w:t>
      </w:r>
      <w:r>
        <w:rPr>
          <w:lang w:val="de-DE"/>
        </w:rPr>
        <w:t xml:space="preserve"> Gebiete - Belgien, 1915 – 1920</w:t>
      </w:r>
    </w:p>
    <w:p w14:paraId="1BD478AC" w14:textId="77777777" w:rsidR="0048510E" w:rsidRDefault="0048510E" w:rsidP="0048510E">
      <w:pPr>
        <w:ind w:left="720"/>
        <w:rPr>
          <w:lang w:val="de-DE"/>
        </w:rPr>
      </w:pPr>
      <w:r w:rsidRPr="002234BA">
        <w:rPr>
          <w:lang w:val="de-DE"/>
        </w:rPr>
        <w:t xml:space="preserve">R </w:t>
      </w:r>
      <w:r w:rsidRPr="002234BA">
        <w:rPr>
          <w:rFonts w:cstheme="minorHAnsi"/>
          <w:lang w:val="de-DE"/>
        </w:rPr>
        <w:t>21572 - 21573</w:t>
      </w:r>
      <w:r w:rsidRPr="002234BA">
        <w:rPr>
          <w:lang w:val="de-DE"/>
        </w:rPr>
        <w:t>: die Zukunft der besetzten Ge</w:t>
      </w:r>
      <w:r>
        <w:rPr>
          <w:lang w:val="de-DE"/>
        </w:rPr>
        <w:t>biete - Frankreich, 1915 – 1920</w:t>
      </w:r>
    </w:p>
    <w:p w14:paraId="412619D4" w14:textId="7FB58B45" w:rsidR="0048510E" w:rsidRDefault="0048510E" w:rsidP="0048510E">
      <w:pPr>
        <w:ind w:left="720"/>
        <w:rPr>
          <w:lang w:val="de-DE"/>
        </w:rPr>
      </w:pPr>
      <w:r w:rsidRPr="002234BA">
        <w:rPr>
          <w:lang w:val="de-DE"/>
        </w:rPr>
        <w:t>R 22151 - 22153: Akten des Auswärtigen Amts im Großen Hauptq</w:t>
      </w:r>
      <w:r w:rsidR="0090011D">
        <w:rPr>
          <w:lang w:val="de-DE"/>
        </w:rPr>
        <w:t>uartier</w:t>
      </w:r>
      <w:r>
        <w:rPr>
          <w:lang w:val="de-DE"/>
        </w:rPr>
        <w:t xml:space="preserve"> - Belgien, 1916 – 1918</w:t>
      </w:r>
    </w:p>
    <w:p w14:paraId="6DB9AE75" w14:textId="77777777" w:rsidR="0048510E" w:rsidRPr="002234BA" w:rsidRDefault="0048510E" w:rsidP="0048510E">
      <w:pPr>
        <w:ind w:left="720"/>
        <w:rPr>
          <w:lang w:val="de-DE"/>
        </w:rPr>
      </w:pPr>
      <w:r w:rsidRPr="002234BA">
        <w:rPr>
          <w:lang w:val="de-DE"/>
        </w:rPr>
        <w:t>R 22187 - 22191: Akten des Auswärtigen Amts im Großen Hauptquartiers - Frankreich, 1915 – 1919</w:t>
      </w:r>
    </w:p>
    <w:p w14:paraId="0766B38C" w14:textId="77777777" w:rsidR="0048510E" w:rsidRPr="002234BA" w:rsidRDefault="0048510E" w:rsidP="0048510E">
      <w:pPr>
        <w:rPr>
          <w:u w:val="single"/>
          <w:lang w:val="de-DE"/>
        </w:rPr>
      </w:pPr>
    </w:p>
    <w:p w14:paraId="0A02AAD9" w14:textId="77777777" w:rsidR="008C6A86" w:rsidRPr="004F0A24" w:rsidRDefault="008C6A86" w:rsidP="008C6A86">
      <w:pPr>
        <w:rPr>
          <w:u w:val="single"/>
        </w:rPr>
      </w:pPr>
      <w:r w:rsidRPr="004F0A24">
        <w:rPr>
          <w:u w:val="single"/>
        </w:rPr>
        <w:t>Switzerland</w:t>
      </w:r>
    </w:p>
    <w:p w14:paraId="23610806" w14:textId="77777777" w:rsidR="008C6A86" w:rsidRPr="004F0A24" w:rsidRDefault="008C6A86" w:rsidP="008C6A86">
      <w:pPr>
        <w:rPr>
          <w:b/>
        </w:rPr>
      </w:pPr>
      <w:r w:rsidRPr="004F0A24">
        <w:rPr>
          <w:b/>
        </w:rPr>
        <w:t>Swiss Federal Archives</w:t>
      </w:r>
    </w:p>
    <w:p w14:paraId="5C7D82B4" w14:textId="77777777" w:rsidR="008C6A86" w:rsidRDefault="008C6A86" w:rsidP="008C6A86">
      <w:r w:rsidRPr="004F0A24">
        <w:tab/>
        <w:t xml:space="preserve">E27/1000. </w:t>
      </w:r>
      <w:r>
        <w:t>Reports about French and German propaganda in Switzerland</w:t>
      </w:r>
    </w:p>
    <w:p w14:paraId="560C19E4" w14:textId="77777777" w:rsidR="008C6A86" w:rsidRDefault="008C6A86" w:rsidP="0048510E">
      <w:pPr>
        <w:rPr>
          <w:u w:val="single"/>
        </w:rPr>
      </w:pPr>
    </w:p>
    <w:p w14:paraId="294A2C40" w14:textId="77777777" w:rsidR="0048510E" w:rsidRPr="007D47CD" w:rsidRDefault="0048510E" w:rsidP="0048510E">
      <w:pPr>
        <w:rPr>
          <w:u w:val="single"/>
        </w:rPr>
      </w:pPr>
      <w:r w:rsidRPr="007D47CD">
        <w:rPr>
          <w:u w:val="single"/>
        </w:rPr>
        <w:t>Private collection</w:t>
      </w:r>
    </w:p>
    <w:p w14:paraId="1D9066B9" w14:textId="77777777" w:rsidR="0048510E" w:rsidRDefault="0048510E" w:rsidP="0048510E">
      <w:r>
        <w:t>War diary of Notary Hambye of Mons</w:t>
      </w:r>
    </w:p>
    <w:p w14:paraId="47C18805" w14:textId="77777777" w:rsidR="0048510E" w:rsidRDefault="0048510E" w:rsidP="0048510E"/>
    <w:p w14:paraId="668C0639" w14:textId="77777777" w:rsidR="0048510E" w:rsidRPr="00130BFA" w:rsidRDefault="0048510E" w:rsidP="0048510E">
      <w:pPr>
        <w:rPr>
          <w:b/>
          <w:sz w:val="24"/>
          <w:szCs w:val="24"/>
          <w:lang w:val="fr-FR"/>
        </w:rPr>
      </w:pPr>
      <w:r w:rsidRPr="00130BFA">
        <w:rPr>
          <w:b/>
          <w:sz w:val="24"/>
          <w:szCs w:val="24"/>
          <w:lang w:val="fr-FR"/>
        </w:rPr>
        <w:t xml:space="preserve">Newspapers </w:t>
      </w:r>
    </w:p>
    <w:p w14:paraId="24D7B3D1" w14:textId="77777777" w:rsidR="0048510E" w:rsidRDefault="0048510E" w:rsidP="0048510E">
      <w:pPr>
        <w:jc w:val="both"/>
        <w:rPr>
          <w:bCs/>
          <w:u w:val="single"/>
          <w:lang w:val="fr-FR"/>
        </w:rPr>
      </w:pPr>
      <w:r w:rsidRPr="00CD1FE0">
        <w:rPr>
          <w:bCs/>
          <w:u w:val="single"/>
          <w:lang w:val="fr-FR"/>
        </w:rPr>
        <w:t>Belgium</w:t>
      </w:r>
    </w:p>
    <w:p w14:paraId="021A1D1D" w14:textId="77777777" w:rsidR="00F4344C" w:rsidRDefault="00F4344C" w:rsidP="0048510E">
      <w:pPr>
        <w:jc w:val="both"/>
        <w:rPr>
          <w:bCs/>
          <w:lang w:val="fr-FR"/>
        </w:rPr>
      </w:pPr>
      <w:r>
        <w:rPr>
          <w:bCs/>
          <w:lang w:val="fr-FR"/>
        </w:rPr>
        <w:tab/>
        <w:t>Aerial newspapers</w:t>
      </w:r>
    </w:p>
    <w:p w14:paraId="3EDBA040" w14:textId="77777777" w:rsidR="00F4344C" w:rsidRPr="00E13EC7" w:rsidRDefault="00F4344C" w:rsidP="00F4344C">
      <w:pPr>
        <w:ind w:left="720" w:firstLine="720"/>
        <w:jc w:val="both"/>
        <w:rPr>
          <w:b/>
          <w:bCs/>
          <w:lang w:val="fr-FR"/>
        </w:rPr>
      </w:pPr>
      <w:r>
        <w:rPr>
          <w:bCs/>
          <w:i/>
          <w:lang w:val="fr-FR"/>
        </w:rPr>
        <w:t>Les B</w:t>
      </w:r>
      <w:r w:rsidRPr="00E13EC7">
        <w:rPr>
          <w:bCs/>
          <w:i/>
          <w:lang w:val="fr-FR"/>
        </w:rPr>
        <w:t xml:space="preserve">onnes nouvelles, </w:t>
      </w:r>
      <w:r w:rsidRPr="00E13EC7">
        <w:rPr>
          <w:bCs/>
          <w:lang w:val="fr-FR"/>
        </w:rPr>
        <w:t>1918</w:t>
      </w:r>
    </w:p>
    <w:p w14:paraId="0A9F925E" w14:textId="77777777" w:rsidR="00F4344C" w:rsidRDefault="00F4344C" w:rsidP="00F4344C">
      <w:pPr>
        <w:ind w:left="1440"/>
        <w:jc w:val="both"/>
        <w:rPr>
          <w:bCs/>
          <w:lang w:val="fr-FR"/>
        </w:rPr>
      </w:pPr>
      <w:r>
        <w:rPr>
          <w:bCs/>
          <w:i/>
          <w:lang w:val="fr-FR"/>
        </w:rPr>
        <w:t>Le C</w:t>
      </w:r>
      <w:r w:rsidRPr="00E13EC7">
        <w:rPr>
          <w:bCs/>
          <w:i/>
          <w:lang w:val="fr-FR"/>
        </w:rPr>
        <w:t>lairon du Roi</w:t>
      </w:r>
      <w:r w:rsidRPr="00E13EC7">
        <w:rPr>
          <w:bCs/>
          <w:lang w:val="fr-FR"/>
        </w:rPr>
        <w:t>, 1916</w:t>
      </w:r>
      <w:r>
        <w:rPr>
          <w:bCs/>
          <w:lang w:val="fr-FR"/>
        </w:rPr>
        <w:t xml:space="preserve"> - 1917</w:t>
      </w:r>
    </w:p>
    <w:p w14:paraId="26BEE5D5" w14:textId="77777777" w:rsidR="00F4344C" w:rsidRDefault="00F4344C" w:rsidP="00F4344C">
      <w:pPr>
        <w:ind w:left="1440"/>
        <w:jc w:val="both"/>
        <w:rPr>
          <w:bCs/>
          <w:lang w:val="fr-FR"/>
        </w:rPr>
      </w:pPr>
      <w:r w:rsidRPr="002D1D14">
        <w:rPr>
          <w:bCs/>
          <w:i/>
          <w:lang w:val="fr-FR"/>
        </w:rPr>
        <w:t>La Lettre du soldat</w:t>
      </w:r>
      <w:r w:rsidRPr="002D1D14">
        <w:rPr>
          <w:bCs/>
          <w:lang w:val="fr-FR"/>
        </w:rPr>
        <w:t>, 1916 – 1918</w:t>
      </w:r>
    </w:p>
    <w:p w14:paraId="0483F360" w14:textId="77777777" w:rsidR="00F4344C" w:rsidRDefault="00F4344C" w:rsidP="00F4344C">
      <w:pPr>
        <w:ind w:firstLine="720"/>
        <w:jc w:val="both"/>
        <w:rPr>
          <w:bCs/>
          <w:lang w:val="fr-FR"/>
        </w:rPr>
      </w:pPr>
      <w:r>
        <w:rPr>
          <w:bCs/>
          <w:lang w:val="fr-FR"/>
        </w:rPr>
        <w:t>Clandestine press</w:t>
      </w:r>
    </w:p>
    <w:p w14:paraId="551C58EE" w14:textId="77777777" w:rsidR="00F4344C" w:rsidRPr="00CD1FE0" w:rsidRDefault="00F4344C" w:rsidP="00F4344C">
      <w:pPr>
        <w:ind w:left="1440"/>
        <w:jc w:val="both"/>
        <w:rPr>
          <w:bCs/>
          <w:lang w:val="fr-FR"/>
        </w:rPr>
      </w:pPr>
      <w:r w:rsidRPr="00CD1FE0">
        <w:rPr>
          <w:bCs/>
          <w:i/>
          <w:lang w:val="fr-FR"/>
        </w:rPr>
        <w:t xml:space="preserve">L’Autre Cloche, </w:t>
      </w:r>
      <w:r w:rsidRPr="00CD1FE0">
        <w:rPr>
          <w:bCs/>
          <w:lang w:val="fr-FR"/>
        </w:rPr>
        <w:t>1918</w:t>
      </w:r>
    </w:p>
    <w:p w14:paraId="3B8C7EFF" w14:textId="77777777" w:rsidR="00F4344C" w:rsidRDefault="00F4344C" w:rsidP="00F4344C">
      <w:pPr>
        <w:ind w:left="720" w:firstLine="720"/>
        <w:jc w:val="both"/>
        <w:rPr>
          <w:bCs/>
          <w:lang w:val="fr-FR"/>
        </w:rPr>
      </w:pPr>
      <w:r w:rsidRPr="0069273F">
        <w:rPr>
          <w:bCs/>
          <w:i/>
          <w:iCs/>
          <w:lang w:val="fr-FR"/>
        </w:rPr>
        <w:t xml:space="preserve">La Belgique, </w:t>
      </w:r>
      <w:r>
        <w:rPr>
          <w:bCs/>
          <w:lang w:val="fr-FR"/>
        </w:rPr>
        <w:t>1916</w:t>
      </w:r>
    </w:p>
    <w:p w14:paraId="17F0E2FE" w14:textId="77777777" w:rsidR="00F4344C" w:rsidRPr="00F4344C" w:rsidRDefault="00F4344C" w:rsidP="00F4344C">
      <w:pPr>
        <w:ind w:firstLine="720"/>
        <w:jc w:val="both"/>
        <w:rPr>
          <w:bCs/>
          <w:lang w:val="fr-FR"/>
        </w:rPr>
      </w:pPr>
      <w:r>
        <w:rPr>
          <w:bCs/>
          <w:lang w:val="fr-FR"/>
        </w:rPr>
        <w:t>Pro-German newspapers</w:t>
      </w:r>
    </w:p>
    <w:p w14:paraId="0F40E266" w14:textId="77777777" w:rsidR="00817BD9" w:rsidRDefault="00817BD9" w:rsidP="00F4344C">
      <w:pPr>
        <w:ind w:left="1440"/>
        <w:jc w:val="both"/>
        <w:rPr>
          <w:bCs/>
          <w:iCs/>
          <w:lang w:val="fr-FR"/>
        </w:rPr>
      </w:pPr>
      <w:r>
        <w:rPr>
          <w:bCs/>
          <w:i/>
          <w:lang w:val="fr-FR"/>
        </w:rPr>
        <w:t>L’Ami de l’ordre</w:t>
      </w:r>
      <w:r>
        <w:rPr>
          <w:bCs/>
          <w:iCs/>
          <w:lang w:val="fr-FR"/>
        </w:rPr>
        <w:t>, 1914-1918</w:t>
      </w:r>
    </w:p>
    <w:p w14:paraId="473A1867" w14:textId="77777777" w:rsidR="00F4344C" w:rsidRPr="00F4344C" w:rsidRDefault="00F4344C" w:rsidP="00F4344C">
      <w:pPr>
        <w:ind w:left="1440"/>
        <w:jc w:val="both"/>
        <w:rPr>
          <w:bCs/>
          <w:iCs/>
          <w:lang w:val="fr-FR"/>
        </w:rPr>
      </w:pPr>
      <w:r>
        <w:rPr>
          <w:bCs/>
          <w:i/>
          <w:iCs/>
          <w:lang w:val="fr-FR"/>
        </w:rPr>
        <w:t>La Belgique</w:t>
      </w:r>
      <w:r>
        <w:rPr>
          <w:bCs/>
          <w:iCs/>
          <w:lang w:val="fr-FR"/>
        </w:rPr>
        <w:t>, 1917-1918</w:t>
      </w:r>
    </w:p>
    <w:p w14:paraId="1AC70DD9" w14:textId="77777777" w:rsidR="00F4344C" w:rsidRPr="00F4344C" w:rsidRDefault="00F4344C" w:rsidP="00F4344C">
      <w:pPr>
        <w:ind w:left="1440"/>
        <w:jc w:val="both"/>
        <w:rPr>
          <w:bCs/>
          <w:iCs/>
          <w:lang w:val="fr-FR"/>
        </w:rPr>
      </w:pPr>
      <w:r>
        <w:rPr>
          <w:bCs/>
          <w:i/>
          <w:iCs/>
          <w:lang w:val="fr-FR"/>
        </w:rPr>
        <w:t>Le Bruxellois</w:t>
      </w:r>
      <w:r>
        <w:rPr>
          <w:bCs/>
          <w:iCs/>
          <w:lang w:val="fr-FR"/>
        </w:rPr>
        <w:t>, 1916-1917</w:t>
      </w:r>
    </w:p>
    <w:p w14:paraId="616AFCEC" w14:textId="77777777" w:rsidR="00F4344C" w:rsidRDefault="00F4344C" w:rsidP="00F4344C">
      <w:pPr>
        <w:ind w:left="1440"/>
        <w:jc w:val="both"/>
        <w:rPr>
          <w:bCs/>
          <w:lang w:val="fr-FR"/>
        </w:rPr>
      </w:pPr>
      <w:r>
        <w:rPr>
          <w:bCs/>
          <w:i/>
          <w:lang w:val="fr-FR"/>
        </w:rPr>
        <w:t>L’Echo de Liège</w:t>
      </w:r>
      <w:r>
        <w:rPr>
          <w:bCs/>
          <w:lang w:val="fr-FR"/>
        </w:rPr>
        <w:t>, 1915</w:t>
      </w:r>
    </w:p>
    <w:p w14:paraId="6075C153" w14:textId="77777777" w:rsidR="00F4344C" w:rsidRPr="00F4344C" w:rsidRDefault="00F4344C" w:rsidP="00F4344C">
      <w:pPr>
        <w:ind w:left="1440"/>
        <w:jc w:val="both"/>
        <w:rPr>
          <w:bCs/>
          <w:lang w:val="nl-NL"/>
        </w:rPr>
      </w:pPr>
      <w:r w:rsidRPr="00F4344C">
        <w:rPr>
          <w:bCs/>
          <w:i/>
          <w:lang w:val="nl-NL"/>
        </w:rPr>
        <w:t>Nieuwe Gentsche Courant</w:t>
      </w:r>
      <w:r w:rsidRPr="00F4344C">
        <w:rPr>
          <w:bCs/>
          <w:lang w:val="nl-NL"/>
        </w:rPr>
        <w:t>, 1918</w:t>
      </w:r>
    </w:p>
    <w:p w14:paraId="208673F5" w14:textId="77777777" w:rsidR="00F4344C" w:rsidRPr="00F4344C" w:rsidRDefault="00F4344C" w:rsidP="00F4344C">
      <w:pPr>
        <w:ind w:left="1440"/>
        <w:jc w:val="both"/>
        <w:rPr>
          <w:bCs/>
          <w:lang w:val="nl-NL"/>
        </w:rPr>
      </w:pPr>
      <w:r w:rsidRPr="00F4344C">
        <w:rPr>
          <w:bCs/>
          <w:i/>
          <w:lang w:val="nl-NL"/>
        </w:rPr>
        <w:t>Het Vlaamsche Nieuws</w:t>
      </w:r>
      <w:r w:rsidRPr="00F4344C">
        <w:rPr>
          <w:bCs/>
          <w:lang w:val="nl-NL"/>
        </w:rPr>
        <w:t>, 1917 – 1918</w:t>
      </w:r>
    </w:p>
    <w:p w14:paraId="611B3992" w14:textId="77777777" w:rsidR="00F4344C" w:rsidRPr="004F0A24" w:rsidRDefault="00F4344C" w:rsidP="00F4344C">
      <w:pPr>
        <w:ind w:left="1440"/>
        <w:jc w:val="both"/>
        <w:rPr>
          <w:b/>
          <w:bCs/>
          <w:lang w:val="fr-FR"/>
        </w:rPr>
      </w:pPr>
      <w:r w:rsidRPr="004F0A24">
        <w:rPr>
          <w:bCs/>
          <w:i/>
          <w:lang w:val="fr-FR"/>
        </w:rPr>
        <w:t>Vooruit</w:t>
      </w:r>
      <w:r w:rsidRPr="004F0A24">
        <w:rPr>
          <w:bCs/>
          <w:lang w:val="fr-FR"/>
        </w:rPr>
        <w:t>, 1918</w:t>
      </w:r>
    </w:p>
    <w:p w14:paraId="6C7C7F63" w14:textId="77777777" w:rsidR="0048510E" w:rsidRPr="004F0A24" w:rsidRDefault="0048510E" w:rsidP="0048510E">
      <w:pPr>
        <w:jc w:val="both"/>
        <w:rPr>
          <w:bCs/>
          <w:lang w:val="fr-FR"/>
        </w:rPr>
      </w:pPr>
    </w:p>
    <w:p w14:paraId="7F2FE1A3" w14:textId="77777777" w:rsidR="0048510E" w:rsidRPr="00CD1FE0" w:rsidRDefault="0048510E" w:rsidP="0048510E">
      <w:pPr>
        <w:jc w:val="both"/>
        <w:rPr>
          <w:bCs/>
          <w:u w:val="single"/>
          <w:lang w:val="fr-FR"/>
        </w:rPr>
      </w:pPr>
      <w:r w:rsidRPr="00CD1FE0">
        <w:rPr>
          <w:bCs/>
          <w:u w:val="single"/>
          <w:lang w:val="fr-FR"/>
        </w:rPr>
        <w:t>Britain</w:t>
      </w:r>
    </w:p>
    <w:p w14:paraId="6AF020F9" w14:textId="77777777" w:rsidR="00E71DA2" w:rsidRPr="00E71DA2" w:rsidRDefault="00E71DA2" w:rsidP="0048510E">
      <w:pPr>
        <w:jc w:val="both"/>
        <w:rPr>
          <w:iCs/>
          <w:lang w:val="fr-FR"/>
        </w:rPr>
      </w:pPr>
      <w:r>
        <w:rPr>
          <w:iCs/>
          <w:lang w:val="fr-FR"/>
        </w:rPr>
        <w:tab/>
        <w:t>Aerial newspapers</w:t>
      </w:r>
    </w:p>
    <w:p w14:paraId="192DECEA" w14:textId="77777777" w:rsidR="008C6A86" w:rsidRPr="00CD1FE0" w:rsidRDefault="008C6A86" w:rsidP="00E71DA2">
      <w:pPr>
        <w:ind w:left="720" w:firstLine="720"/>
        <w:jc w:val="both"/>
        <w:rPr>
          <w:lang w:val="fr-FR"/>
        </w:rPr>
      </w:pPr>
      <w:r w:rsidRPr="00CD1FE0">
        <w:rPr>
          <w:i/>
          <w:iCs/>
          <w:lang w:val="fr-FR"/>
        </w:rPr>
        <w:t>Le Courrier de l’Air</w:t>
      </w:r>
      <w:r w:rsidRPr="00CD1FE0">
        <w:rPr>
          <w:lang w:val="fr-FR"/>
        </w:rPr>
        <w:t>, 1917-1918</w:t>
      </w:r>
    </w:p>
    <w:p w14:paraId="11E69B9C" w14:textId="77777777" w:rsidR="00E71DA2" w:rsidRPr="004F0A24" w:rsidRDefault="00E71DA2" w:rsidP="0048510E">
      <w:pPr>
        <w:jc w:val="both"/>
        <w:rPr>
          <w:iCs/>
        </w:rPr>
      </w:pPr>
      <w:r>
        <w:rPr>
          <w:i/>
          <w:iCs/>
          <w:lang w:val="fr-FR"/>
        </w:rPr>
        <w:tab/>
      </w:r>
      <w:r w:rsidRPr="004F0A24">
        <w:rPr>
          <w:iCs/>
        </w:rPr>
        <w:t>National and regional presse</w:t>
      </w:r>
    </w:p>
    <w:p w14:paraId="56EC77E7" w14:textId="77777777" w:rsidR="0048510E" w:rsidRPr="00E13EC7" w:rsidRDefault="0048510E" w:rsidP="00E71DA2">
      <w:pPr>
        <w:ind w:left="1440"/>
        <w:jc w:val="both"/>
        <w:rPr>
          <w:b/>
          <w:bCs/>
        </w:rPr>
      </w:pPr>
      <w:r w:rsidRPr="0069273F">
        <w:rPr>
          <w:i/>
          <w:iCs/>
        </w:rPr>
        <w:t>District Orders</w:t>
      </w:r>
      <w:r w:rsidRPr="0069273F">
        <w:t xml:space="preserve"> (</w:t>
      </w:r>
      <w:r w:rsidRPr="0069273F">
        <w:rPr>
          <w:i/>
          <w:iCs/>
        </w:rPr>
        <w:t>London District)</w:t>
      </w:r>
      <w:r w:rsidRPr="0069273F">
        <w:t xml:space="preserve"> No. 62, para. </w:t>
      </w:r>
      <w:r>
        <w:t>2, 21.05.1917</w:t>
      </w:r>
    </w:p>
    <w:p w14:paraId="48C0B6A7" w14:textId="77777777" w:rsidR="0048510E" w:rsidRDefault="0048510E" w:rsidP="00E71DA2">
      <w:pPr>
        <w:ind w:left="1440"/>
        <w:jc w:val="both"/>
      </w:pPr>
      <w:r w:rsidRPr="00E13EC7">
        <w:rPr>
          <w:i/>
          <w:iCs/>
        </w:rPr>
        <w:t xml:space="preserve">Flight, </w:t>
      </w:r>
      <w:r>
        <w:t>1918</w:t>
      </w:r>
    </w:p>
    <w:p w14:paraId="242C076D" w14:textId="77777777" w:rsidR="0048510E" w:rsidRPr="001652EC" w:rsidRDefault="0048510E" w:rsidP="00E71DA2">
      <w:pPr>
        <w:ind w:left="1440"/>
        <w:jc w:val="both"/>
        <w:rPr>
          <w:b/>
          <w:bCs/>
        </w:rPr>
      </w:pPr>
      <w:r>
        <w:rPr>
          <w:i/>
        </w:rPr>
        <w:t xml:space="preserve">The Times, </w:t>
      </w:r>
      <w:r>
        <w:t>1918</w:t>
      </w:r>
    </w:p>
    <w:p w14:paraId="4825A382" w14:textId="77777777" w:rsidR="0048510E" w:rsidRPr="00E13EC7" w:rsidRDefault="0048510E" w:rsidP="00E71DA2">
      <w:pPr>
        <w:ind w:left="1440"/>
        <w:jc w:val="both"/>
        <w:rPr>
          <w:b/>
          <w:bCs/>
        </w:rPr>
      </w:pPr>
      <w:r w:rsidRPr="00E13EC7">
        <w:rPr>
          <w:i/>
          <w:iCs/>
        </w:rPr>
        <w:t>The Times: History and encyclopaedia of the war</w:t>
      </w:r>
      <w:r>
        <w:t>, Part 270, Vol. 21, Dec. 30 1919</w:t>
      </w:r>
    </w:p>
    <w:p w14:paraId="66FE93EE" w14:textId="77777777" w:rsidR="0048510E" w:rsidRPr="007D47CD" w:rsidRDefault="0048510E" w:rsidP="0048510E">
      <w:pPr>
        <w:jc w:val="both"/>
        <w:rPr>
          <w:u w:val="single"/>
        </w:rPr>
      </w:pPr>
    </w:p>
    <w:p w14:paraId="4F7E0C45" w14:textId="77777777" w:rsidR="0048510E" w:rsidRPr="00E13EC7" w:rsidRDefault="0048510E" w:rsidP="0048510E">
      <w:pPr>
        <w:jc w:val="both"/>
        <w:rPr>
          <w:u w:val="single"/>
          <w:lang w:val="fr-FR"/>
        </w:rPr>
      </w:pPr>
      <w:r w:rsidRPr="00E13EC7">
        <w:rPr>
          <w:u w:val="single"/>
          <w:lang w:val="fr-FR"/>
        </w:rPr>
        <w:t>France</w:t>
      </w:r>
    </w:p>
    <w:p w14:paraId="31A981BE" w14:textId="77777777" w:rsidR="00F4344C" w:rsidRPr="00F4344C" w:rsidRDefault="00F4344C" w:rsidP="0048510E">
      <w:pPr>
        <w:jc w:val="both"/>
        <w:rPr>
          <w:iCs/>
          <w:lang w:val="fr-FR"/>
        </w:rPr>
      </w:pPr>
      <w:r>
        <w:rPr>
          <w:iCs/>
          <w:lang w:val="fr-FR"/>
        </w:rPr>
        <w:tab/>
        <w:t>Aerial newspapers</w:t>
      </w:r>
    </w:p>
    <w:p w14:paraId="4EE32539" w14:textId="77777777" w:rsidR="0048510E" w:rsidRDefault="0048510E" w:rsidP="00F4344C">
      <w:pPr>
        <w:ind w:left="1440"/>
        <w:jc w:val="both"/>
        <w:rPr>
          <w:lang w:val="fr-FR"/>
        </w:rPr>
      </w:pPr>
      <w:r w:rsidRPr="00E13EC7">
        <w:rPr>
          <w:i/>
          <w:iCs/>
          <w:lang w:val="fr-FR"/>
        </w:rPr>
        <w:t>Le Ballon Poste</w:t>
      </w:r>
      <w:r w:rsidRPr="00E13EC7">
        <w:rPr>
          <w:lang w:val="fr-FR"/>
        </w:rPr>
        <w:t xml:space="preserve">, 1870 </w:t>
      </w:r>
      <w:r>
        <w:rPr>
          <w:lang w:val="fr-FR"/>
        </w:rPr>
        <w:t>–</w:t>
      </w:r>
      <w:r w:rsidRPr="00E13EC7">
        <w:rPr>
          <w:lang w:val="fr-FR"/>
        </w:rPr>
        <w:t xml:space="preserve"> 1871</w:t>
      </w:r>
    </w:p>
    <w:p w14:paraId="7B17D551" w14:textId="77777777" w:rsidR="0048510E" w:rsidRPr="00E13EC7" w:rsidRDefault="0048510E" w:rsidP="00F4344C">
      <w:pPr>
        <w:ind w:left="1440"/>
        <w:jc w:val="both"/>
        <w:rPr>
          <w:lang w:val="fr-FR"/>
        </w:rPr>
      </w:pPr>
      <w:r w:rsidRPr="00E13EC7">
        <w:rPr>
          <w:i/>
          <w:iCs/>
          <w:lang w:val="fr-FR"/>
        </w:rPr>
        <w:t xml:space="preserve">La Dépêche Ballon, </w:t>
      </w:r>
      <w:r w:rsidRPr="00E13EC7">
        <w:rPr>
          <w:lang w:val="fr-FR"/>
        </w:rPr>
        <w:t>1870 - 1871</w:t>
      </w:r>
    </w:p>
    <w:p w14:paraId="5C5F8DEB" w14:textId="77777777" w:rsidR="0048510E" w:rsidRDefault="0048510E" w:rsidP="00F4344C">
      <w:pPr>
        <w:ind w:left="1440"/>
        <w:jc w:val="both"/>
        <w:rPr>
          <w:lang w:val="fr-FR"/>
        </w:rPr>
      </w:pPr>
      <w:r w:rsidRPr="00E13EC7">
        <w:rPr>
          <w:i/>
          <w:iCs/>
          <w:lang w:val="fr-FR"/>
        </w:rPr>
        <w:t>La Gazette des Ardennes</w:t>
      </w:r>
      <w:r w:rsidRPr="00E13EC7">
        <w:rPr>
          <w:lang w:val="fr-FR"/>
        </w:rPr>
        <w:t>, Fake editions published by the ‘Service de la Propagande Aérienne’</w:t>
      </w:r>
    </w:p>
    <w:p w14:paraId="58D45633" w14:textId="77777777" w:rsidR="00F4344C" w:rsidRPr="00E13EC7" w:rsidRDefault="00F4344C" w:rsidP="00F4344C">
      <w:pPr>
        <w:ind w:left="1440"/>
        <w:jc w:val="both"/>
        <w:rPr>
          <w:lang w:val="fr-FR"/>
        </w:rPr>
      </w:pPr>
      <w:r w:rsidRPr="00E13EC7">
        <w:rPr>
          <w:i/>
          <w:iCs/>
          <w:lang w:val="fr-FR"/>
        </w:rPr>
        <w:t>La Voix du Pays</w:t>
      </w:r>
      <w:r w:rsidRPr="00E13EC7">
        <w:rPr>
          <w:lang w:val="fr-FR"/>
        </w:rPr>
        <w:t>, 1915 – 1918</w:t>
      </w:r>
    </w:p>
    <w:p w14:paraId="64FBB698" w14:textId="77777777" w:rsidR="00F4344C" w:rsidRPr="00E13EC7" w:rsidRDefault="00F4344C" w:rsidP="0048510E">
      <w:pPr>
        <w:jc w:val="both"/>
        <w:rPr>
          <w:lang w:val="fr-FR"/>
        </w:rPr>
      </w:pPr>
      <w:r>
        <w:rPr>
          <w:lang w:val="fr-FR"/>
        </w:rPr>
        <w:tab/>
        <w:t>Clandestine press</w:t>
      </w:r>
    </w:p>
    <w:p w14:paraId="2798DDC8" w14:textId="77777777" w:rsidR="0048510E" w:rsidRPr="00787405" w:rsidRDefault="0048510E" w:rsidP="00F4344C">
      <w:pPr>
        <w:ind w:left="720" w:firstLine="720"/>
        <w:jc w:val="both"/>
        <w:rPr>
          <w:iCs/>
          <w:lang w:val="fr-FR"/>
        </w:rPr>
      </w:pPr>
      <w:r>
        <w:rPr>
          <w:i/>
          <w:iCs/>
          <w:lang w:val="fr-FR"/>
        </w:rPr>
        <w:t xml:space="preserve">Le Journal des occupés…inoccupés </w:t>
      </w:r>
      <w:r>
        <w:rPr>
          <w:iCs/>
          <w:lang w:val="fr-FR"/>
        </w:rPr>
        <w:t>(various other names), 1915-1916</w:t>
      </w:r>
    </w:p>
    <w:p w14:paraId="2E80FF19" w14:textId="77777777" w:rsidR="00F4344C" w:rsidRDefault="00F4344C" w:rsidP="00F4344C">
      <w:pPr>
        <w:ind w:firstLine="720"/>
        <w:jc w:val="both"/>
        <w:rPr>
          <w:lang w:val="fr-FR"/>
        </w:rPr>
      </w:pPr>
      <w:r>
        <w:rPr>
          <w:lang w:val="fr-FR"/>
        </w:rPr>
        <w:t>National press</w:t>
      </w:r>
    </w:p>
    <w:p w14:paraId="4CA9288C" w14:textId="462D045E" w:rsidR="00DC5E72" w:rsidRPr="00DC5E72" w:rsidRDefault="00DC5E72" w:rsidP="00F4344C">
      <w:pPr>
        <w:ind w:firstLine="720"/>
        <w:jc w:val="both"/>
        <w:rPr>
          <w:lang w:val="fr-FR"/>
        </w:rPr>
      </w:pPr>
      <w:r>
        <w:rPr>
          <w:lang w:val="fr-FR"/>
        </w:rPr>
        <w:tab/>
      </w:r>
      <w:r>
        <w:rPr>
          <w:i/>
          <w:lang w:val="fr-FR"/>
        </w:rPr>
        <w:t xml:space="preserve">La Baïonnette, </w:t>
      </w:r>
      <w:r>
        <w:rPr>
          <w:lang w:val="fr-FR"/>
        </w:rPr>
        <w:t>1916</w:t>
      </w:r>
    </w:p>
    <w:p w14:paraId="25C739D3" w14:textId="77777777" w:rsidR="00F4344C" w:rsidRPr="00297675" w:rsidRDefault="00F4344C" w:rsidP="00F4344C">
      <w:pPr>
        <w:ind w:left="1440"/>
        <w:jc w:val="both"/>
        <w:rPr>
          <w:lang w:val="fr-FR"/>
        </w:rPr>
      </w:pPr>
      <w:r>
        <w:rPr>
          <w:i/>
          <w:lang w:val="fr-FR"/>
        </w:rPr>
        <w:t>La Croix</w:t>
      </w:r>
      <w:r>
        <w:rPr>
          <w:lang w:val="fr-FR"/>
        </w:rPr>
        <w:t>, 1915</w:t>
      </w:r>
    </w:p>
    <w:p w14:paraId="67022206" w14:textId="77777777" w:rsidR="0048510E" w:rsidRDefault="0048510E" w:rsidP="00F4344C">
      <w:pPr>
        <w:ind w:left="1440"/>
        <w:jc w:val="both"/>
        <w:rPr>
          <w:lang w:val="fr-FR"/>
        </w:rPr>
      </w:pPr>
      <w:r w:rsidRPr="00E13EC7">
        <w:rPr>
          <w:i/>
          <w:iCs/>
          <w:lang w:val="fr-FR"/>
        </w:rPr>
        <w:t xml:space="preserve">Le Pays, </w:t>
      </w:r>
      <w:r w:rsidRPr="00E13EC7">
        <w:rPr>
          <w:lang w:val="fr-FR"/>
        </w:rPr>
        <w:t>1918</w:t>
      </w:r>
    </w:p>
    <w:p w14:paraId="57E0403B" w14:textId="77777777" w:rsidR="0048510E" w:rsidRPr="00297675" w:rsidRDefault="0048510E" w:rsidP="00F4344C">
      <w:pPr>
        <w:ind w:left="1440"/>
        <w:jc w:val="both"/>
        <w:rPr>
          <w:lang w:val="fr-FR"/>
        </w:rPr>
      </w:pPr>
      <w:r>
        <w:rPr>
          <w:i/>
          <w:lang w:val="fr-FR"/>
        </w:rPr>
        <w:t>Le Petit Parisien</w:t>
      </w:r>
      <w:r>
        <w:rPr>
          <w:lang w:val="fr-FR"/>
        </w:rPr>
        <w:t>, 1915</w:t>
      </w:r>
    </w:p>
    <w:p w14:paraId="510D0188" w14:textId="77777777" w:rsidR="0048510E" w:rsidRPr="007D47CD" w:rsidRDefault="0048510E" w:rsidP="0048510E">
      <w:pPr>
        <w:jc w:val="both"/>
        <w:rPr>
          <w:b/>
          <w:bCs/>
          <w:lang w:val="fr-FR" w:eastAsia="en-GB"/>
        </w:rPr>
      </w:pPr>
    </w:p>
    <w:p w14:paraId="7B00A009" w14:textId="77777777" w:rsidR="0048510E" w:rsidRPr="00DF7D2D" w:rsidRDefault="0048510E" w:rsidP="0048510E">
      <w:pPr>
        <w:jc w:val="both"/>
        <w:rPr>
          <w:bCs/>
          <w:u w:val="single"/>
          <w:lang w:val="fr-FR"/>
        </w:rPr>
      </w:pPr>
      <w:r w:rsidRPr="00DF7D2D">
        <w:rPr>
          <w:bCs/>
          <w:u w:val="single"/>
          <w:lang w:val="fr-FR"/>
        </w:rPr>
        <w:t>Germany</w:t>
      </w:r>
    </w:p>
    <w:p w14:paraId="62086D1B" w14:textId="77777777" w:rsidR="00E71DA2" w:rsidRPr="00E71DA2" w:rsidRDefault="00E71DA2" w:rsidP="0048510E">
      <w:pPr>
        <w:jc w:val="both"/>
        <w:rPr>
          <w:iCs/>
          <w:lang w:val="fr-FR"/>
        </w:rPr>
      </w:pPr>
      <w:r>
        <w:rPr>
          <w:iCs/>
          <w:lang w:val="fr-FR"/>
        </w:rPr>
        <w:tab/>
        <w:t>Occupation newspapers</w:t>
      </w:r>
    </w:p>
    <w:p w14:paraId="784E9E1D" w14:textId="77777777" w:rsidR="0048510E" w:rsidRDefault="0048510E" w:rsidP="00E71DA2">
      <w:pPr>
        <w:ind w:left="1440"/>
        <w:jc w:val="both"/>
        <w:rPr>
          <w:iCs/>
          <w:lang w:val="fr-FR"/>
        </w:rPr>
      </w:pPr>
      <w:r w:rsidRPr="001652EC">
        <w:rPr>
          <w:i/>
          <w:iCs/>
          <w:lang w:val="fr-FR"/>
        </w:rPr>
        <w:t>Le Bulletin de Lille</w:t>
      </w:r>
      <w:r w:rsidRPr="001652EC">
        <w:rPr>
          <w:iCs/>
          <w:lang w:val="fr-FR"/>
        </w:rPr>
        <w:t>, 1914-1918</w:t>
      </w:r>
    </w:p>
    <w:p w14:paraId="7B14C1A8" w14:textId="77777777" w:rsidR="0048510E" w:rsidRPr="00297675" w:rsidRDefault="0048510E" w:rsidP="00E71DA2">
      <w:pPr>
        <w:ind w:left="1440"/>
        <w:jc w:val="both"/>
        <w:rPr>
          <w:iCs/>
          <w:lang w:val="fr-FR"/>
        </w:rPr>
      </w:pPr>
      <w:r>
        <w:rPr>
          <w:i/>
          <w:iCs/>
          <w:lang w:val="fr-FR"/>
        </w:rPr>
        <w:t xml:space="preserve">Le Bulletin de Roubaix, </w:t>
      </w:r>
      <w:r>
        <w:rPr>
          <w:iCs/>
          <w:lang w:val="fr-FR"/>
        </w:rPr>
        <w:t>1916-1918</w:t>
      </w:r>
    </w:p>
    <w:p w14:paraId="66564570" w14:textId="77777777" w:rsidR="0048510E" w:rsidRPr="001C5604" w:rsidRDefault="0048510E" w:rsidP="00E71DA2">
      <w:pPr>
        <w:ind w:left="1440"/>
        <w:jc w:val="both"/>
        <w:rPr>
          <w:lang w:val="fr-FR"/>
        </w:rPr>
      </w:pPr>
      <w:r w:rsidRPr="001C5604">
        <w:rPr>
          <w:i/>
          <w:iCs/>
          <w:lang w:val="fr-FR"/>
        </w:rPr>
        <w:t>La Gazette des Ardennes</w:t>
      </w:r>
      <w:r w:rsidRPr="001C5604">
        <w:rPr>
          <w:lang w:val="fr-FR"/>
        </w:rPr>
        <w:t>, 1914 – 1918</w:t>
      </w:r>
    </w:p>
    <w:p w14:paraId="16B2B9D3" w14:textId="77777777" w:rsidR="00E71DA2" w:rsidRPr="00B54A2B" w:rsidRDefault="00E71DA2" w:rsidP="00E71DA2">
      <w:pPr>
        <w:ind w:firstLine="720"/>
        <w:jc w:val="both"/>
        <w:rPr>
          <w:iCs/>
          <w:lang w:val="de-DE"/>
        </w:rPr>
      </w:pPr>
      <w:r w:rsidRPr="00B54A2B">
        <w:rPr>
          <w:iCs/>
          <w:lang w:val="de-DE"/>
        </w:rPr>
        <w:t>National and regional press</w:t>
      </w:r>
    </w:p>
    <w:p w14:paraId="618F88DA" w14:textId="478FD058" w:rsidR="0048510E" w:rsidRPr="001D1955" w:rsidRDefault="0048510E" w:rsidP="00E71DA2">
      <w:pPr>
        <w:ind w:left="1440"/>
        <w:jc w:val="both"/>
        <w:rPr>
          <w:lang w:val="de-DE"/>
        </w:rPr>
      </w:pPr>
      <w:r w:rsidRPr="001D1955">
        <w:rPr>
          <w:i/>
          <w:iCs/>
          <w:lang w:val="de-DE"/>
        </w:rPr>
        <w:t>Haguen</w:t>
      </w:r>
      <w:r w:rsidR="0090011D">
        <w:rPr>
          <w:i/>
          <w:iCs/>
          <w:lang w:val="de-DE"/>
        </w:rPr>
        <w:t>a</w:t>
      </w:r>
      <w:r w:rsidRPr="001D1955">
        <w:rPr>
          <w:i/>
          <w:iCs/>
          <w:lang w:val="de-DE"/>
        </w:rPr>
        <w:t>uer Zeitu</w:t>
      </w:r>
      <w:r w:rsidR="0090011D">
        <w:rPr>
          <w:i/>
          <w:iCs/>
          <w:lang w:val="de-DE"/>
        </w:rPr>
        <w:t>n</w:t>
      </w:r>
      <w:r w:rsidRPr="001D1955">
        <w:rPr>
          <w:i/>
          <w:iCs/>
          <w:lang w:val="de-DE"/>
        </w:rPr>
        <w:t xml:space="preserve">g, </w:t>
      </w:r>
      <w:r w:rsidRPr="001D1955">
        <w:rPr>
          <w:lang w:val="de-DE"/>
        </w:rPr>
        <w:t>1916</w:t>
      </w:r>
    </w:p>
    <w:p w14:paraId="5A81EBAF" w14:textId="77777777" w:rsidR="0048510E" w:rsidRPr="001D1955" w:rsidRDefault="0048510E" w:rsidP="00E71DA2">
      <w:pPr>
        <w:ind w:left="1440"/>
        <w:jc w:val="both"/>
        <w:rPr>
          <w:lang w:val="de-DE"/>
        </w:rPr>
      </w:pPr>
      <w:r w:rsidRPr="001D1955">
        <w:rPr>
          <w:i/>
          <w:iCs/>
          <w:lang w:val="de-DE"/>
        </w:rPr>
        <w:t xml:space="preserve">Kölnische Volkszeitung, </w:t>
      </w:r>
      <w:r w:rsidRPr="001D1955">
        <w:rPr>
          <w:lang w:val="de-DE"/>
        </w:rPr>
        <w:t>1916</w:t>
      </w:r>
    </w:p>
    <w:p w14:paraId="453B8645" w14:textId="6BF56331" w:rsidR="0048510E" w:rsidRPr="001D1955" w:rsidRDefault="0048510E" w:rsidP="00E71DA2">
      <w:pPr>
        <w:ind w:left="1440"/>
        <w:jc w:val="both"/>
        <w:rPr>
          <w:lang w:val="de-DE"/>
        </w:rPr>
      </w:pPr>
      <w:r w:rsidRPr="001D1955">
        <w:rPr>
          <w:i/>
          <w:iCs/>
          <w:lang w:val="de-DE"/>
        </w:rPr>
        <w:t>Leip</w:t>
      </w:r>
      <w:r w:rsidR="0090011D">
        <w:rPr>
          <w:i/>
          <w:iCs/>
          <w:lang w:val="de-DE"/>
        </w:rPr>
        <w:t>z</w:t>
      </w:r>
      <w:r w:rsidRPr="001D1955">
        <w:rPr>
          <w:i/>
          <w:iCs/>
          <w:lang w:val="de-DE"/>
        </w:rPr>
        <w:t>wiger Neueste Nachrichten</w:t>
      </w:r>
      <w:r w:rsidRPr="001D1955">
        <w:rPr>
          <w:lang w:val="de-DE"/>
        </w:rPr>
        <w:t>, 1915</w:t>
      </w:r>
    </w:p>
    <w:p w14:paraId="179ADBE9" w14:textId="3C746276" w:rsidR="0048510E" w:rsidRPr="001D1955" w:rsidRDefault="0048510E" w:rsidP="00E71DA2">
      <w:pPr>
        <w:ind w:left="1440"/>
        <w:jc w:val="both"/>
        <w:rPr>
          <w:i/>
          <w:lang w:val="de-DE"/>
        </w:rPr>
      </w:pPr>
      <w:r w:rsidRPr="001D1955">
        <w:rPr>
          <w:i/>
          <w:lang w:val="de-DE"/>
        </w:rPr>
        <w:t>Stuttgarter neue</w:t>
      </w:r>
      <w:r w:rsidR="0090011D">
        <w:rPr>
          <w:i/>
          <w:lang w:val="de-DE"/>
        </w:rPr>
        <w:t>s</w:t>
      </w:r>
      <w:r w:rsidRPr="001D1955">
        <w:rPr>
          <w:i/>
          <w:lang w:val="de-DE"/>
        </w:rPr>
        <w:t xml:space="preserve"> Tag</w:t>
      </w:r>
      <w:r w:rsidR="0090011D">
        <w:rPr>
          <w:i/>
          <w:lang w:val="de-DE"/>
        </w:rPr>
        <w:t>e</w:t>
      </w:r>
      <w:r w:rsidRPr="001D1955">
        <w:rPr>
          <w:i/>
          <w:lang w:val="de-DE"/>
        </w:rPr>
        <w:t>blatt, 1916</w:t>
      </w:r>
    </w:p>
    <w:p w14:paraId="2AF34121" w14:textId="77777777" w:rsidR="0048510E" w:rsidRPr="001D1955" w:rsidRDefault="0048510E" w:rsidP="00E71DA2">
      <w:pPr>
        <w:ind w:left="1440"/>
        <w:jc w:val="both"/>
        <w:rPr>
          <w:lang w:val="de-DE"/>
        </w:rPr>
      </w:pPr>
      <w:r w:rsidRPr="001D1955">
        <w:rPr>
          <w:i/>
          <w:lang w:val="de-DE"/>
        </w:rPr>
        <w:t xml:space="preserve">Vossische Zeitung, </w:t>
      </w:r>
      <w:r w:rsidRPr="001D1955">
        <w:rPr>
          <w:lang w:val="de-DE"/>
        </w:rPr>
        <w:t>1916</w:t>
      </w:r>
    </w:p>
    <w:p w14:paraId="51164D67" w14:textId="77777777" w:rsidR="0048510E" w:rsidRPr="001D1955" w:rsidRDefault="0048510E" w:rsidP="0048510E">
      <w:pPr>
        <w:jc w:val="both"/>
        <w:rPr>
          <w:lang w:val="de-DE"/>
        </w:rPr>
      </w:pPr>
    </w:p>
    <w:p w14:paraId="5FA44E05" w14:textId="77777777" w:rsidR="0048510E" w:rsidRPr="004F0A24" w:rsidRDefault="0048510E" w:rsidP="0048510E">
      <w:pPr>
        <w:jc w:val="both"/>
        <w:rPr>
          <w:bCs/>
          <w:u w:val="single"/>
          <w:lang w:val="de-DE"/>
        </w:rPr>
      </w:pPr>
      <w:r w:rsidRPr="004F0A24">
        <w:rPr>
          <w:bCs/>
          <w:u w:val="single"/>
          <w:lang w:val="de-DE"/>
        </w:rPr>
        <w:t>Switzerland</w:t>
      </w:r>
    </w:p>
    <w:p w14:paraId="3D51FB58" w14:textId="77777777" w:rsidR="00E71DA2" w:rsidRPr="004F0A24" w:rsidRDefault="00E71DA2" w:rsidP="0048510E">
      <w:pPr>
        <w:jc w:val="both"/>
        <w:rPr>
          <w:iCs/>
          <w:lang w:val="de-DE"/>
        </w:rPr>
      </w:pPr>
      <w:r w:rsidRPr="004F0A24">
        <w:rPr>
          <w:iCs/>
          <w:lang w:val="de-DE"/>
        </w:rPr>
        <w:tab/>
        <w:t>National and regional press</w:t>
      </w:r>
    </w:p>
    <w:p w14:paraId="0D243D88" w14:textId="77777777" w:rsidR="0048510E" w:rsidRPr="004F0A24" w:rsidRDefault="0048510E" w:rsidP="00E71DA2">
      <w:pPr>
        <w:ind w:left="1440"/>
        <w:jc w:val="both"/>
        <w:rPr>
          <w:lang w:val="de-DE"/>
        </w:rPr>
      </w:pPr>
      <w:r w:rsidRPr="004F0A24">
        <w:rPr>
          <w:i/>
          <w:iCs/>
          <w:lang w:val="de-DE"/>
        </w:rPr>
        <w:t>La Tribune de Lausanne</w:t>
      </w:r>
      <w:r w:rsidRPr="004F0A24">
        <w:rPr>
          <w:lang w:val="de-DE"/>
        </w:rPr>
        <w:t>, 1917</w:t>
      </w:r>
    </w:p>
    <w:p w14:paraId="425946B9" w14:textId="77777777" w:rsidR="0048510E" w:rsidRPr="004F0A24" w:rsidRDefault="0048510E" w:rsidP="00E71DA2">
      <w:pPr>
        <w:ind w:left="1440"/>
        <w:jc w:val="both"/>
        <w:rPr>
          <w:lang w:val="de-DE"/>
        </w:rPr>
      </w:pPr>
      <w:r w:rsidRPr="004F0A24">
        <w:rPr>
          <w:i/>
          <w:iCs/>
          <w:lang w:val="de-DE"/>
        </w:rPr>
        <w:t>Volkszeitung</w:t>
      </w:r>
      <w:r w:rsidRPr="004F0A24">
        <w:rPr>
          <w:lang w:val="de-DE"/>
        </w:rPr>
        <w:t>, 1916</w:t>
      </w:r>
    </w:p>
    <w:p w14:paraId="75FB0983" w14:textId="77777777" w:rsidR="0048510E" w:rsidRPr="00DF7D2D" w:rsidRDefault="0048510E" w:rsidP="00E71DA2">
      <w:pPr>
        <w:ind w:left="1440"/>
        <w:jc w:val="both"/>
        <w:rPr>
          <w:lang w:val="fr-FR"/>
        </w:rPr>
      </w:pPr>
      <w:r w:rsidRPr="00DF7D2D">
        <w:rPr>
          <w:i/>
          <w:iCs/>
          <w:lang w:val="fr-FR"/>
        </w:rPr>
        <w:t>Zurcher Post</w:t>
      </w:r>
      <w:r w:rsidRPr="00DF7D2D">
        <w:rPr>
          <w:lang w:val="fr-FR"/>
        </w:rPr>
        <w:t>, 1917</w:t>
      </w:r>
    </w:p>
    <w:p w14:paraId="3AA8CC6B" w14:textId="77777777" w:rsidR="0048510E" w:rsidRPr="00DF7D2D" w:rsidRDefault="0048510E" w:rsidP="0048510E">
      <w:pPr>
        <w:rPr>
          <w:lang w:val="fr-FR"/>
        </w:rPr>
      </w:pPr>
    </w:p>
    <w:p w14:paraId="78B6F903" w14:textId="77777777" w:rsidR="0048510E" w:rsidRPr="00130BFA" w:rsidRDefault="008C6A86" w:rsidP="0048510E">
      <w:pPr>
        <w:rPr>
          <w:b/>
          <w:sz w:val="24"/>
          <w:szCs w:val="24"/>
          <w:lang w:val="fr-FR"/>
        </w:rPr>
      </w:pPr>
      <w:r w:rsidRPr="00130BFA">
        <w:rPr>
          <w:b/>
          <w:sz w:val="24"/>
          <w:szCs w:val="24"/>
          <w:lang w:val="fr-FR"/>
        </w:rPr>
        <w:t>Websites</w:t>
      </w:r>
    </w:p>
    <w:p w14:paraId="1E7BE79F" w14:textId="77777777" w:rsidR="0048510E" w:rsidRDefault="0048510E" w:rsidP="0048510E">
      <w:r w:rsidRPr="00430020">
        <w:rPr>
          <w:lang w:val="fr-FR"/>
        </w:rPr>
        <w:t xml:space="preserve">Grandjean and Gascard, </w:t>
      </w:r>
      <w:r w:rsidRPr="00430020">
        <w:rPr>
          <w:i/>
          <w:iCs/>
          <w:lang w:val="fr-FR"/>
        </w:rPr>
        <w:t>Les ballons sortis pendant le Siège de Paris</w:t>
      </w:r>
      <w:r w:rsidRPr="00430020">
        <w:rPr>
          <w:lang w:val="fr-FR"/>
        </w:rPr>
        <w:t xml:space="preserve"> [Lithography]. </w:t>
      </w:r>
      <w:r>
        <w:t xml:space="preserve">In: Library of Congress Online Catalog </w:t>
      </w:r>
      <w:hyperlink r:id="rId47" w:history="1">
        <w:r w:rsidRPr="00CA79AC">
          <w:rPr>
            <w:rStyle w:val="Hyperlink"/>
          </w:rPr>
          <w:t>http://www.loc.gov/pictures/resource/cph.3g10775/</w:t>
        </w:r>
      </w:hyperlink>
      <w:r>
        <w:t xml:space="preserve"> [consulted 1 August 2012]</w:t>
      </w:r>
    </w:p>
    <w:p w14:paraId="1271783C" w14:textId="77777777" w:rsidR="0048510E" w:rsidRPr="00430020" w:rsidRDefault="0048510E" w:rsidP="0048510E">
      <w:r>
        <w:t>'Laws of war: Laws and customs of war on land (</w:t>
      </w:r>
      <w:r w:rsidR="00374CF4">
        <w:t xml:space="preserve">Hague IV): October 18, 1907',  </w:t>
      </w:r>
      <w:r>
        <w:t>http://avalon.law.yale.edu/20th_centu</w:t>
      </w:r>
      <w:r w:rsidR="00374CF4">
        <w:t>ry/hague04.asp#art25</w:t>
      </w:r>
      <w:r>
        <w:t xml:space="preserve"> [Accessed 13 June 2013].</w:t>
      </w:r>
    </w:p>
    <w:p w14:paraId="261E557D" w14:textId="77777777" w:rsidR="0048510E" w:rsidRPr="00576A5F" w:rsidRDefault="0048510E" w:rsidP="0048510E"/>
    <w:p w14:paraId="74C25F05" w14:textId="77777777" w:rsidR="0048510E" w:rsidRPr="00130BFA" w:rsidRDefault="008C6A86" w:rsidP="0048510E">
      <w:pPr>
        <w:rPr>
          <w:b/>
          <w:sz w:val="24"/>
          <w:szCs w:val="24"/>
          <w:lang w:val="fr-FR"/>
        </w:rPr>
      </w:pPr>
      <w:r w:rsidRPr="00130BFA">
        <w:rPr>
          <w:b/>
          <w:sz w:val="24"/>
          <w:szCs w:val="24"/>
          <w:lang w:val="fr-FR"/>
        </w:rPr>
        <w:t>Printed Primary sources</w:t>
      </w:r>
    </w:p>
    <w:p w14:paraId="5FC42F03" w14:textId="77777777" w:rsidR="0048510E" w:rsidRDefault="0048510E" w:rsidP="0048510E">
      <w:pPr>
        <w:rPr>
          <w:lang w:val="fr-FR"/>
        </w:rPr>
      </w:pPr>
      <w:r>
        <w:rPr>
          <w:lang w:val="fr-FR"/>
        </w:rPr>
        <w:t xml:space="preserve">Anonymous, </w:t>
      </w:r>
      <w:r w:rsidRPr="00760285">
        <w:rPr>
          <w:lang w:val="fr-FR"/>
        </w:rPr>
        <w:t xml:space="preserve"> </w:t>
      </w:r>
      <w:r w:rsidRPr="00492CAA">
        <w:rPr>
          <w:i/>
          <w:iCs/>
          <w:lang w:val="fr-FR"/>
        </w:rPr>
        <w:t>Un souvenir historique. Les avis, proclamations et nouvelles de guerre allemands affichés à Bruxelles pendant l'occupation</w:t>
      </w:r>
      <w:r>
        <w:rPr>
          <w:lang w:val="fr-FR"/>
        </w:rPr>
        <w:t>, vol. 1-22</w:t>
      </w:r>
      <w:r w:rsidRPr="00760285">
        <w:rPr>
          <w:lang w:val="fr-FR"/>
        </w:rPr>
        <w:t xml:space="preserve"> (Ixelles, 1918).</w:t>
      </w:r>
    </w:p>
    <w:p w14:paraId="044C6B06" w14:textId="77777777" w:rsidR="0048510E" w:rsidRDefault="0048510E" w:rsidP="0048510E">
      <w:pPr>
        <w:rPr>
          <w:lang w:val="fr-FR"/>
        </w:rPr>
      </w:pPr>
      <w:r w:rsidRPr="00760285">
        <w:rPr>
          <w:lang w:val="fr-FR"/>
        </w:rPr>
        <w:t xml:space="preserve">———, </w:t>
      </w:r>
      <w:r w:rsidRPr="00492CAA">
        <w:rPr>
          <w:i/>
          <w:iCs/>
          <w:lang w:val="fr-FR"/>
        </w:rPr>
        <w:t>Un souvenir historique. Les avis, proclamations et nouvelles de guerre allemands publiés en Belgique pendant l'occupation</w:t>
      </w:r>
      <w:r>
        <w:rPr>
          <w:lang w:val="fr-FR"/>
        </w:rPr>
        <w:t>,</w:t>
      </w:r>
      <w:r w:rsidRPr="00760285">
        <w:rPr>
          <w:lang w:val="fr-FR"/>
        </w:rPr>
        <w:t xml:space="preserve"> </w:t>
      </w:r>
      <w:r>
        <w:rPr>
          <w:lang w:val="fr-FR"/>
        </w:rPr>
        <w:t>v</w:t>
      </w:r>
      <w:r w:rsidRPr="00492CAA">
        <w:rPr>
          <w:lang w:val="fr-FR"/>
        </w:rPr>
        <w:t>ol. 1-30 (Ixelles, 1918).</w:t>
      </w:r>
    </w:p>
    <w:p w14:paraId="02B26BFF" w14:textId="77777777" w:rsidR="0048510E" w:rsidRDefault="0048510E" w:rsidP="00CD1FE0">
      <w:pPr>
        <w:rPr>
          <w:lang w:val="fr-FR"/>
        </w:rPr>
      </w:pPr>
      <w:r w:rsidRPr="00C61127">
        <w:rPr>
          <w:lang w:val="fr-FR"/>
        </w:rPr>
        <w:t>Arnoux,</w:t>
      </w:r>
      <w:r w:rsidR="00CD1FE0">
        <w:rPr>
          <w:lang w:val="fr-FR"/>
        </w:rPr>
        <w:t xml:space="preserve"> J., </w:t>
      </w:r>
      <w:r w:rsidRPr="00C61127">
        <w:rPr>
          <w:i/>
          <w:iCs/>
          <w:lang w:val="fr-FR"/>
        </w:rPr>
        <w:t xml:space="preserve">Bombardement et occupation de la ville de Lille par les Allemands 1914-1918 </w:t>
      </w:r>
      <w:r w:rsidRPr="00C61127">
        <w:rPr>
          <w:lang w:val="fr-FR"/>
        </w:rPr>
        <w:t>(Lille, 1919).</w:t>
      </w:r>
    </w:p>
    <w:p w14:paraId="11E5CC90" w14:textId="77777777" w:rsidR="0048510E" w:rsidRDefault="0048510E" w:rsidP="00CD1FE0">
      <w:pPr>
        <w:rPr>
          <w:lang w:val="fr-FR"/>
        </w:rPr>
      </w:pPr>
      <w:r w:rsidRPr="00C61127">
        <w:rPr>
          <w:lang w:val="fr-FR"/>
        </w:rPr>
        <w:t>Baertsoen,</w:t>
      </w:r>
      <w:r w:rsidR="00CD1FE0">
        <w:rPr>
          <w:lang w:val="fr-FR"/>
        </w:rPr>
        <w:t xml:space="preserve"> M.,</w:t>
      </w:r>
      <w:r w:rsidRPr="00C61127">
        <w:rPr>
          <w:lang w:val="fr-FR"/>
        </w:rPr>
        <w:t xml:space="preserve"> </w:t>
      </w:r>
      <w:r w:rsidRPr="00C61127">
        <w:rPr>
          <w:i/>
          <w:iCs/>
          <w:lang w:val="fr-FR"/>
        </w:rPr>
        <w:t>Notes d'un gantois sur la guerre de 1914-1918</w:t>
      </w:r>
      <w:r w:rsidRPr="00C61127">
        <w:rPr>
          <w:lang w:val="fr-FR"/>
        </w:rPr>
        <w:t xml:space="preserve"> (Gand, 1929).</w:t>
      </w:r>
    </w:p>
    <w:p w14:paraId="37E56943" w14:textId="77777777" w:rsidR="0048510E" w:rsidRDefault="0048510E" w:rsidP="0048510E">
      <w:pPr>
        <w:rPr>
          <w:lang w:val="fr-FR"/>
        </w:rPr>
      </w:pPr>
      <w:r w:rsidRPr="00C61127">
        <w:rPr>
          <w:lang w:val="fr-FR"/>
        </w:rPr>
        <w:t>Barrès,</w:t>
      </w:r>
      <w:r w:rsidR="00CD1FE0">
        <w:rPr>
          <w:lang w:val="fr-FR"/>
        </w:rPr>
        <w:t xml:space="preserve"> M., </w:t>
      </w:r>
      <w:r w:rsidRPr="00C61127">
        <w:rPr>
          <w:i/>
          <w:iCs/>
          <w:lang w:val="fr-FR"/>
        </w:rPr>
        <w:t>Colette Baudoche</w:t>
      </w:r>
      <w:r w:rsidRPr="00C61127">
        <w:rPr>
          <w:lang w:val="fr-FR"/>
        </w:rPr>
        <w:t xml:space="preserve"> (Paris, 1913).</w:t>
      </w:r>
    </w:p>
    <w:p w14:paraId="7703FB9D" w14:textId="77777777" w:rsidR="0048510E" w:rsidRDefault="0048510E" w:rsidP="0048510E">
      <w:pPr>
        <w:rPr>
          <w:lang w:val="fr-FR"/>
        </w:rPr>
      </w:pPr>
      <w:r w:rsidRPr="00C61127">
        <w:rPr>
          <w:lang w:val="fr-FR"/>
        </w:rPr>
        <w:t>Baucher,</w:t>
      </w:r>
      <w:r w:rsidR="00CD1FE0">
        <w:rPr>
          <w:lang w:val="fr-FR"/>
        </w:rPr>
        <w:t xml:space="preserve"> P.,</w:t>
      </w:r>
      <w:r w:rsidRPr="00C61127">
        <w:rPr>
          <w:lang w:val="fr-FR"/>
        </w:rPr>
        <w:t xml:space="preserve"> </w:t>
      </w:r>
      <w:r w:rsidRPr="00C61127">
        <w:rPr>
          <w:i/>
          <w:iCs/>
          <w:lang w:val="fr-FR"/>
        </w:rPr>
        <w:t>Au long des rues: souvenirs de l'occupation allemande à Lille</w:t>
      </w:r>
      <w:r w:rsidRPr="00C61127">
        <w:rPr>
          <w:lang w:val="fr-FR"/>
        </w:rPr>
        <w:t xml:space="preserve"> (Strasbourg, N. D.).</w:t>
      </w:r>
    </w:p>
    <w:p w14:paraId="6ED8B2CA" w14:textId="77777777" w:rsidR="0048510E" w:rsidRDefault="0048510E" w:rsidP="0048510E">
      <w:pPr>
        <w:rPr>
          <w:lang w:val="fr-FR"/>
        </w:rPr>
      </w:pPr>
      <w:r w:rsidRPr="00C61127">
        <w:rPr>
          <w:lang w:val="fr-FR"/>
        </w:rPr>
        <w:t>Bazin,</w:t>
      </w:r>
      <w:r w:rsidR="00CD1FE0">
        <w:rPr>
          <w:lang w:val="fr-FR"/>
        </w:rPr>
        <w:t xml:space="preserve"> R.,</w:t>
      </w:r>
      <w:r w:rsidRPr="00C61127">
        <w:rPr>
          <w:lang w:val="fr-FR"/>
        </w:rPr>
        <w:t xml:space="preserve"> </w:t>
      </w:r>
      <w:r w:rsidRPr="00C61127">
        <w:rPr>
          <w:i/>
          <w:iCs/>
          <w:lang w:val="fr-FR"/>
        </w:rPr>
        <w:t>Les Oberlé</w:t>
      </w:r>
      <w:r w:rsidRPr="00C61127">
        <w:rPr>
          <w:lang w:val="fr-FR"/>
        </w:rPr>
        <w:t xml:space="preserve"> (Paris, 1905).</w:t>
      </w:r>
    </w:p>
    <w:p w14:paraId="0A4FD9DC" w14:textId="77777777" w:rsidR="0048510E" w:rsidRDefault="0048510E" w:rsidP="0048510E">
      <w:pPr>
        <w:rPr>
          <w:lang w:val="fr-FR"/>
        </w:rPr>
      </w:pPr>
      <w:r w:rsidRPr="00C61127">
        <w:rPr>
          <w:lang w:val="fr-FR"/>
        </w:rPr>
        <w:t>Bolle de Bal,</w:t>
      </w:r>
      <w:r w:rsidR="00CD1FE0">
        <w:rPr>
          <w:lang w:val="fr-FR"/>
        </w:rPr>
        <w:t xml:space="preserve"> M.,</w:t>
      </w:r>
      <w:r w:rsidRPr="00C61127">
        <w:rPr>
          <w:lang w:val="fr-FR"/>
        </w:rPr>
        <w:t xml:space="preserve"> </w:t>
      </w:r>
      <w:r w:rsidRPr="00C61127">
        <w:rPr>
          <w:i/>
          <w:iCs/>
          <w:lang w:val="fr-FR"/>
        </w:rPr>
        <w:t>Les survivants du boyau de la mort</w:t>
      </w:r>
      <w:r w:rsidRPr="00C61127">
        <w:rPr>
          <w:lang w:val="fr-FR"/>
        </w:rPr>
        <w:t xml:space="preserve"> (Brussels, 1998).</w:t>
      </w:r>
    </w:p>
    <w:p w14:paraId="346584BF" w14:textId="77777777" w:rsidR="0048510E" w:rsidRPr="00C61127" w:rsidRDefault="0048510E" w:rsidP="0048510E">
      <w:pPr>
        <w:rPr>
          <w:lang w:val="fr-FR"/>
        </w:rPr>
      </w:pPr>
      <w:r w:rsidRPr="00C61127">
        <w:rPr>
          <w:lang w:val="fr-FR"/>
        </w:rPr>
        <w:t>Bosc,</w:t>
      </w:r>
      <w:r w:rsidR="00CD1FE0">
        <w:rPr>
          <w:lang w:val="fr-FR"/>
        </w:rPr>
        <w:t xml:space="preserve"> P.,</w:t>
      </w:r>
      <w:r w:rsidRPr="00C61127">
        <w:rPr>
          <w:lang w:val="fr-FR"/>
        </w:rPr>
        <w:t xml:space="preserve"> </w:t>
      </w:r>
      <w:r w:rsidRPr="00C61127">
        <w:rPr>
          <w:i/>
          <w:iCs/>
          <w:lang w:val="fr-FR"/>
        </w:rPr>
        <w:t>Les Allemands à Lille</w:t>
      </w:r>
      <w:r w:rsidRPr="00C61127">
        <w:rPr>
          <w:lang w:val="fr-FR"/>
        </w:rPr>
        <w:t xml:space="preserve"> (Lille, 1919).</w:t>
      </w:r>
    </w:p>
    <w:p w14:paraId="35A2533A" w14:textId="77777777" w:rsidR="0048510E" w:rsidRDefault="0048510E" w:rsidP="0048510E">
      <w:pPr>
        <w:rPr>
          <w:lang w:val="fr-FR"/>
        </w:rPr>
      </w:pPr>
      <w:r w:rsidRPr="00C61127">
        <w:rPr>
          <w:lang w:val="fr-FR"/>
        </w:rPr>
        <w:t>Boverie,</w:t>
      </w:r>
      <w:r w:rsidR="00CD1FE0">
        <w:rPr>
          <w:lang w:val="fr-FR"/>
        </w:rPr>
        <w:t xml:space="preserve"> D.,</w:t>
      </w:r>
      <w:r w:rsidRPr="00C61127">
        <w:rPr>
          <w:lang w:val="fr-FR"/>
        </w:rPr>
        <w:t xml:space="preserve"> </w:t>
      </w:r>
      <w:r w:rsidRPr="00C61127">
        <w:rPr>
          <w:i/>
          <w:iCs/>
          <w:lang w:val="fr-FR"/>
        </w:rPr>
        <w:t>Liège dans la guerre et dans la paix</w:t>
      </w:r>
      <w:r w:rsidRPr="00C61127">
        <w:rPr>
          <w:lang w:val="fr-FR"/>
        </w:rPr>
        <w:t xml:space="preserve"> (Liège, 1978).</w:t>
      </w:r>
    </w:p>
    <w:p w14:paraId="2F5FA89F" w14:textId="77777777" w:rsidR="0048510E" w:rsidRDefault="0048510E" w:rsidP="0048510E">
      <w:r>
        <w:t>Chalmers Mitchell,</w:t>
      </w:r>
      <w:r w:rsidR="00CD1FE0">
        <w:t xml:space="preserve"> P.,</w:t>
      </w:r>
      <w:r>
        <w:t xml:space="preserve"> </w:t>
      </w:r>
      <w:r>
        <w:rPr>
          <w:i/>
          <w:iCs/>
        </w:rPr>
        <w:t>My fill of the days</w:t>
      </w:r>
      <w:r>
        <w:t xml:space="preserve"> (London, 1937).</w:t>
      </w:r>
    </w:p>
    <w:p w14:paraId="03D4995B" w14:textId="77777777" w:rsidR="0048510E" w:rsidRPr="00C61127" w:rsidRDefault="0048510E" w:rsidP="0048510E">
      <w:pPr>
        <w:rPr>
          <w:lang w:val="fr-FR"/>
        </w:rPr>
      </w:pPr>
      <w:r w:rsidRPr="00C61127">
        <w:rPr>
          <w:lang w:val="fr-FR"/>
        </w:rPr>
        <w:t>Chatelle,</w:t>
      </w:r>
      <w:r w:rsidR="00CD1FE0">
        <w:rPr>
          <w:lang w:val="fr-FR"/>
        </w:rPr>
        <w:t xml:space="preserve"> A.,</w:t>
      </w:r>
      <w:r w:rsidRPr="00C61127">
        <w:rPr>
          <w:lang w:val="fr-FR"/>
        </w:rPr>
        <w:t xml:space="preserve"> </w:t>
      </w:r>
      <w:r w:rsidRPr="00C61127">
        <w:rPr>
          <w:i/>
          <w:iCs/>
          <w:lang w:val="fr-FR"/>
        </w:rPr>
        <w:t>Amiens pendant la guerre (1914-1918)</w:t>
      </w:r>
      <w:r w:rsidRPr="00C61127">
        <w:rPr>
          <w:lang w:val="fr-FR"/>
        </w:rPr>
        <w:t xml:space="preserve"> (Paris, 1929).</w:t>
      </w:r>
    </w:p>
    <w:p w14:paraId="0E0BF760" w14:textId="77777777" w:rsidR="0048510E" w:rsidRPr="00C61127" w:rsidRDefault="0048510E" w:rsidP="0048510E">
      <w:pPr>
        <w:rPr>
          <w:lang w:val="fr-FR"/>
        </w:rPr>
      </w:pPr>
      <w:r w:rsidRPr="00C61127">
        <w:rPr>
          <w:lang w:val="fr-FR"/>
        </w:rPr>
        <w:t>Chollet,</w:t>
      </w:r>
      <w:r w:rsidR="00CD1FE0">
        <w:rPr>
          <w:lang w:val="fr-FR"/>
        </w:rPr>
        <w:t xml:space="preserve"> G.,</w:t>
      </w:r>
      <w:r w:rsidRPr="00C61127">
        <w:rPr>
          <w:lang w:val="fr-FR"/>
        </w:rPr>
        <w:t xml:space="preserve"> </w:t>
      </w:r>
      <w:r w:rsidRPr="00C61127">
        <w:rPr>
          <w:i/>
          <w:iCs/>
          <w:lang w:val="fr-FR"/>
        </w:rPr>
        <w:t>Saint-Mihiel pendant l'occupation allemande de 1914 1918</w:t>
      </w:r>
      <w:r w:rsidRPr="00C61127">
        <w:rPr>
          <w:lang w:val="fr-FR"/>
        </w:rPr>
        <w:t xml:space="preserve"> (Nancy, 1926).</w:t>
      </w:r>
    </w:p>
    <w:p w14:paraId="7C1DE401" w14:textId="77777777" w:rsidR="0048510E" w:rsidRDefault="0048510E" w:rsidP="0048510E">
      <w:pPr>
        <w:rPr>
          <w:lang w:val="fr-FR"/>
        </w:rPr>
      </w:pPr>
      <w:r w:rsidRPr="00C61127">
        <w:rPr>
          <w:lang w:val="fr-FR"/>
        </w:rPr>
        <w:t>Chot,</w:t>
      </w:r>
      <w:r w:rsidR="00CD1FE0">
        <w:rPr>
          <w:lang w:val="fr-FR"/>
        </w:rPr>
        <w:t xml:space="preserve"> J.,</w:t>
      </w:r>
      <w:r w:rsidRPr="00C61127">
        <w:rPr>
          <w:lang w:val="fr-FR"/>
        </w:rPr>
        <w:t xml:space="preserve"> </w:t>
      </w:r>
      <w:r w:rsidRPr="00C61127">
        <w:rPr>
          <w:i/>
          <w:iCs/>
          <w:lang w:val="fr-FR"/>
        </w:rPr>
        <w:t>Pendant la tourmente</w:t>
      </w:r>
      <w:r w:rsidRPr="00C61127">
        <w:rPr>
          <w:lang w:val="fr-FR"/>
        </w:rPr>
        <w:t xml:space="preserve"> (Charleroi, 1919).</w:t>
      </w:r>
    </w:p>
    <w:p w14:paraId="21C0FB2B" w14:textId="77777777" w:rsidR="0048510E" w:rsidRDefault="0048510E" w:rsidP="0048510E">
      <w:pPr>
        <w:rPr>
          <w:lang w:val="fr-FR"/>
        </w:rPr>
      </w:pPr>
      <w:r w:rsidRPr="00C61127">
        <w:rPr>
          <w:lang w:val="fr-FR"/>
        </w:rPr>
        <w:t>Davignon,</w:t>
      </w:r>
      <w:r w:rsidR="00CD1FE0">
        <w:rPr>
          <w:lang w:val="fr-FR"/>
        </w:rPr>
        <w:t xml:space="preserve"> H.,</w:t>
      </w:r>
      <w:r w:rsidRPr="00C61127">
        <w:rPr>
          <w:lang w:val="fr-FR"/>
        </w:rPr>
        <w:t xml:space="preserve"> </w:t>
      </w:r>
      <w:r w:rsidRPr="00C61127">
        <w:rPr>
          <w:i/>
          <w:iCs/>
          <w:lang w:val="fr-FR"/>
        </w:rPr>
        <w:t>Souvenirs d'un écrivain belge</w:t>
      </w:r>
      <w:r w:rsidRPr="00C61127">
        <w:rPr>
          <w:lang w:val="fr-FR"/>
        </w:rPr>
        <w:t xml:space="preserve"> (Paris, 1954).</w:t>
      </w:r>
    </w:p>
    <w:p w14:paraId="03705D64" w14:textId="77777777" w:rsidR="0048510E" w:rsidRPr="00C61127" w:rsidRDefault="0048510E" w:rsidP="0048510E">
      <w:pPr>
        <w:rPr>
          <w:lang w:val="fr-FR"/>
        </w:rPr>
      </w:pPr>
      <w:r w:rsidRPr="00C61127">
        <w:rPr>
          <w:lang w:val="fr-FR"/>
        </w:rPr>
        <w:t>De Schryver,</w:t>
      </w:r>
      <w:r w:rsidR="00CD1FE0">
        <w:rPr>
          <w:lang w:val="fr-FR"/>
        </w:rPr>
        <w:t xml:space="preserve"> C.,</w:t>
      </w:r>
      <w:r w:rsidRPr="00C61127">
        <w:rPr>
          <w:lang w:val="fr-FR"/>
        </w:rPr>
        <w:t xml:space="preserve"> </w:t>
      </w:r>
      <w:r w:rsidRPr="00C61127">
        <w:rPr>
          <w:i/>
          <w:iCs/>
          <w:lang w:val="fr-FR"/>
        </w:rPr>
        <w:t>Liège pendant la guerre</w:t>
      </w:r>
      <w:r w:rsidRPr="00C61127">
        <w:rPr>
          <w:lang w:val="fr-FR"/>
        </w:rPr>
        <w:t xml:space="preserve"> (Liège, 1919).</w:t>
      </w:r>
    </w:p>
    <w:p w14:paraId="08BB84B9" w14:textId="77777777" w:rsidR="0048510E" w:rsidRDefault="0048510E" w:rsidP="00CD1FE0">
      <w:pPr>
        <w:rPr>
          <w:lang w:val="fr-FR"/>
        </w:rPr>
      </w:pPr>
      <w:r w:rsidRPr="00C61127">
        <w:rPr>
          <w:lang w:val="fr-FR"/>
        </w:rPr>
        <w:t>De Thier,</w:t>
      </w:r>
      <w:r w:rsidR="00CD1FE0">
        <w:rPr>
          <w:lang w:val="fr-FR"/>
        </w:rPr>
        <w:t xml:space="preserve"> J.,</w:t>
      </w:r>
      <w:r w:rsidRPr="00C61127">
        <w:rPr>
          <w:lang w:val="fr-FR"/>
        </w:rPr>
        <w:t xml:space="preserve"> and </w:t>
      </w:r>
      <w:r w:rsidR="00CD1FE0">
        <w:rPr>
          <w:lang w:val="fr-FR"/>
        </w:rPr>
        <w:t>O.</w:t>
      </w:r>
      <w:r w:rsidRPr="00C61127">
        <w:rPr>
          <w:lang w:val="fr-FR"/>
        </w:rPr>
        <w:t xml:space="preserve"> Gilbart, </w:t>
      </w:r>
      <w:r w:rsidRPr="00C61127">
        <w:rPr>
          <w:i/>
          <w:iCs/>
          <w:lang w:val="fr-FR"/>
        </w:rPr>
        <w:t>Liège pendant la grande guerre. Tome III Liège indomptée</w:t>
      </w:r>
      <w:r w:rsidRPr="00C61127">
        <w:rPr>
          <w:lang w:val="fr-FR"/>
        </w:rPr>
        <w:t xml:space="preserve"> (Liège, 1919).</w:t>
      </w:r>
    </w:p>
    <w:p w14:paraId="1CDF53F3" w14:textId="77777777" w:rsidR="0048510E" w:rsidRDefault="0048510E" w:rsidP="0048510E">
      <w:pPr>
        <w:rPr>
          <w:lang w:val="fr-FR"/>
        </w:rPr>
      </w:pPr>
      <w:r w:rsidRPr="00C61127">
        <w:rPr>
          <w:lang w:val="fr-FR"/>
        </w:rPr>
        <w:t>Delame,</w:t>
      </w:r>
      <w:r w:rsidR="00CD1FE0">
        <w:rPr>
          <w:lang w:val="fr-FR"/>
        </w:rPr>
        <w:t xml:space="preserve"> R.,</w:t>
      </w:r>
      <w:r w:rsidRPr="00C61127">
        <w:rPr>
          <w:lang w:val="fr-FR"/>
        </w:rPr>
        <w:t xml:space="preserve"> </w:t>
      </w:r>
      <w:r w:rsidRPr="00C61127">
        <w:rPr>
          <w:i/>
          <w:iCs/>
          <w:lang w:val="fr-FR"/>
        </w:rPr>
        <w:t>Valenciennes: occupation allemande</w:t>
      </w:r>
      <w:r w:rsidRPr="00C61127">
        <w:rPr>
          <w:lang w:val="fr-FR"/>
        </w:rPr>
        <w:t xml:space="preserve"> (Valenciennes, 1933).</w:t>
      </w:r>
    </w:p>
    <w:p w14:paraId="3EA4413B" w14:textId="77777777" w:rsidR="0048510E" w:rsidRDefault="0048510E" w:rsidP="00CD1FE0">
      <w:pPr>
        <w:rPr>
          <w:lang w:val="fr-FR"/>
        </w:rPr>
      </w:pPr>
      <w:r w:rsidRPr="00C61127">
        <w:rPr>
          <w:lang w:val="fr-FR"/>
        </w:rPr>
        <w:t>Delmotte,</w:t>
      </w:r>
      <w:r w:rsidR="00CD1FE0">
        <w:rPr>
          <w:lang w:val="fr-FR"/>
        </w:rPr>
        <w:t xml:space="preserve"> M.,</w:t>
      </w:r>
      <w:r w:rsidRPr="00C61127">
        <w:rPr>
          <w:lang w:val="fr-FR"/>
        </w:rPr>
        <w:t xml:space="preserve"> </w:t>
      </w:r>
      <w:r w:rsidRPr="00C61127">
        <w:rPr>
          <w:i/>
          <w:iCs/>
          <w:lang w:val="fr-FR"/>
        </w:rPr>
        <w:t>Vie quotidienne en France occupée: journaux de Maurice Delmotte 1914-1918</w:t>
      </w:r>
      <w:r w:rsidRPr="00C61127">
        <w:rPr>
          <w:lang w:val="fr-FR"/>
        </w:rPr>
        <w:t xml:space="preserve">. ed. by </w:t>
      </w:r>
      <w:r w:rsidR="00CD1FE0">
        <w:rPr>
          <w:lang w:val="fr-FR"/>
        </w:rPr>
        <w:t>N.</w:t>
      </w:r>
      <w:r w:rsidRPr="00C61127">
        <w:rPr>
          <w:lang w:val="fr-FR"/>
        </w:rPr>
        <w:t xml:space="preserve"> Philippe (Paris, 2007).</w:t>
      </w:r>
    </w:p>
    <w:p w14:paraId="3E6757DD" w14:textId="77777777" w:rsidR="0048510E" w:rsidRDefault="0048510E" w:rsidP="0048510E">
      <w:pPr>
        <w:rPr>
          <w:lang w:val="fr-FR"/>
        </w:rPr>
      </w:pPr>
      <w:r w:rsidRPr="00C61127">
        <w:rPr>
          <w:lang w:val="fr-FR"/>
        </w:rPr>
        <w:t>Demolon,</w:t>
      </w:r>
      <w:r w:rsidR="00CD1FE0">
        <w:rPr>
          <w:lang w:val="fr-FR"/>
        </w:rPr>
        <w:t xml:space="preserve"> J.,</w:t>
      </w:r>
      <w:r w:rsidRPr="00C61127">
        <w:rPr>
          <w:lang w:val="fr-FR"/>
        </w:rPr>
        <w:t xml:space="preserve"> </w:t>
      </w:r>
      <w:r w:rsidRPr="00C61127">
        <w:rPr>
          <w:i/>
          <w:iCs/>
          <w:lang w:val="fr-FR"/>
        </w:rPr>
        <w:t>On vous demande à la commandanture!</w:t>
      </w:r>
      <w:r w:rsidRPr="00C61127">
        <w:rPr>
          <w:lang w:val="fr-FR"/>
        </w:rPr>
        <w:t xml:space="preserve"> (Paris, 1922).</w:t>
      </w:r>
    </w:p>
    <w:p w14:paraId="1DA2948D" w14:textId="77777777" w:rsidR="0048510E" w:rsidRDefault="0048510E" w:rsidP="0048510E">
      <w:pPr>
        <w:rPr>
          <w:lang w:val="fr-FR"/>
        </w:rPr>
      </w:pPr>
      <w:r w:rsidRPr="00C61127">
        <w:rPr>
          <w:lang w:val="fr-FR"/>
        </w:rPr>
        <w:t>Domelier,</w:t>
      </w:r>
      <w:r w:rsidR="00CD1FE0">
        <w:rPr>
          <w:lang w:val="fr-FR"/>
        </w:rPr>
        <w:t xml:space="preserve"> H.,</w:t>
      </w:r>
      <w:r w:rsidRPr="00C61127">
        <w:rPr>
          <w:lang w:val="fr-FR"/>
        </w:rPr>
        <w:t xml:space="preserve"> </w:t>
      </w:r>
      <w:r w:rsidRPr="00C61127">
        <w:rPr>
          <w:i/>
          <w:iCs/>
          <w:lang w:val="fr-FR"/>
        </w:rPr>
        <w:t>Au G.Q.G allemand</w:t>
      </w:r>
      <w:r w:rsidRPr="00C61127">
        <w:rPr>
          <w:lang w:val="fr-FR"/>
        </w:rPr>
        <w:t xml:space="preserve"> (Paris, 1919).</w:t>
      </w:r>
    </w:p>
    <w:p w14:paraId="0129A1D8" w14:textId="77777777" w:rsidR="0048510E" w:rsidRDefault="0048510E" w:rsidP="0048510E">
      <w:pPr>
        <w:rPr>
          <w:lang w:val="fr-FR"/>
        </w:rPr>
      </w:pPr>
      <w:r w:rsidRPr="00C61127">
        <w:rPr>
          <w:lang w:val="fr-FR"/>
        </w:rPr>
        <w:t>Fleury,</w:t>
      </w:r>
      <w:r w:rsidR="00CD1FE0">
        <w:rPr>
          <w:lang w:val="fr-FR"/>
        </w:rPr>
        <w:t xml:space="preserve"> E.,</w:t>
      </w:r>
      <w:r w:rsidRPr="00C61127">
        <w:rPr>
          <w:lang w:val="fr-FR"/>
        </w:rPr>
        <w:t xml:space="preserve"> </w:t>
      </w:r>
      <w:r w:rsidRPr="00C61127">
        <w:rPr>
          <w:i/>
          <w:iCs/>
          <w:lang w:val="fr-FR"/>
        </w:rPr>
        <w:t>Sous la botte, Histoire de la Ville de Saint-Quentin pendant l'occupation Allemande</w:t>
      </w:r>
      <w:r>
        <w:rPr>
          <w:i/>
          <w:iCs/>
          <w:lang w:val="fr-FR"/>
        </w:rPr>
        <w:t xml:space="preserve"> août 1914 – février 1917</w:t>
      </w:r>
      <w:r w:rsidRPr="00C61127">
        <w:rPr>
          <w:lang w:val="fr-FR"/>
        </w:rPr>
        <w:t xml:space="preserve"> (Paris, 1925).</w:t>
      </w:r>
    </w:p>
    <w:p w14:paraId="35328CEC" w14:textId="77777777" w:rsidR="0048510E" w:rsidRPr="00374CF4" w:rsidRDefault="0048510E" w:rsidP="00CD1FE0">
      <w:r w:rsidRPr="00C61127">
        <w:rPr>
          <w:lang w:val="fr-FR"/>
        </w:rPr>
        <w:t>Gille,</w:t>
      </w:r>
      <w:r w:rsidR="00CD1FE0">
        <w:rPr>
          <w:lang w:val="fr-FR"/>
        </w:rPr>
        <w:t xml:space="preserve"> L.,</w:t>
      </w:r>
      <w:r w:rsidRPr="00C61127">
        <w:rPr>
          <w:lang w:val="fr-FR"/>
        </w:rPr>
        <w:t xml:space="preserve"> </w:t>
      </w:r>
      <w:r w:rsidR="00CD1FE0">
        <w:rPr>
          <w:lang w:val="fr-FR"/>
        </w:rPr>
        <w:t>A.</w:t>
      </w:r>
      <w:r w:rsidRPr="00C61127">
        <w:rPr>
          <w:lang w:val="fr-FR"/>
        </w:rPr>
        <w:t xml:space="preserve"> Ooms, and </w:t>
      </w:r>
      <w:r w:rsidR="00CD1FE0">
        <w:rPr>
          <w:lang w:val="fr-FR"/>
        </w:rPr>
        <w:t>P.</w:t>
      </w:r>
      <w:r w:rsidRPr="00C61127">
        <w:rPr>
          <w:lang w:val="fr-FR"/>
        </w:rPr>
        <w:t xml:space="preserve"> Delandsheere, </w:t>
      </w:r>
      <w:r w:rsidRPr="00C61127">
        <w:rPr>
          <w:i/>
          <w:iCs/>
          <w:lang w:val="fr-FR"/>
        </w:rPr>
        <w:t xml:space="preserve">Cinquante mois d'occupation allemande. </w:t>
      </w:r>
      <w:r w:rsidRPr="00374CF4">
        <w:rPr>
          <w:i/>
          <w:iCs/>
        </w:rPr>
        <w:t>1914-1915.</w:t>
      </w:r>
      <w:r w:rsidRPr="00374CF4">
        <w:t xml:space="preserve"> (Brussels, 1919).</w:t>
      </w:r>
      <w:r w:rsidR="008C6A86" w:rsidRPr="00374CF4">
        <w:t xml:space="preserve"> Four volumes.</w:t>
      </w:r>
    </w:p>
    <w:p w14:paraId="6F550F14" w14:textId="77777777" w:rsidR="0048510E" w:rsidRPr="00CD1FE0" w:rsidRDefault="0048510E" w:rsidP="0048510E">
      <w:r w:rsidRPr="00CD1FE0">
        <w:t>Haig,</w:t>
      </w:r>
      <w:r w:rsidR="00CD1FE0" w:rsidRPr="00CD1FE0">
        <w:t xml:space="preserve"> D.</w:t>
      </w:r>
      <w:r w:rsidR="00CD1FE0">
        <w:t>,</w:t>
      </w:r>
      <w:r w:rsidRPr="00CD1FE0">
        <w:t xml:space="preserve"> </w:t>
      </w:r>
      <w:r w:rsidRPr="00CD1FE0">
        <w:rPr>
          <w:i/>
          <w:iCs/>
        </w:rPr>
        <w:t>The private papers of Douglas Haig, 1914-1919</w:t>
      </w:r>
      <w:r w:rsidRPr="00CD1FE0">
        <w:t>. ed. by R. Blacke (London, 1952).</w:t>
      </w:r>
    </w:p>
    <w:p w14:paraId="2D305356" w14:textId="77777777" w:rsidR="0048510E" w:rsidRDefault="0048510E" w:rsidP="00CD1FE0">
      <w:pPr>
        <w:rPr>
          <w:lang w:val="fr-FR"/>
        </w:rPr>
      </w:pPr>
      <w:r w:rsidRPr="00CD1FE0">
        <w:rPr>
          <w:lang w:val="fr-FR"/>
        </w:rPr>
        <w:t xml:space="preserve">Hansi, and </w:t>
      </w:r>
      <w:r w:rsidR="00CD1FE0">
        <w:rPr>
          <w:lang w:val="fr-FR"/>
        </w:rPr>
        <w:t>E.</w:t>
      </w:r>
      <w:r w:rsidRPr="00CD1FE0">
        <w:rPr>
          <w:lang w:val="fr-FR"/>
        </w:rPr>
        <w:t xml:space="preserve"> Tonnelat, </w:t>
      </w:r>
      <w:r w:rsidRPr="00CD1FE0">
        <w:rPr>
          <w:i/>
          <w:iCs/>
          <w:lang w:val="fr-FR"/>
        </w:rPr>
        <w:t>A t</w:t>
      </w:r>
      <w:r w:rsidRPr="00C61127">
        <w:rPr>
          <w:i/>
          <w:iCs/>
          <w:lang w:val="fr-FR"/>
        </w:rPr>
        <w:t>ravers les lignes ennemies: trois années d’offensive contre le moral allemand</w:t>
      </w:r>
      <w:r w:rsidRPr="00C61127">
        <w:rPr>
          <w:lang w:val="fr-FR"/>
        </w:rPr>
        <w:t xml:space="preserve"> (Paris: Payot, 1922).</w:t>
      </w:r>
    </w:p>
    <w:p w14:paraId="31F9DD0A" w14:textId="77777777" w:rsidR="0048510E" w:rsidRDefault="0048510E" w:rsidP="0048510E">
      <w:r>
        <w:t>Heron-Allen,</w:t>
      </w:r>
      <w:r w:rsidR="00CD1FE0">
        <w:t xml:space="preserve"> E.,</w:t>
      </w:r>
      <w:r>
        <w:t xml:space="preserve"> 'Journal of the Great War', </w:t>
      </w:r>
      <w:r>
        <w:rPr>
          <w:i/>
          <w:iCs/>
        </w:rPr>
        <w:t>Sussex Record Society,</w:t>
      </w:r>
      <w:r>
        <w:t xml:space="preserve"> V (2002).</w:t>
      </w:r>
    </w:p>
    <w:p w14:paraId="59A19775" w14:textId="77777777" w:rsidR="0048510E" w:rsidRDefault="0048510E" w:rsidP="0048510E">
      <w:pPr>
        <w:rPr>
          <w:lang w:val="fr-FR"/>
        </w:rPr>
      </w:pPr>
      <w:r w:rsidRPr="00C61127">
        <w:rPr>
          <w:lang w:val="fr-FR"/>
        </w:rPr>
        <w:t>Hubert,</w:t>
      </w:r>
      <w:r w:rsidR="00CD1FE0">
        <w:rPr>
          <w:lang w:val="fr-FR"/>
        </w:rPr>
        <w:t xml:space="preserve"> J.</w:t>
      </w:r>
      <w:r w:rsidRPr="00C61127">
        <w:rPr>
          <w:lang w:val="fr-FR"/>
        </w:rPr>
        <w:t xml:space="preserve"> </w:t>
      </w:r>
      <w:r w:rsidRPr="00C61127">
        <w:rPr>
          <w:i/>
          <w:iCs/>
          <w:lang w:val="fr-FR"/>
        </w:rPr>
        <w:t>Rosignol. Les drames de l'invasion allemande dans le Luxembourg belge</w:t>
      </w:r>
      <w:r w:rsidRPr="00C61127">
        <w:rPr>
          <w:lang w:val="fr-FR"/>
        </w:rPr>
        <w:t xml:space="preserve"> (Tamines, 1929).</w:t>
      </w:r>
    </w:p>
    <w:p w14:paraId="273C40A4" w14:textId="77777777" w:rsidR="0048510E" w:rsidRDefault="0048510E" w:rsidP="0048510E">
      <w:pPr>
        <w:rPr>
          <w:lang w:val="fr-FR"/>
        </w:rPr>
      </w:pPr>
      <w:r w:rsidRPr="00C61127">
        <w:rPr>
          <w:lang w:val="fr-FR"/>
        </w:rPr>
        <w:t>Huisman,</w:t>
      </w:r>
      <w:r w:rsidR="00CD1FE0">
        <w:rPr>
          <w:lang w:val="fr-FR"/>
        </w:rPr>
        <w:t xml:space="preserve"> G.,</w:t>
      </w:r>
      <w:r w:rsidRPr="00C61127">
        <w:rPr>
          <w:lang w:val="fr-FR"/>
        </w:rPr>
        <w:t xml:space="preserve"> </w:t>
      </w:r>
      <w:r w:rsidRPr="00C61127">
        <w:rPr>
          <w:i/>
          <w:iCs/>
          <w:lang w:val="fr-FR"/>
        </w:rPr>
        <w:t>Dans les coulisses de l'aviation 1914-1918</w:t>
      </w:r>
      <w:r w:rsidRPr="00C61127">
        <w:rPr>
          <w:lang w:val="fr-FR"/>
        </w:rPr>
        <w:t xml:space="preserve"> (Paris, 1921).</w:t>
      </w:r>
    </w:p>
    <w:p w14:paraId="4D88A4F3" w14:textId="77777777" w:rsidR="0048510E" w:rsidRDefault="0048510E" w:rsidP="0048510E">
      <w:pPr>
        <w:rPr>
          <w:lang w:val="fr-FR"/>
        </w:rPr>
      </w:pPr>
      <w:r w:rsidRPr="00A01F82">
        <w:rPr>
          <w:lang w:val="fr-FR"/>
        </w:rPr>
        <w:t>Karleskind,</w:t>
      </w:r>
      <w:r w:rsidR="00CD1FE0">
        <w:rPr>
          <w:lang w:val="fr-FR"/>
        </w:rPr>
        <w:t xml:space="preserve"> C.,</w:t>
      </w:r>
      <w:r w:rsidRPr="00A01F82">
        <w:rPr>
          <w:lang w:val="fr-FR"/>
        </w:rPr>
        <w:t xml:space="preserve"> </w:t>
      </w:r>
      <w:r w:rsidRPr="00A01F82">
        <w:rPr>
          <w:i/>
          <w:iCs/>
          <w:lang w:val="fr-FR"/>
        </w:rPr>
        <w:t>Charleville, Mézières, pendant l'occupation allemande</w:t>
      </w:r>
      <w:r w:rsidRPr="00A01F82">
        <w:rPr>
          <w:lang w:val="fr-FR"/>
        </w:rPr>
        <w:t xml:space="preserve"> (Charleville, 1935).</w:t>
      </w:r>
    </w:p>
    <w:p w14:paraId="0E2CE229" w14:textId="77777777" w:rsidR="0048510E" w:rsidRDefault="0048510E" w:rsidP="0048510E">
      <w:pPr>
        <w:rPr>
          <w:lang w:val="fr-FR"/>
        </w:rPr>
      </w:pPr>
      <w:r w:rsidRPr="00C61127">
        <w:rPr>
          <w:lang w:val="fr-FR"/>
        </w:rPr>
        <w:t>Ladoux,</w:t>
      </w:r>
      <w:r w:rsidR="00CD1FE0">
        <w:rPr>
          <w:lang w:val="fr-FR"/>
        </w:rPr>
        <w:t xml:space="preserve"> G.,</w:t>
      </w:r>
      <w:r w:rsidRPr="00C61127">
        <w:rPr>
          <w:lang w:val="fr-FR"/>
        </w:rPr>
        <w:t xml:space="preserve"> </w:t>
      </w:r>
      <w:r w:rsidRPr="00C61127">
        <w:rPr>
          <w:i/>
          <w:iCs/>
          <w:lang w:val="fr-FR"/>
        </w:rPr>
        <w:t>Les chasseurs d'espions</w:t>
      </w:r>
      <w:r w:rsidRPr="00C61127">
        <w:rPr>
          <w:lang w:val="fr-FR"/>
        </w:rPr>
        <w:t xml:space="preserve"> (Paris, 1932).</w:t>
      </w:r>
    </w:p>
    <w:p w14:paraId="6AECF73D" w14:textId="77777777" w:rsidR="0048510E" w:rsidRDefault="0048510E" w:rsidP="00CD1FE0">
      <w:pPr>
        <w:rPr>
          <w:lang w:val="fr-FR"/>
        </w:rPr>
      </w:pPr>
      <w:r w:rsidRPr="00C61127">
        <w:rPr>
          <w:lang w:val="fr-FR"/>
        </w:rPr>
        <w:t>Leclère,</w:t>
      </w:r>
      <w:r w:rsidR="00CD1FE0">
        <w:rPr>
          <w:lang w:val="fr-FR"/>
        </w:rPr>
        <w:t xml:space="preserve"> J-P.,</w:t>
      </w:r>
      <w:r w:rsidRPr="00C61127">
        <w:rPr>
          <w:lang w:val="fr-FR"/>
        </w:rPr>
        <w:t xml:space="preserve"> </w:t>
      </w:r>
      <w:r w:rsidRPr="00C61127">
        <w:rPr>
          <w:i/>
          <w:iCs/>
          <w:lang w:val="fr-FR"/>
        </w:rPr>
        <w:t>Suspicion et guerre</w:t>
      </w:r>
      <w:r w:rsidRPr="00C61127">
        <w:rPr>
          <w:lang w:val="fr-FR"/>
        </w:rPr>
        <w:t xml:space="preserve"> (Metz, 1920).</w:t>
      </w:r>
    </w:p>
    <w:p w14:paraId="1FD5CFC8" w14:textId="77777777" w:rsidR="0048510E" w:rsidRDefault="0048510E" w:rsidP="0048510E">
      <w:pPr>
        <w:rPr>
          <w:lang w:val="de-DE"/>
        </w:rPr>
      </w:pPr>
      <w:r w:rsidRPr="00C61127">
        <w:rPr>
          <w:lang w:val="de-DE"/>
        </w:rPr>
        <w:t>Ludendorff,</w:t>
      </w:r>
      <w:r w:rsidR="00CD1FE0">
        <w:rPr>
          <w:lang w:val="de-DE"/>
        </w:rPr>
        <w:t xml:space="preserve"> E.,</w:t>
      </w:r>
      <w:r w:rsidRPr="00C61127">
        <w:rPr>
          <w:lang w:val="de-DE"/>
        </w:rPr>
        <w:t xml:space="preserve"> </w:t>
      </w:r>
      <w:r w:rsidRPr="00C61127">
        <w:rPr>
          <w:i/>
          <w:iCs/>
          <w:lang w:val="de-DE"/>
        </w:rPr>
        <w:t>Meine Kriegserinnerungen</w:t>
      </w:r>
      <w:r w:rsidRPr="00C61127">
        <w:rPr>
          <w:lang w:val="de-DE"/>
        </w:rPr>
        <w:t xml:space="preserve"> (Berlin, 1919).</w:t>
      </w:r>
    </w:p>
    <w:p w14:paraId="6890DF6E" w14:textId="77777777" w:rsidR="0048510E" w:rsidRPr="00C61127" w:rsidRDefault="0048510E" w:rsidP="0048510E">
      <w:pPr>
        <w:rPr>
          <w:lang w:val="fr-FR"/>
        </w:rPr>
      </w:pPr>
      <w:r w:rsidRPr="00C61127">
        <w:rPr>
          <w:lang w:val="fr-FR"/>
        </w:rPr>
        <w:t>Marquiset,</w:t>
      </w:r>
      <w:r w:rsidR="00CD1FE0">
        <w:rPr>
          <w:lang w:val="fr-FR"/>
        </w:rPr>
        <w:t xml:space="preserve"> J.,</w:t>
      </w:r>
      <w:r w:rsidRPr="00C61127">
        <w:rPr>
          <w:lang w:val="fr-FR"/>
        </w:rPr>
        <w:t xml:space="preserve"> </w:t>
      </w:r>
      <w:r w:rsidRPr="00C61127">
        <w:rPr>
          <w:i/>
          <w:iCs/>
          <w:lang w:val="fr-FR"/>
        </w:rPr>
        <w:t>Les Allemands à Laon</w:t>
      </w:r>
      <w:r w:rsidRPr="00C61127">
        <w:rPr>
          <w:lang w:val="fr-FR"/>
        </w:rPr>
        <w:t xml:space="preserve"> (Paris, 1919).</w:t>
      </w:r>
    </w:p>
    <w:p w14:paraId="18D86C82" w14:textId="77777777" w:rsidR="0048510E" w:rsidRDefault="0048510E" w:rsidP="0048510E">
      <w:pPr>
        <w:rPr>
          <w:lang w:val="fr-FR"/>
        </w:rPr>
      </w:pPr>
      <w:r w:rsidRPr="00C61127">
        <w:rPr>
          <w:lang w:val="fr-FR"/>
        </w:rPr>
        <w:t>Masoin,</w:t>
      </w:r>
      <w:r w:rsidR="00CD1FE0">
        <w:rPr>
          <w:lang w:val="fr-FR"/>
        </w:rPr>
        <w:t xml:space="preserve"> F.,</w:t>
      </w:r>
      <w:r w:rsidRPr="00C61127">
        <w:rPr>
          <w:lang w:val="fr-FR"/>
        </w:rPr>
        <w:t xml:space="preserve"> </w:t>
      </w:r>
      <w:r w:rsidRPr="00C61127">
        <w:rPr>
          <w:i/>
          <w:iCs/>
          <w:lang w:val="fr-FR"/>
        </w:rPr>
        <w:t>Le règne de la brute</w:t>
      </w:r>
      <w:r w:rsidRPr="00C61127">
        <w:rPr>
          <w:lang w:val="fr-FR"/>
        </w:rPr>
        <w:t xml:space="preserve"> (Brussels, 1919).</w:t>
      </w:r>
    </w:p>
    <w:p w14:paraId="41C78022" w14:textId="77777777" w:rsidR="0048510E" w:rsidRDefault="0048510E" w:rsidP="0048510E">
      <w:r>
        <w:t>Nicolai,</w:t>
      </w:r>
      <w:r w:rsidR="00CD1FE0">
        <w:t xml:space="preserve"> W.,</w:t>
      </w:r>
      <w:r>
        <w:t xml:space="preserve"> </w:t>
      </w:r>
      <w:r>
        <w:rPr>
          <w:i/>
          <w:iCs/>
        </w:rPr>
        <w:t>The German secret service</w:t>
      </w:r>
      <w:r>
        <w:t xml:space="preserve"> (London, 1924).</w:t>
      </w:r>
    </w:p>
    <w:p w14:paraId="1D8B6814" w14:textId="77777777" w:rsidR="0048510E" w:rsidRDefault="0048510E" w:rsidP="0048510E">
      <w:r>
        <w:t>Onslow,</w:t>
      </w:r>
      <w:r w:rsidR="00CD1FE0">
        <w:t xml:space="preserve"> R.,</w:t>
      </w:r>
      <w:r>
        <w:t xml:space="preserve"> </w:t>
      </w:r>
      <w:r>
        <w:rPr>
          <w:i/>
          <w:iCs/>
        </w:rPr>
        <w:t>Sixty-three years: diplomacy, the Great War and politics</w:t>
      </w:r>
      <w:r>
        <w:t xml:space="preserve"> (London, 1944).</w:t>
      </w:r>
    </w:p>
    <w:p w14:paraId="082484EF" w14:textId="77777777" w:rsidR="00121726" w:rsidRDefault="00121726" w:rsidP="00121726">
      <w:r>
        <w:t xml:space="preserve">Patry, L., </w:t>
      </w:r>
      <w:r>
        <w:rPr>
          <w:i/>
          <w:iCs/>
        </w:rPr>
        <w:t>The reality of war</w:t>
      </w:r>
      <w:r>
        <w:t>:</w:t>
      </w:r>
      <w:r w:rsidRPr="00121726">
        <w:rPr>
          <w:i/>
          <w:iCs/>
        </w:rPr>
        <w:t xml:space="preserve"> a memoir of the Franco-Prussian war 1870-1871</w:t>
      </w:r>
      <w:r>
        <w:t xml:space="preserve"> (London, 2001).</w:t>
      </w:r>
    </w:p>
    <w:p w14:paraId="7C0C8B1B" w14:textId="77777777" w:rsidR="0048510E" w:rsidRDefault="0048510E" w:rsidP="0048510E">
      <w:pPr>
        <w:rPr>
          <w:lang w:val="fr-FR"/>
        </w:rPr>
      </w:pPr>
      <w:r w:rsidRPr="00C61127">
        <w:rPr>
          <w:lang w:val="fr-FR"/>
        </w:rPr>
        <w:t>Pétain,</w:t>
      </w:r>
      <w:r w:rsidR="00CD1FE0">
        <w:rPr>
          <w:lang w:val="fr-FR"/>
        </w:rPr>
        <w:t xml:space="preserve"> P.,</w:t>
      </w:r>
      <w:r w:rsidRPr="00C61127">
        <w:rPr>
          <w:lang w:val="fr-FR"/>
        </w:rPr>
        <w:t xml:space="preserve"> </w:t>
      </w:r>
      <w:r w:rsidRPr="00C61127">
        <w:rPr>
          <w:i/>
          <w:iCs/>
          <w:lang w:val="fr-FR"/>
        </w:rPr>
        <w:t>Paroles françaises: pourquoi nous nous battons</w:t>
      </w:r>
      <w:r w:rsidRPr="00C61127">
        <w:rPr>
          <w:lang w:val="fr-FR"/>
        </w:rPr>
        <w:t xml:space="preserve"> (Paris, 1917).</w:t>
      </w:r>
    </w:p>
    <w:p w14:paraId="08417330" w14:textId="77777777" w:rsidR="0048510E" w:rsidRDefault="0048510E" w:rsidP="0048510E">
      <w:pPr>
        <w:rPr>
          <w:lang w:val="fr-FR"/>
        </w:rPr>
      </w:pPr>
      <w:r w:rsidRPr="00C61127">
        <w:rPr>
          <w:lang w:val="fr-FR"/>
        </w:rPr>
        <w:t>Schaeger,</w:t>
      </w:r>
      <w:r w:rsidR="00CD1FE0">
        <w:rPr>
          <w:lang w:val="fr-FR"/>
        </w:rPr>
        <w:t xml:space="preserve"> J.,</w:t>
      </w:r>
      <w:r w:rsidRPr="00C61127">
        <w:rPr>
          <w:lang w:val="fr-FR"/>
        </w:rPr>
        <w:t xml:space="preserve"> </w:t>
      </w:r>
      <w:r w:rsidRPr="00C61127">
        <w:rPr>
          <w:i/>
          <w:iCs/>
          <w:lang w:val="fr-FR"/>
        </w:rPr>
        <w:t>La ville de Huy sous l'occupation allemande</w:t>
      </w:r>
      <w:r w:rsidRPr="00C61127">
        <w:rPr>
          <w:lang w:val="fr-FR"/>
        </w:rPr>
        <w:t xml:space="preserve"> (Huy, 1922).</w:t>
      </w:r>
    </w:p>
    <w:p w14:paraId="51ECACF6" w14:textId="77777777" w:rsidR="0048510E" w:rsidRDefault="0048510E" w:rsidP="0048510E">
      <w:pPr>
        <w:rPr>
          <w:lang w:val="fr-FR"/>
        </w:rPr>
      </w:pPr>
      <w:r w:rsidRPr="00C61127">
        <w:rPr>
          <w:lang w:val="fr-FR"/>
        </w:rPr>
        <w:t>Stephani,</w:t>
      </w:r>
      <w:r w:rsidR="00CD1FE0">
        <w:rPr>
          <w:lang w:val="fr-FR"/>
        </w:rPr>
        <w:t xml:space="preserve"> P.,</w:t>
      </w:r>
      <w:r w:rsidRPr="00C61127">
        <w:rPr>
          <w:lang w:val="fr-FR"/>
        </w:rPr>
        <w:t xml:space="preserve"> </w:t>
      </w:r>
      <w:r w:rsidRPr="00C61127">
        <w:rPr>
          <w:i/>
          <w:iCs/>
          <w:lang w:val="fr-FR"/>
        </w:rPr>
        <w:t>Sedan sous la domination allemande</w:t>
      </w:r>
      <w:r w:rsidRPr="00C61127">
        <w:rPr>
          <w:lang w:val="fr-FR"/>
        </w:rPr>
        <w:t xml:space="preserve"> (Paris, 1919).</w:t>
      </w:r>
    </w:p>
    <w:p w14:paraId="7FB43FDE" w14:textId="77777777" w:rsidR="0048510E" w:rsidRDefault="0048510E" w:rsidP="0048510E">
      <w:r>
        <w:t>Stuart-Campbell,</w:t>
      </w:r>
      <w:r w:rsidR="00CD1FE0">
        <w:t xml:space="preserve"> B.,</w:t>
      </w:r>
      <w:r>
        <w:t xml:space="preserve"> </w:t>
      </w:r>
      <w:r>
        <w:rPr>
          <w:i/>
          <w:iCs/>
        </w:rPr>
        <w:t>Secrets of Crewe House</w:t>
      </w:r>
      <w:r>
        <w:t xml:space="preserve"> (London, 1920).</w:t>
      </w:r>
    </w:p>
    <w:p w14:paraId="41031412" w14:textId="77777777" w:rsidR="0048510E" w:rsidRDefault="0048510E" w:rsidP="0048510E">
      <w:pPr>
        <w:rPr>
          <w:lang w:val="fr-FR"/>
        </w:rPr>
      </w:pPr>
      <w:r w:rsidRPr="00C61127">
        <w:rPr>
          <w:lang w:val="fr-FR"/>
        </w:rPr>
        <w:t>Tissandier,</w:t>
      </w:r>
      <w:r w:rsidR="00CD1FE0">
        <w:rPr>
          <w:lang w:val="fr-FR"/>
        </w:rPr>
        <w:t xml:space="preserve"> G.,</w:t>
      </w:r>
      <w:r w:rsidRPr="00C61127">
        <w:rPr>
          <w:lang w:val="fr-FR"/>
        </w:rPr>
        <w:t xml:space="preserve"> </w:t>
      </w:r>
      <w:r w:rsidRPr="00C61127">
        <w:rPr>
          <w:i/>
          <w:iCs/>
          <w:lang w:val="fr-FR"/>
        </w:rPr>
        <w:t>En ballon ! Pendant le siège de Paris: souvenirs d'un aéronaute</w:t>
      </w:r>
      <w:r w:rsidRPr="00C61127">
        <w:rPr>
          <w:lang w:val="fr-FR"/>
        </w:rPr>
        <w:t xml:space="preserve"> (Paris, 1871).</w:t>
      </w:r>
    </w:p>
    <w:p w14:paraId="2E25CA16" w14:textId="77777777" w:rsidR="0048510E" w:rsidRDefault="0048510E" w:rsidP="0048510E">
      <w:pPr>
        <w:rPr>
          <w:lang w:val="fr-FR"/>
        </w:rPr>
      </w:pPr>
      <w:r w:rsidRPr="00C61127">
        <w:rPr>
          <w:lang w:val="fr-FR"/>
        </w:rPr>
        <w:t>Trochon,</w:t>
      </w:r>
      <w:r w:rsidR="00CD1FE0">
        <w:rPr>
          <w:lang w:val="fr-FR"/>
        </w:rPr>
        <w:t xml:space="preserve"> P.,</w:t>
      </w:r>
      <w:r w:rsidRPr="00C61127">
        <w:rPr>
          <w:lang w:val="fr-FR"/>
        </w:rPr>
        <w:t xml:space="preserve"> </w:t>
      </w:r>
      <w:r w:rsidRPr="00C61127">
        <w:rPr>
          <w:i/>
          <w:iCs/>
          <w:lang w:val="fr-FR"/>
        </w:rPr>
        <w:t>Lille avant et pendant l'occupation allemande</w:t>
      </w:r>
      <w:r w:rsidRPr="00C61127">
        <w:rPr>
          <w:lang w:val="fr-FR"/>
        </w:rPr>
        <w:t xml:space="preserve"> (Tourcoing, 1922).</w:t>
      </w:r>
    </w:p>
    <w:p w14:paraId="7AC675C5" w14:textId="77777777" w:rsidR="0048510E" w:rsidRDefault="0048510E" w:rsidP="0048510E">
      <w:pPr>
        <w:rPr>
          <w:lang w:val="fr-FR"/>
        </w:rPr>
      </w:pPr>
      <w:r w:rsidRPr="00C61127">
        <w:rPr>
          <w:lang w:val="fr-FR"/>
        </w:rPr>
        <w:t>van Doren,</w:t>
      </w:r>
      <w:r w:rsidR="00CD1FE0">
        <w:rPr>
          <w:lang w:val="fr-FR"/>
        </w:rPr>
        <w:t xml:space="preserve"> E.,</w:t>
      </w:r>
      <w:r w:rsidRPr="00C61127">
        <w:rPr>
          <w:lang w:val="fr-FR"/>
        </w:rPr>
        <w:t xml:space="preserve"> </w:t>
      </w:r>
      <w:r w:rsidRPr="00C61127">
        <w:rPr>
          <w:i/>
          <w:iCs/>
          <w:lang w:val="fr-FR"/>
        </w:rPr>
        <w:t>Les tribulations du manager de La Libre Belgique</w:t>
      </w:r>
      <w:r w:rsidRPr="00C61127">
        <w:rPr>
          <w:lang w:val="fr-FR"/>
        </w:rPr>
        <w:t xml:space="preserve"> (Bruxelles, 1947).</w:t>
      </w:r>
    </w:p>
    <w:p w14:paraId="2AA10738" w14:textId="77777777" w:rsidR="0048510E" w:rsidRDefault="0048510E" w:rsidP="0048510E">
      <w:pPr>
        <w:rPr>
          <w:lang w:val="fr-FR"/>
        </w:rPr>
      </w:pPr>
      <w:r w:rsidRPr="00C61127">
        <w:rPr>
          <w:lang w:val="fr-FR"/>
        </w:rPr>
        <w:t>Vierset,</w:t>
      </w:r>
      <w:r w:rsidR="00CD1FE0">
        <w:rPr>
          <w:lang w:val="fr-FR"/>
        </w:rPr>
        <w:t xml:space="preserve"> A.,</w:t>
      </w:r>
      <w:r w:rsidRPr="00C61127">
        <w:rPr>
          <w:lang w:val="fr-FR"/>
        </w:rPr>
        <w:t xml:space="preserve"> </w:t>
      </w:r>
      <w:r w:rsidRPr="00C61127">
        <w:rPr>
          <w:i/>
          <w:iCs/>
          <w:lang w:val="fr-FR"/>
        </w:rPr>
        <w:t>Mes souvenirs sur l'occupation allemande en Belgique</w:t>
      </w:r>
      <w:r w:rsidRPr="00C61127">
        <w:rPr>
          <w:lang w:val="fr-FR"/>
        </w:rPr>
        <w:t xml:space="preserve"> (Paris, 1932).</w:t>
      </w:r>
    </w:p>
    <w:p w14:paraId="7E9EC489" w14:textId="77777777" w:rsidR="0048510E" w:rsidRDefault="0048510E" w:rsidP="0048510E">
      <w:pPr>
        <w:rPr>
          <w:lang w:val="fr-FR"/>
        </w:rPr>
      </w:pPr>
      <w:r w:rsidRPr="00C61127">
        <w:rPr>
          <w:lang w:val="fr-FR"/>
        </w:rPr>
        <w:t>Villemin,</w:t>
      </w:r>
      <w:r w:rsidR="00CD1FE0">
        <w:rPr>
          <w:lang w:val="fr-FR"/>
        </w:rPr>
        <w:t xml:space="preserve"> A.,</w:t>
      </w:r>
      <w:r w:rsidRPr="00C61127">
        <w:rPr>
          <w:lang w:val="fr-FR"/>
        </w:rPr>
        <w:t xml:space="preserve"> </w:t>
      </w:r>
      <w:r w:rsidRPr="00C61127">
        <w:rPr>
          <w:i/>
          <w:iCs/>
          <w:lang w:val="fr-FR"/>
        </w:rPr>
        <w:t>Senones, une ville vosgienne sous l'occupation allemande</w:t>
      </w:r>
      <w:r w:rsidRPr="00C61127">
        <w:rPr>
          <w:lang w:val="fr-FR"/>
        </w:rPr>
        <w:t xml:space="preserve"> (Vosges, 2002).</w:t>
      </w:r>
    </w:p>
    <w:p w14:paraId="2BE6A9C4" w14:textId="77777777" w:rsidR="0048510E" w:rsidRPr="00DA3879" w:rsidRDefault="0048510E" w:rsidP="0048510E">
      <w:pPr>
        <w:rPr>
          <w:lang w:val="fr-FR"/>
        </w:rPr>
      </w:pPr>
    </w:p>
    <w:p w14:paraId="4B0B908E" w14:textId="77777777" w:rsidR="0048510E" w:rsidRPr="000E1021" w:rsidRDefault="0048510E" w:rsidP="0048510E">
      <w:pPr>
        <w:pStyle w:val="Heading2"/>
        <w:rPr>
          <w:lang w:val="fr-FR"/>
        </w:rPr>
      </w:pPr>
      <w:bookmarkStart w:id="101" w:name="_Toc378223887"/>
      <w:bookmarkStart w:id="102" w:name="_Toc402193002"/>
      <w:r w:rsidRPr="000E1021">
        <w:rPr>
          <w:lang w:val="fr-FR"/>
        </w:rPr>
        <w:t>Secondary sources</w:t>
      </w:r>
      <w:bookmarkEnd w:id="101"/>
      <w:bookmarkEnd w:id="102"/>
    </w:p>
    <w:p w14:paraId="15B574F3" w14:textId="77777777" w:rsidR="0048510E" w:rsidRPr="00130BFA" w:rsidRDefault="0048510E" w:rsidP="0048510E">
      <w:pPr>
        <w:rPr>
          <w:b/>
          <w:sz w:val="24"/>
          <w:szCs w:val="24"/>
          <w:lang w:val="fr-FR"/>
        </w:rPr>
      </w:pPr>
      <w:r w:rsidRPr="00130BFA">
        <w:rPr>
          <w:b/>
          <w:sz w:val="24"/>
          <w:szCs w:val="24"/>
          <w:lang w:val="fr-FR"/>
        </w:rPr>
        <w:t>Newspapers</w:t>
      </w:r>
    </w:p>
    <w:p w14:paraId="6D544E30" w14:textId="77777777" w:rsidR="0048510E" w:rsidRDefault="0048510E" w:rsidP="0048510E">
      <w:pPr>
        <w:rPr>
          <w:lang w:val="fr-FR"/>
        </w:rPr>
      </w:pPr>
      <w:r>
        <w:rPr>
          <w:i/>
          <w:lang w:val="fr-FR"/>
        </w:rPr>
        <w:t>L’Abeille</w:t>
      </w:r>
      <w:r>
        <w:rPr>
          <w:lang w:val="fr-FR"/>
        </w:rPr>
        <w:t>, June 2005</w:t>
      </w:r>
    </w:p>
    <w:p w14:paraId="56488551" w14:textId="77777777" w:rsidR="0048510E" w:rsidRPr="007D47CD" w:rsidRDefault="0048510E" w:rsidP="0048510E">
      <w:pPr>
        <w:rPr>
          <w:lang w:val="fr-FR"/>
        </w:rPr>
      </w:pPr>
      <w:r>
        <w:rPr>
          <w:i/>
          <w:lang w:val="fr-FR"/>
        </w:rPr>
        <w:t>Le Dimanche du journal de Roubaix</w:t>
      </w:r>
      <w:r>
        <w:rPr>
          <w:lang w:val="fr-FR"/>
        </w:rPr>
        <w:t>, 4 September 1921</w:t>
      </w:r>
    </w:p>
    <w:p w14:paraId="56B0BB4D" w14:textId="77777777" w:rsidR="00A86B6F" w:rsidRDefault="00A86B6F" w:rsidP="0048510E">
      <w:pPr>
        <w:rPr>
          <w:b/>
          <w:sz w:val="24"/>
          <w:szCs w:val="24"/>
          <w:lang w:val="fr-FR"/>
        </w:rPr>
      </w:pPr>
    </w:p>
    <w:p w14:paraId="372F5443" w14:textId="77777777" w:rsidR="0048510E" w:rsidRPr="009450C1" w:rsidRDefault="0048510E" w:rsidP="0048510E">
      <w:pPr>
        <w:rPr>
          <w:b/>
          <w:sz w:val="24"/>
          <w:szCs w:val="24"/>
        </w:rPr>
      </w:pPr>
      <w:r w:rsidRPr="009450C1">
        <w:rPr>
          <w:b/>
          <w:sz w:val="24"/>
          <w:szCs w:val="24"/>
        </w:rPr>
        <w:t>Books</w:t>
      </w:r>
    </w:p>
    <w:p w14:paraId="2DC04E08" w14:textId="77777777" w:rsidR="0048510E" w:rsidRPr="002D1D14" w:rsidRDefault="0048510E" w:rsidP="0048510E">
      <w:pPr>
        <w:rPr>
          <w:i/>
          <w:iCs/>
        </w:rPr>
      </w:pPr>
      <w:r w:rsidRPr="002D1D14">
        <w:t xml:space="preserve">Anonymous, </w:t>
      </w:r>
      <w:r w:rsidRPr="002D1D14">
        <w:rPr>
          <w:i/>
          <w:iCs/>
        </w:rPr>
        <w:t xml:space="preserve">Histories of the 25th division of the German army which participated in the war </w:t>
      </w:r>
      <w:r>
        <w:rPr>
          <w:i/>
          <w:iCs/>
        </w:rPr>
        <w:t>(1914-1918)</w:t>
      </w:r>
      <w:r>
        <w:t xml:space="preserve"> (Ithacan, 1920).</w:t>
      </w:r>
    </w:p>
    <w:p w14:paraId="457E4B84" w14:textId="77777777" w:rsidR="0048510E" w:rsidRDefault="0048510E" w:rsidP="0048510E">
      <w:r>
        <w:t>Albig,</w:t>
      </w:r>
      <w:r w:rsidR="003F3504">
        <w:t xml:space="preserve"> W.,</w:t>
      </w:r>
      <w:r>
        <w:t xml:space="preserve"> </w:t>
      </w:r>
      <w:r>
        <w:rPr>
          <w:i/>
          <w:iCs/>
        </w:rPr>
        <w:t>Public opinion</w:t>
      </w:r>
      <w:r>
        <w:t xml:space="preserve"> (New York, 1939).</w:t>
      </w:r>
    </w:p>
    <w:p w14:paraId="1923F327" w14:textId="77777777" w:rsidR="00922A4B" w:rsidRPr="00DE3AC9" w:rsidRDefault="00922A4B" w:rsidP="00922A4B">
      <w:r w:rsidRPr="00DE3AC9">
        <w:t xml:space="preserve">Amara, M., and H. Roland, </w:t>
      </w:r>
      <w:r w:rsidRPr="00DE3AC9">
        <w:rPr>
          <w:i/>
          <w:iCs/>
        </w:rPr>
        <w:t>Gouverner en Belgique occupée: Oscar von der Lancken-Wakenitz. Rapports d’activité 1915-1918</w:t>
      </w:r>
      <w:r w:rsidRPr="00DE3AC9">
        <w:t xml:space="preserve"> (Brussels, 2004).</w:t>
      </w:r>
    </w:p>
    <w:p w14:paraId="1333DDBC" w14:textId="77777777" w:rsidR="0048510E" w:rsidRPr="00C61127" w:rsidRDefault="0048510E" w:rsidP="0048510E">
      <w:pPr>
        <w:rPr>
          <w:lang w:val="fr-FR"/>
        </w:rPr>
      </w:pPr>
      <w:r>
        <w:rPr>
          <w:lang w:val="fr-FR"/>
        </w:rPr>
        <w:t>Audoin-Rouzeau,</w:t>
      </w:r>
      <w:r w:rsidR="003F3504">
        <w:rPr>
          <w:lang w:val="fr-FR"/>
        </w:rPr>
        <w:t xml:space="preserve"> S.,</w:t>
      </w:r>
      <w:r w:rsidRPr="00C61127">
        <w:rPr>
          <w:lang w:val="fr-FR"/>
        </w:rPr>
        <w:t xml:space="preserve"> </w:t>
      </w:r>
      <w:r w:rsidRPr="00C61127">
        <w:rPr>
          <w:i/>
          <w:iCs/>
          <w:lang w:val="fr-FR"/>
        </w:rPr>
        <w:t>Combattre</w:t>
      </w:r>
      <w:r w:rsidR="00E33192">
        <w:rPr>
          <w:i/>
          <w:iCs/>
          <w:lang w:val="fr-FR"/>
        </w:rPr>
        <w:t xml:space="preserve">: une anthropologie historique de la guerre moderne (XIX-XXIe siècle) </w:t>
      </w:r>
      <w:r w:rsidRPr="00C61127">
        <w:rPr>
          <w:lang w:val="fr-FR"/>
        </w:rPr>
        <w:t xml:space="preserve"> (Paris, 2008).</w:t>
      </w:r>
    </w:p>
    <w:p w14:paraId="47CE4279" w14:textId="77777777" w:rsidR="0048510E" w:rsidRPr="00E33192" w:rsidRDefault="0048510E" w:rsidP="0048510E">
      <w:pPr>
        <w:rPr>
          <w:lang w:val="fr-FR"/>
        </w:rPr>
      </w:pPr>
      <w:r w:rsidRPr="00E33192">
        <w:rPr>
          <w:lang w:val="fr-FR"/>
        </w:rPr>
        <w:t xml:space="preserve">———, </w:t>
      </w:r>
      <w:r w:rsidRPr="00E33192">
        <w:rPr>
          <w:i/>
          <w:iCs/>
          <w:lang w:val="fr-FR"/>
        </w:rPr>
        <w:t>L'enfant de l'ennemi</w:t>
      </w:r>
      <w:r w:rsidRPr="00E33192">
        <w:rPr>
          <w:lang w:val="fr-FR"/>
        </w:rPr>
        <w:t xml:space="preserve"> </w:t>
      </w:r>
      <w:r w:rsidR="00E33192" w:rsidRPr="00E33192">
        <w:rPr>
          <w:lang w:val="fr-FR"/>
        </w:rPr>
        <w:t xml:space="preserve">: </w:t>
      </w:r>
      <w:r w:rsidR="00E33192" w:rsidRPr="00E33192">
        <w:rPr>
          <w:i/>
          <w:iCs/>
          <w:lang w:val="fr-FR"/>
        </w:rPr>
        <w:t>viol, avortement, infanticide pendant la Grande Guerre</w:t>
      </w:r>
      <w:r w:rsidR="00E33192">
        <w:rPr>
          <w:lang w:val="fr-FR"/>
        </w:rPr>
        <w:t xml:space="preserve"> </w:t>
      </w:r>
      <w:r w:rsidRPr="00E33192">
        <w:rPr>
          <w:lang w:val="fr-FR"/>
        </w:rPr>
        <w:t>(Paris, 1995).</w:t>
      </w:r>
    </w:p>
    <w:p w14:paraId="4ED8F93E" w14:textId="77777777" w:rsidR="0048510E" w:rsidRDefault="0048510E" w:rsidP="0048510E">
      <w:r w:rsidRPr="00EE7CEF">
        <w:t xml:space="preserve">———, </w:t>
      </w:r>
      <w:r w:rsidRPr="00EE7CEF">
        <w:rPr>
          <w:i/>
          <w:iCs/>
        </w:rPr>
        <w:t>Men at war, 1914-</w:t>
      </w:r>
      <w:r w:rsidR="00E33192" w:rsidRPr="00EE7CEF">
        <w:rPr>
          <w:i/>
          <w:iCs/>
        </w:rPr>
        <w:t>1918:</w:t>
      </w:r>
      <w:r w:rsidRPr="00EE7CEF">
        <w:rPr>
          <w:i/>
          <w:iCs/>
        </w:rPr>
        <w:t xml:space="preserve"> national sentiment and trench journalism in France during the First World War</w:t>
      </w:r>
      <w:r>
        <w:t xml:space="preserve"> (Providence, 1992).</w:t>
      </w:r>
    </w:p>
    <w:p w14:paraId="74DE9ED4" w14:textId="77777777" w:rsidR="0048510E" w:rsidRDefault="0048510E" w:rsidP="003F3504">
      <w:r>
        <w:t>Audoin-Rouzeau,</w:t>
      </w:r>
      <w:r w:rsidR="003F3504">
        <w:t xml:space="preserve"> S.,</w:t>
      </w:r>
      <w:r>
        <w:t xml:space="preserve"> and </w:t>
      </w:r>
      <w:r w:rsidR="003F3504">
        <w:t>A.</w:t>
      </w:r>
      <w:r>
        <w:t xml:space="preserve"> Becker, </w:t>
      </w:r>
      <w:r>
        <w:rPr>
          <w:i/>
          <w:iCs/>
        </w:rPr>
        <w:t>1914-1918: Understanding the Great War</w:t>
      </w:r>
      <w:r>
        <w:t xml:space="preserve"> (London, 2002).</w:t>
      </w:r>
    </w:p>
    <w:p w14:paraId="1B802D05" w14:textId="77777777" w:rsidR="0048510E" w:rsidRDefault="0048510E" w:rsidP="003F3504">
      <w:r>
        <w:t>Audoin-Rouzeau,</w:t>
      </w:r>
      <w:r w:rsidR="003F3504">
        <w:t xml:space="preserve"> S.,</w:t>
      </w:r>
      <w:r>
        <w:t xml:space="preserve"> A</w:t>
      </w:r>
      <w:r w:rsidR="003F3504">
        <w:t>.</w:t>
      </w:r>
      <w:r>
        <w:t xml:space="preserve"> Becker, and </w:t>
      </w:r>
      <w:r w:rsidR="003F3504">
        <w:t>L.</w:t>
      </w:r>
      <w:r>
        <w:t xml:space="preserve"> Smith, </w:t>
      </w:r>
      <w:r>
        <w:rPr>
          <w:i/>
          <w:iCs/>
        </w:rPr>
        <w:t>France and the Great War 1914-1918</w:t>
      </w:r>
      <w:r>
        <w:t xml:space="preserve"> (Cambridge, 2006).</w:t>
      </w:r>
    </w:p>
    <w:p w14:paraId="1F4BD1FD" w14:textId="77777777" w:rsidR="0048510E" w:rsidRDefault="0048510E" w:rsidP="003F3504">
      <w:pPr>
        <w:rPr>
          <w:lang w:val="fr-FR"/>
        </w:rPr>
      </w:pPr>
      <w:r w:rsidRPr="00DE3AC9">
        <w:t>Audoin-Rouzeau,</w:t>
      </w:r>
      <w:r w:rsidR="003F3504" w:rsidRPr="00DE3AC9">
        <w:t xml:space="preserve"> S.</w:t>
      </w:r>
      <w:r w:rsidRPr="00DE3AC9">
        <w:t xml:space="preserve"> and </w:t>
      </w:r>
      <w:r w:rsidR="003F3504" w:rsidRPr="00DE3AC9">
        <w:t>J-J.</w:t>
      </w:r>
      <w:r w:rsidRPr="00DE3AC9">
        <w:t xml:space="preserve"> </w:t>
      </w:r>
      <w:r w:rsidRPr="00C61127">
        <w:rPr>
          <w:lang w:val="fr-FR"/>
        </w:rPr>
        <w:t xml:space="preserve">Becker, </w:t>
      </w:r>
      <w:r w:rsidRPr="00C61127">
        <w:rPr>
          <w:i/>
          <w:iCs/>
          <w:lang w:val="fr-FR"/>
        </w:rPr>
        <w:t>La France, la nation, la guerre: 1850-1920</w:t>
      </w:r>
      <w:r w:rsidRPr="00C61127">
        <w:rPr>
          <w:lang w:val="fr-FR"/>
        </w:rPr>
        <w:t xml:space="preserve"> (Paris, 1995).</w:t>
      </w:r>
    </w:p>
    <w:p w14:paraId="3AC3A117" w14:textId="77777777" w:rsidR="0048510E" w:rsidRDefault="0048510E" w:rsidP="0048510E">
      <w:pPr>
        <w:rPr>
          <w:lang w:val="de-DE"/>
        </w:rPr>
      </w:pPr>
      <w:r w:rsidRPr="00C61127">
        <w:rPr>
          <w:lang w:val="de-DE"/>
        </w:rPr>
        <w:t>Barth,</w:t>
      </w:r>
      <w:r w:rsidR="003F3504">
        <w:rPr>
          <w:lang w:val="de-DE"/>
        </w:rPr>
        <w:t xml:space="preserve"> B.,</w:t>
      </w:r>
      <w:r w:rsidRPr="00C61127">
        <w:rPr>
          <w:lang w:val="de-DE"/>
        </w:rPr>
        <w:t xml:space="preserve"> </w:t>
      </w:r>
      <w:r w:rsidRPr="00C61127">
        <w:rPr>
          <w:i/>
          <w:iCs/>
          <w:lang w:val="de-DE"/>
        </w:rPr>
        <w:t>Dolchstosslegenden und politische Desintegration</w:t>
      </w:r>
      <w:r w:rsidRPr="00C61127">
        <w:rPr>
          <w:lang w:val="de-DE"/>
        </w:rPr>
        <w:t xml:space="preserve"> (Düsseldorf, 2003).</w:t>
      </w:r>
    </w:p>
    <w:p w14:paraId="7E07C273" w14:textId="77777777" w:rsidR="0048510E" w:rsidRDefault="0048510E" w:rsidP="0048510E">
      <w:r>
        <w:t>Baycroft,</w:t>
      </w:r>
      <w:r w:rsidR="003F3504">
        <w:t xml:space="preserve"> T.,</w:t>
      </w:r>
      <w:r>
        <w:t xml:space="preserve"> </w:t>
      </w:r>
      <w:r>
        <w:rPr>
          <w:i/>
          <w:iCs/>
        </w:rPr>
        <w:t>Culture, identity and nationalism: French Flanders in the Nineteenth and Twentieth Centuries</w:t>
      </w:r>
      <w:r>
        <w:t xml:space="preserve"> (Woolbridge, 2004).</w:t>
      </w:r>
    </w:p>
    <w:p w14:paraId="0ABBA07B" w14:textId="77777777" w:rsidR="0048510E" w:rsidRDefault="0048510E" w:rsidP="0048510E">
      <w:pPr>
        <w:rPr>
          <w:lang w:val="fr-FR"/>
        </w:rPr>
      </w:pPr>
      <w:r w:rsidRPr="00C61127">
        <w:rPr>
          <w:lang w:val="fr-FR"/>
        </w:rPr>
        <w:t xml:space="preserve">———, </w:t>
      </w:r>
      <w:r w:rsidRPr="00C61127">
        <w:rPr>
          <w:i/>
          <w:iCs/>
          <w:lang w:val="fr-FR"/>
        </w:rPr>
        <w:t>France</w:t>
      </w:r>
      <w:r w:rsidRPr="00C61127">
        <w:rPr>
          <w:lang w:val="fr-FR"/>
        </w:rPr>
        <w:t xml:space="preserve"> (London, 2008).</w:t>
      </w:r>
    </w:p>
    <w:p w14:paraId="5B0834F8" w14:textId="77777777" w:rsidR="0048510E" w:rsidRPr="00C61127" w:rsidRDefault="0048510E" w:rsidP="0048510E">
      <w:pPr>
        <w:rPr>
          <w:lang w:val="fr-FR"/>
        </w:rPr>
      </w:pPr>
      <w:r>
        <w:rPr>
          <w:lang w:val="fr-FR"/>
        </w:rPr>
        <w:t>Becker,</w:t>
      </w:r>
      <w:r w:rsidR="003F3504">
        <w:rPr>
          <w:lang w:val="fr-FR"/>
        </w:rPr>
        <w:t xml:space="preserve"> A.,</w:t>
      </w:r>
      <w:r>
        <w:rPr>
          <w:lang w:val="fr-FR"/>
        </w:rPr>
        <w:t xml:space="preserve"> </w:t>
      </w:r>
      <w:r w:rsidRPr="00C61127">
        <w:rPr>
          <w:lang w:val="fr-FR"/>
        </w:rPr>
        <w:t xml:space="preserve"> </w:t>
      </w:r>
      <w:r w:rsidRPr="00C61127">
        <w:rPr>
          <w:i/>
          <w:iCs/>
          <w:lang w:val="fr-FR"/>
        </w:rPr>
        <w:t>Journaux de combattants et de civils de la France du Nord dans la Grande Guerre</w:t>
      </w:r>
      <w:r w:rsidRPr="00C61127">
        <w:rPr>
          <w:lang w:val="fr-FR"/>
        </w:rPr>
        <w:t xml:space="preserve"> (Lille, 1998).</w:t>
      </w:r>
    </w:p>
    <w:p w14:paraId="64E50753" w14:textId="77777777" w:rsidR="0048510E" w:rsidRPr="00C61127" w:rsidRDefault="0048510E" w:rsidP="00E33192">
      <w:pPr>
        <w:rPr>
          <w:lang w:val="fr-FR"/>
        </w:rPr>
      </w:pPr>
      <w:r w:rsidRPr="00C61127">
        <w:rPr>
          <w:lang w:val="fr-FR"/>
        </w:rPr>
        <w:t xml:space="preserve">———, </w:t>
      </w:r>
      <w:r w:rsidRPr="00C61127">
        <w:rPr>
          <w:i/>
          <w:iCs/>
          <w:lang w:val="fr-FR"/>
        </w:rPr>
        <w:t>La guerre et la foi</w:t>
      </w:r>
      <w:r w:rsidR="00E33192">
        <w:rPr>
          <w:i/>
          <w:iCs/>
          <w:lang w:val="fr-FR"/>
        </w:rPr>
        <w:t>: de la mort à la mémoire, 1914-1930</w:t>
      </w:r>
      <w:r w:rsidRPr="00C61127">
        <w:rPr>
          <w:lang w:val="fr-FR"/>
        </w:rPr>
        <w:t xml:space="preserve"> (Paris, 1994).</w:t>
      </w:r>
    </w:p>
    <w:p w14:paraId="4156F74F" w14:textId="77777777" w:rsidR="0048510E" w:rsidRPr="007D47CD" w:rsidRDefault="0048510E" w:rsidP="0048510E">
      <w:pPr>
        <w:rPr>
          <w:lang w:val="fr-FR"/>
        </w:rPr>
      </w:pPr>
      <w:r w:rsidRPr="007D47CD">
        <w:rPr>
          <w:lang w:val="fr-FR"/>
        </w:rPr>
        <w:t xml:space="preserve">———, </w:t>
      </w:r>
      <w:r w:rsidRPr="007D47CD">
        <w:rPr>
          <w:i/>
          <w:iCs/>
          <w:lang w:val="fr-FR"/>
        </w:rPr>
        <w:t>Les cicatrices rouges</w:t>
      </w:r>
      <w:r w:rsidRPr="007D47CD">
        <w:rPr>
          <w:lang w:val="fr-FR"/>
        </w:rPr>
        <w:t xml:space="preserve"> </w:t>
      </w:r>
      <w:r w:rsidR="00E33192">
        <w:rPr>
          <w:lang w:val="fr-FR"/>
        </w:rPr>
        <w:t xml:space="preserve"> </w:t>
      </w:r>
      <w:r w:rsidR="00E33192" w:rsidRPr="00E33192">
        <w:rPr>
          <w:i/>
          <w:iCs/>
          <w:lang w:val="fr-FR"/>
        </w:rPr>
        <w:t>14-18: France et Belgique occupées</w:t>
      </w:r>
      <w:r w:rsidR="00E33192">
        <w:rPr>
          <w:lang w:val="fr-FR"/>
        </w:rPr>
        <w:t xml:space="preserve"> </w:t>
      </w:r>
      <w:r w:rsidRPr="007D47CD">
        <w:rPr>
          <w:lang w:val="fr-FR"/>
        </w:rPr>
        <w:t>(Paris, 2010).</w:t>
      </w:r>
    </w:p>
    <w:p w14:paraId="405A6AB7" w14:textId="77777777" w:rsidR="0048510E" w:rsidRDefault="0048510E" w:rsidP="0048510E">
      <w:pPr>
        <w:rPr>
          <w:lang w:val="fr-FR"/>
        </w:rPr>
      </w:pPr>
      <w:r w:rsidRPr="00C61127">
        <w:rPr>
          <w:lang w:val="fr-FR"/>
        </w:rPr>
        <w:t xml:space="preserve">———, </w:t>
      </w:r>
      <w:r w:rsidRPr="00C61127">
        <w:rPr>
          <w:i/>
          <w:iCs/>
          <w:lang w:val="fr-FR"/>
        </w:rPr>
        <w:t>Oubliés de la Grande Guerre</w:t>
      </w:r>
      <w:r w:rsidR="00E33192">
        <w:rPr>
          <w:i/>
          <w:iCs/>
          <w:lang w:val="fr-FR"/>
        </w:rPr>
        <w:t> : humanitaire et culture de guerre</w:t>
      </w:r>
      <w:r w:rsidRPr="00C61127">
        <w:rPr>
          <w:lang w:val="fr-FR"/>
        </w:rPr>
        <w:t xml:space="preserve"> (Paris, 1998).</w:t>
      </w:r>
    </w:p>
    <w:p w14:paraId="67BCC03A" w14:textId="77777777" w:rsidR="0048510E" w:rsidRPr="00C61127" w:rsidRDefault="0048510E" w:rsidP="0048510E">
      <w:pPr>
        <w:rPr>
          <w:lang w:val="fr-FR"/>
        </w:rPr>
      </w:pPr>
      <w:r w:rsidRPr="00C61127">
        <w:rPr>
          <w:lang w:val="fr-FR"/>
        </w:rPr>
        <w:t>Becker,</w:t>
      </w:r>
      <w:r w:rsidR="003F3504">
        <w:rPr>
          <w:lang w:val="fr-FR"/>
        </w:rPr>
        <w:t xml:space="preserve"> J-J.,</w:t>
      </w:r>
      <w:r w:rsidRPr="00C61127">
        <w:rPr>
          <w:lang w:val="fr-FR"/>
        </w:rPr>
        <w:t xml:space="preserve"> </w:t>
      </w:r>
      <w:r w:rsidRPr="00C61127">
        <w:rPr>
          <w:i/>
          <w:iCs/>
          <w:lang w:val="fr-FR"/>
        </w:rPr>
        <w:t>Dictionnaire de la Grande Guerre</w:t>
      </w:r>
      <w:r w:rsidRPr="00C61127">
        <w:rPr>
          <w:lang w:val="fr-FR"/>
        </w:rPr>
        <w:t xml:space="preserve"> (Brussels, 2008).</w:t>
      </w:r>
    </w:p>
    <w:p w14:paraId="4F27516D" w14:textId="77777777" w:rsidR="0048510E" w:rsidRPr="00E33192" w:rsidRDefault="0048510E" w:rsidP="0048510E">
      <w:r w:rsidRPr="00E33192">
        <w:t xml:space="preserve">———, </w:t>
      </w:r>
      <w:r w:rsidRPr="00E33192">
        <w:rPr>
          <w:i/>
          <w:iCs/>
        </w:rPr>
        <w:t>The Great War and the French people</w:t>
      </w:r>
      <w:r w:rsidRPr="00E33192">
        <w:t xml:space="preserve"> (Leamington Spa, 1985).</w:t>
      </w:r>
    </w:p>
    <w:p w14:paraId="326BB311" w14:textId="77777777" w:rsidR="0048510E" w:rsidRDefault="0048510E" w:rsidP="0048510E">
      <w:pPr>
        <w:rPr>
          <w:lang w:val="fr-FR"/>
        </w:rPr>
      </w:pPr>
      <w:r w:rsidRPr="00C61127">
        <w:rPr>
          <w:lang w:val="fr-FR"/>
        </w:rPr>
        <w:t xml:space="preserve">———, </w:t>
      </w:r>
      <w:r w:rsidRPr="00C61127">
        <w:rPr>
          <w:i/>
          <w:iCs/>
          <w:lang w:val="fr-FR"/>
        </w:rPr>
        <w:t>Les Français dans la Grande Guerre</w:t>
      </w:r>
      <w:r w:rsidRPr="00C61127">
        <w:rPr>
          <w:lang w:val="fr-FR"/>
        </w:rPr>
        <w:t xml:space="preserve"> (Paris, 1980).</w:t>
      </w:r>
    </w:p>
    <w:p w14:paraId="68C15F4D" w14:textId="77777777" w:rsidR="0048510E" w:rsidRDefault="0048510E" w:rsidP="003F3504">
      <w:pPr>
        <w:rPr>
          <w:lang w:val="fr-FR"/>
        </w:rPr>
      </w:pPr>
      <w:r w:rsidRPr="00C61127">
        <w:rPr>
          <w:lang w:val="fr-FR"/>
        </w:rPr>
        <w:t>Becker,</w:t>
      </w:r>
      <w:r w:rsidR="003F3504">
        <w:rPr>
          <w:lang w:val="fr-FR"/>
        </w:rPr>
        <w:t xml:space="preserve"> J.J,</w:t>
      </w:r>
      <w:r w:rsidRPr="00C61127">
        <w:rPr>
          <w:lang w:val="fr-FR"/>
        </w:rPr>
        <w:t xml:space="preserve"> and </w:t>
      </w:r>
      <w:r w:rsidR="003F3504">
        <w:rPr>
          <w:lang w:val="fr-FR"/>
        </w:rPr>
        <w:t>G.</w:t>
      </w:r>
      <w:r w:rsidRPr="00C61127">
        <w:rPr>
          <w:lang w:val="fr-FR"/>
        </w:rPr>
        <w:t xml:space="preserve"> Krumeich, </w:t>
      </w:r>
      <w:r w:rsidRPr="00C61127">
        <w:rPr>
          <w:i/>
          <w:iCs/>
          <w:lang w:val="fr-FR"/>
        </w:rPr>
        <w:t>La Grande Guerre: une histoire franco-allemande</w:t>
      </w:r>
      <w:r w:rsidRPr="00C61127">
        <w:rPr>
          <w:lang w:val="fr-FR"/>
        </w:rPr>
        <w:t xml:space="preserve"> (Paris, 2012).</w:t>
      </w:r>
    </w:p>
    <w:p w14:paraId="5D71FBCA" w14:textId="77777777" w:rsidR="0048510E" w:rsidRPr="00AD6EB7" w:rsidRDefault="0048510E" w:rsidP="0048510E">
      <w:r w:rsidRPr="00AD6EB7">
        <w:t>Berghahn,</w:t>
      </w:r>
      <w:r w:rsidR="003F3504" w:rsidRPr="00AD6EB7">
        <w:t xml:space="preserve"> V.,</w:t>
      </w:r>
      <w:r w:rsidRPr="00AD6EB7">
        <w:t xml:space="preserve"> </w:t>
      </w:r>
      <w:r w:rsidR="00AD6EB7" w:rsidRPr="00AD6EB7">
        <w:rPr>
          <w:i/>
          <w:iCs/>
        </w:rPr>
        <w:t>Imperial Germany 1871-1918: economy, society, culture</w:t>
      </w:r>
      <w:r w:rsidR="00AD6EB7">
        <w:rPr>
          <w:i/>
          <w:iCs/>
        </w:rPr>
        <w:t xml:space="preserve"> and politics</w:t>
      </w:r>
      <w:r w:rsidRPr="00AD6EB7">
        <w:t xml:space="preserve"> (Oxford, 1994).</w:t>
      </w:r>
    </w:p>
    <w:p w14:paraId="78D56705" w14:textId="77777777" w:rsidR="0048510E" w:rsidRPr="003F3504" w:rsidRDefault="0048510E" w:rsidP="0048510E">
      <w:r w:rsidRPr="003F3504">
        <w:t>Bernays,</w:t>
      </w:r>
      <w:r w:rsidR="003F3504" w:rsidRPr="003F3504">
        <w:t xml:space="preserve"> E.,</w:t>
      </w:r>
      <w:r w:rsidRPr="003F3504">
        <w:t xml:space="preserve"> </w:t>
      </w:r>
      <w:r w:rsidRPr="003F3504">
        <w:rPr>
          <w:i/>
          <w:iCs/>
        </w:rPr>
        <w:t>Propaganda</w:t>
      </w:r>
      <w:r w:rsidRPr="003F3504">
        <w:t xml:space="preserve"> (New York, 2005).</w:t>
      </w:r>
    </w:p>
    <w:p w14:paraId="2DDE2793" w14:textId="77777777" w:rsidR="0048510E" w:rsidRDefault="0048510E" w:rsidP="0048510E">
      <w:pPr>
        <w:rPr>
          <w:lang w:val="fr-FR"/>
        </w:rPr>
      </w:pPr>
      <w:r w:rsidRPr="00C61127">
        <w:rPr>
          <w:lang w:val="fr-FR"/>
        </w:rPr>
        <w:t>Bertrand,</w:t>
      </w:r>
      <w:r w:rsidR="003F3504">
        <w:rPr>
          <w:lang w:val="fr-FR"/>
        </w:rPr>
        <w:t xml:space="preserve"> F.,</w:t>
      </w:r>
      <w:r w:rsidRPr="00C61127">
        <w:rPr>
          <w:lang w:val="fr-FR"/>
        </w:rPr>
        <w:t xml:space="preserve"> </w:t>
      </w:r>
      <w:r w:rsidRPr="00C61127">
        <w:rPr>
          <w:i/>
          <w:iCs/>
          <w:lang w:val="fr-FR"/>
        </w:rPr>
        <w:t>La presse francophone de tranchée au front belge, 1914-1918</w:t>
      </w:r>
      <w:r w:rsidRPr="00C61127">
        <w:rPr>
          <w:lang w:val="fr-FR"/>
        </w:rPr>
        <w:t xml:space="preserve"> (Brussels, 1971).</w:t>
      </w:r>
    </w:p>
    <w:p w14:paraId="3EA0F683" w14:textId="77777777" w:rsidR="0048510E" w:rsidRDefault="0048510E" w:rsidP="0048510E">
      <w:pPr>
        <w:rPr>
          <w:lang w:val="fr-FR"/>
        </w:rPr>
      </w:pPr>
      <w:r w:rsidRPr="00C61127">
        <w:rPr>
          <w:lang w:val="fr-FR"/>
        </w:rPr>
        <w:t>Beurier,</w:t>
      </w:r>
      <w:r w:rsidR="003F3504">
        <w:rPr>
          <w:lang w:val="fr-FR"/>
        </w:rPr>
        <w:t xml:space="preserve"> J.,</w:t>
      </w:r>
      <w:r w:rsidRPr="00C61127">
        <w:rPr>
          <w:lang w:val="fr-FR"/>
        </w:rPr>
        <w:t xml:space="preserve"> </w:t>
      </w:r>
      <w:r w:rsidRPr="00C61127">
        <w:rPr>
          <w:i/>
          <w:iCs/>
          <w:lang w:val="fr-FR"/>
        </w:rPr>
        <w:t>Images et violence 1914-1918</w:t>
      </w:r>
      <w:r w:rsidR="00AD6EB7">
        <w:rPr>
          <w:i/>
          <w:iCs/>
          <w:lang w:val="fr-FR"/>
        </w:rPr>
        <w:t>: quand le Miroir racontait la Grande Guerre</w:t>
      </w:r>
      <w:r w:rsidRPr="00C61127">
        <w:rPr>
          <w:lang w:val="fr-FR"/>
        </w:rPr>
        <w:t xml:space="preserve"> (Paris, 2007).</w:t>
      </w:r>
    </w:p>
    <w:p w14:paraId="401DDDB3" w14:textId="77777777" w:rsidR="0048510E" w:rsidRPr="00C61127" w:rsidRDefault="0048510E" w:rsidP="0048510E">
      <w:pPr>
        <w:rPr>
          <w:lang w:val="fr-FR"/>
        </w:rPr>
      </w:pPr>
      <w:r w:rsidRPr="00C61127">
        <w:rPr>
          <w:lang w:val="fr-FR"/>
        </w:rPr>
        <w:t>Blancpain,</w:t>
      </w:r>
      <w:r w:rsidR="003F3504">
        <w:rPr>
          <w:lang w:val="fr-FR"/>
        </w:rPr>
        <w:t xml:space="preserve"> M.,</w:t>
      </w:r>
      <w:r w:rsidRPr="00C61127">
        <w:rPr>
          <w:lang w:val="fr-FR"/>
        </w:rPr>
        <w:t xml:space="preserve"> </w:t>
      </w:r>
      <w:r w:rsidRPr="00C61127">
        <w:rPr>
          <w:i/>
          <w:iCs/>
          <w:lang w:val="fr-FR"/>
        </w:rPr>
        <w:t>Quand Guillaume II gouvernait "de la Somme aux Vosges"</w:t>
      </w:r>
      <w:r w:rsidRPr="00C61127">
        <w:rPr>
          <w:lang w:val="fr-FR"/>
        </w:rPr>
        <w:t xml:space="preserve"> (Paris, 1980).</w:t>
      </w:r>
    </w:p>
    <w:p w14:paraId="54CEFB43" w14:textId="77777777" w:rsidR="0048510E" w:rsidRDefault="0048510E" w:rsidP="0048510E">
      <w:r>
        <w:t>Bloxham,</w:t>
      </w:r>
      <w:r w:rsidR="003F3504">
        <w:t xml:space="preserve"> D.,</w:t>
      </w:r>
      <w:r>
        <w:t xml:space="preserve"> </w:t>
      </w:r>
      <w:r>
        <w:rPr>
          <w:i/>
          <w:iCs/>
        </w:rPr>
        <w:t xml:space="preserve">The great game of </w:t>
      </w:r>
      <w:r w:rsidR="00DA684D">
        <w:rPr>
          <w:i/>
          <w:iCs/>
        </w:rPr>
        <w:t>genocide</w:t>
      </w:r>
      <w:r w:rsidR="00DA684D">
        <w:t>:</w:t>
      </w:r>
      <w:r w:rsidR="00DA684D" w:rsidRPr="00DA684D">
        <w:rPr>
          <w:i/>
          <w:iCs/>
        </w:rPr>
        <w:t xml:space="preserve"> imperialism, nationalism, and the destruction of the Ottoman Armenians</w:t>
      </w:r>
      <w:r w:rsidR="00DA684D">
        <w:t xml:space="preserve"> </w:t>
      </w:r>
      <w:r>
        <w:t>(Oxford, 2005).</w:t>
      </w:r>
    </w:p>
    <w:p w14:paraId="238A0E03" w14:textId="40C4F976" w:rsidR="0048510E" w:rsidRDefault="0048510E" w:rsidP="00B54A2B">
      <w:r>
        <w:t>Bourke,</w:t>
      </w:r>
      <w:r w:rsidR="003F3504">
        <w:t xml:space="preserve"> J.,</w:t>
      </w:r>
      <w:r>
        <w:t xml:space="preserve"> </w:t>
      </w:r>
      <w:r>
        <w:rPr>
          <w:i/>
          <w:iCs/>
        </w:rPr>
        <w:t>An intimate history of killing</w:t>
      </w:r>
      <w:r w:rsidR="00DA684D">
        <w:rPr>
          <w:i/>
          <w:iCs/>
        </w:rPr>
        <w:t>: face-to-face killing in the twentieth-century warfare</w:t>
      </w:r>
      <w:r>
        <w:t xml:space="preserve"> (</w:t>
      </w:r>
      <w:r w:rsidR="00B54A2B">
        <w:t>New York</w:t>
      </w:r>
      <w:r>
        <w:t>, 1999).</w:t>
      </w:r>
    </w:p>
    <w:p w14:paraId="0248464F" w14:textId="77777777" w:rsidR="0048510E" w:rsidRDefault="0048510E" w:rsidP="0048510E">
      <w:r>
        <w:t>Brooks,</w:t>
      </w:r>
      <w:r w:rsidR="003F3504">
        <w:t xml:space="preserve"> T.,</w:t>
      </w:r>
      <w:r>
        <w:t xml:space="preserve"> </w:t>
      </w:r>
      <w:r>
        <w:rPr>
          <w:i/>
          <w:iCs/>
        </w:rPr>
        <w:t>British propaganda to France, 1940-1944</w:t>
      </w:r>
      <w:r w:rsidR="00DA684D">
        <w:rPr>
          <w:i/>
          <w:iCs/>
        </w:rPr>
        <w:t>: machinery, method and message</w:t>
      </w:r>
      <w:r>
        <w:t xml:space="preserve"> (Edinburgh, 2007).</w:t>
      </w:r>
    </w:p>
    <w:p w14:paraId="29BE0789" w14:textId="77777777" w:rsidR="0048510E" w:rsidRDefault="0048510E" w:rsidP="0048510E">
      <w:pPr>
        <w:rPr>
          <w:lang w:val="fr-FR"/>
        </w:rPr>
      </w:pPr>
      <w:r w:rsidRPr="00C61127">
        <w:rPr>
          <w:lang w:val="fr-FR"/>
        </w:rPr>
        <w:t>Bruant,</w:t>
      </w:r>
      <w:r w:rsidR="003F3504">
        <w:rPr>
          <w:lang w:val="fr-FR"/>
        </w:rPr>
        <w:t xml:space="preserve"> B.,</w:t>
      </w:r>
      <w:r w:rsidRPr="00C61127">
        <w:rPr>
          <w:lang w:val="fr-FR"/>
        </w:rPr>
        <w:t xml:space="preserve"> </w:t>
      </w:r>
      <w:r w:rsidRPr="00C61127">
        <w:rPr>
          <w:i/>
          <w:iCs/>
          <w:lang w:val="fr-FR"/>
        </w:rPr>
        <w:t>Hansi: artiste tendre et rebelle</w:t>
      </w:r>
      <w:r w:rsidRPr="00C61127">
        <w:rPr>
          <w:lang w:val="fr-FR"/>
        </w:rPr>
        <w:t xml:space="preserve"> (Strasbourg, 2008).</w:t>
      </w:r>
    </w:p>
    <w:p w14:paraId="7A33ED82" w14:textId="77777777" w:rsidR="0048510E" w:rsidRDefault="0048510E" w:rsidP="0048510E">
      <w:r>
        <w:t xml:space="preserve">Chakotin, </w:t>
      </w:r>
      <w:r w:rsidR="003F3504">
        <w:t xml:space="preserve">S., </w:t>
      </w:r>
      <w:r>
        <w:rPr>
          <w:i/>
          <w:iCs/>
        </w:rPr>
        <w:t>The rape of the masses</w:t>
      </w:r>
      <w:r w:rsidR="00DA684D">
        <w:rPr>
          <w:i/>
          <w:iCs/>
        </w:rPr>
        <w:t>: psychology of totalitarian political propaganda</w:t>
      </w:r>
      <w:r>
        <w:t xml:space="preserve"> (London, 1940).</w:t>
      </w:r>
    </w:p>
    <w:p w14:paraId="352B83CC" w14:textId="77777777" w:rsidR="0048510E" w:rsidRDefault="0048510E" w:rsidP="0048510E">
      <w:pPr>
        <w:rPr>
          <w:lang w:val="fr-FR"/>
        </w:rPr>
      </w:pPr>
      <w:r w:rsidRPr="00C61127">
        <w:rPr>
          <w:lang w:val="fr-FR"/>
        </w:rPr>
        <w:t>Chaliand,</w:t>
      </w:r>
      <w:r w:rsidR="003F3504">
        <w:rPr>
          <w:lang w:val="fr-FR"/>
        </w:rPr>
        <w:t xml:space="preserve"> G.,</w:t>
      </w:r>
      <w:r w:rsidRPr="00C61127">
        <w:rPr>
          <w:lang w:val="fr-FR"/>
        </w:rPr>
        <w:t xml:space="preserve"> </w:t>
      </w:r>
      <w:r w:rsidRPr="00C61127">
        <w:rPr>
          <w:i/>
          <w:iCs/>
          <w:lang w:val="fr-FR"/>
        </w:rPr>
        <w:t>La persuasion de masse: guerre psychologique / guerre médiatique</w:t>
      </w:r>
      <w:r w:rsidRPr="00C61127">
        <w:rPr>
          <w:lang w:val="fr-FR"/>
        </w:rPr>
        <w:t xml:space="preserve"> (Paris, 1992).</w:t>
      </w:r>
    </w:p>
    <w:p w14:paraId="616BEE6B" w14:textId="77777777" w:rsidR="0048510E" w:rsidRDefault="0048510E" w:rsidP="003F3504">
      <w:r w:rsidRPr="00C61127">
        <w:rPr>
          <w:lang w:val="fr-FR"/>
        </w:rPr>
        <w:t>Chassereau,</w:t>
      </w:r>
      <w:r w:rsidR="003F3504">
        <w:rPr>
          <w:lang w:val="fr-FR"/>
        </w:rPr>
        <w:t xml:space="preserve"> L.,</w:t>
      </w:r>
      <w:r w:rsidRPr="00C61127">
        <w:rPr>
          <w:lang w:val="fr-FR"/>
        </w:rPr>
        <w:t xml:space="preserve"> and </w:t>
      </w:r>
      <w:r w:rsidR="003F3504">
        <w:rPr>
          <w:lang w:val="fr-FR"/>
        </w:rPr>
        <w:t>G.</w:t>
      </w:r>
      <w:r w:rsidRPr="00C61127">
        <w:rPr>
          <w:lang w:val="fr-FR"/>
        </w:rPr>
        <w:t xml:space="preserve"> Lerouge, </w:t>
      </w:r>
      <w:r w:rsidRPr="00C61127">
        <w:rPr>
          <w:i/>
          <w:iCs/>
          <w:lang w:val="fr-FR"/>
        </w:rPr>
        <w:t>"La Gazette des Ardennes": son histoire, son organisation, ses collaborateurs...</w:t>
      </w:r>
      <w:r w:rsidRPr="00C61127">
        <w:rPr>
          <w:lang w:val="fr-FR"/>
        </w:rPr>
        <w:t xml:space="preserve"> </w:t>
      </w:r>
      <w:r w:rsidRPr="00DF7D2D">
        <w:t>(Paris, 1930).</w:t>
      </w:r>
    </w:p>
    <w:p w14:paraId="04A65963" w14:textId="5FA307AC" w:rsidR="0048510E" w:rsidRDefault="0048510E" w:rsidP="00B54A2B">
      <w:r>
        <w:t>Clayton,</w:t>
      </w:r>
      <w:r w:rsidR="003F3504">
        <w:t xml:space="preserve"> A.,</w:t>
      </w:r>
      <w:r>
        <w:t xml:space="preserve"> </w:t>
      </w:r>
      <w:r w:rsidRPr="008E7877">
        <w:rPr>
          <w:i/>
          <w:iCs/>
        </w:rPr>
        <w:t>Paths of glory: the French army 1914-1918</w:t>
      </w:r>
      <w:r>
        <w:t xml:space="preserve"> (</w:t>
      </w:r>
      <w:r w:rsidR="00B54A2B">
        <w:t>London</w:t>
      </w:r>
      <w:r>
        <w:t>, 2005).</w:t>
      </w:r>
    </w:p>
    <w:p w14:paraId="7CBFEE9F" w14:textId="77777777" w:rsidR="0048510E" w:rsidRDefault="0048510E" w:rsidP="0048510E">
      <w:r>
        <w:t>Clout,</w:t>
      </w:r>
      <w:r w:rsidR="003F3504">
        <w:t xml:space="preserve"> H.,</w:t>
      </w:r>
      <w:r>
        <w:t xml:space="preserve"> </w:t>
      </w:r>
      <w:r>
        <w:rPr>
          <w:i/>
          <w:iCs/>
        </w:rPr>
        <w:t>After the ruins: restoring the countryside of Northern France after the Great War</w:t>
      </w:r>
      <w:r>
        <w:t xml:space="preserve"> (Exeter, 1996).</w:t>
      </w:r>
    </w:p>
    <w:p w14:paraId="6A324AC9" w14:textId="0C6A293B" w:rsidR="0048510E" w:rsidRDefault="0048510E" w:rsidP="00B54A2B">
      <w:r>
        <w:t>Cobb,</w:t>
      </w:r>
      <w:r w:rsidR="003F3504">
        <w:t xml:space="preserve"> R.,</w:t>
      </w:r>
      <w:r>
        <w:t xml:space="preserve"> </w:t>
      </w:r>
      <w:r>
        <w:rPr>
          <w:i/>
          <w:iCs/>
        </w:rPr>
        <w:t>French and Germans, Germans and French</w:t>
      </w:r>
      <w:r w:rsidR="00DA684D">
        <w:rPr>
          <w:i/>
          <w:iCs/>
        </w:rPr>
        <w:t>: a personal interpretation of France under two occupations, 1914-1918/1940-1944</w:t>
      </w:r>
      <w:r>
        <w:t xml:space="preserve"> (</w:t>
      </w:r>
      <w:r w:rsidR="00B54A2B">
        <w:t>Hanover</w:t>
      </w:r>
      <w:r>
        <w:t>, 1983).</w:t>
      </w:r>
    </w:p>
    <w:p w14:paraId="266BF922" w14:textId="77777777" w:rsidR="0048510E" w:rsidRDefault="0048510E" w:rsidP="003F3504">
      <w:pPr>
        <w:rPr>
          <w:lang w:val="fr-FR"/>
        </w:rPr>
      </w:pPr>
      <w:r w:rsidRPr="00C61127">
        <w:rPr>
          <w:lang w:val="fr-FR"/>
        </w:rPr>
        <w:t xml:space="preserve">Cochet, </w:t>
      </w:r>
      <w:r w:rsidR="003F3504">
        <w:rPr>
          <w:lang w:val="fr-FR"/>
        </w:rPr>
        <w:t xml:space="preserve">F., </w:t>
      </w:r>
      <w:r w:rsidRPr="00C61127">
        <w:rPr>
          <w:lang w:val="fr-FR"/>
        </w:rPr>
        <w:t>and Porte,</w:t>
      </w:r>
      <w:r w:rsidR="003F3504">
        <w:rPr>
          <w:lang w:val="fr-FR"/>
        </w:rPr>
        <w:t xml:space="preserve"> R.,</w:t>
      </w:r>
      <w:r w:rsidRPr="00C61127">
        <w:rPr>
          <w:lang w:val="fr-FR"/>
        </w:rPr>
        <w:t xml:space="preserve"> </w:t>
      </w:r>
      <w:r w:rsidRPr="00C61127">
        <w:rPr>
          <w:i/>
          <w:iCs/>
          <w:lang w:val="fr-FR"/>
        </w:rPr>
        <w:t>Dictionnaire de la Grande Guerre 1914-1918</w:t>
      </w:r>
      <w:r w:rsidRPr="00C61127">
        <w:rPr>
          <w:lang w:val="fr-FR"/>
        </w:rPr>
        <w:t xml:space="preserve"> (Paris, 2008).</w:t>
      </w:r>
    </w:p>
    <w:p w14:paraId="17414759" w14:textId="77777777" w:rsidR="0048510E" w:rsidRDefault="0048510E" w:rsidP="0048510E">
      <w:r>
        <w:t>Cron,</w:t>
      </w:r>
      <w:r w:rsidR="003F3504">
        <w:t xml:space="preserve"> H.,</w:t>
      </w:r>
      <w:r>
        <w:t xml:space="preserve"> </w:t>
      </w:r>
      <w:r w:rsidRPr="008E7877">
        <w:rPr>
          <w:i/>
          <w:iCs/>
        </w:rPr>
        <w:t>Imperial German army 1914-1918: organisation, structures, orders of battle</w:t>
      </w:r>
      <w:r>
        <w:t xml:space="preserve"> (Solihull, 2013).</w:t>
      </w:r>
    </w:p>
    <w:p w14:paraId="3E5AEB70" w14:textId="5FBC6472" w:rsidR="0048510E" w:rsidRPr="008E7877" w:rsidRDefault="0048510E" w:rsidP="00B54A2B">
      <w:r w:rsidRPr="008E7877">
        <w:t>Cull,</w:t>
      </w:r>
      <w:r w:rsidR="003F3504">
        <w:t xml:space="preserve"> N.,</w:t>
      </w:r>
      <w:r w:rsidRPr="008E7877">
        <w:t xml:space="preserve"> </w:t>
      </w:r>
      <w:r w:rsidR="003F3504">
        <w:t xml:space="preserve">D. </w:t>
      </w:r>
      <w:r w:rsidRPr="008E7877">
        <w:t xml:space="preserve">Culbert, and </w:t>
      </w:r>
      <w:r w:rsidR="003F3504">
        <w:t>D.</w:t>
      </w:r>
      <w:r w:rsidRPr="008E7877">
        <w:t xml:space="preserve"> Welch, </w:t>
      </w:r>
      <w:r w:rsidRPr="008E7877">
        <w:rPr>
          <w:i/>
          <w:iCs/>
        </w:rPr>
        <w:t>Prop</w:t>
      </w:r>
      <w:r w:rsidR="00F9119E">
        <w:rPr>
          <w:i/>
          <w:iCs/>
        </w:rPr>
        <w:t>aganda and mass persuasion: a hi</w:t>
      </w:r>
      <w:r w:rsidRPr="008E7877">
        <w:rPr>
          <w:i/>
          <w:iCs/>
        </w:rPr>
        <w:t xml:space="preserve">storical </w:t>
      </w:r>
      <w:r w:rsidR="00F9119E">
        <w:rPr>
          <w:i/>
          <w:iCs/>
        </w:rPr>
        <w:t>e</w:t>
      </w:r>
      <w:r w:rsidR="00F9119E" w:rsidRPr="008E7877">
        <w:rPr>
          <w:i/>
          <w:iCs/>
        </w:rPr>
        <w:t>ncyclopaedia</w:t>
      </w:r>
      <w:r w:rsidRPr="008E7877">
        <w:t xml:space="preserve"> (</w:t>
      </w:r>
      <w:r w:rsidR="00B54A2B">
        <w:t>Santa Barbara</w:t>
      </w:r>
      <w:r w:rsidRPr="008E7877">
        <w:t>, 2003).</w:t>
      </w:r>
    </w:p>
    <w:p w14:paraId="4106F3D1" w14:textId="77777777" w:rsidR="0048510E" w:rsidRPr="00C61127" w:rsidRDefault="0048510E" w:rsidP="0048510E">
      <w:pPr>
        <w:rPr>
          <w:lang w:val="fr-FR"/>
        </w:rPr>
      </w:pPr>
      <w:r w:rsidRPr="00C61127">
        <w:rPr>
          <w:lang w:val="fr-FR"/>
        </w:rPr>
        <w:t>D'Almeida,</w:t>
      </w:r>
      <w:r w:rsidR="003F3504">
        <w:rPr>
          <w:lang w:val="fr-FR"/>
        </w:rPr>
        <w:t xml:space="preserve"> F.,</w:t>
      </w:r>
      <w:r w:rsidRPr="00C61127">
        <w:rPr>
          <w:lang w:val="fr-FR"/>
        </w:rPr>
        <w:t xml:space="preserve"> </w:t>
      </w:r>
      <w:r w:rsidRPr="00C61127">
        <w:rPr>
          <w:i/>
          <w:iCs/>
          <w:lang w:val="fr-FR"/>
        </w:rPr>
        <w:t>Images et propagande</w:t>
      </w:r>
      <w:r w:rsidRPr="00C61127">
        <w:rPr>
          <w:lang w:val="fr-FR"/>
        </w:rPr>
        <w:t xml:space="preserve"> (Paris, 1995).</w:t>
      </w:r>
    </w:p>
    <w:p w14:paraId="42C46162" w14:textId="77777777" w:rsidR="0048510E" w:rsidRDefault="0048510E" w:rsidP="0048510E">
      <w:r>
        <w:t>Darrow,</w:t>
      </w:r>
      <w:r w:rsidR="003F3504">
        <w:t xml:space="preserve"> M.,</w:t>
      </w:r>
      <w:r>
        <w:t xml:space="preserve"> </w:t>
      </w:r>
      <w:r>
        <w:rPr>
          <w:i/>
          <w:iCs/>
        </w:rPr>
        <w:t>French women and the First World War</w:t>
      </w:r>
      <w:r w:rsidR="001E5BAC">
        <w:rPr>
          <w:i/>
          <w:iCs/>
        </w:rPr>
        <w:t>: war stories of the home front</w:t>
      </w:r>
      <w:r>
        <w:t xml:space="preserve"> (New York, 2000).</w:t>
      </w:r>
    </w:p>
    <w:p w14:paraId="02D8B8E2" w14:textId="77777777" w:rsidR="0048510E" w:rsidRDefault="0048510E" w:rsidP="003F3504">
      <w:pPr>
        <w:rPr>
          <w:lang w:val="fr-FR"/>
        </w:rPr>
      </w:pPr>
      <w:r>
        <w:rPr>
          <w:lang w:val="fr-FR"/>
        </w:rPr>
        <w:t>De Forge,</w:t>
      </w:r>
      <w:r w:rsidR="003F3504">
        <w:rPr>
          <w:lang w:val="fr-FR"/>
        </w:rPr>
        <w:t xml:space="preserve"> H.,</w:t>
      </w:r>
      <w:r>
        <w:rPr>
          <w:lang w:val="fr-FR"/>
        </w:rPr>
        <w:t xml:space="preserve"> and </w:t>
      </w:r>
      <w:r w:rsidR="003F3504">
        <w:rPr>
          <w:lang w:val="fr-FR"/>
        </w:rPr>
        <w:t>J.</w:t>
      </w:r>
      <w:r>
        <w:rPr>
          <w:lang w:val="fr-FR"/>
        </w:rPr>
        <w:t xml:space="preserve"> Mauclè</w:t>
      </w:r>
      <w:r w:rsidRPr="00C61127">
        <w:rPr>
          <w:lang w:val="fr-FR"/>
        </w:rPr>
        <w:t xml:space="preserve">re, </w:t>
      </w:r>
      <w:r w:rsidRPr="00C61127">
        <w:rPr>
          <w:i/>
          <w:iCs/>
          <w:lang w:val="fr-FR"/>
        </w:rPr>
        <w:t>Feuilles françaises</w:t>
      </w:r>
      <w:r w:rsidRPr="00C61127">
        <w:rPr>
          <w:lang w:val="fr-FR"/>
        </w:rPr>
        <w:t xml:space="preserve"> (Paris, 1932).</w:t>
      </w:r>
    </w:p>
    <w:p w14:paraId="4F396621" w14:textId="77777777" w:rsidR="0048510E" w:rsidRPr="00C61127" w:rsidRDefault="0048510E" w:rsidP="001E5BAC">
      <w:pPr>
        <w:rPr>
          <w:lang w:val="nl-NL"/>
        </w:rPr>
      </w:pPr>
      <w:r w:rsidRPr="00C61127">
        <w:rPr>
          <w:lang w:val="nl-NL"/>
        </w:rPr>
        <w:t>de Schaepdrijver,</w:t>
      </w:r>
      <w:r w:rsidR="00B51E64">
        <w:rPr>
          <w:lang w:val="nl-NL"/>
        </w:rPr>
        <w:t xml:space="preserve"> S.,</w:t>
      </w:r>
      <w:r w:rsidRPr="00C61127">
        <w:rPr>
          <w:lang w:val="nl-NL"/>
        </w:rPr>
        <w:t xml:space="preserve"> </w:t>
      </w:r>
      <w:r w:rsidR="001E5BAC">
        <w:rPr>
          <w:i/>
          <w:iCs/>
          <w:lang w:val="nl-NL"/>
        </w:rPr>
        <w:t>De Groote Oorlog: het k</w:t>
      </w:r>
      <w:r w:rsidRPr="00C61127">
        <w:rPr>
          <w:i/>
          <w:iCs/>
          <w:lang w:val="nl-NL"/>
        </w:rPr>
        <w:t>oninkrij België in de Eerste Wereldoorlog</w:t>
      </w:r>
      <w:r w:rsidRPr="00C61127">
        <w:rPr>
          <w:lang w:val="nl-NL"/>
        </w:rPr>
        <w:t xml:space="preserve"> (Amsterdam, 1997).</w:t>
      </w:r>
    </w:p>
    <w:p w14:paraId="680FEA63" w14:textId="77777777" w:rsidR="0048510E" w:rsidRDefault="0048510E" w:rsidP="0048510E">
      <w:pPr>
        <w:rPr>
          <w:lang w:val="fr-FR"/>
        </w:rPr>
      </w:pPr>
      <w:r w:rsidRPr="00C61127">
        <w:rPr>
          <w:lang w:val="fr-FR"/>
        </w:rPr>
        <w:t xml:space="preserve">———, </w:t>
      </w:r>
      <w:r w:rsidRPr="00C61127">
        <w:rPr>
          <w:i/>
          <w:iCs/>
          <w:lang w:val="fr-FR"/>
        </w:rPr>
        <w:t>La Belgique et la Première Guerre Mondiale</w:t>
      </w:r>
      <w:r w:rsidRPr="00C61127">
        <w:rPr>
          <w:lang w:val="fr-FR"/>
        </w:rPr>
        <w:t xml:space="preserve"> (New York, 2004).</w:t>
      </w:r>
    </w:p>
    <w:p w14:paraId="459FC61C" w14:textId="77777777" w:rsidR="0048510E" w:rsidRDefault="0048510E" w:rsidP="00B51E64">
      <w:pPr>
        <w:rPr>
          <w:lang w:val="fr-FR"/>
        </w:rPr>
      </w:pPr>
      <w:r w:rsidRPr="00C61127">
        <w:rPr>
          <w:lang w:val="fr-FR"/>
        </w:rPr>
        <w:t>Debruyne,</w:t>
      </w:r>
      <w:r w:rsidR="00B51E64">
        <w:rPr>
          <w:lang w:val="fr-FR"/>
        </w:rPr>
        <w:t xml:space="preserve"> E.,</w:t>
      </w:r>
      <w:r w:rsidRPr="00C61127">
        <w:rPr>
          <w:lang w:val="fr-FR"/>
        </w:rPr>
        <w:t xml:space="preserve"> and </w:t>
      </w:r>
      <w:r w:rsidR="00B51E64">
        <w:rPr>
          <w:lang w:val="fr-FR"/>
        </w:rPr>
        <w:t>J. Paternostre,</w:t>
      </w:r>
      <w:r w:rsidRPr="00C61127">
        <w:rPr>
          <w:lang w:val="fr-FR"/>
        </w:rPr>
        <w:t xml:space="preserve"> </w:t>
      </w:r>
      <w:r w:rsidRPr="00C61127">
        <w:rPr>
          <w:i/>
          <w:iCs/>
          <w:lang w:val="fr-FR"/>
        </w:rPr>
        <w:t>La résistance au quotidien, 1914-1918</w:t>
      </w:r>
      <w:r w:rsidRPr="00C61127">
        <w:rPr>
          <w:lang w:val="fr-FR"/>
        </w:rPr>
        <w:t xml:space="preserve"> (Brussels, 2009).</w:t>
      </w:r>
    </w:p>
    <w:p w14:paraId="1D7FFA77" w14:textId="77777777" w:rsidR="0048510E" w:rsidRDefault="0048510E" w:rsidP="001E5BAC">
      <w:pPr>
        <w:rPr>
          <w:lang w:val="fr-FR"/>
        </w:rPr>
      </w:pPr>
      <w:r w:rsidRPr="00C61127">
        <w:rPr>
          <w:lang w:val="fr-FR"/>
        </w:rPr>
        <w:t>Debruyne,</w:t>
      </w:r>
      <w:r w:rsidR="00B51E64">
        <w:rPr>
          <w:lang w:val="fr-FR"/>
        </w:rPr>
        <w:t xml:space="preserve"> E.,</w:t>
      </w:r>
      <w:r w:rsidRPr="00C61127">
        <w:rPr>
          <w:lang w:val="fr-FR"/>
        </w:rPr>
        <w:t xml:space="preserve"> and </w:t>
      </w:r>
      <w:r w:rsidR="00B51E64">
        <w:rPr>
          <w:lang w:val="fr-FR"/>
        </w:rPr>
        <w:t>L.</w:t>
      </w:r>
      <w:r w:rsidRPr="00C61127">
        <w:rPr>
          <w:lang w:val="fr-FR"/>
        </w:rPr>
        <w:t xml:space="preserve"> Van Ypersele, </w:t>
      </w:r>
      <w:r w:rsidRPr="00C61127">
        <w:rPr>
          <w:i/>
          <w:iCs/>
          <w:lang w:val="fr-FR"/>
        </w:rPr>
        <w:t xml:space="preserve">De la guerre de </w:t>
      </w:r>
      <w:r w:rsidR="001E5BAC">
        <w:rPr>
          <w:i/>
          <w:iCs/>
          <w:lang w:val="fr-FR"/>
        </w:rPr>
        <w:t>l'ombre aux ombres de la guerre: l</w:t>
      </w:r>
      <w:r w:rsidRPr="00C61127">
        <w:rPr>
          <w:i/>
          <w:iCs/>
          <w:lang w:val="fr-FR"/>
        </w:rPr>
        <w:t>'espionnage de 14-18 en Belgique occupée</w:t>
      </w:r>
      <w:r w:rsidRPr="00C61127">
        <w:rPr>
          <w:lang w:val="fr-FR"/>
        </w:rPr>
        <w:t xml:space="preserve"> (Brussels, 2004).</w:t>
      </w:r>
    </w:p>
    <w:p w14:paraId="51B855FC" w14:textId="77777777" w:rsidR="0048510E" w:rsidRPr="00C61127" w:rsidRDefault="0048510E" w:rsidP="0048510E">
      <w:pPr>
        <w:rPr>
          <w:lang w:val="fr-FR"/>
        </w:rPr>
      </w:pPr>
      <w:r w:rsidRPr="00C61127">
        <w:rPr>
          <w:lang w:val="fr-FR"/>
        </w:rPr>
        <w:t>Delforge,</w:t>
      </w:r>
      <w:r w:rsidR="00B51E64">
        <w:rPr>
          <w:lang w:val="fr-FR"/>
        </w:rPr>
        <w:t xml:space="preserve"> P.,</w:t>
      </w:r>
      <w:r w:rsidRPr="00C61127">
        <w:rPr>
          <w:lang w:val="fr-FR"/>
        </w:rPr>
        <w:t xml:space="preserve"> </w:t>
      </w:r>
      <w:r w:rsidRPr="00C61127">
        <w:rPr>
          <w:i/>
          <w:iCs/>
          <w:lang w:val="fr-FR"/>
        </w:rPr>
        <w:t>La Wallonie et la Première Guerre Mondiale</w:t>
      </w:r>
      <w:r w:rsidRPr="00C61127">
        <w:rPr>
          <w:lang w:val="fr-FR"/>
        </w:rPr>
        <w:t xml:space="preserve"> (Namur, 2008).</w:t>
      </w:r>
    </w:p>
    <w:p w14:paraId="27C78B93" w14:textId="77777777" w:rsidR="0048510E" w:rsidRDefault="0048510E" w:rsidP="0048510E">
      <w:pPr>
        <w:rPr>
          <w:lang w:val="fr-FR"/>
        </w:rPr>
      </w:pPr>
      <w:r w:rsidRPr="00C61127">
        <w:rPr>
          <w:lang w:val="fr-FR"/>
        </w:rPr>
        <w:t>Delporte,</w:t>
      </w:r>
      <w:r w:rsidR="00B51E64">
        <w:rPr>
          <w:lang w:val="fr-FR"/>
        </w:rPr>
        <w:t xml:space="preserve"> C.,</w:t>
      </w:r>
      <w:r w:rsidRPr="00C61127">
        <w:rPr>
          <w:lang w:val="fr-FR"/>
        </w:rPr>
        <w:t xml:space="preserve"> </w:t>
      </w:r>
      <w:r w:rsidRPr="00C61127">
        <w:rPr>
          <w:i/>
          <w:iCs/>
          <w:lang w:val="fr-FR"/>
        </w:rPr>
        <w:t>Images et politique en France au XXe siècle</w:t>
      </w:r>
      <w:r w:rsidRPr="00C61127">
        <w:rPr>
          <w:lang w:val="fr-FR"/>
        </w:rPr>
        <w:t xml:space="preserve"> (Paris, 2006).</w:t>
      </w:r>
    </w:p>
    <w:p w14:paraId="2D4256E0" w14:textId="77777777" w:rsidR="0048510E" w:rsidRDefault="0048510E" w:rsidP="0048510E">
      <w:pPr>
        <w:rPr>
          <w:lang w:val="fr-FR"/>
        </w:rPr>
      </w:pPr>
      <w:r w:rsidRPr="00C61127">
        <w:rPr>
          <w:lang w:val="fr-FR"/>
        </w:rPr>
        <w:t>Denoël,</w:t>
      </w:r>
      <w:r w:rsidR="00B51E64">
        <w:rPr>
          <w:lang w:val="fr-FR"/>
        </w:rPr>
        <w:t xml:space="preserve"> T.,</w:t>
      </w:r>
      <w:r w:rsidRPr="00C61127">
        <w:rPr>
          <w:lang w:val="fr-FR"/>
        </w:rPr>
        <w:t xml:space="preserve"> </w:t>
      </w:r>
      <w:r w:rsidRPr="00C61127">
        <w:rPr>
          <w:i/>
          <w:iCs/>
          <w:lang w:val="fr-FR"/>
        </w:rPr>
        <w:t>Le nouveau dictionnaire des Belges</w:t>
      </w:r>
      <w:r w:rsidRPr="00C61127">
        <w:rPr>
          <w:lang w:val="fr-FR"/>
        </w:rPr>
        <w:t xml:space="preserve"> (Brussels, 1992).</w:t>
      </w:r>
    </w:p>
    <w:p w14:paraId="650BAC5C" w14:textId="5966431A" w:rsidR="0048510E" w:rsidRDefault="0048510E" w:rsidP="00B54A2B">
      <w:r>
        <w:t>Doughty,</w:t>
      </w:r>
      <w:r w:rsidR="00B51E64">
        <w:t xml:space="preserve"> R., </w:t>
      </w:r>
      <w:r>
        <w:rPr>
          <w:i/>
          <w:iCs/>
        </w:rPr>
        <w:t>Pyrrhic victory</w:t>
      </w:r>
      <w:r w:rsidR="001E5BAC">
        <w:rPr>
          <w:i/>
          <w:iCs/>
        </w:rPr>
        <w:t>: French strategy and operations in the Great War</w:t>
      </w:r>
      <w:r>
        <w:t xml:space="preserve"> (Harvard, 2005).</w:t>
      </w:r>
    </w:p>
    <w:p w14:paraId="0BE02F39" w14:textId="77777777" w:rsidR="0048510E" w:rsidRDefault="0048510E" w:rsidP="0048510E">
      <w:r>
        <w:t xml:space="preserve">Duffy, </w:t>
      </w:r>
      <w:r w:rsidR="00B51E64">
        <w:t xml:space="preserve">C., </w:t>
      </w:r>
      <w:r>
        <w:rPr>
          <w:i/>
          <w:iCs/>
        </w:rPr>
        <w:t>Through German eyes</w:t>
      </w:r>
      <w:r w:rsidR="001E5BAC">
        <w:rPr>
          <w:i/>
          <w:iCs/>
        </w:rPr>
        <w:t>: the British and the Somme 1916</w:t>
      </w:r>
      <w:r>
        <w:t xml:space="preserve"> (London, 2007).</w:t>
      </w:r>
    </w:p>
    <w:p w14:paraId="32806377" w14:textId="77777777" w:rsidR="0048510E" w:rsidRDefault="0048510E" w:rsidP="0048510E">
      <w:pPr>
        <w:rPr>
          <w:lang w:val="fr-FR"/>
        </w:rPr>
      </w:pPr>
      <w:r w:rsidRPr="00C61127">
        <w:rPr>
          <w:lang w:val="fr-FR"/>
        </w:rPr>
        <w:t>Duroselle,</w:t>
      </w:r>
      <w:r w:rsidR="00B51E64">
        <w:rPr>
          <w:lang w:val="fr-FR"/>
        </w:rPr>
        <w:t xml:space="preserve"> J-B.,</w:t>
      </w:r>
      <w:r w:rsidRPr="00C61127">
        <w:rPr>
          <w:lang w:val="fr-FR"/>
        </w:rPr>
        <w:t xml:space="preserve"> </w:t>
      </w:r>
      <w:r w:rsidRPr="00C61127">
        <w:rPr>
          <w:i/>
          <w:iCs/>
          <w:lang w:val="fr-FR"/>
        </w:rPr>
        <w:t>La Grande Guerre des Français</w:t>
      </w:r>
      <w:r w:rsidR="001E5BAC">
        <w:rPr>
          <w:lang w:val="fr-FR"/>
        </w:rPr>
        <w:t xml:space="preserve">: l’incompréhensible </w:t>
      </w:r>
      <w:r w:rsidRPr="00C61127">
        <w:rPr>
          <w:lang w:val="fr-FR"/>
        </w:rPr>
        <w:t>(Paris, 2002).</w:t>
      </w:r>
    </w:p>
    <w:p w14:paraId="0274AA32" w14:textId="77777777" w:rsidR="0048510E" w:rsidRPr="00C61127" w:rsidRDefault="0048510E" w:rsidP="0048510E">
      <w:pPr>
        <w:rPr>
          <w:lang w:val="fr-FR"/>
        </w:rPr>
      </w:pPr>
      <w:r w:rsidRPr="00C61127">
        <w:rPr>
          <w:lang w:val="fr-FR"/>
        </w:rPr>
        <w:t>Ellul,</w:t>
      </w:r>
      <w:r w:rsidR="00B51E64">
        <w:rPr>
          <w:lang w:val="fr-FR"/>
        </w:rPr>
        <w:t xml:space="preserve"> J.,</w:t>
      </w:r>
      <w:r w:rsidRPr="00C61127">
        <w:rPr>
          <w:lang w:val="fr-FR"/>
        </w:rPr>
        <w:t xml:space="preserve"> </w:t>
      </w:r>
      <w:r w:rsidRPr="00C61127">
        <w:rPr>
          <w:i/>
          <w:iCs/>
          <w:lang w:val="fr-FR"/>
        </w:rPr>
        <w:t>Histoire de la propagande</w:t>
      </w:r>
      <w:r w:rsidRPr="00C61127">
        <w:rPr>
          <w:lang w:val="fr-FR"/>
        </w:rPr>
        <w:t xml:space="preserve"> (Paris, 1976).</w:t>
      </w:r>
    </w:p>
    <w:p w14:paraId="50B1EB19" w14:textId="77777777" w:rsidR="0048510E" w:rsidRDefault="0048510E" w:rsidP="0048510E">
      <w:r>
        <w:t xml:space="preserve">———, </w:t>
      </w:r>
      <w:r>
        <w:rPr>
          <w:i/>
          <w:iCs/>
        </w:rPr>
        <w:t>Propaganda: The formation of men's attitudes</w:t>
      </w:r>
      <w:r>
        <w:t xml:space="preserve"> (New York, 1973).</w:t>
      </w:r>
    </w:p>
    <w:p w14:paraId="5494FAFF" w14:textId="77777777" w:rsidR="0048510E" w:rsidRDefault="0048510E" w:rsidP="0048510E">
      <w:pPr>
        <w:rPr>
          <w:lang w:val="de-DE"/>
        </w:rPr>
      </w:pPr>
      <w:r w:rsidRPr="00C61127">
        <w:rPr>
          <w:lang w:val="de-DE"/>
        </w:rPr>
        <w:t>Faber,</w:t>
      </w:r>
      <w:r w:rsidR="00B51E64">
        <w:rPr>
          <w:lang w:val="de-DE"/>
        </w:rPr>
        <w:t xml:space="preserve"> E.,</w:t>
      </w:r>
      <w:r w:rsidRPr="00C61127">
        <w:rPr>
          <w:lang w:val="de-DE"/>
        </w:rPr>
        <w:t xml:space="preserve"> </w:t>
      </w:r>
      <w:r w:rsidRPr="00C61127">
        <w:rPr>
          <w:i/>
          <w:iCs/>
          <w:lang w:val="de-DE"/>
        </w:rPr>
        <w:t>Luxemburg im Kriege 1914-1918</w:t>
      </w:r>
      <w:r w:rsidRPr="00C61127">
        <w:rPr>
          <w:lang w:val="de-DE"/>
        </w:rPr>
        <w:t xml:space="preserve"> (Mersch, 1932).</w:t>
      </w:r>
    </w:p>
    <w:p w14:paraId="726DDC1B" w14:textId="77777777" w:rsidR="0048510E" w:rsidRPr="00AB301C" w:rsidRDefault="0048510E" w:rsidP="0048510E">
      <w:r>
        <w:t>Fermer,</w:t>
      </w:r>
      <w:r w:rsidR="00B51E64">
        <w:t xml:space="preserve"> D.,</w:t>
      </w:r>
      <w:r>
        <w:t xml:space="preserve"> </w:t>
      </w:r>
      <w:r w:rsidRPr="00AB301C">
        <w:rPr>
          <w:i/>
          <w:iCs/>
        </w:rPr>
        <w:t xml:space="preserve">Three German invasions of France: the </w:t>
      </w:r>
      <w:r w:rsidR="001E5BAC" w:rsidRPr="00AB301C">
        <w:rPr>
          <w:i/>
          <w:iCs/>
        </w:rPr>
        <w:t>summer</w:t>
      </w:r>
      <w:r w:rsidRPr="00AB301C">
        <w:rPr>
          <w:i/>
          <w:iCs/>
        </w:rPr>
        <w:t xml:space="preserve"> campaigns of 1870-1914-1940</w:t>
      </w:r>
      <w:r>
        <w:t xml:space="preserve"> (Barnsley, 2013).</w:t>
      </w:r>
    </w:p>
    <w:p w14:paraId="7BA1DEFB" w14:textId="77777777" w:rsidR="0048510E" w:rsidRDefault="0048510E" w:rsidP="0048510E">
      <w:r>
        <w:t>Fischer,</w:t>
      </w:r>
      <w:r w:rsidR="00B51E64">
        <w:t xml:space="preserve"> C.,</w:t>
      </w:r>
      <w:r>
        <w:t xml:space="preserve"> </w:t>
      </w:r>
      <w:r>
        <w:rPr>
          <w:i/>
          <w:iCs/>
        </w:rPr>
        <w:t>Alsace to Alsatians? Visions and divisions of Alsatian regionalism, 1870-1939</w:t>
      </w:r>
      <w:r>
        <w:t xml:space="preserve"> (New York and </w:t>
      </w:r>
      <w:r w:rsidRPr="00054943">
        <w:t>Oxford, 2010).</w:t>
      </w:r>
    </w:p>
    <w:p w14:paraId="0BF44809" w14:textId="77777777" w:rsidR="0048510E" w:rsidRDefault="0048510E" w:rsidP="0048510E">
      <w:r>
        <w:t>Flood,</w:t>
      </w:r>
      <w:r w:rsidR="00B51E64">
        <w:t xml:space="preserve"> P.,</w:t>
      </w:r>
      <w:r>
        <w:t xml:space="preserve"> </w:t>
      </w:r>
      <w:r w:rsidR="001E5BAC">
        <w:rPr>
          <w:i/>
          <w:iCs/>
        </w:rPr>
        <w:t>France 1914-1918: p</w:t>
      </w:r>
      <w:r>
        <w:rPr>
          <w:i/>
          <w:iCs/>
        </w:rPr>
        <w:t>ublic opinion and the war effort</w:t>
      </w:r>
      <w:r>
        <w:t xml:space="preserve"> (London, 1990).</w:t>
      </w:r>
    </w:p>
    <w:p w14:paraId="357C36B2" w14:textId="77777777" w:rsidR="0048510E" w:rsidRDefault="0048510E" w:rsidP="0048510E">
      <w:pPr>
        <w:rPr>
          <w:lang w:val="de-DE"/>
        </w:rPr>
      </w:pPr>
      <w:r w:rsidRPr="00C61127">
        <w:rPr>
          <w:lang w:val="de-DE"/>
        </w:rPr>
        <w:t>Friedrich,</w:t>
      </w:r>
      <w:r w:rsidR="00B51E64">
        <w:rPr>
          <w:lang w:val="de-DE"/>
        </w:rPr>
        <w:t xml:space="preserve"> E.,</w:t>
      </w:r>
      <w:r w:rsidRPr="00C61127">
        <w:rPr>
          <w:lang w:val="de-DE"/>
        </w:rPr>
        <w:t xml:space="preserve"> </w:t>
      </w:r>
      <w:r w:rsidRPr="00C61127">
        <w:rPr>
          <w:i/>
          <w:iCs/>
          <w:lang w:val="de-DE"/>
        </w:rPr>
        <w:t>Krieg dem Kriege</w:t>
      </w:r>
      <w:r w:rsidRPr="00C61127">
        <w:rPr>
          <w:lang w:val="de-DE"/>
        </w:rPr>
        <w:t xml:space="preserve"> (Frankfurt am Main, 1982).</w:t>
      </w:r>
    </w:p>
    <w:p w14:paraId="2B13EA6D" w14:textId="1D360368" w:rsidR="00093FD8" w:rsidRPr="00093FD8" w:rsidRDefault="00093FD8" w:rsidP="0048510E">
      <w:r w:rsidRPr="00093FD8">
        <w:t xml:space="preserve">Fussell, P., </w:t>
      </w:r>
      <w:r w:rsidRPr="00093FD8">
        <w:rPr>
          <w:i/>
        </w:rPr>
        <w:t>The Great War and modern memory</w:t>
      </w:r>
      <w:r>
        <w:t xml:space="preserve"> (Oxford, 2013).</w:t>
      </w:r>
    </w:p>
    <w:p w14:paraId="794B11B1" w14:textId="77777777" w:rsidR="0048510E" w:rsidRDefault="0048510E" w:rsidP="0048510E">
      <w:pPr>
        <w:rPr>
          <w:lang w:val="fr-FR"/>
        </w:rPr>
      </w:pPr>
      <w:r w:rsidRPr="00C61127">
        <w:rPr>
          <w:lang w:val="fr-FR"/>
        </w:rPr>
        <w:t>Garnier,</w:t>
      </w:r>
      <w:r w:rsidR="00B51E64">
        <w:rPr>
          <w:lang w:val="fr-FR"/>
        </w:rPr>
        <w:t xml:space="preserve"> J.,</w:t>
      </w:r>
      <w:r w:rsidRPr="00C61127">
        <w:rPr>
          <w:lang w:val="fr-FR"/>
        </w:rPr>
        <w:t xml:space="preserve"> </w:t>
      </w:r>
      <w:r w:rsidRPr="00C61127">
        <w:rPr>
          <w:i/>
          <w:iCs/>
          <w:lang w:val="fr-FR"/>
        </w:rPr>
        <w:t>Dictionnaire Perrin des guerres et des batailles de l'histoire de France</w:t>
      </w:r>
      <w:r w:rsidRPr="00C61127">
        <w:rPr>
          <w:lang w:val="fr-FR"/>
        </w:rPr>
        <w:t xml:space="preserve"> (Paris, 1999).</w:t>
      </w:r>
    </w:p>
    <w:p w14:paraId="4FF2BAFF" w14:textId="77777777" w:rsidR="0048510E" w:rsidRDefault="0048510E" w:rsidP="0048510E">
      <w:r>
        <w:t>Gay,</w:t>
      </w:r>
      <w:r w:rsidR="00B51E64">
        <w:t xml:space="preserve"> P.,</w:t>
      </w:r>
      <w:r>
        <w:t xml:space="preserve"> </w:t>
      </w:r>
      <w:r>
        <w:rPr>
          <w:i/>
          <w:iCs/>
        </w:rPr>
        <w:t>The cultivation of hatred</w:t>
      </w:r>
      <w:r>
        <w:t xml:space="preserve"> (New York, 1993).</w:t>
      </w:r>
    </w:p>
    <w:p w14:paraId="2DFCA0AE" w14:textId="77777777" w:rsidR="0048510E" w:rsidRDefault="0048510E" w:rsidP="0048510E">
      <w:pPr>
        <w:rPr>
          <w:lang w:val="fr-FR"/>
        </w:rPr>
      </w:pPr>
      <w:r w:rsidRPr="00C61127">
        <w:rPr>
          <w:lang w:val="fr-FR"/>
        </w:rPr>
        <w:t>Georgakakis,</w:t>
      </w:r>
      <w:r w:rsidR="00B51E64">
        <w:rPr>
          <w:lang w:val="fr-FR"/>
        </w:rPr>
        <w:t xml:space="preserve"> D.,</w:t>
      </w:r>
      <w:r w:rsidRPr="00C61127">
        <w:rPr>
          <w:lang w:val="fr-FR"/>
        </w:rPr>
        <w:t xml:space="preserve"> </w:t>
      </w:r>
      <w:r w:rsidRPr="00C61127">
        <w:rPr>
          <w:i/>
          <w:iCs/>
          <w:lang w:val="fr-FR"/>
        </w:rPr>
        <w:t>La République contre la propagande</w:t>
      </w:r>
      <w:r w:rsidR="001E5BAC">
        <w:rPr>
          <w:i/>
          <w:iCs/>
          <w:lang w:val="fr-FR"/>
        </w:rPr>
        <w:t>: aux origines perdues de la communication d’état en France (1917-1940)</w:t>
      </w:r>
      <w:r w:rsidRPr="00C61127">
        <w:rPr>
          <w:lang w:val="fr-FR"/>
        </w:rPr>
        <w:t xml:space="preserve"> (Paris, 2004).</w:t>
      </w:r>
    </w:p>
    <w:p w14:paraId="4FACF718" w14:textId="77777777" w:rsidR="0048510E" w:rsidRDefault="0048510E" w:rsidP="0048510E">
      <w:pPr>
        <w:rPr>
          <w:lang w:val="fr-FR"/>
        </w:rPr>
      </w:pPr>
      <w:r w:rsidRPr="00853FA3">
        <w:rPr>
          <w:lang w:val="fr-FR"/>
        </w:rPr>
        <w:t>Gromaire,</w:t>
      </w:r>
      <w:r w:rsidR="00B51E64">
        <w:rPr>
          <w:lang w:val="fr-FR"/>
        </w:rPr>
        <w:t xml:space="preserve"> G.,</w:t>
      </w:r>
      <w:r w:rsidRPr="00853FA3">
        <w:rPr>
          <w:lang w:val="fr-FR"/>
        </w:rPr>
        <w:t xml:space="preserve"> </w:t>
      </w:r>
      <w:r w:rsidRPr="00853FA3">
        <w:rPr>
          <w:i/>
          <w:iCs/>
          <w:lang w:val="fr-FR"/>
        </w:rPr>
        <w:t>L'occupation allemande en France (1914-1918)</w:t>
      </w:r>
      <w:r w:rsidRPr="00853FA3">
        <w:rPr>
          <w:lang w:val="fr-FR"/>
        </w:rPr>
        <w:t xml:space="preserve"> (Paris, 1925).</w:t>
      </w:r>
    </w:p>
    <w:p w14:paraId="3990434A" w14:textId="77777777" w:rsidR="0048510E" w:rsidRDefault="0048510E" w:rsidP="00B51E64">
      <w:pPr>
        <w:rPr>
          <w:lang w:val="fr-FR"/>
        </w:rPr>
      </w:pPr>
      <w:r w:rsidRPr="00C61127">
        <w:rPr>
          <w:lang w:val="fr-FR"/>
        </w:rPr>
        <w:t xml:space="preserve">Guinard, </w:t>
      </w:r>
      <w:r w:rsidR="00B51E64">
        <w:rPr>
          <w:lang w:val="fr-FR"/>
        </w:rPr>
        <w:t>P., J-C.</w:t>
      </w:r>
      <w:r w:rsidRPr="00C61127">
        <w:rPr>
          <w:lang w:val="fr-FR"/>
        </w:rPr>
        <w:t xml:space="preserve"> Devos, and </w:t>
      </w:r>
      <w:r w:rsidR="00B51E64">
        <w:rPr>
          <w:lang w:val="fr-FR"/>
        </w:rPr>
        <w:t>J.</w:t>
      </w:r>
      <w:r w:rsidRPr="00C61127">
        <w:rPr>
          <w:lang w:val="fr-FR"/>
        </w:rPr>
        <w:t xml:space="preserve"> Nicot, </w:t>
      </w:r>
      <w:r w:rsidRPr="00C61127">
        <w:rPr>
          <w:i/>
          <w:iCs/>
          <w:lang w:val="fr-FR"/>
        </w:rPr>
        <w:t>Inventaire sommaire des archives de la guerre: série N 1872-1919</w:t>
      </w:r>
      <w:r w:rsidRPr="00C61127">
        <w:rPr>
          <w:lang w:val="fr-FR"/>
        </w:rPr>
        <w:t xml:space="preserve"> (Troyes, 1975).</w:t>
      </w:r>
    </w:p>
    <w:p w14:paraId="6E72331D" w14:textId="77777777" w:rsidR="0048510E" w:rsidRPr="00B51E64" w:rsidRDefault="0048510E" w:rsidP="0048510E">
      <w:r w:rsidRPr="00B51E64">
        <w:t>Guttman,</w:t>
      </w:r>
      <w:r w:rsidR="00B51E64" w:rsidRPr="00B51E64">
        <w:t xml:space="preserve"> J.</w:t>
      </w:r>
      <w:r w:rsidR="00B51E64">
        <w:t>,</w:t>
      </w:r>
      <w:r w:rsidRPr="00B51E64">
        <w:t xml:space="preserve"> </w:t>
      </w:r>
      <w:r w:rsidRPr="00B51E64">
        <w:rPr>
          <w:i/>
          <w:iCs/>
        </w:rPr>
        <w:t>Bristol F2 fighter aces of World War I</w:t>
      </w:r>
      <w:r w:rsidRPr="00B51E64">
        <w:t xml:space="preserve"> (Oxford, 2007).</w:t>
      </w:r>
    </w:p>
    <w:p w14:paraId="2E1FD972" w14:textId="77777777" w:rsidR="0048510E" w:rsidRDefault="0048510E" w:rsidP="0048510E">
      <w:r w:rsidRPr="00B51E64">
        <w:t>Halpern,</w:t>
      </w:r>
      <w:r w:rsidR="00B51E64" w:rsidRPr="00B51E64">
        <w:t xml:space="preserve"> P.</w:t>
      </w:r>
      <w:r w:rsidR="00B51E64">
        <w:t>,</w:t>
      </w:r>
      <w:r w:rsidRPr="00B51E64">
        <w:t xml:space="preserve"> </w:t>
      </w:r>
      <w:r w:rsidRPr="00B51E64">
        <w:rPr>
          <w:i/>
          <w:iCs/>
        </w:rPr>
        <w:t>A naval history of World War One</w:t>
      </w:r>
      <w:r w:rsidRPr="00B51E64">
        <w:t xml:space="preserve"> (London, </w:t>
      </w:r>
      <w:r>
        <w:t>1994).</w:t>
      </w:r>
    </w:p>
    <w:p w14:paraId="16E5B246" w14:textId="77777777" w:rsidR="0048510E" w:rsidRDefault="0048510E" w:rsidP="001E5BAC">
      <w:pPr>
        <w:rPr>
          <w:lang w:val="de-DE"/>
        </w:rPr>
      </w:pPr>
      <w:r w:rsidRPr="00C61127">
        <w:rPr>
          <w:lang w:val="de-DE"/>
        </w:rPr>
        <w:t>Hirschfeld,</w:t>
      </w:r>
      <w:r w:rsidR="00B51E64">
        <w:rPr>
          <w:lang w:val="de-DE"/>
        </w:rPr>
        <w:t xml:space="preserve"> M.,</w:t>
      </w:r>
      <w:r w:rsidRPr="00C61127">
        <w:rPr>
          <w:lang w:val="de-DE"/>
        </w:rPr>
        <w:t xml:space="preserve"> and </w:t>
      </w:r>
      <w:r w:rsidR="001E5BAC">
        <w:rPr>
          <w:lang w:val="de-DE"/>
        </w:rPr>
        <w:t>A. Gaspar</w:t>
      </w:r>
      <w:r w:rsidR="00B51E64">
        <w:rPr>
          <w:lang w:val="de-DE"/>
        </w:rPr>
        <w:t>,</w:t>
      </w:r>
      <w:r w:rsidRPr="00C61127">
        <w:rPr>
          <w:lang w:val="de-DE"/>
        </w:rPr>
        <w:t xml:space="preserve"> </w:t>
      </w:r>
      <w:r w:rsidRPr="00C61127">
        <w:rPr>
          <w:i/>
          <w:iCs/>
          <w:lang w:val="de-DE"/>
        </w:rPr>
        <w:t>Sittengescichte des Ersten Weltkrieges</w:t>
      </w:r>
      <w:r w:rsidRPr="00C61127">
        <w:rPr>
          <w:lang w:val="de-DE"/>
        </w:rPr>
        <w:t xml:space="preserve"> (Hanau, 1929).</w:t>
      </w:r>
    </w:p>
    <w:p w14:paraId="04F4E254" w14:textId="77777777" w:rsidR="0048510E" w:rsidRDefault="0048510E" w:rsidP="0048510E">
      <w:r>
        <w:t>Horne,</w:t>
      </w:r>
      <w:r w:rsidR="00B51E64">
        <w:t xml:space="preserve"> A.,</w:t>
      </w:r>
      <w:r>
        <w:t xml:space="preserve"> </w:t>
      </w:r>
      <w:r>
        <w:rPr>
          <w:i/>
          <w:iCs/>
        </w:rPr>
        <w:t>The fall of Paris</w:t>
      </w:r>
      <w:r w:rsidR="001E5BAC">
        <w:rPr>
          <w:i/>
          <w:iCs/>
        </w:rPr>
        <w:t>: the siege and the Commune, 1870-71</w:t>
      </w:r>
      <w:r>
        <w:t xml:space="preserve"> (London, 1997).</w:t>
      </w:r>
    </w:p>
    <w:p w14:paraId="419B5B26" w14:textId="4329268B" w:rsidR="0048510E" w:rsidRDefault="0048510E" w:rsidP="00B54A2B">
      <w:r>
        <w:t>Horne,</w:t>
      </w:r>
      <w:r w:rsidR="00B51E64">
        <w:t xml:space="preserve"> C.,</w:t>
      </w:r>
      <w:r>
        <w:t xml:space="preserve"> </w:t>
      </w:r>
      <w:r>
        <w:rPr>
          <w:i/>
          <w:iCs/>
        </w:rPr>
        <w:t xml:space="preserve">Source records of the Great War. Volume III: Germany's year of triumph </w:t>
      </w:r>
      <w:r>
        <w:t>(</w:t>
      </w:r>
      <w:r w:rsidR="00B54A2B">
        <w:t>Indianapolis</w:t>
      </w:r>
      <w:r>
        <w:t>, 1920).</w:t>
      </w:r>
    </w:p>
    <w:p w14:paraId="0004A836" w14:textId="77777777" w:rsidR="0048510E" w:rsidRDefault="0048510E" w:rsidP="00D06D0C">
      <w:r>
        <w:t>Horne,</w:t>
      </w:r>
      <w:r w:rsidR="00D06D0C">
        <w:t xml:space="preserve"> J.,</w:t>
      </w:r>
      <w:r>
        <w:t xml:space="preserve"> and </w:t>
      </w:r>
      <w:r w:rsidR="00D06D0C">
        <w:t>A.</w:t>
      </w:r>
      <w:r>
        <w:t xml:space="preserve"> Kramer, </w:t>
      </w:r>
      <w:r>
        <w:rPr>
          <w:i/>
          <w:iCs/>
        </w:rPr>
        <w:t>German atrocities 1914</w:t>
      </w:r>
      <w:r w:rsidR="009C7FC7">
        <w:rPr>
          <w:i/>
          <w:iCs/>
        </w:rPr>
        <w:t>: a history of denial</w:t>
      </w:r>
      <w:r>
        <w:t xml:space="preserve"> (New Haven and London, 2001).</w:t>
      </w:r>
    </w:p>
    <w:p w14:paraId="4DB5C634" w14:textId="77777777" w:rsidR="0048510E" w:rsidRDefault="0048510E" w:rsidP="0048510E">
      <w:pPr>
        <w:rPr>
          <w:lang w:val="de-DE"/>
        </w:rPr>
      </w:pPr>
      <w:r w:rsidRPr="00C61127">
        <w:rPr>
          <w:lang w:val="de-DE"/>
        </w:rPr>
        <w:t>Huber,</w:t>
      </w:r>
      <w:r w:rsidR="00D06D0C">
        <w:rPr>
          <w:lang w:val="de-DE"/>
        </w:rPr>
        <w:t xml:space="preserve"> G.,</w:t>
      </w:r>
      <w:r w:rsidRPr="00C61127">
        <w:rPr>
          <w:lang w:val="de-DE"/>
        </w:rPr>
        <w:t xml:space="preserve"> </w:t>
      </w:r>
      <w:r w:rsidRPr="00C61127">
        <w:rPr>
          <w:i/>
          <w:iCs/>
          <w:lang w:val="de-DE"/>
        </w:rPr>
        <w:t>Die französische Propaganda im Weltkrieg gegen Deutschland, 1914 bis 1918</w:t>
      </w:r>
      <w:r w:rsidRPr="00C61127">
        <w:rPr>
          <w:lang w:val="de-DE"/>
        </w:rPr>
        <w:t xml:space="preserve"> (Munich, 1928).</w:t>
      </w:r>
    </w:p>
    <w:p w14:paraId="5181A7A3" w14:textId="77777777" w:rsidR="0048510E" w:rsidRDefault="0048510E" w:rsidP="0048510E">
      <w:r>
        <w:t>Hull,</w:t>
      </w:r>
      <w:r w:rsidR="00D06D0C">
        <w:t xml:space="preserve"> I.,</w:t>
      </w:r>
      <w:r>
        <w:t xml:space="preserve"> </w:t>
      </w:r>
      <w:r>
        <w:rPr>
          <w:i/>
          <w:iCs/>
        </w:rPr>
        <w:t>Absolute destruction</w:t>
      </w:r>
      <w:r w:rsidR="009C7FC7">
        <w:rPr>
          <w:i/>
          <w:iCs/>
        </w:rPr>
        <w:t>: military culture and the practices of war in Imperial Germany</w:t>
      </w:r>
      <w:r>
        <w:t xml:space="preserve"> (London, 2005).</w:t>
      </w:r>
    </w:p>
    <w:p w14:paraId="7608EB62" w14:textId="77777777" w:rsidR="0048510E" w:rsidRDefault="0048510E" w:rsidP="0048510E">
      <w:r>
        <w:t>Jones,</w:t>
      </w:r>
      <w:r w:rsidR="00D06D0C">
        <w:t xml:space="preserve"> H.,</w:t>
      </w:r>
      <w:r>
        <w:t xml:space="preserve"> </w:t>
      </w:r>
      <w:r>
        <w:rPr>
          <w:i/>
          <w:iCs/>
        </w:rPr>
        <w:t>Violence against prisoners of war in the First World War: Britain, France and Germany, 1914-1920</w:t>
      </w:r>
      <w:r>
        <w:t xml:space="preserve"> (Cambridge, 2011).</w:t>
      </w:r>
    </w:p>
    <w:p w14:paraId="4F3B0044" w14:textId="77777777" w:rsidR="0048510E" w:rsidRDefault="0048510E" w:rsidP="0048510E">
      <w:r>
        <w:t>Jones,</w:t>
      </w:r>
      <w:r w:rsidR="00D06D0C">
        <w:t xml:space="preserve"> H.,</w:t>
      </w:r>
      <w:r>
        <w:t xml:space="preserve"> </w:t>
      </w:r>
      <w:r>
        <w:rPr>
          <w:i/>
          <w:iCs/>
        </w:rPr>
        <w:t>War in the air. Being the story of the part played in the Great War by the Royal Air Force. Volume IV.</w:t>
      </w:r>
      <w:r>
        <w:t xml:space="preserve"> (London, 1928).</w:t>
      </w:r>
    </w:p>
    <w:p w14:paraId="25861FAD" w14:textId="77777777" w:rsidR="0048510E" w:rsidRDefault="0048510E" w:rsidP="00D06D0C">
      <w:r>
        <w:t>Jowett,</w:t>
      </w:r>
      <w:r w:rsidR="00D06D0C">
        <w:t xml:space="preserve"> G.,</w:t>
      </w:r>
      <w:r>
        <w:t xml:space="preserve"> and </w:t>
      </w:r>
      <w:r w:rsidR="00D06D0C">
        <w:t>V.</w:t>
      </w:r>
      <w:r>
        <w:t xml:space="preserve"> O'Donnell, </w:t>
      </w:r>
      <w:r>
        <w:rPr>
          <w:i/>
          <w:iCs/>
        </w:rPr>
        <w:t>Propaganda and persuasion</w:t>
      </w:r>
      <w:r>
        <w:t xml:space="preserve"> (California, 2012).</w:t>
      </w:r>
    </w:p>
    <w:p w14:paraId="2579E3B3" w14:textId="77777777" w:rsidR="0048510E" w:rsidRPr="00DE3AC9" w:rsidRDefault="0048510E" w:rsidP="0048510E">
      <w:r w:rsidRPr="00DE3AC9">
        <w:t>Kennett,</w:t>
      </w:r>
      <w:r w:rsidR="00D06D0C" w:rsidRPr="00DE3AC9">
        <w:t xml:space="preserve"> L.,</w:t>
      </w:r>
      <w:r w:rsidRPr="00DE3AC9">
        <w:t xml:space="preserve"> </w:t>
      </w:r>
      <w:r w:rsidRPr="00DE3AC9">
        <w:rPr>
          <w:i/>
          <w:iCs/>
        </w:rPr>
        <w:t>La première guerre aérienne</w:t>
      </w:r>
      <w:r w:rsidR="009C7FC7" w:rsidRPr="00DE3AC9">
        <w:rPr>
          <w:i/>
          <w:iCs/>
        </w:rPr>
        <w:t>: 1914-1918</w:t>
      </w:r>
      <w:r w:rsidRPr="00DE3AC9">
        <w:t xml:space="preserve"> (Paris, 2005).</w:t>
      </w:r>
    </w:p>
    <w:p w14:paraId="5021182D" w14:textId="77777777" w:rsidR="0048510E" w:rsidRDefault="0048510E" w:rsidP="0048510E">
      <w:r>
        <w:t>Kitchen,</w:t>
      </w:r>
      <w:r w:rsidR="00D06D0C">
        <w:t xml:space="preserve"> M.,</w:t>
      </w:r>
      <w:r>
        <w:t xml:space="preserve"> </w:t>
      </w:r>
      <w:r>
        <w:rPr>
          <w:i/>
          <w:iCs/>
        </w:rPr>
        <w:t>The silent dictatorship</w:t>
      </w:r>
      <w:r w:rsidR="009C7FC7">
        <w:rPr>
          <w:i/>
          <w:iCs/>
        </w:rPr>
        <w:t>: the politics of the German High Command under Hindenburg and Ludendorff</w:t>
      </w:r>
      <w:r>
        <w:t xml:space="preserve"> (London, 1976).</w:t>
      </w:r>
    </w:p>
    <w:p w14:paraId="20A9617F" w14:textId="77777777" w:rsidR="0048510E" w:rsidRDefault="0048510E" w:rsidP="0048510E">
      <w:r>
        <w:t>Koselleck,</w:t>
      </w:r>
      <w:r w:rsidR="00D06D0C">
        <w:t xml:space="preserve"> R.,</w:t>
      </w:r>
      <w:r>
        <w:t xml:space="preserve"> </w:t>
      </w:r>
      <w:r>
        <w:rPr>
          <w:i/>
          <w:iCs/>
        </w:rPr>
        <w:t>Futures past</w:t>
      </w:r>
      <w:r w:rsidR="009C7FC7" w:rsidRPr="009C7FC7">
        <w:rPr>
          <w:i/>
          <w:iCs/>
        </w:rPr>
        <w:t>: on the semantics of historical time</w:t>
      </w:r>
      <w:r w:rsidR="009C7FC7">
        <w:t xml:space="preserve"> </w:t>
      </w:r>
      <w:r>
        <w:t>(Columbia, 2004).</w:t>
      </w:r>
    </w:p>
    <w:p w14:paraId="1D0E153D" w14:textId="77777777" w:rsidR="0048510E" w:rsidRDefault="0048510E" w:rsidP="0048510E">
      <w:r>
        <w:t>Kramer,</w:t>
      </w:r>
      <w:r w:rsidR="00D06D0C">
        <w:t xml:space="preserve"> A.,</w:t>
      </w:r>
      <w:r>
        <w:t xml:space="preserve"> </w:t>
      </w:r>
      <w:r>
        <w:rPr>
          <w:i/>
          <w:iCs/>
        </w:rPr>
        <w:t>Dynamic of destruction</w:t>
      </w:r>
      <w:r w:rsidR="009C7FC7">
        <w:rPr>
          <w:i/>
          <w:iCs/>
        </w:rPr>
        <w:t>: culture and mass killing in the First World War</w:t>
      </w:r>
      <w:r>
        <w:t xml:space="preserve"> (Oxford, 2007).</w:t>
      </w:r>
    </w:p>
    <w:p w14:paraId="40517F4E" w14:textId="77777777" w:rsidR="0048510E" w:rsidRDefault="0048510E" w:rsidP="0048510E">
      <w:r>
        <w:t>Landrieux,</w:t>
      </w:r>
      <w:r w:rsidR="00D06D0C">
        <w:t xml:space="preserve"> M.,</w:t>
      </w:r>
      <w:r>
        <w:t xml:space="preserve"> </w:t>
      </w:r>
      <w:r>
        <w:rPr>
          <w:i/>
          <w:iCs/>
        </w:rPr>
        <w:t>The Cathedral of Reims</w:t>
      </w:r>
      <w:r>
        <w:t xml:space="preserve"> (London, 1920).</w:t>
      </w:r>
    </w:p>
    <w:p w14:paraId="118DAB61" w14:textId="77777777" w:rsidR="0048510E" w:rsidRPr="00C61127" w:rsidRDefault="0048510E" w:rsidP="0048510E">
      <w:pPr>
        <w:rPr>
          <w:lang w:val="fr-FR"/>
        </w:rPr>
      </w:pPr>
      <w:r w:rsidRPr="00C61127">
        <w:rPr>
          <w:lang w:val="fr-FR"/>
        </w:rPr>
        <w:t>Laska,</w:t>
      </w:r>
      <w:r w:rsidR="00D06D0C">
        <w:rPr>
          <w:lang w:val="fr-FR"/>
        </w:rPr>
        <w:t xml:space="preserve"> A.,</w:t>
      </w:r>
      <w:r w:rsidRPr="00C61127">
        <w:rPr>
          <w:lang w:val="fr-FR"/>
        </w:rPr>
        <w:t xml:space="preserve"> </w:t>
      </w:r>
      <w:r w:rsidRPr="00C61127">
        <w:rPr>
          <w:i/>
          <w:iCs/>
          <w:lang w:val="fr-FR"/>
        </w:rPr>
        <w:t>Presse et propagande allemande en France occupée: des moniteurs officiels (1870-1871) à la Gazette des Ardennes (1914-1918) et à la Pariser Zeitung (1940-1944)</w:t>
      </w:r>
      <w:r w:rsidRPr="00C61127">
        <w:rPr>
          <w:lang w:val="fr-FR"/>
        </w:rPr>
        <w:t xml:space="preserve"> (Munich, 2003).</w:t>
      </w:r>
    </w:p>
    <w:p w14:paraId="02F46C21" w14:textId="1CB88421" w:rsidR="0048510E" w:rsidRDefault="0048510E" w:rsidP="005F36EF">
      <w:r>
        <w:t>Lasswell,</w:t>
      </w:r>
      <w:r w:rsidR="00D06D0C">
        <w:t xml:space="preserve"> H.,</w:t>
      </w:r>
      <w:r>
        <w:t xml:space="preserve"> </w:t>
      </w:r>
      <w:r>
        <w:rPr>
          <w:i/>
          <w:iCs/>
        </w:rPr>
        <w:t xml:space="preserve">Propaganda technique in World War I </w:t>
      </w:r>
      <w:r>
        <w:t>(Cambridge, 1971).</w:t>
      </w:r>
    </w:p>
    <w:p w14:paraId="75E4D0D4" w14:textId="77777777" w:rsidR="0048510E" w:rsidRDefault="0048510E" w:rsidP="0048510E">
      <w:pPr>
        <w:rPr>
          <w:lang w:val="fr-FR"/>
        </w:rPr>
      </w:pPr>
      <w:r>
        <w:rPr>
          <w:lang w:val="fr-FR"/>
        </w:rPr>
        <w:t>Le Naour,</w:t>
      </w:r>
      <w:r w:rsidR="00D06D0C">
        <w:rPr>
          <w:lang w:val="fr-FR"/>
        </w:rPr>
        <w:t xml:space="preserve"> J-Y.,</w:t>
      </w:r>
      <w:r>
        <w:rPr>
          <w:lang w:val="fr-FR"/>
        </w:rPr>
        <w:t xml:space="preserve"> </w:t>
      </w:r>
      <w:r w:rsidRPr="00C61127">
        <w:rPr>
          <w:lang w:val="fr-FR"/>
        </w:rPr>
        <w:t xml:space="preserve"> </w:t>
      </w:r>
      <w:r w:rsidR="009C7FC7">
        <w:rPr>
          <w:i/>
          <w:iCs/>
          <w:lang w:val="fr-FR"/>
        </w:rPr>
        <w:t>Désunion nationale: l</w:t>
      </w:r>
      <w:r w:rsidRPr="00C61127">
        <w:rPr>
          <w:i/>
          <w:iCs/>
          <w:lang w:val="fr-FR"/>
        </w:rPr>
        <w:t>a légende noire des soldats du Midi</w:t>
      </w:r>
      <w:r w:rsidRPr="00C61127">
        <w:rPr>
          <w:lang w:val="fr-FR"/>
        </w:rPr>
        <w:t xml:space="preserve"> (Paris, 2011).</w:t>
      </w:r>
    </w:p>
    <w:p w14:paraId="662C409D" w14:textId="77777777" w:rsidR="0048510E" w:rsidRPr="00457A9A" w:rsidRDefault="0048510E" w:rsidP="0048510E">
      <w:pPr>
        <w:rPr>
          <w:lang w:val="fr-FR"/>
        </w:rPr>
      </w:pPr>
      <w:r w:rsidRPr="00457A9A">
        <w:rPr>
          <w:lang w:val="fr-FR"/>
        </w:rPr>
        <w:t>———</w:t>
      </w:r>
      <w:r w:rsidRPr="00853FA3">
        <w:rPr>
          <w:lang w:val="fr-FR"/>
        </w:rPr>
        <w:t xml:space="preserve">, </w:t>
      </w:r>
      <w:r w:rsidRPr="00853FA3">
        <w:rPr>
          <w:i/>
          <w:iCs/>
          <w:lang w:val="fr-FR"/>
        </w:rPr>
        <w:t>Misères et tourments de la</w:t>
      </w:r>
      <w:r w:rsidR="009C7FC7">
        <w:rPr>
          <w:i/>
          <w:iCs/>
          <w:lang w:val="fr-FR"/>
        </w:rPr>
        <w:t xml:space="preserve"> chair durant la Grande Guerre: l</w:t>
      </w:r>
      <w:r w:rsidRPr="00457A9A">
        <w:rPr>
          <w:i/>
          <w:iCs/>
          <w:lang w:val="fr-FR"/>
        </w:rPr>
        <w:t>es mœurs sexuelles des Français, 1914-1918</w:t>
      </w:r>
      <w:r w:rsidRPr="00457A9A">
        <w:rPr>
          <w:lang w:val="fr-FR"/>
        </w:rPr>
        <w:t xml:space="preserve"> (Paris, 2002).</w:t>
      </w:r>
    </w:p>
    <w:p w14:paraId="4AB7B1A8" w14:textId="77777777" w:rsidR="0048510E" w:rsidRDefault="0048510E" w:rsidP="00D06D0C">
      <w:r>
        <w:t>Manning,</w:t>
      </w:r>
      <w:r w:rsidR="00D06D0C">
        <w:t xml:space="preserve"> M.,</w:t>
      </w:r>
      <w:r>
        <w:t xml:space="preserve"> and </w:t>
      </w:r>
      <w:r w:rsidR="00D06D0C">
        <w:t>H.</w:t>
      </w:r>
      <w:r>
        <w:t xml:space="preserve"> Romerstein, </w:t>
      </w:r>
      <w:r>
        <w:rPr>
          <w:i/>
          <w:iCs/>
        </w:rPr>
        <w:t>Historical dictionary of American propaganda</w:t>
      </w:r>
      <w:r>
        <w:t xml:space="preserve"> (Westport and </w:t>
      </w:r>
      <w:r w:rsidRPr="00CD0F0A">
        <w:t>London, 2004).</w:t>
      </w:r>
    </w:p>
    <w:p w14:paraId="04276615" w14:textId="6DB1B376" w:rsidR="0048510E" w:rsidRDefault="0048510E" w:rsidP="005F36EF">
      <w:pPr>
        <w:rPr>
          <w:lang w:val="fr-FR"/>
        </w:rPr>
      </w:pPr>
      <w:r w:rsidRPr="00C61127">
        <w:rPr>
          <w:lang w:val="fr-FR"/>
        </w:rPr>
        <w:t>Marchand,</w:t>
      </w:r>
      <w:r w:rsidR="00D06D0C">
        <w:rPr>
          <w:lang w:val="fr-FR"/>
        </w:rPr>
        <w:t xml:space="preserve"> L.,</w:t>
      </w:r>
      <w:r w:rsidRPr="00C61127">
        <w:rPr>
          <w:lang w:val="fr-FR"/>
        </w:rPr>
        <w:t xml:space="preserve"> </w:t>
      </w:r>
      <w:r w:rsidRPr="00C61127">
        <w:rPr>
          <w:i/>
          <w:iCs/>
          <w:lang w:val="fr-FR"/>
        </w:rPr>
        <w:t>L'assaut de l'</w:t>
      </w:r>
      <w:r w:rsidR="009C7FC7" w:rsidRPr="00C61127">
        <w:rPr>
          <w:i/>
          <w:iCs/>
          <w:lang w:val="fr-FR"/>
        </w:rPr>
        <w:t>âme</w:t>
      </w:r>
      <w:r w:rsidR="009C7FC7">
        <w:rPr>
          <w:i/>
          <w:iCs/>
          <w:lang w:val="fr-FR"/>
        </w:rPr>
        <w:t xml:space="preserve"> française: l</w:t>
      </w:r>
      <w:r w:rsidRPr="00C61127">
        <w:rPr>
          <w:i/>
          <w:iCs/>
          <w:lang w:val="fr-FR"/>
        </w:rPr>
        <w:t>'offensive morale des Allemands, en France, pendant la guerre</w:t>
      </w:r>
      <w:r w:rsidRPr="00C61127">
        <w:rPr>
          <w:lang w:val="fr-FR"/>
        </w:rPr>
        <w:t xml:space="preserve"> (Paris, 1920).</w:t>
      </w:r>
    </w:p>
    <w:p w14:paraId="7683E441" w14:textId="77777777" w:rsidR="0048510E" w:rsidRDefault="0048510E" w:rsidP="0048510E">
      <w:pPr>
        <w:rPr>
          <w:lang w:val="fr-FR"/>
        </w:rPr>
      </w:pPr>
      <w:r w:rsidRPr="00C61127">
        <w:rPr>
          <w:lang w:val="fr-FR"/>
        </w:rPr>
        <w:t>Massart,</w:t>
      </w:r>
      <w:r w:rsidR="00D06D0C">
        <w:rPr>
          <w:lang w:val="fr-FR"/>
        </w:rPr>
        <w:t xml:space="preserve"> J.,</w:t>
      </w:r>
      <w:r w:rsidRPr="00C61127">
        <w:rPr>
          <w:lang w:val="fr-FR"/>
        </w:rPr>
        <w:t xml:space="preserve"> </w:t>
      </w:r>
      <w:r w:rsidRPr="00C61127">
        <w:rPr>
          <w:i/>
          <w:iCs/>
          <w:lang w:val="fr-FR"/>
        </w:rPr>
        <w:t>La presse clandestine dans la Belgique occupée</w:t>
      </w:r>
      <w:r w:rsidRPr="00C61127">
        <w:rPr>
          <w:lang w:val="fr-FR"/>
        </w:rPr>
        <w:t xml:space="preserve"> (Paris, 1917).</w:t>
      </w:r>
    </w:p>
    <w:p w14:paraId="3CD88D65" w14:textId="77777777" w:rsidR="0048510E" w:rsidRDefault="0048510E" w:rsidP="0048510E">
      <w:pPr>
        <w:rPr>
          <w:lang w:val="fr-FR"/>
        </w:rPr>
      </w:pPr>
      <w:r w:rsidRPr="00C61127">
        <w:rPr>
          <w:lang w:val="fr-FR"/>
        </w:rPr>
        <w:t>Mayeur,</w:t>
      </w:r>
      <w:r w:rsidR="00D06D0C">
        <w:rPr>
          <w:lang w:val="fr-FR"/>
        </w:rPr>
        <w:t xml:space="preserve"> J-M.,</w:t>
      </w:r>
      <w:r w:rsidRPr="00C61127">
        <w:rPr>
          <w:lang w:val="fr-FR"/>
        </w:rPr>
        <w:t xml:space="preserve"> </w:t>
      </w:r>
      <w:r w:rsidRPr="00C61127">
        <w:rPr>
          <w:i/>
          <w:iCs/>
          <w:lang w:val="fr-FR"/>
        </w:rPr>
        <w:t>La vie politique sous la Troisième République</w:t>
      </w:r>
      <w:r w:rsidR="009C7FC7">
        <w:rPr>
          <w:i/>
          <w:iCs/>
          <w:lang w:val="fr-FR"/>
        </w:rPr>
        <w:t> : 1870-1940</w:t>
      </w:r>
      <w:r w:rsidRPr="00C61127">
        <w:rPr>
          <w:lang w:val="fr-FR"/>
        </w:rPr>
        <w:t xml:space="preserve"> (Paris, 1984).</w:t>
      </w:r>
    </w:p>
    <w:p w14:paraId="5AB5383A" w14:textId="77777777" w:rsidR="0048510E" w:rsidRPr="00D06D0C" w:rsidRDefault="0048510E" w:rsidP="0048510E">
      <w:r w:rsidRPr="00D06D0C">
        <w:t>McPhail,</w:t>
      </w:r>
      <w:r w:rsidR="00D06D0C" w:rsidRPr="00D06D0C">
        <w:t xml:space="preserve"> H.</w:t>
      </w:r>
      <w:r w:rsidR="00D06D0C">
        <w:t>,</w:t>
      </w:r>
      <w:r w:rsidRPr="00D06D0C">
        <w:t xml:space="preserve"> </w:t>
      </w:r>
      <w:r w:rsidRPr="00D06D0C">
        <w:rPr>
          <w:i/>
          <w:iCs/>
        </w:rPr>
        <w:t>The long silence</w:t>
      </w:r>
      <w:r w:rsidR="009C7FC7">
        <w:rPr>
          <w:i/>
          <w:iCs/>
        </w:rPr>
        <w:t>: civilian life under the German occupation of northern France, 1914-1918</w:t>
      </w:r>
      <w:r w:rsidRPr="00D06D0C">
        <w:t xml:space="preserve"> (London and New York, 2001).</w:t>
      </w:r>
    </w:p>
    <w:p w14:paraId="753AEF6B" w14:textId="77777777" w:rsidR="0048510E" w:rsidRPr="00E33192" w:rsidRDefault="0048510E" w:rsidP="0048510E">
      <w:r w:rsidRPr="00E33192">
        <w:t xml:space="preserve">MI7(b), </w:t>
      </w:r>
      <w:r w:rsidRPr="00E33192">
        <w:rPr>
          <w:i/>
          <w:iCs/>
        </w:rPr>
        <w:t>The Green book</w:t>
      </w:r>
      <w:r w:rsidRPr="00E33192">
        <w:t xml:space="preserve"> (London, 1921).</w:t>
      </w:r>
    </w:p>
    <w:p w14:paraId="70FFE0B7" w14:textId="77777777" w:rsidR="0048510E" w:rsidRPr="00C61127" w:rsidRDefault="0048510E" w:rsidP="0048510E">
      <w:pPr>
        <w:rPr>
          <w:lang w:val="fr-FR"/>
        </w:rPr>
      </w:pPr>
      <w:r w:rsidRPr="00C61127">
        <w:rPr>
          <w:lang w:val="fr-FR"/>
        </w:rPr>
        <w:t>Miquel,</w:t>
      </w:r>
      <w:r w:rsidR="00D06D0C">
        <w:rPr>
          <w:lang w:val="fr-FR"/>
        </w:rPr>
        <w:t xml:space="preserve"> P.,</w:t>
      </w:r>
      <w:r w:rsidRPr="00C61127">
        <w:rPr>
          <w:lang w:val="fr-FR"/>
        </w:rPr>
        <w:t xml:space="preserve"> </w:t>
      </w:r>
      <w:r w:rsidRPr="00C61127">
        <w:rPr>
          <w:i/>
          <w:iCs/>
          <w:lang w:val="fr-FR"/>
        </w:rPr>
        <w:t>Le chemin des Dames</w:t>
      </w:r>
      <w:r w:rsidRPr="00C61127">
        <w:rPr>
          <w:lang w:val="fr-FR"/>
        </w:rPr>
        <w:t xml:space="preserve"> (Paris, 1997).</w:t>
      </w:r>
    </w:p>
    <w:p w14:paraId="235CCEA2" w14:textId="77777777" w:rsidR="0048510E" w:rsidRDefault="0048510E" w:rsidP="0048510E">
      <w:pPr>
        <w:rPr>
          <w:lang w:val="fr-FR"/>
        </w:rPr>
      </w:pPr>
      <w:r w:rsidRPr="00C61127">
        <w:rPr>
          <w:lang w:val="fr-FR"/>
        </w:rPr>
        <w:t xml:space="preserve">———, </w:t>
      </w:r>
      <w:r w:rsidRPr="00C61127">
        <w:rPr>
          <w:i/>
          <w:iCs/>
          <w:lang w:val="fr-FR"/>
        </w:rPr>
        <w:t>Mourir à Verdun</w:t>
      </w:r>
      <w:r w:rsidRPr="00C61127">
        <w:rPr>
          <w:lang w:val="fr-FR"/>
        </w:rPr>
        <w:t xml:space="preserve"> (Poitiers: Editions de la Seine, 2002).</w:t>
      </w:r>
    </w:p>
    <w:p w14:paraId="3A6FE3F6" w14:textId="77777777" w:rsidR="0048510E" w:rsidRDefault="0048510E" w:rsidP="0048510E">
      <w:pPr>
        <w:rPr>
          <w:lang w:val="nl-NL"/>
        </w:rPr>
      </w:pPr>
      <w:r w:rsidRPr="00C61127">
        <w:rPr>
          <w:lang w:val="nl-NL"/>
        </w:rPr>
        <w:t>Moeyes,</w:t>
      </w:r>
      <w:r w:rsidR="00D06D0C">
        <w:rPr>
          <w:lang w:val="nl-NL"/>
        </w:rPr>
        <w:t xml:space="preserve"> P.,</w:t>
      </w:r>
      <w:r w:rsidRPr="00C61127">
        <w:rPr>
          <w:lang w:val="nl-NL"/>
        </w:rPr>
        <w:t xml:space="preserve"> </w:t>
      </w:r>
      <w:r w:rsidRPr="00C61127">
        <w:rPr>
          <w:i/>
          <w:iCs/>
          <w:lang w:val="nl-NL"/>
        </w:rPr>
        <w:t>Buiten Schot 1914-1918: Nederland tijdens de Eerste Wereldoorlog</w:t>
      </w:r>
      <w:r w:rsidRPr="00C61127">
        <w:rPr>
          <w:lang w:val="nl-NL"/>
        </w:rPr>
        <w:t xml:space="preserve"> (Amsterdam</w:t>
      </w:r>
      <w:r>
        <w:rPr>
          <w:lang w:val="nl-NL"/>
        </w:rPr>
        <w:t xml:space="preserve">, </w:t>
      </w:r>
      <w:r w:rsidRPr="00B036B6">
        <w:rPr>
          <w:lang w:val="nl-NL"/>
        </w:rPr>
        <w:t>Antwerpen, 2001).</w:t>
      </w:r>
    </w:p>
    <w:p w14:paraId="7189164D" w14:textId="77777777" w:rsidR="0048510E" w:rsidRDefault="0048510E" w:rsidP="0048510E">
      <w:pPr>
        <w:rPr>
          <w:lang w:val="fr-FR"/>
        </w:rPr>
      </w:pPr>
      <w:r w:rsidRPr="00C61127">
        <w:rPr>
          <w:lang w:val="fr-FR"/>
        </w:rPr>
        <w:t>Morelli,</w:t>
      </w:r>
      <w:r w:rsidR="00D06D0C">
        <w:rPr>
          <w:lang w:val="fr-FR"/>
        </w:rPr>
        <w:t xml:space="preserve"> A.,</w:t>
      </w:r>
      <w:r w:rsidRPr="00C61127">
        <w:rPr>
          <w:lang w:val="fr-FR"/>
        </w:rPr>
        <w:t xml:space="preserve"> </w:t>
      </w:r>
      <w:r w:rsidRPr="00C61127">
        <w:rPr>
          <w:i/>
          <w:iCs/>
          <w:lang w:val="fr-FR"/>
        </w:rPr>
        <w:t>Principes élémentaires de propagande de guerre</w:t>
      </w:r>
      <w:r w:rsidR="00121726">
        <w:rPr>
          <w:lang w:val="fr-FR"/>
        </w:rPr>
        <w:t xml:space="preserve">: </w:t>
      </w:r>
      <w:r w:rsidR="00121726" w:rsidRPr="00121726">
        <w:rPr>
          <w:i/>
          <w:iCs/>
          <w:lang w:val="fr-FR"/>
        </w:rPr>
        <w:t>utilisables en cas de guerre froide, chaude ou tiède</w:t>
      </w:r>
      <w:r w:rsidR="00121726">
        <w:rPr>
          <w:lang w:val="fr-FR"/>
        </w:rPr>
        <w:t xml:space="preserve"> </w:t>
      </w:r>
      <w:r w:rsidRPr="00C61127">
        <w:rPr>
          <w:lang w:val="fr-FR"/>
        </w:rPr>
        <w:t>(Brussels, 2001).</w:t>
      </w:r>
    </w:p>
    <w:p w14:paraId="3329822F" w14:textId="77777777" w:rsidR="0048510E" w:rsidRDefault="0048510E" w:rsidP="0048510E">
      <w:r>
        <w:t>Nelson,</w:t>
      </w:r>
      <w:r w:rsidR="00D06D0C">
        <w:t xml:space="preserve"> R.,</w:t>
      </w:r>
      <w:r>
        <w:t xml:space="preserve"> </w:t>
      </w:r>
      <w:r>
        <w:rPr>
          <w:i/>
          <w:iCs/>
        </w:rPr>
        <w:t>German soldier newspapers of the First World War</w:t>
      </w:r>
      <w:r>
        <w:t xml:space="preserve"> (Cambridge, 2011).</w:t>
      </w:r>
    </w:p>
    <w:p w14:paraId="5A740270" w14:textId="77777777" w:rsidR="0048510E" w:rsidRPr="00C61127" w:rsidRDefault="0048510E" w:rsidP="0048510E">
      <w:pPr>
        <w:rPr>
          <w:lang w:val="fr-FR"/>
        </w:rPr>
      </w:pPr>
      <w:r w:rsidRPr="00C61127">
        <w:rPr>
          <w:lang w:val="fr-FR"/>
        </w:rPr>
        <w:t>Nivet,</w:t>
      </w:r>
      <w:r w:rsidR="00D06D0C">
        <w:rPr>
          <w:lang w:val="fr-FR"/>
        </w:rPr>
        <w:t xml:space="preserve"> P.,</w:t>
      </w:r>
      <w:r w:rsidRPr="00C61127">
        <w:rPr>
          <w:lang w:val="fr-FR"/>
        </w:rPr>
        <w:t xml:space="preserve"> </w:t>
      </w:r>
      <w:r w:rsidRPr="00C61127">
        <w:rPr>
          <w:i/>
          <w:iCs/>
          <w:lang w:val="fr-FR"/>
        </w:rPr>
        <w:t>La France occupée</w:t>
      </w:r>
      <w:r w:rsidR="00121726">
        <w:rPr>
          <w:i/>
          <w:iCs/>
          <w:lang w:val="fr-FR"/>
        </w:rPr>
        <w:t>: 1914-1918</w:t>
      </w:r>
      <w:r w:rsidRPr="00C61127">
        <w:rPr>
          <w:lang w:val="fr-FR"/>
        </w:rPr>
        <w:t xml:space="preserve"> (Paris, 2011).</w:t>
      </w:r>
    </w:p>
    <w:p w14:paraId="2F8E79D3" w14:textId="77777777" w:rsidR="0048510E" w:rsidRDefault="0048510E" w:rsidP="0048510E">
      <w:pPr>
        <w:rPr>
          <w:lang w:val="fr-FR"/>
        </w:rPr>
      </w:pPr>
      <w:r w:rsidRPr="00C61127">
        <w:rPr>
          <w:lang w:val="fr-FR"/>
        </w:rPr>
        <w:t xml:space="preserve">———, </w:t>
      </w:r>
      <w:r w:rsidRPr="00C61127">
        <w:rPr>
          <w:i/>
          <w:iCs/>
          <w:lang w:val="fr-FR"/>
        </w:rPr>
        <w:t>Les réfugiés français de la grande guerre</w:t>
      </w:r>
      <w:r w:rsidRPr="00C61127">
        <w:rPr>
          <w:lang w:val="fr-FR"/>
        </w:rPr>
        <w:t xml:space="preserve"> (Paris: Economica, 2004).</w:t>
      </w:r>
    </w:p>
    <w:p w14:paraId="07E46627" w14:textId="77777777" w:rsidR="0048510E" w:rsidRDefault="0048510E" w:rsidP="0048510E">
      <w:r>
        <w:t>Occleshaw,</w:t>
      </w:r>
      <w:r w:rsidR="00D06D0C">
        <w:t xml:space="preserve"> M., </w:t>
      </w:r>
      <w:r>
        <w:rPr>
          <w:i/>
          <w:iCs/>
        </w:rPr>
        <w:t>Armour against fate</w:t>
      </w:r>
      <w:r w:rsidR="00121726">
        <w:rPr>
          <w:i/>
          <w:iCs/>
        </w:rPr>
        <w:t>: British military intelligence in the First World War</w:t>
      </w:r>
      <w:r>
        <w:t xml:space="preserve"> (London, 1989).</w:t>
      </w:r>
    </w:p>
    <w:p w14:paraId="602F991E" w14:textId="77777777" w:rsidR="0048510E" w:rsidRPr="00121726" w:rsidRDefault="0048510E" w:rsidP="0048510E">
      <w:pPr>
        <w:rPr>
          <w:lang w:val="fr-FR"/>
        </w:rPr>
      </w:pPr>
      <w:r w:rsidRPr="00121726">
        <w:rPr>
          <w:lang w:val="fr-FR"/>
        </w:rPr>
        <w:t>Offenstadt,</w:t>
      </w:r>
      <w:r w:rsidR="00D06D0C" w:rsidRPr="00121726">
        <w:rPr>
          <w:lang w:val="fr-FR"/>
        </w:rPr>
        <w:t xml:space="preserve"> N.,</w:t>
      </w:r>
      <w:r w:rsidRPr="00121726">
        <w:rPr>
          <w:lang w:val="fr-FR"/>
        </w:rPr>
        <w:t xml:space="preserve"> </w:t>
      </w:r>
      <w:r w:rsidRPr="00121726">
        <w:rPr>
          <w:i/>
          <w:iCs/>
          <w:lang w:val="fr-FR"/>
        </w:rPr>
        <w:t>14-18 aujourd'hui</w:t>
      </w:r>
      <w:r w:rsidR="00121726" w:rsidRPr="00121726">
        <w:rPr>
          <w:i/>
          <w:iCs/>
          <w:lang w:val="fr-FR"/>
        </w:rPr>
        <w:t>: la Grande Guerre dans la France contemporaine</w:t>
      </w:r>
      <w:r w:rsidR="00121726" w:rsidRPr="00121726">
        <w:rPr>
          <w:lang w:val="fr-FR"/>
        </w:rPr>
        <w:t xml:space="preserve"> </w:t>
      </w:r>
      <w:r w:rsidRPr="00121726">
        <w:rPr>
          <w:lang w:val="fr-FR"/>
        </w:rPr>
        <w:t>(Paris, 2010).</w:t>
      </w:r>
    </w:p>
    <w:p w14:paraId="1D120185" w14:textId="77777777" w:rsidR="0048510E" w:rsidRDefault="0048510E" w:rsidP="00121726">
      <w:pPr>
        <w:rPr>
          <w:lang w:val="de-DE"/>
        </w:rPr>
      </w:pPr>
      <w:r w:rsidRPr="00D06D0C">
        <w:rPr>
          <w:lang w:val="de-DE"/>
        </w:rPr>
        <w:t>Ohandjanian,</w:t>
      </w:r>
      <w:r w:rsidR="00D06D0C" w:rsidRPr="00D06D0C">
        <w:rPr>
          <w:lang w:val="de-DE"/>
        </w:rPr>
        <w:t xml:space="preserve"> A.,</w:t>
      </w:r>
      <w:r w:rsidRPr="00D06D0C">
        <w:rPr>
          <w:lang w:val="de-DE"/>
        </w:rPr>
        <w:t xml:space="preserve"> </w:t>
      </w:r>
      <w:r w:rsidR="00121726" w:rsidRPr="00121726">
        <w:rPr>
          <w:i/>
          <w:iCs/>
          <w:lang w:val="de-DE"/>
        </w:rPr>
        <w:t>Armenien: d</w:t>
      </w:r>
      <w:r w:rsidRPr="00121726">
        <w:rPr>
          <w:i/>
          <w:iCs/>
          <w:lang w:val="de-DE"/>
        </w:rPr>
        <w:t xml:space="preserve">er </w:t>
      </w:r>
      <w:r w:rsidRPr="00D06D0C">
        <w:rPr>
          <w:i/>
          <w:iCs/>
          <w:lang w:val="de-DE"/>
        </w:rPr>
        <w:t>verschwiegene Völkermord</w:t>
      </w:r>
      <w:r w:rsidRPr="00D06D0C">
        <w:rPr>
          <w:lang w:val="de-DE"/>
        </w:rPr>
        <w:t xml:space="preserve"> (Köln, 1989).</w:t>
      </w:r>
    </w:p>
    <w:p w14:paraId="56D11B30" w14:textId="77777777" w:rsidR="00BC11B2" w:rsidRPr="00BC11B2" w:rsidRDefault="00BC11B2" w:rsidP="00121726">
      <w:pPr>
        <w:rPr>
          <w:lang w:val="fr-FR"/>
        </w:rPr>
      </w:pPr>
      <w:r w:rsidRPr="004E2BEC">
        <w:rPr>
          <w:lang w:val="fr-FR"/>
        </w:rPr>
        <w:t>Paxton,</w:t>
      </w:r>
      <w:r>
        <w:rPr>
          <w:lang w:val="fr-FR"/>
        </w:rPr>
        <w:t xml:space="preserve"> R., </w:t>
      </w:r>
      <w:r w:rsidRPr="004E2BEC">
        <w:rPr>
          <w:lang w:val="fr-FR"/>
        </w:rPr>
        <w:t xml:space="preserve"> </w:t>
      </w:r>
      <w:r w:rsidRPr="004E2BEC">
        <w:rPr>
          <w:i/>
          <w:iCs/>
          <w:lang w:val="fr-FR"/>
        </w:rPr>
        <w:t>La France de Vichy: 1940-1944</w:t>
      </w:r>
      <w:r w:rsidRPr="004E2BEC">
        <w:rPr>
          <w:lang w:val="fr-FR"/>
        </w:rPr>
        <w:t xml:space="preserve"> (Paris, 1973).</w:t>
      </w:r>
    </w:p>
    <w:p w14:paraId="2F0CF268" w14:textId="77777777" w:rsidR="0048510E" w:rsidRPr="00D06D0C" w:rsidRDefault="0048510E" w:rsidP="0048510E">
      <w:pPr>
        <w:rPr>
          <w:lang w:val="fr-FR"/>
        </w:rPr>
      </w:pPr>
      <w:r w:rsidRPr="00D06D0C">
        <w:rPr>
          <w:lang w:val="fr-FR"/>
        </w:rPr>
        <w:t>Pénet,</w:t>
      </w:r>
      <w:r w:rsidR="00D06D0C" w:rsidRPr="00D06D0C">
        <w:rPr>
          <w:lang w:val="fr-FR"/>
        </w:rPr>
        <w:t xml:space="preserve"> M.</w:t>
      </w:r>
      <w:r w:rsidR="00D06D0C">
        <w:rPr>
          <w:lang w:val="fr-FR"/>
        </w:rPr>
        <w:t>,</w:t>
      </w:r>
      <w:r w:rsidRPr="00D06D0C">
        <w:rPr>
          <w:lang w:val="fr-FR"/>
        </w:rPr>
        <w:t xml:space="preserve"> </w:t>
      </w:r>
      <w:r w:rsidRPr="00D06D0C">
        <w:rPr>
          <w:i/>
          <w:iCs/>
          <w:lang w:val="fr-FR"/>
        </w:rPr>
        <w:t>Mémoire de la chanson</w:t>
      </w:r>
      <w:r w:rsidR="00121726">
        <w:rPr>
          <w:i/>
          <w:iCs/>
          <w:lang w:val="fr-FR"/>
        </w:rPr>
        <w:t>: 1200 chansons du moyen-âge à 1919</w:t>
      </w:r>
      <w:r w:rsidRPr="00D06D0C">
        <w:rPr>
          <w:lang w:val="fr-FR"/>
        </w:rPr>
        <w:t xml:space="preserve"> (Paris, 2004).</w:t>
      </w:r>
    </w:p>
    <w:p w14:paraId="1EBC3DD3" w14:textId="77777777" w:rsidR="0048510E" w:rsidRDefault="0048510E" w:rsidP="0048510E">
      <w:r>
        <w:t>Philippe,</w:t>
      </w:r>
      <w:r w:rsidR="00D06D0C">
        <w:t xml:space="preserve"> R.,</w:t>
      </w:r>
      <w:r>
        <w:t xml:space="preserve"> </w:t>
      </w:r>
      <w:r>
        <w:rPr>
          <w:i/>
          <w:iCs/>
        </w:rPr>
        <w:t>Political graphics: art as a weapon</w:t>
      </w:r>
      <w:r>
        <w:t xml:space="preserve"> (Oxford, 1980).</w:t>
      </w:r>
    </w:p>
    <w:p w14:paraId="369C8A6A" w14:textId="553EAF06" w:rsidR="0048510E" w:rsidRDefault="0048510E" w:rsidP="005F36EF">
      <w:r>
        <w:t>Pieters,</w:t>
      </w:r>
      <w:r w:rsidR="00D06D0C">
        <w:t xml:space="preserve"> W.,</w:t>
      </w:r>
      <w:r>
        <w:t xml:space="preserve"> </w:t>
      </w:r>
      <w:r>
        <w:rPr>
          <w:i/>
          <w:iCs/>
        </w:rPr>
        <w:t>The Belgian air service in the First World War</w:t>
      </w:r>
      <w:r>
        <w:t xml:space="preserve"> (</w:t>
      </w:r>
      <w:r w:rsidR="005F36EF">
        <w:t>Indio</w:t>
      </w:r>
      <w:r>
        <w:t>, 2010).</w:t>
      </w:r>
    </w:p>
    <w:p w14:paraId="2E76D847" w14:textId="77777777" w:rsidR="0048510E" w:rsidRPr="00C61127" w:rsidRDefault="0048510E" w:rsidP="0048510E">
      <w:pPr>
        <w:rPr>
          <w:lang w:val="fr-FR"/>
        </w:rPr>
      </w:pPr>
      <w:r w:rsidRPr="00C61127">
        <w:rPr>
          <w:lang w:val="fr-FR"/>
        </w:rPr>
        <w:t>Pirenne,</w:t>
      </w:r>
      <w:r w:rsidR="00D06D0C">
        <w:rPr>
          <w:lang w:val="fr-FR"/>
        </w:rPr>
        <w:t xml:space="preserve"> H.,</w:t>
      </w:r>
      <w:r w:rsidRPr="00C61127">
        <w:rPr>
          <w:lang w:val="fr-FR"/>
        </w:rPr>
        <w:t xml:space="preserve"> </w:t>
      </w:r>
      <w:r w:rsidRPr="00C61127">
        <w:rPr>
          <w:i/>
          <w:iCs/>
          <w:lang w:val="fr-FR"/>
        </w:rPr>
        <w:t>La Belgique et la Guerre mondiale</w:t>
      </w:r>
      <w:r w:rsidRPr="00C61127">
        <w:rPr>
          <w:lang w:val="fr-FR"/>
        </w:rPr>
        <w:t xml:space="preserve"> (Paris, 1928).</w:t>
      </w:r>
    </w:p>
    <w:p w14:paraId="2053F87B" w14:textId="77777777" w:rsidR="0048510E" w:rsidRPr="00C61127" w:rsidRDefault="0048510E" w:rsidP="0048510E">
      <w:pPr>
        <w:rPr>
          <w:lang w:val="fr-FR"/>
        </w:rPr>
      </w:pPr>
      <w:r w:rsidRPr="00C61127">
        <w:rPr>
          <w:lang w:val="fr-FR"/>
        </w:rPr>
        <w:t>Pliant,</w:t>
      </w:r>
      <w:r w:rsidR="00D06D0C">
        <w:rPr>
          <w:lang w:val="fr-FR"/>
        </w:rPr>
        <w:t xml:space="preserve"> P.,</w:t>
      </w:r>
      <w:r w:rsidRPr="00C61127">
        <w:rPr>
          <w:lang w:val="fr-FR"/>
        </w:rPr>
        <w:t xml:space="preserve"> </w:t>
      </w:r>
      <w:r w:rsidRPr="00C61127">
        <w:rPr>
          <w:i/>
          <w:iCs/>
          <w:lang w:val="fr-FR"/>
        </w:rPr>
        <w:t>Le journal, arme de guerre de l'Allemagne: la Gazette des Ardennes</w:t>
      </w:r>
      <w:r w:rsidRPr="00C61127">
        <w:rPr>
          <w:lang w:val="fr-FR"/>
        </w:rPr>
        <w:t xml:space="preserve"> (Paris, 1922).</w:t>
      </w:r>
    </w:p>
    <w:p w14:paraId="5070549C" w14:textId="77777777" w:rsidR="0048510E" w:rsidRDefault="0048510E" w:rsidP="0048510E">
      <w:r>
        <w:t>Ponsonby,</w:t>
      </w:r>
      <w:r w:rsidR="00D06D0C">
        <w:t xml:space="preserve"> A.,</w:t>
      </w:r>
      <w:r>
        <w:t xml:space="preserve"> </w:t>
      </w:r>
      <w:r>
        <w:rPr>
          <w:i/>
          <w:iCs/>
        </w:rPr>
        <w:t>Falsehood in wartime</w:t>
      </w:r>
      <w:r w:rsidR="00B3502D">
        <w:rPr>
          <w:i/>
          <w:iCs/>
        </w:rPr>
        <w:t>: containing an assortment of lies circulated throughout the nations during the Great War</w:t>
      </w:r>
      <w:r>
        <w:t xml:space="preserve"> (London, 1928).</w:t>
      </w:r>
    </w:p>
    <w:p w14:paraId="006ABAEB" w14:textId="77777777" w:rsidR="0048510E" w:rsidRDefault="0048510E" w:rsidP="0048510E">
      <w:r>
        <w:t>Porch,</w:t>
      </w:r>
      <w:r w:rsidR="00D06D0C">
        <w:t xml:space="preserve"> D.,</w:t>
      </w:r>
      <w:r>
        <w:t xml:space="preserve"> </w:t>
      </w:r>
      <w:r>
        <w:rPr>
          <w:i/>
          <w:iCs/>
        </w:rPr>
        <w:t>The French secret service</w:t>
      </w:r>
      <w:r w:rsidR="00B3502D">
        <w:rPr>
          <w:i/>
          <w:iCs/>
        </w:rPr>
        <w:t>: a history of French intelligence from the Dreyfus affair to the Gulf War</w:t>
      </w:r>
      <w:r>
        <w:t xml:space="preserve"> (London, 1996).</w:t>
      </w:r>
    </w:p>
    <w:p w14:paraId="19917F79" w14:textId="77777777" w:rsidR="0048510E" w:rsidRDefault="0048510E" w:rsidP="0048510E">
      <w:r>
        <w:t>Proctor,</w:t>
      </w:r>
      <w:r w:rsidR="00D06D0C">
        <w:t xml:space="preserve"> T.,</w:t>
      </w:r>
      <w:r>
        <w:t xml:space="preserve"> </w:t>
      </w:r>
      <w:r>
        <w:rPr>
          <w:i/>
          <w:iCs/>
        </w:rPr>
        <w:t>Civilians in a world at war, 1914-1918</w:t>
      </w:r>
      <w:r>
        <w:t xml:space="preserve"> (New York, 2010).</w:t>
      </w:r>
    </w:p>
    <w:p w14:paraId="7DD3FDFA" w14:textId="77777777" w:rsidR="0048510E" w:rsidRDefault="0048510E" w:rsidP="0048510E">
      <w:r>
        <w:t xml:space="preserve">———, </w:t>
      </w:r>
      <w:r>
        <w:rPr>
          <w:i/>
          <w:iCs/>
        </w:rPr>
        <w:t>Female intelligence: women and espionage in the First World War</w:t>
      </w:r>
      <w:r>
        <w:t xml:space="preserve"> (New York, 2003).</w:t>
      </w:r>
    </w:p>
    <w:p w14:paraId="7455B059" w14:textId="77777777" w:rsidR="008B03BA" w:rsidRDefault="008B03BA" w:rsidP="008B03BA">
      <w:r>
        <w:t xml:space="preserve">Prost, A., and J. Winter, </w:t>
      </w:r>
      <w:r>
        <w:rPr>
          <w:i/>
          <w:iCs/>
        </w:rPr>
        <w:t>The Great War in History: debates and controversies, 1914 to present</w:t>
      </w:r>
      <w:r>
        <w:t xml:space="preserve"> (Cambridge, 2005).</w:t>
      </w:r>
    </w:p>
    <w:p w14:paraId="48C34DED" w14:textId="77777777" w:rsidR="0048510E" w:rsidRDefault="0048510E" w:rsidP="0048510E">
      <w:r>
        <w:t>Qualter,</w:t>
      </w:r>
      <w:r w:rsidR="00D06D0C">
        <w:t xml:space="preserve"> T.,</w:t>
      </w:r>
      <w:r>
        <w:t xml:space="preserve"> </w:t>
      </w:r>
      <w:r>
        <w:rPr>
          <w:i/>
          <w:iCs/>
        </w:rPr>
        <w:t>Propaganda and psychological warfare</w:t>
      </w:r>
      <w:r>
        <w:t xml:space="preserve"> (New York, 1962).</w:t>
      </w:r>
    </w:p>
    <w:p w14:paraId="07916720" w14:textId="77777777" w:rsidR="0048510E" w:rsidRDefault="0048510E" w:rsidP="0048510E">
      <w:r>
        <w:t>Reeves,</w:t>
      </w:r>
      <w:r w:rsidR="00D06D0C">
        <w:t xml:space="preserve"> N.,</w:t>
      </w:r>
      <w:r>
        <w:t xml:space="preserve"> </w:t>
      </w:r>
      <w:r>
        <w:rPr>
          <w:i/>
          <w:iCs/>
        </w:rPr>
        <w:t>Official British film propaganda during the First World War</w:t>
      </w:r>
      <w:r>
        <w:t xml:space="preserve"> (Great Britain, 1986).</w:t>
      </w:r>
    </w:p>
    <w:p w14:paraId="702DEAEC" w14:textId="77777777" w:rsidR="0048510E" w:rsidRPr="00C61127" w:rsidRDefault="0048510E" w:rsidP="0048510E">
      <w:pPr>
        <w:rPr>
          <w:lang w:val="fr-FR"/>
        </w:rPr>
      </w:pPr>
      <w:r w:rsidRPr="00C61127">
        <w:rPr>
          <w:lang w:val="fr-FR"/>
        </w:rPr>
        <w:t>Roth,</w:t>
      </w:r>
      <w:r w:rsidR="00D06D0C">
        <w:rPr>
          <w:lang w:val="fr-FR"/>
        </w:rPr>
        <w:t xml:space="preserve"> F.,</w:t>
      </w:r>
      <w:r w:rsidRPr="00C61127">
        <w:rPr>
          <w:lang w:val="fr-FR"/>
        </w:rPr>
        <w:t xml:space="preserve"> </w:t>
      </w:r>
      <w:r w:rsidRPr="00C61127">
        <w:rPr>
          <w:i/>
          <w:iCs/>
          <w:lang w:val="fr-FR"/>
        </w:rPr>
        <w:t>Alsace-Lorraine: histoire d'un "pays perdu", de 1870 à nos jours</w:t>
      </w:r>
      <w:r w:rsidRPr="00C61127">
        <w:rPr>
          <w:lang w:val="fr-FR"/>
        </w:rPr>
        <w:t xml:space="preserve"> (Metz, 2010).</w:t>
      </w:r>
    </w:p>
    <w:p w14:paraId="2C9A57B2" w14:textId="77777777" w:rsidR="0048510E" w:rsidRDefault="0048510E" w:rsidP="0048510E">
      <w:pPr>
        <w:rPr>
          <w:lang w:val="fr-FR"/>
        </w:rPr>
      </w:pPr>
      <w:r w:rsidRPr="00C61127">
        <w:rPr>
          <w:lang w:val="fr-FR"/>
        </w:rPr>
        <w:t xml:space="preserve">———, </w:t>
      </w:r>
      <w:r w:rsidRPr="00C61127">
        <w:rPr>
          <w:i/>
          <w:iCs/>
          <w:lang w:val="fr-FR"/>
        </w:rPr>
        <w:t>Histoire contemporaine de la Lorraine</w:t>
      </w:r>
      <w:r w:rsidRPr="00C61127">
        <w:rPr>
          <w:lang w:val="fr-FR"/>
        </w:rPr>
        <w:t xml:space="preserve"> (Metz, 1994).</w:t>
      </w:r>
    </w:p>
    <w:p w14:paraId="38231A29" w14:textId="77777777" w:rsidR="0048510E" w:rsidRDefault="0048510E" w:rsidP="00D06D0C">
      <w:r w:rsidRPr="00D06D0C">
        <w:t>Sanders,</w:t>
      </w:r>
      <w:r w:rsidR="00D06D0C" w:rsidRPr="00D06D0C">
        <w:t xml:space="preserve"> M.</w:t>
      </w:r>
      <w:r w:rsidR="00D06D0C">
        <w:t>,</w:t>
      </w:r>
      <w:r w:rsidRPr="00D06D0C">
        <w:t xml:space="preserve"> and </w:t>
      </w:r>
      <w:r w:rsidR="00D06D0C">
        <w:t>P.</w:t>
      </w:r>
      <w:r w:rsidRPr="00D06D0C">
        <w:t xml:space="preserve"> Taylor, </w:t>
      </w:r>
      <w:r w:rsidRPr="00D06D0C">
        <w:rPr>
          <w:i/>
          <w:iCs/>
        </w:rPr>
        <w:t>British propaganda during the Fi</w:t>
      </w:r>
      <w:r>
        <w:rPr>
          <w:i/>
          <w:iCs/>
        </w:rPr>
        <w:t>rst World War</w:t>
      </w:r>
      <w:r>
        <w:t xml:space="preserve"> (London, 1982).</w:t>
      </w:r>
    </w:p>
    <w:p w14:paraId="35AF7036" w14:textId="77777777" w:rsidR="0048510E" w:rsidRDefault="0048510E" w:rsidP="0048510E">
      <w:r>
        <w:t>Sheffield,</w:t>
      </w:r>
      <w:r w:rsidR="00D06D0C">
        <w:t xml:space="preserve"> G.,</w:t>
      </w:r>
      <w:r>
        <w:t xml:space="preserve"> </w:t>
      </w:r>
      <w:r>
        <w:rPr>
          <w:i/>
          <w:iCs/>
        </w:rPr>
        <w:t>Forgotten victory</w:t>
      </w:r>
      <w:r w:rsidR="00B3502D">
        <w:rPr>
          <w:i/>
          <w:iCs/>
        </w:rPr>
        <w:t>: the First World War, myths and realities</w:t>
      </w:r>
      <w:r>
        <w:t xml:space="preserve"> (London, 2002).</w:t>
      </w:r>
    </w:p>
    <w:p w14:paraId="26708EE0" w14:textId="77777777" w:rsidR="0048510E" w:rsidRDefault="0048510E" w:rsidP="0048510E">
      <w:r>
        <w:t>Smith,</w:t>
      </w:r>
      <w:r w:rsidR="00D06D0C">
        <w:t xml:space="preserve"> L.,</w:t>
      </w:r>
      <w:r>
        <w:t xml:space="preserve"> </w:t>
      </w:r>
      <w:r>
        <w:rPr>
          <w:i/>
          <w:iCs/>
        </w:rPr>
        <w:t>Between mutiny and obedience</w:t>
      </w:r>
      <w:r w:rsidR="00B3502D">
        <w:rPr>
          <w:i/>
          <w:iCs/>
        </w:rPr>
        <w:t>: the case of the fifth infantry division during World War I</w:t>
      </w:r>
      <w:r>
        <w:t xml:space="preserve"> (Princeton, 2004).</w:t>
      </w:r>
    </w:p>
    <w:p w14:paraId="4725F740" w14:textId="77777777" w:rsidR="0048510E" w:rsidRDefault="0048510E" w:rsidP="0048510E">
      <w:r>
        <w:t>Spaight,</w:t>
      </w:r>
      <w:r w:rsidR="00D06D0C">
        <w:t xml:space="preserve"> J.,</w:t>
      </w:r>
      <w:r>
        <w:t xml:space="preserve"> </w:t>
      </w:r>
      <w:r>
        <w:rPr>
          <w:i/>
          <w:iCs/>
        </w:rPr>
        <w:t>Air power and war rights</w:t>
      </w:r>
      <w:r>
        <w:t xml:space="preserve"> (London, 1924).</w:t>
      </w:r>
    </w:p>
    <w:p w14:paraId="168B1DDB" w14:textId="77777777" w:rsidR="0048510E" w:rsidRDefault="0048510E" w:rsidP="0048510E">
      <w:r>
        <w:t>Stevenson,</w:t>
      </w:r>
      <w:r w:rsidR="00D06D0C">
        <w:t xml:space="preserve"> D.,</w:t>
      </w:r>
      <w:r>
        <w:t xml:space="preserve"> </w:t>
      </w:r>
      <w:r>
        <w:rPr>
          <w:i/>
          <w:iCs/>
        </w:rPr>
        <w:t>French war aims against Germany</w:t>
      </w:r>
      <w:r>
        <w:t xml:space="preserve"> (Oxford, 1986).</w:t>
      </w:r>
    </w:p>
    <w:p w14:paraId="72051899" w14:textId="77777777" w:rsidR="0048510E" w:rsidRDefault="0048510E" w:rsidP="0048510E">
      <w:r>
        <w:t xml:space="preserve">———, </w:t>
      </w:r>
      <w:r>
        <w:rPr>
          <w:i/>
          <w:iCs/>
        </w:rPr>
        <w:t>With our back to the wall</w:t>
      </w:r>
      <w:r w:rsidR="00B3502D">
        <w:rPr>
          <w:i/>
          <w:iCs/>
        </w:rPr>
        <w:t>: victory and defeat in 1918</w:t>
      </w:r>
      <w:r>
        <w:t xml:space="preserve"> (Cambridge, 2011).</w:t>
      </w:r>
    </w:p>
    <w:p w14:paraId="488D8EB5" w14:textId="77777777" w:rsidR="0048510E" w:rsidRDefault="0048510E" w:rsidP="0048510E">
      <w:r>
        <w:t>Stibbe,</w:t>
      </w:r>
      <w:r w:rsidR="00D06D0C">
        <w:t xml:space="preserve"> M.,</w:t>
      </w:r>
      <w:r>
        <w:t xml:space="preserve"> </w:t>
      </w:r>
      <w:r>
        <w:rPr>
          <w:i/>
          <w:iCs/>
        </w:rPr>
        <w:t>German Anglophobia and the Great War, 1914-1918</w:t>
      </w:r>
      <w:r>
        <w:t xml:space="preserve"> (Cambridge, 2001).</w:t>
      </w:r>
    </w:p>
    <w:p w14:paraId="79A88998" w14:textId="77777777" w:rsidR="00BC11B2" w:rsidRPr="00BC11B2" w:rsidRDefault="00BC11B2" w:rsidP="0048510E">
      <w:pPr>
        <w:rPr>
          <w:lang w:val="fr-FR"/>
        </w:rPr>
      </w:pPr>
      <w:r w:rsidRPr="004E2BEC">
        <w:rPr>
          <w:lang w:val="fr-FR"/>
        </w:rPr>
        <w:t>Sweets,</w:t>
      </w:r>
      <w:r>
        <w:rPr>
          <w:lang w:val="fr-FR"/>
        </w:rPr>
        <w:t xml:space="preserve"> J.,</w:t>
      </w:r>
      <w:r w:rsidRPr="004E2BEC">
        <w:rPr>
          <w:lang w:val="fr-FR"/>
        </w:rPr>
        <w:t xml:space="preserve"> </w:t>
      </w:r>
      <w:r w:rsidRPr="004E2BEC">
        <w:rPr>
          <w:i/>
          <w:iCs/>
          <w:lang w:val="fr-FR"/>
        </w:rPr>
        <w:t>Clermont-Ferrant à l'heure allemande</w:t>
      </w:r>
      <w:r w:rsidRPr="004E2BEC">
        <w:rPr>
          <w:lang w:val="fr-FR"/>
        </w:rPr>
        <w:t xml:space="preserve"> (Paris, 1996).</w:t>
      </w:r>
    </w:p>
    <w:p w14:paraId="51B3963C" w14:textId="77777777" w:rsidR="0048510E" w:rsidRDefault="0048510E" w:rsidP="0048510E">
      <w:r>
        <w:t>Taylor,</w:t>
      </w:r>
      <w:r w:rsidR="00D06D0C">
        <w:t xml:space="preserve"> P.,</w:t>
      </w:r>
      <w:r>
        <w:t xml:space="preserve"> </w:t>
      </w:r>
      <w:r>
        <w:rPr>
          <w:i/>
          <w:iCs/>
        </w:rPr>
        <w:t>Munitions of the mi</w:t>
      </w:r>
      <w:r w:rsidR="00D06D0C">
        <w:rPr>
          <w:i/>
          <w:iCs/>
        </w:rPr>
        <w:t>nd</w:t>
      </w:r>
      <w:r>
        <w:rPr>
          <w:i/>
          <w:iCs/>
        </w:rPr>
        <w:t>: a history of propaganda from the ancient world to the present era</w:t>
      </w:r>
      <w:r>
        <w:t xml:space="preserve"> (Manchester, 1995).</w:t>
      </w:r>
    </w:p>
    <w:p w14:paraId="71976C1D" w14:textId="77777777" w:rsidR="0048510E" w:rsidRDefault="0048510E" w:rsidP="0048510E">
      <w:r>
        <w:t>Toland,</w:t>
      </w:r>
      <w:r w:rsidR="00D06D0C">
        <w:t xml:space="preserve"> J.,</w:t>
      </w:r>
      <w:r>
        <w:t xml:space="preserve"> </w:t>
      </w:r>
      <w:r>
        <w:rPr>
          <w:i/>
          <w:iCs/>
        </w:rPr>
        <w:t>No man's land</w:t>
      </w:r>
      <w:r w:rsidR="00B3502D">
        <w:rPr>
          <w:i/>
          <w:iCs/>
        </w:rPr>
        <w:t>: the story of 1918</w:t>
      </w:r>
      <w:r>
        <w:t xml:space="preserve"> (London, 1982).</w:t>
      </w:r>
    </w:p>
    <w:p w14:paraId="591B7916" w14:textId="77777777" w:rsidR="0048510E" w:rsidRPr="00C61127" w:rsidRDefault="0048510E" w:rsidP="0048510E">
      <w:pPr>
        <w:rPr>
          <w:lang w:val="fr-FR"/>
        </w:rPr>
      </w:pPr>
      <w:r w:rsidRPr="00C61127">
        <w:rPr>
          <w:lang w:val="fr-FR"/>
        </w:rPr>
        <w:t>Tulard,</w:t>
      </w:r>
      <w:r w:rsidR="00D06D0C">
        <w:rPr>
          <w:lang w:val="fr-FR"/>
        </w:rPr>
        <w:t xml:space="preserve"> J.,</w:t>
      </w:r>
      <w:r w:rsidRPr="00C61127">
        <w:rPr>
          <w:lang w:val="fr-FR"/>
        </w:rPr>
        <w:t xml:space="preserve"> </w:t>
      </w:r>
      <w:r w:rsidRPr="00C61127">
        <w:rPr>
          <w:i/>
          <w:iCs/>
          <w:lang w:val="fr-FR"/>
        </w:rPr>
        <w:t>Dictionnaire Napoléon</w:t>
      </w:r>
      <w:r w:rsidRPr="00C61127">
        <w:rPr>
          <w:lang w:val="fr-FR"/>
        </w:rPr>
        <w:t xml:space="preserve"> (Paris, 1999).</w:t>
      </w:r>
    </w:p>
    <w:p w14:paraId="0E013835" w14:textId="77777777" w:rsidR="0048510E" w:rsidRPr="00C61127" w:rsidRDefault="0048510E" w:rsidP="0048510E">
      <w:pPr>
        <w:rPr>
          <w:lang w:val="fr-FR"/>
        </w:rPr>
      </w:pPr>
      <w:r w:rsidRPr="00C61127">
        <w:rPr>
          <w:lang w:val="fr-FR"/>
        </w:rPr>
        <w:t>Turbergue,</w:t>
      </w:r>
      <w:r w:rsidR="00D06D0C">
        <w:rPr>
          <w:lang w:val="fr-FR"/>
        </w:rPr>
        <w:t xml:space="preserve"> J-P.,</w:t>
      </w:r>
      <w:r w:rsidRPr="00C61127">
        <w:rPr>
          <w:lang w:val="fr-FR"/>
        </w:rPr>
        <w:t xml:space="preserve"> </w:t>
      </w:r>
      <w:r w:rsidRPr="00C61127">
        <w:rPr>
          <w:i/>
          <w:iCs/>
          <w:lang w:val="fr-FR"/>
        </w:rPr>
        <w:t>Les 300 jours de Verdun</w:t>
      </w:r>
      <w:r w:rsidRPr="00C61127">
        <w:rPr>
          <w:lang w:val="fr-FR"/>
        </w:rPr>
        <w:t xml:space="preserve"> (Paris, 2006).</w:t>
      </w:r>
    </w:p>
    <w:p w14:paraId="5FD5FC5A" w14:textId="77777777" w:rsidR="0048510E" w:rsidRPr="00E33192" w:rsidRDefault="0048510E" w:rsidP="0048510E">
      <w:r w:rsidRPr="00E33192">
        <w:t>Vahakn,</w:t>
      </w:r>
      <w:r w:rsidR="00D06D0C" w:rsidRPr="00E33192">
        <w:t xml:space="preserve"> D.,</w:t>
      </w:r>
      <w:r w:rsidRPr="00E33192">
        <w:t xml:space="preserve"> </w:t>
      </w:r>
      <w:r w:rsidRPr="00E33192">
        <w:rPr>
          <w:i/>
          <w:iCs/>
        </w:rPr>
        <w:t xml:space="preserve">German </w:t>
      </w:r>
      <w:r w:rsidR="00B3502D" w:rsidRPr="00E33192">
        <w:rPr>
          <w:i/>
          <w:iCs/>
        </w:rPr>
        <w:t>responsibility</w:t>
      </w:r>
      <w:r w:rsidRPr="00E33192">
        <w:rPr>
          <w:i/>
          <w:iCs/>
        </w:rPr>
        <w:t xml:space="preserve"> in the Armenian </w:t>
      </w:r>
      <w:r w:rsidR="00B3502D" w:rsidRPr="00E33192">
        <w:rPr>
          <w:i/>
          <w:iCs/>
        </w:rPr>
        <w:t>genocide</w:t>
      </w:r>
      <w:r w:rsidR="00B3502D">
        <w:rPr>
          <w:i/>
          <w:iCs/>
        </w:rPr>
        <w:t>: a review of the historical evidence of German complicity</w:t>
      </w:r>
      <w:r w:rsidRPr="00E33192">
        <w:t xml:space="preserve"> (Cambridge, 1996).</w:t>
      </w:r>
    </w:p>
    <w:p w14:paraId="2F3F0441" w14:textId="77777777" w:rsidR="0048510E" w:rsidRDefault="0048510E" w:rsidP="0048510E">
      <w:r w:rsidRPr="00E33192">
        <w:t xml:space="preserve">———, </w:t>
      </w:r>
      <w:r w:rsidRPr="00E33192">
        <w:rPr>
          <w:i/>
          <w:iCs/>
        </w:rPr>
        <w:t>The history of the Armenian genocide</w:t>
      </w:r>
      <w:r w:rsidR="00B3502D">
        <w:rPr>
          <w:i/>
          <w:iCs/>
        </w:rPr>
        <w:t>: ethnic conflict from the Balkans to Anatolia to the Caucasus</w:t>
      </w:r>
      <w:r w:rsidRPr="00E33192">
        <w:t xml:space="preserve"> </w:t>
      </w:r>
      <w:r>
        <w:t>(Providence, 1995).</w:t>
      </w:r>
    </w:p>
    <w:p w14:paraId="1F92F93F" w14:textId="77777777" w:rsidR="0048510E" w:rsidRDefault="0048510E" w:rsidP="0048510E">
      <w:pPr>
        <w:rPr>
          <w:lang w:val="fr-FR"/>
        </w:rPr>
      </w:pPr>
      <w:r w:rsidRPr="00C61127">
        <w:rPr>
          <w:lang w:val="fr-FR"/>
        </w:rPr>
        <w:t>Van der Essen,</w:t>
      </w:r>
      <w:r w:rsidR="00D06D0C">
        <w:rPr>
          <w:lang w:val="fr-FR"/>
        </w:rPr>
        <w:t xml:space="preserve"> L.,</w:t>
      </w:r>
      <w:r w:rsidRPr="00C61127">
        <w:rPr>
          <w:lang w:val="fr-FR"/>
        </w:rPr>
        <w:t xml:space="preserve"> </w:t>
      </w:r>
      <w:r w:rsidRPr="00C61127">
        <w:rPr>
          <w:i/>
          <w:iCs/>
          <w:lang w:val="fr-FR"/>
        </w:rPr>
        <w:t>Petite histoire de l'occupation</w:t>
      </w:r>
      <w:r w:rsidRPr="00C61127">
        <w:rPr>
          <w:lang w:val="fr-FR"/>
        </w:rPr>
        <w:t xml:space="preserve"> (Paris, 1917).</w:t>
      </w:r>
    </w:p>
    <w:p w14:paraId="6470B23D" w14:textId="77777777" w:rsidR="0048510E" w:rsidRDefault="0048510E" w:rsidP="0048510E">
      <w:pPr>
        <w:rPr>
          <w:lang w:val="nl-NL"/>
        </w:rPr>
      </w:pPr>
      <w:r w:rsidRPr="00C61127">
        <w:rPr>
          <w:lang w:val="nl-NL"/>
        </w:rPr>
        <w:t xml:space="preserve">Vanden Bosch, </w:t>
      </w:r>
      <w:r w:rsidR="00D06D0C">
        <w:rPr>
          <w:lang w:val="nl-NL"/>
        </w:rPr>
        <w:t xml:space="preserve">H., </w:t>
      </w:r>
      <w:r w:rsidRPr="00C61127">
        <w:rPr>
          <w:i/>
          <w:iCs/>
          <w:lang w:val="nl-NL"/>
        </w:rPr>
        <w:t>Inventarissen van de archieven betreffende de Eerste Wereldoorlog verzameld door particulieren</w:t>
      </w:r>
      <w:r w:rsidRPr="00C61127">
        <w:rPr>
          <w:lang w:val="nl-NL"/>
        </w:rPr>
        <w:t xml:space="preserve"> (Brussels, 2013).</w:t>
      </w:r>
    </w:p>
    <w:p w14:paraId="5272AB85" w14:textId="77777777" w:rsidR="0048510E" w:rsidRPr="00C61127" w:rsidRDefault="0048510E" w:rsidP="0048510E">
      <w:pPr>
        <w:rPr>
          <w:lang w:val="fr-FR"/>
        </w:rPr>
      </w:pPr>
      <w:r w:rsidRPr="00C61127">
        <w:rPr>
          <w:lang w:val="fr-FR"/>
        </w:rPr>
        <w:t>Varandian,</w:t>
      </w:r>
      <w:r w:rsidR="00D06D0C">
        <w:rPr>
          <w:lang w:val="fr-FR"/>
        </w:rPr>
        <w:t xml:space="preserve"> M.,</w:t>
      </w:r>
      <w:r w:rsidRPr="00C61127">
        <w:rPr>
          <w:lang w:val="fr-FR"/>
        </w:rPr>
        <w:t xml:space="preserve"> </w:t>
      </w:r>
      <w:r w:rsidRPr="00C61127">
        <w:rPr>
          <w:i/>
          <w:iCs/>
          <w:lang w:val="fr-FR"/>
        </w:rPr>
        <w:t>L'Arménie et la question arménienne</w:t>
      </w:r>
      <w:r w:rsidRPr="00C61127">
        <w:rPr>
          <w:lang w:val="fr-FR"/>
        </w:rPr>
        <w:t xml:space="preserve"> (Laval, 1917).</w:t>
      </w:r>
    </w:p>
    <w:p w14:paraId="142AF399" w14:textId="77777777" w:rsidR="0048510E" w:rsidRDefault="0048510E" w:rsidP="0048510E">
      <w:r>
        <w:t>Varley,</w:t>
      </w:r>
      <w:r w:rsidR="00D06D0C">
        <w:t xml:space="preserve"> K.,</w:t>
      </w:r>
      <w:r>
        <w:t xml:space="preserve"> </w:t>
      </w:r>
      <w:r>
        <w:rPr>
          <w:i/>
          <w:iCs/>
        </w:rPr>
        <w:t>Under the shadow of defeat: the war of 1870-1871 in French memory</w:t>
      </w:r>
      <w:r>
        <w:t xml:space="preserve"> (Hampshire, 2009).</w:t>
      </w:r>
    </w:p>
    <w:p w14:paraId="4ECFE5BC" w14:textId="60CD6E71" w:rsidR="0048510E" w:rsidRDefault="0048510E" w:rsidP="005F36EF">
      <w:r>
        <w:t>Welch,</w:t>
      </w:r>
      <w:r w:rsidR="00D06D0C">
        <w:t xml:space="preserve"> D.</w:t>
      </w:r>
      <w:r>
        <w:t xml:space="preserve"> </w:t>
      </w:r>
      <w:r>
        <w:rPr>
          <w:i/>
          <w:iCs/>
        </w:rPr>
        <w:t>Germany, propaganda and total war, 1914-1918</w:t>
      </w:r>
      <w:r>
        <w:t xml:space="preserve"> (London, 2000).</w:t>
      </w:r>
    </w:p>
    <w:p w14:paraId="18AD3D22" w14:textId="77777777" w:rsidR="0048510E" w:rsidRDefault="0048510E" w:rsidP="0048510E">
      <w:r>
        <w:t>Winter,</w:t>
      </w:r>
      <w:r w:rsidR="00D06D0C">
        <w:t xml:space="preserve"> J.,</w:t>
      </w:r>
      <w:r>
        <w:t xml:space="preserve"> </w:t>
      </w:r>
      <w:r>
        <w:rPr>
          <w:i/>
          <w:iCs/>
        </w:rPr>
        <w:t>America and the Armenian genocide of 1915</w:t>
      </w:r>
      <w:r>
        <w:t>. ed. by J. Winter (Cambridge, 2003).</w:t>
      </w:r>
    </w:p>
    <w:p w14:paraId="5FA7C59B" w14:textId="197001D6" w:rsidR="0048510E" w:rsidRDefault="0048510E" w:rsidP="00675229">
      <w:r>
        <w:t xml:space="preserve">———, </w:t>
      </w:r>
      <w:r>
        <w:rPr>
          <w:i/>
          <w:iCs/>
        </w:rPr>
        <w:t>The legacy of the Great War: ninety years on</w:t>
      </w:r>
      <w:r>
        <w:t xml:space="preserve"> (</w:t>
      </w:r>
      <w:r w:rsidR="00675229">
        <w:t>Columbia</w:t>
      </w:r>
      <w:r>
        <w:t>, 2009).</w:t>
      </w:r>
    </w:p>
    <w:p w14:paraId="4254B781" w14:textId="79032464" w:rsidR="0048510E" w:rsidRDefault="0048510E" w:rsidP="00675229">
      <w:r>
        <w:t xml:space="preserve">———, </w:t>
      </w:r>
      <w:r>
        <w:rPr>
          <w:i/>
          <w:iCs/>
        </w:rPr>
        <w:t>Remembering war: the Great War between memory and history in the twentieth century</w:t>
      </w:r>
      <w:r>
        <w:t xml:space="preserve"> (</w:t>
      </w:r>
      <w:r w:rsidR="00675229">
        <w:t>New Haven</w:t>
      </w:r>
      <w:r>
        <w:t>, 2006).</w:t>
      </w:r>
    </w:p>
    <w:p w14:paraId="4710B4CB" w14:textId="77777777" w:rsidR="0048510E" w:rsidRDefault="0048510E" w:rsidP="00D06D0C">
      <w:pPr>
        <w:rPr>
          <w:lang w:val="fr-FR"/>
        </w:rPr>
      </w:pPr>
      <w:r w:rsidRPr="00C61127">
        <w:rPr>
          <w:lang w:val="fr-FR"/>
        </w:rPr>
        <w:t>Witte,</w:t>
      </w:r>
      <w:r w:rsidR="00D06D0C">
        <w:rPr>
          <w:lang w:val="fr-FR"/>
        </w:rPr>
        <w:t xml:space="preserve"> E.</w:t>
      </w:r>
      <w:r w:rsidRPr="00C61127">
        <w:rPr>
          <w:lang w:val="fr-FR"/>
        </w:rPr>
        <w:t xml:space="preserve"> and J</w:t>
      </w:r>
      <w:r w:rsidR="00D06D0C">
        <w:rPr>
          <w:lang w:val="fr-FR"/>
        </w:rPr>
        <w:t>.</w:t>
      </w:r>
      <w:r w:rsidRPr="00C61127">
        <w:rPr>
          <w:lang w:val="fr-FR"/>
        </w:rPr>
        <w:t xml:space="preserve"> Craeybeckx, </w:t>
      </w:r>
      <w:r w:rsidRPr="00C61127">
        <w:rPr>
          <w:i/>
          <w:iCs/>
          <w:lang w:val="fr-FR"/>
        </w:rPr>
        <w:t>La Belgique politique de 1830 à nos jours</w:t>
      </w:r>
      <w:r w:rsidRPr="00C61127">
        <w:rPr>
          <w:lang w:val="fr-FR"/>
        </w:rPr>
        <w:t xml:space="preserve"> (Brussels, 1987).</w:t>
      </w:r>
    </w:p>
    <w:p w14:paraId="66F49CEC" w14:textId="77777777" w:rsidR="0048510E" w:rsidRPr="00576A5F" w:rsidRDefault="0048510E" w:rsidP="0048510E">
      <w:pPr>
        <w:rPr>
          <w:lang w:val="fr-FR"/>
        </w:rPr>
      </w:pPr>
      <w:r w:rsidRPr="00C61127">
        <w:rPr>
          <w:lang w:val="fr-FR"/>
        </w:rPr>
        <w:t>Yvert,</w:t>
      </w:r>
      <w:r w:rsidR="00D06D0C">
        <w:rPr>
          <w:lang w:val="fr-FR"/>
        </w:rPr>
        <w:t xml:space="preserve"> B.,</w:t>
      </w:r>
      <w:r w:rsidRPr="00C61127">
        <w:rPr>
          <w:lang w:val="fr-FR"/>
        </w:rPr>
        <w:t xml:space="preserve"> </w:t>
      </w:r>
      <w:r w:rsidRPr="00C61127">
        <w:rPr>
          <w:i/>
          <w:iCs/>
          <w:lang w:val="fr-FR"/>
        </w:rPr>
        <w:t>Dictionnaire des ministres</w:t>
      </w:r>
      <w:r w:rsidR="000F00D5">
        <w:rPr>
          <w:i/>
          <w:iCs/>
          <w:lang w:val="fr-FR"/>
        </w:rPr>
        <w:t xml:space="preserve"> de 1789 à 1989</w:t>
      </w:r>
      <w:r w:rsidRPr="00C61127">
        <w:rPr>
          <w:lang w:val="fr-FR"/>
        </w:rPr>
        <w:t xml:space="preserve"> (Paris, 1990).</w:t>
      </w:r>
    </w:p>
    <w:p w14:paraId="5134E705" w14:textId="77777777" w:rsidR="0048510E" w:rsidRPr="00576A5F" w:rsidRDefault="0048510E" w:rsidP="0048510E">
      <w:pPr>
        <w:rPr>
          <w:lang w:val="fr-FR"/>
        </w:rPr>
      </w:pPr>
    </w:p>
    <w:p w14:paraId="758F8A1F" w14:textId="77777777" w:rsidR="0048510E" w:rsidRPr="00130BFA" w:rsidRDefault="0048510E" w:rsidP="0048510E">
      <w:pPr>
        <w:rPr>
          <w:b/>
          <w:sz w:val="24"/>
          <w:szCs w:val="24"/>
          <w:lang w:val="fr-FR"/>
        </w:rPr>
      </w:pPr>
      <w:r w:rsidRPr="00130BFA">
        <w:rPr>
          <w:b/>
          <w:sz w:val="24"/>
          <w:szCs w:val="24"/>
          <w:lang w:val="fr-FR"/>
        </w:rPr>
        <w:t>Book chapters and articles</w:t>
      </w:r>
    </w:p>
    <w:p w14:paraId="1EB2C944" w14:textId="2F8227B4" w:rsidR="0048510E" w:rsidRDefault="0048510E" w:rsidP="0048510E">
      <w:pPr>
        <w:rPr>
          <w:lang w:val="fr-FR"/>
        </w:rPr>
      </w:pPr>
      <w:r w:rsidRPr="00C61127">
        <w:rPr>
          <w:lang w:val="fr-FR"/>
        </w:rPr>
        <w:t>Amara,</w:t>
      </w:r>
      <w:r w:rsidR="003A39E9">
        <w:rPr>
          <w:lang w:val="fr-FR"/>
        </w:rPr>
        <w:t xml:space="preserve"> M.,</w:t>
      </w:r>
      <w:r w:rsidRPr="00C61127">
        <w:rPr>
          <w:lang w:val="fr-FR"/>
        </w:rPr>
        <w:t xml:space="preserve"> 'La propagande belge et l'image de la Belgique aux Etats-Unis durant la Première Guerre mondiale', </w:t>
      </w:r>
      <w:r w:rsidRPr="00C61127">
        <w:rPr>
          <w:i/>
          <w:iCs/>
          <w:lang w:val="fr-FR"/>
        </w:rPr>
        <w:t>Revue Belge d'Histoire Contemporaine,</w:t>
      </w:r>
      <w:r w:rsidR="003A2F08">
        <w:rPr>
          <w:lang w:val="fr-FR"/>
        </w:rPr>
        <w:t xml:space="preserve"> 1-2 (2000), 88-133.</w:t>
      </w:r>
    </w:p>
    <w:p w14:paraId="4BDFEEDF" w14:textId="18F1E177" w:rsidR="0048510E" w:rsidRDefault="0048510E" w:rsidP="0048510E">
      <w:pPr>
        <w:rPr>
          <w:lang w:val="fr-FR"/>
        </w:rPr>
      </w:pPr>
      <w:r w:rsidRPr="00C61127">
        <w:rPr>
          <w:lang w:val="fr-FR"/>
        </w:rPr>
        <w:t xml:space="preserve">———, 'Les grands défis de la propagande belge durant la Première Guerre Mondiale', in </w:t>
      </w:r>
      <w:r w:rsidRPr="00C61127">
        <w:rPr>
          <w:i/>
          <w:iCs/>
          <w:lang w:val="fr-FR"/>
        </w:rPr>
        <w:t>La petite Belgique dans la Grande Guerre</w:t>
      </w:r>
      <w:r w:rsidR="00B20F60">
        <w:rPr>
          <w:i/>
          <w:iCs/>
          <w:lang w:val="fr-FR"/>
        </w:rPr>
        <w:t>: une icône, des images</w:t>
      </w:r>
      <w:r w:rsidRPr="00C61127">
        <w:rPr>
          <w:lang w:val="fr-FR"/>
        </w:rPr>
        <w:t>, ed. by B. Roc</w:t>
      </w:r>
      <w:r w:rsidR="008708EE">
        <w:rPr>
          <w:lang w:val="fr-FR"/>
        </w:rPr>
        <w:t>het and A. Tixhon (Namur, 2012), 21-35.</w:t>
      </w:r>
    </w:p>
    <w:p w14:paraId="68DBD18D" w14:textId="0B39CDF7" w:rsidR="0048510E" w:rsidRPr="00C61127" w:rsidRDefault="0048510E" w:rsidP="0048510E">
      <w:pPr>
        <w:rPr>
          <w:lang w:val="fr-FR"/>
        </w:rPr>
      </w:pPr>
      <w:r w:rsidRPr="00C61127">
        <w:rPr>
          <w:lang w:val="fr-FR"/>
        </w:rPr>
        <w:t>Antier,</w:t>
      </w:r>
      <w:r w:rsidR="003A39E9">
        <w:rPr>
          <w:lang w:val="fr-FR"/>
        </w:rPr>
        <w:t xml:space="preserve"> C.,</w:t>
      </w:r>
      <w:r w:rsidRPr="00C61127">
        <w:rPr>
          <w:lang w:val="fr-FR"/>
        </w:rPr>
        <w:t xml:space="preserve"> 'Espionnage et espionnes de la Grande Guerre', </w:t>
      </w:r>
      <w:r w:rsidRPr="00C61127">
        <w:rPr>
          <w:i/>
          <w:iCs/>
          <w:lang w:val="fr-FR"/>
        </w:rPr>
        <w:t>Revue Historique des Armées,</w:t>
      </w:r>
      <w:r w:rsidRPr="00C61127">
        <w:rPr>
          <w:lang w:val="fr-FR"/>
        </w:rPr>
        <w:t xml:space="preserve"> 247 (2007)</w:t>
      </w:r>
      <w:r w:rsidR="003A2F08">
        <w:rPr>
          <w:lang w:val="fr-FR"/>
        </w:rPr>
        <w:t>, 42-51.</w:t>
      </w:r>
    </w:p>
    <w:p w14:paraId="540307AE" w14:textId="3A313613" w:rsidR="0048510E" w:rsidRPr="00C61127" w:rsidRDefault="0048510E" w:rsidP="0048510E">
      <w:pPr>
        <w:rPr>
          <w:lang w:val="fr-FR"/>
        </w:rPr>
      </w:pPr>
      <w:r w:rsidRPr="00C61127">
        <w:rPr>
          <w:lang w:val="fr-FR"/>
        </w:rPr>
        <w:t xml:space="preserve">———, 'Résister, espionner: nouvelle fonction pour la femme en 1914-1918', </w:t>
      </w:r>
      <w:r w:rsidRPr="00C61127">
        <w:rPr>
          <w:i/>
          <w:iCs/>
          <w:lang w:val="fr-FR"/>
        </w:rPr>
        <w:t>Guerres mondiales et conflits contemporains,</w:t>
      </w:r>
      <w:r w:rsidR="003A2F08">
        <w:rPr>
          <w:lang w:val="fr-FR"/>
        </w:rPr>
        <w:t xml:space="preserve"> 232 (2008), 143-154.</w:t>
      </w:r>
    </w:p>
    <w:p w14:paraId="134A88E9" w14:textId="1400F83E" w:rsidR="0048510E" w:rsidRDefault="0048510E" w:rsidP="0048510E">
      <w:r>
        <w:t>Apel,</w:t>
      </w:r>
      <w:r w:rsidR="003A39E9">
        <w:t xml:space="preserve"> D.,</w:t>
      </w:r>
      <w:r>
        <w:t xml:space="preserve"> 'Cultural battlegrounds: Weimar photographic narratives of war', </w:t>
      </w:r>
      <w:r>
        <w:rPr>
          <w:i/>
          <w:iCs/>
        </w:rPr>
        <w:t>New German Critique,</w:t>
      </w:r>
      <w:r w:rsidR="003A2F08">
        <w:t xml:space="preserve"> 76 (1999), 49-84.</w:t>
      </w:r>
    </w:p>
    <w:p w14:paraId="2D731F4C" w14:textId="44F6A7D3" w:rsidR="0048510E" w:rsidRDefault="0048510E" w:rsidP="0048510E">
      <w:r>
        <w:t xml:space="preserve">———, '"Heroes" and "Whores": the politics of gender in Weimar antiwar imagery', </w:t>
      </w:r>
      <w:r>
        <w:rPr>
          <w:i/>
          <w:iCs/>
        </w:rPr>
        <w:t>The Art Bulletin,</w:t>
      </w:r>
      <w:r w:rsidR="003A2F08">
        <w:t xml:space="preserve"> 79 (1997), 366-384.</w:t>
      </w:r>
    </w:p>
    <w:p w14:paraId="3484797B" w14:textId="6E898DBB" w:rsidR="0048510E" w:rsidRDefault="0048510E" w:rsidP="0048510E">
      <w:pPr>
        <w:rPr>
          <w:lang w:val="fr-FR"/>
        </w:rPr>
      </w:pPr>
      <w:r w:rsidRPr="00C61127">
        <w:rPr>
          <w:lang w:val="fr-FR"/>
        </w:rPr>
        <w:t>Audoin-Rouzeau,</w:t>
      </w:r>
      <w:r w:rsidR="003A39E9">
        <w:rPr>
          <w:lang w:val="fr-FR"/>
        </w:rPr>
        <w:t xml:space="preserve"> S.,</w:t>
      </w:r>
      <w:r w:rsidRPr="00C61127">
        <w:rPr>
          <w:lang w:val="fr-FR"/>
        </w:rPr>
        <w:t xml:space="preserve"> '"Bourage de crâne" et information en France en 1914-1918', in </w:t>
      </w:r>
      <w:r w:rsidRPr="00C61127">
        <w:rPr>
          <w:i/>
          <w:iCs/>
          <w:lang w:val="fr-FR"/>
        </w:rPr>
        <w:t>Les sociétés européennes et la guerre</w:t>
      </w:r>
      <w:r w:rsidRPr="00C61127">
        <w:rPr>
          <w:lang w:val="fr-FR"/>
        </w:rPr>
        <w:t>, ed. by S. Audoin-Rouzea</w:t>
      </w:r>
      <w:r w:rsidR="003A2F08">
        <w:rPr>
          <w:lang w:val="fr-FR"/>
        </w:rPr>
        <w:t>u and J-J. Becker (Paris, 1990), 163-174.</w:t>
      </w:r>
    </w:p>
    <w:p w14:paraId="5935397A" w14:textId="3027EACB" w:rsidR="0048510E" w:rsidRDefault="0048510E" w:rsidP="00922A4B">
      <w:pPr>
        <w:rPr>
          <w:lang w:val="fr-FR"/>
        </w:rPr>
      </w:pPr>
      <w:r w:rsidRPr="004F72F0">
        <w:rPr>
          <w:lang w:val="fr-FR"/>
        </w:rPr>
        <w:t>Audoin-Rouzeau,</w:t>
      </w:r>
      <w:r w:rsidR="003A39E9">
        <w:rPr>
          <w:lang w:val="fr-FR"/>
        </w:rPr>
        <w:t xml:space="preserve"> S.,</w:t>
      </w:r>
      <w:r w:rsidRPr="004F72F0">
        <w:rPr>
          <w:lang w:val="fr-FR"/>
        </w:rPr>
        <w:t xml:space="preserve"> and </w:t>
      </w:r>
      <w:r w:rsidR="003A39E9">
        <w:rPr>
          <w:lang w:val="fr-FR"/>
        </w:rPr>
        <w:t>G.</w:t>
      </w:r>
      <w:r w:rsidRPr="004F72F0">
        <w:rPr>
          <w:lang w:val="fr-FR"/>
        </w:rPr>
        <w:t xml:space="preserve"> Krumeich, 'Les batailles de la Grande Guerre', in </w:t>
      </w:r>
      <w:r w:rsidRPr="004F72F0">
        <w:rPr>
          <w:i/>
          <w:iCs/>
          <w:lang w:val="fr-FR"/>
        </w:rPr>
        <w:t>Encyclopédie de la Grande Guerre</w:t>
      </w:r>
      <w:r w:rsidRPr="004F72F0">
        <w:rPr>
          <w:lang w:val="fr-FR"/>
        </w:rPr>
        <w:t xml:space="preserve">, ed. by </w:t>
      </w:r>
      <w:r w:rsidR="00922A4B">
        <w:rPr>
          <w:lang w:val="fr-FR"/>
        </w:rPr>
        <w:t>S.</w:t>
      </w:r>
      <w:r w:rsidRPr="004F72F0">
        <w:rPr>
          <w:lang w:val="fr-FR"/>
        </w:rPr>
        <w:t xml:space="preserve"> Audoin-Rouzeau and </w:t>
      </w:r>
      <w:r w:rsidR="00922A4B">
        <w:rPr>
          <w:lang w:val="fr-FR"/>
        </w:rPr>
        <w:t>J-J.</w:t>
      </w:r>
      <w:r w:rsidRPr="004F72F0">
        <w:rPr>
          <w:lang w:val="fr-FR"/>
        </w:rPr>
        <w:t xml:space="preserve"> Becker (</w:t>
      </w:r>
      <w:r w:rsidR="00FD233D">
        <w:rPr>
          <w:lang w:val="fr-FR"/>
        </w:rPr>
        <w:t>Paris, 2004), 299-312.</w:t>
      </w:r>
    </w:p>
    <w:p w14:paraId="69EAD655" w14:textId="23223198" w:rsidR="0048510E" w:rsidRPr="00170BC7" w:rsidRDefault="0048510E" w:rsidP="0048510E">
      <w:pPr>
        <w:rPr>
          <w:lang w:val="fr-FR"/>
        </w:rPr>
      </w:pPr>
      <w:r w:rsidRPr="00170BC7">
        <w:rPr>
          <w:lang w:val="fr-FR"/>
        </w:rPr>
        <w:t>Barral,</w:t>
      </w:r>
      <w:r w:rsidR="003A39E9">
        <w:rPr>
          <w:lang w:val="fr-FR"/>
        </w:rPr>
        <w:t xml:space="preserve"> P.,</w:t>
      </w:r>
      <w:r w:rsidRPr="00170BC7">
        <w:rPr>
          <w:lang w:val="fr-FR"/>
        </w:rPr>
        <w:t xml:space="preserve"> 'La Lorraine pendant la guerre: la lutte discrète d'une province exposée', </w:t>
      </w:r>
      <w:r w:rsidRPr="00170BC7">
        <w:rPr>
          <w:i/>
          <w:iCs/>
          <w:lang w:val="fr-FR"/>
        </w:rPr>
        <w:t>Revue d'Histoire de la Deuxième Guerre Mondiale,</w:t>
      </w:r>
      <w:r w:rsidR="008708EE">
        <w:rPr>
          <w:lang w:val="fr-FR"/>
        </w:rPr>
        <w:t xml:space="preserve"> 105 (1977), 3-8.</w:t>
      </w:r>
    </w:p>
    <w:p w14:paraId="712D72FC" w14:textId="08980346" w:rsidR="0048510E" w:rsidRDefault="0048510E" w:rsidP="00675229">
      <w:r>
        <w:t>Becker,</w:t>
      </w:r>
      <w:r w:rsidR="003A39E9">
        <w:t xml:space="preserve"> A.,</w:t>
      </w:r>
      <w:r>
        <w:t xml:space="preserve"> 'Faith, ideologies, and the "Cultures of War"', in </w:t>
      </w:r>
      <w:r>
        <w:rPr>
          <w:i/>
          <w:iCs/>
        </w:rPr>
        <w:t>A companion to World War One</w:t>
      </w:r>
      <w:r>
        <w:t xml:space="preserve">, ed. by </w:t>
      </w:r>
      <w:r w:rsidR="008708EE">
        <w:t>J. Horne (</w:t>
      </w:r>
      <w:r w:rsidR="00675229">
        <w:t>Chichester</w:t>
      </w:r>
      <w:r w:rsidR="008708EE">
        <w:t>, 2010), 234-247.</w:t>
      </w:r>
    </w:p>
    <w:p w14:paraId="77A13444" w14:textId="1AC4EA27" w:rsidR="0048510E" w:rsidRDefault="0048510E" w:rsidP="0048510E">
      <w:r>
        <w:t xml:space="preserve">———, 'Life in occupied zone: Lille, Roubaix, Tourcoing', in </w:t>
      </w:r>
      <w:r>
        <w:rPr>
          <w:i/>
          <w:iCs/>
        </w:rPr>
        <w:t xml:space="preserve">Facing </w:t>
      </w:r>
      <w:r w:rsidR="00B20F60">
        <w:rPr>
          <w:i/>
          <w:iCs/>
        </w:rPr>
        <w:t>Armageddon: the First World War experienced</w:t>
      </w:r>
      <w:r>
        <w:t>, ed. by H. Cec</w:t>
      </w:r>
      <w:r w:rsidR="003A2F08">
        <w:t>il and P. Liddle (London, 1996), 630-641.</w:t>
      </w:r>
    </w:p>
    <w:p w14:paraId="7E5F0551" w14:textId="3FD97DB4" w:rsidR="0048510E" w:rsidRDefault="0048510E" w:rsidP="0048510E">
      <w:pPr>
        <w:rPr>
          <w:lang w:val="fr-FR"/>
        </w:rPr>
      </w:pPr>
      <w:r w:rsidRPr="00C61127">
        <w:rPr>
          <w:lang w:val="fr-FR"/>
        </w:rPr>
        <w:t xml:space="preserve">———, 'Mémoire et commémorations: les "atrocités" allemandes de la Première Guerre mondiale dans le nord de la France', </w:t>
      </w:r>
      <w:r w:rsidRPr="00C61127">
        <w:rPr>
          <w:i/>
          <w:iCs/>
          <w:lang w:val="fr-FR"/>
        </w:rPr>
        <w:t>Revue du Nord,</w:t>
      </w:r>
      <w:r w:rsidR="00FD233D">
        <w:rPr>
          <w:lang w:val="fr-FR"/>
        </w:rPr>
        <w:t xml:space="preserve"> 295 (1992), 339-354.</w:t>
      </w:r>
    </w:p>
    <w:p w14:paraId="1E5BF4EE" w14:textId="1668000A" w:rsidR="0048510E" w:rsidRDefault="0048510E" w:rsidP="0048510E">
      <w:r w:rsidRPr="0027097E">
        <w:t>Becker,</w:t>
      </w:r>
      <w:r w:rsidR="003A39E9">
        <w:t xml:space="preserve"> H.,</w:t>
      </w:r>
      <w:r w:rsidRPr="0027097E">
        <w:t xml:space="preserve"> 'The nature and consequences of black propaganda', </w:t>
      </w:r>
      <w:r w:rsidRPr="00B20F60">
        <w:rPr>
          <w:i/>
          <w:iCs/>
        </w:rPr>
        <w:t>American Sociological Review</w:t>
      </w:r>
      <w:r w:rsidR="00FD233D">
        <w:t>, 14 (1949), 672-678.</w:t>
      </w:r>
    </w:p>
    <w:p w14:paraId="48D015B8" w14:textId="741CCB60" w:rsidR="00922A4B" w:rsidRPr="00922A4B" w:rsidRDefault="00922A4B" w:rsidP="00922A4B">
      <w:r w:rsidRPr="003815E7">
        <w:rPr>
          <w:lang w:val="fr-FR"/>
        </w:rPr>
        <w:t xml:space="preserve">Becker, J-J., 'L'opinion publique française et l'Alsace-Lorraine', in </w:t>
      </w:r>
      <w:r w:rsidRPr="003815E7">
        <w:rPr>
          <w:i/>
          <w:iCs/>
          <w:lang w:val="fr-FR"/>
        </w:rPr>
        <w:t>Boches ou tricolores: les Alsaciens-Lorrains dans la Grande Guerre</w:t>
      </w:r>
      <w:r w:rsidRPr="003815E7">
        <w:rPr>
          <w:lang w:val="fr-FR"/>
        </w:rPr>
        <w:t xml:space="preserve">, ed. by J-N. </w:t>
      </w:r>
      <w:r w:rsidR="008708EE">
        <w:t>Grandhomme (Strasbourg, 2008), 39-44.</w:t>
      </w:r>
    </w:p>
    <w:p w14:paraId="71DE03B7" w14:textId="5F22AC91" w:rsidR="0048510E" w:rsidRDefault="00922A4B" w:rsidP="00922A4B">
      <w:r>
        <w:t>———</w:t>
      </w:r>
      <w:r w:rsidR="003A39E9">
        <w:t>,</w:t>
      </w:r>
      <w:r w:rsidR="0048510E">
        <w:t xml:space="preserve"> '"That's the death knell of our boys..."', in </w:t>
      </w:r>
      <w:r w:rsidR="0048510E">
        <w:rPr>
          <w:i/>
          <w:iCs/>
        </w:rPr>
        <w:t>The French Home Front 1914-1918</w:t>
      </w:r>
      <w:r w:rsidR="0048510E">
        <w:t xml:space="preserve">, ed. by </w:t>
      </w:r>
      <w:r>
        <w:t>P.</w:t>
      </w:r>
      <w:r w:rsidR="008708EE">
        <w:t xml:space="preserve"> Fridenson (Providence, 1992), 17-34.</w:t>
      </w:r>
    </w:p>
    <w:p w14:paraId="6D417572" w14:textId="4AC239F8" w:rsidR="0048510E" w:rsidRDefault="0048510E" w:rsidP="00675229">
      <w:r>
        <w:t xml:space="preserve">———, 'War aims and neutrality', in </w:t>
      </w:r>
      <w:r>
        <w:rPr>
          <w:i/>
          <w:iCs/>
        </w:rPr>
        <w:t>A companion to World War One</w:t>
      </w:r>
      <w:r>
        <w:t xml:space="preserve">, ed. by </w:t>
      </w:r>
      <w:r w:rsidR="008708EE">
        <w:t>J. Horne (</w:t>
      </w:r>
      <w:r w:rsidR="00675229">
        <w:t>Chichester</w:t>
      </w:r>
      <w:r w:rsidR="008708EE">
        <w:t>, 2010), 202-216.</w:t>
      </w:r>
    </w:p>
    <w:p w14:paraId="03437AE6" w14:textId="2B2E0798" w:rsidR="0048510E" w:rsidRPr="000E1021" w:rsidRDefault="0048510E" w:rsidP="00922A4B">
      <w:r>
        <w:t>Berstein,</w:t>
      </w:r>
      <w:r w:rsidR="003A39E9">
        <w:t xml:space="preserve"> S.,</w:t>
      </w:r>
      <w:r>
        <w:t xml:space="preserve"> 'The Radical Socialist party', in </w:t>
      </w:r>
      <w:r>
        <w:rPr>
          <w:i/>
          <w:iCs/>
        </w:rPr>
        <w:t>The French Home Front</w:t>
      </w:r>
      <w:r>
        <w:t xml:space="preserve">, ed. by </w:t>
      </w:r>
      <w:r w:rsidR="00922A4B">
        <w:t>P.</w:t>
      </w:r>
      <w:r w:rsidR="00F3161C">
        <w:t xml:space="preserve"> Fridenson (Providence, 1992), 37-56.</w:t>
      </w:r>
    </w:p>
    <w:p w14:paraId="4ECE6CFF" w14:textId="5511EAFF" w:rsidR="0048510E" w:rsidRDefault="0048510E" w:rsidP="00922A4B">
      <w:r w:rsidRPr="00E33192">
        <w:t>Beurier,</w:t>
      </w:r>
      <w:r w:rsidR="003A39E9" w:rsidRPr="00E33192">
        <w:t xml:space="preserve"> J.,</w:t>
      </w:r>
      <w:r w:rsidRPr="00E33192">
        <w:t xml:space="preserve"> 'Information, censorship or propaganda? </w:t>
      </w:r>
      <w:r>
        <w:t xml:space="preserve">The illustrated French press in the First World War', in </w:t>
      </w:r>
      <w:r>
        <w:rPr>
          <w:i/>
          <w:iCs/>
        </w:rPr>
        <w:t>Untold War</w:t>
      </w:r>
      <w:r w:rsidR="00B20F60">
        <w:rPr>
          <w:i/>
          <w:iCs/>
        </w:rPr>
        <w:t>: new perspectives in First World War studies</w:t>
      </w:r>
      <w:r>
        <w:t xml:space="preserve">, ed. by </w:t>
      </w:r>
      <w:r w:rsidR="00922A4B">
        <w:t>H.</w:t>
      </w:r>
      <w:r>
        <w:t xml:space="preserve"> Jones, </w:t>
      </w:r>
      <w:r w:rsidR="00922A4B">
        <w:t>J.</w:t>
      </w:r>
      <w:r>
        <w:t xml:space="preserve"> O'Brien and </w:t>
      </w:r>
      <w:r w:rsidR="00922A4B">
        <w:t>C.</w:t>
      </w:r>
      <w:r>
        <w:t xml:space="preserve"> </w:t>
      </w:r>
      <w:r w:rsidR="008708EE">
        <w:t>Schmidt-Supprian (Boston, 2008), 293-324.</w:t>
      </w:r>
    </w:p>
    <w:p w14:paraId="60384941" w14:textId="77777777" w:rsidR="0048510E" w:rsidRDefault="0048510E" w:rsidP="0048510E">
      <w:r>
        <w:t>Bisschop,</w:t>
      </w:r>
      <w:r w:rsidR="003A39E9">
        <w:t xml:space="preserve"> W.,</w:t>
      </w:r>
      <w:r>
        <w:t xml:space="preserve"> 'German war legislation in the occupied territory in Belgium', </w:t>
      </w:r>
      <w:r>
        <w:rPr>
          <w:i/>
          <w:iCs/>
        </w:rPr>
        <w:t>Transactions of the Grotius Society,</w:t>
      </w:r>
      <w:r>
        <w:t xml:space="preserve"> 4 (1918), 110-68.</w:t>
      </w:r>
    </w:p>
    <w:p w14:paraId="6A5F328E" w14:textId="185F4553" w:rsidR="0048510E" w:rsidRDefault="0048510E" w:rsidP="0048510E">
      <w:r>
        <w:t>Blind,</w:t>
      </w:r>
      <w:r w:rsidR="003A39E9">
        <w:t xml:space="preserve"> K.,</w:t>
      </w:r>
      <w:r>
        <w:t xml:space="preserve"> 'The siege of Paris and the Air-Ships', </w:t>
      </w:r>
      <w:r>
        <w:rPr>
          <w:i/>
          <w:iCs/>
        </w:rPr>
        <w:t>The North American Review,</w:t>
      </w:r>
      <w:r w:rsidR="008708EE">
        <w:t xml:space="preserve"> 166 (1898), 474-490.</w:t>
      </w:r>
    </w:p>
    <w:p w14:paraId="612359A9" w14:textId="11D29710" w:rsidR="0048510E" w:rsidRDefault="0048510E" w:rsidP="003815E7">
      <w:pPr>
        <w:rPr>
          <w:lang w:val="fr-FR"/>
        </w:rPr>
      </w:pPr>
      <w:r w:rsidRPr="00C61127">
        <w:rPr>
          <w:lang w:val="fr-FR"/>
        </w:rPr>
        <w:t>Bock,</w:t>
      </w:r>
      <w:r w:rsidR="003A39E9">
        <w:rPr>
          <w:lang w:val="fr-FR"/>
        </w:rPr>
        <w:t xml:space="preserve"> F.,</w:t>
      </w:r>
      <w:r w:rsidRPr="00C61127">
        <w:rPr>
          <w:lang w:val="fr-FR"/>
        </w:rPr>
        <w:t xml:space="preserve"> 'Parlement, pouvoir civil et pouvoir militaire (Allemagne, France, Italie, Royaume-Uni)', in </w:t>
      </w:r>
      <w:r w:rsidRPr="00C61127">
        <w:rPr>
          <w:i/>
          <w:iCs/>
          <w:lang w:val="fr-FR"/>
        </w:rPr>
        <w:t>Encyclopédie de la Grande Guerre 1914-1918</w:t>
      </w:r>
      <w:r w:rsidRPr="00C61127">
        <w:rPr>
          <w:lang w:val="fr-FR"/>
        </w:rPr>
        <w:t xml:space="preserve">, ed. by </w:t>
      </w:r>
      <w:r w:rsidR="003815E7">
        <w:rPr>
          <w:lang w:val="fr-FR"/>
        </w:rPr>
        <w:t>S.</w:t>
      </w:r>
      <w:r w:rsidRPr="00C61127">
        <w:rPr>
          <w:lang w:val="fr-FR"/>
        </w:rPr>
        <w:t xml:space="preserve"> Audoin-Rouzeau and </w:t>
      </w:r>
      <w:r w:rsidR="003815E7">
        <w:rPr>
          <w:lang w:val="fr-FR"/>
        </w:rPr>
        <w:t>J</w:t>
      </w:r>
      <w:r w:rsidRPr="00C61127">
        <w:rPr>
          <w:lang w:val="fr-FR"/>
        </w:rPr>
        <w:t>-</w:t>
      </w:r>
      <w:r w:rsidR="003815E7">
        <w:rPr>
          <w:lang w:val="fr-FR"/>
        </w:rPr>
        <w:t>J.</w:t>
      </w:r>
      <w:r w:rsidRPr="00C61127">
        <w:rPr>
          <w:lang w:val="fr-FR"/>
        </w:rPr>
        <w:t xml:space="preserve"> Becker (Paris, 2004)</w:t>
      </w:r>
      <w:r w:rsidR="00F3161C">
        <w:rPr>
          <w:lang w:val="fr-FR"/>
        </w:rPr>
        <w:t>, 495-508.</w:t>
      </w:r>
    </w:p>
    <w:p w14:paraId="24338DB3" w14:textId="3E734656" w:rsidR="0048510E" w:rsidRPr="00170BC7" w:rsidRDefault="0048510E" w:rsidP="0048510E">
      <w:pPr>
        <w:rPr>
          <w:lang w:val="fr-FR"/>
        </w:rPr>
      </w:pPr>
      <w:r w:rsidRPr="00170BC7">
        <w:rPr>
          <w:lang w:val="fr-FR"/>
        </w:rPr>
        <w:t>Bouhet,</w:t>
      </w:r>
      <w:r w:rsidR="003A39E9">
        <w:rPr>
          <w:lang w:val="fr-FR"/>
        </w:rPr>
        <w:t xml:space="preserve"> A.,</w:t>
      </w:r>
      <w:r w:rsidRPr="00170BC7">
        <w:rPr>
          <w:lang w:val="fr-FR"/>
        </w:rPr>
        <w:t xml:space="preserve"> 'L'affaire Saverne: Novembre 1913 - Janvier 1914 (Un exemple de conditionnement international direct)', </w:t>
      </w:r>
      <w:r w:rsidRPr="00170BC7">
        <w:rPr>
          <w:i/>
          <w:iCs/>
          <w:lang w:val="fr-FR"/>
        </w:rPr>
        <w:t>Guerres mondiales et conflits contemporains,</w:t>
      </w:r>
      <w:r w:rsidR="008708EE">
        <w:rPr>
          <w:lang w:val="fr-FR"/>
        </w:rPr>
        <w:t xml:space="preserve"> 173 (1994), 5-17.</w:t>
      </w:r>
    </w:p>
    <w:p w14:paraId="68CFD5AE" w14:textId="61005EF6" w:rsidR="0048510E" w:rsidRDefault="0048510E" w:rsidP="003815E7">
      <w:r>
        <w:t>Bourke,</w:t>
      </w:r>
      <w:r w:rsidR="003A39E9">
        <w:t xml:space="preserve"> J.,</w:t>
      </w:r>
      <w:r>
        <w:t xml:space="preserve"> 'Barbarisation vs Civilisation in time of War', in </w:t>
      </w:r>
      <w:r>
        <w:rPr>
          <w:i/>
          <w:iCs/>
        </w:rPr>
        <w:t>The barbarisation of warfare</w:t>
      </w:r>
      <w:r>
        <w:t xml:space="preserve">, ed. by </w:t>
      </w:r>
      <w:r w:rsidR="003815E7">
        <w:t>G.</w:t>
      </w:r>
      <w:r w:rsidR="00150513">
        <w:t xml:space="preserve"> Kassimeris (London, 2006), 19-38.</w:t>
      </w:r>
    </w:p>
    <w:p w14:paraId="08456342" w14:textId="1D8095A7" w:rsidR="0048510E" w:rsidRDefault="0048510E" w:rsidP="003815E7">
      <w:pPr>
        <w:rPr>
          <w:lang w:val="fr-FR"/>
        </w:rPr>
      </w:pPr>
      <w:r w:rsidRPr="00C61127">
        <w:rPr>
          <w:lang w:val="fr-FR"/>
        </w:rPr>
        <w:t>Bourlet,</w:t>
      </w:r>
      <w:r w:rsidR="003A39E9">
        <w:rPr>
          <w:lang w:val="fr-FR"/>
        </w:rPr>
        <w:t xml:space="preserve"> M.,</w:t>
      </w:r>
      <w:r w:rsidRPr="00C61127">
        <w:rPr>
          <w:lang w:val="fr-FR"/>
        </w:rPr>
        <w:t xml:space="preserve"> 'L'expérience de la guerre des soldats du Nord et du Pas-de-Calais', in </w:t>
      </w:r>
      <w:r w:rsidRPr="00C61127">
        <w:rPr>
          <w:i/>
          <w:iCs/>
          <w:lang w:val="fr-FR"/>
        </w:rPr>
        <w:t>Petites patries dans la Grande Guerre</w:t>
      </w:r>
      <w:r w:rsidRPr="00C61127">
        <w:rPr>
          <w:lang w:val="fr-FR"/>
        </w:rPr>
        <w:t xml:space="preserve">, ed. by </w:t>
      </w:r>
      <w:r w:rsidR="003815E7">
        <w:rPr>
          <w:lang w:val="fr-FR"/>
        </w:rPr>
        <w:t>M.</w:t>
      </w:r>
      <w:r w:rsidRPr="00C61127">
        <w:rPr>
          <w:lang w:val="fr-FR"/>
        </w:rPr>
        <w:t xml:space="preserve"> Bourlet, </w:t>
      </w:r>
      <w:r w:rsidR="003815E7">
        <w:rPr>
          <w:lang w:val="fr-FR"/>
        </w:rPr>
        <w:t>Y.</w:t>
      </w:r>
      <w:r w:rsidRPr="00C61127">
        <w:rPr>
          <w:lang w:val="fr-FR"/>
        </w:rPr>
        <w:t xml:space="preserve"> Lagadec and </w:t>
      </w:r>
      <w:r w:rsidR="003815E7">
        <w:rPr>
          <w:lang w:val="fr-FR"/>
        </w:rPr>
        <w:t>E.</w:t>
      </w:r>
      <w:r w:rsidR="00150513">
        <w:rPr>
          <w:lang w:val="fr-FR"/>
        </w:rPr>
        <w:t xml:space="preserve"> Le Gall (Rennes, 2013), 135-160.</w:t>
      </w:r>
    </w:p>
    <w:p w14:paraId="68FD95CB" w14:textId="4914F5B6" w:rsidR="0048510E" w:rsidRDefault="0048510E" w:rsidP="0048510E">
      <w:pPr>
        <w:rPr>
          <w:lang w:val="fr-FR"/>
        </w:rPr>
      </w:pPr>
      <w:r w:rsidRPr="00C61127">
        <w:rPr>
          <w:lang w:val="fr-FR"/>
        </w:rPr>
        <w:t>Cabanes,</w:t>
      </w:r>
      <w:r w:rsidR="003A39E9">
        <w:rPr>
          <w:lang w:val="fr-FR"/>
        </w:rPr>
        <w:t xml:space="preserve"> B.,</w:t>
      </w:r>
      <w:r w:rsidRPr="00C61127">
        <w:rPr>
          <w:lang w:val="fr-FR"/>
        </w:rPr>
        <w:t xml:space="preserve"> 'Les vivants et les morts: la France au sortir de la Grande Guerre', in </w:t>
      </w:r>
      <w:r w:rsidRPr="00C61127">
        <w:rPr>
          <w:i/>
          <w:iCs/>
          <w:lang w:val="fr-FR"/>
        </w:rPr>
        <w:t>Sortir de la Grande Guerre</w:t>
      </w:r>
      <w:r w:rsidRPr="00C61127">
        <w:rPr>
          <w:lang w:val="fr-FR"/>
        </w:rPr>
        <w:t xml:space="preserve">, ed. by S. Audoin-Rouzeau </w:t>
      </w:r>
      <w:r w:rsidR="00150513">
        <w:rPr>
          <w:lang w:val="fr-FR"/>
        </w:rPr>
        <w:t>and C. Prochasson (Paris, 2008), 27-46.</w:t>
      </w:r>
    </w:p>
    <w:p w14:paraId="63687D23" w14:textId="0C9E0194" w:rsidR="0048510E" w:rsidRDefault="0048510E" w:rsidP="0048510E">
      <w:pPr>
        <w:rPr>
          <w:lang w:val="fr-FR"/>
        </w:rPr>
      </w:pPr>
      <w:r w:rsidRPr="00C61127">
        <w:rPr>
          <w:lang w:val="fr-FR"/>
        </w:rPr>
        <w:t>Cazals,</w:t>
      </w:r>
      <w:r w:rsidR="003A39E9">
        <w:rPr>
          <w:lang w:val="fr-FR"/>
        </w:rPr>
        <w:t xml:space="preserve"> R.,</w:t>
      </w:r>
      <w:r w:rsidRPr="00C61127">
        <w:rPr>
          <w:lang w:val="fr-FR"/>
        </w:rPr>
        <w:t xml:space="preserve"> '1914-1918: chercher encore', </w:t>
      </w:r>
      <w:r w:rsidRPr="00C61127">
        <w:rPr>
          <w:i/>
          <w:iCs/>
          <w:lang w:val="fr-FR"/>
        </w:rPr>
        <w:t>Le Mouvement Social,</w:t>
      </w:r>
      <w:r w:rsidR="00150513">
        <w:rPr>
          <w:lang w:val="fr-FR"/>
        </w:rPr>
        <w:t xml:space="preserve"> 199 (2002), 107-113.</w:t>
      </w:r>
    </w:p>
    <w:p w14:paraId="3A95933D" w14:textId="4EBBA571" w:rsidR="0048510E" w:rsidRPr="00ED5984" w:rsidRDefault="0048510E" w:rsidP="0048510E">
      <w:pPr>
        <w:rPr>
          <w:lang w:val="en-US"/>
        </w:rPr>
      </w:pPr>
      <w:r w:rsidRPr="00C61127">
        <w:rPr>
          <w:lang w:val="fr-FR"/>
        </w:rPr>
        <w:t>Chaline,</w:t>
      </w:r>
      <w:r w:rsidR="003A39E9">
        <w:rPr>
          <w:lang w:val="fr-FR"/>
        </w:rPr>
        <w:t xml:space="preserve"> N-J.,</w:t>
      </w:r>
      <w:r w:rsidRPr="00C61127">
        <w:rPr>
          <w:lang w:val="fr-FR"/>
        </w:rPr>
        <w:t xml:space="preserve"> 'Pacifismes pendant la guerre', in </w:t>
      </w:r>
      <w:r w:rsidRPr="00C61127">
        <w:rPr>
          <w:i/>
          <w:iCs/>
          <w:lang w:val="fr-FR"/>
        </w:rPr>
        <w:t>Encyclopédie de la Grande Guerre 1914-1918</w:t>
      </w:r>
      <w:r w:rsidRPr="00C61127">
        <w:rPr>
          <w:lang w:val="fr-FR"/>
        </w:rPr>
        <w:t xml:space="preserve">, ed. by S. Audoin-Rouzeau and J-J. </w:t>
      </w:r>
      <w:r w:rsidR="00F3161C">
        <w:rPr>
          <w:lang w:val="en-US"/>
        </w:rPr>
        <w:t>Becker (Paris, 2004), 839-854.</w:t>
      </w:r>
    </w:p>
    <w:p w14:paraId="173E57BD" w14:textId="17D17B23" w:rsidR="0048510E" w:rsidRPr="003A39E9" w:rsidRDefault="0048510E" w:rsidP="0048510E">
      <w:r w:rsidRPr="003A39E9">
        <w:t>Colby,</w:t>
      </w:r>
      <w:r w:rsidR="003A39E9" w:rsidRPr="003A39E9">
        <w:t xml:space="preserve"> E.</w:t>
      </w:r>
      <w:r w:rsidR="003A39E9">
        <w:t>,</w:t>
      </w:r>
      <w:r w:rsidRPr="003A39E9">
        <w:t xml:space="preserve"> 'Aerial law and war targets', </w:t>
      </w:r>
      <w:r w:rsidRPr="003A39E9">
        <w:rPr>
          <w:i/>
          <w:iCs/>
        </w:rPr>
        <w:t>American Journal of International Law,</w:t>
      </w:r>
      <w:r w:rsidR="00150513">
        <w:t xml:space="preserve"> 19 (1925), 702-715.</w:t>
      </w:r>
    </w:p>
    <w:p w14:paraId="4DB8B990" w14:textId="77777777" w:rsidR="0048510E" w:rsidRDefault="0048510E" w:rsidP="0048510E">
      <w:r w:rsidRPr="003A39E9">
        <w:t>Connolly,</w:t>
      </w:r>
      <w:r w:rsidR="003A39E9" w:rsidRPr="003A39E9">
        <w:t xml:space="preserve"> J.</w:t>
      </w:r>
      <w:r w:rsidR="003A39E9">
        <w:t>,</w:t>
      </w:r>
      <w:r w:rsidRPr="003A39E9">
        <w:t xml:space="preserve"> 'Mauvaise c</w:t>
      </w:r>
      <w:r>
        <w:t xml:space="preserve">onduite: complicity and respectability in the occupied Nord, 1914-1918', </w:t>
      </w:r>
      <w:r>
        <w:rPr>
          <w:i/>
          <w:iCs/>
        </w:rPr>
        <w:t>First World War Studies,</w:t>
      </w:r>
      <w:r>
        <w:t xml:space="preserve"> 4 (2013), 7-21.</w:t>
      </w:r>
    </w:p>
    <w:p w14:paraId="42B3A33A" w14:textId="12578388" w:rsidR="0048510E" w:rsidRDefault="0048510E" w:rsidP="003815E7">
      <w:r w:rsidRPr="007C3DB8">
        <w:t>———</w:t>
      </w:r>
      <w:r>
        <w:t xml:space="preserve">, 'Fresh eyes, dead topic? Writing the history of the occupation of Northern France in the First World War', in </w:t>
      </w:r>
      <w:r>
        <w:rPr>
          <w:i/>
          <w:iCs/>
        </w:rPr>
        <w:t>A century later: looking back on French History 1914-1945</w:t>
      </w:r>
      <w:r>
        <w:t xml:space="preserve">, ed. by </w:t>
      </w:r>
      <w:r w:rsidR="003815E7">
        <w:t>L.</w:t>
      </w:r>
      <w:r>
        <w:t xml:space="preserve"> Broch and </w:t>
      </w:r>
      <w:r w:rsidR="003815E7">
        <w:t>A.</w:t>
      </w:r>
      <w:r w:rsidR="00150513">
        <w:t xml:space="preserve"> Carrol (Basingstoke, 2014), forthcoming.</w:t>
      </w:r>
    </w:p>
    <w:p w14:paraId="0089C0B7" w14:textId="0B7412FB" w:rsidR="0048510E" w:rsidRPr="00457A9A" w:rsidRDefault="0048510E" w:rsidP="00150513">
      <w:pPr>
        <w:rPr>
          <w:lang w:val="fr-FR"/>
        </w:rPr>
      </w:pPr>
      <w:r w:rsidRPr="00853FA3">
        <w:rPr>
          <w:lang w:val="fr-FR"/>
        </w:rPr>
        <w:t xml:space="preserve">———, 'L'occupation du Nord de la France (1914-1918) vue par les Britanniques', </w:t>
      </w:r>
      <w:r w:rsidRPr="00853FA3">
        <w:rPr>
          <w:i/>
          <w:iCs/>
          <w:lang w:val="fr-FR"/>
        </w:rPr>
        <w:t>Revue du Nord,</w:t>
      </w:r>
      <w:r w:rsidR="00150513">
        <w:rPr>
          <w:lang w:val="fr-FR"/>
        </w:rPr>
        <w:t xml:space="preserve"> (2014), forthcoming.</w:t>
      </w:r>
    </w:p>
    <w:p w14:paraId="3FB2DB63" w14:textId="15BDCE8E" w:rsidR="0048510E" w:rsidRDefault="0048510E" w:rsidP="003A39E9">
      <w:pPr>
        <w:rPr>
          <w:lang w:val="fr-FR"/>
        </w:rPr>
      </w:pPr>
      <w:r w:rsidRPr="00C61127">
        <w:rPr>
          <w:lang w:val="fr-FR"/>
        </w:rPr>
        <w:t>Corbin,</w:t>
      </w:r>
      <w:r w:rsidR="003A39E9">
        <w:rPr>
          <w:lang w:val="fr-FR"/>
        </w:rPr>
        <w:t xml:space="preserve"> S.,</w:t>
      </w:r>
      <w:r w:rsidRPr="00C61127">
        <w:rPr>
          <w:lang w:val="fr-FR"/>
        </w:rPr>
        <w:t xml:space="preserve"> and </w:t>
      </w:r>
      <w:r w:rsidR="003A39E9">
        <w:rPr>
          <w:lang w:val="fr-FR"/>
        </w:rPr>
        <w:t xml:space="preserve">E. </w:t>
      </w:r>
      <w:r w:rsidRPr="00C61127">
        <w:rPr>
          <w:lang w:val="fr-FR"/>
        </w:rPr>
        <w:t>Romain,</w:t>
      </w:r>
      <w:r w:rsidR="003A39E9">
        <w:rPr>
          <w:lang w:val="fr-FR"/>
        </w:rPr>
        <w:t xml:space="preserve"> </w:t>
      </w:r>
      <w:r w:rsidRPr="00C61127">
        <w:rPr>
          <w:lang w:val="fr-FR"/>
        </w:rPr>
        <w:t xml:space="preserve">'La propagande et l'usurpation de la démocratie', in </w:t>
      </w:r>
      <w:r w:rsidRPr="00C61127">
        <w:rPr>
          <w:i/>
          <w:iCs/>
          <w:lang w:val="fr-FR"/>
        </w:rPr>
        <w:t>La propagande: images, paroles et manipulation</w:t>
      </w:r>
      <w:r w:rsidRPr="00C61127">
        <w:rPr>
          <w:lang w:val="fr-FR"/>
        </w:rPr>
        <w:t>, ed. by A. Dorna, J. Quellie</w:t>
      </w:r>
      <w:r w:rsidR="00150513">
        <w:rPr>
          <w:lang w:val="fr-FR"/>
        </w:rPr>
        <w:t>n and S. Simonnet (Paris, 2008), 41-54.</w:t>
      </w:r>
    </w:p>
    <w:p w14:paraId="4B973391" w14:textId="5BE8EC1F" w:rsidR="0048510E" w:rsidRDefault="0048510E" w:rsidP="0048510E">
      <w:r>
        <w:t>Davis,</w:t>
      </w:r>
      <w:r w:rsidR="003A39E9">
        <w:t xml:space="preserve"> G.,</w:t>
      </w:r>
      <w:r>
        <w:t xml:space="preserve"> 'The 'Ancona' affair: a case of preventive diplomacy', </w:t>
      </w:r>
      <w:r>
        <w:rPr>
          <w:i/>
          <w:iCs/>
        </w:rPr>
        <w:t>The Journal of Modern History,</w:t>
      </w:r>
      <w:r w:rsidR="00150513">
        <w:t xml:space="preserve"> 38 (1966), 267-277.</w:t>
      </w:r>
    </w:p>
    <w:p w14:paraId="02A21560" w14:textId="4E6FAE61" w:rsidR="0048510E" w:rsidRDefault="0048510E" w:rsidP="0048510E">
      <w:r>
        <w:t xml:space="preserve">de Schaepdrijver </w:t>
      </w:r>
      <w:r w:rsidR="003A39E9">
        <w:t xml:space="preserve"> S., </w:t>
      </w:r>
      <w:r>
        <w:t xml:space="preserve">'Occupation, propaganda and the idea of Belgium', in </w:t>
      </w:r>
      <w:r>
        <w:rPr>
          <w:i/>
          <w:iCs/>
        </w:rPr>
        <w:t>European culture in the Great War</w:t>
      </w:r>
      <w:r>
        <w:t xml:space="preserve">, ed. by A. Roshwald </w:t>
      </w:r>
      <w:r w:rsidR="00150513">
        <w:t>and R. Stites (Cambridge, 1999), 267-294.</w:t>
      </w:r>
    </w:p>
    <w:p w14:paraId="1F1AB33B" w14:textId="6664053D" w:rsidR="0048510E" w:rsidRPr="00C61127" w:rsidRDefault="0048510E" w:rsidP="0048510E">
      <w:pPr>
        <w:rPr>
          <w:lang w:val="fr-FR"/>
        </w:rPr>
      </w:pPr>
      <w:r w:rsidRPr="00C61127">
        <w:rPr>
          <w:lang w:val="fr-FR"/>
        </w:rPr>
        <w:t>Debruyne,</w:t>
      </w:r>
      <w:r w:rsidR="003A39E9">
        <w:rPr>
          <w:lang w:val="fr-FR"/>
        </w:rPr>
        <w:t xml:space="preserve"> E.,</w:t>
      </w:r>
      <w:r w:rsidRPr="00C61127">
        <w:rPr>
          <w:lang w:val="fr-FR"/>
        </w:rPr>
        <w:t xml:space="preserve"> 'Les services de renseignement alliés en Belgique occupée', in </w:t>
      </w:r>
      <w:r w:rsidRPr="00C61127">
        <w:rPr>
          <w:i/>
          <w:iCs/>
          <w:lang w:val="fr-FR"/>
        </w:rPr>
        <w:t>Une guerre totale? La Belgique dans la Première Guerre Mondiale</w:t>
      </w:r>
      <w:r w:rsidRPr="00C61127">
        <w:rPr>
          <w:lang w:val="fr-FR"/>
        </w:rPr>
        <w:t>, ed. by M. Amara, S. Jaumain, B. Majerus</w:t>
      </w:r>
      <w:r w:rsidR="0005443C">
        <w:rPr>
          <w:lang w:val="fr-FR"/>
        </w:rPr>
        <w:t xml:space="preserve"> and A. Vrints (Brussels, 2005), 131-144.</w:t>
      </w:r>
    </w:p>
    <w:p w14:paraId="5E5AB07B" w14:textId="16BD78ED" w:rsidR="0048510E" w:rsidRPr="00C61127" w:rsidRDefault="0048510E" w:rsidP="0048510E">
      <w:pPr>
        <w:rPr>
          <w:lang w:val="fr-FR"/>
        </w:rPr>
      </w:pPr>
      <w:r w:rsidRPr="00C61127">
        <w:rPr>
          <w:lang w:val="fr-FR"/>
        </w:rPr>
        <w:t xml:space="preserve">———, 'Patriotes désintéressés ou espions vénaux? Agents et argent en Belgique et en France occupée, 1914-1918', </w:t>
      </w:r>
      <w:r w:rsidRPr="00C61127">
        <w:rPr>
          <w:i/>
          <w:iCs/>
          <w:lang w:val="fr-FR"/>
        </w:rPr>
        <w:t>Guerres mondiales et conflits contemporains,</w:t>
      </w:r>
      <w:r w:rsidR="0005443C">
        <w:rPr>
          <w:lang w:val="fr-FR"/>
        </w:rPr>
        <w:t xml:space="preserve"> 232 (2008), 25-45.</w:t>
      </w:r>
    </w:p>
    <w:p w14:paraId="58314B8E" w14:textId="1C00FDF5" w:rsidR="0048510E" w:rsidRPr="00C61127" w:rsidRDefault="0048510E" w:rsidP="0048510E">
      <w:pPr>
        <w:rPr>
          <w:lang w:val="fr-FR"/>
        </w:rPr>
      </w:pPr>
      <w:r w:rsidRPr="00C61127">
        <w:rPr>
          <w:lang w:val="fr-FR"/>
        </w:rPr>
        <w:t xml:space="preserve">———, '"Véridiques, antiprussiens et patriotes". Les journaux prohibés en pays occupé. 1914-1918 ', in </w:t>
      </w:r>
      <w:r w:rsidRPr="00C61127">
        <w:rPr>
          <w:i/>
          <w:iCs/>
          <w:lang w:val="fr-FR"/>
        </w:rPr>
        <w:t>La résistance en France et en Belgique occupée (1914-1918)</w:t>
      </w:r>
      <w:r w:rsidRPr="00C61127">
        <w:rPr>
          <w:lang w:val="fr-FR"/>
        </w:rPr>
        <w:t>, ed. by R. Vandenbu</w:t>
      </w:r>
      <w:r w:rsidR="0005443C">
        <w:rPr>
          <w:lang w:val="fr-FR"/>
        </w:rPr>
        <w:t>ssche (Villeneuve-d'Ascq, 2012), 77-97.</w:t>
      </w:r>
    </w:p>
    <w:p w14:paraId="762C5D80" w14:textId="11F1E52E" w:rsidR="0048510E" w:rsidRDefault="0048510E" w:rsidP="003A39E9">
      <w:r>
        <w:t>Debruyne,</w:t>
      </w:r>
      <w:r w:rsidR="003A39E9">
        <w:t xml:space="preserve"> E.,</w:t>
      </w:r>
      <w:r>
        <w:t xml:space="preserve"> and </w:t>
      </w:r>
      <w:r w:rsidR="003A39E9">
        <w:t>S. d</w:t>
      </w:r>
      <w:r>
        <w:t>e Schaepdrijver, '</w:t>
      </w:r>
      <w:r>
        <w:rPr>
          <w:i/>
          <w:iCs/>
        </w:rPr>
        <w:t xml:space="preserve">Sursum Corda: </w:t>
      </w:r>
      <w:r>
        <w:t xml:space="preserve">the underground press in occupied Belgium, 1914-1918', </w:t>
      </w:r>
      <w:r>
        <w:rPr>
          <w:i/>
          <w:iCs/>
        </w:rPr>
        <w:t>First World War Studies,</w:t>
      </w:r>
      <w:r w:rsidR="0005443C">
        <w:t xml:space="preserve"> 4 (2013), 23-38.</w:t>
      </w:r>
    </w:p>
    <w:p w14:paraId="1F0BEC51" w14:textId="2B394E52" w:rsidR="0048510E" w:rsidRDefault="0048510E" w:rsidP="0048510E">
      <w:r>
        <w:t>Demm,</w:t>
      </w:r>
      <w:r w:rsidR="003A39E9">
        <w:t xml:space="preserve"> E.,</w:t>
      </w:r>
      <w:r>
        <w:t xml:space="preserve"> 'Propaganda and caricature in the First World War', </w:t>
      </w:r>
      <w:r>
        <w:rPr>
          <w:i/>
          <w:iCs/>
        </w:rPr>
        <w:t>Journal of Contemporary History,</w:t>
      </w:r>
      <w:r w:rsidR="005D00AB">
        <w:t xml:space="preserve"> 28 (1993), 163-192.</w:t>
      </w:r>
    </w:p>
    <w:p w14:paraId="277599CC" w14:textId="564C0C32" w:rsidR="0048510E" w:rsidRPr="00913FF1" w:rsidRDefault="0048510E" w:rsidP="003815E7">
      <w:r w:rsidRPr="00C61127">
        <w:rPr>
          <w:lang w:val="fr-FR"/>
        </w:rPr>
        <w:t>Deperchin,</w:t>
      </w:r>
      <w:r w:rsidR="003A39E9">
        <w:rPr>
          <w:lang w:val="fr-FR"/>
        </w:rPr>
        <w:t xml:space="preserve"> A.,</w:t>
      </w:r>
      <w:r w:rsidRPr="00C61127">
        <w:rPr>
          <w:lang w:val="fr-FR"/>
        </w:rPr>
        <w:t xml:space="preserve"> 'L'application des traités', in </w:t>
      </w:r>
      <w:r w:rsidRPr="00C61127">
        <w:rPr>
          <w:i/>
          <w:iCs/>
          <w:lang w:val="fr-FR"/>
        </w:rPr>
        <w:t>Encyclopédie de la Grande Guerre 1914-1918</w:t>
      </w:r>
      <w:r w:rsidRPr="00C61127">
        <w:rPr>
          <w:lang w:val="fr-FR"/>
        </w:rPr>
        <w:t xml:space="preserve">, ed. by </w:t>
      </w:r>
      <w:r w:rsidR="003815E7">
        <w:rPr>
          <w:lang w:val="fr-FR"/>
        </w:rPr>
        <w:t>S.</w:t>
      </w:r>
      <w:r w:rsidRPr="00C61127">
        <w:rPr>
          <w:lang w:val="fr-FR"/>
        </w:rPr>
        <w:t xml:space="preserve"> Audoin-Rouzeau and </w:t>
      </w:r>
      <w:r w:rsidR="003815E7">
        <w:rPr>
          <w:lang w:val="fr-FR"/>
        </w:rPr>
        <w:t>J</w:t>
      </w:r>
      <w:r w:rsidRPr="00C61127">
        <w:rPr>
          <w:lang w:val="fr-FR"/>
        </w:rPr>
        <w:t>-</w:t>
      </w:r>
      <w:r w:rsidR="003815E7">
        <w:rPr>
          <w:lang w:val="fr-FR"/>
        </w:rPr>
        <w:t>J.</w:t>
      </w:r>
      <w:r w:rsidRPr="00C61127">
        <w:rPr>
          <w:lang w:val="fr-FR"/>
        </w:rPr>
        <w:t xml:space="preserve"> </w:t>
      </w:r>
      <w:r w:rsidR="00F3161C">
        <w:t>Becker (Paris, 2004), 1019-1032.</w:t>
      </w:r>
    </w:p>
    <w:p w14:paraId="6599EDB1" w14:textId="4912B9F7" w:rsidR="0048510E" w:rsidRPr="00B00595" w:rsidRDefault="0048510E" w:rsidP="0048510E">
      <w:r>
        <w:t>Ellis,</w:t>
      </w:r>
      <w:r w:rsidR="003A39E9">
        <w:t xml:space="preserve"> J.,</w:t>
      </w:r>
      <w:r>
        <w:t xml:space="preserve"> '"The methods of barbarism" and the "Rights of small nations": war propaganda and British pluralism', </w:t>
      </w:r>
      <w:r>
        <w:rPr>
          <w:i/>
          <w:iCs/>
        </w:rPr>
        <w:t>Albion,</w:t>
      </w:r>
      <w:r w:rsidR="005D00AB">
        <w:t xml:space="preserve"> 30 (1998), 49-75.</w:t>
      </w:r>
    </w:p>
    <w:p w14:paraId="5D407D2F" w14:textId="45B0F4D6" w:rsidR="0048510E" w:rsidRDefault="0048510E" w:rsidP="0048510E">
      <w:pPr>
        <w:rPr>
          <w:lang w:val="fr-FR"/>
        </w:rPr>
      </w:pPr>
      <w:r>
        <w:rPr>
          <w:lang w:val="fr-FR"/>
        </w:rPr>
        <w:t>Ellul,</w:t>
      </w:r>
      <w:r w:rsidR="003A39E9">
        <w:rPr>
          <w:lang w:val="fr-FR"/>
        </w:rPr>
        <w:t xml:space="preserve"> J.,</w:t>
      </w:r>
      <w:r w:rsidRPr="00C61127">
        <w:rPr>
          <w:lang w:val="fr-FR"/>
        </w:rPr>
        <w:t xml:space="preserve"> 'Propagande et démocratie', </w:t>
      </w:r>
      <w:r w:rsidRPr="00C61127">
        <w:rPr>
          <w:i/>
          <w:iCs/>
          <w:lang w:val="fr-FR"/>
        </w:rPr>
        <w:t>Revue française de science politique,</w:t>
      </w:r>
      <w:r w:rsidR="005D00AB">
        <w:rPr>
          <w:lang w:val="fr-FR"/>
        </w:rPr>
        <w:t xml:space="preserve"> 3 (1952), 474-504.</w:t>
      </w:r>
    </w:p>
    <w:p w14:paraId="0E0F64C5" w14:textId="2C6C2F1E" w:rsidR="0048510E" w:rsidRDefault="0048510E" w:rsidP="003815E7">
      <w:r>
        <w:t>Ferro,</w:t>
      </w:r>
      <w:r w:rsidR="003A39E9">
        <w:t xml:space="preserve"> M.,</w:t>
      </w:r>
      <w:r>
        <w:t xml:space="preserve"> 'Cultural life in France, 1914-1918', in </w:t>
      </w:r>
      <w:r>
        <w:rPr>
          <w:i/>
          <w:iCs/>
        </w:rPr>
        <w:t>European culture in the Great War</w:t>
      </w:r>
      <w:r>
        <w:t xml:space="preserve">, ed. by </w:t>
      </w:r>
      <w:r w:rsidR="003815E7">
        <w:t>A.</w:t>
      </w:r>
      <w:r>
        <w:t xml:space="preserve"> Roshwald and </w:t>
      </w:r>
      <w:r w:rsidR="003815E7">
        <w:t>R.</w:t>
      </w:r>
      <w:r>
        <w:t xml:space="preserve"> Sti</w:t>
      </w:r>
      <w:r w:rsidR="005D00AB">
        <w:t>tes (Cambridge, 1999), 295-307.</w:t>
      </w:r>
    </w:p>
    <w:p w14:paraId="7F99943B" w14:textId="4C955832" w:rsidR="0048510E" w:rsidRDefault="0048510E" w:rsidP="0048510E">
      <w:r>
        <w:t>Finnan,</w:t>
      </w:r>
      <w:r w:rsidR="003A39E9">
        <w:t xml:space="preserve"> J.,</w:t>
      </w:r>
      <w:r>
        <w:t xml:space="preserve"> 'Punch's portrayal of Redmond, Carson and the Irish question, 1910-1918', </w:t>
      </w:r>
      <w:r>
        <w:rPr>
          <w:i/>
          <w:iCs/>
        </w:rPr>
        <w:t>Irish Historical Studies,</w:t>
      </w:r>
      <w:r w:rsidR="005D00AB">
        <w:t xml:space="preserve"> 33 (2003), 424-451.</w:t>
      </w:r>
    </w:p>
    <w:p w14:paraId="41D8A441" w14:textId="1A27FE5A" w:rsidR="00922A4B" w:rsidRDefault="00922A4B" w:rsidP="003815E7">
      <w:r>
        <w:t xml:space="preserve">Fischer, C., 'Of occupied territories and lost provinces: German and Entente propaganda in the west during World War One', in </w:t>
      </w:r>
      <w:r w:rsidRPr="000F569F">
        <w:rPr>
          <w:i/>
          <w:iCs/>
        </w:rPr>
        <w:t>World War One and propaganda</w:t>
      </w:r>
      <w:r>
        <w:t xml:space="preserve">, ed. by </w:t>
      </w:r>
      <w:r w:rsidR="003815E7">
        <w:t>T.</w:t>
      </w:r>
      <w:r w:rsidR="005D00AB">
        <w:t xml:space="preserve"> Paddock (Boston, 2014), 199-221.</w:t>
      </w:r>
    </w:p>
    <w:p w14:paraId="2F221F2A" w14:textId="3E4E6C3E" w:rsidR="0048510E" w:rsidRPr="00C61127" w:rsidRDefault="0048510E" w:rsidP="003815E7">
      <w:pPr>
        <w:rPr>
          <w:lang w:val="fr-FR"/>
        </w:rPr>
      </w:pPr>
      <w:r w:rsidRPr="00C61127">
        <w:rPr>
          <w:lang w:val="fr-FR"/>
        </w:rPr>
        <w:t>Forcade,</w:t>
      </w:r>
      <w:r w:rsidR="003A39E9">
        <w:rPr>
          <w:lang w:val="fr-FR"/>
        </w:rPr>
        <w:t xml:space="preserve"> O.,</w:t>
      </w:r>
      <w:r w:rsidRPr="00C61127">
        <w:rPr>
          <w:lang w:val="fr-FR"/>
        </w:rPr>
        <w:t xml:space="preserve"> 'Dans l'oeil de la censure: voir ou ne pas voir la guerre', in </w:t>
      </w:r>
      <w:r w:rsidRPr="00C61127">
        <w:rPr>
          <w:i/>
          <w:iCs/>
          <w:lang w:val="fr-FR"/>
        </w:rPr>
        <w:t>Vrai et faux dans la Grande Guerre</w:t>
      </w:r>
      <w:r w:rsidRPr="00C61127">
        <w:rPr>
          <w:lang w:val="fr-FR"/>
        </w:rPr>
        <w:t xml:space="preserve">, ed. by </w:t>
      </w:r>
      <w:r w:rsidR="003815E7">
        <w:rPr>
          <w:lang w:val="fr-FR"/>
        </w:rPr>
        <w:t>C.</w:t>
      </w:r>
      <w:r w:rsidRPr="00C61127">
        <w:rPr>
          <w:lang w:val="fr-FR"/>
        </w:rPr>
        <w:t xml:space="preserve"> Prochasson and </w:t>
      </w:r>
      <w:r w:rsidR="003815E7">
        <w:rPr>
          <w:lang w:val="fr-FR"/>
        </w:rPr>
        <w:t>A.</w:t>
      </w:r>
      <w:r w:rsidR="005D00AB">
        <w:rPr>
          <w:lang w:val="fr-FR"/>
        </w:rPr>
        <w:t xml:space="preserve"> Rasmussen (Paris, 2004), 33-54.</w:t>
      </w:r>
    </w:p>
    <w:p w14:paraId="4B126806" w14:textId="546DD55E" w:rsidR="0048510E" w:rsidRDefault="0048510E" w:rsidP="003815E7">
      <w:pPr>
        <w:rPr>
          <w:lang w:val="fr-FR"/>
        </w:rPr>
      </w:pPr>
      <w:r w:rsidRPr="00C61127">
        <w:rPr>
          <w:lang w:val="fr-FR"/>
        </w:rPr>
        <w:t xml:space="preserve">———, 'Information, censure et propagande', in </w:t>
      </w:r>
      <w:r w:rsidRPr="00C61127">
        <w:rPr>
          <w:i/>
          <w:iCs/>
          <w:lang w:val="fr-FR"/>
        </w:rPr>
        <w:t>Encyclopédie de la Grande Guerre</w:t>
      </w:r>
      <w:r w:rsidRPr="00C61127">
        <w:rPr>
          <w:lang w:val="fr-FR"/>
        </w:rPr>
        <w:t xml:space="preserve">, ed. by </w:t>
      </w:r>
      <w:r w:rsidR="003815E7">
        <w:rPr>
          <w:lang w:val="fr-FR"/>
        </w:rPr>
        <w:t>S.</w:t>
      </w:r>
      <w:r w:rsidRPr="00C61127">
        <w:rPr>
          <w:lang w:val="fr-FR"/>
        </w:rPr>
        <w:t xml:space="preserve"> Audoin-Rouzeau and </w:t>
      </w:r>
      <w:r w:rsidR="003815E7">
        <w:rPr>
          <w:lang w:val="fr-FR"/>
        </w:rPr>
        <w:t>J</w:t>
      </w:r>
      <w:r w:rsidRPr="00C61127">
        <w:rPr>
          <w:lang w:val="fr-FR"/>
        </w:rPr>
        <w:t>-</w:t>
      </w:r>
      <w:r w:rsidR="003815E7">
        <w:rPr>
          <w:lang w:val="fr-FR"/>
        </w:rPr>
        <w:t>J.</w:t>
      </w:r>
      <w:r w:rsidR="00F3161C">
        <w:rPr>
          <w:lang w:val="fr-FR"/>
        </w:rPr>
        <w:t xml:space="preserve"> Becker (Paris, 2004), 451-466.</w:t>
      </w:r>
    </w:p>
    <w:p w14:paraId="1C2D78E3" w14:textId="61EBC81C" w:rsidR="0048510E" w:rsidRDefault="0048510E" w:rsidP="0048510E">
      <w:pPr>
        <w:rPr>
          <w:lang w:val="fr-FR"/>
        </w:rPr>
      </w:pPr>
      <w:r w:rsidRPr="00C61127">
        <w:rPr>
          <w:lang w:val="fr-FR"/>
        </w:rPr>
        <w:t>———</w:t>
      </w:r>
      <w:r w:rsidRPr="00A65F1B">
        <w:rPr>
          <w:lang w:val="fr-FR"/>
        </w:rPr>
        <w:t xml:space="preserve">, 'Voir et dire la guerre à l'heure de la censure (France, 1914-1918)', </w:t>
      </w:r>
      <w:r w:rsidRPr="00A65F1B">
        <w:rPr>
          <w:i/>
          <w:iCs/>
          <w:lang w:val="fr-FR"/>
        </w:rPr>
        <w:t>Le Temps des Médias,</w:t>
      </w:r>
      <w:r w:rsidR="005D00AB">
        <w:rPr>
          <w:lang w:val="fr-FR"/>
        </w:rPr>
        <w:t xml:space="preserve"> 4 (2005), 50-62.</w:t>
      </w:r>
    </w:p>
    <w:p w14:paraId="1783539D" w14:textId="60DDE941" w:rsidR="0048510E" w:rsidRDefault="0048510E" w:rsidP="0048510E">
      <w:r>
        <w:t>Grayzel,</w:t>
      </w:r>
      <w:r w:rsidR="003A39E9">
        <w:t xml:space="preserve"> S.,</w:t>
      </w:r>
      <w:r>
        <w:t xml:space="preserve"> 'The souls of soldiers: civilians under fire in the First World War', </w:t>
      </w:r>
      <w:r>
        <w:rPr>
          <w:i/>
          <w:iCs/>
        </w:rPr>
        <w:t>The Journal of Modern History,</w:t>
      </w:r>
      <w:r w:rsidR="005D00AB">
        <w:t xml:space="preserve"> 78 (2006), 588-627.</w:t>
      </w:r>
    </w:p>
    <w:p w14:paraId="242B7BE3" w14:textId="66202263" w:rsidR="0048510E" w:rsidRDefault="0048510E" w:rsidP="0048510E">
      <w:r>
        <w:t>Greenhalgh,</w:t>
      </w:r>
      <w:r w:rsidR="003A39E9">
        <w:t xml:space="preserve"> E.,</w:t>
      </w:r>
      <w:r>
        <w:t xml:space="preserve"> '"Parade ground soldiers": French army assessments of the British on the Somme in 1916.', </w:t>
      </w:r>
      <w:r>
        <w:rPr>
          <w:i/>
          <w:iCs/>
        </w:rPr>
        <w:t>The Journal of Military History,</w:t>
      </w:r>
      <w:r w:rsidR="005D00AB">
        <w:t xml:space="preserve"> 63 (1999), 283-312.</w:t>
      </w:r>
    </w:p>
    <w:p w14:paraId="333C82BD" w14:textId="2F062104" w:rsidR="0048510E" w:rsidRDefault="0048510E" w:rsidP="0048510E">
      <w:r>
        <w:t>Grey,</w:t>
      </w:r>
      <w:r w:rsidR="003A39E9">
        <w:t xml:space="preserve"> B.,</w:t>
      </w:r>
      <w:r>
        <w:t xml:space="preserve"> 'Pusher pilot with 22', </w:t>
      </w:r>
      <w:r>
        <w:rPr>
          <w:i/>
          <w:iCs/>
        </w:rPr>
        <w:t>Cross &amp; Cockade,</w:t>
      </w:r>
      <w:r w:rsidR="005D00AB">
        <w:t xml:space="preserve"> 3 (1972), 45-57.</w:t>
      </w:r>
    </w:p>
    <w:p w14:paraId="33706D3E" w14:textId="3D50BBC4" w:rsidR="0048510E" w:rsidRDefault="0048510E" w:rsidP="0048510E">
      <w:r>
        <w:t>Gullace,</w:t>
      </w:r>
      <w:r w:rsidR="003A39E9">
        <w:t xml:space="preserve"> N.,</w:t>
      </w:r>
      <w:r>
        <w:t xml:space="preserve"> 'Sexual violence and family honor: British propaganda and international law during the First World War', </w:t>
      </w:r>
      <w:r>
        <w:rPr>
          <w:i/>
          <w:iCs/>
        </w:rPr>
        <w:t>The American Historical Review,</w:t>
      </w:r>
      <w:r w:rsidR="005D00AB">
        <w:t xml:space="preserve"> 102 (1997), 714-747.</w:t>
      </w:r>
    </w:p>
    <w:p w14:paraId="7B1BC287" w14:textId="5AA3511F" w:rsidR="0048510E" w:rsidRDefault="0048510E" w:rsidP="0048510E">
      <w:r>
        <w:t>Helmreich,</w:t>
      </w:r>
      <w:r w:rsidR="003A39E9">
        <w:t xml:space="preserve"> J.,</w:t>
      </w:r>
      <w:r>
        <w:t xml:space="preserve"> 'Belgian concern over neutrality and British intentions, 1906-1914', </w:t>
      </w:r>
      <w:r>
        <w:rPr>
          <w:i/>
          <w:iCs/>
        </w:rPr>
        <w:t>The Journal of Modern History,</w:t>
      </w:r>
      <w:r w:rsidR="005D00AB">
        <w:t xml:space="preserve"> 36 (1964), 416-427.</w:t>
      </w:r>
    </w:p>
    <w:p w14:paraId="7302C188" w14:textId="6C3094BF" w:rsidR="0048510E" w:rsidRDefault="0048510E" w:rsidP="0048510E">
      <w:r>
        <w:t>Hewitson,</w:t>
      </w:r>
      <w:r w:rsidR="003A39E9">
        <w:t xml:space="preserve"> M.,</w:t>
      </w:r>
      <w:r>
        <w:t xml:space="preserve"> 'Germany and France before the First World War: a reassessment of Whilhelmine foreign policy', </w:t>
      </w:r>
      <w:r>
        <w:rPr>
          <w:i/>
          <w:iCs/>
        </w:rPr>
        <w:t>The English Historical Review,</w:t>
      </w:r>
      <w:r w:rsidR="005D00AB">
        <w:t xml:space="preserve"> 115 (2000), 570-606.</w:t>
      </w:r>
    </w:p>
    <w:p w14:paraId="4BC76E6C" w14:textId="3AF617A5" w:rsidR="0048510E" w:rsidRDefault="0048510E" w:rsidP="003815E7">
      <w:pPr>
        <w:rPr>
          <w:lang w:val="fr-FR"/>
        </w:rPr>
      </w:pPr>
      <w:r w:rsidRPr="00C61127">
        <w:rPr>
          <w:lang w:val="fr-FR"/>
        </w:rPr>
        <w:t>Horne,</w:t>
      </w:r>
      <w:r w:rsidR="003A39E9">
        <w:rPr>
          <w:lang w:val="fr-FR"/>
        </w:rPr>
        <w:t xml:space="preserve"> J.,</w:t>
      </w:r>
      <w:r w:rsidRPr="00C61127">
        <w:rPr>
          <w:lang w:val="fr-FR"/>
        </w:rPr>
        <w:t xml:space="preserve"> 'Information, opinion publique et l'offensive de Nivelles du 16 avril 1917', in </w:t>
      </w:r>
      <w:r w:rsidRPr="00C61127">
        <w:rPr>
          <w:i/>
          <w:iCs/>
          <w:lang w:val="fr-FR"/>
        </w:rPr>
        <w:t>Images de 1917</w:t>
      </w:r>
      <w:r w:rsidRPr="00C61127">
        <w:rPr>
          <w:lang w:val="fr-FR"/>
        </w:rPr>
        <w:t xml:space="preserve">, ed. by </w:t>
      </w:r>
      <w:r w:rsidR="003815E7">
        <w:rPr>
          <w:lang w:val="fr-FR"/>
        </w:rPr>
        <w:t>L.</w:t>
      </w:r>
      <w:r w:rsidRPr="00C61127">
        <w:rPr>
          <w:lang w:val="fr-FR"/>
        </w:rPr>
        <w:t xml:space="preserve"> Gervereau and </w:t>
      </w:r>
      <w:r w:rsidR="003815E7">
        <w:rPr>
          <w:lang w:val="fr-FR"/>
        </w:rPr>
        <w:t>C.</w:t>
      </w:r>
      <w:r w:rsidRPr="00C61127">
        <w:rPr>
          <w:lang w:val="fr-FR"/>
        </w:rPr>
        <w:t xml:space="preserve"> Procha</w:t>
      </w:r>
      <w:r w:rsidR="00EA3296">
        <w:rPr>
          <w:lang w:val="fr-FR"/>
        </w:rPr>
        <w:t>sson (Paris and Nanterre, 1987), 72-78.</w:t>
      </w:r>
    </w:p>
    <w:p w14:paraId="3CE4145B" w14:textId="2618F04A" w:rsidR="0048510E" w:rsidRPr="00C61127" w:rsidRDefault="0048510E" w:rsidP="003815E7">
      <w:pPr>
        <w:rPr>
          <w:lang w:val="fr-FR"/>
        </w:rPr>
      </w:pPr>
      <w:r w:rsidRPr="00C61127">
        <w:rPr>
          <w:lang w:val="fr-FR"/>
        </w:rPr>
        <w:t xml:space="preserve">———, '"Propagande" et "vérité" dans la Grande Guerre', in </w:t>
      </w:r>
      <w:r w:rsidRPr="00C61127">
        <w:rPr>
          <w:i/>
          <w:iCs/>
          <w:lang w:val="fr-FR"/>
        </w:rPr>
        <w:t>Vrai et faux dans la Grande Guerre</w:t>
      </w:r>
      <w:r w:rsidRPr="00C61127">
        <w:rPr>
          <w:lang w:val="fr-FR"/>
        </w:rPr>
        <w:t xml:space="preserve">, ed. by </w:t>
      </w:r>
      <w:r w:rsidR="003815E7">
        <w:rPr>
          <w:lang w:val="fr-FR"/>
        </w:rPr>
        <w:t>C.</w:t>
      </w:r>
      <w:r w:rsidRPr="00C61127">
        <w:rPr>
          <w:lang w:val="fr-FR"/>
        </w:rPr>
        <w:t xml:space="preserve"> Prochasson and </w:t>
      </w:r>
      <w:r w:rsidR="003815E7">
        <w:rPr>
          <w:lang w:val="fr-FR"/>
        </w:rPr>
        <w:t>A.</w:t>
      </w:r>
      <w:r w:rsidR="00EA3296">
        <w:rPr>
          <w:lang w:val="fr-FR"/>
        </w:rPr>
        <w:t xml:space="preserve"> Rasmussen (Paris, 2004), 76-95.</w:t>
      </w:r>
    </w:p>
    <w:p w14:paraId="14EDA8D9" w14:textId="422F4754" w:rsidR="0048510E" w:rsidRDefault="0048510E" w:rsidP="0048510E">
      <w:r>
        <w:t xml:space="preserve">———, 'Remobilizing for 'Total War': France and Britain, 1917-1918', in </w:t>
      </w:r>
      <w:r>
        <w:rPr>
          <w:i/>
          <w:iCs/>
        </w:rPr>
        <w:t>State, society and mobilization in Europe during the First World War</w:t>
      </w:r>
      <w:r>
        <w:t>, ed</w:t>
      </w:r>
      <w:r w:rsidR="00EA3296">
        <w:t>. by J. Horne (Cambridge, 1997), 195-211.</w:t>
      </w:r>
    </w:p>
    <w:p w14:paraId="7C7352BD" w14:textId="10110D2B" w:rsidR="0048510E" w:rsidRDefault="0048510E" w:rsidP="003A39E9">
      <w:r>
        <w:t>Horne</w:t>
      </w:r>
      <w:r w:rsidR="003A39E9">
        <w:t>, J.,</w:t>
      </w:r>
      <w:r>
        <w:t xml:space="preserve"> and </w:t>
      </w:r>
      <w:r w:rsidR="003A39E9">
        <w:t>A.</w:t>
      </w:r>
      <w:r>
        <w:t xml:space="preserve"> Kramer, ''German atrocities' and Franco-German opinion, 1914', </w:t>
      </w:r>
      <w:r>
        <w:rPr>
          <w:i/>
          <w:iCs/>
        </w:rPr>
        <w:t>Journal of Modern History,</w:t>
      </w:r>
      <w:r w:rsidR="00EA3296">
        <w:t xml:space="preserve"> 66 (1994), 1-33.</w:t>
      </w:r>
    </w:p>
    <w:p w14:paraId="6F3A088E" w14:textId="281B453A" w:rsidR="0048510E" w:rsidRDefault="0048510E" w:rsidP="003815E7">
      <w:r>
        <w:t xml:space="preserve">———, 'War between soldiers and enemy civilians, 1914-1915', in </w:t>
      </w:r>
      <w:r>
        <w:rPr>
          <w:i/>
          <w:iCs/>
        </w:rPr>
        <w:t>Great War, Total War</w:t>
      </w:r>
      <w:r w:rsidR="00B20F60" w:rsidRPr="00B20F60">
        <w:rPr>
          <w:i/>
          <w:iCs/>
        </w:rPr>
        <w:t>: combat and mobilization on the Western front, 1914-1918</w:t>
      </w:r>
      <w:r w:rsidR="00B20F60">
        <w:t>,</w:t>
      </w:r>
      <w:r>
        <w:t xml:space="preserve"> ed. by </w:t>
      </w:r>
      <w:r w:rsidR="003815E7">
        <w:t>R.</w:t>
      </w:r>
      <w:r>
        <w:t xml:space="preserve"> Chickering and </w:t>
      </w:r>
      <w:r w:rsidR="003815E7">
        <w:t>S.</w:t>
      </w:r>
      <w:r>
        <w:t xml:space="preserve"> F</w:t>
      </w:r>
      <w:r w:rsidR="00EA3296">
        <w:t>örster (Washington D. C., 2000), 153-168.</w:t>
      </w:r>
    </w:p>
    <w:p w14:paraId="20671F02" w14:textId="38129E84" w:rsidR="0048510E" w:rsidRDefault="0048510E" w:rsidP="0048510E">
      <w:pPr>
        <w:rPr>
          <w:lang w:val="fr-FR"/>
        </w:rPr>
      </w:pPr>
      <w:r w:rsidRPr="002F37E4">
        <w:rPr>
          <w:lang w:val="fr-FR"/>
        </w:rPr>
        <w:t>Joly,</w:t>
      </w:r>
      <w:r w:rsidR="003A39E9">
        <w:rPr>
          <w:lang w:val="fr-FR"/>
        </w:rPr>
        <w:t xml:space="preserve"> B.,</w:t>
      </w:r>
      <w:r w:rsidRPr="002F37E4">
        <w:rPr>
          <w:lang w:val="fr-FR"/>
        </w:rPr>
        <w:t xml:space="preserve"> 'La France et la Revanche (1871-1914)', </w:t>
      </w:r>
      <w:r w:rsidRPr="0031767B">
        <w:rPr>
          <w:i/>
          <w:iCs/>
          <w:lang w:val="fr-FR"/>
        </w:rPr>
        <w:t>Revue d'histoire moderne et contemporaine</w:t>
      </w:r>
      <w:r w:rsidR="00EA3296">
        <w:rPr>
          <w:lang w:val="fr-FR"/>
        </w:rPr>
        <w:t>, 46 (1999), 325-347.</w:t>
      </w:r>
    </w:p>
    <w:p w14:paraId="2F1D471A" w14:textId="3E32343F" w:rsidR="0048510E" w:rsidRPr="00913FF1" w:rsidRDefault="0048510E" w:rsidP="003815E7">
      <w:r w:rsidRPr="0031767B">
        <w:rPr>
          <w:lang w:val="fr-FR"/>
        </w:rPr>
        <w:t>———</w:t>
      </w:r>
      <w:r w:rsidRPr="00C61127">
        <w:rPr>
          <w:lang w:val="fr-FR"/>
        </w:rPr>
        <w:t xml:space="preserve">, 'Le souvenir de 1870 et la place de la Revanche', in </w:t>
      </w:r>
      <w:r w:rsidRPr="00C61127">
        <w:rPr>
          <w:i/>
          <w:iCs/>
          <w:lang w:val="fr-FR"/>
        </w:rPr>
        <w:t>Encyclopédie de la Grande Guerre</w:t>
      </w:r>
      <w:r w:rsidRPr="00C61127">
        <w:rPr>
          <w:lang w:val="fr-FR"/>
        </w:rPr>
        <w:t xml:space="preserve">, ed. by </w:t>
      </w:r>
      <w:r w:rsidR="003815E7">
        <w:rPr>
          <w:lang w:val="fr-FR"/>
        </w:rPr>
        <w:t>S.</w:t>
      </w:r>
      <w:r w:rsidRPr="00C61127">
        <w:rPr>
          <w:lang w:val="fr-FR"/>
        </w:rPr>
        <w:t xml:space="preserve"> Audoin-Rouzeau and </w:t>
      </w:r>
      <w:r w:rsidR="003815E7">
        <w:rPr>
          <w:lang w:val="fr-FR"/>
        </w:rPr>
        <w:t>J</w:t>
      </w:r>
      <w:r w:rsidRPr="00C61127">
        <w:rPr>
          <w:lang w:val="fr-FR"/>
        </w:rPr>
        <w:t>-</w:t>
      </w:r>
      <w:r w:rsidR="003815E7">
        <w:rPr>
          <w:lang w:val="fr-FR"/>
        </w:rPr>
        <w:t>J.</w:t>
      </w:r>
      <w:r w:rsidRPr="00C61127">
        <w:rPr>
          <w:lang w:val="fr-FR"/>
        </w:rPr>
        <w:t xml:space="preserve"> </w:t>
      </w:r>
      <w:r w:rsidRPr="00913FF1">
        <w:t>Becker</w:t>
      </w:r>
      <w:r w:rsidR="00F3161C">
        <w:t xml:space="preserve"> (Paris, 2004), 109-124.</w:t>
      </w:r>
    </w:p>
    <w:p w14:paraId="113D6CD7" w14:textId="1DE798D2" w:rsidR="0048510E" w:rsidRDefault="0048510E" w:rsidP="0048510E">
      <w:r>
        <w:t>Kassimeris,</w:t>
      </w:r>
      <w:r w:rsidR="003A39E9">
        <w:t xml:space="preserve"> G.,</w:t>
      </w:r>
      <w:r>
        <w:t xml:space="preserve"> 'The barbarisation of warfare: a user's manuel', in </w:t>
      </w:r>
      <w:r>
        <w:rPr>
          <w:i/>
          <w:iCs/>
        </w:rPr>
        <w:t>The barbarisation of warfare</w:t>
      </w:r>
      <w:r>
        <w:t xml:space="preserve">, ed. </w:t>
      </w:r>
      <w:r w:rsidR="00EA3296">
        <w:t>by G. Kassimeris (London, 2006), 1-18.</w:t>
      </w:r>
    </w:p>
    <w:p w14:paraId="7C853703" w14:textId="0B84B50A" w:rsidR="0048510E" w:rsidRDefault="0048510E" w:rsidP="003A39E9">
      <w:pPr>
        <w:rPr>
          <w:lang w:val="fr-FR"/>
        </w:rPr>
      </w:pPr>
      <w:r w:rsidRPr="00C61127">
        <w:rPr>
          <w:lang w:val="fr-FR"/>
        </w:rPr>
        <w:t>Lagadec,</w:t>
      </w:r>
      <w:r w:rsidR="003A39E9">
        <w:rPr>
          <w:lang w:val="fr-FR"/>
        </w:rPr>
        <w:t xml:space="preserve"> Y.,</w:t>
      </w:r>
      <w:r w:rsidRPr="00C61127">
        <w:rPr>
          <w:lang w:val="fr-FR"/>
        </w:rPr>
        <w:t xml:space="preserve"> 'L'approche régionale, quelle pertinence ? Le cas des combattants Bretons dans la Grande Guerre', in </w:t>
      </w:r>
      <w:r w:rsidRPr="00C61127">
        <w:rPr>
          <w:i/>
          <w:iCs/>
          <w:lang w:val="fr-FR"/>
        </w:rPr>
        <w:t>Petites patries dans la Grande Guerre</w:t>
      </w:r>
      <w:r w:rsidRPr="00C61127">
        <w:rPr>
          <w:lang w:val="fr-FR"/>
        </w:rPr>
        <w:t xml:space="preserve">, ed. by </w:t>
      </w:r>
      <w:r w:rsidR="003A39E9">
        <w:rPr>
          <w:lang w:val="fr-FR"/>
        </w:rPr>
        <w:t>M.</w:t>
      </w:r>
      <w:r w:rsidRPr="00C61127">
        <w:rPr>
          <w:lang w:val="fr-FR"/>
        </w:rPr>
        <w:t xml:space="preserve"> Bourlet, </w:t>
      </w:r>
      <w:r w:rsidR="003A39E9">
        <w:rPr>
          <w:lang w:val="fr-FR"/>
        </w:rPr>
        <w:t>Y.</w:t>
      </w:r>
      <w:r w:rsidRPr="00C61127">
        <w:rPr>
          <w:lang w:val="fr-FR"/>
        </w:rPr>
        <w:t xml:space="preserve"> Lagadec and </w:t>
      </w:r>
      <w:r w:rsidR="003A39E9">
        <w:rPr>
          <w:lang w:val="fr-FR"/>
        </w:rPr>
        <w:t>E.</w:t>
      </w:r>
      <w:r w:rsidR="00150513">
        <w:rPr>
          <w:lang w:val="fr-FR"/>
        </w:rPr>
        <w:t xml:space="preserve"> Le Gall (Rennes, 2013), 29-70.</w:t>
      </w:r>
    </w:p>
    <w:p w14:paraId="1D9C7629" w14:textId="2BB352C8" w:rsidR="0048510E" w:rsidRPr="000969FB" w:rsidRDefault="0048510E" w:rsidP="0048510E">
      <w:r>
        <w:t>Laurie,</w:t>
      </w:r>
      <w:r w:rsidR="003A39E9">
        <w:t xml:space="preserve"> C.,</w:t>
      </w:r>
      <w:r>
        <w:t xml:space="preserve"> '"The chanting of crusaders": Captain Heber Blankenhorn and AEF combat propaganda in World War I', </w:t>
      </w:r>
      <w:r>
        <w:rPr>
          <w:i/>
          <w:iCs/>
        </w:rPr>
        <w:t>The Journal of Military History,</w:t>
      </w:r>
      <w:r w:rsidR="00EA3296">
        <w:t xml:space="preserve"> 59 (1995), 457-481.</w:t>
      </w:r>
    </w:p>
    <w:p w14:paraId="166DD757" w14:textId="7941DB47" w:rsidR="0048510E" w:rsidRDefault="0048510E" w:rsidP="0048510E">
      <w:r w:rsidRPr="00000DCE">
        <w:t>Lasswell,</w:t>
      </w:r>
      <w:r w:rsidR="003A39E9">
        <w:t xml:space="preserve"> H.,</w:t>
      </w:r>
      <w:r w:rsidRPr="00000DCE">
        <w:t xml:space="preserve"> </w:t>
      </w:r>
      <w:r>
        <w:t xml:space="preserve">'The theory of political propaganda', </w:t>
      </w:r>
      <w:r>
        <w:rPr>
          <w:i/>
          <w:iCs/>
        </w:rPr>
        <w:t>American Political Science Review,</w:t>
      </w:r>
      <w:r w:rsidR="00150513">
        <w:t xml:space="preserve"> 21 (1927), 627-631.</w:t>
      </w:r>
    </w:p>
    <w:p w14:paraId="0EEAF349" w14:textId="4A7762FE" w:rsidR="0048510E" w:rsidRDefault="0048510E" w:rsidP="0048510E">
      <w:pPr>
        <w:rPr>
          <w:lang w:val="fr-FR"/>
        </w:rPr>
      </w:pPr>
      <w:r w:rsidRPr="00C61127">
        <w:rPr>
          <w:lang w:val="fr-FR"/>
        </w:rPr>
        <w:t>Le Naour,</w:t>
      </w:r>
      <w:r w:rsidR="003A39E9">
        <w:rPr>
          <w:lang w:val="fr-FR"/>
        </w:rPr>
        <w:t xml:space="preserve"> J-Y.,</w:t>
      </w:r>
      <w:r w:rsidRPr="00C61127">
        <w:rPr>
          <w:lang w:val="fr-FR"/>
        </w:rPr>
        <w:t xml:space="preserve"> '"Bouffer du Boche". Animalisation, scatologie et cannibalisme dans la caricature française de la Grande Guerre', </w:t>
      </w:r>
      <w:r w:rsidRPr="00C61127">
        <w:rPr>
          <w:i/>
          <w:iCs/>
          <w:lang w:val="fr-FR"/>
        </w:rPr>
        <w:t>Quasimodo,</w:t>
      </w:r>
      <w:r w:rsidR="00EA3296">
        <w:rPr>
          <w:lang w:val="fr-FR"/>
        </w:rPr>
        <w:t xml:space="preserve"> 8 (2006), 255-261.</w:t>
      </w:r>
    </w:p>
    <w:p w14:paraId="6683E05A" w14:textId="20A19B74" w:rsidR="0048510E" w:rsidRDefault="003A39E9" w:rsidP="0048510E">
      <w:pPr>
        <w:rPr>
          <w:lang w:val="fr-FR"/>
        </w:rPr>
      </w:pPr>
      <w:r w:rsidRPr="0031767B">
        <w:rPr>
          <w:lang w:val="fr-FR"/>
        </w:rPr>
        <w:t>———</w:t>
      </w:r>
      <w:r w:rsidR="0048510E" w:rsidRPr="00C61127">
        <w:rPr>
          <w:lang w:val="fr-FR"/>
        </w:rPr>
        <w:t xml:space="preserve">, 'Femmes tondues et répression des "femmes à boches" en 1918', </w:t>
      </w:r>
      <w:r w:rsidR="0048510E" w:rsidRPr="00C61127">
        <w:rPr>
          <w:i/>
          <w:iCs/>
          <w:lang w:val="fr-FR"/>
        </w:rPr>
        <w:t>Revue d'histoire moderne et contemporaine</w:t>
      </w:r>
      <w:r w:rsidR="00EA3296">
        <w:rPr>
          <w:lang w:val="fr-FR"/>
        </w:rPr>
        <w:t xml:space="preserve"> (2000), 148-158.</w:t>
      </w:r>
    </w:p>
    <w:p w14:paraId="6C42DCAC" w14:textId="76251B7C" w:rsidR="0048510E" w:rsidRPr="00C61127" w:rsidRDefault="0048510E" w:rsidP="0048510E">
      <w:pPr>
        <w:rPr>
          <w:lang w:val="fr-FR"/>
        </w:rPr>
      </w:pPr>
      <w:r w:rsidRPr="00C61127">
        <w:rPr>
          <w:lang w:val="fr-FR"/>
        </w:rPr>
        <w:t>Lemonidou,</w:t>
      </w:r>
      <w:r w:rsidR="003A39E9">
        <w:rPr>
          <w:lang w:val="fr-FR"/>
        </w:rPr>
        <w:t xml:space="preserve"> E.,</w:t>
      </w:r>
      <w:r w:rsidRPr="00C61127">
        <w:rPr>
          <w:lang w:val="fr-FR"/>
        </w:rPr>
        <w:t xml:space="preserve"> 'Entre information et propagande: la Grèce dans la presse britannique et française pendant la Première Guerre Mondiale', </w:t>
      </w:r>
      <w:r w:rsidRPr="00C61127">
        <w:rPr>
          <w:i/>
          <w:iCs/>
          <w:lang w:val="fr-FR"/>
        </w:rPr>
        <w:t>Revue Lisa,</w:t>
      </w:r>
      <w:r w:rsidR="00EA3296">
        <w:rPr>
          <w:lang w:val="fr-FR"/>
        </w:rPr>
        <w:t xml:space="preserve"> IV (2006), 17-28.</w:t>
      </w:r>
    </w:p>
    <w:p w14:paraId="5C18959D" w14:textId="6C411BF2" w:rsidR="0048510E" w:rsidRPr="00C61127" w:rsidRDefault="0048510E" w:rsidP="0048510E">
      <w:pPr>
        <w:rPr>
          <w:lang w:val="fr-FR"/>
        </w:rPr>
      </w:pPr>
      <w:r w:rsidRPr="00C61127">
        <w:rPr>
          <w:lang w:val="fr-FR"/>
        </w:rPr>
        <w:t>Lods,</w:t>
      </w:r>
      <w:r w:rsidR="003A39E9">
        <w:rPr>
          <w:lang w:val="fr-FR"/>
        </w:rPr>
        <w:t xml:space="preserve"> A.,</w:t>
      </w:r>
      <w:r w:rsidRPr="00C61127">
        <w:rPr>
          <w:lang w:val="fr-FR"/>
        </w:rPr>
        <w:t xml:space="preserve"> 'Eloge funèbre de M. Joseph Bidez', </w:t>
      </w:r>
      <w:r w:rsidRPr="00C61127">
        <w:rPr>
          <w:i/>
          <w:iCs/>
          <w:lang w:val="fr-FR"/>
        </w:rPr>
        <w:t>Comptes-rendus des séances de l’Académie des inscriptions et Belles-Lettres,</w:t>
      </w:r>
      <w:r w:rsidR="00EA3296">
        <w:rPr>
          <w:lang w:val="fr-FR"/>
        </w:rPr>
        <w:t xml:space="preserve"> 89 (1945), 476-481.</w:t>
      </w:r>
    </w:p>
    <w:p w14:paraId="36308DDD" w14:textId="212E7610" w:rsidR="0048510E" w:rsidRDefault="0048510E" w:rsidP="0048510E">
      <w:pPr>
        <w:rPr>
          <w:lang w:val="fr-FR"/>
        </w:rPr>
      </w:pPr>
      <w:r w:rsidRPr="00C61127">
        <w:rPr>
          <w:lang w:val="fr-FR"/>
        </w:rPr>
        <w:t>Loez,</w:t>
      </w:r>
      <w:r w:rsidR="003A39E9">
        <w:rPr>
          <w:lang w:val="fr-FR"/>
        </w:rPr>
        <w:t xml:space="preserve"> A.,</w:t>
      </w:r>
      <w:r w:rsidRPr="00C61127">
        <w:rPr>
          <w:lang w:val="fr-FR"/>
        </w:rPr>
        <w:t xml:space="preserve"> 'La bataille avant la bataille: imaginer et deviner l'offensive', in </w:t>
      </w:r>
      <w:r w:rsidRPr="00C61127">
        <w:rPr>
          <w:i/>
          <w:iCs/>
          <w:lang w:val="fr-FR"/>
        </w:rPr>
        <w:t>Le Chemin des Dames</w:t>
      </w:r>
      <w:r w:rsidRPr="00C61127">
        <w:rPr>
          <w:lang w:val="fr-FR"/>
        </w:rPr>
        <w:t>, ed.</w:t>
      </w:r>
      <w:r w:rsidR="00EA3296">
        <w:rPr>
          <w:lang w:val="fr-FR"/>
        </w:rPr>
        <w:t xml:space="preserve"> by N. Offenstadt (Paris, 2004), 197-205.</w:t>
      </w:r>
    </w:p>
    <w:p w14:paraId="7FBF2B5A" w14:textId="77777777" w:rsidR="0048510E" w:rsidRDefault="0048510E" w:rsidP="003A39E9">
      <w:r>
        <w:t>Lumsdaine,</w:t>
      </w:r>
      <w:r w:rsidR="003A39E9">
        <w:t xml:space="preserve"> A.,</w:t>
      </w:r>
      <w:r>
        <w:t xml:space="preserve"> and </w:t>
      </w:r>
      <w:r w:rsidR="003A39E9">
        <w:t>I.</w:t>
      </w:r>
      <w:r>
        <w:t xml:space="preserve"> Janis, 'Resistance to 'Counterpropaganda' produced by one-sided and two-sided 'propaganda' presentations', </w:t>
      </w:r>
      <w:r>
        <w:rPr>
          <w:i/>
          <w:iCs/>
        </w:rPr>
        <w:t>The Public Opinion Quarterly,</w:t>
      </w:r>
      <w:r>
        <w:t xml:space="preserve"> 17 (1953), 311-18.</w:t>
      </w:r>
    </w:p>
    <w:p w14:paraId="63EF1441" w14:textId="4E7A3030" w:rsidR="0048510E" w:rsidRDefault="0048510E" w:rsidP="0048510E">
      <w:r>
        <w:t>Lunn,</w:t>
      </w:r>
      <w:r w:rsidR="003A39E9">
        <w:t xml:space="preserve"> J.,</w:t>
      </w:r>
      <w:r>
        <w:t xml:space="preserve"> ''Les Races Guerrières': racial preconceptions in the French military about West African soldiers during the First World War', </w:t>
      </w:r>
      <w:r>
        <w:rPr>
          <w:i/>
          <w:iCs/>
        </w:rPr>
        <w:t>Journal of Contemporary History,</w:t>
      </w:r>
      <w:r w:rsidR="00EA3296">
        <w:t xml:space="preserve"> 34 (1999), 517-536.</w:t>
      </w:r>
    </w:p>
    <w:p w14:paraId="65E8E57E" w14:textId="5FA4389A" w:rsidR="0048510E" w:rsidRDefault="0048510E" w:rsidP="0048510E">
      <w:r>
        <w:t>Lutz,</w:t>
      </w:r>
      <w:r w:rsidR="003A39E9">
        <w:t xml:space="preserve"> R.,</w:t>
      </w:r>
      <w:r>
        <w:t xml:space="preserve"> 'Studies of World War propaganda, 1914-1933', </w:t>
      </w:r>
      <w:r>
        <w:rPr>
          <w:i/>
          <w:iCs/>
        </w:rPr>
        <w:t>The Journal of Modern History,</w:t>
      </w:r>
      <w:r>
        <w:t xml:space="preserve"> 5</w:t>
      </w:r>
      <w:r w:rsidR="00EA3296">
        <w:t xml:space="preserve"> (1933), 496-516.</w:t>
      </w:r>
    </w:p>
    <w:p w14:paraId="32B8F17C" w14:textId="3846085C" w:rsidR="0048510E" w:rsidRDefault="0048510E" w:rsidP="0048510E">
      <w:r>
        <w:t>Marquis,</w:t>
      </w:r>
      <w:r w:rsidR="003A39E9">
        <w:t xml:space="preserve"> A.,</w:t>
      </w:r>
      <w:r>
        <w:t xml:space="preserve"> 'Words as weapons: propaganda in Britain and Germany during the First World War', </w:t>
      </w:r>
      <w:r>
        <w:rPr>
          <w:i/>
          <w:iCs/>
        </w:rPr>
        <w:t>Journal of Contemporary History,</w:t>
      </w:r>
      <w:r w:rsidR="00EA3296">
        <w:t xml:space="preserve"> 13 (1978), 467-498.</w:t>
      </w:r>
    </w:p>
    <w:p w14:paraId="7C14EC4C" w14:textId="4A86387F" w:rsidR="0048510E" w:rsidRDefault="0048510E" w:rsidP="003A39E9">
      <w:r>
        <w:t>McCombs,</w:t>
      </w:r>
      <w:r w:rsidR="003A39E9">
        <w:t xml:space="preserve"> M.,</w:t>
      </w:r>
      <w:r>
        <w:t xml:space="preserve"> and </w:t>
      </w:r>
      <w:r w:rsidR="003A39E9">
        <w:t>A.</w:t>
      </w:r>
      <w:r>
        <w:t xml:space="preserve"> Reynold, 'How the news shapes our civic agenda', in </w:t>
      </w:r>
      <w:r>
        <w:rPr>
          <w:i/>
          <w:iCs/>
        </w:rPr>
        <w:t>Media effects: advances in theory and research</w:t>
      </w:r>
      <w:r>
        <w:t>, ed. by J. Bryant</w:t>
      </w:r>
      <w:r w:rsidR="00F3161C">
        <w:t xml:space="preserve"> and M. Oliver (New York, 2009), 1-16.</w:t>
      </w:r>
    </w:p>
    <w:p w14:paraId="49BA2009" w14:textId="1F109CEF" w:rsidR="00A918CF" w:rsidRDefault="0048510E" w:rsidP="00A918CF">
      <w:r>
        <w:t>Meilinger,</w:t>
      </w:r>
      <w:r w:rsidR="00A918CF">
        <w:t xml:space="preserve"> P.,</w:t>
      </w:r>
      <w:r>
        <w:t xml:space="preserve"> 'Trenchard and 'Morale Bombing': the evolution of Royal Air Force doctrine before World War II', </w:t>
      </w:r>
      <w:r>
        <w:rPr>
          <w:i/>
          <w:iCs/>
        </w:rPr>
        <w:t>The Journal of Military History,</w:t>
      </w:r>
      <w:r w:rsidR="00EA3296">
        <w:t xml:space="preserve"> 60 (1996), 243-270.</w:t>
      </w:r>
    </w:p>
    <w:p w14:paraId="046BE000" w14:textId="4CE6A783" w:rsidR="0048510E" w:rsidRPr="00A918CF" w:rsidRDefault="0048510E" w:rsidP="00B20F60">
      <w:pPr>
        <w:rPr>
          <w:lang w:val="fr-FR"/>
        </w:rPr>
      </w:pPr>
      <w:r w:rsidRPr="00C61127">
        <w:rPr>
          <w:lang w:val="fr-FR"/>
        </w:rPr>
        <w:t>Michel,</w:t>
      </w:r>
      <w:r w:rsidR="00A918CF">
        <w:rPr>
          <w:lang w:val="fr-FR"/>
        </w:rPr>
        <w:t xml:space="preserve"> M.,</w:t>
      </w:r>
      <w:r w:rsidRPr="00C61127">
        <w:rPr>
          <w:lang w:val="fr-FR"/>
        </w:rPr>
        <w:t xml:space="preserve"> 'Sortir de la Grande Guerre en Afrique', in </w:t>
      </w:r>
      <w:r w:rsidRPr="00C61127">
        <w:rPr>
          <w:i/>
          <w:iCs/>
          <w:lang w:val="fr-FR"/>
        </w:rPr>
        <w:t>Sortir de la Grande Guerre</w:t>
      </w:r>
      <w:r w:rsidRPr="00C61127">
        <w:rPr>
          <w:lang w:val="fr-FR"/>
        </w:rPr>
        <w:t xml:space="preserve">, ed. by </w:t>
      </w:r>
      <w:r w:rsidR="00B20F60">
        <w:rPr>
          <w:lang w:val="fr-FR"/>
        </w:rPr>
        <w:t>S.</w:t>
      </w:r>
      <w:r w:rsidRPr="00C61127">
        <w:rPr>
          <w:lang w:val="fr-FR"/>
        </w:rPr>
        <w:t xml:space="preserve"> Audoin-Rouzeau and </w:t>
      </w:r>
      <w:r w:rsidR="00B20F60">
        <w:rPr>
          <w:lang w:val="fr-FR"/>
        </w:rPr>
        <w:t>C.</w:t>
      </w:r>
      <w:r w:rsidR="00865079">
        <w:rPr>
          <w:lang w:val="fr-FR"/>
        </w:rPr>
        <w:t xml:space="preserve"> Prochasson (Paris, 2008), 393-414.</w:t>
      </w:r>
    </w:p>
    <w:p w14:paraId="397D149A" w14:textId="7917E1F0" w:rsidR="0048510E" w:rsidRPr="00DD241F" w:rsidRDefault="0048510E" w:rsidP="0048510E">
      <w:r>
        <w:t>Monger,</w:t>
      </w:r>
      <w:r w:rsidR="00A918CF">
        <w:t xml:space="preserve"> D.,</w:t>
      </w:r>
      <w:r>
        <w:t xml:space="preserve"> 'Soldiers, propaganda and ideas of home and community in First World War Britain', </w:t>
      </w:r>
      <w:r>
        <w:rPr>
          <w:i/>
          <w:iCs/>
        </w:rPr>
        <w:t>Cultural and Social History,</w:t>
      </w:r>
      <w:r w:rsidR="000A59BE">
        <w:t xml:space="preserve"> 8 (2011), 331-354.</w:t>
      </w:r>
    </w:p>
    <w:p w14:paraId="0E8C1F0E" w14:textId="1817E694" w:rsidR="0048510E" w:rsidRPr="00B00595" w:rsidRDefault="0048510E" w:rsidP="0048510E">
      <w:r>
        <w:t>Morgan,</w:t>
      </w:r>
      <w:r w:rsidR="00A918CF">
        <w:t xml:space="preserve"> K.,</w:t>
      </w:r>
      <w:r>
        <w:t xml:space="preserve"> 'The Boer War and the media', </w:t>
      </w:r>
      <w:r>
        <w:rPr>
          <w:i/>
          <w:iCs/>
        </w:rPr>
        <w:t>Twentieth Century British History,</w:t>
      </w:r>
      <w:r w:rsidR="000A59BE">
        <w:t xml:space="preserve"> 13 (2002), 1-16.</w:t>
      </w:r>
    </w:p>
    <w:p w14:paraId="30901E06" w14:textId="58928D92" w:rsidR="0048510E" w:rsidRDefault="0048510E" w:rsidP="0048510E">
      <w:pPr>
        <w:rPr>
          <w:lang w:val="fr-FR"/>
        </w:rPr>
      </w:pPr>
      <w:r w:rsidRPr="00C61127">
        <w:rPr>
          <w:lang w:val="fr-FR"/>
        </w:rPr>
        <w:t>Navet-Bouron,</w:t>
      </w:r>
      <w:r w:rsidR="00A918CF">
        <w:rPr>
          <w:lang w:val="fr-FR"/>
        </w:rPr>
        <w:t xml:space="preserve"> F.,</w:t>
      </w:r>
      <w:r w:rsidRPr="00C61127">
        <w:rPr>
          <w:lang w:val="fr-FR"/>
        </w:rPr>
        <w:t xml:space="preserve"> 'Censure et dessin de presse en France pendant la Grande Guerre', </w:t>
      </w:r>
      <w:r w:rsidRPr="00C61127">
        <w:rPr>
          <w:i/>
          <w:iCs/>
          <w:lang w:val="fr-FR"/>
        </w:rPr>
        <w:t>Guerres mondiales et conflits contemporains,</w:t>
      </w:r>
      <w:r w:rsidR="000A59BE">
        <w:rPr>
          <w:lang w:val="fr-FR"/>
        </w:rPr>
        <w:t xml:space="preserve"> 197 (2000), 7-19.</w:t>
      </w:r>
    </w:p>
    <w:p w14:paraId="23DCA007" w14:textId="6AC1817A" w:rsidR="0048510E" w:rsidRDefault="0048510E" w:rsidP="00B20F60">
      <w:r>
        <w:t>Offer,</w:t>
      </w:r>
      <w:r w:rsidR="00A918CF">
        <w:t xml:space="preserve"> A.,</w:t>
      </w:r>
      <w:r>
        <w:t xml:space="preserve"> 'Blockade and the strategy of starvation', in </w:t>
      </w:r>
      <w:r>
        <w:rPr>
          <w:i/>
          <w:iCs/>
        </w:rPr>
        <w:t>Great War, Total War</w:t>
      </w:r>
      <w:r w:rsidR="00B20F60" w:rsidRPr="00B20F60">
        <w:rPr>
          <w:i/>
          <w:iCs/>
        </w:rPr>
        <w:t>: combat and mobilization on the Western front, 1914-1918</w:t>
      </w:r>
      <w:r w:rsidR="00B20F60">
        <w:t xml:space="preserve">, </w:t>
      </w:r>
      <w:r>
        <w:t xml:space="preserve">ed. by </w:t>
      </w:r>
      <w:r w:rsidR="00B20F60">
        <w:t xml:space="preserve">R. </w:t>
      </w:r>
      <w:r>
        <w:t xml:space="preserve">Chickering and </w:t>
      </w:r>
      <w:r w:rsidR="00B20F60">
        <w:t>S.</w:t>
      </w:r>
      <w:r w:rsidR="00D72542">
        <w:t xml:space="preserve"> Förster (Cambridge, 2000), 169-188.</w:t>
      </w:r>
    </w:p>
    <w:p w14:paraId="61F3E9D5" w14:textId="1365A351" w:rsidR="0048510E" w:rsidRDefault="0048510E" w:rsidP="0048510E">
      <w:pPr>
        <w:rPr>
          <w:lang w:val="fr-FR"/>
        </w:rPr>
      </w:pPr>
      <w:r w:rsidRPr="00C61127">
        <w:rPr>
          <w:lang w:val="fr-FR"/>
        </w:rPr>
        <w:t>Olivera,</w:t>
      </w:r>
      <w:r w:rsidR="00A918CF">
        <w:rPr>
          <w:lang w:val="fr-FR"/>
        </w:rPr>
        <w:t xml:space="preserve"> P.,</w:t>
      </w:r>
      <w:r w:rsidRPr="00C61127">
        <w:rPr>
          <w:lang w:val="fr-FR"/>
        </w:rPr>
        <w:t xml:space="preserve"> 'La bataille introuvable', in </w:t>
      </w:r>
      <w:r w:rsidRPr="00C61127">
        <w:rPr>
          <w:i/>
          <w:iCs/>
          <w:lang w:val="fr-FR"/>
        </w:rPr>
        <w:t>Le Chemin des Dames</w:t>
      </w:r>
      <w:r w:rsidRPr="00C61127">
        <w:rPr>
          <w:lang w:val="fr-FR"/>
        </w:rPr>
        <w:t>, ed</w:t>
      </w:r>
      <w:r w:rsidR="00F3161C">
        <w:rPr>
          <w:lang w:val="fr-FR"/>
        </w:rPr>
        <w:t>. by N. Offenstadt (Paris 2004), 51-66.</w:t>
      </w:r>
    </w:p>
    <w:p w14:paraId="655E808B" w14:textId="286176AA" w:rsidR="0048510E" w:rsidRDefault="0048510E" w:rsidP="0048510E">
      <w:pPr>
        <w:rPr>
          <w:lang w:val="fr-FR"/>
        </w:rPr>
      </w:pPr>
      <w:r w:rsidRPr="00C61127">
        <w:rPr>
          <w:lang w:val="fr-FR"/>
        </w:rPr>
        <w:t>Pernot,</w:t>
      </w:r>
      <w:r w:rsidR="00A918CF">
        <w:rPr>
          <w:lang w:val="fr-FR"/>
        </w:rPr>
        <w:t xml:space="preserve"> F.,</w:t>
      </w:r>
      <w:r w:rsidRPr="00C61127">
        <w:rPr>
          <w:lang w:val="fr-FR"/>
        </w:rPr>
        <w:t xml:space="preserve"> 'La propagande aérienne française en 1914-1918', </w:t>
      </w:r>
      <w:r w:rsidRPr="00C61127">
        <w:rPr>
          <w:i/>
          <w:iCs/>
          <w:lang w:val="fr-FR"/>
        </w:rPr>
        <w:t>Revue Historique des Armées,</w:t>
      </w:r>
      <w:r w:rsidR="00F3161C">
        <w:rPr>
          <w:lang w:val="fr-FR"/>
        </w:rPr>
        <w:t xml:space="preserve"> 1 (1996), 67-81.</w:t>
      </w:r>
    </w:p>
    <w:p w14:paraId="75765179" w14:textId="03BFD3C9" w:rsidR="0048510E" w:rsidRPr="00C03E68" w:rsidRDefault="0048510E" w:rsidP="0048510E">
      <w:pPr>
        <w:rPr>
          <w:lang w:val="de-DE"/>
        </w:rPr>
      </w:pPr>
      <w:r w:rsidRPr="00A2299D">
        <w:rPr>
          <w:lang w:val="de-DE"/>
        </w:rPr>
        <w:t>Pöppinghege,</w:t>
      </w:r>
      <w:r w:rsidR="00A918CF">
        <w:rPr>
          <w:lang w:val="de-DE"/>
        </w:rPr>
        <w:t xml:space="preserve"> R.,</w:t>
      </w:r>
      <w:r w:rsidRPr="00A2299D">
        <w:rPr>
          <w:lang w:val="de-DE"/>
        </w:rPr>
        <w:t xml:space="preserve"> 'Deutsche Auslandspropaganda 1914-1918: Die Gazette des Ardennes und ihr Chefredakteur Fritz H. Schnitzer', </w:t>
      </w:r>
      <w:r w:rsidRPr="00A2299D">
        <w:rPr>
          <w:i/>
          <w:iCs/>
          <w:lang w:val="de-DE"/>
        </w:rPr>
        <w:t>Francia,</w:t>
      </w:r>
      <w:r w:rsidR="00D72542">
        <w:rPr>
          <w:lang w:val="de-DE"/>
        </w:rPr>
        <w:t xml:space="preserve"> 31 (2004), 67-81.</w:t>
      </w:r>
    </w:p>
    <w:p w14:paraId="57208E42" w14:textId="3C30D13A" w:rsidR="0048510E" w:rsidRDefault="0048510E" w:rsidP="0048510E">
      <w:r>
        <w:t>Prein,</w:t>
      </w:r>
      <w:r w:rsidR="00F32C5A">
        <w:t xml:space="preserve"> P.,</w:t>
      </w:r>
      <w:r>
        <w:t xml:space="preserve"> 'Guns and top hats: African resistance in German South West Africa, 1907-1915', </w:t>
      </w:r>
      <w:r>
        <w:rPr>
          <w:i/>
          <w:iCs/>
        </w:rPr>
        <w:t>Journal of Southern African Studies,</w:t>
      </w:r>
      <w:r w:rsidR="00D72542">
        <w:t xml:space="preserve"> 20 (1994), 99-121.</w:t>
      </w:r>
    </w:p>
    <w:p w14:paraId="16FE6B32" w14:textId="437DA9A3" w:rsidR="0048510E" w:rsidRPr="008A4775" w:rsidRDefault="0048510E" w:rsidP="00B20F60">
      <w:r w:rsidRPr="00C61127">
        <w:rPr>
          <w:lang w:val="fr-FR"/>
        </w:rPr>
        <w:t>Prochasson,</w:t>
      </w:r>
      <w:r w:rsidR="00F32C5A">
        <w:rPr>
          <w:lang w:val="fr-FR"/>
        </w:rPr>
        <w:t xml:space="preserve"> C.,</w:t>
      </w:r>
      <w:r w:rsidRPr="00C61127">
        <w:rPr>
          <w:lang w:val="fr-FR"/>
        </w:rPr>
        <w:t xml:space="preserve"> 'La guerre en ses cultures', in </w:t>
      </w:r>
      <w:r w:rsidRPr="00C61127">
        <w:rPr>
          <w:i/>
          <w:iCs/>
          <w:lang w:val="fr-FR"/>
        </w:rPr>
        <w:t>Histoire culturelle de la Grande Guerre</w:t>
      </w:r>
      <w:r w:rsidRPr="00C61127">
        <w:rPr>
          <w:lang w:val="fr-FR"/>
        </w:rPr>
        <w:t xml:space="preserve">, ed. by </w:t>
      </w:r>
      <w:r w:rsidR="00B20F60">
        <w:rPr>
          <w:lang w:val="fr-FR"/>
        </w:rPr>
        <w:t xml:space="preserve">J-J. </w:t>
      </w:r>
      <w:r w:rsidR="00D72542" w:rsidRPr="008A4775">
        <w:t>Becker (Paris, 2005), 255-271.</w:t>
      </w:r>
    </w:p>
    <w:p w14:paraId="39632240" w14:textId="08F5202F" w:rsidR="0048510E" w:rsidRPr="008A4775" w:rsidRDefault="0048510E" w:rsidP="0048510E">
      <w:r w:rsidRPr="008A4775">
        <w:t>Proctors,</w:t>
      </w:r>
      <w:r w:rsidR="00F32C5A" w:rsidRPr="008A4775">
        <w:t xml:space="preserve"> T.,</w:t>
      </w:r>
      <w:r w:rsidRPr="008A4775">
        <w:t xml:space="preserve"> 'Missing in action: Belgian civilians and the First World War', </w:t>
      </w:r>
      <w:r w:rsidRPr="008A4775">
        <w:rPr>
          <w:i/>
          <w:iCs/>
        </w:rPr>
        <w:t>Belgisch Tijdschrift Voor de Nieuwste Tijd</w:t>
      </w:r>
      <w:r w:rsidR="00D72542" w:rsidRPr="008A4775">
        <w:t xml:space="preserve"> , 35 (2005), 547-572.</w:t>
      </w:r>
    </w:p>
    <w:p w14:paraId="2B25B6DC" w14:textId="3196BF6B" w:rsidR="0048510E" w:rsidRDefault="0048510E" w:rsidP="0048510E">
      <w:r w:rsidRPr="00D03EB9">
        <w:t>Purseigle,</w:t>
      </w:r>
      <w:r w:rsidR="00F32C5A">
        <w:t xml:space="preserve"> P.,</w:t>
      </w:r>
      <w:r w:rsidRPr="00D03EB9">
        <w:t xml:space="preserve"> 'A very French debate: the 1914-1918 'war culture'', </w:t>
      </w:r>
      <w:r w:rsidRPr="002369AE">
        <w:rPr>
          <w:i/>
          <w:iCs/>
        </w:rPr>
        <w:t>Journal of War and Culture Studies</w:t>
      </w:r>
      <w:r w:rsidR="00D72542">
        <w:t>, 1 (2008), 9-14.</w:t>
      </w:r>
    </w:p>
    <w:p w14:paraId="60E4E5F2" w14:textId="104F67D1" w:rsidR="0048510E" w:rsidRDefault="0048510E" w:rsidP="0048510E">
      <w:pPr>
        <w:rPr>
          <w:rFonts w:ascii="Arial" w:hAnsi="Arial" w:cs="Arial"/>
          <w:sz w:val="24"/>
          <w:szCs w:val="24"/>
        </w:rPr>
      </w:pPr>
      <w:r w:rsidRPr="00517949">
        <w:t>———</w:t>
      </w:r>
      <w:r w:rsidRPr="0058589D">
        <w:t xml:space="preserve">, ''A wave on to our shores': the exile and resettlement of refugees from the Western front, 1914-1918', </w:t>
      </w:r>
      <w:r w:rsidRPr="00517949">
        <w:rPr>
          <w:i/>
          <w:iCs/>
        </w:rPr>
        <w:t>Contemporay European History</w:t>
      </w:r>
      <w:r w:rsidR="00D72542">
        <w:t>, 16 (2007), 427-444.</w:t>
      </w:r>
    </w:p>
    <w:p w14:paraId="48564E74" w14:textId="6EAC22EB" w:rsidR="0048510E" w:rsidRDefault="0048510E" w:rsidP="0048510E">
      <w:r>
        <w:t>Reeves,</w:t>
      </w:r>
      <w:r w:rsidR="00F32C5A">
        <w:t xml:space="preserve"> N.,</w:t>
      </w:r>
      <w:r>
        <w:t xml:space="preserve"> 'Film prop</w:t>
      </w:r>
      <w:r w:rsidR="00D72542">
        <w:t>aganda and its audience: the exa</w:t>
      </w:r>
      <w:r>
        <w:t xml:space="preserve">mple of Britain's official films during the First World War', </w:t>
      </w:r>
      <w:r>
        <w:rPr>
          <w:i/>
          <w:iCs/>
        </w:rPr>
        <w:t>Journal of Contemporary History,</w:t>
      </w:r>
      <w:r w:rsidR="00D72542">
        <w:t xml:space="preserve"> 18 (1983), 463-494.</w:t>
      </w:r>
    </w:p>
    <w:p w14:paraId="320C944E" w14:textId="455048B0" w:rsidR="0048510E" w:rsidRDefault="0048510E" w:rsidP="0048510E">
      <w:pPr>
        <w:rPr>
          <w:lang w:val="fr-FR"/>
        </w:rPr>
      </w:pPr>
      <w:r w:rsidRPr="00C61127">
        <w:rPr>
          <w:lang w:val="fr-FR"/>
        </w:rPr>
        <w:t>Rioux,</w:t>
      </w:r>
      <w:r w:rsidR="00F32C5A">
        <w:rPr>
          <w:lang w:val="fr-FR"/>
        </w:rPr>
        <w:t xml:space="preserve"> J-P.,</w:t>
      </w:r>
      <w:r w:rsidRPr="00C61127">
        <w:rPr>
          <w:lang w:val="fr-FR"/>
        </w:rPr>
        <w:t xml:space="preserve"> 'Histoire et mémoire au Chemin des Dames', </w:t>
      </w:r>
      <w:r w:rsidRPr="00C61127">
        <w:rPr>
          <w:i/>
          <w:iCs/>
          <w:lang w:val="fr-FR"/>
        </w:rPr>
        <w:t>Vingtième Siècle,</w:t>
      </w:r>
      <w:r w:rsidR="00D72542">
        <w:rPr>
          <w:lang w:val="fr-FR"/>
        </w:rPr>
        <w:t xml:space="preserve"> 68 (2000), 130-131.</w:t>
      </w:r>
    </w:p>
    <w:p w14:paraId="27A237D9" w14:textId="3BF17E71" w:rsidR="0048510E" w:rsidRDefault="0048510E" w:rsidP="0048510E">
      <w:pPr>
        <w:rPr>
          <w:lang w:val="fr-FR"/>
        </w:rPr>
      </w:pPr>
      <w:r w:rsidRPr="002F37E4">
        <w:rPr>
          <w:lang w:val="fr-FR"/>
        </w:rPr>
        <w:t>Robène,</w:t>
      </w:r>
      <w:r w:rsidR="00F32C5A">
        <w:rPr>
          <w:lang w:val="fr-FR"/>
        </w:rPr>
        <w:t xml:space="preserve"> L.,</w:t>
      </w:r>
      <w:r w:rsidRPr="002F37E4">
        <w:rPr>
          <w:lang w:val="fr-FR"/>
        </w:rPr>
        <w:t xml:space="preserve"> 'Les sports aériens: de la compétition sportive à la violence de guerre', </w:t>
      </w:r>
      <w:r w:rsidRPr="00487123">
        <w:rPr>
          <w:i/>
          <w:iCs/>
          <w:lang w:val="fr-FR"/>
        </w:rPr>
        <w:t>Guerres mondiales et conflits contemporains</w:t>
      </w:r>
      <w:r w:rsidR="00D72542">
        <w:rPr>
          <w:lang w:val="fr-FR"/>
        </w:rPr>
        <w:t>, 251 (2013), 25-43.</w:t>
      </w:r>
    </w:p>
    <w:p w14:paraId="15454C90" w14:textId="58A427AB" w:rsidR="0048510E" w:rsidRPr="00C61127" w:rsidRDefault="0048510E" w:rsidP="00B20F60">
      <w:pPr>
        <w:rPr>
          <w:lang w:val="fr-FR"/>
        </w:rPr>
      </w:pPr>
      <w:r>
        <w:rPr>
          <w:lang w:val="fr-FR"/>
        </w:rPr>
        <w:t>Roth,</w:t>
      </w:r>
      <w:r w:rsidR="00F32C5A">
        <w:rPr>
          <w:lang w:val="fr-FR"/>
        </w:rPr>
        <w:t xml:space="preserve"> F.,</w:t>
      </w:r>
      <w:r w:rsidRPr="00C61127">
        <w:rPr>
          <w:lang w:val="fr-FR"/>
        </w:rPr>
        <w:t xml:space="preserve"> 'L'Alsace-Lorraine au début du XXe siècle', in </w:t>
      </w:r>
      <w:r w:rsidRPr="00C61127">
        <w:rPr>
          <w:i/>
          <w:iCs/>
          <w:lang w:val="fr-FR"/>
        </w:rPr>
        <w:t>Encyclopédie de la Grande Guerre</w:t>
      </w:r>
      <w:r w:rsidRPr="00C61127">
        <w:rPr>
          <w:lang w:val="fr-FR"/>
        </w:rPr>
        <w:t xml:space="preserve">, ed. by </w:t>
      </w:r>
      <w:r w:rsidR="00B20F60">
        <w:rPr>
          <w:lang w:val="fr-FR"/>
        </w:rPr>
        <w:t>S.</w:t>
      </w:r>
      <w:r w:rsidRPr="00C61127">
        <w:rPr>
          <w:lang w:val="fr-FR"/>
        </w:rPr>
        <w:t xml:space="preserve"> Audouin-Rouzeau and </w:t>
      </w:r>
      <w:r w:rsidR="00B20F60">
        <w:rPr>
          <w:lang w:val="fr-FR"/>
        </w:rPr>
        <w:t>J-J.</w:t>
      </w:r>
      <w:r w:rsidR="00F3161C">
        <w:rPr>
          <w:lang w:val="fr-FR"/>
        </w:rPr>
        <w:t xml:space="preserve"> Becker (Paris, 2004), 125-134.</w:t>
      </w:r>
    </w:p>
    <w:p w14:paraId="1E96E3CA" w14:textId="1530509B" w:rsidR="0048510E" w:rsidRPr="005C7BEE" w:rsidRDefault="0048510E" w:rsidP="007655CE">
      <w:r w:rsidRPr="00C61127">
        <w:rPr>
          <w:lang w:val="fr-FR"/>
        </w:rPr>
        <w:t xml:space="preserve">———, 'Le retour des provinces perdues', in </w:t>
      </w:r>
      <w:r w:rsidRPr="00C61127">
        <w:rPr>
          <w:i/>
          <w:iCs/>
          <w:lang w:val="fr-FR"/>
        </w:rPr>
        <w:t>Encyclopédie de la Grande Guerre</w:t>
      </w:r>
      <w:r w:rsidRPr="00C61127">
        <w:rPr>
          <w:lang w:val="fr-FR"/>
        </w:rPr>
        <w:t xml:space="preserve">, ed. by </w:t>
      </w:r>
      <w:r w:rsidR="00B20F60">
        <w:rPr>
          <w:lang w:val="fr-FR"/>
        </w:rPr>
        <w:t>S.</w:t>
      </w:r>
      <w:r w:rsidRPr="00C61127">
        <w:rPr>
          <w:lang w:val="fr-FR"/>
        </w:rPr>
        <w:t xml:space="preserve"> Audoin-Rouzeau and </w:t>
      </w:r>
      <w:r w:rsidR="007655CE">
        <w:rPr>
          <w:lang w:val="fr-FR"/>
        </w:rPr>
        <w:t>J-J.</w:t>
      </w:r>
      <w:r w:rsidRPr="00C61127">
        <w:rPr>
          <w:lang w:val="fr-FR"/>
        </w:rPr>
        <w:t xml:space="preserve"> </w:t>
      </w:r>
      <w:r w:rsidR="00F3161C">
        <w:t>Becker (Paris, 2004), 1063-1072.</w:t>
      </w:r>
    </w:p>
    <w:p w14:paraId="1DAD8E0F" w14:textId="5F8C94AE" w:rsidR="0048510E" w:rsidRDefault="0048510E" w:rsidP="0048510E">
      <w:r w:rsidRPr="005C7BEE">
        <w:t>Scott,</w:t>
      </w:r>
      <w:r w:rsidR="00F32C5A" w:rsidRPr="005C7BEE">
        <w:t xml:space="preserve"> P.,</w:t>
      </w:r>
      <w:r w:rsidRPr="005C7BEE">
        <w:t xml:space="preserve"> 'Tea at the De Keyser Hotel - Edward Heron-Allen's colleagues at MI7(b)', </w:t>
      </w:r>
      <w:r w:rsidRPr="005C7BEE">
        <w:rPr>
          <w:i/>
          <w:iCs/>
        </w:rPr>
        <w:t>Opuscullum Heron-Allen Society,</w:t>
      </w:r>
      <w:r w:rsidRPr="005C7BEE">
        <w:t xml:space="preserve"> XII (2008</w:t>
      </w:r>
      <w:r w:rsidR="00D72542">
        <w:t>), 30-40.</w:t>
      </w:r>
    </w:p>
    <w:p w14:paraId="262F887A" w14:textId="04876039" w:rsidR="0048510E" w:rsidRDefault="0048510E" w:rsidP="0048510E">
      <w:pPr>
        <w:rPr>
          <w:lang w:val="fr-FR"/>
        </w:rPr>
      </w:pPr>
      <w:r w:rsidRPr="00C61127">
        <w:rPr>
          <w:lang w:val="fr-FR"/>
        </w:rPr>
        <w:t>Serodes,</w:t>
      </w:r>
      <w:r w:rsidR="00F32C5A">
        <w:rPr>
          <w:lang w:val="fr-FR"/>
        </w:rPr>
        <w:t xml:space="preserve"> F.,</w:t>
      </w:r>
      <w:r w:rsidRPr="00C61127">
        <w:rPr>
          <w:lang w:val="fr-FR"/>
        </w:rPr>
        <w:t xml:space="preserve"> 'La propagande anglophobe allemande en Belgique occupée pendant la Grande Guerre', in </w:t>
      </w:r>
      <w:r w:rsidRPr="00C61127">
        <w:rPr>
          <w:i/>
          <w:iCs/>
          <w:lang w:val="fr-FR"/>
        </w:rPr>
        <w:t xml:space="preserve">La petite Belgique dans la Grande Guerre: une </w:t>
      </w:r>
      <w:r w:rsidR="003815E7" w:rsidRPr="00C61127">
        <w:rPr>
          <w:i/>
          <w:iCs/>
          <w:lang w:val="fr-FR"/>
        </w:rPr>
        <w:t>icône</w:t>
      </w:r>
      <w:r w:rsidRPr="00C61127">
        <w:rPr>
          <w:i/>
          <w:iCs/>
          <w:lang w:val="fr-FR"/>
        </w:rPr>
        <w:t>, des images</w:t>
      </w:r>
      <w:r w:rsidRPr="00C61127">
        <w:rPr>
          <w:lang w:val="fr-FR"/>
        </w:rPr>
        <w:t>, ed. by B. Roc</w:t>
      </w:r>
      <w:r w:rsidR="00D72542">
        <w:rPr>
          <w:lang w:val="fr-FR"/>
        </w:rPr>
        <w:t>het and A. Tixhon (Namur, 2012), 36-58.</w:t>
      </w:r>
    </w:p>
    <w:p w14:paraId="08937E8D" w14:textId="411521EA" w:rsidR="0048510E" w:rsidRDefault="0048510E" w:rsidP="0048510E">
      <w:r>
        <w:t>Silverman,</w:t>
      </w:r>
      <w:r w:rsidR="00F32C5A">
        <w:t xml:space="preserve"> D.,</w:t>
      </w:r>
      <w:r>
        <w:t xml:space="preserve"> 'The economic consequences of Annexation: Alsace-Lorraine and Imperial Germany, 1871-1918', </w:t>
      </w:r>
      <w:r>
        <w:rPr>
          <w:i/>
          <w:iCs/>
        </w:rPr>
        <w:t>Central European History,</w:t>
      </w:r>
      <w:r w:rsidR="00D72542">
        <w:t xml:space="preserve"> 4 (1971), 34-53.</w:t>
      </w:r>
    </w:p>
    <w:p w14:paraId="1D6A8C9D" w14:textId="4A62F804" w:rsidR="0048510E" w:rsidRPr="007655CE" w:rsidRDefault="0048510E" w:rsidP="007655CE">
      <w:r w:rsidRPr="00F32C5A">
        <w:rPr>
          <w:lang w:val="fr-FR"/>
        </w:rPr>
        <w:t>Sirinelli,</w:t>
      </w:r>
      <w:r w:rsidR="00F32C5A" w:rsidRPr="00F32C5A">
        <w:rPr>
          <w:lang w:val="fr-FR"/>
        </w:rPr>
        <w:t xml:space="preserve"> J-F.,</w:t>
      </w:r>
      <w:r w:rsidRPr="00F32C5A">
        <w:rPr>
          <w:lang w:val="fr-FR"/>
        </w:rPr>
        <w:t xml:space="preserve"> 'Les intellectuels français et la guerre', in </w:t>
      </w:r>
      <w:r w:rsidRPr="00F32C5A">
        <w:rPr>
          <w:i/>
          <w:iCs/>
          <w:lang w:val="fr-FR"/>
        </w:rPr>
        <w:t>Les sociétés européennes et la guerre</w:t>
      </w:r>
      <w:r w:rsidRPr="00F32C5A">
        <w:rPr>
          <w:lang w:val="fr-FR"/>
        </w:rPr>
        <w:t xml:space="preserve">, ed. by </w:t>
      </w:r>
      <w:r w:rsidR="007655CE">
        <w:rPr>
          <w:lang w:val="fr-FR"/>
        </w:rPr>
        <w:t>S.</w:t>
      </w:r>
      <w:r w:rsidRPr="00F32C5A">
        <w:rPr>
          <w:lang w:val="fr-FR"/>
        </w:rPr>
        <w:t xml:space="preserve"> Audoin-Rouzeau and </w:t>
      </w:r>
      <w:r w:rsidR="007655CE">
        <w:rPr>
          <w:lang w:val="fr-FR"/>
        </w:rPr>
        <w:t>J-J.</w:t>
      </w:r>
      <w:r w:rsidRPr="00F32C5A">
        <w:rPr>
          <w:lang w:val="fr-FR"/>
        </w:rPr>
        <w:t xml:space="preserve"> </w:t>
      </w:r>
      <w:r w:rsidR="00F3161C">
        <w:t>Becker (Paris, 1990), 145-161.</w:t>
      </w:r>
    </w:p>
    <w:p w14:paraId="1BA12F04" w14:textId="79A338A8" w:rsidR="0048510E" w:rsidRDefault="0048510E" w:rsidP="007655CE">
      <w:r>
        <w:t>Smith,</w:t>
      </w:r>
      <w:r w:rsidR="00F32C5A">
        <w:t xml:space="preserve"> L.,</w:t>
      </w:r>
      <w:r>
        <w:t xml:space="preserve"> 'Remobilizing the citizen-soldier', in </w:t>
      </w:r>
      <w:r>
        <w:rPr>
          <w:i/>
          <w:iCs/>
        </w:rPr>
        <w:t>State, society and mobilization in Europe during the First World War</w:t>
      </w:r>
      <w:r>
        <w:t xml:space="preserve">, ed. by </w:t>
      </w:r>
      <w:r w:rsidR="007655CE">
        <w:t>J.</w:t>
      </w:r>
      <w:r w:rsidR="00D72542">
        <w:t xml:space="preserve"> Horne (Cambridge, 1997), 144-159.</w:t>
      </w:r>
    </w:p>
    <w:p w14:paraId="119566FA" w14:textId="0BF4864E" w:rsidR="00922A4B" w:rsidRPr="00922A4B" w:rsidRDefault="00922A4B" w:rsidP="007655CE">
      <w:pPr>
        <w:rPr>
          <w:lang w:val="fr-FR"/>
        </w:rPr>
      </w:pPr>
      <w:r w:rsidRPr="000F569F">
        <w:rPr>
          <w:lang w:val="fr-FR"/>
        </w:rPr>
        <w:t>Sorgeloos,</w:t>
      </w:r>
      <w:r>
        <w:rPr>
          <w:lang w:val="fr-FR"/>
        </w:rPr>
        <w:t xml:space="preserve"> C.,</w:t>
      </w:r>
      <w:r w:rsidRPr="000F569F">
        <w:rPr>
          <w:lang w:val="fr-FR"/>
        </w:rPr>
        <w:t xml:space="preserve"> and </w:t>
      </w:r>
      <w:r>
        <w:rPr>
          <w:lang w:val="fr-FR"/>
        </w:rPr>
        <w:t xml:space="preserve">G., </w:t>
      </w:r>
      <w:r w:rsidRPr="000F569F">
        <w:rPr>
          <w:lang w:val="fr-FR"/>
        </w:rPr>
        <w:t xml:space="preserve">Veirman, 'La guerre du silence ou le journal de la comtesse d'Oultremont', </w:t>
      </w:r>
      <w:r w:rsidRPr="000F569F">
        <w:rPr>
          <w:i/>
          <w:iCs/>
          <w:lang w:val="fr-FR"/>
        </w:rPr>
        <w:t>Revue belge d'histoire militaire</w:t>
      </w:r>
      <w:r w:rsidR="00D72542">
        <w:rPr>
          <w:lang w:val="fr-FR"/>
        </w:rPr>
        <w:t>, XXIX (1991), 122-144.</w:t>
      </w:r>
    </w:p>
    <w:p w14:paraId="2B9C32FA" w14:textId="742A06E9" w:rsidR="0048510E" w:rsidRDefault="0048510E" w:rsidP="0048510E">
      <w:r>
        <w:t>Spoerer,</w:t>
      </w:r>
      <w:r w:rsidR="00F32C5A">
        <w:t xml:space="preserve"> M.,</w:t>
      </w:r>
      <w:r>
        <w:t xml:space="preserve"> 'The mortality of Allied prisoners of war and Belgian civilian deportees in German custody during the First World War: a reappraisal of the effects of forced labour', </w:t>
      </w:r>
      <w:r>
        <w:rPr>
          <w:i/>
          <w:iCs/>
        </w:rPr>
        <w:t>Population Studies,</w:t>
      </w:r>
      <w:r w:rsidR="00D72542">
        <w:t xml:space="preserve"> 60 (2006), 121-136.</w:t>
      </w:r>
    </w:p>
    <w:p w14:paraId="225C7677" w14:textId="657409E4" w:rsidR="0048510E" w:rsidRDefault="0048510E" w:rsidP="0048510E">
      <w:r>
        <w:t>Stevenson,</w:t>
      </w:r>
      <w:r w:rsidR="00F32C5A">
        <w:t xml:space="preserve"> D.,</w:t>
      </w:r>
      <w:r>
        <w:t xml:space="preserve"> 'Battlefield or barrier? Rearmament and military planning in Belgium, 1902-1914', </w:t>
      </w:r>
      <w:r>
        <w:rPr>
          <w:i/>
          <w:iCs/>
        </w:rPr>
        <w:t>The International History Review,</w:t>
      </w:r>
      <w:r w:rsidR="00D72542">
        <w:t xml:space="preserve"> 29 (2007), 473-507.</w:t>
      </w:r>
    </w:p>
    <w:p w14:paraId="50397E4F" w14:textId="62A50C38" w:rsidR="0048510E" w:rsidRDefault="0048510E" w:rsidP="0048510E">
      <w:r>
        <w:t xml:space="preserve">———, 'Belgium, Luxemburg, and the defence of Western Europe, 1914-1920', </w:t>
      </w:r>
      <w:r>
        <w:rPr>
          <w:i/>
          <w:iCs/>
        </w:rPr>
        <w:t>The International History Review,</w:t>
      </w:r>
      <w:r w:rsidR="00D72542">
        <w:t xml:space="preserve"> 4 (1982), 504-523.</w:t>
      </w:r>
    </w:p>
    <w:p w14:paraId="48AF76B0" w14:textId="5EA6FE7C" w:rsidR="0048510E" w:rsidRDefault="0048510E" w:rsidP="0048510E">
      <w:r>
        <w:t xml:space="preserve">———, 'The failure of peace by negotiation in 1917', </w:t>
      </w:r>
      <w:r>
        <w:rPr>
          <w:i/>
          <w:iCs/>
        </w:rPr>
        <w:t>The Historical Journal,</w:t>
      </w:r>
      <w:r w:rsidR="00D72542">
        <w:t xml:space="preserve"> 34 (1991), 65-86.</w:t>
      </w:r>
    </w:p>
    <w:p w14:paraId="0E691D8D" w14:textId="77777777" w:rsidR="0048510E" w:rsidRDefault="0048510E" w:rsidP="0048510E">
      <w:r>
        <w:t>Street,</w:t>
      </w:r>
      <w:r w:rsidR="00F32C5A">
        <w:t xml:space="preserve"> C.,</w:t>
      </w:r>
      <w:r>
        <w:t xml:space="preserve"> 'Propaganda behind the lines', </w:t>
      </w:r>
      <w:r>
        <w:rPr>
          <w:i/>
          <w:iCs/>
        </w:rPr>
        <w:t>The Cornhill magazine,</w:t>
      </w:r>
      <w:r>
        <w:t xml:space="preserve"> XLVII (1919).</w:t>
      </w:r>
    </w:p>
    <w:p w14:paraId="719F5501" w14:textId="55BB077D" w:rsidR="0048510E" w:rsidRPr="00C61127" w:rsidRDefault="0048510E" w:rsidP="0048510E">
      <w:pPr>
        <w:rPr>
          <w:lang w:val="fr-FR"/>
        </w:rPr>
      </w:pPr>
      <w:r w:rsidRPr="00C61127">
        <w:rPr>
          <w:lang w:val="fr-FR"/>
        </w:rPr>
        <w:t>Taïeb,</w:t>
      </w:r>
      <w:r w:rsidR="00F32C5A">
        <w:rPr>
          <w:lang w:val="fr-FR"/>
        </w:rPr>
        <w:t xml:space="preserve"> E.,</w:t>
      </w:r>
      <w:r w:rsidRPr="00C61127">
        <w:rPr>
          <w:lang w:val="fr-FR"/>
        </w:rPr>
        <w:t xml:space="preserve"> 'Des rumeurs de guerre', </w:t>
      </w:r>
      <w:r w:rsidRPr="00C61127">
        <w:rPr>
          <w:i/>
          <w:iCs/>
          <w:lang w:val="fr-FR"/>
        </w:rPr>
        <w:t>Quaderni,</w:t>
      </w:r>
      <w:r w:rsidR="000D544A">
        <w:rPr>
          <w:lang w:val="fr-FR"/>
        </w:rPr>
        <w:t xml:space="preserve"> 49 (2002), 5-16.</w:t>
      </w:r>
    </w:p>
    <w:p w14:paraId="088CFCB4" w14:textId="64B7640E" w:rsidR="0048510E" w:rsidRDefault="0048510E" w:rsidP="0048510E">
      <w:r>
        <w:t>Taylor,</w:t>
      </w:r>
      <w:r w:rsidR="00F32C5A">
        <w:t xml:space="preserve"> P.,</w:t>
      </w:r>
      <w:r>
        <w:t xml:space="preserve"> 'The Foreign Office and British propaganda during the First World War', </w:t>
      </w:r>
      <w:r>
        <w:rPr>
          <w:i/>
          <w:iCs/>
        </w:rPr>
        <w:t>The Historical Journal,</w:t>
      </w:r>
      <w:r w:rsidR="000D544A">
        <w:t xml:space="preserve"> 23 (1980), 875-898.</w:t>
      </w:r>
    </w:p>
    <w:p w14:paraId="23C74A40" w14:textId="5886611C" w:rsidR="0048510E" w:rsidRPr="00C61127" w:rsidRDefault="0048510E" w:rsidP="007655CE">
      <w:pPr>
        <w:rPr>
          <w:lang w:val="fr-FR"/>
        </w:rPr>
      </w:pPr>
      <w:r w:rsidRPr="00C61127">
        <w:rPr>
          <w:lang w:val="fr-FR"/>
        </w:rPr>
        <w:t>Van Ypersele,</w:t>
      </w:r>
      <w:r w:rsidR="00F32C5A">
        <w:rPr>
          <w:lang w:val="fr-FR"/>
        </w:rPr>
        <w:t xml:space="preserve"> L.,</w:t>
      </w:r>
      <w:r w:rsidRPr="00C61127">
        <w:rPr>
          <w:lang w:val="fr-FR"/>
        </w:rPr>
        <w:t xml:space="preserve"> 'Héros, martyres et traîtres: les fractures de la Belgique libérée', in </w:t>
      </w:r>
      <w:r w:rsidRPr="00C61127">
        <w:rPr>
          <w:i/>
          <w:iCs/>
          <w:lang w:val="fr-FR"/>
        </w:rPr>
        <w:t>Sortir de la Grande Guerre</w:t>
      </w:r>
      <w:r w:rsidRPr="00C61127">
        <w:rPr>
          <w:lang w:val="fr-FR"/>
        </w:rPr>
        <w:t xml:space="preserve">, ed. by </w:t>
      </w:r>
      <w:r w:rsidR="007655CE">
        <w:rPr>
          <w:lang w:val="fr-FR"/>
        </w:rPr>
        <w:t>S.</w:t>
      </w:r>
      <w:r w:rsidRPr="00C61127">
        <w:rPr>
          <w:lang w:val="fr-FR"/>
        </w:rPr>
        <w:t xml:space="preserve"> Audoin-Rouzeau and </w:t>
      </w:r>
      <w:r w:rsidR="007655CE">
        <w:rPr>
          <w:lang w:val="fr-FR"/>
        </w:rPr>
        <w:t>C.</w:t>
      </w:r>
      <w:r w:rsidR="000D544A">
        <w:rPr>
          <w:lang w:val="fr-FR"/>
        </w:rPr>
        <w:t xml:space="preserve"> Prochasson (Paris, 2008), 213-236.</w:t>
      </w:r>
    </w:p>
    <w:p w14:paraId="2F785051" w14:textId="6E520873" w:rsidR="0048510E" w:rsidRDefault="0048510E" w:rsidP="0048510E">
      <w:pPr>
        <w:rPr>
          <w:lang w:val="fr-FR"/>
        </w:rPr>
      </w:pPr>
      <w:r w:rsidRPr="00C61127">
        <w:rPr>
          <w:lang w:val="fr-FR"/>
        </w:rPr>
        <w:t xml:space="preserve">———, 'Sortir de la guerre, sortir de l'occupation: les violences populaires en Belgique au lendemain de la Première Guerre Mondiale', </w:t>
      </w:r>
      <w:r w:rsidRPr="00C61127">
        <w:rPr>
          <w:i/>
          <w:iCs/>
          <w:lang w:val="fr-FR"/>
        </w:rPr>
        <w:t>Le Vingtième Siècle,</w:t>
      </w:r>
      <w:r w:rsidR="000D544A">
        <w:rPr>
          <w:lang w:val="fr-FR"/>
        </w:rPr>
        <w:t xml:space="preserve"> 83 (2004), 65-74.</w:t>
      </w:r>
    </w:p>
    <w:p w14:paraId="35AE0FD0" w14:textId="36402159" w:rsidR="0048510E" w:rsidRDefault="0048510E" w:rsidP="0048510E">
      <w:pPr>
        <w:rPr>
          <w:lang w:val="fr-FR"/>
        </w:rPr>
      </w:pPr>
      <w:r w:rsidRPr="00C61127">
        <w:rPr>
          <w:lang w:val="fr-FR"/>
        </w:rPr>
        <w:t>Vandenbussche,</w:t>
      </w:r>
      <w:r w:rsidR="00F32C5A">
        <w:rPr>
          <w:lang w:val="fr-FR"/>
        </w:rPr>
        <w:t xml:space="preserve"> R.,</w:t>
      </w:r>
      <w:r w:rsidRPr="00C61127">
        <w:rPr>
          <w:lang w:val="fr-FR"/>
        </w:rPr>
        <w:t xml:space="preserve"> 'Le pouvoir municipal à Douai sous l'occupation (1914-1918)', </w:t>
      </w:r>
      <w:r w:rsidRPr="00C61127">
        <w:rPr>
          <w:i/>
          <w:iCs/>
          <w:lang w:val="fr-FR"/>
        </w:rPr>
        <w:t>Revue du Nord,</w:t>
      </w:r>
      <w:r w:rsidR="000D544A">
        <w:rPr>
          <w:lang w:val="fr-FR"/>
        </w:rPr>
        <w:t xml:space="preserve"> 241 (1979), 445-474.</w:t>
      </w:r>
    </w:p>
    <w:p w14:paraId="71A176FA" w14:textId="308ACBFE" w:rsidR="0048510E" w:rsidRDefault="0048510E" w:rsidP="0048510E">
      <w:pPr>
        <w:rPr>
          <w:lang w:val="fr-FR"/>
        </w:rPr>
      </w:pPr>
      <w:r w:rsidRPr="00C61127">
        <w:rPr>
          <w:lang w:val="fr-FR"/>
        </w:rPr>
        <w:t>Vermeil,</w:t>
      </w:r>
      <w:r w:rsidR="00F32C5A">
        <w:rPr>
          <w:lang w:val="fr-FR"/>
        </w:rPr>
        <w:t xml:space="preserve"> E.,</w:t>
      </w:r>
      <w:r w:rsidRPr="00C61127">
        <w:rPr>
          <w:lang w:val="fr-FR"/>
        </w:rPr>
        <w:t xml:space="preserve"> 'Ernest Tonnelat', </w:t>
      </w:r>
      <w:r w:rsidRPr="00C61127">
        <w:rPr>
          <w:i/>
          <w:iCs/>
          <w:lang w:val="fr-FR"/>
        </w:rPr>
        <w:t>Politique étrangère,</w:t>
      </w:r>
      <w:r w:rsidR="000D544A">
        <w:rPr>
          <w:lang w:val="fr-FR"/>
        </w:rPr>
        <w:t xml:space="preserve"> 14 (1949), 100-102.</w:t>
      </w:r>
    </w:p>
    <w:p w14:paraId="5A5E3B8C" w14:textId="2A808CFC" w:rsidR="00922A4B" w:rsidRPr="000F569F" w:rsidRDefault="00922A4B" w:rsidP="00922A4B">
      <w:pPr>
        <w:rPr>
          <w:lang w:val="fr-FR"/>
        </w:rPr>
      </w:pPr>
      <w:r w:rsidRPr="000F569F">
        <w:rPr>
          <w:lang w:val="fr-FR"/>
        </w:rPr>
        <w:t>Vonau,</w:t>
      </w:r>
      <w:r>
        <w:rPr>
          <w:lang w:val="fr-FR"/>
        </w:rPr>
        <w:t xml:space="preserve"> P.,</w:t>
      </w:r>
      <w:r w:rsidRPr="000F569F">
        <w:rPr>
          <w:lang w:val="fr-FR"/>
        </w:rPr>
        <w:t xml:space="preserve"> 'Saverne durant la Grande Guerre', in </w:t>
      </w:r>
      <w:r w:rsidRPr="000F569F">
        <w:rPr>
          <w:i/>
          <w:iCs/>
          <w:lang w:val="fr-FR"/>
        </w:rPr>
        <w:t>Boches ou tricolores: les Alsaciens-Lorrains dans la Grande Guerre</w:t>
      </w:r>
      <w:r w:rsidRPr="000F569F">
        <w:rPr>
          <w:lang w:val="fr-FR"/>
        </w:rPr>
        <w:t xml:space="preserve">, ed. by </w:t>
      </w:r>
      <w:r>
        <w:rPr>
          <w:lang w:val="fr-FR"/>
        </w:rPr>
        <w:t>J-N.</w:t>
      </w:r>
      <w:r w:rsidR="000D544A">
        <w:rPr>
          <w:lang w:val="fr-FR"/>
        </w:rPr>
        <w:t xml:space="preserve"> Grandhomme (Strasbourg, 2008), 103-117.</w:t>
      </w:r>
    </w:p>
    <w:p w14:paraId="6C1F44E5" w14:textId="1678E737" w:rsidR="0048510E" w:rsidRPr="002C0F9C" w:rsidRDefault="0048510E" w:rsidP="0048510E">
      <w:r w:rsidRPr="00C61127">
        <w:rPr>
          <w:lang w:val="fr-FR"/>
        </w:rPr>
        <w:t xml:space="preserve">Werth, </w:t>
      </w:r>
      <w:r w:rsidR="00F32C5A">
        <w:rPr>
          <w:lang w:val="fr-FR"/>
        </w:rPr>
        <w:t xml:space="preserve">N., </w:t>
      </w:r>
      <w:r w:rsidRPr="00C61127">
        <w:rPr>
          <w:lang w:val="fr-FR"/>
        </w:rPr>
        <w:t xml:space="preserve">'Paysans-soldats et sortie de guerre de la Russie en 1917-1918', in </w:t>
      </w:r>
      <w:r w:rsidRPr="00C61127">
        <w:rPr>
          <w:i/>
          <w:iCs/>
          <w:lang w:val="fr-FR"/>
        </w:rPr>
        <w:t>Encyclopédie de la Grande Guerre 1914-1918</w:t>
      </w:r>
      <w:r w:rsidRPr="00C61127">
        <w:rPr>
          <w:lang w:val="fr-FR"/>
        </w:rPr>
        <w:t xml:space="preserve">, ed. by S. Audoin-Rouzeau and J-J. </w:t>
      </w:r>
      <w:r w:rsidR="00D06F57">
        <w:t>Becker (Paris, 2004), 825-838.</w:t>
      </w:r>
    </w:p>
    <w:p w14:paraId="06A2F9A2" w14:textId="62BA443C" w:rsidR="0048510E" w:rsidRPr="000969FB" w:rsidRDefault="0048510E" w:rsidP="0048510E">
      <w:r>
        <w:t>Westermann,</w:t>
      </w:r>
      <w:r w:rsidR="00F32C5A">
        <w:t xml:space="preserve"> E.,</w:t>
      </w:r>
      <w:r>
        <w:t xml:space="preserve"> 'Fighting for the heavens from the ground: German ground-based air defences in the Great War, 1914-1918', </w:t>
      </w:r>
      <w:r>
        <w:rPr>
          <w:i/>
          <w:iCs/>
        </w:rPr>
        <w:t>The Journal of Military History,</w:t>
      </w:r>
      <w:r w:rsidR="000D544A">
        <w:t xml:space="preserve"> 65 (2001), 641-670.</w:t>
      </w:r>
    </w:p>
    <w:p w14:paraId="354F79D1" w14:textId="41398648" w:rsidR="0048510E" w:rsidRDefault="0048510E" w:rsidP="0048510E">
      <w:pPr>
        <w:rPr>
          <w:lang w:val="fr-FR"/>
        </w:rPr>
      </w:pPr>
      <w:r w:rsidRPr="00C61127">
        <w:rPr>
          <w:lang w:val="fr-FR"/>
        </w:rPr>
        <w:t>Willem,</w:t>
      </w:r>
      <w:r w:rsidR="00F32C5A">
        <w:rPr>
          <w:lang w:val="fr-FR"/>
        </w:rPr>
        <w:t xml:space="preserve"> A.,</w:t>
      </w:r>
      <w:r w:rsidRPr="00C61127">
        <w:rPr>
          <w:lang w:val="fr-FR"/>
        </w:rPr>
        <w:t xml:space="preserve"> 'Joseph Hombert', </w:t>
      </w:r>
      <w:r w:rsidRPr="00C61127">
        <w:rPr>
          <w:i/>
          <w:iCs/>
          <w:lang w:val="fr-FR"/>
        </w:rPr>
        <w:t>Revue belge de philologie et d'histoire,</w:t>
      </w:r>
      <w:r w:rsidR="000D544A">
        <w:rPr>
          <w:lang w:val="fr-FR"/>
        </w:rPr>
        <w:t xml:space="preserve"> 27 (1949), 1221-1223.</w:t>
      </w:r>
    </w:p>
    <w:p w14:paraId="45012915" w14:textId="7610B811" w:rsidR="0048510E" w:rsidRDefault="0048510E" w:rsidP="0048510E">
      <w:r>
        <w:t>Winter,</w:t>
      </w:r>
      <w:r w:rsidR="00F32C5A">
        <w:t xml:space="preserve"> J.,</w:t>
      </w:r>
      <w:r>
        <w:t xml:space="preserve"> 'Propaganda and the mobilization of consent', in </w:t>
      </w:r>
      <w:r>
        <w:rPr>
          <w:i/>
          <w:iCs/>
        </w:rPr>
        <w:t>The Oxford illustrated history of the First World War</w:t>
      </w:r>
      <w:r>
        <w:t>, ed</w:t>
      </w:r>
      <w:r w:rsidR="000D544A">
        <w:t>. by H. Strachan (Oxford, 1998), 25-40.</w:t>
      </w:r>
    </w:p>
    <w:p w14:paraId="5891E285" w14:textId="365ABCE8" w:rsidR="0048510E" w:rsidRDefault="0048510E" w:rsidP="0048510E">
      <w:r>
        <w:t xml:space="preserve">———, 'Reflections on war and barbarism', in </w:t>
      </w:r>
      <w:r>
        <w:rPr>
          <w:i/>
          <w:iCs/>
        </w:rPr>
        <w:t>The barbarisation of warfare</w:t>
      </w:r>
      <w:r>
        <w:t xml:space="preserve">, ed. </w:t>
      </w:r>
      <w:r w:rsidR="000D544A">
        <w:t>by G. Kassimeris (London, 2006), 254-266.</w:t>
      </w:r>
    </w:p>
    <w:p w14:paraId="6FABE4A0" w14:textId="4FF22F6A" w:rsidR="0048510E" w:rsidRDefault="0048510E" w:rsidP="0048510E">
      <w:pPr>
        <w:rPr>
          <w:lang w:val="fr-FR"/>
        </w:rPr>
      </w:pPr>
      <w:r w:rsidRPr="00C61127">
        <w:rPr>
          <w:lang w:val="fr-FR"/>
        </w:rPr>
        <w:t>Ziemann,</w:t>
      </w:r>
      <w:r w:rsidR="00F32C5A">
        <w:rPr>
          <w:lang w:val="fr-FR"/>
        </w:rPr>
        <w:t xml:space="preserve"> B.,</w:t>
      </w:r>
      <w:r w:rsidRPr="00C61127">
        <w:rPr>
          <w:lang w:val="fr-FR"/>
        </w:rPr>
        <w:t xml:space="preserve"> 'Le Chemin des Dames dans l'historiographie militaire allemande', in </w:t>
      </w:r>
      <w:r w:rsidRPr="00C61127">
        <w:rPr>
          <w:i/>
          <w:iCs/>
          <w:lang w:val="fr-FR"/>
        </w:rPr>
        <w:t>Le Chemin des Dames</w:t>
      </w:r>
      <w:r w:rsidRPr="00C61127">
        <w:rPr>
          <w:lang w:val="fr-FR"/>
        </w:rPr>
        <w:t>, ed.</w:t>
      </w:r>
      <w:r w:rsidR="00D06F57">
        <w:rPr>
          <w:lang w:val="fr-FR"/>
        </w:rPr>
        <w:t xml:space="preserve"> by N. Offenstadt (Paris, 2004), 535-548.</w:t>
      </w:r>
    </w:p>
    <w:p w14:paraId="306EC5F0" w14:textId="77777777" w:rsidR="0048510E" w:rsidRPr="00DA3879" w:rsidRDefault="0048510E" w:rsidP="0048510E">
      <w:pPr>
        <w:rPr>
          <w:lang w:val="fr-FR"/>
        </w:rPr>
      </w:pPr>
    </w:p>
    <w:p w14:paraId="24AC4CC0" w14:textId="03E7D6B6" w:rsidR="0048510E" w:rsidRPr="00130BFA" w:rsidRDefault="0048510E" w:rsidP="0048510E">
      <w:pPr>
        <w:rPr>
          <w:b/>
          <w:sz w:val="24"/>
          <w:szCs w:val="24"/>
        </w:rPr>
      </w:pPr>
      <w:r w:rsidRPr="00130BFA">
        <w:rPr>
          <w:b/>
          <w:sz w:val="24"/>
          <w:szCs w:val="24"/>
        </w:rPr>
        <w:t>PhD and Master</w:t>
      </w:r>
      <w:r w:rsidR="008C6A86" w:rsidRPr="00130BFA">
        <w:rPr>
          <w:b/>
          <w:sz w:val="24"/>
          <w:szCs w:val="24"/>
        </w:rPr>
        <w:t>s</w:t>
      </w:r>
      <w:r w:rsidR="00130BFA">
        <w:rPr>
          <w:b/>
          <w:sz w:val="24"/>
          <w:szCs w:val="24"/>
        </w:rPr>
        <w:t xml:space="preserve"> These</w:t>
      </w:r>
      <w:r w:rsidRPr="00130BFA">
        <w:rPr>
          <w:b/>
          <w:sz w:val="24"/>
          <w:szCs w:val="24"/>
        </w:rPr>
        <w:t>s</w:t>
      </w:r>
    </w:p>
    <w:p w14:paraId="01091CF3" w14:textId="77777777" w:rsidR="0048510E" w:rsidRDefault="0048510E" w:rsidP="0048510E">
      <w:r>
        <w:t>Brooks,</w:t>
      </w:r>
      <w:r w:rsidR="00B36346">
        <w:t xml:space="preserve"> T.,</w:t>
      </w:r>
      <w:r>
        <w:t xml:space="preserve"> 'British propaganda to France, 1940-1944' (PhD thesis, University of Sheffield, 2004).</w:t>
      </w:r>
    </w:p>
    <w:p w14:paraId="55A8366C" w14:textId="77777777" w:rsidR="0048510E" w:rsidRDefault="0048510E" w:rsidP="0048510E">
      <w:r>
        <w:t>Connolly,</w:t>
      </w:r>
      <w:r w:rsidR="00B36346">
        <w:t xml:space="preserve"> J.,</w:t>
      </w:r>
      <w:r>
        <w:t xml:space="preserve"> 'Encountering Germans: the experience of occupation in the Nord, 1914-1918' (PhD Thesis, King's College London, 2012).</w:t>
      </w:r>
    </w:p>
    <w:p w14:paraId="313CA427" w14:textId="77777777" w:rsidR="0048510E" w:rsidRDefault="0048510E" w:rsidP="0048510E">
      <w:pPr>
        <w:rPr>
          <w:lang w:val="fr-FR"/>
        </w:rPr>
      </w:pPr>
      <w:r w:rsidRPr="00C61127">
        <w:rPr>
          <w:lang w:val="fr-FR"/>
        </w:rPr>
        <w:t>Debarge,</w:t>
      </w:r>
      <w:r w:rsidR="00B36346">
        <w:rPr>
          <w:lang w:val="fr-FR"/>
        </w:rPr>
        <w:t xml:space="preserve"> S.,</w:t>
      </w:r>
      <w:r w:rsidRPr="00C61127">
        <w:rPr>
          <w:lang w:val="fr-FR"/>
        </w:rPr>
        <w:t xml:space="preserve"> 'Fourmies, ville occupée' (Master</w:t>
      </w:r>
      <w:r w:rsidR="008C6A86">
        <w:rPr>
          <w:lang w:val="fr-FR"/>
        </w:rPr>
        <w:t>s</w:t>
      </w:r>
      <w:r w:rsidRPr="00C61127">
        <w:rPr>
          <w:lang w:val="fr-FR"/>
        </w:rPr>
        <w:t xml:space="preserve"> thesis, Lille III, 1997).</w:t>
      </w:r>
    </w:p>
    <w:p w14:paraId="7E724614" w14:textId="77777777" w:rsidR="0048510E" w:rsidRDefault="0048510E" w:rsidP="0048510E">
      <w:pPr>
        <w:rPr>
          <w:lang w:val="fr-FR"/>
        </w:rPr>
      </w:pPr>
      <w:r w:rsidRPr="00C61127">
        <w:rPr>
          <w:lang w:val="fr-FR"/>
        </w:rPr>
        <w:t>Dejardin,</w:t>
      </w:r>
      <w:r w:rsidR="00B36346">
        <w:rPr>
          <w:lang w:val="fr-FR"/>
        </w:rPr>
        <w:t xml:space="preserve"> I.,</w:t>
      </w:r>
      <w:r w:rsidRPr="00C61127">
        <w:rPr>
          <w:lang w:val="fr-FR"/>
        </w:rPr>
        <w:t xml:space="preserve"> 'Tourcoing pendant la Première Guerre Mondiale: une ville occupée' (Master</w:t>
      </w:r>
      <w:r w:rsidR="008C6A86">
        <w:rPr>
          <w:lang w:val="fr-FR"/>
        </w:rPr>
        <w:t>s</w:t>
      </w:r>
      <w:r w:rsidRPr="00C61127">
        <w:rPr>
          <w:lang w:val="fr-FR"/>
        </w:rPr>
        <w:t xml:space="preserve"> thesis, Lille III, 1995).</w:t>
      </w:r>
    </w:p>
    <w:p w14:paraId="00F76C46" w14:textId="77777777" w:rsidR="0048510E" w:rsidRDefault="0048510E" w:rsidP="0048510E">
      <w:pPr>
        <w:rPr>
          <w:lang w:val="fr-FR"/>
        </w:rPr>
      </w:pPr>
      <w:r w:rsidRPr="00C61127">
        <w:rPr>
          <w:lang w:val="fr-FR"/>
        </w:rPr>
        <w:t>Delville,</w:t>
      </w:r>
      <w:r w:rsidR="00B36346">
        <w:rPr>
          <w:lang w:val="fr-FR"/>
        </w:rPr>
        <w:t xml:space="preserve"> S.,</w:t>
      </w:r>
      <w:r w:rsidRPr="00C61127">
        <w:rPr>
          <w:lang w:val="fr-FR"/>
        </w:rPr>
        <w:t xml:space="preserve"> 'Saint-Quentin dans la Grande Guerre' (Master</w:t>
      </w:r>
      <w:r w:rsidR="008C6A86">
        <w:rPr>
          <w:lang w:val="fr-FR"/>
        </w:rPr>
        <w:t>s</w:t>
      </w:r>
      <w:r w:rsidRPr="00C61127">
        <w:rPr>
          <w:lang w:val="fr-FR"/>
        </w:rPr>
        <w:t xml:space="preserve"> thesis, Lille III, 1999).</w:t>
      </w:r>
    </w:p>
    <w:p w14:paraId="2F016869" w14:textId="77777777" w:rsidR="0048510E" w:rsidRDefault="0048510E" w:rsidP="0048510E">
      <w:pPr>
        <w:rPr>
          <w:lang w:val="fr-FR"/>
        </w:rPr>
      </w:pPr>
      <w:r w:rsidRPr="00C61127">
        <w:rPr>
          <w:lang w:val="fr-FR"/>
        </w:rPr>
        <w:t>Fagot,</w:t>
      </w:r>
      <w:r w:rsidR="00B36346">
        <w:rPr>
          <w:lang w:val="fr-FR"/>
        </w:rPr>
        <w:t xml:space="preserve"> M.,</w:t>
      </w:r>
      <w:r w:rsidRPr="00C61127">
        <w:rPr>
          <w:lang w:val="fr-FR"/>
        </w:rPr>
        <w:t xml:space="preserve"> 'La "drôle de guerre": une guerre d'influence' (Master</w:t>
      </w:r>
      <w:r w:rsidR="008C6A86">
        <w:rPr>
          <w:lang w:val="fr-FR"/>
        </w:rPr>
        <w:t>s</w:t>
      </w:r>
      <w:r w:rsidRPr="00C61127">
        <w:rPr>
          <w:lang w:val="fr-FR"/>
        </w:rPr>
        <w:t xml:space="preserve"> thesis, Université Lumière Lyon 2 / Universität Freiburg, 2013).</w:t>
      </w:r>
    </w:p>
    <w:p w14:paraId="640F59B6" w14:textId="77777777" w:rsidR="0048510E" w:rsidRDefault="0048510E" w:rsidP="0048510E">
      <w:pPr>
        <w:rPr>
          <w:lang w:val="fr-FR"/>
        </w:rPr>
      </w:pPr>
      <w:r w:rsidRPr="00C61127">
        <w:rPr>
          <w:lang w:val="fr-FR"/>
        </w:rPr>
        <w:t>Hautelin,</w:t>
      </w:r>
      <w:r w:rsidR="00B36346">
        <w:rPr>
          <w:lang w:val="fr-FR"/>
        </w:rPr>
        <w:t xml:space="preserve"> C.,</w:t>
      </w:r>
      <w:r w:rsidRPr="00C61127">
        <w:rPr>
          <w:lang w:val="fr-FR"/>
        </w:rPr>
        <w:t xml:space="preserve"> 'Intellectuels, barbarie et occupation: 1914-1918' (Master</w:t>
      </w:r>
      <w:r w:rsidR="008C6A86">
        <w:rPr>
          <w:lang w:val="fr-FR"/>
        </w:rPr>
        <w:t>s</w:t>
      </w:r>
      <w:r w:rsidRPr="00C61127">
        <w:rPr>
          <w:lang w:val="fr-FR"/>
        </w:rPr>
        <w:t xml:space="preserve"> thesis, Lille III, 1999).</w:t>
      </w:r>
    </w:p>
    <w:p w14:paraId="3BF19118" w14:textId="77777777" w:rsidR="0048510E" w:rsidRDefault="0048510E" w:rsidP="0048510E">
      <w:r>
        <w:t>Meller,</w:t>
      </w:r>
      <w:r w:rsidR="00B36346">
        <w:t xml:space="preserve"> P.,</w:t>
      </w:r>
      <w:r>
        <w:t xml:space="preserve"> 'The development of modern propaganda in Britain, 1854-1902' (PhD thesis, Durham University, 2010).</w:t>
      </w:r>
    </w:p>
    <w:p w14:paraId="3D580C27" w14:textId="77777777" w:rsidR="0048510E" w:rsidRDefault="0048510E" w:rsidP="0048510E">
      <w:pPr>
        <w:rPr>
          <w:lang w:val="fr-FR"/>
        </w:rPr>
      </w:pPr>
      <w:r w:rsidRPr="00C61127">
        <w:rPr>
          <w:lang w:val="fr-FR"/>
        </w:rPr>
        <w:t>Molina,</w:t>
      </w:r>
      <w:r w:rsidR="00B36346">
        <w:rPr>
          <w:lang w:val="fr-FR"/>
        </w:rPr>
        <w:t xml:space="preserve"> I.,</w:t>
      </w:r>
      <w:r w:rsidRPr="00C61127">
        <w:rPr>
          <w:lang w:val="fr-FR"/>
        </w:rPr>
        <w:t xml:space="preserve"> 'Les femmes dans le Nord occupé pendant la Première Guerre Mondiale' (Master</w:t>
      </w:r>
      <w:r w:rsidR="008C6A86">
        <w:rPr>
          <w:lang w:val="fr-FR"/>
        </w:rPr>
        <w:t>s</w:t>
      </w:r>
      <w:r w:rsidRPr="00C61127">
        <w:rPr>
          <w:lang w:val="fr-FR"/>
        </w:rPr>
        <w:t xml:space="preserve"> Thesis, Lille III, 1999).</w:t>
      </w:r>
    </w:p>
    <w:p w14:paraId="75D7041D" w14:textId="77777777" w:rsidR="0048510E" w:rsidRDefault="0048510E" w:rsidP="0048510E">
      <w:pPr>
        <w:rPr>
          <w:lang w:val="fr-FR"/>
        </w:rPr>
      </w:pPr>
      <w:r w:rsidRPr="00C61127">
        <w:rPr>
          <w:lang w:val="fr-FR"/>
        </w:rPr>
        <w:t>Montant,</w:t>
      </w:r>
      <w:r w:rsidR="00B36346">
        <w:rPr>
          <w:lang w:val="fr-FR"/>
        </w:rPr>
        <w:t xml:space="preserve"> J-C.,</w:t>
      </w:r>
      <w:r w:rsidRPr="00C61127">
        <w:rPr>
          <w:lang w:val="fr-FR"/>
        </w:rPr>
        <w:t xml:space="preserve"> 'La propagande extérieure de la France pendant la Première Guerre Mondiale: l'exemple de quelques neutres' (PhD Thesis, Université de Lille, 1988).</w:t>
      </w:r>
    </w:p>
    <w:p w14:paraId="54C5C578" w14:textId="77777777" w:rsidR="0048510E" w:rsidRDefault="0048510E" w:rsidP="0048510E">
      <w:r w:rsidRPr="00B36346">
        <w:t>Olmstead,</w:t>
      </w:r>
      <w:r w:rsidR="00B36346" w:rsidRPr="00B36346">
        <w:t xml:space="preserve"> J.</w:t>
      </w:r>
      <w:r w:rsidR="00B36346">
        <w:t>,</w:t>
      </w:r>
      <w:r w:rsidRPr="00B36346">
        <w:t xml:space="preserve"> 'Acquiring America: the diplomatic battle for America, 1914-1917' (PhD thesis, University of Sheffield, 2</w:t>
      </w:r>
      <w:r>
        <w:t>013).</w:t>
      </w:r>
    </w:p>
    <w:p w14:paraId="42356D07" w14:textId="77777777" w:rsidR="0048510E" w:rsidRDefault="0048510E" w:rsidP="0048510E">
      <w:pPr>
        <w:rPr>
          <w:lang w:val="fr-FR"/>
        </w:rPr>
      </w:pPr>
      <w:r w:rsidRPr="00C61127">
        <w:rPr>
          <w:lang w:val="fr-FR"/>
        </w:rPr>
        <w:t>Ramirez,</w:t>
      </w:r>
      <w:r w:rsidR="00B36346">
        <w:rPr>
          <w:lang w:val="fr-FR"/>
        </w:rPr>
        <w:t xml:space="preserve"> C.,</w:t>
      </w:r>
      <w:r w:rsidRPr="00C61127">
        <w:rPr>
          <w:lang w:val="fr-FR"/>
        </w:rPr>
        <w:t xml:space="preserve"> 'Les villes et les campagnes dans le Nord pendant l'occupation allemande de 1914-1918' (Master</w:t>
      </w:r>
      <w:r w:rsidR="008C6A86">
        <w:rPr>
          <w:lang w:val="fr-FR"/>
        </w:rPr>
        <w:t>s</w:t>
      </w:r>
      <w:r w:rsidRPr="00C61127">
        <w:rPr>
          <w:lang w:val="fr-FR"/>
        </w:rPr>
        <w:t xml:space="preserve"> thesis, Lille III, 1999).</w:t>
      </w:r>
    </w:p>
    <w:p w14:paraId="16A4769E" w14:textId="77777777" w:rsidR="0048510E" w:rsidRDefault="0048510E" w:rsidP="0048510E">
      <w:pPr>
        <w:rPr>
          <w:lang w:val="fr-FR"/>
        </w:rPr>
      </w:pPr>
      <w:r w:rsidRPr="00C61127">
        <w:rPr>
          <w:lang w:val="fr-FR"/>
        </w:rPr>
        <w:t>Salome,</w:t>
      </w:r>
      <w:r w:rsidR="00B36346">
        <w:rPr>
          <w:lang w:val="fr-FR"/>
        </w:rPr>
        <w:t xml:space="preserve"> S.,</w:t>
      </w:r>
      <w:r w:rsidRPr="00C61127">
        <w:rPr>
          <w:lang w:val="fr-FR"/>
        </w:rPr>
        <w:t xml:space="preserve"> 'Valenciennes sous l'occupation allemande, 1914-1918' (Master</w:t>
      </w:r>
      <w:r w:rsidR="008C6A86">
        <w:rPr>
          <w:lang w:val="fr-FR"/>
        </w:rPr>
        <w:t>s</w:t>
      </w:r>
      <w:r w:rsidRPr="00C61127">
        <w:rPr>
          <w:lang w:val="fr-FR"/>
        </w:rPr>
        <w:t xml:space="preserve"> thesis, Lille III, 1998).</w:t>
      </w:r>
    </w:p>
    <w:p w14:paraId="3E675368" w14:textId="77777777" w:rsidR="001B2D99" w:rsidRDefault="001B2D99" w:rsidP="0048510E">
      <w:pPr>
        <w:rPr>
          <w:lang w:val="fr-FR"/>
        </w:rPr>
      </w:pPr>
      <w:r w:rsidRPr="000439CC">
        <w:rPr>
          <w:lang w:val="fr-FR"/>
        </w:rPr>
        <w:t>Salson,</w:t>
      </w:r>
      <w:r>
        <w:rPr>
          <w:lang w:val="fr-FR"/>
        </w:rPr>
        <w:t xml:space="preserve"> P.,</w:t>
      </w:r>
      <w:r w:rsidRPr="000439CC">
        <w:rPr>
          <w:lang w:val="fr-FR"/>
        </w:rPr>
        <w:t xml:space="preserve"> '1914-1918: les années grises: l'expérience des civils dans l'Aisne occupée' (PhD Thesis, Université Paul Valéry- Montpellier III, 2013).</w:t>
      </w:r>
    </w:p>
    <w:p w14:paraId="1CF7859D" w14:textId="77777777" w:rsidR="0048510E" w:rsidRPr="00DA3879" w:rsidRDefault="0048510E" w:rsidP="0048510E">
      <w:pPr>
        <w:rPr>
          <w:rFonts w:ascii="Arial" w:hAnsi="Arial" w:cs="Arial"/>
          <w:sz w:val="24"/>
          <w:szCs w:val="24"/>
          <w:lang w:val="fr-FR"/>
        </w:rPr>
      </w:pPr>
    </w:p>
    <w:p w14:paraId="5ECDA0CA" w14:textId="77777777" w:rsidR="0048510E" w:rsidRPr="00130BFA" w:rsidRDefault="008C6A86" w:rsidP="0048510E">
      <w:pPr>
        <w:rPr>
          <w:b/>
          <w:sz w:val="24"/>
          <w:szCs w:val="24"/>
        </w:rPr>
      </w:pPr>
      <w:r w:rsidRPr="00130BFA">
        <w:rPr>
          <w:b/>
          <w:sz w:val="24"/>
          <w:szCs w:val="24"/>
        </w:rPr>
        <w:t>Websites</w:t>
      </w:r>
    </w:p>
    <w:p w14:paraId="119E4D89" w14:textId="77777777" w:rsidR="0048510E" w:rsidRDefault="0048510E" w:rsidP="0048510E">
      <w:pPr>
        <w:rPr>
          <w:rStyle w:val="Hyperlink"/>
        </w:rPr>
      </w:pPr>
      <w:r>
        <w:t xml:space="preserve">Anonymous, 'Map of the Western Front’, </w:t>
      </w:r>
      <w:r w:rsidRPr="00126D56">
        <w:rPr>
          <w:i/>
          <w:iCs/>
        </w:rPr>
        <w:t>Australian Government - Department of Veterans' Affairs</w:t>
      </w:r>
      <w:r>
        <w:t xml:space="preserve"> [Accessed 07 January 2014 2014]. </w:t>
      </w:r>
      <w:hyperlink r:id="rId48" w:history="1">
        <w:r w:rsidRPr="00B575E9">
          <w:rPr>
            <w:rStyle w:val="Hyperlink"/>
          </w:rPr>
          <w:t>http://www.dva.gov.au/aboutDVA/publications/commemorative/awf/Pages/map.aspx</w:t>
        </w:r>
      </w:hyperlink>
    </w:p>
    <w:p w14:paraId="011146AF" w14:textId="77777777" w:rsidR="0048510E" w:rsidRDefault="0048510E" w:rsidP="0048510E">
      <w:r w:rsidRPr="00B36346">
        <w:t>Salson,</w:t>
      </w:r>
      <w:r w:rsidR="00B36346" w:rsidRPr="00B36346">
        <w:t xml:space="preserve"> P.</w:t>
      </w:r>
      <w:r w:rsidR="00B36346">
        <w:t>,</w:t>
      </w:r>
      <w:r w:rsidRPr="00B36346">
        <w:t xml:space="preserve"> ‘Review of Philippe Nivet, La France occupée, 1914-1918’, in: </w:t>
      </w:r>
      <w:r w:rsidRPr="00B36346">
        <w:rPr>
          <w:i/>
          <w:iCs/>
        </w:rPr>
        <w:t>CRID 14-18</w:t>
      </w:r>
      <w:r w:rsidRPr="00B36346">
        <w:t xml:space="preserve">. </w:t>
      </w:r>
      <w:hyperlink r:id="rId49" w:history="1">
        <w:r w:rsidRPr="00E45B78">
          <w:rPr>
            <w:rStyle w:val="Hyperlink"/>
          </w:rPr>
          <w:t>http://www.crid1418.org/bibli/?p=147</w:t>
        </w:r>
      </w:hyperlink>
      <w:r>
        <w:t xml:space="preserve"> [accessed 27 January 2014].</w:t>
      </w:r>
    </w:p>
    <w:p w14:paraId="5E28B350" w14:textId="77777777" w:rsidR="00F51E28" w:rsidRDefault="00F51E28" w:rsidP="00233496">
      <w:pPr>
        <w:pStyle w:val="Title"/>
        <w:outlineLvl w:val="0"/>
        <w:sectPr w:rsidR="00F51E28" w:rsidSect="00E35CCD">
          <w:headerReference w:type="default" r:id="rId50"/>
          <w:pgSz w:w="11907" w:h="16839" w:code="9"/>
          <w:pgMar w:top="1440" w:right="1440" w:bottom="1440" w:left="1440" w:header="708" w:footer="708" w:gutter="0"/>
          <w:cols w:space="708"/>
          <w:titlePg/>
          <w:docGrid w:linePitch="360"/>
        </w:sectPr>
      </w:pPr>
    </w:p>
    <w:p w14:paraId="45F8C72C" w14:textId="04FFA34F" w:rsidR="00C91E8E" w:rsidRDefault="00C91E8E" w:rsidP="00233496">
      <w:pPr>
        <w:pStyle w:val="Title"/>
        <w:outlineLvl w:val="0"/>
        <w:rPr>
          <w:lang w:val="fr-FR"/>
        </w:rPr>
      </w:pPr>
      <w:bookmarkStart w:id="103" w:name="_Toc402193003"/>
      <w:r w:rsidRPr="0052010D">
        <w:t>Appendix</w:t>
      </w:r>
      <w:bookmarkEnd w:id="103"/>
    </w:p>
    <w:p w14:paraId="73FDB062" w14:textId="77777777" w:rsidR="00C91E8E" w:rsidRPr="00AB6A42" w:rsidRDefault="00C91E8E" w:rsidP="00C91E8E">
      <w:pPr>
        <w:pStyle w:val="ListParagraph"/>
        <w:numPr>
          <w:ilvl w:val="0"/>
          <w:numId w:val="14"/>
        </w:numPr>
      </w:pPr>
      <w:r w:rsidRPr="00AB6A42">
        <w:t xml:space="preserve">First issue of the French </w:t>
      </w:r>
      <w:r w:rsidRPr="00D04B8A">
        <w:rPr>
          <w:i/>
          <w:iCs/>
        </w:rPr>
        <w:t xml:space="preserve">La Voix du Pays, </w:t>
      </w:r>
      <w:r w:rsidRPr="00AB6A42">
        <w:t>October 1915.</w:t>
      </w:r>
    </w:p>
    <w:p w14:paraId="666491CA" w14:textId="77777777" w:rsidR="00C91E8E" w:rsidRDefault="00C91E8E" w:rsidP="00C91E8E">
      <w:pPr>
        <w:jc w:val="center"/>
        <w:rPr>
          <w:lang w:val="fr-FR"/>
        </w:rPr>
      </w:pPr>
      <w:r>
        <w:rPr>
          <w:noProof/>
        </w:rPr>
        <w:drawing>
          <wp:inline distT="0" distB="0" distL="0" distR="0" wp14:anchorId="75F55665" wp14:editId="6000604B">
            <wp:extent cx="5731510" cy="73520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7352030"/>
                    </a:xfrm>
                    <a:prstGeom prst="rect">
                      <a:avLst/>
                    </a:prstGeom>
                  </pic:spPr>
                </pic:pic>
              </a:graphicData>
            </a:graphic>
          </wp:inline>
        </w:drawing>
      </w:r>
    </w:p>
    <w:p w14:paraId="3B39EBB1" w14:textId="77777777" w:rsidR="00C91E8E" w:rsidRDefault="00C91E8E" w:rsidP="00C91E8E">
      <w:pPr>
        <w:rPr>
          <w:lang w:val="fr-FR"/>
        </w:rPr>
      </w:pPr>
    </w:p>
    <w:p w14:paraId="3813C210" w14:textId="77777777" w:rsidR="00C91E8E" w:rsidRPr="00AB6A42" w:rsidRDefault="00C91E8E" w:rsidP="00C91E8E">
      <w:pPr>
        <w:pStyle w:val="ListParagraph"/>
        <w:numPr>
          <w:ilvl w:val="0"/>
          <w:numId w:val="14"/>
        </w:numPr>
      </w:pPr>
      <w:r w:rsidRPr="00AB6A42">
        <w:t xml:space="preserve">First issue of the Belgian </w:t>
      </w:r>
      <w:r w:rsidRPr="00D04B8A">
        <w:rPr>
          <w:i/>
          <w:iCs/>
        </w:rPr>
        <w:t>Le Clairon du Roi</w:t>
      </w:r>
      <w:r>
        <w:t>, May 1916.</w:t>
      </w:r>
    </w:p>
    <w:p w14:paraId="6908B4B4" w14:textId="77777777" w:rsidR="00C91E8E" w:rsidRDefault="00C91E8E" w:rsidP="00C91E8E">
      <w:pPr>
        <w:jc w:val="center"/>
        <w:rPr>
          <w:lang w:val="fr-FR"/>
        </w:rPr>
      </w:pPr>
      <w:r>
        <w:rPr>
          <w:noProof/>
        </w:rPr>
        <w:drawing>
          <wp:inline distT="0" distB="0" distL="0" distR="0" wp14:anchorId="097B03FA" wp14:editId="4F54426B">
            <wp:extent cx="4696968" cy="8458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7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96968" cy="8458200"/>
                    </a:xfrm>
                    <a:prstGeom prst="rect">
                      <a:avLst/>
                    </a:prstGeom>
                  </pic:spPr>
                </pic:pic>
              </a:graphicData>
            </a:graphic>
          </wp:inline>
        </w:drawing>
      </w:r>
    </w:p>
    <w:p w14:paraId="0E0955E1" w14:textId="77777777" w:rsidR="00C91E8E" w:rsidRPr="00AB6A42" w:rsidRDefault="00C91E8E" w:rsidP="00C91E8E">
      <w:pPr>
        <w:pStyle w:val="ListParagraph"/>
        <w:numPr>
          <w:ilvl w:val="0"/>
          <w:numId w:val="14"/>
        </w:numPr>
      </w:pPr>
      <w:r>
        <w:t>Dutch-</w:t>
      </w:r>
      <w:r w:rsidRPr="00AB6A42">
        <w:t>written reverse of</w:t>
      </w:r>
      <w:r>
        <w:t xml:space="preserve"> the first issue of</w:t>
      </w:r>
      <w:r w:rsidRPr="00AB6A42">
        <w:t xml:space="preserve"> </w:t>
      </w:r>
      <w:r w:rsidRPr="00D04B8A">
        <w:rPr>
          <w:i/>
          <w:iCs/>
        </w:rPr>
        <w:t xml:space="preserve">Le Clairon du Roi, </w:t>
      </w:r>
      <w:r>
        <w:t>May 1916.</w:t>
      </w:r>
    </w:p>
    <w:p w14:paraId="17304F37" w14:textId="77777777" w:rsidR="00C91E8E" w:rsidRDefault="00C91E8E" w:rsidP="00C91E8E">
      <w:pPr>
        <w:jc w:val="center"/>
        <w:rPr>
          <w:lang w:val="fr-FR"/>
        </w:rPr>
      </w:pPr>
      <w:r>
        <w:rPr>
          <w:noProof/>
        </w:rPr>
        <w:drawing>
          <wp:inline distT="0" distB="0" distL="0" distR="0" wp14:anchorId="6E84F057" wp14:editId="7D0521E7">
            <wp:extent cx="4674516" cy="8410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87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7108" cy="8415238"/>
                    </a:xfrm>
                    <a:prstGeom prst="rect">
                      <a:avLst/>
                    </a:prstGeom>
                  </pic:spPr>
                </pic:pic>
              </a:graphicData>
            </a:graphic>
          </wp:inline>
        </w:drawing>
      </w:r>
    </w:p>
    <w:p w14:paraId="335BA67B" w14:textId="77777777" w:rsidR="00C91E8E" w:rsidRPr="00AB6A42" w:rsidRDefault="00C91E8E" w:rsidP="00C91E8E">
      <w:pPr>
        <w:pStyle w:val="ListParagraph"/>
        <w:numPr>
          <w:ilvl w:val="0"/>
          <w:numId w:val="14"/>
        </w:numPr>
      </w:pPr>
      <w:r w:rsidRPr="00AB6A42">
        <w:t xml:space="preserve">First issue of the Belgian made </w:t>
      </w:r>
      <w:r w:rsidRPr="00D04B8A">
        <w:rPr>
          <w:i/>
          <w:iCs/>
        </w:rPr>
        <w:t>La Lettre du Soldat</w:t>
      </w:r>
      <w:r>
        <w:t>, January 1917.</w:t>
      </w:r>
    </w:p>
    <w:p w14:paraId="5E0E8AAF" w14:textId="77777777" w:rsidR="00C91E8E" w:rsidRDefault="00C91E8E" w:rsidP="00C91E8E">
      <w:pPr>
        <w:jc w:val="center"/>
        <w:rPr>
          <w:lang w:val="fr-FR"/>
        </w:rPr>
      </w:pPr>
      <w:r>
        <w:rPr>
          <w:noProof/>
        </w:rPr>
        <w:drawing>
          <wp:inline distT="0" distB="0" distL="0" distR="0" wp14:anchorId="48F29520" wp14:editId="1D4FD05B">
            <wp:extent cx="5514876" cy="848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8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14876" cy="8486775"/>
                    </a:xfrm>
                    <a:prstGeom prst="rect">
                      <a:avLst/>
                    </a:prstGeom>
                  </pic:spPr>
                </pic:pic>
              </a:graphicData>
            </a:graphic>
          </wp:inline>
        </w:drawing>
      </w:r>
    </w:p>
    <w:p w14:paraId="6EEB38C8" w14:textId="77777777" w:rsidR="00C91E8E" w:rsidRPr="003077FC" w:rsidRDefault="00C91E8E" w:rsidP="00C91E8E">
      <w:pPr>
        <w:pStyle w:val="ListParagraph"/>
        <w:numPr>
          <w:ilvl w:val="0"/>
          <w:numId w:val="14"/>
        </w:numPr>
      </w:pPr>
      <w:r w:rsidRPr="003077FC">
        <w:t xml:space="preserve">Anti-Flamenpolitik newspaper made by the Belgian government, </w:t>
      </w:r>
      <w:r w:rsidRPr="00D04B8A">
        <w:rPr>
          <w:i/>
          <w:iCs/>
        </w:rPr>
        <w:t xml:space="preserve">‘t Kerelsblad, </w:t>
      </w:r>
      <w:r>
        <w:t>January 1917.</w:t>
      </w:r>
    </w:p>
    <w:p w14:paraId="50EE4F5C" w14:textId="77777777" w:rsidR="00C91E8E" w:rsidRDefault="00C91E8E" w:rsidP="00C91E8E">
      <w:pPr>
        <w:jc w:val="center"/>
        <w:rPr>
          <w:noProof/>
        </w:rPr>
      </w:pPr>
      <w:r>
        <w:rPr>
          <w:noProof/>
        </w:rPr>
        <w:drawing>
          <wp:inline distT="0" distB="0" distL="0" distR="0" wp14:anchorId="19F903D5" wp14:editId="0114D4E1">
            <wp:extent cx="5731510" cy="75031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4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7503160"/>
                    </a:xfrm>
                    <a:prstGeom prst="rect">
                      <a:avLst/>
                    </a:prstGeom>
                  </pic:spPr>
                </pic:pic>
              </a:graphicData>
            </a:graphic>
          </wp:inline>
        </w:drawing>
      </w:r>
    </w:p>
    <w:p w14:paraId="61675C41" w14:textId="77777777" w:rsidR="00C91E8E" w:rsidRDefault="00C91E8E" w:rsidP="00C91E8E">
      <w:pPr>
        <w:rPr>
          <w:noProof/>
        </w:rPr>
      </w:pPr>
    </w:p>
    <w:p w14:paraId="554B0FAA" w14:textId="77777777" w:rsidR="00C91E8E" w:rsidRDefault="00C91E8E" w:rsidP="00C91E8E">
      <w:pPr>
        <w:rPr>
          <w:noProof/>
        </w:rPr>
      </w:pPr>
    </w:p>
    <w:p w14:paraId="3BA4D5BC" w14:textId="77777777" w:rsidR="00C91E8E" w:rsidRDefault="00C91E8E" w:rsidP="00C91E8E">
      <w:pPr>
        <w:rPr>
          <w:noProof/>
        </w:rPr>
      </w:pPr>
    </w:p>
    <w:p w14:paraId="3DA85321" w14:textId="77777777" w:rsidR="00C91E8E" w:rsidRPr="003077FC" w:rsidRDefault="00C91E8E" w:rsidP="00C91E8E">
      <w:pPr>
        <w:pStyle w:val="ListParagraph"/>
        <w:numPr>
          <w:ilvl w:val="0"/>
          <w:numId w:val="14"/>
        </w:numPr>
        <w:rPr>
          <w:noProof/>
        </w:rPr>
      </w:pPr>
      <w:r>
        <w:rPr>
          <w:noProof/>
        </w:rPr>
        <w:t xml:space="preserve">First issue of the Belgian </w:t>
      </w:r>
      <w:r w:rsidRPr="00D04B8A">
        <w:rPr>
          <w:i/>
          <w:iCs/>
          <w:noProof/>
        </w:rPr>
        <w:t xml:space="preserve">Les Bonnes Nouvelles, </w:t>
      </w:r>
      <w:r>
        <w:rPr>
          <w:noProof/>
        </w:rPr>
        <w:t>August 1918.</w:t>
      </w:r>
    </w:p>
    <w:p w14:paraId="7D89FDEA" w14:textId="77777777" w:rsidR="00C91E8E" w:rsidRDefault="00C91E8E" w:rsidP="00C91E8E">
      <w:pPr>
        <w:jc w:val="center"/>
        <w:rPr>
          <w:lang w:val="fr-FR"/>
        </w:rPr>
      </w:pPr>
      <w:r>
        <w:rPr>
          <w:noProof/>
        </w:rPr>
        <w:drawing>
          <wp:inline distT="0" distB="0" distL="0" distR="0" wp14:anchorId="17376EB1" wp14:editId="449E438F">
            <wp:extent cx="5545923" cy="7305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43592" cy="7302604"/>
                    </a:xfrm>
                    <a:prstGeom prst="rect">
                      <a:avLst/>
                    </a:prstGeom>
                  </pic:spPr>
                </pic:pic>
              </a:graphicData>
            </a:graphic>
          </wp:inline>
        </w:drawing>
      </w:r>
    </w:p>
    <w:p w14:paraId="31DEED8C" w14:textId="77777777" w:rsidR="00C91E8E" w:rsidRDefault="00C91E8E" w:rsidP="00C91E8E">
      <w:pPr>
        <w:rPr>
          <w:lang w:val="fr-FR"/>
        </w:rPr>
      </w:pPr>
    </w:p>
    <w:p w14:paraId="504BF14B" w14:textId="77777777" w:rsidR="00C91E8E" w:rsidRDefault="00C91E8E" w:rsidP="00C91E8E">
      <w:pPr>
        <w:rPr>
          <w:lang w:val="fr-FR"/>
        </w:rPr>
      </w:pPr>
    </w:p>
    <w:p w14:paraId="0C74B77F" w14:textId="77777777" w:rsidR="00C91E8E" w:rsidRDefault="00C91E8E" w:rsidP="00C91E8E">
      <w:pPr>
        <w:rPr>
          <w:lang w:val="fr-FR"/>
        </w:rPr>
      </w:pPr>
    </w:p>
    <w:p w14:paraId="74B0302A" w14:textId="77777777" w:rsidR="00C91E8E" w:rsidRPr="003077FC" w:rsidRDefault="00C91E8E" w:rsidP="00C91E8E">
      <w:pPr>
        <w:pStyle w:val="ListParagraph"/>
        <w:numPr>
          <w:ilvl w:val="0"/>
          <w:numId w:val="14"/>
        </w:numPr>
      </w:pPr>
      <w:r w:rsidRPr="003077FC">
        <w:t xml:space="preserve">First issue of the British </w:t>
      </w:r>
      <w:r w:rsidRPr="00D04B8A">
        <w:rPr>
          <w:i/>
          <w:iCs/>
        </w:rPr>
        <w:t>Le Courrier de l’Air</w:t>
      </w:r>
      <w:r>
        <w:t>, 6 April 1917.</w:t>
      </w:r>
    </w:p>
    <w:p w14:paraId="2634C1D5" w14:textId="77777777" w:rsidR="00C91E8E" w:rsidRDefault="00C91E8E" w:rsidP="00C91E8E">
      <w:pPr>
        <w:jc w:val="center"/>
        <w:rPr>
          <w:lang w:val="fr-FR"/>
        </w:rPr>
      </w:pPr>
      <w:r>
        <w:rPr>
          <w:noProof/>
        </w:rPr>
        <w:drawing>
          <wp:inline distT="0" distB="0" distL="0" distR="0" wp14:anchorId="0692A054" wp14:editId="421D6A5E">
            <wp:extent cx="5731510" cy="8352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226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8352155"/>
                    </a:xfrm>
                    <a:prstGeom prst="rect">
                      <a:avLst/>
                    </a:prstGeom>
                  </pic:spPr>
                </pic:pic>
              </a:graphicData>
            </a:graphic>
          </wp:inline>
        </w:drawing>
      </w:r>
    </w:p>
    <w:p w14:paraId="50FCC48C" w14:textId="77777777" w:rsidR="00C91E8E" w:rsidRPr="00D04B8A" w:rsidRDefault="00C91E8E" w:rsidP="00C91E8E">
      <w:pPr>
        <w:pStyle w:val="ListParagraph"/>
        <w:numPr>
          <w:ilvl w:val="0"/>
          <w:numId w:val="14"/>
        </w:numPr>
        <w:rPr>
          <w:lang w:val="fr-FR"/>
        </w:rPr>
      </w:pPr>
      <w:r w:rsidRPr="00D04B8A">
        <w:rPr>
          <w:lang w:val="fr-FR"/>
        </w:rPr>
        <w:t xml:space="preserve">French faked </w:t>
      </w:r>
      <w:r w:rsidRPr="00D04B8A">
        <w:rPr>
          <w:i/>
          <w:iCs/>
          <w:lang w:val="fr-FR"/>
        </w:rPr>
        <w:t xml:space="preserve">La Gazette des Ardennes, </w:t>
      </w:r>
      <w:r w:rsidRPr="00D04B8A">
        <w:rPr>
          <w:lang w:val="fr-FR"/>
        </w:rPr>
        <w:t>1 March 1916.</w:t>
      </w:r>
    </w:p>
    <w:p w14:paraId="0C0D033B" w14:textId="77777777" w:rsidR="00C91E8E" w:rsidRDefault="00C91E8E" w:rsidP="00C91E8E">
      <w:pPr>
        <w:jc w:val="center"/>
        <w:rPr>
          <w:lang w:val="fr-FR"/>
        </w:rPr>
      </w:pPr>
      <w:r>
        <w:rPr>
          <w:noProof/>
        </w:rPr>
        <w:drawing>
          <wp:inline distT="0" distB="0" distL="0" distR="0" wp14:anchorId="7D86664C" wp14:editId="3E960386">
            <wp:extent cx="5262873" cy="8086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3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63070" cy="8087028"/>
                    </a:xfrm>
                    <a:prstGeom prst="rect">
                      <a:avLst/>
                    </a:prstGeom>
                  </pic:spPr>
                </pic:pic>
              </a:graphicData>
            </a:graphic>
          </wp:inline>
        </w:drawing>
      </w:r>
    </w:p>
    <w:p w14:paraId="2EE3B9B6" w14:textId="77777777" w:rsidR="00C91E8E" w:rsidRDefault="00C91E8E" w:rsidP="00C91E8E">
      <w:pPr>
        <w:jc w:val="center"/>
        <w:rPr>
          <w:lang w:val="fr-FR"/>
        </w:rPr>
      </w:pPr>
    </w:p>
    <w:p w14:paraId="6A41B623" w14:textId="77777777" w:rsidR="00C91E8E" w:rsidRPr="00AE2AE2" w:rsidRDefault="00C91E8E" w:rsidP="00C91E8E">
      <w:pPr>
        <w:pStyle w:val="ListParagraph"/>
        <w:numPr>
          <w:ilvl w:val="0"/>
          <w:numId w:val="14"/>
        </w:numPr>
      </w:pPr>
      <w:r w:rsidRPr="00AE2AE2">
        <w:t>Belgian-British aerial postcard, date unknown.</w:t>
      </w:r>
    </w:p>
    <w:p w14:paraId="0D93D672" w14:textId="5A4E89D7" w:rsidR="0048510E" w:rsidRPr="0076090F" w:rsidRDefault="0048510E" w:rsidP="0048510E"/>
    <w:p w14:paraId="7B969636" w14:textId="6F5E5818" w:rsidR="00C91E8E" w:rsidRDefault="00C91E8E" w:rsidP="00C91E8E">
      <w:pPr>
        <w:jc w:val="center"/>
      </w:pPr>
      <w:r>
        <w:rPr>
          <w:noProof/>
        </w:rPr>
        <w:drawing>
          <wp:inline distT="0" distB="0" distL="0" distR="0" wp14:anchorId="666EBD81" wp14:editId="4168DFCB">
            <wp:extent cx="3672840" cy="583082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91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72840" cy="5830824"/>
                    </a:xfrm>
                    <a:prstGeom prst="rect">
                      <a:avLst/>
                    </a:prstGeom>
                  </pic:spPr>
                </pic:pic>
              </a:graphicData>
            </a:graphic>
          </wp:inline>
        </w:drawing>
      </w:r>
    </w:p>
    <w:p w14:paraId="73007946" w14:textId="77777777" w:rsidR="0048510E" w:rsidRPr="0076090F" w:rsidRDefault="0048510E" w:rsidP="0048510E"/>
    <w:p w14:paraId="5B0D800D" w14:textId="4EC51A08" w:rsidR="00E13656" w:rsidRPr="00B36346" w:rsidRDefault="004E4613" w:rsidP="0048510E">
      <w:pPr>
        <w:jc w:val="both"/>
      </w:pPr>
      <w:r w:rsidRPr="00B36346">
        <w:rPr>
          <w:i/>
          <w:iCs/>
        </w:rPr>
        <w:t xml:space="preserve"> </w:t>
      </w:r>
    </w:p>
    <w:sectPr w:rsidR="00E13656" w:rsidRPr="00B36346" w:rsidSect="00F51E28">
      <w:headerReference w:type="default" r:id="rId60"/>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057F4" w14:textId="77777777" w:rsidR="00DE3AC9" w:rsidRDefault="00DE3AC9" w:rsidP="0048510E">
      <w:pPr>
        <w:spacing w:after="0" w:line="240" w:lineRule="auto"/>
      </w:pPr>
      <w:r>
        <w:separator/>
      </w:r>
    </w:p>
  </w:endnote>
  <w:endnote w:type="continuationSeparator" w:id="0">
    <w:p w14:paraId="291396DD" w14:textId="77777777" w:rsidR="00DE3AC9" w:rsidRDefault="00DE3AC9" w:rsidP="00485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604951752"/>
      <w:docPartObj>
        <w:docPartGallery w:val="Page Numbers (Bottom of Page)"/>
        <w:docPartUnique/>
      </w:docPartObj>
    </w:sdtPr>
    <w:sdtEndPr>
      <w:rPr>
        <w:color w:val="7F7F7F" w:themeColor="background1" w:themeShade="7F"/>
        <w:spacing w:val="60"/>
      </w:rPr>
    </w:sdtEndPr>
    <w:sdtContent>
      <w:p w14:paraId="2691FDB4" w14:textId="77777777" w:rsidR="00DE3AC9" w:rsidRDefault="00DE3A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7C1C">
          <w:rPr>
            <w:noProof/>
          </w:rPr>
          <w:t>4</w:t>
        </w:r>
        <w:r>
          <w:rPr>
            <w:noProof/>
          </w:rPr>
          <w:fldChar w:fldCharType="end"/>
        </w:r>
        <w:r>
          <w:t xml:space="preserve"> | </w:t>
        </w:r>
        <w:r>
          <w:rPr>
            <w:color w:val="7F7F7F" w:themeColor="background1" w:themeShade="7F"/>
            <w:spacing w:val="60"/>
          </w:rPr>
          <w:t>Page</w:t>
        </w:r>
      </w:p>
    </w:sdtContent>
  </w:sdt>
  <w:p w14:paraId="49BEB75C" w14:textId="77777777" w:rsidR="00DE3AC9" w:rsidRDefault="00DE3A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908492047"/>
      <w:docPartObj>
        <w:docPartGallery w:val="Page Numbers (Bottom of Page)"/>
        <w:docPartUnique/>
      </w:docPartObj>
    </w:sdtPr>
    <w:sdtEndPr>
      <w:rPr>
        <w:color w:val="808080" w:themeColor="background1" w:themeShade="80"/>
        <w:spacing w:val="60"/>
      </w:rPr>
    </w:sdtEndPr>
    <w:sdtContent>
      <w:p w14:paraId="4430EB3E" w14:textId="77777777" w:rsidR="00DE3AC9" w:rsidRDefault="00DE3A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7C1C">
          <w:rPr>
            <w:noProof/>
          </w:rPr>
          <w:t>26</w:t>
        </w:r>
        <w:r>
          <w:rPr>
            <w:noProof/>
          </w:rPr>
          <w:fldChar w:fldCharType="end"/>
        </w:r>
        <w:r>
          <w:t xml:space="preserve"> | </w:t>
        </w:r>
        <w:r>
          <w:rPr>
            <w:color w:val="808080" w:themeColor="background1" w:themeShade="80"/>
            <w:spacing w:val="60"/>
          </w:rPr>
          <w:t>Page</w:t>
        </w:r>
      </w:p>
    </w:sdtContent>
  </w:sdt>
  <w:p w14:paraId="23BD94AC" w14:textId="77777777" w:rsidR="00DE3AC9" w:rsidRDefault="00DE3A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536093861"/>
      <w:docPartObj>
        <w:docPartGallery w:val="Page Numbers (Bottom of Page)"/>
        <w:docPartUnique/>
      </w:docPartObj>
    </w:sdtPr>
    <w:sdtEndPr>
      <w:rPr>
        <w:color w:val="7F7F7F" w:themeColor="background1" w:themeShade="7F"/>
        <w:spacing w:val="60"/>
      </w:rPr>
    </w:sdtEndPr>
    <w:sdtContent>
      <w:p w14:paraId="3505AC4A" w14:textId="22A36CA5" w:rsidR="00DE3AC9" w:rsidRDefault="00DE3A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7C1C">
          <w:rPr>
            <w:noProof/>
          </w:rPr>
          <w:t>70</w:t>
        </w:r>
        <w:r>
          <w:rPr>
            <w:noProof/>
          </w:rPr>
          <w:fldChar w:fldCharType="end"/>
        </w:r>
        <w:r>
          <w:t xml:space="preserve"> | </w:t>
        </w:r>
        <w:r>
          <w:rPr>
            <w:color w:val="7F7F7F" w:themeColor="background1" w:themeShade="7F"/>
            <w:spacing w:val="60"/>
          </w:rPr>
          <w:t>Page</w:t>
        </w:r>
      </w:p>
    </w:sdtContent>
  </w:sdt>
  <w:p w14:paraId="71BB799D" w14:textId="77777777" w:rsidR="00DE3AC9" w:rsidRDefault="00DE3A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614792073"/>
      <w:docPartObj>
        <w:docPartGallery w:val="Page Numbers (Bottom of Page)"/>
        <w:docPartUnique/>
      </w:docPartObj>
    </w:sdtPr>
    <w:sdtEndPr>
      <w:rPr>
        <w:color w:val="7F7F7F" w:themeColor="background1" w:themeShade="7F"/>
        <w:spacing w:val="60"/>
      </w:rPr>
    </w:sdtEndPr>
    <w:sdtContent>
      <w:p w14:paraId="05C77CC7" w14:textId="77777777" w:rsidR="00DE3AC9" w:rsidRDefault="00DE3A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7C1C">
          <w:rPr>
            <w:noProof/>
          </w:rPr>
          <w:t>144</w:t>
        </w:r>
        <w:r>
          <w:rPr>
            <w:noProof/>
          </w:rPr>
          <w:fldChar w:fldCharType="end"/>
        </w:r>
        <w:r>
          <w:t xml:space="preserve"> | </w:t>
        </w:r>
        <w:r>
          <w:rPr>
            <w:color w:val="7F7F7F" w:themeColor="background1" w:themeShade="7F"/>
            <w:spacing w:val="60"/>
          </w:rPr>
          <w:t>Page</w:t>
        </w:r>
      </w:p>
    </w:sdtContent>
  </w:sdt>
  <w:p w14:paraId="510A8255" w14:textId="77777777" w:rsidR="00DE3AC9" w:rsidRDefault="00DE3A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231196307"/>
      <w:docPartObj>
        <w:docPartGallery w:val="Page Numbers (Bottom of Page)"/>
        <w:docPartUnique/>
      </w:docPartObj>
    </w:sdtPr>
    <w:sdtEndPr>
      <w:rPr>
        <w:color w:val="808080" w:themeColor="background1" w:themeShade="80"/>
        <w:spacing w:val="60"/>
      </w:rPr>
    </w:sdtEndPr>
    <w:sdtContent>
      <w:p w14:paraId="41E523B8" w14:textId="77777777" w:rsidR="00DE3AC9" w:rsidRDefault="00DE3AC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17C1C">
          <w:rPr>
            <w:noProof/>
          </w:rPr>
          <w:t>197</w:t>
        </w:r>
        <w:r>
          <w:rPr>
            <w:noProof/>
          </w:rPr>
          <w:fldChar w:fldCharType="end"/>
        </w:r>
        <w:r>
          <w:t xml:space="preserve"> | </w:t>
        </w:r>
        <w:r>
          <w:rPr>
            <w:color w:val="808080" w:themeColor="background1" w:themeShade="80"/>
            <w:spacing w:val="60"/>
          </w:rPr>
          <w:t>Page</w:t>
        </w:r>
      </w:p>
    </w:sdtContent>
  </w:sdt>
  <w:p w14:paraId="0E983106" w14:textId="77777777" w:rsidR="00DE3AC9" w:rsidRDefault="00DE3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27109" w14:textId="77777777" w:rsidR="00DE3AC9" w:rsidRDefault="00DE3AC9" w:rsidP="0048510E">
      <w:pPr>
        <w:spacing w:after="0" w:line="240" w:lineRule="auto"/>
      </w:pPr>
      <w:r>
        <w:separator/>
      </w:r>
    </w:p>
  </w:footnote>
  <w:footnote w:type="continuationSeparator" w:id="0">
    <w:p w14:paraId="022C8FAD" w14:textId="77777777" w:rsidR="00DE3AC9" w:rsidRDefault="00DE3AC9" w:rsidP="0048510E">
      <w:pPr>
        <w:spacing w:after="0" w:line="240" w:lineRule="auto"/>
      </w:pPr>
      <w:r>
        <w:continuationSeparator/>
      </w:r>
    </w:p>
  </w:footnote>
  <w:footnote w:id="1">
    <w:p w14:paraId="3AC59C76" w14:textId="77777777" w:rsidR="00DE3AC9" w:rsidRPr="00F83B82" w:rsidRDefault="00DE3AC9" w:rsidP="0048510E">
      <w:pPr>
        <w:pStyle w:val="FootnoteText"/>
      </w:pPr>
      <w:r>
        <w:rPr>
          <w:rStyle w:val="FootnoteReference"/>
        </w:rPr>
        <w:footnoteRef/>
      </w:r>
      <w:r>
        <w:t xml:space="preserve"> </w:t>
      </w:r>
      <w:r>
        <w:fldChar w:fldCharType="begin"/>
      </w:r>
      <w:r>
        <w:instrText xml:space="preserve"> ADDIN EN.CITE &lt;EndNote&gt;&lt;Cite&gt;&lt;Author&gt;Street&lt;/Author&gt;&lt;Year&gt;1919&lt;/Year&gt;&lt;RecNum&gt;150&lt;/RecNum&gt;&lt;DisplayText&gt;Cecil Street, &amp;apos;Propaganda behind the lines&amp;apos;, in: &lt;style face="italic"&gt;The Cornhill magazine, &lt;/style&gt;XLVII (1919), &lt;/DisplayText&gt;&lt;record&gt;&lt;rec-number&gt;150&lt;/rec-number&gt;&lt;foreign-keys&gt;&lt;key app="EN" db-id="2f5rvwawcsv2woetvw35fzwbdvvswerd0err"&gt;150&lt;/key&gt;&lt;/foreign-keys&gt;&lt;ref-type name="Journal Article"&gt;17&lt;/ref-type&gt;&lt;contributors&gt;&lt;authors&gt;&lt;author&gt;Street, Cecil&lt;/author&gt;&lt;/authors&gt;&lt;/contributors&gt;&lt;titles&gt;&lt;title&gt;Propaganda behind the lines&lt;/title&gt;&lt;secondary-title&gt;The Cornhill magazine&lt;/secondary-title&gt;&lt;short-title&gt;Propaganda&lt;/short-title&gt;&lt;/titles&gt;&lt;periodical&gt;&lt;full-title&gt;The Cornhill magazine&lt;/full-title&gt;&lt;/periodical&gt;&lt;volume&gt;XLVII&lt;/volume&gt;&lt;dates&gt;&lt;year&gt;1919&lt;/year&gt;&lt;/dates&gt;&lt;urls&gt;&lt;/urls&gt;&lt;/record&gt;&lt;/Cite&gt;&lt;/EndNote&gt;</w:instrText>
      </w:r>
      <w:r>
        <w:fldChar w:fldCharType="separate"/>
      </w:r>
      <w:r>
        <w:rPr>
          <w:noProof/>
        </w:rPr>
        <w:t xml:space="preserve">Cecil Street, 'Propaganda behind the lines', in: </w:t>
      </w:r>
      <w:r w:rsidRPr="00150A28">
        <w:rPr>
          <w:i/>
          <w:noProof/>
        </w:rPr>
        <w:t xml:space="preserve">The Cornhill magazine, </w:t>
      </w:r>
      <w:r>
        <w:rPr>
          <w:noProof/>
        </w:rPr>
        <w:t xml:space="preserve">XLVII (1919), </w:t>
      </w:r>
      <w:r>
        <w:fldChar w:fldCharType="end"/>
      </w:r>
      <w:r>
        <w:t>pp. 488-499.</w:t>
      </w:r>
    </w:p>
  </w:footnote>
  <w:footnote w:id="2">
    <w:p w14:paraId="4A101B4E" w14:textId="77777777" w:rsidR="00DE3AC9" w:rsidRPr="00501EAC" w:rsidRDefault="00DE3AC9" w:rsidP="0048510E">
      <w:pPr>
        <w:pStyle w:val="FootnoteText"/>
        <w:rPr>
          <w:lang w:val="fr-FR"/>
        </w:rPr>
      </w:pPr>
      <w:r>
        <w:rPr>
          <w:rStyle w:val="FootnoteReference"/>
        </w:rPr>
        <w:footnoteRef/>
      </w:r>
      <w:r w:rsidRPr="00F83B82">
        <w:rPr>
          <w:lang w:val="fr-FR"/>
        </w:rPr>
        <w:t xml:space="preserve"> </w:t>
      </w:r>
      <w:r>
        <w:fldChar w:fldCharType="begin"/>
      </w:r>
      <w:r>
        <w:rPr>
          <w:lang w:val="fr-FR"/>
        </w:rPr>
        <w:instrText xml:space="preserve"> ADDIN EN.CITE &lt;EndNote&gt;&lt;Cite&gt;&lt;Author&gt;Hansi&lt;/Author&gt;&lt;Year&gt;1922&lt;/Year&gt;&lt;RecNum&gt;19&lt;/RecNum&gt;&lt;DisplayText&gt;Hansi and Ernest Tonnelat, &lt;style face="italic"&gt;A travers les lignes ennemies: trois années d’offensive contre le moral allemand&lt;/style&gt;, (Paris, 1922)&lt;/DisplayText&gt;&lt;record&gt;&lt;rec-number&gt;19&lt;/rec-number&gt;&lt;foreign-keys&gt;&lt;key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sidRPr="003474F7">
        <w:rPr>
          <w:noProof/>
          <w:lang w:val="fr-FR"/>
        </w:rPr>
        <w:t xml:space="preserve">Hansi and Ernest Tonnelat, </w:t>
      </w:r>
      <w:r w:rsidRPr="003474F7">
        <w:rPr>
          <w:i/>
          <w:noProof/>
          <w:lang w:val="fr-FR"/>
        </w:rPr>
        <w:t>A travers les lignes ennemies: trois années d’offensive contre le moral allemand</w:t>
      </w:r>
      <w:r w:rsidRPr="003474F7">
        <w:rPr>
          <w:noProof/>
          <w:lang w:val="fr-FR"/>
        </w:rPr>
        <w:t>, (Paris, 1922)</w:t>
      </w:r>
      <w:r>
        <w:fldChar w:fldCharType="end"/>
      </w:r>
      <w:r w:rsidRPr="00F83B82">
        <w:rPr>
          <w:lang w:val="fr-FR"/>
        </w:rPr>
        <w:t>.</w:t>
      </w:r>
    </w:p>
  </w:footnote>
  <w:footnote w:id="3">
    <w:p w14:paraId="66F46144" w14:textId="77777777" w:rsidR="00DE3AC9" w:rsidRPr="00F83B82" w:rsidRDefault="00DE3AC9" w:rsidP="0048510E">
      <w:pPr>
        <w:pStyle w:val="FootnoteText"/>
        <w:rPr>
          <w:lang w:val="de-DE"/>
        </w:rPr>
      </w:pPr>
      <w:r>
        <w:rPr>
          <w:rStyle w:val="FootnoteReference"/>
        </w:rPr>
        <w:footnoteRef/>
      </w:r>
      <w:r>
        <w:t xml:space="preserve"> </w:t>
      </w:r>
      <w:r>
        <w:fldChar w:fldCharType="begin"/>
      </w:r>
      <w:r>
        <w:instrText xml:space="preserve"> ADDIN EN.CITE &lt;EndNote&gt;&lt;Cite&gt;&lt;Author&gt;Lutz&lt;/Author&gt;&lt;Year&gt;1933&lt;/Year&gt;&lt;RecNum&gt;117&lt;/RecNum&gt;&lt;DisplayText&gt;Ralph Lutz, &amp;apos;Studies of World War propaganda, 1914-1933&amp;apos;, in: &lt;style face="italic"&gt;The Journal of Modern History, &lt;/style&gt;5 (1933), &lt;/DisplayText&gt;&lt;record&gt;&lt;rec-number&gt;117&lt;/rec-number&gt;&lt;foreign-keys&gt;&lt;key app="EN" db-id="2f5rvwawcsv2woetvw35fzwbdvvswerd0err"&gt;117&lt;/key&gt;&lt;/foreign-keys&gt;&lt;ref-type name="Journal Article"&gt;17&lt;/ref-type&gt;&lt;contributors&gt;&lt;authors&gt;&lt;author&gt;Lutz, Ralph&lt;/author&gt;&lt;/authors&gt;&lt;/contributors&gt;&lt;titles&gt;&lt;title&gt;Studies of World War propaganda, 1914-1933&lt;/title&gt;&lt;secondary-title&gt;The Journal of Modern History&lt;/secondary-title&gt;&lt;/titles&gt;&lt;periodical&gt;&lt;full-title&gt;The Journal of Modern History&lt;/full-title&gt;&lt;/periodical&gt;&lt;volume&gt;5&lt;/volume&gt;&lt;number&gt;4&lt;/number&gt;&lt;dates&gt;&lt;year&gt;1933&lt;/year&gt;&lt;/dates&gt;&lt;urls&gt;&lt;/urls&gt;&lt;/record&gt;&lt;/Cite&gt;&lt;/EndNote&gt;</w:instrText>
      </w:r>
      <w:r>
        <w:fldChar w:fldCharType="separate"/>
      </w:r>
      <w:r>
        <w:rPr>
          <w:noProof/>
        </w:rPr>
        <w:t xml:space="preserve">Ralph Lutz, 'Studies of World War propaganda, 1914-1933', in: </w:t>
      </w:r>
      <w:r w:rsidRPr="00150A28">
        <w:rPr>
          <w:i/>
          <w:noProof/>
        </w:rPr>
        <w:t xml:space="preserve">The Journal of Modern History, </w:t>
      </w:r>
      <w:r>
        <w:rPr>
          <w:noProof/>
        </w:rPr>
        <w:t xml:space="preserve">5 (1933), </w:t>
      </w:r>
      <w:r>
        <w:fldChar w:fldCharType="end"/>
      </w:r>
      <w:r>
        <w:t xml:space="preserve">p. 510. </w:t>
      </w:r>
      <w:r w:rsidRPr="008708EE">
        <w:t xml:space="preserve">The role of aerial propaganda toward civilians was also overlooked by German historians. </w:t>
      </w:r>
      <w:r>
        <w:rPr>
          <w:lang w:val="de-DE"/>
        </w:rPr>
        <w:t>See</w:t>
      </w:r>
      <w:r w:rsidRPr="00F83B82">
        <w:rPr>
          <w:lang w:val="de-DE"/>
        </w:rPr>
        <w:t xml:space="preserve">: </w:t>
      </w:r>
      <w:r>
        <w:fldChar w:fldCharType="begin"/>
      </w:r>
      <w:r>
        <w:rPr>
          <w:lang w:val="de-DE"/>
        </w:rPr>
        <w:instrText xml:space="preserve"> ADDIN EN.CITE &lt;EndNote&gt;&lt;Cite&gt;&lt;Author&gt;Huber&lt;/Author&gt;&lt;Year&gt;1928&lt;/Year&gt;&lt;RecNum&gt;268&lt;/RecNum&gt;&lt;DisplayText&gt;Georg Huber, &lt;style face="italic"&gt;Die französische Propaganda im Weltkrieg gegen Deutschland, 1914 bis 1918&lt;/style&gt;, (Munich, 1928)&lt;/DisplayText&gt;&lt;record&gt;&lt;rec-number&gt;268&lt;/rec-number&gt;&lt;foreign-keys&gt;&lt;key app="EN" db-id="2f5rvwawcsv2woetvw35fzwbdvvswerd0err"&gt;268&lt;/key&gt;&lt;/foreign-keys&gt;&lt;ref-type name="Book"&gt;6&lt;/ref-type&gt;&lt;contributors&gt;&lt;authors&gt;&lt;author&gt;Huber, Georg&lt;/author&gt;&lt;/authors&gt;&lt;/contributors&gt;&lt;titles&gt;&lt;title&gt;Die französische Propaganda im Weltkrieg gegen Deutschland, 1914 bis 1918&lt;/title&gt;&lt;short-title&gt;Die französische&lt;/short-title&gt;&lt;/titles&gt;&lt;dates&gt;&lt;year&gt;1928&lt;/year&gt;&lt;/dates&gt;&lt;pub-location&gt;Munich&lt;/pub-location&gt;&lt;urls&gt;&lt;/urls&gt;&lt;/record&gt;&lt;/Cite&gt;&lt;/EndNote&gt;</w:instrText>
      </w:r>
      <w:r>
        <w:fldChar w:fldCharType="separate"/>
      </w:r>
      <w:r w:rsidRPr="003474F7">
        <w:rPr>
          <w:noProof/>
          <w:lang w:val="de-DE"/>
        </w:rPr>
        <w:t xml:space="preserve">Georg Huber, </w:t>
      </w:r>
      <w:r w:rsidRPr="003474F7">
        <w:rPr>
          <w:i/>
          <w:noProof/>
          <w:lang w:val="de-DE"/>
        </w:rPr>
        <w:t>Die französische Propaganda im Weltkrieg gegen Deutschland, 1914 bis 1918</w:t>
      </w:r>
      <w:r w:rsidRPr="003474F7">
        <w:rPr>
          <w:noProof/>
          <w:lang w:val="de-DE"/>
        </w:rPr>
        <w:t>, (Munich, 1928)</w:t>
      </w:r>
      <w:r>
        <w:fldChar w:fldCharType="end"/>
      </w:r>
      <w:r w:rsidRPr="00F83B82">
        <w:rPr>
          <w:lang w:val="de-DE"/>
        </w:rPr>
        <w:t xml:space="preserve">. </w:t>
      </w:r>
    </w:p>
  </w:footnote>
  <w:footnote w:id="4">
    <w:p w14:paraId="4844570D" w14:textId="77777777" w:rsidR="00DE3AC9" w:rsidRPr="00AE1D19" w:rsidRDefault="00DE3AC9" w:rsidP="005C7BEE">
      <w:pPr>
        <w:pStyle w:val="FootnoteText"/>
      </w:pPr>
      <w:r>
        <w:rPr>
          <w:rStyle w:val="FootnoteReference"/>
        </w:rPr>
        <w:footnoteRef/>
      </w:r>
      <w:r w:rsidRPr="00AE1D19">
        <w:t xml:space="preserve"> </w:t>
      </w:r>
      <w:r>
        <w:rPr>
          <w:lang w:val="fr-FR"/>
        </w:rPr>
        <w:fldChar w:fldCharType="begin"/>
      </w:r>
      <w:r>
        <w:instrText xml:space="preserve"> ADDIN EN.CITE &lt;EndNote&gt;&lt;Cite&gt;&lt;Author&gt;Audoin-Rouzeau&lt;/Author&gt;&lt;Year&gt;2002&lt;/Year&gt;&lt;RecNum&gt;29&lt;/RecNum&gt;&lt;DisplayText&gt;Stéphane Audoin-Rouzeau and Annette Becker, &lt;style face="italic"&gt;1914-1918: Understanding the Great War&lt;/style&gt;, (London, 2002)&lt;/DisplayText&gt;&lt;record&gt;&lt;rec-number&gt;29&lt;/rec-number&gt;&lt;foreign-keys&gt;&lt;key app="EN" db-id="2f5rvwawcsv2woetvw35fzwbdvvswerd0err"&gt;29&lt;/key&gt;&lt;/foreign-keys&gt;&lt;ref-type name="Book"&gt;6&lt;/ref-type&gt;&lt;contributors&gt;&lt;authors&gt;&lt;author&gt;Audoin-Rouzeau, Stéphane&lt;/author&gt;&lt;author&gt;Becker, Annette&lt;/author&gt;&lt;/authors&gt;&lt;/contributors&gt;&lt;titles&gt;&lt;title&gt;1914-1918: Understanding the Great War&lt;/title&gt;&lt;short-title&gt;Understanding&lt;/short-title&gt;&lt;/titles&gt;&lt;dates&gt;&lt;year&gt;2002&lt;/year&gt;&lt;/dates&gt;&lt;pub-location&gt;London&lt;/pub-location&gt;&lt;publisher&gt;Profile Books&lt;/publisher&gt;&lt;urls&gt;&lt;/urls&gt;&lt;/record&gt;&lt;/Cite&gt;&lt;/EndNote&gt;</w:instrText>
      </w:r>
      <w:r>
        <w:rPr>
          <w:lang w:val="fr-FR"/>
        </w:rPr>
        <w:fldChar w:fldCharType="separate"/>
      </w:r>
      <w:r w:rsidRPr="003474F7">
        <w:rPr>
          <w:noProof/>
        </w:rPr>
        <w:t xml:space="preserve">Stéphane Audoin-Rouzeau and Annette Becker, </w:t>
      </w:r>
      <w:r w:rsidRPr="003474F7">
        <w:rPr>
          <w:i/>
          <w:noProof/>
        </w:rPr>
        <w:t>1914-1918: Understanding the Great War</w:t>
      </w:r>
      <w:r w:rsidRPr="003474F7">
        <w:rPr>
          <w:noProof/>
        </w:rPr>
        <w:t>, (London, 2002)</w:t>
      </w:r>
      <w:r>
        <w:rPr>
          <w:lang w:val="fr-FR"/>
        </w:rPr>
        <w:fldChar w:fldCharType="end"/>
      </w:r>
      <w:r w:rsidRPr="00AE1D19">
        <w:t xml:space="preserve">, pp. 200-201; </w:t>
      </w:r>
      <w:r>
        <w:fldChar w:fldCharType="begin"/>
      </w:r>
      <w:r>
        <w:instrText xml:space="preserve"> ADDIN EN.CITE &lt;EndNote&gt;&lt;Cite&gt;&lt;Author&gt;Becker&lt;/Author&gt;&lt;Year&gt;1998&lt;/Year&gt;&lt;RecNum&gt;115&lt;/RecNum&gt;&lt;DisplayText&gt;Annette Becker, &lt;style face="italic"&gt;Oubliés de la Grande Guerre: humanitaire et culture de guerre&lt;/style&gt;, (Paris, 1998)&lt;/DisplayText&gt;&lt;record&gt;&lt;rec-number&gt;115&lt;/rec-number&gt;&lt;foreign-keys&gt;&lt;key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Pr>
          <w:noProof/>
        </w:rPr>
        <w:t xml:space="preserve">Annette Becker, </w:t>
      </w:r>
      <w:r w:rsidRPr="005C7BEE">
        <w:rPr>
          <w:i/>
          <w:noProof/>
        </w:rPr>
        <w:t>Oubliés de la Grande Guerre: humanitaire et culture de guerre</w:t>
      </w:r>
      <w:r>
        <w:rPr>
          <w:noProof/>
        </w:rPr>
        <w:t>, (Paris, 1998)</w:t>
      </w:r>
      <w:r>
        <w:fldChar w:fldCharType="end"/>
      </w:r>
      <w:r w:rsidRPr="00AE1D19">
        <w:t xml:space="preserve">, p. 14 and </w:t>
      </w:r>
      <w:r>
        <w:rPr>
          <w:lang w:val="de-DE"/>
        </w:rPr>
        <w:fldChar w:fldCharType="begin"/>
      </w:r>
      <w:r>
        <w:instrText xml:space="preserve"> ADDIN EN.CITE &lt;EndNote&gt;&lt;Cite&gt;&lt;Author&gt;Darrow&lt;/Author&gt;&lt;Year&gt;2000&lt;/Year&gt;&lt;RecNum&gt;302&lt;/RecNum&gt;&lt;DisplayText&gt;Margaret Darrow, &lt;style face="italic"&gt;French women and the First World War: war stories of the home front&lt;/style&gt;, (New York, 2000)&lt;/DisplayText&gt;&lt;record&gt;&lt;rec-number&gt;302&lt;/rec-number&gt;&lt;foreign-keys&gt;&lt;key app="EN" db-id="2f5rvwawcsv2woetvw35fzwbdvvswerd0err"&gt;302&lt;/key&gt;&lt;/foreign-keys&gt;&lt;ref-type name="Book"&gt;6&lt;/ref-type&gt;&lt;contributors&gt;&lt;authors&gt;&lt;author&gt;Darrow, Margaret&lt;/author&gt;&lt;/authors&gt;&lt;/contributors&gt;&lt;titles&gt;&lt;title&gt;French women and the First World War: war stories of the home front&lt;/title&gt;&lt;short-title&gt;French women&lt;/short-title&gt;&lt;/titles&gt;&lt;dates&gt;&lt;year&gt;2000&lt;/year&gt;&lt;/dates&gt;&lt;pub-location&gt;New York&lt;/pub-location&gt;&lt;urls&gt;&lt;/urls&gt;&lt;/record&gt;&lt;/Cite&gt;&lt;/EndNote&gt;</w:instrText>
      </w:r>
      <w:r>
        <w:rPr>
          <w:lang w:val="de-DE"/>
        </w:rPr>
        <w:fldChar w:fldCharType="separate"/>
      </w:r>
      <w:r w:rsidRPr="005C7BEE">
        <w:rPr>
          <w:noProof/>
        </w:rPr>
        <w:t xml:space="preserve">Margaret Darrow, </w:t>
      </w:r>
      <w:r w:rsidRPr="005C7BEE">
        <w:rPr>
          <w:i/>
          <w:noProof/>
        </w:rPr>
        <w:t>French women and the First World War: war stories of the home front</w:t>
      </w:r>
      <w:r w:rsidRPr="005C7BEE">
        <w:rPr>
          <w:noProof/>
        </w:rPr>
        <w:t>, (New York, 2000)</w:t>
      </w:r>
      <w:r>
        <w:rPr>
          <w:lang w:val="de-DE"/>
        </w:rPr>
        <w:fldChar w:fldCharType="end"/>
      </w:r>
      <w:r w:rsidRPr="00AE1D19">
        <w:t xml:space="preserve">, pp. </w:t>
      </w:r>
      <w:r>
        <w:t xml:space="preserve">282-283. </w:t>
      </w:r>
    </w:p>
  </w:footnote>
  <w:footnote w:id="5">
    <w:p w14:paraId="00CC7667" w14:textId="77777777" w:rsidR="00DE3AC9" w:rsidRPr="005C7BEE" w:rsidRDefault="00DE3AC9" w:rsidP="0048510E">
      <w:pPr>
        <w:pStyle w:val="FootnoteText"/>
      </w:pPr>
      <w:r>
        <w:rPr>
          <w:rStyle w:val="FootnoteReference"/>
        </w:rPr>
        <w:footnoteRef/>
      </w:r>
      <w:r w:rsidRPr="003474F7">
        <w:t xml:space="preserve"> </w:t>
      </w:r>
      <w:r>
        <w:fldChar w:fldCharType="begin"/>
      </w:r>
      <w: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Pr>
          <w:noProof/>
        </w:rPr>
        <w:t xml:space="preserve">Becker, </w:t>
      </w:r>
      <w:r w:rsidRPr="00921A26">
        <w:rPr>
          <w:i/>
          <w:noProof/>
        </w:rPr>
        <w:t>Oubliés</w:t>
      </w:r>
      <w:r>
        <w:fldChar w:fldCharType="end"/>
      </w:r>
      <w:r w:rsidRPr="003474F7">
        <w:t>, pp. 14-15.</w:t>
      </w:r>
      <w:r>
        <w:t xml:space="preserve"> There was only one book attempting to summarise the occupation. See: </w:t>
      </w:r>
      <w:r>
        <w:fldChar w:fldCharType="begin"/>
      </w:r>
      <w:r>
        <w:instrText xml:space="preserve"> ADDIN EN.CITE &lt;EndNote&gt;&lt;Cite&gt;&lt;Author&gt;Gromaire&lt;/Author&gt;&lt;Year&gt;1925&lt;/Year&gt;&lt;RecNum&gt;320&lt;/RecNum&gt;&lt;DisplayText&gt;Georges Gromaire, &lt;style face="italic"&gt;L&amp;apos;occupation allemande en France (1914-1918)&lt;/style&gt;, (Paris, 1925)&lt;/DisplayText&gt;&lt;record&gt;&lt;rec-number&gt;320&lt;/rec-number&gt;&lt;foreign-keys&gt;&lt;key app="EN" db-id="2f5rvwawcsv2woetvw35fzwbdvvswerd0err"&gt;320&lt;/key&gt;&lt;/foreign-keys&gt;&lt;ref-type name="Book"&gt;6&lt;/ref-type&gt;&lt;contributors&gt;&lt;authors&gt;&lt;author&gt;Gromaire, Georges&lt;/author&gt;&lt;/authors&gt;&lt;/contributors&gt;&lt;titles&gt;&lt;title&gt;L&amp;apos;occupation allemande en France (1914-1918)&lt;/title&gt;&lt;short-title&gt;L&amp;apos;occupation allemande&lt;/short-title&gt;&lt;/titles&gt;&lt;dates&gt;&lt;year&gt;1925&lt;/year&gt;&lt;/dates&gt;&lt;pub-location&gt;Paris&lt;/pub-location&gt;&lt;urls&gt;&lt;/urls&gt;&lt;/record&gt;&lt;/Cite&gt;&lt;/EndNote&gt;</w:instrText>
      </w:r>
      <w:r>
        <w:fldChar w:fldCharType="separate"/>
      </w:r>
      <w:r w:rsidRPr="005C7BEE">
        <w:rPr>
          <w:noProof/>
        </w:rPr>
        <w:t xml:space="preserve">Georges Gromaire, </w:t>
      </w:r>
      <w:r w:rsidRPr="005C7BEE">
        <w:rPr>
          <w:i/>
          <w:noProof/>
        </w:rPr>
        <w:t>L'occupation allemande en France (1914-1918)</w:t>
      </w:r>
      <w:r w:rsidRPr="005C7BEE">
        <w:rPr>
          <w:noProof/>
        </w:rPr>
        <w:t>, (Paris, 1925)</w:t>
      </w:r>
      <w:r>
        <w:fldChar w:fldCharType="end"/>
      </w:r>
      <w:r w:rsidRPr="005C7BEE">
        <w:t>.</w:t>
      </w:r>
    </w:p>
  </w:footnote>
  <w:footnote w:id="6">
    <w:p w14:paraId="3EE6F761" w14:textId="77777777" w:rsidR="00DE3AC9" w:rsidRPr="00980EB6" w:rsidRDefault="00DE3AC9" w:rsidP="005C7BEE">
      <w:pPr>
        <w:pStyle w:val="FootnoteText"/>
      </w:pPr>
      <w:r>
        <w:rPr>
          <w:rStyle w:val="FootnoteReference"/>
        </w:rPr>
        <w:footnoteRef/>
      </w:r>
      <w:r w:rsidRPr="00AC5770">
        <w:t xml:space="preserve"> </w:t>
      </w:r>
      <w:r>
        <w:fldChar w:fldCharType="begin"/>
      </w:r>
      <w:r>
        <w:instrText xml:space="preserve"> ADDIN EN.CITE &lt;EndNote&gt;&lt;Cite&gt;&lt;Author&gt;Occleshaw&lt;/Author&gt;&lt;Year&gt;1989&lt;/Year&gt;&lt;RecNum&gt;73&lt;/RecNum&gt;&lt;DisplayText&gt;Michael Occleshaw, &lt;style face="italic"&gt;Armour against fate: British military intelligence in the First World War&lt;/style&gt;, (London, 1989)&lt;/DisplayText&gt;&lt;record&gt;&lt;rec-number&gt;73&lt;/rec-number&gt;&lt;foreign-keys&gt;&lt;key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Pr>
          <w:noProof/>
        </w:rPr>
        <w:t xml:space="preserve">Michael Occleshaw, </w:t>
      </w:r>
      <w:r w:rsidRPr="005C7BEE">
        <w:rPr>
          <w:i/>
          <w:noProof/>
        </w:rPr>
        <w:t>Armour against fate: British military intelligence in the First World War</w:t>
      </w:r>
      <w:r>
        <w:rPr>
          <w:noProof/>
        </w:rPr>
        <w:t>, (London, 1989)</w:t>
      </w:r>
      <w:r>
        <w:fldChar w:fldCharType="end"/>
      </w:r>
      <w:r w:rsidRPr="00AC5770">
        <w:t xml:space="preserve">, p. 303. </w:t>
      </w:r>
      <w:r>
        <w:t xml:space="preserve">This destruction is explained later in the introduction. The commanding officer of MI7(b) wrote an autobiographical book but said nothing of his First World War experience. See </w:t>
      </w:r>
      <w:r>
        <w:fldChar w:fldCharType="begin"/>
      </w:r>
      <w:r>
        <w:instrText xml:space="preserve"> ADDIN EN.CITE &lt;EndNote&gt;&lt;Cite&gt;&lt;Author&gt;Onslow&lt;/Author&gt;&lt;Year&gt;1944&lt;/Year&gt;&lt;RecNum&gt;269&lt;/RecNum&gt;&lt;DisplayText&gt;Richard Onslow, &lt;style face="italic"&gt;Sixty-three years: diplomacy, the Great War and politics&lt;/style&gt;, (London, 1944)&lt;/DisplayText&gt;&lt;record&gt;&lt;rec-number&gt;269&lt;/rec-number&gt;&lt;foreign-keys&gt;&lt;key app="EN" db-id="2f5rvwawcsv2woetvw35fzwbdvvswerd0err"&gt;269&lt;/key&gt;&lt;/foreign-keys&gt;&lt;ref-type name="Book"&gt;6&lt;/ref-type&gt;&lt;contributors&gt;&lt;authors&gt;&lt;author&gt;Onslow, Richard&lt;/author&gt;&lt;/authors&gt;&lt;/contributors&gt;&lt;titles&gt;&lt;title&gt;Sixty-three years: diplomacy, the Great War and politics&lt;/title&gt;&lt;short-title&gt;Sixty-three&lt;/short-title&gt;&lt;/titles&gt;&lt;dates&gt;&lt;year&gt;1944&lt;/year&gt;&lt;/dates&gt;&lt;pub-location&gt;London&lt;/pub-location&gt;&lt;urls&gt;&lt;/urls&gt;&lt;/record&gt;&lt;/Cite&gt;&lt;/EndNote&gt;</w:instrText>
      </w:r>
      <w:r>
        <w:fldChar w:fldCharType="separate"/>
      </w:r>
      <w:r>
        <w:rPr>
          <w:noProof/>
        </w:rPr>
        <w:t xml:space="preserve">Richard Onslow, </w:t>
      </w:r>
      <w:r w:rsidRPr="003474F7">
        <w:rPr>
          <w:i/>
          <w:noProof/>
        </w:rPr>
        <w:t>Sixty-three years: diplomacy, the Great War and politics</w:t>
      </w:r>
      <w:r>
        <w:rPr>
          <w:noProof/>
        </w:rPr>
        <w:t>, (London, 1944)</w:t>
      </w:r>
      <w:r>
        <w:fldChar w:fldCharType="end"/>
      </w:r>
      <w:r>
        <w:t xml:space="preserve">. The editor in chief of the British newspaper, Edward Heron-Allen, never published his war diary. It was finally published and edited in 2002. See </w:t>
      </w:r>
      <w:r>
        <w:fldChar w:fldCharType="begin"/>
      </w:r>
      <w:r>
        <w:instrText xml:space="preserve"> ADDIN EN.CITE &lt;EndNote&gt;&lt;Cite&gt;&lt;Author&gt;Heron-Allen&lt;/Author&gt;&lt;Year&gt;2002&lt;/Year&gt;&lt;RecNum&gt;88&lt;/RecNum&gt;&lt;DisplayText&gt;Edward Heron-Allen, &amp;apos;Journal of the Great War&amp;apos;, in: &lt;style face="italic"&gt;Sussex Record Society, &lt;/style&gt;V (2002), &lt;/DisplayText&gt;&lt;record&gt;&lt;rec-number&gt;88&lt;/rec-number&gt;&lt;foreign-keys&gt;&lt;key app="EN" db-id="2f5rvwawcsv2woetvw35fzwbdvvswerd0err"&gt;88&lt;/key&gt;&lt;/foreign-keys&gt;&lt;ref-type name="Journal Article"&gt;17&lt;/ref-type&gt;&lt;contributors&gt;&lt;authors&gt;&lt;author&gt;Heron-Allen, Edward&lt;/author&gt;&lt;/authors&gt;&lt;/contributors&gt;&lt;titles&gt;&lt;title&gt;Journal of the Great War&lt;/title&gt;&lt;secondary-title&gt;Sussex Record Society&lt;/secondary-title&gt;&lt;short-title&gt;Journal&lt;/short-title&gt;&lt;/titles&gt;&lt;periodical&gt;&lt;full-title&gt;Sussex Record Society&lt;/full-title&gt;&lt;/periodical&gt;&lt;volume&gt;V&lt;/volume&gt;&lt;dates&gt;&lt;year&gt;2002&lt;/year&gt;&lt;/dates&gt;&lt;urls&gt;&lt;/urls&gt;&lt;/record&gt;&lt;/Cite&gt;&lt;/EndNote&gt;</w:instrText>
      </w:r>
      <w:r>
        <w:fldChar w:fldCharType="separate"/>
      </w:r>
      <w:r>
        <w:rPr>
          <w:noProof/>
        </w:rPr>
        <w:t xml:space="preserve">Edward Heron-Allen, 'Journal of the Great War', in: </w:t>
      </w:r>
      <w:r w:rsidRPr="00150A28">
        <w:rPr>
          <w:i/>
          <w:noProof/>
        </w:rPr>
        <w:t xml:space="preserve">Sussex Record Society, </w:t>
      </w:r>
      <w:r>
        <w:rPr>
          <w:noProof/>
        </w:rPr>
        <w:t xml:space="preserve">V (2002), </w:t>
      </w:r>
      <w:r>
        <w:fldChar w:fldCharType="end"/>
      </w:r>
    </w:p>
  </w:footnote>
  <w:footnote w:id="7">
    <w:p w14:paraId="3DAD134A" w14:textId="77777777" w:rsidR="00DE3AC9" w:rsidRPr="00F83B82" w:rsidRDefault="00DE3AC9" w:rsidP="0048510E">
      <w:pPr>
        <w:pStyle w:val="FootnoteText"/>
      </w:pPr>
      <w:r>
        <w:rPr>
          <w:rStyle w:val="FootnoteReference"/>
        </w:rPr>
        <w:footnoteRef/>
      </w:r>
      <w:r>
        <w:t xml:space="preserve"> </w:t>
      </w:r>
      <w:r>
        <w:fldChar w:fldCharType="begin"/>
      </w:r>
      <w:r>
        <w:instrText xml:space="preserve"> ADDIN EN.CITE &lt;EndNote&gt;&lt;Cite&gt;&lt;Author&gt;Connolly&lt;/Author&gt;&lt;Year&gt;2012&lt;/Year&gt;&lt;RecNum&gt;229&lt;/RecNum&gt;&lt;DisplayText&gt;James Connolly, &amp;apos;Encountering Germans: the experience of occupation in the Nord, 1914-1918&amp;apos;, (PhD Thesis, King&amp;apos;s College London, 2012)&lt;/DisplayText&gt;&lt;record&gt;&lt;rec-number&gt;229&lt;/rec-number&gt;&lt;foreign-keys&gt;&lt;key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Pr>
          <w:noProof/>
        </w:rPr>
        <w:t>James Connolly, 'Encountering Germans: the experience of occupation in the Nord, 1914-1918', (PhD Thesis, King's College London, 2012)</w:t>
      </w:r>
      <w:r>
        <w:fldChar w:fldCharType="end"/>
      </w:r>
      <w:r>
        <w:t>, p. 8.</w:t>
      </w:r>
    </w:p>
  </w:footnote>
  <w:footnote w:id="8">
    <w:p w14:paraId="33C9D507" w14:textId="4BC53CB4" w:rsidR="00DE3AC9" w:rsidRPr="00F83B82" w:rsidRDefault="00DE3AC9" w:rsidP="002F62A7">
      <w:pPr>
        <w:pStyle w:val="FootnoteText"/>
      </w:pPr>
      <w:r>
        <w:rPr>
          <w:rStyle w:val="FootnoteReference"/>
        </w:rPr>
        <w:footnoteRef/>
      </w:r>
      <w:r>
        <w:t xml:space="preserve"> </w:t>
      </w:r>
      <w:r>
        <w:fldChar w:fldCharType="begin"/>
      </w:r>
      <w:r>
        <w:instrText xml:space="preserve"> ADDIN EN.CITE &lt;EndNote&gt;&lt;Cite&gt;&lt;Author&gt;Cull&lt;/Author&gt;&lt;Year&gt;2003&lt;/Year&gt;&lt;RecNum&gt;101&lt;/RecNum&gt;&lt;DisplayText&gt;Nicolas Cull, David Culbert, and David Welch, &lt;style face="italic"&gt;Propaganda and mass persuasion: a Historical Encyclopedia&lt;/style&gt;, (Santa Barbara, 2003)&lt;/DisplayText&gt;&lt;record&gt;&lt;rec-number&gt;101&lt;/rec-number&gt;&lt;foreign-keys&gt;&lt;key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Pr>
          <w:noProof/>
        </w:rPr>
        <w:t xml:space="preserve">Nicolas Cull, David Culbert, and David Welch, </w:t>
      </w:r>
      <w:r w:rsidRPr="002F62A7">
        <w:rPr>
          <w:i/>
          <w:noProof/>
        </w:rPr>
        <w:t>Propaganda and mass persuasion: a Historical Encyclopedia</w:t>
      </w:r>
      <w:r>
        <w:rPr>
          <w:noProof/>
        </w:rPr>
        <w:t>, (Santa Barbara, 2003)</w:t>
      </w:r>
      <w:r>
        <w:fldChar w:fldCharType="end"/>
      </w:r>
      <w:r>
        <w:t xml:space="preserve">, pp. 317-319; </w:t>
      </w:r>
      <w:r>
        <w:fldChar w:fldCharType="begin"/>
      </w:r>
      <w:r>
        <w:instrText xml:space="preserve"> ADDIN EN.CITE &lt;EndNote&gt;&lt;Cite&gt;&lt;Author&gt;Ellul&lt;/Author&gt;&lt;Year&gt;1973&lt;/Year&gt;&lt;RecNum&gt;47&lt;/RecNum&gt;&lt;DisplayText&gt;Jacques Ellul, &lt;style face="italic"&gt;Propaganda: The formation of men&amp;apos;s attitudes&lt;/style&gt;, (New York, 1973)&lt;/DisplayText&gt;&lt;record&gt;&lt;rec-number&gt;47&lt;/rec-number&gt;&lt;foreign-keys&gt;&lt;key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Pr>
          <w:noProof/>
        </w:rPr>
        <w:t xml:space="preserve">Jacques Ellul, </w:t>
      </w:r>
      <w:r w:rsidRPr="003474F7">
        <w:rPr>
          <w:i/>
          <w:noProof/>
        </w:rPr>
        <w:t>Propaganda: The formation of men's attitudes</w:t>
      </w:r>
      <w:r>
        <w:rPr>
          <w:noProof/>
        </w:rPr>
        <w:t>, (New York, 1973)</w:t>
      </w:r>
      <w:r>
        <w:fldChar w:fldCharType="end"/>
      </w:r>
      <w:r>
        <w:t xml:space="preserve">, pp. x-xii; </w:t>
      </w:r>
      <w:r>
        <w:fldChar w:fldCharType="begin"/>
      </w:r>
      <w:r>
        <w:instrText xml:space="preserve"> ADDIN EN.CITE &lt;EndNote&gt;&lt;Cite&gt;&lt;Author&gt;Jowett&lt;/Author&gt;&lt;Year&gt;2012&lt;/Year&gt;&lt;RecNum&gt;92&lt;/RecNum&gt;&lt;DisplayText&gt;Garth Jowett and Victoria O&amp;apos;Donnell, &lt;style face="italic"&gt;Propaganda and persuasion&lt;/style&gt;, (California, 2012)&lt;/DisplayText&gt;&lt;record&gt;&lt;rec-number&gt;92&lt;/rec-number&gt;&lt;foreign-keys&gt;&lt;key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Garth Jowett and Victoria O'Donnell, </w:t>
      </w:r>
      <w:r w:rsidRPr="003474F7">
        <w:rPr>
          <w:i/>
          <w:noProof/>
        </w:rPr>
        <w:t>Propaganda and persuasion</w:t>
      </w:r>
      <w:r>
        <w:rPr>
          <w:noProof/>
        </w:rPr>
        <w:t>, (California, 2012)</w:t>
      </w:r>
      <w:r>
        <w:fldChar w:fldCharType="end"/>
      </w:r>
      <w:r>
        <w:t xml:space="preserve">, pp. 1-50; </w:t>
      </w:r>
      <w:r>
        <w:fldChar w:fldCharType="begin"/>
      </w:r>
      <w:r>
        <w:instrText xml:space="preserve"> ADDIN EN.CITE &lt;EndNote&gt;&lt;Cite&gt;&lt;Author&gt;Meller&lt;/Author&gt;&lt;Year&gt;2010&lt;/Year&gt;&lt;RecNum&gt;287&lt;/RecNum&gt;&lt;DisplayText&gt;Paul Meller, &amp;apos;The development of modern propaganda in Britain, 1854-1902&amp;apos;, (PhD thesis, Durham University, 2010)&lt;/DisplayText&gt;&lt;record&gt;&lt;rec-number&gt;287&lt;/rec-number&gt;&lt;foreign-keys&gt;&lt;key app="EN" db-id="2f5rvwawcsv2woetvw35fzwbdvvswerd0err"&gt;287&lt;/key&gt;&lt;/foreign-keys&gt;&lt;ref-type name="Thesis"&gt;32&lt;/ref-type&gt;&lt;contributors&gt;&lt;authors&gt;&lt;author&gt;Meller, Paul&lt;/author&gt;&lt;/authors&gt;&lt;/contributors&gt;&lt;titles&gt;&lt;title&gt;The development of modern propaganda in Britain, 1854-1902&lt;/title&gt;&lt;short-title&gt;The development&lt;/short-title&gt;&lt;/titles&gt;&lt;dates&gt;&lt;year&gt;2010&lt;/year&gt;&lt;/dates&gt;&lt;publisher&gt;Durham University&lt;/publisher&gt;&lt;work-type&gt;PhD thesis&lt;/work-type&gt;&lt;urls&gt;&lt;/urls&gt;&lt;/record&gt;&lt;/Cite&gt;&lt;/EndNote&gt;</w:instrText>
      </w:r>
      <w:r>
        <w:fldChar w:fldCharType="separate"/>
      </w:r>
      <w:r>
        <w:rPr>
          <w:noProof/>
        </w:rPr>
        <w:t>Paul Meller, 'The development of modern propaganda in Britain, 1854-1902', (PhD thesis, Durham University, 2010)</w:t>
      </w:r>
      <w:r>
        <w:fldChar w:fldCharType="end"/>
      </w:r>
      <w:r>
        <w:t xml:space="preserve">, pp. 3-4 and </w:t>
      </w:r>
      <w:r>
        <w:fldChar w:fldCharType="begin"/>
      </w:r>
      <w:r>
        <w:instrText xml:space="preserve"> ADDIN EN.CITE &lt;EndNote&gt;&lt;Cite&gt;&lt;Author&gt;Taylor&lt;/Author&gt;&lt;Year&gt;1995&lt;/Year&gt;&lt;RecNum&gt;7&lt;/RecNum&gt;&lt;DisplayText&gt;Philip Taylor, &lt;style face="italic"&gt;Munitions of the mind : a history of propaganda from the ancient world to the present era&lt;/style&gt;, (Manchester, 1995)&lt;/DisplayText&gt;&lt;record&gt;&lt;rec-number&gt;7&lt;/rec-number&gt;&lt;foreign-keys&gt;&lt;key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Philip Taylor, </w:t>
      </w:r>
      <w:r w:rsidRPr="003474F7">
        <w:rPr>
          <w:i/>
          <w:noProof/>
        </w:rPr>
        <w:t>Munitions of the mind : a history of propaganda from the ancient world to the present era</w:t>
      </w:r>
      <w:r>
        <w:rPr>
          <w:noProof/>
        </w:rPr>
        <w:t>, (Manchester, 1995)</w:t>
      </w:r>
      <w:r>
        <w:fldChar w:fldCharType="end"/>
      </w:r>
      <w:r>
        <w:t>, pp. 2-4.</w:t>
      </w:r>
    </w:p>
  </w:footnote>
  <w:footnote w:id="9">
    <w:p w14:paraId="60FE2A88" w14:textId="77777777" w:rsidR="00DE3AC9" w:rsidRPr="00B167AC" w:rsidRDefault="00DE3AC9" w:rsidP="0048510E">
      <w:pPr>
        <w:pStyle w:val="FootnoteText"/>
      </w:pPr>
      <w:r>
        <w:rPr>
          <w:rStyle w:val="FootnoteReference"/>
        </w:rPr>
        <w:footnoteRef/>
      </w:r>
      <w:r>
        <w:t xml:space="preserve"> </w:t>
      </w:r>
      <w:r w:rsidRPr="00B167AC">
        <w:t xml:space="preserve">This point </w:t>
      </w:r>
      <w:r>
        <w:t>will be developed further in chapter one.</w:t>
      </w:r>
    </w:p>
  </w:footnote>
  <w:footnote w:id="10">
    <w:p w14:paraId="11B29E11" w14:textId="77777777" w:rsidR="00DE3AC9" w:rsidRPr="003474F7" w:rsidRDefault="00DE3AC9" w:rsidP="0048510E">
      <w:pPr>
        <w:pStyle w:val="FootnoteText"/>
        <w:rPr>
          <w:lang w:val="fr-FR"/>
        </w:rPr>
      </w:pPr>
      <w:r>
        <w:rPr>
          <w:rStyle w:val="FootnoteReference"/>
        </w:rPr>
        <w:footnoteRef/>
      </w:r>
      <w:r w:rsidRPr="001E7D25">
        <w:t xml:space="preserve"> Mainly </w:t>
      </w:r>
      <w:r>
        <w:t xml:space="preserve">through </w:t>
      </w:r>
      <w:r w:rsidRPr="001E7D25">
        <w:t>Switzerland</w:t>
      </w:r>
      <w:r>
        <w:t xml:space="preserve"> and the Netherlands</w:t>
      </w:r>
      <w:r w:rsidRPr="001E7D25">
        <w:t>.</w:t>
      </w:r>
      <w:r>
        <w:t xml:space="preserve"> Since propaganda through neutral countries was smuggled, the terms ‘aerial propaganda’ is not accurate in this case. This mode of distribution was nowhere near as widespread as the use of aviation. </w:t>
      </w:r>
      <w:r w:rsidRPr="003474F7">
        <w:rPr>
          <w:lang w:val="fr-FR"/>
        </w:rPr>
        <w:t xml:space="preserve">See chapter two. </w:t>
      </w:r>
    </w:p>
  </w:footnote>
  <w:footnote w:id="11">
    <w:p w14:paraId="0C66B2EB" w14:textId="77777777" w:rsidR="00DE3AC9" w:rsidRPr="0087077A" w:rsidRDefault="00DE3AC9" w:rsidP="0048510E">
      <w:pPr>
        <w:pStyle w:val="FootnoteText"/>
        <w:rPr>
          <w:lang w:val="fr-FR"/>
        </w:rPr>
      </w:pPr>
      <w:r>
        <w:rPr>
          <w:rStyle w:val="FootnoteReference"/>
        </w:rPr>
        <w:footnoteRef/>
      </w:r>
      <w:r w:rsidRPr="0087077A">
        <w:rPr>
          <w:lang w:val="fr-FR"/>
        </w:rPr>
        <w:t xml:space="preserve"> </w:t>
      </w:r>
      <w:r>
        <w:rPr>
          <w:lang w:val="fr-FR"/>
        </w:rPr>
        <w:fldChar w:fldCharType="begin"/>
      </w:r>
      <w:r>
        <w:rPr>
          <w:lang w:val="fr-FR"/>
        </w:rPr>
        <w:instrText xml:space="preserve"> ADDIN EN.CITE &lt;EndNote&gt;&lt;Cite&gt;&lt;Author&gt;Chatelle&lt;/Author&gt;&lt;Year&gt;1929&lt;/Year&gt;&lt;RecNum&gt;306&lt;/RecNum&gt;&lt;DisplayText&gt;Albert Chatelle, &lt;style face="italic"&gt;Amiens pendant la guerre (1914-1918)&lt;/style&gt;, (Paris, 1929)&lt;/DisplayText&gt;&lt;record&gt;&lt;rec-number&gt;306&lt;/rec-number&gt;&lt;foreign-keys&gt;&lt;key app="EN" db-id="2f5rvwawcsv2woetvw35fzwbdvvswerd0err"&gt;306&lt;/key&gt;&lt;/foreign-keys&gt;&lt;ref-type name="Book"&gt;6&lt;/ref-type&gt;&lt;contributors&gt;&lt;authors&gt;&lt;author&gt;Chatelle, Albert&lt;/author&gt;&lt;/authors&gt;&lt;/contributors&gt;&lt;titles&gt;&lt;title&gt;Amiens pendant la guerre (1914-1918)&lt;/title&gt;&lt;short-title&gt;Amiens&lt;/short-title&gt;&lt;/titles&gt;&lt;dates&gt;&lt;year&gt;1929&lt;/year&gt;&lt;/dates&gt;&lt;pub-location&gt;Paris&lt;/pub-location&gt;&lt;urls&gt;&lt;/urls&gt;&lt;/record&gt;&lt;/Cite&gt;&lt;/EndNote&gt;</w:instrText>
      </w:r>
      <w:r>
        <w:rPr>
          <w:lang w:val="fr-FR"/>
        </w:rPr>
        <w:fldChar w:fldCharType="separate"/>
      </w:r>
      <w:r>
        <w:rPr>
          <w:noProof/>
          <w:lang w:val="fr-FR"/>
        </w:rPr>
        <w:t xml:space="preserve">Albert Chatelle, </w:t>
      </w:r>
      <w:r w:rsidRPr="0087077A">
        <w:rPr>
          <w:i/>
          <w:noProof/>
          <w:lang w:val="fr-FR"/>
        </w:rPr>
        <w:t>Amiens pendant la guerre (1914-1918)</w:t>
      </w:r>
      <w:r>
        <w:rPr>
          <w:noProof/>
          <w:lang w:val="fr-FR"/>
        </w:rPr>
        <w:t>, (Paris, 1929)</w:t>
      </w:r>
      <w:r>
        <w:rPr>
          <w:lang w:val="fr-FR"/>
        </w:rPr>
        <w:fldChar w:fldCharType="end"/>
      </w:r>
      <w:r>
        <w:rPr>
          <w:lang w:val="fr-FR"/>
        </w:rPr>
        <w:t>, p. 100.</w:t>
      </w:r>
    </w:p>
  </w:footnote>
  <w:footnote w:id="12">
    <w:p w14:paraId="5AEA9273" w14:textId="77777777" w:rsidR="00DE3AC9" w:rsidRPr="003C2CB5" w:rsidRDefault="00DE3AC9" w:rsidP="0048510E">
      <w:pPr>
        <w:pStyle w:val="FootnoteText"/>
      </w:pPr>
      <w:r>
        <w:rPr>
          <w:rStyle w:val="FootnoteReference"/>
        </w:rPr>
        <w:footnoteRef/>
      </w:r>
      <w:r w:rsidRPr="003C2CB5">
        <w:t xml:space="preserve"> </w:t>
      </w:r>
      <w:r>
        <w:t>N. A., ‘</w:t>
      </w:r>
      <w:r w:rsidRPr="00126D56">
        <w:t>Map of the Western Front</w:t>
      </w:r>
      <w:r>
        <w:rPr>
          <w:i/>
          <w:iCs/>
        </w:rPr>
        <w:t>’</w:t>
      </w:r>
      <w:r>
        <w:t xml:space="preserve"> [Map]. In: </w:t>
      </w:r>
      <w:r w:rsidRPr="00126D56">
        <w:rPr>
          <w:i/>
          <w:iCs/>
        </w:rPr>
        <w:t>Australian Government – Department of Veterans’ Affairs</w:t>
      </w:r>
      <w:r>
        <w:t xml:space="preserve">. </w:t>
      </w:r>
      <w:hyperlink r:id="rId1" w:history="1">
        <w:r w:rsidRPr="00DD103C">
          <w:rPr>
            <w:rStyle w:val="Hyperlink"/>
          </w:rPr>
          <w:t>http://www.dva.gov.au/aboutDVA/publications/commemorative/awf/Pages/map.aspx</w:t>
        </w:r>
      </w:hyperlink>
      <w:r>
        <w:t xml:space="preserve"> [accessed 7 January 2014]</w:t>
      </w:r>
    </w:p>
  </w:footnote>
  <w:footnote w:id="13">
    <w:p w14:paraId="74011EA4" w14:textId="77777777" w:rsidR="00DE3AC9" w:rsidRPr="00AB5D0A" w:rsidRDefault="00DE3AC9" w:rsidP="0048510E">
      <w:pPr>
        <w:pStyle w:val="FootnoteText"/>
      </w:pPr>
      <w:r>
        <w:rPr>
          <w:rStyle w:val="FootnoteReference"/>
        </w:rPr>
        <w:footnoteRef/>
      </w:r>
      <w:r w:rsidRPr="003474F7">
        <w:rPr>
          <w:lang w:val="fr-FR"/>
        </w:rPr>
        <w:t xml:space="preserve"> </w:t>
      </w:r>
      <w:r>
        <w:rPr>
          <w:lang w:val="fr-FR"/>
        </w:rPr>
        <w:fldChar w:fldCharType="begin"/>
      </w:r>
      <w:r w:rsidRPr="003474F7">
        <w:rPr>
          <w:lang w:val="fr-FR"/>
        </w:rPr>
        <w:instrText xml:space="preserve"> ADDIN EN.CITE &lt;EndNote&gt;&lt;Cite&gt;&lt;Author&gt;Roth&lt;/Author&gt;&lt;Year&gt;2004&lt;/Year&gt;&lt;RecNum&gt;291&lt;/RecNum&gt;&lt;DisplayText&gt;François Roth, &amp;apos;Le retour des provinces perdues&amp;apos;, in: &lt;style face="italic"&gt;Encyclopédie de la Grande Guerre, &lt;/style&gt;ed. by Stéphane Audoin-Rouzeau and Jean-Jacques Becker (Paris, 2004),&lt;/DisplayText&gt;&lt;record&gt;&lt;rec-number&gt;291&lt;/rec-number&gt;&lt;foreign-keys&gt;&lt;key app="EN" db-id="2f5rvwawcsv2woetvw35fzwbdvvswerd0err"&gt;291&lt;/key&gt;&lt;/foreign-keys&gt;&lt;ref-type name="Book Section"&gt;5&lt;/ref-type&gt;&lt;contributors&gt;&lt;authors&gt;&lt;author&gt;Roth, François&lt;/author&gt;&lt;/authors&gt;&lt;secondary-authors&gt;&lt;author&gt;Audoin-Rouzeau, Stéphane&lt;/author&gt;&lt;author&gt;Becker, Jean-Jacques&lt;/author&gt;&lt;/secondary-authors&gt;&lt;/contributors&gt;&lt;titles&gt;&lt;title&gt;Le retour des provinces perdues&lt;/title&gt;&lt;secondary-title&gt;Encyclopédie de la Grande Guerre&lt;/secondary-title&gt;&lt;short-title&gt;Le retour&lt;/short-title&gt;&lt;/titles&gt;&lt;dates&gt;&lt;year&gt;2004&lt;/year&gt;&lt;/dates&gt;&lt;pub-location&gt;Paris&lt;/pub-location&gt;&lt;urls&gt;&lt;/urls&gt;&lt;/record&gt;&lt;/Cite&gt;&lt;/EndNote&gt;</w:instrText>
      </w:r>
      <w:r>
        <w:rPr>
          <w:lang w:val="fr-FR"/>
        </w:rPr>
        <w:fldChar w:fldCharType="separate"/>
      </w:r>
      <w:r w:rsidRPr="003474F7">
        <w:rPr>
          <w:noProof/>
          <w:lang w:val="fr-FR"/>
        </w:rPr>
        <w:t xml:space="preserve">François Roth, 'Le retour des provinces perdues', in: </w:t>
      </w:r>
      <w:r w:rsidRPr="003474F7">
        <w:rPr>
          <w:i/>
          <w:noProof/>
          <w:lang w:val="fr-FR"/>
        </w:rPr>
        <w:t xml:space="preserve">Encyclopédie de la Grande Guerre, </w:t>
      </w:r>
      <w:r w:rsidRPr="003474F7">
        <w:rPr>
          <w:noProof/>
          <w:lang w:val="fr-FR"/>
        </w:rPr>
        <w:t>ed. by Stéphane Audoin-Rouzeau and Jean-Jacques Becker (Paris, 2004),</w:t>
      </w:r>
      <w:r>
        <w:rPr>
          <w:lang w:val="fr-FR"/>
        </w:rPr>
        <w:fldChar w:fldCharType="end"/>
      </w:r>
      <w:r w:rsidRPr="003474F7">
        <w:rPr>
          <w:lang w:val="fr-FR"/>
        </w:rPr>
        <w:t xml:space="preserve"> pp. 1063-1064. See also: </w:t>
      </w:r>
      <w:r>
        <w:rPr>
          <w:lang w:val="fr-FR"/>
        </w:rPr>
        <w:fldChar w:fldCharType="begin"/>
      </w:r>
      <w:r>
        <w:rPr>
          <w:lang w:val="fr-FR"/>
        </w:rPr>
        <w:instrText xml:space="preserve"> ADDIN EN.CITE &lt;EndNote&gt;&lt;Cite&gt;&lt;Author&gt;Roth&lt;/Author&gt;&lt;Year&gt;2010&lt;/Year&gt;&lt;RecNum&gt;290&lt;/RecNum&gt;&lt;DisplayText&gt;François Roth, &lt;style face="italic"&gt;Alsace-Lorraine: histoire d&amp;apos;un &amp;quot;pays perdu&amp;quot;, de 1870 à nos jours&lt;/style&gt;, (Metz, 2010)&lt;/DisplayText&gt;&lt;record&gt;&lt;rec-number&gt;290&lt;/rec-number&gt;&lt;foreign-keys&gt;&lt;key app="EN" db-id="2f5rvwawcsv2woetvw35fzwbdvvswerd0err"&gt;290&lt;/key&gt;&lt;/foreign-keys&gt;&lt;ref-type name="Book"&gt;6&lt;/ref-type&gt;&lt;contributors&gt;&lt;authors&gt;&lt;author&gt;Roth, François&lt;/author&gt;&lt;/authors&gt;&lt;/contributors&gt;&lt;titles&gt;&lt;title&gt;Alsace-Lorraine: histoire d&amp;apos;un &amp;quot;pays perdu&amp;quot;, de 1870 à nos jours&lt;/title&gt;&lt;short-title&gt;Alsace&lt;/short-title&gt;&lt;/titles&gt;&lt;dates&gt;&lt;year&gt;2010&lt;/year&gt;&lt;/dates&gt;&lt;pub-location&gt;Metz&lt;/pub-location&gt;&lt;urls&gt;&lt;/urls&gt;&lt;/record&gt;&lt;/Cite&gt;&lt;/EndNote&gt;</w:instrText>
      </w:r>
      <w:r>
        <w:rPr>
          <w:lang w:val="fr-FR"/>
        </w:rPr>
        <w:fldChar w:fldCharType="separate"/>
      </w:r>
      <w:r>
        <w:rPr>
          <w:noProof/>
          <w:lang w:val="fr-FR"/>
        </w:rPr>
        <w:t xml:space="preserve">François Roth, </w:t>
      </w:r>
      <w:r w:rsidRPr="003474F7">
        <w:rPr>
          <w:i/>
          <w:noProof/>
          <w:lang w:val="fr-FR"/>
        </w:rPr>
        <w:t>Alsace-Lorraine: histoire d'un "pays perdu", de 1870 à nos jours</w:t>
      </w:r>
      <w:r>
        <w:rPr>
          <w:noProof/>
          <w:lang w:val="fr-FR"/>
        </w:rPr>
        <w:t>, (Metz, 2010)</w:t>
      </w:r>
      <w:r>
        <w:rPr>
          <w:lang w:val="fr-FR"/>
        </w:rPr>
        <w:fldChar w:fldCharType="end"/>
      </w:r>
      <w:r>
        <w:rPr>
          <w:lang w:val="fr-FR"/>
        </w:rPr>
        <w:t xml:space="preserve">  and </w:t>
      </w:r>
      <w:r>
        <w:rPr>
          <w:lang w:val="fr-FR"/>
        </w:rPr>
        <w:fldChar w:fldCharType="begin"/>
      </w:r>
      <w:r>
        <w:rPr>
          <w:lang w:val="fr-FR"/>
        </w:rPr>
        <w:instrText xml:space="preserve"> ADDIN EN.CITE &lt;EndNote&gt;&lt;Cite&gt;&lt;Author&gt;Roth&lt;/Author&gt;&lt;Year&gt;1994&lt;/Year&gt;&lt;RecNum&gt;289&lt;/RecNum&gt;&lt;DisplayText&gt;François Roth, &lt;style face="italic"&gt;Histoire contemporaine de la Lorraine&lt;/style&gt;, (Metz, 1994)&lt;/DisplayText&gt;&lt;record&gt;&lt;rec-number&gt;289&lt;/rec-number&gt;&lt;foreign-keys&gt;&lt;key app="EN" db-id="2f5rvwawcsv2woetvw35fzwbdvvswerd0err"&gt;289&lt;/key&gt;&lt;/foreign-keys&gt;&lt;ref-type name="Book"&gt;6&lt;/ref-type&gt;&lt;contributors&gt;&lt;authors&gt;&lt;author&gt;Roth, François&lt;/author&gt;&lt;/authors&gt;&lt;/contributors&gt;&lt;titles&gt;&lt;title&gt;Histoire contemporaine de la Lorraine&lt;/title&gt;&lt;short-title&gt;Histoire&lt;/short-title&gt;&lt;/titles&gt;&lt;dates&gt;&lt;year&gt;1994&lt;/year&gt;&lt;/dates&gt;&lt;pub-location&gt;Metz&lt;/pub-location&gt;&lt;urls&gt;&lt;/urls&gt;&lt;/record&gt;&lt;/Cite&gt;&lt;/EndNote&gt;</w:instrText>
      </w:r>
      <w:r>
        <w:rPr>
          <w:lang w:val="fr-FR"/>
        </w:rPr>
        <w:fldChar w:fldCharType="separate"/>
      </w:r>
      <w:r>
        <w:rPr>
          <w:noProof/>
          <w:lang w:val="fr-FR"/>
        </w:rPr>
        <w:t xml:space="preserve">François Roth, </w:t>
      </w:r>
      <w:r w:rsidRPr="003474F7">
        <w:rPr>
          <w:i/>
          <w:noProof/>
          <w:lang w:val="fr-FR"/>
        </w:rPr>
        <w:t>Histoire contemporaine de la Lorraine</w:t>
      </w:r>
      <w:r>
        <w:rPr>
          <w:noProof/>
          <w:lang w:val="fr-FR"/>
        </w:rPr>
        <w:t>, (Metz, 1994)</w:t>
      </w:r>
      <w:r>
        <w:rPr>
          <w:lang w:val="fr-FR"/>
        </w:rPr>
        <w:fldChar w:fldCharType="end"/>
      </w:r>
      <w:r>
        <w:rPr>
          <w:lang w:val="fr-FR"/>
        </w:rPr>
        <w:t xml:space="preserve">. </w:t>
      </w:r>
      <w:r w:rsidRPr="00AB5D0A">
        <w:t>This thesis has also left aside the occupation of the Grand Duchy</w:t>
      </w:r>
      <w:r>
        <w:t xml:space="preserve"> of Luxembourg. The subject will be the object of separate paper. For the occupation of the Duchy, see: </w:t>
      </w:r>
      <w:r>
        <w:fldChar w:fldCharType="begin"/>
      </w:r>
      <w:r>
        <w:instrText xml:space="preserve"> ADDIN EN.CITE &lt;EndNote&gt;&lt;Cite&gt;&lt;Author&gt;Stevenson&lt;/Author&gt;&lt;Year&gt;1982&lt;/Year&gt;&lt;RecNum&gt;298&lt;/RecNum&gt;&lt;DisplayText&gt;David Stevenson, &amp;apos;Belgium, Luxemburg, and the defence of Western Europe, 1914-1920&amp;apos;, in: &lt;style face="italic"&gt;The International History Review, &lt;/style&gt;4 (1982), &lt;/DisplayText&gt;&lt;record&gt;&lt;rec-number&gt;298&lt;/rec-number&gt;&lt;foreign-keys&gt;&lt;key app="EN" db-id="2f5rvwawcsv2woetvw35fzwbdvvswerd0err"&gt;298&lt;/key&gt;&lt;/foreign-keys&gt;&lt;ref-type name="Journal Article"&gt;17&lt;/ref-type&gt;&lt;contributors&gt;&lt;authors&gt;&lt;author&gt;Stevenson, David&lt;/author&gt;&lt;/authors&gt;&lt;/contributors&gt;&lt;titles&gt;&lt;title&gt;Belgium, Luxemburg, and the defence of Western Europe, 1914-1920&lt;/title&gt;&lt;secondary-title&gt;The International History Review&lt;/secondary-title&gt;&lt;/titles&gt;&lt;periodical&gt;&lt;full-title&gt;The International History Review&lt;/full-title&gt;&lt;/periodical&gt;&lt;volume&gt;4&lt;/volume&gt;&lt;dates&gt;&lt;year&gt;1982&lt;/year&gt;&lt;/dates&gt;&lt;urls&gt;&lt;/urls&gt;&lt;/record&gt;&lt;/Cite&gt;&lt;/EndNote&gt;</w:instrText>
      </w:r>
      <w:r>
        <w:fldChar w:fldCharType="separate"/>
      </w:r>
      <w:r>
        <w:rPr>
          <w:noProof/>
        </w:rPr>
        <w:t xml:space="preserve">David Stevenson, 'Belgium, Luxemburg, and the defence of Western Europe, 1914-1920', in: </w:t>
      </w:r>
      <w:r w:rsidRPr="002F0D63">
        <w:rPr>
          <w:i/>
          <w:noProof/>
        </w:rPr>
        <w:t xml:space="preserve">The International History Review, </w:t>
      </w:r>
      <w:r>
        <w:rPr>
          <w:noProof/>
        </w:rPr>
        <w:t xml:space="preserve">4 (1982), </w:t>
      </w:r>
      <w:r>
        <w:fldChar w:fldCharType="end"/>
      </w:r>
      <w:r>
        <w:t xml:space="preserve">pp.504-523 and Luxemburg written </w:t>
      </w:r>
      <w:r>
        <w:fldChar w:fldCharType="begin"/>
      </w:r>
      <w:r>
        <w:instrText xml:space="preserve"> ADDIN EN.CITE &lt;EndNote&gt;&lt;Cite&gt;&lt;Author&gt;Faber&lt;/Author&gt;&lt;Year&gt;1932&lt;/Year&gt;&lt;RecNum&gt;297&lt;/RecNum&gt;&lt;DisplayText&gt;Ernest Faber, &lt;style face="italic"&gt;Luxemburg im Kriege 1914-1918&lt;/style&gt;, (Mersch, 1932)&lt;/DisplayText&gt;&lt;record&gt;&lt;rec-number&gt;297&lt;/rec-number&gt;&lt;foreign-keys&gt;&lt;key app="EN" db-id="2f5rvwawcsv2woetvw35fzwbdvvswerd0err"&gt;297&lt;/key&gt;&lt;/foreign-keys&gt;&lt;ref-type name="Book"&gt;6&lt;/ref-type&gt;&lt;contributors&gt;&lt;authors&gt;&lt;author&gt;Faber, Ernest&lt;/author&gt;&lt;/authors&gt;&lt;/contributors&gt;&lt;titles&gt;&lt;title&gt;Luxemburg im Kriege 1914-1918&lt;/title&gt;&lt;/titles&gt;&lt;dates&gt;&lt;year&gt;1932&lt;/year&gt;&lt;/dates&gt;&lt;pub-location&gt;Mersch&lt;/pub-location&gt;&lt;urls&gt;&lt;/urls&gt;&lt;/record&gt;&lt;/Cite&gt;&lt;/EndNote&gt;</w:instrText>
      </w:r>
      <w:r>
        <w:fldChar w:fldCharType="separate"/>
      </w:r>
      <w:r>
        <w:rPr>
          <w:noProof/>
        </w:rPr>
        <w:t xml:space="preserve">Ernest Faber, </w:t>
      </w:r>
      <w:r w:rsidRPr="003474F7">
        <w:rPr>
          <w:i/>
          <w:noProof/>
        </w:rPr>
        <w:t>Luxemburg im Kriege 1914-1918</w:t>
      </w:r>
      <w:r>
        <w:rPr>
          <w:noProof/>
        </w:rPr>
        <w:t>, (Mersch, 1932)</w:t>
      </w:r>
      <w:r>
        <w:fldChar w:fldCharType="end"/>
      </w:r>
      <w:r>
        <w:t>.</w:t>
      </w:r>
    </w:p>
  </w:footnote>
  <w:footnote w:id="14">
    <w:p w14:paraId="6A0163C0" w14:textId="77777777" w:rsidR="00DE3AC9" w:rsidRPr="00F61CE4" w:rsidRDefault="00DE3AC9" w:rsidP="005C7BEE">
      <w:pPr>
        <w:pStyle w:val="FootnoteText"/>
        <w:rPr>
          <w:lang w:val="fr-FR"/>
        </w:rPr>
      </w:pPr>
      <w:r>
        <w:rPr>
          <w:rStyle w:val="FootnoteReference"/>
        </w:rPr>
        <w:footnoteRef/>
      </w:r>
      <w:r w:rsidRPr="00D03445">
        <w:rPr>
          <w:lang w:val="fr-FR"/>
        </w:rPr>
        <w:t xml:space="preserve"> </w:t>
      </w:r>
      <w:r>
        <w:fldChar w:fldCharType="begin"/>
      </w:r>
      <w:r>
        <w:rPr>
          <w:lang w:val="fr-FR"/>
        </w:rPr>
        <w:instrText xml:space="preserve"> ADDIN EN.CITE &lt;EndNote&gt;&lt;Cite&gt;&lt;Author&gt;Nivet&lt;/Author&gt;&lt;Year&gt;2011&lt;/Year&gt;&lt;RecNum&gt;105&lt;/RecNum&gt;&lt;DisplayText&gt;Philippe Nivet, &lt;style face="italic"&gt;La France occupée: 1914-1918&lt;/style&gt;, (Paris, 2011)&lt;/DisplayText&gt;&lt;record&gt;&lt;rec-number&gt;105&lt;/rec-number&gt;&lt;foreign-keys&gt;&lt;key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5C7BEE">
        <w:rPr>
          <w:noProof/>
          <w:lang w:val="fr-FR"/>
        </w:rPr>
        <w:t xml:space="preserve">Philippe Nivet, </w:t>
      </w:r>
      <w:r w:rsidRPr="005C7BEE">
        <w:rPr>
          <w:i/>
          <w:noProof/>
          <w:lang w:val="fr-FR"/>
        </w:rPr>
        <w:t>La France occupée: 1914-1918</w:t>
      </w:r>
      <w:r w:rsidRPr="005C7BEE">
        <w:rPr>
          <w:noProof/>
          <w:lang w:val="fr-FR"/>
        </w:rPr>
        <w:t>, (Paris, 2011)</w:t>
      </w:r>
      <w:r>
        <w:fldChar w:fldCharType="end"/>
      </w:r>
      <w:r w:rsidRPr="00F83B82">
        <w:rPr>
          <w:lang w:val="fr-FR"/>
        </w:rPr>
        <w:t>, p. 9.</w:t>
      </w:r>
    </w:p>
  </w:footnote>
  <w:footnote w:id="15">
    <w:p w14:paraId="525CA56D" w14:textId="202334C8" w:rsidR="00DE3AC9" w:rsidRPr="009450C1" w:rsidRDefault="00DE3AC9" w:rsidP="002F62A7">
      <w:pPr>
        <w:pStyle w:val="FootnoteText"/>
        <w:rPr>
          <w:lang w:val="fr-FR"/>
        </w:rPr>
      </w:pPr>
      <w:r>
        <w:rPr>
          <w:rStyle w:val="FootnoteReference"/>
        </w:rPr>
        <w:footnoteRef/>
      </w:r>
      <w:r w:rsidRPr="00126D56">
        <w:rPr>
          <w:lang w:val="fr-FR"/>
        </w:rPr>
        <w:t xml:space="preserve"> </w:t>
      </w:r>
      <w:r>
        <w:fldChar w:fldCharType="begin"/>
      </w:r>
      <w:r>
        <w:rPr>
          <w:lang w:val="fr-FR"/>
        </w:rPr>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126D56">
        <w:rPr>
          <w:noProof/>
          <w:lang w:val="fr-FR"/>
        </w:rPr>
        <w:t>Ibid.</w:t>
      </w:r>
      <w:r>
        <w:fldChar w:fldCharType="end"/>
      </w:r>
      <w:r w:rsidRPr="00126D56">
        <w:rPr>
          <w:lang w:val="fr-FR"/>
        </w:rPr>
        <w:t xml:space="preserve">, p. 9 and </w:t>
      </w:r>
      <w:r>
        <w:fldChar w:fldCharType="begin"/>
      </w:r>
      <w:r>
        <w:rPr>
          <w:lang w:val="fr-FR"/>
        </w:rPr>
        <w:instrText xml:space="preserve"> ADDIN EN.CITE &lt;EndNote&gt;&lt;Cite&gt;&lt;Author&gt;Connolly&lt;/Author&gt;&lt;Year&gt;2014&lt;/Year&gt;&lt;RecNum&gt;319&lt;/RecNum&gt;&lt;DisplayText&gt;James Connolly, &amp;apos;L&amp;apos;occupation du Nord de la France (1914-1918) vue par les Britanniques&amp;apos;, in: &lt;style face="italic"&gt;Revue du Nord, &lt;/style&gt;forthcoming (2014), &lt;/DisplayText&gt;&lt;record&gt;&lt;rec-number&gt;319&lt;/rec-number&gt;&lt;foreign-keys&gt;&lt;key app="EN" db-id="2f5rvwawcsv2woetvw35fzwbdvvswerd0err"&gt;319&lt;/key&gt;&lt;/foreign-keys&gt;&lt;ref-type name="Journal Article"&gt;17&lt;/ref-type&gt;&lt;contributors&gt;&lt;authors&gt;&lt;author&gt;Connolly, James&lt;/author&gt;&lt;/authors&gt;&lt;/contributors&gt;&lt;titles&gt;&lt;title&gt;L&amp;apos;occupation du Nord de la France (1914-1918) vue par les Britanniques&lt;/title&gt;&lt;secondary-title&gt;Revue du Nord&lt;/secondary-title&gt;&lt;short-title&gt;l&amp;apos;occupation du Nord&lt;/short-title&gt;&lt;/titles&gt;&lt;periodical&gt;&lt;full-title&gt;Revue du Nord&lt;/full-title&gt;&lt;/periodical&gt;&lt;volume&gt;forthcoming&lt;/volume&gt;&lt;dates&gt;&lt;year&gt;2014&lt;/year&gt;&lt;/dates&gt;&lt;urls&gt;&lt;/urls&gt;&lt;/record&gt;&lt;/Cite&gt;&lt;/EndNote&gt;</w:instrText>
      </w:r>
      <w:r>
        <w:fldChar w:fldCharType="separate"/>
      </w:r>
      <w:r w:rsidRPr="002F62A7">
        <w:rPr>
          <w:noProof/>
          <w:lang w:val="fr-FR"/>
        </w:rPr>
        <w:t xml:space="preserve">James Connolly, 'L'occupation du Nord de la France (1914-1918) vue par les Britanniques', in: </w:t>
      </w:r>
      <w:r w:rsidRPr="002F62A7">
        <w:rPr>
          <w:i/>
          <w:noProof/>
          <w:lang w:val="fr-FR"/>
        </w:rPr>
        <w:t xml:space="preserve">Revue du Nord, </w:t>
      </w:r>
      <w:r w:rsidRPr="002F62A7">
        <w:rPr>
          <w:noProof/>
          <w:lang w:val="fr-FR"/>
        </w:rPr>
        <w:t xml:space="preserve">forthcoming (2014), </w:t>
      </w:r>
      <w:r>
        <w:fldChar w:fldCharType="end"/>
      </w:r>
    </w:p>
  </w:footnote>
  <w:footnote w:id="16">
    <w:p w14:paraId="474316EC" w14:textId="77777777" w:rsidR="00DE3AC9" w:rsidRPr="00F83B82" w:rsidRDefault="00DE3AC9" w:rsidP="0048510E">
      <w:pPr>
        <w:pStyle w:val="FootnoteText"/>
      </w:pPr>
      <w:r>
        <w:rPr>
          <w:rStyle w:val="FootnoteReference"/>
        </w:rPr>
        <w:footnoteRef/>
      </w:r>
      <w:r>
        <w:t xml:space="preserve"> </w:t>
      </w:r>
      <w:r>
        <w:fldChar w:fldCharType="begin"/>
      </w:r>
      <w:r>
        <w:instrText xml:space="preserve"> ADDIN EN.CITE &lt;EndNote&gt;&lt;Cite&gt;&lt;Author&gt;Schaepdrijver&lt;/Author&gt;&lt;Year&gt;1999&lt;/Year&gt;&lt;RecNum&gt;64&lt;/RecNum&gt;&lt;DisplayText&gt;Sophie de Schaepdrijver, &amp;apos;Occupation, propaganda and the idea of Belgium&amp;apos;, in: &lt;style face="italic"&gt;European culture in the Great War, &lt;/style&gt;ed. by A. Roshwald and R. Stites (Cambridge, 1999),&lt;/DisplayText&gt;&lt;record&gt;&lt;rec-number&gt;64&lt;/rec-number&gt;&lt;foreign-keys&gt;&lt;key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fldChar w:fldCharType="separate"/>
      </w:r>
      <w:r>
        <w:rPr>
          <w:noProof/>
        </w:rPr>
        <w:t xml:space="preserve">Sophie de Schaepdrijver, 'Occupation, propaganda and the idea of Belgium', in: </w:t>
      </w:r>
      <w:r w:rsidRPr="00150A28">
        <w:rPr>
          <w:i/>
          <w:noProof/>
        </w:rPr>
        <w:t xml:space="preserve">European culture in the Great War, </w:t>
      </w:r>
      <w:r>
        <w:rPr>
          <w:noProof/>
        </w:rPr>
        <w:t>ed. by A. Roshwald and R. Stites (Cambridge, 1999),</w:t>
      </w:r>
      <w:r>
        <w:fldChar w:fldCharType="end"/>
      </w:r>
      <w:r>
        <w:t xml:space="preserve"> pp. 267-294.</w:t>
      </w:r>
    </w:p>
  </w:footnote>
  <w:footnote w:id="17">
    <w:p w14:paraId="73D32AC8" w14:textId="77777777" w:rsidR="00DE3AC9" w:rsidRPr="00A67BCA" w:rsidRDefault="00DE3AC9" w:rsidP="0048510E">
      <w:pPr>
        <w:pStyle w:val="FootnoteText"/>
        <w:rPr>
          <w:lang w:val="fr-FR"/>
        </w:rPr>
      </w:pPr>
      <w:r>
        <w:rPr>
          <w:rStyle w:val="FootnoteReference"/>
        </w:rPr>
        <w:footnoteRef/>
      </w:r>
      <w:r w:rsidRPr="00F83B82">
        <w:rPr>
          <w:lang w:val="fr-FR"/>
        </w:rPr>
        <w:t xml:space="preserve"> </w:t>
      </w:r>
      <w:r>
        <w:fldChar w:fldCharType="begin"/>
      </w:r>
      <w:r>
        <w:rPr>
          <w:lang w:val="fr-FR"/>
        </w:rPr>
        <w:instrText xml:space="preserve"> ADDIN EN.CITE &lt;EndNote&gt;&lt;Cite&gt;&lt;Author&gt;Schaepdrijver&lt;/Author&gt;&lt;Year&gt;2004&lt;/Year&gt;&lt;RecNum&gt;128&lt;/RecNum&gt;&lt;DisplayText&gt;Sophie de Schaepdrijver, &lt;style face="italic"&gt;La Belgique et la Première Guerre Mondiale&lt;/style&gt;, (New York, 2004)&lt;/DisplayText&gt;&lt;record&gt;&lt;rec-number&gt;128&lt;/rec-number&gt;&lt;foreign-keys&gt;&lt;key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3474F7">
        <w:rPr>
          <w:noProof/>
          <w:lang w:val="fr-FR"/>
        </w:rPr>
        <w:t xml:space="preserve">Sophie de Schaepdrijver, </w:t>
      </w:r>
      <w:r w:rsidRPr="003474F7">
        <w:rPr>
          <w:i/>
          <w:noProof/>
          <w:lang w:val="fr-FR"/>
        </w:rPr>
        <w:t>La Belgique et la Première Guerre Mondiale</w:t>
      </w:r>
      <w:r w:rsidRPr="003474F7">
        <w:rPr>
          <w:noProof/>
          <w:lang w:val="fr-FR"/>
        </w:rPr>
        <w:t>, (New York, 2004)</w:t>
      </w:r>
      <w:r>
        <w:fldChar w:fldCharType="end"/>
      </w:r>
      <w:r w:rsidRPr="00F83B82">
        <w:rPr>
          <w:lang w:val="fr-FR"/>
        </w:rPr>
        <w:t>, p. 105.</w:t>
      </w:r>
    </w:p>
  </w:footnote>
  <w:footnote w:id="18">
    <w:p w14:paraId="071D2CB3" w14:textId="77777777" w:rsidR="00DE3AC9" w:rsidRPr="00F83B82" w:rsidRDefault="00DE3AC9" w:rsidP="0048510E">
      <w:pPr>
        <w:pStyle w:val="FootnoteText"/>
      </w:pPr>
      <w:r>
        <w:rPr>
          <w:rStyle w:val="FootnoteReference"/>
        </w:rPr>
        <w:footnoteRef/>
      </w:r>
      <w:r>
        <w:t xml:space="preserve"> </w:t>
      </w:r>
      <w:r>
        <w:fldChar w:fldCharType="begin"/>
      </w:r>
      <w:r>
        <w:instrText xml:space="preserve"> ADDIN EN.CITE &lt;EndNote&gt;&lt;Cite&gt;&lt;Author&gt;Baycroft&lt;/Author&gt;&lt;Year&gt;2004&lt;/Year&gt;&lt;RecNum&gt;288&lt;/RecNum&gt;&lt;DisplayText&gt;Timothy Baycroft, &lt;style face="italic"&gt;Culture, identity and nationalism: French Flanders in the Nineteenth and Twentieth Centuries&lt;/style&gt;, (Woolbridge, 2004)&lt;/DisplayText&gt;&lt;record&gt;&lt;rec-number&gt;288&lt;/rec-number&gt;&lt;foreign-keys&gt;&lt;key app="EN" db-id="2f5rvwawcsv2woetvw35fzwbdvvswerd0err"&gt;288&lt;/key&gt;&lt;/foreign-keys&gt;&lt;ref-type name="Book"&gt;6&lt;/ref-type&gt;&lt;contributors&gt;&lt;authors&gt;&lt;author&gt;Baycroft, Timothy&lt;/author&gt;&lt;/authors&gt;&lt;/contributors&gt;&lt;titles&gt;&lt;title&gt;Culture, identity and nationalism: French Flanders in the Nineteenth and Twentieth Centuries&lt;/title&gt;&lt;short-title&gt;Culture&lt;/short-title&gt;&lt;/titles&gt;&lt;dates&gt;&lt;year&gt;2004&lt;/year&gt;&lt;/dates&gt;&lt;pub-location&gt;Woolbridge&lt;/pub-location&gt;&lt;urls&gt;&lt;/urls&gt;&lt;/record&gt;&lt;/Cite&gt;&lt;/EndNote&gt;</w:instrText>
      </w:r>
      <w:r>
        <w:fldChar w:fldCharType="separate"/>
      </w:r>
      <w:r>
        <w:rPr>
          <w:noProof/>
        </w:rPr>
        <w:t xml:space="preserve">Timothy Baycroft, </w:t>
      </w:r>
      <w:r w:rsidRPr="003474F7">
        <w:rPr>
          <w:i/>
          <w:noProof/>
        </w:rPr>
        <w:t>Culture, identity and nationalism: French Flanders in the Nineteenth and Twentieth Centuries</w:t>
      </w:r>
      <w:r>
        <w:rPr>
          <w:noProof/>
        </w:rPr>
        <w:t>, (Woolbridge, 2004)</w:t>
      </w:r>
      <w:r>
        <w:fldChar w:fldCharType="end"/>
      </w:r>
      <w:r>
        <w:t>, p. 153.</w:t>
      </w:r>
    </w:p>
  </w:footnote>
  <w:footnote w:id="19">
    <w:p w14:paraId="05489431" w14:textId="77777777" w:rsidR="00DE3AC9" w:rsidRPr="00BA65C7" w:rsidRDefault="00DE3AC9" w:rsidP="0048510E">
      <w:pPr>
        <w:pStyle w:val="FootnoteText"/>
        <w:rPr>
          <w:lang w:val="fr-FR"/>
        </w:rPr>
      </w:pPr>
      <w:r>
        <w:rPr>
          <w:rStyle w:val="FootnoteReference"/>
        </w:rPr>
        <w:footnoteRef/>
      </w:r>
      <w:r w:rsidRPr="00F83B82">
        <w:rPr>
          <w:lang w:val="fr-FR"/>
        </w:rPr>
        <w:t xml:space="preserve"> </w:t>
      </w:r>
      <w:r>
        <w:fldChar w:fldCharType="begin"/>
      </w:r>
      <w:r>
        <w:rPr>
          <w:lang w:val="fr-FR"/>
        </w:rPr>
        <w:instrText xml:space="preserve"> ADDIN EN.CITE &lt;EndNote&gt;&lt;Cite&gt;&lt;Author&gt;Witte&lt;/Author&gt;&lt;Year&gt;1987&lt;/Year&gt;&lt;RecNum&gt;199&lt;/RecNum&gt;&lt;DisplayText&gt;Els Witte and Jan Craeybeckx, &lt;style face="italic"&gt;La Belgique politique de 1830 à nos jours&lt;/style&gt;, (Brussels, 1987)&lt;/DisplayText&gt;&lt;record&gt;&lt;rec-number&gt;199&lt;/rec-number&gt;&lt;foreign-keys&gt;&lt;key app="EN" db-id="2f5rvwawcsv2woetvw35fzwbdvvswerd0err"&gt;199&lt;/key&gt;&lt;/foreign-keys&gt;&lt;ref-type name="Book"&gt;6&lt;/ref-type&gt;&lt;contributors&gt;&lt;authors&gt;&lt;author&gt;Witte, Els&lt;/author&gt;&lt;author&gt;Craeybeckx, Jan&lt;/author&gt;&lt;/authors&gt;&lt;/contributors&gt;&lt;titles&gt;&lt;title&gt;La Belgique politique de 1830 à nos jours&lt;/title&gt;&lt;short-title&gt;La Belgique&lt;/short-title&gt;&lt;/titles&gt;&lt;dates&gt;&lt;year&gt;1987&lt;/year&gt;&lt;/dates&gt;&lt;pub-location&gt;Brussels&lt;/pub-location&gt;&lt;urls&gt;&lt;/urls&gt;&lt;/record&gt;&lt;/Cite&gt;&lt;/EndNote&gt;</w:instrText>
      </w:r>
      <w:r>
        <w:fldChar w:fldCharType="separate"/>
      </w:r>
      <w:r w:rsidRPr="003474F7">
        <w:rPr>
          <w:noProof/>
          <w:lang w:val="fr-FR"/>
        </w:rPr>
        <w:t xml:space="preserve">Els Witte and Jan Craeybeckx, </w:t>
      </w:r>
      <w:r w:rsidRPr="003474F7">
        <w:rPr>
          <w:i/>
          <w:noProof/>
          <w:lang w:val="fr-FR"/>
        </w:rPr>
        <w:t>La Belgique politique de 1830 à nos jours</w:t>
      </w:r>
      <w:r w:rsidRPr="003474F7">
        <w:rPr>
          <w:noProof/>
          <w:lang w:val="fr-FR"/>
        </w:rPr>
        <w:t>, (Brussels, 1987)</w:t>
      </w:r>
      <w:r>
        <w:fldChar w:fldCharType="end"/>
      </w:r>
      <w:r w:rsidRPr="00F83B82">
        <w:rPr>
          <w:lang w:val="fr-FR"/>
        </w:rPr>
        <w:t>, pp. 136-137.</w:t>
      </w:r>
    </w:p>
  </w:footnote>
  <w:footnote w:id="20">
    <w:p w14:paraId="4C69C204" w14:textId="1C6DC1D4" w:rsidR="00DE3AC9" w:rsidRPr="00CE6BCB" w:rsidRDefault="00DE3AC9" w:rsidP="002F62A7">
      <w:pPr>
        <w:pStyle w:val="FootnoteText"/>
      </w:pPr>
      <w:r>
        <w:rPr>
          <w:rStyle w:val="FootnoteReference"/>
        </w:rPr>
        <w:footnoteRef/>
      </w:r>
      <w:r w:rsidRPr="009258C1">
        <w:rPr>
          <w:lang w:val="fr-BE"/>
        </w:rPr>
        <w:t xml:space="preserve"> </w:t>
      </w:r>
      <w:r>
        <w:fldChar w:fldCharType="begin"/>
      </w:r>
      <w:r>
        <w:rPr>
          <w:lang w:val="fr-BE"/>
        </w:rPr>
        <w:instrText xml:space="preserve"> ADDIN EN.CITE &lt;EndNote&gt;&lt;Cite&gt;&lt;Author&gt;Vandenbussche&lt;/Author&gt;&lt;Year&gt;1979&lt;/Year&gt;&lt;RecNum&gt;271&lt;/RecNum&gt;&lt;DisplayText&gt;Robert Vandenbussche, &amp;apos;Le pouvoir municipal à Douai sous l&amp;apos;occupation (1914-1918)&amp;apos;, in: &lt;style face="italic"&gt;Revue du Nord, &lt;/style&gt;241 (1979), &lt;/DisplayText&gt;&lt;record&gt;&lt;rec-number&gt;271&lt;/rec-number&gt;&lt;foreign-keys&gt;&lt;key app="EN" db-id="2f5rvwawcsv2woetvw35fzwbdvvswerd0err"&gt;271&lt;/key&gt;&lt;/foreign-keys&gt;&lt;ref-type name="Journal Article"&gt;17&lt;/ref-type&gt;&lt;contributors&gt;&lt;authors&gt;&lt;author&gt;Vandenbussche, Robert&lt;/author&gt;&lt;/authors&gt;&lt;/contributors&gt;&lt;titles&gt;&lt;title&gt;Le pouvoir municipal à Douai sous l&amp;apos;occupation (1914-1918)&lt;/title&gt;&lt;secondary-title&gt;Revue du Nord&lt;/secondary-title&gt;&lt;short-title&gt;Le pouvoir&lt;/short-title&gt;&lt;/titles&gt;&lt;periodical&gt;&lt;full-title&gt;Revue du Nord&lt;/full-title&gt;&lt;/periodical&gt;&lt;volume&gt;241&lt;/volume&gt;&lt;dates&gt;&lt;year&gt;1979&lt;/year&gt;&lt;/dates&gt;&lt;urls&gt;&lt;/urls&gt;&lt;/record&gt;&lt;/Cite&gt;&lt;/EndNote&gt;</w:instrText>
      </w:r>
      <w:r>
        <w:fldChar w:fldCharType="separate"/>
      </w:r>
      <w:r w:rsidRPr="00150A28">
        <w:rPr>
          <w:noProof/>
          <w:lang w:val="fr-BE"/>
        </w:rPr>
        <w:t xml:space="preserve">Robert Vandenbussche, 'Le pouvoir municipal à Douai sous l'occupation (1914-1918)', in: </w:t>
      </w:r>
      <w:r w:rsidRPr="00150A28">
        <w:rPr>
          <w:i/>
          <w:noProof/>
          <w:lang w:val="fr-BE"/>
        </w:rPr>
        <w:t xml:space="preserve">Revue du Nord, </w:t>
      </w:r>
      <w:r w:rsidRPr="00150A28">
        <w:rPr>
          <w:noProof/>
          <w:lang w:val="fr-BE"/>
        </w:rPr>
        <w:t xml:space="preserve">241 (1979), </w:t>
      </w:r>
      <w:r>
        <w:fldChar w:fldCharType="end"/>
      </w:r>
      <w:r w:rsidRPr="009258C1">
        <w:rPr>
          <w:lang w:val="fr-BE"/>
        </w:rPr>
        <w:t>pp. 445-474.</w:t>
      </w:r>
      <w:r>
        <w:rPr>
          <w:lang w:val="fr-BE"/>
        </w:rPr>
        <w:t xml:space="preserve"> </w:t>
      </w:r>
      <w:r w:rsidRPr="00CE6BCB">
        <w:t xml:space="preserve">Other studies published before the 1990s include </w:t>
      </w:r>
      <w:r>
        <w:rPr>
          <w:lang w:val="fr-BE"/>
        </w:rPr>
        <w:fldChar w:fldCharType="begin"/>
      </w:r>
      <w:r>
        <w:instrText xml:space="preserve"> ADDIN EN.CITE &lt;EndNote&gt;&lt;Cite&gt;&lt;Author&gt;Blancpain&lt;/Author&gt;&lt;Year&gt;1980&lt;/Year&gt;&lt;RecNum&gt;300&lt;/RecNum&gt;&lt;DisplayText&gt;Marcel Blancpain, &lt;style face="italic"&gt;Quand Guillaume II gouvernait &amp;quot;de la Somme aux Vosges&amp;quot;&lt;/style&gt;, (Paris, 1980)&lt;/DisplayText&gt;&lt;record&gt;&lt;rec-number&gt;300&lt;/rec-number&gt;&lt;foreign-keys&gt;&lt;key app="EN" db-id="2f5rvwawcsv2woetvw35fzwbdvvswerd0err"&gt;300&lt;/key&gt;&lt;/foreign-keys&gt;&lt;ref-type name="Book"&gt;6&lt;/ref-type&gt;&lt;contributors&gt;&lt;authors&gt;&lt;author&gt;Blancpain, Marcel&lt;/author&gt;&lt;/authors&gt;&lt;/contributors&gt;&lt;titles&gt;&lt;title&gt;Quand Guillaume II gouvernait &amp;quot;de la Somme aux Vosges&amp;quot;&lt;/title&gt;&lt;short-title&gt;Quand&lt;/short-title&gt;&lt;/titles&gt;&lt;dates&gt;&lt;year&gt;1980&lt;/year&gt;&lt;/dates&gt;&lt;pub-location&gt;Paris&lt;/pub-location&gt;&lt;urls&gt;&lt;/urls&gt;&lt;/record&gt;&lt;/Cite&gt;&lt;/EndNote&gt;</w:instrText>
      </w:r>
      <w:r>
        <w:rPr>
          <w:lang w:val="fr-BE"/>
        </w:rPr>
        <w:fldChar w:fldCharType="separate"/>
      </w:r>
      <w:r w:rsidRPr="003474F7">
        <w:rPr>
          <w:noProof/>
        </w:rPr>
        <w:t xml:space="preserve">Marcel Blancpain, </w:t>
      </w:r>
      <w:r w:rsidRPr="003474F7">
        <w:rPr>
          <w:i/>
          <w:noProof/>
        </w:rPr>
        <w:t>Quand Guillaume II gouvernait "de la Somme aux Vosges"</w:t>
      </w:r>
      <w:r w:rsidRPr="003474F7">
        <w:rPr>
          <w:noProof/>
        </w:rPr>
        <w:t>, (Paris, 1980)</w:t>
      </w:r>
      <w:r>
        <w:rPr>
          <w:lang w:val="fr-BE"/>
        </w:rPr>
        <w:fldChar w:fldCharType="end"/>
      </w:r>
      <w:r w:rsidRPr="00CE6BCB">
        <w:t xml:space="preserve"> </w:t>
      </w:r>
      <w:r>
        <w:t>and</w:t>
      </w:r>
      <w:r w:rsidRPr="00CE6BCB">
        <w:t xml:space="preserve"> </w:t>
      </w:r>
      <w:r>
        <w:rPr>
          <w:lang w:val="fr-BE"/>
        </w:rPr>
        <w:fldChar w:fldCharType="begin"/>
      </w:r>
      <w:r>
        <w:instrText xml:space="preserve"> ADDIN EN.CITE &lt;EndNote&gt;&lt;Cite&gt;&lt;Author&gt;Cobb&lt;/Author&gt;&lt;Year&gt;1983&lt;/Year&gt;&lt;RecNum&gt;103&lt;/RecNum&gt;&lt;DisplayText&gt;Richard Cobb, &lt;style face="italic"&gt;French and Germans, Germans and French: a personal interpretation of France under two occupations, 1914-1918/1940-1944&lt;/style&gt;, (Hanover, 1983)&lt;/DisplayText&gt;&lt;record&gt;&lt;rec-number&gt;103&lt;/rec-number&gt;&lt;foreign-keys&gt;&lt;key app="EN" db-id="2f5rvwawcsv2woetvw35fzwbdvvswerd0err"&gt;103&lt;/key&gt;&lt;/foreign-keys&gt;&lt;ref-type name="Book"&gt;6&lt;/ref-type&gt;&lt;contributors&gt;&lt;authors&gt;&lt;author&gt;Cobb, Richard&lt;/author&gt;&lt;/authors&gt;&lt;/contributors&gt;&lt;titles&gt;&lt;title&gt;French and Germans, Germans and French: a personal interpretation of France under two occupations, 1914-1918/1940-1944&lt;/title&gt;&lt;short-title&gt;French and Germans&lt;/short-title&gt;&lt;/titles&gt;&lt;dates&gt;&lt;year&gt;1983&lt;/year&gt;&lt;/dates&gt;&lt;pub-location&gt;Hanover&lt;/pub-location&gt;&lt;urls&gt;&lt;/urls&gt;&lt;/record&gt;&lt;/Cite&gt;&lt;/EndNote&gt;</w:instrText>
      </w:r>
      <w:r>
        <w:rPr>
          <w:lang w:val="fr-BE"/>
        </w:rPr>
        <w:fldChar w:fldCharType="separate"/>
      </w:r>
      <w:r w:rsidRPr="002F62A7">
        <w:rPr>
          <w:noProof/>
        </w:rPr>
        <w:t xml:space="preserve">Richard Cobb, </w:t>
      </w:r>
      <w:r w:rsidRPr="002F62A7">
        <w:rPr>
          <w:i/>
          <w:noProof/>
        </w:rPr>
        <w:t>French and Germans, Germans and French: a personal interpretation of France under two occupations, 1914-1918/1940-1944</w:t>
      </w:r>
      <w:r w:rsidRPr="002F62A7">
        <w:rPr>
          <w:noProof/>
        </w:rPr>
        <w:t>, (Hanover, 1983)</w:t>
      </w:r>
      <w:r>
        <w:rPr>
          <w:lang w:val="fr-BE"/>
        </w:rPr>
        <w:fldChar w:fldCharType="end"/>
      </w:r>
      <w:r w:rsidRPr="00CE6BCB">
        <w:t>.</w:t>
      </w:r>
    </w:p>
  </w:footnote>
  <w:footnote w:id="21">
    <w:p w14:paraId="1044DF5C" w14:textId="5F46FA3B" w:rsidR="00DE3AC9" w:rsidRPr="003C7A4D" w:rsidRDefault="00DE3AC9" w:rsidP="00232F8A">
      <w:pPr>
        <w:pStyle w:val="FootnoteText"/>
      </w:pPr>
      <w:r>
        <w:rPr>
          <w:rStyle w:val="FootnoteReference"/>
        </w:rPr>
        <w:footnoteRef/>
      </w:r>
      <w:r>
        <w:t xml:space="preserve"> </w:t>
      </w:r>
      <w:r>
        <w:fldChar w:fldCharType="begin"/>
      </w:r>
      <w:r>
        <w:instrText xml:space="preserve"> ADDIN EN.CITE &lt;EndNote&gt;&lt;Cite&gt;&lt;Author&gt;Winter&lt;/Author&gt;&lt;Year&gt;2005&lt;/Year&gt;&lt;RecNum&gt;114&lt;/RecNum&gt;&lt;DisplayText&gt;Antoine Prost and Jay Winter, &lt;style face="italic"&gt;The Great War in History: debates and controversies, 1914 to present&lt;/style&gt;, (Cambridge, 2005)&lt;/DisplayText&gt;&lt;record&gt;&lt;rec-number&gt;114&lt;/rec-number&gt;&lt;foreign-keys&gt;&lt;key app="EN" db-id="2f5rvwawcsv2woetvw35fzwbdvvswerd0err"&gt;114&lt;/key&gt;&lt;/foreign-keys&gt;&lt;ref-type name="Book"&gt;6&lt;/ref-type&gt;&lt;contributors&gt;&lt;authors&gt;&lt;author&gt;Prost, Antoine&lt;/author&gt;&lt;author&gt;Winter, Jay&lt;/author&gt;&lt;/authors&gt;&lt;/contributors&gt;&lt;titles&gt;&lt;title&gt;The Great War in History: debates and controversies, 1914 to present&lt;/title&gt;&lt;short-title&gt;The Great War&lt;/short-title&gt;&lt;/titles&gt;&lt;dates&gt;&lt;year&gt;2005&lt;/year&gt;&lt;/dates&gt;&lt;pub-location&gt;Cambridge&lt;/pub-location&gt;&lt;urls&gt;&lt;/urls&gt;&lt;/record&gt;&lt;/Cite&gt;&lt;/EndNote&gt;</w:instrText>
      </w:r>
      <w:r>
        <w:fldChar w:fldCharType="separate"/>
      </w:r>
      <w:r>
        <w:rPr>
          <w:noProof/>
        </w:rPr>
        <w:t xml:space="preserve">Antoine Prost and Jay Winter, </w:t>
      </w:r>
      <w:r w:rsidRPr="00232F8A">
        <w:rPr>
          <w:i/>
          <w:noProof/>
        </w:rPr>
        <w:t>The Great War in History: debates and controversies, 1914 to present</w:t>
      </w:r>
      <w:r>
        <w:rPr>
          <w:noProof/>
        </w:rPr>
        <w:t>, (Cambridge, 2005)</w:t>
      </w:r>
      <w:r>
        <w:fldChar w:fldCharType="end"/>
      </w:r>
      <w:r>
        <w:t>, p. 25.</w:t>
      </w:r>
    </w:p>
  </w:footnote>
  <w:footnote w:id="22">
    <w:p w14:paraId="3D397FF9" w14:textId="40862001" w:rsidR="00DE3AC9" w:rsidRPr="003C7A4D" w:rsidRDefault="00DE3AC9" w:rsidP="002F62A7">
      <w:pPr>
        <w:pStyle w:val="FootnoteText"/>
      </w:pPr>
      <w:r>
        <w:rPr>
          <w:rStyle w:val="FootnoteReference"/>
        </w:rPr>
        <w:footnoteRef/>
      </w:r>
      <w:r>
        <w:t xml:space="preserve"> </w:t>
      </w:r>
      <w:r>
        <w:fldChar w:fldCharType="begin"/>
      </w:r>
      <w:r>
        <w:instrText xml:space="preserve"> ADDIN EN.CITE &lt;EndNote&gt;&lt;Cite&gt;&lt;Author&gt;Winter&lt;/Author&gt;&lt;Year&gt;2006&lt;/Year&gt;&lt;RecNum&gt;292&lt;/RecNum&gt;&lt;DisplayText&gt;Jay Winter, &lt;style face="italic"&gt;Remembering war: the Great War between memory and history in the twentieth century&lt;/style&gt;, (New Haven, 2006)&lt;/DisplayText&gt;&lt;record&gt;&lt;rec-number&gt;292&lt;/rec-number&gt;&lt;foreign-keys&gt;&lt;key app="EN" db-id="2f5rvwawcsv2woetvw35fzwbdvvswerd0err"&gt;292&lt;/key&gt;&lt;/foreign-keys&gt;&lt;ref-type name="Book"&gt;6&lt;/ref-type&gt;&lt;contributors&gt;&lt;authors&gt;&lt;author&gt;Winter, Jay&lt;/author&gt;&lt;/authors&gt;&lt;/contributors&gt;&lt;titles&gt;&lt;title&gt;Remembering war: the Great War between memory and history in the twentieth century&lt;/title&gt;&lt;short-title&gt;Remembering&lt;/short-title&gt;&lt;/titles&gt;&lt;dates&gt;&lt;year&gt;2006&lt;/year&gt;&lt;/dates&gt;&lt;pub-location&gt;New Haven&lt;/pub-location&gt;&lt;urls&gt;&lt;/urls&gt;&lt;/record&gt;&lt;/Cite&gt;&lt;/EndNote&gt;</w:instrText>
      </w:r>
      <w:r>
        <w:fldChar w:fldCharType="separate"/>
      </w:r>
      <w:r>
        <w:rPr>
          <w:noProof/>
        </w:rPr>
        <w:t xml:space="preserve">Jay Winter, </w:t>
      </w:r>
      <w:r w:rsidRPr="002F62A7">
        <w:rPr>
          <w:i/>
          <w:noProof/>
        </w:rPr>
        <w:t>Remembering war: the Great War between memory and history in the twentieth century</w:t>
      </w:r>
      <w:r>
        <w:rPr>
          <w:noProof/>
        </w:rPr>
        <w:t>, (New Haven, 2006)</w:t>
      </w:r>
      <w:r>
        <w:fldChar w:fldCharType="end"/>
      </w:r>
      <w:r>
        <w:t>, p. 6.</w:t>
      </w:r>
    </w:p>
  </w:footnote>
  <w:footnote w:id="23">
    <w:p w14:paraId="61EF4C18" w14:textId="77777777" w:rsidR="00DE3AC9" w:rsidRPr="00162DEC" w:rsidRDefault="00DE3AC9" w:rsidP="005C7BEE">
      <w:pPr>
        <w:pStyle w:val="FootnoteText"/>
      </w:pPr>
      <w:r>
        <w:rPr>
          <w:rStyle w:val="FootnoteReference"/>
        </w:rPr>
        <w:footnoteRef/>
      </w:r>
      <w:r w:rsidRPr="00DE3AC9">
        <w:t xml:space="preserve"> </w:t>
      </w:r>
      <w:r>
        <w:fldChar w:fldCharType="begin"/>
      </w:r>
      <w:r w:rsidRPr="00DE3AC9">
        <w:instrText xml:space="preserve"> ADDIN EN.CITE &lt;EndNote&gt;&lt;Cite&gt;&lt;Author&gt;Becker&lt;/Author&gt;&lt;Year&gt;1992&lt;/Year&gt;&lt;RecNum&gt;272&lt;/RecNum&gt;&lt;DisplayText&gt;Annette Becker, &amp;apos;Mémoire et commémorations: les &amp;quot;atrocités&amp;quot; allemandes de la Première Guerre mondiale dans le nord de la France&amp;apos;, in: &lt;style face="italic"&gt;Revue du Nord, &lt;/style&gt;295 (1992), &lt;/DisplayText&gt;&lt;record&gt;&lt;rec-number&gt;272&lt;/rec-number&gt;&lt;foreign-keys&gt;&lt;key app="EN" db-id="2f5rvwawcsv2woetvw35fzwbdvvswerd0err"&gt;272&lt;/key&gt;&lt;/foreign-keys&gt;&lt;ref-type name="Journal Article"&gt;17&lt;/ref-type&gt;&lt;contributors&gt;&lt;authors&gt;&lt;author&gt;Becker, Annette&lt;/author&gt;&lt;/authors&gt;&lt;/contributors&gt;&lt;titles&gt;&lt;title&gt;Mémoire et commémorations: les &amp;quot;atrocités&amp;quot; allemandes de la Première Guerre mondiale dans le nord de la France&lt;/title&gt;&lt;secondary-title&gt;Revue du Nord&lt;/secondary-title&gt;&lt;short-title&gt;Mémoire&lt;/short-title&gt;&lt;/titles&gt;&lt;periodical&gt;&lt;full-title&gt;Revue du Nord&lt;/full-title&gt;&lt;/periodical&gt;&lt;volume&gt;295&lt;/volume&gt;&lt;dates&gt;&lt;year&gt;1992&lt;/year&gt;&lt;/dates&gt;&lt;urls&gt;&lt;/urls&gt;&lt;/record&gt;&lt;/Cite&gt;&lt;/EndNote&gt;</w:instrText>
      </w:r>
      <w:r>
        <w:fldChar w:fldCharType="separate"/>
      </w:r>
      <w:r w:rsidRPr="00DE3AC9">
        <w:rPr>
          <w:noProof/>
        </w:rPr>
        <w:t xml:space="preserve">Annette Becker, 'Mémoire et commémorations: les "atrocités" allemandes de la Première Guerre mondiale dans le nord de la France', in: </w:t>
      </w:r>
      <w:r w:rsidRPr="00DE3AC9">
        <w:rPr>
          <w:i/>
          <w:noProof/>
        </w:rPr>
        <w:t xml:space="preserve">Revue du Nord, </w:t>
      </w:r>
      <w:r w:rsidRPr="00DE3AC9">
        <w:rPr>
          <w:noProof/>
        </w:rPr>
        <w:t xml:space="preserve">295 (1992), </w:t>
      </w:r>
      <w:r>
        <w:fldChar w:fldCharType="end"/>
      </w:r>
      <w:r w:rsidRPr="00DE3AC9">
        <w:t xml:space="preserve">pp. 339-353; </w:t>
      </w:r>
      <w:r>
        <w:fldChar w:fldCharType="begin"/>
      </w:r>
      <w:r w:rsidRPr="00DE3AC9">
        <w:instrText xml:space="preserve"> ADDIN EN.CITE &lt;EndNote&gt;&lt;Cite&gt;&lt;Author&gt;Becker&lt;/Author&gt;&lt;Year&gt;1996&lt;/Year&gt;&lt;RecNum&gt;130&lt;/RecNum&gt;&lt;DisplayText&gt;Annette Becker, &amp;apos;Life in occupied zone: Lille, Roubaix, Tourcoing&amp;apos;, in: &lt;style face="italic"&gt;Facing Armageddon: the First World War experienced, &lt;/style&gt;ed. by H. Cecil and P. Liddle (London, 1996),&lt;/DisplayText&gt;&lt;record&gt;&lt;rec-number&gt;130&lt;/rec-number&gt;&lt;foreign-keys&gt;&lt;key app="EN" db-id="2f5rvwawcsv2woetvw35fzwbdvvswerd0err"&gt;130&lt;/key&gt;&lt;/foreign-keys&gt;&lt;ref-type name="Book Section"&gt;5&lt;/ref-type&gt;&lt;contributors&gt;&lt;authors&gt;&lt;author&gt;Becker, Annette&lt;/author&gt;&lt;/authors&gt;&lt;secondary-authors&gt;&lt;author&gt;H. Cecil&lt;/author&gt;&lt;author&gt;P. Liddle&lt;/author&gt;&lt;/secondary-authors&gt;&lt;/contributors&gt;&lt;titles&gt;&lt;title&gt;Life in occupied zone: Lille, Roubaix, Tourcoing&lt;/title&gt;&lt;secondary-title&gt;Facing Armageddon: the First World War experienced&lt;/secondary-title&gt;&lt;short-title&gt;Life&lt;/short-title&gt;&lt;/titles&gt;&lt;dates&gt;&lt;year&gt;1996&lt;/year&gt;&lt;/dates&gt;&lt;pub-location&gt;London&lt;/pub-location&gt;&lt;urls&gt;&lt;/urls&gt;&lt;/record&gt;&lt;/Cite&gt;&lt;/EndNote&gt;</w:instrText>
      </w:r>
      <w:r>
        <w:fldChar w:fldCharType="separate"/>
      </w:r>
      <w:r w:rsidRPr="00DE3AC9">
        <w:rPr>
          <w:noProof/>
        </w:rPr>
        <w:t xml:space="preserve">Annette Becker, 'Life in occupied zone: Lille, Roubaix, Tourcoing', in: </w:t>
      </w:r>
      <w:r w:rsidRPr="00DE3AC9">
        <w:rPr>
          <w:i/>
          <w:noProof/>
        </w:rPr>
        <w:t>Facing Armageddon: t</w:t>
      </w:r>
      <w:r w:rsidRPr="00DE3AC9">
        <w:rPr>
          <w:i/>
          <w:noProof/>
          <w:lang w:val="fr-FR"/>
        </w:rPr>
        <w:t xml:space="preserve">he First World War experienced, </w:t>
      </w:r>
      <w:r w:rsidRPr="00DE3AC9">
        <w:rPr>
          <w:noProof/>
          <w:lang w:val="fr-FR"/>
        </w:rPr>
        <w:t>ed. by H. Cecil and P. Liddle (London, 1996),</w:t>
      </w:r>
      <w:r>
        <w:fldChar w:fldCharType="end"/>
      </w:r>
      <w:r w:rsidRPr="00DE3AC9">
        <w:rPr>
          <w:lang w:val="fr-FR"/>
        </w:rPr>
        <w:t xml:space="preserve"> ; </w:t>
      </w:r>
      <w:r>
        <w:fldChar w:fldCharType="begin"/>
      </w:r>
      <w:r w:rsidRPr="00DE3AC9">
        <w:rPr>
          <w:lang w:val="fr-FR"/>
        </w:rP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sidRPr="00DE3AC9">
        <w:rPr>
          <w:noProof/>
          <w:lang w:val="fr-FR"/>
        </w:rPr>
        <w:t xml:space="preserve">Becker, </w:t>
      </w:r>
      <w:r w:rsidRPr="00DE3AC9">
        <w:rPr>
          <w:i/>
          <w:noProof/>
          <w:lang w:val="fr-FR"/>
        </w:rPr>
        <w:t>Oubliés</w:t>
      </w:r>
      <w:r>
        <w:fldChar w:fldCharType="end"/>
      </w:r>
      <w:r w:rsidRPr="00DE3AC9">
        <w:rPr>
          <w:lang w:val="fr-FR"/>
        </w:rPr>
        <w:t xml:space="preserve"> and </w:t>
      </w:r>
      <w:r>
        <w:fldChar w:fldCharType="begin"/>
      </w:r>
      <w:r w:rsidRPr="00DE3AC9">
        <w:rPr>
          <w:lang w:val="fr-FR"/>
        </w:rPr>
        <w:instrText xml:space="preserve"> ADDIN EN.CITE &lt;EndNote&gt;&lt;Cite&gt;&lt;Autho</w:instrText>
      </w:r>
      <w:r w:rsidRPr="005C7BEE">
        <w:rPr>
          <w:lang w:val="fr-FR"/>
        </w:rPr>
        <w:instrText>r&gt;Becker&lt;/Author&gt;&lt;Year&gt;1998&lt;/Year&gt;&lt;RecNum&gt;273&lt;/RecNum&gt;&lt;DisplayText&gt;Annette Becker, &lt;style face="italic"&gt;Journaux de combattants et de</w:instrText>
      </w:r>
      <w:r>
        <w:rPr>
          <w:lang w:val="fr-FR"/>
        </w:rPr>
        <w:instrText xml:space="preserve"> civils de la France du Nord dans la Grande Guerre&lt;/style&gt;, (Lille, 1998)&lt;/DisplayText&gt;&lt;record&gt;&lt;rec-number&gt;273&lt;/rec-number&gt;&lt;foreign-keys&gt;&lt;key app="EN" db-id="2f5rvwawcsv2woetvw35fzwbdvvswerd0err"&gt;273&lt;/key&gt;&lt;/foreign-keys&gt;&lt;ref-type name="Book"&gt;6&lt;/ref-type&gt;&lt;contributors&gt;&lt;authors&gt;&lt;author&gt;Becker, Annette&lt;/author&gt;&lt;/authors&gt;&lt;/contributors&gt;&lt;titles&gt;&lt;title&gt;Journaux de combattants et de civils de la France du Nord dans la Grande Guerre&lt;/title&gt;&lt;short-title&gt;Journaux&lt;/short-title&gt;&lt;/titles&gt;&lt;dates&gt;&lt;year&gt;1998&lt;/year&gt;&lt;/dates&gt;&lt;pub-location&gt;Lille&lt;/pub-location&gt;&lt;urls&gt;&lt;/urls&gt;&lt;/record&gt;&lt;/Cite&gt;&lt;/EndNote&gt;</w:instrText>
      </w:r>
      <w:r>
        <w:fldChar w:fldCharType="separate"/>
      </w:r>
      <w:r w:rsidRPr="003474F7">
        <w:rPr>
          <w:noProof/>
          <w:lang w:val="fr-FR"/>
        </w:rPr>
        <w:t xml:space="preserve">Annette Becker, </w:t>
      </w:r>
      <w:r w:rsidRPr="003474F7">
        <w:rPr>
          <w:i/>
          <w:noProof/>
          <w:lang w:val="fr-FR"/>
        </w:rPr>
        <w:t>Journaux de combattants et de civils de la France du Nord dans la Grande Guerre</w:t>
      </w:r>
      <w:r w:rsidRPr="003474F7">
        <w:rPr>
          <w:noProof/>
          <w:lang w:val="fr-FR"/>
        </w:rPr>
        <w:t>, (Lille, 1998)</w:t>
      </w:r>
      <w:r>
        <w:fldChar w:fldCharType="end"/>
      </w:r>
      <w:r w:rsidRPr="009258C1">
        <w:rPr>
          <w:lang w:val="fr-BE"/>
        </w:rPr>
        <w:t xml:space="preserve">. </w:t>
      </w:r>
      <w:r>
        <w:t xml:space="preserve">A list of </w:t>
      </w:r>
      <w:r>
        <w:rPr>
          <w:i/>
          <w:iCs/>
        </w:rPr>
        <w:t xml:space="preserve">mémoires de maîtrise </w:t>
      </w:r>
      <w:r>
        <w:t>can be found in the bibliography.</w:t>
      </w:r>
    </w:p>
  </w:footnote>
  <w:footnote w:id="24">
    <w:p w14:paraId="3447305A" w14:textId="77777777" w:rsidR="00DE3AC9" w:rsidRPr="004264C3" w:rsidRDefault="00DE3AC9" w:rsidP="005C7BEE">
      <w:pPr>
        <w:pStyle w:val="FootnoteText"/>
        <w:rPr>
          <w:lang w:val="fr-FR"/>
        </w:rPr>
      </w:pPr>
      <w:r>
        <w:rPr>
          <w:rStyle w:val="FootnoteReference"/>
        </w:rPr>
        <w:footnoteRef/>
      </w:r>
      <w:r w:rsidRPr="00A11901">
        <w:rPr>
          <w:lang w:val="fr-FR"/>
        </w:rPr>
        <w:t xml:space="preserve"> </w:t>
      </w:r>
      <w:r>
        <w:fldChar w:fldCharType="begin"/>
      </w:r>
      <w:r>
        <w:rPr>
          <w:lang w:val="fr-FR"/>
        </w:rPr>
        <w:instrText xml:space="preserve"> ADDIN EN.CITE &lt;EndNote&gt;&lt;Cite&gt;&lt;Author&gt;Becker&lt;/Author&gt;&lt;Year&gt;2010&lt;/Year&gt;&lt;RecNum&gt;237&lt;/RecNum&gt;&lt;DisplayText&gt;Annette Becker, &lt;style face="italic"&gt;Les cicatrices rouges 14-18: France et Belgique occupées&lt;/style&gt;, (Paris, 2010)&lt;/DisplayText&gt;&lt;record&gt;&lt;rec-number&gt;237&lt;/rec-number&gt;&lt;foreign-keys&gt;&lt;key app="EN" db-id="2f5rvwawcsv2woetvw35fzwbdvvswerd0err"&gt;237&lt;/key&gt;&lt;/foreign-keys&gt;&lt;ref-type name="Book"&gt;6&lt;/ref-type&gt;&lt;contributors&gt;&lt;authors&gt;&lt;author&gt;Becker, Annette&lt;/author&gt;&lt;/authors&gt;&lt;/contributors&gt;&lt;titles&gt;&lt;title&gt;Les cicatrices rouges 14-18: France et Belgique occupées&lt;/title&gt;&lt;short-title&gt;Les cicatrices&lt;/short-title&gt;&lt;/titles&gt;&lt;dates&gt;&lt;year&gt;2010&lt;/year&gt;&lt;/dates&gt;&lt;pub-location&gt;Paris&lt;/pub-location&gt;&lt;urls&gt;&lt;/urls&gt;&lt;/record&gt;&lt;/Cite&gt;&lt;/EndNote&gt;</w:instrText>
      </w:r>
      <w:r>
        <w:fldChar w:fldCharType="separate"/>
      </w:r>
      <w:r w:rsidRPr="005C7BEE">
        <w:rPr>
          <w:noProof/>
          <w:lang w:val="fr-FR"/>
        </w:rPr>
        <w:t xml:space="preserve">Annette Becker, </w:t>
      </w:r>
      <w:r w:rsidRPr="005C7BEE">
        <w:rPr>
          <w:i/>
          <w:noProof/>
          <w:lang w:val="fr-FR"/>
        </w:rPr>
        <w:t>Les cicatrices rouges 14-18: France et Belgique occupées</w:t>
      </w:r>
      <w:r w:rsidRPr="005C7BEE">
        <w:rPr>
          <w:noProof/>
          <w:lang w:val="fr-FR"/>
        </w:rPr>
        <w:t>, (Paris, 2010)</w:t>
      </w:r>
      <w:r>
        <w:fldChar w:fldCharType="end"/>
      </w:r>
      <w:r w:rsidRPr="00A11901">
        <w:rPr>
          <w:lang w:val="fr-FR"/>
        </w:rPr>
        <w:t>.</w:t>
      </w:r>
    </w:p>
  </w:footnote>
  <w:footnote w:id="25">
    <w:p w14:paraId="2A16BB4C" w14:textId="77777777" w:rsidR="00DE3AC9" w:rsidRPr="005C7BEE" w:rsidRDefault="00DE3AC9" w:rsidP="005C7BEE">
      <w:pPr>
        <w:pStyle w:val="FootnoteText"/>
        <w:rPr>
          <w:lang w:val="fr-FR"/>
        </w:rPr>
      </w:pPr>
      <w:r>
        <w:rPr>
          <w:rStyle w:val="FootnoteReference"/>
        </w:rPr>
        <w:footnoteRef/>
      </w:r>
      <w:r w:rsidRPr="005C7BEE">
        <w:rPr>
          <w:lang w:val="fr-FR"/>
        </w:rPr>
        <w:t xml:space="preserve"> </w:t>
      </w:r>
      <w:r>
        <w:fldChar w:fldCharType="begin"/>
      </w:r>
      <w:r w:rsidRPr="005C7BEE">
        <w:rPr>
          <w:lang w:val="fr-FR"/>
        </w:rP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sidRPr="005C7BEE">
        <w:rPr>
          <w:noProof/>
          <w:lang w:val="fr-FR"/>
        </w:rPr>
        <w:t xml:space="preserve">Connolly, </w:t>
      </w:r>
      <w:r w:rsidRPr="005C7BEE">
        <w:rPr>
          <w:i/>
          <w:noProof/>
          <w:lang w:val="fr-FR"/>
        </w:rPr>
        <w:t>Encountering Germans</w:t>
      </w:r>
      <w:r>
        <w:fldChar w:fldCharType="end"/>
      </w:r>
      <w:r w:rsidRPr="005C7BEE">
        <w:rPr>
          <w:lang w:val="fr-FR"/>
        </w:rPr>
        <w:t xml:space="preserve">, p. 15 and </w:t>
      </w:r>
      <w:r>
        <w:fldChar w:fldCharType="begin"/>
      </w:r>
      <w:r>
        <w:rPr>
          <w:lang w:val="fr-FR"/>
        </w:rPr>
        <w:instrText xml:space="preserve"> ADDIN EN.CITE &lt;EndNote&gt;&lt;Cite&gt;&lt;Author&gt;Salson&lt;/Author&gt;&lt;Year&gt;2013&lt;/Year&gt;&lt;RecNum&gt;340&lt;/RecNum&gt;&lt;DisplayText&gt;Philippe Salson, &amp;apos;1914-1918: les années grises: l&amp;apos;expérience des civils dans l&amp;apos;Aisne occupée&amp;apos;, (PhD Thesis, Université Paul Valéry- Montpellier III, 2013)&lt;/DisplayText&gt;&lt;record&gt;&lt;rec-number&gt;340&lt;/rec-number&gt;&lt;foreign-keys&gt;&lt;key app="EN" db-id="2f5rvwawcsv2woetvw35fzwbdvvswerd0err"&gt;340&lt;/key&gt;&lt;/foreign-keys&gt;&lt;ref-type name="Thesis"&gt;32&lt;/ref-type&gt;&lt;contributors&gt;&lt;authors&gt;&lt;author&gt;Salson, Philippe&lt;/author&gt;&lt;/authors&gt;&lt;/contributors&gt;&lt;titles&gt;&lt;title&gt;1914-1918: les années grises: l&amp;apos;expérience des civils dans l&amp;apos;Aisne occupée&lt;/title&gt;&lt;short-title&gt;1914-1918: les années grises&lt;/short-title&gt;&lt;/titles&gt;&lt;dates&gt;&lt;year&gt;2013&lt;/year&gt;&lt;/dates&gt;&lt;publisher&gt;Université Paul Valéry- Montpellier III&lt;/publisher&gt;&lt;work-type&gt;PhD Thesis&lt;/work-type&gt;&lt;urls&gt;&lt;/urls&gt;&lt;/record&gt;&lt;/Cite&gt;&lt;/EndNote&gt;</w:instrText>
      </w:r>
      <w:r>
        <w:fldChar w:fldCharType="separate"/>
      </w:r>
      <w:r w:rsidRPr="005C7BEE">
        <w:rPr>
          <w:noProof/>
          <w:lang w:val="fr-FR"/>
        </w:rPr>
        <w:t>Philippe Salson, '1914-1918: les années grises: l'expérience des civils dans l'Aisne occupée', (PhD Thesis, Université Paul Valéry- Montpellier III, 2013)</w:t>
      </w:r>
      <w:r>
        <w:fldChar w:fldCharType="end"/>
      </w:r>
      <w:r>
        <w:rPr>
          <w:lang w:val="fr-FR"/>
        </w:rPr>
        <w:t>, pp. 27-28.</w:t>
      </w:r>
    </w:p>
  </w:footnote>
  <w:footnote w:id="26">
    <w:p w14:paraId="451C1AD7" w14:textId="5C896604" w:rsidR="00DE3AC9" w:rsidRPr="003C7A4D" w:rsidRDefault="00DE3AC9" w:rsidP="0048510E">
      <w:pPr>
        <w:pStyle w:val="FootnoteText"/>
      </w:pPr>
      <w:r>
        <w:rPr>
          <w:rStyle w:val="FootnoteReference"/>
        </w:rPr>
        <w:footnoteRef/>
      </w:r>
      <w:r w:rsidRPr="00374CF4">
        <w:t xml:space="preserve"> </w:t>
      </w:r>
      <w:r>
        <w:fldChar w:fldCharType="begin"/>
      </w:r>
      <w:r>
        <w:instrText xml:space="preserve"> ADDIN EN.CITE &lt;EndNote&gt;&lt;Cite&gt;&lt;Author&gt;Cobb&lt;/Author&gt;&lt;Year&gt;1983&lt;/Year&gt;&lt;RecNum&gt;103&lt;/RecNum&gt;&lt;DisplayText&gt;Cobb, &lt;style face="italic"&gt;French and Germans&lt;/style&gt;&lt;/DisplayText&gt;&lt;record&gt;&lt;rec-number&gt;103&lt;/rec-number&gt;&lt;foreign-keys&gt;&lt;key app="EN" db-id="2f5rvwawcsv2woetvw35fzwbdvvswerd0err"&gt;103&lt;/key&gt;&lt;/foreign-keys&gt;&lt;ref-type name="Book"&gt;6&lt;/ref-type&gt;&lt;contributors&gt;&lt;authors&gt;&lt;author&gt;Cobb, Richard&lt;/author&gt;&lt;/authors&gt;&lt;/contributors&gt;&lt;titles&gt;&lt;title&gt;French and Germans, Germans and French: a personal interpretation of France under two occupations, 1914-1918/1940-1944&lt;/title&gt;&lt;short-title&gt;French and Germans&lt;/short-title&gt;&lt;/titles&gt;&lt;dates&gt;&lt;year&gt;1983&lt;/year&gt;&lt;/dates&gt;&lt;pub-location&gt;Hanover&lt;/pub-location&gt;&lt;urls&gt;&lt;/urls&gt;&lt;/record&gt;&lt;/Cite&gt;&lt;/EndNote&gt;</w:instrText>
      </w:r>
      <w:r>
        <w:fldChar w:fldCharType="separate"/>
      </w:r>
      <w:r w:rsidRPr="00374CF4">
        <w:rPr>
          <w:noProof/>
        </w:rPr>
        <w:t xml:space="preserve">Cobb, </w:t>
      </w:r>
      <w:r w:rsidRPr="00374CF4">
        <w:rPr>
          <w:i/>
          <w:noProof/>
        </w:rPr>
        <w:t>French and Germans</w:t>
      </w:r>
      <w:r>
        <w:fldChar w:fldCharType="end"/>
      </w:r>
      <w:r w:rsidRPr="00374CF4">
        <w:t xml:space="preserve">. </w:t>
      </w:r>
      <w:r>
        <w:t xml:space="preserve">See </w:t>
      </w:r>
      <w:r>
        <w:fldChar w:fldCharType="begin"/>
      </w:r>
      <w: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Pr>
          <w:noProof/>
        </w:rPr>
        <w:t xml:space="preserve">Becker, </w:t>
      </w:r>
      <w:r w:rsidRPr="00921A26">
        <w:rPr>
          <w:i/>
          <w:noProof/>
        </w:rPr>
        <w:t>Oubliés</w:t>
      </w:r>
      <w:r>
        <w:fldChar w:fldCharType="end"/>
      </w:r>
      <w:r>
        <w:t>, p. 15 in which she criticises Cobb.</w:t>
      </w:r>
    </w:p>
  </w:footnote>
  <w:footnote w:id="27">
    <w:p w14:paraId="623E87D7" w14:textId="77777777" w:rsidR="00DE3AC9" w:rsidRPr="00A64130" w:rsidRDefault="00DE3AC9" w:rsidP="0048510E">
      <w:pPr>
        <w:pStyle w:val="FootnoteText"/>
      </w:pPr>
      <w:r>
        <w:rPr>
          <w:rStyle w:val="FootnoteReference"/>
        </w:rPr>
        <w:footnoteRef/>
      </w:r>
      <w:r>
        <w:t xml:space="preserve"> </w:t>
      </w:r>
      <w:r>
        <w:fldChar w:fldCharType="begin"/>
      </w:r>
      <w: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Pr>
          <w:noProof/>
        </w:rPr>
        <w:t xml:space="preserve">Becker, </w:t>
      </w:r>
      <w:r w:rsidRPr="00A64130">
        <w:rPr>
          <w:i/>
          <w:noProof/>
        </w:rPr>
        <w:t>Oubliés</w:t>
      </w:r>
      <w:r>
        <w:fldChar w:fldCharType="end"/>
      </w:r>
      <w:r>
        <w:t>, p. 17.</w:t>
      </w:r>
    </w:p>
  </w:footnote>
  <w:footnote w:id="28">
    <w:p w14:paraId="13EE25DD" w14:textId="77777777" w:rsidR="00DE3AC9" w:rsidRPr="003C7A4D" w:rsidRDefault="00DE3AC9" w:rsidP="005C7BEE">
      <w:pPr>
        <w:pStyle w:val="FootnoteText"/>
      </w:pPr>
      <w:r>
        <w:rPr>
          <w:rStyle w:val="FootnoteReference"/>
        </w:rPr>
        <w:footnoteRef/>
      </w:r>
      <w:r>
        <w:t xml:space="preserve"> </w:t>
      </w:r>
      <w:r>
        <w:fldChar w:fldCharType="begin"/>
      </w:r>
      <w:r>
        <w:instrText xml:space="preserve"> ADDIN EN.CITE &lt;EndNote&gt;&lt;Cite&gt;&lt;Author&gt;McPhail&lt;/Author&gt;&lt;Year&gt;2001&lt;/Year&gt;&lt;RecNum&gt;51&lt;/RecNum&gt;&lt;DisplayText&gt;Helen McPhail, &lt;style face="italic"&gt;The long silence: civilian life under the German occupation of northern France, 1914-1918&lt;/style&gt;, (London and New York, 2001)&lt;/DisplayText&gt;&lt;record&gt;&lt;rec-number&gt;51&lt;/rec-number&gt;&lt;foreign-keys&gt;&lt;key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Pr>
          <w:noProof/>
        </w:rPr>
        <w:t xml:space="preserve">Helen McPhail, </w:t>
      </w:r>
      <w:r w:rsidRPr="005C7BEE">
        <w:rPr>
          <w:i/>
          <w:noProof/>
        </w:rPr>
        <w:t>The long silence: civilian life under the German occupation of northern France, 1914-1918</w:t>
      </w:r>
      <w:r>
        <w:rPr>
          <w:noProof/>
        </w:rPr>
        <w:t>, (London and New York, 2001)</w:t>
      </w:r>
      <w:r>
        <w:fldChar w:fldCharType="end"/>
      </w:r>
      <w:r>
        <w:t>, p. 6.</w:t>
      </w:r>
    </w:p>
  </w:footnote>
  <w:footnote w:id="29">
    <w:p w14:paraId="322F5233" w14:textId="77777777" w:rsidR="00DE3AC9" w:rsidRPr="00992124" w:rsidRDefault="00DE3AC9" w:rsidP="0048510E">
      <w:pPr>
        <w:pStyle w:val="FootnoteText"/>
        <w:rPr>
          <w:lang w:val="fr-FR"/>
        </w:rPr>
      </w:pPr>
      <w:r>
        <w:rPr>
          <w:rStyle w:val="FootnoteReference"/>
        </w:rPr>
        <w:footnoteRef/>
      </w:r>
      <w:r w:rsidRPr="007F078B">
        <w:rPr>
          <w:lang w:val="fr-FR"/>
        </w:rPr>
        <w:t xml:space="preserve"> </w:t>
      </w:r>
      <w: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7F078B">
        <w:rPr>
          <w:noProof/>
          <w:lang w:val="fr-FR"/>
        </w:rPr>
        <w:t xml:space="preserve">Nivet, </w:t>
      </w:r>
      <w:r w:rsidRPr="007F078B">
        <w:rPr>
          <w:i/>
          <w:noProof/>
          <w:lang w:val="fr-FR"/>
        </w:rPr>
        <w:t>La France</w:t>
      </w:r>
      <w:r>
        <w:fldChar w:fldCharType="end"/>
      </w:r>
      <w:r w:rsidRPr="007F078B">
        <w:rPr>
          <w:lang w:val="fr-FR"/>
        </w:rPr>
        <w:t>, p. 381.</w:t>
      </w:r>
    </w:p>
  </w:footnote>
  <w:footnote w:id="30">
    <w:p w14:paraId="5C7129DF" w14:textId="77777777" w:rsidR="00DE3AC9" w:rsidRPr="00D03445" w:rsidRDefault="00DE3AC9" w:rsidP="0048510E">
      <w:pPr>
        <w:pStyle w:val="FootnoteText"/>
        <w:rPr>
          <w:lang w:val="fr-FR"/>
        </w:rPr>
      </w:pPr>
      <w:r>
        <w:rPr>
          <w:rStyle w:val="FootnoteReference"/>
        </w:rPr>
        <w:footnoteRef/>
      </w:r>
      <w:r w:rsidRPr="00D03445">
        <w:rPr>
          <w:lang w:val="fr-FR"/>
        </w:rPr>
        <w:t xml:space="preserve"> </w:t>
      </w:r>
      <w:r>
        <w:fldChar w:fldCharType="begin"/>
      </w:r>
      <w:r>
        <w:rPr>
          <w:lang w:val="fr-FR"/>
        </w:rPr>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D03445">
        <w:rPr>
          <w:noProof/>
          <w:lang w:val="fr-FR"/>
        </w:rPr>
        <w:t>Ibid.</w:t>
      </w:r>
      <w:r>
        <w:fldChar w:fldCharType="end"/>
      </w:r>
    </w:p>
  </w:footnote>
  <w:footnote w:id="31">
    <w:p w14:paraId="7C602474" w14:textId="77777777" w:rsidR="00DE3AC9" w:rsidRPr="004B46C3" w:rsidRDefault="00DE3AC9" w:rsidP="0048510E">
      <w:pPr>
        <w:pStyle w:val="FootnoteText"/>
      </w:pPr>
      <w:r>
        <w:rPr>
          <w:rStyle w:val="FootnoteReference"/>
        </w:rPr>
        <w:footnoteRef/>
      </w:r>
      <w:r w:rsidRPr="004B46C3">
        <w:t xml:space="preserve"> </w:t>
      </w:r>
      <w:r>
        <w:fldChar w:fldCharType="begin"/>
      </w:r>
      <w:r>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4B46C3">
        <w:rPr>
          <w:noProof/>
        </w:rPr>
        <w:t>Ibid.</w:t>
      </w:r>
      <w:r>
        <w:fldChar w:fldCharType="end"/>
      </w:r>
      <w:r w:rsidRPr="004B46C3">
        <w:t>, p. 11.</w:t>
      </w:r>
      <w:r>
        <w:t xml:space="preserve"> </w:t>
      </w:r>
    </w:p>
  </w:footnote>
  <w:footnote w:id="32">
    <w:p w14:paraId="0F636B2F" w14:textId="77777777" w:rsidR="00DE3AC9" w:rsidRPr="00CB1A91" w:rsidRDefault="00DE3AC9" w:rsidP="001C5604">
      <w:pPr>
        <w:pStyle w:val="FootnoteText"/>
      </w:pPr>
      <w:r>
        <w:rPr>
          <w:rStyle w:val="FootnoteReference"/>
        </w:rPr>
        <w:footnoteRef/>
      </w:r>
      <w:r>
        <w:t xml:space="preserve"> Germanisation is a contested theory in France. Nivet’s book was violently attacked in a review of his book. See: Philippe Salson, ‘Review of Philippe Nivet, La France occupée, 1914-1918’, in: </w:t>
      </w:r>
      <w:r w:rsidRPr="00126D56">
        <w:rPr>
          <w:i/>
          <w:iCs/>
        </w:rPr>
        <w:t>CRID 14-18</w:t>
      </w:r>
      <w:r>
        <w:t xml:space="preserve">. </w:t>
      </w:r>
      <w:hyperlink r:id="rId2" w:history="1">
        <w:r w:rsidRPr="00E45B78">
          <w:rPr>
            <w:rStyle w:val="Hyperlink"/>
          </w:rPr>
          <w:t>http://www.crid1418.org/bibli/?p=147</w:t>
        </w:r>
      </w:hyperlink>
      <w:r>
        <w:t xml:space="preserve"> [accessed 27 January 2014]. Salson also argued against Germanisation in his PhD thesis. See: </w:t>
      </w:r>
      <w:r>
        <w:fldChar w:fldCharType="begin"/>
      </w:r>
      <w:r>
        <w:instrText xml:space="preserve"> ADDIN EN.CITE &lt;EndNote&gt;&lt;Cite&gt;&lt;Author&gt;Salson&lt;/Author&gt;&lt;Year&gt;2013&lt;/Year&gt;&lt;RecNum&gt;340&lt;/RecNum&gt;&lt;DisplayText&gt;Salson, &lt;style face="italic"&gt;1914-1918: les années grises&lt;/style&gt;&lt;/DisplayText&gt;&lt;record&gt;&lt;rec-number&gt;340&lt;/rec-number&gt;&lt;foreign-keys&gt;&lt;key app="EN" db-id="2f5rvwawcsv2woetvw35fzwbdvvswerd0err"&gt;340&lt;/key&gt;&lt;/foreign-keys&gt;&lt;ref-type name="Thesis"&gt;32&lt;/ref-type&gt;&lt;contributors&gt;&lt;authors&gt;&lt;author&gt;Salson, Philippe&lt;/author&gt;&lt;/authors&gt;&lt;/contributors&gt;&lt;titles&gt;&lt;title&gt;1914-1918: les années grises: l&amp;apos;expérience des civils dans l&amp;apos;Aisne occupée&lt;/title&gt;&lt;short-title&gt;1914-1918: les années grises&lt;/short-title&gt;&lt;/titles&gt;&lt;dates&gt;&lt;year&gt;2013&lt;/year&gt;&lt;/dates&gt;&lt;publisher&gt;Université Paul Valéry- Montpellier III&lt;/publisher&gt;&lt;work-type&gt;PhD Thesis&lt;/work-type&gt;&lt;urls&gt;&lt;/urls&gt;&lt;/record&gt;&lt;/Cite&gt;&lt;/EndNote&gt;</w:instrText>
      </w:r>
      <w:r>
        <w:fldChar w:fldCharType="separate"/>
      </w:r>
      <w:r>
        <w:rPr>
          <w:noProof/>
        </w:rPr>
        <w:t xml:space="preserve">Salson, </w:t>
      </w:r>
      <w:r w:rsidRPr="001C5604">
        <w:rPr>
          <w:i/>
          <w:noProof/>
        </w:rPr>
        <w:t>1914-1918: les années grises</w:t>
      </w:r>
      <w:r>
        <w:fldChar w:fldCharType="end"/>
      </w:r>
      <w:r>
        <w:t>, pp. 93-95.</w:t>
      </w:r>
    </w:p>
  </w:footnote>
  <w:footnote w:id="33">
    <w:p w14:paraId="7413930F" w14:textId="77777777" w:rsidR="00DE3AC9" w:rsidRPr="003C7A4D" w:rsidRDefault="00DE3AC9" w:rsidP="0048510E">
      <w:pPr>
        <w:pStyle w:val="FootnoteText"/>
      </w:pPr>
      <w:r>
        <w:rPr>
          <w:rStyle w:val="FootnoteReference"/>
        </w:rPr>
        <w:footnoteRef/>
      </w:r>
      <w:r>
        <w:t xml:space="preserve"> </w:t>
      </w:r>
      <w:r>
        <w:fldChar w:fldCharType="begin"/>
      </w:r>
      <w: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Pr>
          <w:noProof/>
        </w:rPr>
        <w:t xml:space="preserve">Connolly, </w:t>
      </w:r>
      <w:r w:rsidRPr="00130D8B">
        <w:rPr>
          <w:i/>
          <w:noProof/>
        </w:rPr>
        <w:t>Encountering Germans</w:t>
      </w:r>
      <w:r>
        <w:fldChar w:fldCharType="end"/>
      </w:r>
      <w:r>
        <w:t>.</w:t>
      </w:r>
    </w:p>
  </w:footnote>
  <w:footnote w:id="34">
    <w:p w14:paraId="2DFD8E00" w14:textId="77777777" w:rsidR="00DE3AC9" w:rsidRPr="003C7A4D" w:rsidRDefault="00DE3AC9" w:rsidP="0048510E">
      <w:pPr>
        <w:pStyle w:val="FootnoteText"/>
      </w:pPr>
      <w:r>
        <w:rPr>
          <w:rStyle w:val="FootnoteReference"/>
        </w:rPr>
        <w:footnoteRef/>
      </w:r>
      <w:r>
        <w:t xml:space="preserve"> </w:t>
      </w:r>
      <w:r>
        <w:fldChar w:fldCharType="begin"/>
      </w:r>
      <w:r>
        <w:instrText xml:space="preserve"> ADDIN EN.CITE &lt;EndNote&gt;&lt;Cite&gt;&lt;Author&gt;Audoin-Rouzeau&lt;/Author&gt;&lt;Year&gt;2006&lt;/Year&gt;&lt;RecNum&gt;108&lt;/RecNum&gt;&lt;DisplayText&gt;Stéphane Audoin-Rouzeau, Annette Becker, and Leonard Smith, &lt;style face="italic"&gt;France and the Great War 1914-1918&lt;/style&gt;, (Cambridge, 2006)&lt;/DisplayText&gt;&lt;record&gt;&lt;rec-number&gt;108&lt;/rec-number&gt;&lt;foreign-keys&gt;&lt;key app="EN" db-id="2f5rvwawcsv2woetvw35fzwbdvvswerd0err"&gt;108&lt;/key&gt;&lt;/foreign-keys&gt;&lt;ref-type name="Book"&gt;6&lt;/ref-type&gt;&lt;contributors&gt;&lt;authors&gt;&lt;author&gt;Audoin-Rouzeau, Stéphane&lt;/author&gt;&lt;author&gt;Becker, Annette&lt;/author&gt;&lt;author&gt;Smith, Leonard&lt;/author&gt;&lt;/authors&gt;&lt;/contributors&gt;&lt;titles&gt;&lt;title&gt;France and the Great War 1914-1918&lt;/title&gt;&lt;short-title&gt;France&lt;/short-title&gt;&lt;/titles&gt;&lt;dates&gt;&lt;year&gt;2006&lt;/year&gt;&lt;/dates&gt;&lt;pub-location&gt;Cambridge&lt;/pub-location&gt;&lt;urls&gt;&lt;/urls&gt;&lt;/record&gt;&lt;/Cite&gt;&lt;/EndNote&gt;</w:instrText>
      </w:r>
      <w:r>
        <w:fldChar w:fldCharType="separate"/>
      </w:r>
      <w:r>
        <w:rPr>
          <w:noProof/>
        </w:rPr>
        <w:t xml:space="preserve">Stéphane Audoin-Rouzeau, Annette Becker, and Leonard Smith, </w:t>
      </w:r>
      <w:r w:rsidRPr="003474F7">
        <w:rPr>
          <w:i/>
          <w:noProof/>
        </w:rPr>
        <w:t>France and the Great War 1914-1918</w:t>
      </w:r>
      <w:r>
        <w:rPr>
          <w:noProof/>
        </w:rPr>
        <w:t>, (Cambridge, 2006)</w:t>
      </w:r>
      <w:r>
        <w:fldChar w:fldCharType="end"/>
      </w:r>
      <w:r>
        <w:t>, p. xv.</w:t>
      </w:r>
    </w:p>
  </w:footnote>
  <w:footnote w:id="35">
    <w:p w14:paraId="6EE512F4" w14:textId="14AD2DB4" w:rsidR="00DE3AC9" w:rsidRPr="00D03445" w:rsidRDefault="00DE3AC9" w:rsidP="00415A32">
      <w:pPr>
        <w:pStyle w:val="FootnoteText"/>
        <w:rPr>
          <w:lang w:val="fr-FR"/>
        </w:rPr>
      </w:pPr>
      <w:r>
        <w:rPr>
          <w:rStyle w:val="FootnoteReference"/>
        </w:rPr>
        <w:footnoteRef/>
      </w:r>
      <w:r w:rsidRPr="00D03445">
        <w:rPr>
          <w:lang w:val="fr-FR"/>
        </w:rPr>
        <w:t xml:space="preserve"> </w:t>
      </w:r>
      <w:r>
        <w:fldChar w:fldCharType="begin"/>
      </w:r>
      <w:r>
        <w:rPr>
          <w:lang w:val="fr-FR"/>
        </w:rP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sidRPr="00415A32">
        <w:rPr>
          <w:noProof/>
          <w:lang w:val="fr-FR"/>
        </w:rPr>
        <w:t xml:space="preserve">Connolly, </w:t>
      </w:r>
      <w:r w:rsidRPr="00415A32">
        <w:rPr>
          <w:i/>
          <w:noProof/>
          <w:lang w:val="fr-FR"/>
        </w:rPr>
        <w:t>Encountering Germans</w:t>
      </w:r>
      <w:r>
        <w:fldChar w:fldCharType="end"/>
      </w:r>
      <w:r w:rsidRPr="00D03445">
        <w:rPr>
          <w:lang w:val="fr-FR"/>
        </w:rPr>
        <w:t>, p. 39.</w:t>
      </w:r>
    </w:p>
  </w:footnote>
  <w:footnote w:id="36">
    <w:p w14:paraId="17265AB6" w14:textId="77777777" w:rsidR="00DE3AC9" w:rsidRPr="009C3814" w:rsidRDefault="00DE3AC9" w:rsidP="0048510E">
      <w:pPr>
        <w:pStyle w:val="FootnoteText"/>
        <w:rPr>
          <w:lang w:val="fr-FR"/>
        </w:rPr>
      </w:pPr>
      <w:r>
        <w:rPr>
          <w:rStyle w:val="FootnoteReference"/>
        </w:rPr>
        <w:footnoteRef/>
      </w:r>
      <w:r w:rsidRPr="009C3814">
        <w:rPr>
          <w:lang w:val="fr-FR"/>
        </w:rPr>
        <w:t xml:space="preserve"> </w:t>
      </w:r>
      <w:r>
        <w:rPr>
          <w:lang w:val="fr-FR"/>
        </w:rPr>
        <w:fldChar w:fldCharType="begin"/>
      </w:r>
      <w:r w:rsidRPr="009C3814">
        <w:rPr>
          <w:lang w:val="fr-FR"/>
        </w:rPr>
        <w:instrText xml:space="preserve"> ADDIN EN.CITE &lt;EndNote&gt;&lt;Cite&gt;&lt;Author&gt;Pirenne&lt;/Author&gt;&lt;Year&gt;1928&lt;/Year&gt;&lt;RecNum&gt;278&lt;/RecNum&gt;&lt;DisplayText&gt;Henri Pirenne, &lt;style face="italic"&gt;La Belgique et la Guerre mondiale&lt;/style&gt;, (Paris, 1928)&lt;/DisplayText&gt;&lt;record&gt;&lt;rec-number&gt;278&lt;/rec-number&gt;&lt;foreign-keys&gt;&lt;key app="EN" db-id="2f5rvwawcsv2woetvw35fzwbdvvswerd0err"&gt;278&lt;/key&gt;&lt;/foreign-keys&gt;&lt;ref-type name="Book"&gt;6&lt;/ref-type&gt;&lt;contributors&gt;&lt;authors&gt;&lt;author&gt;Pirenne, Henri&lt;/author&gt;&lt;/authors&gt;&lt;/contributors&gt;&lt;titles&gt;&lt;title&gt;La Belgique et la Guerre mondiale&lt;/title&gt;&lt;short-title&gt;La Belgique&lt;/short-title&gt;&lt;/titles&gt;&lt;dates&gt;&lt;year&gt;1928&lt;/year&gt;&lt;/dates&gt;&lt;pub-location&gt;Paris&lt;/pub-location&gt;&lt;urls&gt;&lt;/urls&gt;&lt;/record&gt;&lt;/Cite&gt;&lt;/EndNote&gt;</w:instrText>
      </w:r>
      <w:r>
        <w:rPr>
          <w:lang w:val="fr-FR"/>
        </w:rPr>
        <w:fldChar w:fldCharType="separate"/>
      </w:r>
      <w:r w:rsidRPr="003474F7">
        <w:rPr>
          <w:noProof/>
          <w:lang w:val="fr-FR"/>
        </w:rPr>
        <w:t xml:space="preserve">Henri Pirenne, </w:t>
      </w:r>
      <w:r w:rsidRPr="003474F7">
        <w:rPr>
          <w:i/>
          <w:noProof/>
          <w:lang w:val="fr-FR"/>
        </w:rPr>
        <w:t>La Belgique et la Guerre mondiale</w:t>
      </w:r>
      <w:r w:rsidRPr="003474F7">
        <w:rPr>
          <w:noProof/>
          <w:lang w:val="fr-FR"/>
        </w:rPr>
        <w:t>, (Paris, 1928)</w:t>
      </w:r>
      <w:r>
        <w:rPr>
          <w:lang w:val="fr-FR"/>
        </w:rPr>
        <w:fldChar w:fldCharType="end"/>
      </w:r>
      <w:r>
        <w:rPr>
          <w:lang w:val="fr-FR"/>
        </w:rPr>
        <w:t>.</w:t>
      </w:r>
    </w:p>
  </w:footnote>
  <w:footnote w:id="37">
    <w:p w14:paraId="3572B615" w14:textId="77777777" w:rsidR="00DE3AC9" w:rsidRPr="00EA2951" w:rsidRDefault="00DE3AC9" w:rsidP="005C7BEE">
      <w:pPr>
        <w:pStyle w:val="FootnoteText"/>
      </w:pPr>
      <w:r>
        <w:rPr>
          <w:rStyle w:val="FootnoteReference"/>
        </w:rPr>
        <w:footnoteRef/>
      </w:r>
      <w:r w:rsidRPr="003474F7">
        <w:rPr>
          <w:lang w:val="nl-NL"/>
        </w:rPr>
        <w:t xml:space="preserve"> </w:t>
      </w:r>
      <w:r>
        <w:rPr>
          <w:lang w:val="fr-FR"/>
        </w:rPr>
        <w:fldChar w:fldCharType="begin"/>
      </w:r>
      <w:r>
        <w:rPr>
          <w:lang w:val="nl-NL"/>
        </w:rPr>
        <w:instrText xml:space="preserve"> ADDIN EN.CITE &lt;EndNote&gt;&lt;Cite&gt;&lt;Author&gt;Schaepdrijver&lt;/Author&gt;&lt;Year&gt;1997&lt;/Year&gt;&lt;RecNum&gt;277&lt;/RecNum&gt;&lt;DisplayText&gt;Sophie de Schaepdrijver, &lt;style face="italic"&gt;De Groote Oorlog: het koninkrij België in de Eerste Wereldoorlog&lt;/style&gt;, (Amsterdam, 1997)&lt;/DisplayText&gt;&lt;record&gt;&lt;rec-number&gt;277&lt;/rec-number&gt;&lt;foreign-keys&gt;&lt;key app="EN" db-id="2f5rvwawcsv2woetvw35fzwbdvvswerd0err"&gt;277&lt;/key&gt;&lt;/foreign-keys&gt;&lt;ref-type name="Book"&gt;6&lt;/ref-type&gt;&lt;contributors&gt;&lt;authors&gt;&lt;author&gt;de Schaepdrijver, Sophie&lt;/author&gt;&lt;/authors&gt;&lt;/contributors&gt;&lt;titles&gt;&lt;title&gt;De Groote Oorlog: het koninkrij België in de Eerste Wereldoorlog&lt;/title&gt;&lt;short-title&gt;De Groote&lt;/short-title&gt;&lt;/titles&gt;&lt;dates&gt;&lt;year&gt;1997&lt;/year&gt;&lt;/dates&gt;&lt;pub-location&gt;Amsterdam&lt;/pub-location&gt;&lt;urls&gt;&lt;/urls&gt;&lt;/record&gt;&lt;/Cite&gt;&lt;/EndNote&gt;</w:instrText>
      </w:r>
      <w:r>
        <w:rPr>
          <w:lang w:val="fr-FR"/>
        </w:rPr>
        <w:fldChar w:fldCharType="separate"/>
      </w:r>
      <w:r w:rsidRPr="005C7BEE">
        <w:rPr>
          <w:noProof/>
          <w:lang w:val="nl-NL"/>
        </w:rPr>
        <w:t xml:space="preserve">Sophie de Schaepdrijver, </w:t>
      </w:r>
      <w:r w:rsidRPr="005C7BEE">
        <w:rPr>
          <w:i/>
          <w:noProof/>
          <w:lang w:val="nl-NL"/>
        </w:rPr>
        <w:t>De Groote Oorlog: het koninkrij België in de Eerste Wereldoorlog</w:t>
      </w:r>
      <w:r w:rsidRPr="005C7BEE">
        <w:rPr>
          <w:noProof/>
          <w:lang w:val="nl-NL"/>
        </w:rPr>
        <w:t>, (Amsterdam, 1997)</w:t>
      </w:r>
      <w:r>
        <w:rPr>
          <w:lang w:val="fr-FR"/>
        </w:rPr>
        <w:fldChar w:fldCharType="end"/>
      </w:r>
      <w:r w:rsidRPr="003474F7">
        <w:rPr>
          <w:lang w:val="nl-NL"/>
        </w:rPr>
        <w:t xml:space="preserve"> ; there was a revised edition in French : </w:t>
      </w:r>
      <w:r>
        <w:rPr>
          <w:lang w:val="fr-FR"/>
        </w:rPr>
        <w:fldChar w:fldCharType="begin"/>
      </w:r>
      <w:r>
        <w:rPr>
          <w:lang w:val="nl-NL"/>
        </w:rPr>
        <w:instrText xml:space="preserve"> ADDIN EN.CITE &lt;EndNote&gt;&lt;Cite&gt;&lt;Author&gt;Schaepdrijver&lt;/Author&gt;&lt;Year&gt;2004&lt;/Year&gt;&lt;RecNum&gt;128&lt;/RecNum&gt;&lt;DisplayText&gt;de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rPr>
          <w:lang w:val="fr-FR"/>
        </w:rPr>
        <w:fldChar w:fldCharType="separate"/>
      </w:r>
      <w:r w:rsidRPr="00921A26">
        <w:rPr>
          <w:noProof/>
          <w:lang w:val="nl-NL"/>
        </w:rPr>
        <w:t xml:space="preserve">de Schaepdrijver, </w:t>
      </w:r>
      <w:r w:rsidRPr="00921A26">
        <w:rPr>
          <w:i/>
          <w:noProof/>
          <w:lang w:val="nl-NL"/>
        </w:rPr>
        <w:t>La Belgique</w:t>
      </w:r>
      <w:r>
        <w:rPr>
          <w:lang w:val="fr-FR"/>
        </w:rPr>
        <w:fldChar w:fldCharType="end"/>
      </w:r>
      <w:r>
        <w:rPr>
          <w:lang w:val="nl-NL"/>
        </w:rPr>
        <w:t xml:space="preserve">. </w:t>
      </w:r>
      <w:r w:rsidRPr="00EA2951">
        <w:t>For an overview of Belgium and the First World War, see also</w:t>
      </w:r>
      <w:r>
        <w:t>:</w:t>
      </w:r>
      <w:r w:rsidRPr="00EA2951">
        <w:t xml:space="preserve"> </w:t>
      </w:r>
      <w:r>
        <w:rPr>
          <w:lang w:val="nl-NL"/>
        </w:rPr>
        <w:fldChar w:fldCharType="begin"/>
      </w:r>
      <w:r w:rsidRPr="00EA2951">
        <w:instrText xml:space="preserve"> ADDIN EN.CITE &lt;EndNote&gt;&lt;Cite&gt;&lt;Author&gt;Proctors&lt;/Author&gt;&lt;Year&gt;2005&lt;/Year&gt;&lt;RecNum&gt;331&lt;/RecNum&gt;&lt;DisplayText&gt;Tammy Proctors, &amp;apos;Missing in action: Belgian civilians and the First World War&amp;apos;, in: &lt;style face="italic"&gt;Belgisch Tijdschrift Voor de Nieuwste Tijd &lt;/style&gt;35 (2005), &lt;/DisplayText&gt;&lt;record&gt;&lt;rec-number&gt;331&lt;/rec-number&gt;&lt;foreign-keys&gt;&lt;key app="EN" db-id="2f5rvwawcsv2woetvw35fzwbdvvswerd0err"&gt;331&lt;/key&gt;&lt;/foreign-keys&gt;&lt;ref-type name="Journal Article"&gt;17&lt;/ref-type&gt;&lt;contributors&gt;&lt;authors&gt;&lt;author&gt;Proctors, Tammy&lt;/author&gt;&lt;/authors&gt;&lt;/contributors&gt;&lt;titles&gt;&lt;title&gt;Missing in action: Belgian civilians and the First World War&lt;/title&gt;&lt;secondary-title&gt;Belgisch Tijdschrift Voor de Nieuwste Tijd &lt;/secondary-title&gt;&lt;short-title&gt;Missing in action&lt;/short-title&gt;&lt;/titles&gt;&lt;periodical&gt;&lt;full-title&gt;Belgisch Tijdschrift Voor de Nieuwste Tijd&lt;/full-title&gt;&lt;/periodical&gt;&lt;volume&gt;35&lt;/volume&gt;&lt;dates&gt;&lt;year&gt;2005&lt;/year&gt;&lt;/dates&gt;&lt;urls&gt;&lt;/urls&gt;&lt;/record&gt;&lt;/Cite&gt;&lt;/EndNote&gt;</w:instrText>
      </w:r>
      <w:r>
        <w:rPr>
          <w:lang w:val="nl-NL"/>
        </w:rPr>
        <w:fldChar w:fldCharType="separate"/>
      </w:r>
      <w:r w:rsidRPr="00EA2951">
        <w:rPr>
          <w:noProof/>
        </w:rPr>
        <w:t xml:space="preserve">Tammy Proctors, 'Missing in action: Belgian civilians and the First World War', in: </w:t>
      </w:r>
      <w:r w:rsidRPr="00EA2951">
        <w:rPr>
          <w:i/>
          <w:noProof/>
        </w:rPr>
        <w:t xml:space="preserve">Belgisch Tijdschrift Voor de Nieuwste Tijd </w:t>
      </w:r>
      <w:r w:rsidRPr="00EA2951">
        <w:rPr>
          <w:noProof/>
        </w:rPr>
        <w:t xml:space="preserve">35 (2005), </w:t>
      </w:r>
      <w:r>
        <w:rPr>
          <w:lang w:val="nl-NL"/>
        </w:rPr>
        <w:fldChar w:fldCharType="end"/>
      </w:r>
      <w:r w:rsidRPr="00EA2951">
        <w:t>pp. 547-572</w:t>
      </w:r>
      <w:r>
        <w:t>.</w:t>
      </w:r>
      <w:r w:rsidRPr="00EA2951">
        <w:t xml:space="preserve"> </w:t>
      </w:r>
    </w:p>
  </w:footnote>
  <w:footnote w:id="38">
    <w:p w14:paraId="0CC025CA" w14:textId="77777777" w:rsidR="00DE3AC9" w:rsidRPr="007D4626" w:rsidRDefault="00DE3AC9" w:rsidP="0048510E">
      <w:pPr>
        <w:pStyle w:val="FootnoteText"/>
        <w:rPr>
          <w:lang w:val="fr-FR"/>
        </w:rPr>
      </w:pPr>
      <w:r>
        <w:rPr>
          <w:rStyle w:val="FootnoteReference"/>
        </w:rPr>
        <w:footnoteRef/>
      </w:r>
      <w:r w:rsidRPr="007D4626">
        <w:rPr>
          <w:lang w:val="fr-FR"/>
        </w:rPr>
        <w:t xml:space="preserve"> </w:t>
      </w:r>
      <w:r>
        <w:rPr>
          <w:lang w:val="fr-FR"/>
        </w:rPr>
        <w:fldChar w:fldCharType="begin"/>
      </w:r>
      <w:r>
        <w:rPr>
          <w:lang w:val="fr-FR"/>
        </w:rPr>
        <w:instrText xml:space="preserve"> ADDIN EN.CITE &lt;EndNote&gt;&lt;Cite&gt;&lt;Author&gt;Delforge&lt;/Author&gt;&lt;Year&gt;2008&lt;/Year&gt;&lt;RecNum&gt;164&lt;/RecNum&gt;&lt;DisplayText&gt;Paul Delforge, &lt;style face="italic"&gt;La Wallonie et la Première Guerre Mondiale&lt;/style&gt;, (Namur, 2008)&lt;/DisplayText&gt;&lt;record&gt;&lt;rec-number&gt;164&lt;/rec-number&gt;&lt;foreign-keys&gt;&lt;key app="EN" db-id="2f5rvwawcsv2woetvw35fzwbdvvswerd0err"&gt;164&lt;/key&gt;&lt;/foreign-keys&gt;&lt;ref-type name="Book"&gt;6&lt;/ref-type&gt;&lt;contributors&gt;&lt;authors&gt;&lt;author&gt;Delforge, Paul&lt;/author&gt;&lt;/authors&gt;&lt;/contributors&gt;&lt;titles&gt;&lt;title&gt;La Wallonie et la Première Guerre Mondiale&lt;/title&gt;&lt;short-title&gt;La Wallonie&lt;/short-title&gt;&lt;/titles&gt;&lt;dates&gt;&lt;year&gt;2008&lt;/year&gt;&lt;/dates&gt;&lt;pub-location&gt;Namur&lt;/pub-location&gt;&lt;urls&gt;&lt;/urls&gt;&lt;/record&gt;&lt;/Cite&gt;&lt;/EndNote&gt;</w:instrText>
      </w:r>
      <w:r>
        <w:rPr>
          <w:lang w:val="fr-FR"/>
        </w:rPr>
        <w:fldChar w:fldCharType="separate"/>
      </w:r>
      <w:r>
        <w:rPr>
          <w:noProof/>
          <w:lang w:val="fr-FR"/>
        </w:rPr>
        <w:t xml:space="preserve">Paul Delforge, </w:t>
      </w:r>
      <w:r w:rsidRPr="003474F7">
        <w:rPr>
          <w:i/>
          <w:noProof/>
          <w:lang w:val="fr-FR"/>
        </w:rPr>
        <w:t>La Wallonie et la Première Guerre Mondiale</w:t>
      </w:r>
      <w:r>
        <w:rPr>
          <w:noProof/>
          <w:lang w:val="fr-FR"/>
        </w:rPr>
        <w:t>, (Namur, 2008)</w:t>
      </w:r>
      <w:r>
        <w:rPr>
          <w:lang w:val="fr-FR"/>
        </w:rPr>
        <w:fldChar w:fldCharType="end"/>
      </w:r>
      <w:r>
        <w:rPr>
          <w:lang w:val="fr-FR"/>
        </w:rPr>
        <w:t>.</w:t>
      </w:r>
    </w:p>
  </w:footnote>
  <w:footnote w:id="39">
    <w:p w14:paraId="427667E9" w14:textId="77777777" w:rsidR="00DE3AC9" w:rsidRPr="00943FC2" w:rsidRDefault="00DE3AC9" w:rsidP="005C7BEE">
      <w:pPr>
        <w:pStyle w:val="FootnoteText"/>
        <w:rPr>
          <w:lang w:val="fr-FR"/>
        </w:rPr>
      </w:pPr>
      <w:r>
        <w:rPr>
          <w:rStyle w:val="FootnoteReference"/>
        </w:rPr>
        <w:footnoteRef/>
      </w:r>
      <w:r w:rsidRPr="00D430F5">
        <w:rPr>
          <w:lang w:val="fr-FR"/>
        </w:rPr>
        <w:t xml:space="preserve"> </w:t>
      </w:r>
      <w:r>
        <w:rPr>
          <w:lang w:val="nl-NL"/>
        </w:rPr>
        <w:fldChar w:fldCharType="begin"/>
      </w:r>
      <w:r>
        <w:rPr>
          <w:lang w:val="fr-FR"/>
        </w:rPr>
        <w:instrText xml:space="preserve"> ADDIN EN.CITE &lt;EndNote&gt;&lt;Cite&gt;&lt;Author&gt;Debruyne&lt;/Author&gt;&lt;Year&gt;2004&lt;/Year&gt;&lt;RecNum&gt;279&lt;/RecNum&gt;&lt;DisplayText&gt;Emmanuel Debruyne and Laurence Van Ypersele, &lt;style face="italic"&gt;De la guerre de l&amp;apos;ombre aux ombres de la guerre: l&amp;apos;espionnage de 14-18 en Belgique occupée&lt;/style&gt;, (Brussels, 2004)&lt;/DisplayText&gt;&lt;record&gt;&lt;rec-number&gt;279&lt;/rec-number&gt;&lt;foreign-keys&gt;&lt;key app="EN" db-id="2f5rvwawcsv2woetvw35fzwbdvvswerd0err"&gt;279&lt;/key&gt;&lt;/foreign-keys&gt;&lt;ref-type name="Book"&gt;6&lt;/ref-type&gt;&lt;contributors&gt;&lt;authors&gt;&lt;author&gt;Debruyne, Emmanuel&lt;/author&gt;&lt;author&gt;Van Ypersele, Laurence&lt;/author&gt;&lt;/authors&gt;&lt;/contributors&gt;&lt;titles&gt;&lt;title&gt;De la guerre de l&amp;apos;ombre aux ombres de la guerre: l&amp;apos;espionnage de 14-18 en Belgique occupée&lt;/title&gt;&lt;short-title&gt;De la guerre&lt;/short-title&gt;&lt;/titles&gt;&lt;dates&gt;&lt;year&gt;2004&lt;/year&gt;&lt;/dates&gt;&lt;pub-location&gt;Brussels&lt;/pub-location&gt;&lt;urls&gt;&lt;/urls&gt;&lt;/record&gt;&lt;/Cite&gt;&lt;/EndNote&gt;</w:instrText>
      </w:r>
      <w:r>
        <w:rPr>
          <w:lang w:val="nl-NL"/>
        </w:rPr>
        <w:fldChar w:fldCharType="separate"/>
      </w:r>
      <w:r w:rsidRPr="005C7BEE">
        <w:rPr>
          <w:noProof/>
          <w:lang w:val="fr-FR"/>
        </w:rPr>
        <w:t xml:space="preserve">Emmanuel Debruyne and Laurence Van Ypersele, </w:t>
      </w:r>
      <w:r w:rsidRPr="005C7BEE">
        <w:rPr>
          <w:i/>
          <w:noProof/>
          <w:lang w:val="fr-FR"/>
        </w:rPr>
        <w:t>De la guerre de l'ombre aux ombres de la guerre: l'espionnage de 14-18 en Belgique occupée</w:t>
      </w:r>
      <w:r w:rsidRPr="005C7BEE">
        <w:rPr>
          <w:noProof/>
          <w:lang w:val="fr-FR"/>
        </w:rPr>
        <w:t>, (Brussels, 2004)</w:t>
      </w:r>
      <w:r>
        <w:rPr>
          <w:lang w:val="nl-NL"/>
        </w:rPr>
        <w:fldChar w:fldCharType="end"/>
      </w:r>
      <w:r w:rsidRPr="00D430F5">
        <w:rPr>
          <w:lang w:val="fr-FR"/>
        </w:rPr>
        <w:t xml:space="preserve">; </w:t>
      </w:r>
      <w:r>
        <w:rPr>
          <w:lang w:val="nl-NL"/>
        </w:rPr>
        <w:fldChar w:fldCharType="begin"/>
      </w:r>
      <w:r>
        <w:rPr>
          <w:lang w:val="fr-FR"/>
        </w:rPr>
        <w:instrText xml:space="preserve"> ADDIN EN.CITE &lt;EndNote&gt;&lt;Cite&gt;&lt;Author&gt;Debruyne&lt;/Author&gt;&lt;Year&gt;2005&lt;/Year&gt;&lt;RecNum&gt;280&lt;/RecNum&gt;&lt;DisplayText&gt;Emmanuel Debruyne, &amp;apos;Les services de renseignement alliés en Belgique occupée&amp;apos;, in: &lt;style face="italic"&gt;Une guerre totale? La Belgique dans la Première Guerre Mondiale, &lt;/style&gt;ed. by M. Amara, et al. (Brussels, 2005),&lt;/DisplayText&gt;&lt;record&gt;&lt;rec-number&gt;280&lt;/rec-number&gt;&lt;foreign-keys&gt;&lt;key app="EN" db-id="2f5rvwawcsv2woetvw35fzwbdvvswerd0err"&gt;280&lt;/key&gt;&lt;/foreign-keys&gt;&lt;ref-type name="Book Section"&gt;5&lt;/ref-type&gt;&lt;contributors&gt;&lt;authors&gt;&lt;author&gt;Debruyne, Emmanuel&lt;/author&gt;&lt;/authors&gt;&lt;secondary-authors&gt;&lt;author&gt;Amara, M.&lt;/author&gt;&lt;author&gt;Jaumain, S.&lt;/author&gt;&lt;author&gt;Majerus, B.&lt;/author&gt;&lt;author&gt;Vrints, A.&lt;/author&gt;&lt;/secondary-authors&gt;&lt;/contributors&gt;&lt;titles&gt;&lt;title&gt;Les services de renseignement alliés en Belgique occupée&lt;/title&gt;&lt;secondary-title&gt;Une guerre totale? La Belgique dans la Première Guerre Mondiale&lt;/secondary-title&gt;&lt;short-title&gt;Les services&lt;/short-title&gt;&lt;/titles&gt;&lt;dates&gt;&lt;year&gt;2005&lt;/year&gt;&lt;/dates&gt;&lt;pub-location&gt;Brussels&lt;/pub-location&gt;&lt;urls&gt;&lt;/urls&gt;&lt;/record&gt;&lt;/Cite&gt;&lt;/EndNote&gt;</w:instrText>
      </w:r>
      <w:r>
        <w:rPr>
          <w:lang w:val="nl-NL"/>
        </w:rPr>
        <w:fldChar w:fldCharType="separate"/>
      </w:r>
      <w:r w:rsidRPr="00150A28">
        <w:rPr>
          <w:noProof/>
          <w:lang w:val="fr-FR"/>
        </w:rPr>
        <w:t xml:space="preserve">Emmanuel Debruyne, 'Les services de renseignement alliés en Belgique occupée', in: </w:t>
      </w:r>
      <w:r w:rsidRPr="00150A28">
        <w:rPr>
          <w:i/>
          <w:noProof/>
          <w:lang w:val="fr-FR"/>
        </w:rPr>
        <w:t xml:space="preserve">Une guerre totale? La Belgique dans la Première Guerre Mondiale, </w:t>
      </w:r>
      <w:r w:rsidRPr="00150A28">
        <w:rPr>
          <w:noProof/>
          <w:lang w:val="fr-FR"/>
        </w:rPr>
        <w:t>ed. by M. Amara, et al. (Brussels, 2005),</w:t>
      </w:r>
      <w:r>
        <w:rPr>
          <w:lang w:val="nl-NL"/>
        </w:rPr>
        <w:fldChar w:fldCharType="end"/>
      </w:r>
      <w:r w:rsidRPr="00D430F5">
        <w:rPr>
          <w:lang w:val="fr-FR"/>
        </w:rPr>
        <w:t xml:space="preserve"> pp. 131-144; </w:t>
      </w:r>
      <w:r>
        <w:rPr>
          <w:lang w:val="nl-NL"/>
        </w:rPr>
        <w:fldChar w:fldCharType="begin"/>
      </w:r>
      <w:r>
        <w:rPr>
          <w:lang w:val="fr-FR"/>
        </w:rPr>
        <w:instrText xml:space="preserve"> ADDIN EN.CITE &lt;EndNote&gt;&lt;Cite&gt;&lt;Author&gt;Debruyne&lt;/Author&gt;&lt;Year&gt;2008&lt;/Year&gt;&lt;RecNum&gt;244&lt;/RecNum&gt;&lt;DisplayText&gt;Emmanuel Debruyne, &amp;apos;Patriotes désintéressés ou espions vénaux? Agents et argent en Belgique et en France occupée, 1914-1918&amp;apos;, in: &lt;style face="italic"&gt;Guerres mondiales et conflits contemporains, &lt;/style&gt;232 (2008), &lt;/DisplayText&gt;&lt;record&gt;&lt;rec-number&gt;244&lt;/rec-number&gt;&lt;foreign-keys&gt;&lt;key app="EN" db-id="2f5rvwawcsv2woetvw35fzwbdvvswerd0err"&gt;244&lt;/key&gt;&lt;/foreign-keys&gt;&lt;ref-type name="Journal Article"&gt;17&lt;/ref-type&gt;&lt;contributors&gt;&lt;authors&gt;&lt;author&gt;Debruyne, Emmanuel&lt;/author&gt;&lt;/authors&gt;&lt;/contributors&gt;&lt;titles&gt;&lt;title&gt;Patriotes désintéressés ou espions vénaux? Agents et argent en Belgique et en France occupée, 1914-1918&lt;/title&gt;&lt;secondary-title&gt;Guerres mondiales et conflits contemporains&lt;/secondary-title&gt;&lt;short-title&gt;Patriotes&lt;/short-title&gt;&lt;/titles&gt;&lt;periodical&gt;&lt;full-title&gt;Guerres mondiales et conflits contemporains&lt;/full-title&gt;&lt;/periodical&gt;&lt;volume&gt;232&lt;/volume&gt;&lt;dates&gt;&lt;year&gt;2008&lt;/year&gt;&lt;/dates&gt;&lt;urls&gt;&lt;/urls&gt;&lt;/record&gt;&lt;/Cite&gt;&lt;/EndNote&gt;</w:instrText>
      </w:r>
      <w:r>
        <w:rPr>
          <w:lang w:val="nl-NL"/>
        </w:rPr>
        <w:fldChar w:fldCharType="separate"/>
      </w:r>
      <w:r w:rsidRPr="00150A28">
        <w:rPr>
          <w:noProof/>
          <w:lang w:val="fr-FR"/>
        </w:rPr>
        <w:t xml:space="preserve">Emmanuel Debruyne, 'Patriotes désintéressés ou espions vénaux? Agents et argent en Belgique et en France occupée, 1914-1918', in: </w:t>
      </w:r>
      <w:r w:rsidRPr="00150A28">
        <w:rPr>
          <w:i/>
          <w:noProof/>
          <w:lang w:val="fr-FR"/>
        </w:rPr>
        <w:t xml:space="preserve">Guerres mondiales et conflits contemporains, </w:t>
      </w:r>
      <w:r w:rsidRPr="00150A28">
        <w:rPr>
          <w:noProof/>
          <w:lang w:val="fr-FR"/>
        </w:rPr>
        <w:t xml:space="preserve">232 (2008), </w:t>
      </w:r>
      <w:r>
        <w:rPr>
          <w:lang w:val="nl-NL"/>
        </w:rPr>
        <w:fldChar w:fldCharType="end"/>
      </w:r>
      <w:r w:rsidRPr="00943FC2">
        <w:rPr>
          <w:lang w:val="fr-FR"/>
        </w:rPr>
        <w:t>pp.</w:t>
      </w:r>
      <w:r>
        <w:rPr>
          <w:lang w:val="fr-FR"/>
        </w:rPr>
        <w:t xml:space="preserve"> 25-45 ; </w:t>
      </w:r>
      <w:r>
        <w:rPr>
          <w:lang w:val="fr-FR"/>
        </w:rPr>
        <w:fldChar w:fldCharType="begin"/>
      </w:r>
      <w:r>
        <w:rPr>
          <w:lang w:val="fr-FR"/>
        </w:rPr>
        <w:instrText xml:space="preserve"> ADDIN EN.CITE &lt;EndNote&gt;&lt;Cite&gt;&lt;Author&gt;Debruyne&lt;/Author&gt;&lt;Year&gt;2009&lt;/Year&gt;&lt;RecNum&gt;281&lt;/RecNum&gt;&lt;DisplayText&gt;Emmanuel Debruyne and Jehanne Paternostre, &lt;style face="italic"&gt;La résistance au quotidien, 1914-1918: témoignages inédits&lt;/style&gt;, (Brussels, 2009)&lt;/DisplayText&gt;&lt;record&gt;&lt;rec-number&gt;281&lt;/rec-number&gt;&lt;foreign-keys&gt;&lt;key app="EN" db-id="2f5rvwawcsv2woetvw35fzwbdvvswerd0err"&gt;281&lt;/key&gt;&lt;/foreign-keys&gt;&lt;ref-type name="Book"&gt;6&lt;/ref-type&gt;&lt;contributors&gt;&lt;authors&gt;&lt;author&gt;Debruyne, Emmanuel&lt;/author&gt;&lt;author&gt;Paternostre, Jehanne&lt;/author&gt;&lt;/authors&gt;&lt;/contributors&gt;&lt;titles&gt;&lt;title&gt;La résistance au quotidien, 1914-1918: témoignages inédits&lt;/title&gt;&lt;short-title&gt;La résistance&lt;/short-title&gt;&lt;/titles&gt;&lt;dates&gt;&lt;year&gt;2009&lt;/year&gt;&lt;/dates&gt;&lt;pub-location&gt;Brussels&lt;/pub-location&gt;&lt;urls&gt;&lt;/urls&gt;&lt;/record&gt;&lt;/Cite&gt;&lt;/EndNote&gt;</w:instrText>
      </w:r>
      <w:r>
        <w:rPr>
          <w:lang w:val="fr-FR"/>
        </w:rPr>
        <w:fldChar w:fldCharType="separate"/>
      </w:r>
      <w:r>
        <w:rPr>
          <w:noProof/>
          <w:lang w:val="fr-FR"/>
        </w:rPr>
        <w:t xml:space="preserve">Emmanuel Debruyne and Jehanne Paternostre, </w:t>
      </w:r>
      <w:r w:rsidRPr="005C7BEE">
        <w:rPr>
          <w:i/>
          <w:noProof/>
          <w:lang w:val="fr-FR"/>
        </w:rPr>
        <w:t>La résistance au quotidien, 1914-1918: témoignages inédits</w:t>
      </w:r>
      <w:r>
        <w:rPr>
          <w:noProof/>
          <w:lang w:val="fr-FR"/>
        </w:rPr>
        <w:t>, (Brussels, 2009)</w:t>
      </w:r>
      <w:r>
        <w:rPr>
          <w:lang w:val="fr-FR"/>
        </w:rPr>
        <w:fldChar w:fldCharType="end"/>
      </w:r>
      <w:r>
        <w:rPr>
          <w:lang w:val="fr-FR"/>
        </w:rPr>
        <w:t xml:space="preserve">. </w:t>
      </w:r>
      <w:r w:rsidRPr="003C7A4D">
        <w:rPr>
          <w:lang w:val="fr-FR"/>
        </w:rPr>
        <w:t>It is also worth mentioning</w:t>
      </w:r>
      <w:r>
        <w:rPr>
          <w:lang w:val="fr-FR"/>
        </w:rPr>
        <w:t xml:space="preserve"> </w:t>
      </w:r>
      <w:r>
        <w:rPr>
          <w:lang w:val="fr-FR"/>
        </w:rPr>
        <w:fldChar w:fldCharType="begin"/>
      </w:r>
      <w:r>
        <w:rPr>
          <w:lang w:val="fr-FR"/>
        </w:rPr>
        <w:instrText xml:space="preserve"> ADDIN EN.CITE &lt;EndNote&gt;&lt;Cite&gt;&lt;Author&gt;Van Ypersele&lt;/Author&gt;&lt;Year&gt;2004&lt;/Year&gt;&lt;RecNum&gt;283&lt;/RecNum&gt;&lt;DisplayText&gt;Laurence Van Ypersele, &amp;apos;Sortir de la guerre, sortir de l&amp;apos;occupation: les violences populaires en Belgique au lendemain de la Première Guerre Mondiale&amp;apos;, in: &lt;style face="italic"&gt;Le Vingtième Siècle, &lt;/style&gt;83 (2004), &lt;/DisplayText&gt;&lt;record&gt;&lt;rec-number&gt;283&lt;/rec-number&gt;&lt;foreign-keys&gt;&lt;key app="EN" db-id="2f5rvwawcsv2woetvw35fzwbdvvswerd0err"&gt;283&lt;/key&gt;&lt;/foreign-keys&gt;&lt;ref-type name="Journal Article"&gt;17&lt;/ref-type&gt;&lt;contributors&gt;&lt;authors&gt;&lt;author&gt;Van Ypersele, Laurence&lt;/author&gt;&lt;/authors&gt;&lt;/contributors&gt;&lt;titles&gt;&lt;title&gt;Sortir de la guerre, sortir de l&amp;apos;occupation: les violences populaires en Belgique au lendemain de la Première Guerre Mondiale&lt;/title&gt;&lt;secondary-title&gt;Le Vingtième Siècle&lt;/secondary-title&gt;&lt;short-title&gt;Sortir&lt;/short-title&gt;&lt;/titles&gt;&lt;periodical&gt;&lt;full-title&gt;Le Vingtième Siècle&lt;/full-title&gt;&lt;/periodical&gt;&lt;volume&gt;83&lt;/volume&gt;&lt;dates&gt;&lt;year&gt;2004&lt;/year&gt;&lt;/dates&gt;&lt;urls&gt;&lt;/urls&gt;&lt;/record&gt;&lt;/Cite&gt;&lt;/EndNote&gt;</w:instrText>
      </w:r>
      <w:r>
        <w:rPr>
          <w:lang w:val="fr-FR"/>
        </w:rPr>
        <w:fldChar w:fldCharType="separate"/>
      </w:r>
      <w:r>
        <w:rPr>
          <w:noProof/>
          <w:lang w:val="fr-FR"/>
        </w:rPr>
        <w:t xml:space="preserve">Laurence Van Ypersele, 'Sortir de la guerre, sortir de l'occupation: les violences populaires en Belgique au lendemain de la Première Guerre Mondiale', in: </w:t>
      </w:r>
      <w:r w:rsidRPr="00150A28">
        <w:rPr>
          <w:i/>
          <w:noProof/>
          <w:lang w:val="fr-FR"/>
        </w:rPr>
        <w:t xml:space="preserve">Le Vingtième Siècle, </w:t>
      </w:r>
      <w:r>
        <w:rPr>
          <w:noProof/>
          <w:lang w:val="fr-FR"/>
        </w:rPr>
        <w:t xml:space="preserve">83 (2004), </w:t>
      </w:r>
      <w:r>
        <w:rPr>
          <w:lang w:val="fr-FR"/>
        </w:rPr>
        <w:fldChar w:fldCharType="end"/>
      </w:r>
      <w:r>
        <w:rPr>
          <w:lang w:val="fr-FR"/>
        </w:rPr>
        <w:t>pp. 65-74.</w:t>
      </w:r>
      <w:r w:rsidRPr="00943FC2">
        <w:rPr>
          <w:lang w:val="fr-FR"/>
        </w:rPr>
        <w:t xml:space="preserve"> </w:t>
      </w:r>
    </w:p>
  </w:footnote>
  <w:footnote w:id="40">
    <w:p w14:paraId="537D31F5" w14:textId="77777777" w:rsidR="00DE3AC9" w:rsidRPr="00A37C41" w:rsidRDefault="00DE3AC9" w:rsidP="005C7BEE">
      <w:pPr>
        <w:pStyle w:val="FootnoteText"/>
      </w:pPr>
      <w:r>
        <w:rPr>
          <w:rStyle w:val="FootnoteReference"/>
        </w:rPr>
        <w:footnoteRef/>
      </w:r>
      <w:r w:rsidRPr="00DE3AC9">
        <w:rPr>
          <w:lang w:val="fr-FR"/>
        </w:rPr>
        <w:t xml:space="preserve"> For example, </w:t>
      </w:r>
      <w:r>
        <w:fldChar w:fldCharType="begin"/>
      </w:r>
      <w:r w:rsidRPr="00DE3AC9">
        <w:rPr>
          <w:lang w:val="fr-FR"/>
        </w:rPr>
        <w:instrText xml:space="preserve"> ADDIN EN.CITE &lt;EndNote&gt;&lt;Cite&gt;&lt;Author&gt;Cabanes&lt;/Author&gt;&lt;Year&gt;2008&lt;/Year&gt;&lt;RecNum&gt;194&lt;/RecNum&gt;&lt;DisplayText&gt;Bruno Cabanes, &amp;apos;Les vivants et les morts: la France au sortir de la Grande Guerre&amp;apos;, in: &lt;style face="italic"&gt;Sortir de la Grande Guerre, &lt;/style&gt;ed. by S. Audoin-Rouzeau and C. Prochasson (Paris, 2008),&lt;/DisplayText&gt;&lt;record&gt;&lt;rec-number&gt;194&lt;/rec-number&gt;&lt;foreign-keys&gt;&lt;key app="EN" db-id="2f5rvwawcsv2woetvw35fzwbdvvswerd0err"&gt;194&lt;/key&gt;&lt;/foreign-keys&gt;&lt;ref-type name="Book Section"&gt;5&lt;/ref-type&gt;&lt;contributors&gt;&lt;authors&gt;&lt;author&gt;Cabanes, Bruno&lt;/author&gt;&lt;/authors&gt;&lt;secondary-authors&gt;&lt;author&gt;Audoin-Rouzeau, S.&lt;/author&gt;&lt;author&gt;Prochasson, C.&lt;/author&gt;&lt;/secondary-authors&gt;&lt;/contributors&gt;&lt;titles&gt;&lt;title&gt;Les vivants et les morts: la France au sortir de la Grande Guerre&lt;/title&gt;&lt;secondary-title&gt;Sortir de la Grande Guerre&lt;/secondary-title&gt;&lt;short-title&gt;Les vivants&lt;/short-title&gt;&lt;/titles&gt;&lt;dates&gt;&lt;year&gt;2008&lt;/year&gt;&lt;/dates&gt;&lt;pub-location&gt;Paris&lt;/pub-location&gt;&lt;urls&gt;&lt;/urls&gt;&lt;/record&gt;&lt;/Cite&gt;&lt;/EndNote&gt;</w:instrText>
      </w:r>
      <w:r>
        <w:fldChar w:fldCharType="separate"/>
      </w:r>
      <w:r w:rsidRPr="00DE3AC9">
        <w:rPr>
          <w:noProof/>
          <w:lang w:val="fr-FR"/>
        </w:rPr>
        <w:t xml:space="preserve">Bruno Cabanes, 'Les vivants et les morts: la France au sortir de la Grande Guerre', in: </w:t>
      </w:r>
      <w:r w:rsidRPr="00DE3AC9">
        <w:rPr>
          <w:i/>
          <w:noProof/>
          <w:lang w:val="fr-FR"/>
        </w:rPr>
        <w:t xml:space="preserve">Sortir de la Grande Guerre, </w:t>
      </w:r>
      <w:r w:rsidRPr="00DE3AC9">
        <w:rPr>
          <w:noProof/>
          <w:lang w:val="fr-FR"/>
        </w:rPr>
        <w:t>ed. by S. Audoin-Rouzeau and C. Prochasson (Paris, 2008),</w:t>
      </w:r>
      <w:r>
        <w:fldChar w:fldCharType="end"/>
      </w:r>
      <w:r w:rsidRPr="00DE3AC9">
        <w:rPr>
          <w:lang w:val="fr-FR"/>
        </w:rPr>
        <w:t xml:space="preserve"> pp. 27-46; </w:t>
      </w:r>
      <w:r>
        <w:rPr>
          <w:lang w:val="nl-NL"/>
        </w:rPr>
        <w:fldChar w:fldCharType="begin"/>
      </w:r>
      <w:r w:rsidRPr="00DE3AC9">
        <w:rPr>
          <w:lang w:val="fr-FR"/>
        </w:rPr>
        <w:instrText xml:space="preserve"> ADDIN EN.CITE &lt;EndNote&gt;&lt;Cite&gt;&lt;Author&gt;Clout&lt;/Author&gt;&lt;Year&gt;1996&lt;/Year&gt;&lt;RecNum&gt;274&lt;/RecNum&gt;&lt;DisplayText&gt;Hugh Clout, &lt;style face="italic"&gt;After the ruins: restoring the countryside of Northern France after the Great War&lt;/style&gt;, (Exeter, 1996)&lt;/DisplayText&gt;&lt;record&gt;&lt;rec-number&gt;274&lt;/rec-number&gt;&lt;foreign-keys&gt;&lt;key app="EN" db-id="2f5rvwawcsv2woetvw35fzwbdvvswerd0err"&gt;274&lt;/key&gt;&lt;/foreign-keys&gt;&lt;ref-type name="Book"&gt;6&lt;/ref-type&gt;&lt;contributors&gt;&lt;authors&gt;&lt;author&gt;Clout, Hugh&lt;/author&gt;&lt;/authors&gt;&lt;/contributors&gt;&lt;titles&gt;&lt;title&gt;After the ruins: restoring the countryside of Northern France after the Great War&lt;/title&gt;&lt;short-title&gt;After the ruins&lt;/short-title&gt;&lt;/titles&gt;&lt;dates&gt;&lt;year&gt;1996&lt;/year&gt;&lt;/dates&gt;&lt;pub-location&gt;Exeter&lt;/pub-location&gt;&lt;urls&gt;&lt;/urls&gt;&lt;/record&gt;&lt;/Cite&gt;&lt;/EndNote&gt;</w:instrText>
      </w:r>
      <w:r>
        <w:rPr>
          <w:lang w:val="nl-NL"/>
        </w:rPr>
        <w:fldChar w:fldCharType="separate"/>
      </w:r>
      <w:r w:rsidRPr="00DE3AC9">
        <w:rPr>
          <w:noProof/>
          <w:lang w:val="fr-FR"/>
        </w:rPr>
        <w:t xml:space="preserve">Hugh Clout, </w:t>
      </w:r>
      <w:r w:rsidRPr="00DE3AC9">
        <w:rPr>
          <w:i/>
          <w:noProof/>
          <w:lang w:val="fr-FR"/>
        </w:rPr>
        <w:t>After the ruins: restoring the countryside of Northern France after the Great War</w:t>
      </w:r>
      <w:r w:rsidRPr="00DE3AC9">
        <w:rPr>
          <w:noProof/>
          <w:lang w:val="fr-FR"/>
        </w:rPr>
        <w:t>, (Exeter, 1996)</w:t>
      </w:r>
      <w:r>
        <w:rPr>
          <w:lang w:val="nl-NL"/>
        </w:rPr>
        <w:fldChar w:fldCharType="end"/>
      </w:r>
      <w:r w:rsidRPr="00DE3AC9">
        <w:rPr>
          <w:lang w:val="fr-FR"/>
        </w:rPr>
        <w:t xml:space="preserve">; </w:t>
      </w:r>
      <w:r>
        <w:fldChar w:fldCharType="begin"/>
      </w:r>
      <w:r w:rsidRPr="00DE3AC9">
        <w:rPr>
          <w:lang w:val="fr-FR"/>
        </w:rPr>
        <w:instrText xml:space="preserve"> ADDIN EN.CITE &lt;E</w:instrText>
      </w:r>
      <w:r w:rsidRPr="00DE3AC9">
        <w:instrText>ndNote&gt;&lt;Cite&gt;&lt;Author&gt;Kramer&lt;/Author&gt;&lt;Year&gt;2007&lt;/Year&gt;&lt;RecNum&gt;120&lt;/RecNum&gt;&lt;DisplayText&gt;Alan Kramer, &lt;style face="italic"&gt;Dynamic of destruction: culture and mass killing in the First World War&lt;/style&gt;, (Oxford, 2007)&lt;/DisplayText&gt;&lt;record&gt;&lt;rec-number&gt;120&lt;/rec-number&gt;&lt;foreign-keys&gt;&lt;key app="EN" db-id="2f5rvwawcsv2woetvw35fzwbdvvswerd0err"&gt;120&lt;/key&gt;&lt;/foreign-keys&gt;&lt;ref-type name="Book"&gt;6&lt;/ref-type&gt;&lt;contributors&gt;&lt;authors&gt;&lt;author&gt;Kramer, Alan&lt;/author&gt;&lt;/authors&gt;&lt;/contributors&gt;&lt;titles&gt;&lt;title&gt;Dynamic of destruction: culture and mass killing in the First World War&lt;/title&gt;&lt;short-title&gt;Dynamic&lt;/short-title&gt;&lt;/titles&gt;&lt;dates&gt;&lt;year&gt;2007&lt;/year&gt;&lt;/dates&gt;&lt;pub-location&gt;Oxford&lt;/pub-location&gt;&lt;urls&gt;&lt;/urls&gt;&lt;/record&gt;&lt;/Cite&gt;&lt;/EndNote&gt;</w:instrText>
      </w:r>
      <w:r>
        <w:fldChar w:fldCharType="separate"/>
      </w:r>
      <w:r w:rsidRPr="00DE3AC9">
        <w:rPr>
          <w:noProof/>
        </w:rPr>
        <w:t xml:space="preserve">Alan Kramer, </w:t>
      </w:r>
      <w:r w:rsidRPr="00DE3AC9">
        <w:rPr>
          <w:i/>
          <w:noProof/>
        </w:rPr>
        <w:t>Dynamic of destruction: culture and mass killing in the First World War</w:t>
      </w:r>
      <w:r w:rsidRPr="00DE3AC9">
        <w:rPr>
          <w:noProof/>
        </w:rPr>
        <w:t>, (Oxford, 2007)</w:t>
      </w:r>
      <w:r>
        <w:fldChar w:fldCharType="end"/>
      </w:r>
      <w:r w:rsidRPr="00DE3AC9">
        <w:t xml:space="preserve">; </w:t>
      </w:r>
      <w:r>
        <w:fldChar w:fldCharType="begin"/>
      </w:r>
      <w:r w:rsidRPr="00DE3AC9">
        <w:instrText xml:space="preserve"> ADDIN EN.CITE &lt;EndNote&gt;&lt;Cite&gt;&lt;Author&gt;Proctor&lt;/Author&gt;&lt;Year&gt;2010&lt;/Year&gt;&lt;RecNum&gt;275&lt;/RecNum&gt;&lt;Disp</w:instrText>
      </w:r>
      <w:r w:rsidRPr="005C7BEE">
        <w:instrText>layText&gt;Tammy Proctor, &lt;style face="italic"&gt;Civilians in a world at war, 1914-1918&lt;/style&gt;, (New York, 2010)&lt;/DisplayText&gt;&lt;record&gt;&lt;rec-number&gt;275&lt;/</w:instrText>
      </w:r>
      <w:r>
        <w:instrText>rec-number&gt;&lt;foreign-keys&gt;&lt;key app="EN" db-id="2f5rvwawcsv2woetvw35fzwbdvvswerd0err"&gt;275&lt;/key&gt;&lt;/foreign-keys&gt;&lt;ref-type name="Book"&gt;6&lt;/ref-type&gt;&lt;contributors&gt;&lt;authors&gt;&lt;author&gt;Proctor, Tammy&lt;/author&gt;&lt;/authors&gt;&lt;/contributors&gt;&lt;titles&gt;&lt;title&gt;Civilians in a world at war, 1914-1918&lt;/title&gt;&lt;short-title&gt;Civilians&lt;/short-title&gt;&lt;/titles&gt;&lt;dates&gt;&lt;year&gt;2010&lt;/year&gt;&lt;/dates&gt;&lt;pub-location&gt;New York&lt;/pub-location&gt;&lt;urls&gt;&lt;/urls&gt;&lt;/record&gt;&lt;/Cite&gt;&lt;/EndNote&gt;</w:instrText>
      </w:r>
      <w:r>
        <w:fldChar w:fldCharType="separate"/>
      </w:r>
      <w:r>
        <w:rPr>
          <w:noProof/>
        </w:rPr>
        <w:t xml:space="preserve">Tammy Proctor, </w:t>
      </w:r>
      <w:r w:rsidRPr="003474F7">
        <w:rPr>
          <w:i/>
          <w:noProof/>
        </w:rPr>
        <w:t>Civilians in a world at war, 1914-1918</w:t>
      </w:r>
      <w:r>
        <w:rPr>
          <w:noProof/>
        </w:rPr>
        <w:t>, (New York, 2010)</w:t>
      </w:r>
      <w:r>
        <w:fldChar w:fldCharType="end"/>
      </w:r>
      <w:r>
        <w:t xml:space="preserve">; </w:t>
      </w:r>
      <w:r>
        <w:fldChar w:fldCharType="begin"/>
      </w:r>
      <w:r>
        <w:instrText xml:space="preserve"> ADDIN EN.CITE &lt;EndNote&gt;&lt;Cite&gt;&lt;Author&gt;Proctor&lt;/Author&gt;&lt;Year&gt;2003&lt;/Year&gt;&lt;RecNum&gt;276&lt;/RecNum&gt;&lt;DisplayText&gt;Tammy Proctor, &lt;style face="italic"&gt;Female intelligence: women and espionage in the First World War&lt;/style&gt;, (New York, 2003)&lt;/DisplayText&gt;&lt;record&gt;&lt;rec-number&gt;276&lt;/rec-number&gt;&lt;foreign-keys&gt;&lt;key app="EN" db-id="2f5rvwawcsv2woetvw35fzwbdvvswerd0err"&gt;276&lt;/key&gt;&lt;/foreign-keys&gt;&lt;ref-type name="Book"&gt;6&lt;/ref-type&gt;&lt;contributors&gt;&lt;authors&gt;&lt;author&gt;Proctor, Tammy&lt;/author&gt;&lt;/authors&gt;&lt;/contributors&gt;&lt;titles&gt;&lt;title&gt;Female intelligence: women and espionage in the First World War&lt;/title&gt;&lt;short-title&gt;Female&lt;/short-title&gt;&lt;/titles&gt;&lt;dates&gt;&lt;year&gt;2003&lt;/year&gt;&lt;/dates&gt;&lt;pub-location&gt;New York&lt;/pub-location&gt;&lt;urls&gt;&lt;/urls&gt;&lt;/record&gt;&lt;/Cite&gt;&lt;/EndNote&gt;</w:instrText>
      </w:r>
      <w:r>
        <w:fldChar w:fldCharType="separate"/>
      </w:r>
      <w:r>
        <w:rPr>
          <w:noProof/>
        </w:rPr>
        <w:t xml:space="preserve">Tammy Proctor, </w:t>
      </w:r>
      <w:r w:rsidRPr="003474F7">
        <w:rPr>
          <w:i/>
          <w:noProof/>
        </w:rPr>
        <w:t>Female intelligence: women and espionage in the First World War</w:t>
      </w:r>
      <w:r>
        <w:rPr>
          <w:noProof/>
        </w:rPr>
        <w:t>, (New York, 2003)</w:t>
      </w:r>
      <w:r>
        <w:fldChar w:fldCharType="end"/>
      </w:r>
      <w:r>
        <w:t xml:space="preserve"> and </w:t>
      </w:r>
      <w:r>
        <w:fldChar w:fldCharType="begin"/>
      </w:r>
      <w:r>
        <w:instrText xml:space="preserve"> ADDIN EN.CITE &lt;EndNote&gt;&lt;Cite&gt;&lt;Author&gt;Van Ypersele&lt;/Author&gt;&lt;Year&gt;2004&lt;/Year&gt;&lt;RecNum&gt;283&lt;/RecNum&gt;&lt;DisplayText&gt;Van Ypersele, &lt;style face="italic"&gt;Sortir&lt;/style&gt;&lt;/DisplayText&gt;&lt;record&gt;&lt;rec-number&gt;283&lt;/rec-number&gt;&lt;foreign-keys&gt;&lt;key app="EN" db-id="2f5rvwawcsv2woetvw35fzwbdvvswerd0err"&gt;283&lt;/key&gt;&lt;/foreign-keys&gt;&lt;ref-type name="Journal Article"&gt;17&lt;/ref-type&gt;&lt;contributors&gt;&lt;authors&gt;&lt;author&gt;Van Ypersele, Laurence&lt;/author&gt;&lt;/authors&gt;&lt;/contributors&gt;&lt;titles&gt;&lt;title&gt;Sortir de la guerre, sortir de l&amp;apos;occupation: les violences populaires en Belgique au lendemain de la Première Guerre Mondiale&lt;/title&gt;&lt;secondary-title&gt;Le Vingtième Siècle&lt;/secondary-title&gt;&lt;short-title&gt;Sortir&lt;/short-title&gt;&lt;/titles&gt;&lt;periodical&gt;&lt;full-title&gt;Le Vingtième Siècle&lt;/full-title&gt;&lt;/periodical&gt;&lt;volume&gt;83&lt;/volume&gt;&lt;dates&gt;&lt;year&gt;2004&lt;/year&gt;&lt;/dates&gt;&lt;urls&gt;&lt;/urls&gt;&lt;/record&gt;&lt;/Cite&gt;&lt;/EndNote&gt;</w:instrText>
      </w:r>
      <w:r>
        <w:fldChar w:fldCharType="separate"/>
      </w:r>
      <w:r>
        <w:rPr>
          <w:noProof/>
        </w:rPr>
        <w:t xml:space="preserve">Van Ypersele, </w:t>
      </w:r>
      <w:r w:rsidRPr="00921A26">
        <w:rPr>
          <w:i/>
          <w:noProof/>
        </w:rPr>
        <w:t>Sortir</w:t>
      </w:r>
      <w:r>
        <w:fldChar w:fldCharType="end"/>
      </w:r>
      <w:r>
        <w:t>, pp. 213-236.</w:t>
      </w:r>
    </w:p>
  </w:footnote>
  <w:footnote w:id="41">
    <w:p w14:paraId="04F25574" w14:textId="77777777" w:rsidR="00DE3AC9" w:rsidRPr="0093662D" w:rsidRDefault="00DE3AC9" w:rsidP="005C7BEE">
      <w:pPr>
        <w:pStyle w:val="FootnoteText"/>
      </w:pPr>
      <w:r>
        <w:rPr>
          <w:rStyle w:val="FootnoteReference"/>
        </w:rPr>
        <w:footnoteRef/>
      </w:r>
      <w:r w:rsidRPr="0093662D">
        <w:t xml:space="preserve"> </w:t>
      </w:r>
      <w:r>
        <w:rPr>
          <w:lang w:val="fr-FR"/>
        </w:rPr>
        <w:fldChar w:fldCharType="begin"/>
      </w:r>
      <w:r>
        <w:instrText xml:space="preserve"> ADDIN EN.CITE &lt;EndNote&gt;&lt;Cite&gt;&lt;Author&gt;Horne&lt;/Author&gt;&lt;Year&gt;1994&lt;/Year&gt;&lt;RecNum&gt;231&lt;/RecNum&gt;&lt;DisplayText&gt;John Horne and Alan Kramer, &amp;apos;&amp;apos;German atrocities&amp;apos; and Franco-German opinion, 1914&amp;apos;, in: &lt;style face="italic"&gt;Journal of Modern History, &lt;/style&gt;66 (1994), &lt;/DisplayText&gt;&lt;record&gt;&lt;rec-number&gt;231&lt;/rec-number&gt;&lt;foreign-keys&gt;&lt;key app="EN" db-id="2f5rvwawcsv2woetvw35fzwbdvvswerd0err"&gt;231&lt;/key&gt;&lt;/foreign-keys&gt;&lt;ref-type name="Journal Article"&gt;17&lt;/ref-type&gt;&lt;contributors&gt;&lt;authors&gt;&lt;author&gt;Horne, John&lt;/author&gt;&lt;author&gt;Kramer, Alan&lt;/author&gt;&lt;/authors&gt;&lt;/contributors&gt;&lt;titles&gt;&lt;title&gt;&amp;apos;German atrocities&amp;apos; and Franco-German opinion, 1914&lt;/title&gt;&lt;secondary-title&gt;Journal of Modern History&lt;/secondary-title&gt;&lt;short-title&gt;&amp;apos;German atrocities&amp;apos;&lt;/short-title&gt;&lt;/titles&gt;&lt;periodical&gt;&lt;full-title&gt;Journal of Modern History&lt;/full-title&gt;&lt;/periodical&gt;&lt;volume&gt;66&lt;/volume&gt;&lt;number&gt;1&lt;/number&gt;&lt;dates&gt;&lt;year&gt;1994&lt;/year&gt;&lt;/dates&gt;&lt;urls&gt;&lt;/urls&gt;&lt;/record&gt;&lt;/Cite&gt;&lt;/EndNote&gt;</w:instrText>
      </w:r>
      <w:r>
        <w:rPr>
          <w:lang w:val="fr-FR"/>
        </w:rPr>
        <w:fldChar w:fldCharType="separate"/>
      </w:r>
      <w:r w:rsidRPr="0093662D">
        <w:rPr>
          <w:noProof/>
        </w:rPr>
        <w:t xml:space="preserve">John Horne and Alan Kramer, ''German atrocities' and Franco-German opinion, 1914', in: </w:t>
      </w:r>
      <w:r w:rsidRPr="0093662D">
        <w:rPr>
          <w:i/>
          <w:noProof/>
        </w:rPr>
        <w:t xml:space="preserve">Journal of Modern History, </w:t>
      </w:r>
      <w:r w:rsidRPr="0093662D">
        <w:rPr>
          <w:noProof/>
        </w:rPr>
        <w:t xml:space="preserve">66 (1994), </w:t>
      </w:r>
      <w:r>
        <w:rPr>
          <w:lang w:val="fr-FR"/>
        </w:rPr>
        <w:fldChar w:fldCharType="end"/>
      </w:r>
      <w:r w:rsidRPr="0093662D">
        <w:t xml:space="preserve">pp. </w:t>
      </w:r>
      <w:r>
        <w:t xml:space="preserve">1-33 </w:t>
      </w:r>
      <w:r w:rsidRPr="0093662D">
        <w:t xml:space="preserve">and </w:t>
      </w:r>
      <w:r>
        <w:fldChar w:fldCharType="begin"/>
      </w:r>
      <w:r>
        <w:instrText xml:space="preserve"> ADDIN EN.CITE &lt;EndNote&gt;&lt;Cite&gt;&lt;Author&gt;Horne&lt;/Author&gt;&lt;Year&gt;2001&lt;/Year&gt;&lt;RecNum&gt;43&lt;/RecNum&gt;&lt;DisplayText&gt;John Horne and Alan Kramer, &lt;style face="italic"&gt;German atrocities 1914: a history of denial&lt;/style&gt;, (New Haven and London, 2001)&lt;/DisplayText&gt;&lt;record&gt;&lt;rec-number&gt;43&lt;/rec-number&gt;&lt;foreign-keys&gt;&lt;key app="EN" db-id="2f5rvwawcsv2woetvw35fzwbdvvswerd0err"&gt;43&lt;/key&gt;&lt;/foreign-keys&gt;&lt;ref-type name="Book"&gt;6&lt;/ref-type&gt;&lt;contributors&gt;&lt;authors&gt;&lt;author&gt;Horne, John&lt;/author&gt;&lt;author&gt;Kramer, Alan&lt;/author&gt;&lt;/authors&gt;&lt;/contributors&gt;&lt;titles&gt;&lt;title&gt;German atrocities 1914: a history of denial&lt;/title&gt;&lt;short-title&gt;German atrocities&lt;/short-title&gt;&lt;/titles&gt;&lt;dates&gt;&lt;year&gt;2001&lt;/year&gt;&lt;/dates&gt;&lt;pub-location&gt;New Haven and London&lt;/pub-location&gt;&lt;urls&gt;&lt;/urls&gt;&lt;/record&gt;&lt;/Cite&gt;&lt;/EndNote&gt;</w:instrText>
      </w:r>
      <w:r>
        <w:fldChar w:fldCharType="separate"/>
      </w:r>
      <w:r>
        <w:rPr>
          <w:noProof/>
        </w:rPr>
        <w:t xml:space="preserve">John Horne and Alan Kramer, </w:t>
      </w:r>
      <w:r w:rsidRPr="005C7BEE">
        <w:rPr>
          <w:i/>
          <w:noProof/>
        </w:rPr>
        <w:t>German atrocities 1914: a history of denial</w:t>
      </w:r>
      <w:r>
        <w:rPr>
          <w:noProof/>
        </w:rPr>
        <w:t>, (New Haven and London, 2001)</w:t>
      </w:r>
      <w:r>
        <w:fldChar w:fldCharType="end"/>
      </w:r>
      <w:r>
        <w:t>.</w:t>
      </w:r>
    </w:p>
  </w:footnote>
  <w:footnote w:id="42">
    <w:p w14:paraId="5FC507A0" w14:textId="77777777" w:rsidR="00DE3AC9" w:rsidRPr="005F569A" w:rsidRDefault="00DE3AC9" w:rsidP="0048510E">
      <w:pPr>
        <w:pStyle w:val="FootnoteText"/>
      </w:pPr>
      <w:r>
        <w:rPr>
          <w:rStyle w:val="FootnoteReference"/>
        </w:rPr>
        <w:footnoteRef/>
      </w:r>
      <w:r w:rsidRPr="005F569A">
        <w:t xml:space="preserve"> </w:t>
      </w:r>
      <w:r>
        <w:rPr>
          <w:lang w:val="fr-FR"/>
        </w:rPr>
        <w:fldChar w:fldCharType="begin"/>
      </w:r>
      <w:r>
        <w:instrText xml:space="preserve"> ADDIN EN.CITE &lt;EndNote&gt;&lt;Cite&gt;&lt;Author&gt;Horne&lt;/Author&gt;&lt;Year&gt;2001&lt;/Year&gt;&lt;RecNum&gt;43&lt;/RecNum&gt;&lt;DisplayText&gt;Horne and Kramer, &lt;style face="italic"&gt;German atrocities&lt;/style&gt;&lt;/DisplayText&gt;&lt;record&gt;&lt;rec-number&gt;43&lt;/rec-number&gt;&lt;foreign-keys&gt;&lt;key app="EN" db-id="2f5rvwawcsv2woetvw35fzwbdvvswerd0err"&gt;43&lt;/key&gt;&lt;/foreign-keys&gt;&lt;ref-type name="Book"&gt;6&lt;/ref-type&gt;&lt;contributors&gt;&lt;authors&gt;&lt;author&gt;Horne, John&lt;/author&gt;&lt;author&gt;Kramer, Alan&lt;/author&gt;&lt;/authors&gt;&lt;/contributors&gt;&lt;titles&gt;&lt;title&gt;German atrocities 1914: a history of denial&lt;/title&gt;&lt;short-title&gt;German atrocities&lt;/short-title&gt;&lt;/titles&gt;&lt;dates&gt;&lt;year&gt;2001&lt;/year&gt;&lt;/dates&gt;&lt;pub-location&gt;New Haven and London&lt;/pub-location&gt;&lt;urls&gt;&lt;/urls&gt;&lt;/record&gt;&lt;/Cite&gt;&lt;/EndNote&gt;</w:instrText>
      </w:r>
      <w:r>
        <w:rPr>
          <w:lang w:val="fr-FR"/>
        </w:rPr>
        <w:fldChar w:fldCharType="separate"/>
      </w:r>
      <w:r w:rsidRPr="00921A26">
        <w:rPr>
          <w:noProof/>
        </w:rPr>
        <w:t xml:space="preserve">Horne and Kramer, </w:t>
      </w:r>
      <w:r w:rsidRPr="00921A26">
        <w:rPr>
          <w:i/>
          <w:noProof/>
        </w:rPr>
        <w:t>German atrocities</w:t>
      </w:r>
      <w:r>
        <w:rPr>
          <w:lang w:val="fr-FR"/>
        </w:rPr>
        <w:fldChar w:fldCharType="end"/>
      </w:r>
      <w:r w:rsidRPr="005F569A">
        <w:t xml:space="preserve">, p. </w:t>
      </w:r>
      <w:r>
        <w:t>419.</w:t>
      </w:r>
    </w:p>
  </w:footnote>
  <w:footnote w:id="43">
    <w:p w14:paraId="24C25FB7" w14:textId="77777777" w:rsidR="00DE3AC9" w:rsidRPr="00FB1820" w:rsidRDefault="00DE3AC9" w:rsidP="0048510E">
      <w:pPr>
        <w:pStyle w:val="FootnoteText"/>
        <w:rPr>
          <w:lang w:val="fr-FR"/>
        </w:rPr>
      </w:pPr>
      <w:r>
        <w:rPr>
          <w:rStyle w:val="FootnoteReference"/>
        </w:rPr>
        <w:footnoteRef/>
      </w:r>
      <w:r w:rsidRPr="00FB1820">
        <w:rPr>
          <w:lang w:val="fr-FR"/>
        </w:rPr>
        <w:t xml:space="preserve"> </w:t>
      </w:r>
      <w:r>
        <w:rPr>
          <w:lang w:val="fr-FR"/>
        </w:rP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Pr>
          <w:lang w:val="fr-FR"/>
        </w:rPr>
        <w:fldChar w:fldCharType="separate"/>
      </w:r>
      <w:r>
        <w:rPr>
          <w:noProof/>
          <w:lang w:val="fr-FR"/>
        </w:rPr>
        <w:t xml:space="preserve">Nivet, </w:t>
      </w:r>
      <w:r w:rsidRPr="00921A26">
        <w:rPr>
          <w:i/>
          <w:noProof/>
          <w:lang w:val="fr-FR"/>
        </w:rPr>
        <w:t>La France</w:t>
      </w:r>
      <w:r>
        <w:rPr>
          <w:lang w:val="fr-FR"/>
        </w:rPr>
        <w:fldChar w:fldCharType="end"/>
      </w:r>
      <w:r>
        <w:rPr>
          <w:lang w:val="fr-FR"/>
        </w:rPr>
        <w:t>, pp. 186-188.</w:t>
      </w:r>
    </w:p>
  </w:footnote>
  <w:footnote w:id="44">
    <w:p w14:paraId="4FDEBA1C" w14:textId="77777777" w:rsidR="00DE3AC9" w:rsidRPr="003474F7" w:rsidRDefault="00DE3AC9" w:rsidP="0048510E">
      <w:pPr>
        <w:pStyle w:val="FootnoteText"/>
        <w:rPr>
          <w:lang w:val="fr-FR"/>
        </w:rPr>
      </w:pPr>
      <w:r>
        <w:rPr>
          <w:rStyle w:val="FootnoteReference"/>
        </w:rPr>
        <w:footnoteRef/>
      </w:r>
      <w:r w:rsidRPr="003474F7">
        <w:rPr>
          <w:lang w:val="fr-FR"/>
        </w:rPr>
        <w:t xml:space="preserve"> </w:t>
      </w:r>
      <w:r>
        <w:rPr>
          <w:lang w:val="fr-FR"/>
        </w:rPr>
        <w:fldChar w:fldCharType="begin"/>
      </w:r>
      <w:r>
        <w:rPr>
          <w:lang w:val="fr-FR"/>
        </w:rP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rPr>
          <w:lang w:val="fr-FR"/>
        </w:rPr>
        <w:fldChar w:fldCharType="separate"/>
      </w:r>
      <w:r>
        <w:rPr>
          <w:noProof/>
          <w:lang w:val="fr-FR"/>
        </w:rPr>
        <w:t xml:space="preserve">Taylor, </w:t>
      </w:r>
      <w:r w:rsidRPr="00921A26">
        <w:rPr>
          <w:i/>
          <w:noProof/>
          <w:lang w:val="fr-FR"/>
        </w:rPr>
        <w:t>Munitions</w:t>
      </w:r>
      <w:r>
        <w:rPr>
          <w:lang w:val="fr-FR"/>
        </w:rPr>
        <w:fldChar w:fldCharType="end"/>
      </w:r>
      <w:r w:rsidRPr="003474F7">
        <w:rPr>
          <w:lang w:val="fr-FR"/>
        </w:rPr>
        <w:t>, p. 176.</w:t>
      </w:r>
    </w:p>
  </w:footnote>
  <w:footnote w:id="45">
    <w:p w14:paraId="2E969AB7" w14:textId="77777777" w:rsidR="00DE3AC9" w:rsidRPr="00757029" w:rsidRDefault="00DE3AC9" w:rsidP="005C7BEE">
      <w:pPr>
        <w:pStyle w:val="FootnoteText"/>
        <w:rPr>
          <w:lang w:val="fr-FR"/>
        </w:rPr>
      </w:pPr>
      <w:r>
        <w:rPr>
          <w:rStyle w:val="FootnoteReference"/>
        </w:rPr>
        <w:footnoteRef/>
      </w:r>
      <w:r w:rsidRPr="00757029">
        <w:rPr>
          <w:lang w:val="fr-FR"/>
        </w:rPr>
        <w:t xml:space="preserve"> </w:t>
      </w:r>
      <w:r>
        <w:rPr>
          <w:lang w:val="fr-FR"/>
        </w:rPr>
        <w:fldChar w:fldCharType="begin"/>
      </w:r>
      <w:r>
        <w:rPr>
          <w:lang w:val="fr-FR"/>
        </w:rPr>
        <w:instrText xml:space="preserve"> ADDIN EN.CITE &lt;EndNote&gt;&lt;Cite&gt;&lt;Author&gt;audoin-Rouzeau&lt;/Author&gt;&lt;Year&gt;1995&lt;/Year&gt;&lt;RecNum&gt;301&lt;/RecNum&gt;&lt;DisplayText&gt;Stéphane Audoin-Rouzeau, &lt;style face="italic"&gt;L&amp;apos;enfant de l&amp;apos;ennemi: viol, avortement, infanticide pendant la Grande Guerre&lt;/style&gt;, (Paris, 1995)&lt;/DisplayText&gt;&lt;record&gt;&lt;rec-number&gt;301&lt;/rec-number&gt;&lt;foreign-keys&gt;&lt;key app="EN" db-id="2f5rvwawcsv2woetvw35fzwbdvvswerd0err"&gt;301&lt;/key&gt;&lt;/foreign-keys&gt;&lt;ref-type name="Book"&gt;6&lt;/ref-type&gt;&lt;contributors&gt;&lt;authors&gt;&lt;author&gt;Audoin-Rouzeau, Stéphane&lt;/author&gt;&lt;/authors&gt;&lt;/contributors&gt;&lt;titles&gt;&lt;title&gt;L&amp;apos;enfant de l&amp;apos;ennemi: viol, avortement, infanticide pendant la Grande Guerre&lt;/title&gt;&lt;short-title&gt;L&amp;apos;enfant&lt;/short-title&gt;&lt;/titles&gt;&lt;dates&gt;&lt;year&gt;1995&lt;/year&gt;&lt;/dates&gt;&lt;pub-location&gt;Paris&lt;/pub-location&gt;&lt;urls&gt;&lt;/urls&gt;&lt;/record&gt;&lt;/Cite&gt;&lt;/EndNote&gt;</w:instrText>
      </w:r>
      <w:r>
        <w:rPr>
          <w:lang w:val="fr-FR"/>
        </w:rPr>
        <w:fldChar w:fldCharType="separate"/>
      </w:r>
      <w:r>
        <w:rPr>
          <w:noProof/>
          <w:lang w:val="fr-FR"/>
        </w:rPr>
        <w:t xml:space="preserve">Stéphane Audoin-Rouzeau, </w:t>
      </w:r>
      <w:r w:rsidRPr="005C7BEE">
        <w:rPr>
          <w:i/>
          <w:noProof/>
          <w:lang w:val="fr-FR"/>
        </w:rPr>
        <w:t>L'enfant de l'ennemi: viol, avortement, infanticide pendant la Grande Guerre</w:t>
      </w:r>
      <w:r>
        <w:rPr>
          <w:noProof/>
          <w:lang w:val="fr-FR"/>
        </w:rPr>
        <w:t>, (Paris, 1995)</w:t>
      </w:r>
      <w:r>
        <w:rPr>
          <w:lang w:val="fr-FR"/>
        </w:rPr>
        <w:fldChar w:fldCharType="end"/>
      </w:r>
      <w:r>
        <w:rPr>
          <w:lang w:val="fr-FR"/>
        </w:rPr>
        <w:t xml:space="preserve">. </w:t>
      </w:r>
    </w:p>
  </w:footnote>
  <w:footnote w:id="46">
    <w:p w14:paraId="62BA3073" w14:textId="77777777" w:rsidR="00DE3AC9" w:rsidRPr="007C3DB8" w:rsidRDefault="00DE3AC9" w:rsidP="005C7BEE">
      <w:pPr>
        <w:pStyle w:val="FootnoteText"/>
        <w:rPr>
          <w:lang w:val="fr-FR"/>
        </w:rPr>
      </w:pPr>
      <w:r>
        <w:rPr>
          <w:rStyle w:val="FootnoteReference"/>
        </w:rPr>
        <w:footnoteRef/>
      </w:r>
      <w:r w:rsidRPr="007C3DB8">
        <w:rPr>
          <w:lang w:val="fr-FR"/>
        </w:rPr>
        <w:t xml:space="preserve"> </w:t>
      </w:r>
      <w:r>
        <w:rPr>
          <w:lang w:val="fr-FR"/>
        </w:rPr>
        <w:fldChar w:fldCharType="begin"/>
      </w:r>
      <w:r>
        <w:rPr>
          <w:lang w:val="fr-FR"/>
        </w:rPr>
        <w:instrText xml:space="preserve"> ADDIN EN.CITE &lt;EndNote&gt;&lt;Cite&gt;&lt;Author&gt;audoin-Rouzeau&lt;/Author&gt;&lt;Year&gt;1995&lt;/Year&gt;&lt;RecNum&gt;301&lt;/RecNum&gt;&lt;DisplayText&gt;Ibid.&lt;/DisplayText&gt;&lt;record&gt;&lt;rec-number&gt;301&lt;/rec-number&gt;&lt;foreign-keys&gt;&lt;key app="EN" db-id="2f5rvwawcsv2woetvw35fzwbdvvswerd0err"&gt;301&lt;/key&gt;&lt;/foreign-keys&gt;&lt;ref-type name="Book"&gt;6&lt;/ref-type&gt;&lt;contributors&gt;&lt;authors&gt;&lt;author&gt;Audoin-Rouzeau, Stéphane&lt;/author&gt;&lt;/authors&gt;&lt;/contributors&gt;&lt;titles&gt;&lt;title&gt;L&amp;apos;enfant de l&amp;apos;ennemi: viol, avortement, infanticide pendant la Grande Guerre&lt;/title&gt;&lt;short-title&gt;L&amp;apos;enfant&lt;/short-title&gt;&lt;/titles&gt;&lt;dates&gt;&lt;year&gt;1995&lt;/year&gt;&lt;/dates&gt;&lt;pub-location&gt;Paris&lt;/pub-location&gt;&lt;urls&gt;&lt;/urls&gt;&lt;/record&gt;&lt;/Cite&gt;&lt;/EndNote&gt;</w:instrText>
      </w:r>
      <w:r>
        <w:rPr>
          <w:lang w:val="fr-FR"/>
        </w:rPr>
        <w:fldChar w:fldCharType="separate"/>
      </w:r>
      <w:r w:rsidRPr="007C3DB8">
        <w:rPr>
          <w:noProof/>
          <w:lang w:val="fr-FR"/>
        </w:rPr>
        <w:t>Ibid.</w:t>
      </w:r>
      <w:r>
        <w:rPr>
          <w:lang w:val="fr-FR"/>
        </w:rPr>
        <w:fldChar w:fldCharType="end"/>
      </w:r>
      <w:r w:rsidRPr="007C3DB8">
        <w:rPr>
          <w:lang w:val="fr-FR"/>
        </w:rPr>
        <w:t xml:space="preserve">, pp. 53-54. </w:t>
      </w:r>
      <w:r w:rsidRPr="004721AE">
        <w:rPr>
          <w:lang w:val="fr-FR"/>
        </w:rPr>
        <w:t xml:space="preserve">The topic is also explored in </w:t>
      </w:r>
      <w:r>
        <w:fldChar w:fldCharType="begin"/>
      </w:r>
      <w:r>
        <w:rPr>
          <w:lang w:val="fr-FR"/>
        </w:rPr>
        <w:instrText xml:space="preserve"> ADDIN EN.CITE &lt;EndNote&gt;&lt;Cite&gt;&lt;Author&gt;Le Naour&lt;/Author&gt;&lt;Year&gt;2002&lt;/Year&gt;&lt;RecNum&gt;321&lt;/RecNum&gt;&lt;DisplayText&gt;Jean-Yves Le Naour, &lt;style face="italic"&gt;Misères et tourments de la chair durant la Grande Guerre: les moeurs sexuelles des Français, 1914-1918&lt;/style&gt;, (Paris, 2002)&lt;/DisplayText&gt;&lt;record&gt;&lt;rec-number&gt;321&lt;/rec-number&gt;&lt;foreign-keys&gt;&lt;key app="EN" db-id="2f5rvwawcsv2woetvw35fzwbdvvswerd0err"&gt;321&lt;/key&gt;&lt;/foreign-keys&gt;&lt;ref-type name="Book"&gt;6&lt;/ref-type&gt;&lt;contributors&gt;&lt;authors&gt;&lt;author&gt;Le Naour, Jean-Yves&lt;/author&gt;&lt;/authors&gt;&lt;/contributors&gt;&lt;titles&gt;&lt;title&gt;Misères et tourments de la chair durant la Grande Guerre: les moeurs sexuelles des Français, 1914-1918&lt;/title&gt;&lt;short-title&gt;Misères et tourments&lt;/short-title&gt;&lt;/titles&gt;&lt;dates&gt;&lt;year&gt;2002&lt;/year&gt;&lt;/dates&gt;&lt;pub-location&gt;Paris&lt;/pub-location&gt;&lt;urls&gt;&lt;/urls&gt;&lt;/record&gt;&lt;/Cite&gt;&lt;/EndNote&gt;</w:instrText>
      </w:r>
      <w:r>
        <w:fldChar w:fldCharType="separate"/>
      </w:r>
      <w:r w:rsidRPr="005C7BEE">
        <w:rPr>
          <w:noProof/>
          <w:lang w:val="fr-FR"/>
        </w:rPr>
        <w:t xml:space="preserve">Jean-Yves Le Naour, </w:t>
      </w:r>
      <w:r w:rsidRPr="005C7BEE">
        <w:rPr>
          <w:i/>
          <w:noProof/>
          <w:lang w:val="fr-FR"/>
        </w:rPr>
        <w:t>Misères et tourments de la chair durant la Grande Guerre: les moeurs sexuelles des Français, 1914-1918</w:t>
      </w:r>
      <w:r w:rsidRPr="005C7BEE">
        <w:rPr>
          <w:noProof/>
          <w:lang w:val="fr-FR"/>
        </w:rPr>
        <w:t>, (Paris, 2002)</w:t>
      </w:r>
      <w:r>
        <w:fldChar w:fldCharType="end"/>
      </w:r>
      <w:r w:rsidRPr="007C3DB8">
        <w:rPr>
          <w:lang w:val="fr-FR"/>
        </w:rPr>
        <w:t>.</w:t>
      </w:r>
    </w:p>
  </w:footnote>
  <w:footnote w:id="47">
    <w:p w14:paraId="1BE1A10B" w14:textId="77777777" w:rsidR="00DE3AC9" w:rsidRPr="00E909B9" w:rsidRDefault="00DE3AC9" w:rsidP="0048510E">
      <w:pPr>
        <w:pStyle w:val="FootnoteText"/>
      </w:pPr>
      <w:r>
        <w:rPr>
          <w:rStyle w:val="FootnoteReference"/>
        </w:rPr>
        <w:footnoteRef/>
      </w:r>
      <w:r w:rsidRPr="00AC5770">
        <w:t xml:space="preserve"> British Library: C.40.I.21. </w:t>
      </w:r>
      <w:r>
        <w:t>Letters of Edward Heron-Allen.</w:t>
      </w:r>
    </w:p>
  </w:footnote>
  <w:footnote w:id="48">
    <w:p w14:paraId="39EBE0BD" w14:textId="77777777" w:rsidR="00DE3AC9" w:rsidRPr="0007520A" w:rsidRDefault="00DE3AC9" w:rsidP="005C7BEE">
      <w:pPr>
        <w:pStyle w:val="FootnoteText"/>
      </w:pPr>
      <w:r>
        <w:rPr>
          <w:rStyle w:val="FootnoteReference"/>
        </w:rPr>
        <w:footnoteRef/>
      </w:r>
      <w:r w:rsidRPr="0007520A">
        <w:t xml:space="preserve"> </w:t>
      </w:r>
      <w:r>
        <w:rPr>
          <w:lang w:val="fr-FR"/>
        </w:rPr>
        <w:fldChar w:fldCharType="begin"/>
      </w:r>
      <w:r>
        <w:instrText xml:space="preserve"> ADDIN EN.CITE &lt;EndNote&gt;&lt;Cite&gt;&lt;Author&gt;Horne&lt;/Author&gt;&lt;Year&gt;2000&lt;/Year&gt;&lt;RecNum&gt;307&lt;/RecNum&gt;&lt;DisplayText&gt;John Horne and Alan Kramer, &amp;apos;War between soldiers and enemy civilians, 1914-1915&amp;apos;, in: &lt;style face="italic"&gt;Great War, Total War: combat and mobilization on the Western front, 1914-1918, &lt;/style&gt;ed. by Roger Chickering and Stig Förster (Washington D. C., 2000),&lt;/DisplayText&gt;&lt;record&gt;&lt;rec-number&gt;307&lt;/rec-number&gt;&lt;foreign-keys&gt;&lt;key app="EN" db-id="2f5rvwawcsv2woetvw35fzwbdvvswerd0err"&gt;307&lt;/key&gt;&lt;/foreign-keys&gt;&lt;ref-type name="Book Section"&gt;5&lt;/ref-type&gt;&lt;contributors&gt;&lt;authors&gt;&lt;author&gt;Horne, John&lt;/author&gt;&lt;author&gt;Kramer, Alan&lt;/author&gt;&lt;/authors&gt;&lt;secondary-authors&gt;&lt;author&gt;Chickering, Roger&lt;/author&gt;&lt;author&gt;Förster, Stig&lt;/author&gt;&lt;/secondary-authors&gt;&lt;/contributors&gt;&lt;titles&gt;&lt;title&gt;War between soldiers and enemy civilians, 1914-1915&lt;/title&gt;&lt;secondary-title&gt;Great War, Total War: combat and mobilization on the Western front, 1914-1918&lt;/secondary-title&gt;&lt;/titles&gt;&lt;dates&gt;&lt;year&gt;2000&lt;/year&gt;&lt;/dates&gt;&lt;pub-location&gt;Washington D. C.&lt;/pub-location&gt;&lt;urls&gt;&lt;/urls&gt;&lt;/record&gt;&lt;/Cite&gt;&lt;/EndNote&gt;</w:instrText>
      </w:r>
      <w:r>
        <w:rPr>
          <w:lang w:val="fr-FR"/>
        </w:rPr>
        <w:fldChar w:fldCharType="separate"/>
      </w:r>
      <w:r w:rsidRPr="005C7BEE">
        <w:rPr>
          <w:noProof/>
        </w:rPr>
        <w:t xml:space="preserve">John Horne and Alan Kramer, 'War between soldiers and enemy civilians, 1914-1915', in: </w:t>
      </w:r>
      <w:r w:rsidRPr="005C7BEE">
        <w:rPr>
          <w:i/>
          <w:noProof/>
        </w:rPr>
        <w:t xml:space="preserve">Great War, Total War: combat and mobilization on the Western front, 1914-1918, </w:t>
      </w:r>
      <w:r w:rsidRPr="005C7BEE">
        <w:rPr>
          <w:noProof/>
        </w:rPr>
        <w:t>ed. by Roger Chickering and Stig Förster (Washington D. C., 2000),</w:t>
      </w:r>
      <w:r>
        <w:rPr>
          <w:lang w:val="fr-FR"/>
        </w:rPr>
        <w:fldChar w:fldCharType="end"/>
      </w:r>
      <w:r w:rsidRPr="0007520A">
        <w:t xml:space="preserve"> pp. 153-168.</w:t>
      </w:r>
    </w:p>
  </w:footnote>
  <w:footnote w:id="49">
    <w:p w14:paraId="29197FEA" w14:textId="77777777" w:rsidR="00DE3AC9" w:rsidRPr="00EB7429" w:rsidRDefault="00DE3AC9" w:rsidP="001E1B13">
      <w:pPr>
        <w:pStyle w:val="FootnoteText"/>
        <w:rPr>
          <w:lang w:val="fr-FR"/>
        </w:rPr>
      </w:pPr>
      <w:r>
        <w:rPr>
          <w:rStyle w:val="FootnoteReference"/>
        </w:rPr>
        <w:footnoteRef/>
      </w:r>
      <w:r w:rsidRPr="00EB7429">
        <w:rPr>
          <w:lang w:val="fr-FR"/>
        </w:rPr>
        <w:t xml:space="preserve"> </w:t>
      </w:r>
      <w:r>
        <w:rPr>
          <w:lang w:val="fr-FR"/>
        </w:rPr>
        <w:fldChar w:fldCharType="begin"/>
      </w:r>
      <w:r>
        <w:rPr>
          <w:lang w:val="fr-FR"/>
        </w:rPr>
        <w:instrText xml:space="preserve"> ADDIN EN.CITE &lt;EndNote&gt;&lt;Cite&gt;&lt;Author&gt;Duroselle&lt;/Author&gt;&lt;Year&gt;2002&lt;/Year&gt;&lt;RecNum&gt;135&lt;/RecNum&gt;&lt;DisplayText&gt;Jean-Baptiste Duroselle, &lt;style face="italic"&gt;La Grande Guerre des Français: l&amp;apos;incompréhensible&lt;/style&gt;, (Paris, 2002)&lt;/DisplayText&gt;&lt;record&gt;&lt;rec-number&gt;135&lt;/rec-number&gt;&lt;foreign-keys&gt;&lt;key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fr-FR"/>
        </w:rPr>
        <w:fldChar w:fldCharType="separate"/>
      </w:r>
      <w:r>
        <w:rPr>
          <w:noProof/>
          <w:lang w:val="fr-FR"/>
        </w:rPr>
        <w:t xml:space="preserve">Jean-Baptiste Duroselle, </w:t>
      </w:r>
      <w:r w:rsidRPr="005C7BEE">
        <w:rPr>
          <w:i/>
          <w:noProof/>
          <w:lang w:val="fr-FR"/>
        </w:rPr>
        <w:t>La Grande Guerre des Français: l'incompréhensible</w:t>
      </w:r>
      <w:r>
        <w:rPr>
          <w:noProof/>
          <w:lang w:val="fr-FR"/>
        </w:rPr>
        <w:t>, (Paris, 2002)</w:t>
      </w:r>
      <w:r>
        <w:rPr>
          <w:lang w:val="fr-FR"/>
        </w:rPr>
        <w:fldChar w:fldCharType="end"/>
      </w:r>
      <w:r>
        <w:rPr>
          <w:lang w:val="fr-FR"/>
        </w:rPr>
        <w:t>.</w:t>
      </w:r>
    </w:p>
  </w:footnote>
  <w:footnote w:id="50">
    <w:p w14:paraId="524CF1E6" w14:textId="77777777" w:rsidR="00DE3AC9" w:rsidRPr="004B46C3" w:rsidRDefault="00DE3AC9" w:rsidP="0048510E">
      <w:pPr>
        <w:pStyle w:val="FootnoteText"/>
        <w:rPr>
          <w:lang w:val="fr-FR"/>
        </w:rPr>
      </w:pPr>
      <w:r>
        <w:rPr>
          <w:rStyle w:val="FootnoteReference"/>
        </w:rPr>
        <w:footnoteRef/>
      </w:r>
      <w:r w:rsidRPr="004B46C3">
        <w:rPr>
          <w:lang w:val="fr-FR"/>
        </w:rPr>
        <w:t xml:space="preserve"> </w:t>
      </w:r>
      <w:r>
        <w:fldChar w:fldCharType="begin"/>
      </w:r>
      <w:r w:rsidRPr="004B46C3">
        <w:rPr>
          <w:lang w:val="fr-FR"/>
        </w:rPr>
        <w:instrText xml:space="preserve"> ADDIN EN.CITE &lt;EndNote&gt;&lt;Cite&gt;&lt;Author&gt;Becker&lt;/Author&gt;&lt;Year&gt;2012&lt;/Year&gt;&lt;RecNum&gt;183&lt;/RecNum&gt;&lt;DisplayText&gt;Jean-Jacques Becker and Gerd Krumeich, &lt;style face="italic"&gt;La Grande Guerre: une histoire franco-allemande&lt;/style&gt;, (Paris, 2012)&lt;/DisplayText&gt;&lt;record&gt;&lt;rec-number&gt;183&lt;/rec-number&gt;&lt;foreign-keys&gt;&lt;key app="EN" db-id="2f5rvwawcsv2woetvw35fzwbdvvswerd0err"&gt;183&lt;/key&gt;&lt;/foreign-keys&gt;&lt;ref-type name="Book"&gt;6&lt;/ref-type&gt;&lt;contributors&gt;&lt;authors&gt;&lt;author&gt;Becker, Jean-Jacques&lt;/author&gt;&lt;author&gt;Krumeich, Gerd&lt;/author&gt;&lt;/authors&gt;&lt;/contributors&gt;&lt;titles&gt;&lt;title&gt;La Grande Guerre: une histoire franco-allemande&lt;/title&gt;&lt;short-title&gt;Une histoire franco-allemande&lt;/short-title&gt;&lt;/titles&gt;&lt;dates&gt;&lt;year&gt;2012&lt;/year&gt;&lt;/dates&gt;&lt;pub-location&gt;Paris&lt;/pub-location&gt;&lt;urls&gt;&lt;/urls&gt;&lt;/record&gt;&lt;/Cite&gt;&lt;/EndNote&gt;</w:instrText>
      </w:r>
      <w:r>
        <w:fldChar w:fldCharType="separate"/>
      </w:r>
      <w:r w:rsidRPr="004B46C3">
        <w:rPr>
          <w:noProof/>
          <w:lang w:val="fr-FR"/>
        </w:rPr>
        <w:t xml:space="preserve">Jean-Jacques Becker and Gerd Krumeich, </w:t>
      </w:r>
      <w:r w:rsidRPr="004B46C3">
        <w:rPr>
          <w:i/>
          <w:noProof/>
          <w:lang w:val="fr-FR"/>
        </w:rPr>
        <w:t>La Grande Guerre: une histoire franco-allemande</w:t>
      </w:r>
      <w:r w:rsidRPr="004B46C3">
        <w:rPr>
          <w:noProof/>
          <w:lang w:val="fr-FR"/>
        </w:rPr>
        <w:t>, (Paris, 2012)</w:t>
      </w:r>
      <w:r>
        <w:fldChar w:fldCharType="end"/>
      </w:r>
      <w:r w:rsidRPr="004B46C3">
        <w:rPr>
          <w:lang w:val="fr-FR"/>
        </w:rPr>
        <w:t xml:space="preserve">, pp. </w:t>
      </w:r>
      <w:r>
        <w:rPr>
          <w:lang w:val="fr-FR"/>
        </w:rPr>
        <w:t>176-180.</w:t>
      </w:r>
    </w:p>
  </w:footnote>
  <w:footnote w:id="51">
    <w:p w14:paraId="6CE8DFBD" w14:textId="77777777" w:rsidR="00DE3AC9" w:rsidRPr="00D03445" w:rsidRDefault="00DE3AC9" w:rsidP="0048510E">
      <w:pPr>
        <w:pStyle w:val="FootnoteText"/>
        <w:rPr>
          <w:lang w:val="fr-FR"/>
        </w:rPr>
      </w:pPr>
      <w:r>
        <w:rPr>
          <w:rStyle w:val="FootnoteReference"/>
        </w:rPr>
        <w:footnoteRef/>
      </w:r>
      <w:r w:rsidRPr="00D03445">
        <w:rPr>
          <w:lang w:val="fr-FR"/>
        </w:rPr>
        <w:t xml:space="preserve"> </w:t>
      </w:r>
      <w:r>
        <w:fldChar w:fldCharType="begin"/>
      </w:r>
      <w:r>
        <w:rPr>
          <w:lang w:val="fr-FR"/>
        </w:rPr>
        <w:instrText xml:space="preserve"> ADDIN EN.CITE &lt;EndNote&gt;&lt;Cite&gt;&lt;Author&gt;Becker&lt;/Author&gt;&lt;Year&gt;2010&lt;/Year&gt;&lt;RecNum&gt;237&lt;/RecNum&gt;&lt;DisplayText&gt;Becker, &lt;style face="italic"&gt;Les cicatrices&lt;/style&gt;&lt;/DisplayText&gt;&lt;record&gt;&lt;rec-number&gt;237&lt;/rec-number&gt;&lt;foreign-keys&gt;&lt;key app="EN" db-id="2f5rvwawcsv2woetvw35fzwbdvvswerd0err"&gt;237&lt;/key&gt;&lt;/foreign-keys&gt;&lt;ref-type name="Book"&gt;6&lt;/ref-type&gt;&lt;contributors&gt;&lt;authors&gt;&lt;author&gt;Becker, Annette&lt;/author&gt;&lt;/authors&gt;&lt;/contributors&gt;&lt;titles&gt;&lt;title&gt;Les cicatrices rouges 14-18: France et Belgique occupées&lt;/title&gt;&lt;short-title&gt;Les cicatrices&lt;/short-title&gt;&lt;/titles&gt;&lt;dates&gt;&lt;year&gt;2010&lt;/year&gt;&lt;/dates&gt;&lt;pub-location&gt;Paris&lt;/pub-location&gt;&lt;urls&gt;&lt;/urls&gt;&lt;/record&gt;&lt;/Cite&gt;&lt;/EndNote&gt;</w:instrText>
      </w:r>
      <w:r>
        <w:fldChar w:fldCharType="separate"/>
      </w:r>
      <w:r w:rsidRPr="00D03445">
        <w:rPr>
          <w:noProof/>
          <w:lang w:val="fr-FR"/>
        </w:rPr>
        <w:t xml:space="preserve">Becker, </w:t>
      </w:r>
      <w:r w:rsidRPr="00D03445">
        <w:rPr>
          <w:i/>
          <w:noProof/>
          <w:lang w:val="fr-FR"/>
        </w:rPr>
        <w:t>Les cicatrices</w:t>
      </w:r>
      <w:r>
        <w:fldChar w:fldCharType="end"/>
      </w:r>
      <w:r w:rsidRPr="00D03445">
        <w:rPr>
          <w:lang w:val="fr-FR"/>
        </w:rPr>
        <w:t>, p. 263.</w:t>
      </w:r>
    </w:p>
  </w:footnote>
  <w:footnote w:id="52">
    <w:p w14:paraId="3CDC5809" w14:textId="77777777" w:rsidR="00DE3AC9" w:rsidRPr="00150A28" w:rsidRDefault="00DE3AC9" w:rsidP="0048510E">
      <w:pPr>
        <w:pStyle w:val="FootnoteText"/>
        <w:rPr>
          <w:lang w:val="fr-FR"/>
        </w:rPr>
      </w:pPr>
      <w:r>
        <w:rPr>
          <w:rStyle w:val="FootnoteReference"/>
        </w:rPr>
        <w:footnoteRef/>
      </w:r>
      <w:r w:rsidRPr="00150A28">
        <w:rPr>
          <w:lang w:val="fr-FR"/>
        </w:rPr>
        <w:t xml:space="preserve"> </w:t>
      </w:r>
      <w: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921A26">
        <w:rPr>
          <w:noProof/>
          <w:lang w:val="fr-FR"/>
        </w:rPr>
        <w:t xml:space="preserve">Nivet, </w:t>
      </w:r>
      <w:r w:rsidRPr="00921A26">
        <w:rPr>
          <w:i/>
          <w:noProof/>
          <w:lang w:val="fr-FR"/>
        </w:rPr>
        <w:t>La France</w:t>
      </w:r>
      <w:r>
        <w:fldChar w:fldCharType="end"/>
      </w:r>
      <w:r w:rsidRPr="00150A28">
        <w:rPr>
          <w:lang w:val="fr-FR"/>
        </w:rPr>
        <w:t>, p. 21.</w:t>
      </w:r>
    </w:p>
  </w:footnote>
  <w:footnote w:id="53">
    <w:p w14:paraId="6C2A2D34" w14:textId="77777777" w:rsidR="00DE3AC9" w:rsidRPr="003850D9" w:rsidRDefault="00DE3AC9" w:rsidP="0048510E">
      <w:pPr>
        <w:pStyle w:val="FootnoteText"/>
      </w:pPr>
      <w:r>
        <w:rPr>
          <w:rStyle w:val="FootnoteReference"/>
        </w:rPr>
        <w:footnoteRef/>
      </w:r>
      <w:r>
        <w:t xml:space="preserve"> </w:t>
      </w:r>
      <w:r>
        <w:fldChar w:fldCharType="begin"/>
      </w:r>
      <w:r>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Pr>
          <w:noProof/>
        </w:rPr>
        <w:t>Ibid.</w:t>
      </w:r>
      <w:r>
        <w:fldChar w:fldCharType="end"/>
      </w:r>
      <w:r>
        <w:t xml:space="preserve">, p. 245 and </w:t>
      </w:r>
      <w:r>
        <w:fldChar w:fldCharType="begin"/>
      </w:r>
      <w:r>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Pr>
          <w:noProof/>
        </w:rPr>
        <w:t xml:space="preserve">McPhail, </w:t>
      </w:r>
      <w:r w:rsidRPr="00921A26">
        <w:rPr>
          <w:i/>
          <w:noProof/>
        </w:rPr>
        <w:t>The long</w:t>
      </w:r>
      <w:r>
        <w:fldChar w:fldCharType="end"/>
      </w:r>
      <w:r>
        <w:t xml:space="preserve">, pp. 127-131. Also </w:t>
      </w:r>
      <w:r>
        <w:fldChar w:fldCharType="begin"/>
      </w:r>
      <w: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Pr>
          <w:noProof/>
        </w:rPr>
        <w:t xml:space="preserve">Connolly, </w:t>
      </w:r>
      <w:r w:rsidRPr="008A36E8">
        <w:rPr>
          <w:i/>
          <w:noProof/>
        </w:rPr>
        <w:t>Encountering Germans</w:t>
      </w:r>
      <w:r>
        <w:fldChar w:fldCharType="end"/>
      </w:r>
      <w:r>
        <w:t>, pp. 325-326.</w:t>
      </w:r>
    </w:p>
  </w:footnote>
  <w:footnote w:id="54">
    <w:p w14:paraId="29151F39" w14:textId="77777777" w:rsidR="00DE3AC9" w:rsidRPr="00F61693" w:rsidRDefault="00DE3AC9" w:rsidP="0048510E">
      <w:pPr>
        <w:pStyle w:val="FootnoteText"/>
      </w:pPr>
      <w:r>
        <w:rPr>
          <w:rStyle w:val="FootnoteReference"/>
        </w:rPr>
        <w:footnoteRef/>
      </w:r>
      <w:r w:rsidRPr="00F61693">
        <w:t xml:space="preserve"> </w:t>
      </w:r>
      <w:r>
        <w:fldChar w:fldCharType="begin"/>
      </w:r>
      <w:r w:rsidRPr="00F61693">
        <w:instrText xml:space="preserve"> ADDIN EN.CITE &lt;EndNote&gt;&lt;Cite&gt;&lt;Author&gt;Schaepdrijver&lt;/Author&gt;&lt;Year&gt;2004&lt;/Year&gt;&lt;RecNum&gt;128&lt;/RecNum&gt;&lt;DisplayText&gt;de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F61693">
        <w:rPr>
          <w:noProof/>
        </w:rPr>
        <w:t xml:space="preserve">de Schaepdrijver, </w:t>
      </w:r>
      <w:r w:rsidRPr="00F61693">
        <w:rPr>
          <w:i/>
          <w:noProof/>
        </w:rPr>
        <w:t>La Belgique</w:t>
      </w:r>
      <w:r>
        <w:fldChar w:fldCharType="end"/>
      </w:r>
      <w:r w:rsidRPr="00F61693">
        <w:t>, p. 236.</w:t>
      </w:r>
    </w:p>
  </w:footnote>
  <w:footnote w:id="55">
    <w:p w14:paraId="2A5BA6F3" w14:textId="77777777" w:rsidR="00DE3AC9" w:rsidRPr="003850D9" w:rsidRDefault="00DE3AC9" w:rsidP="005C7BEE">
      <w:pPr>
        <w:pStyle w:val="FootnoteText"/>
      </w:pPr>
      <w:r>
        <w:rPr>
          <w:rStyle w:val="FootnoteReference"/>
        </w:rPr>
        <w:footnoteRef/>
      </w:r>
      <w:r>
        <w:t xml:space="preserve"> </w:t>
      </w:r>
      <w:r>
        <w:fldChar w:fldCharType="begin"/>
      </w:r>
      <w:r>
        <w:instrText xml:space="preserve"> ADDIN EN.CITE &lt;EndNote&gt;&lt;Cite&gt;&lt;Author&gt;Ponsonby&lt;/Author&gt;&lt;Year&gt;1928&lt;/Year&gt;&lt;RecNum&gt;79&lt;/RecNum&gt;&lt;DisplayText&gt;Arthur Ponsonby, &lt;style face="italic"&gt;Falsehood in wartime: containing an assortment of lies circulated throughout the nations during the Great War&lt;/style&gt;, (London, 1928)&lt;/DisplayText&gt;&lt;record&gt;&lt;rec-number&gt;79&lt;/rec-number&gt;&lt;foreign-keys&gt;&lt;key app="EN" db-id="2f5rvwawcsv2woetvw35fzwbdvvswerd0err"&gt;79&lt;/key&gt;&lt;/foreign-keys&gt;&lt;ref-type name="Book"&gt;6&lt;/ref-type&gt;&lt;contributors&gt;&lt;authors&gt;&lt;author&gt;Ponsonby, Arthur&lt;/author&gt;&lt;/authors&gt;&lt;/contributors&gt;&lt;titles&gt;&lt;title&gt;Falsehood in wartime: containing an assortment of lies circulated throughout the nations during the Great War&lt;/title&gt;&lt;short-title&gt;Falsehood&lt;/short-title&gt;&lt;/titles&gt;&lt;dates&gt;&lt;year&gt;1928&lt;/year&gt;&lt;/dates&gt;&lt;pub-location&gt;London&lt;/pub-location&gt;&lt;urls&gt;&lt;/urls&gt;&lt;/record&gt;&lt;/Cite&gt;&lt;/EndNote&gt;</w:instrText>
      </w:r>
      <w:r>
        <w:fldChar w:fldCharType="separate"/>
      </w:r>
      <w:r>
        <w:rPr>
          <w:noProof/>
        </w:rPr>
        <w:t xml:space="preserve">Arthur Ponsonby, </w:t>
      </w:r>
      <w:r w:rsidRPr="005C7BEE">
        <w:rPr>
          <w:i/>
          <w:noProof/>
        </w:rPr>
        <w:t>Falsehood in wartime: containing an assortment of lies circulated throughout the nations during the Great War</w:t>
      </w:r>
      <w:r>
        <w:rPr>
          <w:noProof/>
        </w:rPr>
        <w:t>, (London, 1928)</w:t>
      </w:r>
      <w:r>
        <w:fldChar w:fldCharType="end"/>
      </w:r>
      <w:r>
        <w:t>.</w:t>
      </w:r>
    </w:p>
  </w:footnote>
  <w:footnote w:id="56">
    <w:p w14:paraId="19207892" w14:textId="6CCD8103" w:rsidR="00DE3AC9" w:rsidRPr="00E21D97" w:rsidRDefault="00DE3AC9" w:rsidP="00232F8A">
      <w:pPr>
        <w:pStyle w:val="FootnoteText"/>
      </w:pPr>
      <w:r>
        <w:rPr>
          <w:rStyle w:val="FootnoteReference"/>
        </w:rPr>
        <w:footnoteRef/>
      </w:r>
      <w:r w:rsidRPr="00E21D97">
        <w:t xml:space="preserve"> </w:t>
      </w:r>
      <w:r>
        <w:fldChar w:fldCharType="begin"/>
      </w:r>
      <w:r w:rsidRPr="00E21D97">
        <w:instrText xml:space="preserve"> ADDIN EN.CITE &lt;EndNote&gt;&lt;Cite&gt;&lt;Author&gt;Winter&lt;/Author&gt;&lt;Year&gt;2005&lt;/Year&gt;&lt;RecNum&gt;114&lt;/RecNum&gt;&lt;DisplayText&gt;Prost and Winter, &lt;style face="italic"&gt;The Great War&lt;/style&gt;&lt;/DisplayText&gt;&lt;record&gt;&lt;rec-number&gt;114&lt;/rec-number&gt;&lt;foreign-keys&gt;&lt;key app="EN" db-id="2f5rvwawcsv2woetvw35fzwbdvvswerd0err"&gt;114&lt;/key&gt;&lt;/foreign-keys&gt;&lt;ref-type name="Book"&gt;6&lt;/ref-type&gt;&lt;contributors&gt;&lt;authors&gt;&lt;author&gt;Prost, Antoine&lt;/author&gt;&lt;author&gt;Winter, Jay&lt;/author&gt;&lt;/authors&gt;&lt;/contributors&gt;&lt;titles&gt;&lt;title&gt;The Great War in History: debates and controversies, 1914 to present&lt;/title&gt;&lt;short-title&gt;The Great War&lt;/short-title&gt;&lt;/titles&gt;&lt;dates&gt;&lt;year&gt;2005&lt;/year&gt;&lt;/dates&gt;&lt;pub-location&gt;Cambridge&lt;/pub-location&gt;&lt;urls&gt;&lt;/urls&gt;&lt;/record&gt;&lt;/Cite&gt;&lt;/EndNote&gt;</w:instrText>
      </w:r>
      <w:r>
        <w:fldChar w:fldCharType="separate"/>
      </w:r>
      <w:r w:rsidRPr="00E21D97">
        <w:rPr>
          <w:noProof/>
        </w:rPr>
        <w:t xml:space="preserve">Prost and Winter, </w:t>
      </w:r>
      <w:r w:rsidRPr="00E21D97">
        <w:rPr>
          <w:i/>
          <w:noProof/>
        </w:rPr>
        <w:t>The Great War</w:t>
      </w:r>
      <w:r>
        <w:fldChar w:fldCharType="end"/>
      </w:r>
      <w:r w:rsidRPr="00E21D97">
        <w:t xml:space="preserve">, p. 156 and </w:t>
      </w:r>
      <w:r>
        <w:fldChar w:fldCharType="begin"/>
      </w:r>
      <w:r w:rsidRPr="00E21D97">
        <w:instrText xml:space="preserve"> ADDIN EN.CITE &lt;EndNote&gt;&lt;Cite&gt;&lt;Author&gt;Barth&lt;/Author&gt;&lt;Year&gt;2003&lt;/Year&gt;&lt;RecNum&gt;293&lt;/RecNum&gt;&lt;DisplayText&gt;Boris Barth, &lt;style face="italic"&gt;Dolchstosslegenden und politische Desintegration&lt;/style&gt;, (Düsseldorf, 2003)&lt;/DisplayText&gt;&lt;record&gt;&lt;rec-number&gt;293&lt;/rec-number&gt;&lt;foreign-keys&gt;&lt;key app="EN" db-id="2f5rvwawcsv2woetvw35fzwbdvvswerd0err"&gt;293&lt;/key&gt;&lt;/foreign-keys&gt;&lt;ref-type name="Book"&gt;6&lt;/ref-type&gt;&lt;contributors&gt;&lt;authors&gt;&lt;author&gt;Barth, Boris&lt;/author&gt;&lt;/authors&gt;&lt;/contributors&gt;&lt;titles&gt;&lt;title&gt;Dolchstosslegenden und politische Desintegration&lt;/title&gt;&lt;short-title&gt;Dolchstosslegenden&lt;/short-title&gt;&lt;/titles&gt;&lt;dates&gt;&lt;year&gt;2003&lt;/year&gt;&lt;/dates&gt;&lt;pub-location&gt;Düsseldorf&lt;/pub-location&gt;&lt;urls&gt;&lt;/urls&gt;&lt;/record&gt;&lt;/Cite&gt;&lt;/EndNote&gt;</w:instrText>
      </w:r>
      <w:r>
        <w:fldChar w:fldCharType="separate"/>
      </w:r>
      <w:r w:rsidRPr="00E21D97">
        <w:rPr>
          <w:noProof/>
        </w:rPr>
        <w:t xml:space="preserve">Boris Barth, </w:t>
      </w:r>
      <w:r w:rsidRPr="00E21D97">
        <w:rPr>
          <w:i/>
          <w:noProof/>
        </w:rPr>
        <w:t>Dolchstosslegenden und politische Desintegration</w:t>
      </w:r>
      <w:r w:rsidRPr="00E21D97">
        <w:rPr>
          <w:noProof/>
        </w:rPr>
        <w:t>, (Düsseldorf, 2003)</w:t>
      </w:r>
      <w:r>
        <w:fldChar w:fldCharType="end"/>
      </w:r>
      <w:r w:rsidRPr="00E21D97">
        <w:t>, p. 167.</w:t>
      </w:r>
    </w:p>
  </w:footnote>
  <w:footnote w:id="57">
    <w:p w14:paraId="0DBE26AC" w14:textId="77777777" w:rsidR="00DE3AC9" w:rsidRPr="00E21D97" w:rsidRDefault="00DE3AC9" w:rsidP="0048510E">
      <w:pPr>
        <w:pStyle w:val="FootnoteText"/>
      </w:pPr>
      <w:r>
        <w:rPr>
          <w:rStyle w:val="FootnoteReference"/>
        </w:rPr>
        <w:footnoteRef/>
      </w:r>
      <w:r w:rsidRPr="00E21D97">
        <w:t xml:space="preserve"> </w:t>
      </w:r>
      <w:r>
        <w:fldChar w:fldCharType="begin"/>
      </w:r>
      <w:r w:rsidRPr="00E21D97">
        <w:instrText xml:space="preserve"> ADDIN EN.CITE &lt;EndNote&gt;&lt;Cite&gt;&lt;Author&gt;De Forge&lt;/Author&gt;&lt;Year&gt;1932&lt;/Year&gt;&lt;RecNum&gt;207&lt;/RecNum&gt;&lt;DisplayText&gt;Henri De Forge and Jean Mauclere, &lt;style face="italic"&gt;Feuilles françaises&lt;/style&gt;, (Paris, 1932)&lt;/DisplayText&gt;&lt;record&gt;&lt;rec-number&gt;207&lt;/rec-number&gt;&lt;foreign-keys&gt;&lt;key app="EN" db-id="2f5rvwawcsv2woetvw35fzwbdvvswerd0err"&gt;207&lt;/key&gt;&lt;/foreign-keys&gt;&lt;ref-type name="Book"&gt;6&lt;/ref-type&gt;&lt;contributors&gt;&lt;authors&gt;&lt;author&gt;De Forge, Henri&lt;/author&gt;&lt;author&gt;Mauclere, Jean&lt;/author&gt;&lt;/authors&gt;&lt;/contributors&gt;&lt;titles&gt;&lt;title&gt;Feuilles françaises&lt;/title&gt;&lt;short-title&gt;Feuilles&lt;/short-title&gt;&lt;/titles&gt;&lt;dates&gt;&lt;year&gt;1932&lt;/year&gt;&lt;/dates&gt;&lt;pub-location&gt;Paris&lt;/pub-location&gt;&lt;urls&gt;&lt;/urls&gt;&lt;/record&gt;&lt;/Cite&gt;&lt;/EndNote&gt;</w:instrText>
      </w:r>
      <w:r>
        <w:fldChar w:fldCharType="separate"/>
      </w:r>
      <w:r w:rsidRPr="00E21D97">
        <w:rPr>
          <w:noProof/>
        </w:rPr>
        <w:t xml:space="preserve">Henri De Forge and Jean Mauclere, </w:t>
      </w:r>
      <w:r w:rsidRPr="00E21D97">
        <w:rPr>
          <w:i/>
          <w:noProof/>
        </w:rPr>
        <w:t>Feuilles françaises</w:t>
      </w:r>
      <w:r w:rsidRPr="00E21D97">
        <w:rPr>
          <w:noProof/>
        </w:rPr>
        <w:t>, (Paris, 1932)</w:t>
      </w:r>
      <w:r>
        <w:fldChar w:fldCharType="end"/>
      </w:r>
      <w:r w:rsidRPr="00E21D97">
        <w:t xml:space="preserve">; </w:t>
      </w:r>
      <w:r>
        <w:fldChar w:fldCharType="begin"/>
      </w:r>
      <w:r w:rsidRPr="00E21D97">
        <w:instrText xml:space="preserve"> ADDIN EN.CITE &lt;EndNote&gt;&lt;Cite&gt;&lt;Author&gt;Huber&lt;/Author&gt;&lt;Year&gt;1928&lt;/Year&gt;&lt;RecNum&gt;268&lt;/RecNum&gt;&lt;DisplayText&gt;Huber, &lt;style face="italic"&gt;Die französische&lt;/style&gt;&lt;/DisplayText&gt;&lt;record&gt;&lt;rec-number&gt;268&lt;/rec-number&gt;&lt;foreign-keys&gt;&lt;key app="EN" db-id="2f5rvwawcsv2woetvw35fzwbdvvswerd0err"&gt;268&lt;/key&gt;&lt;/foreign-keys&gt;&lt;ref-type name="Book"&gt;6&lt;/ref-type&gt;&lt;contributors&gt;&lt;authors&gt;&lt;author&gt;Huber, Georg&lt;/author&gt;&lt;/authors&gt;&lt;/contributors&gt;&lt;titles&gt;&lt;title&gt;Die französische Propaganda im Weltkrieg gegen Deutschland, 1914 bis 1918&lt;/title&gt;&lt;short-title&gt;Die französische&lt;/short-title&gt;&lt;/titles&gt;&lt;dates&gt;&lt;year&gt;1928&lt;/year&gt;&lt;/dates&gt;&lt;pub-location&gt;Munich&lt;/pub-location&gt;&lt;urls&gt;&lt;/urls&gt;&lt;/record&gt;&lt;/Cite&gt;&lt;/EndNote&gt;</w:instrText>
      </w:r>
      <w:r>
        <w:fldChar w:fldCharType="separate"/>
      </w:r>
      <w:r w:rsidRPr="00E21D97">
        <w:rPr>
          <w:noProof/>
        </w:rPr>
        <w:t xml:space="preserve">Huber, </w:t>
      </w:r>
      <w:r w:rsidRPr="00E21D97">
        <w:rPr>
          <w:i/>
          <w:noProof/>
        </w:rPr>
        <w:t>Die französische</w:t>
      </w:r>
      <w:r>
        <w:fldChar w:fldCharType="end"/>
      </w:r>
      <w:r w:rsidRPr="00E21D97">
        <w:t xml:space="preserve"> and </w:t>
      </w:r>
      <w:r>
        <w:fldChar w:fldCharType="begin"/>
      </w:r>
      <w:r w:rsidRPr="00E21D97">
        <w:instrText xml:space="preserve"> ADDIN EN.CITE &lt;EndNote&gt;&lt;Cite&gt;&lt;Author&gt;Lutz&lt;/Author&gt;&lt;Year&gt;1933&lt;/Year&gt;&lt;RecNum&gt;117&lt;/RecNum&gt;&lt;DisplayText&gt;Lutz, &lt;style face="italic"&gt;Studies of World War propaganda, 1914-1933&lt;/style&gt;&lt;/DisplayText&gt;&lt;record&gt;&lt;rec-number&gt;117&lt;/rec-number&gt;&lt;foreign-keys&gt;&lt;key app="EN" db-id="2f5rvwawcsv2woetvw35fzwbdvvswerd0err"&gt;117&lt;/key&gt;&lt;/foreign-keys&gt;&lt;ref-type name="Journal Article"&gt;17&lt;/ref-type&gt;&lt;contributors&gt;&lt;authors&gt;&lt;author&gt;Lutz, Ralph&lt;/author&gt;&lt;/authors&gt;&lt;/contributors&gt;&lt;titles&gt;&lt;title&gt;Studies of World War propaganda, 1914-1933&lt;/title&gt;&lt;secondary-title&gt;The Journal of Modern History&lt;/secondary-title&gt;&lt;/titles&gt;&lt;periodical&gt;&lt;full-title&gt;The Journal of Modern History&lt;/full-title&gt;&lt;/periodical&gt;&lt;volume&gt;5&lt;/volume&gt;&lt;number&gt;4&lt;/number&gt;&lt;dates&gt;&lt;year&gt;1933&lt;/year&gt;&lt;/dates&gt;&lt;urls&gt;&lt;/urls&gt;&lt;/record&gt;&lt;/Cite&gt;&lt;/EndNote&gt;</w:instrText>
      </w:r>
      <w:r>
        <w:fldChar w:fldCharType="separate"/>
      </w:r>
      <w:r w:rsidRPr="00E21D97">
        <w:rPr>
          <w:noProof/>
        </w:rPr>
        <w:t xml:space="preserve">Lutz, </w:t>
      </w:r>
      <w:r w:rsidRPr="00E21D97">
        <w:rPr>
          <w:i/>
          <w:noProof/>
        </w:rPr>
        <w:t>Studies of World War propaganda, 1914-1933</w:t>
      </w:r>
      <w:r>
        <w:fldChar w:fldCharType="end"/>
      </w:r>
      <w:r w:rsidRPr="00E21D97">
        <w:t>.</w:t>
      </w:r>
    </w:p>
  </w:footnote>
  <w:footnote w:id="58">
    <w:p w14:paraId="52DE5FB6" w14:textId="77777777" w:rsidR="00DE3AC9" w:rsidRPr="00DE3AC9" w:rsidRDefault="00DE3AC9" w:rsidP="005C7BE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&lt;EndNote&gt;&lt;Cite&gt;&lt;Author&gt;Georgakakis&lt;/Author&gt;&lt;Year&gt;2004&lt;/Year&gt;&lt;RecNum&gt;78&lt;/RecNum&gt;&lt;DisplayText&gt;Didier Georgakakis, &lt;style face="italic"&gt;La République contre la propagande: aux origines perdues de la communication d&amp;apos;état en France (1917-1940)&lt;/style&gt;, (Paris, 2004)&lt;/DisplayText&gt;&lt;record&gt;&lt;rec-number&gt;78&lt;/rec-number&gt;&lt;foreign-keys&gt;&lt;key app="EN" db-id="2f5rvwawcsv2woetvw35fzwbdvvswerd0err"&gt;78&lt;/key&gt;&lt;/foreign-keys&gt;&lt;ref-type name="Book"&gt;6&lt;/ref-type&gt;&lt;contributors&gt;&lt;authors&gt;&lt;author&gt;Georgakakis, Didier&lt;/author&gt;&lt;/authors&gt;&lt;/contributors&gt;&lt;titles&gt;&lt;title&gt;La République contre la propagande: aux origines perdues de la communication d&amp;apos;état en France (1917-1940)&lt;/title&gt;&lt;short-title&gt;La République&lt;/short-title&gt;&lt;/titles&gt;&lt;dates&gt;&lt;year&gt;2004&lt;/year&gt;&lt;/dates&gt;&lt;pub-location&gt;Paris&lt;/pub-location&gt;&lt;urls&gt;&lt;/urls&gt;&lt;/record&gt;&lt;/Cite&gt;&lt;/EndNote&gt;</w:instrText>
      </w:r>
      <w:r>
        <w:fldChar w:fldCharType="separate"/>
      </w:r>
      <w:r w:rsidRPr="00DE3AC9">
        <w:rPr>
          <w:noProof/>
          <w:lang w:val="fr-FR"/>
        </w:rPr>
        <w:t xml:space="preserve">Didier Georgakakis, </w:t>
      </w:r>
      <w:r w:rsidRPr="00DE3AC9">
        <w:rPr>
          <w:i/>
          <w:noProof/>
          <w:lang w:val="fr-FR"/>
        </w:rPr>
        <w:t>La République contre la propagande: aux origines perdues de la communication d'état en France (1917-1940)</w:t>
      </w:r>
      <w:r w:rsidRPr="00DE3AC9">
        <w:rPr>
          <w:noProof/>
          <w:lang w:val="fr-FR"/>
        </w:rPr>
        <w:t>, (Paris, 2004)</w:t>
      </w:r>
      <w:r>
        <w:fldChar w:fldCharType="end"/>
      </w:r>
      <w:r w:rsidRPr="00DE3AC9">
        <w:rPr>
          <w:lang w:val="fr-FR"/>
        </w:rPr>
        <w:t>.</w:t>
      </w:r>
    </w:p>
  </w:footnote>
  <w:footnote w:id="59">
    <w:p w14:paraId="380AB10B" w14:textId="77777777" w:rsidR="00DE3AC9" w:rsidRPr="0063151A" w:rsidRDefault="00DE3AC9" w:rsidP="005C7BEE">
      <w:pPr>
        <w:pStyle w:val="FootnoteText"/>
        <w:rPr>
          <w:lang w:val="fr-FR"/>
        </w:rPr>
      </w:pPr>
      <w:r>
        <w:rPr>
          <w:rStyle w:val="FootnoteReference"/>
        </w:rPr>
        <w:footnoteRef/>
      </w:r>
      <w:r w:rsidRPr="008837DF">
        <w:rPr>
          <w:lang w:val="fr-FR"/>
        </w:rPr>
        <w:t xml:space="preserve"> </w:t>
      </w:r>
      <w:r>
        <w:fldChar w:fldCharType="begin"/>
      </w:r>
      <w:r>
        <w:rPr>
          <w:lang w:val="fr-FR"/>
        </w:rPr>
        <w:instrText xml:space="preserve"> ADDIN EN.CITE &lt;EndNote&gt;&lt;Cite&gt;&lt;Author&gt;Amara&lt;/Author&gt;&lt;Year&gt;2000&lt;/Year&gt;&lt;RecNum&gt;80&lt;/RecNum&gt;&lt;DisplayText&gt;Michael Amara, &amp;apos;La propagande belge et l&amp;apos;image de la Belgique aux Etats-Unis durant la Première Guerre mondiale&amp;apos;, in: &lt;style face="italic"&gt;Revue Belge d&amp;apos;Histoire Contemporaine, &lt;/style&gt;1-2 (2000), &lt;/DisplayText&gt;&lt;record&gt;&lt;rec-number&gt;80&lt;/rec-number&gt;&lt;foreign-keys&gt;&lt;key app="EN" db-id="2f5rvwawcsv2woetvw35fzwbdvvswerd0err"&gt;80&lt;/key&gt;&lt;/foreign-keys&gt;&lt;ref-type name="Journal Article"&gt;17&lt;/ref-type&gt;&lt;contributors&gt;&lt;authors&gt;&lt;author&gt;Amara, Michael&lt;/author&gt;&lt;/authors&gt;&lt;/contributors&gt;&lt;titles&gt;&lt;title&gt;La propagande belge et l&amp;apos;image de la Belgique aux Etats-Unis durant la Première Guerre mondiale&lt;/title&gt;&lt;secondary-title&gt;Revue Belge d&amp;apos;Histoire Contemporaine&lt;/secondary-title&gt;&lt;short-title&gt;La propagande belge&lt;/short-title&gt;&lt;/titles&gt;&lt;periodical&gt;&lt;full-title&gt;Revue Belge d&amp;apos;Histoire Contemporaine&lt;/full-title&gt;&lt;/periodical&gt;&lt;volume&gt;1-2&lt;/volume&gt;&lt;dates&gt;&lt;year&gt;2000&lt;/year&gt;&lt;/dates&gt;&lt;urls&gt;&lt;/urls&gt;&lt;/record&gt;&lt;/Cite&gt;&lt;/EndNote&gt;</w:instrText>
      </w:r>
      <w:r>
        <w:fldChar w:fldCharType="separate"/>
      </w:r>
      <w:r w:rsidRPr="00150A28">
        <w:rPr>
          <w:noProof/>
          <w:lang w:val="fr-FR"/>
        </w:rPr>
        <w:t xml:space="preserve">Michael Amara, 'La propagande belge et l'image de la Belgique aux Etats-Unis durant la Première Guerre mondiale', in: </w:t>
      </w:r>
      <w:r w:rsidRPr="00150A28">
        <w:rPr>
          <w:i/>
          <w:noProof/>
          <w:lang w:val="fr-FR"/>
        </w:rPr>
        <w:t xml:space="preserve">Revue Belge d'Histoire Contemporaine, </w:t>
      </w:r>
      <w:r w:rsidRPr="00150A28">
        <w:rPr>
          <w:noProof/>
          <w:lang w:val="fr-FR"/>
        </w:rPr>
        <w:t xml:space="preserve">1-2 (2000), </w:t>
      </w:r>
      <w:r>
        <w:fldChar w:fldCharType="end"/>
      </w:r>
      <w:r>
        <w:rPr>
          <w:lang w:val="fr-FR"/>
        </w:rPr>
        <w:t xml:space="preserve">pp. 173-226 and </w:t>
      </w:r>
      <w:r>
        <w:rPr>
          <w:lang w:val="fr-FR"/>
        </w:rPr>
        <w:fldChar w:fldCharType="begin"/>
      </w:r>
      <w:r>
        <w:rPr>
          <w:lang w:val="fr-FR"/>
        </w:rPr>
        <w:instrText xml:space="preserve"> ADDIN EN.CITE &lt;EndNote&gt;&lt;Cite&gt;&lt;Author&gt;Amara&lt;/Author&gt;&lt;Year&gt;2012&lt;/Year&gt;&lt;RecNum&gt;149&lt;/RecNum&gt;&lt;DisplayText&gt;Michael Amara, &amp;apos;Les grands défis de la propagande belge durant la Première Guerre Mondiale&amp;apos;, in: &lt;style face="italic"&gt;La petite Belgique dans la Grande Guerre: une icône, des images, &lt;/style&gt;ed. by B. Rochet and A. Tixhon (Namur, 2012),&lt;/DisplayText&gt;&lt;record&gt;&lt;rec-number&gt;149&lt;/rec-number&gt;&lt;foreign-keys&gt;&lt;key app="EN" db-id="2f5rvwawcsv2woetvw35fzwbdvvswerd0err"&gt;149&lt;/key&gt;&lt;/foreign-keys&gt;&lt;ref-type name="Book Section"&gt;5&lt;/ref-type&gt;&lt;contributors&gt;&lt;authors&gt;&lt;author&gt;Amara, Michael&lt;/author&gt;&lt;/authors&gt;&lt;secondary-authors&gt;&lt;author&gt;B. Rochet &lt;/author&gt;&lt;author&gt;A. Tixhon&lt;/author&gt;&lt;/secondary-authors&gt;&lt;/contributors&gt;&lt;titles&gt;&lt;title&gt;Les grands défis de la propagande belge durant la Première Guerre Mondiale&lt;/title&gt;&lt;secondary-title&gt;La petite Belgique dans la Grande Guerre: une icône, des images&lt;/secondary-title&gt;&lt;short-title&gt;Les grands défis&lt;/short-title&gt;&lt;/titles&gt;&lt;dates&gt;&lt;year&gt;2012&lt;/year&gt;&lt;/dates&gt;&lt;pub-location&gt;Namur&lt;/pub-location&gt;&lt;urls&gt;&lt;/urls&gt;&lt;/record&gt;&lt;/Cite&gt;&lt;/EndNote&gt;</w:instrText>
      </w:r>
      <w:r>
        <w:rPr>
          <w:lang w:val="fr-FR"/>
        </w:rPr>
        <w:fldChar w:fldCharType="separate"/>
      </w:r>
      <w:r>
        <w:rPr>
          <w:noProof/>
          <w:lang w:val="fr-FR"/>
        </w:rPr>
        <w:t xml:space="preserve">Michael Amara, 'Les grands défis de la propagande belge durant la Première Guerre Mondiale', in: </w:t>
      </w:r>
      <w:r w:rsidRPr="005C7BEE">
        <w:rPr>
          <w:i/>
          <w:noProof/>
          <w:lang w:val="fr-FR"/>
        </w:rPr>
        <w:t xml:space="preserve">La petite Belgique dans la Grande Guerre: une icône, des images, </w:t>
      </w:r>
      <w:r>
        <w:rPr>
          <w:noProof/>
          <w:lang w:val="fr-FR"/>
        </w:rPr>
        <w:t>ed. by B. Rochet and A. Tixhon (Namur, 2012),</w:t>
      </w:r>
      <w:r>
        <w:rPr>
          <w:lang w:val="fr-FR"/>
        </w:rPr>
        <w:fldChar w:fldCharType="end"/>
      </w:r>
      <w:r>
        <w:rPr>
          <w:lang w:val="fr-FR"/>
        </w:rPr>
        <w:t xml:space="preserve"> pp. 21-35.</w:t>
      </w:r>
    </w:p>
  </w:footnote>
  <w:footnote w:id="60">
    <w:p w14:paraId="0D36CA5E" w14:textId="3ACCF396" w:rsidR="00DE3AC9" w:rsidRPr="005A7FE7" w:rsidRDefault="00DE3AC9" w:rsidP="0048510E">
      <w:pPr>
        <w:pStyle w:val="FootnoteText"/>
      </w:pPr>
      <w:r>
        <w:rPr>
          <w:rStyle w:val="FootnoteReference"/>
        </w:rPr>
        <w:footnoteRef/>
      </w:r>
      <w:r w:rsidRPr="005A7FE7">
        <w:t xml:space="preserve"> </w:t>
      </w:r>
      <w:r>
        <w:rPr>
          <w:lang w:val="fr-FR"/>
        </w:rPr>
        <w:fldChar w:fldCharType="begin"/>
      </w:r>
      <w:r>
        <w:instrText xml:space="preserve"> ADDIN EN.CITE &lt;EndNote&gt;&lt;Cite&gt;&lt;Author&gt;Welch&lt;/Author&gt;&lt;Year&gt;2000&lt;/Year&gt;&lt;RecNum&gt;22&lt;/RecNum&gt;&lt;DisplayText&gt;David Welch, &lt;style face="italic"&gt;Germany, propaganda and total war, 1914-1918&lt;/style&gt;, (London, 2000)&lt;/DisplayText&gt;&lt;record&gt;&lt;rec-number&gt;22&lt;/rec-number&gt;&lt;foreign-keys&gt;&lt;key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rPr>
          <w:lang w:val="fr-FR"/>
        </w:rPr>
        <w:fldChar w:fldCharType="separate"/>
      </w:r>
      <w:r w:rsidRPr="00645B18">
        <w:rPr>
          <w:noProof/>
        </w:rPr>
        <w:t xml:space="preserve">David Welch, </w:t>
      </w:r>
      <w:r w:rsidRPr="00645B18">
        <w:rPr>
          <w:i/>
          <w:noProof/>
        </w:rPr>
        <w:t>Germany, propaganda and total war, 1914-1918</w:t>
      </w:r>
      <w:r w:rsidRPr="00645B18">
        <w:rPr>
          <w:noProof/>
        </w:rPr>
        <w:t>, (London, 2000)</w:t>
      </w:r>
      <w:r>
        <w:rPr>
          <w:lang w:val="fr-FR"/>
        </w:rPr>
        <w:fldChar w:fldCharType="end"/>
      </w:r>
      <w:r w:rsidRPr="0023061F">
        <w:t>.</w:t>
      </w:r>
      <w:r w:rsidRPr="005A7FE7">
        <w:t xml:space="preserve"> </w:t>
      </w:r>
    </w:p>
  </w:footnote>
  <w:footnote w:id="61">
    <w:p w14:paraId="09FE23AF" w14:textId="77777777" w:rsidR="00DE3AC9" w:rsidRPr="00EA41A7" w:rsidRDefault="00DE3AC9" w:rsidP="0048510E">
      <w:pPr>
        <w:pStyle w:val="FootnoteText"/>
      </w:pPr>
      <w:r>
        <w:rPr>
          <w:rStyle w:val="FootnoteReference"/>
        </w:rPr>
        <w:footnoteRef/>
      </w:r>
      <w:r>
        <w:t xml:space="preserve"> </w:t>
      </w:r>
      <w:r>
        <w:fldChar w:fldCharType="begin"/>
      </w:r>
      <w:r>
        <w:instrText xml:space="preserve"> ADDIN EN.CITE &lt;EndNote&gt;&lt;Cite&gt;&lt;Author&gt;Sander&lt;/Author&gt;&lt;Year&gt;1982&lt;/Year&gt;&lt;RecNum&gt;23&lt;/RecNum&gt;&lt;DisplayText&gt;Michael Sanders and Philip Taylor, &lt;style face="italic"&gt;British propaganda during the First World War&lt;/style&gt;, (London, 1982)&lt;/DisplayText&gt;&lt;record&gt;&lt;rec-number&gt;23&lt;/rec-number&gt;&lt;foreign-keys&gt;&lt;key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Michael Sanders and Philip Taylor, </w:t>
      </w:r>
      <w:r w:rsidRPr="00356360">
        <w:rPr>
          <w:i/>
          <w:noProof/>
        </w:rPr>
        <w:t>British propaganda during the First World War</w:t>
      </w:r>
      <w:r>
        <w:rPr>
          <w:noProof/>
        </w:rPr>
        <w:t>, (London, 1982)</w:t>
      </w:r>
      <w:r>
        <w:fldChar w:fldCharType="end"/>
      </w:r>
      <w:r>
        <w:t xml:space="preserve">, pp. 15-137. Philip Taylor wrote other and articles, some of which were used in this thesis. See: </w:t>
      </w:r>
      <w:r>
        <w:fldChar w:fldCharType="begin"/>
      </w:r>
      <w:r>
        <w:instrText xml:space="preserve"> ADDIN EN.CITE &lt;EndNote&gt;&lt;Cite&gt;&lt;Author&gt;Taylor&lt;/Author&gt;&lt;Year&gt;1980&lt;/Year&gt;&lt;RecNum&gt;20&lt;/RecNum&gt;&lt;DisplayText&gt;Philip Taylor, &amp;apos;The Foreign Office and British propaganda during the First World War&amp;apos;, in: &lt;style face="italic"&gt;The Historical Journal, &lt;/style&gt;23 (1980), &lt;/DisplayText&gt;&lt;record&gt;&lt;rec-number&gt;20&lt;/rec-number&gt;&lt;foreign-keys&gt;&lt;key app="EN" db-id="2f5rvwawcsv2woetvw35fzwbdvvswerd0err"&gt;20&lt;/key&gt;&lt;/foreign-keys&gt;&lt;ref-type name="Journal Article"&gt;17&lt;/ref-type&gt;&lt;contributors&gt;&lt;authors&gt;&lt;author&gt;Taylor, Philip&lt;/author&gt;&lt;/authors&gt;&lt;/contributors&gt;&lt;titles&gt;&lt;title&gt;The Foreign Office and British propaganda during the First World War&lt;/title&gt;&lt;secondary-title&gt;The Historical Journal&lt;/secondary-title&gt;&lt;short-title&gt;The Foreign Office&lt;/short-title&gt;&lt;/titles&gt;&lt;periodical&gt;&lt;full-title&gt;The Historical Journal&lt;/full-title&gt;&lt;/periodical&gt;&lt;volume&gt;23&lt;/volume&gt;&lt;number&gt;4&lt;/number&gt;&lt;dates&gt;&lt;year&gt;1980&lt;/year&gt;&lt;/dates&gt;&lt;urls&gt;&lt;/urls&gt;&lt;/record&gt;&lt;/Cite&gt;&lt;/EndNote&gt;</w:instrText>
      </w:r>
      <w:r>
        <w:fldChar w:fldCharType="separate"/>
      </w:r>
      <w:r>
        <w:rPr>
          <w:noProof/>
        </w:rPr>
        <w:t xml:space="preserve">Philip Taylor, 'The Foreign Office and British propaganda during the First World War', in: </w:t>
      </w:r>
      <w:r w:rsidRPr="00150A28">
        <w:rPr>
          <w:i/>
          <w:noProof/>
        </w:rPr>
        <w:t xml:space="preserve">The Historical Journal, </w:t>
      </w:r>
      <w:r>
        <w:rPr>
          <w:noProof/>
        </w:rPr>
        <w:t xml:space="preserve">23 (1980), </w:t>
      </w:r>
      <w:r>
        <w:fldChar w:fldCharType="end"/>
      </w:r>
      <w:r>
        <w:t xml:space="preserve">pp. 875-898 and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921A26">
        <w:rPr>
          <w:i/>
          <w:noProof/>
        </w:rPr>
        <w:t>Munitions</w:t>
      </w:r>
      <w:r>
        <w:fldChar w:fldCharType="end"/>
      </w:r>
      <w:r>
        <w:t>.</w:t>
      </w:r>
    </w:p>
  </w:footnote>
  <w:footnote w:id="62">
    <w:p w14:paraId="75ABB881" w14:textId="77777777" w:rsidR="00DE3AC9" w:rsidRPr="003C764C" w:rsidRDefault="00DE3AC9" w:rsidP="0048510E">
      <w:pPr>
        <w:pStyle w:val="FootnoteText"/>
        <w:rPr>
          <w:lang w:val="fr-FR"/>
        </w:rPr>
      </w:pPr>
      <w:r>
        <w:rPr>
          <w:rStyle w:val="FootnoteReference"/>
        </w:rPr>
        <w:footnoteRef/>
      </w:r>
      <w:r w:rsidRPr="003850D9">
        <w:rPr>
          <w:lang w:val="fr-FR"/>
        </w:rPr>
        <w:t xml:space="preserve"> </w:t>
      </w:r>
      <w:r>
        <w:fldChar w:fldCharType="begin"/>
      </w:r>
      <w:r>
        <w:rPr>
          <w:lang w:val="fr-FR"/>
        </w:rPr>
        <w:instrText xml:space="preserve"> ADDIN EN.CITE &lt;EndNote&gt;&lt;Cite&gt;&lt;Author&gt;Pernot&lt;/Author&gt;&lt;Year&gt;1996&lt;/Year&gt;&lt;RecNum&gt;270&lt;/RecNum&gt;&lt;DisplayText&gt;François Pernot, &amp;apos;La propagande aérienne française en 1914-1918&amp;apos;, in: &lt;style face="italic"&gt;Revue Historique des Armées, &lt;/style&gt;1 (1996), &lt;/DisplayText&gt;&lt;record&gt;&lt;rec-number&gt;270&lt;/rec-number&gt;&lt;foreign-keys&gt;&lt;key app="EN" db-id="2f5rvwawcsv2woetvw35fzwbdvvswerd0err"&gt;270&lt;/key&gt;&lt;/foreign-keys&gt;&lt;ref-type name="Journal Article"&gt;17&lt;/ref-type&gt;&lt;contributors&gt;&lt;authors&gt;&lt;author&gt;Pernot, François&lt;/author&gt;&lt;/authors&gt;&lt;/contributors&gt;&lt;titles&gt;&lt;title&gt;La propagande aérienne française en 1914-1918&lt;/title&gt;&lt;secondary-title&gt;Revue Historique des Armées&lt;/secondary-title&gt;&lt;short-title&gt;La propagande&lt;/short-title&gt;&lt;/titles&gt;&lt;periodical&gt;&lt;full-title&gt;Revue Historique des Armées&lt;/full-title&gt;&lt;/periodical&gt;&lt;volume&gt;1&lt;/volume&gt;&lt;dates&gt;&lt;year&gt;1996&lt;/year&gt;&lt;/dates&gt;&lt;urls&gt;&lt;/urls&gt;&lt;/record&gt;&lt;/Cite&gt;&lt;/EndNote&gt;</w:instrText>
      </w:r>
      <w:r>
        <w:fldChar w:fldCharType="separate"/>
      </w:r>
      <w:r w:rsidRPr="00150A28">
        <w:rPr>
          <w:noProof/>
          <w:lang w:val="fr-FR"/>
        </w:rPr>
        <w:t xml:space="preserve">François Pernot, 'La propagande aérienne française en 1914-1918', in: </w:t>
      </w:r>
      <w:r w:rsidRPr="00150A28">
        <w:rPr>
          <w:i/>
          <w:noProof/>
          <w:lang w:val="fr-FR"/>
        </w:rPr>
        <w:t xml:space="preserve">Revue Historique des Armées, </w:t>
      </w:r>
      <w:r w:rsidRPr="00150A28">
        <w:rPr>
          <w:noProof/>
          <w:lang w:val="fr-FR"/>
        </w:rPr>
        <w:t xml:space="preserve">1 (1996), </w:t>
      </w:r>
      <w:r>
        <w:fldChar w:fldCharType="end"/>
      </w:r>
      <w:r w:rsidRPr="003850D9">
        <w:rPr>
          <w:lang w:val="fr-FR"/>
        </w:rPr>
        <w:t>pp. 67-81.</w:t>
      </w:r>
    </w:p>
  </w:footnote>
  <w:footnote w:id="63">
    <w:p w14:paraId="57D21516" w14:textId="77777777" w:rsidR="00DE3AC9" w:rsidRPr="000522DD" w:rsidRDefault="00DE3AC9" w:rsidP="0048510E">
      <w:pPr>
        <w:pStyle w:val="FootnoteText"/>
        <w:rPr>
          <w:lang w:val="de-DE"/>
        </w:rPr>
      </w:pPr>
      <w:r>
        <w:rPr>
          <w:rStyle w:val="FootnoteReference"/>
        </w:rPr>
        <w:footnoteRef/>
      </w:r>
      <w:r w:rsidRPr="008837DF">
        <w:rPr>
          <w:lang w:val="fr-FR"/>
        </w:rPr>
        <w:t xml:space="preserve"> </w:t>
      </w:r>
      <w:r>
        <w:fldChar w:fldCharType="begin"/>
      </w:r>
      <w:r>
        <w:rPr>
          <w:lang w:val="fr-FR"/>
        </w:rPr>
        <w:instrText xml:space="preserve"> ADDIN EN.CITE &lt;EndNote&gt;&lt;Cite&gt;&lt;Author&gt;Laska&lt;/Author&gt;&lt;Year&gt;2003&lt;/Year&gt;&lt;RecNum&gt;36&lt;/RecNum&gt;&lt;DisplayText&gt;Andreas Laska, &lt;style face="italic"&gt;Presse et propagande allemande en France occupée: des moniteurs officiels (1870-1871) à la Gazette des Ardennes (1914-1918) et à la Pariser Zeitung (1940-1944)&lt;/style&gt;, (Munich, 2003)&lt;/DisplayText&gt;&lt;record&gt;&lt;rec-number&gt;36&lt;/rec-number&gt;&lt;foreign-keys&gt;&lt;key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3474F7">
        <w:rPr>
          <w:noProof/>
          <w:lang w:val="fr-FR"/>
        </w:rPr>
        <w:t xml:space="preserve">Andreas Laska, </w:t>
      </w:r>
      <w:r w:rsidRPr="003474F7">
        <w:rPr>
          <w:i/>
          <w:noProof/>
          <w:lang w:val="fr-FR"/>
        </w:rPr>
        <w:t>Presse et propagande allemande en France occupée: des moniteurs officiels (1870-1871) à la Gazette des Ardennes (1914-1918) et à la Pariser Zeitung (1940-1944)</w:t>
      </w:r>
      <w:r w:rsidRPr="003474F7">
        <w:rPr>
          <w:noProof/>
          <w:lang w:val="fr-FR"/>
        </w:rPr>
        <w:t>, (Munich, 2003)</w:t>
      </w:r>
      <w:r>
        <w:fldChar w:fldCharType="end"/>
      </w:r>
      <w:r w:rsidRPr="008837DF">
        <w:rPr>
          <w:lang w:val="fr-FR"/>
        </w:rPr>
        <w:t>.</w:t>
      </w:r>
      <w:r>
        <w:rPr>
          <w:lang w:val="fr-FR"/>
        </w:rPr>
        <w:t xml:space="preserve"> </w:t>
      </w:r>
      <w:r w:rsidRPr="000522DD">
        <w:rPr>
          <w:lang w:val="de-DE"/>
        </w:rPr>
        <w:t xml:space="preserve">See also: </w:t>
      </w:r>
      <w:r>
        <w:rPr>
          <w:lang w:val="fr-FR"/>
        </w:rPr>
        <w:fldChar w:fldCharType="begin"/>
      </w:r>
      <w:r w:rsidRPr="000522DD">
        <w:rPr>
          <w:lang w:val="de-DE"/>
        </w:rPr>
        <w:instrText xml:space="preserve"> ADDIN EN.CITE &lt;EndNote&gt;&lt;Cite&gt;&lt;Author&gt;Pöppinghege&lt;/Author&gt;&lt;Year&gt;2004&lt;/Year&gt;&lt;RecNum&gt;324&lt;/RecNum&gt;&lt;DisplayText&gt;Rainer Pöppinghege, &amp;apos;Deutsche Auslandspropaganda 1914-1918: Die Gazette des Ardennes und ihr Chefredakteur Fritz H. Schnitzer&amp;apos;, in: &lt;style face="italic"&gt;Francia, &lt;/style&gt;31 (2004), &lt;/DisplayText&gt;&lt;record&gt;&lt;rec-number&gt;324&lt;/rec-number&gt;&lt;foreign-keys&gt;&lt;key app="EN" db-id="2f5rvwawcsv2woetvw35fzwbdvvswerd0err"&gt;324&lt;/key&gt;&lt;/foreign-keys&gt;&lt;ref-type name="Journal Article"&gt;17&lt;/ref-type&gt;&lt;contributors&gt;&lt;authors&gt;&lt;author&gt;Pöppinghege, Rainer&lt;/author&gt;&lt;/authors&gt;&lt;/contributors&gt;&lt;titles&gt;&lt;title&gt;Deutsche Auslandspropaganda 1914-1918: Die Gazette des Ardennes und ihr Chefredakteur Fritz H. Schnitzer&lt;/title&gt;&lt;secondary-title&gt;Francia&lt;/secondary-title&gt;&lt;short-title&gt;Deutsche Auslandspropaganda&lt;/short-title&gt;&lt;/titles&gt;&lt;periodical&gt;&lt;full-title&gt;Francia&lt;/full-title&gt;&lt;/periodical&gt;&lt;volume&gt;31&lt;/volume&gt;&lt;dates&gt;&lt;year&gt;2004&lt;/year&gt;&lt;/dates&gt;&lt;urls&gt;&lt;/urls&gt;&lt;/record&gt;&lt;/Cite&gt;&lt;/EndNote&gt;</w:instrText>
      </w:r>
      <w:r>
        <w:rPr>
          <w:lang w:val="fr-FR"/>
        </w:rPr>
        <w:fldChar w:fldCharType="separate"/>
      </w:r>
      <w:r w:rsidRPr="000522DD">
        <w:rPr>
          <w:noProof/>
          <w:lang w:val="de-DE"/>
        </w:rPr>
        <w:t xml:space="preserve">Rainer Pöppinghege, 'Deutsche Auslandspropaganda 1914-1918: Die Gazette des Ardennes und ihr Chefredakteur Fritz H. Schnitzer', in: </w:t>
      </w:r>
      <w:r w:rsidRPr="000522DD">
        <w:rPr>
          <w:i/>
          <w:noProof/>
          <w:lang w:val="de-DE"/>
        </w:rPr>
        <w:t xml:space="preserve">Francia, </w:t>
      </w:r>
      <w:r w:rsidRPr="000522DD">
        <w:rPr>
          <w:noProof/>
          <w:lang w:val="de-DE"/>
        </w:rPr>
        <w:t xml:space="preserve">31 (2004), </w:t>
      </w:r>
      <w:r>
        <w:rPr>
          <w:lang w:val="fr-FR"/>
        </w:rPr>
        <w:fldChar w:fldCharType="end"/>
      </w:r>
      <w:r w:rsidRPr="000522DD">
        <w:rPr>
          <w:lang w:val="de-DE"/>
        </w:rPr>
        <w:t xml:space="preserve">pp. 49-64. </w:t>
      </w:r>
    </w:p>
  </w:footnote>
  <w:footnote w:id="64">
    <w:p w14:paraId="317FE04F" w14:textId="77777777" w:rsidR="00DE3AC9" w:rsidRPr="003850D9" w:rsidRDefault="00DE3AC9" w:rsidP="0048510E">
      <w:pPr>
        <w:pStyle w:val="FootnoteText"/>
      </w:pPr>
      <w:r>
        <w:rPr>
          <w:rStyle w:val="FootnoteReference"/>
        </w:rPr>
        <w:footnoteRef/>
      </w:r>
      <w:r>
        <w:t xml:space="preserve"> </w:t>
      </w:r>
      <w:r>
        <w:fldChar w:fldCharType="begin"/>
      </w:r>
      <w:r>
        <w:instrText xml:space="preserve"> ADDIN EN.CITE &lt;EndNote&gt;&lt;Cite&gt;&lt;Author&gt;Stibbe&lt;/Author&gt;&lt;Year&gt;2001&lt;/Year&gt;&lt;RecNum&gt;33&lt;/RecNum&gt;&lt;DisplayText&gt;Matthew Stibbe, &lt;style face="italic"&gt;German Anglophobia and the Great War, 1914-1918&lt;/style&gt;, (Cambridge, 2001)&lt;/DisplayText&gt;&lt;record&gt;&lt;rec-number&gt;33&lt;/rec-number&gt;&lt;foreign-keys&gt;&lt;key app="EN" db-id="2f5rvwawcsv2woetvw35fzwbdvvswerd0err"&gt;33&lt;/key&gt;&lt;/foreign-keys&gt;&lt;ref-type name="Book"&gt;6&lt;/ref-type&gt;&lt;contributors&gt;&lt;authors&gt;&lt;author&gt;Stibbe, Matthew&lt;/author&gt;&lt;/authors&gt;&lt;/contributors&gt;&lt;titles&gt;&lt;title&gt;German Anglophobia and the Great War, 1914-1918&lt;/title&gt;&lt;short-title&gt;German Anglophobia&lt;/short-title&gt;&lt;/titles&gt;&lt;dates&gt;&lt;year&gt;2001&lt;/year&gt;&lt;/dates&gt;&lt;pub-location&gt;Cambridge&lt;/pub-location&gt;&lt;publisher&gt;Cambridge University Press&lt;/publisher&gt;&lt;urls&gt;&lt;/urls&gt;&lt;/record&gt;&lt;/Cite&gt;&lt;/EndNote&gt;</w:instrText>
      </w:r>
      <w:r>
        <w:fldChar w:fldCharType="separate"/>
      </w:r>
      <w:r>
        <w:rPr>
          <w:noProof/>
        </w:rPr>
        <w:t xml:space="preserve">Matthew Stibbe, </w:t>
      </w:r>
      <w:r w:rsidRPr="003474F7">
        <w:rPr>
          <w:i/>
          <w:noProof/>
        </w:rPr>
        <w:t>German Anglophobia and the Great War, 1914-1918</w:t>
      </w:r>
      <w:r>
        <w:rPr>
          <w:noProof/>
        </w:rPr>
        <w:t>, (Cambridge, 2001)</w:t>
      </w:r>
      <w:r>
        <w:fldChar w:fldCharType="end"/>
      </w:r>
      <w:r>
        <w:t>.</w:t>
      </w:r>
    </w:p>
  </w:footnote>
  <w:footnote w:id="65">
    <w:p w14:paraId="11CCFF15" w14:textId="77777777" w:rsidR="00DE3AC9" w:rsidRPr="00D03445" w:rsidRDefault="00DE3AC9" w:rsidP="0048510E">
      <w:pPr>
        <w:pStyle w:val="FootnoteText"/>
      </w:pPr>
      <w:r>
        <w:rPr>
          <w:rStyle w:val="FootnoteReference"/>
        </w:rPr>
        <w:footnoteRef/>
      </w:r>
      <w:r w:rsidRPr="00D03445">
        <w:t xml:space="preserve"> </w:t>
      </w:r>
      <w:r>
        <w:rPr>
          <w:lang w:val="fr-FR"/>
        </w:rPr>
        <w:fldChar w:fldCharType="begin"/>
      </w:r>
      <w:r w:rsidRPr="00D03445">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rPr>
          <w:lang w:val="fr-FR"/>
        </w:rPr>
        <w:fldChar w:fldCharType="separate"/>
      </w:r>
      <w:r w:rsidRPr="00D03445">
        <w:rPr>
          <w:noProof/>
        </w:rPr>
        <w:t xml:space="preserve">de Schaepdrijver, </w:t>
      </w:r>
      <w:r w:rsidRPr="00D03445">
        <w:rPr>
          <w:i/>
          <w:noProof/>
        </w:rPr>
        <w:t>Occupation</w:t>
      </w:r>
      <w:r>
        <w:rPr>
          <w:lang w:val="fr-FR"/>
        </w:rPr>
        <w:fldChar w:fldCharType="end"/>
      </w:r>
      <w:r w:rsidRPr="00D03445">
        <w:t xml:space="preserve"> pp. 267-294.</w:t>
      </w:r>
    </w:p>
  </w:footnote>
  <w:footnote w:id="66">
    <w:p w14:paraId="00628DF1" w14:textId="77777777" w:rsidR="00DE3AC9" w:rsidRPr="005A7FE7" w:rsidRDefault="00DE3AC9" w:rsidP="0048510E">
      <w:pPr>
        <w:pStyle w:val="FootnoteText"/>
        <w:rPr>
          <w:lang w:val="fr-FR"/>
        </w:rPr>
      </w:pPr>
      <w:r>
        <w:rPr>
          <w:rStyle w:val="FootnoteReference"/>
        </w:rPr>
        <w:footnoteRef/>
      </w:r>
      <w:r>
        <w:t xml:space="preserve"> </w:t>
      </w:r>
      <w:r>
        <w:fldChar w:fldCharType="begin"/>
      </w:r>
      <w:r>
        <w:instrText xml:space="preserve"> ADDIN EN.CITE &lt;EndNote&gt;&lt;Cite&gt;&lt;Author&gt;Debruyne&lt;/Author&gt;&lt;Year&gt;2013&lt;/Year&gt;&lt;RecNum&gt;216&lt;/RecNum&gt;&lt;DisplayText&gt;Emmanuel Debruyne and Sophie De Schaepdrijver, &amp;apos;&lt;style face="italic"&gt;Sursum Corda: &lt;/style&gt;the underground press in occupied Belgium, 1914-1918&amp;apos;, in: &lt;style face="italic"&gt;First World War Studies, &lt;/style&gt;4 (2013), &lt;/DisplayText&gt;&lt;record&gt;&lt;rec-number&gt;216&lt;/rec-number&gt;&lt;foreign-keys&gt;&lt;key app="EN" db-id="2f5rvwawcsv2woetvw35fzwbdvvswerd0err"&gt;216&lt;/key&gt;&lt;/foreign-keys&gt;&lt;ref-type name="Journal Article"&gt;17&lt;/ref-type&gt;&lt;contributors&gt;&lt;authors&gt;&lt;author&gt;Debruyne, Emmanuel&lt;/author&gt;&lt;author&gt;De Schaepdrijver, Sophie&lt;/author&gt;&lt;/authors&gt;&lt;/contributors&gt;&lt;titles&gt;&lt;title&gt;&lt;style face="italic" font="default" size="100%"&gt;Sursum Corda: &lt;/style&gt;&lt;style face="normal" font="default" size="100%"&gt;the underground press in occupied Belgium, 1914-1918&lt;/style&gt;&lt;/title&gt;&lt;secondary-title&gt;First World War Studies&lt;/secondary-title&gt;&lt;short-title&gt;&lt;style face="italic" font="default" size="100%"&gt;Sursum&lt;/style&gt;&lt;/short-title&gt;&lt;/titles&gt;&lt;periodical&gt;&lt;full-title&gt;First World War Studies&lt;/full-title&gt;&lt;/periodical&gt;&lt;volume&gt;4&lt;/volume&gt;&lt;dates&gt;&lt;year&gt;2013&lt;/year&gt;&lt;/dates&gt;&lt;urls&gt;&lt;/urls&gt;&lt;/record&gt;&lt;/Cite&gt;&lt;/EndNote&gt;</w:instrText>
      </w:r>
      <w:r>
        <w:fldChar w:fldCharType="separate"/>
      </w:r>
      <w:r>
        <w:rPr>
          <w:noProof/>
        </w:rPr>
        <w:t>Emmanuel Debruyne and Sophie De Schaepdrijver, '</w:t>
      </w:r>
      <w:r w:rsidRPr="00150A28">
        <w:rPr>
          <w:i/>
          <w:noProof/>
        </w:rPr>
        <w:t xml:space="preserve">Sursum Corda: </w:t>
      </w:r>
      <w:r>
        <w:rPr>
          <w:noProof/>
        </w:rPr>
        <w:t xml:space="preserve">the underground press in occupied Belgium, 1914-1918', in: </w:t>
      </w:r>
      <w:r w:rsidRPr="00150A28">
        <w:rPr>
          <w:i/>
          <w:noProof/>
        </w:rPr>
        <w:t xml:space="preserve">First World War Studies, </w:t>
      </w:r>
      <w:r>
        <w:rPr>
          <w:noProof/>
        </w:rPr>
        <w:t xml:space="preserve">4 (2013), </w:t>
      </w:r>
      <w:r>
        <w:fldChar w:fldCharType="end"/>
      </w:r>
      <w:r>
        <w:t xml:space="preserve">pp. 23-38. </w:t>
      </w:r>
      <w:r w:rsidRPr="005A7FE7">
        <w:rPr>
          <w:lang w:val="fr-FR"/>
        </w:rPr>
        <w:t xml:space="preserve">See also: </w:t>
      </w:r>
      <w:r>
        <w:fldChar w:fldCharType="begin"/>
      </w:r>
      <w:r>
        <w:rPr>
          <w:lang w:val="fr-FR"/>
        </w:rPr>
        <w:instrText xml:space="preserve"> ADDIN EN.CITE &lt;EndNote&gt;&lt;Cite&gt;&lt;Author&gt;Debruyne&lt;/Author&gt;&lt;Year&gt;2012&lt;/Year&gt;&lt;RecNum&gt;282&lt;/RecNum&gt;&lt;DisplayText&gt;Emmanuel Debruyne, &amp;apos;&amp;quot;Véridiques, antiprussiens et patriotes&amp;quot;. Les journaux prohibés en pays occupé. 1914-1918 &amp;apos;, in: &lt;style face="italic"&gt;La résistance en France et en Belgique occupée (1914-1918), &lt;/style&gt;ed. by R. Vandenbussche (Villeneuve-d&amp;apos;Ascq, 2012),&lt;/DisplayText&gt;&lt;record&gt;&lt;rec-number&gt;282&lt;/rec-number&gt;&lt;foreign-keys&gt;&lt;key app="EN" db-id="2f5rvwawcsv2woetvw35fzwbdvvswerd0err"&gt;282&lt;/key&gt;&lt;/foreign-keys&gt;&lt;ref-type name="Book Section"&gt;5&lt;/ref-type&gt;&lt;contributors&gt;&lt;authors&gt;&lt;author&gt;Debruyne, Emmanuel&lt;/author&gt;&lt;/authors&gt;&lt;secondary-authors&gt;&lt;author&gt;Vandenbussche, R.&lt;/author&gt;&lt;/secondary-authors&gt;&lt;/contributors&gt;&lt;titles&gt;&lt;title&gt;&amp;quot;Véridiques, antiprussiens et patriotes&amp;quot;. Les journaux prohibés en pays occupé. 1914-1918 &lt;/title&gt;&lt;secondary-title&gt;La résistance en France et en Belgique occupée (1914-1918)&lt;/secondary-title&gt;&lt;short-title&gt;Les journaux prohibés&lt;/short-title&gt;&lt;/titles&gt;&lt;dates&gt;&lt;year&gt;2012&lt;/year&gt;&lt;/dates&gt;&lt;pub-location&gt;Villeneuve-d&amp;apos;Ascq&lt;/pub-location&gt;&lt;urls&gt;&lt;/urls&gt;&lt;/record&gt;&lt;/Cite&gt;&lt;/EndNote&gt;</w:instrText>
      </w:r>
      <w:r>
        <w:fldChar w:fldCharType="separate"/>
      </w:r>
      <w:r w:rsidRPr="00150A28">
        <w:rPr>
          <w:noProof/>
          <w:lang w:val="fr-FR"/>
        </w:rPr>
        <w:t xml:space="preserve">Emmanuel Debruyne, '"Véridiques, antiprussiens et patriotes". Les journaux prohibés en pays occupé. 1914-1918 ', in: </w:t>
      </w:r>
      <w:r w:rsidRPr="00150A28">
        <w:rPr>
          <w:i/>
          <w:noProof/>
          <w:lang w:val="fr-FR"/>
        </w:rPr>
        <w:t xml:space="preserve">La résistance en France et en Belgique occupée (1914-1918), </w:t>
      </w:r>
      <w:r w:rsidRPr="00150A28">
        <w:rPr>
          <w:noProof/>
          <w:lang w:val="fr-FR"/>
        </w:rPr>
        <w:t>ed. by R. Vandenbussche (Villeneuve-d'Ascq, 2012),</w:t>
      </w:r>
      <w:r>
        <w:fldChar w:fldCharType="end"/>
      </w:r>
      <w:r w:rsidRPr="005A7FE7">
        <w:rPr>
          <w:lang w:val="fr-FR"/>
        </w:rPr>
        <w:t xml:space="preserve"> pp. 77-97.</w:t>
      </w:r>
    </w:p>
  </w:footnote>
  <w:footnote w:id="67">
    <w:p w14:paraId="5FEC0AB3" w14:textId="77777777" w:rsidR="00DE3AC9" w:rsidRPr="003850D9" w:rsidRDefault="00DE3AC9" w:rsidP="005C7BEE">
      <w:pPr>
        <w:pStyle w:val="FootnoteText"/>
      </w:pPr>
      <w:r>
        <w:rPr>
          <w:rStyle w:val="FootnoteReference"/>
        </w:rPr>
        <w:footnoteRef/>
      </w:r>
      <w:r>
        <w:t xml:space="preserve"> </w:t>
      </w:r>
      <w:r>
        <w:fldChar w:fldCharType="begin"/>
      </w:r>
      <w:r>
        <w:instrText xml:space="preserve"> ADDIN EN.CITE &lt;EndNote&gt;&lt;Cite&gt;&lt;Author&gt;Brooks&lt;/Author&gt;&lt;Year&gt;2004&lt;/Year&gt;&lt;RecNum&gt;294&lt;/RecNum&gt;&lt;DisplayText&gt;Tim Brooks, &amp;apos;British propaganda to France, 1940-1944&amp;apos;, (PhD thesis, University of Sheffield, 2004)&lt;/DisplayText&gt;&lt;record&gt;&lt;rec-number&gt;294&lt;/rec-number&gt;&lt;foreign-keys&gt;&lt;key app="EN" db-id="2f5rvwawcsv2woetvw35fzwbdvvswerd0err"&gt;294&lt;/key&gt;&lt;/foreign-keys&gt;&lt;ref-type name="Thesis"&gt;32&lt;/ref-type&gt;&lt;contributors&gt;&lt;authors&gt;&lt;author&gt;Brooks, Tim&lt;/author&gt;&lt;/authors&gt;&lt;/contributors&gt;&lt;titles&gt;&lt;title&gt;British propaganda to France, 1940-1944&lt;/title&gt;&lt;short-title&gt;British propaganda&lt;/short-title&gt;&lt;/titles&gt;&lt;dates&gt;&lt;year&gt;2004&lt;/year&gt;&lt;/dates&gt;&lt;publisher&gt;University of Sheffield&lt;/publisher&gt;&lt;work-type&gt;PhD thesis&lt;/work-type&gt;&lt;urls&gt;&lt;/urls&gt;&lt;/record&gt;&lt;/Cite&gt;&lt;/EndNote&gt;</w:instrText>
      </w:r>
      <w:r>
        <w:fldChar w:fldCharType="separate"/>
      </w:r>
      <w:r>
        <w:rPr>
          <w:noProof/>
        </w:rPr>
        <w:t>Tim Brooks, 'British propaganda to France, 1940-1944', (PhD thesis, University of Sheffield, 2004)</w:t>
      </w:r>
      <w:r>
        <w:fldChar w:fldCharType="end"/>
      </w:r>
      <w:r>
        <w:t xml:space="preserve"> and </w:t>
      </w:r>
      <w:r>
        <w:fldChar w:fldCharType="begin"/>
      </w:r>
      <w:r>
        <w:instrText xml:space="preserve"> ADDIN EN.CITE &lt;EndNote&gt;&lt;Cite&gt;&lt;Author&gt;Brooks&lt;/Author&gt;&lt;Year&gt;2007&lt;/Year&gt;&lt;RecNum&gt;21&lt;/RecNum&gt;&lt;DisplayText&gt;Tim Brooks, &lt;style face="italic"&gt;British propaganda to France, 1940-1944: machinery, method and message&lt;/style&gt;, (Edingburgh, 2007)&lt;/DisplayText&gt;&lt;record&gt;&lt;rec-number&gt;21&lt;/rec-number&gt;&lt;foreign-keys&gt;&lt;key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 xml:space="preserve">Tim Brooks, </w:t>
      </w:r>
      <w:r w:rsidRPr="005C7BEE">
        <w:rPr>
          <w:i/>
          <w:noProof/>
        </w:rPr>
        <w:t>British propaganda to France, 1940-1944: machinery, method and message</w:t>
      </w:r>
      <w:r>
        <w:rPr>
          <w:noProof/>
        </w:rPr>
        <w:t>, (Edingburgh, 2007)</w:t>
      </w:r>
      <w:r>
        <w:fldChar w:fldCharType="end"/>
      </w:r>
    </w:p>
  </w:footnote>
  <w:footnote w:id="68">
    <w:p w14:paraId="7D635F0D" w14:textId="77777777" w:rsidR="00DE3AC9" w:rsidRPr="00921A26" w:rsidRDefault="00DE3AC9" w:rsidP="0048510E">
      <w:pPr>
        <w:pStyle w:val="FootnoteText"/>
        <w:rPr>
          <w:lang w:val="fr-FR"/>
        </w:rPr>
      </w:pPr>
      <w:r>
        <w:rPr>
          <w:rStyle w:val="FootnoteReference"/>
        </w:rPr>
        <w:footnoteRef/>
      </w:r>
      <w:r w:rsidRPr="00921A26">
        <w:rPr>
          <w:lang w:val="fr-FR"/>
        </w:rPr>
        <w:t xml:space="preserve"> </w:t>
      </w:r>
      <w:r>
        <w:fldChar w:fldCharType="begin"/>
      </w:r>
      <w:r>
        <w:rPr>
          <w:lang w:val="fr-FR"/>
        </w:rP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sidRPr="00921A26">
        <w:rPr>
          <w:noProof/>
          <w:lang w:val="fr-FR"/>
        </w:rPr>
        <w:t xml:space="preserve">Brooks, </w:t>
      </w:r>
      <w:r w:rsidRPr="00921A26">
        <w:rPr>
          <w:i/>
          <w:noProof/>
          <w:lang w:val="fr-FR"/>
        </w:rPr>
        <w:t>British propaganda</w:t>
      </w:r>
      <w:r>
        <w:fldChar w:fldCharType="end"/>
      </w:r>
      <w:r w:rsidRPr="00921A26">
        <w:rPr>
          <w:lang w:val="fr-FR"/>
        </w:rPr>
        <w:t>, p. 2.</w:t>
      </w:r>
    </w:p>
  </w:footnote>
  <w:footnote w:id="69">
    <w:p w14:paraId="68425EC5" w14:textId="77777777" w:rsidR="00DE3AC9" w:rsidRPr="003B138A" w:rsidRDefault="00DE3AC9" w:rsidP="005C7BEE">
      <w:pPr>
        <w:pStyle w:val="FootnoteText"/>
        <w:rPr>
          <w:lang w:val="fr-BE"/>
        </w:rPr>
      </w:pPr>
      <w:r>
        <w:rPr>
          <w:rStyle w:val="FootnoteReference"/>
        </w:rPr>
        <w:footnoteRef/>
      </w:r>
      <w:r w:rsidRPr="00150A28">
        <w:rPr>
          <w:lang w:val="fr-FR"/>
        </w:rPr>
        <w:t xml:space="preserve"> </w:t>
      </w:r>
      <w:r>
        <w:fldChar w:fldCharType="begin"/>
      </w:r>
      <w:r>
        <w:rPr>
          <w:lang w:val="fr-FR"/>
        </w:rPr>
        <w:instrText xml:space="preserve"> ADDIN EN.CITE &lt;EndNote&gt;&lt;Cite&gt;&lt;Author&gt;Fagot&lt;/Author&gt;&lt;Year&gt;2013&lt;/Year&gt;&lt;RecNum&gt;256&lt;/RecNum&gt;&lt;DisplayText&gt;Maude Fagot, &amp;apos;La &amp;quot;drôle de guerre&amp;quot;: une guerre d&amp;apos;influence&amp;apos;, (Masters thesis, Université Lumière Lyon 2 / Universität Freiburg, 2013)&lt;/DisplayText&gt;&lt;record&gt;&lt;rec-number&gt;256&lt;/rec-number&gt;&lt;foreign-keys&gt;&lt;key app="EN" db-id="2f5rvwawcsv2woetvw35fzwbdvvswerd0err"&gt;256&lt;/key&gt;&lt;/foreign-keys&gt;&lt;ref-type name="Thesis"&gt;32&lt;/ref-type&gt;&lt;contributors&gt;&lt;authors&gt;&lt;author&gt;Fagot, Maude&lt;/author&gt;&lt;/authors&gt;&lt;/contributors&gt;&lt;titles&gt;&lt;title&gt;La &amp;quot;drôle de guerre&amp;quot;: une guerre d&amp;apos;influence&lt;/title&gt;&lt;short-title&gt;La &amp;quot;drôle de guerre&amp;quot;&lt;/short-title&gt;&lt;/titles&gt;&lt;dates&gt;&lt;year&gt;2013&lt;/year&gt;&lt;/dates&gt;&lt;publisher&gt;Université Lumière Lyon 2 / Universität Freiburg&lt;/publisher&gt;&lt;work-type&gt;Masters thesis&lt;/work-type&gt;&lt;urls&gt;&lt;/urls&gt;&lt;/record&gt;&lt;/Cite&gt;&lt;/EndNote&gt;</w:instrText>
      </w:r>
      <w:r>
        <w:fldChar w:fldCharType="separate"/>
      </w:r>
      <w:r w:rsidRPr="005C7BEE">
        <w:rPr>
          <w:noProof/>
          <w:lang w:val="fr-FR"/>
        </w:rPr>
        <w:t>Maude Fagot, 'La "drôle de guerre": une guerre d'influence', (Masters thesis, Université Lumière Lyon 2 / Universität Freiburg, 2013)</w:t>
      </w:r>
      <w:r>
        <w:fldChar w:fldCharType="end"/>
      </w:r>
      <w:r w:rsidRPr="003B138A">
        <w:rPr>
          <w:lang w:val="fr-BE"/>
        </w:rPr>
        <w:t>.</w:t>
      </w:r>
    </w:p>
  </w:footnote>
  <w:footnote w:id="70">
    <w:p w14:paraId="553A9EE1" w14:textId="77777777" w:rsidR="00DE3AC9" w:rsidRPr="00334BE1" w:rsidRDefault="00DE3AC9" w:rsidP="005C7BEE">
      <w:pPr>
        <w:pStyle w:val="FootnoteText"/>
        <w:rPr>
          <w:lang w:val="fr-FR"/>
        </w:rPr>
      </w:pPr>
      <w:r>
        <w:rPr>
          <w:rStyle w:val="FootnoteReference"/>
        </w:rPr>
        <w:footnoteRef/>
      </w:r>
      <w:r w:rsidRPr="00334BE1">
        <w:rPr>
          <w:lang w:val="fr-FR"/>
        </w:rPr>
        <w:t xml:space="preserve"> </w:t>
      </w:r>
      <w:r>
        <w:fldChar w:fldCharType="begin"/>
      </w:r>
      <w:r>
        <w:rPr>
          <w:lang w:val="fr-FR"/>
        </w:rPr>
        <w:instrText xml:space="preserve"> ADDIN EN.CITE &lt;EndNote&gt;&lt;Cite&gt;&lt;Author&gt;Beurier&lt;/Author&gt;&lt;Year&gt;2007&lt;/Year&gt;&lt;RecNum&gt;189&lt;/RecNum&gt;&lt;DisplayText&gt;Joëlle Beurier, &lt;style face="italic"&gt;Images et violence 1914-1918: quand le Miroir racontait la Grande Guerre&lt;/style&gt;, (Paris, 2007)&lt;/DisplayText&gt;&lt;record&gt;&lt;rec-number&gt;189&lt;/rec-number&gt;&lt;foreign-keys&gt;&lt;key app="EN" db-id="2f5rvwawcsv2woetvw35fzwbdvvswerd0err"&gt;189&lt;/key&gt;&lt;/foreign-keys&gt;&lt;ref-type name="Book"&gt;6&lt;/ref-type&gt;&lt;contributors&gt;&lt;authors&gt;&lt;author&gt;Beurier, Joëlle&lt;/author&gt;&lt;/authors&gt;&lt;/contributors&gt;&lt;titles&gt;&lt;title&gt;Images et violence 1914-1918: quand le Miroir racontait la Grande Guerre&lt;/title&gt;&lt;short-title&gt;Images&lt;/short-title&gt;&lt;/titles&gt;&lt;dates&gt;&lt;year&gt;2007&lt;/year&gt;&lt;/dates&gt;&lt;pub-location&gt;Paris&lt;/pub-location&gt;&lt;urls&gt;&lt;/urls&gt;&lt;/record&gt;&lt;/Cite&gt;&lt;/EndNote&gt;</w:instrText>
      </w:r>
      <w:r>
        <w:fldChar w:fldCharType="separate"/>
      </w:r>
      <w:r w:rsidRPr="005C7BEE">
        <w:rPr>
          <w:noProof/>
          <w:lang w:val="fr-FR"/>
        </w:rPr>
        <w:t xml:space="preserve">Joëlle Beurier, </w:t>
      </w:r>
      <w:r w:rsidRPr="005C7BEE">
        <w:rPr>
          <w:i/>
          <w:noProof/>
          <w:lang w:val="fr-FR"/>
        </w:rPr>
        <w:t>Images et violence 1914-1918: quand le Miroir racontait la Grande Guerre</w:t>
      </w:r>
      <w:r w:rsidRPr="005C7BEE">
        <w:rPr>
          <w:noProof/>
          <w:lang w:val="fr-FR"/>
        </w:rPr>
        <w:t>, (Paris, 2007)</w:t>
      </w:r>
      <w:r>
        <w:fldChar w:fldCharType="end"/>
      </w:r>
      <w:r w:rsidRPr="00334BE1">
        <w:rPr>
          <w:lang w:val="fr-FR"/>
        </w:rPr>
        <w:t>.</w:t>
      </w:r>
    </w:p>
  </w:footnote>
  <w:footnote w:id="71">
    <w:p w14:paraId="44EE0C7B" w14:textId="77777777" w:rsidR="00DE3AC9" w:rsidRPr="00F7711F" w:rsidRDefault="00DE3AC9" w:rsidP="0048510E">
      <w:pPr>
        <w:pStyle w:val="FootnoteText"/>
        <w:rPr>
          <w:lang w:val="fr-FR"/>
        </w:rPr>
      </w:pPr>
      <w:r>
        <w:rPr>
          <w:rStyle w:val="FootnoteReference"/>
        </w:rPr>
        <w:footnoteRef/>
      </w:r>
      <w:r w:rsidRPr="00F7711F">
        <w:rPr>
          <w:lang w:val="fr-FR"/>
        </w:rPr>
        <w:t xml:space="preserve"> </w:t>
      </w:r>
      <w:r>
        <w:fldChar w:fldCharType="begin"/>
      </w:r>
      <w:r w:rsidRPr="00F7711F">
        <w:rPr>
          <w:lang w:val="fr-FR"/>
        </w:rPr>
        <w:instrText xml:space="preserve"> ADDIN EN.CITE &lt;EndNote&gt;&lt;Cite&gt;&lt;Author&gt;Delporte&lt;/Author&gt;&lt;Year&gt;2006&lt;/Year&gt;&lt;RecNum&gt;195&lt;/RecNum&gt;&lt;DisplayText&gt;Christian Delporte, &lt;style face="italic"&gt;Images et politique en France au XXe siècle&lt;/style&gt;, (Paris, 2006)&lt;/DisplayText&gt;&lt;record&gt;&lt;rec-number&gt;195&lt;/rec-number&gt;&lt;foreign-keys&gt;&lt;key app="EN" db-id="2f5rvwawcsv2woetvw35fzwbdvvswerd0err"&gt;195&lt;/key&gt;&lt;/foreign-keys&gt;&lt;ref-type name="Book"&gt;6&lt;/ref-type&gt;&lt;contributors&gt;&lt;authors&gt;&lt;author&gt;Delporte, Christian&lt;/author&gt;&lt;/authors&gt;&lt;/contributors&gt;&lt;titles&gt;&lt;title&gt;Images et politique en France au XXe siècle&lt;/title&gt;&lt;short-title&gt;Images&lt;/short-title&gt;&lt;/titles&gt;&lt;dates&gt;&lt;year&gt;2006&lt;/year&gt;&lt;/dates&gt;&lt;pub-location&gt;Paris&lt;/pub-location&gt;&lt;urls&gt;&lt;/urls&gt;&lt;/record&gt;&lt;/Cite&gt;&lt;/EndNote&gt;</w:instrText>
      </w:r>
      <w:r>
        <w:fldChar w:fldCharType="separate"/>
      </w:r>
      <w:r w:rsidRPr="00F7711F">
        <w:rPr>
          <w:noProof/>
          <w:lang w:val="fr-FR"/>
        </w:rPr>
        <w:t xml:space="preserve">Christian Delporte, </w:t>
      </w:r>
      <w:r w:rsidRPr="00F7711F">
        <w:rPr>
          <w:i/>
          <w:noProof/>
          <w:lang w:val="fr-FR"/>
        </w:rPr>
        <w:t>Images et politique en France au XXe siècle</w:t>
      </w:r>
      <w:r w:rsidRPr="00F7711F">
        <w:rPr>
          <w:noProof/>
          <w:lang w:val="fr-FR"/>
        </w:rPr>
        <w:t>, (Paris, 2006)</w:t>
      </w:r>
      <w:r>
        <w:fldChar w:fldCharType="end"/>
      </w:r>
      <w:r w:rsidRPr="00F7711F">
        <w:rPr>
          <w:lang w:val="fr-FR"/>
        </w:rPr>
        <w:t xml:space="preserve">, p. </w:t>
      </w:r>
      <w:r>
        <w:rPr>
          <w:lang w:val="fr-FR"/>
        </w:rPr>
        <w:t>125.</w:t>
      </w:r>
    </w:p>
  </w:footnote>
  <w:footnote w:id="72">
    <w:p w14:paraId="7B61B65A" w14:textId="77777777" w:rsidR="00DE3AC9" w:rsidRPr="00D03445" w:rsidRDefault="00DE3AC9" w:rsidP="005C7BEE">
      <w:pPr>
        <w:pStyle w:val="FootnoteText"/>
        <w:rPr>
          <w:lang w:val="fr-FR"/>
        </w:rPr>
      </w:pPr>
      <w:r>
        <w:rPr>
          <w:rStyle w:val="FootnoteReference"/>
        </w:rPr>
        <w:footnoteRef/>
      </w:r>
      <w:r w:rsidRPr="00D03445">
        <w:rPr>
          <w:lang w:val="fr-FR"/>
        </w:rPr>
        <w:t xml:space="preserve"> </w:t>
      </w:r>
      <w:r>
        <w:fldChar w:fldCharType="begin"/>
      </w:r>
      <w:r>
        <w:rPr>
          <w:lang w:val="fr-FR"/>
        </w:rPr>
        <w:instrText xml:space="preserve"> ADDIN EN.CITE &lt;EndNote&gt;&lt;Cite&gt;&lt;Author&gt;Flood&lt;/Author&gt;&lt;Year&gt;1990&lt;/Year&gt;&lt;RecNum&gt;191&lt;/RecNum&gt;&lt;DisplayText&gt;Patrick Flood, &lt;style face="italic"&gt;France 1914-1918: public opinion and the war effort&lt;/style&gt;, (London, 1990)&lt;/DisplayText&gt;&lt;record&gt;&lt;rec-number&gt;191&lt;/rec-number&gt;&lt;foreign-keys&gt;&lt;key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fldChar w:fldCharType="separate"/>
      </w:r>
      <w:r w:rsidRPr="005C7BEE">
        <w:rPr>
          <w:noProof/>
          <w:lang w:val="fr-FR"/>
        </w:rPr>
        <w:t xml:space="preserve">Patrick Flood, </w:t>
      </w:r>
      <w:r w:rsidRPr="005C7BEE">
        <w:rPr>
          <w:i/>
          <w:noProof/>
          <w:lang w:val="fr-FR"/>
        </w:rPr>
        <w:t>France 1914-1918: public opinion and the war effort</w:t>
      </w:r>
      <w:r w:rsidRPr="005C7BEE">
        <w:rPr>
          <w:noProof/>
          <w:lang w:val="fr-FR"/>
        </w:rPr>
        <w:t>, (London, 1990)</w:t>
      </w:r>
      <w:r>
        <w:fldChar w:fldCharType="end"/>
      </w:r>
      <w:r w:rsidRPr="00D03445">
        <w:rPr>
          <w:lang w:val="fr-FR"/>
        </w:rPr>
        <w:t xml:space="preserve">; </w:t>
      </w:r>
      <w:r>
        <w:fldChar w:fldCharType="begin"/>
      </w:r>
      <w:r w:rsidRPr="00D03445">
        <w:rPr>
          <w:lang w:val="fr-FR"/>
        </w:rPr>
        <w:instrText xml:space="preserve"> ADDIN EN.CITE &lt;EndNote&gt;&lt;Cite&gt;&lt;Author&gt;Forcade&lt;/Author&gt;&lt;Year&gt;2004&lt;/Year&gt;&lt;RecNum&gt;308&lt;/RecNum&gt;&lt;DisplayText&gt;Oliver Forcade, &amp;apos;Dans l&amp;apos;oeil de la censure: voir ou ne pas voir la guerre&amp;apos;, in: &lt;style face="italic"&gt;Vrai et faux dans la Grande Guerre, &lt;/style&gt;ed. by Christophe Prochasson and Anne Rasmussen (Paris, 2004),&lt;/DisplayText&gt;&lt;record&gt;&lt;rec-number&gt;308&lt;/rec-number&gt;&lt;foreign-keys&gt;&lt;key app="EN" db-id="2f5rvwawcsv2woetvw35fzwbdvvswerd0err"&gt;308&lt;/key&gt;&lt;/foreign-keys&gt;&lt;ref-type name="Book Section"&gt;5&lt;/ref-type&gt;&lt;contributors&gt;&lt;authors&gt;&lt;author&gt;Forcade, Oliver&lt;/author&gt;&lt;/authors&gt;&lt;secondary-authors&gt;&lt;author&gt;Prochasson, Christophe&lt;/author&gt;&lt;author&gt;Rasmussen, Anne&lt;/author&gt;&lt;/secondary-authors&gt;&lt;/contributors&gt;&lt;titles&gt;&lt;title&gt;Dans l&amp;apos;oeil de la censure: voir ou ne pas voir la guerre&lt;/title&gt;&lt;secondary-title&gt;Vrai et faux dans la Grande Guerre&lt;/secondary-title&gt;&lt;short-title&gt;Vrai et faux&lt;/short-title&gt;&lt;/titles&gt;&lt;dates&gt;&lt;year&gt;2004&lt;/year&gt;&lt;/dates&gt;&lt;pub-location&gt;Paris&lt;/pub-location&gt;&lt;urls&gt;&lt;/urls&gt;&lt;/record&gt;&lt;/Cite&gt;&lt;/EndNote&gt;</w:instrText>
      </w:r>
      <w:r>
        <w:fldChar w:fldCharType="separate"/>
      </w:r>
      <w:r w:rsidRPr="00D03445">
        <w:rPr>
          <w:noProof/>
          <w:lang w:val="fr-FR"/>
        </w:rPr>
        <w:t xml:space="preserve">Oliver Forcade, 'Dans l'oeil de la censure: voir ou ne pas voir la guerre', in: </w:t>
      </w:r>
      <w:r w:rsidRPr="00D03445">
        <w:rPr>
          <w:i/>
          <w:noProof/>
          <w:lang w:val="fr-FR"/>
        </w:rPr>
        <w:t xml:space="preserve">Vrai et faux dans la Grande Guerre, </w:t>
      </w:r>
      <w:r w:rsidRPr="00D03445">
        <w:rPr>
          <w:noProof/>
          <w:lang w:val="fr-FR"/>
        </w:rPr>
        <w:t>ed. by Christophe Prochasson and Anne Rasmussen (Paris, 2004),</w:t>
      </w:r>
      <w:r>
        <w:fldChar w:fldCharType="end"/>
      </w:r>
      <w:r w:rsidRPr="00D03445">
        <w:rPr>
          <w:lang w:val="fr-FR"/>
        </w:rPr>
        <w:t xml:space="preserve"> pp. 35-54 and </w:t>
      </w:r>
      <w:r>
        <w:fldChar w:fldCharType="begin"/>
      </w:r>
      <w:r w:rsidRPr="00D03445">
        <w:rPr>
          <w:lang w:val="fr-FR"/>
        </w:rPr>
        <w:instrText xml:space="preserve"> ADDIN EN.CITE &lt;EndNote&gt;&lt;Cite&gt;&lt;Author&gt;Horne&lt;/Author&gt;&lt;Year&gt;2004&lt;/Year&gt;&lt;RecNum&gt;167&lt;/RecNum&gt;&lt;DisplayText&gt;John Horne, &amp;apos;&amp;quot;Propagande&amp;quot; et &amp;quot;vérité&amp;quot; dans la Grande Guerre&amp;apos;, in: &lt;style face="italic"&gt;Vrai et faux dans la Grande Guerre, &lt;/style&gt;ed. by Christophe Prochasson and Anne Rasmussen (Paris, 2004),&lt;/DisplayText&gt;&lt;record&gt;&lt;rec-number&gt;167&lt;/rec-number&gt;&lt;foreign-keys&gt;&lt;key app="EN" db-id="2f5rvwawcsv2woetvw35fzwbdvvswerd0err"&gt;167&lt;/key&gt;&lt;/foreign-keys&gt;&lt;ref-type name="Book Section"&gt;5&lt;/ref-type&gt;&lt;contributors&gt;&lt;authors&gt;&lt;author&gt;Horne, John&lt;/author&gt;&lt;/authors&gt;&lt;secondary-authors&gt;&lt;author&gt;Christophe Prochasson&lt;/author&gt;&lt;author&gt;Anne Rasmussen&lt;/author&gt;&lt;/secondary-authors&gt;&lt;/contributors&gt;&lt;titles&gt;&lt;title&gt;&amp;quot;Propagande&amp;quot; et &amp;quot;vérité&amp;quot; dans la Grande Guerre&lt;/title&gt;&lt;secondary-title&gt;Vrai et faux dans la Grande Guerre&lt;/secondary-title&gt;&lt;short-title&gt;&amp;quot;Propagande&amp;quot;&lt;/short-title&gt;&lt;/titles&gt;&lt;dates&gt;&lt;year&gt;2004&lt;/year&gt;&lt;/dates&gt;&lt;pub-location&gt;Paris&lt;/pub-location&gt;&lt;urls&gt;&lt;/urls&gt;&lt;/record&gt;&lt;/Cite&gt;&lt;/EndNote&gt;</w:instrText>
      </w:r>
      <w:r>
        <w:fldChar w:fldCharType="separate"/>
      </w:r>
      <w:r w:rsidRPr="00D03445">
        <w:rPr>
          <w:noProof/>
          <w:lang w:val="fr-FR"/>
        </w:rPr>
        <w:t xml:space="preserve">John Horne, '"Propagande" et "vérité" dans la Grande Guerre', in: </w:t>
      </w:r>
      <w:r w:rsidRPr="00D03445">
        <w:rPr>
          <w:i/>
          <w:noProof/>
          <w:lang w:val="fr-FR"/>
        </w:rPr>
        <w:t xml:space="preserve">Vrai et faux dans la Grande Guerre, </w:t>
      </w:r>
      <w:r w:rsidRPr="00D03445">
        <w:rPr>
          <w:noProof/>
          <w:lang w:val="fr-FR"/>
        </w:rPr>
        <w:t>ed. by Christophe Prochasson and Anne Rasmussen (Paris, 2004),</w:t>
      </w:r>
      <w:r>
        <w:fldChar w:fldCharType="end"/>
      </w:r>
      <w:r w:rsidRPr="00D03445">
        <w:rPr>
          <w:lang w:val="fr-FR"/>
        </w:rPr>
        <w:t xml:space="preserve"> pp. 76-95.</w:t>
      </w:r>
    </w:p>
  </w:footnote>
  <w:footnote w:id="73">
    <w:p w14:paraId="6E9D9B92" w14:textId="77777777" w:rsidR="00DE3AC9" w:rsidRPr="00685717" w:rsidRDefault="00DE3AC9" w:rsidP="0048510E">
      <w:pPr>
        <w:pStyle w:val="FootnoteText"/>
      </w:pPr>
      <w:r>
        <w:rPr>
          <w:rStyle w:val="FootnoteReference"/>
        </w:rPr>
        <w:footnoteRef/>
      </w:r>
      <w:r>
        <w:t xml:space="preserve"> </w:t>
      </w:r>
      <w:r>
        <w:fldChar w:fldCharType="begin"/>
      </w:r>
      <w:r>
        <w:instrText xml:space="preserve"> ADDIN EN.CITE &lt;EndNote&gt;&lt;Cite&gt;&lt;Author&gt;Audoin-Rouzeau&lt;/Author&gt;&lt;Year&gt;1992&lt;/Year&gt;&lt;RecNum&gt;6&lt;/RecNum&gt;&lt;DisplayText&gt;Stéphane Audoin-Rouzeau, &lt;style face="italic"&gt;Men at war, 1914-1918 : national sentiment and trench journalism in France during the First World War&lt;/style&gt;, (Providence, 1992)&lt;/DisplayText&gt;&lt;record&gt;&lt;rec-number&gt;6&lt;/rec-number&gt;&lt;foreign-keys&gt;&lt;key app="EN" db-id="2f5rvwawcsv2woetvw35fzwbdvvswerd0err"&gt;6&lt;/key&gt;&lt;/foreign-keys&gt;&lt;ref-type name="Book"&gt;6&lt;/ref-type&gt;&lt;contributors&gt;&lt;authors&gt;&lt;author&gt;Audoin-Rouzeau, Stéphane&lt;/author&gt;&lt;/authors&gt;&lt;/contributors&gt;&lt;titles&gt;&lt;title&gt;Men at war, 1914-1918 : national sentiment and trench journalism in France during the First World War&lt;/title&gt;&lt;secondary-title&gt;The Legacy of the Great War&lt;/secondary-title&gt;&lt;short-title&gt;Men at war&lt;/short-title&gt;&lt;/titles&gt;&lt;edition&gt;English&lt;/edition&gt;&lt;keywords&gt;&lt;keyword&gt;World War, 1914-1918 France.&lt;/keyword&gt;&lt;keyword&gt;World War, 1914-1918 Psychological aspects.&lt;/keyword&gt;&lt;keyword&gt;Soldiers France Psychology.&lt;/keyword&gt;&lt;keyword&gt;World War, 1914-1918 Journalism, Military France.&lt;/keyword&gt;&lt;/keywords&gt;&lt;dates&gt;&lt;year&gt;1992&lt;/year&gt;&lt;/dates&gt;&lt;pub-location&gt;Providence&lt;/pub-location&gt;&lt;publisher&gt;Berg&lt;/publisher&gt;&lt;isbn&gt;0854966730 (cloth)&amp;#xD;0854963332 (pbk.)&lt;/isbn&gt;&lt;accession-num&gt;4853714&lt;/accession-num&gt;&lt;call-num&gt;Jefferson or Adams Building Reading Rooms D548; .A8313 1992&lt;/call-num&gt;&lt;urls&gt;&lt;related-urls&gt;&lt;url&gt;http://www.loc.gov/catdir/enhancements/fy0601/91045272-b.html&lt;/url&gt;&lt;url&gt;http://www.loc.gov/catdir/enhancements/fy0601/91045272-d.html&lt;/url&gt;&lt;/related-urls&gt;&lt;/urls&gt;&lt;/record&gt;&lt;/Cite&gt;&lt;/EndNote&gt;</w:instrText>
      </w:r>
      <w:r>
        <w:fldChar w:fldCharType="separate"/>
      </w:r>
      <w:r>
        <w:rPr>
          <w:noProof/>
        </w:rPr>
        <w:t xml:space="preserve">Stéphane Audoin-Rouzeau, </w:t>
      </w:r>
      <w:r w:rsidRPr="00685717">
        <w:rPr>
          <w:i/>
          <w:noProof/>
        </w:rPr>
        <w:t>Men at war, 1914-1918 : national sentiment and trench journalism in France during the First World War</w:t>
      </w:r>
      <w:r>
        <w:rPr>
          <w:noProof/>
        </w:rPr>
        <w:t>, (Providence, 1992)</w:t>
      </w:r>
      <w:r>
        <w:fldChar w:fldCharType="end"/>
      </w:r>
      <w:r>
        <w:t>.</w:t>
      </w:r>
    </w:p>
  </w:footnote>
  <w:footnote w:id="74">
    <w:p w14:paraId="2F661A10" w14:textId="77777777" w:rsidR="00DE3AC9" w:rsidRPr="00855A91" w:rsidRDefault="00DE3AC9" w:rsidP="0048510E">
      <w:pPr>
        <w:pStyle w:val="FootnoteText"/>
        <w:rPr>
          <w:lang w:val="fr-FR"/>
        </w:rPr>
      </w:pPr>
      <w:r>
        <w:rPr>
          <w:rStyle w:val="FootnoteReference"/>
        </w:rPr>
        <w:footnoteRef/>
      </w:r>
      <w:r w:rsidRPr="00855A91">
        <w:rPr>
          <w:lang w:val="fr-FR"/>
        </w:rPr>
        <w:t xml:space="preserve"> </w:t>
      </w:r>
      <w:r>
        <w:fldChar w:fldCharType="begin"/>
      </w:r>
      <w:r w:rsidRPr="00855A91">
        <w:rPr>
          <w:lang w:val="fr-FR"/>
        </w:rPr>
        <w:instrText xml:space="preserve"> ADDIN EN.CITE &lt;EndNote&gt;&lt;Cite&gt;&lt;Author&gt;Bertrand&lt;/Author&gt;&lt;Year&gt;1971&lt;/Year&gt;&lt;RecNum&gt;311&lt;/RecNum&gt;&lt;DisplayText&gt;François Bertrand, &lt;style face="italic"&gt;La presse francophone de tranchée au front belge, 1914-1918&lt;/style&gt;, (Brussels, 1971)&lt;/DisplayText&gt;&lt;record&gt;&lt;rec-number&gt;311&lt;/rec-number&gt;&lt;foreign-keys&gt;&lt;key app="EN" db-id="2f5rvwawcsv2woetvw35fzwbdvvswerd0err"&gt;311&lt;/key&gt;&lt;/foreign-keys&gt;&lt;ref-type name="Book"&gt;6&lt;/ref-type&gt;&lt;contributors&gt;&lt;authors&gt;&lt;author&gt;Bertrand, François&lt;/author&gt;&lt;/authors&gt;&lt;/contributors&gt;&lt;titles&gt;&lt;title&gt;La presse francophone de tranchée au front belge, 1914-1918&lt;/title&gt;&lt;short-title&gt;La presse francophone&lt;/short-title&gt;&lt;/titles&gt;&lt;dates&gt;&lt;year&gt;1971&lt;/year&gt;&lt;/dates&gt;&lt;pub-location&gt;Brussels&lt;/pub-location&gt;&lt;urls&gt;&lt;/urls&gt;&lt;/record&gt;&lt;/Cite&gt;&lt;/EndNote&gt;</w:instrText>
      </w:r>
      <w:r>
        <w:fldChar w:fldCharType="separate"/>
      </w:r>
      <w:r w:rsidRPr="00855A91">
        <w:rPr>
          <w:noProof/>
          <w:lang w:val="fr-FR"/>
        </w:rPr>
        <w:t xml:space="preserve">François Bertrand, </w:t>
      </w:r>
      <w:r w:rsidRPr="00855A91">
        <w:rPr>
          <w:i/>
          <w:noProof/>
          <w:lang w:val="fr-FR"/>
        </w:rPr>
        <w:t>La presse francophone de tranchée au front belge, 1914-1918</w:t>
      </w:r>
      <w:r w:rsidRPr="00855A91">
        <w:rPr>
          <w:noProof/>
          <w:lang w:val="fr-FR"/>
        </w:rPr>
        <w:t>, (Brussels, 1971)</w:t>
      </w:r>
      <w:r>
        <w:fldChar w:fldCharType="end"/>
      </w:r>
      <w:r w:rsidRPr="00855A91">
        <w:rPr>
          <w:lang w:val="fr-FR"/>
        </w:rPr>
        <w:t xml:space="preserve">, p. </w:t>
      </w:r>
      <w:r>
        <w:rPr>
          <w:lang w:val="fr-FR"/>
        </w:rPr>
        <w:t>57.</w:t>
      </w:r>
    </w:p>
  </w:footnote>
  <w:footnote w:id="75">
    <w:p w14:paraId="7B02B28C" w14:textId="77777777" w:rsidR="00DE3AC9" w:rsidRPr="00A05092" w:rsidRDefault="00DE3AC9" w:rsidP="0048510E">
      <w:pPr>
        <w:pStyle w:val="FootnoteText"/>
      </w:pPr>
      <w:r>
        <w:rPr>
          <w:rStyle w:val="FootnoteReference"/>
        </w:rPr>
        <w:footnoteRef/>
      </w:r>
      <w:r>
        <w:t xml:space="preserve"> </w:t>
      </w:r>
      <w:r>
        <w:fldChar w:fldCharType="begin"/>
      </w:r>
      <w:r>
        <w:instrText xml:space="preserve"> ADDIN EN.CITE &lt;EndNote&gt;&lt;Cite&gt;&lt;Author&gt;Nelson&lt;/Author&gt;&lt;Year&gt;2011&lt;/Year&gt;&lt;RecNum&gt;312&lt;/RecNum&gt;&lt;DisplayText&gt;Robert Nelson, &lt;style face="italic"&gt;German soldier newspapers of the First World War&lt;/style&gt;, (Cambridge, 2011)&lt;/DisplayText&gt;&lt;record&gt;&lt;rec-number&gt;312&lt;/rec-number&gt;&lt;foreign-keys&gt;&lt;key app="EN" db-id="2f5rvwawcsv2woetvw35fzwbdvvswerd0err"&gt;312&lt;/key&gt;&lt;/foreign-keys&gt;&lt;ref-type name="Book"&gt;6&lt;/ref-type&gt;&lt;contributors&gt;&lt;authors&gt;&lt;author&gt;Nelson, Robert&lt;/author&gt;&lt;/authors&gt;&lt;/contributors&gt;&lt;titles&gt;&lt;title&gt;German soldier newspapers of the First World War&lt;/title&gt;&lt;short-title&gt;German soldier newspapers&lt;/short-title&gt;&lt;/titles&gt;&lt;dates&gt;&lt;year&gt;2011&lt;/year&gt;&lt;/dates&gt;&lt;pub-location&gt;Cambridge&lt;/pub-location&gt;&lt;urls&gt;&lt;/urls&gt;&lt;/record&gt;&lt;/Cite&gt;&lt;/EndNote&gt;</w:instrText>
      </w:r>
      <w:r>
        <w:fldChar w:fldCharType="separate"/>
      </w:r>
      <w:r>
        <w:rPr>
          <w:noProof/>
        </w:rPr>
        <w:t xml:space="preserve">Robert Nelson, </w:t>
      </w:r>
      <w:r w:rsidRPr="00A05092">
        <w:rPr>
          <w:i/>
          <w:noProof/>
        </w:rPr>
        <w:t>German soldier newspapers of the First World War</w:t>
      </w:r>
      <w:r>
        <w:rPr>
          <w:noProof/>
        </w:rPr>
        <w:t>, (Cambridge, 2011)</w:t>
      </w:r>
      <w:r>
        <w:fldChar w:fldCharType="end"/>
      </w:r>
      <w:r>
        <w:t>, pp. 192-224.</w:t>
      </w:r>
    </w:p>
  </w:footnote>
  <w:footnote w:id="76">
    <w:p w14:paraId="3188A3CA" w14:textId="77777777" w:rsidR="00DE3AC9" w:rsidRPr="003850D9" w:rsidRDefault="00DE3AC9" w:rsidP="0048510E">
      <w:pPr>
        <w:pStyle w:val="FootnoteText"/>
      </w:pPr>
      <w:r>
        <w:rPr>
          <w:rStyle w:val="FootnoteReference"/>
        </w:rPr>
        <w:footnoteRef/>
      </w:r>
      <w:r>
        <w:t xml:space="preserve"> </w:t>
      </w:r>
      <w:r>
        <w:fldChar w:fldCharType="begin"/>
      </w:r>
      <w:r>
        <w:instrText xml:space="preserve"> ADDIN EN.CITE &lt;EndNote&gt;&lt;Cite&gt;&lt;Author&gt;Albig&lt;/Author&gt;&lt;Year&gt;1939&lt;/Year&gt;&lt;RecNum&gt;295&lt;/RecNum&gt;&lt;DisplayText&gt;William Albig, &lt;style face="italic"&gt;Public opinion&lt;/style&gt;, (New York, 1939)&lt;/DisplayText&gt;&lt;record&gt;&lt;rec-number&gt;295&lt;/rec-number&gt;&lt;foreign-keys&gt;&lt;key app="EN" db-id="2f5rvwawcsv2woetvw35fzwbdvvswerd0err"&gt;295&lt;/key&gt;&lt;/foreign-keys&gt;&lt;ref-type name="Book"&gt;6&lt;/ref-type&gt;&lt;contributors&gt;&lt;authors&gt;&lt;author&gt;Albig, William&lt;/author&gt;&lt;/authors&gt;&lt;/contributors&gt;&lt;titles&gt;&lt;title&gt;Public opinion&lt;/title&gt;&lt;short-title&gt;Public opinion&lt;/short-title&gt;&lt;/titles&gt;&lt;dates&gt;&lt;year&gt;1939&lt;/year&gt;&lt;/dates&gt;&lt;pub-location&gt;New York&lt;/pub-location&gt;&lt;urls&gt;&lt;/urls&gt;&lt;/record&gt;&lt;/Cite&gt;&lt;/EndNote&gt;</w:instrText>
      </w:r>
      <w:r>
        <w:fldChar w:fldCharType="separate"/>
      </w:r>
      <w:r>
        <w:rPr>
          <w:noProof/>
        </w:rPr>
        <w:t xml:space="preserve">William Albig, </w:t>
      </w:r>
      <w:r w:rsidRPr="003474F7">
        <w:rPr>
          <w:i/>
          <w:noProof/>
        </w:rPr>
        <w:t>Public opinion</w:t>
      </w:r>
      <w:r>
        <w:rPr>
          <w:noProof/>
        </w:rPr>
        <w:t>, (New York, 1939)</w:t>
      </w:r>
      <w:r>
        <w:fldChar w:fldCharType="end"/>
      </w:r>
      <w:r>
        <w:t xml:space="preserve">, p. 290; </w:t>
      </w:r>
      <w:r>
        <w:fldChar w:fldCharType="begin"/>
      </w:r>
      <w:r>
        <w:instrText xml:space="preserve"> ADDIN EN.CITE &lt;EndNote&gt;&lt;Cite&gt;&lt;Author&gt;Meller&lt;/Author&gt;&lt;Year&gt;2010&lt;/Year&gt;&lt;RecNum&gt;287&lt;/RecNum&gt;&lt;DisplayText&gt;Meller, &lt;style face="italic"&gt;The development&lt;/style&gt;&lt;/DisplayText&gt;&lt;record&gt;&lt;rec-number&gt;287&lt;/rec-number&gt;&lt;foreign-keys&gt;&lt;key app="EN" db-id="2f5rvwawcsv2woetvw35fzwbdvvswerd0err"&gt;287&lt;/key&gt;&lt;/foreign-keys&gt;&lt;ref-type name="Thesis"&gt;32&lt;/ref-type&gt;&lt;contributors&gt;&lt;authors&gt;&lt;author&gt;Meller, Paul&lt;/author&gt;&lt;/authors&gt;&lt;/contributors&gt;&lt;titles&gt;&lt;title&gt;The development of modern propaganda in Britain, 1854-1902&lt;/title&gt;&lt;short-title&gt;The development&lt;/short-title&gt;&lt;/titles&gt;&lt;dates&gt;&lt;year&gt;2010&lt;/year&gt;&lt;/dates&gt;&lt;publisher&gt;Durham University&lt;/publisher&gt;&lt;work-type&gt;PhD thesis&lt;/work-type&gt;&lt;urls&gt;&lt;/urls&gt;&lt;/record&gt;&lt;/Cite&gt;&lt;/EndNote&gt;</w:instrText>
      </w:r>
      <w:r>
        <w:fldChar w:fldCharType="separate"/>
      </w:r>
      <w:r>
        <w:rPr>
          <w:noProof/>
        </w:rPr>
        <w:t xml:space="preserve">Meller, </w:t>
      </w:r>
      <w:r w:rsidRPr="00921A26">
        <w:rPr>
          <w:i/>
          <w:noProof/>
        </w:rPr>
        <w:t>The development</w:t>
      </w:r>
      <w:r>
        <w:fldChar w:fldCharType="end"/>
      </w:r>
      <w:r>
        <w:t xml:space="preserve">, p. 9 and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921A26">
        <w:rPr>
          <w:i/>
          <w:noProof/>
        </w:rPr>
        <w:t>Munitions</w:t>
      </w:r>
      <w:r>
        <w:fldChar w:fldCharType="end"/>
      </w:r>
      <w:r>
        <w:t>, pp. 173-175.</w:t>
      </w:r>
    </w:p>
  </w:footnote>
  <w:footnote w:id="77">
    <w:p w14:paraId="62004AD5" w14:textId="77777777" w:rsidR="00DE3AC9" w:rsidRPr="008E4D45" w:rsidRDefault="00DE3AC9" w:rsidP="0048510E">
      <w:pPr>
        <w:pStyle w:val="FootnoteText"/>
      </w:pPr>
      <w:r>
        <w:rPr>
          <w:rStyle w:val="FootnoteReference"/>
        </w:rPr>
        <w:footnoteRef/>
      </w:r>
      <w:r w:rsidRPr="008E4D45">
        <w:t xml:space="preserve"> </w:t>
      </w:r>
      <w:r>
        <w:fldChar w:fldCharType="begin"/>
      </w:r>
      <w:r>
        <w:instrText xml:space="preserve"> ADDIN EN.CITE &lt;EndNote&gt;&lt;Cite&gt;&lt;Author&gt;Qualter&lt;/Author&gt;&lt;Year&gt;1962&lt;/Year&gt;&lt;RecNum&gt;112&lt;/RecNum&gt;&lt;DisplayText&gt;Terence Qualter, &lt;style face="italic"&gt;Propaganda and psychological warfare&lt;/style&gt;, (New York, 1962)&lt;/DisplayText&gt;&lt;record&gt;&lt;rec-number&gt;112&lt;/rec-number&gt;&lt;foreign-keys&gt;&lt;key app="EN" db-id="2f5rvwawcsv2woetvw35fzwbdvvswerd0err"&gt;112&lt;/key&gt;&lt;/foreign-keys&gt;&lt;ref-type name="Book"&gt;6&lt;/ref-type&gt;&lt;contributors&gt;&lt;authors&gt;&lt;author&gt;Qualter, Terence&lt;/author&gt;&lt;/authors&gt;&lt;/contributors&gt;&lt;titles&gt;&lt;title&gt;Propaganda and psychological warfare&lt;/title&gt;&lt;short-title&gt;Propaganda&lt;/short-title&gt;&lt;/titles&gt;&lt;dates&gt;&lt;year&gt;1962&lt;/year&gt;&lt;/dates&gt;&lt;pub-location&gt;New York&lt;/pub-location&gt;&lt;urls&gt;&lt;/urls&gt;&lt;/record&gt;&lt;/Cite&gt;&lt;/EndNote&gt;</w:instrText>
      </w:r>
      <w:r>
        <w:fldChar w:fldCharType="separate"/>
      </w:r>
      <w:r>
        <w:rPr>
          <w:noProof/>
        </w:rPr>
        <w:t xml:space="preserve">Terence Qualter, </w:t>
      </w:r>
      <w:r w:rsidRPr="003474F7">
        <w:rPr>
          <w:i/>
          <w:noProof/>
        </w:rPr>
        <w:t>Propaganda and psychological warfare</w:t>
      </w:r>
      <w:r>
        <w:rPr>
          <w:noProof/>
        </w:rPr>
        <w:t>, (New York, 1962)</w:t>
      </w:r>
      <w:r>
        <w:fldChar w:fldCharType="end"/>
      </w:r>
      <w:r w:rsidRPr="008E4D45">
        <w:t>, p. 53.</w:t>
      </w:r>
    </w:p>
  </w:footnote>
  <w:footnote w:id="78">
    <w:p w14:paraId="4043AE09" w14:textId="77777777" w:rsidR="00DE3AC9" w:rsidRPr="008E4D45" w:rsidRDefault="00DE3AC9" w:rsidP="0048510E">
      <w:pPr>
        <w:pStyle w:val="FootnoteText"/>
      </w:pPr>
      <w:r>
        <w:rPr>
          <w:rStyle w:val="FootnoteReference"/>
        </w:rPr>
        <w:footnoteRef/>
      </w:r>
      <w:r w:rsidRPr="008E4D45">
        <w:t xml:space="preserve"> </w:t>
      </w:r>
      <w:r>
        <w:fldChar w:fldCharType="begin"/>
      </w:r>
      <w:r>
        <w:instrText xml:space="preserve"> ADDIN EN.CITE &lt;EndNote&gt;&lt;Cite&gt;&lt;Author&gt;Meller&lt;/Author&gt;&lt;Year&gt;2010&lt;/Year&gt;&lt;RecNum&gt;287&lt;/RecNum&gt;&lt;DisplayText&gt;Meller, &lt;style face="italic"&gt;The development&lt;/style&gt;&lt;/DisplayText&gt;&lt;record&gt;&lt;rec-number&gt;287&lt;/rec-number&gt;&lt;foreign-keys&gt;&lt;key app="EN" db-id="2f5rvwawcsv2woetvw35fzwbdvvswerd0err"&gt;287&lt;/key&gt;&lt;/foreign-keys&gt;&lt;ref-type name="Thesis"&gt;32&lt;/ref-type&gt;&lt;contributors&gt;&lt;authors&gt;&lt;author&gt;Meller, Paul&lt;/author&gt;&lt;/authors&gt;&lt;/contributors&gt;&lt;titles&gt;&lt;title&gt;The development of modern propaganda in Britain, 1854-1902&lt;/title&gt;&lt;short-title&gt;The development&lt;/short-title&gt;&lt;/titles&gt;&lt;dates&gt;&lt;year&gt;2010&lt;/year&gt;&lt;/dates&gt;&lt;publisher&gt;Durham University&lt;/publisher&gt;&lt;work-type&gt;PhD thesis&lt;/work-type&gt;&lt;urls&gt;&lt;/urls&gt;&lt;/record&gt;&lt;/Cite&gt;&lt;/EndNote&gt;</w:instrText>
      </w:r>
      <w:r>
        <w:fldChar w:fldCharType="separate"/>
      </w:r>
      <w:r>
        <w:rPr>
          <w:noProof/>
        </w:rPr>
        <w:t xml:space="preserve">Meller, </w:t>
      </w:r>
      <w:r w:rsidRPr="00921A26">
        <w:rPr>
          <w:i/>
          <w:noProof/>
        </w:rPr>
        <w:t>The development</w:t>
      </w:r>
      <w:r>
        <w:fldChar w:fldCharType="end"/>
      </w:r>
      <w:r w:rsidRPr="008E4D45">
        <w:t>, p. 9.</w:t>
      </w:r>
    </w:p>
  </w:footnote>
  <w:footnote w:id="79">
    <w:p w14:paraId="7F78753E" w14:textId="47CC67FD" w:rsidR="00DE3AC9" w:rsidRPr="00820991" w:rsidRDefault="00DE3AC9" w:rsidP="002F62A7">
      <w:pPr>
        <w:pStyle w:val="FootnoteText"/>
      </w:pPr>
      <w:r>
        <w:rPr>
          <w:rStyle w:val="FootnoteReference"/>
        </w:rPr>
        <w:footnoteRef/>
      </w:r>
      <w:r w:rsidRPr="00820991">
        <w:t xml:space="preserve"> </w:t>
      </w:r>
      <w:r>
        <w:fldChar w:fldCharType="begin"/>
      </w:r>
      <w:r>
        <w:instrText xml:space="preserve"> ADDIN EN.CITE &lt;EndNote&gt;&lt;Cite&gt;&lt;Author&gt;Lasswell&lt;/Author&gt;&lt;Year&gt;1971&lt;/Year&gt;&lt;RecNum&gt;28&lt;/RecNum&gt;&lt;DisplayText&gt;Harold Lasswell, &lt;style face="italic"&gt;Propaganda technique in World War I &lt;/style&gt;(Cambridge, 1971)&lt;/DisplayText&gt;&lt;record&gt;&lt;rec-number&gt;28&lt;/rec-number&gt;&lt;foreign-keys&gt;&lt;key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Harold Lasswell, </w:t>
      </w:r>
      <w:r w:rsidRPr="002F62A7">
        <w:rPr>
          <w:i/>
          <w:noProof/>
        </w:rPr>
        <w:t xml:space="preserve">Propaganda technique in World War I </w:t>
      </w:r>
      <w:r>
        <w:rPr>
          <w:noProof/>
        </w:rPr>
        <w:t>(Cambridge, 1971)</w:t>
      </w:r>
      <w:r>
        <w:fldChar w:fldCharType="end"/>
      </w:r>
      <w:r w:rsidRPr="00820991">
        <w:t>, p. 195.</w:t>
      </w:r>
    </w:p>
  </w:footnote>
  <w:footnote w:id="80">
    <w:p w14:paraId="4B36D3E4" w14:textId="77777777" w:rsidR="00DE3AC9" w:rsidRPr="005201E5" w:rsidRDefault="00DE3AC9" w:rsidP="005201E5">
      <w:pPr>
        <w:pStyle w:val="FootnoteText"/>
      </w:pPr>
      <w:r>
        <w:rPr>
          <w:rStyle w:val="FootnoteReference"/>
        </w:rPr>
        <w:footnoteRef/>
      </w:r>
      <w:r w:rsidRPr="005C760F">
        <w:rPr>
          <w:lang w:val="fr-FR"/>
        </w:rPr>
        <w:t xml:space="preserve"> </w:t>
      </w:r>
      <w:r>
        <w:fldChar w:fldCharType="begin"/>
      </w:r>
      <w:r>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921A26">
        <w:rPr>
          <w:noProof/>
          <w:lang w:val="fr-FR"/>
        </w:rPr>
        <w:t xml:space="preserve">Ellul, </w:t>
      </w:r>
      <w:r w:rsidRPr="00921A26">
        <w:rPr>
          <w:i/>
          <w:noProof/>
          <w:lang w:val="fr-FR"/>
        </w:rPr>
        <w:t>Propaganda</w:t>
      </w:r>
      <w:r>
        <w:fldChar w:fldCharType="end"/>
      </w:r>
      <w:r w:rsidRPr="005C760F">
        <w:rPr>
          <w:lang w:val="fr-FR"/>
        </w:rPr>
        <w:t xml:space="preserve">; </w:t>
      </w:r>
      <w:r>
        <w:fldChar w:fldCharType="begin"/>
      </w:r>
      <w:r>
        <w:rPr>
          <w:lang w:val="fr-FR"/>
        </w:rPr>
        <w:instrText xml:space="preserve"> ADDIN EN.CITE &lt;EndNote&gt;&lt;Cite&gt;&lt;Author&gt;Ellul&lt;/Author&gt;&lt;Year&gt;1976&lt;/Year&gt;&lt;RecNum&gt;100&lt;/RecNum&gt;&lt;DisplayText&gt;Jacques Ellul, &lt;style face="italic"&gt;Histoire de la propagande&lt;/style&gt;, (Paris, 1976)&lt;/DisplayText&gt;&lt;record&gt;&lt;rec-number&gt;100&lt;/rec-number&gt;&lt;foreign-keys&gt;&lt;key app="EN" db-id="2f5rvwawcsv2woetvw35fzwbdvvswerd0err"&gt;100&lt;/key&gt;&lt;/foreign-keys&gt;&lt;ref-type name="Book"&gt;6&lt;/ref-type&gt;&lt;contributors&gt;&lt;authors&gt;&lt;author&gt;Ellul, Jacques&lt;/author&gt;&lt;/authors&gt;&lt;/contributors&gt;&lt;titles&gt;&lt;title&gt;Histoire de la propagande&lt;/title&gt;&lt;short-title&gt;Histoire&lt;/short-title&gt;&lt;/titles&gt;&lt;dates&gt;&lt;year&gt;1976&lt;/year&gt;&lt;/dates&gt;&lt;pub-location&gt;Paris&lt;/pub-location&gt;&lt;urls&gt;&lt;/urls&gt;&lt;/record&gt;&lt;/Cite&gt;&lt;/EndNote&gt;</w:instrText>
      </w:r>
      <w:r>
        <w:fldChar w:fldCharType="separate"/>
      </w:r>
      <w:r w:rsidRPr="003474F7">
        <w:rPr>
          <w:noProof/>
          <w:lang w:val="fr-FR"/>
        </w:rPr>
        <w:t xml:space="preserve">Jacques Ellul, </w:t>
      </w:r>
      <w:r w:rsidRPr="003474F7">
        <w:rPr>
          <w:i/>
          <w:noProof/>
          <w:lang w:val="fr-FR"/>
        </w:rPr>
        <w:t>Histoire de la propagande</w:t>
      </w:r>
      <w:r w:rsidRPr="003474F7">
        <w:rPr>
          <w:noProof/>
          <w:lang w:val="fr-FR"/>
        </w:rPr>
        <w:t>, (Paris, 1976)</w:t>
      </w:r>
      <w:r>
        <w:fldChar w:fldCharType="end"/>
      </w:r>
      <w:r w:rsidRPr="005C760F">
        <w:rPr>
          <w:lang w:val="fr-FR"/>
        </w:rPr>
        <w:t xml:space="preserve"> and </w:t>
      </w:r>
      <w:r>
        <w:fldChar w:fldCharType="begin"/>
      </w:r>
      <w:r>
        <w:rPr>
          <w:lang w:val="fr-FR"/>
        </w:rPr>
        <w:instrText xml:space="preserve"> ADDIN EN.CITE &lt;EndNote&gt;&lt;Cite&gt;&lt;Author&gt;Ellul&lt;/Author&gt;&lt;Year&gt;1952&lt;/Year&gt;&lt;RecNum&gt;154&lt;/RecNum&gt;&lt;DisplayText&gt;Jacques Ellul, &amp;apos;Propagande et démocratie&amp;apos;, in: &lt;style face="italic"&gt;Revue française de science politique, &lt;/style&gt;3 (1952), &lt;/DisplayText&gt;&lt;record&gt;&lt;rec-number&gt;154&lt;/rec-number&gt;&lt;foreign-keys&gt;&lt;key app="EN" db-id="2f5rvwawcsv2woetvw35fzwbdvvswerd0err"&gt;154&lt;/key&gt;&lt;/foreign-keys&gt;&lt;ref-type name="Journal Article"&gt;17&lt;/ref-type&gt;&lt;contributors&gt;&lt;authors&gt;&lt;author&gt;Ellul, Jacques&lt;/author&gt;&lt;/authors&gt;&lt;/contributors&gt;&lt;titles&gt;&lt;title&gt;Propagande et démocratie&lt;/title&gt;&lt;secondary-title&gt;Revue française de science politique&lt;/secondary-title&gt;&lt;short-title&gt;Propagande et démocratie&lt;/short-title&gt;&lt;/titles&gt;&lt;periodical&gt;&lt;full-title&gt;Revue française de science politique&lt;/full-title&gt;&lt;/periodical&gt;&lt;volume&gt;3&lt;/volume&gt;&lt;dates&gt;&lt;year&gt;1952&lt;/year&gt;&lt;/dates&gt;&lt;urls&gt;&lt;/urls&gt;&lt;/record&gt;&lt;/Cite&gt;&lt;/EndNote&gt;</w:instrText>
      </w:r>
      <w:r>
        <w:fldChar w:fldCharType="separate"/>
      </w:r>
      <w:r w:rsidRPr="00150A28">
        <w:rPr>
          <w:noProof/>
          <w:lang w:val="fr-FR"/>
        </w:rPr>
        <w:t xml:space="preserve">Jacques Ellul, 'Propagande et démocratie', in: </w:t>
      </w:r>
      <w:r w:rsidRPr="00150A28">
        <w:rPr>
          <w:i/>
          <w:noProof/>
          <w:lang w:val="fr-FR"/>
        </w:rPr>
        <w:t xml:space="preserve">Revue française de science politique, </w:t>
      </w:r>
      <w:r w:rsidRPr="00150A28">
        <w:rPr>
          <w:noProof/>
          <w:lang w:val="fr-FR"/>
        </w:rPr>
        <w:t xml:space="preserve">3 (1952), </w:t>
      </w:r>
      <w:r>
        <w:fldChar w:fldCharType="end"/>
      </w:r>
      <w:r w:rsidRPr="005C760F">
        <w:rPr>
          <w:lang w:val="fr-FR"/>
        </w:rPr>
        <w:t>pp. 474-504.</w:t>
      </w:r>
      <w:r>
        <w:rPr>
          <w:lang w:val="fr-FR"/>
        </w:rPr>
        <w:t xml:space="preserve"> </w:t>
      </w:r>
      <w:r w:rsidRPr="005201E5">
        <w:t xml:space="preserve">His work was criticised in </w:t>
      </w:r>
      <w:r>
        <w:rPr>
          <w:lang w:val="fr-FR"/>
        </w:rPr>
        <w:fldChar w:fldCharType="begin"/>
      </w:r>
      <w:r w:rsidRPr="005201E5">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rPr>
          <w:lang w:val="fr-FR"/>
        </w:rPr>
        <w:fldChar w:fldCharType="separate"/>
      </w:r>
      <w:r w:rsidRPr="005201E5">
        <w:rPr>
          <w:noProof/>
        </w:rPr>
        <w:t xml:space="preserve">Jowett and O'Donnell, </w:t>
      </w:r>
      <w:r w:rsidRPr="005201E5">
        <w:rPr>
          <w:i/>
          <w:noProof/>
        </w:rPr>
        <w:t>Propaganda</w:t>
      </w:r>
      <w:r>
        <w:rPr>
          <w:lang w:val="fr-FR"/>
        </w:rPr>
        <w:fldChar w:fldCharType="end"/>
      </w:r>
      <w:r w:rsidRPr="005201E5">
        <w:t xml:space="preserve">, p. </w:t>
      </w:r>
      <w:r>
        <w:t>xiv.</w:t>
      </w:r>
    </w:p>
  </w:footnote>
  <w:footnote w:id="81">
    <w:p w14:paraId="116BC226" w14:textId="77777777" w:rsidR="00DE3AC9" w:rsidRPr="00374CF4" w:rsidRDefault="00DE3AC9" w:rsidP="0048510E">
      <w:pPr>
        <w:pStyle w:val="FootnoteText"/>
        <w:rPr>
          <w:lang w:val="fr-FR"/>
        </w:rPr>
      </w:pPr>
      <w:r>
        <w:rPr>
          <w:rStyle w:val="FootnoteReference"/>
        </w:rPr>
        <w:footnoteRef/>
      </w:r>
      <w:r w:rsidRPr="00374CF4">
        <w:rPr>
          <w:lang w:val="fr-FR"/>
        </w:rPr>
        <w:t xml:space="preserve"> </w:t>
      </w:r>
      <w:r>
        <w:fldChar w:fldCharType="begin"/>
      </w:r>
      <w:r w:rsidRPr="00374CF4">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374CF4">
        <w:rPr>
          <w:noProof/>
          <w:lang w:val="fr-FR"/>
        </w:rPr>
        <w:t xml:space="preserve">Ellul, </w:t>
      </w:r>
      <w:r w:rsidRPr="00374CF4">
        <w:rPr>
          <w:i/>
          <w:noProof/>
          <w:lang w:val="fr-FR"/>
        </w:rPr>
        <w:t>Propaganda</w:t>
      </w:r>
      <w:r>
        <w:fldChar w:fldCharType="end"/>
      </w:r>
      <w:r w:rsidRPr="00374CF4">
        <w:rPr>
          <w:lang w:val="fr-FR"/>
        </w:rPr>
        <w:t>, pp. 259-265.</w:t>
      </w:r>
    </w:p>
  </w:footnote>
  <w:footnote w:id="82">
    <w:p w14:paraId="6E03E9FE" w14:textId="77777777" w:rsidR="00DE3AC9" w:rsidRPr="00150A28" w:rsidRDefault="00DE3AC9" w:rsidP="0048510E">
      <w:pPr>
        <w:pStyle w:val="FootnoteText"/>
        <w:rPr>
          <w:lang w:val="fr-FR"/>
        </w:rPr>
      </w:pPr>
      <w:r>
        <w:rPr>
          <w:rStyle w:val="FootnoteReference"/>
        </w:rPr>
        <w:footnoteRef/>
      </w:r>
      <w:r w:rsidRPr="00150A28">
        <w:rPr>
          <w:lang w:val="fr-FR"/>
        </w:rPr>
        <w:t xml:space="preserve"> </w:t>
      </w:r>
      <w:r>
        <w:fldChar w:fldCharType="begin"/>
      </w:r>
      <w:r>
        <w:rPr>
          <w:lang w:val="fr-FR"/>
        </w:rP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921A26">
        <w:rPr>
          <w:noProof/>
          <w:lang w:val="fr-FR"/>
        </w:rPr>
        <w:t xml:space="preserve">Jowett and O'Donnell, </w:t>
      </w:r>
      <w:r w:rsidRPr="00921A26">
        <w:rPr>
          <w:i/>
          <w:noProof/>
          <w:lang w:val="fr-FR"/>
        </w:rPr>
        <w:t>Propaganda</w:t>
      </w:r>
      <w:r>
        <w:fldChar w:fldCharType="end"/>
      </w:r>
      <w:r w:rsidRPr="00913FF1">
        <w:rPr>
          <w:lang w:val="fr-FR"/>
        </w:rPr>
        <w:t>.</w:t>
      </w:r>
    </w:p>
  </w:footnote>
  <w:footnote w:id="83">
    <w:p w14:paraId="2734AC56" w14:textId="77777777" w:rsidR="00DE3AC9" w:rsidRPr="00D95E9E" w:rsidRDefault="00DE3AC9" w:rsidP="0048510E">
      <w:pPr>
        <w:pStyle w:val="FootnoteText"/>
        <w:rPr>
          <w:lang w:val="fr-FR"/>
        </w:rPr>
      </w:pPr>
      <w:r>
        <w:rPr>
          <w:rStyle w:val="FootnoteReference"/>
        </w:rPr>
        <w:footnoteRef/>
      </w:r>
      <w:r w:rsidRPr="00D95E9E">
        <w:rPr>
          <w:lang w:val="fr-FR"/>
        </w:rPr>
        <w:t xml:space="preserve"> </w:t>
      </w:r>
      <w:r>
        <w:rPr>
          <w:lang w:val="fr-FR"/>
        </w:rPr>
        <w:t xml:space="preserve">Archives du Service Public Fédéral Affaires Etrangères Belges (ASPF AEB): B. 345. First World War propaganda archives. </w:t>
      </w:r>
    </w:p>
  </w:footnote>
  <w:footnote w:id="84">
    <w:p w14:paraId="2AC42AD9" w14:textId="77777777" w:rsidR="00DE3AC9" w:rsidRPr="00C8674E" w:rsidRDefault="00DE3AC9" w:rsidP="0048510E">
      <w:pPr>
        <w:pStyle w:val="FootnoteText"/>
        <w:rPr>
          <w:lang w:val="fr-FR"/>
        </w:rPr>
      </w:pPr>
      <w:r>
        <w:rPr>
          <w:rStyle w:val="FootnoteReference"/>
        </w:rPr>
        <w:footnoteRef/>
      </w:r>
      <w:r w:rsidRPr="00C8674E">
        <w:rPr>
          <w:lang w:val="fr-FR"/>
        </w:rPr>
        <w:t xml:space="preserve"> </w:t>
      </w:r>
      <w:r>
        <w:rPr>
          <w:lang w:val="fr-FR"/>
        </w:rPr>
        <w:t xml:space="preserve">Centre de documentation du Musée Royal de l’Armée et d’Histoire Militaire (MRAHM): GQG 00110. Papers of the second section of the GQG. </w:t>
      </w:r>
    </w:p>
  </w:footnote>
  <w:footnote w:id="85">
    <w:p w14:paraId="42AC84DF" w14:textId="77777777" w:rsidR="00DE3AC9" w:rsidRPr="00DE3AC9" w:rsidRDefault="00DE3AC9" w:rsidP="0048510E">
      <w:pPr>
        <w:pStyle w:val="FootnoteText"/>
        <w:rPr>
          <w:lang w:val="fr-FR"/>
        </w:rPr>
      </w:pPr>
      <w:r>
        <w:rPr>
          <w:rStyle w:val="FootnoteReference"/>
        </w:rPr>
        <w:footnoteRef/>
      </w:r>
      <w:r w:rsidRPr="00D95E9E">
        <w:rPr>
          <w:lang w:val="fr-FR"/>
        </w:rPr>
        <w:t xml:space="preserve"> </w:t>
      </w:r>
      <w:r>
        <w:rPr>
          <w:lang w:val="fr-FR"/>
        </w:rPr>
        <w:t xml:space="preserve">Service Historique de la Défense Armée de Terre (SHD AT): 16N1569-1570. Archives of the Service de la Propagande Aérienne and SHD Armée de l’Air (SHD AA): 1A176-1A177. </w:t>
      </w:r>
      <w:r w:rsidRPr="00DE3AC9">
        <w:rPr>
          <w:lang w:val="fr-FR"/>
        </w:rPr>
        <w:t xml:space="preserve">Reports about aerial propaganda missions.  </w:t>
      </w:r>
    </w:p>
  </w:footnote>
  <w:footnote w:id="86">
    <w:p w14:paraId="6F724822"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sidRPr="00DE3AC9">
        <w:rPr>
          <w:noProof/>
          <w:lang w:val="fr-FR"/>
        </w:rPr>
        <w:t xml:space="preserve">Occleshaw, </w:t>
      </w:r>
      <w:r w:rsidRPr="00DE3AC9">
        <w:rPr>
          <w:i/>
          <w:noProof/>
          <w:lang w:val="fr-FR"/>
        </w:rPr>
        <w:t>Armour</w:t>
      </w:r>
      <w:r>
        <w:fldChar w:fldCharType="end"/>
      </w:r>
      <w:r w:rsidRPr="00DE3AC9">
        <w:rPr>
          <w:lang w:val="fr-FR"/>
        </w:rPr>
        <w:t>, p. 304.</w:t>
      </w:r>
    </w:p>
  </w:footnote>
  <w:footnote w:id="87">
    <w:p w14:paraId="0E463A7D" w14:textId="77777777" w:rsidR="00DE3AC9" w:rsidRPr="00DE3AC9" w:rsidRDefault="00DE3AC9" w:rsidP="0048510E">
      <w:pPr>
        <w:pStyle w:val="FootnoteText"/>
        <w:rPr>
          <w:lang w:val="fr-FR"/>
        </w:rPr>
      </w:pPr>
      <w:r>
        <w:rPr>
          <w:rStyle w:val="FootnoteReference"/>
        </w:rPr>
        <w:footnoteRef/>
      </w:r>
      <w:r w:rsidRPr="00DE3AC9">
        <w:rPr>
          <w:lang w:val="fr-FR"/>
        </w:rPr>
        <w:t xml:space="preserve"> National Archives (NA): INF4/1B. Archives of MI7(b).</w:t>
      </w:r>
    </w:p>
  </w:footnote>
  <w:footnote w:id="88">
    <w:p w14:paraId="373E83E2" w14:textId="77777777" w:rsidR="00DE3AC9" w:rsidRPr="00DE3AC9" w:rsidRDefault="00DE3AC9" w:rsidP="0048510E">
      <w:pPr>
        <w:pStyle w:val="FootnoteText"/>
        <w:rPr>
          <w:lang w:val="fr-FR"/>
        </w:rPr>
      </w:pPr>
      <w:r>
        <w:rPr>
          <w:rStyle w:val="FootnoteReference"/>
        </w:rPr>
        <w:footnoteRef/>
      </w:r>
      <w:r w:rsidRPr="00DE3AC9">
        <w:rPr>
          <w:lang w:val="fr-FR"/>
        </w:rPr>
        <w:t xml:space="preserve"> Imperial War Museum (IWM): Papers of Lieutenant-Colonel A. Lee, Sherwood Foresters.</w:t>
      </w:r>
    </w:p>
  </w:footnote>
  <w:footnote w:id="89">
    <w:p w14:paraId="745650F6" w14:textId="4114E11E" w:rsidR="00DE3AC9" w:rsidRPr="00495ABD" w:rsidRDefault="00DE3AC9" w:rsidP="00605DB1">
      <w:pPr>
        <w:pStyle w:val="FootnoteText"/>
      </w:pPr>
      <w:r>
        <w:rPr>
          <w:rStyle w:val="FootnoteReference"/>
        </w:rPr>
        <w:footnoteRef/>
      </w:r>
      <w:r>
        <w:t xml:space="preserve"> </w:t>
      </w:r>
      <w:r w:rsidRPr="00495ABD">
        <w:t xml:space="preserve">NA: AIR 1/32 1/588 1/678 1/723 1/1155 2/48. Various </w:t>
      </w:r>
      <w:r w:rsidR="00605DB1">
        <w:t>air</w:t>
      </w:r>
      <w:r w:rsidRPr="00495ABD">
        <w:t xml:space="preserve"> reports on the distribution of propaganda by the RFC and the RAF.</w:t>
      </w:r>
    </w:p>
  </w:footnote>
  <w:footnote w:id="90">
    <w:p w14:paraId="2E6CE1BB" w14:textId="77777777" w:rsidR="00DE3AC9" w:rsidRPr="00432EF3" w:rsidRDefault="00DE3AC9" w:rsidP="0048510E">
      <w:pPr>
        <w:pStyle w:val="FootnoteText"/>
      </w:pPr>
      <w:r>
        <w:rPr>
          <w:rStyle w:val="FootnoteReference"/>
        </w:rPr>
        <w:footnoteRef/>
      </w:r>
      <w:r>
        <w:t xml:space="preserve"> Federal Swiss Archives (FSA): E27/1000. Propaganda file for the First World War.</w:t>
      </w:r>
    </w:p>
  </w:footnote>
  <w:footnote w:id="91">
    <w:p w14:paraId="221CA039" w14:textId="77777777" w:rsidR="00DE3AC9" w:rsidRPr="008A36E8" w:rsidRDefault="00DE3AC9" w:rsidP="00905B4F">
      <w:pPr>
        <w:pStyle w:val="FootnoteText"/>
      </w:pPr>
      <w:r>
        <w:rPr>
          <w:rStyle w:val="FootnoteReference"/>
        </w:rPr>
        <w:footnoteRef/>
      </w:r>
      <w:r>
        <w:t xml:space="preserve"> There were in total six Belgian, British and French aerial newspapers and one French black propaganda newspaper. There were also numerous leaflets and one must not forget that the Parisian press was also dropped by aeroplane.</w:t>
      </w:r>
    </w:p>
  </w:footnote>
  <w:footnote w:id="92">
    <w:p w14:paraId="3F3B63A7" w14:textId="77777777" w:rsidR="00DE3AC9" w:rsidRPr="008A1A3F" w:rsidRDefault="00DE3AC9" w:rsidP="0048510E">
      <w:pPr>
        <w:pStyle w:val="FootnoteText"/>
      </w:pPr>
      <w:r>
        <w:rPr>
          <w:rStyle w:val="FootnoteReference"/>
        </w:rPr>
        <w:footnoteRef/>
      </w:r>
      <w:r>
        <w:t xml:space="preserve"> British Library: C.40.I.21. Collection of </w:t>
      </w:r>
      <w:r>
        <w:rPr>
          <w:i/>
          <w:iCs/>
        </w:rPr>
        <w:t xml:space="preserve">Courrier de l’Air. </w:t>
      </w:r>
    </w:p>
  </w:footnote>
  <w:footnote w:id="93">
    <w:p w14:paraId="646AD94E" w14:textId="77777777" w:rsidR="00DE3AC9" w:rsidRPr="008A1A3F" w:rsidRDefault="00DE3AC9" w:rsidP="0048510E">
      <w:pPr>
        <w:pStyle w:val="FootnoteText"/>
        <w:rPr>
          <w:lang w:val="fr-FR"/>
        </w:rPr>
      </w:pPr>
      <w:r>
        <w:rPr>
          <w:rStyle w:val="FootnoteReference"/>
        </w:rPr>
        <w:footnoteRef/>
      </w:r>
      <w:r w:rsidRPr="008A1A3F">
        <w:rPr>
          <w:lang w:val="fr-FR"/>
        </w:rPr>
        <w:t xml:space="preserve"> SHD AT: 16N1569. Collection of </w:t>
      </w:r>
      <w:r w:rsidRPr="008A1A3F">
        <w:rPr>
          <w:i/>
          <w:iCs/>
          <w:lang w:val="fr-FR"/>
        </w:rPr>
        <w:t>La Voix du Pays</w:t>
      </w:r>
      <w:r>
        <w:rPr>
          <w:lang w:val="fr-FR"/>
        </w:rPr>
        <w:t>.</w:t>
      </w:r>
    </w:p>
  </w:footnote>
  <w:footnote w:id="94">
    <w:p w14:paraId="721F64CB" w14:textId="77777777" w:rsidR="00DE3AC9" w:rsidRPr="008A1A3F" w:rsidRDefault="00DE3AC9" w:rsidP="0048510E">
      <w:pPr>
        <w:pStyle w:val="FootnoteText"/>
      </w:pPr>
      <w:r>
        <w:rPr>
          <w:rStyle w:val="FootnoteReference"/>
        </w:rPr>
        <w:footnoteRef/>
      </w:r>
      <w:r>
        <w:t xml:space="preserve"> MRAHM</w:t>
      </w:r>
      <w:r w:rsidRPr="000C5DCB">
        <w:t xml:space="preserve">: </w:t>
      </w:r>
      <w:r>
        <w:t>NR. Collection of First World War newspapers.</w:t>
      </w:r>
    </w:p>
  </w:footnote>
  <w:footnote w:id="95">
    <w:p w14:paraId="396AA952" w14:textId="77777777" w:rsidR="00DE3AC9" w:rsidRPr="008A1A3F" w:rsidRDefault="00DE3AC9" w:rsidP="0048510E">
      <w:pPr>
        <w:pStyle w:val="FootnoteText"/>
      </w:pPr>
      <w:r>
        <w:rPr>
          <w:rStyle w:val="FootnoteReference"/>
        </w:rPr>
        <w:footnoteRef/>
      </w:r>
      <w:r>
        <w:t xml:space="preserve"> </w:t>
      </w:r>
      <w:r w:rsidRPr="000C5DCB">
        <w:t xml:space="preserve">MRAHM: GQG 00110. Papers of the second section of the GQG. </w:t>
      </w:r>
    </w:p>
  </w:footnote>
  <w:footnote w:id="96">
    <w:p w14:paraId="324E06BF" w14:textId="50670A84" w:rsidR="00DE3AC9" w:rsidRPr="007B0BC1" w:rsidRDefault="00DE3AC9" w:rsidP="00232F8A">
      <w:pPr>
        <w:pStyle w:val="FootnoteText"/>
        <w:rPr>
          <w:lang w:val="fr-FR"/>
        </w:rPr>
      </w:pPr>
      <w:r>
        <w:rPr>
          <w:rStyle w:val="FootnoteReference"/>
        </w:rPr>
        <w:footnoteRef/>
      </w:r>
      <w:r w:rsidRPr="00415A32">
        <w:t xml:space="preserve"> </w:t>
      </w:r>
      <w:r w:rsidRPr="0073517E">
        <w:fldChar w:fldCharType="begin"/>
      </w:r>
      <w:r w:rsidRPr="0073517E">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sidRPr="0073517E">
        <w:fldChar w:fldCharType="separate"/>
      </w:r>
      <w:r w:rsidRPr="0073517E">
        <w:rPr>
          <w:noProof/>
        </w:rPr>
        <w:t xml:space="preserve">Nivet, </w:t>
      </w:r>
      <w:r w:rsidRPr="0073517E">
        <w:rPr>
          <w:i/>
          <w:noProof/>
        </w:rPr>
        <w:t>La France</w:t>
      </w:r>
      <w:r w:rsidRPr="0073517E">
        <w:fldChar w:fldCharType="end"/>
      </w:r>
      <w:r w:rsidRPr="0073517E">
        <w:t xml:space="preserve">, p. 245 and </w:t>
      </w:r>
      <w:r w:rsidRPr="0073517E">
        <w:fldChar w:fldCharType="begin"/>
      </w:r>
      <w:r w:rsidRPr="0073517E">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rsidRPr="0073517E">
        <w:fldChar w:fldCharType="separate"/>
      </w:r>
      <w:r w:rsidRPr="0073517E">
        <w:rPr>
          <w:noProof/>
        </w:rPr>
        <w:t xml:space="preserve">McPhail, </w:t>
      </w:r>
      <w:r w:rsidRPr="0073517E">
        <w:rPr>
          <w:i/>
          <w:noProof/>
        </w:rPr>
        <w:t>The long</w:t>
      </w:r>
      <w:r w:rsidRPr="0073517E">
        <w:fldChar w:fldCharType="end"/>
      </w:r>
      <w:r w:rsidRPr="0073517E">
        <w:t xml:space="preserve">, pp. 127-131. </w:t>
      </w:r>
      <w:r w:rsidRPr="00C0521A">
        <w:rPr>
          <w:lang w:val="fr-FR"/>
        </w:rPr>
        <w:t xml:space="preserve">Also </w:t>
      </w:r>
      <w:r w:rsidRPr="005C643C">
        <w:fldChar w:fldCharType="begin"/>
      </w:r>
      <w:r w:rsidRPr="00C0521A">
        <w:rPr>
          <w:lang w:val="fr-FR"/>
        </w:rP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rsidRPr="005C643C">
        <w:fldChar w:fldCharType="separate"/>
      </w:r>
      <w:r w:rsidRPr="00C0521A">
        <w:rPr>
          <w:noProof/>
          <w:lang w:val="fr-FR"/>
        </w:rPr>
        <w:t xml:space="preserve">Connolly, </w:t>
      </w:r>
      <w:r w:rsidRPr="00C0521A">
        <w:rPr>
          <w:i/>
          <w:noProof/>
          <w:lang w:val="fr-FR"/>
        </w:rPr>
        <w:t>Encountering Germans</w:t>
      </w:r>
      <w:r w:rsidRPr="005C643C">
        <w:fldChar w:fldCharType="end"/>
      </w:r>
      <w:r w:rsidRPr="00C0521A">
        <w:rPr>
          <w:lang w:val="fr-FR"/>
        </w:rPr>
        <w:t xml:space="preserve">, pp. </w:t>
      </w:r>
      <w:r w:rsidRPr="005C643C">
        <w:rPr>
          <w:lang w:val="fr-FR"/>
        </w:rPr>
        <w:t>325-326.</w:t>
      </w:r>
      <w:r w:rsidRPr="007B0BC1">
        <w:rPr>
          <w:lang w:val="fr-FR"/>
        </w:rPr>
        <w:t>.</w:t>
      </w:r>
    </w:p>
  </w:footnote>
  <w:footnote w:id="97">
    <w:p w14:paraId="76658AFA" w14:textId="77777777" w:rsidR="00DE3AC9" w:rsidRPr="002F1EE7" w:rsidRDefault="00DE3AC9" w:rsidP="0048510E">
      <w:pPr>
        <w:pStyle w:val="FootnoteText"/>
      </w:pPr>
      <w:r>
        <w:rPr>
          <w:rStyle w:val="FootnoteReference"/>
        </w:rPr>
        <w:footnoteRef/>
      </w:r>
      <w:r w:rsidRPr="002F1EE7">
        <w:rPr>
          <w:lang w:val="fr-FR"/>
        </w:rPr>
        <w:t xml:space="preserve"> </w:t>
      </w:r>
      <w:r>
        <w:rPr>
          <w:lang w:val="fr-FR"/>
        </w:rPr>
        <w:t xml:space="preserve">Archives Départementales de Haute-Savoie (ADHS): 4 M 513. </w:t>
      </w:r>
      <w:r>
        <w:t>Interviews of refugees; SHD AT: 16N1569-16N1571. Interviews of refugees and IWM</w:t>
      </w:r>
      <w:r w:rsidRPr="00792769">
        <w:t xml:space="preserve">: Papers of </w:t>
      </w:r>
      <w:r>
        <w:t>Lieutenant-Colonel A. Lee, Sherwood Foresters. Interviews of refugees. Thanks to James Connolly for kindly sharing his ADHS files.</w:t>
      </w:r>
    </w:p>
  </w:footnote>
  <w:footnote w:id="98">
    <w:p w14:paraId="30917E80" w14:textId="77777777" w:rsidR="00DE3AC9" w:rsidRPr="00C81340" w:rsidRDefault="00DE3AC9" w:rsidP="0048510E">
      <w:pPr>
        <w:pStyle w:val="FootnoteText"/>
      </w:pPr>
      <w:r>
        <w:rPr>
          <w:rStyle w:val="FootnoteReference"/>
        </w:rPr>
        <w:footnoteRef/>
      </w:r>
      <w:r>
        <w:t xml:space="preserve"> </w:t>
      </w:r>
      <w:r w:rsidRPr="00C81340">
        <w:t>See chapter seven and th</w:t>
      </w:r>
      <w:r>
        <w:t>e bibliography for a full list.</w:t>
      </w:r>
    </w:p>
  </w:footnote>
  <w:footnote w:id="99">
    <w:p w14:paraId="58AEBAB5" w14:textId="77777777" w:rsidR="00DE3AC9" w:rsidRPr="00363DDD" w:rsidRDefault="00DE3AC9" w:rsidP="0048510E">
      <w:pPr>
        <w:pStyle w:val="FootnoteText"/>
      </w:pPr>
      <w:r>
        <w:rPr>
          <w:rStyle w:val="FootnoteReference"/>
        </w:rPr>
        <w:footnoteRef/>
      </w:r>
      <w:r w:rsidRPr="00363DDD">
        <w:t xml:space="preserve"> The term ‘repatriated’ usually</w:t>
      </w:r>
      <w:r>
        <w:t xml:space="preserve"> suggests moving from a foreign country to one’s homeland but was used during the First World War to designate civilians evacuated from the occupied territories. This last meaning has been adopted in this thesis.</w:t>
      </w:r>
    </w:p>
  </w:footnote>
  <w:footnote w:id="100">
    <w:p w14:paraId="423D9329" w14:textId="77777777" w:rsidR="00DE3AC9" w:rsidRPr="00432EF3" w:rsidRDefault="00DE3AC9" w:rsidP="0048510E">
      <w:pPr>
        <w:pStyle w:val="FootnoteText"/>
      </w:pPr>
      <w:r>
        <w:rPr>
          <w:rStyle w:val="FootnoteReference"/>
        </w:rPr>
        <w:footnoteRef/>
      </w:r>
      <w:r w:rsidRPr="00080F90">
        <w:t xml:space="preserve"> Archives Départementales du Nord (ADN): 9R790. </w:t>
      </w:r>
      <w:r w:rsidRPr="00432EF3">
        <w:t>Documents about the First World War occupation</w:t>
      </w:r>
      <w:r>
        <w:t>.</w:t>
      </w:r>
    </w:p>
  </w:footnote>
  <w:footnote w:id="101">
    <w:p w14:paraId="4F436AD4" w14:textId="77777777" w:rsidR="00DE3AC9" w:rsidRPr="00D430F5" w:rsidRDefault="00DE3AC9" w:rsidP="0048510E">
      <w:pPr>
        <w:pStyle w:val="FootnoteText"/>
      </w:pPr>
      <w:r>
        <w:rPr>
          <w:rStyle w:val="FootnoteReference"/>
        </w:rPr>
        <w:footnoteRef/>
      </w:r>
      <w:r w:rsidRPr="00432EF3">
        <w:rPr>
          <w:lang w:val="de-DE"/>
        </w:rPr>
        <w:t xml:space="preserve"> Politisches Archiv des Aswärtigen Amts (PAAA): R22189-22190. </w:t>
      </w:r>
      <w:r w:rsidRPr="005C760F">
        <w:t xml:space="preserve">French occupation file and Bundesarchiv (B): R 901. </w:t>
      </w:r>
      <w:r w:rsidRPr="00D430F5">
        <w:t>Auswärtiges Amt propaganda.</w:t>
      </w:r>
      <w:r>
        <w:t xml:space="preserve"> </w:t>
      </w:r>
    </w:p>
  </w:footnote>
  <w:footnote w:id="102">
    <w:p w14:paraId="6866262C" w14:textId="77777777" w:rsidR="00DE3AC9" w:rsidRPr="00796B46" w:rsidRDefault="00DE3AC9" w:rsidP="0048510E">
      <w:pPr>
        <w:pStyle w:val="FootnoteText"/>
      </w:pPr>
      <w:r>
        <w:rPr>
          <w:rStyle w:val="FootnoteReference"/>
        </w:rPr>
        <w:footnoteRef/>
      </w:r>
      <w:r>
        <w:t xml:space="preserve"> Among the newspapers consulted, it is worth mentioning the </w:t>
      </w:r>
      <w:r>
        <w:rPr>
          <w:i/>
          <w:iCs/>
        </w:rPr>
        <w:t>Haguenduer Zeitung, Kölnische Zeitung</w:t>
      </w:r>
      <w:r>
        <w:t xml:space="preserve"> and the </w:t>
      </w:r>
      <w:r>
        <w:rPr>
          <w:i/>
          <w:iCs/>
        </w:rPr>
        <w:t>Leipziger Neueste Nachrichten</w:t>
      </w:r>
      <w:r>
        <w:t xml:space="preserve"> 1916-1918.</w:t>
      </w:r>
    </w:p>
  </w:footnote>
  <w:footnote w:id="103">
    <w:p w14:paraId="31D35A0D" w14:textId="77777777" w:rsidR="00DE3AC9" w:rsidRPr="001D7B51" w:rsidRDefault="00DE3AC9" w:rsidP="0048510E">
      <w:pPr>
        <w:pStyle w:val="FootnoteText"/>
      </w:pPr>
      <w:r>
        <w:rPr>
          <w:rStyle w:val="FootnoteReference"/>
        </w:rPr>
        <w:footnoteRef/>
      </w:r>
      <w:r w:rsidRPr="001D7B51">
        <w:t xml:space="preserve"> </w:t>
      </w:r>
      <w:r>
        <w:t>BL: C.40.I.21. Letters of Edward Heron-Allen;</w:t>
      </w:r>
      <w:r>
        <w:rPr>
          <w:i/>
          <w:iCs/>
        </w:rPr>
        <w:t xml:space="preserve"> </w:t>
      </w:r>
      <w:r>
        <w:t>IWM</w:t>
      </w:r>
      <w:r w:rsidRPr="00792769">
        <w:t xml:space="preserve">: </w:t>
      </w:r>
      <w:r>
        <w:t>Unpublished diary</w:t>
      </w:r>
      <w:r w:rsidRPr="00792769">
        <w:t xml:space="preserve"> of </w:t>
      </w:r>
      <w:r>
        <w:t xml:space="preserve">Lieutenant-Colonel A. Lee, Sherwood Foresters; </w:t>
      </w:r>
      <w:r w:rsidRPr="001D7B51">
        <w:t>SHD AT: 16N1569-1571. Reports about the efficiency of aerial propaganda</w:t>
      </w:r>
      <w:r>
        <w:t xml:space="preserve"> and ASPF AEB</w:t>
      </w:r>
      <w:r w:rsidRPr="001D7B51">
        <w:t xml:space="preserve">: B. 345. First World War propaganda archives.  </w:t>
      </w:r>
    </w:p>
  </w:footnote>
  <w:footnote w:id="104">
    <w:p w14:paraId="0F617457" w14:textId="03A3282D" w:rsidR="00DE3AC9" w:rsidRPr="004E2524" w:rsidRDefault="00DE3AC9" w:rsidP="004E2524">
      <w:pPr>
        <w:pStyle w:val="FootnoteText"/>
      </w:pPr>
      <w:r>
        <w:rPr>
          <w:rStyle w:val="FootnoteReference"/>
        </w:rPr>
        <w:footnoteRef/>
      </w:r>
      <w:r>
        <w:t xml:space="preserve"> The best example being </w:t>
      </w:r>
      <w:r>
        <w:fldChar w:fldCharType="begin"/>
      </w:r>
      <w:r>
        <w:instrText xml:space="preserve"> ADDIN EN.CITE &lt;EndNote&gt;&lt;Cite&gt;&lt;Author&gt;Sanders&lt;/Author&gt;&lt;Year&gt;1982&lt;/Year&gt;&lt;RecNum&gt;23&lt;/RecNum&gt;&lt;DisplayText&gt;Sanders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4E2524">
        <w:rPr>
          <w:i/>
          <w:noProof/>
        </w:rPr>
        <w:t>British propaganda</w:t>
      </w:r>
      <w:r>
        <w:fldChar w:fldCharType="end"/>
      </w:r>
      <w:r>
        <w:t>.</w:t>
      </w:r>
    </w:p>
  </w:footnote>
  <w:footnote w:id="105">
    <w:p w14:paraId="14326610" w14:textId="77777777" w:rsidR="00DE3AC9" w:rsidRPr="003C7A4D" w:rsidRDefault="00DE3AC9" w:rsidP="0048510E">
      <w:pPr>
        <w:pStyle w:val="FootnoteText"/>
      </w:pPr>
      <w:r>
        <w:rPr>
          <w:rStyle w:val="FootnoteReference"/>
        </w:rPr>
        <w:footnoteRef/>
      </w:r>
      <w:r>
        <w:t xml:space="preserve"> </w:t>
      </w:r>
      <w:r>
        <w:fldChar w:fldCharType="begin"/>
      </w:r>
      <w: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 xml:space="preserve">Brooks, </w:t>
      </w:r>
      <w:r w:rsidRPr="00921A26">
        <w:rPr>
          <w:i/>
          <w:noProof/>
        </w:rPr>
        <w:t>British propaganda</w:t>
      </w:r>
      <w:r>
        <w:fldChar w:fldCharType="end"/>
      </w:r>
      <w:r>
        <w:t>, p. 7.</w:t>
      </w:r>
    </w:p>
  </w:footnote>
  <w:footnote w:id="106">
    <w:p w14:paraId="72F859DD" w14:textId="567098FE" w:rsidR="00DE3AC9" w:rsidRPr="00D03445" w:rsidRDefault="00DE3AC9" w:rsidP="00415A32">
      <w:pPr>
        <w:pStyle w:val="FootnoteText"/>
      </w:pPr>
      <w:r>
        <w:rPr>
          <w:rStyle w:val="FootnoteReference"/>
        </w:rPr>
        <w:footnoteRef/>
      </w:r>
      <w:r>
        <w:t xml:space="preserve"> </w:t>
      </w:r>
      <w:r>
        <w:fldChar w:fldCharType="begin"/>
      </w:r>
      <w:r>
        <w:instrText xml:space="preserve"> ADDIN EN.CITE &lt;EndNote&gt;&lt;Cite&gt;&lt;Author&gt;Becker&lt;/Author&gt;&lt;Year&gt;1992&lt;/Year&gt;&lt;RecNum&gt;310&lt;/RecNum&gt;&lt;DisplayText&gt;Jean-Jacques Becker, &amp;apos;&amp;quot;That&amp;apos;s the death knell of our boys...&amp;quot;&amp;apos;, in: &lt;style face="italic"&gt;The French Home Front 1914-1918, &lt;/style&gt;ed. by Patrick Fridenson (Providence, 1992),&lt;/DisplayText&gt;&lt;record&gt;&lt;rec-number&gt;310&lt;/rec-number&gt;&lt;foreign-keys&gt;&lt;key app="EN" db-id="2f5rvwawcsv2woetvw35fzwbdvvswerd0err"&gt;310&lt;/key&gt;&lt;/foreign-keys&gt;&lt;ref-type name="Book Section"&gt;5&lt;/ref-type&gt;&lt;contributors&gt;&lt;authors&gt;&lt;author&gt;Becker, Jean-Jacques&lt;/author&gt;&lt;/authors&gt;&lt;secondary-authors&gt;&lt;author&gt;Fridenson, Patrick&lt;/author&gt;&lt;/secondary-authors&gt;&lt;/contributors&gt;&lt;titles&gt;&lt;title&gt;&amp;quot;That&amp;apos;s the death knell of our boys...&amp;quot;&lt;/title&gt;&lt;secondary-title&gt;The French Home Front 1914-1918&lt;/secondary-title&gt;&lt;short-title&gt;That&amp;apos;s the death&lt;/short-title&gt;&lt;/titles&gt;&lt;dates&gt;&lt;year&gt;1992&lt;/year&gt;&lt;/dates&gt;&lt;pub-location&gt;Providence&lt;/pub-location&gt;&lt;urls&gt;&lt;/urls&gt;&lt;/record&gt;&lt;/Cite&gt;&lt;/EndNote&gt;</w:instrText>
      </w:r>
      <w:r>
        <w:fldChar w:fldCharType="separate"/>
      </w:r>
      <w:r>
        <w:rPr>
          <w:noProof/>
        </w:rPr>
        <w:t xml:space="preserve">Jean-Jacques Becker, '"That's the death knell of our boys..."', in: </w:t>
      </w:r>
      <w:r w:rsidRPr="00415A32">
        <w:rPr>
          <w:i/>
          <w:noProof/>
        </w:rPr>
        <w:t xml:space="preserve">The French Home Front 1914-1918, </w:t>
      </w:r>
      <w:r>
        <w:rPr>
          <w:noProof/>
        </w:rPr>
        <w:t>ed. by Patrick Fridenson (Providence, 1992),</w:t>
      </w:r>
      <w:r>
        <w:fldChar w:fldCharType="end"/>
      </w:r>
      <w:r>
        <w:t xml:space="preserve"> pp. 18-23.</w:t>
      </w:r>
    </w:p>
  </w:footnote>
  <w:footnote w:id="107">
    <w:p w14:paraId="3C9C7523" w14:textId="77777777" w:rsidR="00DE3AC9" w:rsidRPr="006F08A2" w:rsidRDefault="00DE3AC9" w:rsidP="00EB3069">
      <w:pPr>
        <w:pStyle w:val="FootnoteText"/>
      </w:pPr>
      <w:r>
        <w:rPr>
          <w:rStyle w:val="FootnoteReference"/>
        </w:rPr>
        <w:footnoteRef/>
      </w:r>
      <w:r>
        <w:t xml:space="preserve"> </w:t>
      </w:r>
      <w:r>
        <w:fldChar w:fldCharType="begin"/>
      </w:r>
      <w:r>
        <w:instrText xml:space="preserve"> ADDIN EN.CITE &lt;EndNote&gt;&lt;Cite&gt;&lt;Author&gt;Audoin-Rouzeau&lt;/Author&gt;&lt;Year&gt;1992&lt;/Year&gt;&lt;RecNum&gt;6&lt;/RecNum&gt;&lt;DisplayText&gt;Audoin-Rouzeau, &lt;style face="italic"&gt;Men at war&lt;/style&gt;&lt;/DisplayText&gt;&lt;record&gt;&lt;rec-number&gt;6&lt;/rec-number&gt;&lt;foreign-keys&gt;&lt;key app="EN" db-id="2f5rvwawcsv2woetvw35fzwbdvvswerd0err"&gt;6&lt;/key&gt;&lt;/foreign-keys&gt;&lt;ref-type name="Book"&gt;6&lt;/ref-type&gt;&lt;contributors&gt;&lt;authors&gt;&lt;author&gt;Audoin-Rouzeau, Stéphane&lt;/author&gt;&lt;/authors&gt;&lt;/contributors&gt;&lt;titles&gt;&lt;title&gt;Men at war, 1914-1918 : national sentiment and trench journalism in France during the First World War&lt;/title&gt;&lt;secondary-title&gt;The Legacy of the Great War&lt;/secondary-title&gt;&lt;short-title&gt;Men at war&lt;/short-title&gt;&lt;/titles&gt;&lt;edition&gt;English&lt;/edition&gt;&lt;keywords&gt;&lt;keyword&gt;World War, 1914-1918 France.&lt;/keyword&gt;&lt;keyword&gt;World War, 1914-1918 Psychological aspects.&lt;/keyword&gt;&lt;keyword&gt;Soldiers France Psychology.&lt;/keyword&gt;&lt;keyword&gt;World War, 1914-1918 Journalism, Military France.&lt;/keyword&gt;&lt;/keywords&gt;&lt;dates&gt;&lt;year&gt;1992&lt;/year&gt;&lt;/dates&gt;&lt;pub-location&gt;Providence&lt;/pub-location&gt;&lt;publisher&gt;Berg&lt;/publisher&gt;&lt;isbn&gt;0854966730 (cloth)&amp;#xD;0854963332 (pbk.)&lt;/isbn&gt;&lt;accession-num&gt;4853714&lt;/accession-num&gt;&lt;call-num&gt;Jefferson or Adams Building Reading Rooms D548; .A8313 1992&lt;/call-num&gt;&lt;urls&gt;&lt;related-urls&gt;&lt;url&gt;http://www.loc.gov/catdir/enhancements/fy0601/91045272-b.html&lt;/url&gt;&lt;url&gt;http://www.loc.gov/catdir/enhancements/fy0601/91045272-d.html&lt;/url&gt;&lt;/related-urls&gt;&lt;/urls&gt;&lt;/record&gt;&lt;/Cite&gt;&lt;/EndNote&gt;</w:instrText>
      </w:r>
      <w:r>
        <w:fldChar w:fldCharType="separate"/>
      </w:r>
      <w:r>
        <w:rPr>
          <w:noProof/>
        </w:rPr>
        <w:t xml:space="preserve">Audoin-Rouzeau, </w:t>
      </w:r>
      <w:r w:rsidRPr="00685717">
        <w:rPr>
          <w:i/>
          <w:noProof/>
        </w:rPr>
        <w:t>Men at war</w:t>
      </w:r>
      <w:r>
        <w:fldChar w:fldCharType="end"/>
      </w:r>
      <w:r>
        <w:t>.</w:t>
      </w:r>
    </w:p>
  </w:footnote>
  <w:footnote w:id="108">
    <w:p w14:paraId="5946914F" w14:textId="77777777" w:rsidR="00DE3AC9" w:rsidRPr="004F0A24" w:rsidRDefault="00DE3AC9" w:rsidP="00EB3069">
      <w:pPr>
        <w:pStyle w:val="FootnoteText"/>
      </w:pPr>
      <w:r>
        <w:rPr>
          <w:rStyle w:val="FootnoteReference"/>
        </w:rPr>
        <w:footnoteRef/>
      </w:r>
      <w:r w:rsidRPr="004F0A24">
        <w:t xml:space="preserve"> </w:t>
      </w:r>
      <w:r>
        <w:fldChar w:fldCharType="begin"/>
      </w:r>
      <w:r w:rsidRPr="004F0A24">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4F0A24">
        <w:rPr>
          <w:noProof/>
        </w:rPr>
        <w:t xml:space="preserve">Jowett and O'Donnell, </w:t>
      </w:r>
      <w:r w:rsidRPr="004F0A24">
        <w:rPr>
          <w:i/>
          <w:noProof/>
        </w:rPr>
        <w:t>Propaganda</w:t>
      </w:r>
      <w:r>
        <w:fldChar w:fldCharType="end"/>
      </w:r>
      <w:r w:rsidRPr="004F0A24">
        <w:t>, pp. 289-290.</w:t>
      </w:r>
    </w:p>
  </w:footnote>
  <w:footnote w:id="109">
    <w:p w14:paraId="6C823646" w14:textId="03417C7D" w:rsidR="00DE3AC9" w:rsidRPr="008E4D45" w:rsidRDefault="00DE3AC9" w:rsidP="00EB3069">
      <w:pPr>
        <w:pStyle w:val="FootnoteText"/>
      </w:pPr>
      <w:r>
        <w:rPr>
          <w:rStyle w:val="FootnoteReference"/>
        </w:rPr>
        <w:footnoteRef/>
      </w:r>
      <w:r>
        <w:t xml:space="preserve"> The abovementioned studies on propaganda by Ellul, Hasswell and Taylor were combined with Jowett and O’Donnell’s study.</w:t>
      </w:r>
    </w:p>
  </w:footnote>
  <w:footnote w:id="110">
    <w:p w14:paraId="2C71695C" w14:textId="77777777" w:rsidR="00DE3AC9" w:rsidRPr="00DE3AC9" w:rsidRDefault="00DE3AC9" w:rsidP="00EB3069">
      <w:pPr>
        <w:pStyle w:val="FootnoteText"/>
      </w:pPr>
      <w:r>
        <w:rPr>
          <w:rStyle w:val="FootnoteReference"/>
        </w:rPr>
        <w:footnoteRef/>
      </w:r>
      <w:r w:rsidRPr="00DE3AC9">
        <w:t xml:space="preserve"> </w:t>
      </w:r>
      <w:r>
        <w:fldChar w:fldCharType="begin"/>
      </w:r>
      <w:r w:rsidRPr="00DE3AC9">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DE3AC9">
        <w:rPr>
          <w:noProof/>
        </w:rPr>
        <w:t xml:space="preserve">Lasswell, </w:t>
      </w:r>
      <w:r w:rsidRPr="00DE3AC9">
        <w:rPr>
          <w:i/>
          <w:noProof/>
        </w:rPr>
        <w:t>Propaganda</w:t>
      </w:r>
      <w:r>
        <w:fldChar w:fldCharType="end"/>
      </w:r>
      <w:r w:rsidRPr="00DE3AC9">
        <w:t xml:space="preserve">, p. 19; </w:t>
      </w:r>
      <w:r>
        <w:fldChar w:fldCharType="begin"/>
      </w:r>
      <w:r w:rsidRPr="00DE3AC9">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xml:space="preserve">, p. 306 and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p. 271.</w:t>
      </w:r>
    </w:p>
  </w:footnote>
  <w:footnote w:id="111">
    <w:p w14:paraId="5A68F9B0"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p. 271.</w:t>
      </w:r>
    </w:p>
  </w:footnote>
  <w:footnote w:id="112">
    <w:p w14:paraId="083FC243" w14:textId="77777777" w:rsidR="00DE3AC9" w:rsidRPr="00415A32" w:rsidRDefault="00DE3AC9" w:rsidP="0048510E">
      <w:pPr>
        <w:pStyle w:val="FootnoteText"/>
      </w:pPr>
      <w:r>
        <w:rPr>
          <w:rStyle w:val="FootnoteReference"/>
        </w:rPr>
        <w:footnoteRef/>
      </w:r>
      <w:r w:rsidRPr="00415A32">
        <w:t xml:space="preserve"> </w:t>
      </w:r>
      <w:r>
        <w:fldChar w:fldCharType="begin"/>
      </w:r>
      <w:r w:rsidRPr="00415A32">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415A32">
        <w:rPr>
          <w:noProof/>
        </w:rPr>
        <w:t xml:space="preserve">Taylor, </w:t>
      </w:r>
      <w:r w:rsidRPr="00415A32">
        <w:rPr>
          <w:i/>
          <w:noProof/>
        </w:rPr>
        <w:t>Munitions</w:t>
      </w:r>
      <w:r>
        <w:fldChar w:fldCharType="end"/>
      </w:r>
      <w:r w:rsidRPr="00415A32">
        <w:t>, p. 170.</w:t>
      </w:r>
    </w:p>
  </w:footnote>
  <w:footnote w:id="113">
    <w:p w14:paraId="110C3858" w14:textId="77777777" w:rsidR="00DE3AC9" w:rsidRPr="00CA7435" w:rsidRDefault="00DE3AC9" w:rsidP="003B3201">
      <w:pPr>
        <w:pStyle w:val="FootnoteText"/>
      </w:pPr>
      <w:r>
        <w:rPr>
          <w:rStyle w:val="FootnoteReference"/>
        </w:rPr>
        <w:footnoteRef/>
      </w:r>
      <w:r w:rsidRPr="00CA7435">
        <w:t xml:space="preserve"> See </w:t>
      </w:r>
      <w:r>
        <w:fldChar w:fldCharType="begin"/>
      </w:r>
      <w:r w:rsidRPr="00CA7435">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CA7435">
        <w:rPr>
          <w:noProof/>
        </w:rPr>
        <w:t xml:space="preserve">Laska, </w:t>
      </w:r>
      <w:r w:rsidRPr="00CA7435">
        <w:rPr>
          <w:i/>
          <w:noProof/>
        </w:rPr>
        <w:t>Presse</w:t>
      </w:r>
      <w:r>
        <w:fldChar w:fldCharType="end"/>
      </w:r>
      <w:r w:rsidRPr="00CA7435">
        <w:t>.</w:t>
      </w:r>
    </w:p>
  </w:footnote>
  <w:footnote w:id="114">
    <w:p w14:paraId="1CDA3DB2" w14:textId="77777777" w:rsidR="00DE3AC9" w:rsidRPr="00191689" w:rsidRDefault="00DE3AC9" w:rsidP="0048510E">
      <w:pPr>
        <w:pStyle w:val="FootnoteText"/>
      </w:pPr>
      <w:r>
        <w:rPr>
          <w:rStyle w:val="FootnoteReference"/>
        </w:rPr>
        <w:footnoteRef/>
      </w:r>
      <w:r>
        <w:t xml:space="preserve"> </w:t>
      </w:r>
      <w:r>
        <w:fldChar w:fldCharType="begin"/>
      </w:r>
      <w:r>
        <w:instrText xml:space="preserve"> ADDIN EN.CITE &lt;EndNote&gt;&lt;Cite&gt;&lt;Author&gt;Horne&lt;/Author&gt;&lt;Year&gt;1997&lt;/Year&gt;&lt;RecNum&gt;145&lt;/RecNum&gt;&lt;DisplayText&gt;John Horne, &amp;apos;Remobilizing for &amp;apos;Total War&amp;apos;: France and Britain, 1917-1918&amp;apos;, in: &lt;style face="italic"&gt;State, society and mobilization in Europe during the First World War, &lt;/style&gt;ed. by J. Horne (Cambridge, 1997),&lt;/DisplayText&gt;&lt;record&gt;&lt;rec-number&gt;145&lt;/rec-number&gt;&lt;foreign-keys&gt;&lt;key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fldChar w:fldCharType="separate"/>
      </w:r>
      <w:r>
        <w:rPr>
          <w:noProof/>
        </w:rPr>
        <w:t xml:space="preserve">John Horne, 'Remobilizing for 'Total War': France and Britain, 1917-1918', in: </w:t>
      </w:r>
      <w:r w:rsidRPr="008C02D4">
        <w:rPr>
          <w:i/>
          <w:noProof/>
        </w:rPr>
        <w:t xml:space="preserve">State, society and mobilization in Europe during the First World War, </w:t>
      </w:r>
      <w:r>
        <w:rPr>
          <w:noProof/>
        </w:rPr>
        <w:t>ed. by J. Horne (Cambridge, 1997),</w:t>
      </w:r>
      <w:r>
        <w:fldChar w:fldCharType="end"/>
      </w:r>
      <w:r>
        <w:t xml:space="preserve"> p. 195.</w:t>
      </w:r>
    </w:p>
  </w:footnote>
  <w:footnote w:id="115">
    <w:p w14:paraId="7B7D9234" w14:textId="77777777" w:rsidR="00DE3AC9" w:rsidRPr="00D5389B" w:rsidRDefault="00DE3AC9" w:rsidP="0048510E">
      <w:pPr>
        <w:pStyle w:val="FootnoteText"/>
        <w:rPr>
          <w:lang w:val="fr-FR"/>
        </w:rPr>
      </w:pPr>
      <w:r>
        <w:rPr>
          <w:rStyle w:val="FootnoteReference"/>
        </w:rPr>
        <w:footnoteRef/>
      </w:r>
      <w:r w:rsidRPr="00D5389B">
        <w:rPr>
          <w:lang w:val="fr-FR"/>
        </w:rPr>
        <w:t xml:space="preserve"> </w:t>
      </w:r>
      <w:r>
        <w:fldChar w:fldCharType="begin"/>
      </w:r>
      <w:r w:rsidRPr="00D5389B">
        <w:rPr>
          <w:lang w:val="fr-FR"/>
        </w:rP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D5389B">
        <w:rPr>
          <w:noProof/>
          <w:lang w:val="fr-FR"/>
        </w:rPr>
        <w:t xml:space="preserve">Taylor, </w:t>
      </w:r>
      <w:r w:rsidRPr="00D5389B">
        <w:rPr>
          <w:i/>
          <w:noProof/>
          <w:lang w:val="fr-FR"/>
        </w:rPr>
        <w:t>Munitions</w:t>
      </w:r>
      <w:r>
        <w:fldChar w:fldCharType="end"/>
      </w:r>
      <w:r w:rsidRPr="00D5389B">
        <w:rPr>
          <w:lang w:val="fr-FR"/>
        </w:rPr>
        <w:t>, pp. 186-188.</w:t>
      </w:r>
    </w:p>
  </w:footnote>
  <w:footnote w:id="116">
    <w:p w14:paraId="1B5ECC1B" w14:textId="77777777" w:rsidR="00DE3AC9" w:rsidRPr="00D5389B" w:rsidRDefault="00DE3AC9" w:rsidP="0048510E">
      <w:pPr>
        <w:pStyle w:val="FootnoteText"/>
        <w:rPr>
          <w:lang w:val="fr-FR"/>
        </w:rPr>
      </w:pPr>
      <w:r>
        <w:rPr>
          <w:rStyle w:val="FootnoteReference"/>
        </w:rPr>
        <w:footnoteRef/>
      </w:r>
      <w:r w:rsidRPr="00D5389B">
        <w:rPr>
          <w:lang w:val="fr-FR"/>
        </w:rPr>
        <w:t xml:space="preserve"> </w:t>
      </w:r>
      <w:r>
        <w:fldChar w:fldCharType="begin"/>
      </w:r>
      <w:r w:rsidRPr="00D5389B">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5389B">
        <w:rPr>
          <w:noProof/>
          <w:lang w:val="fr-FR"/>
        </w:rPr>
        <w:t xml:space="preserve">Ellul, </w:t>
      </w:r>
      <w:r w:rsidRPr="00D5389B">
        <w:rPr>
          <w:i/>
          <w:noProof/>
          <w:lang w:val="fr-FR"/>
        </w:rPr>
        <w:t>Propaganda</w:t>
      </w:r>
      <w:r>
        <w:fldChar w:fldCharType="end"/>
      </w:r>
      <w:r w:rsidRPr="00D5389B">
        <w:rPr>
          <w:lang w:val="fr-FR"/>
        </w:rPr>
        <w:t>, p. 106.</w:t>
      </w:r>
    </w:p>
  </w:footnote>
  <w:footnote w:id="117">
    <w:p w14:paraId="1A85D1B6" w14:textId="11C5B259" w:rsidR="00DE3AC9" w:rsidRPr="00487827" w:rsidRDefault="00DE3AC9" w:rsidP="0048510E">
      <w:pPr>
        <w:pStyle w:val="FootnoteText"/>
      </w:pPr>
      <w:r>
        <w:rPr>
          <w:rStyle w:val="FootnoteReference"/>
        </w:rPr>
        <w:footnoteRef/>
      </w:r>
      <w:r w:rsidRPr="00325903">
        <w:t xml:space="preserve"> </w:t>
      </w:r>
      <w:r>
        <w:t>The</w:t>
      </w:r>
      <w:r w:rsidRPr="00325903">
        <w:t xml:space="preserve"> British Army </w:t>
      </w:r>
      <w:r>
        <w:t xml:space="preserve">had kites </w:t>
      </w:r>
      <w:r w:rsidRPr="00325903">
        <w:t>while the French used balloons to send proclamations and pamphlets during the campaign of Egypt.</w:t>
      </w:r>
      <w:r>
        <w:t xml:space="preserve"> However, these balloons suffered from technical difficulties and were ultimately dismissed.</w:t>
      </w:r>
      <w:r w:rsidRPr="00325903">
        <w:t xml:space="preserve"> </w:t>
      </w:r>
      <w:r>
        <w:rPr>
          <w:lang w:val="fr-FR"/>
        </w:rPr>
        <w:fldChar w:fldCharType="begin"/>
      </w:r>
      <w:r>
        <w:instrText xml:space="preserve"> ADDIN EN.CITE &lt;EndNote&gt;&lt;Cite&gt;&lt;Author&gt;Tulard&lt;/Author&gt;&lt;Year&gt;1999&lt;/Year&gt;&lt;RecNum&gt;45&lt;/RecNum&gt;&lt;DisplayText&gt;Jean Tulard, &lt;style face="italic"&gt;Dictionnaire Napoléon&lt;/style&gt;, (Paris, 1999)&lt;/DisplayText&gt;&lt;record&gt;&lt;rec-number&gt;45&lt;/rec-number&gt;&lt;foreign-keys&gt;&lt;key app="EN" db-id="2f5rvwawcsv2woetvw35fzwbdvvswerd0err"&gt;45&lt;/key&gt;&lt;/foreign-keys&gt;&lt;ref-type name="Book"&gt;6&lt;/ref-type&gt;&lt;contributors&gt;&lt;authors&gt;&lt;author&gt;Tulard, Jean&lt;/author&gt;&lt;/authors&gt;&lt;/contributors&gt;&lt;titles&gt;&lt;title&gt;Dictionnaire Napoléon&lt;/title&gt;&lt;short-title&gt;Dictionnaire&lt;/short-title&gt;&lt;/titles&gt;&lt;dates&gt;&lt;year&gt;1999&lt;/year&gt;&lt;/dates&gt;&lt;pub-location&gt;Paris&lt;/pub-location&gt;&lt;urls&gt;&lt;/urls&gt;&lt;/record&gt;&lt;/Cite&gt;&lt;/EndNote&gt;</w:instrText>
      </w:r>
      <w:r>
        <w:rPr>
          <w:lang w:val="fr-FR"/>
        </w:rPr>
        <w:fldChar w:fldCharType="separate"/>
      </w:r>
      <w:r w:rsidRPr="00AD3467">
        <w:rPr>
          <w:noProof/>
        </w:rPr>
        <w:t xml:space="preserve">Jean Tulard, </w:t>
      </w:r>
      <w:r w:rsidRPr="00AD3467">
        <w:rPr>
          <w:i/>
          <w:noProof/>
        </w:rPr>
        <w:t>Dictionnaire Napoléon</w:t>
      </w:r>
      <w:r w:rsidRPr="00AD3467">
        <w:rPr>
          <w:noProof/>
        </w:rPr>
        <w:t>, (Paris, 1999)</w:t>
      </w:r>
      <w:r>
        <w:rPr>
          <w:lang w:val="fr-FR"/>
        </w:rPr>
        <w:fldChar w:fldCharType="end"/>
      </w:r>
      <w:r w:rsidRPr="00487827">
        <w:t>, p. 39.</w:t>
      </w:r>
      <w:r>
        <w:t xml:space="preserve"> For a short history of aerial leaflets, see also: </w:t>
      </w:r>
      <w:r>
        <w:fldChar w:fldCharType="begin"/>
      </w:r>
      <w:r>
        <w:instrText xml:space="preserve"> ADDIN EN.CITE &lt;EndNote&gt;&lt;Cite&gt;&lt;Author&gt;Manning&lt;/Author&gt;&lt;Year&gt;2004&lt;/Year&gt;&lt;RecNum&gt;104&lt;/RecNum&gt;&lt;DisplayText&gt;Martin Manning and Herbert Romerstein, &lt;style face="italic"&gt;Historical dictionary of American propaganda&lt;/style&gt;, (Westport, 2004)&lt;/DisplayText&gt;&lt;record&gt;&lt;rec-number&gt;104&lt;/rec-number&gt;&lt;foreign-keys&gt;&lt;key app="EN" db-id="2f5rvwawcsv2woetvw35fzwbdvvswerd0err"&gt;104&lt;/key&gt;&lt;/foreign-keys&gt;&lt;ref-type name="Book"&gt;6&lt;/ref-type&gt;&lt;contributors&gt;&lt;authors&gt;&lt;author&gt;Manning, Martin&lt;/author&gt;&lt;author&gt;Romerstein, Herbert&lt;/author&gt;&lt;/authors&gt;&lt;/contributors&gt;&lt;titles&gt;&lt;title&gt;Historical dictionary of American propaganda&lt;/title&gt;&lt;short-title&gt;Historical dictionary&lt;/short-title&gt;&lt;/titles&gt;&lt;dates&gt;&lt;year&gt;2004&lt;/year&gt;&lt;/dates&gt;&lt;pub-location&gt;Westport&lt;/pub-location&gt;&lt;urls&gt;&lt;/urls&gt;&lt;/record&gt;&lt;/Cite&gt;&lt;/EndNote&gt;</w:instrText>
      </w:r>
      <w:r>
        <w:fldChar w:fldCharType="separate"/>
      </w:r>
      <w:r>
        <w:rPr>
          <w:noProof/>
        </w:rPr>
        <w:t xml:space="preserve">Martin Manning and Herbert Romerstein, </w:t>
      </w:r>
      <w:r w:rsidRPr="009F327E">
        <w:rPr>
          <w:i/>
          <w:noProof/>
        </w:rPr>
        <w:t>Historical dictionary of American propaganda</w:t>
      </w:r>
      <w:r>
        <w:rPr>
          <w:noProof/>
        </w:rPr>
        <w:t>, (Westport, 2004)</w:t>
      </w:r>
      <w:r>
        <w:fldChar w:fldCharType="end"/>
      </w:r>
      <w:r>
        <w:t>, p. 159.</w:t>
      </w:r>
    </w:p>
  </w:footnote>
  <w:footnote w:id="118">
    <w:p w14:paraId="1ACAF6A1" w14:textId="77777777" w:rsidR="00DE3AC9" w:rsidRPr="001C020F" w:rsidRDefault="00DE3AC9" w:rsidP="005C7BEE">
      <w:pPr>
        <w:pStyle w:val="FootnoteText"/>
      </w:pPr>
      <w:r>
        <w:rPr>
          <w:rStyle w:val="FootnoteReference"/>
        </w:rPr>
        <w:footnoteRef/>
      </w:r>
      <w:r>
        <w:t xml:space="preserve"> </w:t>
      </w:r>
      <w:r>
        <w:fldChar w:fldCharType="begin"/>
      </w:r>
      <w:r>
        <w:instrText xml:space="preserve"> ADDIN EN.CITE &lt;EndNote&gt;&lt;Cite&gt;&lt;Author&gt;Horne&lt;/Author&gt;&lt;Year&gt;1997&lt;/Year&gt;&lt;RecNum&gt;50&lt;/RecNum&gt;&lt;DisplayText&gt;Alistair Horne, &lt;style face="italic"&gt;The fall of Paris: the siege and the Commune, 1870-71&lt;/style&gt;, (London, 1997)&lt;/DisplayText&gt;&lt;record&gt;&lt;rec-number&gt;50&lt;/rec-number&gt;&lt;foreign-keys&gt;&lt;key app="EN" db-id="2f5rvwawcsv2woetvw35fzwbdvvswerd0err"&gt;50&lt;/key&gt;&lt;/foreign-keys&gt;&lt;ref-type name="Book"&gt;6&lt;/ref-type&gt;&lt;contributors&gt;&lt;authors&gt;&lt;author&gt;Horne, Alistair&lt;/author&gt;&lt;/authors&gt;&lt;/contributors&gt;&lt;titles&gt;&lt;title&gt;The fall of Paris: the siege and the Commune, 1870-71&lt;/title&gt;&lt;short-title&gt;The fall&lt;/short-title&gt;&lt;/titles&gt;&lt;dates&gt;&lt;year&gt;1997&lt;/year&gt;&lt;/dates&gt;&lt;pub-location&gt;London&lt;/pub-location&gt;&lt;urls&gt;&lt;/urls&gt;&lt;/record&gt;&lt;/Cite&gt;&lt;/EndNote&gt;</w:instrText>
      </w:r>
      <w:r>
        <w:fldChar w:fldCharType="separate"/>
      </w:r>
      <w:r>
        <w:rPr>
          <w:noProof/>
        </w:rPr>
        <w:t xml:space="preserve">Alistair Horne, </w:t>
      </w:r>
      <w:r w:rsidRPr="005C7BEE">
        <w:rPr>
          <w:i/>
          <w:noProof/>
        </w:rPr>
        <w:t>The fall of Paris: the siege and the Commune, 1870-71</w:t>
      </w:r>
      <w:r>
        <w:rPr>
          <w:noProof/>
        </w:rPr>
        <w:t>, (London, 1997)</w:t>
      </w:r>
      <w:r>
        <w:fldChar w:fldCharType="end"/>
      </w:r>
      <w:r>
        <w:t xml:space="preserve">, pp. 84; 121-134. A balloon service was also organised during the siege of Metz but was forbidden by the authorities because of the security risks involved. </w:t>
      </w:r>
      <w:r>
        <w:fldChar w:fldCharType="begin"/>
      </w:r>
      <w:r>
        <w:instrText xml:space="preserve"> ADDIN EN.CITE &lt;EndNote&gt;&lt;Cite&gt;&lt;Author&gt;Patry&lt;/Author&gt;&lt;Year&gt;2001&lt;/Year&gt;&lt;RecNum&gt;52&lt;/RecNum&gt;&lt;DisplayText&gt;Leonce Patry, &lt;style face="italic"&gt;The reality of war: a memoir of the Franco-Prussian war 1870-1871&lt;/style&gt;, (London, 2001)&lt;/DisplayText&gt;&lt;record&gt;&lt;rec-number&gt;52&lt;/rec-number&gt;&lt;foreign-keys&gt;&lt;key app="EN" db-id="2f5rvwawcsv2woetvw35fzwbdvvswerd0err"&gt;52&lt;/key&gt;&lt;/foreign-keys&gt;&lt;ref-type name="Book"&gt;6&lt;/ref-type&gt;&lt;contributors&gt;&lt;authors&gt;&lt;author&gt;Patry, Leonce&lt;/author&gt;&lt;/authors&gt;&lt;/contributors&gt;&lt;titles&gt;&lt;title&gt;The reality of war: a memoir of the Franco-Prussian war 1870-1871&lt;/title&gt;&lt;short-title&gt;The reality of war&lt;/short-title&gt;&lt;/titles&gt;&lt;dates&gt;&lt;year&gt;2001&lt;/year&gt;&lt;/dates&gt;&lt;pub-location&gt;London&lt;/pub-location&gt;&lt;urls&gt;&lt;/urls&gt;&lt;/record&gt;&lt;/Cite&gt;&lt;/EndNote&gt;</w:instrText>
      </w:r>
      <w:r>
        <w:fldChar w:fldCharType="separate"/>
      </w:r>
      <w:r>
        <w:rPr>
          <w:noProof/>
        </w:rPr>
        <w:t xml:space="preserve">Leonce Patry, </w:t>
      </w:r>
      <w:r w:rsidRPr="005C7BEE">
        <w:rPr>
          <w:i/>
          <w:noProof/>
        </w:rPr>
        <w:t>The reality of war: a memoir of the Franco-Prussian war 1870-1871</w:t>
      </w:r>
      <w:r>
        <w:rPr>
          <w:noProof/>
        </w:rPr>
        <w:t>, (London, 2001)</w:t>
      </w:r>
      <w:r>
        <w:fldChar w:fldCharType="end"/>
      </w:r>
      <w:r>
        <w:t>, p. 335.</w:t>
      </w:r>
    </w:p>
  </w:footnote>
  <w:footnote w:id="119">
    <w:p w14:paraId="77644B36" w14:textId="77777777" w:rsidR="00DE3AC9" w:rsidRPr="00F834E2" w:rsidRDefault="00DE3AC9" w:rsidP="0048510E">
      <w:pPr>
        <w:pStyle w:val="FootnoteText"/>
        <w:rPr>
          <w:lang w:val="fr-FR"/>
        </w:rPr>
      </w:pPr>
      <w:r>
        <w:rPr>
          <w:rStyle w:val="FootnoteReference"/>
        </w:rPr>
        <w:footnoteRef/>
      </w:r>
      <w:r w:rsidRPr="00644560">
        <w:rPr>
          <w:lang w:val="fr-FR"/>
        </w:rPr>
        <w:t xml:space="preserve"> </w:t>
      </w:r>
      <w:r>
        <w:rPr>
          <w:lang w:val="fr-FR"/>
        </w:rPr>
        <w:fldChar w:fldCharType="begin"/>
      </w:r>
      <w:r w:rsidRPr="00644560">
        <w:rPr>
          <w:lang w:val="fr-FR"/>
        </w:rPr>
        <w:instrText xml:space="preserve"> ADDIN EN.CITE &lt;EndNote&gt;&lt;Cite&gt;&lt;Author&gt;Tissandier&lt;/Author&gt;&lt;Year&gt;1871&lt;/Year&gt;&lt;RecNum&gt;46&lt;/RecNum&gt;&lt;DisplayText&gt;Gaston Tissandier, &lt;style face="italic"&gt;En ballon ! Pendant le siège de Paris: souvenirs d&amp;apos;un aéronaute&lt;/style&gt;, (Paris, 1871)&lt;/DisplayText&gt;&lt;record&gt;&lt;rec-number&gt;46&lt;/rec-number&gt;&lt;foreign-keys&gt;&lt;key app="EN" db-id="2f5rvwawcsv2woetvw35fzwbdvvswerd0err"&gt;46&lt;/key&gt;&lt;/foreign-keys&gt;&lt;ref-type name="Book"&gt;6&lt;/ref-type&gt;&lt;contributors&gt;&lt;authors&gt;&lt;author&gt;Tissandier, Gaston&lt;/author&gt;&lt;/authors&gt;&lt;/contributors&gt;&lt;titles&gt;&lt;title&gt;En ballon ! Pendant le siège de Paris: souvenirs d&amp;apos;un aéronaute&lt;/title&gt;&lt;short-title&gt;En ballon&lt;/short-title&gt;&lt;/titles&gt;&lt;dates&gt;&lt;year&gt;1871&lt;/year&gt;&lt;/dates&gt;&lt;pub-location&gt;Paris&lt;/pub-location&gt;&lt;urls&gt;&lt;/urls&gt;&lt;/record&gt;&lt;/Cite&gt;&lt;/EndNote&gt;</w:instrText>
      </w:r>
      <w:r>
        <w:rPr>
          <w:lang w:val="fr-FR"/>
        </w:rPr>
        <w:fldChar w:fldCharType="separate"/>
      </w:r>
      <w:r w:rsidRPr="00644560">
        <w:rPr>
          <w:noProof/>
          <w:lang w:val="fr-FR"/>
        </w:rPr>
        <w:t xml:space="preserve">Gaston Tissandier, </w:t>
      </w:r>
      <w:r w:rsidRPr="00644560">
        <w:rPr>
          <w:i/>
          <w:noProof/>
          <w:lang w:val="fr-FR"/>
        </w:rPr>
        <w:t xml:space="preserve">En ballon ! </w:t>
      </w:r>
      <w:r w:rsidRPr="002A0BFE">
        <w:rPr>
          <w:i/>
          <w:noProof/>
          <w:lang w:val="fr-FR"/>
        </w:rPr>
        <w:t>Pendant le siège de Paris: souvenirs d'un aéronaute</w:t>
      </w:r>
      <w:r w:rsidRPr="002A0BFE">
        <w:rPr>
          <w:noProof/>
          <w:lang w:val="fr-FR"/>
        </w:rPr>
        <w:t>, (Paris, 1871)</w:t>
      </w:r>
      <w:r>
        <w:rPr>
          <w:lang w:val="fr-FR"/>
        </w:rPr>
        <w:fldChar w:fldCharType="end"/>
      </w:r>
      <w:r>
        <w:rPr>
          <w:lang w:val="fr-FR"/>
        </w:rPr>
        <w:t>, pp. 9-10.</w:t>
      </w:r>
    </w:p>
  </w:footnote>
  <w:footnote w:id="120">
    <w:p w14:paraId="5DA656D1" w14:textId="77777777" w:rsidR="00DE3AC9" w:rsidRPr="00B40615" w:rsidRDefault="00DE3AC9" w:rsidP="0048510E">
      <w:pPr>
        <w:pStyle w:val="FootnoteText"/>
      </w:pPr>
      <w:r>
        <w:rPr>
          <w:rStyle w:val="FootnoteReference"/>
        </w:rPr>
        <w:footnoteRef/>
      </w:r>
      <w:r w:rsidRPr="00B40615">
        <w:t xml:space="preserve"> Nadar</w:t>
      </w:r>
      <w:r>
        <w:t>’s enemies</w:t>
      </w:r>
      <w:r w:rsidRPr="00B40615">
        <w:t xml:space="preserve"> accused</w:t>
      </w:r>
      <w:r>
        <w:t xml:space="preserve"> him</w:t>
      </w:r>
      <w:r w:rsidRPr="00B40615">
        <w:t xml:space="preserve"> of dropping advertisements for </w:t>
      </w:r>
      <w:r>
        <w:t xml:space="preserve">his own company instead of propaganda leaflets. Was it perhaps the first form of aggressive advertising? </w:t>
      </w:r>
      <w:r>
        <w:fldChar w:fldCharType="begin"/>
      </w:r>
      <w:r>
        <w:instrText xml:space="preserve"> ADDIN EN.CITE &lt;EndNote&gt;&lt;Cite&gt;&lt;Author&gt;Horne&lt;/Author&gt;&lt;Year&gt;1997&lt;/Year&gt;&lt;RecNum&gt;50&lt;/RecNum&gt;&lt;DisplayText&gt;Horne, &lt;style face="italic"&gt;The fall&lt;/style&gt;&lt;/DisplayText&gt;&lt;record&gt;&lt;rec-number&gt;50&lt;/rec-number&gt;&lt;foreign-keys&gt;&lt;key app="EN" db-id="2f5rvwawcsv2woetvw35fzwbdvvswerd0err"&gt;50&lt;/key&gt;&lt;/foreign-keys&gt;&lt;ref-type name="Book"&gt;6&lt;/ref-type&gt;&lt;contributors&gt;&lt;authors&gt;&lt;author&gt;Horne, Alistair&lt;/author&gt;&lt;/authors&gt;&lt;/contributors&gt;&lt;titles&gt;&lt;title&gt;The fall of Paris: the siege and the Commune, 1870-71&lt;/title&gt;&lt;short-title&gt;The fall&lt;/short-title&gt;&lt;/titles&gt;&lt;dates&gt;&lt;year&gt;1997&lt;/year&gt;&lt;/dates&gt;&lt;pub-location&gt;London&lt;/pub-location&gt;&lt;urls&gt;&lt;/urls&gt;&lt;/record&gt;&lt;/Cite&gt;&lt;/EndNote&gt;</w:instrText>
      </w:r>
      <w:r>
        <w:fldChar w:fldCharType="separate"/>
      </w:r>
      <w:r>
        <w:rPr>
          <w:noProof/>
        </w:rPr>
        <w:t xml:space="preserve">Horne, </w:t>
      </w:r>
      <w:r w:rsidRPr="00AD3467">
        <w:rPr>
          <w:i/>
          <w:noProof/>
        </w:rPr>
        <w:t>The fall</w:t>
      </w:r>
      <w:r>
        <w:fldChar w:fldCharType="end"/>
      </w:r>
      <w:r>
        <w:t>, p. 123.</w:t>
      </w:r>
    </w:p>
  </w:footnote>
  <w:footnote w:id="121">
    <w:p w14:paraId="515D8809" w14:textId="77777777" w:rsidR="00DE3AC9" w:rsidRPr="00614F0B" w:rsidRDefault="00DE3AC9" w:rsidP="0048510E">
      <w:pPr>
        <w:pStyle w:val="FootnoteText"/>
      </w:pPr>
      <w:r>
        <w:rPr>
          <w:rStyle w:val="FootnoteReference"/>
        </w:rPr>
        <w:footnoteRef/>
      </w:r>
      <w:r w:rsidRPr="0088543C">
        <w:rPr>
          <w:lang w:val="fr-BE"/>
        </w:rPr>
        <w:t xml:space="preserve"> </w:t>
      </w:r>
      <w:r w:rsidRPr="00F729E8">
        <w:rPr>
          <w:lang w:val="fr-FR"/>
        </w:rPr>
        <w:t>Many other aerial newspapers were created such</w:t>
      </w:r>
      <w:r>
        <w:rPr>
          <w:lang w:val="fr-FR"/>
        </w:rPr>
        <w:t xml:space="preserve"> as </w:t>
      </w:r>
      <w:r>
        <w:rPr>
          <w:i/>
          <w:iCs/>
          <w:lang w:val="fr-FR"/>
        </w:rPr>
        <w:t xml:space="preserve">L’ami de la France, La Chronique illustrée, La Cloche, La Correspondance Havas, L’Echo des Etrangers, L’Electeur Libre, L’Enveloppe-Gazette, La Gazette des Absences, Le Gaulois, Le Journal Officiel de la République française, Le Journal d’Outre-mer, Le Journal Poste, Le Moniteur Aérien, Le Montgolfier, Le National, Le Petit Journal, Le Siècle, Le Soir </w:t>
      </w:r>
      <w:r>
        <w:rPr>
          <w:lang w:val="fr-FR"/>
        </w:rPr>
        <w:t xml:space="preserve">or </w:t>
      </w:r>
      <w:r>
        <w:rPr>
          <w:i/>
          <w:iCs/>
          <w:lang w:val="fr-FR"/>
        </w:rPr>
        <w:t>La Vérité</w:t>
      </w:r>
      <w:r>
        <w:rPr>
          <w:lang w:val="fr-FR"/>
        </w:rPr>
        <w:t xml:space="preserve">. </w:t>
      </w:r>
      <w:r w:rsidRPr="00614F0B">
        <w:t>All were published between September 1870 and February 1871.</w:t>
      </w:r>
    </w:p>
  </w:footnote>
  <w:footnote w:id="122">
    <w:p w14:paraId="0C38A1A1" w14:textId="77777777" w:rsidR="00DE3AC9" w:rsidRPr="00BE290D" w:rsidRDefault="00DE3AC9" w:rsidP="0048510E">
      <w:pPr>
        <w:pStyle w:val="FootnoteText"/>
      </w:pPr>
      <w:r>
        <w:rPr>
          <w:rStyle w:val="FootnoteReference"/>
        </w:rPr>
        <w:footnoteRef/>
      </w:r>
      <w:r>
        <w:t xml:space="preserve"> </w:t>
      </w:r>
      <w:r>
        <w:fldChar w:fldCharType="begin"/>
      </w:r>
      <w:r>
        <w:instrText xml:space="preserve"> ADDIN EN.CITE &lt;EndNote&gt;&lt;Cite&gt;&lt;Author&gt;Blind&lt;/Author&gt;&lt;Year&gt;1898&lt;/Year&gt;&lt;RecNum&gt;317&lt;/RecNum&gt;&lt;DisplayText&gt;Karl Blind, &amp;apos;The siege of Paris and the Air-Ships&amp;apos;, in: &lt;style face="italic"&gt;The North American Review, &lt;/style&gt;166 (1898), &lt;/DisplayText&gt;&lt;record&gt;&lt;rec-number&gt;317&lt;/rec-number&gt;&lt;foreign-keys&gt;&lt;key app="EN" db-id="2f5rvwawcsv2woetvw35fzwbdvvswerd0err"&gt;317&lt;/key&gt;&lt;/foreign-keys&gt;&lt;ref-type name="Journal Article"&gt;17&lt;/ref-type&gt;&lt;contributors&gt;&lt;authors&gt;&lt;author&gt;Blind, Karl&lt;/author&gt;&lt;/authors&gt;&lt;/contributors&gt;&lt;titles&gt;&lt;title&gt;The siege of Paris and the Air-Ships&lt;/title&gt;&lt;secondary-title&gt;The North American Review&lt;/secondary-title&gt;&lt;short-title&gt;The siege of Paris&lt;/short-title&gt;&lt;/titles&gt;&lt;periodical&gt;&lt;full-title&gt;The North American Review&lt;/full-title&gt;&lt;/periodical&gt;&lt;volume&gt;166&lt;/volume&gt;&lt;dates&gt;&lt;year&gt;1898&lt;/year&gt;&lt;/dates&gt;&lt;urls&gt;&lt;/urls&gt;&lt;/record&gt;&lt;/Cite&gt;&lt;/EndNote&gt;</w:instrText>
      </w:r>
      <w:r>
        <w:fldChar w:fldCharType="separate"/>
      </w:r>
      <w:r>
        <w:rPr>
          <w:noProof/>
        </w:rPr>
        <w:t xml:space="preserve">Karl Blind, 'The siege of Paris and the Air-Ships', in: </w:t>
      </w:r>
      <w:r w:rsidRPr="00BE290D">
        <w:rPr>
          <w:i/>
          <w:noProof/>
        </w:rPr>
        <w:t xml:space="preserve">The North American Review, </w:t>
      </w:r>
      <w:r>
        <w:rPr>
          <w:noProof/>
        </w:rPr>
        <w:t xml:space="preserve">166 (1898), </w:t>
      </w:r>
      <w:r>
        <w:fldChar w:fldCharType="end"/>
      </w:r>
      <w:r>
        <w:t>p. 478.</w:t>
      </w:r>
    </w:p>
  </w:footnote>
  <w:footnote w:id="123">
    <w:p w14:paraId="739D6797" w14:textId="77777777" w:rsidR="00DE3AC9" w:rsidRPr="00F729E8" w:rsidRDefault="00DE3AC9" w:rsidP="0048510E">
      <w:pPr>
        <w:pStyle w:val="FootnoteText"/>
      </w:pPr>
      <w:r>
        <w:rPr>
          <w:rStyle w:val="FootnoteReference"/>
        </w:rPr>
        <w:footnoteRef/>
      </w:r>
      <w:r w:rsidRPr="00F729E8">
        <w:t xml:space="preserve"> </w:t>
      </w:r>
      <w:r>
        <w:rPr>
          <w:lang w:val="fr-FR"/>
        </w:rPr>
        <w:fldChar w:fldCharType="begin"/>
      </w:r>
      <w: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AD3467">
        <w:rPr>
          <w:noProof/>
        </w:rPr>
        <w:t xml:space="preserve">Ellul, </w:t>
      </w:r>
      <w:r w:rsidRPr="00AD3467">
        <w:rPr>
          <w:i/>
          <w:noProof/>
        </w:rPr>
        <w:t>Propaganda</w:t>
      </w:r>
      <w:r>
        <w:rPr>
          <w:lang w:val="fr-FR"/>
        </w:rPr>
        <w:fldChar w:fldCharType="end"/>
      </w:r>
      <w:r w:rsidRPr="00F729E8">
        <w:t>, pp. 37-38.</w:t>
      </w:r>
    </w:p>
  </w:footnote>
  <w:footnote w:id="124">
    <w:p w14:paraId="789BFE58" w14:textId="77777777" w:rsidR="00DE3AC9" w:rsidRPr="00BC190F" w:rsidRDefault="00DE3AC9" w:rsidP="0048510E">
      <w:pPr>
        <w:pStyle w:val="FootnoteText"/>
      </w:pPr>
      <w:r>
        <w:rPr>
          <w:rStyle w:val="FootnoteReference"/>
        </w:rPr>
        <w:footnoteRef/>
      </w:r>
      <w:r w:rsidRPr="00BC190F">
        <w:t xml:space="preserve"> </w:t>
      </w:r>
      <w:r>
        <w:fldChar w:fldCharType="begin"/>
      </w:r>
      <w:r>
        <w:instrText xml:space="preserve"> ADDIN EN.CITE &lt;EndNote&gt;&lt;Cite&gt;&lt;Author&gt;Horne&lt;/Author&gt;&lt;Year&gt;1997&lt;/Year&gt;&lt;RecNum&gt;50&lt;/RecNum&gt;&lt;DisplayText&gt;Horne, &lt;style face="italic"&gt;The fall&lt;/style&gt;&lt;/DisplayText&gt;&lt;record&gt;&lt;rec-number&gt;50&lt;/rec-number&gt;&lt;foreign-keys&gt;&lt;key app="EN" db-id="2f5rvwawcsv2woetvw35fzwbdvvswerd0err"&gt;50&lt;/key&gt;&lt;/foreign-keys&gt;&lt;ref-type name="Book"&gt;6&lt;/ref-type&gt;&lt;contributors&gt;&lt;authors&gt;&lt;author&gt;Horne, Alistair&lt;/author&gt;&lt;/authors&gt;&lt;/contributors&gt;&lt;titles&gt;&lt;title&gt;The fall of Paris: the siege and the Commune, 1870-71&lt;/title&gt;&lt;short-title&gt;The fall&lt;/short-title&gt;&lt;/titles&gt;&lt;dates&gt;&lt;year&gt;1997&lt;/year&gt;&lt;/dates&gt;&lt;pub-location&gt;London&lt;/pub-location&gt;&lt;urls&gt;&lt;/urls&gt;&lt;/record&gt;&lt;/Cite&gt;&lt;/EndNote&gt;</w:instrText>
      </w:r>
      <w:r>
        <w:fldChar w:fldCharType="separate"/>
      </w:r>
      <w:r>
        <w:rPr>
          <w:noProof/>
        </w:rPr>
        <w:t xml:space="preserve">Horne, </w:t>
      </w:r>
      <w:r w:rsidRPr="00AD3467">
        <w:rPr>
          <w:i/>
          <w:noProof/>
        </w:rPr>
        <w:t>The fall</w:t>
      </w:r>
      <w:r>
        <w:fldChar w:fldCharType="end"/>
      </w:r>
      <w:r w:rsidRPr="00BC190F">
        <w:t>, pp. 121-134.</w:t>
      </w:r>
    </w:p>
  </w:footnote>
  <w:footnote w:id="125">
    <w:p w14:paraId="137964CA" w14:textId="77777777" w:rsidR="00DE3AC9" w:rsidRPr="000D51C7" w:rsidRDefault="00DE3AC9" w:rsidP="0048510E">
      <w:pPr>
        <w:pStyle w:val="FootnoteText"/>
        <w:rPr>
          <w:lang w:val="fr-FR"/>
        </w:rPr>
      </w:pPr>
      <w:r w:rsidRPr="000D51C7">
        <w:rPr>
          <w:rStyle w:val="FootnoteReference"/>
        </w:rPr>
        <w:footnoteRef/>
      </w:r>
      <w:r w:rsidRPr="00DE3AC9">
        <w:t xml:space="preserve"> See for example: Grandjean and Gascard, </w:t>
      </w:r>
      <w:r w:rsidRPr="00DE3AC9">
        <w:rPr>
          <w:i/>
          <w:iCs/>
        </w:rPr>
        <w:t>Les ballons sortis pendant le Siège de Paris</w:t>
      </w:r>
      <w:r w:rsidRPr="00DE3AC9">
        <w:t xml:space="preserve"> [Lithography]. </w:t>
      </w:r>
      <w:r>
        <w:t xml:space="preserve">In: Library of Congress Online Catalog </w:t>
      </w:r>
      <w:hyperlink r:id="rId3" w:history="1">
        <w:r w:rsidRPr="00CA79AC">
          <w:rPr>
            <w:rStyle w:val="Hyperlink"/>
          </w:rPr>
          <w:t>http://www.loc.gov/pictures/resource/cph.3g10775/</w:t>
        </w:r>
      </w:hyperlink>
      <w:r>
        <w:t xml:space="preserve"> [consulted 1 August 2012]. </w:t>
      </w:r>
      <w:r>
        <w:rPr>
          <w:lang w:val="fr-BE"/>
        </w:rPr>
        <w:t xml:space="preserve">Paris, between 1871 and 1880 and </w:t>
      </w:r>
      <w:r>
        <w:rPr>
          <w:lang w:val="fr-BE"/>
        </w:rPr>
        <w:fldChar w:fldCharType="begin"/>
      </w:r>
      <w:r>
        <w:rPr>
          <w:lang w:val="fr-BE"/>
        </w:rPr>
        <w:instrText xml:space="preserve"> ADDIN EN.CITE &lt;EndNote&gt;&lt;Cite&gt;&lt;Author&gt;Tissandier&lt;/Author&gt;&lt;Year&gt;1871&lt;/Year&gt;&lt;RecNum&gt;46&lt;/RecNum&gt;&lt;DisplayText&gt;Tissandier, &lt;style face="italic"&gt;En ballon&lt;/style&gt;&lt;/DisplayText&gt;&lt;record&gt;&lt;rec-number&gt;46&lt;/rec-number&gt;&lt;foreign-keys&gt;&lt;key app="EN" db-id="2f5rvwawcsv2woetvw35fzwbdvvswerd0err"&gt;46&lt;/key&gt;&lt;/foreign-keys&gt;&lt;ref-type name="Book"&gt;6&lt;/ref-type&gt;&lt;contributors&gt;&lt;authors&gt;&lt;author&gt;Tissandier, Gaston&lt;/author&gt;&lt;/authors&gt;&lt;/contributors&gt;&lt;titles&gt;&lt;title&gt;En ballon ! Pendant le siège de Paris: souvenirs d&amp;apos;un aéronaute&lt;/title&gt;&lt;short-title&gt;En ballon&lt;/short-title&gt;&lt;/titles&gt;&lt;dates&gt;&lt;year&gt;1871&lt;/year&gt;&lt;/dates&gt;&lt;pub-location&gt;Paris&lt;/pub-location&gt;&lt;urls&gt;&lt;/urls&gt;&lt;/record&gt;&lt;/Cite&gt;&lt;/EndNote&gt;</w:instrText>
      </w:r>
      <w:r>
        <w:rPr>
          <w:lang w:val="fr-BE"/>
        </w:rPr>
        <w:fldChar w:fldCharType="separate"/>
      </w:r>
      <w:r>
        <w:rPr>
          <w:noProof/>
          <w:lang w:val="fr-BE"/>
        </w:rPr>
        <w:t xml:space="preserve">Tissandier, </w:t>
      </w:r>
      <w:r w:rsidRPr="00AD3467">
        <w:rPr>
          <w:i/>
          <w:noProof/>
          <w:lang w:val="fr-BE"/>
        </w:rPr>
        <w:t>En ballon</w:t>
      </w:r>
      <w:r>
        <w:rPr>
          <w:lang w:val="fr-BE"/>
        </w:rPr>
        <w:fldChar w:fldCharType="end"/>
      </w:r>
      <w:r>
        <w:rPr>
          <w:lang w:val="fr-BE"/>
        </w:rPr>
        <w:t>.</w:t>
      </w:r>
    </w:p>
  </w:footnote>
  <w:footnote w:id="126">
    <w:p w14:paraId="331C65BC" w14:textId="77777777" w:rsidR="00DE3AC9" w:rsidRPr="0067210D" w:rsidRDefault="00DE3AC9" w:rsidP="0048510E">
      <w:pPr>
        <w:pStyle w:val="FootnoteText"/>
        <w:rPr>
          <w:lang w:val="fr-FR"/>
        </w:rPr>
      </w:pPr>
      <w:r>
        <w:rPr>
          <w:rStyle w:val="FootnoteReference"/>
        </w:rPr>
        <w:footnoteRef/>
      </w:r>
      <w:r>
        <w:rPr>
          <w:lang w:val="fr-FR"/>
        </w:rPr>
        <w:fldChar w:fldCharType="begin"/>
      </w:r>
      <w:r>
        <w:rPr>
          <w:lang w:val="fr-FR"/>
        </w:rPr>
        <w:instrText xml:space="preserve"> ADDIN EN.CITE &lt;EndNote&gt;&lt;Cite&gt;&lt;Author&gt;Joly&lt;/Author&gt;&lt;Year&gt;2004&lt;/Year&gt;&lt;RecNum&gt;146&lt;/RecNum&gt;&lt;DisplayText&gt;Bertrand Joly, &amp;apos;Le souvenir de 1870 et la place de la Revanche&amp;apos;, in: &lt;style face="italic"&gt;Encyclopédie de la Grande Guerre, &lt;/style&gt;ed. by Stéphane Audoin-Rouzeau and Jean-Jacques Becker (Paris, 2004),&lt;/DisplayText&gt;&lt;record&gt;&lt;rec-number&gt;146&lt;/rec-number&gt;&lt;foreign-keys&gt;&lt;key app="EN" db-id="2f5rvwawcsv2woetvw35fzwbdvvswerd0err"&gt;146&lt;/key&gt;&lt;/foreign-keys&gt;&lt;ref-type name="Book Section"&gt;5&lt;/ref-type&gt;&lt;contributors&gt;&lt;authors&gt;&lt;author&gt;Joly, Bertrand&lt;/author&gt;&lt;/authors&gt;&lt;secondary-authors&gt;&lt;author&gt;Stéphane Audoin-Rouzeau&lt;/author&gt;&lt;author&gt;Jean-Jacques Becker&lt;/author&gt;&lt;/secondary-authors&gt;&lt;/contributors&gt;&lt;titles&gt;&lt;title&gt;Le souvenir de 1870 et la place de la Revanche&lt;/title&gt;&lt;secondary-title&gt;Encyclopédie de la Grande Guerre&lt;/secondary-title&gt;&lt;short-title&gt;Le souvenir&lt;/short-title&gt;&lt;/titles&gt;&lt;dates&gt;&lt;year&gt;2004&lt;/year&gt;&lt;/dates&gt;&lt;pub-location&gt;Paris&lt;/pub-location&gt;&lt;urls&gt;&lt;/urls&gt;&lt;/record&gt;&lt;/Cite&gt;&lt;/EndNote&gt;</w:instrText>
      </w:r>
      <w:r>
        <w:rPr>
          <w:lang w:val="fr-FR"/>
        </w:rPr>
        <w:fldChar w:fldCharType="separate"/>
      </w:r>
      <w:r>
        <w:rPr>
          <w:noProof/>
          <w:lang w:val="fr-FR"/>
        </w:rPr>
        <w:t xml:space="preserve">Bertrand Joly, 'Le souvenir de 1870 et la place de la Revanche', in: </w:t>
      </w:r>
      <w:r w:rsidRPr="008C02D4">
        <w:rPr>
          <w:i/>
          <w:noProof/>
          <w:lang w:val="fr-FR"/>
        </w:rPr>
        <w:t xml:space="preserve">Encyclopédie de la Grande Guerre, </w:t>
      </w:r>
      <w:r>
        <w:rPr>
          <w:noProof/>
          <w:lang w:val="fr-FR"/>
        </w:rPr>
        <w:t>ed. by Stéphane Audoin-Rouzeau and Jean-Jacques Becker (Paris, 2004),</w:t>
      </w:r>
      <w:r>
        <w:rPr>
          <w:lang w:val="fr-FR"/>
        </w:rPr>
        <w:fldChar w:fldCharType="end"/>
      </w:r>
      <w:r>
        <w:rPr>
          <w:lang w:val="fr-FR"/>
        </w:rPr>
        <w:t xml:space="preserve"> p. 113 and </w:t>
      </w:r>
      <w:r>
        <w:rPr>
          <w:lang w:val="fr-FR"/>
        </w:rPr>
        <w:fldChar w:fldCharType="begin"/>
      </w:r>
      <w:r>
        <w:rPr>
          <w:lang w:val="fr-FR"/>
        </w:rPr>
        <w:instrText xml:space="preserve"> ADDIN EN.CITE &lt;EndNote&gt;&lt;Cite&gt;&lt;Author&gt;Joly&lt;/Author&gt;&lt;Year&gt;1999&lt;/Year&gt;&lt;RecNum&gt;333&lt;/RecNum&gt;&lt;DisplayText&gt;Bertrand Joly, &amp;apos;La France et la Revanche (1871-1914)&amp;apos;, in: &lt;style face="italic"&gt;Revue d&amp;apos;histoire moderne et contemporaine, &lt;/style&gt;46 (1999), &lt;/DisplayText&gt;&lt;record&gt;&lt;rec-number&gt;333&lt;/rec-number&gt;&lt;foreign-keys&gt;&lt;key app="EN" db-id="2f5rvwawcsv2woetvw35fzwbdvvswerd0err"&gt;333&lt;/key&gt;&lt;/foreign-keys&gt;&lt;ref-type name="Journal Article"&gt;17&lt;/ref-type&gt;&lt;contributors&gt;&lt;authors&gt;&lt;author&gt;Joly, Bertrand&lt;/author&gt;&lt;/authors&gt;&lt;/contributors&gt;&lt;titles&gt;&lt;title&gt;La France et la Revanche (1871-1914)&lt;/title&gt;&lt;secondary-title&gt;Revue d&amp;apos;histoire moderne et contemporaine&lt;/secondary-title&gt;&lt;short-title&gt;La France et la Revanche&lt;/short-title&gt;&lt;/titles&gt;&lt;periodical&gt;&lt;full-title&gt;Revue d&amp;apos;histoire moderne et contemporaine&lt;/full-title&gt;&lt;/periodical&gt;&lt;volume&gt;46&lt;/volume&gt;&lt;dates&gt;&lt;year&gt;1999&lt;/year&gt;&lt;/dates&gt;&lt;urls&gt;&lt;/urls&gt;&lt;/record&gt;&lt;/Cite&gt;&lt;/EndNote&gt;</w:instrText>
      </w:r>
      <w:r>
        <w:rPr>
          <w:lang w:val="fr-FR"/>
        </w:rPr>
        <w:fldChar w:fldCharType="separate"/>
      </w:r>
      <w:r>
        <w:rPr>
          <w:noProof/>
          <w:lang w:val="fr-FR"/>
        </w:rPr>
        <w:t xml:space="preserve">Bertrand Joly, 'La France et la Revanche (1871-1914)', in: </w:t>
      </w:r>
      <w:r w:rsidRPr="00D20BAB">
        <w:rPr>
          <w:i/>
          <w:noProof/>
          <w:lang w:val="fr-FR"/>
        </w:rPr>
        <w:t xml:space="preserve">Revue d'histoire moderne et contemporaine, </w:t>
      </w:r>
      <w:r>
        <w:rPr>
          <w:noProof/>
          <w:lang w:val="fr-FR"/>
        </w:rPr>
        <w:t xml:space="preserve">46 (1999), </w:t>
      </w:r>
      <w:r>
        <w:rPr>
          <w:lang w:val="fr-FR"/>
        </w:rPr>
        <w:fldChar w:fldCharType="end"/>
      </w:r>
      <w:r>
        <w:rPr>
          <w:lang w:val="fr-FR"/>
        </w:rPr>
        <w:t>pp. 325-347.</w:t>
      </w:r>
    </w:p>
  </w:footnote>
  <w:footnote w:id="127">
    <w:p w14:paraId="6377BAA8" w14:textId="77777777" w:rsidR="00DE3AC9" w:rsidRPr="00E55B1D" w:rsidRDefault="00DE3AC9" w:rsidP="00336C47">
      <w:pPr>
        <w:pStyle w:val="FootnoteText"/>
        <w:rPr>
          <w:lang w:val="fr-FR"/>
        </w:rPr>
      </w:pPr>
      <w:r>
        <w:rPr>
          <w:rStyle w:val="FootnoteReference"/>
        </w:rPr>
        <w:footnoteRef/>
      </w:r>
      <w:r w:rsidRPr="00E55B1D">
        <w:rPr>
          <w:lang w:val="fr-FR"/>
        </w:rPr>
        <w:t xml:space="preserve"> </w:t>
      </w:r>
      <w:r>
        <w:fldChar w:fldCharType="begin"/>
      </w:r>
      <w:r>
        <w:rPr>
          <w:lang w:val="fr-FR"/>
        </w:rPr>
        <w:instrText xml:space="preserve"> ADDIN EN.CITE &lt;EndNote&gt;&lt;Cite&gt;&lt;Author&gt;Becker&lt;/Author&gt;&lt;Year&gt;2008&lt;/Year&gt;&lt;RecNum&gt;343&lt;/RecNum&gt;&lt;DisplayText&gt;Jean-Jacques Becker, &amp;apos;L&amp;apos;opinion publique française et l&amp;apos;Alsace-Lorraine&amp;apos;, in: &lt;style face="italic"&gt;Boches ou tricolores: les Alsaciens-Lorrains dans la Grande Guerre, &lt;/style&gt;ed. by Jean-Noël Grandhomme (Strasbourg, 2008),&lt;/DisplayText&gt;&lt;record&gt;&lt;rec-number&gt;343&lt;/rec-number&gt;&lt;foreign-keys&gt;&lt;key app="EN" db-id="2f5rvwawcsv2woetvw35fzwbdvvswerd0err"&gt;343&lt;/key&gt;&lt;/foreign-keys&gt;&lt;ref-type name="Book Section"&gt;5&lt;/ref-type&gt;&lt;contributors&gt;&lt;authors&gt;&lt;author&gt;Becker, Jean-Jacques&lt;/author&gt;&lt;/authors&gt;&lt;secondary-authors&gt;&lt;author&gt;Grandhomme, Jean-Noël&lt;/author&gt;&lt;/secondary-authors&gt;&lt;/contributors&gt;&lt;titles&gt;&lt;title&gt;L&amp;apos;opinion publique française et l&amp;apos;Alsace-Lorraine&lt;/title&gt;&lt;secondary-title&gt;Boches ou tricolores: les Alsaciens-Lorrains dans la Grande Guerre&lt;/secondary-title&gt;&lt;/titles&gt;&lt;dates&gt;&lt;year&gt;2008&lt;/year&gt;&lt;/dates&gt;&lt;pub-location&gt;Strasbourg&lt;/pub-location&gt;&lt;urls&gt;&lt;/urls&gt;&lt;/record&gt;&lt;/Cite&gt;&lt;/EndNote&gt;</w:instrText>
      </w:r>
      <w:r>
        <w:fldChar w:fldCharType="separate"/>
      </w:r>
      <w:r w:rsidRPr="00336C47">
        <w:rPr>
          <w:noProof/>
          <w:lang w:val="fr-FR"/>
        </w:rPr>
        <w:t xml:space="preserve">Jean-Jacques Becker, 'L'opinion publique française et l'Alsace-Lorraine', in: </w:t>
      </w:r>
      <w:r w:rsidRPr="00336C47">
        <w:rPr>
          <w:i/>
          <w:noProof/>
          <w:lang w:val="fr-FR"/>
        </w:rPr>
        <w:t xml:space="preserve">Boches ou tricolores: les Alsaciens-Lorrains dans la Grande Guerre, </w:t>
      </w:r>
      <w:r w:rsidRPr="00336C47">
        <w:rPr>
          <w:noProof/>
          <w:lang w:val="fr-FR"/>
        </w:rPr>
        <w:t>ed. by Jean-Noël Grandhomme (Strasbourg, 2008),</w:t>
      </w:r>
      <w:r>
        <w:fldChar w:fldCharType="end"/>
      </w:r>
      <w:r>
        <w:rPr>
          <w:lang w:val="fr-FR"/>
        </w:rPr>
        <w:t xml:space="preserve"> p. 40 ;</w:t>
      </w:r>
      <w:r w:rsidRPr="00E55B1D">
        <w:rPr>
          <w:lang w:val="fr-FR"/>
        </w:rPr>
        <w:t xml:space="preserve"> </w:t>
      </w:r>
      <w:r>
        <w:fldChar w:fldCharType="begin"/>
      </w:r>
      <w:r w:rsidRPr="00E55B1D">
        <w:rPr>
          <w:lang w:val="fr-FR"/>
        </w:rPr>
        <w:instrText xml:space="preserve"> ADDIN EN.CITE &lt;EndNote&gt;&lt;Cite&gt;&lt;Author&gt;Hewitson&lt;/Author&gt;&lt;Year&gt;2000&lt;/Year&gt;&lt;RecNum&gt;313&lt;/RecNum&gt;&lt;DisplayText&gt;Mark Hewitson, &amp;apos;Germany and France before the First World War: a reassessment of Whilhelmine foreign policy&amp;apos;, in: &lt;style face="italic"&gt;The English Historical Review, &lt;/style&gt;115 (2000), &lt;/DisplayText&gt;&lt;record&gt;&lt;rec-number&gt;313&lt;/rec-number&gt;&lt;foreign-keys&gt;&lt;key app="EN" db-id="2f5rvwawcsv2woetvw35fzwbdvvswerd0err"&gt;313&lt;/key&gt;&lt;/foreign-keys&gt;&lt;ref-type name="Journal Article"&gt;17&lt;/ref-type&gt;&lt;contributors&gt;&lt;authors&gt;&lt;author&gt;Hewitson, Mark&lt;/author&gt;&lt;/authors&gt;&lt;/contributors&gt;&lt;titles&gt;&lt;title&gt;Germany and France before the First World War: a reassessment of Whilhelmine foreign policy&lt;/title&gt;&lt;secondary-title&gt;The English Historical Review&lt;/secondary-title&gt;&lt;short-title&gt;Germany and France&lt;/short-title&gt;&lt;/titles&gt;&lt;periodical&gt;&lt;full-title&gt;The English Historical Review&lt;/full-title&gt;&lt;/periodical&gt;&lt;volume&gt;115&lt;/volume&gt;&lt;dates&gt;&lt;year&gt;2000&lt;/year&gt;&lt;/dates&gt;&lt;urls&gt;&lt;/urls&gt;&lt;/record&gt;&lt;/Cite&gt;&lt;/EndNote&gt;</w:instrText>
      </w:r>
      <w:r>
        <w:fldChar w:fldCharType="separate"/>
      </w:r>
      <w:r w:rsidRPr="00E55B1D">
        <w:rPr>
          <w:noProof/>
          <w:lang w:val="fr-FR"/>
        </w:rPr>
        <w:t xml:space="preserve">Mark Hewitson, 'Germany and France before the First World War: a reassessment of Whilhelmine foreign policy', in: </w:t>
      </w:r>
      <w:r w:rsidRPr="00E55B1D">
        <w:rPr>
          <w:i/>
          <w:noProof/>
          <w:lang w:val="fr-FR"/>
        </w:rPr>
        <w:t xml:space="preserve">The English Historical Review, </w:t>
      </w:r>
      <w:r w:rsidRPr="00E55B1D">
        <w:rPr>
          <w:noProof/>
          <w:lang w:val="fr-FR"/>
        </w:rPr>
        <w:t xml:space="preserve">115 (2000), </w:t>
      </w:r>
      <w:r>
        <w:fldChar w:fldCharType="end"/>
      </w:r>
      <w:r w:rsidRPr="00E55B1D">
        <w:rPr>
          <w:lang w:val="fr-FR"/>
        </w:rPr>
        <w:t>pp. 577-578.</w:t>
      </w:r>
    </w:p>
  </w:footnote>
  <w:footnote w:id="128">
    <w:p w14:paraId="0340A550" w14:textId="77777777" w:rsidR="00DE3AC9" w:rsidRPr="00142B9D" w:rsidRDefault="00DE3AC9" w:rsidP="0048510E">
      <w:pPr>
        <w:pStyle w:val="FootnoteText"/>
      </w:pPr>
      <w:r>
        <w:rPr>
          <w:rStyle w:val="FootnoteReference"/>
        </w:rPr>
        <w:footnoteRef/>
      </w:r>
      <w:r>
        <w:rPr>
          <w:lang w:val="fr-FR"/>
        </w:rPr>
        <w:t xml:space="preserve"> </w:t>
      </w:r>
      <w:r>
        <w:rPr>
          <w:lang w:val="fr-FR"/>
        </w:rPr>
        <w:fldChar w:fldCharType="begin"/>
      </w:r>
      <w:r>
        <w:rPr>
          <w:lang w:val="fr-FR"/>
        </w:rPr>
        <w:instrText xml:space="preserve"> ADDIN EN.CITE &lt;EndNote&gt;&lt;Cite&gt;&lt;Author&gt;Roth&lt;/Author&gt;&lt;Year&gt;2004&lt;/Year&gt;&lt;RecNum&gt;147&lt;/RecNum&gt;&lt;DisplayText&gt;Roth, &lt;style face="italic"&gt;Alsace au début&lt;/style&gt;&lt;/DisplayText&gt;&lt;record&gt;&lt;rec-number&gt;147&lt;/rec-number&gt;&lt;foreign-keys&gt;&lt;key app="EN" db-id="2f5rvwawcsv2woetvw35fzwbdvvswerd0err"&gt;147&lt;/key&gt;&lt;/foreign-keys&gt;&lt;ref-type name="Book Section"&gt;5&lt;/ref-type&gt;&lt;contributors&gt;&lt;authors&gt;&lt;author&gt;Roth, François&lt;/author&gt;&lt;/authors&gt;&lt;secondary-authors&gt;&lt;author&gt;Audouin-Rouzeau, Stéphane&lt;/author&gt;&lt;author&gt;Becker, Jean-Jacques&lt;/author&gt;&lt;/secondary-authors&gt;&lt;/contributors&gt;&lt;titles&gt;&lt;title&gt;L&amp;apos;Alsace-Lorraine au début du XXe siècle&lt;/title&gt;&lt;secondary-title&gt;Encyclopédie de la Grande Guerre&lt;/secondary-title&gt;&lt;short-title&gt;Alsace au début&lt;/short-title&gt;&lt;/titles&gt;&lt;dates&gt;&lt;year&gt;2004&lt;/year&gt;&lt;/dates&gt;&lt;pub-location&gt;Paris&lt;/pub-location&gt;&lt;urls&gt;&lt;/urls&gt;&lt;/record&gt;&lt;/Cite&gt;&lt;/EndNote&gt;</w:instrText>
      </w:r>
      <w:r>
        <w:rPr>
          <w:lang w:val="fr-FR"/>
        </w:rPr>
        <w:fldChar w:fldCharType="separate"/>
      </w:r>
      <w:r>
        <w:rPr>
          <w:noProof/>
          <w:lang w:val="fr-FR"/>
        </w:rPr>
        <w:t xml:space="preserve">Roth, </w:t>
      </w:r>
      <w:r w:rsidRPr="00CA7435">
        <w:rPr>
          <w:i/>
          <w:noProof/>
          <w:lang w:val="fr-FR"/>
        </w:rPr>
        <w:t>Alsace au début</w:t>
      </w:r>
      <w:r>
        <w:rPr>
          <w:lang w:val="fr-FR"/>
        </w:rPr>
        <w:fldChar w:fldCharType="end"/>
      </w:r>
      <w:r>
        <w:rPr>
          <w:lang w:val="fr-FR"/>
        </w:rPr>
        <w:t xml:space="preserve"> pp. 125-133. See: </w:t>
      </w:r>
      <w:r>
        <w:rPr>
          <w:lang w:val="fr-FR"/>
        </w:rPr>
        <w:fldChar w:fldCharType="begin"/>
      </w:r>
      <w:r>
        <w:rPr>
          <w:lang w:val="fr-FR"/>
        </w:rPr>
        <w:instrText xml:space="preserve"> ADDIN EN.CITE &lt;EndNote&gt;&lt;Cite&gt;&lt;Author&gt;Barrès&lt;/Author&gt;&lt;Year&gt;1913&lt;/Year&gt;&lt;RecNum&gt;56&lt;/RecNum&gt;&lt;DisplayText&gt;Maurice Barrès, &lt;style face="italic"&gt;Colette Baudoche&lt;/style&gt;, (Paris, 1913)&lt;/DisplayText&gt;&lt;record&gt;&lt;rec-number&gt;56&lt;/rec-number&gt;&lt;foreign-keys&gt;&lt;key app="EN" db-id="2f5rvwawcsv2woetvw35fzwbdvvswerd0err"&gt;56&lt;/key&gt;&lt;/foreign-keys&gt;&lt;ref-type name="Book"&gt;6&lt;/ref-type&gt;&lt;contributors&gt;&lt;authors&gt;&lt;author&gt;Barrès, Maurice&lt;/author&gt;&lt;/authors&gt;&lt;/contributors&gt;&lt;titles&gt;&lt;title&gt;Colette Baudoche&lt;/title&gt;&lt;short-title&gt;Colette&lt;/short-title&gt;&lt;/titles&gt;&lt;dates&gt;&lt;year&gt;1913&lt;/year&gt;&lt;/dates&gt;&lt;pub-location&gt;Paris&lt;/pub-location&gt;&lt;urls&gt;&lt;/urls&gt;&lt;/record&gt;&lt;/Cite&gt;&lt;/EndNote&gt;</w:instrText>
      </w:r>
      <w:r>
        <w:rPr>
          <w:lang w:val="fr-FR"/>
        </w:rPr>
        <w:fldChar w:fldCharType="separate"/>
      </w:r>
      <w:r>
        <w:rPr>
          <w:noProof/>
          <w:lang w:val="fr-FR"/>
        </w:rPr>
        <w:t xml:space="preserve">Maurice Barrès, </w:t>
      </w:r>
      <w:r w:rsidRPr="00AD3467">
        <w:rPr>
          <w:i/>
          <w:noProof/>
          <w:lang w:val="fr-FR"/>
        </w:rPr>
        <w:t>Colette Baudoche</w:t>
      </w:r>
      <w:r>
        <w:rPr>
          <w:noProof/>
          <w:lang w:val="fr-FR"/>
        </w:rPr>
        <w:t>, (Paris, 1913)</w:t>
      </w:r>
      <w:r>
        <w:rPr>
          <w:lang w:val="fr-FR"/>
        </w:rPr>
        <w:fldChar w:fldCharType="end"/>
      </w:r>
      <w:r>
        <w:rPr>
          <w:lang w:val="fr-FR"/>
        </w:rPr>
        <w:t xml:space="preserve"> and </w:t>
      </w:r>
      <w:r>
        <w:rPr>
          <w:lang w:val="fr-FR"/>
        </w:rPr>
        <w:fldChar w:fldCharType="begin"/>
      </w:r>
      <w:r>
        <w:rPr>
          <w:lang w:val="fr-FR"/>
        </w:rPr>
        <w:instrText xml:space="preserve"> ADDIN EN.CITE &lt;EndNote&gt;&lt;Cite&gt;&lt;Author&gt;Bazin&lt;/Author&gt;&lt;Year&gt;1905&lt;/Year&gt;&lt;RecNum&gt;57&lt;/RecNum&gt;&lt;DisplayText&gt;René Bazin, &lt;style face="italic"&gt;Les Oberlé&lt;/style&gt;, (Paris, 1905)&lt;/DisplayText&gt;&lt;record&gt;&lt;rec-number&gt;57&lt;/rec-number&gt;&lt;foreign-keys&gt;&lt;key app="EN" db-id="2f5rvwawcsv2woetvw35fzwbdvvswerd0err"&gt;57&lt;/key&gt;&lt;/foreign-keys&gt;&lt;ref-type name="Book"&gt;6&lt;/ref-type&gt;&lt;contributors&gt;&lt;authors&gt;&lt;author&gt;Bazin, René&lt;/author&gt;&lt;/authors&gt;&lt;/contributors&gt;&lt;titles&gt;&lt;title&gt;Les Oberlé&lt;/title&gt;&lt;short-title&gt;Les Oberlé&lt;/short-title&gt;&lt;/titles&gt;&lt;dates&gt;&lt;year&gt;1905&lt;/year&gt;&lt;/dates&gt;&lt;pub-location&gt;Paris&lt;/pub-location&gt;&lt;urls&gt;&lt;/urls&gt;&lt;/record&gt;&lt;/Cite&gt;&lt;/EndNote&gt;</w:instrText>
      </w:r>
      <w:r>
        <w:rPr>
          <w:lang w:val="fr-FR"/>
        </w:rPr>
        <w:fldChar w:fldCharType="separate"/>
      </w:r>
      <w:r>
        <w:rPr>
          <w:noProof/>
          <w:lang w:val="fr-FR"/>
        </w:rPr>
        <w:t xml:space="preserve">René Bazin, </w:t>
      </w:r>
      <w:r w:rsidRPr="00AD3467">
        <w:rPr>
          <w:i/>
          <w:noProof/>
          <w:lang w:val="fr-FR"/>
        </w:rPr>
        <w:t>Les Oberlé</w:t>
      </w:r>
      <w:r>
        <w:rPr>
          <w:noProof/>
          <w:lang w:val="fr-FR"/>
        </w:rPr>
        <w:t>, (Paris, 1905)</w:t>
      </w:r>
      <w:r>
        <w:rPr>
          <w:lang w:val="fr-FR"/>
        </w:rPr>
        <w:fldChar w:fldCharType="end"/>
      </w:r>
      <w:r>
        <w:rPr>
          <w:lang w:val="fr-FR"/>
        </w:rPr>
        <w:t xml:space="preserve">. </w:t>
      </w:r>
      <w:r w:rsidRPr="00142B9D">
        <w:t xml:space="preserve">The work of painters and engravers such as Gustave Doré, Jean-Jacques </w:t>
      </w:r>
      <w:r>
        <w:t xml:space="preserve">Henner, Théodore Lix or Louis-Frédéric Schutzenberger was also deeply influenced by the loss of the provinces. </w:t>
      </w:r>
      <w:r>
        <w:fldChar w:fldCharType="begin"/>
      </w:r>
      <w:r>
        <w:instrText xml:space="preserve"> ADDIN EN.CITE &lt;EndNote&gt;&lt;Cite&gt;&lt;Author&gt;Varley&lt;/Author&gt;&lt;Year&gt;2009&lt;/Year&gt;&lt;RecNum&gt;58&lt;/RecNum&gt;&lt;DisplayText&gt;Karine Varley, &lt;style face="italic"&gt;Under the shadow of defeat: the war of 1870-1871 in French memory&lt;/style&gt;, (Hampshire, 2009)&lt;/DisplayText&gt;&lt;record&gt;&lt;rec-number&gt;58&lt;/rec-number&gt;&lt;foreign-keys&gt;&lt;key app="EN" db-id="2f5rvwawcsv2woetvw35fzwbdvvswerd0err"&gt;58&lt;/key&gt;&lt;/foreign-keys&gt;&lt;ref-type name="Book"&gt;6&lt;/ref-type&gt;&lt;contributors&gt;&lt;authors&gt;&lt;author&gt;Varley, Karine&lt;/author&gt;&lt;/authors&gt;&lt;/contributors&gt;&lt;titles&gt;&lt;title&gt;Under the shadow of defeat: the war of 1870-1871 in French memory&lt;/title&gt;&lt;short-title&gt;Under &lt;/short-title&gt;&lt;/titles&gt;&lt;dates&gt;&lt;year&gt;2009&lt;/year&gt;&lt;/dates&gt;&lt;pub-location&gt;Hampshire&lt;/pub-location&gt;&lt;urls&gt;&lt;/urls&gt;&lt;/record&gt;&lt;/Cite&gt;&lt;/EndNote&gt;</w:instrText>
      </w:r>
      <w:r>
        <w:fldChar w:fldCharType="separate"/>
      </w:r>
      <w:r>
        <w:rPr>
          <w:noProof/>
        </w:rPr>
        <w:t xml:space="preserve">Karine Varley, </w:t>
      </w:r>
      <w:r w:rsidRPr="00AD3467">
        <w:rPr>
          <w:i/>
          <w:noProof/>
        </w:rPr>
        <w:t>Under the shadow of defeat: the war of 1870-1871 in French memory</w:t>
      </w:r>
      <w:r>
        <w:rPr>
          <w:noProof/>
        </w:rPr>
        <w:t>, (Hampshire, 2009)</w:t>
      </w:r>
      <w:r>
        <w:fldChar w:fldCharType="end"/>
      </w:r>
      <w:r>
        <w:t>, p. 178.</w:t>
      </w:r>
      <w:r w:rsidRPr="00142B9D">
        <w:t xml:space="preserve"> </w:t>
      </w:r>
    </w:p>
  </w:footnote>
  <w:footnote w:id="129">
    <w:p w14:paraId="62129F37" w14:textId="77777777" w:rsidR="00DE3AC9" w:rsidRPr="00B87CC5" w:rsidRDefault="00DE3AC9" w:rsidP="0048510E">
      <w:pPr>
        <w:pStyle w:val="FootnoteText"/>
        <w:rPr>
          <w:lang w:val="fr-FR"/>
        </w:rPr>
      </w:pPr>
      <w:r>
        <w:rPr>
          <w:rStyle w:val="FootnoteReference"/>
        </w:rPr>
        <w:footnoteRef/>
      </w:r>
      <w:r w:rsidRPr="00B87CC5">
        <w:t xml:space="preserve"> This campaign of Germanisation was in fact moderate in Lorraine. </w:t>
      </w:r>
      <w:r>
        <w:rPr>
          <w:lang w:val="fr-FR"/>
        </w:rPr>
        <w:fldChar w:fldCharType="begin"/>
      </w:r>
      <w:r w:rsidRPr="00B87CC5">
        <w:instrText xml:space="preserve"> ADDIN EN.CITE &lt;EndNote&gt;&lt;Cite&gt;&lt;Author&gt;Barral&lt;/Author&gt;&lt;Year&gt;1977&lt;/Year&gt;&lt;RecNum&gt;314&lt;/RecNum&gt;&lt;DisplayText&gt;Pierre Barral, &amp;apos;La Lorraine pendant la guerre: la lutte discrète d&amp;apos;une province exposée&amp;apos;, in: &lt;style face="italic"&gt;Revue d&amp;apos;Histoire de la Deuxième Guerre Mondiale, &lt;/style&gt;105 (1977), &lt;/DisplayText&gt;&lt;record&gt;&lt;rec-number&gt;314&lt;/rec-number&gt;&lt;foreign-keys&gt;&lt;key app="EN" db-id="2f5rvwawcsv2woetvw35fzwbdvvswerd0err"&gt;314&lt;/key&gt;&lt;/foreign-keys&gt;&lt;ref-type name="Journal Article"&gt;17&lt;/ref-type&gt;&lt;contributors&gt;&lt;authors&gt;&lt;author&gt;Barral, Pierre&lt;/author&gt;&lt;/authors&gt;&lt;/contributors&gt;&lt;titles&gt;&lt;title&gt;La Lorraine pendant la guerre: la lutte discrète d&amp;apos;une province exposée&lt;/title&gt;&lt;secondary-title&gt;Revue d&amp;apos;Histoire de la Deuxième Guerre Mondiale&lt;/secondary-title&gt;&lt;short-title&gt;La Lorraine pendant la guerre&lt;/short-title&gt;&lt;/titles&gt;&lt;periodical&gt;&lt;full-title&gt;Revue d&amp;apos;Histoire de la Deuxième Guerre Mondiale&lt;/full-title&gt;&lt;/periodical&gt;&lt;volume&gt;105&lt;/volume&gt;&lt;dates&gt;&lt;year&gt;1977&lt;/year&gt;&lt;/dates&gt;&lt;urls&gt;&lt;/urls&gt;&lt;/record&gt;&lt;/Cite&gt;&lt;/EndNote&gt;</w:instrText>
      </w:r>
      <w:r>
        <w:rPr>
          <w:lang w:val="fr-FR"/>
        </w:rPr>
        <w:fldChar w:fldCharType="separate"/>
      </w:r>
      <w:r>
        <w:rPr>
          <w:noProof/>
          <w:lang w:val="fr-FR"/>
        </w:rPr>
        <w:t xml:space="preserve">Pierre Barral, 'La Lorraine pendant la guerre: la lutte discrète d'une province exposée', in: </w:t>
      </w:r>
      <w:r w:rsidRPr="00B87CC5">
        <w:rPr>
          <w:i/>
          <w:noProof/>
          <w:lang w:val="fr-FR"/>
        </w:rPr>
        <w:t xml:space="preserve">Revue d'Histoire de la Deuxième Guerre Mondiale, </w:t>
      </w:r>
      <w:r>
        <w:rPr>
          <w:noProof/>
          <w:lang w:val="fr-FR"/>
        </w:rPr>
        <w:t xml:space="preserve">105 (1977), </w:t>
      </w:r>
      <w:r>
        <w:rPr>
          <w:lang w:val="fr-FR"/>
        </w:rPr>
        <w:fldChar w:fldCharType="end"/>
      </w:r>
      <w:r>
        <w:rPr>
          <w:lang w:val="fr-FR"/>
        </w:rPr>
        <w:t>p. 5.</w:t>
      </w:r>
    </w:p>
  </w:footnote>
  <w:footnote w:id="130">
    <w:p w14:paraId="7F72E0D0" w14:textId="77777777" w:rsidR="00DE3AC9" w:rsidRPr="005606DC" w:rsidRDefault="00DE3AC9" w:rsidP="005C7BEE">
      <w:pPr>
        <w:pStyle w:val="FootnoteText"/>
        <w:rPr>
          <w:lang w:val="fr-FR"/>
        </w:rPr>
      </w:pPr>
      <w:r>
        <w:rPr>
          <w:rStyle w:val="FootnoteReference"/>
        </w:rPr>
        <w:footnoteRef/>
      </w:r>
      <w:r w:rsidRPr="00487827">
        <w:rPr>
          <w:lang w:val="fr-FR"/>
        </w:rPr>
        <w:t xml:space="preserve"> </w:t>
      </w:r>
      <w:r>
        <w:fldChar w:fldCharType="begin"/>
      </w:r>
      <w:r>
        <w:rPr>
          <w:lang w:val="fr-FR"/>
        </w:rPr>
        <w:instrText xml:space="preserve"> ADDIN EN.CITE &lt;EndNote&gt;&lt;Cite&gt;&lt;Author&gt;Pénet&lt;/Author&gt;&lt;Year&gt;2004&lt;/Year&gt;&lt;RecNum&gt;53&lt;/RecNum&gt;&lt;DisplayText&gt;Martin Pénet, &lt;style face="italic"&gt;Mémoire de la chanson: 1200 chansons du moyen-âge à 1919&lt;/style&gt;, (Paris, 2004)&lt;/DisplayText&gt;&lt;record&gt;&lt;rec-number&gt;53&lt;/rec-number&gt;&lt;foreign-keys&gt;&lt;key app="EN" db-id="2f5rvwawcsv2woetvw35fzwbdvvswerd0err"&gt;53&lt;/key&gt;&lt;/foreign-keys&gt;&lt;ref-type name="Book"&gt;6&lt;/ref-type&gt;&lt;contributors&gt;&lt;authors&gt;&lt;author&gt;Pénet, Martin&lt;/author&gt;&lt;/authors&gt;&lt;/contributors&gt;&lt;titles&gt;&lt;title&gt;Mémoire de la chanson: 1200 chansons du moyen-âge à 1919&lt;/title&gt;&lt;short-title&gt;Mémoire&lt;/short-title&gt;&lt;/titles&gt;&lt;dates&gt;&lt;year&gt;2004&lt;/year&gt;&lt;/dates&gt;&lt;pub-location&gt;Paris&lt;/pub-location&gt;&lt;urls&gt;&lt;/urls&gt;&lt;/record&gt;&lt;/Cite&gt;&lt;/EndNote&gt;</w:instrText>
      </w:r>
      <w:r>
        <w:fldChar w:fldCharType="separate"/>
      </w:r>
      <w:r w:rsidRPr="005C7BEE">
        <w:rPr>
          <w:noProof/>
          <w:lang w:val="fr-FR"/>
        </w:rPr>
        <w:t xml:space="preserve">Martin Pénet, </w:t>
      </w:r>
      <w:r w:rsidRPr="005C7BEE">
        <w:rPr>
          <w:i/>
          <w:noProof/>
          <w:lang w:val="fr-FR"/>
        </w:rPr>
        <w:t>Mémoire de la chanson: 1200 chansons du moyen-âge à 1919</w:t>
      </w:r>
      <w:r w:rsidRPr="005C7BEE">
        <w:rPr>
          <w:noProof/>
          <w:lang w:val="fr-FR"/>
        </w:rPr>
        <w:t>, (Paris, 2004)</w:t>
      </w:r>
      <w:r>
        <w:fldChar w:fldCharType="end"/>
      </w:r>
      <w:r w:rsidRPr="00487827">
        <w:rPr>
          <w:lang w:val="fr-FR"/>
        </w:rPr>
        <w:t>, p. 721.</w:t>
      </w:r>
    </w:p>
  </w:footnote>
  <w:footnote w:id="131">
    <w:p w14:paraId="7527889D" w14:textId="77777777" w:rsidR="00DE3AC9" w:rsidRPr="00AF4426" w:rsidRDefault="00DE3AC9" w:rsidP="0048510E">
      <w:pPr>
        <w:pStyle w:val="FootnoteText"/>
      </w:pPr>
      <w:r>
        <w:rPr>
          <w:rStyle w:val="FootnoteReference"/>
        </w:rPr>
        <w:footnoteRef/>
      </w:r>
      <w:r w:rsidRPr="00AF4426">
        <w:t xml:space="preserve"> </w:t>
      </w:r>
      <w:r w:rsidRPr="00AF4426">
        <w:rPr>
          <w:i/>
          <w:iCs/>
        </w:rPr>
        <w:t>La Gazette des Ardennes</w:t>
      </w:r>
      <w:r w:rsidRPr="00AF4426">
        <w:t xml:space="preserve">, 3 December 1915 and 12 January 1918 and </w:t>
      </w:r>
      <w:r>
        <w:fldChar w:fldCharType="begin"/>
      </w:r>
      <w:r>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Pr>
          <w:noProof/>
        </w:rPr>
        <w:t xml:space="preserve">McPhail, </w:t>
      </w:r>
      <w:r w:rsidRPr="00CA7435">
        <w:rPr>
          <w:i/>
          <w:noProof/>
        </w:rPr>
        <w:t>The long</w:t>
      </w:r>
      <w:r>
        <w:fldChar w:fldCharType="end"/>
      </w:r>
      <w:r>
        <w:t>, p. 132.</w:t>
      </w:r>
    </w:p>
  </w:footnote>
  <w:footnote w:id="132">
    <w:p w14:paraId="08B0F563" w14:textId="77777777" w:rsidR="00DE3AC9" w:rsidRPr="00BC190F" w:rsidRDefault="00DE3AC9" w:rsidP="0048510E">
      <w:pPr>
        <w:pStyle w:val="FootnoteText"/>
      </w:pPr>
      <w:r>
        <w:rPr>
          <w:rStyle w:val="FootnoteReference"/>
        </w:rPr>
        <w:footnoteRef/>
      </w:r>
      <w:r w:rsidRPr="00BC190F">
        <w:t xml:space="preserve"> </w:t>
      </w:r>
      <w:r>
        <w:fldChar w:fldCharType="begin"/>
      </w:r>
      <w:r>
        <w:instrText xml:space="preserve"> ADDIN EN.CITE &lt;EndNote&gt;&lt;Cite&gt;&lt;Author&gt;Varley&lt;/Author&gt;&lt;Year&gt;2009&lt;/Year&gt;&lt;RecNum&gt;58&lt;/RecNum&gt;&lt;DisplayText&gt;Varley, &lt;style face="italic"&gt;Under &lt;/style&gt;&lt;/DisplayText&gt;&lt;record&gt;&lt;rec-number&gt;58&lt;/rec-number&gt;&lt;foreign-keys&gt;&lt;key app="EN" db-id="2f5rvwawcsv2woetvw35fzwbdvvswerd0err"&gt;58&lt;/key&gt;&lt;/foreign-keys&gt;&lt;ref-type name="Book"&gt;6&lt;/ref-type&gt;&lt;contributors&gt;&lt;authors&gt;&lt;author&gt;Varley, Karine&lt;/author&gt;&lt;/authors&gt;&lt;/contributors&gt;&lt;titles&gt;&lt;title&gt;Under the shadow of defeat: the war of 1870-1871 in French memory&lt;/title&gt;&lt;short-title&gt;Under &lt;/short-title&gt;&lt;/titles&gt;&lt;dates&gt;&lt;year&gt;2009&lt;/year&gt;&lt;/dates&gt;&lt;pub-location&gt;Hampshire&lt;/pub-location&gt;&lt;urls&gt;&lt;/urls&gt;&lt;/record&gt;&lt;/Cite&gt;&lt;/EndNote&gt;</w:instrText>
      </w:r>
      <w:r>
        <w:fldChar w:fldCharType="separate"/>
      </w:r>
      <w:r w:rsidRPr="00AD3467">
        <w:rPr>
          <w:noProof/>
        </w:rPr>
        <w:t xml:space="preserve">Varley, </w:t>
      </w:r>
      <w:r w:rsidRPr="00AD3467">
        <w:rPr>
          <w:i/>
          <w:noProof/>
        </w:rPr>
        <w:t xml:space="preserve">Under </w:t>
      </w:r>
      <w:r>
        <w:fldChar w:fldCharType="end"/>
      </w:r>
      <w:r w:rsidRPr="00BC190F">
        <w:t>, p. 175.</w:t>
      </w:r>
      <w:r>
        <w:t xml:space="preserve"> </w:t>
      </w:r>
      <w:r>
        <w:fldChar w:fldCharType="begin"/>
      </w:r>
      <w:r>
        <w:instrText xml:space="preserve"> ADDIN EN.CITE &lt;EndNote&gt;&lt;Cite&gt;&lt;Author&gt;Silverman&lt;/Author&gt;&lt;Year&gt;1971&lt;/Year&gt;&lt;RecNum&gt;315&lt;/RecNum&gt;&lt;DisplayText&gt;Dan Silverman, &amp;apos;The economic consequences of Annexation: Alsace-Lorraine and Imperial Germany, 1871-1918&amp;apos;, in: &lt;style face="italic"&gt;Central European History, &lt;/style&gt;4 (1971), &lt;/DisplayText&gt;&lt;record&gt;&lt;rec-number&gt;315&lt;/rec-number&gt;&lt;foreign-keys&gt;&lt;key app="EN" db-id="2f5rvwawcsv2woetvw35fzwbdvvswerd0err"&gt;315&lt;/key&gt;&lt;/foreign-keys&gt;&lt;ref-type name="Journal Article"&gt;17&lt;/ref-type&gt;&lt;contributors&gt;&lt;authors&gt;&lt;author&gt;Silverman, Dan&lt;/author&gt;&lt;/authors&gt;&lt;/contributors&gt;&lt;titles&gt;&lt;title&gt;The economic consequences of Annexation: Alsace-Lorraine and Imperial Germany, 1871-1918&lt;/title&gt;&lt;secondary-title&gt;Central European History&lt;/secondary-title&gt;&lt;short-title&gt;The economic consequences&lt;/short-title&gt;&lt;/titles&gt;&lt;periodical&gt;&lt;full-title&gt;Central European History&lt;/full-title&gt;&lt;/periodical&gt;&lt;volume&gt;4&lt;/volume&gt;&lt;dates&gt;&lt;year&gt;1971&lt;/year&gt;&lt;/dates&gt;&lt;urls&gt;&lt;/urls&gt;&lt;/record&gt;&lt;/Cite&gt;&lt;/EndNote&gt;</w:instrText>
      </w:r>
      <w:r>
        <w:fldChar w:fldCharType="separate"/>
      </w:r>
      <w:r>
        <w:rPr>
          <w:noProof/>
        </w:rPr>
        <w:t xml:space="preserve">Dan Silverman, 'The economic consequences of Annexation: Alsace-Lorraine and Imperial Germany, 1871-1918', in: </w:t>
      </w:r>
      <w:r w:rsidRPr="002C1AD1">
        <w:rPr>
          <w:i/>
          <w:noProof/>
        </w:rPr>
        <w:t xml:space="preserve">Central European History, </w:t>
      </w:r>
      <w:r>
        <w:rPr>
          <w:noProof/>
        </w:rPr>
        <w:t xml:space="preserve">4 (1971), </w:t>
      </w:r>
      <w:r>
        <w:fldChar w:fldCharType="end"/>
      </w:r>
      <w:r>
        <w:t>p. 44.</w:t>
      </w:r>
    </w:p>
  </w:footnote>
  <w:footnote w:id="133">
    <w:p w14:paraId="1595BC83" w14:textId="61B14AAC" w:rsidR="00DE3AC9" w:rsidRDefault="00DE3AC9" w:rsidP="002F62A7">
      <w:pPr>
        <w:pStyle w:val="FootnoteText"/>
        <w:rPr>
          <w:noProof/>
        </w:rPr>
      </w:pPr>
      <w:r>
        <w:rPr>
          <w:rStyle w:val="FootnoteReference"/>
        </w:rPr>
        <w:footnoteRef/>
      </w:r>
      <w:r>
        <w:t xml:space="preserve"> </w:t>
      </w:r>
      <w:r>
        <w:fldChar w:fldCharType="begin"/>
      </w:r>
      <w:r>
        <w:instrText xml:space="preserve"> ADDIN EN.CITE &lt;EndNote&gt;&lt;Cite&gt;&lt;Author&gt;Fischer&lt;/Author&gt;&lt;Year&gt;2010&lt;/Year&gt;&lt;RecNum&gt;55&lt;/RecNum&gt;&lt;DisplayText&gt;Christopher Fischer, &lt;style face="italic"&gt;Alsace to Alsatians? Visions and divisions of Alsatian regionalism, 1870-1939&lt;/style&gt;, (New York&amp;#xD;Oxford, 2010)&lt;/DisplayText&gt;&lt;record&gt;&lt;rec-number&gt;55&lt;/rec-number&gt;&lt;foreign-keys&gt;&lt;key app="EN" db-id="2f5rvwawcsv2woetvw35fzwbdvvswerd0err"&gt;55&lt;/key&gt;&lt;/foreign-keys&gt;&lt;ref-type name="Book"&gt;6&lt;/ref-type&gt;&lt;contributors&gt;&lt;authors&gt;&lt;author&gt;Fischer, Christopher&lt;/author&gt;&lt;/authors&gt;&lt;/contributors&gt;&lt;titles&gt;&lt;title&gt;Alsace to Alsatians? Visions and divisions of Alsatian regionalism, 1870-1939&lt;/title&gt;&lt;short-title&gt;Alsace&lt;/short-title&gt;&lt;/titles&gt;&lt;dates&gt;&lt;year&gt;2010&lt;/year&gt;&lt;/dates&gt;&lt;pub-location&gt;New York&amp;#xD;Oxford&lt;/pub-location&gt;&lt;urls&gt;&lt;/urls&gt;&lt;/record&gt;&lt;/Cite&gt;&lt;/EndNote&gt;</w:instrText>
      </w:r>
      <w:r>
        <w:fldChar w:fldCharType="separate"/>
      </w:r>
      <w:r>
        <w:rPr>
          <w:noProof/>
        </w:rPr>
        <w:t xml:space="preserve">Christopher Fischer, </w:t>
      </w:r>
      <w:r w:rsidRPr="002F62A7">
        <w:rPr>
          <w:i/>
          <w:noProof/>
        </w:rPr>
        <w:t>Alsace to Alsatians? Visions and divisions of Alsatian regionalism, 1870-1939</w:t>
      </w:r>
      <w:r>
        <w:rPr>
          <w:noProof/>
        </w:rPr>
        <w:t>, (New York</w:t>
      </w:r>
    </w:p>
    <w:p w14:paraId="4B7437AC" w14:textId="2C6DA0B1" w:rsidR="00DE3AC9" w:rsidRPr="00913FF1" w:rsidRDefault="00DE3AC9" w:rsidP="002F62A7">
      <w:pPr>
        <w:pStyle w:val="FootnoteText"/>
        <w:rPr>
          <w:noProof/>
          <w:lang w:val="fr-FR"/>
        </w:rPr>
      </w:pPr>
      <w:r>
        <w:rPr>
          <w:noProof/>
        </w:rPr>
        <w:t>Oxford, 2010)</w:t>
      </w:r>
      <w:r>
        <w:fldChar w:fldCharType="end"/>
      </w:r>
      <w:r>
        <w:t xml:space="preserve">, pp. 14-15; p. 23. Maurice Barrès (1862-1923) was a successful pre-war author but also a prominent voice against Germany. He became a deputé and a prolific writer of patriotic books. </w:t>
      </w:r>
      <w:r>
        <w:fldChar w:fldCharType="begin"/>
      </w:r>
      <w:r>
        <w:instrText xml:space="preserve"> ADDIN EN.CITE &lt;EndNote&gt;&lt;Cite&gt;&lt;Author&gt;Cochet&lt;/Author&gt;&lt;Year&gt;2008&lt;/Year&gt;&lt;RecNum&gt;59&lt;/RecNum&gt;&lt;DisplayText&gt;François Cochet and Rémy Porte, &lt;style face="italic"&gt;Dictionnaire de la Grande Guerre 1914-1918&lt;/style&gt;, (Paris, 2008)&lt;/DisplayText&gt;&lt;record&gt;&lt;rec-number&gt;59&lt;/rec-number&gt;&lt;foreign-keys&gt;&lt;key app="EN" db-id="2f5rvwawcsv2woetvw35fzwbdvvswerd0err"&gt;59&lt;/key&gt;&lt;/foreign-keys&gt;&lt;ref-type name="Book"&gt;6&lt;/ref-type&gt;&lt;contributors&gt;&lt;authors&gt;&lt;author&gt;Cochet, François&lt;/author&gt;&lt;author&gt;Porte, Rémy&lt;/author&gt;&lt;/authors&gt;&lt;/contributors&gt;&lt;titles&gt;&lt;title&gt;Dictionnaire de la Grande Guerre 1914-1918&lt;/title&gt;&lt;short-title&gt;Dictionnaire&lt;/short-title&gt;&lt;/titles&gt;&lt;dates&gt;&lt;year&gt;2008&lt;/year&gt;&lt;/dates&gt;&lt;pub-location&gt;Paris&lt;/pub-location&gt;&lt;urls&gt;&lt;/urls&gt;&lt;/record&gt;&lt;/Cite&gt;&lt;/EndNote&gt;</w:instrText>
      </w:r>
      <w:r>
        <w:fldChar w:fldCharType="separate"/>
      </w:r>
      <w:r w:rsidRPr="00AD3467">
        <w:rPr>
          <w:noProof/>
          <w:lang w:val="fr-FR"/>
        </w:rPr>
        <w:t xml:space="preserve">François Cochet and Rémy Porte, </w:t>
      </w:r>
      <w:r w:rsidRPr="00AD3467">
        <w:rPr>
          <w:i/>
          <w:noProof/>
          <w:lang w:val="fr-FR"/>
        </w:rPr>
        <w:t>Dictionnaire de la Grande Guerre 1914-1918</w:t>
      </w:r>
      <w:r w:rsidRPr="00AD3467">
        <w:rPr>
          <w:noProof/>
          <w:lang w:val="fr-FR"/>
        </w:rPr>
        <w:t>, (Paris, 2008)</w:t>
      </w:r>
      <w:r>
        <w:fldChar w:fldCharType="end"/>
      </w:r>
      <w:r w:rsidRPr="00B74328">
        <w:rPr>
          <w:lang w:val="fr-BE"/>
        </w:rPr>
        <w:t xml:space="preserve">, pp. 112-113. </w:t>
      </w:r>
    </w:p>
  </w:footnote>
  <w:footnote w:id="134">
    <w:p w14:paraId="0264A3D0" w14:textId="102B09E1" w:rsidR="00DE3AC9" w:rsidRPr="00415A32" w:rsidRDefault="00DE3AC9" w:rsidP="00415A32">
      <w:pPr>
        <w:pStyle w:val="FootnoteText"/>
        <w:rPr>
          <w:lang w:val="fr-FR"/>
        </w:rPr>
      </w:pPr>
      <w:r>
        <w:rPr>
          <w:rStyle w:val="FootnoteReference"/>
        </w:rPr>
        <w:footnoteRef/>
      </w:r>
      <w:r w:rsidRPr="00415A32">
        <w:rPr>
          <w:lang w:val="fr-FR"/>
        </w:rPr>
        <w:t xml:space="preserve"> </w:t>
      </w:r>
      <w:r>
        <w:fldChar w:fldCharType="begin"/>
      </w:r>
      <w:r w:rsidRPr="00415A32">
        <w:rPr>
          <w:lang w:val="fr-FR"/>
        </w:rPr>
        <w:instrText xml:space="preserve"> ADDIN EN.CITE &lt;EndNote&gt;&lt;Cite&gt;&lt;Author&gt;Varley&lt;/Author&gt;&lt;Year&gt;2009&lt;/Year&gt;&lt;RecNum&gt;58&lt;/RecNum&gt;&lt;DisplayText&gt;Varley, &lt;style face="italic"&gt;Under &lt;/style&gt;&lt;/DisplayText&gt;&lt;record&gt;&lt;rec-number&gt;58&lt;/rec-number&gt;&lt;foreign-keys&gt;&lt;key app="EN" db-id="2f5rvwawcsv2woetvw35fzwbdvvswerd0err"&gt;58&lt;/key&gt;&lt;/foreign-keys&gt;&lt;ref-type name="Book"&gt;6&lt;/ref-type&gt;&lt;contributors&gt;&lt;authors&gt;&lt;author&gt;Varley, Karine&lt;/author&gt;&lt;/authors&gt;&lt;/contributors&gt;&lt;titles&gt;&lt;title&gt;Under the shadow of defeat: the war of 1870-1871 in French memory&lt;/title&gt;&lt;short-title&gt;Under &lt;/short-title&gt;&lt;/titles&gt;&lt;dates&gt;&lt;year&gt;2009&lt;/year&gt;&lt;/dates&gt;&lt;pub-location&gt;Hampshire&lt;/pub-location&gt;&lt;urls&gt;&lt;/urls&gt;&lt;/record&gt;&lt;/Cite&gt;&lt;/EndNote&gt;</w:instrText>
      </w:r>
      <w:r>
        <w:fldChar w:fldCharType="separate"/>
      </w:r>
      <w:r w:rsidRPr="00415A32">
        <w:rPr>
          <w:noProof/>
          <w:lang w:val="fr-FR"/>
        </w:rPr>
        <w:t xml:space="preserve">Varley, </w:t>
      </w:r>
      <w:r w:rsidRPr="00415A32">
        <w:rPr>
          <w:i/>
          <w:noProof/>
          <w:lang w:val="fr-FR"/>
        </w:rPr>
        <w:t xml:space="preserve">Under </w:t>
      </w:r>
      <w:r>
        <w:fldChar w:fldCharType="end"/>
      </w:r>
      <w:r w:rsidRPr="00415A32">
        <w:rPr>
          <w:lang w:val="fr-FR"/>
        </w:rPr>
        <w:t>, p. 202.</w:t>
      </w:r>
    </w:p>
  </w:footnote>
  <w:footnote w:id="135">
    <w:p w14:paraId="49FA76F5" w14:textId="77777777" w:rsidR="00DE3AC9" w:rsidRPr="00415A32" w:rsidRDefault="00DE3AC9" w:rsidP="005C7BEE">
      <w:pPr>
        <w:pStyle w:val="FootnoteText"/>
        <w:rPr>
          <w:lang w:val="fr-FR"/>
        </w:rPr>
      </w:pPr>
      <w:r>
        <w:rPr>
          <w:rStyle w:val="FootnoteReference"/>
        </w:rPr>
        <w:footnoteRef/>
      </w:r>
      <w:r w:rsidRPr="00415A32">
        <w:rPr>
          <w:lang w:val="fr-FR"/>
        </w:rPr>
        <w:t xml:space="preserve"> </w:t>
      </w:r>
      <w:r>
        <w:rPr>
          <w:lang w:val="de-DE"/>
        </w:rPr>
        <w:fldChar w:fldCharType="begin"/>
      </w:r>
      <w:r w:rsidRPr="00415A32">
        <w:rPr>
          <w:lang w:val="fr-FR"/>
        </w:rPr>
        <w:instrText xml:space="preserve"> ADDIN EN.CITE &lt;EndNote&gt;&lt;Cite&gt;&lt;Author&gt;Bouhet&lt;/Author&gt;&lt;Year&gt;1994&lt;/Year&gt;&lt;RecNum&gt;316&lt;/RecNum&gt;&lt;DisplayText&gt;Agnès Bouhet, &amp;apos;L&amp;apos;affaire Saverne: Novembre 1913 - Janvier 1914 (Un exemple de conditionnement international direct)&amp;apos;, in: &lt;style face="italic"&gt;Guerres mondiales et conflits contemporains, &lt;/style&gt;173 (1994), &lt;/DisplayText&gt;&lt;record&gt;&lt;rec-number&gt;316&lt;/rec-number&gt;&lt;foreign-keys&gt;&lt;key app="EN" db-id="2f5rvwawcsv2woetvw35fzwbdvvswerd0err"&gt;316&lt;/key&gt;&lt;/foreign-keys&gt;&lt;ref-type name="Journal Article"&gt;17&lt;/ref-type&gt;&lt;contributors&gt;&lt;authors&gt;&lt;author&gt;Bouhet, Agnès&lt;/author&gt;&lt;/authors&gt;&lt;/contributors&gt;&lt;titles&gt;&lt;title&gt;L&amp;apos;affaire Saverne: Novembre 1913 - Janvier 1914 (Un exemple de conditionnement international direct)&lt;/title&gt;&lt;secondary-title&gt;Guerres mondiales et conflits contemporains&lt;/secondary-title&gt;&lt;short-title&gt;L&amp;apos;affaire Saverne&lt;/short-title&gt;&lt;/titles&gt;&lt;periodical&gt;&lt;full-title&gt;Guerres mondiales et conflits contemporains&lt;/full-title&gt;&lt;/periodical&gt;&lt;volume&gt;173&lt;/volume&gt;&lt;dates&gt;&lt;year&gt;1994&lt;/year&gt;&lt;/dates&gt;&lt;urls&gt;&lt;/urls&gt;&lt;/record&gt;&lt;/Cite&gt;&lt;/EndNote&gt;</w:instrText>
      </w:r>
      <w:r>
        <w:rPr>
          <w:lang w:val="de-DE"/>
        </w:rPr>
        <w:fldChar w:fldCharType="separate"/>
      </w:r>
      <w:r w:rsidRPr="00415A32">
        <w:rPr>
          <w:noProof/>
          <w:lang w:val="fr-FR"/>
        </w:rPr>
        <w:t xml:space="preserve">Agnès Bouhet, 'L'affaire Saverne: Novembre 1913 - Janvier 1914 (Un exemple de conditionnement international direct)', in: </w:t>
      </w:r>
      <w:r w:rsidRPr="00415A32">
        <w:rPr>
          <w:i/>
          <w:noProof/>
          <w:lang w:val="fr-FR"/>
        </w:rPr>
        <w:t xml:space="preserve">Guerres mondiales et conflits contemporains, </w:t>
      </w:r>
      <w:r w:rsidRPr="00415A32">
        <w:rPr>
          <w:noProof/>
          <w:lang w:val="fr-FR"/>
        </w:rPr>
        <w:t xml:space="preserve">173 (1994), </w:t>
      </w:r>
      <w:r>
        <w:rPr>
          <w:lang w:val="de-DE"/>
        </w:rPr>
        <w:fldChar w:fldCharType="end"/>
      </w:r>
      <w:r w:rsidRPr="00415A32">
        <w:rPr>
          <w:lang w:val="fr-FR"/>
        </w:rPr>
        <w:t xml:space="preserve">pp. 6-7 and </w:t>
      </w:r>
      <w:r>
        <w:rPr>
          <w:lang w:val="fr-FR"/>
        </w:rPr>
        <w:fldChar w:fldCharType="begin"/>
      </w:r>
      <w:r w:rsidRPr="00415A32">
        <w:rPr>
          <w:lang w:val="fr-FR"/>
        </w:rPr>
        <w:instrText xml:space="preserve"> ADDIN EN.CITE &lt;EndNote&gt;&lt;Cite&gt;&lt;Author&gt;Fermer&lt;/Author&gt;&lt;Year&gt;2013&lt;/Year&gt;&lt;RecNum&gt;338&lt;/RecNum&gt;&lt;DisplayText&gt;Douglas Fermer, &lt;style face="italic"&gt;Three German invasions of France: the summer campaigns of 1870-1914-1940&lt;/style&gt;, (Barnsley, 2013)&lt;/DisplayText&gt;&lt;record&gt;&lt;rec-number&gt;338&lt;/rec-number&gt;&lt;foreign-keys&gt;&lt;key app="EN" db-id="2f5rvwawcsv2woetvw35fzwbdvvswerd0err"&gt;338&lt;/key&gt;&lt;/foreign-keys&gt;&lt;ref-type name="Book"&gt;6&lt;/ref-type&gt;&lt;contributors&gt;&lt;authors&gt;&lt;author&gt;Fermer, Douglas&lt;/author&gt;&lt;/authors&gt;&lt;/contributors&gt;&lt;titles&gt;&lt;title&gt;Three German invasions of France: the summer campaigns of 1870-1914-1940&lt;/title&gt;&lt;short-title&gt;Three German invasions&lt;/short-title&gt;&lt;/titles&gt;&lt;dates&gt;&lt;year&gt;2013&lt;/year&gt;&lt;/dates&gt;&lt;pub-location&gt;Barnsley&lt;/pub-location&gt;&lt;urls&gt;&lt;/urls&gt;&lt;/record&gt;&lt;/Cite&gt;&lt;/EndNote&gt;</w:instrText>
      </w:r>
      <w:r>
        <w:rPr>
          <w:lang w:val="fr-FR"/>
        </w:rPr>
        <w:fldChar w:fldCharType="separate"/>
      </w:r>
      <w:r w:rsidRPr="00415A32">
        <w:rPr>
          <w:noProof/>
          <w:lang w:val="fr-FR"/>
        </w:rPr>
        <w:t xml:space="preserve">Douglas Fermer, </w:t>
      </w:r>
      <w:r w:rsidRPr="00415A32">
        <w:rPr>
          <w:i/>
          <w:noProof/>
          <w:lang w:val="fr-FR"/>
        </w:rPr>
        <w:t>Three German invasions of France: the summer campaigns of 1870-1914-1940</w:t>
      </w:r>
      <w:r w:rsidRPr="00415A32">
        <w:rPr>
          <w:noProof/>
          <w:lang w:val="fr-FR"/>
        </w:rPr>
        <w:t>, (Barnsley, 2013)</w:t>
      </w:r>
      <w:r>
        <w:rPr>
          <w:lang w:val="fr-FR"/>
        </w:rPr>
        <w:fldChar w:fldCharType="end"/>
      </w:r>
      <w:r w:rsidRPr="00415A32">
        <w:rPr>
          <w:lang w:val="fr-FR"/>
        </w:rPr>
        <w:t>, pp. 97-98.</w:t>
      </w:r>
    </w:p>
  </w:footnote>
  <w:footnote w:id="136">
    <w:p w14:paraId="28B2822D" w14:textId="77777777" w:rsidR="00DE3AC9" w:rsidRPr="00415A32" w:rsidRDefault="00DE3AC9" w:rsidP="00336C47">
      <w:pPr>
        <w:pStyle w:val="FootnoteText"/>
        <w:rPr>
          <w:lang w:val="fr-FR"/>
        </w:rPr>
      </w:pPr>
      <w:r>
        <w:rPr>
          <w:rStyle w:val="FootnoteReference"/>
        </w:rPr>
        <w:footnoteRef/>
      </w:r>
      <w:r w:rsidRPr="00415A32">
        <w:rPr>
          <w:lang w:val="fr-FR"/>
        </w:rPr>
        <w:t xml:space="preserve"> </w:t>
      </w:r>
      <w:r>
        <w:fldChar w:fldCharType="begin"/>
      </w:r>
      <w:r w:rsidRPr="00415A32">
        <w:rPr>
          <w:lang w:val="fr-FR"/>
        </w:rPr>
        <w:instrText xml:space="preserve"> ADDIN EN.CITE &lt;EndNote&gt;&lt;Cite&gt;&lt;Author&gt;Berghahn&lt;/Author&gt;&lt;Year&gt;1994&lt;/Year&gt;&lt;RecNum&gt;54&lt;/RecNum&gt;&lt;DisplayText&gt;Volker Berghahn, &lt;style face="italic"&gt;Imperial Germany, 1871-1918: economy, society, culture and politics&lt;/style&gt;, (Oxford, 1994)&lt;/DisplayText&gt;&lt;record&gt;&lt;rec-number&gt;54&lt;/rec-number&gt;&lt;foreign-keys&gt;&lt;key app="EN" db-id="2f5rvwawcsv2woetvw35fzwbdvvswerd0err"&gt;54&lt;/key&gt;&lt;/foreign-keys&gt;&lt;ref-type name="Book"&gt;6&lt;/ref-type&gt;&lt;contributors&gt;&lt;authors&gt;&lt;author&gt;Berghahn, Volker&lt;/author&gt;&lt;/authors&gt;&lt;/contributors&gt;&lt;titles&gt;&lt;title&gt;Imperial Germany, 1871-1918: economy, society, culture and politics&lt;/title&gt;&lt;short-title&gt;Imperial Germany&lt;/short-title&gt;&lt;/titles&gt;&lt;dates&gt;&lt;year&gt;1994&lt;/year&gt;&lt;/dates&gt;&lt;pub-location&gt;Oxford&lt;/pub-location&gt;&lt;urls&gt;&lt;/urls&gt;&lt;/record&gt;&lt;/Cite&gt;&lt;/EndNote&gt;</w:instrText>
      </w:r>
      <w:r>
        <w:fldChar w:fldCharType="separate"/>
      </w:r>
      <w:r w:rsidRPr="00415A32">
        <w:rPr>
          <w:noProof/>
          <w:lang w:val="fr-FR"/>
        </w:rPr>
        <w:t xml:space="preserve">Volker Berghahn, </w:t>
      </w:r>
      <w:r w:rsidRPr="00415A32">
        <w:rPr>
          <w:i/>
          <w:noProof/>
          <w:lang w:val="fr-FR"/>
        </w:rPr>
        <w:t>Imperial Germany, 1871-1918: economy, society, culture and politics</w:t>
      </w:r>
      <w:r w:rsidRPr="00415A32">
        <w:rPr>
          <w:noProof/>
          <w:lang w:val="fr-FR"/>
        </w:rPr>
        <w:t>, (Oxford, 1994)</w:t>
      </w:r>
      <w:r>
        <w:fldChar w:fldCharType="end"/>
      </w:r>
      <w:r w:rsidRPr="00415A32">
        <w:rPr>
          <w:lang w:val="fr-FR"/>
        </w:rPr>
        <w:t xml:space="preserve">, p. 119 and </w:t>
      </w:r>
      <w:r>
        <w:fldChar w:fldCharType="begin"/>
      </w:r>
      <w:r w:rsidRPr="00415A32">
        <w:rPr>
          <w:lang w:val="fr-FR"/>
        </w:rPr>
        <w:instrText xml:space="preserve"> ADDIN EN.CITE &lt;EndNote&gt;&lt;Cite&gt;&lt;Author&gt;Vonau&lt;/Author&gt;&lt;Year&gt;2008&lt;/Year&gt;&lt;RecNum&gt;344&lt;/RecNum&gt;&lt;DisplayText&gt;Pierre Vonau, &amp;apos;Saverne durant la Grande Guerre&amp;apos;, in: &lt;style face="italic"&gt;Boches ou tricolores: les Alsaciens-Lorrains dans la Grande Guerre, &lt;/style&gt;ed. by Jean-Noël Grandhomme (Strasbourg, 2008),&lt;/DisplayText&gt;&lt;record&gt;&lt;rec-number&gt;344&lt;/rec-number&gt;&lt;foreign-keys&gt;&lt;key app="EN" db-id="2f5rvwawcsv2woetvw35fzwbdvvswerd0err"&gt;344&lt;/key&gt;&lt;/foreign-keys&gt;&lt;ref-type name="Book Section"&gt;5&lt;/ref-type&gt;&lt;contributors&gt;&lt;authors&gt;&lt;author&gt;Vonau, Pierre&lt;/author&gt;&lt;/authors&gt;&lt;secondary-authors&gt;&lt;author&gt;Grandhomme, Jean-Noël&lt;/author&gt;&lt;/secondary-authors&gt;&lt;/contributors&gt;&lt;titles&gt;&lt;title&gt;Saverne durant la Grande Guerre&lt;/title&gt;&lt;secondary-title&gt;Boches ou tricolores: les Alsaciens-Lorrains dans la Grande Guerre&lt;/secondary-title&gt;&lt;/titles&gt;&lt;dates&gt;&lt;year&gt;2008&lt;/year&gt;&lt;/dates&gt;&lt;pub-location&gt;Strasbourg&lt;/pub-location&gt;&lt;urls&gt;&lt;/urls&gt;&lt;/record&gt;&lt;/Cite&gt;&lt;/EndNote&gt;</w:instrText>
      </w:r>
      <w:r>
        <w:fldChar w:fldCharType="separate"/>
      </w:r>
      <w:r w:rsidRPr="00415A32">
        <w:rPr>
          <w:noProof/>
          <w:lang w:val="fr-FR"/>
        </w:rPr>
        <w:t xml:space="preserve">Pierre Vonau, 'Saverne durant la Grande Guerre', in: </w:t>
      </w:r>
      <w:r w:rsidRPr="00415A32">
        <w:rPr>
          <w:i/>
          <w:noProof/>
          <w:lang w:val="fr-FR"/>
        </w:rPr>
        <w:t xml:space="preserve">Boches ou tricolores: les Alsaciens-Lorrains dans la Grande Guerre, </w:t>
      </w:r>
      <w:r w:rsidRPr="00415A32">
        <w:rPr>
          <w:noProof/>
          <w:lang w:val="fr-FR"/>
        </w:rPr>
        <w:t>ed. by Jean-Noël Grandhomme (Strasbourg, 2008),</w:t>
      </w:r>
      <w:r>
        <w:fldChar w:fldCharType="end"/>
      </w:r>
      <w:r w:rsidRPr="00415A32">
        <w:rPr>
          <w:lang w:val="fr-FR"/>
        </w:rPr>
        <w:t xml:space="preserve"> pp. 105-108.</w:t>
      </w:r>
    </w:p>
  </w:footnote>
  <w:footnote w:id="137">
    <w:p w14:paraId="6338C4C6" w14:textId="77777777" w:rsidR="00DE3AC9" w:rsidRPr="00F964CE" w:rsidRDefault="00DE3AC9" w:rsidP="0048510E">
      <w:pPr>
        <w:pStyle w:val="FootnoteText"/>
      </w:pPr>
      <w:r>
        <w:rPr>
          <w:rStyle w:val="FootnoteReference"/>
        </w:rPr>
        <w:footnoteRef/>
      </w:r>
      <w:r w:rsidRPr="008C02D4">
        <w:rPr>
          <w:lang w:val="fr-BE"/>
        </w:rPr>
        <w:t xml:space="preserve"> </w:t>
      </w:r>
      <w:r>
        <w:fldChar w:fldCharType="begin"/>
      </w:r>
      <w:r>
        <w:rPr>
          <w:lang w:val="fr-BE"/>
        </w:rPr>
        <w:instrText xml:space="preserve"> ADDIN EN.CITE &lt;EndNote&gt;&lt;Cite&gt;&lt;Author&gt;Cochet&lt;/Author&gt;&lt;Year&gt;2008&lt;/Year&gt;&lt;RecNum&gt;59&lt;/RecNum&gt;&lt;DisplayText&gt;Cochet and Porte, &lt;style face="italic"&gt;Dictionnaire&lt;/style&gt;&lt;/DisplayText&gt;&lt;record&gt;&lt;rec-number&gt;59&lt;/rec-number&gt;&lt;foreign-keys&gt;&lt;key app="EN" db-id="2f5rvwawcsv2woetvw35fzwbdvvswerd0err"&gt;59&lt;/key&gt;&lt;/foreign-keys&gt;&lt;ref-type name="Book"&gt;6&lt;/ref-type&gt;&lt;contributors&gt;&lt;authors&gt;&lt;author&gt;Cochet, François&lt;/author&gt;&lt;author&gt;Porte, Rémy&lt;/author&gt;&lt;/authors&gt;&lt;/contributors&gt;&lt;titles&gt;&lt;title&gt;Dictionnaire de la Grande Guerre 1914-1918&lt;/title&gt;&lt;short-title&gt;Dictionnaire&lt;/short-title&gt;&lt;/titles&gt;&lt;dates&gt;&lt;year&gt;2008&lt;/year&gt;&lt;/dates&gt;&lt;pub-location&gt;Paris&lt;/pub-location&gt;&lt;urls&gt;&lt;/urls&gt;&lt;/record&gt;&lt;/Cite&gt;&lt;/EndNote&gt;</w:instrText>
      </w:r>
      <w:r>
        <w:fldChar w:fldCharType="separate"/>
      </w:r>
      <w:r w:rsidRPr="00AD3467">
        <w:rPr>
          <w:noProof/>
          <w:lang w:val="fr-BE"/>
        </w:rPr>
        <w:t xml:space="preserve">Cochet and Porte, </w:t>
      </w:r>
      <w:r w:rsidRPr="00AD3467">
        <w:rPr>
          <w:i/>
          <w:noProof/>
          <w:lang w:val="fr-BE"/>
        </w:rPr>
        <w:t>Dictionnaire</w:t>
      </w:r>
      <w:r>
        <w:fldChar w:fldCharType="end"/>
      </w:r>
      <w:r w:rsidRPr="008C02D4">
        <w:rPr>
          <w:lang w:val="fr-BE"/>
        </w:rPr>
        <w:t xml:space="preserve">, p. 526. </w:t>
      </w:r>
      <w:r>
        <w:t>For the campaign  in the press, s</w:t>
      </w:r>
      <w:r w:rsidRPr="00F964CE">
        <w:t xml:space="preserve">ee for example: </w:t>
      </w:r>
      <w:r w:rsidRPr="00F964CE">
        <w:rPr>
          <w:i/>
          <w:iCs/>
        </w:rPr>
        <w:t xml:space="preserve">Le Petit Parisien, </w:t>
      </w:r>
      <w:r w:rsidRPr="00F964CE">
        <w:t xml:space="preserve">4 February 1914, 8 February 1914, </w:t>
      </w:r>
      <w:r>
        <w:t>26 March 1914, 2 May 1914, 18 May 1914, 20 May 1914, 21 May 1914, 22 May 1914, 1 June 1914, 3 June 1914, 11 June 1914, 12 June 1914, 13 June 1914, 15 June 1914 and 17 June 1914.</w:t>
      </w:r>
      <w:r w:rsidRPr="00F964CE">
        <w:t xml:space="preserve"> </w:t>
      </w:r>
    </w:p>
  </w:footnote>
  <w:footnote w:id="138">
    <w:p w14:paraId="13E1C443" w14:textId="7777777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&lt;EndNote&gt;&lt;Cite&gt;&lt;Author&gt;Audoin-Rouzeau&lt;/Author&gt;&lt;Year&gt;2004&lt;/Year&gt;&lt;RecNum&gt;35&lt;/RecNum&gt;&lt;DisplayText&gt;Stéphane Audoin-Rouzeau and Gerd Krumeich, &amp;apos;Les batailles de la Grande Guerre&amp;apos;, in: &lt;style face="italic"&gt;Encyclopédie de la Grande Guerre, &lt;/style&gt;ed. by Stéphane Audoin-Rouzeau and Jean-Jacques Becker (Paris, 2004),&lt;/DisplayText&gt;&lt;record&gt;&lt;rec-number&gt;35&lt;/rec-number&gt;&lt;foreign-keys&gt;&lt;key app="EN" db-id="2f5rvwawcsv2woetvw35fzwbdvvswerd0err"&gt;35&lt;/key&gt;&lt;/foreign-keys&gt;&lt;ref-type name="Book Section"&gt;5&lt;/ref-type&gt;&lt;contributors&gt;&lt;authors&gt;&lt;author&gt;Audoin-Rouzeau, Stéphane&lt;/author&gt;&lt;author&gt;Krumeich, Gerd&lt;/author&gt;&lt;/authors&gt;&lt;secondary-authors&gt;&lt;author&gt;Stéphane Audoin-Rouzeau &lt;/author&gt;&lt;author&gt;Jean-Jacques Becker&lt;/author&gt;&lt;/secondary-authors&gt;&lt;/contributors&gt;&lt;titles&gt;&lt;title&gt;Les batailles de la Grande Guerre&lt;/title&gt;&lt;secondary-title&gt;Encyclopédie de la Grande Guerre&lt;/secondary-title&gt;&lt;short-title&gt;Les batailles&lt;/short-title&gt;&lt;/titles&gt;&lt;dates&gt;&lt;year&gt;2004&lt;/year&gt;&lt;/dates&gt;&lt;pub-location&gt;Paris&lt;/pub-location&gt;&lt;urls&gt;&lt;/urls&gt;&lt;/record&gt;&lt;/Cite&gt;&lt;/EndNote&gt;</w:instrText>
      </w:r>
      <w:r>
        <w:rPr>
          <w:lang w:val="fr-FR"/>
        </w:rPr>
        <w:fldChar w:fldCharType="separate"/>
      </w:r>
      <w:r w:rsidRPr="00DE3AC9">
        <w:rPr>
          <w:noProof/>
        </w:rPr>
        <w:t xml:space="preserve">Stéphane Audoin-Rouzeau and Gerd Krumeich, 'Les batailles de la Grande Guerre', in: </w:t>
      </w:r>
      <w:r w:rsidRPr="00DE3AC9">
        <w:rPr>
          <w:i/>
          <w:noProof/>
        </w:rPr>
        <w:t xml:space="preserve">Encyclopédie de la Grande Guerre, </w:t>
      </w:r>
      <w:r w:rsidRPr="00DE3AC9">
        <w:rPr>
          <w:noProof/>
        </w:rPr>
        <w:t>ed. by Stéphane Audoin-Rouzeau and Jean-Jacques Becker (Paris, 2004),</w:t>
      </w:r>
      <w:r>
        <w:rPr>
          <w:lang w:val="fr-FR"/>
        </w:rPr>
        <w:fldChar w:fldCharType="end"/>
      </w:r>
      <w:r w:rsidRPr="00DE3AC9">
        <w:t xml:space="preserve"> pp. 299-302.</w:t>
      </w:r>
    </w:p>
  </w:footnote>
  <w:footnote w:id="139">
    <w:p w14:paraId="5732FA22" w14:textId="3B98CB0E" w:rsidR="00DE3AC9" w:rsidRPr="00723F31" w:rsidRDefault="00DE3AC9" w:rsidP="005C7BEE">
      <w:pPr>
        <w:pStyle w:val="FootnoteText"/>
      </w:pPr>
      <w:r>
        <w:rPr>
          <w:rStyle w:val="FootnoteReference"/>
        </w:rPr>
        <w:footnoteRef/>
      </w:r>
      <w:r w:rsidRPr="00723F31">
        <w:t xml:space="preserve"> </w:t>
      </w:r>
      <w:r>
        <w:fldChar w:fldCharType="begin"/>
      </w:r>
      <w:r>
        <w:instrText xml:space="preserve"> ADDIN EN.CITE &lt;EndNote&gt;&lt;Cite&gt;&lt;Author&gt;Doughty&lt;/Author&gt;&lt;Year&gt;2005&lt;/Year&gt;&lt;RecNum&gt;31&lt;/RecNum&gt;&lt;DisplayText&gt;Robert Doughty, &lt;style face="italic"&gt;Pyrrhic victory: French strategy and operations in the Great War&lt;/style&gt;, (Harvard, 2005)&lt;/DisplayText&gt;&lt;record&gt;&lt;rec-number&gt;31&lt;/rec-number&gt;&lt;foreign-keys&gt;&lt;key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Pr>
          <w:noProof/>
        </w:rPr>
        <w:t xml:space="preserve">Robert Doughty, </w:t>
      </w:r>
      <w:r w:rsidRPr="005C7BEE">
        <w:rPr>
          <w:i/>
          <w:noProof/>
        </w:rPr>
        <w:t>Pyrrhic victory: French strategy and operations in the Great War</w:t>
      </w:r>
      <w:r>
        <w:rPr>
          <w:noProof/>
        </w:rPr>
        <w:t>, (Harvard, 2005)</w:t>
      </w:r>
      <w:r>
        <w:fldChar w:fldCharType="end"/>
      </w:r>
      <w:r w:rsidRPr="00723F31">
        <w:t>, p. 105.</w:t>
      </w:r>
    </w:p>
  </w:footnote>
  <w:footnote w:id="140">
    <w:p w14:paraId="59B2C23E" w14:textId="77777777" w:rsidR="00DE3AC9" w:rsidRPr="0091658B" w:rsidRDefault="00DE3AC9" w:rsidP="0048510E">
      <w:pPr>
        <w:pStyle w:val="FootnoteText"/>
      </w:pPr>
      <w:r>
        <w:rPr>
          <w:rStyle w:val="FootnoteReference"/>
        </w:rPr>
        <w:footnoteRef/>
      </w:r>
      <w:r w:rsidRPr="00723F31">
        <w:t xml:space="preserve"> </w:t>
      </w:r>
      <w:r>
        <w:rPr>
          <w:lang w:val="fr-FR"/>
        </w:rPr>
        <w:fldChar w:fldCharType="begin"/>
      </w:r>
      <w: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rPr>
          <w:lang w:val="fr-FR"/>
        </w:rPr>
        <w:fldChar w:fldCharType="separate"/>
      </w:r>
      <w:r w:rsidRPr="00CA7435">
        <w:rPr>
          <w:noProof/>
        </w:rPr>
        <w:t xml:space="preserve">Connolly, </w:t>
      </w:r>
      <w:r w:rsidRPr="00CA7435">
        <w:rPr>
          <w:i/>
          <w:noProof/>
        </w:rPr>
        <w:t>Encountering Germans</w:t>
      </w:r>
      <w:r>
        <w:rPr>
          <w:lang w:val="fr-FR"/>
        </w:rPr>
        <w:fldChar w:fldCharType="end"/>
      </w:r>
      <w:r w:rsidRPr="005D2593">
        <w:t xml:space="preserve">, </w:t>
      </w:r>
      <w:r w:rsidRPr="00723F31">
        <w:t xml:space="preserve">p. 19. </w:t>
      </w:r>
      <w:r>
        <w:t>See also chapter seven of this thesis</w:t>
      </w:r>
      <w:r w:rsidRPr="0091658B">
        <w:t xml:space="preserve"> for more details about </w:t>
      </w:r>
      <w:r>
        <w:t xml:space="preserve">the </w:t>
      </w:r>
      <w:r w:rsidRPr="0091658B">
        <w:t>populations living in the occupied regions.</w:t>
      </w:r>
    </w:p>
  </w:footnote>
  <w:footnote w:id="141">
    <w:p w14:paraId="39D2A0D6" w14:textId="77777777" w:rsidR="00DE3AC9" w:rsidRPr="002C1AD1" w:rsidRDefault="00DE3AC9" w:rsidP="0048510E">
      <w:pPr>
        <w:pStyle w:val="FootnoteText"/>
        <w:rPr>
          <w:lang w:val="fr-FR"/>
        </w:rPr>
      </w:pPr>
      <w:r>
        <w:rPr>
          <w:rStyle w:val="FootnoteReference"/>
        </w:rPr>
        <w:footnoteRef/>
      </w:r>
      <w:r w:rsidRPr="002C1AD1">
        <w:rPr>
          <w:lang w:val="fr-FR"/>
        </w:rPr>
        <w:t xml:space="preserve"> </w:t>
      </w:r>
      <w: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CA7435">
        <w:rPr>
          <w:noProof/>
          <w:lang w:val="fr-FR"/>
        </w:rPr>
        <w:t xml:space="preserve">de Schaepdrijver, </w:t>
      </w:r>
      <w:r w:rsidRPr="00CA7435">
        <w:rPr>
          <w:i/>
          <w:noProof/>
          <w:lang w:val="fr-FR"/>
        </w:rPr>
        <w:t>La Belgique</w:t>
      </w:r>
      <w:r>
        <w:fldChar w:fldCharType="end"/>
      </w:r>
      <w:r w:rsidRPr="002C1AD1">
        <w:rPr>
          <w:lang w:val="fr-FR"/>
        </w:rPr>
        <w:t xml:space="preserve">, p. </w:t>
      </w:r>
      <w:r>
        <w:rPr>
          <w:lang w:val="fr-FR"/>
        </w:rPr>
        <w:t>267.</w:t>
      </w:r>
    </w:p>
  </w:footnote>
  <w:footnote w:id="142">
    <w:p w14:paraId="60710330" w14:textId="77777777" w:rsidR="00DE3AC9" w:rsidRPr="00DE3AC9" w:rsidRDefault="00DE3AC9" w:rsidP="00E10168">
      <w:pPr>
        <w:pStyle w:val="FootnoteText"/>
        <w:rPr>
          <w:lang w:val="fr-FR"/>
        </w:rPr>
      </w:pPr>
      <w:r>
        <w:rPr>
          <w:rStyle w:val="FootnoteReference"/>
        </w:rPr>
        <w:footnoteRef/>
      </w:r>
      <w:r>
        <w:rPr>
          <w:lang w:val="fr-FR"/>
        </w:rPr>
        <w:fldChar w:fldCharType="begin"/>
      </w:r>
      <w:r w:rsidRPr="00DE3AC9">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DE3AC9">
        <w:rPr>
          <w:noProof/>
          <w:lang w:val="fr-FR"/>
        </w:rPr>
        <w:t xml:space="preserve">Laska, </w:t>
      </w:r>
      <w:r w:rsidRPr="00DE3AC9">
        <w:rPr>
          <w:i/>
          <w:noProof/>
          <w:lang w:val="fr-FR"/>
        </w:rPr>
        <w:t>Presse</w:t>
      </w:r>
      <w:r>
        <w:rPr>
          <w:lang w:val="fr-FR"/>
        </w:rPr>
        <w:fldChar w:fldCharType="end"/>
      </w:r>
      <w:r w:rsidRPr="00DE3AC9">
        <w:rPr>
          <w:lang w:val="fr-FR"/>
        </w:rPr>
        <w:t xml:space="preserve">, p. 119. </w:t>
      </w:r>
    </w:p>
  </w:footnote>
  <w:footnote w:id="143">
    <w:p w14:paraId="76AA4517" w14:textId="48532964" w:rsidR="00DE3AC9" w:rsidRPr="00D5389B" w:rsidRDefault="00DE3AC9" w:rsidP="001534CA">
      <w:pPr>
        <w:pStyle w:val="FootnoteText"/>
      </w:pPr>
      <w:r>
        <w:rPr>
          <w:rStyle w:val="FootnoteReference"/>
        </w:rPr>
        <w:footnoteRef/>
      </w:r>
      <w:r w:rsidRPr="00D5389B">
        <w:t xml:space="preserve"> </w:t>
      </w:r>
      <w:r>
        <w:rPr>
          <w:lang w:val="fr-FR"/>
        </w:rPr>
        <w:fldChar w:fldCharType="begin"/>
      </w:r>
      <w:r w:rsidRPr="00D5389B">
        <w:instrText xml:space="preserve"> ADDIN EN.CITE &lt;EndNote&gt;&lt;Cite&gt;&lt;Author&gt;Laska&lt;/Author&gt;&lt;Year&gt;2003&lt;/Year&gt;&lt;RecNum&gt;36&lt;/RecNum&gt;&lt;DisplayText&gt;Ibid.&lt;/DisplayText&gt;&lt;record&gt;&lt;rec-number&gt;36&lt;/rec-number&gt;&lt;foreign-keys&gt;&lt;key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D5389B">
        <w:rPr>
          <w:noProof/>
        </w:rPr>
        <w:t>Ibid.</w:t>
      </w:r>
      <w:r>
        <w:rPr>
          <w:lang w:val="fr-FR"/>
        </w:rPr>
        <w:fldChar w:fldCharType="end"/>
      </w:r>
      <w:r w:rsidRPr="00D5389B">
        <w:t xml:space="preserve"> p. 118.</w:t>
      </w:r>
    </w:p>
  </w:footnote>
  <w:footnote w:id="144">
    <w:p w14:paraId="6A943348" w14:textId="77777777" w:rsidR="00DE3AC9" w:rsidRPr="005D57B0" w:rsidRDefault="00DE3AC9" w:rsidP="0048510E">
      <w:pPr>
        <w:pStyle w:val="FootnoteText"/>
        <w:rPr>
          <w:lang w:val="fr-FR"/>
        </w:rPr>
      </w:pPr>
      <w:r>
        <w:rPr>
          <w:rStyle w:val="FootnoteReference"/>
        </w:rPr>
        <w:footnoteRef/>
      </w:r>
      <w:r w:rsidRPr="009C16CA">
        <w:rPr>
          <w:lang w:val="fr-FR"/>
        </w:rPr>
        <w:t xml:space="preserve"> </w:t>
      </w:r>
      <w:r>
        <w:fldChar w:fldCharType="begin"/>
      </w:r>
      <w:r>
        <w:rPr>
          <w:lang w:val="fr-FR"/>
        </w:rPr>
        <w:instrText xml:space="preserve"> ADDIN EN.CITE &lt;EndNote&gt;&lt;Cite&gt;&lt;Author&gt;Fleury&lt;/Author&gt;&lt;Year&gt;1925&lt;/Year&gt;&lt;RecNum&gt;37&lt;/RecNum&gt;&lt;DisplayText&gt;Elie Fleury, &lt;style face="italic"&gt;Sous la botte, Histoire de la Ville de Saint-Quentin pendant l&amp;apos;occupation Allemande août 1914 - février 1917&lt;/style&gt;, (Paris, 1925)&lt;/DisplayText&gt;&lt;record&gt;&lt;rec-number&gt;37&lt;/rec-number&gt;&lt;foreign-keys&gt;&lt;key app="EN" db-id="2f5rvwawcsv2woetvw35fzwbdvvswerd0err"&gt;37&lt;/key&gt;&lt;/foreign-keys&gt;&lt;ref-type name="Book"&gt;6&lt;/ref-type&gt;&lt;contributors&gt;&lt;authors&gt;&lt;author&gt;Fleury, Elie&lt;/author&gt;&lt;/authors&gt;&lt;/contributors&gt;&lt;titles&gt;&lt;title&gt;Sous la botte, Histoire de la Ville de Saint-Quentin pendant l&amp;apos;occupation Allemande août 1914 - février 1917&lt;/title&gt;&lt;short-title&gt;Sous la botte&lt;/short-title&gt;&lt;/titles&gt;&lt;dates&gt;&lt;year&gt;1925&lt;/year&gt;&lt;/dates&gt;&lt;pub-location&gt;Paris&lt;/pub-location&gt;&lt;urls&gt;&lt;/urls&gt;&lt;/record&gt;&lt;/Cite&gt;&lt;/EndNote&gt;</w:instrText>
      </w:r>
      <w:r>
        <w:fldChar w:fldCharType="separate"/>
      </w:r>
      <w:r w:rsidRPr="00CA7435">
        <w:rPr>
          <w:noProof/>
          <w:lang w:val="fr-FR"/>
        </w:rPr>
        <w:t xml:space="preserve">Elie Fleury, </w:t>
      </w:r>
      <w:r w:rsidRPr="00CA7435">
        <w:rPr>
          <w:i/>
          <w:noProof/>
          <w:lang w:val="fr-FR"/>
        </w:rPr>
        <w:t>Sous la botte, Histoire de la Ville de Saint-Quentin pendant l'occupation Allemande août 1914 - février 1917</w:t>
      </w:r>
      <w:r w:rsidRPr="00CA7435">
        <w:rPr>
          <w:noProof/>
          <w:lang w:val="fr-FR"/>
        </w:rPr>
        <w:t>, (Paris, 1925)</w:t>
      </w:r>
      <w:r>
        <w:fldChar w:fldCharType="end"/>
      </w:r>
      <w:r w:rsidRPr="009C16CA">
        <w:rPr>
          <w:lang w:val="fr-FR"/>
        </w:rPr>
        <w:t>, pp. 61-64.</w:t>
      </w:r>
    </w:p>
  </w:footnote>
  <w:footnote w:id="145">
    <w:p w14:paraId="5280521B" w14:textId="77777777" w:rsidR="00DE3AC9" w:rsidRPr="003B3D86" w:rsidRDefault="00DE3AC9" w:rsidP="0048510E">
      <w:pPr>
        <w:pStyle w:val="FootnoteText"/>
        <w:rPr>
          <w:rFonts w:eastAsia="PMingLiU"/>
          <w:lang w:eastAsia="zh-TW"/>
        </w:rPr>
      </w:pPr>
      <w:r>
        <w:rPr>
          <w:rStyle w:val="FootnoteReference"/>
        </w:rPr>
        <w:footnoteRef/>
      </w:r>
      <w:r>
        <w:t xml:space="preserve"> The </w:t>
      </w:r>
      <w:r>
        <w:rPr>
          <w:i/>
          <w:iCs/>
        </w:rPr>
        <w:t xml:space="preserve">Journal de Guerre </w:t>
      </w:r>
      <w:r>
        <w:t xml:space="preserve">was published between 28 October and 23 December 1914. The </w:t>
      </w:r>
      <w:r>
        <w:rPr>
          <w:i/>
          <w:iCs/>
        </w:rPr>
        <w:t xml:space="preserve">Gazette de Lorraine </w:t>
      </w:r>
      <w:r>
        <w:t xml:space="preserve">was a pre-war newspaper, interrupted in 1908, controlled by a citizen of Luxemburg and pro-German. </w:t>
      </w:r>
      <w:r w:rsidRPr="003B3D86">
        <w:t xml:space="preserve">The </w:t>
      </w:r>
      <w:r w:rsidRPr="003B3D86">
        <w:rPr>
          <w:i/>
          <w:iCs/>
        </w:rPr>
        <w:t>Bulletin de Lille</w:t>
      </w:r>
      <w:r>
        <w:t xml:space="preserve">, </w:t>
      </w:r>
      <w:r w:rsidRPr="003B3D86">
        <w:t xml:space="preserve">published </w:t>
      </w:r>
      <w:r>
        <w:t xml:space="preserve">between </w:t>
      </w:r>
      <w:r w:rsidRPr="003B3D86">
        <w:t>November 1914 and</w:t>
      </w:r>
      <w:r>
        <w:t xml:space="preserve"> October 1918,</w:t>
      </w:r>
      <w:r w:rsidRPr="003B3D86">
        <w:t xml:space="preserve"> contained only news related to the city. </w:t>
      </w:r>
      <w:r>
        <w:t xml:space="preserve">The </w:t>
      </w:r>
      <w:r>
        <w:rPr>
          <w:i/>
          <w:iCs/>
        </w:rPr>
        <w:t>Bulletin de Roubaix</w:t>
      </w:r>
      <w:r>
        <w:rPr>
          <w:rFonts w:eastAsia="PMingLiU" w:hint="eastAsia"/>
          <w:lang w:eastAsia="zh-TW"/>
        </w:rPr>
        <w:t xml:space="preserve"> </w:t>
      </w:r>
      <w:r w:rsidRPr="003B3D86">
        <w:rPr>
          <w:rFonts w:eastAsia="PMingLiU"/>
          <w:lang w:eastAsia="zh-TW"/>
        </w:rPr>
        <w:t xml:space="preserve">was published between December 1916 and October 1918. </w:t>
      </w:r>
      <w:r w:rsidRPr="003B3D86">
        <w:rPr>
          <w:rFonts w:eastAsia="PMingLiU"/>
          <w:i/>
          <w:iCs/>
          <w:lang w:eastAsia="zh-TW"/>
        </w:rPr>
        <w:t>L’Echo de Maubeuge</w:t>
      </w:r>
      <w:r>
        <w:rPr>
          <w:rFonts w:eastAsia="PMingLiU"/>
          <w:lang w:eastAsia="zh-TW"/>
        </w:rPr>
        <w:t xml:space="preserve"> was published from November 1914 until an unknown date, while t</w:t>
      </w:r>
      <w:r w:rsidRPr="003B3D86">
        <w:rPr>
          <w:rFonts w:eastAsia="PMingLiU"/>
          <w:lang w:eastAsia="zh-TW"/>
        </w:rPr>
        <w:t xml:space="preserve">he </w:t>
      </w:r>
      <w:r w:rsidRPr="003B3D86">
        <w:rPr>
          <w:rFonts w:eastAsia="PMingLiU"/>
          <w:i/>
          <w:iCs/>
          <w:lang w:eastAsia="zh-TW"/>
        </w:rPr>
        <w:t xml:space="preserve">Moniteur du Ravitaillement </w:t>
      </w:r>
      <w:r w:rsidRPr="003B3D86">
        <w:rPr>
          <w:rFonts w:eastAsia="PMingLiU"/>
          <w:lang w:eastAsia="zh-TW"/>
        </w:rPr>
        <w:t xml:space="preserve">and the </w:t>
      </w:r>
      <w:r w:rsidRPr="003B3D86">
        <w:rPr>
          <w:rFonts w:eastAsia="PMingLiU"/>
          <w:i/>
          <w:iCs/>
          <w:lang w:eastAsia="zh-TW"/>
        </w:rPr>
        <w:t xml:space="preserve">Moniteur de la Ville de Guise </w:t>
      </w:r>
      <w:r w:rsidRPr="003B3D86">
        <w:rPr>
          <w:rFonts w:eastAsia="PMingLiU"/>
          <w:lang w:eastAsia="zh-TW"/>
        </w:rPr>
        <w:t xml:space="preserve">were exclusively concerned with the organisation of food supplies. </w:t>
      </w:r>
      <w:r>
        <w:rPr>
          <w:rFonts w:eastAsia="PMingLiU"/>
          <w:lang w:eastAsia="zh-TW"/>
        </w:rPr>
        <w:fldChar w:fldCharType="begin"/>
      </w:r>
      <w:r>
        <w:rPr>
          <w:rFonts w:eastAsia="PMingLiU"/>
          <w:lang w:eastAsia="zh-TW"/>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rFonts w:eastAsia="PMingLiU"/>
          <w:lang w:eastAsia="zh-TW"/>
        </w:rPr>
        <w:fldChar w:fldCharType="separate"/>
      </w:r>
      <w:r>
        <w:rPr>
          <w:rFonts w:eastAsia="PMingLiU"/>
          <w:noProof/>
          <w:lang w:eastAsia="zh-TW"/>
        </w:rPr>
        <w:t xml:space="preserve">Laska, </w:t>
      </w:r>
      <w:r w:rsidRPr="00AD3467">
        <w:rPr>
          <w:rFonts w:eastAsia="PMingLiU"/>
          <w:i/>
          <w:noProof/>
          <w:lang w:eastAsia="zh-TW"/>
        </w:rPr>
        <w:t>Presse</w:t>
      </w:r>
      <w:r>
        <w:rPr>
          <w:rFonts w:eastAsia="PMingLiU"/>
          <w:lang w:eastAsia="zh-TW"/>
        </w:rPr>
        <w:fldChar w:fldCharType="end"/>
      </w:r>
      <w:r>
        <w:rPr>
          <w:rFonts w:eastAsia="PMingLiU"/>
          <w:lang w:eastAsia="zh-TW"/>
        </w:rPr>
        <w:t>, pp. 119-131.</w:t>
      </w:r>
    </w:p>
  </w:footnote>
  <w:footnote w:id="146">
    <w:p w14:paraId="1FDAC6CE" w14:textId="5DEB1C74" w:rsidR="00DE3AC9" w:rsidRPr="009C16CA" w:rsidRDefault="00DE3AC9" w:rsidP="0048510E">
      <w:pPr>
        <w:pStyle w:val="FootnoteText"/>
      </w:pPr>
      <w:r>
        <w:rPr>
          <w:rStyle w:val="FootnoteReference"/>
        </w:rPr>
        <w:footnoteRef/>
      </w:r>
      <w:r>
        <w:t xml:space="preserve"> </w:t>
      </w:r>
      <w:r>
        <w:fldChar w:fldCharType="begin"/>
      </w:r>
      <w:r>
        <w:instrText xml:space="preserve"> ADDIN EN.CITE &lt;EndNote&gt;&lt;Cite&gt;&lt;Author&gt;Welch&lt;/Author&gt;&lt;Year&gt;2000&lt;/Year&gt;&lt;RecNum&gt;22&lt;/RecNum&gt;&lt;DisplayText&gt;Welch, &lt;style face="italic"&gt;Germany&lt;/style&gt;&lt;/DisplayText&gt;&lt;record&gt;&lt;rec-number&gt;22&lt;/rec-number&gt;&lt;foreign-keys&gt;&lt;key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fldChar w:fldCharType="separate"/>
      </w:r>
      <w:r>
        <w:rPr>
          <w:noProof/>
        </w:rPr>
        <w:t xml:space="preserve">Welch, </w:t>
      </w:r>
      <w:r w:rsidRPr="00CA7435">
        <w:rPr>
          <w:i/>
          <w:noProof/>
        </w:rPr>
        <w:t>Germany</w:t>
      </w:r>
      <w:r>
        <w:fldChar w:fldCharType="end"/>
      </w:r>
      <w:r>
        <w:t xml:space="preserve">, pp. 26-29 and </w:t>
      </w:r>
      <w:r>
        <w:fldChar w:fldCharType="begin"/>
      </w:r>
      <w:r>
        <w:instrText xml:space="preserve"> ADDIN EN.CITE &lt;EndNote&gt;&lt;Cite&gt;&lt;Author&gt;Cron&lt;/Author&gt;&lt;Year&gt;2013&lt;/Year&gt;&lt;RecNum&gt;328&lt;/RecNum&gt;&lt;DisplayText&gt;Hermann Cron, &lt;style face="italic"&gt;Imperial German army 1914-1918: organisation, structures, orders of battle&lt;/style&gt;, (Solihull, 2013)&lt;/DisplayText&gt;&lt;record&gt;&lt;rec-number&gt;328&lt;/rec-number&gt;&lt;foreign-keys&gt;&lt;key app="EN" db-id="2f5rvwawcsv2woetvw35fzwbdvvswerd0err"&gt;328&lt;/key&gt;&lt;/foreign-keys&gt;&lt;ref-type name="Book"&gt;6&lt;/ref-type&gt;&lt;contributors&gt;&lt;authors&gt;&lt;author&gt;Cron, Hermann&lt;/author&gt;&lt;/authors&gt;&lt;/contributors&gt;&lt;titles&gt;&lt;title&gt;Imperial German army 1914-1918: organisation, structures, orders of battle&lt;/title&gt;&lt;short-title&gt;Imperial German army&lt;/short-title&gt;&lt;/titles&gt;&lt;dates&gt;&lt;year&gt;2013&lt;/year&gt;&lt;/dates&gt;&lt;pub-location&gt;Solihull&lt;/pub-location&gt;&lt;urls&gt;&lt;/urls&gt;&lt;/record&gt;&lt;/Cite&gt;&lt;/EndNote&gt;</w:instrText>
      </w:r>
      <w:r>
        <w:fldChar w:fldCharType="separate"/>
      </w:r>
      <w:r>
        <w:rPr>
          <w:noProof/>
        </w:rPr>
        <w:t xml:space="preserve">Hermann Cron, </w:t>
      </w:r>
      <w:r w:rsidRPr="000522DD">
        <w:rPr>
          <w:i/>
          <w:noProof/>
        </w:rPr>
        <w:t>Imperial German army 1914-1918: organisation, structures, orders of battle</w:t>
      </w:r>
      <w:r>
        <w:rPr>
          <w:noProof/>
        </w:rPr>
        <w:t>, (Solihull, 2013)</w:t>
      </w:r>
      <w:r>
        <w:fldChar w:fldCharType="end"/>
      </w:r>
      <w:r>
        <w:t>, p. 19. See also Parts II and III for the role of Section IIIb and its actions against aerial propaganda.</w:t>
      </w:r>
    </w:p>
  </w:footnote>
  <w:footnote w:id="147">
    <w:p w14:paraId="27097D04" w14:textId="77777777" w:rsidR="00DE3AC9" w:rsidRPr="004F0A24" w:rsidRDefault="00DE3AC9" w:rsidP="0048510E">
      <w:pPr>
        <w:pStyle w:val="FootnoteText"/>
      </w:pPr>
      <w:r>
        <w:rPr>
          <w:rStyle w:val="FootnoteReference"/>
        </w:rPr>
        <w:footnoteRef/>
      </w:r>
      <w:r w:rsidRPr="009C16CA">
        <w:rPr>
          <w:lang w:val="fr-FR"/>
        </w:rPr>
        <w:t xml:space="preserve"> </w:t>
      </w:r>
      <w:r>
        <w:fldChar w:fldCharType="begin"/>
      </w:r>
      <w:r>
        <w:rPr>
          <w:lang w:val="fr-FR"/>
        </w:rPr>
        <w:instrText xml:space="preserve"> ADDIN EN.CITE &lt;EndNote&gt;&lt;Cite&gt;&lt;Author&gt;Domelier&lt;/Author&gt;&lt;Year&gt;1919&lt;/Year&gt;&lt;RecNum&gt;39&lt;/RecNum&gt;&lt;DisplayText&gt;Henri Domelier, &lt;style face="italic"&gt;Au G.Q.G allemand&lt;/style&gt;, (Paris, 1919)&lt;/DisplayText&gt;&lt;record&gt;&lt;rec-number&gt;39&lt;/rec-number&gt;&lt;foreign-keys&gt;&lt;key app="EN" db-id="2f5rvwawcsv2woetvw35fzwbdvvswerd0err"&gt;39&lt;/key&gt;&lt;/foreign-keys&gt;&lt;ref-type name="Book"&gt;6&lt;/ref-type&gt;&lt;contributors&gt;&lt;authors&gt;&lt;author&gt;Domelier, Henri&lt;/author&gt;&lt;/authors&gt;&lt;/contributors&gt;&lt;titles&gt;&lt;title&gt;Au G.Q.G allemand&lt;/title&gt;&lt;short-title&gt;Au GQG&lt;/short-title&gt;&lt;/titles&gt;&lt;dates&gt;&lt;year&gt;1919&lt;/year&gt;&lt;/dates&gt;&lt;pub-location&gt;Paris&lt;/pub-location&gt;&lt;urls&gt;&lt;/urls&gt;&lt;/record&gt;&lt;/Cite&gt;&lt;/EndNote&gt;</w:instrText>
      </w:r>
      <w:r>
        <w:fldChar w:fldCharType="separate"/>
      </w:r>
      <w:r w:rsidRPr="00AD3467">
        <w:rPr>
          <w:noProof/>
          <w:lang w:val="fr-FR"/>
        </w:rPr>
        <w:t xml:space="preserve">Henri Domelier, </w:t>
      </w:r>
      <w:r w:rsidRPr="00AD3467">
        <w:rPr>
          <w:i/>
          <w:noProof/>
          <w:lang w:val="fr-FR"/>
        </w:rPr>
        <w:t>Au G.Q.G allemand</w:t>
      </w:r>
      <w:r w:rsidRPr="00AD3467">
        <w:rPr>
          <w:noProof/>
          <w:lang w:val="fr-FR"/>
        </w:rPr>
        <w:t>, (Paris, 1919)</w:t>
      </w:r>
      <w:r>
        <w:fldChar w:fldCharType="end"/>
      </w:r>
      <w:r w:rsidRPr="009C16CA">
        <w:rPr>
          <w:lang w:val="fr-FR"/>
        </w:rPr>
        <w:t xml:space="preserve">, p. 225 and </w:t>
      </w:r>
      <w:r>
        <w:fldChar w:fldCharType="begin"/>
      </w:r>
      <w:r>
        <w:rPr>
          <w:lang w:val="fr-FR"/>
        </w:rPr>
        <w:instrText xml:space="preserve"> ADDIN EN.CITE &lt;EndNote&gt;&lt;Cite&gt;&lt;Author&gt;Marquiset&lt;/Author&gt;&lt;Year&gt;1919&lt;/Year&gt;&lt;RecNum&gt;40&lt;/RecNum&gt;&lt;DisplayText&gt;Jean Marquiset, &lt;style face="italic"&gt;Les Allemands à Laon&lt;/style&gt;, (Paris, 1919)&lt;/DisplayText&gt;&lt;record&gt;&lt;rec-number&gt;40&lt;/rec-number&gt;&lt;foreign-keys&gt;&lt;key app="EN" db-id="2f5rvwawcsv2woetvw35fzwbdvvswerd0err"&gt;40&lt;/key&gt;&lt;/foreign-keys&gt;&lt;ref-type name="Book"&gt;6&lt;/ref-type&gt;&lt;contributors&gt;&lt;authors&gt;&lt;author&gt;Marquiset, Jean&lt;/author&gt;&lt;/authors&gt;&lt;/contributors&gt;&lt;titles&gt;&lt;title&gt;Les Allemands à Laon&lt;/title&gt;&lt;short-title&gt;Les Allemands&lt;/short-title&gt;&lt;/titles&gt;&lt;dates&gt;&lt;year&gt;1919&lt;/year&gt;&lt;/dates&gt;&lt;pub-location&gt;Paris&lt;/pub-location&gt;&lt;urls&gt;&lt;/urls&gt;&lt;/record&gt;&lt;/Cite&gt;&lt;/EndNote&gt;</w:instrText>
      </w:r>
      <w:r>
        <w:fldChar w:fldCharType="separate"/>
      </w:r>
      <w:r w:rsidRPr="00AD3467">
        <w:rPr>
          <w:noProof/>
          <w:lang w:val="fr-FR"/>
        </w:rPr>
        <w:t xml:space="preserve">Jean Marquiset, </w:t>
      </w:r>
      <w:r w:rsidRPr="00AD3467">
        <w:rPr>
          <w:i/>
          <w:noProof/>
          <w:lang w:val="fr-FR"/>
        </w:rPr>
        <w:t>Les Allemands à Laon</w:t>
      </w:r>
      <w:r w:rsidRPr="00AD3467">
        <w:rPr>
          <w:noProof/>
          <w:lang w:val="fr-FR"/>
        </w:rPr>
        <w:t>, (Paris, 1919)</w:t>
      </w:r>
      <w:r>
        <w:fldChar w:fldCharType="end"/>
      </w:r>
      <w:r w:rsidRPr="009C16CA">
        <w:rPr>
          <w:lang w:val="fr-FR"/>
        </w:rPr>
        <w:t xml:space="preserve">, p. 175. </w:t>
      </w:r>
      <w:r>
        <w:t xml:space="preserve">Some of these collaborators, Toqué, Laverne and Massé de la Fontaine, were tried by the French military justice in 1919. </w:t>
      </w:r>
      <w:r w:rsidRPr="004F0A24">
        <w:t xml:space="preserve">Toqué was executed in Vincennes on 15 Mai 1920. </w:t>
      </w:r>
      <w:r>
        <w:fldChar w:fldCharType="begin"/>
      </w:r>
      <w:r w:rsidRPr="004F0A24">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4F0A24">
        <w:rPr>
          <w:noProof/>
        </w:rPr>
        <w:t xml:space="preserve">Laska, </w:t>
      </w:r>
      <w:r w:rsidRPr="004F0A24">
        <w:rPr>
          <w:i/>
          <w:noProof/>
        </w:rPr>
        <w:t>Presse</w:t>
      </w:r>
      <w:r>
        <w:fldChar w:fldCharType="end"/>
      </w:r>
      <w:r w:rsidRPr="004F0A24">
        <w:t>, p. 143.</w:t>
      </w:r>
    </w:p>
  </w:footnote>
  <w:footnote w:id="148">
    <w:p w14:paraId="320DD46D" w14:textId="30B3DA4B" w:rsidR="00DE3AC9" w:rsidRPr="00ED375F" w:rsidRDefault="00DE3AC9" w:rsidP="000B6B12">
      <w:pPr>
        <w:pStyle w:val="FootnoteText"/>
      </w:pPr>
      <w:r>
        <w:rPr>
          <w:rStyle w:val="FootnoteReference"/>
        </w:rPr>
        <w:footnoteRef/>
      </w:r>
      <w:r w:rsidRPr="005A3840">
        <w:t xml:space="preserve"> More information about the team of the </w:t>
      </w:r>
      <w:r w:rsidRPr="005A3840">
        <w:rPr>
          <w:i/>
          <w:iCs/>
        </w:rPr>
        <w:t xml:space="preserve">Gazette des Ardennes </w:t>
      </w:r>
      <w:r w:rsidRPr="005A3840">
        <w:t xml:space="preserve">can be found in </w:t>
      </w:r>
      <w:r>
        <w:fldChar w:fldCharType="begin"/>
      </w:r>
      <w:r w:rsidRPr="005A3840">
        <w:instrText xml:space="preserve"> ADDIN EN.CITE &lt;EndNote&gt;&lt;Cite&gt;&lt;Author&gt;Marchand&lt;/Author&gt;&lt;Year&gt;1920&lt;/Year&gt;&lt;RecNum&gt;34&lt;/RecNum&gt;&lt;DisplayText&gt;Louis Marchand, &lt;style face="italic"&gt;L&amp;apos;assaut de l&amp;apos;ame française: l&amp;apos;offensive morale des Allemands, en France, pendant la guerre&lt;/style&gt;, (Paris, 1920)&lt;/DisplayText&gt;&lt;record&gt;&lt;rec-number&gt;34&lt;/rec-number&gt;&lt;foreign-keys&gt;&lt;key app="EN" db-id="2f5rvwawcsv2woetvw35fzwbdvvswerd0err"&gt;34&lt;/key&gt;&lt;/foreign-keys&gt;&lt;ref-type name="Book"&gt;6&lt;/ref-type&gt;&lt;contributors&gt;&lt;authors&gt;&lt;author&gt;Marchand, Louis&lt;/author&gt;&lt;/authors&gt;&lt;/contributors&gt;&lt;titles&gt;&lt;title&gt;L&amp;apos;assaut de l&amp;apos;ame française: l&amp;apos;offensive morale des Allemands, en France, pendant la guerre&lt;/title&gt;&lt;short-title&gt;L&amp;apos;assaut&lt;/short-title&gt;&lt;/titles&gt;&lt;dates&gt;&lt;year&gt;1920&lt;/year&gt;&lt;/dates&gt;&lt;pub-location&gt;Paris&lt;/pub-location&gt;&lt;urls&gt;&lt;/urls&gt;&lt;/record&gt;&lt;/Cite&gt;&lt;/EndNote&gt;</w:instrText>
      </w:r>
      <w:r>
        <w:fldChar w:fldCharType="separate"/>
      </w:r>
      <w:r w:rsidRPr="005A3840">
        <w:rPr>
          <w:noProof/>
        </w:rPr>
        <w:t xml:space="preserve">Louis Marchand, </w:t>
      </w:r>
      <w:r w:rsidRPr="005A3840">
        <w:rPr>
          <w:i/>
          <w:noProof/>
        </w:rPr>
        <w:t>L'assaut de l'ame française: l'offensive morale des Allemands, en France, pendant la guerre</w:t>
      </w:r>
      <w:r w:rsidRPr="005A3840">
        <w:rPr>
          <w:noProof/>
        </w:rPr>
        <w:t>, (Paris, 1920)</w:t>
      </w:r>
      <w:r>
        <w:fldChar w:fldCharType="end"/>
      </w:r>
      <w:r w:rsidRPr="005A3840">
        <w:t xml:space="preserve">, pp. 9-11 and </w:t>
      </w:r>
      <w:r>
        <w:rPr>
          <w:lang w:val="fr-FR"/>
        </w:rPr>
        <w:fldChar w:fldCharType="begin"/>
      </w:r>
      <w:r w:rsidRPr="005A3840">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5A3840">
        <w:rPr>
          <w:noProof/>
        </w:rPr>
        <w:t xml:space="preserve">Laska, </w:t>
      </w:r>
      <w:r w:rsidRPr="005A3840">
        <w:rPr>
          <w:i/>
          <w:noProof/>
        </w:rPr>
        <w:t>Presse</w:t>
      </w:r>
      <w:r>
        <w:rPr>
          <w:lang w:val="fr-FR"/>
        </w:rPr>
        <w:fldChar w:fldCharType="end"/>
      </w:r>
      <w:r w:rsidRPr="005A3840">
        <w:t xml:space="preserve">, pp. 139-141. </w:t>
      </w:r>
      <w:r>
        <w:t xml:space="preserve">The importance of using journalists in propaganda was identified by Serge Chakotin who described this profession as an ‘engineer of the soul’. </w:t>
      </w:r>
      <w:r>
        <w:fldChar w:fldCharType="begin"/>
      </w:r>
      <w:r>
        <w:instrText xml:space="preserve"> ADDIN EN.CITE &lt;EndNote&gt;&lt;Cite&gt;&lt;Author&gt;Chakotin&lt;/Author&gt;&lt;Year&gt;1940&lt;/Year&gt;&lt;RecNum&gt;25&lt;/RecNum&gt;&lt;DisplayText&gt;Serge Chakotin, &lt;style face="italic"&gt;The rape of the masses: psychology of totalitarian political propaganda&lt;/style&gt;, (London, 1940)&lt;/DisplayText&gt;&lt;record&gt;&lt;rec-number&gt;25&lt;/rec-number&gt;&lt;foreign-keys&gt;&lt;key app="EN" db-id="2f5rvwawcsv2woetvw35fzwbdvvswerd0err"&gt;25&lt;/key&gt;&lt;/foreign-keys&gt;&lt;ref-type name="Book"&gt;6&lt;/ref-type&gt;&lt;contributors&gt;&lt;authors&gt;&lt;author&gt;Chakotin, Serge&lt;/author&gt;&lt;/authors&gt;&lt;/contributors&gt;&lt;titles&gt;&lt;title&gt;The rape of the masses: psychology of totalitarian political propaganda&lt;/title&gt;&lt;short-title&gt;The rape&lt;/short-title&gt;&lt;/titles&gt;&lt;dates&gt;&lt;year&gt;1940&lt;/year&gt;&lt;/dates&gt;&lt;pub-location&gt;London&lt;/pub-location&gt;&lt;publisher&gt;The Labour Book Service&lt;/publisher&gt;&lt;urls&gt;&lt;/urls&gt;&lt;/record&gt;&lt;/Cite&gt;&lt;/EndNote&gt;</w:instrText>
      </w:r>
      <w:r>
        <w:fldChar w:fldCharType="separate"/>
      </w:r>
      <w:r>
        <w:rPr>
          <w:noProof/>
        </w:rPr>
        <w:t xml:space="preserve">Serge Chakotin, </w:t>
      </w:r>
      <w:r w:rsidRPr="005C7BEE">
        <w:rPr>
          <w:i/>
          <w:noProof/>
        </w:rPr>
        <w:t>The rape of the masses: psychology of totalitarian political propaganda</w:t>
      </w:r>
      <w:r>
        <w:rPr>
          <w:noProof/>
        </w:rPr>
        <w:t>, (London, 1940)</w:t>
      </w:r>
      <w:r>
        <w:fldChar w:fldCharType="end"/>
      </w:r>
      <w:r>
        <w:t>, pp. 116-118.</w:t>
      </w:r>
    </w:p>
  </w:footnote>
  <w:footnote w:id="149">
    <w:p w14:paraId="579B287F" w14:textId="77777777" w:rsidR="00DE3AC9" w:rsidRPr="009C16CA" w:rsidRDefault="00DE3AC9" w:rsidP="0048510E">
      <w:pPr>
        <w:pStyle w:val="FootnoteText"/>
        <w:rPr>
          <w:lang w:val="fr-FR"/>
        </w:rPr>
      </w:pPr>
      <w:r>
        <w:rPr>
          <w:rStyle w:val="FootnoteReference"/>
        </w:rPr>
        <w:footnoteRef/>
      </w:r>
      <w:r>
        <w:t xml:space="preserve"> </w:t>
      </w:r>
      <w:r>
        <w:rPr>
          <w:i/>
          <w:iCs/>
        </w:rPr>
        <w:t xml:space="preserve">La Gazette des Ardennes </w:t>
      </w:r>
      <w:r>
        <w:t xml:space="preserve">saw its printing numbers rise from 3,000 copies in October 1915 to 175,000 copies in October 1917. </w:t>
      </w:r>
      <w:r>
        <w:fldChar w:fldCharType="begin"/>
      </w:r>
      <w:r>
        <w:instrText xml:space="preserve"> ADDIN EN.CITE &lt;EndNote&gt;&lt;Cite&gt;&lt;Author&gt;Pliant&lt;/Author&gt;&lt;Year&gt;1922&lt;/Year&gt;&lt;RecNum&gt;41&lt;/RecNum&gt;&lt;DisplayText&gt;Paul Pliant, &lt;style face="italic"&gt;Le journal, arme de guerre de l&amp;apos;Allemagne: la Gazette des Ardennes&lt;/style&gt;, (Paris, 1922)&lt;/DisplayText&gt;&lt;record&gt;&lt;rec-number&gt;41&lt;/rec-number&gt;&lt;foreign-keys&gt;&lt;key app="EN" db-id="2f5rvwawcsv2woetvw35fzwbdvvswerd0err"&gt;41&lt;/key&gt;&lt;/foreign-keys&gt;&lt;ref-type name="Book"&gt;6&lt;/ref-type&gt;&lt;contributors&gt;&lt;authors&gt;&lt;author&gt;Pliant, Paul&lt;/author&gt;&lt;/authors&gt;&lt;/contributors&gt;&lt;titles&gt;&lt;title&gt;Le journal, arme de guerre de l&amp;apos;Allemagne: la Gazette des Ardennes&lt;/title&gt;&lt;short-title&gt;Le journal&lt;/short-title&gt;&lt;/titles&gt;&lt;dates&gt;&lt;year&gt;1922&lt;/year&gt;&lt;/dates&gt;&lt;pub-location&gt;Paris&lt;/pub-location&gt;&lt;urls&gt;&lt;/urls&gt;&lt;/record&gt;&lt;/Cite&gt;&lt;/EndNote&gt;</w:instrText>
      </w:r>
      <w:r>
        <w:fldChar w:fldCharType="separate"/>
      </w:r>
      <w:r w:rsidRPr="00AD3467">
        <w:rPr>
          <w:noProof/>
          <w:lang w:val="fr-FR"/>
        </w:rPr>
        <w:t xml:space="preserve">Paul Pliant, </w:t>
      </w:r>
      <w:r w:rsidRPr="00AD3467">
        <w:rPr>
          <w:i/>
          <w:noProof/>
          <w:lang w:val="fr-FR"/>
        </w:rPr>
        <w:t>Le journal, arme de guerre de l'Allemagne: la Gazette des Ardennes</w:t>
      </w:r>
      <w:r w:rsidRPr="00AD3467">
        <w:rPr>
          <w:noProof/>
          <w:lang w:val="fr-FR"/>
        </w:rPr>
        <w:t>, (Paris, 1922)</w:t>
      </w:r>
      <w:r>
        <w:fldChar w:fldCharType="end"/>
      </w:r>
      <w:r w:rsidRPr="009C16CA">
        <w:rPr>
          <w:lang w:val="fr-FR"/>
        </w:rPr>
        <w:t xml:space="preserve">, pp. 16-17. </w:t>
      </w:r>
    </w:p>
  </w:footnote>
  <w:footnote w:id="150">
    <w:p w14:paraId="766D743D" w14:textId="77777777" w:rsidR="00DE3AC9" w:rsidRPr="009C16CA" w:rsidRDefault="00DE3AC9" w:rsidP="0048510E">
      <w:pPr>
        <w:pStyle w:val="FootnoteText"/>
        <w:rPr>
          <w:lang w:val="de-DE"/>
        </w:rPr>
      </w:pPr>
      <w:r>
        <w:rPr>
          <w:rStyle w:val="FootnoteReference"/>
        </w:rPr>
        <w:footnoteRef/>
      </w:r>
      <w:r w:rsidRPr="009C16CA">
        <w:rPr>
          <w:lang w:val="de-DE"/>
        </w:rPr>
        <w:t xml:space="preserve"> </w:t>
      </w:r>
      <w:r>
        <w:fldChar w:fldCharType="begin"/>
      </w:r>
      <w:r>
        <w:rPr>
          <w:lang w:val="de-DE"/>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AD3467">
        <w:rPr>
          <w:noProof/>
          <w:lang w:val="de-DE"/>
        </w:rPr>
        <w:t xml:space="preserve">Laska, </w:t>
      </w:r>
      <w:r w:rsidRPr="00AD3467">
        <w:rPr>
          <w:i/>
          <w:noProof/>
          <w:lang w:val="de-DE"/>
        </w:rPr>
        <w:t>Presse</w:t>
      </w:r>
      <w:r>
        <w:fldChar w:fldCharType="end"/>
      </w:r>
      <w:r w:rsidRPr="009C16CA">
        <w:rPr>
          <w:lang w:val="de-DE"/>
        </w:rPr>
        <w:t>, p. 151.</w:t>
      </w:r>
    </w:p>
  </w:footnote>
  <w:footnote w:id="151">
    <w:p w14:paraId="60113BC6" w14:textId="77777777" w:rsidR="00DE3AC9" w:rsidRPr="009C16CA" w:rsidRDefault="00DE3AC9" w:rsidP="0048510E">
      <w:pPr>
        <w:pStyle w:val="FootnoteText"/>
        <w:rPr>
          <w:lang w:val="de-DE"/>
        </w:rPr>
      </w:pPr>
      <w:r>
        <w:rPr>
          <w:rStyle w:val="FootnoteReference"/>
        </w:rPr>
        <w:footnoteRef/>
      </w:r>
      <w:r w:rsidRPr="009C16CA">
        <w:rPr>
          <w:lang w:val="de-DE"/>
        </w:rPr>
        <w:t xml:space="preserve"> </w:t>
      </w:r>
      <w:r>
        <w:fldChar w:fldCharType="begin"/>
      </w:r>
      <w:r>
        <w:rPr>
          <w:lang w:val="de-DE"/>
        </w:rPr>
        <w:instrText xml:space="preserve"> ADDIN EN.CITE &lt;EndNote&gt;&lt;Cite&gt;&lt;Author&gt;Ludendorff&lt;/Author&gt;&lt;Year&gt;1919&lt;/Year&gt;&lt;RecNum&gt;42&lt;/RecNum&gt;&lt;DisplayText&gt;Erich Ludendorff, &lt;style face="italic"&gt;Meine Kriegserinnerungen&lt;/style&gt;, (Berlin, 1919)&lt;/DisplayText&gt;&lt;record&gt;&lt;rec-number&gt;42&lt;/rec-number&gt;&lt;foreign-keys&gt;&lt;key app="EN" db-id="2f5rvwawcsv2woetvw35fzwbdvvswerd0err"&gt;42&lt;/key&gt;&lt;/foreign-keys&gt;&lt;ref-type name="Book"&gt;6&lt;/ref-type&gt;&lt;contributors&gt;&lt;authors&gt;&lt;author&gt;Ludendorff, Erich&lt;/author&gt;&lt;/authors&gt;&lt;/contributors&gt;&lt;titles&gt;&lt;title&gt;Meine Kriegserinnerungen&lt;/title&gt;&lt;short-title&gt;Meine&lt;/short-title&gt;&lt;/titles&gt;&lt;dates&gt;&lt;year&gt;1919&lt;/year&gt;&lt;/dates&gt;&lt;pub-location&gt;Berlin&lt;/pub-location&gt;&lt;urls&gt;&lt;/urls&gt;&lt;/record&gt;&lt;/Cite&gt;&lt;/EndNote&gt;</w:instrText>
      </w:r>
      <w:r>
        <w:fldChar w:fldCharType="separate"/>
      </w:r>
      <w:r w:rsidRPr="00AD3467">
        <w:rPr>
          <w:noProof/>
          <w:lang w:val="de-DE"/>
        </w:rPr>
        <w:t xml:space="preserve">Erich Ludendorff, </w:t>
      </w:r>
      <w:r w:rsidRPr="00AD3467">
        <w:rPr>
          <w:i/>
          <w:noProof/>
          <w:lang w:val="de-DE"/>
        </w:rPr>
        <w:t>Meine Kriegserinnerungen</w:t>
      </w:r>
      <w:r w:rsidRPr="00AD3467">
        <w:rPr>
          <w:noProof/>
          <w:lang w:val="de-DE"/>
        </w:rPr>
        <w:t>, (Berlin, 1919)</w:t>
      </w:r>
      <w:r>
        <w:fldChar w:fldCharType="end"/>
      </w:r>
      <w:r w:rsidRPr="009C16CA">
        <w:rPr>
          <w:lang w:val="de-DE"/>
        </w:rPr>
        <w:t>, p. 298.</w:t>
      </w:r>
    </w:p>
  </w:footnote>
  <w:footnote w:id="152">
    <w:p w14:paraId="102EFF43" w14:textId="77777777" w:rsidR="00DE3AC9" w:rsidRPr="00373896" w:rsidRDefault="00DE3AC9" w:rsidP="0048510E">
      <w:pPr>
        <w:pStyle w:val="FootnoteText"/>
      </w:pPr>
      <w:r>
        <w:rPr>
          <w:rStyle w:val="FootnoteReference"/>
        </w:rPr>
        <w:footnoteRef/>
      </w:r>
      <w:r w:rsidRPr="00373896">
        <w:t xml:space="preserve"> These crimes have been denounced for a long time as </w:t>
      </w:r>
      <w:r>
        <w:t>an allied propaganda construction</w:t>
      </w:r>
      <w:r w:rsidRPr="00373896">
        <w:t xml:space="preserve"> to destroy the image of Germany </w:t>
      </w:r>
      <w:r>
        <w:t xml:space="preserve">and involved the United States in the conflict. John Horne and Alan Kramer demonstrated the extend of the massacres in the first months of the war in Belgium and France. See: </w:t>
      </w:r>
      <w:r>
        <w:fldChar w:fldCharType="begin"/>
      </w:r>
      <w:r>
        <w:instrText xml:space="preserve"> ADDIN EN.CITE &lt;EndNote&gt;&lt;Cite&gt;&lt;Author&gt;Kramer&lt;/Author&gt;&lt;Year&gt;2001&lt;/Year&gt;&lt;RecNum&gt;43&lt;/RecNum&gt;&lt;DisplayText&gt;Horne and Kramer, &lt;style face="italic"&gt;German atrocities&lt;/style&gt;&lt;/DisplayText&gt;&lt;record&gt;&lt;rec-number&gt;43&lt;/rec-number&gt;&lt;foreign-keys&gt;&lt;key app="EN" db-id="2f5rvwawcsv2woetvw35fzwbdvvswerd0err"&gt;43&lt;/key&gt;&lt;/foreign-keys&gt;&lt;ref-type name="Book"&gt;6&lt;/ref-type&gt;&lt;contributors&gt;&lt;authors&gt;&lt;author&gt;Horne, John&lt;/author&gt;&lt;author&gt;Kramer, Alan&lt;/author&gt;&lt;/authors&gt;&lt;/contributors&gt;&lt;titles&gt;&lt;title&gt;German atrocities 1914: a history of denial&lt;/title&gt;&lt;short-title&gt;German atrocities&lt;/short-title&gt;&lt;/titles&gt;&lt;dates&gt;&lt;year&gt;2001&lt;/year&gt;&lt;/dates&gt;&lt;pub-location&gt;New Haven and London&lt;/pub-location&gt;&lt;urls&gt;&lt;/urls&gt;&lt;/record&gt;&lt;/Cite&gt;&lt;/EndNote&gt;</w:instrText>
      </w:r>
      <w:r>
        <w:fldChar w:fldCharType="separate"/>
      </w:r>
      <w:r>
        <w:rPr>
          <w:noProof/>
        </w:rPr>
        <w:t xml:space="preserve">Horne and Kramer, </w:t>
      </w:r>
      <w:r w:rsidRPr="00CA7435">
        <w:rPr>
          <w:i/>
          <w:noProof/>
        </w:rPr>
        <w:t>German atrocities</w:t>
      </w:r>
      <w:r>
        <w:fldChar w:fldCharType="end"/>
      </w:r>
      <w:r>
        <w:t>.</w:t>
      </w:r>
    </w:p>
  </w:footnote>
  <w:footnote w:id="153">
    <w:p w14:paraId="76036921" w14:textId="77777777" w:rsidR="00DE3AC9" w:rsidRPr="00EB6352" w:rsidRDefault="00DE3AC9" w:rsidP="0048510E">
      <w:pPr>
        <w:pStyle w:val="FootnoteText"/>
      </w:pPr>
      <w:r>
        <w:rPr>
          <w:rStyle w:val="FootnoteReference"/>
        </w:rPr>
        <w:footnoteRef/>
      </w:r>
      <w:r w:rsidRPr="00EB6352">
        <w:t xml:space="preserve"> </w:t>
      </w:r>
      <w:r>
        <w:rPr>
          <w:lang w:val="fr-FR"/>
        </w:rPr>
        <w:fldChar w:fldCharType="begin"/>
      </w:r>
      <w:r>
        <w:instrText xml:space="preserve"> ADDIN EN.CITE &lt;EndNote&gt;&lt;Cite&gt;&lt;Author&gt;Bisschop&lt;/Author&gt;&lt;Year&gt;1918&lt;/Year&gt;&lt;RecNum&gt;44&lt;/RecNum&gt;&lt;DisplayText&gt;Willem Bisschop, &amp;apos;German war legislation in the occupied territory in Belgium&amp;apos;, in: &lt;style face="italic"&gt;Transactions of the Grotius Society, &lt;/style&gt;4 (1918), &lt;/DisplayText&gt;&lt;record&gt;&lt;rec-number&gt;44&lt;/rec-number&gt;&lt;foreign-keys&gt;&lt;key app="EN" db-id="2f5rvwawcsv2woetvw35fzwbdvvswerd0err"&gt;44&lt;/key&gt;&lt;/foreign-keys&gt;&lt;ref-type name="Journal Article"&gt;17&lt;/ref-type&gt;&lt;contributors&gt;&lt;authors&gt;&lt;author&gt;Bisschop, Willem&lt;/author&gt;&lt;/authors&gt;&lt;/contributors&gt;&lt;titles&gt;&lt;title&gt;German war legislation in the occupied territory in Belgium&lt;/title&gt;&lt;secondary-title&gt;Transactions of the Grotius Society&lt;/secondary-title&gt;&lt;short-title&gt;German war&lt;/short-title&gt;&lt;/titles&gt;&lt;periodical&gt;&lt;full-title&gt;Transactions of the Grotius Society&lt;/full-title&gt;&lt;/periodical&gt;&lt;pages&gt;110-168&lt;/pages&gt;&lt;volume&gt;4&lt;/volume&gt;&lt;dates&gt;&lt;year&gt;1918&lt;/year&gt;&lt;/dates&gt;&lt;urls&gt;&lt;/urls&gt;&lt;/record&gt;&lt;/Cite&gt;&lt;/EndNote&gt;</w:instrText>
      </w:r>
      <w:r>
        <w:rPr>
          <w:lang w:val="fr-FR"/>
        </w:rPr>
        <w:fldChar w:fldCharType="separate"/>
      </w:r>
      <w:r w:rsidRPr="008C02D4">
        <w:rPr>
          <w:noProof/>
        </w:rPr>
        <w:t xml:space="preserve">Willem Bisschop, 'German war legislation in the occupied territory in Belgium', in: </w:t>
      </w:r>
      <w:r w:rsidRPr="008C02D4">
        <w:rPr>
          <w:i/>
          <w:noProof/>
        </w:rPr>
        <w:t xml:space="preserve">Transactions of the Grotius Society, </w:t>
      </w:r>
      <w:r w:rsidRPr="008C02D4">
        <w:rPr>
          <w:noProof/>
        </w:rPr>
        <w:t xml:space="preserve">4 (1918), </w:t>
      </w:r>
      <w:r>
        <w:rPr>
          <w:lang w:val="fr-FR"/>
        </w:rPr>
        <w:fldChar w:fldCharType="end"/>
      </w:r>
      <w:r w:rsidRPr="00EB6352">
        <w:t>p. 110.</w:t>
      </w:r>
    </w:p>
  </w:footnote>
  <w:footnote w:id="154">
    <w:p w14:paraId="7BE5153D" w14:textId="5CEFEB43" w:rsidR="00DE3AC9" w:rsidRPr="003E2239" w:rsidRDefault="00DE3AC9" w:rsidP="002F62A7">
      <w:pPr>
        <w:pStyle w:val="FootnoteText"/>
        <w:rPr>
          <w:lang w:val="fr-FR"/>
        </w:rPr>
      </w:pPr>
      <w:r>
        <w:rPr>
          <w:rStyle w:val="FootnoteReference"/>
        </w:rPr>
        <w:footnoteRef/>
      </w:r>
      <w:r w:rsidRPr="009C16CA">
        <w:rPr>
          <w:lang w:val="fr-FR"/>
        </w:rPr>
        <w:t xml:space="preserve"> </w:t>
      </w:r>
      <w:r>
        <w:fldChar w:fldCharType="begin"/>
      </w:r>
      <w:r>
        <w:rPr>
          <w:lang w:val="fr-FR"/>
        </w:rPr>
        <w:instrText xml:space="preserve"> ADDIN EN.CITE &lt;EndNote&gt;&lt;Cite&gt;&lt;Author&gt;Serodes&lt;/Author&gt;&lt;Year&gt;2012&lt;/Year&gt;&lt;RecNum&gt;24&lt;/RecNum&gt;&lt;DisplayText&gt;Fabrice Serodes, &amp;apos;La propagande anglophobe allemande en Belgique occupée pendant la Grande Guerre&amp;apos;, in: &lt;style face="italic"&gt;La petite Belgique dans la Grande Guerre: une icône, des images, &lt;/style&gt;ed. by B. Rochet and A. Tixhon (Namur, 2012),&lt;/DisplayText&gt;&lt;record&gt;&lt;rec-number&gt;24&lt;/rec-number&gt;&lt;foreign-keys&gt;&lt;key app="EN" db-id="2f5rvwawcsv2woetvw35fzwbdvvswerd0err"&gt;24&lt;/key&gt;&lt;/foreign-keys&gt;&lt;ref-type name="Book Section"&gt;5&lt;/ref-type&gt;&lt;contributors&gt;&lt;authors&gt;&lt;author&gt;Serodes, Fabrice&lt;/author&gt;&lt;/authors&gt;&lt;secondary-authors&gt;&lt;author&gt;B. Rochet &lt;/author&gt;&lt;author&gt;A. Tixhon&lt;/author&gt;&lt;/secondary-authors&gt;&lt;/contributors&gt;&lt;titles&gt;&lt;title&gt;La propagande anglophobe allemande en Belgique occupée pendant la Grande Guerre&lt;/title&gt;&lt;secondary-title&gt;La petite Belgique dans la Grande Guerre: une icône, des images&lt;/secondary-title&gt;&lt;short-title&gt;La propagande&lt;/short-title&gt;&lt;/titles&gt;&lt;dates&gt;&lt;year&gt;2012&lt;/year&gt;&lt;/dates&gt;&lt;pub-location&gt;Namur&lt;/pub-location&gt;&lt;urls&gt;&lt;/urls&gt;&lt;/record&gt;&lt;/Cite&gt;&lt;/EndNote&gt;</w:instrText>
      </w:r>
      <w:r>
        <w:fldChar w:fldCharType="separate"/>
      </w:r>
      <w:r w:rsidRPr="002F62A7">
        <w:rPr>
          <w:noProof/>
          <w:lang w:val="fr-FR"/>
        </w:rPr>
        <w:t xml:space="preserve">Fabrice Serodes, 'La propagande anglophobe allemande en Belgique occupée pendant la Grande Guerre', in: </w:t>
      </w:r>
      <w:r w:rsidRPr="002F62A7">
        <w:rPr>
          <w:i/>
          <w:noProof/>
          <w:lang w:val="fr-FR"/>
        </w:rPr>
        <w:t xml:space="preserve">La petite Belgique dans la Grande Guerre: une icône, des images, </w:t>
      </w:r>
      <w:r w:rsidRPr="002F62A7">
        <w:rPr>
          <w:noProof/>
          <w:lang w:val="fr-FR"/>
        </w:rPr>
        <w:t>ed. by B. Rochet and A. Tixhon (Namur, 2012),</w:t>
      </w:r>
      <w:r>
        <w:fldChar w:fldCharType="end"/>
      </w:r>
      <w:r w:rsidRPr="009C16CA">
        <w:rPr>
          <w:lang w:val="fr-FR"/>
        </w:rPr>
        <w:t xml:space="preserve"> pp. 36-47 and </w:t>
      </w:r>
      <w: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AD3467">
        <w:rPr>
          <w:noProof/>
          <w:lang w:val="fr-FR"/>
        </w:rPr>
        <w:t xml:space="preserve">Laska, </w:t>
      </w:r>
      <w:r w:rsidRPr="00AD3467">
        <w:rPr>
          <w:i/>
          <w:noProof/>
          <w:lang w:val="fr-FR"/>
        </w:rPr>
        <w:t>Presse</w:t>
      </w:r>
      <w:r>
        <w:fldChar w:fldCharType="end"/>
      </w:r>
      <w:r w:rsidRPr="009C16CA">
        <w:rPr>
          <w:lang w:val="fr-FR"/>
        </w:rPr>
        <w:t>, pp. 122-123</w:t>
      </w:r>
      <w:r>
        <w:rPr>
          <w:lang w:val="fr-FR"/>
        </w:rPr>
        <w:t>.</w:t>
      </w:r>
    </w:p>
  </w:footnote>
  <w:footnote w:id="155">
    <w:p w14:paraId="1E6CC7EA" w14:textId="50D18463" w:rsidR="00DE3AC9" w:rsidRPr="00B82D3C" w:rsidRDefault="00DE3AC9" w:rsidP="002F62A7">
      <w:pPr>
        <w:pStyle w:val="FootnoteText"/>
        <w:rPr>
          <w:lang w:val="fr-FR"/>
        </w:rPr>
      </w:pPr>
      <w:r>
        <w:rPr>
          <w:rStyle w:val="FootnoteReference"/>
        </w:rPr>
        <w:footnoteRef/>
      </w:r>
      <w:r w:rsidRPr="00B82D3C">
        <w:rPr>
          <w:lang w:val="fr-FR"/>
        </w:rPr>
        <w:t xml:space="preserve"> </w:t>
      </w:r>
      <w:r>
        <w:rPr>
          <w:lang w:val="sv-SE"/>
        </w:rPr>
        <w:fldChar w:fldCharType="begin"/>
      </w:r>
      <w:r w:rsidRPr="00B82D3C">
        <w:rPr>
          <w:lang w:val="fr-FR"/>
        </w:rPr>
        <w:instrText xml:space="preserve"> ADDIN EN.CITE &lt;EndNote&gt;&lt;Cite&gt;&lt;Author&gt;Delforge&lt;/Author&gt;&lt;Year&gt;2008&lt;/Year&gt;&lt;RecNum&gt;164&lt;/RecNum&gt;&lt;DisplayText&gt;Delforge, &lt;style face="italic"&gt;La Wallonie&lt;/style&gt;&lt;/DisplayText&gt;&lt;record&gt;&lt;rec-number&gt;164&lt;/rec-number&gt;&lt;foreign-keys&gt;&lt;key app="EN" db-id="2f5rvwawcsv2woetvw35fzwbdvvswerd0err"&gt;164&lt;/key&gt;&lt;/foreign-keys&gt;&lt;ref-type name="Book"&gt;6&lt;/ref-type&gt;&lt;contributors&gt;&lt;authors&gt;&lt;author&gt;Delforge, Paul&lt;/author&gt;&lt;/authors&gt;&lt;/contributors&gt;&lt;titles&gt;&lt;title&gt;La Wallonie et la Première Guerre Mondiale&lt;/title&gt;&lt;short-title&gt;La Wallonie&lt;/short-title&gt;&lt;/titles&gt;&lt;dates&gt;&lt;year&gt;2008&lt;/year&gt;&lt;/dates&gt;&lt;pub-location&gt;Namur&lt;/pub-location&gt;&lt;urls&gt;&lt;/urls&gt;&lt;/record&gt;&lt;/Cite&gt;&lt;/EndNote&gt;</w:instrText>
      </w:r>
      <w:r>
        <w:rPr>
          <w:lang w:val="sv-SE"/>
        </w:rPr>
        <w:fldChar w:fldCharType="separate"/>
      </w:r>
      <w:r w:rsidRPr="00B82D3C">
        <w:rPr>
          <w:noProof/>
          <w:lang w:val="fr-FR"/>
        </w:rPr>
        <w:t xml:space="preserve">Delforge, </w:t>
      </w:r>
      <w:r w:rsidRPr="00B82D3C">
        <w:rPr>
          <w:i/>
          <w:noProof/>
          <w:lang w:val="fr-FR"/>
        </w:rPr>
        <w:t>La Wallonie</w:t>
      </w:r>
      <w:r>
        <w:rPr>
          <w:lang w:val="sv-SE"/>
        </w:rPr>
        <w:fldChar w:fldCharType="end"/>
      </w:r>
      <w:r w:rsidRPr="00B82D3C">
        <w:rPr>
          <w:lang w:val="fr-FR"/>
        </w:rPr>
        <w:t xml:space="preserve">, p. 196 and </w:t>
      </w:r>
      <w:r>
        <w:rPr>
          <w:lang w:val="it-IT"/>
        </w:rPr>
        <w:fldChar w:fldCharType="begin"/>
      </w:r>
      <w:r>
        <w:rPr>
          <w:lang w:val="fr-FR"/>
        </w:rPr>
        <w:instrText xml:space="preserve"> ADDIN EN.CITE &lt;EndNote&gt;&lt;Cite&gt;&lt;Author&gt;Amara&lt;/Author&gt;&lt;Year&gt;2004&lt;/Year&gt;&lt;RecNum&gt;346&lt;/RecNum&gt;&lt;DisplayText&gt;Michael Amara and Hubert Roland, &lt;style face="italic"&gt;Gouverner en Belgique occupée: Oscar von der Lancken-Wakenitz. Rapports d&amp;apos;activité 1915-1918&lt;/style&gt;, (Brussels, 2004)&lt;/DisplayText&gt;&lt;record&gt;&lt;rec-number&gt;346&lt;/rec-number&gt;&lt;foreign-keys&gt;&lt;key app="EN" db-id="2f5rvwawcsv2woetvw35fzwbdvvswerd0err"&gt;346&lt;/key&gt;&lt;/foreign-keys&gt;&lt;ref-type name="Book"&gt;6&lt;/ref-type&gt;&lt;contributors&gt;&lt;authors&gt;&lt;author&gt;Amara, Michael&lt;/author&gt;&lt;author&gt;Roland, Hubert&lt;/author&gt;&lt;/authors&gt;&lt;/contributors&gt;&lt;titles&gt;&lt;title&gt;Gouverner en Belgique occupée: Oscar von der Lancken-Wakenitz. Rapports d&amp;apos;activité 1915-1918&lt;/title&gt;&lt;short-title&gt;Gouverner en Belgique&lt;/short-title&gt;&lt;/titles&gt;&lt;dates&gt;&lt;year&gt;2004&lt;/year&gt;&lt;/dates&gt;&lt;pub-location&gt;Brussels&lt;/pub-location&gt;&lt;urls&gt;&lt;/urls&gt;&lt;/record&gt;&lt;/Cite&gt;&lt;/EndNote&gt;</w:instrText>
      </w:r>
      <w:r>
        <w:rPr>
          <w:lang w:val="it-IT"/>
        </w:rPr>
        <w:fldChar w:fldCharType="separate"/>
      </w:r>
      <w:r w:rsidRPr="002F62A7">
        <w:rPr>
          <w:noProof/>
          <w:lang w:val="fr-FR"/>
        </w:rPr>
        <w:t xml:space="preserve">Michael Amara and Hubert Roland, </w:t>
      </w:r>
      <w:r w:rsidRPr="002F62A7">
        <w:rPr>
          <w:i/>
          <w:noProof/>
          <w:lang w:val="fr-FR"/>
        </w:rPr>
        <w:t>Gouverner en Belgique occupée: Oscar von der Lancken-Wakenitz. Rapports d'activité 1915-1918</w:t>
      </w:r>
      <w:r w:rsidRPr="002F62A7">
        <w:rPr>
          <w:noProof/>
          <w:lang w:val="fr-FR"/>
        </w:rPr>
        <w:t>, (Brussels, 2004)</w:t>
      </w:r>
      <w:r>
        <w:rPr>
          <w:lang w:val="it-IT"/>
        </w:rPr>
        <w:fldChar w:fldCharType="end"/>
      </w:r>
      <w:r w:rsidRPr="00B82D3C">
        <w:rPr>
          <w:lang w:val="fr-FR"/>
        </w:rPr>
        <w:t xml:space="preserve">, p. </w:t>
      </w:r>
      <w:r>
        <w:rPr>
          <w:lang w:val="fr-FR"/>
        </w:rPr>
        <w:t>70.</w:t>
      </w:r>
    </w:p>
  </w:footnote>
  <w:footnote w:id="156">
    <w:p w14:paraId="4E3E0E22" w14:textId="77777777" w:rsidR="00DE3AC9" w:rsidRPr="00B82D3C" w:rsidRDefault="00DE3AC9" w:rsidP="0048510E">
      <w:pPr>
        <w:pStyle w:val="FootnoteText"/>
        <w:rPr>
          <w:lang w:val="fr-FR"/>
        </w:rPr>
      </w:pPr>
      <w:r>
        <w:rPr>
          <w:rStyle w:val="FootnoteReference"/>
        </w:rPr>
        <w:footnoteRef/>
      </w:r>
      <w:r w:rsidRPr="00B82D3C">
        <w:rPr>
          <w:lang w:val="fr-FR"/>
        </w:rPr>
        <w:t xml:space="preserve"> </w:t>
      </w:r>
      <w:r>
        <w:fldChar w:fldCharType="begin"/>
      </w:r>
      <w:r w:rsidRPr="00B82D3C">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B82D3C">
        <w:rPr>
          <w:noProof/>
          <w:lang w:val="fr-FR"/>
        </w:rPr>
        <w:t xml:space="preserve">Laska, </w:t>
      </w:r>
      <w:r w:rsidRPr="00B82D3C">
        <w:rPr>
          <w:i/>
          <w:noProof/>
          <w:lang w:val="fr-FR"/>
        </w:rPr>
        <w:t>Presse</w:t>
      </w:r>
      <w:r>
        <w:fldChar w:fldCharType="end"/>
      </w:r>
      <w:r w:rsidRPr="00B82D3C">
        <w:rPr>
          <w:lang w:val="fr-FR"/>
        </w:rPr>
        <w:t>, pp. 122-123.</w:t>
      </w:r>
    </w:p>
  </w:footnote>
  <w:footnote w:id="157">
    <w:p w14:paraId="3DB11C0C" w14:textId="77777777" w:rsidR="00DE3AC9" w:rsidRPr="00CA7435" w:rsidRDefault="00DE3AC9" w:rsidP="0048510E">
      <w:pPr>
        <w:pStyle w:val="FootnoteText"/>
        <w:rPr>
          <w:lang w:val="fr-FR"/>
        </w:rPr>
      </w:pPr>
      <w:r>
        <w:rPr>
          <w:rStyle w:val="FootnoteReference"/>
        </w:rPr>
        <w:footnoteRef/>
      </w:r>
      <w:r w:rsidRPr="00CA7435">
        <w:rPr>
          <w:lang w:val="fr-FR"/>
        </w:rPr>
        <w:t xml:space="preserve"> </w:t>
      </w:r>
      <w:r>
        <w:fldChar w:fldCharType="begin"/>
      </w:r>
      <w:r w:rsidRPr="00CA7435">
        <w:rPr>
          <w:lang w:val="fr-FR"/>
        </w:rPr>
        <w:instrText xml:space="preserve"> ADDIN EN.CITE &lt;EndNote&gt;&lt;Cite&gt;&lt;Author&gt;Stibbe&lt;/Author&gt;&lt;Year&gt;2001&lt;/Year&gt;&lt;RecNum&gt;33&lt;/RecNum&gt;&lt;DisplayText&gt;Stibbe, &lt;style face="italic"&gt;German Anglophobia&lt;/style&gt;&lt;/DisplayText&gt;&lt;record&gt;&lt;rec-number&gt;33&lt;/rec-number&gt;&lt;foreign-keys&gt;&lt;key app="EN" db-id="2f5rvwawcsv2woetvw35fzwbdvvswerd0err"&gt;33&lt;/key&gt;&lt;/foreign-keys&gt;&lt;ref-type name="Book"&gt;6&lt;/ref-type&gt;&lt;contributors&gt;&lt;authors&gt;&lt;author&gt;Stibbe, Matthew&lt;/author&gt;&lt;/authors&gt;&lt;/contributors&gt;&lt;titles&gt;&lt;title&gt;German Anglophobia and the Great War, 1914-1918&lt;/title&gt;&lt;short-title&gt;German Anglophobia&lt;/short-title&gt;&lt;/titles&gt;&lt;dates&gt;&lt;year&gt;2001&lt;/year&gt;&lt;/dates&gt;&lt;pub-location&gt;Cambridge&lt;/pub-location&gt;&lt;publisher&gt;Cambridge University Press&lt;/publisher&gt;&lt;urls&gt;&lt;/urls&gt;&lt;/record&gt;&lt;/Cite&gt;&lt;/EndNote&gt;</w:instrText>
      </w:r>
      <w:r>
        <w:fldChar w:fldCharType="separate"/>
      </w:r>
      <w:r w:rsidRPr="00CA7435">
        <w:rPr>
          <w:noProof/>
          <w:lang w:val="fr-FR"/>
        </w:rPr>
        <w:t xml:space="preserve">Stibbe, </w:t>
      </w:r>
      <w:r w:rsidRPr="00CA7435">
        <w:rPr>
          <w:i/>
          <w:noProof/>
          <w:lang w:val="fr-FR"/>
        </w:rPr>
        <w:t>German Anglophobia</w:t>
      </w:r>
      <w:r>
        <w:fldChar w:fldCharType="end"/>
      </w:r>
      <w:r w:rsidRPr="00CA7435">
        <w:rPr>
          <w:lang w:val="fr-FR"/>
        </w:rPr>
        <w:t>, pp. 16-17.</w:t>
      </w:r>
    </w:p>
  </w:footnote>
  <w:footnote w:id="158">
    <w:p w14:paraId="4E8DCF33" w14:textId="77777777" w:rsidR="00DE3AC9" w:rsidRPr="008C02D4"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AD3467">
        <w:rPr>
          <w:noProof/>
          <w:lang w:val="fr-FR"/>
        </w:rPr>
        <w:t xml:space="preserve">Laska, </w:t>
      </w:r>
      <w:r w:rsidRPr="00AD3467">
        <w:rPr>
          <w:i/>
          <w:noProof/>
          <w:lang w:val="fr-FR"/>
        </w:rPr>
        <w:t>Presse</w:t>
      </w:r>
      <w:r>
        <w:fldChar w:fldCharType="end"/>
      </w:r>
      <w:r w:rsidRPr="008C02D4">
        <w:rPr>
          <w:lang w:val="fr-FR"/>
        </w:rPr>
        <w:t>, p. 180.</w:t>
      </w:r>
    </w:p>
  </w:footnote>
  <w:footnote w:id="159">
    <w:p w14:paraId="3152C560" w14:textId="77777777" w:rsidR="00DE3AC9" w:rsidRPr="00F43487" w:rsidRDefault="00DE3AC9" w:rsidP="0048510E">
      <w:pPr>
        <w:pStyle w:val="FootnoteText"/>
        <w:rPr>
          <w:lang w:val="fr-FR"/>
        </w:rPr>
      </w:pPr>
      <w:r>
        <w:rPr>
          <w:rStyle w:val="FootnoteReference"/>
        </w:rPr>
        <w:footnoteRef/>
      </w:r>
      <w:r w:rsidRPr="00F43487">
        <w:rPr>
          <w:lang w:val="fr-FR"/>
        </w:rPr>
        <w:t xml:space="preserve"> </w:t>
      </w:r>
      <w:r>
        <w:rPr>
          <w:lang w:val="nl-NL"/>
        </w:rP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rPr>
          <w:lang w:val="nl-NL"/>
        </w:rPr>
        <w:fldChar w:fldCharType="separate"/>
      </w:r>
      <w:r w:rsidRPr="002C1AD1">
        <w:rPr>
          <w:noProof/>
          <w:lang w:val="fr-FR"/>
        </w:rPr>
        <w:t xml:space="preserve">de Schaepdrijver, </w:t>
      </w:r>
      <w:r w:rsidRPr="002C1AD1">
        <w:rPr>
          <w:i/>
          <w:noProof/>
          <w:lang w:val="fr-FR"/>
        </w:rPr>
        <w:t>La Belgique</w:t>
      </w:r>
      <w:r>
        <w:rPr>
          <w:lang w:val="nl-NL"/>
        </w:rPr>
        <w:fldChar w:fldCharType="end"/>
      </w:r>
      <w:r w:rsidRPr="00F43487">
        <w:rPr>
          <w:lang w:val="fr-FR"/>
        </w:rPr>
        <w:t>, p. 126.</w:t>
      </w:r>
    </w:p>
  </w:footnote>
  <w:footnote w:id="160">
    <w:p w14:paraId="4F6AB24A" w14:textId="77777777" w:rsidR="00DE3AC9" w:rsidRPr="00AD3467" w:rsidRDefault="00DE3AC9" w:rsidP="0048510E">
      <w:pPr>
        <w:pStyle w:val="FootnoteText"/>
        <w:rPr>
          <w:noProof/>
          <w:lang w:val="nl-NL"/>
        </w:rPr>
      </w:pPr>
      <w:r>
        <w:rPr>
          <w:rStyle w:val="FootnoteReference"/>
        </w:rPr>
        <w:footnoteRef/>
      </w:r>
      <w:r w:rsidRPr="00814EA8">
        <w:rPr>
          <w:lang w:val="nl-NL"/>
        </w:rPr>
        <w:t xml:space="preserve"> </w:t>
      </w:r>
      <w:r>
        <w:fldChar w:fldCharType="begin"/>
      </w:r>
      <w:r>
        <w:rPr>
          <w:lang w:val="nl-NL"/>
        </w:rPr>
        <w:instrText xml:space="preserve"> ADDIN EN.CITE &lt;EndNote&gt;&lt;Cite&gt;&lt;Author&gt;Moeyes&lt;/Author&gt;&lt;Year&gt;2001&lt;/Year&gt;&lt;RecNum&gt;155&lt;/RecNum&gt;&lt;DisplayText&gt;Paul Moeyes, &lt;style face="italic"&gt;Buiten Schot 1914-1918: Nederland tijdens de Eerste Wereldoorlog&lt;/style&gt;, (Amsterdam&amp;#xD;Antwerpen, 2001)&lt;/DisplayText&gt;&lt;record&gt;&lt;rec-number&gt;155&lt;/rec-number&gt;&lt;foreign-keys&gt;&lt;key app="EN" db-id="2f5rvwawcsv2woetvw35fzwbdvvswerd0err"&gt;155&lt;/key&gt;&lt;/foreign-keys&gt;&lt;ref-type name="Book"&gt;6&lt;/ref-type&gt;&lt;contributors&gt;&lt;authors&gt;&lt;author&gt;Moeyes, Paul&lt;/author&gt;&lt;/authors&gt;&lt;/contributors&gt;&lt;titles&gt;&lt;title&gt;Buiten Schot 1914-1918: Nederland tijdens de Eerste Wereldoorlog&lt;/title&gt;&lt;short-title&gt;Buiten&lt;/short-title&gt;&lt;/titles&gt;&lt;dates&gt;&lt;year&gt;2001&lt;/year&gt;&lt;/dates&gt;&lt;pub-location&gt;Amsterdam&amp;#xD;Antwerpen&lt;/pub-location&gt;&lt;urls&gt;&lt;/urls&gt;&lt;/record&gt;&lt;/Cite&gt;&lt;/EndNote&gt;</w:instrText>
      </w:r>
      <w:r>
        <w:fldChar w:fldCharType="separate"/>
      </w:r>
      <w:r w:rsidRPr="00AD3467">
        <w:rPr>
          <w:noProof/>
          <w:lang w:val="nl-NL"/>
        </w:rPr>
        <w:t xml:space="preserve">Paul Moeyes, </w:t>
      </w:r>
      <w:r w:rsidRPr="00AD3467">
        <w:rPr>
          <w:i/>
          <w:noProof/>
          <w:lang w:val="nl-NL"/>
        </w:rPr>
        <w:t>Buiten Schot 1914-1918: Nederland tijdens de Eerste Wereldoorlog</w:t>
      </w:r>
      <w:r w:rsidRPr="00AD3467">
        <w:rPr>
          <w:noProof/>
          <w:lang w:val="nl-NL"/>
        </w:rPr>
        <w:t>, (Amsterdam</w:t>
      </w:r>
    </w:p>
    <w:p w14:paraId="4B46A67C" w14:textId="77777777" w:rsidR="00DE3AC9" w:rsidRPr="00C54460" w:rsidRDefault="00DE3AC9" w:rsidP="0048510E">
      <w:pPr>
        <w:pStyle w:val="FootnoteText"/>
        <w:rPr>
          <w:lang w:val="nl-NL"/>
        </w:rPr>
      </w:pPr>
      <w:r w:rsidRPr="00C54460">
        <w:rPr>
          <w:noProof/>
          <w:lang w:val="nl-NL"/>
        </w:rPr>
        <w:t>Antwerpen, 2001)</w:t>
      </w:r>
      <w:r>
        <w:fldChar w:fldCharType="end"/>
      </w:r>
      <w:r w:rsidRPr="00C54460">
        <w:rPr>
          <w:lang w:val="nl-NL"/>
        </w:rPr>
        <w:t>, p. 231.</w:t>
      </w:r>
    </w:p>
  </w:footnote>
  <w:footnote w:id="161">
    <w:p w14:paraId="706DC892" w14:textId="77777777" w:rsidR="00DE3AC9" w:rsidRPr="00C54460" w:rsidRDefault="00DE3AC9" w:rsidP="0048510E">
      <w:pPr>
        <w:pStyle w:val="FootnoteText"/>
        <w:rPr>
          <w:lang w:val="nl-NL"/>
        </w:rPr>
      </w:pPr>
      <w:r>
        <w:rPr>
          <w:rStyle w:val="FootnoteReference"/>
        </w:rPr>
        <w:footnoteRef/>
      </w:r>
      <w:r w:rsidRPr="00C54460">
        <w:rPr>
          <w:lang w:val="nl-NL"/>
        </w:rPr>
        <w:t xml:space="preserve"> </w:t>
      </w:r>
      <w:r>
        <w:rPr>
          <w:lang w:val="fr-FR"/>
        </w:rPr>
        <w:fldChar w:fldCharType="begin"/>
      </w:r>
      <w:r>
        <w:rPr>
          <w:lang w:val="nl-NL"/>
        </w:rPr>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rPr>
          <w:lang w:val="fr-FR"/>
        </w:rPr>
        <w:fldChar w:fldCharType="separate"/>
      </w:r>
      <w:r w:rsidRPr="00CA7435">
        <w:rPr>
          <w:noProof/>
          <w:lang w:val="nl-NL"/>
        </w:rPr>
        <w:t xml:space="preserve">de Schaepdrijver, </w:t>
      </w:r>
      <w:r w:rsidRPr="00CA7435">
        <w:rPr>
          <w:i/>
          <w:noProof/>
          <w:lang w:val="nl-NL"/>
        </w:rPr>
        <w:t>Occupation</w:t>
      </w:r>
      <w:r>
        <w:rPr>
          <w:lang w:val="fr-FR"/>
        </w:rPr>
        <w:fldChar w:fldCharType="end"/>
      </w:r>
      <w:r w:rsidRPr="00C54460">
        <w:rPr>
          <w:lang w:val="nl-NL"/>
        </w:rPr>
        <w:t xml:space="preserve"> pp. 267-294.</w:t>
      </w:r>
    </w:p>
  </w:footnote>
  <w:footnote w:id="162">
    <w:p w14:paraId="3EB48DF6" w14:textId="77777777" w:rsidR="00DE3AC9" w:rsidRPr="002C0F9C" w:rsidRDefault="00DE3AC9" w:rsidP="0048510E">
      <w:pPr>
        <w:pStyle w:val="FootnoteText"/>
        <w:rPr>
          <w:lang w:val="nl-NL"/>
        </w:rPr>
      </w:pPr>
      <w:r>
        <w:rPr>
          <w:rStyle w:val="FootnoteReference"/>
        </w:rPr>
        <w:footnoteRef/>
      </w:r>
      <w:r w:rsidRPr="002C0F9C">
        <w:rPr>
          <w:lang w:val="nl-NL"/>
        </w:rPr>
        <w:t xml:space="preserve"> </w:t>
      </w:r>
      <w:r>
        <w:rPr>
          <w:lang w:val="fr-FR"/>
        </w:rPr>
        <w:fldChar w:fldCharType="begin"/>
      </w:r>
      <w:r w:rsidRPr="002C0F9C">
        <w:rPr>
          <w:lang w:val="nl-NL"/>
        </w:rPr>
        <w:instrText xml:space="preserve"> ADDIN EN.CITE &lt;EndNote&gt;&lt;Cite&gt;&lt;Author&gt;Schaepdrijver&lt;/Author&gt;&lt;Year&gt;1999&lt;/Year&gt;&lt;RecNum&gt;64&lt;/RecNum&gt;&lt;DisplayText&gt;Ibid.&lt;/DisplayText&gt;&lt;record&gt;&lt;rec-number&gt;64&lt;/rec-number&gt;&lt;foreign-keys&gt;&lt;key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rPr>
          <w:lang w:val="fr-FR"/>
        </w:rPr>
        <w:fldChar w:fldCharType="separate"/>
      </w:r>
      <w:r w:rsidRPr="002C0F9C">
        <w:rPr>
          <w:noProof/>
          <w:lang w:val="nl-NL"/>
        </w:rPr>
        <w:t>Ibid.</w:t>
      </w:r>
      <w:r>
        <w:rPr>
          <w:lang w:val="fr-FR"/>
        </w:rPr>
        <w:fldChar w:fldCharType="end"/>
      </w:r>
      <w:r w:rsidRPr="002C0F9C">
        <w:rPr>
          <w:lang w:val="nl-NL"/>
        </w:rPr>
        <w:t xml:space="preserve"> pp. 267-294.</w:t>
      </w:r>
    </w:p>
  </w:footnote>
  <w:footnote w:id="163">
    <w:p w14:paraId="2FB6F933" w14:textId="77777777" w:rsidR="00DE3AC9" w:rsidRPr="002C0F9C" w:rsidRDefault="00DE3AC9" w:rsidP="0048510E">
      <w:pPr>
        <w:pStyle w:val="FootnoteText"/>
        <w:rPr>
          <w:lang w:val="nl-NL"/>
        </w:rPr>
      </w:pPr>
      <w:r>
        <w:rPr>
          <w:rStyle w:val="FootnoteReference"/>
        </w:rPr>
        <w:footnoteRef/>
      </w:r>
      <w:r w:rsidRPr="002C0F9C">
        <w:rPr>
          <w:lang w:val="nl-NL"/>
        </w:rPr>
        <w:t xml:space="preserve"> </w:t>
      </w:r>
      <w:r>
        <w:fldChar w:fldCharType="begin"/>
      </w:r>
      <w:r w:rsidRPr="002C0F9C">
        <w:rPr>
          <w:lang w:val="nl-NL"/>
        </w:rPr>
        <w:instrText xml:space="preserve"> ADDIN EN.CITE &lt;EndNote&gt;&lt;Cite&gt;&lt;Author&gt;Delforge&lt;/Author&gt;&lt;Year&gt;2008&lt;/Year&gt;&lt;RecNum&gt;164&lt;/RecNum&gt;&lt;DisplayText&gt;Delforge, &lt;style face="italic"&gt;La Wallonie&lt;/style&gt;&lt;/DisplayText&gt;&lt;record&gt;&lt;rec-number&gt;164&lt;/rec-number&gt;&lt;foreign-keys&gt;&lt;key app="EN" db-id="2f5rvwawcsv2woetvw35fzwbdvvswerd0err"&gt;164&lt;/key&gt;&lt;/foreign-keys&gt;&lt;ref-type name="Book"&gt;6&lt;/ref-type&gt;&lt;contributors&gt;&lt;authors&gt;&lt;author&gt;Delforge, Paul&lt;/author&gt;&lt;/authors&gt;&lt;/contributors&gt;&lt;titles&gt;&lt;title&gt;La Wallonie et la Première Guerre Mondiale&lt;/title&gt;&lt;short-title&gt;La Wallonie&lt;/short-title&gt;&lt;/titles&gt;&lt;dates&gt;&lt;year&gt;2008&lt;/year&gt;&lt;/dates&gt;&lt;pub-location&gt;Namur&lt;/pub-location&gt;&lt;urls&gt;&lt;/urls&gt;&lt;/record&gt;&lt;/Cite&gt;&lt;/EndNote&gt;</w:instrText>
      </w:r>
      <w:r>
        <w:fldChar w:fldCharType="separate"/>
      </w:r>
      <w:r w:rsidRPr="002C0F9C">
        <w:rPr>
          <w:noProof/>
          <w:lang w:val="nl-NL"/>
        </w:rPr>
        <w:t xml:space="preserve">Delforge, </w:t>
      </w:r>
      <w:r w:rsidRPr="002C0F9C">
        <w:rPr>
          <w:i/>
          <w:noProof/>
          <w:lang w:val="nl-NL"/>
        </w:rPr>
        <w:t>La Wallonie</w:t>
      </w:r>
      <w:r>
        <w:fldChar w:fldCharType="end"/>
      </w:r>
      <w:r w:rsidRPr="002C0F9C">
        <w:rPr>
          <w:lang w:val="nl-NL"/>
        </w:rPr>
        <w:t>, p. 196.</w:t>
      </w:r>
    </w:p>
  </w:footnote>
  <w:footnote w:id="164">
    <w:p w14:paraId="1982E369" w14:textId="77777777" w:rsidR="00DE3AC9" w:rsidRPr="00B74328" w:rsidRDefault="00DE3AC9" w:rsidP="0048510E">
      <w:pPr>
        <w:pStyle w:val="FootnoteText"/>
        <w:rPr>
          <w:lang w:val="fr-BE"/>
        </w:rPr>
      </w:pPr>
      <w:r>
        <w:rPr>
          <w:rStyle w:val="FootnoteReference"/>
        </w:rPr>
        <w:footnoteRef/>
      </w:r>
      <w:r w:rsidRPr="00E21D97">
        <w:rPr>
          <w:lang w:val="nl-NL"/>
        </w:rPr>
        <w:t xml:space="preserve"> The leaflet carried this message: ‘Une </w:t>
      </w:r>
      <w:r w:rsidRPr="007942DC">
        <w:rPr>
          <w:lang w:val="nl-NL"/>
        </w:rPr>
        <w:t xml:space="preserve">salutation un peu excentrique a Nanzig, la ville a bientot [sic] allemande’. </w:t>
      </w:r>
      <w:r w:rsidRPr="00DA4C64">
        <w:t>The many mistakes in French have been denounced in theory books about propaganda as a decisive error and would have left the population sceptical</w:t>
      </w:r>
      <w:r>
        <w:t xml:space="preserve"> about such a peculiar content</w:t>
      </w:r>
      <w:r w:rsidRPr="00DA4C64">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CA7435">
        <w:rPr>
          <w:i/>
          <w:noProof/>
        </w:rPr>
        <w:t>A travers</w:t>
      </w:r>
      <w:r>
        <w:fldChar w:fldCharType="end"/>
      </w:r>
      <w:r w:rsidRPr="00CA7435">
        <w:t xml:space="preserve">, p. 16. </w:t>
      </w:r>
      <w:r>
        <w:t xml:space="preserve">During the battle of Grand-Couronné, located to the east of Nancy, the Germans met the 2e Armée française from the 5 to the 12 September 1914 but </w:t>
      </w:r>
      <w:r w:rsidRPr="009D3FAD">
        <w:t>failed to take the city</w:t>
      </w:r>
      <w:r>
        <w:t xml:space="preserve">. </w:t>
      </w:r>
      <w:r>
        <w:fldChar w:fldCharType="begin"/>
      </w:r>
      <w:r>
        <w:instrText xml:space="preserve"> ADDIN EN.CITE &lt;EndNote&gt;&lt;Cite&gt;&lt;Author&gt;Garnier&lt;/Author&gt;&lt;Year&gt;1999&lt;/Year&gt;&lt;RecNum&gt;60&lt;/RecNum&gt;&lt;DisplayText&gt;Jacques Garnier, &lt;style face="italic"&gt;Dictionnaire Perrin des guerres et des batailles de l&amp;apos;histoire de France&lt;/style&gt;, (Paris, 1999)&lt;/DisplayText&gt;&lt;record&gt;&lt;rec-number&gt;60&lt;/rec-number&gt;&lt;foreign-keys&gt;&lt;key app="EN" db-id="2f5rvwawcsv2woetvw35fzwbdvvswerd0err"&gt;60&lt;/key&gt;&lt;/foreign-keys&gt;&lt;ref-type name="Book"&gt;6&lt;/ref-type&gt;&lt;contributors&gt;&lt;authors&gt;&lt;author&gt;Garnier, Jacques&lt;/author&gt;&lt;/authors&gt;&lt;/contributors&gt;&lt;titles&gt;&lt;title&gt;Dictionnaire Perrin des guerres et des batailles de l&amp;apos;histoire de France&lt;/title&gt;&lt;short-title&gt;Dictionnaire&lt;/short-title&gt;&lt;/titles&gt;&lt;dates&gt;&lt;year&gt;1999&lt;/year&gt;&lt;/dates&gt;&lt;pub-location&gt;Paris&lt;/pub-location&gt;&lt;urls&gt;&lt;/urls&gt;&lt;/record&gt;&lt;/Cite&gt;&lt;/EndNote&gt;</w:instrText>
      </w:r>
      <w:r>
        <w:fldChar w:fldCharType="separate"/>
      </w:r>
      <w:r w:rsidRPr="00AD3467">
        <w:rPr>
          <w:noProof/>
          <w:lang w:val="fr-FR"/>
        </w:rPr>
        <w:t xml:space="preserve">Jacques Garnier, </w:t>
      </w:r>
      <w:r w:rsidRPr="00AD3467">
        <w:rPr>
          <w:i/>
          <w:noProof/>
          <w:lang w:val="fr-FR"/>
        </w:rPr>
        <w:t>Dictionnaire Perrin des guerres et des batailles de l'histoire de France</w:t>
      </w:r>
      <w:r w:rsidRPr="00AD3467">
        <w:rPr>
          <w:noProof/>
          <w:lang w:val="fr-FR"/>
        </w:rPr>
        <w:t>, (Paris, 1999)</w:t>
      </w:r>
      <w:r>
        <w:fldChar w:fldCharType="end"/>
      </w:r>
      <w:r w:rsidRPr="00B74328">
        <w:rPr>
          <w:lang w:val="fr-BE"/>
        </w:rPr>
        <w:t>, p. 379.</w:t>
      </w:r>
    </w:p>
  </w:footnote>
  <w:footnote w:id="165">
    <w:p w14:paraId="4D5AEA5E" w14:textId="77777777" w:rsidR="00DE3AC9" w:rsidRPr="00831228" w:rsidRDefault="00DE3AC9" w:rsidP="0048510E">
      <w:pPr>
        <w:pStyle w:val="FootnoteText"/>
        <w:rPr>
          <w:lang w:val="fr-FR"/>
        </w:rPr>
      </w:pPr>
      <w:r>
        <w:rPr>
          <w:rStyle w:val="FootnoteReference"/>
        </w:rPr>
        <w:footnoteRef/>
      </w:r>
      <w:r w:rsidRPr="00831228">
        <w:rPr>
          <w:lang w:val="fr-FR"/>
        </w:rPr>
        <w:t xml:space="preserve"> </w:t>
      </w:r>
      <w:r>
        <w:fldChar w:fldCharType="begin"/>
      </w:r>
      <w:r>
        <w:rPr>
          <w:lang w:val="fr-FR"/>
        </w:rPr>
        <w:instrText xml:space="preserve"> ADDIN EN.CITE &lt;EndNote&gt;&lt;Cite&gt;&lt;Author&gt;Arnoux&lt;/Author&gt;&lt;Year&gt;1919&lt;/Year&gt;&lt;RecNum&gt;66&lt;/RecNum&gt;&lt;DisplayText&gt;Just Arnoux, &lt;style face="italic"&gt;Bombardement et occupation de la ville de Lille par les Allemands 1914-1918 &lt;/style&gt;(Lille, 1919)&lt;/DisplayText&gt;&lt;record&gt;&lt;rec-number&gt;66&lt;/rec-number&gt;&lt;foreign-keys&gt;&lt;key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fldChar w:fldCharType="separate"/>
      </w:r>
      <w:r w:rsidRPr="00AD3467">
        <w:rPr>
          <w:noProof/>
          <w:lang w:val="fr-FR"/>
        </w:rPr>
        <w:t xml:space="preserve">Just Arnoux, </w:t>
      </w:r>
      <w:r w:rsidRPr="00AD3467">
        <w:rPr>
          <w:i/>
          <w:noProof/>
          <w:lang w:val="fr-FR"/>
        </w:rPr>
        <w:t xml:space="preserve">Bombardement et occupation de la ville de Lille par les Allemands 1914-1918 </w:t>
      </w:r>
      <w:r w:rsidRPr="00AD3467">
        <w:rPr>
          <w:noProof/>
          <w:lang w:val="fr-FR"/>
        </w:rPr>
        <w:t>(Lille, 1919)</w:t>
      </w:r>
      <w:r>
        <w:fldChar w:fldCharType="end"/>
      </w:r>
      <w:r w:rsidRPr="00831228">
        <w:rPr>
          <w:lang w:val="fr-FR"/>
        </w:rPr>
        <w:t xml:space="preserve">, p. 45. </w:t>
      </w:r>
      <w:r>
        <w:t xml:space="preserve">The first battle of Ypres was fought between 20 October and 17 November 1914 and resulted in a German defeat. </w:t>
      </w:r>
      <w:r>
        <w:fldChar w:fldCharType="begin"/>
      </w:r>
      <w:r>
        <w:instrText xml:space="preserve"> ADDIN EN.CITE &lt;EndNote&gt;&lt;Cite&gt;&lt;Author&gt;Becker&lt;/Author&gt;&lt;Year&gt;2008&lt;/Year&gt;&lt;RecNum&gt;65&lt;/RecNum&gt;&lt;DisplayText&gt;Jean-Jacques Becker, &lt;style face="italic"&gt;Dictionnaire de la Grande Guerre&lt;/style&gt;, (Brussels, 2008)&lt;/DisplayText&gt;&lt;record&gt;&lt;rec-number&gt;65&lt;/rec-number&gt;&lt;foreign-keys&gt;&lt;key app="EN" db-id="2f5rvwawcsv2woetvw35fzwbdvvswerd0err"&gt;65&lt;/key&gt;&lt;/foreign-keys&gt;&lt;ref-type name="Book"&gt;6&lt;/ref-type&gt;&lt;contributors&gt;&lt;authors&gt;&lt;author&gt;Becker, Jean-Jacques&lt;/author&gt;&lt;/authors&gt;&lt;/contributors&gt;&lt;titles&gt;&lt;title&gt;Dictionnaire de la Grande Guerre&lt;/title&gt;&lt;short-title&gt;Dictionnaire&lt;/short-title&gt;&lt;/titles&gt;&lt;dates&gt;&lt;year&gt;2008&lt;/year&gt;&lt;/dates&gt;&lt;pub-location&gt;Brussels&lt;/pub-location&gt;&lt;urls&gt;&lt;/urls&gt;&lt;/record&gt;&lt;/Cite&gt;&lt;/EndNote&gt;</w:instrText>
      </w:r>
      <w:r>
        <w:fldChar w:fldCharType="separate"/>
      </w:r>
      <w:r w:rsidRPr="00AD3467">
        <w:rPr>
          <w:noProof/>
          <w:lang w:val="fr-FR"/>
        </w:rPr>
        <w:t xml:space="preserve">Jean-Jacques Becker, </w:t>
      </w:r>
      <w:r w:rsidRPr="00AD3467">
        <w:rPr>
          <w:i/>
          <w:noProof/>
          <w:lang w:val="fr-FR"/>
        </w:rPr>
        <w:t>Dictionnaire de la Grande Guerre</w:t>
      </w:r>
      <w:r w:rsidRPr="00AD3467">
        <w:rPr>
          <w:noProof/>
          <w:lang w:val="fr-FR"/>
        </w:rPr>
        <w:t>, (Brussels, 2008)</w:t>
      </w:r>
      <w:r>
        <w:fldChar w:fldCharType="end"/>
      </w:r>
      <w:r w:rsidRPr="00831228">
        <w:rPr>
          <w:lang w:val="fr-FR"/>
        </w:rPr>
        <w:t xml:space="preserve">, p. 239. </w:t>
      </w:r>
    </w:p>
  </w:footnote>
  <w:footnote w:id="166">
    <w:p w14:paraId="33DDECF8" w14:textId="1C0B42AC" w:rsidR="00DE3AC9" w:rsidRPr="00BC190F" w:rsidRDefault="00DE3AC9" w:rsidP="0048510E">
      <w:pPr>
        <w:pStyle w:val="FootnoteText"/>
      </w:pPr>
      <w:r>
        <w:rPr>
          <w:rStyle w:val="FootnoteReference"/>
        </w:rPr>
        <w:footnoteRef/>
      </w:r>
      <w:r w:rsidRPr="00BC190F">
        <w:t xml:space="preserve"> </w:t>
      </w:r>
      <w:r>
        <w:fldChar w:fldCharType="begin"/>
      </w:r>
      <w: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fldChar w:fldCharType="separate"/>
      </w:r>
      <w:r>
        <w:rPr>
          <w:noProof/>
        </w:rPr>
        <w:t xml:space="preserve">Horne, </w:t>
      </w:r>
      <w:r w:rsidRPr="00AD3467">
        <w:rPr>
          <w:i/>
          <w:noProof/>
        </w:rPr>
        <w:t>Remobilizing</w:t>
      </w:r>
      <w:r>
        <w:fldChar w:fldCharType="end"/>
      </w:r>
      <w:r>
        <w:t>,</w:t>
      </w:r>
      <w:r w:rsidRPr="00BC190F">
        <w:t xml:space="preserve"> p. 195. See chapter </w:t>
      </w:r>
      <w:r>
        <w:t>four</w:t>
      </w:r>
      <w:r w:rsidRPr="00BC190F">
        <w:t xml:space="preserve"> for more details.</w:t>
      </w:r>
    </w:p>
  </w:footnote>
  <w:footnote w:id="167">
    <w:p w14:paraId="63D8B13F" w14:textId="7709765B" w:rsidR="00DE3AC9" w:rsidRPr="00F43487" w:rsidRDefault="00DE3AC9" w:rsidP="00AD35FA">
      <w:pPr>
        <w:pStyle w:val="FootnoteText"/>
      </w:pPr>
      <w:r>
        <w:rPr>
          <w:rStyle w:val="FootnoteReference"/>
        </w:rPr>
        <w:footnoteRef/>
      </w:r>
      <w:r w:rsidRPr="00415A32">
        <w:rPr>
          <w:lang w:val="fr-FR"/>
        </w:rPr>
        <w:t xml:space="preserve"> </w:t>
      </w:r>
      <w:r>
        <w:fldChar w:fldCharType="begin"/>
      </w:r>
      <w:r w:rsidRPr="00415A32">
        <w:rPr>
          <w:lang w:val="fr-FR"/>
        </w:rPr>
        <w:instrText xml:space="preserve"> ADDIN EN.CITE &lt;EndNote&gt;&lt;Cite&gt;&lt;Author&gt;Ellul&lt;/Author&gt;&lt;Year&gt;1952&lt;/Year&gt;&lt;RecNum&gt;154&lt;/RecNum&gt;&lt;DisplayText&gt;Ellul, &lt;style face="italic"&gt;Propagande et démocratie&lt;/style&gt;&lt;/DisplayText&gt;&lt;record&gt;&lt;rec-number&gt;154&lt;/rec-number&gt;&lt;foreign-keys&gt;&lt;key app="EN" db-id="2f5rvwawcsv2woetvw35fzwbdvvswerd0err"&gt;154&lt;/key&gt;&lt;/foreign-keys&gt;&lt;ref-type name="Journal Article"&gt;17&lt;/ref-type&gt;&lt;contributors&gt;&lt;authors&gt;&lt;author&gt;Ellul, Jacques&lt;/author&gt;&lt;/authors&gt;&lt;/contributors&gt;&lt;titles&gt;&lt;title&gt;Propagande et démocratie&lt;/title&gt;&lt;secondary-title&gt;Revue française de science politique&lt;/secondary-title&gt;&lt;short-title&gt;Propagande et démocratie&lt;/short-title&gt;&lt;/titles&gt;&lt;periodical&gt;&lt;full-title&gt;Revue française de science politique&lt;/full-title&gt;&lt;/periodical&gt;&lt;volume&gt;3&lt;/volume&gt;&lt;dates&gt;&lt;year&gt;1952&lt;/year&gt;&lt;/dates&gt;&lt;urls&gt;&lt;/urls&gt;&lt;/record&gt;&lt;/Cite&gt;&lt;/EndNote&gt;</w:instrText>
      </w:r>
      <w:r>
        <w:fldChar w:fldCharType="separate"/>
      </w:r>
      <w:r w:rsidRPr="00415A32">
        <w:rPr>
          <w:noProof/>
          <w:lang w:val="fr-FR"/>
        </w:rPr>
        <w:t xml:space="preserve">Ellul, </w:t>
      </w:r>
      <w:r w:rsidRPr="00415A32">
        <w:rPr>
          <w:i/>
          <w:noProof/>
          <w:lang w:val="fr-FR"/>
        </w:rPr>
        <w:t>Propagande et démocratie</w:t>
      </w:r>
      <w:r>
        <w:fldChar w:fldCharType="end"/>
      </w:r>
      <w:r w:rsidRPr="00415A32">
        <w:rPr>
          <w:lang w:val="fr-FR"/>
        </w:rPr>
        <w:t xml:space="preserve">, pp. 474-476. </w:t>
      </w:r>
      <w:r w:rsidRPr="00F43487">
        <w:t xml:space="preserve">More is said about coercion </w:t>
      </w:r>
      <w:r>
        <w:t>and democracy in chapter four.</w:t>
      </w:r>
    </w:p>
  </w:footnote>
  <w:footnote w:id="168">
    <w:p w14:paraId="0B149ED9" w14:textId="410E71E7" w:rsidR="00DE3AC9" w:rsidRPr="00E21D97" w:rsidRDefault="00DE3AC9" w:rsidP="00232F8A">
      <w:pPr>
        <w:pStyle w:val="FootnoteText"/>
        <w:rPr>
          <w:lang w:val="fr-FR"/>
        </w:rPr>
      </w:pPr>
      <w:r>
        <w:rPr>
          <w:rStyle w:val="FootnoteReference"/>
        </w:rPr>
        <w:footnoteRef/>
      </w:r>
      <w:r w:rsidRPr="00E21D97">
        <w:rPr>
          <w:lang w:val="fr-FR"/>
        </w:rPr>
        <w:t xml:space="preserve"> </w:t>
      </w:r>
      <w:r>
        <w:fldChar w:fldCharType="begin"/>
      </w:r>
      <w:r w:rsidRPr="00E21D97">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E21D97">
        <w:rPr>
          <w:noProof/>
          <w:lang w:val="fr-FR"/>
        </w:rPr>
        <w:t xml:space="preserve">Nivet, </w:t>
      </w:r>
      <w:r w:rsidRPr="00E21D97">
        <w:rPr>
          <w:i/>
          <w:noProof/>
          <w:lang w:val="fr-FR"/>
        </w:rPr>
        <w:t>La France</w:t>
      </w:r>
      <w:r>
        <w:fldChar w:fldCharType="end"/>
      </w:r>
      <w:r w:rsidRPr="00E21D97">
        <w:rPr>
          <w:lang w:val="fr-FR"/>
        </w:rPr>
        <w:t>, p. 55.</w:t>
      </w:r>
    </w:p>
  </w:footnote>
  <w:footnote w:id="169">
    <w:p w14:paraId="311E9FF5" w14:textId="77777777" w:rsidR="00DE3AC9" w:rsidRPr="00C96566" w:rsidRDefault="00DE3AC9" w:rsidP="0048510E">
      <w:pPr>
        <w:pStyle w:val="FootnoteText"/>
      </w:pPr>
      <w:r>
        <w:rPr>
          <w:rStyle w:val="FootnoteReference"/>
        </w:rPr>
        <w:footnoteRef/>
      </w:r>
      <w:r w:rsidRPr="00E21D97">
        <w:rPr>
          <w:i/>
          <w:iCs/>
          <w:lang w:val="fr-FR"/>
        </w:rPr>
        <w:t xml:space="preserve">La Croix, </w:t>
      </w:r>
      <w:r w:rsidRPr="00E21D97">
        <w:rPr>
          <w:lang w:val="fr-FR"/>
        </w:rPr>
        <w:t xml:space="preserve">16 December 1915. </w:t>
      </w:r>
      <w:r w:rsidRPr="007B77D5">
        <w:t xml:space="preserve">For other condemnations of </w:t>
      </w:r>
      <w:r w:rsidRPr="007B77D5">
        <w:rPr>
          <w:i/>
          <w:iCs/>
        </w:rPr>
        <w:t>La Gazette des Ardennes</w:t>
      </w:r>
      <w:r>
        <w:rPr>
          <w:i/>
          <w:iCs/>
        </w:rPr>
        <w:t xml:space="preserve"> </w:t>
      </w:r>
      <w:r>
        <w:t>in the French press during the year 1915</w:t>
      </w:r>
      <w:r w:rsidRPr="007B77D5">
        <w:rPr>
          <w:i/>
          <w:iCs/>
        </w:rPr>
        <w:t>,</w:t>
      </w:r>
      <w:r w:rsidRPr="007B77D5">
        <w:t xml:space="preserve"> see: </w:t>
      </w:r>
      <w:r>
        <w:rPr>
          <w:i/>
          <w:iCs/>
        </w:rPr>
        <w:t xml:space="preserve">La Croix: </w:t>
      </w:r>
      <w:r w:rsidRPr="007B77D5">
        <w:t xml:space="preserve">27 April 1915, </w:t>
      </w:r>
      <w:r w:rsidRPr="007B77D5">
        <w:rPr>
          <w:i/>
          <w:iCs/>
        </w:rPr>
        <w:t xml:space="preserve">Le </w:t>
      </w:r>
      <w:r>
        <w:rPr>
          <w:i/>
          <w:iCs/>
        </w:rPr>
        <w:t xml:space="preserve">Petit Parisien: </w:t>
      </w:r>
      <w:r w:rsidRPr="007B77D5">
        <w:t>5 January 1915, 25 April 1915, 12 July 1915, 22 July 1915</w:t>
      </w:r>
      <w:r>
        <w:t xml:space="preserve">, 13 November 1915, </w:t>
      </w:r>
      <w:r>
        <w:rPr>
          <w:i/>
          <w:iCs/>
        </w:rPr>
        <w:t>Le Gaulois</w:t>
      </w:r>
      <w:r>
        <w:t>: 25 April 1915, 10 June 1915, 2 July 1915, 24 July 1915, 21 November 1915 and 28 December 1915.</w:t>
      </w:r>
    </w:p>
  </w:footnote>
  <w:footnote w:id="170">
    <w:p w14:paraId="7EEB4B86" w14:textId="77777777" w:rsidR="00DE3AC9" w:rsidRPr="00D84D63" w:rsidRDefault="00DE3AC9" w:rsidP="0048510E">
      <w:pPr>
        <w:pStyle w:val="FootnoteText"/>
        <w:rPr>
          <w:lang w:val="fr-FR"/>
        </w:rPr>
      </w:pPr>
      <w:r>
        <w:rPr>
          <w:rStyle w:val="FootnoteReference"/>
        </w:rPr>
        <w:footnoteRef/>
      </w:r>
      <w:r>
        <w:t xml:space="preserve"> Edouard Herriot (1872-1957) was a University professor and a member of the radical party. He became member of the sixth Brian government during the war as minister for transports and communication. </w:t>
      </w:r>
      <w:r>
        <w:fldChar w:fldCharType="begin"/>
      </w:r>
      <w:r>
        <w:instrText xml:space="preserve"> ADDIN EN.CITE &lt;EndNote&gt;&lt;Cite&gt;&lt;Author&gt;Cochet&lt;/Author&gt;&lt;Year&gt;2008&lt;/Year&gt;&lt;RecNum&gt;59&lt;/RecNum&gt;&lt;DisplayText&gt;Cochet and Porte, &lt;style face="italic"&gt;Dictionnaire&lt;/style&gt;&lt;/DisplayText&gt;&lt;record&gt;&lt;rec-number&gt;59&lt;/rec-number&gt;&lt;foreign-keys&gt;&lt;key app="EN" db-id="2f5rvwawcsv2woetvw35fzwbdvvswerd0err"&gt;59&lt;/key&gt;&lt;/foreign-keys&gt;&lt;ref-type name="Book"&gt;6&lt;/ref-type&gt;&lt;contributors&gt;&lt;authors&gt;&lt;author&gt;Cochet, François&lt;/author&gt;&lt;author&gt;Porte, Rémy&lt;/author&gt;&lt;/authors&gt;&lt;/contributors&gt;&lt;titles&gt;&lt;title&gt;Dictionnaire de la Grande Guerre 1914-1918&lt;/title&gt;&lt;short-title&gt;Dictionnaire&lt;/short-title&gt;&lt;/titles&gt;&lt;dates&gt;&lt;year&gt;2008&lt;/year&gt;&lt;/dates&gt;&lt;pub-location&gt;Paris&lt;/pub-location&gt;&lt;urls&gt;&lt;/urls&gt;&lt;/record&gt;&lt;/Cite&gt;&lt;/EndNote&gt;</w:instrText>
      </w:r>
      <w:r>
        <w:fldChar w:fldCharType="separate"/>
      </w:r>
      <w:r w:rsidRPr="00AD3467">
        <w:rPr>
          <w:noProof/>
          <w:lang w:val="fr-FR"/>
        </w:rPr>
        <w:t xml:space="preserve">Cochet and Porte, </w:t>
      </w:r>
      <w:r w:rsidRPr="00AD3467">
        <w:rPr>
          <w:i/>
          <w:noProof/>
          <w:lang w:val="fr-FR"/>
        </w:rPr>
        <w:t>Dictionnaire</w:t>
      </w:r>
      <w:r>
        <w:fldChar w:fldCharType="end"/>
      </w:r>
      <w:r w:rsidRPr="00D84D63">
        <w:rPr>
          <w:lang w:val="fr-FR"/>
        </w:rPr>
        <w:t xml:space="preserve">, p. 538. </w:t>
      </w:r>
    </w:p>
  </w:footnote>
  <w:footnote w:id="171">
    <w:p w14:paraId="23BD457F" w14:textId="77777777" w:rsidR="00DE3AC9" w:rsidRPr="00111E36" w:rsidRDefault="00DE3AC9" w:rsidP="0048510E">
      <w:pPr>
        <w:pStyle w:val="FootnoteText"/>
        <w:rPr>
          <w:lang w:val="fr-FR"/>
        </w:rPr>
      </w:pPr>
      <w:r>
        <w:rPr>
          <w:rStyle w:val="FootnoteReference"/>
        </w:rPr>
        <w:footnoteRef/>
      </w:r>
      <w:r w:rsidRPr="00111E36">
        <w:rPr>
          <w:lang w:val="fr-FR"/>
        </w:rPr>
        <w:t xml:space="preserve"> </w:t>
      </w:r>
      <w:r>
        <w:fldChar w:fldCharType="begin"/>
      </w:r>
      <w:r>
        <w:rPr>
          <w:lang w:val="fr-FR"/>
        </w:rPr>
        <w:instrText xml:space="preserve"> ADDIN EN.CITE &lt;EndNote&gt;&lt;Cite&gt;&lt;Author&gt;Montant&lt;/Author&gt;&lt;Year&gt;1988&lt;/Year&gt;&lt;RecNum&gt;63&lt;/RecNum&gt;&lt;DisplayText&gt;Jean-Claude Montant, &amp;apos;La propagande extérieure de la France pendant la Première Guerre Mondiale: l&amp;apos;exemple de quelques neutres&amp;apos;, (PhD Thesis, Université de Lille, 1988)&lt;/DisplayText&gt;&lt;record&gt;&lt;rec-number&gt;63&lt;/rec-number&gt;&lt;foreign-keys&gt;&lt;key app="EN" db-id="2f5rvwawcsv2woetvw35fzwbdvvswerd0err"&gt;63&lt;/key&gt;&lt;/foreign-keys&gt;&lt;ref-type name="Thesis"&gt;32&lt;/ref-type&gt;&lt;contributors&gt;&lt;authors&gt;&lt;author&gt;Montant, Jean-Claude&lt;/author&gt;&lt;/authors&gt;&lt;/contributors&gt;&lt;titles&gt;&lt;title&gt;La propagande extérieure de la France pendant la Première Guerre Mondiale: l&amp;apos;exemple de quelques neutres&lt;/title&gt;&lt;short-title&gt;La propagande&lt;/short-title&gt;&lt;/titles&gt;&lt;volume&gt;PhD&lt;/volume&gt;&lt;dates&gt;&lt;year&gt;1988&lt;/year&gt;&lt;/dates&gt;&lt;publisher&gt;Université de Lille&lt;/publisher&gt;&lt;work-type&gt;PhD Thesis&lt;/work-type&gt;&lt;urls&gt;&lt;/urls&gt;&lt;/record&gt;&lt;/Cite&gt;&lt;/EndNote&gt;</w:instrText>
      </w:r>
      <w:r>
        <w:fldChar w:fldCharType="separate"/>
      </w:r>
      <w:r w:rsidRPr="008C02D4">
        <w:rPr>
          <w:noProof/>
          <w:lang w:val="fr-FR"/>
        </w:rPr>
        <w:t>Jean-Claude Montant, 'La propagande extérieure de la France pendant la Première Guerre Mondiale: l'exemple de quelques neutres', (PhD Thesis, Université de Lille, 1988)</w:t>
      </w:r>
      <w:r>
        <w:fldChar w:fldCharType="end"/>
      </w:r>
      <w:r>
        <w:rPr>
          <w:lang w:val="fr-FR"/>
        </w:rPr>
        <w:t xml:space="preserve">p. 20 and </w:t>
      </w:r>
      <w:r>
        <w:rPr>
          <w:lang w:val="fr-FR"/>
        </w:rP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Pr>
          <w:noProof/>
          <w:lang w:val="fr-FR"/>
        </w:rPr>
        <w:t xml:space="preserve">Laska, </w:t>
      </w:r>
      <w:r w:rsidRPr="00AD3467">
        <w:rPr>
          <w:i/>
          <w:noProof/>
          <w:lang w:val="fr-FR"/>
        </w:rPr>
        <w:t>Presse</w:t>
      </w:r>
      <w:r>
        <w:rPr>
          <w:lang w:val="fr-FR"/>
        </w:rPr>
        <w:fldChar w:fldCharType="end"/>
      </w:r>
      <w:r>
        <w:rPr>
          <w:lang w:val="fr-FR"/>
        </w:rPr>
        <w:t>, p. 153.</w:t>
      </w:r>
    </w:p>
  </w:footnote>
  <w:footnote w:id="172">
    <w:p w14:paraId="2F1FEFAE" w14:textId="21807C2C" w:rsidR="00DE3AC9" w:rsidRPr="008C02D4" w:rsidRDefault="00DE3AC9" w:rsidP="000B6B12">
      <w:pPr>
        <w:pStyle w:val="FootnoteText"/>
        <w:rPr>
          <w:lang w:val="fr-FR"/>
        </w:rPr>
      </w:pPr>
      <w:r>
        <w:rPr>
          <w:rStyle w:val="FootnoteReference"/>
        </w:rPr>
        <w:footnoteRef/>
      </w:r>
      <w:r>
        <w:t xml:space="preserve"> These accusations, despite the investigation of the EMA, were never supported by evidence. A book, written by a member of the EMA, gathered similarities of content between </w:t>
      </w:r>
      <w:r>
        <w:rPr>
          <w:i/>
          <w:iCs/>
        </w:rPr>
        <w:t>Le Bonnet Rouge</w:t>
      </w:r>
      <w:r>
        <w:t xml:space="preserve"> and </w:t>
      </w:r>
      <w:r>
        <w:rPr>
          <w:i/>
          <w:iCs/>
        </w:rPr>
        <w:t>La Gazette des Ardennes</w:t>
      </w:r>
      <w:r>
        <w:t xml:space="preserve"> but raises the question of the objectivity of a military censor toward pacifist content. </w:t>
      </w:r>
      <w:r>
        <w:fldChar w:fldCharType="begin"/>
      </w:r>
      <w:r>
        <w:instrText xml:space="preserve"> ADDIN EN.CITE &lt;EndNote&gt;&lt;Cite&gt;&lt;Author&gt;Marchand&lt;/Author&gt;&lt;Year&gt;1920&lt;/Year&gt;&lt;RecNum&gt;34&lt;/RecNum&gt;&lt;DisplayText&gt;Marchand, &lt;style face="italic"&gt;L&amp;apos;assaut&lt;/style&gt;&lt;/DisplayText&gt;&lt;record&gt;&lt;rec-number&gt;34&lt;/rec-number&gt;&lt;foreign-keys&gt;&lt;key app="EN" db-id="2f5rvwawcsv2woetvw35fzwbdvvswerd0err"&gt;34&lt;/key&gt;&lt;/foreign-keys&gt;&lt;ref-type name="Book"&gt;6&lt;/ref-type&gt;&lt;contributors&gt;&lt;authors&gt;&lt;author&gt;Marchand, Louis&lt;/author&gt;&lt;/authors&gt;&lt;/contributors&gt;&lt;titles&gt;&lt;title&gt;L&amp;apos;assaut de l&amp;apos;ame française: l&amp;apos;offensive morale des Allemands, en France, pendant la guerre&lt;/title&gt;&lt;short-title&gt;L&amp;apos;assaut&lt;/short-title&gt;&lt;/titles&gt;&lt;dates&gt;&lt;year&gt;1920&lt;/year&gt;&lt;/dates&gt;&lt;pub-location&gt;Paris&lt;/pub-location&gt;&lt;urls&gt;&lt;/urls&gt;&lt;/record&gt;&lt;/Cite&gt;&lt;/EndNote&gt;</w:instrText>
      </w:r>
      <w:r>
        <w:fldChar w:fldCharType="separate"/>
      </w:r>
      <w:r w:rsidRPr="000B6B12">
        <w:rPr>
          <w:noProof/>
          <w:lang w:val="fr-FR"/>
        </w:rPr>
        <w:t xml:space="preserve">Marchand, </w:t>
      </w:r>
      <w:r w:rsidRPr="000B6B12">
        <w:rPr>
          <w:i/>
          <w:noProof/>
          <w:lang w:val="fr-FR"/>
        </w:rPr>
        <w:t>L'assaut</w:t>
      </w:r>
      <w:r>
        <w:fldChar w:fldCharType="end"/>
      </w:r>
      <w:r w:rsidRPr="000E5226">
        <w:rPr>
          <w:lang w:val="fr-FR"/>
        </w:rPr>
        <w:t>,</w:t>
      </w:r>
      <w:r>
        <w:rPr>
          <w:lang w:val="fr-FR"/>
        </w:rPr>
        <w:t xml:space="preserve"> ; </w:t>
      </w:r>
      <w:r>
        <w:rPr>
          <w:lang w:val="fr-FR"/>
        </w:rPr>
        <w:fldChar w:fldCharType="begin"/>
      </w:r>
      <w:r>
        <w:rPr>
          <w:lang w:val="fr-FR"/>
        </w:rPr>
        <w:instrText xml:space="preserve"> ADDIN EN.CITE &lt;EndNote&gt;&lt;Cite&gt;&lt;Author&gt;Forcade&lt;/Author&gt;&lt;Year&gt;2005&lt;/Year&gt;&lt;RecNum&gt;332&lt;/RecNum&gt;&lt;DisplayText&gt;Olivier Forcade, &amp;apos;Voir et dire la guerre à l&amp;apos;heure de la censure (France, 1914-1918)&amp;apos;, in: &lt;style face="italic"&gt;Le Temps des Médias, &lt;/style&gt;4 (2005), &lt;/DisplayText&gt;&lt;record&gt;&lt;rec-number&gt;332&lt;/rec-number&gt;&lt;foreign-keys&gt;&lt;key app="EN" db-id="2f5rvwawcsv2woetvw35fzwbdvvswerd0err"&gt;332&lt;/key&gt;&lt;/foreign-keys&gt;&lt;ref-type name="Journal Article"&gt;17&lt;/ref-type&gt;&lt;contributors&gt;&lt;authors&gt;&lt;author&gt;Forcade, Olivier&lt;/author&gt;&lt;/authors&gt;&lt;/contributors&gt;&lt;titles&gt;&lt;title&gt;Voir et dire la guerre à l&amp;apos;heure de la censure (France, 1914-1918)&lt;/title&gt;&lt;secondary-title&gt;Le Temps des Médias&lt;/secondary-title&gt;&lt;short-title&gt;Voir et dire la guerre&lt;/short-title&gt;&lt;/titles&gt;&lt;periodical&gt;&lt;full-title&gt;Le Temps des Médias&lt;/full-title&gt;&lt;/periodical&gt;&lt;volume&gt;4&lt;/volume&gt;&lt;dates&gt;&lt;year&gt;2005&lt;/year&gt;&lt;/dates&gt;&lt;urls&gt;&lt;/urls&gt;&lt;/record&gt;&lt;/Cite&gt;&lt;/EndNote&gt;</w:instrText>
      </w:r>
      <w:r>
        <w:rPr>
          <w:lang w:val="fr-FR"/>
        </w:rPr>
        <w:fldChar w:fldCharType="separate"/>
      </w:r>
      <w:r>
        <w:rPr>
          <w:noProof/>
          <w:lang w:val="fr-FR"/>
        </w:rPr>
        <w:t xml:space="preserve">Olivier Forcade, 'Voir et dire la guerre à l'heure de la censure (France, 1914-1918)', in: </w:t>
      </w:r>
      <w:r w:rsidRPr="00903CCF">
        <w:rPr>
          <w:i/>
          <w:noProof/>
          <w:lang w:val="fr-FR"/>
        </w:rPr>
        <w:t xml:space="preserve">Le Temps des Médias, </w:t>
      </w:r>
      <w:r>
        <w:rPr>
          <w:noProof/>
          <w:lang w:val="fr-FR"/>
        </w:rPr>
        <w:t xml:space="preserve">4 (2005), </w:t>
      </w:r>
      <w:r>
        <w:rPr>
          <w:lang w:val="fr-FR"/>
        </w:rPr>
        <w:fldChar w:fldCharType="end"/>
      </w:r>
      <w:r>
        <w:rPr>
          <w:lang w:val="fr-FR"/>
        </w:rPr>
        <w:t>pp. 50-62 and</w:t>
      </w:r>
      <w:r w:rsidRPr="000E5226">
        <w:rPr>
          <w:lang w:val="fr-FR"/>
        </w:rPr>
        <w:t xml:space="preserve"> </w:t>
      </w:r>
      <w:r>
        <w:fldChar w:fldCharType="begin"/>
      </w:r>
      <w:r>
        <w:rPr>
          <w:lang w:val="fr-FR"/>
        </w:rPr>
        <w:instrText xml:space="preserve"> ADDIN EN.CITE &lt;EndNote&gt;&lt;Cite&gt;&lt;Author&gt;Forcade&lt;/Author&gt;&lt;Year&gt;2004&lt;/Year&gt;&lt;RecNum&gt;148&lt;/RecNum&gt;&lt;DisplayText&gt;Oliver Forcade, &amp;apos;Information, censure et propagande&amp;apos;, in: &lt;style face="italic"&gt;Encyclopédie de la Grande Guerre, &lt;/style&gt;ed. by Stéphane Audoin-Rouzeau and Jean-Jacques Becker (Paris, 2004),&lt;/DisplayText&gt;&lt;record&gt;&lt;rec-number&gt;148&lt;/rec-number&gt;&lt;foreign-keys&gt;&lt;key app="EN" db-id="2f5rvwawcsv2woetvw35fzwbdvvswerd0err"&gt;148&lt;/key&gt;&lt;/foreign-keys&gt;&lt;ref-type name="Book Section"&gt;5&lt;/ref-type&gt;&lt;contributors&gt;&lt;authors&gt;&lt;author&gt;Forcade, Oliver&lt;/author&gt;&lt;/authors&gt;&lt;secondary-authors&gt;&lt;author&gt;Stéphane Audoin-Rouzeau&lt;/author&gt;&lt;author&gt;Jean-Jacques Becker&lt;/author&gt;&lt;/secondary-authors&gt;&lt;/contributors&gt;&lt;titles&gt;&lt;title&gt;Information, censure et propagande&lt;/title&gt;&lt;secondary-title&gt;Encyclopédie de la Grande Guerre&lt;/secondary-title&gt;&lt;short-title&gt;Information&lt;/short-title&gt;&lt;/titles&gt;&lt;dates&gt;&lt;year&gt;2004&lt;/year&gt;&lt;/dates&gt;&lt;pub-location&gt;Paris&lt;/pub-location&gt;&lt;urls&gt;&lt;/urls&gt;&lt;/record&gt;&lt;/Cite&gt;&lt;/EndNote&gt;</w:instrText>
      </w:r>
      <w:r>
        <w:fldChar w:fldCharType="separate"/>
      </w:r>
      <w:r w:rsidRPr="008C02D4">
        <w:rPr>
          <w:noProof/>
          <w:lang w:val="fr-FR"/>
        </w:rPr>
        <w:t xml:space="preserve">Oliver Forcade, 'Information, censure et propagande', in: </w:t>
      </w:r>
      <w:r w:rsidRPr="008C02D4">
        <w:rPr>
          <w:i/>
          <w:noProof/>
          <w:lang w:val="fr-FR"/>
        </w:rPr>
        <w:t xml:space="preserve">Encyclopédie de la Grande Guerre, </w:t>
      </w:r>
      <w:r w:rsidRPr="008C02D4">
        <w:rPr>
          <w:noProof/>
          <w:lang w:val="fr-FR"/>
        </w:rPr>
        <w:t>ed. by Stéphane Audoin-Rouzeau and Jean-Jacques Becker (Paris, 2004),</w:t>
      </w:r>
      <w:r>
        <w:fldChar w:fldCharType="end"/>
      </w:r>
      <w:r w:rsidRPr="00BC190F">
        <w:rPr>
          <w:lang w:val="fr-FR"/>
        </w:rPr>
        <w:t xml:space="preserve"> p. 458. </w:t>
      </w:r>
      <w:r w:rsidRPr="008C02D4">
        <w:rPr>
          <w:i/>
          <w:iCs/>
        </w:rPr>
        <w:t xml:space="preserve">Le Bonnet Rouge </w:t>
      </w:r>
      <w:r w:rsidRPr="008C02D4">
        <w:t xml:space="preserve">was banned in July 1917 by the French government. </w:t>
      </w:r>
      <w:r>
        <w:fldChar w:fldCharType="begin"/>
      </w:r>
      <w:r>
        <w:instrText xml:space="preserve"> ADDIN EN.CITE &lt;EndNote&gt;&lt;Cite&gt;&lt;Author&gt;Navet-Bouron&lt;/Author&gt;&lt;Year&gt;2000&lt;/Year&gt;&lt;RecNum&gt;303&lt;/RecNum&gt;&lt;DisplayText&gt;Françoise Navet-Bouron, &amp;apos;Censure et dessin de presse en France pendant la Grande Guerre&amp;apos;, in: &lt;style face="italic"&gt;Guerres mondiales et conflits contemporains, &lt;/style&gt;197 (2000), &lt;/DisplayText&gt;&lt;record&gt;&lt;rec-number&gt;303&lt;/rec-number&gt;&lt;foreign-keys&gt;&lt;key app="EN" db-id="2f5rvwawcsv2woetvw35fzwbdvvswerd0err"&gt;303&lt;/key&gt;&lt;/foreign-keys&gt;&lt;ref-type name="Journal Article"&gt;17&lt;/ref-type&gt;&lt;contributors&gt;&lt;authors&gt;&lt;author&gt;Navet-Bouron, Françoise&lt;/author&gt;&lt;/authors&gt;&lt;/contributors&gt;&lt;titles&gt;&lt;title&gt;Censure et dessin de presse en France pendant la Grande Guerre&lt;/title&gt;&lt;secondary-title&gt;Guerres mondiales et conflits contemporains&lt;/secondary-title&gt;&lt;short-title&gt;Censure&lt;/short-title&gt;&lt;/titles&gt;&lt;periodical&gt;&lt;full-title&gt;Guerres mondiales et conflits contemporains&lt;/full-title&gt;&lt;/periodical&gt;&lt;volume&gt;197&lt;/volume&gt;&lt;dates&gt;&lt;year&gt;2000&lt;/year&gt;&lt;/dates&gt;&lt;urls&gt;&lt;/urls&gt;&lt;/record&gt;&lt;/Cite&gt;&lt;/EndNote&gt;</w:instrText>
      </w:r>
      <w:r>
        <w:fldChar w:fldCharType="separate"/>
      </w:r>
      <w:r w:rsidRPr="008C02D4">
        <w:rPr>
          <w:noProof/>
          <w:lang w:val="fr-FR"/>
        </w:rPr>
        <w:t xml:space="preserve">Françoise Navet-Bouron, 'Censure et dessin de presse en France pendant la Grande Guerre', in: </w:t>
      </w:r>
      <w:r w:rsidRPr="008C02D4">
        <w:rPr>
          <w:i/>
          <w:noProof/>
          <w:lang w:val="fr-FR"/>
        </w:rPr>
        <w:t xml:space="preserve">Guerres mondiales et conflits contemporains, </w:t>
      </w:r>
      <w:r w:rsidRPr="008C02D4">
        <w:rPr>
          <w:noProof/>
          <w:lang w:val="fr-FR"/>
        </w:rPr>
        <w:t xml:space="preserve">197 (2000), </w:t>
      </w:r>
      <w:r>
        <w:fldChar w:fldCharType="end"/>
      </w:r>
      <w:r w:rsidRPr="008C02D4">
        <w:rPr>
          <w:lang w:val="fr-FR"/>
        </w:rPr>
        <w:t>p</w:t>
      </w:r>
      <w:r>
        <w:rPr>
          <w:lang w:val="fr-FR"/>
        </w:rPr>
        <w:t>. 13.</w:t>
      </w:r>
    </w:p>
  </w:footnote>
  <w:footnote w:id="173">
    <w:p w14:paraId="773AB82E" w14:textId="77777777" w:rsidR="00DE3AC9" w:rsidRPr="000E5226" w:rsidRDefault="00DE3AC9" w:rsidP="0048510E">
      <w:pPr>
        <w:pStyle w:val="FootnoteText"/>
        <w:rPr>
          <w:lang w:val="fr-FR"/>
        </w:rPr>
      </w:pPr>
      <w:r>
        <w:rPr>
          <w:rStyle w:val="FootnoteReference"/>
        </w:rPr>
        <w:footnoteRef/>
      </w:r>
      <w:r w:rsidRPr="00BC190F">
        <w:rPr>
          <w:lang w:val="fr-FR"/>
        </w:rPr>
        <w:t xml:space="preserve"> </w:t>
      </w:r>
      <w:r>
        <w:rPr>
          <w:lang w:val="fr-FR"/>
        </w:rP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Pr>
          <w:noProof/>
          <w:lang w:val="fr-FR"/>
        </w:rPr>
        <w:t xml:space="preserve">Laska, </w:t>
      </w:r>
      <w:r w:rsidRPr="00AD3467">
        <w:rPr>
          <w:i/>
          <w:noProof/>
          <w:lang w:val="fr-FR"/>
        </w:rPr>
        <w:t>Presse</w:t>
      </w:r>
      <w:r>
        <w:rPr>
          <w:lang w:val="fr-FR"/>
        </w:rPr>
        <w:fldChar w:fldCharType="end"/>
      </w:r>
      <w:r w:rsidRPr="000E5226">
        <w:rPr>
          <w:lang w:val="fr-FR"/>
        </w:rPr>
        <w:t>, p. 151.</w:t>
      </w:r>
    </w:p>
  </w:footnote>
  <w:footnote w:id="174">
    <w:p w14:paraId="22B8B1FA" w14:textId="77777777" w:rsidR="00DE3AC9" w:rsidRPr="00831228" w:rsidRDefault="00DE3AC9" w:rsidP="0048510E">
      <w:pPr>
        <w:pStyle w:val="FootnoteText"/>
      </w:pPr>
      <w:r>
        <w:rPr>
          <w:rStyle w:val="FootnoteReference"/>
        </w:rPr>
        <w:footnoteRef/>
      </w:r>
      <w:r w:rsidRPr="00436E93">
        <w:rPr>
          <w:lang w:val="fr-FR"/>
        </w:rPr>
        <w:t xml:space="preserve"> Service Historique de la Défence Archives Aériennes (SHD AA): 1A176. </w:t>
      </w:r>
      <w:r>
        <w:t>Colonel Valentin to the war m</w:t>
      </w:r>
      <w:r w:rsidRPr="00831228">
        <w:t>inister, 29 October 1915.</w:t>
      </w:r>
    </w:p>
  </w:footnote>
  <w:footnote w:id="175">
    <w:p w14:paraId="229081A3" w14:textId="77777777" w:rsidR="00DE3AC9" w:rsidRPr="001C5604" w:rsidRDefault="00DE3AC9" w:rsidP="001C5604">
      <w:pPr>
        <w:pStyle w:val="FootnoteText"/>
        <w:rPr>
          <w:lang w:val="fr-FR"/>
        </w:rPr>
      </w:pPr>
      <w:r>
        <w:rPr>
          <w:rStyle w:val="FootnoteReference"/>
        </w:rPr>
        <w:footnoteRef/>
      </w:r>
      <w:r>
        <w:t xml:space="preserve"> The term ‘collaboration’, reminiscent of the Second World War, is debated among historians. </w:t>
      </w:r>
      <w:r w:rsidRPr="001C5604">
        <w:rPr>
          <w:lang w:val="fr-FR"/>
        </w:rPr>
        <w:t xml:space="preserve">See: </w:t>
      </w:r>
      <w:r>
        <w:fldChar w:fldCharType="begin"/>
      </w:r>
      <w:r w:rsidRPr="001C5604">
        <w:rPr>
          <w:lang w:val="fr-FR"/>
        </w:rPr>
        <w:instrText xml:space="preserve"> ADDIN EN.CITE &lt;EndNote&gt;&lt;Cite&gt;&lt;Author&gt;Paxton&lt;/Author&gt;&lt;Year&gt;1973&lt;/Year&gt;&lt;RecNum&gt;341&lt;/RecNum&gt;&lt;DisplayText&gt;Robert Paxton, &lt;style face="italic"&gt;La France de Vichy: 1940-1944&lt;/style&gt;, (Paris, 1973)&lt;/DisplayText&gt;&lt;record&gt;&lt;rec-number&gt;341&lt;/rec-number&gt;&lt;foreign-keys&gt;&lt;key app="EN" db-id="2f5rvwawcsv2woetvw35fzwbdvvswerd0err"&gt;341&lt;/key&gt;&lt;/foreign-keys&gt;&lt;ref-type name="Book"&gt;6&lt;/ref-type&gt;&lt;contributors&gt;&lt;authors&gt;&lt;author&gt;Paxton, Robert&lt;/author&gt;&lt;/authors&gt;&lt;/contributors&gt;&lt;titles&gt;&lt;title&gt;La France de Vichy: 1940-1944&lt;/title&gt;&lt;short-title&gt;La France de Vichy&lt;/short-title&gt;&lt;/titles&gt;&lt;dates&gt;&lt;year&gt;1973&lt;/year&gt;&lt;/dates&gt;&lt;pub-location&gt;Paris&lt;/pub-location&gt;&lt;urls&gt;&lt;/urls&gt;&lt;/record&gt;&lt;/Cite&gt;&lt;/EndNote&gt;</w:instrText>
      </w:r>
      <w:r>
        <w:fldChar w:fldCharType="separate"/>
      </w:r>
      <w:r w:rsidRPr="001C5604">
        <w:rPr>
          <w:noProof/>
          <w:lang w:val="fr-FR"/>
        </w:rPr>
        <w:t xml:space="preserve">Robert Paxton, </w:t>
      </w:r>
      <w:r w:rsidRPr="001C5604">
        <w:rPr>
          <w:i/>
          <w:noProof/>
          <w:lang w:val="fr-FR"/>
        </w:rPr>
        <w:t>La France de Vichy: 1940-1944</w:t>
      </w:r>
      <w:r w:rsidRPr="001C5604">
        <w:rPr>
          <w:noProof/>
          <w:lang w:val="fr-FR"/>
        </w:rPr>
        <w:t>, (Paris, 1973)</w:t>
      </w:r>
      <w:r>
        <w:fldChar w:fldCharType="end"/>
      </w:r>
      <w:r w:rsidRPr="001C5604">
        <w:rPr>
          <w:lang w:val="fr-FR"/>
        </w:rPr>
        <w:t xml:space="preserve">, p. 225 and </w:t>
      </w:r>
      <w:r>
        <w:fldChar w:fldCharType="begin"/>
      </w:r>
      <w:r>
        <w:rPr>
          <w:lang w:val="fr-FR"/>
        </w:rPr>
        <w:instrText xml:space="preserve"> ADDIN EN.CITE &lt;EndNote&gt;&lt;Cite&gt;&lt;Author&gt;Sweets&lt;/Author&gt;&lt;Year&gt;1996&lt;/Year&gt;&lt;RecNum&gt;342&lt;/RecNum&gt;&lt;DisplayText&gt;John Sweets, &lt;style face="italic"&gt;Clermont-Ferrant à l&amp;apos;heure allemande&lt;/style&gt;, (Paris, 1996)&lt;/DisplayText&gt;&lt;record&gt;&lt;rec-number&gt;342&lt;/rec-number&gt;&lt;foreign-keys&gt;&lt;key app="EN" db-id="2f5rvwawcsv2woetvw35fzwbdvvswerd0err"&gt;342&lt;/key&gt;&lt;/foreign-keys&gt;&lt;ref-type name="Book"&gt;6&lt;/ref-type&gt;&lt;contributors&gt;&lt;authors&gt;&lt;author&gt;Sweets, John&lt;/author&gt;&lt;/authors&gt;&lt;/contributors&gt;&lt;titles&gt;&lt;title&gt;Clermont-Ferrant à l&amp;apos;heure allemande&lt;/title&gt;&lt;short-title&gt;Clermont-Ferrant à l&amp;apos;heure&lt;/short-title&gt;&lt;/titles&gt;&lt;dates&gt;&lt;year&gt;1996&lt;/year&gt;&lt;/dates&gt;&lt;pub-location&gt;Paris&lt;/pub-location&gt;&lt;urls&gt;&lt;/urls&gt;&lt;/record&gt;&lt;/Cite&gt;&lt;/EndNote&gt;</w:instrText>
      </w:r>
      <w:r>
        <w:fldChar w:fldCharType="separate"/>
      </w:r>
      <w:r w:rsidRPr="001C5604">
        <w:rPr>
          <w:noProof/>
          <w:lang w:val="fr-FR"/>
        </w:rPr>
        <w:t xml:space="preserve">John Sweets, </w:t>
      </w:r>
      <w:r w:rsidRPr="001C5604">
        <w:rPr>
          <w:i/>
          <w:noProof/>
          <w:lang w:val="fr-FR"/>
        </w:rPr>
        <w:t>Clermont-Ferrant à l'heure allemande</w:t>
      </w:r>
      <w:r w:rsidRPr="001C5604">
        <w:rPr>
          <w:noProof/>
          <w:lang w:val="fr-FR"/>
        </w:rPr>
        <w:t>, (Paris, 1996)</w:t>
      </w:r>
      <w:r>
        <w:fldChar w:fldCharType="end"/>
      </w:r>
      <w:r w:rsidRPr="001C5604">
        <w:rPr>
          <w:lang w:val="fr-FR"/>
        </w:rPr>
        <w:t xml:space="preserve">, p. </w:t>
      </w:r>
      <w:r>
        <w:rPr>
          <w:lang w:val="fr-FR"/>
        </w:rPr>
        <w:t>171.</w:t>
      </w:r>
    </w:p>
  </w:footnote>
  <w:footnote w:id="176">
    <w:p w14:paraId="1CCA1E70" w14:textId="5EDC0E63" w:rsidR="00DE3AC9" w:rsidRPr="00222356" w:rsidRDefault="00DE3AC9" w:rsidP="00373F96">
      <w:pPr>
        <w:pStyle w:val="FootnoteText"/>
      </w:pPr>
      <w:r>
        <w:rPr>
          <w:rStyle w:val="FootnoteReference"/>
        </w:rPr>
        <w:footnoteRef/>
      </w:r>
      <w:r w:rsidRPr="00222356">
        <w:t xml:space="preserve"> </w:t>
      </w:r>
      <w:r>
        <w:fldChar w:fldCharType="begin"/>
      </w:r>
      <w:r>
        <w:instrText xml:space="preserve"> ADDIN EN.CITE &lt;EndNote&gt;&lt;Cite&gt;&lt;Author&gt;Connolly&lt;/Author&gt;&lt;Year&gt;2013&lt;/Year&gt;&lt;RecNum&gt;152&lt;/RecNum&gt;&lt;DisplayText&gt;James Connolly, &amp;apos;Mauvaise conduite: complicity and respectability in the occupied Nord, 1914-1918&amp;apos;, in: &lt;style face="italic"&gt;First World War Studies, &lt;/style&gt;4 (2013), &lt;/DisplayText&gt;&lt;record&gt;&lt;rec-number&gt;152&lt;/rec-number&gt;&lt;foreign-keys&gt;&lt;key app="EN" db-id="2f5rvwawcsv2woetvw35fzwbdvvswerd0err"&gt;152&lt;/key&gt;&lt;/foreign-keys&gt;&lt;ref-type name="Journal Article"&gt;17&lt;/ref-type&gt;&lt;contributors&gt;&lt;authors&gt;&lt;author&gt;Connolly, James&lt;/author&gt;&lt;/authors&gt;&lt;/contributors&gt;&lt;titles&gt;&lt;title&gt;Mauvaise conduite: complicity and respectability in the occupied Nord, 1914-1918&lt;/title&gt;&lt;secondary-title&gt;First World War Studies&lt;/secondary-title&gt;&lt;short-title&gt;Mauvaise&lt;/short-title&gt;&lt;/titles&gt;&lt;periodical&gt;&lt;full-title&gt;First World War Studies&lt;/full-title&gt;&lt;/periodical&gt;&lt;pages&gt;7-21&lt;/pages&gt;&lt;volume&gt;4&lt;/volume&gt;&lt;number&gt;1&lt;/number&gt;&lt;dates&gt;&lt;year&gt;2013&lt;/year&gt;&lt;/dates&gt;&lt;urls&gt;&lt;/urls&gt;&lt;/record&gt;&lt;/Cite&gt;&lt;/EndNote&gt;</w:instrText>
      </w:r>
      <w:r>
        <w:fldChar w:fldCharType="separate"/>
      </w:r>
      <w:r>
        <w:rPr>
          <w:noProof/>
        </w:rPr>
        <w:t xml:space="preserve">James Connolly, 'Mauvaise conduite: complicity and respectability in the occupied Nord, 1914-1918', in: </w:t>
      </w:r>
      <w:r w:rsidRPr="00373F96">
        <w:rPr>
          <w:i/>
          <w:noProof/>
        </w:rPr>
        <w:t xml:space="preserve">First World War Studies, </w:t>
      </w:r>
      <w:r>
        <w:rPr>
          <w:noProof/>
        </w:rPr>
        <w:t xml:space="preserve">4 (2013), </w:t>
      </w:r>
      <w:r>
        <w:fldChar w:fldCharType="end"/>
      </w:r>
      <w:r w:rsidRPr="00222356">
        <w:t>, p. 8.</w:t>
      </w:r>
    </w:p>
  </w:footnote>
  <w:footnote w:id="177">
    <w:p w14:paraId="10FE6876" w14:textId="45AA4128" w:rsidR="00DE3AC9" w:rsidRPr="0065199B" w:rsidRDefault="00DE3AC9" w:rsidP="0048510E">
      <w:pPr>
        <w:pStyle w:val="FootnoteText"/>
      </w:pPr>
      <w:r>
        <w:rPr>
          <w:rStyle w:val="FootnoteReference"/>
        </w:rPr>
        <w:footnoteRef/>
      </w:r>
      <w:r>
        <w:t xml:space="preserve"> </w:t>
      </w:r>
      <w:r>
        <w:fldChar w:fldCharType="begin"/>
      </w:r>
      <w:r>
        <w:instrText xml:space="preserve"> ADDIN EN.CITE &lt;EndNote&gt;&lt;Cite&gt;&lt;Author&gt;Cobb&lt;/Author&gt;&lt;Year&gt;1983&lt;/Year&gt;&lt;RecNum&gt;103&lt;/RecNum&gt;&lt;DisplayText&gt;Cobb, &lt;style face="italic"&gt;French and Germans&lt;/style&gt;&lt;/DisplayText&gt;&lt;record&gt;&lt;rec-number&gt;103&lt;/rec-number&gt;&lt;foreign-keys&gt;&lt;key app="EN" db-id="2f5rvwawcsv2woetvw35fzwbdvvswerd0err"&gt;103&lt;/key&gt;&lt;/foreign-keys&gt;&lt;ref-type name="Book"&gt;6&lt;/ref-type&gt;&lt;contributors&gt;&lt;authors&gt;&lt;author&gt;Cobb, Richard&lt;/author&gt;&lt;/authors&gt;&lt;/contributors&gt;&lt;titles&gt;&lt;title&gt;French and Germans, Germans and French: a personal interpretation of France under two occupations, 1914-1918/1940-1944&lt;/title&gt;&lt;short-title&gt;French and Germans&lt;/short-title&gt;&lt;/titles&gt;&lt;dates&gt;&lt;year&gt;1983&lt;/year&gt;&lt;/dates&gt;&lt;pub-location&gt;Hanover&lt;/pub-location&gt;&lt;urls&gt;&lt;/urls&gt;&lt;/record&gt;&lt;/Cite&gt;&lt;/EndNote&gt;</w:instrText>
      </w:r>
      <w:r>
        <w:fldChar w:fldCharType="separate"/>
      </w:r>
      <w:r>
        <w:rPr>
          <w:noProof/>
        </w:rPr>
        <w:t xml:space="preserve">Cobb, </w:t>
      </w:r>
      <w:r w:rsidRPr="00CA7435">
        <w:rPr>
          <w:i/>
          <w:noProof/>
        </w:rPr>
        <w:t>French and Germans</w:t>
      </w:r>
      <w:r>
        <w:fldChar w:fldCharType="end"/>
      </w:r>
      <w:r>
        <w:t>, p. 9.</w:t>
      </w:r>
    </w:p>
  </w:footnote>
  <w:footnote w:id="178">
    <w:p w14:paraId="0AFA2C12" w14:textId="77777777" w:rsidR="00DE3AC9" w:rsidRPr="008C02D4"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CA7435">
        <w:rPr>
          <w:noProof/>
          <w:lang w:val="fr-FR"/>
        </w:rPr>
        <w:t xml:space="preserve">Nivet, </w:t>
      </w:r>
      <w:r w:rsidRPr="00CA7435">
        <w:rPr>
          <w:i/>
          <w:noProof/>
          <w:lang w:val="fr-FR"/>
        </w:rPr>
        <w:t>La France</w:t>
      </w:r>
      <w:r>
        <w:fldChar w:fldCharType="end"/>
      </w:r>
      <w:r w:rsidRPr="008C02D4">
        <w:rPr>
          <w:lang w:val="fr-FR"/>
        </w:rPr>
        <w:t xml:space="preserve">, p. </w:t>
      </w:r>
      <w:r>
        <w:rPr>
          <w:lang w:val="fr-FR"/>
        </w:rPr>
        <w:t>11.</w:t>
      </w:r>
    </w:p>
  </w:footnote>
  <w:footnote w:id="179">
    <w:p w14:paraId="3A7960AB"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rPr>
          <w:lang w:val="fr-FR"/>
        </w:rPr>
        <w:fldChar w:fldCharType="separate"/>
      </w:r>
      <w:r w:rsidRPr="00C54460">
        <w:rPr>
          <w:noProof/>
          <w:lang w:val="fr-FR"/>
        </w:rPr>
        <w:t xml:space="preserve">Hansi and Tonnelat, </w:t>
      </w:r>
      <w:r w:rsidRPr="00C54460">
        <w:rPr>
          <w:i/>
          <w:noProof/>
          <w:lang w:val="fr-FR"/>
        </w:rPr>
        <w:t>A travers</w:t>
      </w:r>
      <w:r>
        <w:rPr>
          <w:lang w:val="fr-FR"/>
        </w:rPr>
        <w:fldChar w:fldCharType="end"/>
      </w:r>
      <w:r w:rsidRPr="00C54460">
        <w:rPr>
          <w:lang w:val="fr-FR"/>
        </w:rPr>
        <w:t>, p. 104.</w:t>
      </w:r>
    </w:p>
  </w:footnote>
  <w:footnote w:id="180">
    <w:p w14:paraId="5D7E4774" w14:textId="77777777" w:rsidR="00DE3AC9" w:rsidRPr="007B4961" w:rsidRDefault="00DE3AC9" w:rsidP="0048510E">
      <w:pPr>
        <w:pStyle w:val="FootnoteText"/>
      </w:pPr>
      <w:r>
        <w:rPr>
          <w:rStyle w:val="FootnoteReference"/>
        </w:rPr>
        <w:footnoteRef/>
      </w:r>
      <w:r w:rsidRPr="007B4961">
        <w:t xml:space="preserve"> See SHD AT: 16N1571. Interviews of refugees from the invaded territories. </w:t>
      </w:r>
    </w:p>
  </w:footnote>
  <w:footnote w:id="181">
    <w:p w14:paraId="508803FB" w14:textId="77777777" w:rsidR="00DE3AC9" w:rsidRPr="00EF4E88" w:rsidRDefault="00DE3AC9" w:rsidP="0048510E">
      <w:pPr>
        <w:pStyle w:val="FootnoteText"/>
        <w:rPr>
          <w:lang w:val="fr-FR"/>
        </w:rPr>
      </w:pPr>
      <w:r>
        <w:rPr>
          <w:rStyle w:val="FootnoteReference"/>
        </w:rPr>
        <w:footnoteRef/>
      </w:r>
      <w:r w:rsidRPr="006E05B0">
        <w:rPr>
          <w:lang w:val="fr-FR"/>
        </w:rPr>
        <w:t xml:space="preserve"> </w:t>
      </w:r>
      <w:r>
        <w:rPr>
          <w:lang w:val="fr-FR"/>
        </w:rPr>
        <w:fldChar w:fldCharType="begin"/>
      </w:r>
      <w:r>
        <w:rPr>
          <w:lang w:val="fr-FR"/>
        </w:rPr>
        <w:instrText xml:space="preserve"> ADDIN EN.CITE &lt;EndNote&gt;&lt;Cite&gt;&lt;Author&gt;Amara&lt;/Author&gt;&lt;Year&gt;2012&lt;/Year&gt;&lt;RecNum&gt;149&lt;/RecNum&gt;&lt;DisplayText&gt;Amara, &lt;style face="italic"&gt;Les grands défis&lt;/style&gt;&lt;/DisplayText&gt;&lt;record&gt;&lt;rec-number&gt;149&lt;/rec-number&gt;&lt;foreign-keys&gt;&lt;key app="EN" db-id="2f5rvwawcsv2woetvw35fzwbdvvswerd0err"&gt;149&lt;/key&gt;&lt;/foreign-keys&gt;&lt;ref-type name="Book Section"&gt;5&lt;/ref-type&gt;&lt;contributors&gt;&lt;authors&gt;&lt;author&gt;Amara, Michael&lt;/author&gt;&lt;/authors&gt;&lt;secondary-authors&gt;&lt;author&gt;B. Rochet &lt;/author&gt;&lt;author&gt;A. Tixhon&lt;/author&gt;&lt;/secondary-authors&gt;&lt;/contributors&gt;&lt;titles&gt;&lt;title&gt;Les grands défis de la propagande belge durant la Première Guerre Mondiale&lt;/title&gt;&lt;secondary-title&gt;La petite Belgique dans la Grande Guerre: une icône, des images&lt;/secondary-title&gt;&lt;short-title&gt;Les grands défis&lt;/short-title&gt;&lt;/titles&gt;&lt;dates&gt;&lt;year&gt;2012&lt;/year&gt;&lt;/dates&gt;&lt;pub-location&gt;Namur&lt;/pub-location&gt;&lt;urls&gt;&lt;/urls&gt;&lt;/record&gt;&lt;/Cite&gt;&lt;/EndNote&gt;</w:instrText>
      </w:r>
      <w:r>
        <w:rPr>
          <w:lang w:val="fr-FR"/>
        </w:rPr>
        <w:fldChar w:fldCharType="separate"/>
      </w:r>
      <w:r>
        <w:rPr>
          <w:noProof/>
          <w:lang w:val="fr-FR"/>
        </w:rPr>
        <w:t xml:space="preserve">Amara, </w:t>
      </w:r>
      <w:r w:rsidRPr="00CA7435">
        <w:rPr>
          <w:i/>
          <w:noProof/>
          <w:lang w:val="fr-FR"/>
        </w:rPr>
        <w:t>Les grands défis</w:t>
      </w:r>
      <w:r>
        <w:rPr>
          <w:lang w:val="fr-FR"/>
        </w:rPr>
        <w:fldChar w:fldCharType="end"/>
      </w:r>
      <w:r>
        <w:rPr>
          <w:lang w:val="fr-FR"/>
        </w:rPr>
        <w:t xml:space="preserve"> </w:t>
      </w:r>
      <w:r w:rsidRPr="00BA47BE">
        <w:rPr>
          <w:lang w:val="fr-FR"/>
        </w:rPr>
        <w:t>pp. 22-24.</w:t>
      </w:r>
    </w:p>
  </w:footnote>
  <w:footnote w:id="182">
    <w:p w14:paraId="0D0DA208" w14:textId="77777777" w:rsidR="00DE3AC9" w:rsidRPr="00DB0F46" w:rsidRDefault="00DE3AC9" w:rsidP="0048510E">
      <w:pPr>
        <w:pStyle w:val="FootnoteText"/>
      </w:pPr>
      <w:r>
        <w:rPr>
          <w:rStyle w:val="FootnoteReference"/>
        </w:rPr>
        <w:footnoteRef/>
      </w:r>
      <w:r w:rsidRPr="00DB0F46">
        <w:rPr>
          <w:lang w:val="fr-FR"/>
        </w:rPr>
        <w:t xml:space="preserve"> Archives du Service Publique Fédéral Affaires étrangères </w:t>
      </w:r>
      <w:r>
        <w:rPr>
          <w:lang w:val="fr-FR"/>
        </w:rPr>
        <w:t>Belges</w:t>
      </w:r>
      <w:r w:rsidRPr="00DB0F46">
        <w:rPr>
          <w:lang w:val="fr-FR"/>
        </w:rPr>
        <w:t>(ASPF AE</w:t>
      </w:r>
      <w:r>
        <w:rPr>
          <w:lang w:val="fr-FR"/>
        </w:rPr>
        <w:t xml:space="preserve">B): B. 347. </w:t>
      </w:r>
      <w:r w:rsidRPr="00DB0F46">
        <w:t xml:space="preserve">Report of the </w:t>
      </w:r>
      <w:r>
        <w:t>war m</w:t>
      </w:r>
      <w:r w:rsidRPr="00DB0F46">
        <w:t>inister Cabinet regarding the creation of an aerial publication aiming at occupied territories.</w:t>
      </w:r>
      <w:r>
        <w:t xml:space="preserve"> 22 October 1915. </w:t>
      </w:r>
      <w:r w:rsidRPr="00DB0F46">
        <w:t xml:space="preserve"> </w:t>
      </w:r>
    </w:p>
  </w:footnote>
  <w:footnote w:id="183">
    <w:p w14:paraId="5F0DCB52" w14:textId="77777777" w:rsidR="00DE3AC9" w:rsidRPr="00BA47BE" w:rsidRDefault="00DE3AC9" w:rsidP="0048510E">
      <w:pPr>
        <w:pStyle w:val="FootnoteText"/>
      </w:pPr>
      <w:r>
        <w:rPr>
          <w:rStyle w:val="FootnoteReference"/>
        </w:rPr>
        <w:footnoteRef/>
      </w:r>
      <w:r>
        <w:t xml:space="preserve"> </w:t>
      </w:r>
      <w:r>
        <w:fldChar w:fldCharType="begin"/>
      </w:r>
      <w:r>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fldChar w:fldCharType="separate"/>
      </w:r>
      <w:r>
        <w:rPr>
          <w:noProof/>
        </w:rPr>
        <w:t xml:space="preserve">de Schaepdrijver, </w:t>
      </w:r>
      <w:r w:rsidRPr="00AD3467">
        <w:rPr>
          <w:i/>
          <w:noProof/>
        </w:rPr>
        <w:t>Occupation</w:t>
      </w:r>
      <w:r>
        <w:fldChar w:fldCharType="end"/>
      </w:r>
      <w:r>
        <w:t xml:space="preserve">, p. 281. </w:t>
      </w:r>
    </w:p>
  </w:footnote>
  <w:footnote w:id="184">
    <w:p w14:paraId="2F3DEE65" w14:textId="77777777" w:rsidR="00DE3AC9" w:rsidRPr="00064A94" w:rsidRDefault="00DE3AC9" w:rsidP="0048510E">
      <w:pPr>
        <w:pStyle w:val="FootnoteText"/>
      </w:pPr>
      <w:r>
        <w:rPr>
          <w:rStyle w:val="FootnoteReference"/>
        </w:rPr>
        <w:footnoteRef/>
      </w:r>
      <w:r>
        <w:t xml:space="preserve"> ASPF AEB: B. 345. Confidential note by the director of the BDB to the Foreign Office regarding aerial propaganda and clandestine papers. 19 December 1917.</w:t>
      </w:r>
    </w:p>
  </w:footnote>
  <w:footnote w:id="185">
    <w:p w14:paraId="75EF57DA" w14:textId="77777777" w:rsidR="00DE3AC9" w:rsidRPr="00576F3C" w:rsidRDefault="00DE3AC9" w:rsidP="0048510E">
      <w:pPr>
        <w:pStyle w:val="FootnoteText"/>
      </w:pPr>
      <w:r>
        <w:rPr>
          <w:rStyle w:val="FootnoteReference"/>
        </w:rPr>
        <w:footnoteRef/>
      </w:r>
      <w:r>
        <w:t xml:space="preserve"> SHD AT: 16N1571. Report from the French mission to the Belgian army. 28 September 1917.</w:t>
      </w:r>
    </w:p>
  </w:footnote>
  <w:footnote w:id="186">
    <w:p w14:paraId="7A0A4B1D" w14:textId="77777777" w:rsidR="00DE3AC9" w:rsidRPr="00576F3C" w:rsidRDefault="00DE3AC9" w:rsidP="0048510E">
      <w:pPr>
        <w:pStyle w:val="FootnoteText"/>
      </w:pPr>
      <w:r>
        <w:rPr>
          <w:rStyle w:val="FootnoteReference"/>
        </w:rPr>
        <w:footnoteRef/>
      </w:r>
      <w:r>
        <w:t xml:space="preserve"> </w:t>
      </w:r>
      <w:r w:rsidRPr="00576F3C">
        <w:t xml:space="preserve">SHD AT: 16N1571. Report from the French mission to the Belgian army. </w:t>
      </w:r>
      <w:r>
        <w:t>12 October 1917.</w:t>
      </w:r>
    </w:p>
  </w:footnote>
  <w:footnote w:id="187">
    <w:p w14:paraId="77F0A0BA" w14:textId="77777777" w:rsidR="00DE3AC9" w:rsidRPr="0067341B" w:rsidRDefault="00DE3AC9" w:rsidP="0048510E">
      <w:pPr>
        <w:pStyle w:val="FootnoteText"/>
      </w:pPr>
      <w:r>
        <w:rPr>
          <w:rStyle w:val="FootnoteReference"/>
        </w:rPr>
        <w:footnoteRef/>
      </w:r>
      <w:r>
        <w:t xml:space="preserve"> </w:t>
      </w:r>
      <w:r w:rsidRPr="009A27B7">
        <w:t xml:space="preserve">ASPF AEB: B. 345. Note by the director of the BDB to </w:t>
      </w:r>
      <w:r>
        <w:t xml:space="preserve">the propaganda committee regarding the necessity to organise propaganda in occupied countries. </w:t>
      </w:r>
      <w:r w:rsidRPr="0067341B">
        <w:t>17 June 1918.</w:t>
      </w:r>
    </w:p>
  </w:footnote>
  <w:footnote w:id="188">
    <w:p w14:paraId="6552EFE3" w14:textId="77777777" w:rsidR="00DE3AC9" w:rsidRPr="00C0521A" w:rsidRDefault="00DE3AC9" w:rsidP="0048510E">
      <w:pPr>
        <w:pStyle w:val="FootnoteText"/>
      </w:pPr>
      <w:r>
        <w:rPr>
          <w:rStyle w:val="FootnoteReference"/>
        </w:rPr>
        <w:footnoteRef/>
      </w:r>
      <w:r w:rsidRPr="00C0521A">
        <w:t xml:space="preserve"> </w:t>
      </w:r>
      <w:r>
        <w:fldChar w:fldCharType="begin"/>
      </w:r>
      <w:r w:rsidRPr="00C0521A">
        <w:instrText xml:space="preserve"> ADDIN EN.CITE &lt;EndNote&gt;&lt;Cite&gt;&lt;Author&gt;Witte&lt;/Author&gt;&lt;Year&gt;1987&lt;/Year&gt;&lt;RecNum&gt;199&lt;/RecNum&gt;&lt;DisplayText&gt;Witte and Craeybeckx, &lt;style face="italic"&gt;La Belgique&lt;/style&gt;&lt;/DisplayText&gt;&lt;record&gt;&lt;rec-number&gt;199&lt;/rec-number&gt;&lt;foreign-keys&gt;&lt;key app="EN" db-id="2f5rvwawcsv2woetvw35fzwbdvvswerd0err"&gt;199&lt;/key&gt;&lt;/foreign-keys&gt;&lt;ref-type name="Book"&gt;6&lt;/ref-type&gt;&lt;contributors&gt;&lt;authors&gt;&lt;author&gt;Witte, Els&lt;/author&gt;&lt;author&gt;Craeybeckx, Jan&lt;/author&gt;&lt;/authors&gt;&lt;/contributors&gt;&lt;titles&gt;&lt;title&gt;La Belgique politique de 1830 à nos jours&lt;/title&gt;&lt;short-title&gt;La Belgique&lt;/short-title&gt;&lt;/titles&gt;&lt;dates&gt;&lt;year&gt;1987&lt;/year&gt;&lt;/dates&gt;&lt;pub-location&gt;Brussels&lt;/pub-location&gt;&lt;urls&gt;&lt;/urls&gt;&lt;/record&gt;&lt;/Cite&gt;&lt;/EndNote&gt;</w:instrText>
      </w:r>
      <w:r>
        <w:fldChar w:fldCharType="separate"/>
      </w:r>
      <w:r w:rsidRPr="00C0521A">
        <w:rPr>
          <w:noProof/>
        </w:rPr>
        <w:t xml:space="preserve">Witte and Craeybeckx, </w:t>
      </w:r>
      <w:r w:rsidRPr="00C0521A">
        <w:rPr>
          <w:i/>
          <w:noProof/>
        </w:rPr>
        <w:t>La Belgique</w:t>
      </w:r>
      <w:r>
        <w:fldChar w:fldCharType="end"/>
      </w:r>
      <w:r w:rsidRPr="00C0521A">
        <w:t>, pp. 147-148.</w:t>
      </w:r>
    </w:p>
  </w:footnote>
  <w:footnote w:id="189">
    <w:p w14:paraId="39C9BC18" w14:textId="77777777" w:rsidR="00DE3AC9" w:rsidRPr="00DF53A4" w:rsidRDefault="00DE3AC9" w:rsidP="0048510E">
      <w:pPr>
        <w:pStyle w:val="FootnoteText"/>
      </w:pPr>
      <w:r>
        <w:rPr>
          <w:rStyle w:val="FootnoteReference"/>
        </w:rPr>
        <w:footnoteRef/>
      </w:r>
      <w:r>
        <w:t xml:space="preserve"> British Library: C.40.I.21. Unpublished account of the history of the </w:t>
      </w:r>
      <w:r>
        <w:rPr>
          <w:i/>
          <w:iCs/>
        </w:rPr>
        <w:t xml:space="preserve">Courrier de l’Air. </w:t>
      </w:r>
      <w:r>
        <w:t>November 1918.</w:t>
      </w:r>
    </w:p>
  </w:footnote>
  <w:footnote w:id="190">
    <w:p w14:paraId="0B41BC63" w14:textId="77777777" w:rsidR="00DE3AC9" w:rsidRPr="00236F0C" w:rsidRDefault="00DE3AC9" w:rsidP="0048510E">
      <w:pPr>
        <w:pStyle w:val="FootnoteText"/>
      </w:pPr>
      <w:r>
        <w:rPr>
          <w:rStyle w:val="FootnoteReference"/>
        </w:rPr>
        <w:footnoteRef/>
      </w:r>
      <w:r>
        <w:t xml:space="preserve"> </w:t>
      </w:r>
      <w:r>
        <w:fldChar w:fldCharType="begin"/>
      </w:r>
      <w:r>
        <w:instrText xml:space="preserve"> ADDIN EN.CITE &lt;EndNote&gt;&lt;Cite&gt;&lt;Author&gt;Street&lt;/Author&gt;&lt;Year&gt;1919&lt;/Year&gt;&lt;RecNum&gt;150&lt;/RecNum&gt;&lt;DisplayText&gt;Street, &lt;style face="italic"&gt;Propaganda&lt;/style&gt;&lt;/DisplayText&gt;&lt;record&gt;&lt;rec-number&gt;150&lt;/rec-number&gt;&lt;foreign-keys&gt;&lt;key app="EN" db-id="2f5rvwawcsv2woetvw35fzwbdvvswerd0err"&gt;150&lt;/key&gt;&lt;/foreign-keys&gt;&lt;ref-type name="Journal Article"&gt;17&lt;/ref-type&gt;&lt;contributors&gt;&lt;authors&gt;&lt;author&gt;Street, Cecil&lt;/author&gt;&lt;/authors&gt;&lt;/contributors&gt;&lt;titles&gt;&lt;title&gt;Propaganda behind the lines&lt;/title&gt;&lt;secondary-title&gt;The Cornhill magazine&lt;/secondary-title&gt;&lt;short-title&gt;Propaganda&lt;/short-title&gt;&lt;/titles&gt;&lt;periodical&gt;&lt;full-title&gt;The Cornhill magazine&lt;/full-title&gt;&lt;/periodical&gt;&lt;volume&gt;XLVII&lt;/volume&gt;&lt;dates&gt;&lt;year&gt;1919&lt;/year&gt;&lt;/dates&gt;&lt;urls&gt;&lt;/urls&gt;&lt;/record&gt;&lt;/Cite&gt;&lt;/EndNote&gt;</w:instrText>
      </w:r>
      <w:r>
        <w:fldChar w:fldCharType="separate"/>
      </w:r>
      <w:r>
        <w:rPr>
          <w:noProof/>
        </w:rPr>
        <w:t xml:space="preserve">Street, </w:t>
      </w:r>
      <w:r w:rsidRPr="00CA7435">
        <w:rPr>
          <w:i/>
          <w:noProof/>
        </w:rPr>
        <w:t>Propaganda</w:t>
      </w:r>
      <w:r>
        <w:fldChar w:fldCharType="end"/>
      </w:r>
    </w:p>
  </w:footnote>
  <w:footnote w:id="191">
    <w:p w14:paraId="73E4E95E" w14:textId="77777777" w:rsidR="00DE3AC9" w:rsidRPr="001516C8" w:rsidRDefault="00DE3AC9" w:rsidP="0048510E">
      <w:pPr>
        <w:pStyle w:val="FootnoteText"/>
      </w:pPr>
      <w:r>
        <w:rPr>
          <w:rStyle w:val="FootnoteReference"/>
        </w:rPr>
        <w:footnoteRef/>
      </w:r>
      <w:r>
        <w:t xml:space="preserve"> </w:t>
      </w:r>
      <w:r w:rsidRPr="001516C8">
        <w:t xml:space="preserve">NA: WO 32/5141. </w:t>
      </w:r>
      <w:r>
        <w:t>Report from Lt-Colonel Fischer, commanding officer of MI7 to Lord Onslow. 11 May 1918.</w:t>
      </w:r>
    </w:p>
  </w:footnote>
  <w:footnote w:id="192">
    <w:p w14:paraId="2FD9BF53" w14:textId="77777777" w:rsidR="00DE3AC9" w:rsidRPr="009F5DB9" w:rsidRDefault="00DE3AC9" w:rsidP="0048510E">
      <w:pPr>
        <w:pStyle w:val="FootnoteText"/>
      </w:pPr>
      <w:r>
        <w:rPr>
          <w:rStyle w:val="FootnoteReference"/>
        </w:rPr>
        <w:footnoteRef/>
      </w:r>
      <w:r w:rsidRPr="005861D9">
        <w:t xml:space="preserve"> SHD Armée de terre (AT): 16N1569. </w:t>
      </w:r>
      <w:r w:rsidRPr="009F5DB9">
        <w:t>Note from the SR to the SPA</w:t>
      </w:r>
      <w:r>
        <w:t>. 12 March 1917.</w:t>
      </w:r>
    </w:p>
  </w:footnote>
  <w:footnote w:id="193">
    <w:p w14:paraId="4F8D9683" w14:textId="77777777" w:rsidR="00DE3AC9" w:rsidRPr="004973E5" w:rsidRDefault="00DE3AC9" w:rsidP="0048510E">
      <w:pPr>
        <w:pStyle w:val="FootnoteText"/>
      </w:pPr>
      <w:r>
        <w:rPr>
          <w:rStyle w:val="FootnoteReference"/>
        </w:rPr>
        <w:footnoteRef/>
      </w:r>
      <w:r>
        <w:t xml:space="preserve"> See chapters four to six for examples of pro-British propaganda.</w:t>
      </w:r>
    </w:p>
  </w:footnote>
  <w:footnote w:id="194">
    <w:p w14:paraId="05D404BF" w14:textId="77777777" w:rsidR="00DE3AC9" w:rsidRPr="00F56ED8" w:rsidRDefault="00DE3AC9" w:rsidP="0048510E">
      <w:pPr>
        <w:pStyle w:val="FootnoteText"/>
      </w:pPr>
      <w:r>
        <w:rPr>
          <w:rStyle w:val="FootnoteReference"/>
        </w:rPr>
        <w:footnoteRef/>
      </w:r>
      <w:r>
        <w:t xml:space="preserve"> </w:t>
      </w:r>
      <w:r w:rsidRPr="00F56ED8">
        <w:t xml:space="preserve">ASPF AEB: B. 345. Report from Henri Davignon to </w:t>
      </w:r>
      <w:r>
        <w:t>the Belgian government about the contribution of Britain to propaganda efforts. 30 May 1917.</w:t>
      </w:r>
    </w:p>
  </w:footnote>
  <w:footnote w:id="195">
    <w:p w14:paraId="31C6CF1B" w14:textId="77777777" w:rsidR="00DE3AC9" w:rsidRPr="00415A32" w:rsidRDefault="00DE3AC9" w:rsidP="0048510E">
      <w:pPr>
        <w:pStyle w:val="FootnoteText"/>
      </w:pPr>
      <w:r>
        <w:rPr>
          <w:rStyle w:val="FootnoteReference"/>
        </w:rPr>
        <w:footnoteRef/>
      </w:r>
      <w:r>
        <w:t xml:space="preserve"> SHD AT: 16N1571. Report from the French mission to the Belgian army. </w:t>
      </w:r>
      <w:r w:rsidRPr="00415A32">
        <w:t>28 September 1917.</w:t>
      </w:r>
    </w:p>
  </w:footnote>
  <w:footnote w:id="196">
    <w:p w14:paraId="33040FBB" w14:textId="77777777" w:rsidR="00DE3AC9" w:rsidRPr="00415A32" w:rsidRDefault="00DE3AC9" w:rsidP="0048510E">
      <w:pPr>
        <w:pStyle w:val="FootnoteText"/>
      </w:pPr>
      <w:r>
        <w:rPr>
          <w:rStyle w:val="FootnoteReference"/>
        </w:rPr>
        <w:footnoteRef/>
      </w:r>
      <w:r w:rsidRPr="00415A32">
        <w:t xml:space="preserve"> </w:t>
      </w:r>
      <w:r>
        <w:fldChar w:fldCharType="begin"/>
      </w:r>
      <w:r w:rsidRPr="00415A32">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415A32">
        <w:rPr>
          <w:noProof/>
        </w:rPr>
        <w:t xml:space="preserve">Taylor, </w:t>
      </w:r>
      <w:r w:rsidRPr="00415A32">
        <w:rPr>
          <w:i/>
          <w:noProof/>
        </w:rPr>
        <w:t>Munitions</w:t>
      </w:r>
      <w:r>
        <w:fldChar w:fldCharType="end"/>
      </w:r>
      <w:r w:rsidRPr="00415A32">
        <w:t>, pp. 190-191.</w:t>
      </w:r>
    </w:p>
  </w:footnote>
  <w:footnote w:id="197">
    <w:p w14:paraId="3DDC595E" w14:textId="359FA9A0" w:rsidR="00DE3AC9" w:rsidRPr="00415A32" w:rsidRDefault="00DE3AC9" w:rsidP="0048510E">
      <w:pPr>
        <w:pStyle w:val="FootnoteText"/>
      </w:pPr>
      <w:r>
        <w:rPr>
          <w:rStyle w:val="FootnoteReference"/>
        </w:rPr>
        <w:footnoteRef/>
      </w:r>
      <w:r w:rsidRPr="00415A32">
        <w:t xml:space="preserve"> There </w:t>
      </w:r>
      <w:r>
        <w:t>was also a pre-war structure.</w:t>
      </w:r>
      <w:r w:rsidRPr="00415A32">
        <w:t xml:space="preserve"> </w:t>
      </w:r>
      <w:r>
        <w:t>A</w:t>
      </w:r>
      <w:r w:rsidRPr="00415A32">
        <w:t xml:space="preserve"> </w:t>
      </w:r>
      <w:r w:rsidRPr="00415A32">
        <w:rPr>
          <w:i/>
        </w:rPr>
        <w:t>Bureau des Communications</w:t>
      </w:r>
      <w:r w:rsidRPr="00924A6B">
        <w:rPr>
          <w:i/>
        </w:rPr>
        <w:t xml:space="preserve"> </w:t>
      </w:r>
      <w:r w:rsidRPr="00415A32">
        <w:t>was</w:t>
      </w:r>
      <w:r w:rsidRPr="00924A6B">
        <w:rPr>
          <w:i/>
        </w:rPr>
        <w:t xml:space="preserve"> </w:t>
      </w:r>
      <w:r w:rsidRPr="00924A6B">
        <w:t>created</w:t>
      </w:r>
      <w:r w:rsidRPr="00415A32">
        <w:t xml:space="preserve"> inside the French foreign office</w:t>
      </w:r>
      <w:r>
        <w:t xml:space="preserve"> in 1907</w:t>
      </w:r>
      <w:r w:rsidRPr="00415A32">
        <w:t xml:space="preserve">. </w:t>
      </w:r>
      <w:r w:rsidRPr="00415A32">
        <w:rPr>
          <w:lang w:val="fr-FR"/>
        </w:rPr>
        <w:t xml:space="preserve">This bureau was supplemented in 1909 by the </w:t>
      </w:r>
      <w:r w:rsidRPr="00415A32">
        <w:rPr>
          <w:i/>
          <w:lang w:val="fr-FR"/>
        </w:rPr>
        <w:t>Service des écoles et des oeuvres françaises</w:t>
      </w:r>
      <w:r>
        <w:rPr>
          <w:i/>
          <w:lang w:val="fr-FR"/>
        </w:rPr>
        <w:t xml:space="preserve"> à l’étranger</w:t>
      </w:r>
      <w:r>
        <w:rPr>
          <w:lang w:val="fr-FR"/>
        </w:rPr>
        <w:t>.</w:t>
      </w:r>
      <w:r w:rsidRPr="00415A32">
        <w:rPr>
          <w:lang w:val="fr-FR"/>
        </w:rPr>
        <w:t xml:space="preserve"> </w:t>
      </w:r>
      <w:r>
        <w:fldChar w:fldCharType="begin"/>
      </w:r>
      <w:r w:rsidRPr="00924A6B">
        <w:rPr>
          <w:lang w:val="fr-FR"/>
        </w:rPr>
        <w:instrText xml:space="preserve"> ADDIN EN.CITE &lt;EndNote&gt;&lt;Cite&gt;&lt;Author&gt;Montant&lt;/Author&gt;&lt;Year&gt;1988&lt;/Year&gt;&lt;RecNum&gt;63&lt;/RecNum&gt;&lt;DisplayText&gt;Montant, &lt;style face="italic"&gt;La propagande&lt;/style&gt;&lt;/DisplayText&gt;&lt;record&gt;&lt;rec-number&gt;63&lt;/rec-number&gt;&lt;foreign-keys&gt;&lt;key app="EN" db-id="2f5rvwawcsv2woetvw35fzwbdvvswerd0err"&gt;63&lt;/key&gt;&lt;/foreign-keys&gt;&lt;ref-type name="Thesis"&gt;32&lt;/ref-type&gt;&lt;contributors&gt;&lt;authors&gt;&lt;author&gt;Montant, Jean-Claude&lt;/author&gt;&lt;/authors&gt;&lt;/contributors&gt;&lt;titles&gt;&lt;title&gt;La propagande extérieure de la France pendant la Première Guerre Mondiale: l&amp;apos;exemple de quelques neutres&lt;/title&gt;&lt;short-title&gt;La propagande&lt;/short-title&gt;&lt;/titles&gt;&lt;volume&gt;PhD&lt;/volume&gt;&lt;dates&gt;&lt;year&gt;1988&lt;/year&gt;&lt;/dates&gt;&lt;publisher&gt;Université de Lille&lt;/publisher&gt;&lt;work-type&gt;PhD Thesis&lt;/work-type&gt;&lt;urls&gt;&lt;/urls&gt;&lt;/record&gt;&lt;/Cite&gt;&lt;/EndNote&gt;</w:instrText>
      </w:r>
      <w:r>
        <w:fldChar w:fldCharType="separate"/>
      </w:r>
      <w:r w:rsidRPr="00415A32">
        <w:rPr>
          <w:noProof/>
        </w:rPr>
        <w:t xml:space="preserve">Montant, </w:t>
      </w:r>
      <w:r w:rsidRPr="00415A32">
        <w:rPr>
          <w:i/>
          <w:noProof/>
        </w:rPr>
        <w:t>La propagande</w:t>
      </w:r>
      <w:r>
        <w:fldChar w:fldCharType="end"/>
      </w:r>
      <w:r w:rsidRPr="00415A32">
        <w:t>, pp. 20-23.</w:t>
      </w:r>
    </w:p>
  </w:footnote>
  <w:footnote w:id="198">
    <w:p w14:paraId="495D3C38" w14:textId="77777777" w:rsidR="00DE3AC9" w:rsidRPr="00BC190F" w:rsidRDefault="00DE3AC9" w:rsidP="0048510E">
      <w:pPr>
        <w:pStyle w:val="FootnoteText"/>
        <w:rPr>
          <w:lang w:val="fr-FR"/>
        </w:rPr>
      </w:pPr>
      <w:r>
        <w:rPr>
          <w:rStyle w:val="FootnoteReference"/>
        </w:rPr>
        <w:footnoteRef/>
      </w:r>
      <w:r w:rsidRPr="00522B64">
        <w:t xml:space="preserve"> SHD AA: 1A176. </w:t>
      </w:r>
      <w:r>
        <w:t xml:space="preserve">Report by Colonel Valantin to the war minister quoting a previous report by General Joffre about aerial propaganda. </w:t>
      </w:r>
      <w:r w:rsidRPr="00BC190F">
        <w:rPr>
          <w:lang w:val="fr-FR"/>
        </w:rPr>
        <w:t>29 October 1915.</w:t>
      </w:r>
    </w:p>
  </w:footnote>
  <w:footnote w:id="199">
    <w:p w14:paraId="18DC1EB7" w14:textId="77777777" w:rsidR="00DE3AC9" w:rsidRPr="008C02D4"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&lt;EndNote&gt;&lt;Cite&gt;&lt;Author&gt;Cochet&lt;/Author&gt;&lt;Year&gt;2008&lt;/Year&gt;&lt;RecNum&gt;59&lt;/RecNum&gt;&lt;DisplayText&gt;Cochet and Porte, &lt;style face="italic"&gt;Dictionnaire&lt;/style&gt;&lt;/DisplayText&gt;&lt;record&gt;&lt;rec-number&gt;59&lt;/rec-number&gt;&lt;foreign-keys&gt;&lt;key app="EN" db-id="2f5rvwawcsv2woetvw35fzwbdvvswerd0err"&gt;59&lt;/key&gt;&lt;/foreign-keys&gt;&lt;ref-type name="Book"&gt;6&lt;/ref-type&gt;&lt;contributors&gt;&lt;authors&gt;&lt;author&gt;Cochet, François&lt;/author&gt;&lt;author&gt;Porte, Rémy&lt;/author&gt;&lt;/authors&gt;&lt;/contributors&gt;&lt;titles&gt;&lt;title&gt;Dictionnaire de la Grande Guerre 1914-1918&lt;/title&gt;&lt;short-title&gt;Dictionnaire&lt;/short-title&gt;&lt;/titles&gt;&lt;dates&gt;&lt;year&gt;2008&lt;/year&gt;&lt;/dates&gt;&lt;pub-location&gt;Paris&lt;/pub-location&gt;&lt;urls&gt;&lt;/urls&gt;&lt;/record&gt;&lt;/Cite&gt;&lt;/EndNote&gt;</w:instrText>
      </w:r>
      <w:r>
        <w:fldChar w:fldCharType="separate"/>
      </w:r>
      <w:r w:rsidRPr="00AD3467">
        <w:rPr>
          <w:noProof/>
          <w:lang w:val="fr-FR"/>
        </w:rPr>
        <w:t xml:space="preserve">Cochet and Porte, </w:t>
      </w:r>
      <w:r w:rsidRPr="00AD3467">
        <w:rPr>
          <w:i/>
          <w:noProof/>
          <w:lang w:val="fr-FR"/>
        </w:rPr>
        <w:t>Dictionnaire</w:t>
      </w:r>
      <w:r>
        <w:fldChar w:fldCharType="end"/>
      </w:r>
      <w:r w:rsidRPr="008C02D4">
        <w:rPr>
          <w:lang w:val="fr-FR"/>
        </w:rPr>
        <w:t>, pp. 404-405 and 492.</w:t>
      </w:r>
    </w:p>
  </w:footnote>
  <w:footnote w:id="200">
    <w:p w14:paraId="4F931B4F" w14:textId="77777777" w:rsidR="00DE3AC9" w:rsidRPr="00795A61" w:rsidRDefault="00DE3AC9" w:rsidP="0048510E">
      <w:pPr>
        <w:pStyle w:val="FootnoteText"/>
        <w:rPr>
          <w:lang w:val="fr-FR"/>
        </w:rPr>
      </w:pPr>
      <w:r>
        <w:rPr>
          <w:rStyle w:val="FootnoteReference"/>
        </w:rPr>
        <w:footnoteRef/>
      </w:r>
      <w:r w:rsidRPr="00831228">
        <w:rPr>
          <w:lang w:val="fr-FR"/>
        </w:rPr>
        <w:t xml:space="preserve"> </w:t>
      </w:r>
      <w:r>
        <w:fldChar w:fldCharType="begin"/>
      </w:r>
      <w:r>
        <w:rPr>
          <w:lang w:val="fr-FR"/>
        </w:rPr>
        <w:instrText xml:space="preserve"> ADDIN EN.CITE &lt;EndNote&gt;&lt;Cite&gt;&lt;Author&gt;Antier&lt;/Author&gt;&lt;Year&gt;2007&lt;/Year&gt;&lt;RecNum&gt;67&lt;/RecNum&gt;&lt;DisplayText&gt;Chantal Antier, &amp;apos;Espionnage et espionnes de la Grande Guerre&amp;apos;, in: &lt;style face="italic"&gt;Revue Historique des Armées, &lt;/style&gt;247 (2007), &lt;/DisplayText&gt;&lt;record&gt;&lt;rec-number&gt;67&lt;/rec-number&gt;&lt;foreign-keys&gt;&lt;key app="EN" db-id="2f5rvwawcsv2woetvw35fzwbdvvswerd0err"&gt;67&lt;/key&gt;&lt;/foreign-keys&gt;&lt;ref-type name="Journal Article"&gt;17&lt;/ref-type&gt;&lt;contributors&gt;&lt;authors&gt;&lt;author&gt;Antier, Chantal&lt;/author&gt;&lt;/authors&gt;&lt;/contributors&gt;&lt;titles&gt;&lt;title&gt;Espionnage et espionnes de la Grande Guerre&lt;/title&gt;&lt;secondary-title&gt;Revue Historique des Armées&lt;/secondary-title&gt;&lt;short-title&gt;Espionnage&lt;/short-title&gt;&lt;/titles&gt;&lt;periodical&gt;&lt;full-title&gt;Revue Historique des Armées&lt;/full-title&gt;&lt;/periodical&gt;&lt;volume&gt;247&lt;/volume&gt;&lt;dates&gt;&lt;year&gt;2007&lt;/year&gt;&lt;/dates&gt;&lt;urls&gt;&lt;/urls&gt;&lt;/record&gt;&lt;/Cite&gt;&lt;/EndNote&gt;</w:instrText>
      </w:r>
      <w:r>
        <w:fldChar w:fldCharType="separate"/>
      </w:r>
      <w:r w:rsidRPr="008C02D4">
        <w:rPr>
          <w:noProof/>
          <w:lang w:val="fr-FR"/>
        </w:rPr>
        <w:t xml:space="preserve">Chantal Antier, 'Espionnage et espionnes de la Grande Guerre', in: </w:t>
      </w:r>
      <w:r w:rsidRPr="008C02D4">
        <w:rPr>
          <w:i/>
          <w:noProof/>
          <w:lang w:val="fr-FR"/>
        </w:rPr>
        <w:t xml:space="preserve">Revue Historique des Armées, </w:t>
      </w:r>
      <w:r w:rsidRPr="008C02D4">
        <w:rPr>
          <w:noProof/>
          <w:lang w:val="fr-FR"/>
        </w:rPr>
        <w:t xml:space="preserve">247 (2007), </w:t>
      </w:r>
      <w:r>
        <w:fldChar w:fldCharType="end"/>
      </w:r>
    </w:p>
  </w:footnote>
  <w:footnote w:id="201">
    <w:p w14:paraId="598B94D1" w14:textId="77777777" w:rsidR="00DE3AC9" w:rsidRPr="005E1EAF" w:rsidRDefault="00DE3AC9" w:rsidP="0048510E">
      <w:pPr>
        <w:pStyle w:val="FootnoteText"/>
      </w:pPr>
      <w:r>
        <w:rPr>
          <w:rStyle w:val="FootnoteReference"/>
        </w:rPr>
        <w:footnoteRef/>
      </w:r>
      <w:r>
        <w:t xml:space="preserve"> </w:t>
      </w:r>
      <w:r w:rsidRPr="005E1EAF">
        <w:t xml:space="preserve">Such as Jules Cambon, the abbot </w:t>
      </w:r>
      <w:r>
        <w:t xml:space="preserve">Wetterlé or Lieutenant-Colonel Dupuis. SHD AA: 1A176. Report by Colonel Valantin, </w:t>
      </w:r>
      <w:r>
        <w:rPr>
          <w:i/>
          <w:iCs/>
        </w:rPr>
        <w:t xml:space="preserve">Op. cit. </w:t>
      </w:r>
    </w:p>
  </w:footnote>
  <w:footnote w:id="202">
    <w:p w14:paraId="5AD8FE13" w14:textId="77777777" w:rsidR="00DE3AC9" w:rsidRPr="00831228" w:rsidRDefault="00DE3AC9" w:rsidP="005C7BEE">
      <w:pPr>
        <w:pStyle w:val="FootnoteText"/>
      </w:pPr>
      <w:r>
        <w:rPr>
          <w:rStyle w:val="FootnoteReference"/>
        </w:rPr>
        <w:footnoteRef/>
      </w:r>
      <w:r w:rsidRPr="002C5A83">
        <w:t xml:space="preserve"> </w:t>
      </w:r>
      <w:r>
        <w:fldChar w:fldCharType="begin"/>
      </w:r>
      <w:r w:rsidRPr="002C5A83">
        <w:instrText xml:space="preserve"> ADDIN EN.CITE &lt;EndNote&gt;&lt;Cite&gt;&lt;Author&gt;Beurier&lt;/Author&gt;&lt;Year&gt;2008&lt;/Year&gt;&lt;RecNum&gt;68&lt;/RecNum&gt;&lt;DisplayText&gt;Joëlle Beurier, &amp;apos;Information, censorship or propaganda? The illustrated French press in the First World War&amp;apos;, in: &lt;style face="italic"&gt;Untold War: new perspectives in First World War studies, &lt;/style&gt;ed. by Heather Jones, Jennifer O&amp;apos;Brien, and Christoph Schmidt-Supprian (Boston, 2008),&lt;/DisplayText&gt;&lt;record&gt;&lt;rec-number&gt;68&lt;/rec-number&gt;&lt;foreign-keys&gt;&lt;key app="EN" db-id="2f5rvwawcsv2woetvw35fzwbdvvswerd0err"&gt;68&lt;/key&gt;&lt;/foreign-keys&gt;&lt;ref-type name="Book Section"&gt;5&lt;/ref-type&gt;&lt;contributors&gt;&lt;authors&gt;&lt;author&gt;Beurier, Joëlle&lt;/author&gt;&lt;/authors&gt;&lt;secondary-authors&gt;&lt;author&gt;Heather Jones&lt;/author&gt;&lt;author&gt;Jennifer O&amp;apos;Brien&lt;/author&gt;&lt;author&gt;Christoph Schmidt-Supprian&lt;/author&gt;&lt;/secondary-authors&gt;&lt;/contributors&gt;&lt;titles&gt;&lt;title&gt;Information, censorship or propaganda? The illustrated French press in the First World War&lt;/title&gt;&lt;secondary-title&gt;Untold War: new perspectives in First World War studies&lt;/secondary-title&gt;&lt;short-title&gt;Information&lt;/short-title&gt;&lt;/titles&gt;&lt;dates&gt;&lt;year&gt;2008&lt;/year&gt;&lt;/dates&gt;&lt;pub-location&gt;Boston&lt;/pub-location&gt;&lt;urls&gt;&lt;/urls&gt;&lt;/record&gt;&lt;/Cite&gt;&lt;/EndNote&gt;</w:instrText>
      </w:r>
      <w:r>
        <w:fldChar w:fldCharType="separate"/>
      </w:r>
      <w:r w:rsidRPr="002C5A83">
        <w:rPr>
          <w:noProof/>
        </w:rPr>
        <w:t xml:space="preserve">Joëlle Beurier, 'Information, censorship or propaganda? </w:t>
      </w:r>
      <w:r w:rsidRPr="00374CF4">
        <w:rPr>
          <w:noProof/>
        </w:rPr>
        <w:t xml:space="preserve">The illustrated French press in the First World War', in: </w:t>
      </w:r>
      <w:r w:rsidRPr="00374CF4">
        <w:rPr>
          <w:i/>
          <w:noProof/>
        </w:rPr>
        <w:t xml:space="preserve">Untold War: new perspectives in First World War studies, </w:t>
      </w:r>
      <w:r w:rsidRPr="00374CF4">
        <w:rPr>
          <w:noProof/>
        </w:rPr>
        <w:t>ed. by Heather Jones, Jennifer O'Brien, and Christoph Schmidt-Supprian (Boston, 2008),</w:t>
      </w:r>
      <w:r>
        <w:fldChar w:fldCharType="end"/>
      </w:r>
      <w:r>
        <w:t xml:space="preserve"> pp. 321-322.</w:t>
      </w:r>
    </w:p>
  </w:footnote>
  <w:footnote w:id="203">
    <w:p w14:paraId="51980B2C" w14:textId="77777777" w:rsidR="00DE3AC9" w:rsidRPr="00831228" w:rsidRDefault="00DE3AC9" w:rsidP="005C7BEE">
      <w:pPr>
        <w:pStyle w:val="FootnoteText"/>
      </w:pPr>
      <w:r>
        <w:rPr>
          <w:rStyle w:val="FootnoteReference"/>
        </w:rPr>
        <w:footnoteRef/>
      </w:r>
      <w:r>
        <w:t xml:space="preserve"> </w:t>
      </w:r>
      <w:r>
        <w:fldChar w:fldCharType="begin"/>
      </w:r>
      <w:r>
        <w:instrText xml:space="preserve"> ADDIN EN.CITE &lt;EndNote&gt;&lt;Cite&gt;&lt;Author&gt;Jones&lt;/Author&gt;&lt;Year&gt;2011&lt;/Year&gt;&lt;RecNum&gt;69&lt;/RecNum&gt;&lt;DisplayText&gt;Heather Jones, &lt;style face="italic"&gt;Violence against prisoners of war in the First World War: Britain, France and Germany, 1914-1920&lt;/style&gt;, (Cambridge, 2011)&lt;/DisplayText&gt;&lt;record&gt;&lt;rec-number&gt;69&lt;/rec-number&gt;&lt;foreign-keys&gt;&lt;key app="EN" db-id="2f5rvwawcsv2woetvw35fzwbdvvswerd0err"&gt;69&lt;/key&gt;&lt;/foreign-keys&gt;&lt;ref-type name="Book"&gt;6&lt;/ref-type&gt;&lt;contributors&gt;&lt;authors&gt;&lt;author&gt;Jones, Heather&lt;/author&gt;&lt;/authors&gt;&lt;/contributors&gt;&lt;titles&gt;&lt;title&gt;Violence against prisoners of war in the First World War: Britain, France and Germany, 1914-1920&lt;/title&gt;&lt;short-title&gt;Violence&lt;/short-title&gt;&lt;/titles&gt;&lt;dates&gt;&lt;year&gt;2011&lt;/year&gt;&lt;/dates&gt;&lt;pub-location&gt;Cambridge&lt;/pub-location&gt;&lt;urls&gt;&lt;/urls&gt;&lt;/record&gt;&lt;/Cite&gt;&lt;/EndNote&gt;</w:instrText>
      </w:r>
      <w:r>
        <w:fldChar w:fldCharType="separate"/>
      </w:r>
      <w:r>
        <w:rPr>
          <w:noProof/>
        </w:rPr>
        <w:t xml:space="preserve">Heather Jones, </w:t>
      </w:r>
      <w:r w:rsidRPr="005C7BEE">
        <w:rPr>
          <w:i/>
          <w:noProof/>
        </w:rPr>
        <w:t>Violence against prisoners of war in the First World War: Britain, France and Germany, 1914-1920</w:t>
      </w:r>
      <w:r>
        <w:rPr>
          <w:noProof/>
        </w:rPr>
        <w:t>, (Cambridge, 2011)</w:t>
      </w:r>
      <w:r>
        <w:fldChar w:fldCharType="end"/>
      </w:r>
      <w:r>
        <w:t>.</w:t>
      </w:r>
    </w:p>
  </w:footnote>
  <w:footnote w:id="204">
    <w:p w14:paraId="50F182E1" w14:textId="77777777" w:rsidR="00DE3AC9" w:rsidRPr="00831228" w:rsidRDefault="00DE3AC9" w:rsidP="0048510E">
      <w:pPr>
        <w:pStyle w:val="FootnoteText"/>
      </w:pPr>
      <w:r>
        <w:rPr>
          <w:rStyle w:val="FootnoteReference"/>
        </w:rPr>
        <w:footnoteRef/>
      </w:r>
      <w:r>
        <w:t xml:space="preserve"> </w:t>
      </w:r>
      <w:r w:rsidRPr="00831228">
        <w:t xml:space="preserve">See the chapters </w:t>
      </w:r>
      <w:r>
        <w:t>four to six</w:t>
      </w:r>
      <w:r w:rsidRPr="00831228">
        <w:t xml:space="preserve"> for more information.</w:t>
      </w:r>
    </w:p>
  </w:footnote>
  <w:footnote w:id="205">
    <w:p w14:paraId="5C36E128" w14:textId="77777777" w:rsidR="00DE3AC9" w:rsidRPr="0052325E" w:rsidRDefault="00DE3AC9" w:rsidP="0048510E">
      <w:pPr>
        <w:pStyle w:val="FootnoteText"/>
        <w:rPr>
          <w:lang w:val="fr-FR"/>
        </w:rPr>
      </w:pPr>
      <w:r>
        <w:rPr>
          <w:rStyle w:val="FootnoteReference"/>
        </w:rPr>
        <w:footnoteRef/>
      </w:r>
      <w:r w:rsidRPr="00831228">
        <w:rPr>
          <w:lang w:val="fr-FR"/>
        </w:rPr>
        <w:t xml:space="preserve"> </w:t>
      </w:r>
      <w:r>
        <w:fldChar w:fldCharType="begin"/>
      </w:r>
      <w:r>
        <w:rPr>
          <w:lang w:val="fr-FR"/>
        </w:rPr>
        <w:instrText xml:space="preserve"> ADDIN EN.CITE &lt;EndNote&gt;&lt;Cite&gt;&lt;Author&gt;Guinard&lt;/Author&gt;&lt;Year&gt;1975&lt;/Year&gt;&lt;RecNum&gt;70&lt;/RecNum&gt;&lt;DisplayText&gt;Pierre Guinard, Jean-Claude Devos, and Jean Nicot, &lt;style face="italic"&gt;Inventaire sommaire des archives de la guerre: série N 1872-1919&lt;/style&gt;, (Troyes, 1975)&lt;/DisplayText&gt;&lt;record&gt;&lt;rec-number&gt;70&lt;/rec-number&gt;&lt;foreign-keys&gt;&lt;key app="EN" db-id="2f5rvwawcsv2woetvw35fzwbdvvswerd0err"&gt;70&lt;/key&gt;&lt;/foreign-keys&gt;&lt;ref-type name="Book"&gt;6&lt;/ref-type&gt;&lt;contributors&gt;&lt;authors&gt;&lt;author&gt;Guinard, Pierre&lt;/author&gt;&lt;author&gt;Devos, Jean-Claude&lt;/author&gt;&lt;author&gt;Nicot, Jean&lt;/author&gt;&lt;/authors&gt;&lt;/contributors&gt;&lt;titles&gt;&lt;title&gt;Inventaire sommaire des archives de la guerre: série N 1872-1919&lt;/title&gt;&lt;short-title&gt;Inventaire&lt;/short-title&gt;&lt;/titles&gt;&lt;dates&gt;&lt;year&gt;1975&lt;/year&gt;&lt;/dates&gt;&lt;pub-location&gt;Troyes&lt;/pub-location&gt;&lt;urls&gt;&lt;/urls&gt;&lt;/record&gt;&lt;/Cite&gt;&lt;/EndNote&gt;</w:instrText>
      </w:r>
      <w:r>
        <w:fldChar w:fldCharType="separate"/>
      </w:r>
      <w:r w:rsidRPr="00AD3467">
        <w:rPr>
          <w:noProof/>
          <w:lang w:val="fr-FR"/>
        </w:rPr>
        <w:t xml:space="preserve">Pierre Guinard, Jean-Claude Devos, and Jean Nicot, </w:t>
      </w:r>
      <w:r w:rsidRPr="00AD3467">
        <w:rPr>
          <w:i/>
          <w:noProof/>
          <w:lang w:val="fr-FR"/>
        </w:rPr>
        <w:t>Inventaire sommaire des archives de la guerre: série N 1872-1919</w:t>
      </w:r>
      <w:r w:rsidRPr="00AD3467">
        <w:rPr>
          <w:noProof/>
          <w:lang w:val="fr-FR"/>
        </w:rPr>
        <w:t>, (Troyes, 1975)</w:t>
      </w:r>
      <w:r>
        <w:fldChar w:fldCharType="end"/>
      </w:r>
      <w:r w:rsidRPr="00831228">
        <w:rPr>
          <w:lang w:val="fr-FR"/>
        </w:rPr>
        <w:t xml:space="preserve">, p. 70 and </w:t>
      </w:r>
      <w:r>
        <w:fldChar w:fldCharType="begin"/>
      </w:r>
      <w:r>
        <w:rPr>
          <w:lang w:val="fr-FR"/>
        </w:rPr>
        <w:instrText xml:space="preserve"> ADDIN EN.CITE &lt;EndNote&gt;&lt;Cite&gt;&lt;Author&gt;Ladoux&lt;/Author&gt;&lt;Year&gt;1932&lt;/Year&gt;&lt;RecNum&gt;71&lt;/RecNum&gt;&lt;DisplayText&gt;Georges Ladoux, &lt;style face="italic"&gt;Les chasseurs d&amp;apos;espions&lt;/style&gt;, (Paris, 1932)&lt;/DisplayText&gt;&lt;record&gt;&lt;rec-number&gt;71&lt;/rec-number&gt;&lt;foreign-keys&gt;&lt;key app="EN" db-id="2f5rvwawcsv2woetvw35fzwbdvvswerd0err"&gt;71&lt;/key&gt;&lt;/foreign-keys&gt;&lt;ref-type name="Book"&gt;6&lt;/ref-type&gt;&lt;contributors&gt;&lt;authors&gt;&lt;author&gt;Ladoux, Georges&lt;/author&gt;&lt;/authors&gt;&lt;/contributors&gt;&lt;titles&gt;&lt;title&gt;Les chasseurs d&amp;apos;espions&lt;/title&gt;&lt;short-title&gt;Les chasseurs&lt;/short-title&gt;&lt;/titles&gt;&lt;dates&gt;&lt;year&gt;1932&lt;/year&gt;&lt;/dates&gt;&lt;pub-location&gt;Paris&lt;/pub-location&gt;&lt;urls&gt;&lt;/urls&gt;&lt;/record&gt;&lt;/Cite&gt;&lt;/EndNote&gt;</w:instrText>
      </w:r>
      <w:r>
        <w:fldChar w:fldCharType="separate"/>
      </w:r>
      <w:r w:rsidRPr="00AD3467">
        <w:rPr>
          <w:noProof/>
          <w:lang w:val="fr-FR"/>
        </w:rPr>
        <w:t xml:space="preserve">Georges Ladoux, </w:t>
      </w:r>
      <w:r w:rsidRPr="00AD3467">
        <w:rPr>
          <w:i/>
          <w:noProof/>
          <w:lang w:val="fr-FR"/>
        </w:rPr>
        <w:t>Les chasseurs d'espions</w:t>
      </w:r>
      <w:r w:rsidRPr="00AD3467">
        <w:rPr>
          <w:noProof/>
          <w:lang w:val="fr-FR"/>
        </w:rPr>
        <w:t>, (Paris, 1932)</w:t>
      </w:r>
      <w:r>
        <w:fldChar w:fldCharType="end"/>
      </w:r>
      <w:r w:rsidRPr="00831228">
        <w:rPr>
          <w:lang w:val="fr-FR"/>
        </w:rPr>
        <w:t>, p. 197.</w:t>
      </w:r>
    </w:p>
  </w:footnote>
  <w:footnote w:id="206">
    <w:p w14:paraId="40689931" w14:textId="77777777" w:rsidR="00DE3AC9" w:rsidRPr="00C13AC2" w:rsidRDefault="00DE3AC9" w:rsidP="0048510E">
      <w:pPr>
        <w:pStyle w:val="FootnoteText"/>
      </w:pPr>
      <w:r>
        <w:rPr>
          <w:rStyle w:val="FootnoteReference"/>
        </w:rPr>
        <w:footnoteRef/>
      </w:r>
      <w:r w:rsidRPr="008C02D4">
        <w:rPr>
          <w:lang w:val="fr-FR"/>
        </w:rPr>
        <w:t xml:space="preserve"> </w:t>
      </w:r>
      <w:r>
        <w:rPr>
          <w:lang w:val="fr-FR"/>
        </w:rPr>
        <w:fldChar w:fldCharType="begin"/>
      </w:r>
      <w:r>
        <w:rPr>
          <w:lang w:val="fr-FR"/>
        </w:rPr>
        <w:instrText xml:space="preserve"> ADDIN EN.CITE &lt;EndNote&gt;&lt;Cite&gt;&lt;Author&gt;Amara&lt;/Author&gt;&lt;Year&gt;2012&lt;/Year&gt;&lt;RecNum&gt;149&lt;/RecNum&gt;&lt;DisplayText&gt;Amara, &lt;style face="italic"&gt;Les grands défis&lt;/style&gt;&lt;/DisplayText&gt;&lt;record&gt;&lt;rec-number&gt;149&lt;/rec-number&gt;&lt;foreign-keys&gt;&lt;key app="EN" db-id="2f5rvwawcsv2woetvw35fzwbdvvswerd0err"&gt;149&lt;/key&gt;&lt;/foreign-keys&gt;&lt;ref-type name="Book Section"&gt;5&lt;/ref-type&gt;&lt;contributors&gt;&lt;authors&gt;&lt;author&gt;Amara, Michael&lt;/author&gt;&lt;/authors&gt;&lt;secondary-authors&gt;&lt;author&gt;B. Rochet &lt;/author&gt;&lt;author&gt;A. Tixhon&lt;/author&gt;&lt;/secondary-authors&gt;&lt;/contributors&gt;&lt;titles&gt;&lt;title&gt;Les grands défis de la propagande belge durant la Première Guerre Mondiale&lt;/title&gt;&lt;secondary-title&gt;La petite Belgique dans la Grande Guerre: une icône, des images&lt;/secondary-title&gt;&lt;short-title&gt;Les grands défis&lt;/short-title&gt;&lt;/titles&gt;&lt;dates&gt;&lt;year&gt;2012&lt;/year&gt;&lt;/dates&gt;&lt;pub-location&gt;Namur&lt;/pub-location&gt;&lt;urls&gt;&lt;/urls&gt;&lt;/record&gt;&lt;/Cite&gt;&lt;/EndNote&gt;</w:instrText>
      </w:r>
      <w:r>
        <w:rPr>
          <w:lang w:val="fr-FR"/>
        </w:rPr>
        <w:fldChar w:fldCharType="separate"/>
      </w:r>
      <w:r>
        <w:rPr>
          <w:noProof/>
          <w:lang w:val="fr-FR"/>
        </w:rPr>
        <w:t xml:space="preserve">Amara, </w:t>
      </w:r>
      <w:r w:rsidRPr="00AD3467">
        <w:rPr>
          <w:i/>
          <w:noProof/>
          <w:lang w:val="fr-FR"/>
        </w:rPr>
        <w:t>Les grands défis</w:t>
      </w:r>
      <w:r>
        <w:rPr>
          <w:lang w:val="fr-FR"/>
        </w:rPr>
        <w:fldChar w:fldCharType="end"/>
      </w:r>
      <w:r w:rsidRPr="008C02D4">
        <w:rPr>
          <w:lang w:val="fr-FR"/>
        </w:rPr>
        <w:t xml:space="preserve">, p. 24 and ASPF AEB: B. 345. </w:t>
      </w:r>
      <w:r>
        <w:t>Various reports between the war minister, the Foreign Office and the BDB. 1915-1917.</w:t>
      </w:r>
    </w:p>
  </w:footnote>
  <w:footnote w:id="207">
    <w:p w14:paraId="07C9C897" w14:textId="77777777" w:rsidR="00DE3AC9" w:rsidRPr="006E05B0" w:rsidRDefault="00DE3AC9" w:rsidP="0048510E">
      <w:pPr>
        <w:pStyle w:val="FootnoteText"/>
        <w:rPr>
          <w:lang w:val="fr-FR"/>
        </w:rPr>
      </w:pPr>
      <w:r>
        <w:rPr>
          <w:rStyle w:val="FootnoteReference"/>
        </w:rPr>
        <w:footnoteRef/>
      </w:r>
      <w:r>
        <w:t xml:space="preserve"> Charles de Broqueville (1860-1940) was the leader of the catholic party and served as prime minister from 1911 to 1918. Maurice des Ombriaux (1868-1943) was a pre-war writer and the leader of Broqueville’s cabinet during the conflict. He was involved in other propaganda operations such as </w:t>
      </w:r>
      <w:r>
        <w:rPr>
          <w:i/>
          <w:iCs/>
        </w:rPr>
        <w:t>La Revue Belge</w:t>
      </w:r>
      <w:r>
        <w:t xml:space="preserve">. </w:t>
      </w:r>
      <w:r>
        <w:fldChar w:fldCharType="begin"/>
      </w:r>
      <w:r>
        <w:instrText xml:space="preserve"> ADDIN EN.CITE &lt;EndNote&gt;&lt;Cite&gt;&lt;Author&gt;Denoël&lt;/Author&gt;&lt;Year&gt;1992&lt;/Year&gt;&lt;RecNum&gt;72&lt;/RecNum&gt;&lt;DisplayText&gt;Thierry Denoël, &lt;style face="italic"&gt;Le nouveau dictionnaire des Belges&lt;/style&gt;, (Brussels, 1992)&lt;/DisplayText&gt;&lt;record&gt;&lt;rec-number&gt;72&lt;/rec-number&gt;&lt;foreign-keys&gt;&lt;key app="EN" db-id="2f5rvwawcsv2woetvw35fzwbdvvswerd0err"&gt;72&lt;/key&gt;&lt;/foreign-keys&gt;&lt;ref-type name="Book"&gt;6&lt;/ref-type&gt;&lt;contributors&gt;&lt;authors&gt;&lt;author&gt;Denoël, Thierry&lt;/author&gt;&lt;/authors&gt;&lt;/contributors&gt;&lt;titles&gt;&lt;title&gt;Le nouveau dictionnaire des Belges&lt;/title&gt;&lt;short-title&gt;Le nouveau dictionnaire&lt;/short-title&gt;&lt;/titles&gt;&lt;dates&gt;&lt;year&gt;1992&lt;/year&gt;&lt;/dates&gt;&lt;pub-location&gt;Brussels&lt;/pub-location&gt;&lt;urls&gt;&lt;/urls&gt;&lt;/record&gt;&lt;/Cite&gt;&lt;/EndNote&gt;</w:instrText>
      </w:r>
      <w:r>
        <w:fldChar w:fldCharType="separate"/>
      </w:r>
      <w:r w:rsidRPr="00AD3467">
        <w:rPr>
          <w:noProof/>
          <w:lang w:val="fr-FR"/>
        </w:rPr>
        <w:t xml:space="preserve">Thierry Denoël, </w:t>
      </w:r>
      <w:r w:rsidRPr="00AD3467">
        <w:rPr>
          <w:i/>
          <w:noProof/>
          <w:lang w:val="fr-FR"/>
        </w:rPr>
        <w:t>Le nouveau dictionnaire des Belges</w:t>
      </w:r>
      <w:r w:rsidRPr="00AD3467">
        <w:rPr>
          <w:noProof/>
          <w:lang w:val="fr-FR"/>
        </w:rPr>
        <w:t>, (Brussels, 1992)</w:t>
      </w:r>
      <w:r>
        <w:fldChar w:fldCharType="end"/>
      </w:r>
      <w:r w:rsidRPr="006E05B0">
        <w:rPr>
          <w:lang w:val="fr-FR"/>
        </w:rPr>
        <w:t>, pp. 234-235.</w:t>
      </w:r>
    </w:p>
  </w:footnote>
  <w:footnote w:id="208">
    <w:p w14:paraId="63210FE3" w14:textId="77777777" w:rsidR="00DE3AC9" w:rsidRPr="00950222" w:rsidRDefault="00DE3AC9" w:rsidP="0048510E">
      <w:pPr>
        <w:pStyle w:val="FootnoteText"/>
        <w:rPr>
          <w:lang w:val="fr-FR"/>
        </w:rPr>
      </w:pPr>
      <w:r>
        <w:rPr>
          <w:rStyle w:val="FootnoteReference"/>
        </w:rPr>
        <w:footnoteRef/>
      </w:r>
      <w:r w:rsidRPr="00950222">
        <w:rPr>
          <w:lang w:val="fr-FR"/>
        </w:rPr>
        <w:t xml:space="preserve"> </w:t>
      </w:r>
      <w:r>
        <w:fldChar w:fldCharType="begin"/>
      </w:r>
      <w:r>
        <w:rPr>
          <w:lang w:val="fr-FR"/>
        </w:rP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AD3467">
        <w:rPr>
          <w:noProof/>
          <w:lang w:val="fr-FR"/>
        </w:rPr>
        <w:t xml:space="preserve">Taylor, </w:t>
      </w:r>
      <w:r w:rsidRPr="00AD3467">
        <w:rPr>
          <w:i/>
          <w:noProof/>
          <w:lang w:val="fr-FR"/>
        </w:rPr>
        <w:t>Munitions</w:t>
      </w:r>
      <w:r>
        <w:fldChar w:fldCharType="end"/>
      </w:r>
      <w:r w:rsidRPr="00950222">
        <w:rPr>
          <w:lang w:val="fr-FR"/>
        </w:rPr>
        <w:t>, pp. 178-179.</w:t>
      </w:r>
    </w:p>
  </w:footnote>
  <w:footnote w:id="209">
    <w:p w14:paraId="066B58CD" w14:textId="77777777" w:rsidR="00DE3AC9" w:rsidRPr="00952F07" w:rsidRDefault="00DE3AC9" w:rsidP="0048510E">
      <w:pPr>
        <w:pStyle w:val="FootnoteText"/>
      </w:pPr>
      <w:r>
        <w:rPr>
          <w:rStyle w:val="FootnoteReference"/>
        </w:rPr>
        <w:footnoteRef/>
      </w:r>
      <w:r>
        <w:t xml:space="preserve"> </w:t>
      </w:r>
      <w:r>
        <w:fldChar w:fldCharType="begin"/>
      </w:r>
      <w: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Pr>
          <w:noProof/>
        </w:rPr>
        <w:t xml:space="preserve">Occleshaw, </w:t>
      </w:r>
      <w:r w:rsidRPr="00CA7435">
        <w:rPr>
          <w:i/>
          <w:noProof/>
        </w:rPr>
        <w:t>Armour</w:t>
      </w:r>
      <w:r>
        <w:fldChar w:fldCharType="end"/>
      </w:r>
      <w:r>
        <w:t xml:space="preserve">, pp. 202-203 and </w:t>
      </w:r>
      <w:r>
        <w:fldChar w:fldCharType="begin"/>
      </w:r>
      <w:r>
        <w:instrText xml:space="preserve"> ADDIN EN.CITE &lt;EndNote&gt;&lt;Cite&gt;&lt;Author&gt;Reeves&lt;/Author&gt;&lt;Year&gt;1986&lt;/Year&gt;&lt;RecNum&gt;74&lt;/RecNum&gt;&lt;DisplayText&gt;Nicholas Reeves, &lt;style face="italic"&gt;Official British film propaganda during the First World War&lt;/style&gt;, (Great Britain, 1986)&lt;/DisplayText&gt;&lt;record&gt;&lt;rec-number&gt;74&lt;/rec-number&gt;&lt;foreign-keys&gt;&lt;key app="EN" db-id="2f5rvwawcsv2woetvw35fzwbdvvswerd0err"&gt;74&lt;/key&gt;&lt;/foreign-keys&gt;&lt;ref-type name="Book"&gt;6&lt;/ref-type&gt;&lt;contributors&gt;&lt;authors&gt;&lt;author&gt;Reeves, Nicholas&lt;/author&gt;&lt;/authors&gt;&lt;/contributors&gt;&lt;titles&gt;&lt;title&gt;Official British film propaganda during the First World War&lt;/title&gt;&lt;short-title&gt;Official British&lt;/short-title&gt;&lt;/titles&gt;&lt;dates&gt;&lt;year&gt;1986&lt;/year&gt;&lt;/dates&gt;&lt;pub-location&gt;Great Britain&lt;/pub-location&gt;&lt;urls&gt;&lt;/urls&gt;&lt;/record&gt;&lt;/Cite&gt;&lt;/EndNote&gt;</w:instrText>
      </w:r>
      <w:r>
        <w:fldChar w:fldCharType="separate"/>
      </w:r>
      <w:r>
        <w:rPr>
          <w:noProof/>
        </w:rPr>
        <w:t xml:space="preserve">Nicholas Reeves, </w:t>
      </w:r>
      <w:r w:rsidRPr="00AD3467">
        <w:rPr>
          <w:i/>
          <w:noProof/>
        </w:rPr>
        <w:t>Official British film propaganda during the First World War</w:t>
      </w:r>
      <w:r>
        <w:rPr>
          <w:noProof/>
        </w:rPr>
        <w:t>, (Great Britain, 1986)</w:t>
      </w:r>
      <w:r>
        <w:fldChar w:fldCharType="end"/>
      </w:r>
      <w:r>
        <w:t xml:space="preserve">, p. 16. The actions of Crewe House were advertised, and exaggerated, in a post-war book called </w:t>
      </w:r>
      <w:r>
        <w:fldChar w:fldCharType="begin"/>
      </w:r>
      <w:r>
        <w:instrText xml:space="preserve"> ADDIN EN.CITE &lt;EndNote&gt;&lt;Cite&gt;&lt;Author&gt;Stuart-Campbell&lt;/Author&gt;&lt;Year&gt;1920&lt;/Year&gt;&lt;RecNum&gt;75&lt;/RecNum&gt;&lt;DisplayText&gt;Basil Stuart-Campbell, &lt;style face="italic"&gt;Secrets of Crewe House&lt;/style&gt;, (London, 1920)&lt;/DisplayText&gt;&lt;record&gt;&lt;rec-number&gt;75&lt;/rec-number&gt;&lt;foreign-keys&gt;&lt;key app="EN" db-id="2f5rvwawcsv2woetvw35fzwbdvvswerd0err"&gt;75&lt;/key&gt;&lt;/foreign-keys&gt;&lt;ref-type name="Book"&gt;6&lt;/ref-type&gt;&lt;contributors&gt;&lt;authors&gt;&lt;author&gt;Stuart-Campbell, Basil&lt;/author&gt;&lt;/authors&gt;&lt;/contributors&gt;&lt;titles&gt;&lt;title&gt;Secrets of Crewe House&lt;/title&gt;&lt;short-title&gt;Secrets&lt;/short-title&gt;&lt;/titles&gt;&lt;dates&gt;&lt;year&gt;1920&lt;/year&gt;&lt;/dates&gt;&lt;pub-location&gt;London&lt;/pub-location&gt;&lt;urls&gt;&lt;/urls&gt;&lt;/record&gt;&lt;/Cite&gt;&lt;/EndNote&gt;</w:instrText>
      </w:r>
      <w:r>
        <w:fldChar w:fldCharType="separate"/>
      </w:r>
      <w:r>
        <w:rPr>
          <w:noProof/>
        </w:rPr>
        <w:t xml:space="preserve">Basil Stuart-Campbell, </w:t>
      </w:r>
      <w:r w:rsidRPr="00AD3467">
        <w:rPr>
          <w:i/>
          <w:noProof/>
        </w:rPr>
        <w:t>Secrets of Crewe House</w:t>
      </w:r>
      <w:r>
        <w:rPr>
          <w:noProof/>
        </w:rPr>
        <w:t>, (London, 1920)</w:t>
      </w:r>
      <w:r>
        <w:fldChar w:fldCharType="end"/>
      </w:r>
      <w:r>
        <w:t>.</w:t>
      </w:r>
    </w:p>
  </w:footnote>
  <w:footnote w:id="210">
    <w:p w14:paraId="5F3A6213" w14:textId="408EFB68" w:rsidR="00DE3AC9" w:rsidRPr="00DE3AC9" w:rsidRDefault="00DE3AC9" w:rsidP="00DE3AC9">
      <w:pPr>
        <w:pStyle w:val="FootnoteText"/>
      </w:pPr>
      <w:r>
        <w:rPr>
          <w:rStyle w:val="FootnoteReference"/>
        </w:rPr>
        <w:footnoteRef/>
      </w:r>
      <w:r w:rsidRPr="00DE3AC9">
        <w:t xml:space="preserve"> </w:t>
      </w:r>
      <w:r>
        <w:t xml:space="preserve">Crewe House was a British </w:t>
      </w:r>
      <w:r w:rsidRPr="00DE3AC9">
        <w:t xml:space="preserve">propaganda department </w:t>
      </w:r>
      <w:r>
        <w:t xml:space="preserve">working for the Ministry of Information. </w:t>
      </w:r>
      <w:r>
        <w:fldChar w:fldCharType="begin"/>
      </w:r>
      <w:r w:rsidRPr="00DE3AC9">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sidRPr="00DE3AC9">
        <w:rPr>
          <w:noProof/>
        </w:rPr>
        <w:t xml:space="preserve">Occleshaw, </w:t>
      </w:r>
      <w:r w:rsidRPr="00DE3AC9">
        <w:rPr>
          <w:i/>
          <w:noProof/>
        </w:rPr>
        <w:t>Armour</w:t>
      </w:r>
      <w:r>
        <w:fldChar w:fldCharType="end"/>
      </w:r>
      <w:r w:rsidRPr="00DE3AC9">
        <w:t>, p. 303.</w:t>
      </w:r>
    </w:p>
  </w:footnote>
  <w:footnote w:id="211">
    <w:p w14:paraId="5DD1562E" w14:textId="77777777" w:rsidR="00DE3AC9" w:rsidRPr="001C5F38" w:rsidRDefault="00DE3AC9" w:rsidP="0048510E">
      <w:pPr>
        <w:pStyle w:val="FootnoteText"/>
      </w:pPr>
      <w:r>
        <w:rPr>
          <w:rStyle w:val="FootnoteReference"/>
        </w:rPr>
        <w:footnoteRef/>
      </w:r>
      <w:r w:rsidRPr="00191B96">
        <w:rPr>
          <w:lang w:val="fr-FR"/>
        </w:rPr>
        <w:t xml:space="preserve"> </w:t>
      </w:r>
      <w:r>
        <w:fldChar w:fldCharType="begin"/>
      </w:r>
      <w:r>
        <w:rPr>
          <w:lang w:val="fr-FR"/>
        </w:rPr>
        <w:instrText xml:space="preserve"> ADDIN EN.CITE &lt;EndNote&gt;&lt;Cite&gt;&lt;Author&gt;Davignon&lt;/Author&gt;&lt;Year&gt;1954&lt;/Year&gt;&lt;RecNum&gt;76&lt;/RecNum&gt;&lt;DisplayText&gt;Henri Davignon, &lt;style face="italic"&gt;Souvenirs d&amp;apos;un écrivain belge&lt;/style&gt;, (Paris, 1954)&lt;/DisplayText&gt;&lt;record&gt;&lt;rec-number&gt;76&lt;/rec-number&gt;&lt;foreign-keys&gt;&lt;key app="EN" db-id="2f5rvwawcsv2woetvw35fzwbdvvswerd0err"&gt;76&lt;/key&gt;&lt;/foreign-keys&gt;&lt;ref-type name="Book"&gt;6&lt;/ref-type&gt;&lt;contributors&gt;&lt;authors&gt;&lt;author&gt;Davignon, Henri&lt;/author&gt;&lt;/authors&gt;&lt;/contributors&gt;&lt;titles&gt;&lt;title&gt;Souvenirs d&amp;apos;un écrivain belge&lt;/title&gt;&lt;short-title&gt;Souvenirs&lt;/short-title&gt;&lt;/titles&gt;&lt;dates&gt;&lt;year&gt;1954&lt;/year&gt;&lt;/dates&gt;&lt;pub-location&gt;Paris&lt;/pub-location&gt;&lt;urls&gt;&lt;/urls&gt;&lt;/record&gt;&lt;/Cite&gt;&lt;/EndNote&gt;</w:instrText>
      </w:r>
      <w:r>
        <w:fldChar w:fldCharType="separate"/>
      </w:r>
      <w:r w:rsidRPr="00AD3467">
        <w:rPr>
          <w:noProof/>
          <w:lang w:val="fr-FR"/>
        </w:rPr>
        <w:t xml:space="preserve">Henri Davignon, </w:t>
      </w:r>
      <w:r w:rsidRPr="00AD3467">
        <w:rPr>
          <w:i/>
          <w:noProof/>
          <w:lang w:val="fr-FR"/>
        </w:rPr>
        <w:t>Souvenirs d'un écrivain belge</w:t>
      </w:r>
      <w:r w:rsidRPr="00AD3467">
        <w:rPr>
          <w:noProof/>
          <w:lang w:val="fr-FR"/>
        </w:rPr>
        <w:t>, (Paris, 1954)</w:t>
      </w:r>
      <w:r>
        <w:fldChar w:fldCharType="end"/>
      </w:r>
      <w:r w:rsidRPr="00191B96">
        <w:rPr>
          <w:lang w:val="fr-FR"/>
        </w:rPr>
        <w:t xml:space="preserve">, p. 243. </w:t>
      </w:r>
      <w:r>
        <w:rPr>
          <w:lang w:val="cy-GB"/>
        </w:rPr>
        <w:t xml:space="preserve">Henri Davignon (1879-1964) was a writer concerned with literary history, national issues and psychology. </w:t>
      </w:r>
      <w:r>
        <w:rPr>
          <w:lang w:val="cy-GB"/>
        </w:rPr>
        <w:fldChar w:fldCharType="begin"/>
      </w:r>
      <w:r>
        <w:rPr>
          <w:lang w:val="cy-GB"/>
        </w:rPr>
        <w:instrText xml:space="preserve"> ADDIN EN.CITE &lt;EndNote&gt;&lt;Cite&gt;&lt;Author&gt;Denoël&lt;/Author&gt;&lt;Year&gt;1992&lt;/Year&gt;&lt;RecNum&gt;72&lt;/RecNum&gt;&lt;DisplayText&gt;Denoël, &lt;style face="italic"&gt;Le nouveau dictionnaire&lt;/style&gt;&lt;/DisplayText&gt;&lt;record&gt;&lt;rec-number&gt;72&lt;/rec-number&gt;&lt;foreign-keys&gt;&lt;key app="EN" db-id="2f5rvwawcsv2woetvw35fzwbdvvswerd0err"&gt;72&lt;/key&gt;&lt;/foreign-keys&gt;&lt;ref-type name="Book"&gt;6&lt;/ref-type&gt;&lt;contributors&gt;&lt;authors&gt;&lt;author&gt;Denoël, Thierry&lt;/author&gt;&lt;/authors&gt;&lt;/contributors&gt;&lt;titles&gt;&lt;title&gt;Le nouveau dictionnaire des Belges&lt;/title&gt;&lt;short-title&gt;Le nouveau dictionnaire&lt;/short-title&gt;&lt;/titles&gt;&lt;dates&gt;&lt;year&gt;1992&lt;/year&gt;&lt;/dates&gt;&lt;pub-location&gt;Brussels&lt;/pub-location&gt;&lt;urls&gt;&lt;/urls&gt;&lt;/record&gt;&lt;/Cite&gt;&lt;/EndNote&gt;</w:instrText>
      </w:r>
      <w:r>
        <w:rPr>
          <w:lang w:val="cy-GB"/>
        </w:rPr>
        <w:fldChar w:fldCharType="separate"/>
      </w:r>
      <w:r>
        <w:rPr>
          <w:noProof/>
          <w:lang w:val="cy-GB"/>
        </w:rPr>
        <w:t xml:space="preserve">Denoël, </w:t>
      </w:r>
      <w:r w:rsidRPr="00AD3467">
        <w:rPr>
          <w:i/>
          <w:noProof/>
          <w:lang w:val="cy-GB"/>
        </w:rPr>
        <w:t>Le nouveau dictionnaire</w:t>
      </w:r>
      <w:r>
        <w:rPr>
          <w:lang w:val="cy-GB"/>
        </w:rPr>
        <w:fldChar w:fldCharType="end"/>
      </w:r>
      <w:r>
        <w:rPr>
          <w:lang w:val="cy-GB"/>
        </w:rPr>
        <w:t>, p. 158.</w:t>
      </w:r>
    </w:p>
  </w:footnote>
  <w:footnote w:id="212">
    <w:p w14:paraId="42E41666" w14:textId="77777777" w:rsidR="00DE3AC9" w:rsidRPr="00DE3AC9" w:rsidRDefault="00DE3AC9" w:rsidP="0048510E">
      <w:pPr>
        <w:pStyle w:val="FootnoteText"/>
      </w:pPr>
      <w:r>
        <w:rPr>
          <w:rStyle w:val="FootnoteReference"/>
        </w:rPr>
        <w:footnoteRef/>
      </w:r>
      <w:r>
        <w:t xml:space="preserve"> </w:t>
      </w:r>
      <w:r w:rsidRPr="00F56ED8">
        <w:t>ASPF AEB: B. 345</w:t>
      </w:r>
      <w:r>
        <w:t xml:space="preserve">. Report by Henri Davignon to the Foreign Office. </w:t>
      </w:r>
      <w:r w:rsidRPr="00DE3AC9">
        <w:t>30 May 1917.</w:t>
      </w:r>
    </w:p>
  </w:footnote>
  <w:footnote w:id="213">
    <w:p w14:paraId="433C3247" w14:textId="77777777" w:rsidR="00DE3AC9" w:rsidRPr="00A10C49" w:rsidRDefault="00DE3AC9" w:rsidP="0048510E">
      <w:pPr>
        <w:pStyle w:val="FootnoteText"/>
        <w:rPr>
          <w:lang w:val="fr-FR"/>
        </w:rPr>
      </w:pPr>
      <w:r>
        <w:rPr>
          <w:rStyle w:val="FootnoteReference"/>
        </w:rPr>
        <w:footnoteRef/>
      </w:r>
      <w:r w:rsidRPr="00365A0A">
        <w:rPr>
          <w:lang w:val="fr-FR"/>
        </w:rPr>
        <w:t xml:space="preserve"> </w:t>
      </w:r>
      <w:r>
        <w:fldChar w:fldCharType="begin"/>
      </w:r>
      <w:r>
        <w:rPr>
          <w:lang w:val="fr-FR"/>
        </w:rPr>
        <w:instrText xml:space="preserve"> ADDIN EN.CITE &lt;EndNote&gt;&lt;Cite&gt;&lt;Author&gt;Lemonidou&lt;/Author&gt;&lt;Year&gt;2006&lt;/Year&gt;&lt;RecNum&gt;77&lt;/RecNum&gt;&lt;DisplayText&gt;Elli Lemonidou, &amp;apos;Entre information et propagande: la Grèce dans la presse britannique et française pendant la Première Guerre Mondiale&amp;apos;, in: &lt;style face="italic"&gt;Revue Lisa, &lt;/style&gt;IV (2006), &lt;/DisplayText&gt;&lt;record&gt;&lt;rec-number&gt;77&lt;/rec-number&gt;&lt;foreign-keys&gt;&lt;key app="EN" db-id="2f5rvwawcsv2woetvw35fzwbdvvswerd0err"&gt;77&lt;/key&gt;&lt;/foreign-keys&gt;&lt;ref-type name="Journal Article"&gt;17&lt;/ref-type&gt;&lt;contributors&gt;&lt;authors&gt;&lt;author&gt;Lemonidou, Elli&lt;/author&gt;&lt;/authors&gt;&lt;/contributors&gt;&lt;titles&gt;&lt;title&gt;Entre information et propagande: la Grèce dans la presse britannique et française pendant la Première Guerre Mondiale&lt;/title&gt;&lt;secondary-title&gt;Revue Lisa&lt;/secondary-title&gt;&lt;short-title&gt;Entre information&lt;/short-title&gt;&lt;/titles&gt;&lt;periodical&gt;&lt;full-title&gt;Revue Lisa&lt;/full-title&gt;&lt;/periodical&gt;&lt;volume&gt;IV&lt;/volume&gt;&lt;number&gt;3&lt;/number&gt;&lt;dates&gt;&lt;year&gt;2006&lt;/year&gt;&lt;/dates&gt;&lt;urls&gt;&lt;/urls&gt;&lt;/record&gt;&lt;/Cite&gt;&lt;/EndNote&gt;</w:instrText>
      </w:r>
      <w:r>
        <w:fldChar w:fldCharType="separate"/>
      </w:r>
      <w:r w:rsidRPr="008C02D4">
        <w:rPr>
          <w:noProof/>
          <w:lang w:val="fr-FR"/>
        </w:rPr>
        <w:t xml:space="preserve">Elli Lemonidou, 'Entre information et propagande: la Grèce dans la presse britannique et française pendant la Première Guerre Mondiale', in: </w:t>
      </w:r>
      <w:r w:rsidRPr="008C02D4">
        <w:rPr>
          <w:i/>
          <w:noProof/>
          <w:lang w:val="fr-FR"/>
        </w:rPr>
        <w:t xml:space="preserve">Revue Lisa, </w:t>
      </w:r>
      <w:r w:rsidRPr="008C02D4">
        <w:rPr>
          <w:noProof/>
          <w:lang w:val="fr-FR"/>
        </w:rPr>
        <w:t xml:space="preserve">IV (2006), </w:t>
      </w:r>
      <w:r>
        <w:fldChar w:fldCharType="end"/>
      </w:r>
      <w:r w:rsidRPr="00365A0A">
        <w:rPr>
          <w:lang w:val="fr-FR"/>
        </w:rPr>
        <w:t xml:space="preserve"> [Online] Available at </w:t>
      </w:r>
      <w:hyperlink r:id="rId4" w:history="1">
        <w:r w:rsidRPr="00365A0A">
          <w:rPr>
            <w:rStyle w:val="Hyperlink"/>
            <w:lang w:val="fr-FR"/>
          </w:rPr>
          <w:t>http://lisa.revues.org/1982</w:t>
        </w:r>
      </w:hyperlink>
      <w:r w:rsidRPr="00365A0A">
        <w:rPr>
          <w:lang w:val="fr-FR"/>
        </w:rPr>
        <w:t xml:space="preserve"> [consulted 11 April 2012].</w:t>
      </w:r>
    </w:p>
  </w:footnote>
  <w:footnote w:id="214">
    <w:p w14:paraId="7761A4DB" w14:textId="77777777" w:rsidR="00DE3AC9" w:rsidRPr="000E709C" w:rsidRDefault="00DE3AC9" w:rsidP="0048510E">
      <w:pPr>
        <w:pStyle w:val="FootnoteText"/>
        <w:rPr>
          <w:lang w:val="fr-FR"/>
        </w:rPr>
      </w:pPr>
      <w:r>
        <w:rPr>
          <w:rStyle w:val="FootnoteReference"/>
        </w:rPr>
        <w:footnoteRef/>
      </w:r>
      <w:r w:rsidRPr="000E709C">
        <w:rPr>
          <w:lang w:val="fr-FR"/>
        </w:rPr>
        <w:t xml:space="preserve"> </w:t>
      </w:r>
      <w:r>
        <w:rPr>
          <w:lang w:val="fr-FR"/>
        </w:rPr>
        <w:fldChar w:fldCharType="begin"/>
      </w:r>
      <w:r>
        <w:rPr>
          <w:lang w:val="fr-FR"/>
        </w:rP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rPr>
          <w:lang w:val="fr-FR"/>
        </w:rPr>
        <w:fldChar w:fldCharType="separate"/>
      </w:r>
      <w:r>
        <w:rPr>
          <w:noProof/>
          <w:lang w:val="fr-FR"/>
        </w:rPr>
        <w:t xml:space="preserve">Hansi and Tonnelat, </w:t>
      </w:r>
      <w:r w:rsidRPr="00AD3467">
        <w:rPr>
          <w:i/>
          <w:noProof/>
          <w:lang w:val="fr-FR"/>
        </w:rPr>
        <w:t>A travers</w:t>
      </w:r>
      <w:r>
        <w:rPr>
          <w:lang w:val="fr-FR"/>
        </w:rPr>
        <w:fldChar w:fldCharType="end"/>
      </w:r>
      <w:r>
        <w:rPr>
          <w:lang w:val="fr-FR"/>
        </w:rPr>
        <w:t>, pp. 109-110.</w:t>
      </w:r>
    </w:p>
  </w:footnote>
  <w:footnote w:id="215">
    <w:p w14:paraId="77FE684E" w14:textId="77777777" w:rsidR="00DE3AC9" w:rsidRPr="008558E6" w:rsidRDefault="00DE3AC9" w:rsidP="005C7BEE">
      <w:pPr>
        <w:pStyle w:val="FootnoteText"/>
        <w:rPr>
          <w:lang w:val="fr-FR"/>
        </w:rPr>
      </w:pPr>
      <w:r>
        <w:rPr>
          <w:rStyle w:val="FootnoteReference"/>
        </w:rPr>
        <w:footnoteRef/>
      </w:r>
      <w:r w:rsidRPr="00ED33AA">
        <w:rPr>
          <w:lang w:val="fr-FR"/>
        </w:rPr>
        <w:t xml:space="preserve"> </w:t>
      </w:r>
      <w:r>
        <w:fldChar w:fldCharType="begin"/>
      </w:r>
      <w:r>
        <w:rPr>
          <w:lang w:val="fr-FR"/>
        </w:rPr>
        <w:instrText xml:space="preserve"> ADDIN EN.CITE &lt;EndNote&gt;&lt;Cite&gt;&lt;Author&gt;Yvert&lt;/Author&gt;&lt;Year&gt;1990&lt;/Year&gt;&lt;RecNum&gt;82&lt;/RecNum&gt;&lt;DisplayText&gt;Benoit Yvert, &lt;style face="italic"&gt;Dictionnaire des ministres de 1789 à 1989&lt;/style&gt;, (Paris, 1990)&lt;/DisplayText&gt;&lt;record&gt;&lt;rec-number&gt;82&lt;/rec-number&gt;&lt;foreign-keys&gt;&lt;key app="EN" db-id="2f5rvwawcsv2woetvw35fzwbdvvswerd0err"&gt;82&lt;/key&gt;&lt;/foreign-keys&gt;&lt;ref-type name="Book"&gt;6&lt;/ref-type&gt;&lt;contributors&gt;&lt;authors&gt;&lt;author&gt;Yvert, Benoit&lt;/author&gt;&lt;/authors&gt;&lt;/contributors&gt;&lt;titles&gt;&lt;title&gt;Dictionnaire des ministres de 1789 à 1989&lt;/title&gt;&lt;short-title&gt;Dictionnaire&lt;/short-title&gt;&lt;/titles&gt;&lt;dates&gt;&lt;year&gt;1990&lt;/year&gt;&lt;/dates&gt;&lt;pub-location&gt;Paris&lt;/pub-location&gt;&lt;urls&gt;&lt;/urls&gt;&lt;/record&gt;&lt;/Cite&gt;&lt;/EndNote&gt;</w:instrText>
      </w:r>
      <w:r>
        <w:fldChar w:fldCharType="separate"/>
      </w:r>
      <w:r w:rsidRPr="005C7BEE">
        <w:rPr>
          <w:noProof/>
          <w:lang w:val="fr-FR"/>
        </w:rPr>
        <w:t xml:space="preserve">Benoit Yvert, </w:t>
      </w:r>
      <w:r w:rsidRPr="005C7BEE">
        <w:rPr>
          <w:i/>
          <w:noProof/>
          <w:lang w:val="fr-FR"/>
        </w:rPr>
        <w:t>Dictionnaire des ministres de 1789 à 1989</w:t>
      </w:r>
      <w:r w:rsidRPr="005C7BEE">
        <w:rPr>
          <w:noProof/>
          <w:lang w:val="fr-FR"/>
        </w:rPr>
        <w:t>, (Paris, 1990)</w:t>
      </w:r>
      <w:r>
        <w:fldChar w:fldCharType="end"/>
      </w:r>
      <w:r w:rsidRPr="00ED33AA">
        <w:rPr>
          <w:lang w:val="fr-FR"/>
        </w:rPr>
        <w:t>, p. 338.</w:t>
      </w:r>
    </w:p>
  </w:footnote>
  <w:footnote w:id="216">
    <w:p w14:paraId="75F47730" w14:textId="77777777" w:rsidR="00DE3AC9" w:rsidRPr="008C02D4"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AD3467">
        <w:rPr>
          <w:noProof/>
          <w:lang w:val="fr-FR"/>
        </w:rPr>
        <w:t xml:space="preserve">Laska, </w:t>
      </w:r>
      <w:r w:rsidRPr="00AD3467">
        <w:rPr>
          <w:i/>
          <w:noProof/>
          <w:lang w:val="fr-FR"/>
        </w:rPr>
        <w:t>Presse</w:t>
      </w:r>
      <w:r>
        <w:fldChar w:fldCharType="end"/>
      </w:r>
      <w:r w:rsidRPr="008C02D4">
        <w:rPr>
          <w:lang w:val="fr-FR"/>
        </w:rPr>
        <w:t>, p. 110.</w:t>
      </w:r>
    </w:p>
  </w:footnote>
  <w:footnote w:id="217">
    <w:p w14:paraId="3E8D5A35" w14:textId="77777777" w:rsidR="00DE3AC9" w:rsidRPr="003615F5" w:rsidRDefault="00DE3AC9" w:rsidP="0048510E">
      <w:pPr>
        <w:pStyle w:val="FootnoteText"/>
        <w:rPr>
          <w:lang w:val="fr-FR"/>
        </w:rPr>
      </w:pPr>
      <w:r>
        <w:rPr>
          <w:rStyle w:val="FootnoteReference"/>
        </w:rPr>
        <w:footnoteRef/>
      </w:r>
      <w:r w:rsidRPr="00436E93">
        <w:rPr>
          <w:lang w:val="fr-FR"/>
        </w:rPr>
        <w:t xml:space="preserve"> </w:t>
      </w:r>
      <w:r>
        <w:fldChar w:fldCharType="begin"/>
      </w:r>
      <w:r>
        <w:rPr>
          <w:lang w:val="fr-FR"/>
        </w:rPr>
        <w:instrText xml:space="preserve"> ADDIN EN.CITE &lt;EndNote&gt;&lt;Cite&gt;&lt;Author&gt;Montant&lt;/Author&gt;&lt;Year&gt;1988&lt;/Year&gt;&lt;RecNum&gt;63&lt;/RecNum&gt;&lt;DisplayText&gt;Montant, &lt;style face="italic"&gt;La propagande&lt;/style&gt;&lt;/DisplayText&gt;&lt;record&gt;&lt;rec-number&gt;63&lt;/rec-number&gt;&lt;foreign-keys&gt;&lt;key app="EN" db-id="2f5rvwawcsv2woetvw35fzwbdvvswerd0err"&gt;63&lt;/key&gt;&lt;/foreign-keys&gt;&lt;ref-type name="Thesis"&gt;32&lt;/ref-type&gt;&lt;contributors&gt;&lt;authors&gt;&lt;author&gt;Montant, Jean-Claude&lt;/author&gt;&lt;/authors&gt;&lt;/contributors&gt;&lt;titles&gt;&lt;title&gt;La propagande extérieure de la France pendant la Première Guerre Mondiale: l&amp;apos;exemple de quelques neutres&lt;/title&gt;&lt;short-title&gt;La propagande&lt;/short-title&gt;&lt;/titles&gt;&lt;volume&gt;PhD&lt;/volume&gt;&lt;dates&gt;&lt;year&gt;1988&lt;/year&gt;&lt;/dates&gt;&lt;publisher&gt;Université de Lille&lt;/publisher&gt;&lt;work-type&gt;PhD Thesis&lt;/work-type&gt;&lt;urls&gt;&lt;/urls&gt;&lt;/record&gt;&lt;/Cite&gt;&lt;/EndNote&gt;</w:instrText>
      </w:r>
      <w:r>
        <w:fldChar w:fldCharType="separate"/>
      </w:r>
      <w:r w:rsidRPr="00AD3467">
        <w:rPr>
          <w:noProof/>
          <w:lang w:val="fr-FR"/>
        </w:rPr>
        <w:t xml:space="preserve">Montant, </w:t>
      </w:r>
      <w:r w:rsidRPr="00AD3467">
        <w:rPr>
          <w:i/>
          <w:noProof/>
          <w:lang w:val="fr-FR"/>
        </w:rPr>
        <w:t>La propagande</w:t>
      </w:r>
      <w:r>
        <w:fldChar w:fldCharType="end"/>
      </w:r>
      <w:r w:rsidRPr="00436E93">
        <w:rPr>
          <w:lang w:val="fr-FR"/>
        </w:rPr>
        <w:t xml:space="preserve">, pp. 311-315 and </w:t>
      </w:r>
      <w:r>
        <w:fldChar w:fldCharType="begin"/>
      </w:r>
      <w:r>
        <w:rPr>
          <w:lang w:val="fr-FR"/>
        </w:rPr>
        <w:instrText xml:space="preserve"> ADDIN EN.CITE &lt;EndNote&gt;&lt;Cite&gt;&lt;Author&gt;Georgakakis&lt;/Author&gt;&lt;Year&gt;2004&lt;/Year&gt;&lt;RecNum&gt;78&lt;/RecNum&gt;&lt;DisplayText&gt;Georgakakis, &lt;style face="italic"&gt;La République&lt;/style&gt;&lt;/DisplayText&gt;&lt;record&gt;&lt;rec-number&gt;78&lt;/rec-number&gt;&lt;foreign-keys&gt;&lt;key app="EN" db-id="2f5rvwawcsv2woetvw35fzwbdvvswerd0err"&gt;78&lt;/key&gt;&lt;/foreign-keys&gt;&lt;ref-type name="Book"&gt;6&lt;/ref-type&gt;&lt;contributors&gt;&lt;authors&gt;&lt;author&gt;Georgakakis, Didier&lt;/author&gt;&lt;/authors&gt;&lt;/contributors&gt;&lt;titles&gt;&lt;title&gt;La République contre la propagande: aux origines perdues de la communication d&amp;apos;état en France (1917-1940)&lt;/title&gt;&lt;short-title&gt;La République&lt;/short-title&gt;&lt;/titles&gt;&lt;dates&gt;&lt;year&gt;2004&lt;/year&gt;&lt;/dates&gt;&lt;pub-location&gt;Paris&lt;/pub-location&gt;&lt;urls&gt;&lt;/urls&gt;&lt;/record&gt;&lt;/Cite&gt;&lt;/EndNote&gt;</w:instrText>
      </w:r>
      <w:r>
        <w:fldChar w:fldCharType="separate"/>
      </w:r>
      <w:r w:rsidRPr="00CA7435">
        <w:rPr>
          <w:noProof/>
          <w:lang w:val="fr-FR"/>
        </w:rPr>
        <w:t xml:space="preserve">Georgakakis, </w:t>
      </w:r>
      <w:r w:rsidRPr="00CA7435">
        <w:rPr>
          <w:i/>
          <w:noProof/>
          <w:lang w:val="fr-FR"/>
        </w:rPr>
        <w:t>La République</w:t>
      </w:r>
      <w:r>
        <w:fldChar w:fldCharType="end"/>
      </w:r>
      <w:r w:rsidRPr="00436E93">
        <w:rPr>
          <w:lang w:val="fr-FR"/>
        </w:rPr>
        <w:t>, p. 75.</w:t>
      </w:r>
    </w:p>
  </w:footnote>
  <w:footnote w:id="218">
    <w:p w14:paraId="4FCA8123" w14:textId="77777777" w:rsidR="00DE3AC9" w:rsidRPr="00436E93"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AD3467">
        <w:rPr>
          <w:i/>
          <w:noProof/>
        </w:rPr>
        <w:t>A travers</w:t>
      </w:r>
      <w:r>
        <w:fldChar w:fldCharType="end"/>
      </w:r>
      <w:r>
        <w:t>, p. 170.</w:t>
      </w:r>
    </w:p>
  </w:footnote>
  <w:footnote w:id="219">
    <w:p w14:paraId="26C90C69" w14:textId="777A3E15" w:rsidR="00DE3AC9" w:rsidRPr="003B5AC0" w:rsidRDefault="00DE3AC9" w:rsidP="0048510E">
      <w:pPr>
        <w:pStyle w:val="FootnoteText"/>
      </w:pPr>
      <w:r>
        <w:rPr>
          <w:rStyle w:val="FootnoteReference"/>
        </w:rPr>
        <w:footnoteRef/>
      </w:r>
      <w:r>
        <w:t xml:space="preserve"> </w:t>
      </w:r>
      <w:r w:rsidRPr="00F56ED8">
        <w:t>ASPF AEB: B. 345</w:t>
      </w:r>
      <w:r>
        <w:t xml:space="preserve">. Report by Bassompierre to the Foreign Office. 23 May 1918 and </w:t>
      </w:r>
      <w:r>
        <w:fldChar w:fldCharType="begin"/>
      </w:r>
      <w:r>
        <w:instrText xml:space="preserve"> ADDIN EN.CITE &lt;EndNote&gt;&lt;Cite&gt;&lt;Author&gt;Serodes&lt;/Author&gt;&lt;Year&gt;2012&lt;/Year&gt;&lt;RecNum&gt;24&lt;/RecNum&gt;&lt;DisplayText&gt;Serodes, &lt;style face="italic"&gt;La propagande&lt;/style&gt;&lt;/DisplayText&gt;&lt;record&gt;&lt;rec-number&gt;24&lt;/rec-number&gt;&lt;foreign-keys&gt;&lt;key app="EN" db-id="2f5rvwawcsv2woetvw35fzwbdvvswerd0err"&gt;24&lt;/key&gt;&lt;/foreign-keys&gt;&lt;ref-type name="Book Section"&gt;5&lt;/ref-type&gt;&lt;contributors&gt;&lt;authors&gt;&lt;author&gt;Serodes, Fabrice&lt;/author&gt;&lt;/authors&gt;&lt;secondary-authors&gt;&lt;author&gt;B. Rochet &lt;/author&gt;&lt;author&gt;A. Tixhon&lt;/author&gt;&lt;/secondary-authors&gt;&lt;/contributors&gt;&lt;titles&gt;&lt;title&gt;La propagande anglophobe allemande en Belgique occupée pendant la Grande Guerre&lt;/title&gt;&lt;secondary-title&gt;La petite Belgique dans la Grande Guerre: une icône, des images&lt;/secondary-title&gt;&lt;short-title&gt;La propagande&lt;/short-title&gt;&lt;/titles&gt;&lt;dates&gt;&lt;year&gt;2012&lt;/year&gt;&lt;/dates&gt;&lt;pub-location&gt;Namur&lt;/pub-location&gt;&lt;urls&gt;&lt;/urls&gt;&lt;/record&gt;&lt;/Cite&gt;&lt;/EndNote&gt;</w:instrText>
      </w:r>
      <w:r>
        <w:fldChar w:fldCharType="separate"/>
      </w:r>
      <w:r>
        <w:rPr>
          <w:noProof/>
        </w:rPr>
        <w:t xml:space="preserve">Serodes, </w:t>
      </w:r>
      <w:r w:rsidRPr="00AD3467">
        <w:rPr>
          <w:i/>
          <w:noProof/>
        </w:rPr>
        <w:t>La propagande</w:t>
      </w:r>
      <w:r>
        <w:fldChar w:fldCharType="end"/>
      </w:r>
      <w:r>
        <w:t>, p. 24.</w:t>
      </w:r>
    </w:p>
  </w:footnote>
  <w:footnote w:id="220">
    <w:p w14:paraId="09EDD2D1" w14:textId="180A7E8A" w:rsidR="00DE3AC9" w:rsidRPr="004401EA" w:rsidRDefault="00DE3AC9" w:rsidP="00605DB1">
      <w:pPr>
        <w:pStyle w:val="FootnoteText"/>
      </w:pPr>
      <w:r>
        <w:rPr>
          <w:rStyle w:val="FootnoteReference"/>
        </w:rPr>
        <w:footnoteRef/>
      </w:r>
      <w:r>
        <w:t xml:space="preserve"> ASPF AEB: B. 345. Report by the BDB about </w:t>
      </w:r>
      <w:r w:rsidR="00605DB1">
        <w:t>air</w:t>
      </w:r>
      <w:r>
        <w:t xml:space="preserve"> propaganda. </w:t>
      </w:r>
      <w:r w:rsidRPr="004401EA">
        <w:t xml:space="preserve">17 June 1918 and Report by Passelecq about </w:t>
      </w:r>
      <w:r w:rsidRPr="004401EA">
        <w:rPr>
          <w:i/>
          <w:iCs/>
        </w:rPr>
        <w:t>Les Bonnes Nouvelles</w:t>
      </w:r>
      <w:r w:rsidRPr="004401EA">
        <w:t xml:space="preserve">. </w:t>
      </w:r>
      <w:r>
        <w:t xml:space="preserve">31 July 1918. </w:t>
      </w:r>
      <w:r>
        <w:rPr>
          <w:lang w:val="cy-GB"/>
        </w:rPr>
        <w:t xml:space="preserve">Léon Van der Essen (1883-1963) was a University professor of history in Louvain and directed the cabinet of minister Broqueville during de war. </w:t>
      </w:r>
      <w:r>
        <w:rPr>
          <w:lang w:val="cy-GB"/>
        </w:rPr>
        <w:fldChar w:fldCharType="begin"/>
      </w:r>
      <w:r>
        <w:rPr>
          <w:lang w:val="cy-GB"/>
        </w:rPr>
        <w:instrText xml:space="preserve"> ADDIN EN.CITE &lt;EndNote&gt;&lt;Cite&gt;&lt;Author&gt;Denoël&lt;/Author&gt;&lt;Year&gt;1992&lt;/Year&gt;&lt;RecNum&gt;72&lt;/RecNum&gt;&lt;DisplayText&gt;Denoël, &lt;style face="italic"&gt;Le nouveau dictionnaire&lt;/style&gt;&lt;/DisplayText&gt;&lt;record&gt;&lt;rec-number&gt;72&lt;/rec-number&gt;&lt;foreign-keys&gt;&lt;key app="EN" db-id="2f5rvwawcsv2woetvw35fzwbdvvswerd0err"&gt;72&lt;/key&gt;&lt;/foreign-keys&gt;&lt;ref-type name="Book"&gt;6&lt;/ref-type&gt;&lt;contributors&gt;&lt;authors&gt;&lt;author&gt;Denoël, Thierry&lt;/author&gt;&lt;/authors&gt;&lt;/contributors&gt;&lt;titles&gt;&lt;title&gt;Le nouveau dictionnaire des Belges&lt;/title&gt;&lt;short-title&gt;Le nouveau dictionnaire&lt;/short-title&gt;&lt;/titles&gt;&lt;dates&gt;&lt;year&gt;1992&lt;/year&gt;&lt;/dates&gt;&lt;pub-location&gt;Brussels&lt;/pub-location&gt;&lt;urls&gt;&lt;/urls&gt;&lt;/record&gt;&lt;/Cite&gt;&lt;/EndNote&gt;</w:instrText>
      </w:r>
      <w:r>
        <w:rPr>
          <w:lang w:val="cy-GB"/>
        </w:rPr>
        <w:fldChar w:fldCharType="separate"/>
      </w:r>
      <w:r>
        <w:rPr>
          <w:noProof/>
          <w:lang w:val="cy-GB"/>
        </w:rPr>
        <w:t xml:space="preserve">Denoël, </w:t>
      </w:r>
      <w:r w:rsidRPr="00AD3467">
        <w:rPr>
          <w:i/>
          <w:noProof/>
          <w:lang w:val="cy-GB"/>
        </w:rPr>
        <w:t>Le nouveau dictionnaire</w:t>
      </w:r>
      <w:r>
        <w:rPr>
          <w:lang w:val="cy-GB"/>
        </w:rPr>
        <w:fldChar w:fldCharType="end"/>
      </w:r>
      <w:r>
        <w:rPr>
          <w:lang w:val="cy-GB"/>
        </w:rPr>
        <w:t>, p. 716.</w:t>
      </w:r>
    </w:p>
  </w:footnote>
  <w:footnote w:id="221">
    <w:p w14:paraId="03BD5806" w14:textId="77777777" w:rsidR="00DE3AC9" w:rsidRPr="00074DEB" w:rsidRDefault="00DE3AC9" w:rsidP="0048510E">
      <w:pPr>
        <w:pStyle w:val="FootnoteText"/>
      </w:pPr>
      <w:r>
        <w:rPr>
          <w:rStyle w:val="FootnoteReference"/>
        </w:rPr>
        <w:footnoteRef/>
      </w:r>
      <w:r>
        <w:t xml:space="preserve"> ASPF AEB: B. 345. Letter from the war minister to the foreign office minister. 20 August 1918.</w:t>
      </w:r>
    </w:p>
  </w:footnote>
  <w:footnote w:id="222">
    <w:p w14:paraId="11E68538" w14:textId="77777777" w:rsidR="00DE3AC9" w:rsidRPr="00436E93" w:rsidRDefault="00DE3AC9" w:rsidP="0048510E">
      <w:pPr>
        <w:pStyle w:val="FootnoteText"/>
      </w:pPr>
      <w:r>
        <w:rPr>
          <w:rStyle w:val="FootnoteReference"/>
        </w:rPr>
        <w:footnoteRef/>
      </w:r>
      <w:r>
        <w:t xml:space="preserve">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CA7435">
        <w:rPr>
          <w:i/>
          <w:noProof/>
        </w:rPr>
        <w:t>British propaganda</w:t>
      </w:r>
      <w:r>
        <w:fldChar w:fldCharType="end"/>
      </w:r>
      <w:r>
        <w:t xml:space="preserve">, pp. 89-91 and </w:t>
      </w:r>
      <w:r>
        <w:fldChar w:fldCharType="begin"/>
      </w:r>
      <w:r>
        <w:instrText xml:space="preserve"> ADDIN EN.CITE &lt;EndNote&gt;&lt;Cite&gt;&lt;Author&gt;Marquis&lt;/Author&gt;&lt;Year&gt;1978&lt;/Year&gt;&lt;RecNum&gt;153&lt;/RecNum&gt;&lt;DisplayText&gt;Alice Marquis, &amp;apos;Words as weapons: propaganda in Britain and Germany during the First World War&amp;apos;, in: &lt;style face="italic"&gt;Journal of Contemporary History, &lt;/style&gt;13 (1978), &lt;/DisplayText&gt;&lt;record&gt;&lt;rec-number&gt;153&lt;/rec-number&gt;&lt;foreign-keys&gt;&lt;key app="EN" db-id="2f5rvwawcsv2woetvw35fzwbdvvswerd0err"&gt;153&lt;/key&gt;&lt;/foreign-keys&gt;&lt;ref-type name="Journal Article"&gt;17&lt;/ref-type&gt;&lt;contributors&gt;&lt;authors&gt;&lt;author&gt;Marquis, Alice&lt;/author&gt;&lt;/authors&gt;&lt;/contributors&gt;&lt;titles&gt;&lt;title&gt;Words as weapons: propaganda in Britain and Germany during the First World War&lt;/title&gt;&lt;secondary-title&gt;Journal of Contemporary History&lt;/secondary-title&gt;&lt;short-title&gt;Words&lt;/short-title&gt;&lt;/titles&gt;&lt;periodical&gt;&lt;full-title&gt;Journal of Contemporary History&lt;/full-title&gt;&lt;/periodical&gt;&lt;volume&gt;13&lt;/volume&gt;&lt;number&gt;3&lt;/number&gt;&lt;dates&gt;&lt;year&gt;1978&lt;/year&gt;&lt;/dates&gt;&lt;urls&gt;&lt;/urls&gt;&lt;/record&gt;&lt;/Cite&gt;&lt;/EndNote&gt;</w:instrText>
      </w:r>
      <w:r>
        <w:fldChar w:fldCharType="separate"/>
      </w:r>
      <w:r>
        <w:rPr>
          <w:noProof/>
        </w:rPr>
        <w:t xml:space="preserve">Alice Marquis, 'Words as weapons: propaganda in Britain and Germany during the First World War', in: </w:t>
      </w:r>
      <w:r w:rsidRPr="008C02D4">
        <w:rPr>
          <w:i/>
          <w:noProof/>
        </w:rPr>
        <w:t xml:space="preserve">Journal of Contemporary History, </w:t>
      </w:r>
      <w:r>
        <w:rPr>
          <w:noProof/>
        </w:rPr>
        <w:t xml:space="preserve">13 (1978), </w:t>
      </w:r>
      <w:r>
        <w:fldChar w:fldCharType="end"/>
      </w:r>
      <w:r>
        <w:t>p. 473.</w:t>
      </w:r>
    </w:p>
  </w:footnote>
  <w:footnote w:id="223">
    <w:p w14:paraId="5391812C" w14:textId="77777777" w:rsidR="00DE3AC9" w:rsidRPr="004B58E8" w:rsidRDefault="00DE3AC9" w:rsidP="0048510E">
      <w:pPr>
        <w:pStyle w:val="FootnoteText"/>
      </w:pPr>
      <w:r>
        <w:rPr>
          <w:rStyle w:val="FootnoteReference"/>
        </w:rPr>
        <w:footnoteRef/>
      </w:r>
      <w:r>
        <w:t xml:space="preserve"> Imperial War Museum (IWM): Papers of Lieutenant-Colonel A. Lee, Sherwood Foresters. Letter from Onslow to the GHQ. 19 August 1918 and Letter from Colonel Fisher to Lord Onslow regarding the fate of MI7(b). 30 July 1918.</w:t>
      </w:r>
    </w:p>
  </w:footnote>
  <w:footnote w:id="224">
    <w:p w14:paraId="101547EF" w14:textId="77777777" w:rsidR="00DE3AC9" w:rsidRPr="00CA7435" w:rsidRDefault="00DE3AC9" w:rsidP="0048510E">
      <w:pPr>
        <w:pStyle w:val="FootnoteText"/>
        <w:rPr>
          <w:lang w:val="fr-FR"/>
        </w:rPr>
      </w:pPr>
      <w:r>
        <w:rPr>
          <w:rStyle w:val="FootnoteReference"/>
        </w:rPr>
        <w:footnoteRef/>
      </w:r>
      <w:r w:rsidRPr="00CA7435">
        <w:rPr>
          <w:lang w:val="fr-FR"/>
        </w:rPr>
        <w:t xml:space="preserve"> </w:t>
      </w:r>
      <w:r>
        <w:fldChar w:fldCharType="begin"/>
      </w:r>
      <w:r>
        <w:rPr>
          <w:lang w:val="fr-FR"/>
        </w:rPr>
        <w:instrText xml:space="preserve"> ADDIN EN.CITE &lt;EndNote&gt;&lt;Cite&gt;&lt;Author&gt;Ponsonby&lt;/Author&gt;&lt;Year&gt;1928&lt;/Year&gt;&lt;RecNum&gt;79&lt;/RecNum&gt;&lt;DisplayText&gt;Ponsonby, &lt;style face="italic"&gt;Falsehood&lt;/style&gt;&lt;/DisplayText&gt;&lt;record&gt;&lt;rec-number&gt;79&lt;/rec-number&gt;&lt;foreign-keys&gt;&lt;key app="EN" db-id="2f5rvwawcsv2woetvw35fzwbdvvswerd0err"&gt;79&lt;/key&gt;&lt;/foreign-keys&gt;&lt;ref-type name="Book"&gt;6&lt;/ref-type&gt;&lt;contributors&gt;&lt;authors&gt;&lt;author&gt;Ponsonby, Arthur&lt;/author&gt;&lt;/authors&gt;&lt;/contributors&gt;&lt;titles&gt;&lt;title&gt;Falsehood in wartime: containing an assortment of lies circulated throughout the nations during the Great War&lt;/title&gt;&lt;short-title&gt;Falsehood&lt;/short-title&gt;&lt;/titles&gt;&lt;dates&gt;&lt;year&gt;1928&lt;/year&gt;&lt;/dates&gt;&lt;pub-location&gt;London&lt;/pub-location&gt;&lt;urls&gt;&lt;/urls&gt;&lt;/record&gt;&lt;/Cite&gt;&lt;/EndNote&gt;</w:instrText>
      </w:r>
      <w:r>
        <w:fldChar w:fldCharType="separate"/>
      </w:r>
      <w:r w:rsidRPr="00CA7435">
        <w:rPr>
          <w:noProof/>
          <w:lang w:val="fr-FR"/>
        </w:rPr>
        <w:t xml:space="preserve">Ponsonby, </w:t>
      </w:r>
      <w:r w:rsidRPr="00CA7435">
        <w:rPr>
          <w:i/>
          <w:noProof/>
          <w:lang w:val="fr-FR"/>
        </w:rPr>
        <w:t>Falsehood</w:t>
      </w:r>
      <w:r>
        <w:fldChar w:fldCharType="end"/>
      </w:r>
      <w:r w:rsidRPr="00CA7435">
        <w:rPr>
          <w:lang w:val="fr-FR"/>
        </w:rPr>
        <w:t xml:space="preserve">. </w:t>
      </w:r>
    </w:p>
  </w:footnote>
  <w:footnote w:id="225">
    <w:p w14:paraId="1B75523A" w14:textId="77777777" w:rsidR="00DE3AC9" w:rsidRPr="001F79D3" w:rsidRDefault="00DE3AC9" w:rsidP="0048510E">
      <w:pPr>
        <w:pStyle w:val="FootnoteText"/>
        <w:rPr>
          <w:lang w:val="fr-FR"/>
        </w:rPr>
      </w:pPr>
      <w:r>
        <w:rPr>
          <w:rStyle w:val="FootnoteReference"/>
        </w:rPr>
        <w:footnoteRef/>
      </w:r>
      <w:r w:rsidRPr="00436E93">
        <w:rPr>
          <w:lang w:val="fr-FR"/>
        </w:rPr>
        <w:t xml:space="preserve"> </w:t>
      </w:r>
      <w:r>
        <w:fldChar w:fldCharType="begin"/>
      </w:r>
      <w:r>
        <w:rPr>
          <w:lang w:val="fr-FR"/>
        </w:rPr>
        <w:instrText xml:space="preserve"> ADDIN EN.CITE &lt;EndNote&gt;&lt;Cite&gt;&lt;Author&gt;Amara&lt;/Author&gt;&lt;Year&gt;2000&lt;/Year&gt;&lt;RecNum&gt;80&lt;/RecNum&gt;&lt;DisplayText&gt;Amara, &lt;style face="italic"&gt;La propagande belge&lt;/style&gt;&lt;/DisplayText&gt;&lt;record&gt;&lt;rec-number&gt;80&lt;/rec-number&gt;&lt;foreign-keys&gt;&lt;key app="EN" db-id="2f5rvwawcsv2woetvw35fzwbdvvswerd0err"&gt;80&lt;/key&gt;&lt;/foreign-keys&gt;&lt;ref-type name="Journal Article"&gt;17&lt;/ref-type&gt;&lt;contributors&gt;&lt;authors&gt;&lt;author&gt;Amara, Michael&lt;/author&gt;&lt;/authors&gt;&lt;/contributors&gt;&lt;titles&gt;&lt;title&gt;La propagande belge et l&amp;apos;image de la Belgique aux Etats-Unis durant la Première Guerre mondiale&lt;/title&gt;&lt;secondary-title&gt;Revue Belge d&amp;apos;Histoire Contemporaine&lt;/secondary-title&gt;&lt;short-title&gt;La propagande belge&lt;/short-title&gt;&lt;/titles&gt;&lt;periodical&gt;&lt;full-title&gt;Revue Belge d&amp;apos;Histoire Contemporaine&lt;/full-title&gt;&lt;/periodical&gt;&lt;volume&gt;1-2&lt;/volume&gt;&lt;dates&gt;&lt;year&gt;2000&lt;/year&gt;&lt;/dates&gt;&lt;urls&gt;&lt;/urls&gt;&lt;/record&gt;&lt;/Cite&gt;&lt;/EndNote&gt;</w:instrText>
      </w:r>
      <w:r>
        <w:fldChar w:fldCharType="separate"/>
      </w:r>
      <w:r w:rsidRPr="00CA7435">
        <w:rPr>
          <w:noProof/>
          <w:lang w:val="fr-FR"/>
        </w:rPr>
        <w:t xml:space="preserve">Amara, </w:t>
      </w:r>
      <w:r w:rsidRPr="00CA7435">
        <w:rPr>
          <w:i/>
          <w:noProof/>
          <w:lang w:val="fr-FR"/>
        </w:rPr>
        <w:t>La propagande belge</w:t>
      </w:r>
      <w:r>
        <w:fldChar w:fldCharType="end"/>
      </w:r>
      <w:r w:rsidRPr="00833E56">
        <w:rPr>
          <w:lang w:val="fr-BE"/>
        </w:rPr>
        <w:t xml:space="preserve">, </w:t>
      </w:r>
      <w:r w:rsidRPr="00436E93">
        <w:rPr>
          <w:lang w:val="fr-FR"/>
        </w:rPr>
        <w:t>p. 219.</w:t>
      </w:r>
    </w:p>
  </w:footnote>
  <w:footnote w:id="226">
    <w:p w14:paraId="7EE02999" w14:textId="77777777" w:rsidR="00DE3AC9" w:rsidRPr="00137D1F"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sidRPr="00AD3467">
        <w:rPr>
          <w:noProof/>
          <w:lang w:val="fr-FR"/>
        </w:rPr>
        <w:t xml:space="preserve">Hansi and Tonnelat, </w:t>
      </w:r>
      <w:r w:rsidRPr="00AD3467">
        <w:rPr>
          <w:i/>
          <w:noProof/>
          <w:lang w:val="fr-FR"/>
        </w:rPr>
        <w:t>A travers</w:t>
      </w:r>
      <w:r>
        <w:fldChar w:fldCharType="end"/>
      </w:r>
      <w:r w:rsidRPr="008C02D4">
        <w:rPr>
          <w:lang w:val="fr-FR"/>
        </w:rPr>
        <w:t xml:space="preserve">, p. 191 and </w:t>
      </w:r>
      <w:r>
        <w:fldChar w:fldCharType="begin"/>
      </w:r>
      <w:r>
        <w:rPr>
          <w:lang w:val="fr-FR"/>
        </w:rPr>
        <w:instrText xml:space="preserve"> ADDIN EN.CITE &lt;EndNote&gt;&lt;Cite&gt;&lt;Author&gt;Becker&lt;/Author&gt;&lt;Year&gt;1995&lt;/Year&gt;&lt;RecNum&gt;81&lt;/RecNum&gt;&lt;DisplayText&gt;Stéphane Audoin-Rouzeau and Jean-Jacques Becker, &lt;style face="italic"&gt;La France, la nation, la guerre: 1850-1920&lt;/style&gt;, (Paris, 1995)&lt;/DisplayText&gt;&lt;record&gt;&lt;rec-number&gt;81&lt;/rec-number&gt;&lt;foreign-keys&gt;&lt;key app="EN" db-id="2f5rvwawcsv2woetvw35fzwbdvvswerd0err"&gt;81&lt;/key&gt;&lt;/foreign-keys&gt;&lt;ref-type name="Book"&gt;6&lt;/ref-type&gt;&lt;contributors&gt;&lt;authors&gt;&lt;author&gt;Audoin-Rouzeau, Stéphane&lt;/author&gt;&lt;author&gt;Becker, Jean-Jacques&lt;/author&gt;&lt;/authors&gt;&lt;/contributors&gt;&lt;titles&gt;&lt;title&gt;La France, la nation, la guerre: 1850-1920&lt;/title&gt;&lt;short-title&gt;La France, La nation&lt;/short-title&gt;&lt;/titles&gt;&lt;dates&gt;&lt;year&gt;1995&lt;/year&gt;&lt;/dates&gt;&lt;pub-location&gt;Paris&lt;/pub-location&gt;&lt;urls&gt;&lt;/urls&gt;&lt;/record&gt;&lt;/Cite&gt;&lt;/EndNote&gt;</w:instrText>
      </w:r>
      <w:r>
        <w:fldChar w:fldCharType="separate"/>
      </w:r>
      <w:r w:rsidRPr="00AD3467">
        <w:rPr>
          <w:noProof/>
          <w:lang w:val="fr-FR"/>
        </w:rPr>
        <w:t xml:space="preserve">Stéphane Audoin-Rouzeau and Jean-Jacques Becker, </w:t>
      </w:r>
      <w:r w:rsidRPr="00AD3467">
        <w:rPr>
          <w:i/>
          <w:noProof/>
          <w:lang w:val="fr-FR"/>
        </w:rPr>
        <w:t>La France, la nation, la guerre: 1850-1920</w:t>
      </w:r>
      <w:r w:rsidRPr="00AD3467">
        <w:rPr>
          <w:noProof/>
          <w:lang w:val="fr-FR"/>
        </w:rPr>
        <w:t>, (Paris, 1995)</w:t>
      </w:r>
      <w:r>
        <w:fldChar w:fldCharType="end"/>
      </w:r>
      <w:r w:rsidRPr="00137D1F">
        <w:rPr>
          <w:lang w:val="fr-FR"/>
        </w:rPr>
        <w:t>, p. 361.</w:t>
      </w:r>
    </w:p>
  </w:footnote>
  <w:footnote w:id="227">
    <w:p w14:paraId="78A8CB10" w14:textId="77777777" w:rsidR="00DE3AC9" w:rsidRPr="00137D1F" w:rsidRDefault="00DE3AC9" w:rsidP="0048510E">
      <w:pPr>
        <w:pStyle w:val="FootnoteText"/>
        <w:rPr>
          <w:lang w:val="fr-FR"/>
        </w:rPr>
      </w:pPr>
      <w:r>
        <w:rPr>
          <w:rStyle w:val="FootnoteReference"/>
        </w:rPr>
        <w:footnoteRef/>
      </w:r>
      <w:r w:rsidRPr="00137D1F">
        <w:rPr>
          <w:lang w:val="fr-FR"/>
        </w:rPr>
        <w:t xml:space="preserve"> </w:t>
      </w:r>
      <w:r>
        <w:fldChar w:fldCharType="begin"/>
      </w:r>
      <w:r>
        <w:rPr>
          <w:lang w:val="fr-FR"/>
        </w:rPr>
        <w:instrText xml:space="preserve"> ADDIN EN.CITE &lt;EndNote&gt;&lt;Cite&gt;&lt;Author&gt;Fagot&lt;/Author&gt;&lt;Year&gt;2013&lt;/Year&gt;&lt;RecNum&gt;256&lt;/RecNum&gt;&lt;DisplayText&gt;Fagot, &lt;style face="italic"&gt;La &amp;quot;drôle de guerre&amp;quot;&lt;/style&gt;&lt;/DisplayText&gt;&lt;record&gt;&lt;rec-number&gt;256&lt;/rec-number&gt;&lt;foreign-keys&gt;&lt;key app="EN" db-id="2f5rvwawcsv2woetvw35fzwbdvvswerd0err"&gt;256&lt;/key&gt;&lt;/foreign-keys&gt;&lt;ref-type name="Thesis"&gt;32&lt;/ref-type&gt;&lt;contributors&gt;&lt;authors&gt;&lt;author&gt;Fagot, Maude&lt;/author&gt;&lt;/authors&gt;&lt;/contributors&gt;&lt;titles&gt;&lt;title&gt;La &amp;quot;drôle de guerre&amp;quot;: une guerre d&amp;apos;influence&lt;/title&gt;&lt;short-title&gt;La &amp;quot;drôle de guerre&amp;quot;&lt;/short-title&gt;&lt;/titles&gt;&lt;dates&gt;&lt;year&gt;2013&lt;/year&gt;&lt;/dates&gt;&lt;publisher&gt;Université Lumière Lyon 2 / Universität Freiburg&lt;/publisher&gt;&lt;work-type&gt;Masters thesis&lt;/work-type&gt;&lt;urls&gt;&lt;/urls&gt;&lt;/record&gt;&lt;/Cite&gt;&lt;/EndNote&gt;</w:instrText>
      </w:r>
      <w:r>
        <w:fldChar w:fldCharType="separate"/>
      </w:r>
      <w:r w:rsidRPr="00CA7435">
        <w:rPr>
          <w:noProof/>
          <w:lang w:val="fr-FR"/>
        </w:rPr>
        <w:t xml:space="preserve">Fagot, </w:t>
      </w:r>
      <w:r w:rsidRPr="00CA7435">
        <w:rPr>
          <w:i/>
          <w:noProof/>
          <w:lang w:val="fr-FR"/>
        </w:rPr>
        <w:t>La "drôle de guerre"</w:t>
      </w:r>
      <w:r>
        <w:fldChar w:fldCharType="end"/>
      </w:r>
      <w:r w:rsidRPr="00833E56">
        <w:rPr>
          <w:lang w:val="fr-BE"/>
        </w:rPr>
        <w:t xml:space="preserve">, </w:t>
      </w:r>
      <w:r w:rsidRPr="00137D1F">
        <w:rPr>
          <w:lang w:val="fr-FR"/>
        </w:rPr>
        <w:t>p. 5.</w:t>
      </w:r>
    </w:p>
  </w:footnote>
  <w:footnote w:id="228">
    <w:p w14:paraId="7E832802" w14:textId="19007347" w:rsidR="00DE3AC9" w:rsidRPr="002A0BFE" w:rsidRDefault="00DE3AC9" w:rsidP="0048510E">
      <w:pPr>
        <w:pStyle w:val="FootnoteText"/>
        <w:rPr>
          <w:lang w:val="fr-FR"/>
        </w:rPr>
      </w:pPr>
      <w:r>
        <w:rPr>
          <w:rStyle w:val="FootnoteReference"/>
        </w:rPr>
        <w:footnoteRef/>
      </w:r>
      <w:r>
        <w:t xml:space="preserve"> The Belgians usually made a distinction between Dutch and Flemish during the First World War. </w:t>
      </w:r>
      <w:r w:rsidRPr="00F56ED8">
        <w:t>ASPF AEB: B. 345</w:t>
      </w:r>
      <w:r>
        <w:t xml:space="preserve">. Report by Davignon to the Belgian government. </w:t>
      </w:r>
      <w:r w:rsidRPr="002A0BFE">
        <w:rPr>
          <w:lang w:val="fr-FR"/>
        </w:rPr>
        <w:t>20 July 1918.</w:t>
      </w:r>
    </w:p>
  </w:footnote>
  <w:footnote w:id="229">
    <w:p w14:paraId="08A2D708" w14:textId="77777777" w:rsidR="00DE3AC9" w:rsidRPr="002A0BFE" w:rsidRDefault="00DE3AC9" w:rsidP="0048510E">
      <w:pPr>
        <w:pStyle w:val="FootnoteText"/>
        <w:rPr>
          <w:lang w:val="fr-FR"/>
        </w:rPr>
      </w:pPr>
      <w:r>
        <w:rPr>
          <w:rStyle w:val="FootnoteReference"/>
        </w:rPr>
        <w:footnoteRef/>
      </w:r>
      <w:r w:rsidRPr="002A0BFE">
        <w:rPr>
          <w:lang w:val="fr-FR"/>
        </w:rPr>
        <w:t xml:space="preserve"> </w:t>
      </w:r>
      <w:r>
        <w:rPr>
          <w:lang w:val="fr-FR"/>
        </w:rPr>
        <w:fldChar w:fldCharType="begin"/>
      </w:r>
      <w:r w:rsidRPr="002A0BFE">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2A0BFE">
        <w:rPr>
          <w:noProof/>
          <w:lang w:val="fr-FR"/>
        </w:rPr>
        <w:t xml:space="preserve">Ellul, </w:t>
      </w:r>
      <w:r w:rsidRPr="002A0BFE">
        <w:rPr>
          <w:i/>
          <w:noProof/>
          <w:lang w:val="fr-FR"/>
        </w:rPr>
        <w:t>Propaganda</w:t>
      </w:r>
      <w:r>
        <w:rPr>
          <w:lang w:val="fr-FR"/>
        </w:rPr>
        <w:fldChar w:fldCharType="end"/>
      </w:r>
      <w:r w:rsidRPr="002A0BFE">
        <w:rPr>
          <w:lang w:val="fr-FR"/>
        </w:rPr>
        <w:t>, p. 106.</w:t>
      </w:r>
    </w:p>
  </w:footnote>
  <w:footnote w:id="230">
    <w:p w14:paraId="6A1FFC96" w14:textId="77777777" w:rsidR="00DE3AC9" w:rsidRPr="002A0BFE" w:rsidRDefault="00DE3AC9" w:rsidP="0048510E">
      <w:pPr>
        <w:pStyle w:val="FootnoteText"/>
        <w:rPr>
          <w:lang w:val="fr-FR"/>
        </w:rPr>
      </w:pPr>
      <w:r>
        <w:rPr>
          <w:rStyle w:val="FootnoteReference"/>
        </w:rPr>
        <w:footnoteRef/>
      </w:r>
      <w:r w:rsidRPr="002A0BFE">
        <w:rPr>
          <w:lang w:val="fr-FR"/>
        </w:rPr>
        <w:t xml:space="preserve"> </w:t>
      </w:r>
      <w:r>
        <w:rPr>
          <w:lang w:val="fr-BE"/>
        </w:rPr>
        <w:fldChar w:fldCharType="begin"/>
      </w:r>
      <w:r w:rsidRPr="002A0BFE">
        <w:rPr>
          <w:lang w:val="fr-FR"/>
        </w:rP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BE"/>
        </w:rPr>
        <w:fldChar w:fldCharType="separate"/>
      </w:r>
      <w:r w:rsidRPr="002A0BFE">
        <w:rPr>
          <w:noProof/>
          <w:lang w:val="fr-FR"/>
        </w:rPr>
        <w:t xml:space="preserve">Horne, </w:t>
      </w:r>
      <w:r w:rsidRPr="002A0BFE">
        <w:rPr>
          <w:i/>
          <w:noProof/>
          <w:lang w:val="fr-FR"/>
        </w:rPr>
        <w:t>Remobilizing</w:t>
      </w:r>
      <w:r>
        <w:rPr>
          <w:lang w:val="fr-BE"/>
        </w:rPr>
        <w:fldChar w:fldCharType="end"/>
      </w:r>
      <w:r w:rsidRPr="002A0BFE">
        <w:rPr>
          <w:lang w:val="fr-FR"/>
        </w:rPr>
        <w:t>, p. 209.</w:t>
      </w:r>
    </w:p>
  </w:footnote>
  <w:footnote w:id="231">
    <w:p w14:paraId="6829E68C" w14:textId="77777777" w:rsidR="00DE3AC9" w:rsidRPr="002A0BFE" w:rsidRDefault="00DE3AC9" w:rsidP="0048510E">
      <w:pPr>
        <w:pStyle w:val="FootnoteText"/>
        <w:rPr>
          <w:lang w:val="fr-FR"/>
        </w:rPr>
      </w:pPr>
      <w:r>
        <w:rPr>
          <w:rStyle w:val="FootnoteReference"/>
        </w:rPr>
        <w:footnoteRef/>
      </w:r>
      <w:r w:rsidRPr="002A0BFE">
        <w:rPr>
          <w:lang w:val="fr-FR"/>
        </w:rPr>
        <w:t xml:space="preserve"> </w:t>
      </w:r>
      <w:r>
        <w:fldChar w:fldCharType="begin"/>
      </w:r>
      <w:r w:rsidRPr="002A0BFE">
        <w:rPr>
          <w:lang w:val="fr-FR"/>
        </w:rPr>
        <w:instrText xml:space="preserve"> ADDIN EN.CITE &lt;EndNote&gt;&lt;Cite&gt;&lt;Author&gt;Vermeil&lt;/Author&gt;&lt;Year&gt;1949&lt;/Year&gt;&lt;RecNum&gt;83&lt;/RecNum&gt;&lt;DisplayText&gt;Edmond Vermeil, &amp;apos;Ernest Tonnelat&amp;apos;, in: &lt;style face="italic"&gt;Politique étrangère, &lt;/style&gt;14 (1949), &lt;/DisplayText&gt;&lt;record&gt;&lt;rec-number&gt;83&lt;/rec-number&gt;&lt;foreign-keys&gt;&lt;key app="EN" db-id="2f5rvwawcsv2woetvw35fzwbdvvswerd0err"&gt;83&lt;/key&gt;&lt;/foreign-keys&gt;&lt;ref-type name="Journal Article"&gt;17&lt;/ref-type&gt;&lt;contributors&gt;&lt;authors&gt;&lt;author&gt;Vermeil, Edmond&lt;/author&gt;&lt;/authors&gt;&lt;/contributors&gt;&lt;titles&gt;&lt;title&gt;Ernest Tonnelat&lt;/title&gt;&lt;secondary-title&gt;Politique étrangère&lt;/secondary-title&gt;&lt;short-title&gt;Tonnelat&lt;/short-title&gt;&lt;/titles&gt;&lt;periodical&gt;&lt;full-title&gt;Politique étrangère&lt;/full-title&gt;&lt;/periodical&gt;&lt;volume&gt;14&lt;/volume&gt;&lt;number&gt;1&lt;/number&gt;&lt;dates&gt;&lt;year&gt;1949&lt;/year&gt;&lt;/dates&gt;&lt;urls&gt;&lt;/urls&gt;&lt;/record&gt;&lt;/Cite&gt;&lt;/EndNote&gt;</w:instrText>
      </w:r>
      <w:r>
        <w:fldChar w:fldCharType="separate"/>
      </w:r>
      <w:r w:rsidRPr="002A0BFE">
        <w:rPr>
          <w:noProof/>
          <w:lang w:val="fr-FR"/>
        </w:rPr>
        <w:t xml:space="preserve">Edmond Vermeil, 'Ernest Tonnelat', in: </w:t>
      </w:r>
      <w:r w:rsidRPr="002A0BFE">
        <w:rPr>
          <w:i/>
          <w:noProof/>
          <w:lang w:val="fr-FR"/>
        </w:rPr>
        <w:t xml:space="preserve">Politique étrangère, </w:t>
      </w:r>
      <w:r w:rsidRPr="002A0BFE">
        <w:rPr>
          <w:noProof/>
          <w:lang w:val="fr-FR"/>
        </w:rPr>
        <w:t xml:space="preserve">14 (1949), </w:t>
      </w:r>
      <w:r>
        <w:fldChar w:fldCharType="end"/>
      </w:r>
      <w:r w:rsidRPr="002A0BFE">
        <w:rPr>
          <w:lang w:val="fr-FR"/>
        </w:rPr>
        <w:t>pp.101-102.</w:t>
      </w:r>
    </w:p>
  </w:footnote>
  <w:footnote w:id="232">
    <w:p w14:paraId="2A7E83D1" w14:textId="77777777" w:rsidR="00DE3AC9" w:rsidRPr="0021137C" w:rsidRDefault="00DE3AC9" w:rsidP="0048510E">
      <w:pPr>
        <w:pStyle w:val="FootnoteText"/>
        <w:rPr>
          <w:lang w:val="fr-FR"/>
        </w:rPr>
      </w:pPr>
      <w:r>
        <w:rPr>
          <w:rStyle w:val="FootnoteReference"/>
        </w:rPr>
        <w:footnoteRef/>
      </w:r>
      <w:r w:rsidRPr="00ED33AA">
        <w:rPr>
          <w:lang w:val="fr-FR"/>
        </w:rPr>
        <w:t xml:space="preserve"> </w:t>
      </w:r>
      <w:r>
        <w:fldChar w:fldCharType="begin"/>
      </w:r>
      <w:r>
        <w:rPr>
          <w:lang w:val="fr-FR"/>
        </w:rPr>
        <w:instrText xml:space="preserve"> ADDIN EN.CITE &lt;EndNote&gt;&lt;Cite&gt;&lt;Author&gt;Bruant&lt;/Author&gt;&lt;Year&gt;2008&lt;/Year&gt;&lt;RecNum&gt;84&lt;/RecNum&gt;&lt;DisplayText&gt;Benoît Bruant, &lt;style face="italic"&gt;Hansi: artiste tendre et rebelle&lt;/style&gt;, (Strasbourg, 2008)&lt;/DisplayText&gt;&lt;record&gt;&lt;rec-number&gt;84&lt;/rec-number&gt;&lt;foreign-keys&gt;&lt;key app="EN" db-id="2f5rvwawcsv2woetvw35fzwbdvvswerd0err"&gt;84&lt;/key&gt;&lt;/foreign-keys&gt;&lt;ref-type name="Book"&gt;6&lt;/ref-type&gt;&lt;contributors&gt;&lt;authors&gt;&lt;author&gt;Bruant, Benoît&lt;/author&gt;&lt;/authors&gt;&lt;/contributors&gt;&lt;titles&gt;&lt;title&gt;Hansi: artiste tendre et rebelle&lt;/title&gt;&lt;short-title&gt;Hansi&lt;/short-title&gt;&lt;/titles&gt;&lt;dates&gt;&lt;year&gt;2008&lt;/year&gt;&lt;/dates&gt;&lt;pub-location&gt;Strasbourg&lt;/pub-location&gt;&lt;urls&gt;&lt;/urls&gt;&lt;/record&gt;&lt;/Cite&gt;&lt;/EndNote&gt;</w:instrText>
      </w:r>
      <w:r>
        <w:fldChar w:fldCharType="separate"/>
      </w:r>
      <w:r w:rsidRPr="00AD3467">
        <w:rPr>
          <w:noProof/>
          <w:lang w:val="fr-FR"/>
        </w:rPr>
        <w:t xml:space="preserve">Benoît Bruant, </w:t>
      </w:r>
      <w:r w:rsidRPr="00AD3467">
        <w:rPr>
          <w:i/>
          <w:noProof/>
          <w:lang w:val="fr-FR"/>
        </w:rPr>
        <w:t>Hansi: artiste tendre et rebelle</w:t>
      </w:r>
      <w:r w:rsidRPr="00AD3467">
        <w:rPr>
          <w:noProof/>
          <w:lang w:val="fr-FR"/>
        </w:rPr>
        <w:t>, (Strasbourg, 2008)</w:t>
      </w:r>
      <w:r>
        <w:fldChar w:fldCharType="end"/>
      </w:r>
      <w:r w:rsidRPr="00ED33AA">
        <w:rPr>
          <w:lang w:val="fr-FR"/>
        </w:rPr>
        <w:t xml:space="preserve"> and </w:t>
      </w:r>
      <w:r>
        <w:fldChar w:fldCharType="begin"/>
      </w:r>
      <w:r>
        <w:rPr>
          <w:lang w:val="fr-FR"/>
        </w:rPr>
        <w:instrText xml:space="preserve"> ADDIN EN.CITE &lt;EndNote&gt;&lt;Cite&gt;&lt;Author&gt;Cochet&lt;/Author&gt;&lt;Year&gt;2008&lt;/Year&gt;&lt;RecNum&gt;59&lt;/RecNum&gt;&lt;DisplayText&gt;Cochet and Porte, &lt;style face="italic"&gt;Dictionnaire&lt;/style&gt;&lt;/DisplayText&gt;&lt;record&gt;&lt;rec-number&gt;59&lt;/rec-number&gt;&lt;foreign-keys&gt;&lt;key app="EN" db-id="2f5rvwawcsv2woetvw35fzwbdvvswerd0err"&gt;59&lt;/key&gt;&lt;/foreign-keys&gt;&lt;ref-type name="Book"&gt;6&lt;/ref-type&gt;&lt;contributors&gt;&lt;authors&gt;&lt;author&gt;Cochet, François&lt;/author&gt;&lt;author&gt;Porte, Rémy&lt;/author&gt;&lt;/authors&gt;&lt;/contributors&gt;&lt;titles&gt;&lt;title&gt;Dictionnaire de la Grande Guerre 1914-1918&lt;/title&gt;&lt;short-title&gt;Dictionnaire&lt;/short-title&gt;&lt;/titles&gt;&lt;dates&gt;&lt;year&gt;2008&lt;/year&gt;&lt;/dates&gt;&lt;pub-location&gt;Paris&lt;/pub-location&gt;&lt;urls&gt;&lt;/urls&gt;&lt;/record&gt;&lt;/Cite&gt;&lt;/EndNote&gt;</w:instrText>
      </w:r>
      <w:r>
        <w:fldChar w:fldCharType="separate"/>
      </w:r>
      <w:r w:rsidRPr="00AD3467">
        <w:rPr>
          <w:noProof/>
          <w:lang w:val="fr-FR"/>
        </w:rPr>
        <w:t xml:space="preserve">Cochet and Porte, </w:t>
      </w:r>
      <w:r w:rsidRPr="00AD3467">
        <w:rPr>
          <w:i/>
          <w:noProof/>
          <w:lang w:val="fr-FR"/>
        </w:rPr>
        <w:t>Dictionnaire</w:t>
      </w:r>
      <w:r>
        <w:fldChar w:fldCharType="end"/>
      </w:r>
      <w:r w:rsidRPr="00ED33AA">
        <w:rPr>
          <w:lang w:val="fr-FR"/>
        </w:rPr>
        <w:t>, p. 526.</w:t>
      </w:r>
    </w:p>
  </w:footnote>
  <w:footnote w:id="233">
    <w:p w14:paraId="5293C589" w14:textId="77777777" w:rsidR="00DE3AC9" w:rsidRPr="002A6F53" w:rsidRDefault="00DE3AC9" w:rsidP="0048510E">
      <w:pPr>
        <w:pStyle w:val="FootnoteText"/>
      </w:pPr>
      <w:r>
        <w:rPr>
          <w:rStyle w:val="FootnoteReference"/>
        </w:rPr>
        <w:footnoteRef/>
      </w:r>
      <w:r>
        <w:t xml:space="preserve"> SHD AT: 6YE61601. Military file of Raymond Schuhl and SHD AT: 7N2484. Composition of the EMA. 1917.</w:t>
      </w:r>
    </w:p>
  </w:footnote>
  <w:footnote w:id="234">
    <w:p w14:paraId="0A0E0618" w14:textId="77777777" w:rsidR="00DE3AC9" w:rsidRPr="00CD01B8"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AD3467">
        <w:rPr>
          <w:i/>
          <w:noProof/>
        </w:rPr>
        <w:t>A travers</w:t>
      </w:r>
      <w:r>
        <w:fldChar w:fldCharType="end"/>
      </w:r>
      <w:r>
        <w:t xml:space="preserve">, p. 109. </w:t>
      </w:r>
    </w:p>
  </w:footnote>
  <w:footnote w:id="235">
    <w:p w14:paraId="570C7AB8" w14:textId="77777777" w:rsidR="00DE3AC9" w:rsidRPr="008A605E" w:rsidRDefault="00DE3AC9" w:rsidP="0048510E">
      <w:pPr>
        <w:pStyle w:val="FootnoteText"/>
      </w:pPr>
      <w:r>
        <w:rPr>
          <w:rStyle w:val="FootnoteReference"/>
        </w:rPr>
        <w:footnoteRef/>
      </w:r>
      <w:r>
        <w:t xml:space="preserve"> NA: INF4/1B. </w:t>
      </w:r>
      <w:r w:rsidRPr="008A605E">
        <w:t>History of MI7(b) (March 1916 – December 1918)</w:t>
      </w:r>
      <w:r>
        <w:t xml:space="preserve"> and </w:t>
      </w:r>
      <w:r>
        <w:rPr>
          <w:i/>
          <w:iCs/>
        </w:rPr>
        <w:t>District Orders</w:t>
      </w:r>
      <w:r>
        <w:t xml:space="preserve"> (</w:t>
      </w:r>
      <w:r>
        <w:rPr>
          <w:i/>
          <w:iCs/>
        </w:rPr>
        <w:t>London District)</w:t>
      </w:r>
      <w:r>
        <w:t xml:space="preserve"> No. 62, para. 2, 21 May 1917.</w:t>
      </w:r>
    </w:p>
  </w:footnote>
  <w:footnote w:id="236">
    <w:p w14:paraId="14CCC0EF" w14:textId="77777777" w:rsidR="00DE3AC9" w:rsidRPr="008D3508" w:rsidRDefault="00DE3AC9" w:rsidP="0048510E">
      <w:pPr>
        <w:pStyle w:val="FootnoteText"/>
      </w:pPr>
      <w:r>
        <w:rPr>
          <w:rStyle w:val="FootnoteReference"/>
        </w:rPr>
        <w:footnoteRef/>
      </w:r>
      <w:r>
        <w:t xml:space="preserve"> </w:t>
      </w:r>
      <w:r w:rsidRPr="008D3508">
        <w:t xml:space="preserve">The exact composition of MI7(b) is hard to establish since the archives were destroyed. </w:t>
      </w:r>
      <w:r>
        <w:t xml:space="preserve">A list mentions 17 writers and 3 artists in </w:t>
      </w:r>
      <w:r>
        <w:fldChar w:fldCharType="begin"/>
      </w:r>
      <w: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Pr>
          <w:noProof/>
        </w:rPr>
        <w:t xml:space="preserve">Occleshaw, </w:t>
      </w:r>
      <w:r w:rsidRPr="00AD3467">
        <w:rPr>
          <w:i/>
          <w:noProof/>
        </w:rPr>
        <w:t>Armour</w:t>
      </w:r>
      <w:r>
        <w:fldChar w:fldCharType="end"/>
      </w:r>
      <w:r>
        <w:t xml:space="preserve">, p. 392. The identity of these men was found in a rare book published after the war by MI7(b) members to commemorate post-conflict meetings. </w:t>
      </w:r>
      <w:r>
        <w:fldChar w:fldCharType="begin"/>
      </w:r>
      <w:r>
        <w:instrText xml:space="preserve"> ADDIN EN.CITE &lt;EndNote&gt;&lt;Cite&gt;&lt;Author&gt;MI7(b)&lt;/Author&gt;&lt;Year&gt;1921&lt;/Year&gt;&lt;RecNum&gt;86&lt;/RecNum&gt;&lt;DisplayText&gt;MI7(b), &lt;style face="italic"&gt;The Green book&lt;/style&gt;, (London, 1921)&lt;/DisplayText&gt;&lt;record&gt;&lt;rec-number&gt;86&lt;/rec-number&gt;&lt;foreign-keys&gt;&lt;key app="EN" db-id="2f5rvwawcsv2woetvw35fzwbdvvswerd0err"&gt;86&lt;/key&gt;&lt;/foreign-keys&gt;&lt;ref-type name="Book"&gt;6&lt;/ref-type&gt;&lt;contributors&gt;&lt;authors&gt;&lt;author&gt;MI7(b)&lt;/author&gt;&lt;/authors&gt;&lt;/contributors&gt;&lt;titles&gt;&lt;title&gt;The Green book&lt;/title&gt;&lt;short-title&gt;The Green&lt;/short-title&gt;&lt;/titles&gt;&lt;dates&gt;&lt;year&gt;1921&lt;/year&gt;&lt;/dates&gt;&lt;pub-location&gt;London&lt;/pub-location&gt;&lt;urls&gt;&lt;/urls&gt;&lt;/record&gt;&lt;/Cite&gt;&lt;/EndNote&gt;</w:instrText>
      </w:r>
      <w:r>
        <w:fldChar w:fldCharType="separate"/>
      </w:r>
      <w:r>
        <w:rPr>
          <w:noProof/>
        </w:rPr>
        <w:t xml:space="preserve">MI7(b), </w:t>
      </w:r>
      <w:r w:rsidRPr="00AD3467">
        <w:rPr>
          <w:i/>
          <w:noProof/>
        </w:rPr>
        <w:t>The Green book</w:t>
      </w:r>
      <w:r>
        <w:rPr>
          <w:noProof/>
        </w:rPr>
        <w:t>, (London, 1921)</w:t>
      </w:r>
      <w:r>
        <w:fldChar w:fldCharType="end"/>
      </w:r>
      <w:r>
        <w:t xml:space="preserve">. </w:t>
      </w:r>
    </w:p>
  </w:footnote>
  <w:footnote w:id="237">
    <w:p w14:paraId="0E124D5F" w14:textId="77777777" w:rsidR="00DE3AC9" w:rsidRPr="00CD01B8" w:rsidRDefault="00DE3AC9" w:rsidP="0048510E">
      <w:pPr>
        <w:pStyle w:val="FootnoteText"/>
      </w:pPr>
      <w:r>
        <w:rPr>
          <w:rStyle w:val="FootnoteReference"/>
        </w:rPr>
        <w:footnoteRef/>
      </w:r>
      <w:r>
        <w:t xml:space="preserve"> </w:t>
      </w:r>
      <w:r>
        <w:fldChar w:fldCharType="begin"/>
      </w:r>
      <w:r>
        <w:instrText xml:space="preserve"> ADDIN EN.CITE &lt;EndNote&gt;&lt;Cite&gt;&lt;Author&gt;Scott&lt;/Author&gt;&lt;Year&gt;2008&lt;/Year&gt;&lt;RecNum&gt;85&lt;/RecNum&gt;&lt;DisplayText&gt;Peter Scott, &amp;apos;Tea at the De Keyser Hotel - Edward Heron-Allen&amp;apos;s colleagues at MI7(b)&amp;apos;, in: &lt;style face="italic"&gt;Opuscullum Heron-Allen Society, &lt;/style&gt;XII (2008), &lt;/DisplayText&gt;&lt;record&gt;&lt;rec-number&gt;85&lt;/rec-number&gt;&lt;foreign-keys&gt;&lt;key app="EN" db-id="2f5rvwawcsv2woetvw35fzwbdvvswerd0err"&gt;85&lt;/key&gt;&lt;/foreign-keys&gt;&lt;ref-type name="Journal Article"&gt;17&lt;/ref-type&gt;&lt;contributors&gt;&lt;authors&gt;&lt;author&gt;Scott, Peter&lt;/author&gt;&lt;/authors&gt;&lt;/contributors&gt;&lt;titles&gt;&lt;title&gt;Tea at the De Keyser Hotel - Edward Heron-Allen&amp;apos;s colleagues at MI7(b)&lt;/title&gt;&lt;secondary-title&gt;Opuscullum Heron-Allen Society&lt;/secondary-title&gt;&lt;short-title&gt;Tea&lt;/short-title&gt;&lt;/titles&gt;&lt;periodical&gt;&lt;full-title&gt;Opuscullum Heron-Allen Society&lt;/full-title&gt;&lt;/periodical&gt;&lt;volume&gt;XII&lt;/volume&gt;&lt;dates&gt;&lt;year&gt;2008&lt;/year&gt;&lt;/dates&gt;&lt;urls&gt;&lt;/urls&gt;&lt;/record&gt;&lt;/Cite&gt;&lt;/EndNote&gt;</w:instrText>
      </w:r>
      <w:r>
        <w:fldChar w:fldCharType="separate"/>
      </w:r>
      <w:r>
        <w:rPr>
          <w:noProof/>
        </w:rPr>
        <w:t xml:space="preserve">Peter Scott, 'Tea at the De Keyser Hotel - Edward Heron-Allen's colleagues at MI7(b)', in: </w:t>
      </w:r>
      <w:r w:rsidRPr="008C02D4">
        <w:rPr>
          <w:i/>
          <w:noProof/>
        </w:rPr>
        <w:t xml:space="preserve">Opuscullum Heron-Allen Society, </w:t>
      </w:r>
      <w:r>
        <w:rPr>
          <w:noProof/>
        </w:rPr>
        <w:t xml:space="preserve">XII (2008), </w:t>
      </w:r>
      <w:r>
        <w:fldChar w:fldCharType="end"/>
      </w:r>
      <w:r>
        <w:t>pp. 30-41.</w:t>
      </w:r>
    </w:p>
  </w:footnote>
  <w:footnote w:id="238">
    <w:p w14:paraId="6F2EDFFE" w14:textId="77777777" w:rsidR="00DE3AC9" w:rsidRPr="008C02D4" w:rsidRDefault="00DE3AC9" w:rsidP="0048510E">
      <w:pPr>
        <w:pStyle w:val="FootnoteText"/>
      </w:pPr>
      <w:r>
        <w:rPr>
          <w:rStyle w:val="FootnoteReference"/>
        </w:rPr>
        <w:footnoteRef/>
      </w:r>
      <w:r w:rsidRPr="008C02D4">
        <w:t xml:space="preserve"> </w:t>
      </w:r>
      <w:r>
        <w:fldChar w:fldCharType="begin"/>
      </w:r>
      <w:r>
        <w:instrText xml:space="preserve"> ADDIN EN.CITE &lt;EndNote&gt;&lt;Cite&gt;&lt;Author&gt;Chakotin&lt;/Author&gt;&lt;Year&gt;1940&lt;/Year&gt;&lt;RecNum&gt;25&lt;/RecNum&gt;&lt;DisplayText&gt;Chakotin, &lt;style face="italic"&gt;The rape&lt;/style&gt;&lt;/DisplayText&gt;&lt;record&gt;&lt;rec-number&gt;25&lt;/rec-number&gt;&lt;foreign-keys&gt;&lt;key app="EN" db-id="2f5rvwawcsv2woetvw35fzwbdvvswerd0err"&gt;25&lt;/key&gt;&lt;/foreign-keys&gt;&lt;ref-type name="Book"&gt;6&lt;/ref-type&gt;&lt;contributors&gt;&lt;authors&gt;&lt;author&gt;Chakotin, Serge&lt;/author&gt;&lt;/authors&gt;&lt;/contributors&gt;&lt;titles&gt;&lt;title&gt;The rape of the masses: psychology of totalitarian political propaganda&lt;/title&gt;&lt;short-title&gt;The rape&lt;/short-title&gt;&lt;/titles&gt;&lt;dates&gt;&lt;year&gt;1940&lt;/year&gt;&lt;/dates&gt;&lt;pub-location&gt;London&lt;/pub-location&gt;&lt;publisher&gt;The Labour Book Service&lt;/publisher&gt;&lt;urls&gt;&lt;/urls&gt;&lt;/record&gt;&lt;/Cite&gt;&lt;/EndNote&gt;</w:instrText>
      </w:r>
      <w:r>
        <w:fldChar w:fldCharType="separate"/>
      </w:r>
      <w:r>
        <w:rPr>
          <w:noProof/>
        </w:rPr>
        <w:t xml:space="preserve">Chakotin, </w:t>
      </w:r>
      <w:r w:rsidRPr="00AD3467">
        <w:rPr>
          <w:i/>
          <w:noProof/>
        </w:rPr>
        <w:t>The rape</w:t>
      </w:r>
      <w:r>
        <w:fldChar w:fldCharType="end"/>
      </w:r>
      <w:r w:rsidRPr="008C02D4">
        <w:t>, p. 116.</w:t>
      </w:r>
    </w:p>
  </w:footnote>
  <w:footnote w:id="239">
    <w:p w14:paraId="74541319" w14:textId="77777777" w:rsidR="00DE3AC9" w:rsidRPr="00374CF4" w:rsidRDefault="00DE3AC9" w:rsidP="0048510E">
      <w:pPr>
        <w:pStyle w:val="FootnoteText"/>
      </w:pPr>
      <w:r>
        <w:rPr>
          <w:rStyle w:val="FootnoteReference"/>
        </w:rPr>
        <w:footnoteRef/>
      </w:r>
      <w:r w:rsidRPr="00374CF4">
        <w:t xml:space="preserve"> </w:t>
      </w:r>
      <w:r>
        <w:fldChar w:fldCharType="begin"/>
      </w:r>
      <w:r w:rsidRPr="00374CF4">
        <w:instrText xml:space="preserve"> ADDIN EN.CITE &lt;EndNote&gt;&lt;Cite&gt;&lt;Author&gt;Scott&lt;/Author&gt;&lt;Year&gt;2008&lt;/Year&gt;&lt;RecNum&gt;85&lt;/RecNum&gt;&lt;DisplayText&gt;Scott, &lt;style face="italic"&gt;Tea&lt;/style&gt;&lt;/DisplayText&gt;&lt;record&gt;&lt;rec-number&gt;85&lt;/rec-number&gt;&lt;foreign-keys&gt;&lt;key app="EN" db-id="2f5rvwawcsv2woetvw35fzwbdvvswerd0err"&gt;85&lt;/key&gt;&lt;/foreign-keys&gt;&lt;ref-type name="Journal Article"&gt;17&lt;/ref-type&gt;&lt;contributors&gt;&lt;authors&gt;&lt;author&gt;Scott, Peter&lt;/author&gt;&lt;/authors&gt;&lt;/contributors&gt;&lt;titles&gt;&lt;title&gt;Tea at the De Keyser Hotel - Edward Heron-Allen&amp;apos;s colleagues at MI7(b)&lt;/title&gt;&lt;secondary-title&gt;Opuscullum Heron-Allen Society&lt;/secondary-title&gt;&lt;short-title&gt;Tea&lt;/short-title&gt;&lt;/titles&gt;&lt;periodical&gt;&lt;full-title&gt;Opuscullum Heron-Allen Society&lt;/full-title&gt;&lt;/periodical&gt;&lt;volume&gt;XII&lt;/volume&gt;&lt;dates&gt;&lt;year&gt;2008&lt;/year&gt;&lt;/dates&gt;&lt;urls&gt;&lt;/urls&gt;&lt;/record&gt;&lt;/Cite&gt;&lt;/EndNote&gt;</w:instrText>
      </w:r>
      <w:r>
        <w:fldChar w:fldCharType="separate"/>
      </w:r>
      <w:r w:rsidRPr="00374CF4">
        <w:rPr>
          <w:noProof/>
        </w:rPr>
        <w:t xml:space="preserve">Scott, </w:t>
      </w:r>
      <w:r w:rsidRPr="00374CF4">
        <w:rPr>
          <w:i/>
          <w:noProof/>
        </w:rPr>
        <w:t>Tea</w:t>
      </w:r>
      <w:r>
        <w:fldChar w:fldCharType="end"/>
      </w:r>
      <w:r w:rsidRPr="00374CF4">
        <w:t xml:space="preserve">, </w:t>
      </w:r>
      <w:r w:rsidRPr="00374CF4">
        <w:rPr>
          <w:i/>
          <w:iCs/>
        </w:rPr>
        <w:t>Op. cit</w:t>
      </w:r>
      <w:r w:rsidRPr="00374CF4">
        <w:t>, pp. 30-41.</w:t>
      </w:r>
    </w:p>
  </w:footnote>
  <w:footnote w:id="240">
    <w:p w14:paraId="586DA1CA" w14:textId="615BC352" w:rsidR="00DE3AC9" w:rsidRPr="00CD01B8" w:rsidRDefault="00DE3AC9" w:rsidP="0048510E">
      <w:pPr>
        <w:pStyle w:val="FootnoteText"/>
      </w:pPr>
      <w:r>
        <w:rPr>
          <w:rStyle w:val="FootnoteReference"/>
        </w:rPr>
        <w:footnoteRef/>
      </w:r>
      <w:r>
        <w:t xml:space="preserve"> </w:t>
      </w:r>
      <w:r>
        <w:fldChar w:fldCharType="begin"/>
      </w:r>
      <w:r>
        <w:instrText xml:space="preserve"> ADDIN EN.CITE &lt;EndNote&gt;&lt;Cite&gt;&lt;Author&gt;Mitchell&lt;/Author&gt;&lt;Year&gt;1937&lt;/Year&gt;&lt;RecNum&gt;87&lt;/RecNum&gt;&lt;DisplayText&gt;Peter Chalmers Mitchell, &lt;style face="italic"&gt;My fill of the days&lt;/style&gt;, (London, 1937)&lt;/DisplayText&gt;&lt;record&gt;&lt;rec-number&gt;87&lt;/rec-number&gt;&lt;foreign-keys&gt;&lt;key app="EN" db-id="2f5rvwawcsv2woetvw35fzwbdvvswerd0err"&gt;87&lt;/key&gt;&lt;/foreign-keys&gt;&lt;ref-type name="Book"&gt;6&lt;/ref-type&gt;&lt;contributors&gt;&lt;authors&gt;&lt;author&gt;Chalmers Mitchell, Peter&lt;/author&gt;&lt;/authors&gt;&lt;/contributors&gt;&lt;titles&gt;&lt;title&gt;My fill of the days&lt;/title&gt;&lt;short-title&gt;My fill&lt;/short-title&gt;&lt;/titles&gt;&lt;dates&gt;&lt;year&gt;1937&lt;/year&gt;&lt;/dates&gt;&lt;pub-location&gt;London&lt;/pub-location&gt;&lt;urls&gt;&lt;/urls&gt;&lt;/record&gt;&lt;/Cite&gt;&lt;/EndNote&gt;</w:instrText>
      </w:r>
      <w:r>
        <w:fldChar w:fldCharType="separate"/>
      </w:r>
      <w:r>
        <w:rPr>
          <w:noProof/>
        </w:rPr>
        <w:t xml:space="preserve">Peter Chalmers Mitchell, </w:t>
      </w:r>
      <w:r w:rsidRPr="00AD3467">
        <w:rPr>
          <w:i/>
          <w:noProof/>
        </w:rPr>
        <w:t>My fill of the days</w:t>
      </w:r>
      <w:r>
        <w:rPr>
          <w:noProof/>
        </w:rPr>
        <w:t>, (London, 1937)</w:t>
      </w:r>
      <w:r>
        <w:fldChar w:fldCharType="end"/>
      </w:r>
      <w:r>
        <w:t xml:space="preserve">, p. 22 and </w:t>
      </w:r>
      <w:r>
        <w:fldChar w:fldCharType="begin"/>
      </w:r>
      <w:r>
        <w:instrText xml:space="preserve"> ADDIN EN.CITE &lt;EndNote&gt;&lt;Cite&gt;&lt;Author&gt;Heron-Allen&lt;/Author&gt;&lt;Year&gt;2002&lt;/Year&gt;&lt;RecNum&gt;88&lt;/RecNum&gt;&lt;DisplayText&gt;Heron-Allen, &lt;style face="italic"&gt;Journal&lt;/style&gt;&lt;/DisplayText&gt;&lt;record&gt;&lt;rec-number&gt;88&lt;/rec-number&gt;&lt;foreign-keys&gt;&lt;key app="EN" db-id="2f5rvwawcsv2woetvw35fzwbdvvswerd0err"&gt;88&lt;/key&gt;&lt;/foreign-keys&gt;&lt;ref-type name="Journal Article"&gt;17&lt;/ref-type&gt;&lt;contributors&gt;&lt;authors&gt;&lt;author&gt;Heron-Allen, Edward&lt;/author&gt;&lt;/authors&gt;&lt;/contributors&gt;&lt;titles&gt;&lt;title&gt;Journal of the Great War&lt;/title&gt;&lt;secondary-title&gt;Sussex Record Society&lt;/secondary-title&gt;&lt;short-title&gt;Journal&lt;/short-title&gt;&lt;/titles&gt;&lt;periodical&gt;&lt;full-title&gt;Sussex Record Society&lt;/full-title&gt;&lt;/periodical&gt;&lt;volume&gt;V&lt;/volume&gt;&lt;dates&gt;&lt;year&gt;2002&lt;/year&gt;&lt;/dates&gt;&lt;urls&gt;&lt;/urls&gt;&lt;/record&gt;&lt;/Cite&gt;&lt;/EndNote&gt;</w:instrText>
      </w:r>
      <w:r>
        <w:fldChar w:fldCharType="separate"/>
      </w:r>
      <w:r>
        <w:rPr>
          <w:noProof/>
        </w:rPr>
        <w:t xml:space="preserve">Heron-Allen, </w:t>
      </w:r>
      <w:r w:rsidRPr="00CA7435">
        <w:rPr>
          <w:i/>
          <w:noProof/>
        </w:rPr>
        <w:t>Journal</w:t>
      </w:r>
      <w:r>
        <w:fldChar w:fldCharType="end"/>
      </w:r>
      <w:r>
        <w:t>, p. 102.</w:t>
      </w:r>
    </w:p>
  </w:footnote>
  <w:footnote w:id="241">
    <w:p w14:paraId="00E49808" w14:textId="77777777" w:rsidR="00DE3AC9" w:rsidRPr="002236C3" w:rsidRDefault="00DE3AC9" w:rsidP="0048510E">
      <w:pPr>
        <w:pStyle w:val="FootnoteText"/>
        <w:rPr>
          <w:lang w:val="fr-FR"/>
        </w:rPr>
      </w:pPr>
      <w:r>
        <w:rPr>
          <w:rStyle w:val="FootnoteReference"/>
        </w:rPr>
        <w:footnoteRef/>
      </w:r>
      <w:r>
        <w:t xml:space="preserve">His correspondence is one of the rare accounts on life in the OPB. </w:t>
      </w:r>
      <w:r w:rsidRPr="00CD01B8">
        <w:rPr>
          <w:lang w:val="fr-FR"/>
        </w:rPr>
        <w:t xml:space="preserve">See: </w:t>
      </w:r>
      <w:r>
        <w:fldChar w:fldCharType="begin"/>
      </w:r>
      <w:r>
        <w:rPr>
          <w:lang w:val="fr-FR"/>
        </w:rPr>
        <w:instrText xml:space="preserve"> ADDIN EN.CITE &lt;EndNote&gt;&lt;Cite&gt;&lt;Author&gt;Bal&lt;/Author&gt;&lt;Year&gt;1998&lt;/Year&gt;&lt;RecNum&gt;89&lt;/RecNum&gt;&lt;DisplayText&gt;Marcel Bolle de Bal, &lt;style face="italic"&gt;Les survivants du boyau de la mort&lt;/style&gt;, (Brussels, 1998)&lt;/DisplayText&gt;&lt;record&gt;&lt;rec-number&gt;89&lt;/rec-number&gt;&lt;foreign-keys&gt;&lt;key app="EN" db-id="2f5rvwawcsv2woetvw35fzwbdvvswerd0err"&gt;89&lt;/key&gt;&lt;/foreign-keys&gt;&lt;ref-type name="Book"&gt;6&lt;/ref-type&gt;&lt;contributors&gt;&lt;authors&gt;&lt;author&gt;Bolle de Bal, Marcel&lt;/author&gt;&lt;/authors&gt;&lt;/contributors&gt;&lt;titles&gt;&lt;title&gt;Les survivants du boyau de la mort&lt;/title&gt;&lt;short-title&gt;Les survivants&lt;/short-title&gt;&lt;/titles&gt;&lt;dates&gt;&lt;year&gt;1998&lt;/year&gt;&lt;/dates&gt;&lt;pub-location&gt;Brussels&lt;/pub-location&gt;&lt;urls&gt;&lt;/urls&gt;&lt;/record&gt;&lt;/Cite&gt;&lt;/EndNote&gt;</w:instrText>
      </w:r>
      <w:r>
        <w:fldChar w:fldCharType="separate"/>
      </w:r>
      <w:r w:rsidRPr="00AD3467">
        <w:rPr>
          <w:noProof/>
          <w:lang w:val="fr-FR"/>
        </w:rPr>
        <w:t xml:space="preserve">Marcel Bolle de Bal, </w:t>
      </w:r>
      <w:r w:rsidRPr="00AD3467">
        <w:rPr>
          <w:i/>
          <w:noProof/>
          <w:lang w:val="fr-FR"/>
        </w:rPr>
        <w:t>Les survivants du boyau de la mort</w:t>
      </w:r>
      <w:r w:rsidRPr="00AD3467">
        <w:rPr>
          <w:noProof/>
          <w:lang w:val="fr-FR"/>
        </w:rPr>
        <w:t>, (Brussels, 1998)</w:t>
      </w:r>
      <w:r>
        <w:fldChar w:fldCharType="end"/>
      </w:r>
      <w:r w:rsidRPr="00CD01B8">
        <w:rPr>
          <w:lang w:val="fr-FR"/>
        </w:rPr>
        <w:t>.</w:t>
      </w:r>
    </w:p>
  </w:footnote>
  <w:footnote w:id="242">
    <w:p w14:paraId="5CA90F9F" w14:textId="5DCEC74D" w:rsidR="00DE3AC9" w:rsidRPr="005D2593" w:rsidRDefault="00DE3AC9" w:rsidP="0048510E">
      <w:pPr>
        <w:pStyle w:val="FootnoteText"/>
      </w:pPr>
      <w:r>
        <w:rPr>
          <w:rStyle w:val="FootnoteReference"/>
        </w:rPr>
        <w:footnoteRef/>
      </w:r>
      <w:r>
        <w:t xml:space="preserve"> </w:t>
      </w:r>
      <w:r>
        <w:fldChar w:fldCharType="begin"/>
      </w:r>
      <w:r>
        <w:instrText xml:space="preserve"> ADDIN EN.CITE &lt;EndNote&gt;&lt;Cite&gt;&lt;Author&gt;Purseigle&lt;/Author&gt;&lt;Year&gt;2007&lt;/Year&gt;&lt;RecNum&gt;339&lt;/RecNum&gt;&lt;DisplayText&gt;Pierre Purseigle, &amp;apos;&amp;apos;A wave on to our shores&amp;apos;: the exile and resettlement of refugees from the Western front, 1914-1918&amp;apos;, in: &lt;style face="italic"&gt;Contemporay European History, &lt;/style&gt;16 (2007), &lt;/DisplayText&gt;&lt;record&gt;&lt;rec-number&gt;339&lt;/rec-number&gt;&lt;foreign-keys&gt;&lt;key app="EN" db-id="2f5rvwawcsv2woetvw35fzwbdvvswerd0err"&gt;339&lt;/key&gt;&lt;/foreign-keys&gt;&lt;ref-type name="Journal Article"&gt;17&lt;/ref-type&gt;&lt;contributors&gt;&lt;authors&gt;&lt;author&gt;Purseigle, Pierre&lt;/author&gt;&lt;/authors&gt;&lt;/contributors&gt;&lt;titles&gt;&lt;title&gt;&amp;apos;A wave on to our shores&amp;apos;: the exile and resettlement of refugees from the Western front, 1914-1918&lt;/title&gt;&lt;secondary-title&gt;Contemporay European History&lt;/secondary-title&gt;&lt;short-title&gt;&amp;apos;A wave on to our shores&amp;apos;&lt;/short-title&gt;&lt;/titles&gt;&lt;periodical&gt;&lt;full-title&gt;Contemporay European History&lt;/full-title&gt;&lt;/periodical&gt;&lt;volume&gt;16&lt;/volume&gt;&lt;dates&gt;&lt;year&gt;2007&lt;/year&gt;&lt;/dates&gt;&lt;urls&gt;&lt;/urls&gt;&lt;/record&gt;&lt;/Cite&gt;&lt;/EndNote&gt;</w:instrText>
      </w:r>
      <w:r>
        <w:fldChar w:fldCharType="separate"/>
      </w:r>
      <w:r>
        <w:rPr>
          <w:noProof/>
        </w:rPr>
        <w:t xml:space="preserve">Pierre Purseigle, ''A wave on to our shores': the exile and resettlement of refugees from the Western front, 1914-1918', in: </w:t>
      </w:r>
      <w:r w:rsidRPr="005D2593">
        <w:rPr>
          <w:i/>
          <w:noProof/>
        </w:rPr>
        <w:t>Contempora</w:t>
      </w:r>
      <w:r>
        <w:rPr>
          <w:i/>
          <w:noProof/>
        </w:rPr>
        <w:t>r</w:t>
      </w:r>
      <w:r w:rsidRPr="005D2593">
        <w:rPr>
          <w:i/>
          <w:noProof/>
        </w:rPr>
        <w:t xml:space="preserve">y European History, </w:t>
      </w:r>
      <w:r>
        <w:rPr>
          <w:noProof/>
        </w:rPr>
        <w:t xml:space="preserve">16 (2007), </w:t>
      </w:r>
      <w:r>
        <w:fldChar w:fldCharType="end"/>
      </w:r>
      <w:r>
        <w:t>p. 428.</w:t>
      </w:r>
    </w:p>
  </w:footnote>
  <w:footnote w:id="243">
    <w:p w14:paraId="5CC920C0" w14:textId="77777777" w:rsidR="00DE3AC9" w:rsidRPr="008C02D4" w:rsidRDefault="00DE3AC9" w:rsidP="0048510E">
      <w:pPr>
        <w:pStyle w:val="FootnoteText"/>
        <w:rPr>
          <w:lang w:val="fr-FR"/>
        </w:rPr>
      </w:pPr>
      <w:r>
        <w:rPr>
          <w:rStyle w:val="FootnoteReference"/>
        </w:rPr>
        <w:footnoteRef/>
      </w:r>
      <w:r w:rsidRPr="008C02D4">
        <w:rPr>
          <w:lang w:val="fr-FR"/>
        </w:rPr>
        <w:t xml:space="preserve"> </w:t>
      </w:r>
      <w:r>
        <w:fldChar w:fldCharType="begin"/>
      </w:r>
      <w:r>
        <w:rPr>
          <w:lang w:val="fr-FR"/>
        </w:rPr>
        <w:instrText xml:space="preserve"> ADDIN EN.CITE &lt;EndNote&gt;&lt;Cite&gt;&lt;Author&gt;Amara&lt;/Author&gt;&lt;Year&gt;2012&lt;/Year&gt;&lt;RecNum&gt;149&lt;/RecNum&gt;&lt;DisplayText&gt;Amara, &lt;style face="italic"&gt;Les grands défis&lt;/style&gt;&lt;/DisplayText&gt;&lt;record&gt;&lt;rec-number&gt;149&lt;/rec-number&gt;&lt;foreign-keys&gt;&lt;key app="EN" db-id="2f5rvwawcsv2woetvw35fzwbdvvswerd0err"&gt;149&lt;/key&gt;&lt;/foreign-keys&gt;&lt;ref-type name="Book Section"&gt;5&lt;/ref-type&gt;&lt;contributors&gt;&lt;authors&gt;&lt;author&gt;Amara, Michael&lt;/author&gt;&lt;/authors&gt;&lt;secondary-authors&gt;&lt;author&gt;B. Rochet &lt;/author&gt;&lt;author&gt;A. Tixhon&lt;/author&gt;&lt;/secondary-authors&gt;&lt;/contributors&gt;&lt;titles&gt;&lt;title&gt;Les grands défis de la propagande belge durant la Première Guerre Mondiale&lt;/title&gt;&lt;secondary-title&gt;La petite Belgique dans la Grande Guerre: une icône, des images&lt;/secondary-title&gt;&lt;short-title&gt;Les grands défis&lt;/short-title&gt;&lt;/titles&gt;&lt;dates&gt;&lt;year&gt;2012&lt;/year&gt;&lt;/dates&gt;&lt;pub-location&gt;Namur&lt;/pub-location&gt;&lt;urls&gt;&lt;/urls&gt;&lt;/record&gt;&lt;/Cite&gt;&lt;/EndNote&gt;</w:instrText>
      </w:r>
      <w:r>
        <w:fldChar w:fldCharType="separate"/>
      </w:r>
      <w:r w:rsidRPr="00AD3467">
        <w:rPr>
          <w:noProof/>
          <w:lang w:val="fr-FR"/>
        </w:rPr>
        <w:t xml:space="preserve">Amara, </w:t>
      </w:r>
      <w:r w:rsidRPr="00AD3467">
        <w:rPr>
          <w:i/>
          <w:noProof/>
          <w:lang w:val="fr-FR"/>
        </w:rPr>
        <w:t>Les grands défis</w:t>
      </w:r>
      <w:r>
        <w:fldChar w:fldCharType="end"/>
      </w:r>
      <w:r w:rsidRPr="008C02D4">
        <w:rPr>
          <w:lang w:val="fr-FR"/>
        </w:rPr>
        <w:t>, p. 24.</w:t>
      </w:r>
    </w:p>
  </w:footnote>
  <w:footnote w:id="244">
    <w:p w14:paraId="2AFA50D3" w14:textId="77777777" w:rsidR="00DE3AC9" w:rsidRPr="002F2A73" w:rsidRDefault="00DE3AC9" w:rsidP="0048510E">
      <w:pPr>
        <w:pStyle w:val="FootnoteText"/>
      </w:pPr>
      <w:r>
        <w:rPr>
          <w:rStyle w:val="FootnoteReference"/>
        </w:rPr>
        <w:footnoteRef/>
      </w:r>
      <w:r>
        <w:t xml:space="preserve"> </w:t>
      </w:r>
      <w:r>
        <w:fldChar w:fldCharType="begin"/>
      </w:r>
      <w: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 xml:space="preserve">Brooks, </w:t>
      </w:r>
      <w:r w:rsidRPr="007B7627">
        <w:rPr>
          <w:i/>
          <w:noProof/>
        </w:rPr>
        <w:t>British propaganda</w:t>
      </w:r>
      <w:r>
        <w:fldChar w:fldCharType="end"/>
      </w:r>
      <w:r>
        <w:t xml:space="preserve">, pp. 36-56 and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7B7627">
        <w:rPr>
          <w:i/>
          <w:noProof/>
        </w:rPr>
        <w:t>British propaganda</w:t>
      </w:r>
      <w:r>
        <w:fldChar w:fldCharType="end"/>
      </w:r>
      <w:r>
        <w:t>pp. 101-136.</w:t>
      </w:r>
    </w:p>
  </w:footnote>
  <w:footnote w:id="245">
    <w:p w14:paraId="5FFB77C8" w14:textId="77777777" w:rsidR="00DE3AC9" w:rsidRPr="00152300" w:rsidRDefault="00DE3AC9" w:rsidP="005C7BEE">
      <w:pPr>
        <w:pStyle w:val="FootnoteText"/>
        <w:rPr>
          <w:lang w:val="fr-FR"/>
        </w:rPr>
      </w:pPr>
      <w:r>
        <w:rPr>
          <w:rStyle w:val="FootnoteReference"/>
        </w:rPr>
        <w:footnoteRef/>
      </w:r>
      <w:r w:rsidRPr="00152300">
        <w:rPr>
          <w:lang w:val="fr-FR"/>
        </w:rPr>
        <w:t xml:space="preserve"> </w:t>
      </w:r>
      <w:r>
        <w:fldChar w:fldCharType="begin"/>
      </w:r>
      <w:r>
        <w:rPr>
          <w:lang w:val="fr-FR"/>
        </w:rPr>
        <w:instrText xml:space="preserve"> ADDIN EN.CITE &lt;EndNote&gt;&lt;Cite&gt;&lt;Author&gt;Kennett&lt;/Author&gt;&lt;Year&gt;2005&lt;/Year&gt;&lt;RecNum&gt;93&lt;/RecNum&gt;&lt;DisplayText&gt;Lee Kennett, &lt;style face="italic"&gt;La première guerre aérienne: 1914-1918&lt;/style&gt;, (Paris, 2005)&lt;/DisplayText&gt;&lt;record&gt;&lt;rec-number&gt;93&lt;/rec-number&gt;&lt;foreign-keys&gt;&lt;key app="EN" db-id="2f5rvwawcsv2woetvw35fzwbdvvswerd0err"&gt;93&lt;/key&gt;&lt;/foreign-keys&gt;&lt;ref-type name="Book"&gt;6&lt;/ref-type&gt;&lt;contributors&gt;&lt;authors&gt;&lt;author&gt;Kennett, Lee&lt;/author&gt;&lt;/authors&gt;&lt;/contributors&gt;&lt;titles&gt;&lt;title&gt;La première guerre aérienne: 1914-1918&lt;/title&gt;&lt;short-title&gt;La première&lt;/short-title&gt;&lt;/titles&gt;&lt;dates&gt;&lt;year&gt;2005&lt;/year&gt;&lt;/dates&gt;&lt;pub-location&gt;Paris&lt;/pub-location&gt;&lt;urls&gt;&lt;/urls&gt;&lt;/record&gt;&lt;/Cite&gt;&lt;/EndNote&gt;</w:instrText>
      </w:r>
      <w:r>
        <w:fldChar w:fldCharType="separate"/>
      </w:r>
      <w:r w:rsidRPr="005C7BEE">
        <w:rPr>
          <w:noProof/>
          <w:lang w:val="fr-FR"/>
        </w:rPr>
        <w:t xml:space="preserve">Lee Kennett, </w:t>
      </w:r>
      <w:r w:rsidRPr="005C7BEE">
        <w:rPr>
          <w:i/>
          <w:noProof/>
          <w:lang w:val="fr-FR"/>
        </w:rPr>
        <w:t>La première guerre aérienne: 1914-1918</w:t>
      </w:r>
      <w:r w:rsidRPr="005C7BEE">
        <w:rPr>
          <w:noProof/>
          <w:lang w:val="fr-FR"/>
        </w:rPr>
        <w:t>, (Paris, 2005)</w:t>
      </w:r>
      <w:r>
        <w:fldChar w:fldCharType="end"/>
      </w:r>
      <w:r w:rsidRPr="00152300">
        <w:rPr>
          <w:lang w:val="fr-FR"/>
        </w:rPr>
        <w:t>, p. 90.</w:t>
      </w:r>
    </w:p>
  </w:footnote>
  <w:footnote w:id="246">
    <w:p w14:paraId="4D2F1849" w14:textId="12463CD1" w:rsidR="00DE3AC9" w:rsidRPr="00E6005A" w:rsidRDefault="00DE3AC9" w:rsidP="00605DB1">
      <w:pPr>
        <w:pStyle w:val="FootnoteText"/>
      </w:pPr>
      <w:r>
        <w:rPr>
          <w:rStyle w:val="FootnoteReference"/>
        </w:rPr>
        <w:footnoteRef/>
      </w:r>
      <w:r>
        <w:t xml:space="preserve"> Early reports did not survive but later documents listed those advantages. See: NA: War Office (WO) 32/5143. Report by Captain P. Chalmers Mitchell about aerial distribution. 23 February 1918. </w:t>
      </w:r>
      <w:r>
        <w:fldChar w:fldCharType="begin"/>
      </w:r>
      <w:r>
        <w:instrText xml:space="preserve"> ADDIN EN.CITE &lt;EndNote&gt;&lt;Cite&gt;&lt;Author&gt;Westermann&lt;/Author&gt;&lt;Year&gt;2001&lt;/Year&gt;&lt;RecNum&gt;322&lt;/RecNum&gt;&lt;DisplayText&gt;Edward Westermann, &amp;apos;Fighting for the heavens from the ground: German ground-based air defences in the Great War, 1914-1918&amp;apos;, in: &lt;style face="italic"&gt;The Journal of Military History, &lt;/style&gt;65 (2001), &lt;/DisplayText&gt;&lt;record&gt;&lt;rec-number&gt;322&lt;/rec-number&gt;&lt;foreign-keys&gt;&lt;key app="EN" db-id="2f5rvwawcsv2woetvw35fzwbdvvswerd0err"&gt;322&lt;/key&gt;&lt;/foreign-keys&gt;&lt;ref-type name="Journal Article"&gt;17&lt;/ref-type&gt;&lt;contributors&gt;&lt;authors&gt;&lt;author&gt;Westermann, Edward&lt;/author&gt;&lt;/authors&gt;&lt;/contributors&gt;&lt;titles&gt;&lt;title&gt;Fighting for the heavens from the ground: German ground-based air defences in the Great War, 1914-1918&lt;/title&gt;&lt;secondary-title&gt;The Journal of Military History&lt;/secondary-title&gt;&lt;short-title&gt;Fighting for the heavens&lt;/short-title&gt;&lt;/titles&gt;&lt;periodical&gt;&lt;full-title&gt;The Journal of Military History&lt;/full-title&gt;&lt;/periodical&gt;&lt;volume&gt;65&lt;/volume&gt;&lt;dates&gt;&lt;year&gt;2001&lt;/year&gt;&lt;/dates&gt;&lt;urls&gt;&lt;/urls&gt;&lt;/record&gt;&lt;/Cite&gt;&lt;/EndNote&gt;</w:instrText>
      </w:r>
      <w:r>
        <w:fldChar w:fldCharType="separate"/>
      </w:r>
      <w:r>
        <w:rPr>
          <w:noProof/>
        </w:rPr>
        <w:t xml:space="preserve">Edward Westermann, 'Fighting for the heavens from the ground: German ground-based air defences in the Great War, 1914-1918', in: </w:t>
      </w:r>
      <w:r w:rsidRPr="00FE10C7">
        <w:rPr>
          <w:i/>
          <w:noProof/>
        </w:rPr>
        <w:t xml:space="preserve">The Journal of Military History, </w:t>
      </w:r>
      <w:r>
        <w:rPr>
          <w:noProof/>
        </w:rPr>
        <w:t xml:space="preserve">65 (2001), </w:t>
      </w:r>
      <w:r>
        <w:fldChar w:fldCharType="end"/>
      </w:r>
      <w:r>
        <w:t xml:space="preserve">p. 651. The </w:t>
      </w:r>
      <w:r w:rsidR="00605DB1">
        <w:t>aerial units</w:t>
      </w:r>
      <w:r>
        <w:t xml:space="preserve"> w</w:t>
      </w:r>
      <w:r w:rsidR="00605DB1">
        <w:t>ere</w:t>
      </w:r>
      <w:r>
        <w:t xml:space="preserve"> not independent. The RFC, founded on 13 May 1912, was part of the British army until it became a full service branch on 1 April 1918. The French </w:t>
      </w:r>
      <w:r w:rsidR="00605DB1">
        <w:t>air force</w:t>
      </w:r>
      <w:r>
        <w:t xml:space="preserve"> was founded in 1909 but only became independent on 2 July 1934.The Belgian </w:t>
      </w:r>
      <w:r w:rsidR="00605DB1">
        <w:t>air force</w:t>
      </w:r>
      <w:r>
        <w:t xml:space="preserve"> only became autonomous in 1946. </w:t>
      </w:r>
    </w:p>
  </w:footnote>
  <w:footnote w:id="247">
    <w:p w14:paraId="22C38030" w14:textId="77777777" w:rsidR="00DE3AC9" w:rsidRPr="007049CB" w:rsidRDefault="00DE3AC9" w:rsidP="0048510E">
      <w:pPr>
        <w:pStyle w:val="FootnoteText"/>
      </w:pPr>
      <w:r>
        <w:rPr>
          <w:rStyle w:val="FootnoteReference"/>
        </w:rPr>
        <w:footnoteRef/>
      </w:r>
      <w:r>
        <w:t xml:space="preserve">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7B7627">
        <w:rPr>
          <w:i/>
          <w:noProof/>
        </w:rPr>
        <w:t>British propaganda</w:t>
      </w:r>
      <w:r>
        <w:fldChar w:fldCharType="end"/>
      </w:r>
      <w:r>
        <w:t>, p. 211.</w:t>
      </w:r>
    </w:p>
  </w:footnote>
  <w:footnote w:id="248">
    <w:p w14:paraId="411978D8" w14:textId="77777777" w:rsidR="00DE3AC9" w:rsidRPr="00F262F3" w:rsidRDefault="00DE3AC9" w:rsidP="0048510E">
      <w:pPr>
        <w:pStyle w:val="FootnoteText"/>
      </w:pPr>
      <w:r>
        <w:rPr>
          <w:rStyle w:val="FootnoteReference"/>
        </w:rPr>
        <w:footnoteRef/>
      </w:r>
      <w:r>
        <w:t xml:space="preserve"> SHD AT: 19N479. Note from General Pelle to army generals. 20 July 1915. </w:t>
      </w:r>
    </w:p>
  </w:footnote>
  <w:footnote w:id="249">
    <w:p w14:paraId="093DD448" w14:textId="77777777" w:rsidR="00DE3AC9" w:rsidRPr="00952165" w:rsidRDefault="00DE3AC9" w:rsidP="0048510E">
      <w:pPr>
        <w:pStyle w:val="FootnoteText"/>
      </w:pPr>
      <w:r>
        <w:rPr>
          <w:rStyle w:val="FootnoteReference"/>
        </w:rPr>
        <w:footnoteRef/>
      </w:r>
      <w:r>
        <w:t xml:space="preserve"> SHD AT: 16N1570. Report about the new rules for the distribution of propaganda. 25 October 1915.</w:t>
      </w:r>
    </w:p>
  </w:footnote>
  <w:footnote w:id="250">
    <w:p w14:paraId="24059185" w14:textId="77777777" w:rsidR="00DE3AC9" w:rsidRPr="00F262F3" w:rsidRDefault="00DE3AC9" w:rsidP="0048510E">
      <w:pPr>
        <w:pStyle w:val="FootnoteText"/>
      </w:pPr>
      <w:r>
        <w:rPr>
          <w:rStyle w:val="FootnoteReference"/>
        </w:rPr>
        <w:footnoteRef/>
      </w:r>
      <w:r>
        <w:t xml:space="preserve"> </w:t>
      </w:r>
      <w:r w:rsidRPr="001D0F54">
        <w:t xml:space="preserve">Parc n. 1 in Faverolles, Parc n. 2 in , Parc n. 3 in Ipecourt, Parc n. 4 in Chalons, Parc n. 5 in </w:t>
      </w:r>
      <w:r>
        <w:t>Bar le Duc</w:t>
      </w:r>
      <w:r w:rsidRPr="001D0F54">
        <w:t xml:space="preserve"> n. 6 i</w:t>
      </w:r>
      <w:r>
        <w:t xml:space="preserve">n Noyon, Parc n. 7 in Lagery, Parc n. 8 in Grand Polissoir, Parc n. 9 in Belfort, Parc n. 10 in Saint Nicolas, Parc n. 101 in Villeneuve, Parc n. 103 in Roye, Parc n. 104 in, Parc n. 105 H, Parc n. 111 in Cramenil, Parc n. 112 in Dunkerque, Parc n. 113 in and Port d’attache of Epinal. </w:t>
      </w:r>
      <w:r w:rsidRPr="00F262F3">
        <w:t>SHD AT: 16N1569. Report by the GQG</w:t>
      </w:r>
      <w:r>
        <w:t xml:space="preserve"> concerning the repartition of propaganda between PA and PoA. 27 February 19117.</w:t>
      </w:r>
    </w:p>
  </w:footnote>
  <w:footnote w:id="251">
    <w:p w14:paraId="04AC5A1C" w14:textId="77777777" w:rsidR="00DE3AC9" w:rsidRPr="00952165" w:rsidRDefault="00DE3AC9" w:rsidP="005C7BEE">
      <w:pPr>
        <w:pStyle w:val="FootnoteText"/>
      </w:pPr>
      <w:r>
        <w:rPr>
          <w:rStyle w:val="FootnoteReference"/>
        </w:rPr>
        <w:footnoteRef/>
      </w:r>
      <w:r>
        <w:t xml:space="preserve"> SHD AT: 19N479. Note from General Pelle, </w:t>
      </w:r>
      <w:r w:rsidRPr="00952165">
        <w:t>Op. cit</w:t>
      </w:r>
      <w:r>
        <w:t xml:space="preserve">. The CA had been suppressed in 1911 following the introduction of dirigibles but their poor performances led to the reintroduction of the CA. </w:t>
      </w:r>
      <w:r>
        <w:fldChar w:fldCharType="begin"/>
      </w:r>
      <w:r>
        <w:instrText xml:space="preserve"> ADDIN EN.CITE &lt;EndNote&gt;&lt;Cite&gt;&lt;Author&gt;Porch&lt;/Author&gt;&lt;Year&gt;1996&lt;/Year&gt;&lt;RecNum&gt;90&lt;/RecNum&gt;&lt;DisplayText&gt;Douglas Porch, &lt;style face="italic"&gt;The French secret service: a history of French intelligence from the Dreyfus affair to the Gulf war&lt;/style&gt;, (London, 1996)&lt;/DisplayText&gt;&lt;record&gt;&lt;rec-number&gt;90&lt;/rec-number&gt;&lt;foreign-keys&gt;&lt;key app="EN" db-id="2f5rvwawcsv2woetvw35fzwbdvvswerd0err"&gt;90&lt;/key&gt;&lt;/foreign-keys&gt;&lt;ref-type name="Book"&gt;6&lt;/ref-type&gt;&lt;contributors&gt;&lt;authors&gt;&lt;author&gt;Porch, Douglas&lt;/author&gt;&lt;/authors&gt;&lt;/contributors&gt;&lt;titles&gt;&lt;title&gt;The French secret service: a history of French intelligence from the Dreyfus affair to the Gulf war&lt;/title&gt;&lt;short-title&gt;The French secret service&lt;/short-title&gt;&lt;/titles&gt;&lt;dates&gt;&lt;year&gt;1996&lt;/year&gt;&lt;/dates&gt;&lt;pub-location&gt;London&lt;/pub-location&gt;&lt;urls&gt;&lt;/urls&gt;&lt;/record&gt;&lt;/Cite&gt;&lt;/EndNote&gt;</w:instrText>
      </w:r>
      <w:r>
        <w:fldChar w:fldCharType="separate"/>
      </w:r>
      <w:r>
        <w:rPr>
          <w:noProof/>
        </w:rPr>
        <w:t xml:space="preserve">Douglas Porch, </w:t>
      </w:r>
      <w:r w:rsidRPr="005C7BEE">
        <w:rPr>
          <w:i/>
          <w:noProof/>
        </w:rPr>
        <w:t>The French secret service: a history of French intelligence from the Dreyfus affair to the Gulf war</w:t>
      </w:r>
      <w:r>
        <w:rPr>
          <w:noProof/>
        </w:rPr>
        <w:t>, (London, 1996)</w:t>
      </w:r>
      <w:r>
        <w:fldChar w:fldCharType="end"/>
      </w:r>
      <w:r>
        <w:t>, p. 95.</w:t>
      </w:r>
    </w:p>
  </w:footnote>
  <w:footnote w:id="252">
    <w:p w14:paraId="63099FE3" w14:textId="77777777" w:rsidR="00DE3AC9" w:rsidRPr="008536AE" w:rsidRDefault="00DE3AC9" w:rsidP="0048510E">
      <w:pPr>
        <w:pStyle w:val="FootnoteText"/>
        <w:rPr>
          <w:lang w:val="fr-FR"/>
        </w:rPr>
      </w:pPr>
      <w:r>
        <w:rPr>
          <w:rStyle w:val="FootnoteReference"/>
        </w:rPr>
        <w:footnoteRef/>
      </w:r>
      <w:r>
        <w:t xml:space="preserve"> </w:t>
      </w:r>
      <w:r w:rsidRPr="004B01FA">
        <w:t>SHD AA: 1A176. Report by Colonel Valantin</w:t>
      </w:r>
      <w:r>
        <w:t xml:space="preserve"> to the war minister. </w:t>
      </w:r>
      <w:r w:rsidRPr="008536AE">
        <w:rPr>
          <w:lang w:val="fr-FR"/>
        </w:rPr>
        <w:t>29 October 1915.</w:t>
      </w:r>
    </w:p>
  </w:footnote>
  <w:footnote w:id="253">
    <w:p w14:paraId="0347BEC1" w14:textId="77777777" w:rsidR="00DE3AC9" w:rsidRPr="00676447" w:rsidRDefault="00DE3AC9" w:rsidP="0048510E">
      <w:pPr>
        <w:pStyle w:val="FootnoteText"/>
        <w:rPr>
          <w:lang w:val="fr-FR"/>
        </w:rPr>
      </w:pPr>
      <w:r>
        <w:rPr>
          <w:rStyle w:val="FootnoteReference"/>
        </w:rPr>
        <w:footnoteRef/>
      </w:r>
      <w:r w:rsidRPr="008536AE">
        <w:rPr>
          <w:lang w:val="fr-FR"/>
        </w:rPr>
        <w:t xml:space="preserve"> </w:t>
      </w:r>
      <w:r>
        <w:fldChar w:fldCharType="begin"/>
      </w:r>
      <w:r>
        <w:rPr>
          <w:lang w:val="fr-FR"/>
        </w:rPr>
        <w:instrText xml:space="preserve"> ADDIN EN.CITE &lt;EndNote&gt;&lt;Cite&gt;&lt;Author&gt;Nivet&lt;/Author&gt;&lt;Year&gt;2004&lt;/Year&gt;&lt;RecNum&gt;27&lt;/RecNum&gt;&lt;DisplayText&gt;Philippe Nivet, &lt;style face="italic"&gt;Les réfugiés français de la grande guerre&lt;/style&gt;, (Paris, 2004)&lt;/DisplayText&gt;&lt;record&gt;&lt;rec-number&gt;27&lt;/rec-number&gt;&lt;foreign-keys&gt;&lt;key app="EN" db-id="2f5rvwawcsv2woetvw35fzwbdvvswerd0err"&gt;27&lt;/key&gt;&lt;/foreign-keys&gt;&lt;ref-type name="Book"&gt;6&lt;/ref-type&gt;&lt;contributors&gt;&lt;authors&gt;&lt;author&gt;Nivet, Philippe&lt;/author&gt;&lt;/authors&gt;&lt;/contributors&gt;&lt;titles&gt;&lt;title&gt;Les réfugiés français de la grande guerre&lt;/title&gt;&lt;short-title&gt;Les réfugiés&lt;/short-title&gt;&lt;/titles&gt;&lt;dates&gt;&lt;year&gt;2004&lt;/year&gt;&lt;/dates&gt;&lt;pub-location&gt;Paris&lt;/pub-location&gt;&lt;publisher&gt;Economica&lt;/publisher&gt;&lt;urls&gt;&lt;/urls&gt;&lt;/record&gt;&lt;/Cite&gt;&lt;/EndNote&gt;</w:instrText>
      </w:r>
      <w:r>
        <w:fldChar w:fldCharType="separate"/>
      </w:r>
      <w:r w:rsidRPr="007B7627">
        <w:rPr>
          <w:noProof/>
          <w:lang w:val="fr-FR"/>
        </w:rPr>
        <w:t xml:space="preserve">Philippe Nivet, </w:t>
      </w:r>
      <w:r w:rsidRPr="007B7627">
        <w:rPr>
          <w:i/>
          <w:noProof/>
          <w:lang w:val="fr-FR"/>
        </w:rPr>
        <w:t>Les réfugiés français de la grande guerre</w:t>
      </w:r>
      <w:r w:rsidRPr="007B7627">
        <w:rPr>
          <w:noProof/>
          <w:lang w:val="fr-FR"/>
        </w:rPr>
        <w:t>, (Paris, 2004)</w:t>
      </w:r>
      <w:r>
        <w:fldChar w:fldCharType="end"/>
      </w:r>
      <w:r w:rsidRPr="008536AE">
        <w:rPr>
          <w:lang w:val="fr-FR"/>
        </w:rPr>
        <w:t>, pp. 56-62.</w:t>
      </w:r>
    </w:p>
  </w:footnote>
  <w:footnote w:id="254">
    <w:p w14:paraId="726DAC2E"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sidRPr="00C54460">
        <w:rPr>
          <w:noProof/>
        </w:rPr>
        <w:t xml:space="preserve">Becker, </w:t>
      </w:r>
      <w:r w:rsidRPr="00C54460">
        <w:rPr>
          <w:i/>
          <w:noProof/>
        </w:rPr>
        <w:t>Oubliés</w:t>
      </w:r>
      <w:r>
        <w:fldChar w:fldCharType="end"/>
      </w:r>
      <w:r w:rsidRPr="00C54460">
        <w:t>, p. 66.</w:t>
      </w:r>
    </w:p>
  </w:footnote>
  <w:footnote w:id="255">
    <w:p w14:paraId="74735825" w14:textId="77777777" w:rsidR="00DE3AC9" w:rsidRPr="00D022A0" w:rsidRDefault="00DE3AC9" w:rsidP="0048510E">
      <w:pPr>
        <w:pStyle w:val="FootnoteText"/>
      </w:pPr>
      <w:r>
        <w:rPr>
          <w:rStyle w:val="FootnoteReference"/>
        </w:rPr>
        <w:footnoteRef/>
      </w:r>
      <w:r>
        <w:t xml:space="preserve"> </w:t>
      </w:r>
      <w:r>
        <w:fldChar w:fldCharType="begin"/>
      </w:r>
      <w: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Pr>
          <w:noProof/>
        </w:rPr>
        <w:t xml:space="preserve">Connolly, </w:t>
      </w:r>
      <w:r w:rsidRPr="007B7627">
        <w:rPr>
          <w:i/>
          <w:noProof/>
        </w:rPr>
        <w:t>Encountering Germans</w:t>
      </w:r>
      <w:r>
        <w:fldChar w:fldCharType="end"/>
      </w:r>
      <w:r>
        <w:t>pp. 17-24.</w:t>
      </w:r>
    </w:p>
  </w:footnote>
  <w:footnote w:id="256">
    <w:p w14:paraId="080988E4" w14:textId="77777777" w:rsidR="00DE3AC9" w:rsidRPr="007C3DB8" w:rsidRDefault="00DE3AC9" w:rsidP="0048510E">
      <w:pPr>
        <w:pStyle w:val="FootnoteText"/>
      </w:pPr>
      <w:r>
        <w:rPr>
          <w:rStyle w:val="FootnoteReference"/>
        </w:rPr>
        <w:footnoteRef/>
      </w:r>
      <w:r>
        <w:t xml:space="preserve"> </w:t>
      </w:r>
      <w:r w:rsidRPr="00DE0513">
        <w:t xml:space="preserve">SHD AT: 16N1569. Report from the MFAAB to the DB. </w:t>
      </w:r>
      <w:r>
        <w:t xml:space="preserve">13 December 1916. Lt-Colonel de Bellaigue de Bughas was later replaced by Lt-Colonel Reynaud. </w:t>
      </w:r>
      <w:r w:rsidRPr="007C3DB8">
        <w:t>SHD AT: 16N1569. Report of the MFAAB. 16 September 1917.</w:t>
      </w:r>
    </w:p>
  </w:footnote>
  <w:footnote w:id="257">
    <w:p w14:paraId="70D559A2" w14:textId="77777777" w:rsidR="00DE3AC9" w:rsidRPr="00C54460" w:rsidRDefault="00DE3AC9" w:rsidP="0048510E">
      <w:pPr>
        <w:pStyle w:val="FootnoteText"/>
      </w:pPr>
      <w:r>
        <w:rPr>
          <w:rStyle w:val="FootnoteReference"/>
        </w:rPr>
        <w:footnoteRef/>
      </w:r>
      <w:r w:rsidRPr="00C54460">
        <w:t xml:space="preserve"> </w:t>
      </w:r>
      <w:r>
        <w:fldChar w:fldCharType="begin"/>
      </w:r>
      <w:r w:rsidRPr="00C54460">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sidRPr="00C54460">
        <w:rPr>
          <w:noProof/>
        </w:rPr>
        <w:t xml:space="preserve">Hansi and Tonnelat, </w:t>
      </w:r>
      <w:r w:rsidRPr="00C54460">
        <w:rPr>
          <w:i/>
          <w:noProof/>
        </w:rPr>
        <w:t>A travers</w:t>
      </w:r>
      <w:r>
        <w:fldChar w:fldCharType="end"/>
      </w:r>
      <w:r w:rsidRPr="00C54460">
        <w:t>, pp. 105-106.</w:t>
      </w:r>
    </w:p>
  </w:footnote>
  <w:footnote w:id="258">
    <w:p w14:paraId="43DC8EA4" w14:textId="649C9304" w:rsidR="00DE3AC9" w:rsidRPr="00152300" w:rsidRDefault="00DE3AC9" w:rsidP="005C7BEE">
      <w:pPr>
        <w:pStyle w:val="FootnoteText"/>
      </w:pPr>
      <w:r>
        <w:rPr>
          <w:rStyle w:val="FootnoteReference"/>
        </w:rPr>
        <w:footnoteRef/>
      </w:r>
      <w:r>
        <w:t xml:space="preserve"> See the troubled Anglo-French relations in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Pr>
          <w:noProof/>
        </w:rPr>
        <w:t xml:space="preserve">Doughty, </w:t>
      </w:r>
      <w:r w:rsidRPr="005C7BEE">
        <w:rPr>
          <w:i/>
          <w:noProof/>
        </w:rPr>
        <w:t>Pyrrhic victory</w:t>
      </w:r>
      <w:r>
        <w:fldChar w:fldCharType="end"/>
      </w:r>
      <w:r>
        <w:t>.</w:t>
      </w:r>
    </w:p>
  </w:footnote>
  <w:footnote w:id="259">
    <w:p w14:paraId="7F590DE7" w14:textId="77777777" w:rsidR="00DE3AC9" w:rsidRPr="00C355E9"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pp. 105-106.</w:t>
      </w:r>
    </w:p>
  </w:footnote>
  <w:footnote w:id="260">
    <w:p w14:paraId="16775F71" w14:textId="77777777" w:rsidR="00DE3AC9" w:rsidRPr="00EB22E4" w:rsidRDefault="00DE3AC9" w:rsidP="0048510E">
      <w:pPr>
        <w:pStyle w:val="FootnoteText"/>
      </w:pPr>
      <w:r>
        <w:rPr>
          <w:rStyle w:val="FootnoteReference"/>
        </w:rPr>
        <w:footnoteRef/>
      </w:r>
      <w:r>
        <w:t xml:space="preserve"> Some of these reports survived but are scattered in the archives. See: NA: AIR 1/678. Report by Captain Morris on aerial distribution during the Great War. 1920. Additional information are available in IWM: Diary of Lt-Colonel A. Lee, Sherwood Forester. 1932, NA: WO 32/5143. Report by Captain P. Chalmers Mitchell. 23 February 1918 and </w:t>
      </w:r>
      <w:r>
        <w:fldChar w:fldCharType="begin"/>
      </w:r>
      <w: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Pr>
          <w:noProof/>
        </w:rPr>
        <w:t xml:space="preserve">Occleshaw, </w:t>
      </w:r>
      <w:r w:rsidRPr="007B7627">
        <w:rPr>
          <w:i/>
          <w:noProof/>
        </w:rPr>
        <w:t>Armour</w:t>
      </w:r>
      <w:r>
        <w:fldChar w:fldCharType="end"/>
      </w:r>
      <w:r>
        <w:t>, p. 388.</w:t>
      </w:r>
    </w:p>
  </w:footnote>
  <w:footnote w:id="261">
    <w:p w14:paraId="7C9523BA" w14:textId="77777777" w:rsidR="00DE3AC9" w:rsidRPr="00C40097" w:rsidRDefault="00DE3AC9" w:rsidP="0048510E">
      <w:pPr>
        <w:pStyle w:val="FootnoteText"/>
      </w:pPr>
      <w:r>
        <w:rPr>
          <w:rStyle w:val="FootnoteReference"/>
        </w:rPr>
        <w:footnoteRef/>
      </w:r>
      <w:r>
        <w:t xml:space="preserve"> Some of these interviews and reports have survived and are accessible in IWM: papers of Lt-Colonel A. Lee, Sherwood Forester. Unfortunately, most of the archives were destroyed after the First World War and during the Blitz. </w:t>
      </w:r>
    </w:p>
  </w:footnote>
  <w:footnote w:id="262">
    <w:p w14:paraId="008880D3" w14:textId="7F3739F9" w:rsidR="00DE3AC9" w:rsidRPr="00BF4967" w:rsidRDefault="00DE3AC9" w:rsidP="002F62A7">
      <w:pPr>
        <w:pStyle w:val="FootnoteText"/>
      </w:pPr>
      <w:r>
        <w:rPr>
          <w:rStyle w:val="FootnoteReference"/>
        </w:rPr>
        <w:footnoteRef/>
      </w:r>
      <w:r>
        <w:t xml:space="preserve"> Such flights can be found in </w:t>
      </w:r>
      <w:r>
        <w:fldChar w:fldCharType="begin"/>
      </w:r>
      <w:r>
        <w:instrText xml:space="preserve"> ADDIN EN.CITE &lt;EndNote&gt;&lt;Cite&gt;&lt;Author&gt;Pieters&lt;/Author&gt;&lt;Year&gt;2010&lt;/Year&gt;&lt;RecNum&gt;91&lt;/RecNum&gt;&lt;DisplayText&gt;Walter Pieters, &lt;style face="italic"&gt;The Belgian air service in the First World War&lt;/style&gt;, (Indio, 2010)&lt;/DisplayText&gt;&lt;record&gt;&lt;rec-number&gt;91&lt;/rec-number&gt;&lt;foreign-keys&gt;&lt;key app="EN" db-id="2f5rvwawcsv2woetvw35fzwbdvvswerd0err"&gt;91&lt;/key&gt;&lt;/foreign-keys&gt;&lt;ref-type name="Book"&gt;6&lt;/ref-type&gt;&lt;contributors&gt;&lt;authors&gt;&lt;author&gt;Pieters, Walter&lt;/author&gt;&lt;/authors&gt;&lt;/contributors&gt;&lt;titles&gt;&lt;title&gt;The Belgian air service in the First World War&lt;/title&gt;&lt;short-title&gt;The Belgian&lt;/short-title&gt;&lt;/titles&gt;&lt;dates&gt;&lt;year&gt;2010&lt;/year&gt;&lt;/dates&gt;&lt;pub-location&gt;Indio&lt;/pub-location&gt;&lt;urls&gt;&lt;/urls&gt;&lt;/record&gt;&lt;/Cite&gt;&lt;/EndNote&gt;</w:instrText>
      </w:r>
      <w:r>
        <w:fldChar w:fldCharType="separate"/>
      </w:r>
      <w:r>
        <w:rPr>
          <w:noProof/>
        </w:rPr>
        <w:t xml:space="preserve">Walter Pieters, </w:t>
      </w:r>
      <w:r w:rsidRPr="002F62A7">
        <w:rPr>
          <w:i/>
          <w:noProof/>
        </w:rPr>
        <w:t>The Belgian air service in the First World War</w:t>
      </w:r>
      <w:r>
        <w:rPr>
          <w:noProof/>
        </w:rPr>
        <w:t>, (Indio, 2010)</w:t>
      </w:r>
      <w:r>
        <w:fldChar w:fldCharType="end"/>
      </w:r>
      <w:r>
        <w:t>, p. 280.</w:t>
      </w:r>
    </w:p>
  </w:footnote>
  <w:footnote w:id="263">
    <w:p w14:paraId="0FC2C1A6" w14:textId="77777777" w:rsidR="00DE3AC9" w:rsidRPr="0048510E" w:rsidRDefault="00DE3AC9" w:rsidP="0048510E">
      <w:pPr>
        <w:pStyle w:val="FootnoteText"/>
      </w:pPr>
      <w:r>
        <w:rPr>
          <w:rStyle w:val="FootnoteReference"/>
        </w:rPr>
        <w:footnoteRef/>
      </w:r>
      <w:r>
        <w:t xml:space="preserve"> </w:t>
      </w:r>
      <w:r w:rsidRPr="0048510E">
        <w:t>See chapter seven.</w:t>
      </w:r>
    </w:p>
  </w:footnote>
  <w:footnote w:id="264">
    <w:p w14:paraId="3D8BAA1D" w14:textId="77777777" w:rsidR="00DE3AC9" w:rsidRPr="00D022A0" w:rsidRDefault="00DE3AC9" w:rsidP="0048510E">
      <w:pPr>
        <w:pStyle w:val="FootnoteText"/>
        <w:rPr>
          <w:lang w:val="fr-FR"/>
        </w:rPr>
      </w:pPr>
      <w:r>
        <w:rPr>
          <w:rStyle w:val="FootnoteReference"/>
        </w:rPr>
        <w:footnoteRef/>
      </w:r>
      <w:r>
        <w:t xml:space="preserve"> </w:t>
      </w:r>
      <w:r w:rsidRPr="00643646">
        <w:t>SHD AT: 16N1571. Folder of reports concerning propaganda collaboration between allies.</w:t>
      </w:r>
      <w:r>
        <w:t xml:space="preserve"> </w:t>
      </w:r>
      <w:r w:rsidRPr="00D022A0">
        <w:rPr>
          <w:lang w:val="fr-FR"/>
        </w:rPr>
        <w:t xml:space="preserve">1916-1918. </w:t>
      </w:r>
    </w:p>
  </w:footnote>
  <w:footnote w:id="265">
    <w:p w14:paraId="3209F157" w14:textId="77777777" w:rsidR="00DE3AC9" w:rsidRPr="00D022A0" w:rsidRDefault="00DE3AC9" w:rsidP="0048510E">
      <w:pPr>
        <w:pStyle w:val="FootnoteText"/>
        <w:rPr>
          <w:lang w:val="fr-FR"/>
        </w:rPr>
      </w:pPr>
      <w:r>
        <w:rPr>
          <w:rStyle w:val="FootnoteReference"/>
        </w:rPr>
        <w:footnoteRef/>
      </w:r>
      <w:r w:rsidRPr="00D022A0">
        <w:rPr>
          <w:lang w:val="fr-FR"/>
        </w:rPr>
        <w:t xml:space="preserve"> See chapter seven.</w:t>
      </w:r>
    </w:p>
  </w:footnote>
  <w:footnote w:id="266">
    <w:p w14:paraId="427C6DD2" w14:textId="77777777" w:rsidR="00DE3AC9" w:rsidRPr="00D022A0" w:rsidRDefault="00DE3AC9" w:rsidP="0048510E">
      <w:pPr>
        <w:pStyle w:val="FootnoteText"/>
        <w:rPr>
          <w:lang w:val="fr-FR"/>
        </w:rPr>
      </w:pPr>
      <w:r>
        <w:rPr>
          <w:rStyle w:val="FootnoteReference"/>
        </w:rPr>
        <w:footnoteRef/>
      </w:r>
      <w:r w:rsidRPr="00D022A0">
        <w:rPr>
          <w:lang w:val="fr-FR"/>
        </w:rPr>
        <w:t xml:space="preserve"> </w:t>
      </w:r>
      <w:r>
        <w:fldChar w:fldCharType="begin"/>
      </w:r>
      <w:r>
        <w:rPr>
          <w:lang w:val="fr-FR"/>
        </w:rPr>
        <w:instrText xml:space="preserve"> ADDIN EN.CITE &lt;EndNote&gt;&lt;Cite&gt;&lt;Author&gt;Huisman&lt;/Author&gt;&lt;Year&gt;1921&lt;/Year&gt;&lt;RecNum&gt;257&lt;/RecNum&gt;&lt;DisplayText&gt;Georges Huisman, &lt;style face="italic"&gt;Dans les coulisses de l&amp;apos;aviation 1914-1918&lt;/style&gt;, (Paris, 1921)&lt;/DisplayText&gt;&lt;record&gt;&lt;rec-number&gt;257&lt;/rec-number&gt;&lt;foreign-keys&gt;&lt;key app="EN" db-id="2f5rvwawcsv2woetvw35fzwbdvvswerd0err"&gt;257&lt;/key&gt;&lt;/foreign-keys&gt;&lt;ref-type name="Book"&gt;6&lt;/ref-type&gt;&lt;contributors&gt;&lt;authors&gt;&lt;author&gt;Huisman, Georges&lt;/author&gt;&lt;/authors&gt;&lt;/contributors&gt;&lt;titles&gt;&lt;title&gt;Dans les coulisses de l&amp;apos;aviation 1914-1918&lt;/title&gt;&lt;short-title&gt;Dans les coulisses&lt;/short-title&gt;&lt;/titles&gt;&lt;dates&gt;&lt;year&gt;1921&lt;/year&gt;&lt;/dates&gt;&lt;pub-location&gt;Paris&lt;/pub-location&gt;&lt;urls&gt;&lt;/urls&gt;&lt;/record&gt;&lt;/Cite&gt;&lt;/EndNote&gt;</w:instrText>
      </w:r>
      <w:r>
        <w:fldChar w:fldCharType="separate"/>
      </w:r>
      <w:r w:rsidRPr="007B7627">
        <w:rPr>
          <w:noProof/>
          <w:lang w:val="fr-FR"/>
        </w:rPr>
        <w:t xml:space="preserve">Georges Huisman, </w:t>
      </w:r>
      <w:r w:rsidRPr="007B7627">
        <w:rPr>
          <w:i/>
          <w:noProof/>
          <w:lang w:val="fr-FR"/>
        </w:rPr>
        <w:t>Dans les coulisses de l'aviation 1914-1918</w:t>
      </w:r>
      <w:r w:rsidRPr="007B7627">
        <w:rPr>
          <w:noProof/>
          <w:lang w:val="fr-FR"/>
        </w:rPr>
        <w:t>, (Paris, 1921)</w:t>
      </w:r>
      <w:r>
        <w:fldChar w:fldCharType="end"/>
      </w:r>
      <w:r w:rsidRPr="00D022A0">
        <w:rPr>
          <w:lang w:val="fr-FR"/>
        </w:rPr>
        <w:t xml:space="preserve">, pp. 34-35 and </w:t>
      </w:r>
      <w:r>
        <w:fldChar w:fldCharType="begin"/>
      </w:r>
      <w:r>
        <w:rPr>
          <w:lang w:val="fr-FR"/>
        </w:rPr>
        <w:instrText xml:space="preserve"> ADDIN EN.CITE &lt;EndNote&gt;&lt;Cite&gt;&lt;Author&gt;Kennett&lt;/Author&gt;&lt;Year&gt;2005&lt;/Year&gt;&lt;RecNum&gt;93&lt;/RecNum&gt;&lt;DisplayText&gt;Kennett, &lt;style face="italic"&gt;La première&lt;/style&gt;&lt;/DisplayText&gt;&lt;record&gt;&lt;rec-number&gt;93&lt;/rec-number&gt;&lt;foreign-keys&gt;&lt;key app="EN" db-id="2f5rvwawcsv2woetvw35fzwbdvvswerd0err"&gt;93&lt;/key&gt;&lt;/foreign-keys&gt;&lt;ref-type name="Book"&gt;6&lt;/ref-type&gt;&lt;contributors&gt;&lt;authors&gt;&lt;author&gt;Kennett, Lee&lt;/author&gt;&lt;/authors&gt;&lt;/contributors&gt;&lt;titles&gt;&lt;title&gt;La première guerre aérienne: 1914-1918&lt;/title&gt;&lt;short-title&gt;La première&lt;/short-title&gt;&lt;/titles&gt;&lt;dates&gt;&lt;year&gt;2005&lt;/year&gt;&lt;/dates&gt;&lt;pub-location&gt;Paris&lt;/pub-location&gt;&lt;urls&gt;&lt;/urls&gt;&lt;/record&gt;&lt;/Cite&gt;&lt;/EndNote&gt;</w:instrText>
      </w:r>
      <w:r>
        <w:fldChar w:fldCharType="separate"/>
      </w:r>
      <w:r w:rsidRPr="007B7627">
        <w:rPr>
          <w:noProof/>
          <w:lang w:val="fr-FR"/>
        </w:rPr>
        <w:t xml:space="preserve">Kennett, </w:t>
      </w:r>
      <w:r w:rsidRPr="007B7627">
        <w:rPr>
          <w:i/>
          <w:noProof/>
          <w:lang w:val="fr-FR"/>
        </w:rPr>
        <w:t>La première</w:t>
      </w:r>
      <w:r>
        <w:fldChar w:fldCharType="end"/>
      </w:r>
      <w:r w:rsidRPr="00D022A0">
        <w:rPr>
          <w:lang w:val="fr-FR"/>
        </w:rPr>
        <w:t>, p. 237.</w:t>
      </w:r>
    </w:p>
  </w:footnote>
  <w:footnote w:id="267">
    <w:p w14:paraId="3A8DFB9D" w14:textId="77777777" w:rsidR="00DE3AC9" w:rsidRPr="0076389F"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 105.</w:t>
      </w:r>
    </w:p>
  </w:footnote>
  <w:footnote w:id="268">
    <w:p w14:paraId="73FA8635" w14:textId="77777777" w:rsidR="00DE3AC9" w:rsidRPr="00CC2D8E" w:rsidRDefault="00DE3AC9" w:rsidP="0048510E">
      <w:pPr>
        <w:pStyle w:val="FootnoteText"/>
      </w:pPr>
      <w:r>
        <w:rPr>
          <w:rStyle w:val="FootnoteReference"/>
        </w:rPr>
        <w:footnoteRef/>
      </w:r>
      <w:r>
        <w:t xml:space="preserve"> </w:t>
      </w:r>
      <w:r>
        <w:fldChar w:fldCharType="begin"/>
      </w:r>
      <w:r>
        <w:instrText xml:space="preserve"> ADDIN EN.CITE &lt;EndNote&gt;&lt;Cite&gt;&lt;Author&gt;Jones&lt;/Author&gt;&lt;Year&gt;1928&lt;/Year&gt;&lt;RecNum&gt;94&lt;/RecNum&gt;&lt;DisplayText&gt;H. Jones, &lt;style face="italic"&gt;War in the air. Being the story of the part played in the Great War by the Royal Air Force. Volume IV.&lt;/style&gt;, (London, 1928)&lt;/DisplayText&gt;&lt;record&gt;&lt;rec-number&gt;94&lt;/rec-number&gt;&lt;foreign-keys&gt;&lt;key app="EN" db-id="2f5rvwawcsv2woetvw35fzwbdvvswerd0err"&gt;94&lt;/key&gt;&lt;/foreign-keys&gt;&lt;ref-type name="Book"&gt;6&lt;/ref-type&gt;&lt;contributors&gt;&lt;authors&gt;&lt;author&gt;Jones, H.&lt;/author&gt;&lt;/authors&gt;&lt;/contributors&gt;&lt;titles&gt;&lt;title&gt;War in the air. Being the story of the part played in the Great War by the Royal Air Force. Volume IV.&lt;/title&gt;&lt;short-title&gt;War in the air&lt;/short-title&gt;&lt;/titles&gt;&lt;dates&gt;&lt;year&gt;1928&lt;/year&gt;&lt;/dates&gt;&lt;pub-location&gt;London&lt;/pub-location&gt;&lt;urls&gt;&lt;/urls&gt;&lt;/record&gt;&lt;/Cite&gt;&lt;/EndNote&gt;</w:instrText>
      </w:r>
      <w:r>
        <w:fldChar w:fldCharType="separate"/>
      </w:r>
      <w:r>
        <w:rPr>
          <w:noProof/>
        </w:rPr>
        <w:t xml:space="preserve">H. Jones, </w:t>
      </w:r>
      <w:r w:rsidRPr="007B7627">
        <w:rPr>
          <w:i/>
          <w:noProof/>
        </w:rPr>
        <w:t>War in the air. Being the story of the part played in the Great War by the Royal Air Force. Volume IV.</w:t>
      </w:r>
      <w:r>
        <w:rPr>
          <w:noProof/>
        </w:rPr>
        <w:t>, (London, 1928)</w:t>
      </w:r>
      <w:r>
        <w:fldChar w:fldCharType="end"/>
      </w:r>
      <w:r>
        <w:t>, p. 221.</w:t>
      </w:r>
    </w:p>
  </w:footnote>
  <w:footnote w:id="269">
    <w:p w14:paraId="6CFB86BA" w14:textId="77777777" w:rsidR="00DE3AC9" w:rsidRPr="0076389F" w:rsidRDefault="00DE3AC9" w:rsidP="0048510E">
      <w:pPr>
        <w:pStyle w:val="FootnoteText"/>
      </w:pPr>
      <w:r>
        <w:rPr>
          <w:rStyle w:val="FootnoteReference"/>
        </w:rPr>
        <w:footnoteRef/>
      </w:r>
      <w:r>
        <w:t xml:space="preserve"> IWM: Diary of Lt-Colonel A. Lee, Sherwood Forester. 1932, p. 135.</w:t>
      </w:r>
    </w:p>
  </w:footnote>
  <w:footnote w:id="270">
    <w:p w14:paraId="086C87EF" w14:textId="77777777" w:rsidR="00DE3AC9" w:rsidRPr="003A2456" w:rsidRDefault="00DE3AC9" w:rsidP="0048510E">
      <w:pPr>
        <w:pStyle w:val="FootnoteText"/>
      </w:pPr>
      <w:r>
        <w:rPr>
          <w:rStyle w:val="FootnoteReference"/>
        </w:rPr>
        <w:footnoteRef/>
      </w:r>
      <w:r w:rsidRPr="0076389F">
        <w:t xml:space="preserve"> NA: WO 32/5140. </w:t>
      </w:r>
      <w:r w:rsidRPr="003A2456">
        <w:t xml:space="preserve">Anonym report to MI7(b). 17 April 1917 and </w:t>
      </w:r>
      <w:r>
        <w:t>NA: AIR 1/678. Report by Captain Morris on aerial distribution during the Great War. 1920.</w:t>
      </w:r>
    </w:p>
  </w:footnote>
  <w:footnote w:id="271">
    <w:p w14:paraId="46A780C4" w14:textId="77777777" w:rsidR="00DE3AC9" w:rsidRPr="0076389F"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 106.</w:t>
      </w:r>
    </w:p>
  </w:footnote>
  <w:footnote w:id="272">
    <w:p w14:paraId="2303A7BC" w14:textId="77777777" w:rsidR="00DE3AC9" w:rsidRPr="003A2456" w:rsidRDefault="00DE3AC9" w:rsidP="0048510E">
      <w:pPr>
        <w:pStyle w:val="FootnoteText"/>
      </w:pPr>
      <w:r>
        <w:rPr>
          <w:rStyle w:val="FootnoteReference"/>
        </w:rPr>
        <w:footnoteRef/>
      </w:r>
      <w:r>
        <w:t xml:space="preserve"> SHD AA: 1A176. Report from General Guillemin to the General in chief. 13 February 1917.</w:t>
      </w:r>
    </w:p>
  </w:footnote>
  <w:footnote w:id="273">
    <w:p w14:paraId="5E46AA8A" w14:textId="77777777" w:rsidR="00DE3AC9" w:rsidRPr="008C3534" w:rsidRDefault="00DE3AC9" w:rsidP="0048510E">
      <w:pPr>
        <w:pStyle w:val="FootnoteText"/>
      </w:pPr>
      <w:r>
        <w:rPr>
          <w:rStyle w:val="FootnoteReference"/>
        </w:rPr>
        <w:footnoteRef/>
      </w:r>
      <w:r>
        <w:t xml:space="preserve"> </w:t>
      </w:r>
      <w:r w:rsidRPr="008C3534">
        <w:t xml:space="preserve">SHD AA: 1A176. Report from the General in chief to General Guillemin. </w:t>
      </w:r>
      <w:r>
        <w:t>21 February 1917.</w:t>
      </w:r>
    </w:p>
  </w:footnote>
  <w:footnote w:id="274">
    <w:p w14:paraId="580968C4" w14:textId="77777777" w:rsidR="00DE3AC9" w:rsidRPr="008C3534" w:rsidRDefault="00DE3AC9" w:rsidP="0048510E">
      <w:pPr>
        <w:pStyle w:val="FootnoteText"/>
      </w:pPr>
      <w:r>
        <w:rPr>
          <w:rStyle w:val="FootnoteReference"/>
        </w:rPr>
        <w:footnoteRef/>
      </w:r>
      <w:r>
        <w:t xml:space="preserve"> </w:t>
      </w:r>
      <w:r w:rsidRPr="008C3534">
        <w:t xml:space="preserve">SHD AA: 1A176. Answer to the leader of the SR concerning a dedicated squadron. </w:t>
      </w:r>
      <w:r>
        <w:t>6 September 1918.</w:t>
      </w:r>
    </w:p>
  </w:footnote>
  <w:footnote w:id="275">
    <w:p w14:paraId="7C0511F9" w14:textId="77777777" w:rsidR="00DE3AC9" w:rsidRPr="008536AE" w:rsidRDefault="00DE3AC9" w:rsidP="0048510E">
      <w:pPr>
        <w:pStyle w:val="FootnoteText"/>
      </w:pPr>
      <w:r>
        <w:rPr>
          <w:rStyle w:val="FootnoteReference"/>
        </w:rPr>
        <w:footnoteRef/>
      </w:r>
      <w:r>
        <w:t xml:space="preserve"> </w:t>
      </w:r>
      <w:r w:rsidRPr="008536AE">
        <w:t xml:space="preserve">Books such as </w:t>
      </w:r>
      <w:r>
        <w:rPr>
          <w:lang w:val="fr-FR"/>
        </w:rPr>
        <w:fldChar w:fldCharType="begin"/>
      </w:r>
      <w:r>
        <w:instrText xml:space="preserve"> ADDIN EN.CITE &lt;EndNote&gt;&lt;Cite&gt;&lt;Author&gt;Ponsonby&lt;/Author&gt;&lt;Year&gt;1928&lt;/Year&gt;&lt;RecNum&gt;79&lt;/RecNum&gt;&lt;DisplayText&gt;Ponsonby, &lt;style face="italic"&gt;Falsehood&lt;/style&gt;&lt;/DisplayText&gt;&lt;record&gt;&lt;rec-number&gt;79&lt;/rec-number&gt;&lt;foreign-keys&gt;&lt;key app="EN" db-id="2f5rvwawcsv2woetvw35fzwbdvvswerd0err"&gt;79&lt;/key&gt;&lt;/foreign-keys&gt;&lt;ref-type name="Book"&gt;6&lt;/ref-type&gt;&lt;contributors&gt;&lt;authors&gt;&lt;author&gt;Ponsonby, Arthur&lt;/author&gt;&lt;/authors&gt;&lt;/contributors&gt;&lt;titles&gt;&lt;title&gt;Falsehood in wartime: containing an assortment of lies circulated throughout the nations during the Great War&lt;/title&gt;&lt;short-title&gt;Falsehood&lt;/short-title&gt;&lt;/titles&gt;&lt;dates&gt;&lt;year&gt;1928&lt;/year&gt;&lt;/dates&gt;&lt;pub-location&gt;London&lt;/pub-location&gt;&lt;urls&gt;&lt;/urls&gt;&lt;/record&gt;&lt;/Cite&gt;&lt;/EndNote&gt;</w:instrText>
      </w:r>
      <w:r>
        <w:rPr>
          <w:lang w:val="fr-FR"/>
        </w:rPr>
        <w:fldChar w:fldCharType="separate"/>
      </w:r>
      <w:r w:rsidRPr="007B7627">
        <w:rPr>
          <w:noProof/>
        </w:rPr>
        <w:t xml:space="preserve">Ponsonby, </w:t>
      </w:r>
      <w:r w:rsidRPr="007B7627">
        <w:rPr>
          <w:i/>
          <w:noProof/>
        </w:rPr>
        <w:t>Falsehood</w:t>
      </w:r>
      <w:r>
        <w:rPr>
          <w:lang w:val="fr-FR"/>
        </w:rPr>
        <w:fldChar w:fldCharType="end"/>
      </w:r>
      <w:r w:rsidRPr="008536AE">
        <w:t xml:space="preserve">, </w:t>
      </w:r>
      <w:r>
        <w:rPr>
          <w:lang w:val="fr-FR"/>
        </w:rPr>
        <w:fldChar w:fldCharType="begin"/>
      </w:r>
      <w:r>
        <w:instrText xml:space="preserve"> ADDIN EN.CITE &lt;EndNote&gt;&lt;Cite&gt;&lt;Author&gt;Stuart-Campbell&lt;/Author&gt;&lt;Year&gt;1920&lt;/Year&gt;&lt;RecNum&gt;75&lt;/RecNum&gt;&lt;DisplayText&gt;Stuart-Campbell, &lt;style face="italic"&gt;Secrets&lt;/style&gt;&lt;/DisplayText&gt;&lt;record&gt;&lt;rec-number&gt;75&lt;/rec-number&gt;&lt;foreign-keys&gt;&lt;key app="EN" db-id="2f5rvwawcsv2woetvw35fzwbdvvswerd0err"&gt;75&lt;/key&gt;&lt;/foreign-keys&gt;&lt;ref-type name="Book"&gt;6&lt;/ref-type&gt;&lt;contributors&gt;&lt;authors&gt;&lt;author&gt;Stuart-Campbell, Basil&lt;/author&gt;&lt;/authors&gt;&lt;/contributors&gt;&lt;titles&gt;&lt;title&gt;Secrets of Crewe House&lt;/title&gt;&lt;short-title&gt;Secrets&lt;/short-title&gt;&lt;/titles&gt;&lt;dates&gt;&lt;year&gt;1920&lt;/year&gt;&lt;/dates&gt;&lt;pub-location&gt;London&lt;/pub-location&gt;&lt;urls&gt;&lt;/urls&gt;&lt;/record&gt;&lt;/Cite&gt;&lt;/EndNote&gt;</w:instrText>
      </w:r>
      <w:r>
        <w:rPr>
          <w:lang w:val="fr-FR"/>
        </w:rPr>
        <w:fldChar w:fldCharType="separate"/>
      </w:r>
      <w:r w:rsidRPr="007B7627">
        <w:rPr>
          <w:noProof/>
        </w:rPr>
        <w:t xml:space="preserve">Stuart-Campbell, </w:t>
      </w:r>
      <w:r w:rsidRPr="007B7627">
        <w:rPr>
          <w:i/>
          <w:noProof/>
        </w:rPr>
        <w:t>Secrets</w:t>
      </w:r>
      <w:r>
        <w:rPr>
          <w:lang w:val="fr-FR"/>
        </w:rPr>
        <w:fldChar w:fldCharType="end"/>
      </w:r>
      <w:r w:rsidRPr="008536AE">
        <w:t xml:space="preserve"> or even Adolph Hitler’s </w:t>
      </w:r>
      <w:r w:rsidRPr="008536AE">
        <w:rPr>
          <w:i/>
          <w:iCs/>
        </w:rPr>
        <w:t>Mein Kampf</w:t>
      </w:r>
      <w:r w:rsidRPr="008536AE">
        <w:t xml:space="preserve"> had a deep impact on the society and contributed to establish the reputation, and clichés, of propaganda.</w:t>
      </w:r>
    </w:p>
  </w:footnote>
  <w:footnote w:id="276">
    <w:p w14:paraId="698F7770" w14:textId="77777777" w:rsidR="00DE3AC9" w:rsidRPr="00547123"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xml:space="preserve">, p. 97 and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7B7627">
        <w:rPr>
          <w:i/>
          <w:noProof/>
        </w:rPr>
        <w:t>Munitions</w:t>
      </w:r>
      <w:r>
        <w:fldChar w:fldCharType="end"/>
      </w:r>
      <w:r>
        <w:t>, p. 173.</w:t>
      </w:r>
    </w:p>
  </w:footnote>
  <w:footnote w:id="277">
    <w:p w14:paraId="3FE5F8CD" w14:textId="77777777" w:rsidR="00DE3AC9" w:rsidRPr="007C3DB8" w:rsidRDefault="00DE3AC9" w:rsidP="0048510E">
      <w:pPr>
        <w:pStyle w:val="FootnoteText"/>
      </w:pPr>
      <w:r>
        <w:rPr>
          <w:rStyle w:val="FootnoteReference"/>
        </w:rPr>
        <w:footnoteRef/>
      </w:r>
      <w:r>
        <w:t xml:space="preserve"> </w:t>
      </w:r>
      <w:r w:rsidRPr="00BC64F4">
        <w:t>NA: AIR 1/32/15/1/176. Extract from the minutes of a meeting of the War Cabinet.</w:t>
      </w:r>
      <w:r>
        <w:t xml:space="preserve"> </w:t>
      </w:r>
      <w:r w:rsidRPr="007C3DB8">
        <w:t xml:space="preserve">17 July 1918. </w:t>
      </w:r>
    </w:p>
  </w:footnote>
  <w:footnote w:id="278">
    <w:p w14:paraId="7486A6A3" w14:textId="77777777" w:rsidR="00DE3AC9" w:rsidRPr="00C54460" w:rsidRDefault="00DE3AC9" w:rsidP="0048510E">
      <w:pPr>
        <w:pStyle w:val="FootnoteText"/>
      </w:pPr>
      <w:r>
        <w:rPr>
          <w:rStyle w:val="FootnoteReference"/>
        </w:rPr>
        <w:footnoteRef/>
      </w:r>
      <w:r w:rsidRPr="00C54460">
        <w:t xml:space="preserve"> </w:t>
      </w:r>
      <w:r>
        <w:fldChar w:fldCharType="begin"/>
      </w:r>
      <w:r w:rsidRPr="00C54460">
        <w:instrText xml:space="preserve"> ADDIN EN.CITE &lt;EndNote&gt;&lt;Cite&gt;&lt;Author&gt;Jones&lt;/Author&gt;&lt;Year&gt;1928&lt;/Year&gt;&lt;RecNum&gt;94&lt;/RecNum&gt;&lt;DisplayText&gt;Jones, &lt;style face="italic"&gt;War in the air&lt;/style&gt;&lt;/DisplayText&gt;&lt;record&gt;&lt;rec-number&gt;94&lt;/rec-number&gt;&lt;foreign-keys&gt;&lt;key app="EN" db-id="2f5rvwawcsv2woetvw35fzwbdvvswerd0err"&gt;94&lt;/key&gt;&lt;/foreign-keys&gt;&lt;ref-type name="Book"&gt;6&lt;/ref-type&gt;&lt;contributors&gt;&lt;authors&gt;&lt;author&gt;Jones, H.&lt;/author&gt;&lt;/authors&gt;&lt;/contributors&gt;&lt;titles&gt;&lt;title&gt;War in the air. Being the story of the part played in the Great War by the Royal Air Force. Volume IV.&lt;/title&gt;&lt;short-title&gt;War in the air&lt;/short-title&gt;&lt;/titles&gt;&lt;dates&gt;&lt;year&gt;1928&lt;/year&gt;&lt;/dates&gt;&lt;pub-location&gt;London&lt;/pub-location&gt;&lt;urls&gt;&lt;/urls&gt;&lt;/record&gt;&lt;/Cite&gt;&lt;/EndNote&gt;</w:instrText>
      </w:r>
      <w:r>
        <w:fldChar w:fldCharType="separate"/>
      </w:r>
      <w:r w:rsidRPr="00C54460">
        <w:rPr>
          <w:noProof/>
        </w:rPr>
        <w:t xml:space="preserve">Jones, </w:t>
      </w:r>
      <w:r w:rsidRPr="00C54460">
        <w:rPr>
          <w:i/>
          <w:noProof/>
        </w:rPr>
        <w:t>War in the air</w:t>
      </w:r>
      <w:r>
        <w:fldChar w:fldCharType="end"/>
      </w:r>
      <w:r w:rsidRPr="00C54460">
        <w:t>, p. 225.</w:t>
      </w:r>
    </w:p>
  </w:footnote>
  <w:footnote w:id="279">
    <w:p w14:paraId="6CB3B712" w14:textId="77777777" w:rsidR="00DE3AC9" w:rsidRPr="007C3DB8" w:rsidRDefault="00DE3AC9" w:rsidP="0048510E">
      <w:pPr>
        <w:pStyle w:val="FootnoteText"/>
      </w:pPr>
      <w:r>
        <w:rPr>
          <w:rStyle w:val="FootnoteReference"/>
        </w:rPr>
        <w:footnoteRef/>
      </w:r>
      <w:r w:rsidRPr="007C3DB8">
        <w:t xml:space="preserve"> </w:t>
      </w:r>
      <w:r>
        <w:fldChar w:fldCharType="begin"/>
      </w:r>
      <w:r>
        <w:instrText xml:space="preserve"> ADDIN EN.CITE &lt;EndNote&gt;&lt;Cite&gt;&lt;Author&gt;Kennett&lt;/Author&gt;&lt;Year&gt;2005&lt;/Year&gt;&lt;RecNum&gt;93&lt;/RecNum&gt;&lt;DisplayText&gt;Kennett, &lt;style face="italic"&gt;La première&lt;/style&gt;&lt;/DisplayText&gt;&lt;record&gt;&lt;rec-number&gt;93&lt;/rec-number&gt;&lt;foreign-keys&gt;&lt;key app="EN" db-id="2f5rvwawcsv2woetvw35fzwbdvvswerd0err"&gt;93&lt;/key&gt;&lt;/foreign-keys&gt;&lt;ref-type name="Book"&gt;6&lt;/ref-type&gt;&lt;contributors&gt;&lt;authors&gt;&lt;author&gt;Kennett, Lee&lt;/author&gt;&lt;/authors&gt;&lt;/contributors&gt;&lt;titles&gt;&lt;title&gt;La première guerre aérienne: 1914-1918&lt;/title&gt;&lt;short-title&gt;La première&lt;/short-title&gt;&lt;/titles&gt;&lt;dates&gt;&lt;year&gt;2005&lt;/year&gt;&lt;/dates&gt;&lt;pub-location&gt;Paris&lt;/pub-location&gt;&lt;urls&gt;&lt;/urls&gt;&lt;/record&gt;&lt;/Cite&gt;&lt;/EndNote&gt;</w:instrText>
      </w:r>
      <w:r>
        <w:fldChar w:fldCharType="separate"/>
      </w:r>
      <w:r w:rsidRPr="007C3DB8">
        <w:rPr>
          <w:noProof/>
        </w:rPr>
        <w:t xml:space="preserve">Kennett, </w:t>
      </w:r>
      <w:r w:rsidRPr="007C3DB8">
        <w:rPr>
          <w:i/>
          <w:noProof/>
        </w:rPr>
        <w:t>La première</w:t>
      </w:r>
      <w:r>
        <w:fldChar w:fldCharType="end"/>
      </w:r>
      <w:r w:rsidRPr="007C3DB8">
        <w:t>, p. 90.</w:t>
      </w:r>
    </w:p>
  </w:footnote>
  <w:footnote w:id="280">
    <w:p w14:paraId="4583111E" w14:textId="77777777" w:rsidR="00DE3AC9" w:rsidRPr="00A236B4" w:rsidRDefault="00DE3AC9" w:rsidP="0048510E">
      <w:pPr>
        <w:pStyle w:val="FootnoteText"/>
      </w:pPr>
      <w:r>
        <w:rPr>
          <w:rStyle w:val="FootnoteReference"/>
        </w:rPr>
        <w:footnoteRef/>
      </w:r>
      <w:r>
        <w:t xml:space="preserve"> IWM: Diary of Lt-Colonel A. Lee, Sherwood Forester. 1932, p. 134.</w:t>
      </w:r>
    </w:p>
  </w:footnote>
  <w:footnote w:id="281">
    <w:p w14:paraId="5034952C" w14:textId="3B13EF1F" w:rsidR="00DE3AC9" w:rsidRPr="00547123" w:rsidRDefault="00DE3AC9" w:rsidP="00605DB1">
      <w:pPr>
        <w:pStyle w:val="FootnoteText"/>
      </w:pPr>
      <w:r>
        <w:rPr>
          <w:rStyle w:val="FootnoteReference"/>
        </w:rPr>
        <w:footnoteRef/>
      </w:r>
      <w:r>
        <w:t xml:space="preserve"> The airmen were Captain H. R. Hawkins, 2</w:t>
      </w:r>
      <w:r w:rsidRPr="002E69FF">
        <w:rPr>
          <w:vertAlign w:val="superscript"/>
        </w:rPr>
        <w:t>nd</w:t>
      </w:r>
      <w:r>
        <w:t xml:space="preserve"> Lieutenants G. M. Hopkins, G. O. NcEntee and J. D. M. Stewart. An interview of H. R. Hawkins and G. M. Hopkins was conducted more than fifty years after the events for an </w:t>
      </w:r>
      <w:r w:rsidR="00605DB1">
        <w:t>air</w:t>
      </w:r>
      <w:r>
        <w:t xml:space="preserve"> magazine. The two pilots still claimed to ignore the presence of propaganda. </w:t>
      </w:r>
      <w:r>
        <w:fldChar w:fldCharType="begin"/>
      </w:r>
      <w:r>
        <w:instrText xml:space="preserve"> ADDIN EN.CITE &lt;EndNote&gt;&lt;Cite&gt;&lt;Author&gt;Grey&lt;/Author&gt;&lt;Year&gt;1972&lt;/Year&gt;&lt;RecNum&gt;95&lt;/RecNum&gt;&lt;DisplayText&gt;B. Grey, &amp;apos;Pusher pilot with 22&amp;apos;, in: &lt;style face="italic"&gt;Cross &amp;amp; Cockade, &lt;/style&gt;3 (1972), &lt;/DisplayText&gt;&lt;record&gt;&lt;rec-number&gt;95&lt;/rec-number&gt;&lt;foreign-keys&gt;&lt;key app="EN" db-id="2f5rvwawcsv2woetvw35fzwbdvvswerd0err"&gt;95&lt;/key&gt;&lt;/foreign-keys&gt;&lt;ref-type name="Journal Article"&gt;17&lt;/ref-type&gt;&lt;contributors&gt;&lt;authors&gt;&lt;author&gt;Grey, B.&lt;/author&gt;&lt;/authors&gt;&lt;/contributors&gt;&lt;titles&gt;&lt;title&gt;Pusher pilot with 22&lt;/title&gt;&lt;secondary-title&gt;Cross &amp;amp; Cockade&lt;/secondary-title&gt;&lt;short-title&gt;Pusher pilot&lt;/short-title&gt;&lt;/titles&gt;&lt;periodical&gt;&lt;full-title&gt;Cross &amp;amp; Cockade&lt;/full-title&gt;&lt;/periodical&gt;&lt;volume&gt;3&lt;/volume&gt;&lt;number&gt;2&lt;/number&gt;&lt;dates&gt;&lt;year&gt;1972&lt;/year&gt;&lt;/dates&gt;&lt;urls&gt;&lt;/urls&gt;&lt;/record&gt;&lt;/Cite&gt;&lt;/EndNote&gt;</w:instrText>
      </w:r>
      <w:r>
        <w:fldChar w:fldCharType="separate"/>
      </w:r>
      <w:r>
        <w:rPr>
          <w:noProof/>
        </w:rPr>
        <w:t xml:space="preserve">B. Grey, 'Pusher pilot with 22', in: </w:t>
      </w:r>
      <w:r w:rsidRPr="007B7627">
        <w:rPr>
          <w:i/>
          <w:noProof/>
        </w:rPr>
        <w:t xml:space="preserve">Cross &amp; Cockade, </w:t>
      </w:r>
      <w:r>
        <w:rPr>
          <w:noProof/>
        </w:rPr>
        <w:t xml:space="preserve">3 (1972), </w:t>
      </w:r>
      <w:r>
        <w:fldChar w:fldCharType="end"/>
      </w:r>
      <w:r>
        <w:t>pp. 45 to 57.</w:t>
      </w:r>
    </w:p>
  </w:footnote>
  <w:footnote w:id="282">
    <w:p w14:paraId="0C4B9AB2" w14:textId="77777777" w:rsidR="00DE3AC9" w:rsidRPr="0090107F" w:rsidRDefault="00DE3AC9" w:rsidP="0048510E">
      <w:pPr>
        <w:pStyle w:val="FootnoteText"/>
      </w:pPr>
      <w:r>
        <w:rPr>
          <w:rStyle w:val="FootnoteReference"/>
        </w:rPr>
        <w:footnoteRef/>
      </w:r>
      <w:r>
        <w:t xml:space="preserve"> NA: AIR 1/678. Report by Captain Morris on aerial distribution during the Great War. 1920 and PAAA: R22189. Various reports from the German High Command about international laws and aerial propaganda. July 1917 – March 1918.</w:t>
      </w:r>
    </w:p>
  </w:footnote>
  <w:footnote w:id="283">
    <w:p w14:paraId="4B7A4CBF" w14:textId="77777777" w:rsidR="00DE3AC9" w:rsidRPr="00A370B0" w:rsidRDefault="00DE3AC9" w:rsidP="0048510E">
      <w:pPr>
        <w:pStyle w:val="FootnoteText"/>
      </w:pPr>
      <w:r>
        <w:rPr>
          <w:rStyle w:val="FootnoteReference"/>
        </w:rPr>
        <w:footnoteRef/>
      </w:r>
      <w:r>
        <w:t xml:space="preserve"> SHD AT: 16N1569. Report from the British intelligence to the French army. 11 July 1917.</w:t>
      </w:r>
    </w:p>
  </w:footnote>
  <w:footnote w:id="284">
    <w:p w14:paraId="2DDF0A10" w14:textId="77777777" w:rsidR="00DE3AC9" w:rsidRPr="00547123" w:rsidRDefault="00DE3AC9" w:rsidP="0048510E">
      <w:pPr>
        <w:pStyle w:val="FootnoteText"/>
      </w:pPr>
      <w:r>
        <w:rPr>
          <w:rStyle w:val="FootnoteReference"/>
        </w:rPr>
        <w:footnoteRef/>
      </w:r>
      <w:r>
        <w:t xml:space="preserve"> IWM: Diary of Lt-Colonel A. Lee, Sherwood Forester. 1932, p. 169.</w:t>
      </w:r>
    </w:p>
  </w:footnote>
  <w:footnote w:id="285">
    <w:p w14:paraId="6091D703" w14:textId="77777777" w:rsidR="00DE3AC9" w:rsidRPr="0007203A" w:rsidRDefault="00DE3AC9" w:rsidP="0048510E">
      <w:pPr>
        <w:pStyle w:val="FootnoteText"/>
        <w:rPr>
          <w:lang w:val="fr-FR"/>
        </w:rPr>
      </w:pPr>
      <w:r>
        <w:rPr>
          <w:rStyle w:val="FootnoteReference"/>
        </w:rPr>
        <w:footnoteRef/>
      </w:r>
      <w:r>
        <w:t xml:space="preserve"> SHD AT: 16N1570. Report by the SR concerning German threats. </w:t>
      </w:r>
      <w:r w:rsidRPr="0007203A">
        <w:rPr>
          <w:lang w:val="fr-FR"/>
        </w:rPr>
        <w:t>9 June 1917.</w:t>
      </w:r>
    </w:p>
  </w:footnote>
  <w:footnote w:id="286">
    <w:p w14:paraId="55F267B4" w14:textId="77777777" w:rsidR="00DE3AC9" w:rsidRPr="007C3DB8" w:rsidRDefault="00DE3AC9" w:rsidP="005C7BEE">
      <w:pPr>
        <w:pStyle w:val="FootnoteText"/>
        <w:rPr>
          <w:lang w:val="fr-FR"/>
        </w:rPr>
      </w:pPr>
      <w:r>
        <w:rPr>
          <w:rStyle w:val="FootnoteReference"/>
        </w:rPr>
        <w:footnoteRef/>
      </w:r>
      <w:r w:rsidRPr="0007203A">
        <w:rPr>
          <w:lang w:val="fr-FR"/>
        </w:rPr>
        <w:t xml:space="preserve"> </w:t>
      </w:r>
      <w:r>
        <w:fldChar w:fldCharType="begin"/>
      </w:r>
      <w:r>
        <w:rPr>
          <w:lang w:val="fr-FR"/>
        </w:rPr>
        <w:instrText xml:space="preserve"> ADDIN EN.CITE &lt;EndNote&gt;&lt;Cite&gt;&lt;Author&gt;Audoin-Rouzeau&lt;/Author&gt;&lt;Year&gt;1990&lt;/Year&gt;&lt;RecNum&gt;259&lt;/RecNum&gt;&lt;DisplayText&gt;Stéphane Audoin-Rouzeau, &amp;apos;&amp;quot;Bourage de crâne&amp;quot; et information en France en 1914-1918&amp;apos;, in: &lt;style face="italic"&gt;Les sociétés européennes et la guerre, &lt;/style&gt;ed. by S. Audoin-Rouzeau and J-J. Becker (Paris, 1990),&lt;/DisplayText&gt;&lt;record&gt;&lt;rec-number&gt;259&lt;/rec-number&gt;&lt;foreign-keys&gt;&lt;key app="EN" db-id="2f5rvwawcsv2woetvw35fzwbdvvswerd0err"&gt;259&lt;/key&gt;&lt;/foreign-keys&gt;&lt;ref-type name="Book Section"&gt;5&lt;/ref-type&gt;&lt;contributors&gt;&lt;authors&gt;&lt;author&gt;Audoin-Rouzeau, Stéphane&lt;/author&gt;&lt;/authors&gt;&lt;secondary-authors&gt;&lt;author&gt;Audoin-Rouzeau, S.&lt;/author&gt;&lt;author&gt;Becker, J-J.&lt;/author&gt;&lt;/secondary-authors&gt;&lt;/contributors&gt;&lt;titles&gt;&lt;title&gt;&amp;quot;Bourage de crâne&amp;quot; et information en France en 1914-1918&lt;/title&gt;&lt;secondary-title&gt;Les sociétés européennes et la guerre&lt;/secondary-title&gt;&lt;short-title&gt;&amp;quot;Bourrage&amp;quot;&lt;/short-title&gt;&lt;/titles&gt;&lt;dates&gt;&lt;year&gt;1990&lt;/year&gt;&lt;/dates&gt;&lt;pub-location&gt;Paris&lt;/pub-location&gt;&lt;urls&gt;&lt;/urls&gt;&lt;/record&gt;&lt;/Cite&gt;&lt;/EndNote&gt;</w:instrText>
      </w:r>
      <w:r>
        <w:fldChar w:fldCharType="separate"/>
      </w:r>
      <w:r w:rsidRPr="007B7627">
        <w:rPr>
          <w:noProof/>
          <w:lang w:val="fr-FR"/>
        </w:rPr>
        <w:t xml:space="preserve">Stéphane Audoin-Rouzeau, '"Bourage de crâne" et information en France en 1914-1918', in: </w:t>
      </w:r>
      <w:r w:rsidRPr="007B7627">
        <w:rPr>
          <w:i/>
          <w:noProof/>
          <w:lang w:val="fr-FR"/>
        </w:rPr>
        <w:t xml:space="preserve">Les sociétés européennes et la guerre, </w:t>
      </w:r>
      <w:r w:rsidRPr="007B7627">
        <w:rPr>
          <w:noProof/>
          <w:lang w:val="fr-FR"/>
        </w:rPr>
        <w:t>ed. by S. Audoin-Rouzeau and J-J. Becker (Paris, 1990),</w:t>
      </w:r>
      <w:r>
        <w:fldChar w:fldCharType="end"/>
      </w:r>
      <w:r w:rsidRPr="0007203A">
        <w:rPr>
          <w:lang w:val="fr-FR"/>
        </w:rPr>
        <w:t xml:space="preserve"> pp. 163-174 ; </w:t>
      </w:r>
      <w:r>
        <w:fldChar w:fldCharType="begin"/>
      </w:r>
      <w:r>
        <w:rPr>
          <w:lang w:val="fr-FR"/>
        </w:rPr>
        <w:instrText xml:space="preserve"> ADDIN EN.CITE &lt;EndNote&gt;&lt;Cite&gt;&lt;Author&gt;Becker&lt;/Author&gt;&lt;Year&gt;1994&lt;/Year&gt;&lt;RecNum&gt;168&lt;/RecNum&gt;&lt;DisplayText&gt;Annette Becker, &lt;style face="italic"&gt;La guerre et la foi: de la mort à la mémoire, 1914-1930&lt;/style&gt;, (Paris, 1994)&lt;/DisplayText&gt;&lt;record&gt;&lt;rec-number&gt;168&lt;/rec-number&gt;&lt;foreign-keys&gt;&lt;key app="EN" db-id="2f5rvwawcsv2woetvw35fzwbdvvswerd0err"&gt;168&lt;/key&gt;&lt;/foreign-keys&gt;&lt;ref-type name="Book"&gt;6&lt;/ref-type&gt;&lt;contributors&gt;&lt;authors&gt;&lt;author&gt;Becker, Annette&lt;/author&gt;&lt;/authors&gt;&lt;/contributors&gt;&lt;titles&gt;&lt;title&gt;La guerre et la foi: de la mort à la mémoire, 1914-1930&lt;/title&gt;&lt;short-title&gt;La guerre et la foi&lt;/short-title&gt;&lt;/titles&gt;&lt;dates&gt;&lt;year&gt;1994&lt;/year&gt;&lt;/dates&gt;&lt;pub-location&gt;Paris&lt;/pub-location&gt;&lt;urls&gt;&lt;/urls&gt;&lt;/record&gt;&lt;/Cite&gt;&lt;/EndNote&gt;</w:instrText>
      </w:r>
      <w:r>
        <w:fldChar w:fldCharType="separate"/>
      </w:r>
      <w:r w:rsidRPr="005C7BEE">
        <w:rPr>
          <w:noProof/>
          <w:lang w:val="fr-FR"/>
        </w:rPr>
        <w:t xml:space="preserve">Annette Becker, </w:t>
      </w:r>
      <w:r w:rsidRPr="005C7BEE">
        <w:rPr>
          <w:i/>
          <w:noProof/>
          <w:lang w:val="fr-FR"/>
        </w:rPr>
        <w:t>La guerre et la foi: de la mort à la mémoire, 1914-1930</w:t>
      </w:r>
      <w:r w:rsidRPr="005C7BEE">
        <w:rPr>
          <w:noProof/>
          <w:lang w:val="fr-FR"/>
        </w:rPr>
        <w:t>, (Paris, 1994)</w:t>
      </w:r>
      <w:r>
        <w:fldChar w:fldCharType="end"/>
      </w:r>
      <w:r w:rsidRPr="0007203A">
        <w:rPr>
          <w:lang w:val="fr-FR"/>
        </w:rPr>
        <w:t xml:space="preserve">, pp. 15-17 ; </w:t>
      </w:r>
      <w:r>
        <w:fldChar w:fldCharType="begin"/>
      </w:r>
      <w:r>
        <w:rPr>
          <w:lang w:val="fr-FR"/>
        </w:rPr>
        <w:instrText xml:space="preserve"> ADDIN EN.CITE &lt;EndNote&gt;&lt;Cite&gt;&lt;Author&gt;Sirinelli&lt;/Author&gt;&lt;Year&gt;1990&lt;/Year&gt;&lt;RecNum&gt;258&lt;/RecNum&gt;&lt;DisplayText&gt;Jean-François Sirinelli, &amp;apos;Les intellectuels français et la guerre&amp;apos;, in: &lt;style face="italic"&gt;Les sociétés européennes et la guerre, &lt;/style&gt;ed. by Stéphane Audoin-Rouzeau and Jean-Jacques Becker (Paris, 1990),&lt;/DisplayText&gt;&lt;record&gt;&lt;rec-number&gt;258&lt;/rec-number&gt;&lt;foreign-keys&gt;&lt;key app="EN" db-id="2f5rvwawcsv2woetvw35fzwbdvvswerd0err"&gt;258&lt;/key&gt;&lt;/foreign-keys&gt;&lt;ref-type name="Book Section"&gt;5&lt;/ref-type&gt;&lt;contributors&gt;&lt;authors&gt;&lt;author&gt;Sirinelli, Jean-François&lt;/author&gt;&lt;/authors&gt;&lt;secondary-authors&gt;&lt;author&gt;Audoin-Rouzeau, Stéphane&lt;/author&gt;&lt;author&gt;Becker, Jean-Jacques&lt;/author&gt;&lt;/secondary-authors&gt;&lt;/contributors&gt;&lt;titles&gt;&lt;title&gt;Les intellectuels français et la guerre&lt;/title&gt;&lt;secondary-title&gt;Les sociétés européennes et la guerre&lt;/secondary-title&gt;&lt;short-title&gt;Les intellectuels&lt;/short-title&gt;&lt;/titles&gt;&lt;dates&gt;&lt;year&gt;1990&lt;/year&gt;&lt;/dates&gt;&lt;pub-location&gt;Paris&lt;/pub-location&gt;&lt;urls&gt;&lt;/urls&gt;&lt;/record&gt;&lt;/Cite&gt;&lt;/EndNote&gt;</w:instrText>
      </w:r>
      <w:r>
        <w:fldChar w:fldCharType="separate"/>
      </w:r>
      <w:r w:rsidRPr="007B7627">
        <w:rPr>
          <w:noProof/>
          <w:lang w:val="fr-FR"/>
        </w:rPr>
        <w:t xml:space="preserve">Jean-François Sirinelli, 'Les intellectuels français et la guerre', in: </w:t>
      </w:r>
      <w:r w:rsidRPr="007B7627">
        <w:rPr>
          <w:i/>
          <w:noProof/>
          <w:lang w:val="fr-FR"/>
        </w:rPr>
        <w:t xml:space="preserve">Les sociétés européennes et la guerre, </w:t>
      </w:r>
      <w:r w:rsidRPr="007B7627">
        <w:rPr>
          <w:noProof/>
          <w:lang w:val="fr-FR"/>
        </w:rPr>
        <w:t>ed. by Stéphane Audoin-Rouzeau and Jean-Jacques Becker (Paris, 1990),</w:t>
      </w:r>
      <w:r>
        <w:fldChar w:fldCharType="end"/>
      </w:r>
      <w:r w:rsidRPr="007C3DB8">
        <w:rPr>
          <w:lang w:val="fr-FR"/>
        </w:rPr>
        <w:t xml:space="preserve"> pp. 145-160 and </w:t>
      </w:r>
      <w:r>
        <w:fldChar w:fldCharType="begin"/>
      </w:r>
      <w:r w:rsidRPr="007C3DB8">
        <w:rPr>
          <w:lang w:val="fr-FR"/>
        </w:rP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7C3DB8">
        <w:rPr>
          <w:noProof/>
          <w:lang w:val="fr-FR"/>
        </w:rPr>
        <w:t xml:space="preserve">Taylor, </w:t>
      </w:r>
      <w:r w:rsidRPr="007C3DB8">
        <w:rPr>
          <w:i/>
          <w:noProof/>
          <w:lang w:val="fr-FR"/>
        </w:rPr>
        <w:t>Munitions</w:t>
      </w:r>
      <w:r>
        <w:fldChar w:fldCharType="end"/>
      </w:r>
      <w:r w:rsidRPr="007C3DB8">
        <w:rPr>
          <w:lang w:val="fr-FR"/>
        </w:rPr>
        <w:t>, p. 194.</w:t>
      </w:r>
    </w:p>
  </w:footnote>
  <w:footnote w:id="287">
    <w:p w14:paraId="4F814785" w14:textId="77777777" w:rsidR="00DE3AC9" w:rsidRPr="0048510E" w:rsidRDefault="00DE3AC9" w:rsidP="0048510E">
      <w:pPr>
        <w:pStyle w:val="FootnoteText"/>
        <w:rPr>
          <w:lang w:val="fr-FR"/>
        </w:rPr>
      </w:pPr>
      <w:r>
        <w:rPr>
          <w:rStyle w:val="FootnoteReference"/>
        </w:rPr>
        <w:footnoteRef/>
      </w:r>
      <w:r w:rsidRPr="0048510E">
        <w:rPr>
          <w:lang w:val="fr-FR"/>
        </w:rPr>
        <w:t xml:space="preserve"> </w:t>
      </w:r>
      <w:r>
        <w:fldChar w:fldCharType="begin"/>
      </w:r>
      <w:r>
        <w:rPr>
          <w:lang w:val="fr-FR"/>
        </w:rPr>
        <w:instrText xml:space="preserve"> ADDIN EN.CITE &lt;EndNote&gt;&lt;Cite&gt;&lt;Author&gt;Kennett&lt;/Author&gt;&lt;Year&gt;2005&lt;/Year&gt;&lt;RecNum&gt;93&lt;/RecNum&gt;&lt;DisplayText&gt;Kennett, &lt;style face="italic"&gt;La première&lt;/style&gt;&lt;/DisplayText&gt;&lt;record&gt;&lt;rec-number&gt;93&lt;/rec-number&gt;&lt;foreign-keys&gt;&lt;key app="EN" db-id="2f5rvwawcsv2woetvw35fzwbdvvswerd0err"&gt;93&lt;/key&gt;&lt;/foreign-keys&gt;&lt;ref-type name="Book"&gt;6&lt;/ref-type&gt;&lt;contributors&gt;&lt;authors&gt;&lt;author&gt;Kennett, Lee&lt;/author&gt;&lt;/authors&gt;&lt;/contributors&gt;&lt;titles&gt;&lt;title&gt;La première guerre aérienne: 1914-1918&lt;/title&gt;&lt;short-title&gt;La première&lt;/short-title&gt;&lt;/titles&gt;&lt;dates&gt;&lt;year&gt;2005&lt;/year&gt;&lt;/dates&gt;&lt;pub-location&gt;Paris&lt;/pub-location&gt;&lt;urls&gt;&lt;/urls&gt;&lt;/record&gt;&lt;/Cite&gt;&lt;/EndNote&gt;</w:instrText>
      </w:r>
      <w:r>
        <w:fldChar w:fldCharType="separate"/>
      </w:r>
      <w:r w:rsidRPr="0048510E">
        <w:rPr>
          <w:noProof/>
          <w:lang w:val="fr-FR"/>
        </w:rPr>
        <w:t xml:space="preserve">Kennett, </w:t>
      </w:r>
      <w:r w:rsidRPr="0048510E">
        <w:rPr>
          <w:i/>
          <w:noProof/>
          <w:lang w:val="fr-FR"/>
        </w:rPr>
        <w:t>La première</w:t>
      </w:r>
      <w:r>
        <w:fldChar w:fldCharType="end"/>
      </w:r>
      <w:r w:rsidRPr="0048510E">
        <w:rPr>
          <w:lang w:val="fr-FR"/>
        </w:rPr>
        <w:t>, pp. 183-184.</w:t>
      </w:r>
    </w:p>
  </w:footnote>
  <w:footnote w:id="288">
    <w:p w14:paraId="2DA19F12" w14:textId="77777777" w:rsidR="00DE3AC9" w:rsidRPr="00CC5F92" w:rsidRDefault="00DE3AC9" w:rsidP="0048510E">
      <w:pPr>
        <w:pStyle w:val="FootnoteText"/>
      </w:pPr>
      <w:r>
        <w:rPr>
          <w:rStyle w:val="FootnoteReference"/>
        </w:rPr>
        <w:footnoteRef/>
      </w:r>
      <w:r w:rsidRPr="00DE3AC9">
        <w:t xml:space="preserve"> SHD AT: 16N1570. </w:t>
      </w:r>
      <w:r>
        <w:t>Report by the SR concerning German threats. 9 June 1917.</w:t>
      </w:r>
    </w:p>
  </w:footnote>
  <w:footnote w:id="289">
    <w:p w14:paraId="2C6042A4" w14:textId="77777777" w:rsidR="00DE3AC9" w:rsidRPr="0048510E" w:rsidRDefault="00DE3AC9" w:rsidP="0048510E">
      <w:pPr>
        <w:pStyle w:val="FootnoteText"/>
      </w:pPr>
      <w:r>
        <w:rPr>
          <w:rStyle w:val="FootnoteReference"/>
        </w:rPr>
        <w:footnoteRef/>
      </w:r>
      <w:r>
        <w:t xml:space="preserve"> Philippe Pétain had been freshly promoted in place of General Nivelle and was facing serious challenges such as the collapse of the morale in the army. </w:t>
      </w:r>
      <w:r>
        <w:fldChar w:fldCharType="begin"/>
      </w:r>
      <w:r>
        <w:instrText xml:space="preserve"> ADDIN EN.CITE &lt;EndNote&gt;&lt;Cite&gt;&lt;Author&gt;Becker&lt;/Author&gt;&lt;Year&gt;2008&lt;/Year&gt;&lt;RecNum&gt;65&lt;/RecNum&gt;&lt;DisplayText&gt;Becker, &lt;style face="italic"&gt;Dictionnaire&lt;/style&gt;&lt;/DisplayText&gt;&lt;record&gt;&lt;rec-number&gt;65&lt;/rec-number&gt;&lt;foreign-keys&gt;&lt;key app="EN" db-id="2f5rvwawcsv2woetvw35fzwbdvvswerd0err"&gt;65&lt;/key&gt;&lt;/foreign-keys&gt;&lt;ref-type name="Book"&gt;6&lt;/ref-type&gt;&lt;contributors&gt;&lt;authors&gt;&lt;author&gt;Becker, Jean-Jacques&lt;/author&gt;&lt;/authors&gt;&lt;/contributors&gt;&lt;titles&gt;&lt;title&gt;Dictionnaire de la Grande Guerre&lt;/title&gt;&lt;short-title&gt;Dictionnaire&lt;/short-title&gt;&lt;/titles&gt;&lt;dates&gt;&lt;year&gt;2008&lt;/year&gt;&lt;/dates&gt;&lt;pub-location&gt;Brussels&lt;/pub-location&gt;&lt;urls&gt;&lt;/urls&gt;&lt;/record&gt;&lt;/Cite&gt;&lt;/EndNote&gt;</w:instrText>
      </w:r>
      <w:r>
        <w:fldChar w:fldCharType="separate"/>
      </w:r>
      <w:r>
        <w:rPr>
          <w:noProof/>
        </w:rPr>
        <w:t xml:space="preserve">Becker, </w:t>
      </w:r>
      <w:r w:rsidRPr="007B7627">
        <w:rPr>
          <w:i/>
          <w:noProof/>
        </w:rPr>
        <w:t>Dictionnaire</w:t>
      </w:r>
      <w:r>
        <w:fldChar w:fldCharType="end"/>
      </w:r>
      <w:r w:rsidRPr="0048510E">
        <w:t>, p. 175.</w:t>
      </w:r>
    </w:p>
  </w:footnote>
  <w:footnote w:id="290">
    <w:p w14:paraId="03E963E6" w14:textId="77777777" w:rsidR="00DE3AC9" w:rsidRPr="004D3F92" w:rsidRDefault="00DE3AC9" w:rsidP="0048510E">
      <w:pPr>
        <w:pStyle w:val="FootnoteText"/>
      </w:pPr>
      <w:r>
        <w:rPr>
          <w:rStyle w:val="FootnoteReference"/>
        </w:rPr>
        <w:footnoteRef/>
      </w:r>
      <w:r>
        <w:t xml:space="preserve"> SHD AT: 16N1570. Report by General Pétain about the German threats. 26 June 1917. A position later adopted by the Americans, who distributed for a few months aerial propaganda aimed at enemy soldiers but not at civilians. </w:t>
      </w:r>
      <w:r>
        <w:fldChar w:fldCharType="begin"/>
      </w:r>
      <w:r>
        <w:instrText xml:space="preserve"> ADDIN EN.CITE &lt;EndNote&gt;&lt;Cite&gt;&lt;Author&gt;Laurie&lt;/Author&gt;&lt;Year&gt;1995&lt;/Year&gt;&lt;RecNum&gt;323&lt;/RecNum&gt;&lt;DisplayText&gt;Clayton Laurie, &amp;apos;&amp;quot;The chanting of crusaders&amp;quot;: Captain Heber Blankenhorn and AEF combat propaganda in World War I&amp;apos;, in: &lt;style face="italic"&gt;The Journal of Military History, &lt;/style&gt;59 (1995), &lt;/DisplayText&gt;&lt;record&gt;&lt;rec-number&gt;323&lt;/rec-number&gt;&lt;foreign-keys&gt;&lt;key app="EN" db-id="2f5rvwawcsv2woetvw35fzwbdvvswerd0err"&gt;323&lt;/key&gt;&lt;/foreign-keys&gt;&lt;ref-type name="Journal Article"&gt;17&lt;/ref-type&gt;&lt;contributors&gt;&lt;authors&gt;&lt;author&gt;Laurie, Clayton&lt;/author&gt;&lt;/authors&gt;&lt;/contributors&gt;&lt;titles&gt;&lt;title&gt;&amp;quot;The chanting of crusaders&amp;quot;: Captain Heber Blankenhorn and AEF combat propaganda in World War I&lt;/title&gt;&lt;secondary-title&gt;The Journal of Military History&lt;/secondary-title&gt;&lt;short-title&gt;The chanting of crusaders&lt;/short-title&gt;&lt;/titles&gt;&lt;periodical&gt;&lt;full-title&gt;The Journal of Military History&lt;/full-title&gt;&lt;/periodical&gt;&lt;volume&gt;59&lt;/volume&gt;&lt;dates&gt;&lt;year&gt;1995&lt;/year&gt;&lt;/dates&gt;&lt;urls&gt;&lt;/urls&gt;&lt;/record&gt;&lt;/Cite&gt;&lt;/EndNote&gt;</w:instrText>
      </w:r>
      <w:r>
        <w:fldChar w:fldCharType="separate"/>
      </w:r>
      <w:r>
        <w:rPr>
          <w:noProof/>
        </w:rPr>
        <w:t xml:space="preserve">Clayton Laurie, '"The chanting of crusaders": Captain Heber Blankenhorn and AEF combat propaganda in World War I', in: </w:t>
      </w:r>
      <w:r w:rsidRPr="0036468C">
        <w:rPr>
          <w:i/>
          <w:noProof/>
        </w:rPr>
        <w:t xml:space="preserve">The Journal of Military History, </w:t>
      </w:r>
      <w:r>
        <w:rPr>
          <w:noProof/>
        </w:rPr>
        <w:t xml:space="preserve">59 (1995), </w:t>
      </w:r>
      <w:r>
        <w:fldChar w:fldCharType="end"/>
      </w:r>
      <w:r>
        <w:t>p. 472.</w:t>
      </w:r>
    </w:p>
  </w:footnote>
  <w:footnote w:id="291">
    <w:p w14:paraId="2BAA2B9F" w14:textId="77777777" w:rsidR="00DE3AC9" w:rsidRPr="0092731C" w:rsidRDefault="00DE3AC9" w:rsidP="0048510E">
      <w:pPr>
        <w:pStyle w:val="FootnoteText"/>
      </w:pPr>
      <w:r>
        <w:rPr>
          <w:rStyle w:val="FootnoteReference"/>
        </w:rPr>
        <w:footnoteRef/>
      </w:r>
      <w:r>
        <w:t xml:space="preserve"> All translations made by Captain Morris in his report: NA: AIR 1/678. Report by Captain Morris on aerial distribution during the Great War. 1920.</w:t>
      </w:r>
    </w:p>
  </w:footnote>
  <w:footnote w:id="292">
    <w:p w14:paraId="3A584E06" w14:textId="77777777" w:rsidR="00DE3AC9" w:rsidRPr="00547123" w:rsidRDefault="00DE3AC9" w:rsidP="0048510E">
      <w:pPr>
        <w:pStyle w:val="FootnoteText"/>
      </w:pPr>
      <w:r>
        <w:rPr>
          <w:rStyle w:val="FootnoteReference"/>
        </w:rPr>
        <w:footnoteRef/>
      </w:r>
      <w:r>
        <w:t xml:space="preserve"> Ibid.</w:t>
      </w:r>
    </w:p>
  </w:footnote>
  <w:footnote w:id="293">
    <w:p w14:paraId="68B61F28" w14:textId="77777777" w:rsidR="00DE3AC9" w:rsidRPr="00547123" w:rsidRDefault="00DE3AC9" w:rsidP="0048510E">
      <w:pPr>
        <w:pStyle w:val="FootnoteText"/>
      </w:pPr>
      <w:r>
        <w:rPr>
          <w:rStyle w:val="FootnoteReference"/>
        </w:rPr>
        <w:footnoteRef/>
      </w:r>
      <w:r>
        <w:t xml:space="preserve"> The crew was composed of 2</w:t>
      </w:r>
      <w:r w:rsidRPr="00C94C7A">
        <w:rPr>
          <w:vertAlign w:val="superscript"/>
        </w:rPr>
        <w:t>nd</w:t>
      </w:r>
      <w:r>
        <w:t xml:space="preserve"> Lieutenants E. Sholtz and H. C. Wookey. They were shot down by Vizefeldwebel Karl Bey who was killed in action by the well-known British pilot James McCuden just a month later. </w:t>
      </w:r>
      <w:r>
        <w:fldChar w:fldCharType="begin"/>
      </w:r>
      <w:r>
        <w:instrText xml:space="preserve"> ADDIN EN.CITE &lt;EndNote&gt;&lt;Cite&gt;&lt;Author&gt;Guttman&lt;/Author&gt;&lt;Year&gt;2007&lt;/Year&gt;&lt;RecNum&gt;96&lt;/RecNum&gt;&lt;DisplayText&gt;Jon Guttman, &lt;style face="italic"&gt;Bristol F2 fighter aces of World War I&lt;/style&gt;, (Oxford, 2007)&lt;/DisplayText&gt;&lt;record&gt;&lt;rec-number&gt;96&lt;/rec-number&gt;&lt;foreign-keys&gt;&lt;key app="EN" db-id="2f5rvwawcsv2woetvw35fzwbdvvswerd0err"&gt;96&lt;/key&gt;&lt;/foreign-keys&gt;&lt;ref-type name="Book"&gt;6&lt;/ref-type&gt;&lt;contributors&gt;&lt;authors&gt;&lt;author&gt;Guttman, Jon&lt;/author&gt;&lt;/authors&gt;&lt;/contributors&gt;&lt;titles&gt;&lt;title&gt;Bristol F2 fighter aces of World War I&lt;/title&gt;&lt;short-title&gt;Bristol&lt;/short-title&gt;&lt;/titles&gt;&lt;dates&gt;&lt;year&gt;2007&lt;/year&gt;&lt;/dates&gt;&lt;pub-location&gt;Oxford&lt;/pub-location&gt;&lt;urls&gt;&lt;/urls&gt;&lt;/record&gt;&lt;/Cite&gt;&lt;/EndNote&gt;</w:instrText>
      </w:r>
      <w:r>
        <w:fldChar w:fldCharType="separate"/>
      </w:r>
      <w:r>
        <w:rPr>
          <w:noProof/>
        </w:rPr>
        <w:t xml:space="preserve">Jon Guttman, </w:t>
      </w:r>
      <w:r w:rsidRPr="007B7627">
        <w:rPr>
          <w:i/>
          <w:noProof/>
        </w:rPr>
        <w:t>Bristol F2 fighter aces of World War I</w:t>
      </w:r>
      <w:r>
        <w:rPr>
          <w:noProof/>
        </w:rPr>
        <w:t>, (Oxford, 2007)</w:t>
      </w:r>
      <w:r>
        <w:fldChar w:fldCharType="end"/>
      </w:r>
      <w:r>
        <w:t>, p. 22.</w:t>
      </w:r>
    </w:p>
  </w:footnote>
  <w:footnote w:id="294">
    <w:p w14:paraId="2DD63FB6" w14:textId="77777777" w:rsidR="00DE3AC9" w:rsidRPr="00F10AE2" w:rsidRDefault="00DE3AC9" w:rsidP="0048510E">
      <w:pPr>
        <w:pStyle w:val="FootnoteText"/>
      </w:pPr>
      <w:r>
        <w:rPr>
          <w:rStyle w:val="FootnoteReference"/>
        </w:rPr>
        <w:footnoteRef/>
      </w:r>
      <w:r>
        <w:t xml:space="preserve"> NA: WO 32/5141. Report about the legal aspect of air propaganda. 12 April 1918.</w:t>
      </w:r>
    </w:p>
  </w:footnote>
  <w:footnote w:id="295">
    <w:p w14:paraId="0F56FE77" w14:textId="77777777" w:rsidR="00DE3AC9" w:rsidRPr="007F54CD" w:rsidRDefault="00DE3AC9" w:rsidP="0048510E">
      <w:pPr>
        <w:pStyle w:val="FootnoteText"/>
      </w:pPr>
      <w:r>
        <w:rPr>
          <w:rStyle w:val="FootnoteReference"/>
        </w:rPr>
        <w:footnoteRef/>
      </w:r>
      <w:r>
        <w:t xml:space="preserve"> </w:t>
      </w:r>
      <w:r w:rsidRPr="007F54CD">
        <w:rPr>
          <w:i/>
          <w:iCs/>
        </w:rPr>
        <w:t>Le Pays</w:t>
      </w:r>
      <w:r w:rsidRPr="007F54CD">
        <w:t>, 8 February 1918.</w:t>
      </w:r>
    </w:p>
  </w:footnote>
  <w:footnote w:id="296">
    <w:p w14:paraId="176CCA70" w14:textId="77777777" w:rsidR="00DE3AC9" w:rsidRPr="007F54CD" w:rsidRDefault="00DE3AC9" w:rsidP="0048510E">
      <w:pPr>
        <w:pStyle w:val="FootnoteText"/>
      </w:pPr>
      <w:r>
        <w:rPr>
          <w:rStyle w:val="FootnoteReference"/>
        </w:rPr>
        <w:footnoteRef/>
      </w:r>
      <w:r>
        <w:t xml:space="preserve"> </w:t>
      </w:r>
      <w:r>
        <w:fldChar w:fldCharType="begin"/>
      </w:r>
      <w:r>
        <w:instrText xml:space="preserve"> ADDIN EN.CITE &lt;EndNote&gt;&lt;Cite&gt;&lt;Author&gt;Spaight&lt;/Author&gt;&lt;Year&gt;1924&lt;/Year&gt;&lt;RecNum&gt;97&lt;/RecNum&gt;&lt;DisplayText&gt;James Spaight, &lt;style face="italic"&gt;Air power and war rights&lt;/style&gt;, (London, 1924)&lt;/DisplayText&gt;&lt;record&gt;&lt;rec-number&gt;97&lt;/rec-number&gt;&lt;foreign-keys&gt;&lt;key app="EN" db-id="2f5rvwawcsv2woetvw35fzwbdvvswerd0err"&gt;97&lt;/key&gt;&lt;/foreign-keys&gt;&lt;ref-type name="Book"&gt;6&lt;/ref-type&gt;&lt;contributors&gt;&lt;authors&gt;&lt;author&gt;Spaight, James&lt;/author&gt;&lt;/authors&gt;&lt;/contributors&gt;&lt;titles&gt;&lt;title&gt;Air power and war rights&lt;/title&gt;&lt;short-title&gt;Air power&lt;/short-title&gt;&lt;/titles&gt;&lt;dates&gt;&lt;year&gt;1924&lt;/year&gt;&lt;/dates&gt;&lt;pub-location&gt;London&lt;/pub-location&gt;&lt;urls&gt;&lt;/urls&gt;&lt;/record&gt;&lt;/Cite&gt;&lt;/EndNote&gt;</w:instrText>
      </w:r>
      <w:r>
        <w:fldChar w:fldCharType="separate"/>
      </w:r>
      <w:r>
        <w:rPr>
          <w:noProof/>
        </w:rPr>
        <w:t xml:space="preserve">James Spaight, </w:t>
      </w:r>
      <w:r w:rsidRPr="007B7627">
        <w:rPr>
          <w:i/>
          <w:noProof/>
        </w:rPr>
        <w:t>Air power and war rights</w:t>
      </w:r>
      <w:r>
        <w:rPr>
          <w:noProof/>
        </w:rPr>
        <w:t>, (London, 1924)</w:t>
      </w:r>
      <w:r>
        <w:fldChar w:fldCharType="end"/>
      </w:r>
      <w:r>
        <w:t>, p. 306.</w:t>
      </w:r>
    </w:p>
  </w:footnote>
  <w:footnote w:id="297">
    <w:p w14:paraId="439EEECC" w14:textId="77777777" w:rsidR="00DE3AC9" w:rsidRPr="001D2EB0" w:rsidRDefault="00DE3AC9" w:rsidP="0048510E">
      <w:pPr>
        <w:pStyle w:val="FootnoteText"/>
      </w:pPr>
      <w:r>
        <w:rPr>
          <w:rStyle w:val="FootnoteReference"/>
        </w:rPr>
        <w:footnoteRef/>
      </w:r>
      <w:r>
        <w:t xml:space="preserve"> SHD AT: 16N1570. Report by the SI about the British position in the matter of air propaganda laws. 5 February 1918 and NA: AIR 1/678. Report by Captain Morris on aerial distribution during the Great War. 1920.</w:t>
      </w:r>
    </w:p>
  </w:footnote>
  <w:footnote w:id="298">
    <w:p w14:paraId="433BE638" w14:textId="77777777" w:rsidR="00DE3AC9" w:rsidRPr="00B2279E" w:rsidRDefault="00DE3AC9" w:rsidP="0048510E">
      <w:pPr>
        <w:pStyle w:val="FootnoteText"/>
      </w:pPr>
      <w:r>
        <w:rPr>
          <w:rStyle w:val="FootnoteReference"/>
        </w:rPr>
        <w:footnoteRef/>
      </w:r>
      <w:r>
        <w:t xml:space="preserve"> </w:t>
      </w:r>
      <w:r w:rsidRPr="00B2279E">
        <w:t>NA: AIR 1/32/15/1/176. Report by Colonel E.</w:t>
      </w:r>
      <w:r>
        <w:t xml:space="preserve"> Davidson to the Air force. 19 July 1918.</w:t>
      </w:r>
      <w:r w:rsidRPr="00B2279E">
        <w:t xml:space="preserve"> </w:t>
      </w:r>
    </w:p>
  </w:footnote>
  <w:footnote w:id="299">
    <w:p w14:paraId="6BFBD193" w14:textId="77777777" w:rsidR="00DE3AC9" w:rsidRPr="00C54460" w:rsidRDefault="00DE3AC9" w:rsidP="0048510E">
      <w:pPr>
        <w:pStyle w:val="FootnoteText"/>
        <w:rPr>
          <w:lang w:val="fr-FR"/>
        </w:rPr>
      </w:pPr>
      <w:r>
        <w:rPr>
          <w:rStyle w:val="FootnoteReference"/>
        </w:rPr>
        <w:footnoteRef/>
      </w:r>
      <w:r>
        <w:t xml:space="preserve"> </w:t>
      </w:r>
      <w:r w:rsidRPr="005B3A6A">
        <w:t>NA: AIR 1/32/15/1/176. Report by Robinson</w:t>
      </w:r>
      <w:r>
        <w:t xml:space="preserve"> of the Air cabinet</w:t>
      </w:r>
      <w:r w:rsidRPr="005B3A6A">
        <w:t xml:space="preserve">. </w:t>
      </w:r>
      <w:r w:rsidRPr="00C54460">
        <w:rPr>
          <w:lang w:val="fr-FR"/>
        </w:rPr>
        <w:t>3 August 1918.</w:t>
      </w:r>
    </w:p>
  </w:footnote>
  <w:footnote w:id="300">
    <w:p w14:paraId="36A3EF6F"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&lt;EndNote&gt;&lt;Cite&gt;&lt;Author&gt;Kennett&lt;/Author&gt;&lt;Year&gt;2005&lt;/Year&gt;&lt;RecNum&gt;93&lt;/RecNum&gt;&lt;DisplayText&gt;Kennett, &lt;style face="italic"&gt;La première&lt;/style&gt;&lt;/DisplayText&gt;&lt;record&gt;&lt;rec-number&gt;93&lt;/rec-number&gt;&lt;foreign-keys&gt;&lt;key app="EN" db-id="2f5rvwawcsv2woetvw35fzwbdvvswerd0err"&gt;93&lt;/key&gt;&lt;/foreign-keys&gt;&lt;ref-type name="Book"&gt;6&lt;/ref-type&gt;&lt;contributors&gt;&lt;authors&gt;&lt;author&gt;Kennett, Lee&lt;/author&gt;&lt;/authors&gt;&lt;/contributors&gt;&lt;titles&gt;&lt;title&gt;La première guerre aérienne: 1914-1918&lt;/title&gt;&lt;short-title&gt;La première&lt;/short-title&gt;&lt;/titles&gt;&lt;dates&gt;&lt;year&gt;2005&lt;/year&gt;&lt;/dates&gt;&lt;pub-location&gt;Paris&lt;/pub-location&gt;&lt;urls&gt;&lt;/urls&gt;&lt;/record&gt;&lt;/Cite&gt;&lt;/EndNote&gt;</w:instrText>
      </w:r>
      <w:r>
        <w:fldChar w:fldCharType="separate"/>
      </w:r>
      <w:r w:rsidRPr="00C54460">
        <w:rPr>
          <w:noProof/>
          <w:lang w:val="fr-FR"/>
        </w:rPr>
        <w:t xml:space="preserve">Kennett, </w:t>
      </w:r>
      <w:r w:rsidRPr="00C54460">
        <w:rPr>
          <w:i/>
          <w:noProof/>
          <w:lang w:val="fr-FR"/>
        </w:rPr>
        <w:t>La première</w:t>
      </w:r>
      <w:r>
        <w:fldChar w:fldCharType="end"/>
      </w:r>
      <w:r w:rsidRPr="00C54460">
        <w:rPr>
          <w:lang w:val="fr-FR"/>
        </w:rPr>
        <w:t>, pp. 93-97.</w:t>
      </w:r>
    </w:p>
  </w:footnote>
  <w:footnote w:id="301">
    <w:p w14:paraId="4A25590E" w14:textId="77777777" w:rsidR="00DE3AC9" w:rsidRPr="007570A9" w:rsidRDefault="00DE3AC9" w:rsidP="0048510E">
      <w:pPr>
        <w:pStyle w:val="FootnoteText"/>
        <w:rPr>
          <w:b/>
          <w:bCs/>
        </w:rPr>
      </w:pPr>
      <w:r>
        <w:rPr>
          <w:rStyle w:val="FootnoteReference"/>
        </w:rPr>
        <w:footnoteRef/>
      </w:r>
      <w:r>
        <w:t xml:space="preserve"> NA: AIR 1/678. Report by Captain Morris on aerial distribution during the Great War. 1920.</w:t>
      </w:r>
    </w:p>
  </w:footnote>
  <w:footnote w:id="302">
    <w:p w14:paraId="15D63EDD" w14:textId="77777777" w:rsidR="00DE3AC9" w:rsidRPr="007F54CD" w:rsidRDefault="00DE3AC9" w:rsidP="0048510E">
      <w:pPr>
        <w:pStyle w:val="FootnoteText"/>
      </w:pPr>
      <w:r>
        <w:rPr>
          <w:rStyle w:val="FootnoteReference"/>
        </w:rPr>
        <w:footnoteRef/>
      </w:r>
      <w:r>
        <w:t xml:space="preserve"> </w:t>
      </w:r>
      <w:r>
        <w:fldChar w:fldCharType="begin"/>
      </w:r>
      <w:r>
        <w:instrText xml:space="preserve"> ADDIN EN.CITE &lt;EndNote&gt;&lt;Cite&gt;&lt;Author&gt;Stuart-Campbell&lt;/Author&gt;&lt;Year&gt;1920&lt;/Year&gt;&lt;RecNum&gt;75&lt;/RecNum&gt;&lt;DisplayText&gt;Stuart-Campbell, &lt;style face="italic"&gt;Secrets&lt;/style&gt;&lt;/DisplayText&gt;&lt;record&gt;&lt;rec-number&gt;75&lt;/rec-number&gt;&lt;foreign-keys&gt;&lt;key app="EN" db-id="2f5rvwawcsv2woetvw35fzwbdvvswerd0err"&gt;75&lt;/key&gt;&lt;/foreign-keys&gt;&lt;ref-type name="Book"&gt;6&lt;/ref-type&gt;&lt;contributors&gt;&lt;authors&gt;&lt;author&gt;Stuart-Campbell, Basil&lt;/author&gt;&lt;/authors&gt;&lt;/contributors&gt;&lt;titles&gt;&lt;title&gt;Secrets of Crewe House&lt;/title&gt;&lt;short-title&gt;Secrets&lt;/short-title&gt;&lt;/titles&gt;&lt;dates&gt;&lt;year&gt;1920&lt;/year&gt;&lt;/dates&gt;&lt;pub-location&gt;London&lt;/pub-location&gt;&lt;urls&gt;&lt;/urls&gt;&lt;/record&gt;&lt;/Cite&gt;&lt;/EndNote&gt;</w:instrText>
      </w:r>
      <w:r>
        <w:fldChar w:fldCharType="separate"/>
      </w:r>
      <w:r>
        <w:rPr>
          <w:noProof/>
        </w:rPr>
        <w:t xml:space="preserve">Stuart-Campbell, </w:t>
      </w:r>
      <w:r w:rsidRPr="007B7627">
        <w:rPr>
          <w:i/>
          <w:noProof/>
        </w:rPr>
        <w:t>Secrets</w:t>
      </w:r>
      <w:r>
        <w:fldChar w:fldCharType="end"/>
      </w:r>
      <w:r>
        <w:t>, p. 54.</w:t>
      </w:r>
    </w:p>
  </w:footnote>
  <w:footnote w:id="303">
    <w:p w14:paraId="5736506B" w14:textId="77777777" w:rsidR="00DE3AC9" w:rsidRPr="005B4077" w:rsidRDefault="00DE3AC9" w:rsidP="0048510E">
      <w:pPr>
        <w:pStyle w:val="FootnoteText"/>
      </w:pPr>
      <w:r>
        <w:rPr>
          <w:rStyle w:val="FootnoteReference"/>
        </w:rPr>
        <w:footnoteRef/>
      </w:r>
      <w:r>
        <w:t xml:space="preserve"> SHD AA: 1A176. Report from the DB of the EMA to the aeronautic. 16 February 1918.</w:t>
      </w:r>
    </w:p>
  </w:footnote>
  <w:footnote w:id="304">
    <w:p w14:paraId="59B7F22F" w14:textId="77777777" w:rsidR="00DE3AC9" w:rsidRPr="007C594F" w:rsidRDefault="00DE3AC9">
      <w:pPr>
        <w:pStyle w:val="FootnoteText"/>
      </w:pPr>
      <w:r>
        <w:rPr>
          <w:rStyle w:val="FootnoteReference"/>
        </w:rPr>
        <w:footnoteRef/>
      </w:r>
      <w:r>
        <w:t xml:space="preserve"> </w:t>
      </w:r>
      <w:r w:rsidRPr="007C594F">
        <w:t>For the CAPCE, see chapter one.</w:t>
      </w:r>
    </w:p>
  </w:footnote>
  <w:footnote w:id="305">
    <w:p w14:paraId="00D2E2B3" w14:textId="77777777" w:rsidR="00DE3AC9" w:rsidRPr="00E75F4D" w:rsidRDefault="00DE3AC9" w:rsidP="0048510E">
      <w:pPr>
        <w:pStyle w:val="FootnoteText"/>
      </w:pPr>
      <w:r>
        <w:rPr>
          <w:rStyle w:val="FootnoteReference"/>
        </w:rPr>
        <w:footnoteRef/>
      </w:r>
      <w:r>
        <w:t xml:space="preserve"> SHD AT: 16N1569. Note by General Buat concerning the distribution. 29 April 1918 and SHD AT: 16N1571. Note from the SR to the CAPCE. 13 August 1918.</w:t>
      </w:r>
    </w:p>
  </w:footnote>
  <w:footnote w:id="306">
    <w:p w14:paraId="354F968A" w14:textId="77777777" w:rsidR="00DE3AC9" w:rsidRPr="00906DBF" w:rsidRDefault="00DE3AC9" w:rsidP="0048510E">
      <w:pPr>
        <w:pStyle w:val="FootnoteText"/>
      </w:pPr>
      <w:r>
        <w:rPr>
          <w:rStyle w:val="FootnoteReference"/>
        </w:rPr>
        <w:footnoteRef/>
      </w:r>
      <w:r>
        <w:t xml:space="preserve"> SHD AT: 16N1570. Wireless cable to the SPA. 14 May 1918.</w:t>
      </w:r>
    </w:p>
  </w:footnote>
  <w:footnote w:id="307">
    <w:p w14:paraId="494EF7BD" w14:textId="77777777" w:rsidR="00DE3AC9" w:rsidRPr="008038FD" w:rsidRDefault="00DE3AC9" w:rsidP="0048510E">
      <w:pPr>
        <w:pStyle w:val="FootnoteText"/>
      </w:pPr>
      <w:r>
        <w:rPr>
          <w:rStyle w:val="FootnoteReference"/>
        </w:rPr>
        <w:footnoteRef/>
      </w:r>
      <w:r>
        <w:t xml:space="preserve"> ASPF AEB: B. 347. H. Davignon to the Belgian government concerning propaganda distribution. 6 June 1918.</w:t>
      </w:r>
    </w:p>
  </w:footnote>
  <w:footnote w:id="308">
    <w:p w14:paraId="7582D733" w14:textId="77777777" w:rsidR="00DE3AC9" w:rsidRPr="000E4D2F" w:rsidRDefault="00DE3AC9" w:rsidP="0048510E">
      <w:pPr>
        <w:pStyle w:val="FootnoteText"/>
      </w:pPr>
      <w:r>
        <w:rPr>
          <w:rStyle w:val="FootnoteReference"/>
        </w:rPr>
        <w:footnoteRef/>
      </w:r>
      <w:r>
        <w:t xml:space="preserve"> ASPF AEB: B. 347. Report by the foreign minister concerning the international meeting in Paris. 29 July 1918.</w:t>
      </w:r>
    </w:p>
  </w:footnote>
  <w:footnote w:id="309">
    <w:p w14:paraId="3786B743" w14:textId="77777777" w:rsidR="00DE3AC9" w:rsidRPr="001231BB" w:rsidRDefault="00DE3AC9" w:rsidP="0048510E">
      <w:pPr>
        <w:pStyle w:val="FootnoteText"/>
      </w:pPr>
      <w:r>
        <w:rPr>
          <w:rStyle w:val="FootnoteReference"/>
        </w:rPr>
        <w:footnoteRef/>
      </w:r>
      <w:r>
        <w:t xml:space="preserve"> ASPF AEB: B. 347. Letter from the war minister to the foreign minister. 7 September 1918.</w:t>
      </w:r>
    </w:p>
  </w:footnote>
  <w:footnote w:id="310">
    <w:p w14:paraId="4631695E" w14:textId="77777777" w:rsidR="00DE3AC9" w:rsidRPr="00F30A20" w:rsidRDefault="00DE3AC9" w:rsidP="0048510E">
      <w:pPr>
        <w:pStyle w:val="FootnoteText"/>
      </w:pPr>
      <w:r>
        <w:rPr>
          <w:rStyle w:val="FootnoteReference"/>
        </w:rPr>
        <w:footnoteRef/>
      </w:r>
      <w:r>
        <w:t xml:space="preserve"> SHD AT: 16N1571. Report by the Belgian mission to the French army. 24 May 1918.</w:t>
      </w:r>
    </w:p>
  </w:footnote>
  <w:footnote w:id="311">
    <w:p w14:paraId="70A427CB" w14:textId="77777777" w:rsidR="00DE3AC9" w:rsidRPr="00AB600F" w:rsidRDefault="00DE3AC9" w:rsidP="0048510E">
      <w:pPr>
        <w:pStyle w:val="FootnoteText"/>
      </w:pPr>
      <w:r>
        <w:rPr>
          <w:rStyle w:val="FootnoteReference"/>
        </w:rPr>
        <w:footnoteRef/>
      </w:r>
      <w:r>
        <w:t xml:space="preserve">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7B7627">
        <w:rPr>
          <w:i/>
          <w:noProof/>
        </w:rPr>
        <w:t>British propaganda</w:t>
      </w:r>
      <w:r>
        <w:fldChar w:fldCharType="end"/>
      </w:r>
      <w:r>
        <w:t>, p. 77.</w:t>
      </w:r>
    </w:p>
  </w:footnote>
  <w:footnote w:id="312">
    <w:p w14:paraId="64977F1F" w14:textId="77777777" w:rsidR="00DE3AC9" w:rsidRPr="00E56923" w:rsidRDefault="00DE3AC9" w:rsidP="0048510E">
      <w:pPr>
        <w:pStyle w:val="FootnoteText"/>
      </w:pPr>
      <w:r>
        <w:rPr>
          <w:rStyle w:val="FootnoteReference"/>
        </w:rPr>
        <w:footnoteRef/>
      </w:r>
      <w:r>
        <w:t xml:space="preserve"> </w:t>
      </w:r>
      <w:r w:rsidRPr="00BC64F4">
        <w:t>NA: AIR 1/32/15/1/176. Extract from t</w:t>
      </w:r>
      <w:r>
        <w:t>he minutes of a meeting of the w</w:t>
      </w:r>
      <w:r w:rsidRPr="00BC64F4">
        <w:t xml:space="preserve">ar </w:t>
      </w:r>
      <w:r>
        <w:t>c</w:t>
      </w:r>
      <w:r w:rsidRPr="00BC64F4">
        <w:t>abinet.</w:t>
      </w:r>
      <w:r>
        <w:t xml:space="preserve"> </w:t>
      </w:r>
      <w:r w:rsidRPr="002F15AB">
        <w:t xml:space="preserve">17 July 1918. </w:t>
      </w:r>
    </w:p>
  </w:footnote>
  <w:footnote w:id="313">
    <w:p w14:paraId="22F4A327" w14:textId="77777777" w:rsidR="00DE3AC9" w:rsidRPr="009744AE" w:rsidRDefault="00DE3AC9" w:rsidP="0048510E">
      <w:pPr>
        <w:pStyle w:val="FootnoteText"/>
      </w:pPr>
      <w:r>
        <w:rPr>
          <w:rStyle w:val="FootnoteReference"/>
        </w:rPr>
        <w:footnoteRef/>
      </w:r>
      <w:r>
        <w:t xml:space="preserve"> </w:t>
      </w:r>
      <w:r>
        <w:rPr>
          <w:i/>
          <w:iCs/>
        </w:rPr>
        <w:t>L’Humanité</w:t>
      </w:r>
      <w:r>
        <w:t>, 18 September 1918.</w:t>
      </w:r>
    </w:p>
  </w:footnote>
  <w:footnote w:id="314">
    <w:p w14:paraId="1E23CF4F" w14:textId="77777777" w:rsidR="00DE3AC9" w:rsidRPr="002F15AB" w:rsidRDefault="00DE3AC9" w:rsidP="0048510E">
      <w:pPr>
        <w:pStyle w:val="FootnoteText"/>
      </w:pPr>
      <w:r>
        <w:rPr>
          <w:rStyle w:val="FootnoteReference"/>
        </w:rPr>
        <w:footnoteRef/>
      </w:r>
      <w:r>
        <w:t xml:space="preserve">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7B7627">
        <w:rPr>
          <w:i/>
          <w:noProof/>
        </w:rPr>
        <w:t>British propaganda</w:t>
      </w:r>
      <w:r>
        <w:fldChar w:fldCharType="end"/>
      </w:r>
      <w:r>
        <w:t>, p. 209.</w:t>
      </w:r>
    </w:p>
  </w:footnote>
  <w:footnote w:id="315">
    <w:p w14:paraId="5ED4CFC1" w14:textId="77777777" w:rsidR="00DE3AC9" w:rsidRPr="00385C9F" w:rsidRDefault="00DE3AC9" w:rsidP="0048510E">
      <w:pPr>
        <w:pStyle w:val="FootnoteText"/>
      </w:pPr>
      <w:r>
        <w:rPr>
          <w:rStyle w:val="FootnoteReference"/>
        </w:rPr>
        <w:footnoteRef/>
      </w:r>
      <w:r>
        <w:t xml:space="preserve"> Seven tons and a half would be around two millions leaflets. NA: AIR 1/1155/204/5/2424. Report about aerial distribution. 10 November 1918.</w:t>
      </w:r>
    </w:p>
  </w:footnote>
  <w:footnote w:id="316">
    <w:p w14:paraId="253318F3" w14:textId="77777777" w:rsidR="00DE3AC9" w:rsidRPr="00C5187C" w:rsidRDefault="00DE3AC9" w:rsidP="0048510E">
      <w:pPr>
        <w:pStyle w:val="FootnoteText"/>
      </w:pPr>
      <w:r>
        <w:rPr>
          <w:rStyle w:val="FootnoteReference"/>
        </w:rPr>
        <w:footnoteRef/>
      </w:r>
      <w:r>
        <w:t xml:space="preserve"> SHD AT: 16N1569. Note from the SR to the armies. 20 December 1917.</w:t>
      </w:r>
    </w:p>
  </w:footnote>
  <w:footnote w:id="317">
    <w:p w14:paraId="3450E317" w14:textId="698F2501" w:rsidR="00DE3AC9" w:rsidRPr="00DE0272" w:rsidRDefault="00DE3AC9" w:rsidP="00605DB1">
      <w:pPr>
        <w:pStyle w:val="FootnoteText"/>
      </w:pPr>
      <w:r>
        <w:rPr>
          <w:rStyle w:val="FootnoteReference"/>
        </w:rPr>
        <w:footnoteRef/>
      </w:r>
      <w:r>
        <w:t xml:space="preserve"> SHD AT: 16N1569. Report from Duval to the </w:t>
      </w:r>
      <w:r w:rsidR="00605DB1">
        <w:t>air force</w:t>
      </w:r>
      <w:r>
        <w:t>. 30 August 1918.</w:t>
      </w:r>
    </w:p>
  </w:footnote>
  <w:footnote w:id="318">
    <w:p w14:paraId="1E24C7C4" w14:textId="77777777" w:rsidR="00DE3AC9" w:rsidRPr="00F02E10" w:rsidRDefault="00DE3AC9" w:rsidP="0048510E">
      <w:pPr>
        <w:pStyle w:val="FootnoteText"/>
      </w:pPr>
      <w:r>
        <w:rPr>
          <w:rStyle w:val="FootnoteReference"/>
        </w:rPr>
        <w:footnoteRef/>
      </w:r>
      <w:r>
        <w:t xml:space="preserve"> SHD AT: 16N1570. Report to the General in Chief about aerial operations. 24 August 1918. Similar designs were conceived by the British. NA: AIR/1/588/204/82/68. Report form the General Staff. 13 June 1918.</w:t>
      </w:r>
    </w:p>
  </w:footnote>
  <w:footnote w:id="319">
    <w:p w14:paraId="04107EF3" w14:textId="77777777" w:rsidR="00DE3AC9" w:rsidRPr="00B91C4F" w:rsidRDefault="00DE3AC9" w:rsidP="0048510E">
      <w:pPr>
        <w:pStyle w:val="FootnoteText"/>
      </w:pPr>
      <w:r>
        <w:rPr>
          <w:rStyle w:val="FootnoteReference"/>
        </w:rPr>
        <w:footnoteRef/>
      </w:r>
      <w:r>
        <w:t xml:space="preserve"> NA: AIR 2/48. Report about the velocity of paper. 31 May 1918.</w:t>
      </w:r>
    </w:p>
  </w:footnote>
  <w:footnote w:id="320">
    <w:p w14:paraId="07E2F477" w14:textId="77777777" w:rsidR="00DE3AC9" w:rsidRPr="000C7E05" w:rsidRDefault="00DE3AC9" w:rsidP="0048510E">
      <w:pPr>
        <w:pStyle w:val="FootnoteText"/>
      </w:pPr>
      <w:r>
        <w:rPr>
          <w:rStyle w:val="FootnoteReference"/>
        </w:rPr>
        <w:footnoteRef/>
      </w:r>
      <w:r>
        <w:t xml:space="preserve"> NA: WO 32/5143. Report by Chalmers Mitchell about aerial propaganda distribution. 12 March 1918.</w:t>
      </w:r>
    </w:p>
  </w:footnote>
  <w:footnote w:id="321">
    <w:p w14:paraId="28C937F2" w14:textId="77777777" w:rsidR="00DE3AC9" w:rsidRPr="000C7E05" w:rsidRDefault="00DE3AC9" w:rsidP="0048510E">
      <w:pPr>
        <w:pStyle w:val="FootnoteText"/>
      </w:pPr>
      <w:r>
        <w:rPr>
          <w:rStyle w:val="FootnoteReference"/>
        </w:rPr>
        <w:footnoteRef/>
      </w:r>
      <w:r>
        <w:t xml:space="preserve"> Ibid.</w:t>
      </w:r>
    </w:p>
  </w:footnote>
  <w:footnote w:id="322">
    <w:p w14:paraId="4A741A07" w14:textId="77777777" w:rsidR="00DE3AC9" w:rsidRPr="000C7E05" w:rsidRDefault="00DE3AC9" w:rsidP="0048510E">
      <w:pPr>
        <w:pStyle w:val="FootnoteText"/>
      </w:pPr>
      <w:r>
        <w:rPr>
          <w:rStyle w:val="FootnoteReference"/>
        </w:rPr>
        <w:footnoteRef/>
      </w:r>
      <w:r>
        <w:t xml:space="preserve"> IWM: Diary of Lt-Colonel A. Lee, Sherwood Forester. 1932, p. 177.</w:t>
      </w:r>
    </w:p>
  </w:footnote>
  <w:footnote w:id="323">
    <w:p w14:paraId="63175396" w14:textId="77777777" w:rsidR="00DE3AC9" w:rsidRPr="00AE23A2" w:rsidRDefault="00DE3AC9" w:rsidP="0048510E">
      <w:pPr>
        <w:pStyle w:val="FootnoteText"/>
      </w:pPr>
      <w:r>
        <w:rPr>
          <w:rStyle w:val="FootnoteReference"/>
        </w:rPr>
        <w:footnoteRef/>
      </w:r>
      <w:r>
        <w:t xml:space="preserve"> A lengthy description of these balloons can be found in </w:t>
      </w:r>
      <w:r>
        <w:fldChar w:fldCharType="begin"/>
      </w:r>
      <w:r>
        <w:instrText xml:space="preserve"> ADDIN EN.CITE &lt;EndNote&gt;&lt;Cite&gt;&lt;Author&gt;Stuart-Campbell&lt;/Author&gt;&lt;Year&gt;1920&lt;/Year&gt;&lt;RecNum&gt;75&lt;/RecNum&gt;&lt;DisplayText&gt;Stuart-Campbell, &lt;style face="italic"&gt;Secrets&lt;/style&gt;&lt;/DisplayText&gt;&lt;record&gt;&lt;rec-number&gt;75&lt;/rec-number&gt;&lt;foreign-keys&gt;&lt;key app="EN" db-id="2f5rvwawcsv2woetvw35fzwbdvvswerd0err"&gt;75&lt;/key&gt;&lt;/foreign-keys&gt;&lt;ref-type name="Book"&gt;6&lt;/ref-type&gt;&lt;contributors&gt;&lt;authors&gt;&lt;author&gt;Stuart-Campbell, Basil&lt;/author&gt;&lt;/authors&gt;&lt;/contributors&gt;&lt;titles&gt;&lt;title&gt;Secrets of Crewe House&lt;/title&gt;&lt;short-title&gt;Secrets&lt;/short-title&gt;&lt;/titles&gt;&lt;dates&gt;&lt;year&gt;1920&lt;/year&gt;&lt;/dates&gt;&lt;pub-location&gt;London&lt;/pub-location&gt;&lt;urls&gt;&lt;/urls&gt;&lt;/record&gt;&lt;/Cite&gt;&lt;/EndNote&gt;</w:instrText>
      </w:r>
      <w:r>
        <w:fldChar w:fldCharType="separate"/>
      </w:r>
      <w:r>
        <w:rPr>
          <w:noProof/>
        </w:rPr>
        <w:t xml:space="preserve">Stuart-Campbell, </w:t>
      </w:r>
      <w:r w:rsidRPr="007B7627">
        <w:rPr>
          <w:i/>
          <w:noProof/>
        </w:rPr>
        <w:t>Secrets</w:t>
      </w:r>
      <w:r>
        <w:fldChar w:fldCharType="end"/>
      </w:r>
      <w:r>
        <w:t>, pp. 56-60.</w:t>
      </w:r>
    </w:p>
  </w:footnote>
  <w:footnote w:id="324">
    <w:p w14:paraId="10EE818E" w14:textId="77777777" w:rsidR="00DE3AC9" w:rsidRPr="00855F57" w:rsidRDefault="00DE3AC9" w:rsidP="0048510E">
      <w:pPr>
        <w:pStyle w:val="FootnoteText"/>
      </w:pPr>
      <w:r>
        <w:rPr>
          <w:rStyle w:val="FootnoteReference"/>
        </w:rPr>
        <w:footnoteRef/>
      </w:r>
      <w:r>
        <w:t xml:space="preserve"> SHD AT: 16N1570. Report from MI7(b) to the DB. Undated.</w:t>
      </w:r>
    </w:p>
  </w:footnote>
  <w:footnote w:id="325">
    <w:p w14:paraId="28ECD2D2" w14:textId="77777777" w:rsidR="00DE3AC9" w:rsidRPr="00F44E95" w:rsidRDefault="00DE3AC9" w:rsidP="0048510E">
      <w:pPr>
        <w:pStyle w:val="FootnoteText"/>
      </w:pPr>
      <w:r>
        <w:rPr>
          <w:rStyle w:val="FootnoteReference"/>
        </w:rPr>
        <w:footnoteRef/>
      </w:r>
      <w:r>
        <w:t xml:space="preserve"> </w:t>
      </w:r>
      <w:r>
        <w:fldChar w:fldCharType="begin"/>
      </w:r>
      <w:r>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fldChar w:fldCharType="separate"/>
      </w:r>
      <w:r>
        <w:rPr>
          <w:noProof/>
        </w:rPr>
        <w:t xml:space="preserve">de Schaepdrijver, </w:t>
      </w:r>
      <w:r w:rsidRPr="007B7627">
        <w:rPr>
          <w:i/>
          <w:noProof/>
        </w:rPr>
        <w:t>Occupation</w:t>
      </w:r>
      <w:r>
        <w:fldChar w:fldCharType="end"/>
      </w:r>
      <w:r>
        <w:t xml:space="preserve">, p. 271 and </w:t>
      </w:r>
      <w:r>
        <w:fldChar w:fldCharType="begin"/>
      </w:r>
      <w:r>
        <w:instrText xml:space="preserve"> ADDIN EN.CITE &lt;EndNote&gt;&lt;Cite&gt;&lt;Author&gt;Nicolai&lt;/Author&gt;&lt;Year&gt;1924&lt;/Year&gt;&lt;RecNum&gt;98&lt;/RecNum&gt;&lt;DisplayText&gt;Walter Nicolai, &lt;style face="italic"&gt;The German secret service&lt;/style&gt;, (London, 1924)&lt;/DisplayText&gt;&lt;record&gt;&lt;rec-number&gt;98&lt;/rec-number&gt;&lt;foreign-keys&gt;&lt;key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Pr>
          <w:noProof/>
        </w:rPr>
        <w:t xml:space="preserve">Walter Nicolai, </w:t>
      </w:r>
      <w:r w:rsidRPr="007B7627">
        <w:rPr>
          <w:i/>
          <w:noProof/>
        </w:rPr>
        <w:t>The German secret service</w:t>
      </w:r>
      <w:r>
        <w:rPr>
          <w:noProof/>
        </w:rPr>
        <w:t>, (London, 1924)</w:t>
      </w:r>
      <w:r>
        <w:fldChar w:fldCharType="end"/>
      </w:r>
      <w:r>
        <w:t>, p. 167.</w:t>
      </w:r>
    </w:p>
  </w:footnote>
  <w:footnote w:id="326">
    <w:p w14:paraId="2060788A" w14:textId="77777777" w:rsidR="00DE3AC9" w:rsidRPr="00D84F8D" w:rsidRDefault="00DE3AC9" w:rsidP="0048510E">
      <w:pPr>
        <w:pStyle w:val="FootnoteText"/>
        <w:rPr>
          <w:lang w:val="fr-FR"/>
        </w:rPr>
      </w:pPr>
      <w:r>
        <w:rPr>
          <w:rStyle w:val="FootnoteReference"/>
        </w:rPr>
        <w:footnoteRef/>
      </w:r>
      <w:r w:rsidRPr="00D84F8D">
        <w:rPr>
          <w:lang w:val="fr-FR"/>
        </w:rPr>
        <w:t xml:space="preserve"> </w:t>
      </w:r>
      <w:r>
        <w:fldChar w:fldCharType="begin"/>
      </w:r>
      <w:r>
        <w:rPr>
          <w:lang w:val="fr-FR"/>
        </w:rPr>
        <w:instrText xml:space="preserve"> ADDIN EN.CITE &lt;EndNote&gt;&lt;Cite&gt;&lt;Author&gt;Doren&lt;/Author&gt;&lt;Year&gt;1947&lt;/Year&gt;&lt;RecNum&gt;99&lt;/RecNum&gt;&lt;DisplayText&gt;Eugène van Doren, &lt;style face="italic"&gt;Les tribulations du manager de La Libre Belgique&lt;/style&gt;, (Bruxelles, 1947)&lt;/DisplayText&gt;&lt;record&gt;&lt;rec-number&gt;99&lt;/rec-number&gt;&lt;foreign-keys&gt;&lt;key app="EN" db-id="2f5rvwawcsv2woetvw35fzwbdvvswerd0err"&gt;99&lt;/key&gt;&lt;/foreign-keys&gt;&lt;ref-type name="Book"&gt;6&lt;/ref-type&gt;&lt;contributors&gt;&lt;authors&gt;&lt;author&gt;van Doren, Eugène&lt;/author&gt;&lt;/authors&gt;&lt;/contributors&gt;&lt;titles&gt;&lt;title&gt;Les tribulations du manager de La Libre Belgique&lt;/title&gt;&lt;short-title&gt;Les tribulations&lt;/short-title&gt;&lt;/titles&gt;&lt;dates&gt;&lt;year&gt;1947&lt;/year&gt;&lt;/dates&gt;&lt;pub-location&gt;Bruxelles&lt;/pub-location&gt;&lt;urls&gt;&lt;/urls&gt;&lt;/record&gt;&lt;/Cite&gt;&lt;/EndNote&gt;</w:instrText>
      </w:r>
      <w:r>
        <w:fldChar w:fldCharType="separate"/>
      </w:r>
      <w:r w:rsidRPr="007B7627">
        <w:rPr>
          <w:noProof/>
          <w:lang w:val="fr-FR"/>
        </w:rPr>
        <w:t xml:space="preserve">Eugène van Doren, </w:t>
      </w:r>
      <w:r w:rsidRPr="007B7627">
        <w:rPr>
          <w:i/>
          <w:noProof/>
          <w:lang w:val="fr-FR"/>
        </w:rPr>
        <w:t>Les tribulations du manager de La Libre Belgique</w:t>
      </w:r>
      <w:r w:rsidRPr="007B7627">
        <w:rPr>
          <w:noProof/>
          <w:lang w:val="fr-FR"/>
        </w:rPr>
        <w:t>, (Bruxelles, 1947)</w:t>
      </w:r>
      <w:r>
        <w:fldChar w:fldCharType="end"/>
      </w:r>
      <w:r w:rsidRPr="00D84F8D">
        <w:rPr>
          <w:lang w:val="fr-FR"/>
        </w:rPr>
        <w:t xml:space="preserve">, p. 46 and </w:t>
      </w:r>
      <w:r>
        <w:fldChar w:fldCharType="begin"/>
      </w:r>
      <w:r>
        <w:rPr>
          <w:lang w:val="fr-FR"/>
        </w:rPr>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fldChar w:fldCharType="separate"/>
      </w:r>
      <w:r w:rsidRPr="007B7627">
        <w:rPr>
          <w:noProof/>
          <w:lang w:val="fr-FR"/>
        </w:rPr>
        <w:t xml:space="preserve">de Schaepdrijver, </w:t>
      </w:r>
      <w:r w:rsidRPr="007B7627">
        <w:rPr>
          <w:i/>
          <w:noProof/>
          <w:lang w:val="fr-FR"/>
        </w:rPr>
        <w:t>Occupation</w:t>
      </w:r>
      <w:r>
        <w:fldChar w:fldCharType="end"/>
      </w:r>
      <w:r w:rsidRPr="00D84F8D">
        <w:rPr>
          <w:lang w:val="fr-FR"/>
        </w:rPr>
        <w:t>, pp. 167-168.</w:t>
      </w:r>
    </w:p>
  </w:footnote>
  <w:footnote w:id="327">
    <w:p w14:paraId="2FFD0D17" w14:textId="77777777" w:rsidR="00DE3AC9" w:rsidRPr="00FA713F" w:rsidRDefault="00DE3AC9" w:rsidP="0048510E">
      <w:pPr>
        <w:pStyle w:val="FootnoteText"/>
      </w:pPr>
      <w:r>
        <w:rPr>
          <w:rStyle w:val="FootnoteReference"/>
        </w:rPr>
        <w:footnoteRef/>
      </w:r>
      <w:r w:rsidRPr="00F32C1D">
        <w:rPr>
          <w:lang w:val="fr-FR"/>
        </w:rPr>
        <w:t xml:space="preserve"> Archives Fédérales Suisses (AFS): E27/</w:t>
      </w:r>
      <w:r>
        <w:rPr>
          <w:lang w:val="fr-FR"/>
        </w:rPr>
        <w:t xml:space="preserve">1000. </w:t>
      </w:r>
      <w:r w:rsidRPr="00FA713F">
        <w:t>Report about German propaganda activities in Switzerland. Undated.</w:t>
      </w:r>
    </w:p>
  </w:footnote>
  <w:footnote w:id="328">
    <w:p w14:paraId="19EC05B9" w14:textId="77777777" w:rsidR="00DE3AC9" w:rsidRPr="0096390D" w:rsidRDefault="00DE3AC9" w:rsidP="0048510E">
      <w:pPr>
        <w:pStyle w:val="FootnoteText"/>
      </w:pPr>
      <w:r>
        <w:rPr>
          <w:rStyle w:val="FootnoteReference"/>
        </w:rPr>
        <w:footnoteRef/>
      </w:r>
      <w:r>
        <w:t xml:space="preserve"> SHD AT: 6YE61601. Military file of Raymond Schuhl.</w:t>
      </w:r>
    </w:p>
  </w:footnote>
  <w:footnote w:id="329">
    <w:p w14:paraId="0EA43FEF" w14:textId="77777777" w:rsidR="00DE3AC9" w:rsidRPr="00812E20"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pp. 136-137.</w:t>
      </w:r>
    </w:p>
  </w:footnote>
  <w:footnote w:id="330">
    <w:p w14:paraId="4E35705E" w14:textId="77777777" w:rsidR="00DE3AC9" w:rsidRPr="00FA713F"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&lt;EndNote&gt;&lt;Cite&gt;&lt;Author&gt;Hansi&lt;/Author&gt;&lt;Year&gt;1922&lt;/Year&gt;&lt;RecNum&gt;19&lt;/RecNum&gt;&lt;DisplayText&gt;Ibid.&lt;/DisplayText&gt;&lt;record&gt;&lt;rec-number&gt;19&lt;/rec-number&gt;&lt;foreign-keys&gt;&lt;key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Ibid.</w:t>
      </w:r>
      <w:r>
        <w:fldChar w:fldCharType="end"/>
      </w:r>
      <w:r>
        <w:t>, pp. 133-144.</w:t>
      </w:r>
    </w:p>
  </w:footnote>
  <w:footnote w:id="331">
    <w:p w14:paraId="732496FE" w14:textId="77777777" w:rsidR="00DE3AC9" w:rsidRPr="00812E20" w:rsidRDefault="00DE3AC9" w:rsidP="0048510E">
      <w:pPr>
        <w:pStyle w:val="FootnoteText"/>
      </w:pPr>
      <w:r>
        <w:rPr>
          <w:rStyle w:val="FootnoteReference"/>
        </w:rPr>
        <w:footnoteRef/>
      </w:r>
      <w:r>
        <w:t xml:space="preserve"> </w:t>
      </w:r>
      <w:r>
        <w:rPr>
          <w:i/>
          <w:iCs/>
        </w:rPr>
        <w:t>Volkzeitung</w:t>
      </w:r>
      <w:r>
        <w:t>, 1 April 1916.</w:t>
      </w:r>
    </w:p>
  </w:footnote>
  <w:footnote w:id="332">
    <w:p w14:paraId="5DC18E1A" w14:textId="77777777" w:rsidR="00DE3AC9" w:rsidRPr="00080F90" w:rsidRDefault="00DE3AC9" w:rsidP="0048510E">
      <w:pPr>
        <w:pStyle w:val="FootnoteText"/>
      </w:pPr>
      <w:r>
        <w:rPr>
          <w:rStyle w:val="FootnoteReference"/>
        </w:rPr>
        <w:footnoteRef/>
      </w:r>
      <w:r w:rsidRPr="00080F90">
        <w:t xml:space="preserve"> </w:t>
      </w:r>
      <w:r w:rsidRPr="00080F90">
        <w:rPr>
          <w:i/>
          <w:iCs/>
        </w:rPr>
        <w:t>La Tribune de Lausanne</w:t>
      </w:r>
      <w:r w:rsidRPr="00080F90">
        <w:t>, 20 January 1917.</w:t>
      </w:r>
    </w:p>
  </w:footnote>
  <w:footnote w:id="333">
    <w:p w14:paraId="657550C9" w14:textId="77777777" w:rsidR="00DE3AC9" w:rsidRPr="00812E20"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 134.</w:t>
      </w:r>
    </w:p>
  </w:footnote>
  <w:footnote w:id="334">
    <w:p w14:paraId="60A92AF3" w14:textId="77777777" w:rsidR="00DE3AC9" w:rsidRPr="00D74D02" w:rsidRDefault="00DE3AC9" w:rsidP="0048510E">
      <w:pPr>
        <w:pStyle w:val="FootnoteText"/>
      </w:pPr>
      <w:r>
        <w:rPr>
          <w:rStyle w:val="FootnoteReference"/>
        </w:rPr>
        <w:footnoteRef/>
      </w:r>
      <w:r>
        <w:t xml:space="preserve"> AFS: E27/1000. Secret report from the army to the Swiss government about propaganda activities. Undated.</w:t>
      </w:r>
    </w:p>
  </w:footnote>
  <w:footnote w:id="335">
    <w:p w14:paraId="54E196C0" w14:textId="77777777" w:rsidR="00DE3AC9" w:rsidRPr="00812E20"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 137.</w:t>
      </w:r>
    </w:p>
  </w:footnote>
  <w:footnote w:id="336">
    <w:p w14:paraId="6D6121DC" w14:textId="77777777" w:rsidR="00DE3AC9" w:rsidRPr="006F1938" w:rsidRDefault="00DE3AC9" w:rsidP="004F165F">
      <w:pPr>
        <w:pStyle w:val="FootnoteText"/>
      </w:pPr>
      <w:r>
        <w:rPr>
          <w:rStyle w:val="FootnoteReference"/>
        </w:rPr>
        <w:footnoteRef/>
      </w:r>
      <w:r>
        <w:t xml:space="preserve">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824CCA">
        <w:rPr>
          <w:i/>
          <w:noProof/>
        </w:rPr>
        <w:t>Munitions</w:t>
      </w:r>
      <w:r>
        <w:fldChar w:fldCharType="end"/>
      </w:r>
      <w:r>
        <w:t xml:space="preserve">, pp. 190-191;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824CCA">
        <w:rPr>
          <w:i/>
          <w:noProof/>
        </w:rPr>
        <w:t>Propaganda</w:t>
      </w:r>
      <w:r>
        <w:fldChar w:fldCharType="end"/>
      </w:r>
      <w:r>
        <w:t xml:space="preserve">, p. 219 ; </w:t>
      </w:r>
      <w:r>
        <w:fldChar w:fldCharType="begin"/>
      </w:r>
      <w:r>
        <w:instrText xml:space="preserve"> ADDIN EN.CITE &lt;EndNote&gt;&lt;Cite&gt;&lt;Author&gt;Ellul&lt;/Author&gt;&lt;Year&gt;1976&lt;/Year&gt;&lt;RecNum&gt;100&lt;/RecNum&gt;&lt;DisplayText&gt;Ellul, &lt;style face="italic"&gt;Histoire&lt;/style&gt;&lt;/DisplayText&gt;&lt;record&gt;&lt;rec-number&gt;100&lt;/rec-number&gt;&lt;foreign-keys&gt;&lt;key app="EN" db-id="2f5rvwawcsv2woetvw35fzwbdvvswerd0err"&gt;100&lt;/key&gt;&lt;/foreign-keys&gt;&lt;ref-type name="Book"&gt;6&lt;/ref-type&gt;&lt;contributors&gt;&lt;authors&gt;&lt;author&gt;Ellul, Jacques&lt;/author&gt;&lt;/authors&gt;&lt;/contributors&gt;&lt;titles&gt;&lt;title&gt;Histoire de la propagande&lt;/title&gt;&lt;short-title&gt;Histoire&lt;/short-title&gt;&lt;/titles&gt;&lt;dates&gt;&lt;year&gt;1976&lt;/year&gt;&lt;/dates&gt;&lt;pub-location&gt;Paris&lt;/pub-location&gt;&lt;urls&gt;&lt;/urls&gt;&lt;/record&gt;&lt;/Cite&gt;&lt;/EndNote&gt;</w:instrText>
      </w:r>
      <w:r>
        <w:fldChar w:fldCharType="separate"/>
      </w:r>
      <w:r>
        <w:rPr>
          <w:noProof/>
        </w:rPr>
        <w:t xml:space="preserve">Ellul, </w:t>
      </w:r>
      <w:r w:rsidRPr="00824CCA">
        <w:rPr>
          <w:i/>
          <w:noProof/>
        </w:rPr>
        <w:t>Histoire</w:t>
      </w:r>
      <w:r>
        <w:fldChar w:fldCharType="end"/>
      </w:r>
      <w:r>
        <w:t xml:space="preserve">, p. 106 and </w:t>
      </w:r>
      <w:r>
        <w:fldChar w:fldCharType="begin"/>
      </w:r>
      <w:r>
        <w:instrText xml:space="preserve"> ADDIN EN.CITE &lt;EndNote&gt;&lt;Cite&gt;&lt;Author&gt;Fischer&lt;/Author&gt;&lt;Year&gt;2014&lt;/Year&gt;&lt;RecNum&gt;345&lt;/RecNum&gt;&lt;DisplayText&gt;Christopher Fischer, &amp;apos;Of occupied territories and lost provinces: German and Entente propaganda in the west during World War One&amp;apos;, in: &lt;style face="italic"&gt;World War One and propaganda, &lt;/style&gt;ed. by Troy Paddock (Boston, 2014),&lt;/DisplayText&gt;&lt;record&gt;&lt;rec-number&gt;345&lt;/rec-number&gt;&lt;foreign-keys&gt;&lt;key app="EN" db-id="2f5rvwawcsv2woetvw35fzwbdvvswerd0err"&gt;345&lt;/key&gt;&lt;/foreign-keys&gt;&lt;ref-type name="Book Section"&gt;5&lt;/ref-type&gt;&lt;contributors&gt;&lt;authors&gt;&lt;author&gt;Fischer, Christopher&lt;/author&gt;&lt;/authors&gt;&lt;secondary-authors&gt;&lt;author&gt;Paddock, Troy&lt;/author&gt;&lt;/secondary-authors&gt;&lt;/contributors&gt;&lt;titles&gt;&lt;title&gt;Of occupied territories and lost provinces: German and Entente propaganda in the west during World War One&lt;/title&gt;&lt;secondary-title&gt;World War One and propaganda&lt;/secondary-title&gt;&lt;short-title&gt;Of occupied territories and lost provinces&lt;/short-title&gt;&lt;/titles&gt;&lt;dates&gt;&lt;year&gt;2014&lt;/year&gt;&lt;/dates&gt;&lt;pub-location&gt;Boston&lt;/pub-location&gt;&lt;urls&gt;&lt;/urls&gt;&lt;/record&gt;&lt;/Cite&gt;&lt;/EndNote&gt;</w:instrText>
      </w:r>
      <w:r>
        <w:fldChar w:fldCharType="separate"/>
      </w:r>
      <w:r>
        <w:rPr>
          <w:noProof/>
        </w:rPr>
        <w:t xml:space="preserve">Christopher Fischer, 'Of occupied territories and lost provinces: German and Entente propaganda in the west during World War One', in: </w:t>
      </w:r>
      <w:r w:rsidRPr="004F165F">
        <w:rPr>
          <w:i/>
          <w:noProof/>
        </w:rPr>
        <w:t xml:space="preserve">World War One and propaganda, </w:t>
      </w:r>
      <w:r>
        <w:rPr>
          <w:noProof/>
        </w:rPr>
        <w:t>ed. by Troy Paddock (Boston, 2014),</w:t>
      </w:r>
      <w:r>
        <w:fldChar w:fldCharType="end"/>
      </w:r>
      <w:r>
        <w:t xml:space="preserve"> p. 200.</w:t>
      </w:r>
    </w:p>
  </w:footnote>
  <w:footnote w:id="337">
    <w:p w14:paraId="425CD428" w14:textId="77777777" w:rsidR="00DE3AC9" w:rsidRPr="00646422" w:rsidRDefault="00DE3AC9" w:rsidP="0048510E">
      <w:pPr>
        <w:pStyle w:val="FootnoteText"/>
      </w:pPr>
      <w:r>
        <w:rPr>
          <w:rStyle w:val="FootnoteReference"/>
        </w:rPr>
        <w:footnoteRef/>
      </w:r>
      <w:r w:rsidRPr="00646422">
        <w:t xml:space="preserve"> </w:t>
      </w:r>
      <w:r>
        <w:fldChar w:fldCharType="begin"/>
      </w:r>
      <w:r>
        <w:instrText xml:space="preserve"> ADDIN EN.CITE &lt;EndNote&gt;&lt;Cite&gt;&lt;Author&gt;Ellul&lt;/Author&gt;&lt;Year&gt;1976&lt;/Year&gt;&lt;RecNum&gt;100&lt;/RecNum&gt;&lt;DisplayText&gt;Ellul, &lt;style face="italic"&gt;Histoire&lt;/style&gt;&lt;/DisplayText&gt;&lt;record&gt;&lt;rec-number&gt;100&lt;/rec-number&gt;&lt;foreign-keys&gt;&lt;key app="EN" db-id="2f5rvwawcsv2woetvw35fzwbdvvswerd0err"&gt;100&lt;/key&gt;&lt;/foreign-keys&gt;&lt;ref-type name="Book"&gt;6&lt;/ref-type&gt;&lt;contributors&gt;&lt;authors&gt;&lt;author&gt;Ellul, Jacques&lt;/author&gt;&lt;/authors&gt;&lt;/contributors&gt;&lt;titles&gt;&lt;title&gt;Histoire de la propagande&lt;/title&gt;&lt;short-title&gt;Histoire&lt;/short-title&gt;&lt;/titles&gt;&lt;dates&gt;&lt;year&gt;1976&lt;/year&gt;&lt;/dates&gt;&lt;pub-location&gt;Paris&lt;/pub-location&gt;&lt;urls&gt;&lt;/urls&gt;&lt;/record&gt;&lt;/Cite&gt;&lt;/EndNote&gt;</w:instrText>
      </w:r>
      <w:r>
        <w:fldChar w:fldCharType="separate"/>
      </w:r>
      <w:r>
        <w:rPr>
          <w:noProof/>
        </w:rPr>
        <w:t xml:space="preserve">Ellul, </w:t>
      </w:r>
      <w:r w:rsidRPr="007B7627">
        <w:rPr>
          <w:i/>
          <w:noProof/>
        </w:rPr>
        <w:t>Histoire</w:t>
      </w:r>
      <w:r>
        <w:fldChar w:fldCharType="end"/>
      </w:r>
      <w:r w:rsidRPr="00646422">
        <w:t>, p. 106.</w:t>
      </w:r>
    </w:p>
  </w:footnote>
  <w:footnote w:id="338">
    <w:p w14:paraId="7E43D746" w14:textId="77777777" w:rsidR="00DE3AC9" w:rsidRPr="00655F31" w:rsidRDefault="00DE3AC9" w:rsidP="0048510E">
      <w:pPr>
        <w:pStyle w:val="FootnoteText"/>
      </w:pPr>
      <w:r>
        <w:rPr>
          <w:rStyle w:val="FootnoteReference"/>
        </w:rPr>
        <w:footnoteRef/>
      </w:r>
      <w:r>
        <w:t xml:space="preserve"> </w:t>
      </w:r>
      <w:r>
        <w:fldChar w:fldCharType="begin"/>
      </w:r>
      <w:r>
        <w:instrText xml:space="preserve"> ADDIN EN.CITE &lt;EndNote&gt;&lt;Cite&gt;&lt;Author&gt;Lumsdaine&lt;/Author&gt;&lt;Year&gt;1953&lt;/Year&gt;&lt;RecNum&gt;102&lt;/RecNum&gt;&lt;DisplayText&gt;Arthur Lumsdaine and Irving Janis, &amp;apos;Resistance to &amp;apos;Counterpropaganda&amp;apos; produced by one-sided and two-sided &amp;apos;propaganda&amp;apos; presentations&amp;apos;, in: &lt;style face="italic"&gt;The Public Opinion Quarterly, &lt;/style&gt;17 (1953), &lt;/DisplayText&gt;&lt;record&gt;&lt;rec-number&gt;102&lt;/rec-number&gt;&lt;foreign-keys&gt;&lt;key app="EN" db-id="2f5rvwawcsv2woetvw35fzwbdvvswerd0err"&gt;102&lt;/key&gt;&lt;/foreign-keys&gt;&lt;ref-type name="Journal Article"&gt;17&lt;/ref-type&gt;&lt;contributors&gt;&lt;authors&gt;&lt;author&gt;Lumsdaine, Arthur&lt;/author&gt;&lt;author&gt;Janis, Irving&lt;/author&gt;&lt;/authors&gt;&lt;/contributors&gt;&lt;titles&gt;&lt;title&gt;Resistance to &amp;apos;Counterpropaganda&amp;apos; produced by one-sided and two-sided &amp;apos;propaganda&amp;apos; presentations&lt;/title&gt;&lt;secondary-title&gt;The Public Opinion Quarterly&lt;/secondary-title&gt;&lt;short-title&gt;Resistance&lt;/short-title&gt;&lt;/titles&gt;&lt;periodical&gt;&lt;full-title&gt;The Public Opinion Quarterly&lt;/full-title&gt;&lt;/periodical&gt;&lt;pages&gt;311-318&lt;/pages&gt;&lt;volume&gt;17&lt;/volume&gt;&lt;dates&gt;&lt;year&gt;1953&lt;/year&gt;&lt;/dates&gt;&lt;urls&gt;&lt;/urls&gt;&lt;/record&gt;&lt;/Cite&gt;&lt;/EndNote&gt;</w:instrText>
      </w:r>
      <w:r>
        <w:fldChar w:fldCharType="separate"/>
      </w:r>
      <w:r>
        <w:rPr>
          <w:noProof/>
        </w:rPr>
        <w:t xml:space="preserve">Arthur Lumsdaine and Irving Janis, 'Resistance to 'Counterpropaganda' produced by one-sided and two-sided 'propaganda' presentations', in: </w:t>
      </w:r>
      <w:r w:rsidRPr="007B7627">
        <w:rPr>
          <w:i/>
          <w:noProof/>
        </w:rPr>
        <w:t xml:space="preserve">The Public Opinion Quarterly, </w:t>
      </w:r>
      <w:r>
        <w:rPr>
          <w:noProof/>
        </w:rPr>
        <w:t xml:space="preserve">17 (1953), </w:t>
      </w:r>
      <w:r>
        <w:fldChar w:fldCharType="end"/>
      </w:r>
      <w:r>
        <w:t>pp. 311-318.</w:t>
      </w:r>
    </w:p>
  </w:footnote>
  <w:footnote w:id="339">
    <w:p w14:paraId="0BA682FB" w14:textId="77777777" w:rsidR="00DE3AC9" w:rsidRPr="0075473F" w:rsidRDefault="00DE3AC9" w:rsidP="0048510E">
      <w:pPr>
        <w:pStyle w:val="FootnoteText"/>
      </w:pPr>
      <w:r>
        <w:rPr>
          <w:rStyle w:val="FootnoteReference"/>
        </w:rPr>
        <w:footnoteRef/>
      </w:r>
      <w:r>
        <w:t xml:space="preserve"> See the next section for a definition of white propaganda.</w:t>
      </w:r>
    </w:p>
  </w:footnote>
  <w:footnote w:id="340">
    <w:p w14:paraId="0DFB960D" w14:textId="77777777" w:rsidR="00DE3AC9" w:rsidRPr="00E5363C" w:rsidRDefault="00DE3AC9" w:rsidP="0048510E">
      <w:pPr>
        <w:pStyle w:val="FootnoteText"/>
      </w:pPr>
      <w:r>
        <w:rPr>
          <w:rStyle w:val="FootnoteReference"/>
        </w:rPr>
        <w:footnoteRef/>
      </w:r>
      <w:r>
        <w:t xml:space="preserve"> A thorough analysis of the content can be found in chapters four, five and six.</w:t>
      </w:r>
    </w:p>
  </w:footnote>
  <w:footnote w:id="341">
    <w:p w14:paraId="07B8336A" w14:textId="77777777" w:rsidR="00DE3AC9" w:rsidRPr="00F953F9"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p. 210.</w:t>
      </w:r>
    </w:p>
  </w:footnote>
  <w:footnote w:id="342">
    <w:p w14:paraId="40990FF2" w14:textId="77777777" w:rsidR="00DE3AC9" w:rsidRPr="004150FC" w:rsidRDefault="00DE3AC9" w:rsidP="0048510E">
      <w:pPr>
        <w:pStyle w:val="FootnoteText"/>
      </w:pPr>
      <w:r>
        <w:rPr>
          <w:rStyle w:val="FootnoteReference"/>
        </w:rPr>
        <w:footnoteRef/>
      </w:r>
      <w:r>
        <w:t xml:space="preserve"> See chapter seven.</w:t>
      </w:r>
    </w:p>
  </w:footnote>
  <w:footnote w:id="343">
    <w:p w14:paraId="4B0597B9" w14:textId="77777777" w:rsidR="00DE3AC9" w:rsidRPr="005826F8" w:rsidRDefault="00DE3AC9" w:rsidP="0048510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&lt;EndNote&gt;&lt;Cite&gt;&lt;Author&gt;Becker&lt;/Author&gt;&lt;Year&gt;1995&lt;/Year&gt;&lt;RecNum&gt;81&lt;/RecNum&gt;&lt;DisplayText&gt;Audoin-Rouzeau and Becker, &lt;style face="italic"&gt;La France, La nation&lt;/style&gt;&lt;/DisplayText&gt;&lt;record&gt;&lt;rec-number&gt;81&lt;/rec-number&gt;&lt;foreign-keys&gt;&lt;key app="EN" db-id="2f5rvwawcsv2woetvw35fzwbdvvswerd0err"&gt;81&lt;/key&gt;&lt;/foreign-keys&gt;&lt;ref-type name="Book"&gt;6&lt;/ref-type&gt;&lt;contributors&gt;&lt;authors&gt;&lt;author&gt;Audoin-Rouzeau, Stéphane&lt;/author&gt;&lt;author&gt;Becker, Jean-Jacques&lt;/author&gt;&lt;/authors&gt;&lt;/contributors&gt;&lt;titles&gt;&lt;title&gt;La France, la nation, la guerre: 1850-1920&lt;/title&gt;&lt;short-title&gt;La France, La nation&lt;/short-title&gt;&lt;/titles&gt;&lt;dates&gt;&lt;year&gt;1995&lt;/year&gt;&lt;/dates&gt;&lt;pub-location&gt;Paris&lt;/pub-location&gt;&lt;urls&gt;&lt;/urls&gt;&lt;/record&gt;&lt;/Cite&gt;&lt;/EndNote&gt;</w:instrText>
      </w:r>
      <w:r>
        <w:fldChar w:fldCharType="separate"/>
      </w:r>
      <w:r w:rsidRPr="00824CCA">
        <w:rPr>
          <w:noProof/>
          <w:lang w:val="fr-FR"/>
        </w:rPr>
        <w:t xml:space="preserve">Audoin-Rouzeau and Becker, </w:t>
      </w:r>
      <w:r w:rsidRPr="00824CCA">
        <w:rPr>
          <w:i/>
          <w:noProof/>
          <w:lang w:val="fr-FR"/>
        </w:rPr>
        <w:t>La France, La nation</w:t>
      </w:r>
      <w:r>
        <w:fldChar w:fldCharType="end"/>
      </w:r>
      <w:r w:rsidRPr="005826F8">
        <w:rPr>
          <w:lang w:val="fr-FR"/>
        </w:rPr>
        <w:t>, p. 289.</w:t>
      </w:r>
    </w:p>
  </w:footnote>
  <w:footnote w:id="344">
    <w:p w14:paraId="309A61C2" w14:textId="77777777" w:rsidR="00DE3AC9" w:rsidRPr="00BA4552" w:rsidRDefault="00DE3AC9" w:rsidP="0048510E">
      <w:pPr>
        <w:pStyle w:val="FootnoteText"/>
      </w:pPr>
      <w:r>
        <w:rPr>
          <w:rStyle w:val="FootnoteReference"/>
        </w:rPr>
        <w:footnoteRef/>
      </w:r>
      <w:r>
        <w:t xml:space="preserve"> See </w:t>
      </w:r>
      <w:r>
        <w:fldChar w:fldCharType="begin"/>
      </w:r>
      <w: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fldChar w:fldCharType="separate"/>
      </w:r>
      <w:r>
        <w:rPr>
          <w:noProof/>
        </w:rPr>
        <w:t xml:space="preserve">Connolly, </w:t>
      </w:r>
      <w:r w:rsidRPr="00824CCA">
        <w:rPr>
          <w:i/>
          <w:noProof/>
        </w:rPr>
        <w:t>Encountering Germans</w:t>
      </w:r>
      <w:r>
        <w:fldChar w:fldCharType="end"/>
      </w:r>
      <w:r>
        <w:t>, p. 9.</w:t>
      </w:r>
    </w:p>
  </w:footnote>
  <w:footnote w:id="345">
    <w:p w14:paraId="2DA5293E" w14:textId="77777777" w:rsidR="00DE3AC9" w:rsidRPr="00B26B00" w:rsidRDefault="00DE3AC9" w:rsidP="0048510E">
      <w:pPr>
        <w:pStyle w:val="FootnoteText"/>
      </w:pPr>
      <w:r>
        <w:rPr>
          <w:rStyle w:val="FootnoteReference"/>
        </w:rPr>
        <w:footnoteRef/>
      </w:r>
      <w:r>
        <w:t xml:space="preserve"> SHD AT: 16N1569. Interviews of refugees and notes of the SPA. 1915.</w:t>
      </w:r>
    </w:p>
  </w:footnote>
  <w:footnote w:id="346">
    <w:p w14:paraId="342BFA3A" w14:textId="2FFA8601" w:rsidR="00DE3AC9" w:rsidRPr="00ED4894"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xml:space="preserve">, p. 17. It was also defined by Jacques Ellul who said ‘the other kind, “white propaganda”, is open and aboveboard. There is a Ministry of Propaganda; one admits that propaganda is being made; its source is known; its aims and intentions are identified. The public knows that an attempt is being made to influence it’. </w:t>
      </w:r>
      <w:r>
        <w:fldChar w:fldCharType="begin"/>
      </w:r>
      <w: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Pr>
          <w:noProof/>
        </w:rPr>
        <w:t xml:space="preserve">Ellul, </w:t>
      </w:r>
      <w:r w:rsidRPr="00824CCA">
        <w:rPr>
          <w:i/>
          <w:noProof/>
        </w:rPr>
        <w:t>Propaganda</w:t>
      </w:r>
      <w:r>
        <w:fldChar w:fldCharType="end"/>
      </w:r>
      <w:r>
        <w:t xml:space="preserve">, p. 15. See also: </w:t>
      </w:r>
      <w:r>
        <w:fldChar w:fldCharType="begin"/>
      </w:r>
      <w: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Pr>
          <w:noProof/>
        </w:rPr>
        <w:t xml:space="preserve">Cull, Culbert, and Welch, </w:t>
      </w:r>
      <w:r w:rsidRPr="00824CCA">
        <w:rPr>
          <w:i/>
          <w:noProof/>
        </w:rPr>
        <w:t>Propaganda</w:t>
      </w:r>
      <w:r>
        <w:fldChar w:fldCharType="end"/>
      </w:r>
      <w:r>
        <w:t>, p. 425.</w:t>
      </w:r>
    </w:p>
  </w:footnote>
  <w:footnote w:id="347">
    <w:p w14:paraId="162B6095" w14:textId="77777777" w:rsidR="00DE3AC9" w:rsidRPr="00655F31"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pp. 106-107.</w:t>
      </w:r>
    </w:p>
  </w:footnote>
  <w:footnote w:id="348">
    <w:p w14:paraId="192501FB" w14:textId="77777777" w:rsidR="00DE3AC9" w:rsidRPr="00D41B11" w:rsidRDefault="00DE3AC9" w:rsidP="0048510E">
      <w:pPr>
        <w:pStyle w:val="FootnoteText"/>
      </w:pPr>
      <w:r>
        <w:rPr>
          <w:rStyle w:val="FootnoteReference"/>
        </w:rPr>
        <w:footnoteRef/>
      </w:r>
      <w:r>
        <w:t xml:space="preserve"> </w:t>
      </w:r>
      <w:r>
        <w:fldChar w:fldCharType="begin"/>
      </w:r>
      <w:r>
        <w:instrText xml:space="preserve"> ADDIN EN.CITE &lt;EndNote&gt;&lt;Cite&gt;&lt;Author&gt;McCombs&lt;/Author&gt;&lt;Year&gt;2009&lt;/Year&gt;&lt;RecNum&gt;107&lt;/RecNum&gt;&lt;DisplayText&gt;Maxwell McCombs and Amy Reynold, &amp;apos;How the news shapes our civic agenda&amp;apos;, in: &lt;style face="italic"&gt;Media effects: advances in theory and research, &lt;/style&gt;ed. by J. Bryant and M. Oliver (New York, 2009),&lt;/DisplayText&gt;&lt;record&gt;&lt;rec-number&gt;107&lt;/rec-number&gt;&lt;foreign-keys&gt;&lt;key app="EN" db-id="2f5rvwawcsv2woetvw35fzwbdvvswerd0err"&gt;107&lt;/key&gt;&lt;/foreign-keys&gt;&lt;ref-type name="Book Section"&gt;5&lt;/ref-type&gt;&lt;contributors&gt;&lt;authors&gt;&lt;author&gt;McCombs, Maxwell&lt;/author&gt;&lt;author&gt;Reynold, Amy&lt;/author&gt;&lt;/authors&gt;&lt;secondary-authors&gt;&lt;author&gt;J. Bryant&lt;/author&gt;&lt;author&gt;M. Oliver&lt;/author&gt;&lt;/secondary-authors&gt;&lt;/contributors&gt;&lt;titles&gt;&lt;title&gt;How the news shapes our civic agenda&lt;/title&gt;&lt;secondary-title&gt;Media effects: advances in theory and research&lt;/secondary-title&gt;&lt;short-title&gt;How the news&lt;/short-title&gt;&lt;/titles&gt;&lt;dates&gt;&lt;year&gt;2009&lt;/year&gt;&lt;/dates&gt;&lt;pub-location&gt;New York&lt;/pub-location&gt;&lt;urls&gt;&lt;/urls&gt;&lt;/record&gt;&lt;/Cite&gt;&lt;/EndNote&gt;</w:instrText>
      </w:r>
      <w:r>
        <w:fldChar w:fldCharType="separate"/>
      </w:r>
      <w:r>
        <w:rPr>
          <w:noProof/>
        </w:rPr>
        <w:t xml:space="preserve">Maxwell McCombs and Amy Reynold, 'How the news shapes our civic agenda', in: </w:t>
      </w:r>
      <w:r w:rsidRPr="007B7627">
        <w:rPr>
          <w:i/>
          <w:noProof/>
        </w:rPr>
        <w:t xml:space="preserve">Media effects: advances in theory and research, </w:t>
      </w:r>
      <w:r>
        <w:rPr>
          <w:noProof/>
        </w:rPr>
        <w:t>ed. by J. Bryant and M. Oliver (New York, 2009),</w:t>
      </w:r>
      <w:r>
        <w:fldChar w:fldCharType="end"/>
      </w:r>
      <w:r>
        <w:t xml:space="preserve"> p. 2.</w:t>
      </w:r>
    </w:p>
  </w:footnote>
  <w:footnote w:id="349">
    <w:p w14:paraId="3BC9C975" w14:textId="77777777" w:rsidR="00DE3AC9" w:rsidRPr="009E1BEC" w:rsidRDefault="00DE3AC9" w:rsidP="0048510E">
      <w:pPr>
        <w:pStyle w:val="FootnoteText"/>
      </w:pPr>
      <w:r>
        <w:rPr>
          <w:rStyle w:val="FootnoteReference"/>
        </w:rPr>
        <w:footnoteRef/>
      </w:r>
      <w:r w:rsidRPr="009E1BEC">
        <w:t xml:space="preserve"> </w:t>
      </w:r>
      <w:r>
        <w:fldChar w:fldCharType="begin"/>
      </w:r>
      <w:r w:rsidRPr="009E1BEC">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9E1BEC">
        <w:rPr>
          <w:noProof/>
        </w:rPr>
        <w:t xml:space="preserve">Jowett and O'Donnell, </w:t>
      </w:r>
      <w:r w:rsidRPr="009E1BEC">
        <w:rPr>
          <w:i/>
          <w:noProof/>
        </w:rPr>
        <w:t>Propaganda</w:t>
      </w:r>
      <w:r>
        <w:fldChar w:fldCharType="end"/>
      </w:r>
      <w:r w:rsidRPr="009E1BEC">
        <w:t>, p. 296.</w:t>
      </w:r>
    </w:p>
  </w:footnote>
  <w:footnote w:id="350">
    <w:p w14:paraId="47426E16" w14:textId="77777777" w:rsidR="00DE3AC9" w:rsidRPr="00963BC0" w:rsidRDefault="00DE3AC9" w:rsidP="0048510E">
      <w:pPr>
        <w:pStyle w:val="FootnoteText"/>
      </w:pPr>
      <w:r>
        <w:rPr>
          <w:rStyle w:val="FootnoteReference"/>
        </w:rPr>
        <w:footnoteRef/>
      </w:r>
      <w:r>
        <w:t xml:space="preserve"> SHD AA: 1A176. Report by Colonel Valantin to the war minister quoting a previous report by General Joffre about aerial propaganda. </w:t>
      </w:r>
      <w:r w:rsidRPr="00963BC0">
        <w:t>29 October 1915.</w:t>
      </w:r>
    </w:p>
  </w:footnote>
  <w:footnote w:id="351">
    <w:p w14:paraId="5A862100" w14:textId="77777777" w:rsidR="00DE3AC9" w:rsidRPr="005A6E46" w:rsidRDefault="00DE3AC9" w:rsidP="0048510E">
      <w:pPr>
        <w:pStyle w:val="FootnoteText"/>
      </w:pPr>
      <w:r>
        <w:rPr>
          <w:rStyle w:val="FootnoteReference"/>
        </w:rPr>
        <w:footnoteRef/>
      </w:r>
      <w:r w:rsidRPr="002D5266">
        <w:t xml:space="preserve"> </w:t>
      </w:r>
      <w:r w:rsidRPr="002D5266">
        <w:rPr>
          <w:i/>
          <w:iCs/>
        </w:rPr>
        <w:t xml:space="preserve">La Voix du Pays, </w:t>
      </w:r>
      <w:r w:rsidRPr="002D5266">
        <w:t xml:space="preserve">September 1915. </w:t>
      </w:r>
      <w:r w:rsidRPr="007B27A8">
        <w:t>The first issue, unlike the others, was not carrying any date.</w:t>
      </w:r>
      <w:r>
        <w:t xml:space="preserve"> </w:t>
      </w:r>
      <w:r w:rsidRPr="003A7217">
        <w:t>It seems indeed that the German were not fooled by these publications.</w:t>
      </w:r>
      <w:r>
        <w:t xml:space="preserve"> </w:t>
      </w:r>
      <w:r w:rsidRPr="005A6E46">
        <w:t xml:space="preserve">See: </w:t>
      </w:r>
      <w:r>
        <w:rPr>
          <w:lang w:val="fr-FR"/>
        </w:rPr>
        <w:fldChar w:fldCharType="begin"/>
      </w:r>
      <w: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rPr>
          <w:lang w:val="fr-FR"/>
        </w:rPr>
        <w:fldChar w:fldCharType="separate"/>
      </w:r>
      <w:r w:rsidRPr="00824CCA">
        <w:rPr>
          <w:noProof/>
        </w:rPr>
        <w:t xml:space="preserve">Nicolai, </w:t>
      </w:r>
      <w:r w:rsidRPr="00824CCA">
        <w:rPr>
          <w:i/>
          <w:noProof/>
        </w:rPr>
        <w:t>The German</w:t>
      </w:r>
      <w:r>
        <w:rPr>
          <w:lang w:val="fr-FR"/>
        </w:rPr>
        <w:fldChar w:fldCharType="end"/>
      </w:r>
      <w:r w:rsidRPr="005A6E46">
        <w:t>, pp. 160-161.</w:t>
      </w:r>
    </w:p>
  </w:footnote>
  <w:footnote w:id="352">
    <w:p w14:paraId="66ACE320" w14:textId="77777777" w:rsidR="00DE3AC9" w:rsidRPr="00841989"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pp. 302-304.</w:t>
      </w:r>
    </w:p>
  </w:footnote>
  <w:footnote w:id="353">
    <w:p w14:paraId="11923292" w14:textId="77777777" w:rsidR="00DE3AC9" w:rsidRPr="00824CCA" w:rsidRDefault="00DE3AC9" w:rsidP="0048510E">
      <w:pPr>
        <w:pStyle w:val="FootnoteText"/>
        <w:rPr>
          <w:lang w:val="fr-FR"/>
        </w:rPr>
      </w:pPr>
      <w:r>
        <w:rPr>
          <w:rStyle w:val="FootnoteReference"/>
        </w:rPr>
        <w:footnoteRef/>
      </w:r>
      <w:r w:rsidRPr="00824CCA">
        <w:rPr>
          <w:lang w:val="fr-FR"/>
        </w:rPr>
        <w:t xml:space="preserve"> </w:t>
      </w:r>
      <w:r>
        <w:fldChar w:fldCharType="begin"/>
      </w:r>
      <w:r w:rsidRPr="00824CCA">
        <w:rPr>
          <w:lang w:val="fr-FR"/>
        </w:rPr>
        <w:instrText xml:space="preserve"> ADDIN EN.CITE &lt;EndNote&gt;&lt;Cite&gt;&lt;Author&gt;Baycroft&lt;/Author&gt;&lt;Year&gt;2004&lt;/Year&gt;&lt;RecNum&gt;288&lt;/RecNum&gt;&lt;DisplayText&gt;Baycroft, &lt;style face="italic"&gt;Culture&lt;/style&gt;&lt;/DisplayText&gt;&lt;record&gt;&lt;rec-number&gt;288&lt;/rec-number&gt;&lt;foreign-keys&gt;&lt;key app="EN" db-id="2f5rvwawcsv2woetvw35fzwbdvvswerd0err"&gt;288&lt;/key&gt;&lt;/foreign-keys&gt;&lt;ref-type name="Book"&gt;6&lt;/ref-type&gt;&lt;contributors&gt;&lt;authors&gt;&lt;author&gt;Baycroft, Timothy&lt;/author&gt;&lt;/authors&gt;&lt;/contributors&gt;&lt;titles&gt;&lt;title&gt;Culture, identity and nationalism: French Flanders in the Nineteenth and Twentieth Centuries&lt;/title&gt;&lt;short-title&gt;Culture&lt;/short-title&gt;&lt;/titles&gt;&lt;dates&gt;&lt;year&gt;2004&lt;/year&gt;&lt;/dates&gt;&lt;pub-location&gt;Woolbridge&lt;/pub-location&gt;&lt;urls&gt;&lt;/urls&gt;&lt;/record&gt;&lt;/Cite&gt;&lt;/EndNote&gt;</w:instrText>
      </w:r>
      <w:r>
        <w:fldChar w:fldCharType="separate"/>
      </w:r>
      <w:r w:rsidRPr="00824CCA">
        <w:rPr>
          <w:noProof/>
          <w:lang w:val="fr-FR"/>
        </w:rPr>
        <w:t xml:space="preserve">Baycroft, </w:t>
      </w:r>
      <w:r w:rsidRPr="00824CCA">
        <w:rPr>
          <w:i/>
          <w:noProof/>
          <w:lang w:val="fr-FR"/>
        </w:rPr>
        <w:t>Culture</w:t>
      </w:r>
      <w:r>
        <w:fldChar w:fldCharType="end"/>
      </w:r>
      <w:r w:rsidRPr="00824CCA">
        <w:rPr>
          <w:lang w:val="fr-FR"/>
        </w:rPr>
        <w:t>, p. 153.</w:t>
      </w:r>
    </w:p>
  </w:footnote>
  <w:footnote w:id="354">
    <w:p w14:paraId="30AACCC1" w14:textId="77777777" w:rsidR="00DE3AC9" w:rsidRPr="002D5266" w:rsidRDefault="00DE3AC9" w:rsidP="0048510E">
      <w:pPr>
        <w:pStyle w:val="FootnoteText"/>
        <w:rPr>
          <w:lang w:val="fr-FR"/>
        </w:rPr>
      </w:pPr>
      <w:r>
        <w:rPr>
          <w:rStyle w:val="FootnoteReference"/>
        </w:rPr>
        <w:footnoteRef/>
      </w:r>
      <w:r w:rsidRPr="002D5266">
        <w:rPr>
          <w:lang w:val="fr-FR"/>
        </w:rPr>
        <w:t xml:space="preserve"> </w:t>
      </w:r>
      <w:r>
        <w:rPr>
          <w:lang w:val="fr-FR"/>
        </w:rPr>
        <w:fldChar w:fldCharType="begin"/>
      </w:r>
      <w:r>
        <w:rPr>
          <w:lang w:val="fr-FR"/>
        </w:rP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rPr>
          <w:lang w:val="fr-FR"/>
        </w:rPr>
        <w:fldChar w:fldCharType="separate"/>
      </w:r>
      <w:r>
        <w:rPr>
          <w:noProof/>
          <w:lang w:val="fr-FR"/>
        </w:rPr>
        <w:t xml:space="preserve">Hansi and Tonnelat, </w:t>
      </w:r>
      <w:r w:rsidRPr="00824CCA">
        <w:rPr>
          <w:i/>
          <w:noProof/>
          <w:lang w:val="fr-FR"/>
        </w:rPr>
        <w:t>A travers</w:t>
      </w:r>
      <w:r>
        <w:rPr>
          <w:lang w:val="fr-FR"/>
        </w:rPr>
        <w:fldChar w:fldCharType="end"/>
      </w:r>
      <w:r w:rsidRPr="002D5266">
        <w:rPr>
          <w:lang w:val="fr-FR"/>
        </w:rPr>
        <w:t>, p. 108.</w:t>
      </w:r>
    </w:p>
  </w:footnote>
  <w:footnote w:id="355">
    <w:p w14:paraId="237DC70E" w14:textId="77777777" w:rsidR="00DE3AC9" w:rsidRPr="00654409" w:rsidRDefault="00DE3AC9" w:rsidP="0048510E">
      <w:pPr>
        <w:pStyle w:val="FootnoteText"/>
        <w:rPr>
          <w:lang w:val="fr-FR"/>
        </w:rPr>
      </w:pPr>
      <w:r>
        <w:rPr>
          <w:rStyle w:val="FootnoteReference"/>
        </w:rPr>
        <w:footnoteRef/>
      </w:r>
      <w:r w:rsidRPr="00654409">
        <w:rPr>
          <w:lang w:val="fr-FR"/>
        </w:rPr>
        <w:t xml:space="preserve"> </w:t>
      </w:r>
      <w:r>
        <w:rPr>
          <w:i/>
          <w:iCs/>
          <w:lang w:val="fr-FR"/>
        </w:rPr>
        <w:t>La Voix du Pays</w:t>
      </w:r>
      <w:r>
        <w:rPr>
          <w:lang w:val="fr-FR"/>
        </w:rPr>
        <w:t>, 28 December 1915.</w:t>
      </w:r>
    </w:p>
  </w:footnote>
  <w:footnote w:id="356">
    <w:p w14:paraId="2B4A2DBE" w14:textId="77777777" w:rsidR="00DE3AC9" w:rsidRPr="00654409" w:rsidRDefault="00DE3AC9" w:rsidP="0048510E">
      <w:pPr>
        <w:pStyle w:val="FootnoteText"/>
        <w:rPr>
          <w:lang w:val="fr-FR"/>
        </w:rPr>
      </w:pPr>
      <w:r>
        <w:rPr>
          <w:rStyle w:val="FootnoteReference"/>
        </w:rPr>
        <w:footnoteRef/>
      </w:r>
      <w:r w:rsidRPr="00654409">
        <w:rPr>
          <w:lang w:val="fr-FR"/>
        </w:rPr>
        <w:t xml:space="preserve"> </w:t>
      </w:r>
      <w:r w:rsidRPr="00654409">
        <w:rPr>
          <w:i/>
          <w:iCs/>
          <w:lang w:val="fr-FR"/>
        </w:rPr>
        <w:t xml:space="preserve">La Gazette des Ardennes, </w:t>
      </w:r>
      <w:r w:rsidRPr="00654409">
        <w:rPr>
          <w:lang w:val="fr-FR"/>
        </w:rPr>
        <w:t>2 April 1915.</w:t>
      </w:r>
    </w:p>
  </w:footnote>
  <w:footnote w:id="357">
    <w:p w14:paraId="57C99AB4" w14:textId="21E9712C" w:rsidR="00DE3AC9" w:rsidRPr="00772B61" w:rsidRDefault="00DE3AC9" w:rsidP="0048510E">
      <w:pPr>
        <w:pStyle w:val="FootnoteText"/>
        <w:rPr>
          <w:lang w:val="fr-FR"/>
        </w:rPr>
      </w:pPr>
      <w:r>
        <w:rPr>
          <w:rStyle w:val="FootnoteReference"/>
        </w:rPr>
        <w:footnoteRef/>
      </w:r>
      <w:r w:rsidRPr="00772B61">
        <w:rPr>
          <w:lang w:val="fr-FR"/>
        </w:rPr>
        <w:t xml:space="preserve"> </w:t>
      </w:r>
      <w:r>
        <w:rPr>
          <w:lang w:val="fr-FR"/>
        </w:rPr>
        <w:t xml:space="preserve">The last list was published in </w:t>
      </w:r>
      <w:r>
        <w:rPr>
          <w:i/>
          <w:iCs/>
          <w:lang w:val="fr-FR"/>
        </w:rPr>
        <w:t>La Voix du Pays</w:t>
      </w:r>
      <w:r>
        <w:rPr>
          <w:lang w:val="fr-FR"/>
        </w:rPr>
        <w:t>, 13 June 1916.</w:t>
      </w:r>
    </w:p>
  </w:footnote>
  <w:footnote w:id="358">
    <w:p w14:paraId="6C40CC92" w14:textId="77777777" w:rsidR="00DE3AC9" w:rsidRPr="002B22A5" w:rsidRDefault="00DE3AC9" w:rsidP="0048510E">
      <w:pPr>
        <w:pStyle w:val="FootnoteText"/>
        <w:rPr>
          <w:lang w:val="fr-FR"/>
        </w:rPr>
      </w:pPr>
      <w:r>
        <w:rPr>
          <w:rStyle w:val="FootnoteReference"/>
        </w:rPr>
        <w:footnoteRef/>
      </w:r>
      <w:r w:rsidRPr="002B22A5">
        <w:rPr>
          <w:lang w:val="fr-FR"/>
        </w:rPr>
        <w:t xml:space="preserve"> </w:t>
      </w:r>
      <w:r>
        <w:rPr>
          <w:i/>
          <w:iCs/>
          <w:lang w:val="fr-FR"/>
        </w:rPr>
        <w:t>La Voix du Pays</w:t>
      </w:r>
      <w:r>
        <w:rPr>
          <w:lang w:val="fr-FR"/>
        </w:rPr>
        <w:t>, 12 June 1917.</w:t>
      </w:r>
    </w:p>
  </w:footnote>
  <w:footnote w:id="359">
    <w:p w14:paraId="0CF4ED6F" w14:textId="77777777" w:rsidR="00DE3AC9" w:rsidRPr="005033AA" w:rsidRDefault="00DE3AC9" w:rsidP="0048510E">
      <w:pPr>
        <w:pStyle w:val="FootnoteText"/>
      </w:pPr>
      <w:r>
        <w:rPr>
          <w:rStyle w:val="FootnoteReference"/>
        </w:rPr>
        <w:footnoteRef/>
      </w:r>
      <w:r w:rsidRPr="005033AA">
        <w:t xml:space="preserve"> </w:t>
      </w:r>
      <w:r w:rsidRPr="00F56ED8">
        <w:t>ASPF AEB: B. 345</w:t>
      </w:r>
      <w:r>
        <w:t xml:space="preserve">. Report by the BDB to the war minister about the creation of the </w:t>
      </w:r>
      <w:r>
        <w:rPr>
          <w:i/>
          <w:iCs/>
        </w:rPr>
        <w:t>Clairon du Roi</w:t>
      </w:r>
      <w:r>
        <w:t>. 22 October 1915.</w:t>
      </w:r>
    </w:p>
  </w:footnote>
  <w:footnote w:id="360">
    <w:p w14:paraId="2B45807C" w14:textId="77777777" w:rsidR="00DE3AC9" w:rsidRPr="009468B2" w:rsidRDefault="00DE3AC9" w:rsidP="0048510E">
      <w:pPr>
        <w:pStyle w:val="FootnoteText"/>
        <w:rPr>
          <w:lang w:val="fr-FR"/>
        </w:rPr>
      </w:pPr>
      <w:r>
        <w:rPr>
          <w:rStyle w:val="FootnoteReference"/>
        </w:rPr>
        <w:footnoteRef/>
      </w:r>
      <w:r w:rsidRPr="009468B2">
        <w:rPr>
          <w:lang w:val="fr-FR"/>
        </w:rPr>
        <w:t xml:space="preserve"> </w:t>
      </w:r>
      <w:r w:rsidRPr="009468B2">
        <w:rPr>
          <w:i/>
          <w:iCs/>
          <w:lang w:val="fr-FR"/>
        </w:rPr>
        <w:t xml:space="preserve">Le Clairon du Roi, </w:t>
      </w:r>
      <w:r w:rsidRPr="009468B2">
        <w:rPr>
          <w:lang w:val="fr-FR"/>
        </w:rPr>
        <w:t>May 1916.</w:t>
      </w:r>
    </w:p>
  </w:footnote>
  <w:footnote w:id="361">
    <w:p w14:paraId="245EE1A0" w14:textId="77777777" w:rsidR="00DE3AC9" w:rsidRPr="000F28A9" w:rsidRDefault="00DE3AC9" w:rsidP="0048510E">
      <w:pPr>
        <w:pStyle w:val="FootnoteText"/>
      </w:pPr>
      <w:r>
        <w:rPr>
          <w:rStyle w:val="FootnoteReference"/>
        </w:rPr>
        <w:footnoteRef/>
      </w:r>
      <w:r>
        <w:t xml:space="preserve"> </w:t>
      </w:r>
      <w:r w:rsidRPr="00F56ED8">
        <w:t>ASPF AEB: B. 345</w:t>
      </w:r>
      <w:r>
        <w:t>. Report by the BDB to the war minister about air propaganda. 17 June 1918.</w:t>
      </w:r>
    </w:p>
  </w:footnote>
  <w:footnote w:id="362">
    <w:p w14:paraId="67028306" w14:textId="77777777" w:rsidR="00DE3AC9" w:rsidRPr="00106F65" w:rsidRDefault="00DE3AC9" w:rsidP="0048510E">
      <w:pPr>
        <w:pStyle w:val="FootnoteText"/>
      </w:pPr>
      <w:r>
        <w:rPr>
          <w:rStyle w:val="FootnoteReference"/>
        </w:rPr>
        <w:footnoteRef/>
      </w:r>
      <w:r w:rsidRPr="00106F65">
        <w:t xml:space="preserve"> SHD AT: 16N1571. Report of the</w:t>
      </w:r>
      <w:r>
        <w:t xml:space="preserve"> French military mission to the Belgian Army. 28 January 1918.</w:t>
      </w:r>
    </w:p>
  </w:footnote>
  <w:footnote w:id="363">
    <w:p w14:paraId="66697D74" w14:textId="77777777" w:rsidR="00DE3AC9" w:rsidRPr="00740592" w:rsidRDefault="00DE3AC9" w:rsidP="0048510E">
      <w:pPr>
        <w:pStyle w:val="FootnoteText"/>
      </w:pPr>
      <w:r>
        <w:rPr>
          <w:rStyle w:val="FootnoteReference"/>
        </w:rPr>
        <w:footnoteRef/>
      </w:r>
      <w:r w:rsidRPr="00740592">
        <w:rPr>
          <w:lang w:val="fr-FR"/>
        </w:rPr>
        <w:t xml:space="preserve"> </w:t>
      </w:r>
      <w:r>
        <w:rPr>
          <w:lang w:val="fr-FR"/>
        </w:rPr>
        <w:t xml:space="preserve">Musée de l’Armée Belge de Bruxelles (MABB): GQG II Section. </w:t>
      </w:r>
      <w:r w:rsidRPr="00740592">
        <w:t xml:space="preserve">Report about the </w:t>
      </w:r>
      <w:r w:rsidRPr="00740592">
        <w:rPr>
          <w:i/>
          <w:iCs/>
        </w:rPr>
        <w:t>t’Kerelsblad</w:t>
      </w:r>
      <w:r w:rsidRPr="00740592">
        <w:t xml:space="preserve">. </w:t>
      </w:r>
      <w:r>
        <w:t>16 April 1918.</w:t>
      </w:r>
      <w:r w:rsidRPr="00740592">
        <w:t xml:space="preserve"> </w:t>
      </w:r>
    </w:p>
  </w:footnote>
  <w:footnote w:id="364">
    <w:p w14:paraId="77FECA24" w14:textId="77777777" w:rsidR="00DE3AC9" w:rsidRPr="00A55E49" w:rsidRDefault="00DE3AC9" w:rsidP="0048510E">
      <w:pPr>
        <w:pStyle w:val="FootnoteText"/>
      </w:pPr>
      <w:r>
        <w:rPr>
          <w:rStyle w:val="FootnoteReference"/>
        </w:rPr>
        <w:footnoteRef/>
      </w:r>
      <w:r>
        <w:t xml:space="preserve"> </w:t>
      </w:r>
      <w:r w:rsidRPr="00F56ED8">
        <w:t>ASPF AEB: B. 345</w:t>
      </w:r>
      <w:r>
        <w:t>. Various reports concerning aerial propaganda. 1915-1918.</w:t>
      </w:r>
    </w:p>
  </w:footnote>
  <w:footnote w:id="365">
    <w:p w14:paraId="049DC2B7" w14:textId="77777777" w:rsidR="00DE3AC9" w:rsidRPr="005811E5" w:rsidRDefault="00DE3AC9" w:rsidP="0048510E">
      <w:pPr>
        <w:pStyle w:val="FootnoteText"/>
      </w:pPr>
      <w:r>
        <w:rPr>
          <w:rStyle w:val="FootnoteReference"/>
        </w:rPr>
        <w:footnoteRef/>
      </w:r>
      <w:r>
        <w:t xml:space="preserve"> </w:t>
      </w:r>
      <w:r w:rsidRPr="00F56ED8">
        <w:t>ASPF AEB: B. 345</w:t>
      </w:r>
      <w:r>
        <w:t xml:space="preserve">. Report by the BDB about </w:t>
      </w:r>
      <w:r>
        <w:rPr>
          <w:i/>
          <w:iCs/>
        </w:rPr>
        <w:t>Les Bonnes Nouvelles</w:t>
      </w:r>
      <w:r>
        <w:t>. 31 July 1918.</w:t>
      </w:r>
    </w:p>
  </w:footnote>
  <w:footnote w:id="366">
    <w:p w14:paraId="33438EDE" w14:textId="77777777" w:rsidR="00DE3AC9" w:rsidRPr="00824CCA" w:rsidRDefault="00DE3AC9" w:rsidP="0048510E">
      <w:pPr>
        <w:pStyle w:val="FootnoteText"/>
        <w:rPr>
          <w:lang w:val="fr-FR"/>
        </w:rPr>
      </w:pPr>
      <w:r>
        <w:rPr>
          <w:rStyle w:val="FootnoteReference"/>
        </w:rPr>
        <w:footnoteRef/>
      </w:r>
      <w:r>
        <w:t xml:space="preserve"> British Library: C.40.I.21. Unpublished account of the history of the </w:t>
      </w:r>
      <w:r>
        <w:rPr>
          <w:i/>
          <w:iCs/>
        </w:rPr>
        <w:t xml:space="preserve">Courrier de l’Air. </w:t>
      </w:r>
      <w:r w:rsidRPr="00824CCA">
        <w:rPr>
          <w:lang w:val="fr-FR"/>
        </w:rPr>
        <w:t xml:space="preserve">November 1918 and </w:t>
      </w:r>
      <w:r w:rsidRPr="00824CCA">
        <w:rPr>
          <w:i/>
          <w:iCs/>
          <w:lang w:val="fr-FR"/>
        </w:rPr>
        <w:t>Le Courrier de l’Air</w:t>
      </w:r>
      <w:r w:rsidRPr="00824CCA">
        <w:rPr>
          <w:lang w:val="fr-FR"/>
        </w:rPr>
        <w:t>, 6 April 1917.</w:t>
      </w:r>
    </w:p>
  </w:footnote>
  <w:footnote w:id="367">
    <w:p w14:paraId="41CCB0D1" w14:textId="77777777" w:rsidR="00DE3AC9" w:rsidRPr="00824CCA" w:rsidRDefault="00DE3AC9" w:rsidP="0048510E">
      <w:pPr>
        <w:pStyle w:val="FootnoteText"/>
        <w:rPr>
          <w:lang w:val="fr-FR"/>
        </w:rPr>
      </w:pPr>
      <w:r>
        <w:rPr>
          <w:rStyle w:val="FootnoteReference"/>
        </w:rPr>
        <w:footnoteRef/>
      </w:r>
      <w:r w:rsidRPr="00824CCA">
        <w:rPr>
          <w:lang w:val="fr-FR"/>
        </w:rPr>
        <w:t xml:space="preserve"> </w:t>
      </w:r>
      <w:r>
        <w:rPr>
          <w:lang w:val="fr-FR"/>
        </w:rPr>
        <w:fldChar w:fldCharType="begin"/>
      </w:r>
      <w:r w:rsidRPr="00824CCA">
        <w:rPr>
          <w:lang w:val="fr-FR"/>
        </w:rPr>
        <w:instrText xml:space="preserve"> ADDIN EN.CITE &lt;EndNote&gt;&lt;Cite&gt;&lt;Author&gt;Qualter&lt;/Author&gt;&lt;Year&gt;1962&lt;/Year&gt;&lt;RecNum&gt;112&lt;/RecNum&gt;&lt;DisplayText&gt;Qualter, &lt;style face="italic"&gt;Propaganda&lt;/style&gt;&lt;/DisplayText&gt;&lt;record&gt;&lt;rec-number&gt;112&lt;/rec-number&gt;&lt;foreign-keys&gt;&lt;key app="EN" db-id="2f5rvwawcsv2woetvw35fzwbdvvswerd0err"&gt;112&lt;/key&gt;&lt;/foreign-keys&gt;&lt;ref-type name="Book"&gt;6&lt;/ref-type&gt;&lt;contributors&gt;&lt;authors&gt;&lt;author&gt;Qualter, Terence&lt;/author&gt;&lt;/authors&gt;&lt;/contributors&gt;&lt;titles&gt;&lt;title&gt;Propaganda and psychological warfare&lt;/title&gt;&lt;short-title&gt;Propaganda&lt;/short-title&gt;&lt;/titles&gt;&lt;dates&gt;&lt;year&gt;1962&lt;/year&gt;&lt;/dates&gt;&lt;pub-location&gt;New York&lt;/pub-location&gt;&lt;urls&gt;&lt;/urls&gt;&lt;/record&gt;&lt;/Cite&gt;&lt;/EndNote&gt;</w:instrText>
      </w:r>
      <w:r>
        <w:rPr>
          <w:lang w:val="fr-FR"/>
        </w:rPr>
        <w:fldChar w:fldCharType="separate"/>
      </w:r>
      <w:r w:rsidRPr="00824CCA">
        <w:rPr>
          <w:noProof/>
          <w:lang w:val="fr-FR"/>
        </w:rPr>
        <w:t xml:space="preserve">Qualter, </w:t>
      </w:r>
      <w:r w:rsidRPr="00824CCA">
        <w:rPr>
          <w:i/>
          <w:noProof/>
          <w:lang w:val="fr-FR"/>
        </w:rPr>
        <w:t>Propaganda</w:t>
      </w:r>
      <w:r>
        <w:rPr>
          <w:lang w:val="fr-FR"/>
        </w:rPr>
        <w:fldChar w:fldCharType="end"/>
      </w:r>
      <w:r w:rsidRPr="00824CCA">
        <w:rPr>
          <w:lang w:val="fr-FR"/>
        </w:rPr>
        <w:t>, p. xii.</w:t>
      </w:r>
    </w:p>
  </w:footnote>
  <w:footnote w:id="368">
    <w:p w14:paraId="64A8176B" w14:textId="77777777" w:rsidR="00DE3AC9" w:rsidRPr="008A379F" w:rsidRDefault="00DE3AC9" w:rsidP="0048510E">
      <w:pPr>
        <w:pStyle w:val="FootnoteText"/>
      </w:pPr>
      <w:r>
        <w:rPr>
          <w:rStyle w:val="FootnoteReference"/>
        </w:rPr>
        <w:footnoteRef/>
      </w:r>
      <w:r>
        <w:t xml:space="preserve"> </w:t>
      </w:r>
      <w:r w:rsidRPr="008A379F">
        <w:t>NA</w:t>
      </w:r>
      <w:r>
        <w:t>:</w:t>
      </w:r>
      <w:r w:rsidRPr="008A379F">
        <w:t xml:space="preserve"> WO 32/5140. Report</w:t>
      </w:r>
      <w:r>
        <w:t xml:space="preserve"> made by Wellington House</w:t>
      </w:r>
      <w:r w:rsidRPr="008A379F">
        <w:t xml:space="preserve"> about the British production of propaganda. </w:t>
      </w:r>
      <w:r>
        <w:t xml:space="preserve">20 April 1917.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824CCA">
        <w:rPr>
          <w:i/>
          <w:noProof/>
        </w:rPr>
        <w:t>British propaganda</w:t>
      </w:r>
      <w:r>
        <w:fldChar w:fldCharType="end"/>
      </w:r>
      <w:r>
        <w:t>, p. 137.</w:t>
      </w:r>
    </w:p>
  </w:footnote>
  <w:footnote w:id="369">
    <w:p w14:paraId="1F974761" w14:textId="77777777" w:rsidR="00DE3AC9" w:rsidRPr="005A6E46" w:rsidRDefault="00DE3AC9" w:rsidP="0048510E">
      <w:pPr>
        <w:pStyle w:val="FootnoteText"/>
      </w:pPr>
      <w:r>
        <w:rPr>
          <w:rStyle w:val="FootnoteReference"/>
        </w:rPr>
        <w:footnoteRef/>
      </w:r>
      <w:r w:rsidRPr="005A6E46">
        <w:t xml:space="preserve"> </w:t>
      </w:r>
      <w:r>
        <w:fldChar w:fldCharType="begin"/>
      </w:r>
      <w:r>
        <w:instrText xml:space="preserve"> ADDIN EN.CITE &lt;EndNote&gt;&lt;Cite&gt;&lt;Author&gt;Bernays&lt;/Author&gt;&lt;Year&gt;2005&lt;/Year&gt;&lt;RecNum&gt;109&lt;/RecNum&gt;&lt;DisplayText&gt;Edward Bernays, &lt;style face="italic"&gt;Propaganda&lt;/style&gt;, (New York, 2005)&lt;/DisplayText&gt;&lt;record&gt;&lt;rec-number&gt;109&lt;/rec-number&gt;&lt;foreign-keys&gt;&lt;key app="EN" db-id="2f5rvwawcsv2woetvw35fzwbdvvswerd0err"&gt;109&lt;/key&gt;&lt;/foreign-keys&gt;&lt;ref-type name="Book"&gt;6&lt;/ref-type&gt;&lt;contributors&gt;&lt;authors&gt;&lt;author&gt;Bernays, Edward&lt;/author&gt;&lt;/authors&gt;&lt;/contributors&gt;&lt;titles&gt;&lt;title&gt;Propaganda&lt;/title&gt;&lt;short-title&gt;Propaganda&lt;/short-title&gt;&lt;/titles&gt;&lt;dates&gt;&lt;year&gt;2005&lt;/year&gt;&lt;/dates&gt;&lt;pub-location&gt;New York&lt;/pub-location&gt;&lt;urls&gt;&lt;/urls&gt;&lt;/record&gt;&lt;/Cite&gt;&lt;/EndNote&gt;</w:instrText>
      </w:r>
      <w:r>
        <w:fldChar w:fldCharType="separate"/>
      </w:r>
      <w:r>
        <w:rPr>
          <w:noProof/>
        </w:rPr>
        <w:t xml:space="preserve">Edward Bernays, </w:t>
      </w:r>
      <w:r w:rsidRPr="007B7627">
        <w:rPr>
          <w:i/>
          <w:noProof/>
        </w:rPr>
        <w:t>Propaganda</w:t>
      </w:r>
      <w:r>
        <w:rPr>
          <w:noProof/>
        </w:rPr>
        <w:t>, (New York, 2005)</w:t>
      </w:r>
      <w:r>
        <w:fldChar w:fldCharType="end"/>
      </w:r>
      <w:r>
        <w:t>,</w:t>
      </w:r>
      <w:r w:rsidRPr="005A6E46">
        <w:t xml:space="preserve"> p. 49.</w:t>
      </w:r>
    </w:p>
  </w:footnote>
  <w:footnote w:id="370">
    <w:p w14:paraId="099A101C" w14:textId="77777777" w:rsidR="00DE3AC9" w:rsidRPr="00F34759" w:rsidRDefault="00DE3AC9" w:rsidP="0048510E">
      <w:pPr>
        <w:pStyle w:val="FootnoteText"/>
      </w:pPr>
      <w:r>
        <w:rPr>
          <w:rStyle w:val="FootnoteReference"/>
        </w:rPr>
        <w:footnoteRef/>
      </w:r>
      <w:r>
        <w:t xml:space="preserve"> </w:t>
      </w:r>
      <w:r>
        <w:fldChar w:fldCharType="begin"/>
      </w:r>
      <w:r>
        <w:instrText xml:space="preserve"> ADDIN EN.CITE &lt;EndNote&gt;&lt;Cite&gt;&lt;Author&gt;Ferro&lt;/Author&gt;&lt;Year&gt;1999&lt;/Year&gt;&lt;RecNum&gt;151&lt;/RecNum&gt;&lt;DisplayText&gt;Marc Ferro, &amp;apos;Cultural life in France, 1914-1918&amp;apos;, in: &lt;style face="italic"&gt;European culture in the Great War, &lt;/style&gt;ed. by Aviel Roshwald and Richard Stites (Cambridge, 1999),&lt;/DisplayText&gt;&lt;record&gt;&lt;rec-number&gt;151&lt;/rec-number&gt;&lt;foreign-keys&gt;&lt;key app="EN" db-id="2f5rvwawcsv2woetvw35fzwbdvvswerd0err"&gt;151&lt;/key&gt;&lt;/foreign-keys&gt;&lt;ref-type name="Book Section"&gt;5&lt;/ref-type&gt;&lt;contributors&gt;&lt;authors&gt;&lt;author&gt;Ferro, Marc&lt;/author&gt;&lt;/authors&gt;&lt;secondary-authors&gt;&lt;author&gt;Aviel Roshwald&lt;/author&gt;&lt;author&gt;Richard Stites&lt;/author&gt;&lt;/secondary-authors&gt;&lt;/contributors&gt;&lt;titles&gt;&lt;title&gt;Cultural life in France, 1914-1918&lt;/title&gt;&lt;secondary-title&gt;European culture in the Great War&lt;/secondary-title&gt;&lt;short-title&gt;Cultural&lt;/short-title&gt;&lt;/titles&gt;&lt;dates&gt;&lt;year&gt;1999&lt;/year&gt;&lt;/dates&gt;&lt;pub-location&gt;Cambridge&lt;/pub-location&gt;&lt;urls&gt;&lt;/urls&gt;&lt;/record&gt;&lt;/Cite&gt;&lt;/EndNote&gt;</w:instrText>
      </w:r>
      <w:r>
        <w:fldChar w:fldCharType="separate"/>
      </w:r>
      <w:r>
        <w:rPr>
          <w:noProof/>
        </w:rPr>
        <w:t xml:space="preserve">Marc Ferro, 'Cultural life in France, 1914-1918', in: </w:t>
      </w:r>
      <w:r w:rsidRPr="007B7627">
        <w:rPr>
          <w:i/>
          <w:noProof/>
        </w:rPr>
        <w:t xml:space="preserve">European culture in the Great War, </w:t>
      </w:r>
      <w:r>
        <w:rPr>
          <w:noProof/>
        </w:rPr>
        <w:t>ed. by Aviel Roshwald and Richard Stites (Cambridge, 1999),</w:t>
      </w:r>
      <w:r>
        <w:fldChar w:fldCharType="end"/>
      </w:r>
      <w:r>
        <w:t xml:space="preserve"> p. 300.</w:t>
      </w:r>
    </w:p>
  </w:footnote>
  <w:footnote w:id="371">
    <w:p w14:paraId="7668BAAA" w14:textId="61F46BE3" w:rsidR="00DE3AC9" w:rsidRPr="00AE3B78" w:rsidRDefault="00DE3AC9" w:rsidP="0048510E">
      <w:pPr>
        <w:pStyle w:val="FootnoteText"/>
      </w:pPr>
      <w:r>
        <w:rPr>
          <w:rStyle w:val="FootnoteReference"/>
        </w:rPr>
        <w:footnoteRef/>
      </w:r>
      <w:r w:rsidRPr="00AE3B78">
        <w:t xml:space="preserve"> </w:t>
      </w:r>
      <w: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Lasswell, </w:t>
      </w:r>
      <w:r w:rsidRPr="00824CCA">
        <w:rPr>
          <w:i/>
          <w:noProof/>
        </w:rPr>
        <w:t>Propaganda</w:t>
      </w:r>
      <w:r>
        <w:fldChar w:fldCharType="end"/>
      </w:r>
      <w:r w:rsidRPr="00AE3B78">
        <w:t>, p. 107.</w:t>
      </w:r>
    </w:p>
  </w:footnote>
  <w:footnote w:id="372">
    <w:p w14:paraId="2ACE0A50" w14:textId="2C01AF73" w:rsidR="00DE3AC9" w:rsidRDefault="00DE3AC9" w:rsidP="002F62A7">
      <w:pPr>
        <w:pStyle w:val="FootnoteText"/>
      </w:pPr>
      <w:r>
        <w:rPr>
          <w:rStyle w:val="FootnoteReference"/>
        </w:rPr>
        <w:footnoteRef/>
      </w:r>
      <w:r>
        <w:t xml:space="preserve"> </w:t>
      </w:r>
      <w:r>
        <w:fldChar w:fldCharType="begin"/>
      </w:r>
      <w:r>
        <w:instrText xml:space="preserve"> ADDIN EN.CITE &lt;EndNote&gt;&lt;Cite&gt;&lt;Author&gt;Smith&lt;/Author&gt;&lt;Year&gt;2006&lt;/Year&gt;&lt;RecNum&gt;108&lt;/RecNum&gt;&lt;DisplayText&gt;Audoin-Rouzeau, Becker, and Smith, &lt;style face="italic"&gt;France&lt;/style&gt;&lt;/DisplayText&gt;&lt;record&gt;&lt;rec-number&gt;108&lt;/rec-number&gt;&lt;foreign-keys&gt;&lt;key app="EN" db-id="2f5rvwawcsv2woetvw35fzwbdvvswerd0err"&gt;108&lt;/key&gt;&lt;/foreign-keys&gt;&lt;ref-type name="Book"&gt;6&lt;/ref-type&gt;&lt;contributors&gt;&lt;authors&gt;&lt;author&gt;Audoin-Rouzeau, Stéphane&lt;/author&gt;&lt;author&gt;Becker, Annette&lt;/author&gt;&lt;author&gt;Smith, Leonard&lt;/author&gt;&lt;/authors&gt;&lt;/contributors&gt;&lt;titles&gt;&lt;title&gt;France and the Great War 1914-1918&lt;/title&gt;&lt;short-title&gt;France&lt;/short-title&gt;&lt;/titles&gt;&lt;dates&gt;&lt;year&gt;2006&lt;/year&gt;&lt;/dates&gt;&lt;pub-location&gt;Cambridge&lt;/pub-location&gt;&lt;urls&gt;&lt;/urls&gt;&lt;/record&gt;&lt;/Cite&gt;&lt;/EndNote&gt;</w:instrText>
      </w:r>
      <w:r>
        <w:fldChar w:fldCharType="separate"/>
      </w:r>
      <w:r>
        <w:rPr>
          <w:noProof/>
        </w:rPr>
        <w:t xml:space="preserve">Audoin-Rouzeau, Becker, and Smith, </w:t>
      </w:r>
      <w:r w:rsidRPr="00824CCA">
        <w:rPr>
          <w:i/>
          <w:noProof/>
        </w:rPr>
        <w:t>France</w:t>
      </w:r>
      <w:r>
        <w:fldChar w:fldCharType="end"/>
      </w:r>
      <w:r>
        <w:t xml:space="preserve">, pp. 51-52 ; </w:t>
      </w:r>
      <w:r>
        <w:fldChar w:fldCharType="begin"/>
      </w:r>
      <w:r>
        <w:instrText xml:space="preserve"> ADDIN EN.CITE &lt;EndNote&gt;&lt;Cite&gt;&lt;Author&gt;Ferro&lt;/Author&gt;&lt;Year&gt;1999&lt;/Year&gt;&lt;RecNum&gt;151&lt;/RecNum&gt;&lt;DisplayText&gt;Ferro, &lt;style face="italic"&gt;Cultural&lt;/style&gt;&lt;/DisplayText&gt;&lt;record&gt;&lt;rec-number&gt;151&lt;/rec-number&gt;&lt;foreign-keys&gt;&lt;key app="EN" db-id="2f5rvwawcsv2woetvw35fzwbdvvswerd0err"&gt;151&lt;/key&gt;&lt;/foreign-keys&gt;&lt;ref-type name="Book Section"&gt;5&lt;/ref-type&gt;&lt;contributors&gt;&lt;authors&gt;&lt;author&gt;Ferro, Marc&lt;/author&gt;&lt;/authors&gt;&lt;secondary-authors&gt;&lt;author&gt;Aviel Roshwald&lt;/author&gt;&lt;author&gt;Richard Stites&lt;/author&gt;&lt;/secondary-authors&gt;&lt;/contributors&gt;&lt;titles&gt;&lt;title&gt;Cultural life in France, 1914-1918&lt;/title&gt;&lt;secondary-title&gt;European culture in the Great War&lt;/secondary-title&gt;&lt;short-title&gt;Cultural&lt;/short-title&gt;&lt;/titles&gt;&lt;dates&gt;&lt;year&gt;1999&lt;/year&gt;&lt;/dates&gt;&lt;pub-location&gt;Cambridge&lt;/pub-location&gt;&lt;urls&gt;&lt;/urls&gt;&lt;/record&gt;&lt;/Cite&gt;&lt;/EndNote&gt;</w:instrText>
      </w:r>
      <w:r>
        <w:fldChar w:fldCharType="separate"/>
      </w:r>
      <w:r>
        <w:rPr>
          <w:noProof/>
        </w:rPr>
        <w:t xml:space="preserve">Ferro, </w:t>
      </w:r>
      <w:r w:rsidRPr="007B7627">
        <w:rPr>
          <w:i/>
          <w:noProof/>
        </w:rPr>
        <w:t>Cultural</w:t>
      </w:r>
      <w:r>
        <w:fldChar w:fldCharType="end"/>
      </w:r>
      <w:r>
        <w:t xml:space="preserve">, p. 307 and </w:t>
      </w:r>
      <w:r>
        <w:fldChar w:fldCharType="begin"/>
      </w:r>
      <w:r>
        <w:instrText xml:space="preserve"> ADDIN EN.CITE &lt;EndNote&gt;&lt;Cite&gt;&lt;Author&gt;Winter&lt;/Author&gt;&lt;Year&gt;2009&lt;/Year&gt;&lt;RecNum&gt;111&lt;/RecNum&gt;&lt;DisplayText&gt;Jay Winter, &lt;style face="italic"&gt;The legacy of the Great War: ninety years on&lt;/style&gt;, (Columbia, 2009)&lt;/DisplayText&gt;&lt;record&gt;&lt;rec-number&gt;111&lt;/rec-number&gt;&lt;foreign-keys&gt;&lt;key app="EN" db-id="2f5rvwawcsv2woetvw35fzwbdvvswerd0err"&gt;111&lt;/key&gt;&lt;/foreign-keys&gt;&lt;ref-type name="Book"&gt;6&lt;/ref-type&gt;&lt;contributors&gt;&lt;authors&gt;&lt;author&gt;Winter, Jay&lt;/author&gt;&lt;/authors&gt;&lt;/contributors&gt;&lt;titles&gt;&lt;title&gt;The legacy of the Great War: ninety years on&lt;/title&gt;&lt;short-title&gt;The legacy&lt;/short-title&gt;&lt;/titles&gt;&lt;dates&gt;&lt;year&gt;2009&lt;/year&gt;&lt;/dates&gt;&lt;pub-location&gt;Columbia&lt;/pub-location&gt;&lt;urls&gt;&lt;/urls&gt;&lt;/record&gt;&lt;/Cite&gt;&lt;/EndNote&gt;</w:instrText>
      </w:r>
      <w:r>
        <w:fldChar w:fldCharType="separate"/>
      </w:r>
      <w:r>
        <w:rPr>
          <w:noProof/>
        </w:rPr>
        <w:t xml:space="preserve">Jay Winter, </w:t>
      </w:r>
      <w:r w:rsidRPr="002F62A7">
        <w:rPr>
          <w:i/>
          <w:noProof/>
        </w:rPr>
        <w:t>The legacy of the Great War: ninety years on</w:t>
      </w:r>
      <w:r>
        <w:rPr>
          <w:noProof/>
        </w:rPr>
        <w:t>, (Columbia, 2009)</w:t>
      </w:r>
      <w:r>
        <w:fldChar w:fldCharType="end"/>
      </w:r>
      <w:r>
        <w:t>, p. 101.</w:t>
      </w:r>
    </w:p>
  </w:footnote>
  <w:footnote w:id="373">
    <w:p w14:paraId="3D6E70F6" w14:textId="77777777" w:rsidR="00DE3AC9" w:rsidRPr="00E16637" w:rsidRDefault="00DE3AC9" w:rsidP="0048510E">
      <w:pPr>
        <w:pStyle w:val="FootnoteText"/>
      </w:pPr>
      <w:r>
        <w:rPr>
          <w:rStyle w:val="FootnoteReference"/>
        </w:rPr>
        <w:footnoteRef/>
      </w:r>
      <w:r w:rsidRPr="00E16637">
        <w:t xml:space="preserve"> </w:t>
      </w:r>
      <w:r w:rsidRPr="00F56ED8">
        <w:t>ASPF AEB: B. 345</w:t>
      </w:r>
      <w:r>
        <w:t>: Note from the BDB to the war minister about the creation of an aerial publication aimed at occupied territories. 22 October 1915.</w:t>
      </w:r>
    </w:p>
  </w:footnote>
  <w:footnote w:id="374">
    <w:p w14:paraId="50F0554C" w14:textId="7AF38D5B" w:rsidR="00DE3AC9" w:rsidRPr="005826F8" w:rsidRDefault="00DE3AC9" w:rsidP="0048510E">
      <w:pPr>
        <w:pStyle w:val="FootnoteText"/>
      </w:pPr>
      <w:r>
        <w:rPr>
          <w:rStyle w:val="FootnoteReference"/>
        </w:rPr>
        <w:footnoteRef/>
      </w:r>
      <w:r>
        <w:t xml:space="preserve"> </w:t>
      </w:r>
      <w: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Lasswell, </w:t>
      </w:r>
      <w:r w:rsidRPr="007B7627">
        <w:rPr>
          <w:i/>
          <w:noProof/>
        </w:rPr>
        <w:t>Propaganda</w:t>
      </w:r>
      <w:r>
        <w:fldChar w:fldCharType="end"/>
      </w:r>
      <w:r>
        <w:t>, pp. 114 and 188.</w:t>
      </w:r>
    </w:p>
  </w:footnote>
  <w:footnote w:id="375">
    <w:p w14:paraId="2F052CD6" w14:textId="77777777" w:rsidR="00DE3AC9" w:rsidRPr="00733D65" w:rsidRDefault="00DE3AC9" w:rsidP="0048510E">
      <w:pPr>
        <w:pStyle w:val="FootnoteText"/>
      </w:pPr>
      <w:r>
        <w:rPr>
          <w:rStyle w:val="FootnoteReference"/>
        </w:rPr>
        <w:footnoteRef/>
      </w:r>
      <w:r>
        <w:t xml:space="preserve"> SHD AA: 16N1571. Report by General Pétain to the Belgian army about the distribution of propaganda. 28 September 1917.</w:t>
      </w:r>
    </w:p>
  </w:footnote>
  <w:footnote w:id="376">
    <w:p w14:paraId="7495DA9E" w14:textId="77777777" w:rsidR="00DE3AC9" w:rsidRPr="002C5A83" w:rsidRDefault="00DE3AC9" w:rsidP="0048510E">
      <w:pPr>
        <w:pStyle w:val="FootnoteText"/>
      </w:pPr>
      <w:r>
        <w:rPr>
          <w:rStyle w:val="FootnoteReference"/>
        </w:rPr>
        <w:footnoteRef/>
      </w:r>
      <w:r w:rsidRPr="002C5A83">
        <w:t xml:space="preserve"> </w:t>
      </w:r>
      <w:r>
        <w:fldChar w:fldCharType="begin"/>
      </w:r>
      <w:r w:rsidRPr="002C5A83">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2C5A83">
        <w:rPr>
          <w:noProof/>
        </w:rPr>
        <w:t xml:space="preserve">Ellul, </w:t>
      </w:r>
      <w:r w:rsidRPr="002C5A83">
        <w:rPr>
          <w:i/>
          <w:noProof/>
        </w:rPr>
        <w:t>Propaganda</w:t>
      </w:r>
      <w:r>
        <w:fldChar w:fldCharType="end"/>
      </w:r>
      <w:r w:rsidRPr="002C5A83">
        <w:t xml:space="preserve">, p. 72 and </w:t>
      </w:r>
      <w:r>
        <w:fldChar w:fldCharType="begin"/>
      </w:r>
      <w:r w:rsidRPr="002C5A83">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2C5A83">
        <w:rPr>
          <w:noProof/>
        </w:rPr>
        <w:t xml:space="preserve">Jowett and O'Donnell, </w:t>
      </w:r>
      <w:r w:rsidRPr="002C5A83">
        <w:rPr>
          <w:i/>
          <w:noProof/>
        </w:rPr>
        <w:t>Propaganda</w:t>
      </w:r>
      <w:r>
        <w:fldChar w:fldCharType="end"/>
      </w:r>
      <w:r w:rsidRPr="002C5A83">
        <w:t>, p. 17.</w:t>
      </w:r>
    </w:p>
  </w:footnote>
  <w:footnote w:id="377">
    <w:p w14:paraId="33F0C72D" w14:textId="77777777" w:rsidR="00DE3AC9" w:rsidRPr="00C27394" w:rsidRDefault="00DE3AC9" w:rsidP="0048510E">
      <w:pPr>
        <w:pStyle w:val="FootnoteText"/>
      </w:pPr>
      <w:r>
        <w:rPr>
          <w:rStyle w:val="FootnoteReference"/>
        </w:rPr>
        <w:footnoteRef/>
      </w:r>
      <w:r>
        <w:t xml:space="preserve"> For examples, see </w:t>
      </w:r>
      <w:r>
        <w:rPr>
          <w:i/>
          <w:iCs/>
        </w:rPr>
        <w:t>La Voix du Pay,</w:t>
      </w:r>
      <w:r w:rsidRPr="00C27394">
        <w:t xml:space="preserve"> 19 September 1916; 9 January to 20 March 1917.</w:t>
      </w:r>
    </w:p>
  </w:footnote>
  <w:footnote w:id="378">
    <w:p w14:paraId="3715D2DA"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p. 43.</w:t>
      </w:r>
    </w:p>
  </w:footnote>
  <w:footnote w:id="379">
    <w:p w14:paraId="5B46D64D" w14:textId="77777777" w:rsidR="00DE3AC9" w:rsidRPr="0045392D"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xml:space="preserve">, p. 299. </w:t>
      </w:r>
      <w:r>
        <w:t xml:space="preserve">For the effects of a message over an existing opinion, see also: </w:t>
      </w:r>
      <w:r>
        <w:fldChar w:fldCharType="begin"/>
      </w:r>
      <w:r>
        <w:instrText xml:space="preserve"> ADDIN EN.CITE &lt;EndNote&gt;&lt;Cite&gt;&lt;Author&gt;Jowett&lt;/Author&gt;&lt;Year&gt;2012&lt;/Year&gt;&lt;RecNum&gt;92&lt;/RecNum&gt;&lt;DisplayText&gt;ibid.&lt;/DisplayText&gt;&lt;record&gt;&lt;rec-number&gt;92&lt;/rec-number&gt;&lt;foreign-keys&gt;&lt;key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ibid.</w:t>
      </w:r>
      <w:r>
        <w:fldChar w:fldCharType="end"/>
      </w:r>
      <w:r>
        <w:t xml:space="preserve">, p. 209. </w:t>
      </w:r>
    </w:p>
  </w:footnote>
  <w:footnote w:id="380">
    <w:p w14:paraId="47983166" w14:textId="77777777" w:rsidR="00DE3AC9" w:rsidRPr="00C54460" w:rsidRDefault="00DE3AC9" w:rsidP="0048510E">
      <w:pPr>
        <w:pStyle w:val="FootnoteText"/>
      </w:pPr>
      <w:r>
        <w:rPr>
          <w:rStyle w:val="FootnoteReference"/>
        </w:rPr>
        <w:footnoteRef/>
      </w:r>
      <w:r w:rsidRPr="00C54460">
        <w:t xml:space="preserve"> </w:t>
      </w:r>
      <w:r>
        <w:fldChar w:fldCharType="begin"/>
      </w:r>
      <w:r w:rsidRPr="00C54460">
        <w:instrText xml:space="preserve"> ADDIN EN.CITE &lt;EndNote&gt;&lt;Cite&gt;&lt;Author&gt;Ellul&lt;/Author&gt;&lt;Year&gt;1976&lt;/Year&gt;&lt;RecNum&gt;100&lt;/RecNum&gt;&lt;DisplayText&gt;Ellul, &lt;style face="italic"&gt;Histoire&lt;/style&gt;&lt;/DisplayText&gt;&lt;record&gt;&lt;rec-number&gt;100&lt;/rec-number&gt;&lt;foreign-keys&gt;&lt;key app="EN" db-id="2f5rvwawcsv2woetvw35fzwbdvvswerd0err"&gt;100&lt;/key&gt;&lt;/foreign-keys&gt;&lt;ref-type name="Book"&gt;6&lt;/ref-type&gt;&lt;contributors&gt;&lt;authors&gt;&lt;author&gt;Ellul, Jacques&lt;/author&gt;&lt;/authors&gt;&lt;/contributors&gt;&lt;titles&gt;&lt;title&gt;Histoire de la propagande&lt;/title&gt;&lt;short-title&gt;Histoire&lt;/short-title&gt;&lt;/titles&gt;&lt;dates&gt;&lt;year&gt;1976&lt;/year&gt;&lt;/dates&gt;&lt;pub-location&gt;Paris&lt;/pub-location&gt;&lt;urls&gt;&lt;/urls&gt;&lt;/record&gt;&lt;/Cite&gt;&lt;/EndNote&gt;</w:instrText>
      </w:r>
      <w:r>
        <w:fldChar w:fldCharType="separate"/>
      </w:r>
      <w:r w:rsidRPr="00C54460">
        <w:rPr>
          <w:noProof/>
        </w:rPr>
        <w:t xml:space="preserve">Ellul, </w:t>
      </w:r>
      <w:r w:rsidRPr="00C54460">
        <w:rPr>
          <w:i/>
          <w:noProof/>
        </w:rPr>
        <w:t>Histoire</w:t>
      </w:r>
      <w:r>
        <w:fldChar w:fldCharType="end"/>
      </w:r>
      <w:r w:rsidRPr="00C54460">
        <w:t>, p. 107.</w:t>
      </w:r>
    </w:p>
  </w:footnote>
  <w:footnote w:id="381">
    <w:p w14:paraId="34ABDF56" w14:textId="77777777" w:rsidR="00DE3AC9" w:rsidRPr="009511A4" w:rsidRDefault="00DE3AC9" w:rsidP="0048510E">
      <w:pPr>
        <w:pStyle w:val="FootnoteText"/>
      </w:pPr>
      <w:r>
        <w:rPr>
          <w:rStyle w:val="FootnoteReference"/>
        </w:rPr>
        <w:footnoteRef/>
      </w:r>
      <w:r w:rsidRPr="009511A4">
        <w:t xml:space="preserve"> See: </w:t>
      </w:r>
      <w:r w:rsidRPr="009511A4">
        <w:rPr>
          <w:i/>
          <w:iCs/>
        </w:rPr>
        <w:t>La Gazette des Ardennes</w:t>
      </w:r>
      <w:r w:rsidRPr="009511A4">
        <w:t xml:space="preserve"> (French fake), March, May, June, September, October, December</w:t>
      </w:r>
      <w:r>
        <w:t xml:space="preserve"> 1916 and September 1917.</w:t>
      </w:r>
      <w:r w:rsidRPr="009511A4">
        <w:t xml:space="preserve"> </w:t>
      </w:r>
    </w:p>
  </w:footnote>
  <w:footnote w:id="382">
    <w:p w14:paraId="40A3B272" w14:textId="0476755C" w:rsidR="00DE3AC9" w:rsidRPr="004F0A24" w:rsidRDefault="00DE3AC9" w:rsidP="0048510E">
      <w:pPr>
        <w:pStyle w:val="FootnoteText"/>
      </w:pPr>
      <w:r>
        <w:rPr>
          <w:rStyle w:val="FootnoteReference"/>
        </w:rPr>
        <w:footnoteRef/>
      </w:r>
      <w:r w:rsidRPr="00F9661E">
        <w:t xml:space="preserve"> </w:t>
      </w:r>
      <w:r w:rsidRPr="00F9661E">
        <w:rPr>
          <w:i/>
          <w:iCs/>
        </w:rPr>
        <w:t>La Voix du Pays</w:t>
      </w:r>
      <w:r w:rsidRPr="00F9661E">
        <w:t xml:space="preserve">, 1915-1918. </w:t>
      </w:r>
      <w:r w:rsidRPr="00C77015">
        <w:t>Some of these</w:t>
      </w:r>
      <w:r>
        <w:t xml:space="preserve"> themes were also exploited by a</w:t>
      </w:r>
      <w:r w:rsidRPr="00C77015">
        <w:t xml:space="preserve">llied propaganda directed at neutral and allied countries. </w:t>
      </w:r>
      <w:r>
        <w:fldChar w:fldCharType="begin"/>
      </w:r>
      <w:r>
        <w:instrText xml:space="preserve"> ADDIN EN.CITE &lt;EndNote&gt;&lt;Cite&gt;&lt;Author&gt;Lutz&lt;/Author&gt;&lt;Year&gt;1933&lt;/Year&gt;&lt;RecNum&gt;117&lt;/RecNum&gt;&lt;DisplayText&gt;Lutz, &lt;style face="italic"&gt;Studies of World War propaganda, 1914-1933&lt;/style&gt;&lt;/DisplayText&gt;&lt;record&gt;&lt;rec-number&gt;117&lt;/rec-number&gt;&lt;foreign-keys&gt;&lt;key app="EN" db-id="2f5rvwawcsv2woetvw35fzwbdvvswerd0err"&gt;117&lt;/key&gt;&lt;/foreign-keys&gt;&lt;ref-type name="Journal Article"&gt;17&lt;/ref-type&gt;&lt;contributors&gt;&lt;authors&gt;&lt;author&gt;Lutz, Ralph&lt;/author&gt;&lt;/authors&gt;&lt;/contributors&gt;&lt;titles&gt;&lt;title&gt;Studies of World War propaganda, 1914-1933&lt;/title&gt;&lt;secondary-title&gt;The Journal of Modern History&lt;/secondary-title&gt;&lt;/titles&gt;&lt;periodical&gt;&lt;full-title&gt;The Journal of Modern History&lt;/full-title&gt;&lt;/periodical&gt;&lt;volume&gt;5&lt;/volume&gt;&lt;number&gt;4&lt;/number&gt;&lt;dates&gt;&lt;year&gt;1933&lt;/year&gt;&lt;/dates&gt;&lt;urls&gt;&lt;/urls&gt;&lt;/record&gt;&lt;/Cite&gt;&lt;/EndNote&gt;</w:instrText>
      </w:r>
      <w:r>
        <w:fldChar w:fldCharType="separate"/>
      </w:r>
      <w:r w:rsidRPr="004F0A24">
        <w:rPr>
          <w:noProof/>
        </w:rPr>
        <w:t xml:space="preserve">Lutz, </w:t>
      </w:r>
      <w:r w:rsidRPr="004F0A24">
        <w:rPr>
          <w:i/>
          <w:noProof/>
        </w:rPr>
        <w:t>Studies of World War propaganda, 1914-1933</w:t>
      </w:r>
      <w:r>
        <w:fldChar w:fldCharType="end"/>
      </w:r>
      <w:r>
        <w:t xml:space="preserve">, </w:t>
      </w:r>
      <w:r w:rsidRPr="004F0A24">
        <w:t>p. 504.</w:t>
      </w:r>
    </w:p>
  </w:footnote>
  <w:footnote w:id="383">
    <w:p w14:paraId="63018ED6" w14:textId="77777777" w:rsidR="00DE3AC9" w:rsidRPr="004F0A24" w:rsidRDefault="00DE3AC9" w:rsidP="0048510E">
      <w:pPr>
        <w:pStyle w:val="FootnoteText"/>
      </w:pPr>
      <w:r>
        <w:rPr>
          <w:rStyle w:val="FootnoteReference"/>
        </w:rPr>
        <w:footnoteRef/>
      </w:r>
      <w:r w:rsidRPr="004F0A24">
        <w:t xml:space="preserve"> </w:t>
      </w:r>
      <w:r>
        <w:fldChar w:fldCharType="begin"/>
      </w:r>
      <w:r w:rsidRPr="004F0A24">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sidRPr="004F0A24">
        <w:rPr>
          <w:noProof/>
        </w:rPr>
        <w:t xml:space="preserve">Nicolai, </w:t>
      </w:r>
      <w:r w:rsidRPr="004F0A24">
        <w:rPr>
          <w:i/>
          <w:noProof/>
        </w:rPr>
        <w:t>The German</w:t>
      </w:r>
      <w:r>
        <w:fldChar w:fldCharType="end"/>
      </w:r>
      <w:r w:rsidRPr="004F0A24">
        <w:t>, pp. 160-161.</w:t>
      </w:r>
    </w:p>
  </w:footnote>
  <w:footnote w:id="384">
    <w:p w14:paraId="4DD19643" w14:textId="77777777" w:rsidR="00DE3AC9" w:rsidRPr="00DE3AC9" w:rsidRDefault="00DE3AC9" w:rsidP="0048510E">
      <w:pPr>
        <w:pStyle w:val="FootnoteText"/>
      </w:pPr>
      <w:r>
        <w:rPr>
          <w:rStyle w:val="FootnoteReference"/>
        </w:rPr>
        <w:footnoteRef/>
      </w:r>
      <w:r w:rsidRPr="00DE3AC9">
        <w:t xml:space="preserve"> Archives Départementales de Haute-Savoie (ADHS): 4 M 513.</w:t>
      </w:r>
    </w:p>
  </w:footnote>
  <w:footnote w:id="385">
    <w:p w14:paraId="7C7E5F1A" w14:textId="77777777" w:rsidR="00DE3AC9" w:rsidRPr="005C7BEE" w:rsidRDefault="00DE3AC9" w:rsidP="0048510E">
      <w:pPr>
        <w:pStyle w:val="FootnoteText"/>
        <w:rPr>
          <w:lang w:val="fr-FR"/>
        </w:rPr>
      </w:pPr>
      <w:r>
        <w:rPr>
          <w:rStyle w:val="FootnoteReference"/>
        </w:rPr>
        <w:footnoteRef/>
      </w:r>
      <w:r w:rsidRPr="005C7BEE">
        <w:rPr>
          <w:lang w:val="fr-FR"/>
        </w:rPr>
        <w:t xml:space="preserve"> </w:t>
      </w:r>
      <w:r>
        <w:fldChar w:fldCharType="begin"/>
      </w:r>
      <w:r w:rsidRPr="005C7BEE">
        <w:rPr>
          <w:lang w:val="fr-FR"/>
        </w:rPr>
        <w:instrText xml:space="preserve"> ADDIN EN.CITE &lt;EndNote&gt;&lt;Cite&gt;&lt;Author&gt;Ponsonby&lt;/Author&gt;&lt;Year&gt;1928&lt;/Year&gt;&lt;RecNum&gt;79&lt;/RecNum&gt;&lt;DisplayText&gt;Ponsonby, &lt;style face="italic"&gt;Falsehood&lt;/style&gt;&lt;/DisplayText&gt;&lt;record&gt;&lt;rec-number&gt;79&lt;/rec-number&gt;&lt;foreign-keys&gt;&lt;key app="EN" db-id="2f5rvwawcsv2woetvw35fzwbdvvswerd0err"&gt;79&lt;/key&gt;&lt;/foreign-keys&gt;&lt;ref-type name="Book"&gt;6&lt;/ref-type&gt;&lt;contributors&gt;&lt;authors&gt;&lt;author&gt;Ponsonby, Arthur&lt;/author&gt;&lt;/authors&gt;&lt;/contributors&gt;&lt;titles&gt;&lt;title&gt;Falsehood in wartime: containing an assortment of lies circulated throughout the nations during the Great War&lt;/title&gt;&lt;short-title&gt;Falsehood&lt;/short-title&gt;&lt;/titles&gt;&lt;dates&gt;&lt;year&gt;1928&lt;/year&gt;&lt;/dates&gt;&lt;pub-location&gt;London&lt;/pub-location&gt;&lt;urls&gt;&lt;/urls&gt;&lt;/record&gt;&lt;/Cite&gt;&lt;/EndNote&gt;</w:instrText>
      </w:r>
      <w:r>
        <w:fldChar w:fldCharType="separate"/>
      </w:r>
      <w:r w:rsidRPr="005C7BEE">
        <w:rPr>
          <w:noProof/>
          <w:lang w:val="fr-FR"/>
        </w:rPr>
        <w:t xml:space="preserve">Ponsonby, </w:t>
      </w:r>
      <w:r w:rsidRPr="005C7BEE">
        <w:rPr>
          <w:i/>
          <w:noProof/>
          <w:lang w:val="fr-FR"/>
        </w:rPr>
        <w:t>Falsehood</w:t>
      </w:r>
      <w:r>
        <w:fldChar w:fldCharType="end"/>
      </w:r>
      <w:r w:rsidRPr="005C7BEE">
        <w:rPr>
          <w:lang w:val="fr-FR"/>
        </w:rPr>
        <w:t xml:space="preserve">. </w:t>
      </w:r>
    </w:p>
  </w:footnote>
  <w:footnote w:id="386">
    <w:p w14:paraId="171375B0" w14:textId="77F4F69B" w:rsidR="00DE3AC9" w:rsidRPr="0048510E" w:rsidRDefault="00DE3AC9" w:rsidP="000B6B12">
      <w:pPr>
        <w:pStyle w:val="FootnoteText"/>
      </w:pPr>
      <w:r>
        <w:rPr>
          <w:rStyle w:val="FootnoteReference"/>
        </w:rPr>
        <w:footnoteRef/>
      </w:r>
      <w:r w:rsidRPr="005C7BEE">
        <w:rPr>
          <w:lang w:val="fr-FR"/>
        </w:rPr>
        <w:t xml:space="preserve"> The theories of Ponsonby have been echoed in </w:t>
      </w:r>
      <w:r>
        <w:fldChar w:fldCharType="begin"/>
      </w:r>
      <w:r w:rsidRPr="005C7BEE">
        <w:rPr>
          <w:lang w:val="fr-FR"/>
        </w:rPr>
        <w:instrText xml:space="preserve"> ADDIN EN.CITE &lt;EndNote&gt;&lt;Cite&gt;&lt;Author&gt;Morelli&lt;/Author&gt;&lt;Year&gt;2001&lt;/Year&gt;&lt;RecNum&gt;106&lt;/RecNum&gt;&lt;DisplayText&gt;Anne Morelli, &lt;style face="italic"&gt;Principes élémentaires de propagande de guerre: utilisables en cas de guerre froide, chaude ou tiède&lt;/style&gt;, (Brussels, 2001)&lt;/DisplayText&gt;&lt;record&gt;&lt;rec-number&gt;106&lt;/rec-number&gt;&lt;foreign-keys&gt;&lt;key app="EN" db-id="2f5rvwawcsv2woetvw35fzwbdvvswerd0err"&gt;106&lt;/key&gt;&lt;/foreign-keys&gt;&lt;ref-type name="Book"&gt;6&lt;/ref-type&gt;&lt;contributors&gt;&lt;authors&gt;&lt;author&gt;Morelli, Anne&lt;/author&gt;&lt;/authors&gt;&lt;/contributors&gt;&lt;titles&gt;&lt;title&gt;Principes élémentaires de propagande de guerre: utilisables en cas de guerre froide, chaude ou tiède&lt;/title&gt;&lt;short-title&gt;Principes élémentaires&lt;/short-title&gt;&lt;/titles&gt;&lt;dates&gt;&lt;year&gt;2001&lt;/year&gt;&lt;/dates&gt;&lt;pub-location&gt;Brussels&lt;/pub-location&gt;&lt;urls&gt;&lt;/urls&gt;&lt;/record&gt;&lt;/Cite&gt;&lt;/EndNote&gt;</w:instrText>
      </w:r>
      <w:r>
        <w:fldChar w:fldCharType="separate"/>
      </w:r>
      <w:r w:rsidRPr="005C7BEE">
        <w:rPr>
          <w:noProof/>
          <w:lang w:val="fr-FR"/>
        </w:rPr>
        <w:t xml:space="preserve">Anne Morelli, </w:t>
      </w:r>
      <w:r w:rsidRPr="005C7BEE">
        <w:rPr>
          <w:i/>
          <w:noProof/>
          <w:lang w:val="fr-FR"/>
        </w:rPr>
        <w:t>Principes élémentaires de propagande de guerre: utilisables en cas de guerre froide, chaude ou tiède</w:t>
      </w:r>
      <w:r w:rsidRPr="005C7BEE">
        <w:rPr>
          <w:noProof/>
          <w:lang w:val="fr-FR"/>
        </w:rPr>
        <w:t>, (Brussels, 2001)</w:t>
      </w:r>
      <w:r>
        <w:fldChar w:fldCharType="end"/>
      </w:r>
      <w:r w:rsidRPr="005C7BEE">
        <w:rPr>
          <w:lang w:val="fr-FR"/>
        </w:rPr>
        <w:t xml:space="preserve">. </w:t>
      </w:r>
      <w:r w:rsidRPr="000B6B12">
        <w:t>For the relation between truth and propaganda, see:</w:t>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0B6B12">
        <w:rPr>
          <w:i/>
          <w:noProof/>
        </w:rPr>
        <w:t>Propaganda</w:t>
      </w:r>
      <w:r>
        <w:fldChar w:fldCharType="end"/>
      </w:r>
      <w:r w:rsidRPr="000B6B12">
        <w:t xml:space="preserve">, p. 46 ; </w:t>
      </w:r>
      <w:r>
        <w:fldChar w:fldCharType="begin"/>
      </w:r>
      <w:r w:rsidRPr="000B6B12">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0B6B12">
        <w:rPr>
          <w:noProof/>
        </w:rPr>
        <w:t xml:space="preserve">Ellul, </w:t>
      </w:r>
      <w:r w:rsidRPr="000B6B12">
        <w:rPr>
          <w:i/>
          <w:noProof/>
        </w:rPr>
        <w:t>Propaganda</w:t>
      </w:r>
      <w:r>
        <w:fldChar w:fldCharType="end"/>
      </w:r>
      <w:r w:rsidRPr="000B6B12">
        <w:t xml:space="preserve">, pp. 52-57 ; </w:t>
      </w:r>
      <w:r>
        <w:fldChar w:fldCharType="begin"/>
      </w:r>
      <w:r w:rsidRPr="000B6B12">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0B6B12">
        <w:rPr>
          <w:noProof/>
        </w:rPr>
        <w:t xml:space="preserve">Lasswell, </w:t>
      </w:r>
      <w:r w:rsidRPr="000B6B12">
        <w:rPr>
          <w:i/>
          <w:noProof/>
        </w:rPr>
        <w:t>Propaganda</w:t>
      </w:r>
      <w:r>
        <w:fldChar w:fldCharType="end"/>
      </w:r>
      <w:r w:rsidRPr="000B6B12">
        <w:t xml:space="preserve">, p. 208 ; </w:t>
      </w:r>
      <w:r>
        <w:fldChar w:fldCharType="begin"/>
      </w:r>
      <w:r w:rsidRPr="000B6B12">
        <w:instrText xml:space="preserve"> ADDIN EN.CITE &lt;EndNote&gt;&lt;Cite&gt;&lt;Author&gt;Lutz&lt;/Author&gt;&lt;Year&gt;1933&lt;/Year&gt;&lt;RecNum&gt;117&lt;/RecNum&gt;&lt;DisplayText&gt;Lutz, &lt;style face="italic"&gt;Studies of World War propaganda, 1914-1933&lt;/style&gt;&lt;/DisplayText&gt;&lt;record&gt;&lt;rec-number&gt;117&lt;/rec-number&gt;&lt;foreign-keys&gt;&lt;key app="EN" db-id="2f5rvwawcsv2woetvw35fzwbdvvswerd0err"&gt;117&lt;/key&gt;&lt;/foreign-keys&gt;&lt;ref-type name="Journal Article"&gt;17&lt;/ref-type&gt;&lt;contributors&gt;&lt;authors&gt;&lt;author&gt;Lutz, Ralph&lt;/author&gt;&lt;/authors&gt;&lt;/contributors&gt;&lt;titles&gt;&lt;title&gt;Studies of World War propaganda, 1914-1933&lt;/title&gt;&lt;secondary-title&gt;The Journal of Modern History&lt;/secondary-title&gt;&lt;/titles&gt;&lt;periodical&gt;&lt;full-title&gt;The Journal of Modern History&lt;/full-title&gt;&lt;/periodical&gt;&lt;volume&gt;5&lt;/volume&gt;&lt;number&gt;4&lt;/number&gt;&lt;dates&gt;&lt;year&gt;1933&lt;/year&gt;&lt;/dates&gt;&lt;urls&gt;&lt;/urls&gt;&lt;/record&gt;&lt;/Cite&gt;&lt;/EndNote&gt;</w:instrText>
      </w:r>
      <w:r>
        <w:fldChar w:fldCharType="separate"/>
      </w:r>
      <w:r w:rsidRPr="000B6B12">
        <w:rPr>
          <w:noProof/>
        </w:rPr>
        <w:t xml:space="preserve">Lutz, </w:t>
      </w:r>
      <w:r w:rsidRPr="000B6B12">
        <w:rPr>
          <w:i/>
          <w:noProof/>
        </w:rPr>
        <w:t>Studies of World War propaganda, 1914-1933</w:t>
      </w:r>
      <w:r>
        <w:fldChar w:fldCharType="end"/>
      </w:r>
      <w:r w:rsidRPr="000B6B12">
        <w:t xml:space="preserve">, p. 497 </w:t>
      </w:r>
      <w:r w:rsidRPr="0048510E">
        <w:t xml:space="preserve">and </w:t>
      </w:r>
      <w:r>
        <w:fldChar w:fldCharType="begin"/>
      </w:r>
      <w: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sidRPr="0048510E">
        <w:rPr>
          <w:noProof/>
        </w:rPr>
        <w:t xml:space="preserve">Cull, Culbert, and Welch, </w:t>
      </w:r>
      <w:r w:rsidRPr="0048510E">
        <w:rPr>
          <w:i/>
          <w:noProof/>
        </w:rPr>
        <w:t>Propaganda</w:t>
      </w:r>
      <w:r>
        <w:fldChar w:fldCharType="end"/>
      </w:r>
      <w:r w:rsidRPr="0048510E">
        <w:t>, p. xviii.</w:t>
      </w:r>
    </w:p>
  </w:footnote>
  <w:footnote w:id="387">
    <w:p w14:paraId="6096A38C" w14:textId="77777777" w:rsidR="00DE3AC9" w:rsidRPr="00AD4F33" w:rsidRDefault="00DE3AC9" w:rsidP="0048510E">
      <w:pPr>
        <w:pStyle w:val="FootnoteText"/>
      </w:pPr>
      <w:r>
        <w:rPr>
          <w:rStyle w:val="FootnoteReference"/>
        </w:rPr>
        <w:footnoteRef/>
      </w:r>
      <w:r>
        <w:t xml:space="preserve"> </w:t>
      </w:r>
      <w:r w:rsidRPr="00AD4F33">
        <w:t>This point will be illustrated in the next chapters about the content.</w:t>
      </w:r>
    </w:p>
  </w:footnote>
  <w:footnote w:id="388">
    <w:p w14:paraId="0E0D1E0F" w14:textId="77777777" w:rsidR="00DE3AC9" w:rsidRPr="005826F8" w:rsidRDefault="00DE3AC9" w:rsidP="0048510E">
      <w:pPr>
        <w:pStyle w:val="FootnoteText"/>
      </w:pPr>
      <w:r>
        <w:rPr>
          <w:rStyle w:val="FootnoteReference"/>
        </w:rPr>
        <w:footnoteRef/>
      </w:r>
      <w:r>
        <w:t xml:space="preserve"> </w:t>
      </w:r>
      <w:r w:rsidRPr="00F56ED8">
        <w:t>ASPF AEB: B. 345</w:t>
      </w:r>
      <w:r>
        <w:t>: Note from the BDB to the war minister about the creation of an aerial publication aimed at occupied territories. 22 October 1915.</w:t>
      </w:r>
    </w:p>
  </w:footnote>
  <w:footnote w:id="389">
    <w:p w14:paraId="2846E404" w14:textId="77777777" w:rsidR="00DE3AC9" w:rsidRPr="00006D90" w:rsidRDefault="00DE3AC9" w:rsidP="0048510E">
      <w:pPr>
        <w:pStyle w:val="FootnoteText"/>
        <w:rPr>
          <w:lang w:val="fr-FR"/>
        </w:rPr>
      </w:pPr>
      <w:r>
        <w:rPr>
          <w:rStyle w:val="FootnoteReference"/>
        </w:rPr>
        <w:footnoteRef/>
      </w:r>
      <w:r>
        <w:t xml:space="preserve"> </w:t>
      </w:r>
      <w:r w:rsidRPr="00F56ED8">
        <w:t>ASPF AEB: B. 345</w:t>
      </w:r>
      <w:r>
        <w:t xml:space="preserve">. Note from the BDB to the government about the </w:t>
      </w:r>
      <w:r>
        <w:rPr>
          <w:i/>
          <w:iCs/>
        </w:rPr>
        <w:t>Bonnes Nouvelles</w:t>
      </w:r>
      <w:r>
        <w:t xml:space="preserve">. </w:t>
      </w:r>
      <w:r w:rsidRPr="00006D90">
        <w:rPr>
          <w:lang w:val="fr-FR"/>
        </w:rPr>
        <w:t>31 July 1918.</w:t>
      </w:r>
    </w:p>
  </w:footnote>
  <w:footnote w:id="390">
    <w:p w14:paraId="42A63AA1" w14:textId="77777777" w:rsidR="00DE3AC9" w:rsidRPr="00CF77E8" w:rsidRDefault="00DE3AC9" w:rsidP="0048510E">
      <w:pPr>
        <w:pStyle w:val="FootnoteText"/>
        <w:rPr>
          <w:lang w:val="fr-FR"/>
        </w:rPr>
      </w:pPr>
      <w:r>
        <w:rPr>
          <w:rStyle w:val="FootnoteReference"/>
        </w:rPr>
        <w:footnoteRef/>
      </w:r>
      <w:r w:rsidRPr="00006D90">
        <w:rPr>
          <w:lang w:val="fr-FR"/>
        </w:rPr>
        <w:t xml:space="preserve"> </w:t>
      </w:r>
      <w:r>
        <w:fldChar w:fldCharType="begin"/>
      </w:r>
      <w:r>
        <w:rPr>
          <w:lang w:val="fr-FR"/>
        </w:rPr>
        <w:instrText xml:space="preserve"> ADDIN EN.CITE &lt;EndNote&gt;&lt;Cite&gt;&lt;Author&gt;Becker&lt;/Author&gt;&lt;Year&gt;2008&lt;/Year&gt;&lt;RecNum&gt;65&lt;/RecNum&gt;&lt;DisplayText&gt;Becker, &lt;style face="italic"&gt;Dictionnaire&lt;/style&gt;&lt;/DisplayText&gt;&lt;record&gt;&lt;rec-number&gt;65&lt;/rec-number&gt;&lt;foreign-keys&gt;&lt;key app="EN" db-id="2f5rvwawcsv2woetvw35fzwbdvvswerd0err"&gt;65&lt;/key&gt;&lt;/foreign-keys&gt;&lt;ref-type name="Book"&gt;6&lt;/ref-type&gt;&lt;contributors&gt;&lt;authors&gt;&lt;author&gt;Becker, Jean-Jacques&lt;/author&gt;&lt;/authors&gt;&lt;/contributors&gt;&lt;titles&gt;&lt;title&gt;Dictionnaire de la Grande Guerre&lt;/title&gt;&lt;short-title&gt;Dictionnaire&lt;/short-title&gt;&lt;/titles&gt;&lt;dates&gt;&lt;year&gt;2008&lt;/year&gt;&lt;/dates&gt;&lt;pub-location&gt;Brussels&lt;/pub-location&gt;&lt;urls&gt;&lt;/urls&gt;&lt;/record&gt;&lt;/Cite&gt;&lt;/EndNote&gt;</w:instrText>
      </w:r>
      <w:r>
        <w:fldChar w:fldCharType="separate"/>
      </w:r>
      <w:r w:rsidRPr="00824CCA">
        <w:rPr>
          <w:noProof/>
          <w:lang w:val="fr-FR"/>
        </w:rPr>
        <w:t xml:space="preserve">Becker, </w:t>
      </w:r>
      <w:r w:rsidRPr="00824CCA">
        <w:rPr>
          <w:i/>
          <w:noProof/>
          <w:lang w:val="fr-FR"/>
        </w:rPr>
        <w:t>Dictionnaire</w:t>
      </w:r>
      <w:r>
        <w:fldChar w:fldCharType="end"/>
      </w:r>
      <w:r w:rsidRPr="00006D90">
        <w:rPr>
          <w:lang w:val="fr-FR"/>
        </w:rPr>
        <w:t>, p. 37.</w:t>
      </w:r>
    </w:p>
  </w:footnote>
  <w:footnote w:id="391">
    <w:p w14:paraId="7E240FC5" w14:textId="77777777" w:rsidR="00DE3AC9" w:rsidRPr="00B26960" w:rsidRDefault="00DE3AC9" w:rsidP="0048510E">
      <w:pPr>
        <w:pStyle w:val="FootnoteText"/>
        <w:rPr>
          <w:lang w:val="fr-FR"/>
        </w:rPr>
      </w:pPr>
      <w:r>
        <w:rPr>
          <w:rStyle w:val="FootnoteReference"/>
        </w:rPr>
        <w:footnoteRef/>
      </w:r>
      <w:r w:rsidRPr="00B26960">
        <w:rPr>
          <w:lang w:val="fr-FR"/>
        </w:rPr>
        <w:t xml:space="preserve"> </w:t>
      </w:r>
      <w:r>
        <w:rPr>
          <w:i/>
          <w:iCs/>
          <w:lang w:val="fr-FR"/>
        </w:rPr>
        <w:t>Le Clairon du Roi</w:t>
      </w:r>
      <w:r>
        <w:rPr>
          <w:lang w:val="fr-FR"/>
        </w:rPr>
        <w:t xml:space="preserve">, 1916 and </w:t>
      </w:r>
      <w:r>
        <w:rPr>
          <w:i/>
          <w:iCs/>
          <w:lang w:val="fr-FR"/>
        </w:rPr>
        <w:t xml:space="preserve">Les Bonnes Nouvelles, </w:t>
      </w:r>
      <w:r>
        <w:rPr>
          <w:lang w:val="fr-FR"/>
        </w:rPr>
        <w:t>1918.</w:t>
      </w:r>
    </w:p>
  </w:footnote>
  <w:footnote w:id="392">
    <w:p w14:paraId="487DFE3D" w14:textId="77777777" w:rsidR="00DE3AC9" w:rsidRPr="00006D90" w:rsidRDefault="00DE3AC9" w:rsidP="0048510E">
      <w:pPr>
        <w:pStyle w:val="FootnoteText"/>
      </w:pPr>
      <w:r>
        <w:rPr>
          <w:rStyle w:val="FootnoteReference"/>
        </w:rPr>
        <w:footnoteRef/>
      </w:r>
      <w:r w:rsidRPr="00006D90">
        <w:t xml:space="preserve"> </w:t>
      </w:r>
      <w:r>
        <w:rPr>
          <w:lang w:val="fr-FR"/>
        </w:rPr>
        <w:fldChar w:fldCharType="begin"/>
      </w:r>
      <w:r>
        <w:instrText xml:space="preserve"> ADDIN EN.CITE &lt;EndNote&gt;&lt;Cite&gt;&lt;Author&gt;Finnan&lt;/Author&gt;&lt;Year&gt;2003&lt;/Year&gt;&lt;RecNum&gt;110&lt;/RecNum&gt;&lt;DisplayText&gt;Joseph Finnan, &amp;apos;Punch&amp;apos;s portrayal of Redmond, Carson and the Irish question, 1910-1918&amp;apos;, in: &lt;style face="italic"&gt;Irish Historical Studies, &lt;/style&gt;33 (2003), &lt;/DisplayText&gt;&lt;record&gt;&lt;rec-number&gt;110&lt;/rec-number&gt;&lt;foreign-keys&gt;&lt;key app="EN" db-id="2f5rvwawcsv2woetvw35fzwbdvvswerd0err"&gt;110&lt;/key&gt;&lt;/foreign-keys&gt;&lt;ref-type name="Journal Article"&gt;17&lt;/ref-type&gt;&lt;contributors&gt;&lt;authors&gt;&lt;author&gt;Finnan, Joseph&lt;/author&gt;&lt;/authors&gt;&lt;/contributors&gt;&lt;titles&gt;&lt;title&gt;Punch&amp;apos;s portrayal of Redmond, Carson and the Irish question, 1910-1918&lt;/title&gt;&lt;secondary-title&gt;Irish Historical Studies&lt;/secondary-title&gt;&lt;short-title&gt;Punch&lt;/short-title&gt;&lt;/titles&gt;&lt;periodical&gt;&lt;full-title&gt;Irish Historical Studies&lt;/full-title&gt;&lt;/periodical&gt;&lt;volume&gt;33&lt;/volume&gt;&lt;number&gt;132&lt;/number&gt;&lt;dates&gt;&lt;year&gt;2003&lt;/year&gt;&lt;/dates&gt;&lt;urls&gt;&lt;/urls&gt;&lt;/record&gt;&lt;/Cite&gt;&lt;/EndNote&gt;</w:instrText>
      </w:r>
      <w:r>
        <w:rPr>
          <w:lang w:val="fr-FR"/>
        </w:rPr>
        <w:fldChar w:fldCharType="separate"/>
      </w:r>
      <w:r w:rsidRPr="007B7627">
        <w:rPr>
          <w:noProof/>
        </w:rPr>
        <w:t xml:space="preserve">Joseph Finnan, 'Punch's portrayal of Redmond, Carson and the Irish question, 1910-1918', in: </w:t>
      </w:r>
      <w:r w:rsidRPr="007B7627">
        <w:rPr>
          <w:i/>
          <w:noProof/>
        </w:rPr>
        <w:t xml:space="preserve">Irish Historical Studies, </w:t>
      </w:r>
      <w:r w:rsidRPr="007B7627">
        <w:rPr>
          <w:noProof/>
        </w:rPr>
        <w:t xml:space="preserve">33 (2003), </w:t>
      </w:r>
      <w:r>
        <w:rPr>
          <w:lang w:val="fr-FR"/>
        </w:rPr>
        <w:fldChar w:fldCharType="end"/>
      </w:r>
      <w:r w:rsidRPr="00006D90">
        <w:t>p. 425.</w:t>
      </w:r>
    </w:p>
  </w:footnote>
  <w:footnote w:id="393">
    <w:p w14:paraId="248F45CD" w14:textId="77777777" w:rsidR="00DE3AC9" w:rsidRPr="00CD0F65" w:rsidRDefault="00DE3AC9" w:rsidP="0048510E">
      <w:pPr>
        <w:pStyle w:val="FootnoteText"/>
      </w:pPr>
      <w:r>
        <w:rPr>
          <w:rStyle w:val="FootnoteReference"/>
        </w:rPr>
        <w:footnoteRef/>
      </w:r>
      <w:r>
        <w:t xml:space="preserve"> </w:t>
      </w:r>
      <w:r>
        <w:fldChar w:fldCharType="begin"/>
      </w:r>
      <w:r>
        <w:instrText xml:space="preserve"> ADDIN EN.CITE &lt;EndNote&gt;&lt;Cite&gt;&lt;Author&gt;Demm&lt;/Author&gt;&lt;Year&gt;1993&lt;/Year&gt;&lt;RecNum&gt;116&lt;/RecNum&gt;&lt;DisplayText&gt;Eberhard Demm, &amp;apos;Propaganda and caricature in the First World War&amp;apos;, in: &lt;style face="italic"&gt;Journal of Contemporary History, &lt;/style&gt;28 (1993), &lt;/DisplayText&gt;&lt;record&gt;&lt;rec-number&gt;116&lt;/rec-number&gt;&lt;foreign-keys&gt;&lt;key app="EN" db-id="2f5rvwawcsv2woetvw35fzwbdvvswerd0err"&gt;116&lt;/key&gt;&lt;/foreign-keys&gt;&lt;ref-type name="Journal Article"&gt;17&lt;/ref-type&gt;&lt;contributors&gt;&lt;authors&gt;&lt;author&gt;Demm, Eberhard&lt;/author&gt;&lt;/authors&gt;&lt;/contributors&gt;&lt;titles&gt;&lt;title&gt;Propaganda and caricature in the First World War&lt;/title&gt;&lt;secondary-title&gt;Journal of Contemporary History&lt;/secondary-title&gt;&lt;short-title&gt;Propaganda&lt;/short-title&gt;&lt;/titles&gt;&lt;periodical&gt;&lt;full-title&gt;Journal of Contemporary History&lt;/full-title&gt;&lt;/periodical&gt;&lt;volume&gt;28&lt;/volume&gt;&lt;number&gt;1&lt;/number&gt;&lt;dates&gt;&lt;year&gt;1993&lt;/year&gt;&lt;/dates&gt;&lt;urls&gt;&lt;/urls&gt;&lt;/record&gt;&lt;/Cite&gt;&lt;/EndNote&gt;</w:instrText>
      </w:r>
      <w:r>
        <w:fldChar w:fldCharType="separate"/>
      </w:r>
      <w:r>
        <w:rPr>
          <w:noProof/>
        </w:rPr>
        <w:t xml:space="preserve">Eberhard Demm, 'Propaganda and caricature in the First World War', in: </w:t>
      </w:r>
      <w:r w:rsidRPr="007B7627">
        <w:rPr>
          <w:i/>
          <w:noProof/>
        </w:rPr>
        <w:t xml:space="preserve">Journal of Contemporary History, </w:t>
      </w:r>
      <w:r>
        <w:rPr>
          <w:noProof/>
        </w:rPr>
        <w:t xml:space="preserve">28 (1993), </w:t>
      </w:r>
      <w:r>
        <w:fldChar w:fldCharType="end"/>
      </w:r>
      <w:r>
        <w:t>p. 175.</w:t>
      </w:r>
    </w:p>
  </w:footnote>
  <w:footnote w:id="394">
    <w:p w14:paraId="27758292" w14:textId="77777777" w:rsidR="00DE3AC9" w:rsidRPr="001C544E" w:rsidRDefault="00DE3AC9" w:rsidP="0048510E">
      <w:pPr>
        <w:pStyle w:val="FootnoteText"/>
      </w:pPr>
      <w:r>
        <w:rPr>
          <w:rStyle w:val="FootnoteReference"/>
        </w:rPr>
        <w:footnoteRef/>
      </w:r>
      <w:r w:rsidRPr="001C544E">
        <w:t xml:space="preserve"> </w:t>
      </w:r>
      <w:r w:rsidRPr="001C544E">
        <w:rPr>
          <w:i/>
          <w:iCs/>
        </w:rPr>
        <w:t>La Lettre du Soldat</w:t>
      </w:r>
      <w:r w:rsidRPr="001C544E">
        <w:t>, 1917-1918.</w:t>
      </w:r>
    </w:p>
  </w:footnote>
  <w:footnote w:id="395">
    <w:p w14:paraId="621EDE3F" w14:textId="77777777" w:rsidR="00DE3AC9" w:rsidRPr="00F40122" w:rsidRDefault="00DE3AC9" w:rsidP="0048510E">
      <w:pPr>
        <w:pStyle w:val="FootnoteText"/>
      </w:pPr>
      <w:r>
        <w:rPr>
          <w:rStyle w:val="FootnoteReference"/>
        </w:rPr>
        <w:footnoteRef/>
      </w:r>
      <w:r w:rsidRPr="00F40122">
        <w:t xml:space="preserve"> These postcards can be found in </w:t>
      </w:r>
      <w:r>
        <w:t>MABB: collection of aerial postcards and SHD AT: 16N1571.</w:t>
      </w:r>
    </w:p>
  </w:footnote>
  <w:footnote w:id="396">
    <w:p w14:paraId="55411477" w14:textId="77777777" w:rsidR="00DE3AC9" w:rsidRPr="001B2D2B" w:rsidRDefault="00DE3AC9" w:rsidP="0048510E">
      <w:pPr>
        <w:pStyle w:val="FootnoteText"/>
        <w:rPr>
          <w:lang w:val="fr-FR"/>
        </w:rPr>
      </w:pPr>
      <w:r>
        <w:rPr>
          <w:rStyle w:val="FootnoteReference"/>
        </w:rPr>
        <w:footnoteRef/>
      </w:r>
      <w:r w:rsidRPr="001B2D2B">
        <w:rPr>
          <w:lang w:val="fr-FR"/>
        </w:rPr>
        <w:t xml:space="preserve"> </w:t>
      </w:r>
      <w:r w:rsidRPr="001B2D2B">
        <w:rPr>
          <w:i/>
          <w:iCs/>
          <w:lang w:val="fr-FR"/>
        </w:rPr>
        <w:t>Le Courrier de l’Air</w:t>
      </w:r>
      <w:r w:rsidRPr="001B2D2B">
        <w:rPr>
          <w:lang w:val="fr-FR"/>
        </w:rPr>
        <w:t>, 6 April 1917.</w:t>
      </w:r>
    </w:p>
  </w:footnote>
  <w:footnote w:id="397">
    <w:p w14:paraId="3CBB038E" w14:textId="77777777" w:rsidR="00DE3AC9" w:rsidRPr="00F953F9" w:rsidRDefault="00DE3AC9" w:rsidP="0048510E">
      <w:pPr>
        <w:pStyle w:val="FootnoteText"/>
      </w:pPr>
      <w:r>
        <w:rPr>
          <w:rStyle w:val="FootnoteReference"/>
        </w:rPr>
        <w:footnoteRef/>
      </w:r>
      <w:r>
        <w:t xml:space="preserve"> British Library: C.40.I.21. Unpublished account of the history of the </w:t>
      </w:r>
      <w:r>
        <w:rPr>
          <w:i/>
          <w:iCs/>
        </w:rPr>
        <w:t xml:space="preserve">Courrier de l’Air. </w:t>
      </w:r>
      <w:r>
        <w:t>November 1918.</w:t>
      </w:r>
    </w:p>
  </w:footnote>
  <w:footnote w:id="398">
    <w:p w14:paraId="6D842EC2" w14:textId="77777777" w:rsidR="00DE3AC9" w:rsidRPr="00F72AF6" w:rsidRDefault="00DE3AC9" w:rsidP="0048510E">
      <w:pPr>
        <w:pStyle w:val="FootnoteText"/>
      </w:pPr>
      <w:r>
        <w:rPr>
          <w:rStyle w:val="FootnoteReference"/>
        </w:rPr>
        <w:footnoteRef/>
      </w:r>
      <w:r>
        <w:t xml:space="preserve"> </w:t>
      </w:r>
      <w:r>
        <w:fldChar w:fldCharType="begin"/>
      </w:r>
      <w:r>
        <w:instrText xml:space="preserve"> ADDIN EN.CITE &lt;EndNote&gt;&lt;Cite&gt;&lt;Author&gt;Ellis&lt;/Author&gt;&lt;Year&gt;1998&lt;/Year&gt;&lt;RecNum&gt;326&lt;/RecNum&gt;&lt;DisplayText&gt;John Ellis, &amp;apos;&amp;quot;The methods of barbarism&amp;quot; and the &amp;quot;Rights of small nations&amp;quot;: war propaganda and British pluralism&amp;apos;, in: &lt;style face="italic"&gt;Albion, &lt;/style&gt;30 (1998), &lt;/DisplayText&gt;&lt;record&gt;&lt;rec-number&gt;326&lt;/rec-number&gt;&lt;foreign-keys&gt;&lt;key app="EN" db-id="2f5rvwawcsv2woetvw35fzwbdvvswerd0err"&gt;326&lt;/key&gt;&lt;/foreign-keys&gt;&lt;ref-type name="Journal Article"&gt;17&lt;/ref-type&gt;&lt;contributors&gt;&lt;authors&gt;&lt;author&gt;Ellis, John&lt;/author&gt;&lt;/authors&gt;&lt;/contributors&gt;&lt;titles&gt;&lt;title&gt;&amp;quot;The methods of barbarism&amp;quot; and the &amp;quot;Rights of small nations&amp;quot;: war propaganda and British pluralism&lt;/title&gt;&lt;secondary-title&gt;Albion&lt;/secondary-title&gt;&lt;short-title&gt;The methods of barbarism&lt;/short-title&gt;&lt;/titles&gt;&lt;periodical&gt;&lt;full-title&gt;Albion&lt;/full-title&gt;&lt;/periodical&gt;&lt;volume&gt;30&lt;/volume&gt;&lt;dates&gt;&lt;year&gt;1998&lt;/year&gt;&lt;/dates&gt;&lt;urls&gt;&lt;/urls&gt;&lt;/record&gt;&lt;/Cite&gt;&lt;/EndNote&gt;</w:instrText>
      </w:r>
      <w:r>
        <w:fldChar w:fldCharType="separate"/>
      </w:r>
      <w:r>
        <w:rPr>
          <w:noProof/>
        </w:rPr>
        <w:t xml:space="preserve">John Ellis, '"The methods of barbarism" and the "Rights of small nations": war propaganda and British pluralism', in: </w:t>
      </w:r>
      <w:r w:rsidRPr="00B06772">
        <w:rPr>
          <w:i/>
          <w:noProof/>
        </w:rPr>
        <w:t xml:space="preserve">Albion, </w:t>
      </w:r>
      <w:r>
        <w:rPr>
          <w:noProof/>
        </w:rPr>
        <w:t xml:space="preserve">30 (1998), </w:t>
      </w:r>
      <w:r>
        <w:fldChar w:fldCharType="end"/>
      </w:r>
      <w:r>
        <w:t>p. 49.</w:t>
      </w:r>
    </w:p>
  </w:footnote>
  <w:footnote w:id="399">
    <w:p w14:paraId="0302AFF5" w14:textId="15EEEF31" w:rsidR="00DE3AC9" w:rsidRPr="006928A8" w:rsidRDefault="00DE3AC9" w:rsidP="0048510E">
      <w:pPr>
        <w:pStyle w:val="FootnoteText"/>
      </w:pPr>
      <w:r>
        <w:rPr>
          <w:rStyle w:val="FootnoteReference"/>
        </w:rPr>
        <w:footnoteRef/>
      </w:r>
      <w:r>
        <w:t xml:space="preserve"> </w:t>
      </w:r>
      <w:r>
        <w:fldChar w:fldCharType="begin"/>
      </w:r>
      <w:r>
        <w:instrText xml:space="preserve"> ADDIN EN.CITE &lt;EndNote&gt;&lt;Cite&gt;&lt;Author&gt;Scott&lt;/Author&gt;&lt;Year&gt;2008&lt;/Year&gt;&lt;RecNum&gt;85&lt;/RecNum&gt;&lt;DisplayText&gt;Scott, &lt;style face="italic"&gt;Tea&lt;/style&gt;&lt;/DisplayText&gt;&lt;record&gt;&lt;rec-number&gt;85&lt;/rec-number&gt;&lt;foreign-keys&gt;&lt;key app="EN" db-id="2f5rvwawcsv2woetvw35fzwbdvvswerd0err"&gt;85&lt;/key&gt;&lt;/foreign-keys&gt;&lt;ref-type name="Journal Article"&gt;17&lt;/ref-type&gt;&lt;contributors&gt;&lt;authors&gt;&lt;author&gt;Scott, Peter&lt;/author&gt;&lt;/authors&gt;&lt;/contributors&gt;&lt;titles&gt;&lt;title&gt;Tea at the De Keyser Hotel - Edward Heron-Allen&amp;apos;s colleagues at MI7(b)&lt;/title&gt;&lt;secondary-title&gt;Opuscullum Heron-Allen Society&lt;/secondary-title&gt;&lt;short-title&gt;Tea&lt;/short-title&gt;&lt;/titles&gt;&lt;periodical&gt;&lt;full-title&gt;Opuscullum Heron-Allen Society&lt;/full-title&gt;&lt;/periodical&gt;&lt;volume&gt;XII&lt;/volume&gt;&lt;dates&gt;&lt;year&gt;2008&lt;/year&gt;&lt;/dates&gt;&lt;urls&gt;&lt;/urls&gt;&lt;/record&gt;&lt;/Cite&gt;&lt;/EndNote&gt;</w:instrText>
      </w:r>
      <w:r>
        <w:fldChar w:fldCharType="separate"/>
      </w:r>
      <w:r>
        <w:rPr>
          <w:noProof/>
        </w:rPr>
        <w:t xml:space="preserve">Scott, </w:t>
      </w:r>
      <w:r w:rsidRPr="00824CCA">
        <w:rPr>
          <w:i/>
          <w:noProof/>
        </w:rPr>
        <w:t>Tea</w:t>
      </w:r>
      <w:r>
        <w:fldChar w:fldCharType="end"/>
      </w:r>
      <w:r>
        <w:t xml:space="preserve">, pp. 30-41. </w:t>
      </w:r>
      <w:r w:rsidRPr="006928A8">
        <w:t xml:space="preserve">See chapter </w:t>
      </w:r>
      <w:r>
        <w:t>one</w:t>
      </w:r>
      <w:r w:rsidRPr="006928A8">
        <w:t xml:space="preserve"> for more details. </w:t>
      </w:r>
    </w:p>
  </w:footnote>
  <w:footnote w:id="400">
    <w:p w14:paraId="1924F7A3" w14:textId="1AEF7BD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DE3AC9">
        <w:rPr>
          <w:noProof/>
        </w:rPr>
        <w:t xml:space="preserve">Lasswell, </w:t>
      </w:r>
      <w:r w:rsidRPr="00DE3AC9">
        <w:rPr>
          <w:i/>
          <w:noProof/>
        </w:rPr>
        <w:t>Propaganda</w:t>
      </w:r>
      <w:r>
        <w:fldChar w:fldCharType="end"/>
      </w:r>
      <w:r w:rsidRPr="00DE3AC9">
        <w:t>, pp. 31-32.</w:t>
      </w:r>
    </w:p>
  </w:footnote>
  <w:footnote w:id="401">
    <w:p w14:paraId="3A3CF372" w14:textId="77777777" w:rsidR="00DE3AC9" w:rsidRPr="0015751E"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xml:space="preserve">, p. 5. </w:t>
      </w:r>
      <w:r>
        <w:t xml:space="preserve">The scientific method was underlined in: </w:t>
      </w:r>
      <w:r>
        <w:fldChar w:fldCharType="begin"/>
      </w:r>
      <w:r>
        <w:instrText xml:space="preserve"> ADDIN EN.CITE &lt;EndNote&gt;&lt;Cite&gt;&lt;Author&gt;Lutz&lt;/Author&gt;&lt;Year&gt;1933&lt;/Year&gt;&lt;RecNum&gt;117&lt;/RecNum&gt;&lt;DisplayText&gt;Lutz, &lt;style face="italic"&gt;Studies of World War propaganda, 1914-1933&lt;/style&gt;&lt;/DisplayText&gt;&lt;record&gt;&lt;rec-number&gt;117&lt;/rec-number&gt;&lt;foreign-keys&gt;&lt;key app="EN" db-id="2f5rvwawcsv2woetvw35fzwbdvvswerd0err"&gt;117&lt;/key&gt;&lt;/foreign-keys&gt;&lt;ref-type name="Journal Article"&gt;17&lt;/ref-type&gt;&lt;contributors&gt;&lt;authors&gt;&lt;author&gt;Lutz, Ralph&lt;/author&gt;&lt;/authors&gt;&lt;/contributors&gt;&lt;titles&gt;&lt;title&gt;Studies of World War propaganda, 1914-1933&lt;/title&gt;&lt;secondary-title&gt;The Journal of Modern History&lt;/secondary-title&gt;&lt;/titles&gt;&lt;periodical&gt;&lt;full-title&gt;The Journal of Modern History&lt;/full-title&gt;&lt;/periodical&gt;&lt;volume&gt;5&lt;/volume&gt;&lt;number&gt;4&lt;/number&gt;&lt;dates&gt;&lt;year&gt;1933&lt;/year&gt;&lt;/dates&gt;&lt;urls&gt;&lt;/urls&gt;&lt;/record&gt;&lt;/Cite&gt;&lt;/EndNote&gt;</w:instrText>
      </w:r>
      <w:r>
        <w:fldChar w:fldCharType="separate"/>
      </w:r>
      <w:r>
        <w:rPr>
          <w:noProof/>
        </w:rPr>
        <w:t xml:space="preserve">Lutz, </w:t>
      </w:r>
      <w:r w:rsidRPr="007B7627">
        <w:rPr>
          <w:i/>
          <w:noProof/>
        </w:rPr>
        <w:t>Studies of World War propaganda, 1914-1933</w:t>
      </w:r>
      <w:r>
        <w:fldChar w:fldCharType="end"/>
      </w:r>
      <w:r>
        <w:t>, p. 496.</w:t>
      </w:r>
    </w:p>
  </w:footnote>
  <w:footnote w:id="402">
    <w:p w14:paraId="4F5434FB" w14:textId="77777777" w:rsidR="00DE3AC9" w:rsidRPr="00374CF4" w:rsidRDefault="00DE3AC9" w:rsidP="0048510E">
      <w:pPr>
        <w:pStyle w:val="FootnoteText"/>
        <w:rPr>
          <w:lang w:val="fr-FR"/>
        </w:rPr>
      </w:pPr>
      <w:r>
        <w:rPr>
          <w:rStyle w:val="FootnoteReference"/>
        </w:rPr>
        <w:footnoteRef/>
      </w:r>
      <w:r w:rsidRPr="00374CF4">
        <w:rPr>
          <w:lang w:val="fr-FR"/>
        </w:rPr>
        <w:t xml:space="preserve"> </w:t>
      </w:r>
      <w:r>
        <w:fldChar w:fldCharType="begin"/>
      </w:r>
      <w:r w:rsidRPr="00374CF4">
        <w:rPr>
          <w:lang w:val="fr-FR"/>
        </w:rP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374CF4">
        <w:rPr>
          <w:noProof/>
          <w:lang w:val="fr-FR"/>
        </w:rPr>
        <w:t xml:space="preserve">Jowett and O'Donnell, </w:t>
      </w:r>
      <w:r w:rsidRPr="00374CF4">
        <w:rPr>
          <w:i/>
          <w:noProof/>
          <w:lang w:val="fr-FR"/>
        </w:rPr>
        <w:t>Propaganda</w:t>
      </w:r>
      <w:r>
        <w:fldChar w:fldCharType="end"/>
      </w:r>
      <w:r w:rsidRPr="00374CF4">
        <w:rPr>
          <w:lang w:val="fr-FR"/>
        </w:rPr>
        <w:t>, p. 169.</w:t>
      </w:r>
    </w:p>
  </w:footnote>
  <w:footnote w:id="403">
    <w:p w14:paraId="6C814F7B" w14:textId="77777777" w:rsidR="00DE3AC9" w:rsidRPr="005C7BEE" w:rsidRDefault="00DE3AC9" w:rsidP="0048510E">
      <w:pPr>
        <w:pStyle w:val="FootnoteText"/>
        <w:rPr>
          <w:lang w:val="fr-FR"/>
        </w:rPr>
      </w:pPr>
      <w:r>
        <w:rPr>
          <w:rStyle w:val="FootnoteReference"/>
        </w:rPr>
        <w:footnoteRef/>
      </w:r>
      <w:r w:rsidRPr="005C7BEE">
        <w:rPr>
          <w:lang w:val="fr-FR"/>
        </w:rPr>
        <w:t xml:space="preserve"> </w:t>
      </w:r>
      <w:r>
        <w:fldChar w:fldCharType="begin"/>
      </w:r>
      <w:r w:rsidRPr="005C7BEE">
        <w:rPr>
          <w:lang w:val="fr-FR"/>
        </w:rPr>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fldChar w:fldCharType="separate"/>
      </w:r>
      <w:r w:rsidRPr="005C7BEE">
        <w:rPr>
          <w:noProof/>
          <w:lang w:val="fr-FR"/>
        </w:rPr>
        <w:t xml:space="preserve">Becker, </w:t>
      </w:r>
      <w:r w:rsidRPr="005C7BEE">
        <w:rPr>
          <w:i/>
          <w:noProof/>
          <w:lang w:val="fr-FR"/>
        </w:rPr>
        <w:t>Oubliés</w:t>
      </w:r>
      <w:r>
        <w:fldChar w:fldCharType="end"/>
      </w:r>
      <w:r w:rsidRPr="005C7BEE">
        <w:rPr>
          <w:lang w:val="fr-FR"/>
        </w:rPr>
        <w:t>, pp. 383-384.</w:t>
      </w:r>
    </w:p>
  </w:footnote>
  <w:footnote w:id="404">
    <w:p w14:paraId="37D31AC5" w14:textId="77777777" w:rsidR="00DE3AC9" w:rsidRPr="005C7BEE" w:rsidRDefault="00DE3AC9" w:rsidP="005C7BEE">
      <w:pPr>
        <w:pStyle w:val="FootnoteText"/>
        <w:rPr>
          <w:lang w:val="fr-FR"/>
        </w:rPr>
      </w:pPr>
      <w:r>
        <w:rPr>
          <w:rStyle w:val="FootnoteReference"/>
        </w:rPr>
        <w:footnoteRef/>
      </w:r>
      <w:r w:rsidRPr="005C7BEE">
        <w:rPr>
          <w:lang w:val="fr-FR"/>
        </w:rPr>
        <w:t xml:space="preserve"> </w:t>
      </w:r>
      <w:r>
        <w:fldChar w:fldCharType="begin"/>
      </w:r>
      <w:r w:rsidRPr="005C7BEE">
        <w:rPr>
          <w:lang w:val="fr-FR"/>
        </w:rPr>
        <w:instrText xml:space="preserve"> ADDIN EN.CITE &lt;EndNote&gt;&lt;Cite&gt;&lt;Author&gt;Audoin-Rouzeau&lt;/Author&gt;&lt;Year&gt;2008&lt;/Year&gt;&lt;RecNum&gt;119&lt;/RecNum&gt;&lt;DisplayText&gt;Stéphane Audoin-Rouzeau, &lt;style face="italic"&gt;Combattre: une anthropologie historique de la guerre moderne (XIX-XXIe siècle)&lt;/style&gt;, (Paris, 2008)&lt;/DisplayText&gt;&lt;record&gt;&lt;rec-number&gt;119&lt;/rec-number&gt;&lt;foreign-keys&gt;&lt;key app="EN" db-id="2f5rvwawcsv2woetvw35fzwbdvvswerd0err"&gt;119&lt;/key&gt;&lt;/foreign-keys&gt;&lt;ref-type name="Book"&gt;6&lt;/ref-type&gt;&lt;contributors&gt;&lt;authors&gt;&lt;author&gt;Audoin-Rouzeau, Stéphane&lt;/author&gt;&lt;/authors&gt;&lt;/contributors&gt;&lt;titles&gt;&lt;title&gt;Combattre: une anthropologie historique de la guerre moderne (XIX-XXIe siècle)&lt;/title&gt;&lt;short-title&gt;Combattre&lt;/short-title&gt;&lt;/titles&gt;&lt;dates&gt;&lt;year&gt;2008&lt;/year&gt;&lt;/dates&gt;&lt;pub-location&gt;Paris&lt;/pub-location&gt;&lt;urls&gt;&lt;/urls&gt;&lt;/record&gt;&lt;/Cite&gt;&lt;/EndNote&gt;</w:instrText>
      </w:r>
      <w:r>
        <w:fldChar w:fldCharType="separate"/>
      </w:r>
      <w:r w:rsidRPr="005C7BEE">
        <w:rPr>
          <w:noProof/>
          <w:lang w:val="fr-FR"/>
        </w:rPr>
        <w:t xml:space="preserve">Stéphane Audoin-Rouzeau, </w:t>
      </w:r>
      <w:r w:rsidRPr="005C7BEE">
        <w:rPr>
          <w:i/>
          <w:noProof/>
          <w:lang w:val="fr-FR"/>
        </w:rPr>
        <w:t>Combattre: une anthropologie historique de la guerre moderne (XIX-XXIe siècle)</w:t>
      </w:r>
      <w:r w:rsidRPr="005C7BEE">
        <w:rPr>
          <w:noProof/>
          <w:lang w:val="fr-FR"/>
        </w:rPr>
        <w:t>, (Paris, 2008)</w:t>
      </w:r>
      <w:r>
        <w:fldChar w:fldCharType="end"/>
      </w:r>
      <w:r w:rsidRPr="005C7BEE">
        <w:rPr>
          <w:lang w:val="fr-FR"/>
        </w:rPr>
        <w:t>, pp. 67-68.</w:t>
      </w:r>
    </w:p>
  </w:footnote>
  <w:footnote w:id="405">
    <w:p w14:paraId="16184502" w14:textId="799C187D" w:rsidR="00DE3AC9" w:rsidRPr="00972DAB" w:rsidRDefault="00DE3AC9">
      <w:pPr>
        <w:pStyle w:val="FootnoteText"/>
      </w:pPr>
      <w:r>
        <w:rPr>
          <w:rStyle w:val="FootnoteReference"/>
        </w:rPr>
        <w:footnoteRef/>
      </w:r>
      <w:r>
        <w:t xml:space="preserve"> MABB: collection of aerial postcards.</w:t>
      </w:r>
    </w:p>
  </w:footnote>
  <w:footnote w:id="406">
    <w:p w14:paraId="38B6BF6C" w14:textId="77777777" w:rsidR="00DE3AC9" w:rsidRPr="00E27240" w:rsidRDefault="00DE3AC9" w:rsidP="0048510E">
      <w:pPr>
        <w:pStyle w:val="FootnoteText"/>
      </w:pPr>
      <w:r>
        <w:rPr>
          <w:rStyle w:val="FootnoteReference"/>
        </w:rPr>
        <w:footnoteRef/>
      </w:r>
      <w:r>
        <w:t xml:space="preserve"> </w:t>
      </w:r>
      <w:r>
        <w:fldChar w:fldCharType="begin"/>
      </w:r>
      <w:r>
        <w:instrText xml:space="preserve"> ADDIN EN.CITE &lt;EndNote&gt;&lt;Cite&gt;&lt;Author&gt;Morgan&lt;/Author&gt;&lt;Year&gt;2002&lt;/Year&gt;&lt;RecNum&gt;327&lt;/RecNum&gt;&lt;DisplayText&gt;Kenneth Morgan, &amp;apos;The Boer War and the media&amp;apos;, in: &lt;style face="italic"&gt;Twentieth Century British History, &lt;/style&gt;13 (2002), &lt;/DisplayText&gt;&lt;record&gt;&lt;rec-number&gt;327&lt;/rec-number&gt;&lt;foreign-keys&gt;&lt;key app="EN" db-id="2f5rvwawcsv2woetvw35fzwbdvvswerd0err"&gt;327&lt;/key&gt;&lt;/foreign-keys&gt;&lt;ref-type name="Journal Article"&gt;17&lt;/ref-type&gt;&lt;contributors&gt;&lt;authors&gt;&lt;author&gt;Morgan, Kenneth&lt;/author&gt;&lt;/authors&gt;&lt;/contributors&gt;&lt;titles&gt;&lt;title&gt;The Boer War and the media&lt;/title&gt;&lt;secondary-title&gt;Twentieth Century British History&lt;/secondary-title&gt;&lt;short-title&gt;The Boer War&lt;/short-title&gt;&lt;/titles&gt;&lt;periodical&gt;&lt;full-title&gt;Twentieth Century British History&lt;/full-title&gt;&lt;/periodical&gt;&lt;volume&gt;13&lt;/volume&gt;&lt;dates&gt;&lt;year&gt;2002&lt;/year&gt;&lt;/dates&gt;&lt;urls&gt;&lt;/urls&gt;&lt;/record&gt;&lt;/Cite&gt;&lt;/EndNote&gt;</w:instrText>
      </w:r>
      <w:r>
        <w:fldChar w:fldCharType="separate"/>
      </w:r>
      <w:r>
        <w:rPr>
          <w:noProof/>
        </w:rPr>
        <w:t xml:space="preserve">Kenneth Morgan, 'The Boer War and the media', in: </w:t>
      </w:r>
      <w:r w:rsidRPr="00E27240">
        <w:rPr>
          <w:i/>
          <w:noProof/>
        </w:rPr>
        <w:t xml:space="preserve">Twentieth Century British History, </w:t>
      </w:r>
      <w:r>
        <w:rPr>
          <w:noProof/>
        </w:rPr>
        <w:t xml:space="preserve">13 (2002), </w:t>
      </w:r>
      <w:r>
        <w:fldChar w:fldCharType="end"/>
      </w:r>
      <w:r>
        <w:t>pp. 1-16.</w:t>
      </w:r>
    </w:p>
  </w:footnote>
  <w:footnote w:id="407">
    <w:p w14:paraId="55DA737E" w14:textId="77777777" w:rsidR="00DE3AC9" w:rsidRPr="00D131EB" w:rsidRDefault="00DE3AC9" w:rsidP="0048510E">
      <w:pPr>
        <w:pStyle w:val="FootnoteText"/>
      </w:pPr>
      <w:r>
        <w:rPr>
          <w:rStyle w:val="FootnoteReference"/>
        </w:rPr>
        <w:footnoteRef/>
      </w:r>
      <w:r>
        <w:t xml:space="preserve"> </w:t>
      </w:r>
      <w:r>
        <w:fldChar w:fldCharType="begin"/>
      </w:r>
      <w:r>
        <w:instrText xml:space="preserve"> ADDIN EN.CITE &lt;EndNote&gt;&lt;Cite&gt;&lt;Author&gt;Philippe&lt;/Author&gt;&lt;Year&gt;1980&lt;/Year&gt;&lt;RecNum&gt;118&lt;/RecNum&gt;&lt;DisplayText&gt;Robert Philippe, &lt;style face="italic"&gt;Political graphics: art as a weapon&lt;/style&gt;, (Oxford, 1980)&lt;/DisplayText&gt;&lt;record&gt;&lt;rec-number&gt;118&lt;/rec-number&gt;&lt;foreign-keys&gt;&lt;key app="EN" db-id="2f5rvwawcsv2woetvw35fzwbdvvswerd0err"&gt;118&lt;/key&gt;&lt;/foreign-keys&gt;&lt;ref-type name="Book"&gt;6&lt;/ref-type&gt;&lt;contributors&gt;&lt;authors&gt;&lt;author&gt;Philippe, Robert&lt;/author&gt;&lt;/authors&gt;&lt;/contributors&gt;&lt;titles&gt;&lt;title&gt;Political graphics: art as a weapon&lt;/title&gt;&lt;short-title&gt;Political&lt;/short-title&gt;&lt;/titles&gt;&lt;dates&gt;&lt;year&gt;1980&lt;/year&gt;&lt;/dates&gt;&lt;pub-location&gt;Oxford&lt;/pub-location&gt;&lt;urls&gt;&lt;/urls&gt;&lt;/record&gt;&lt;/Cite&gt;&lt;/EndNote&gt;</w:instrText>
      </w:r>
      <w:r>
        <w:fldChar w:fldCharType="separate"/>
      </w:r>
      <w:r>
        <w:rPr>
          <w:noProof/>
        </w:rPr>
        <w:t xml:space="preserve">Robert Philippe, </w:t>
      </w:r>
      <w:r w:rsidRPr="007B7627">
        <w:rPr>
          <w:i/>
          <w:noProof/>
        </w:rPr>
        <w:t>Political graphics: art as a weapon</w:t>
      </w:r>
      <w:r>
        <w:rPr>
          <w:noProof/>
        </w:rPr>
        <w:t>, (Oxford, 1980)</w:t>
      </w:r>
      <w:r>
        <w:fldChar w:fldCharType="end"/>
      </w:r>
      <w:r>
        <w:t>, p. 9.</w:t>
      </w:r>
    </w:p>
  </w:footnote>
  <w:footnote w:id="408">
    <w:p w14:paraId="388D79C6" w14:textId="77777777" w:rsidR="00DE3AC9" w:rsidRPr="00CD1676" w:rsidRDefault="00DE3AC9" w:rsidP="0048510E">
      <w:pPr>
        <w:pStyle w:val="FootnoteText"/>
      </w:pPr>
      <w:r>
        <w:rPr>
          <w:rStyle w:val="FootnoteReference"/>
        </w:rPr>
        <w:footnoteRef/>
      </w:r>
      <w:r w:rsidRPr="00CD1676">
        <w:t xml:space="preserve"> SHD AT:</w:t>
      </w:r>
      <w:r>
        <w:t xml:space="preserve"> 16N1569. Letter from Lt-Colonel Church to the French Mission. 23 August 1917.</w:t>
      </w:r>
    </w:p>
  </w:footnote>
  <w:footnote w:id="409">
    <w:p w14:paraId="268561F8" w14:textId="77777777" w:rsidR="00DE3AC9" w:rsidRPr="00E175F4" w:rsidRDefault="00DE3AC9" w:rsidP="0048510E">
      <w:pPr>
        <w:pStyle w:val="FootnoteText"/>
      </w:pPr>
      <w:r>
        <w:rPr>
          <w:rStyle w:val="FootnoteReference"/>
        </w:rPr>
        <w:footnoteRef/>
      </w:r>
      <w:r>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t>, pp. 68-77 and pp. 110-117.</w:t>
      </w:r>
    </w:p>
  </w:footnote>
  <w:footnote w:id="410">
    <w:p w14:paraId="660C340B" w14:textId="47D350AE" w:rsidR="00DE3AC9" w:rsidRPr="00E175F4" w:rsidRDefault="00DE3AC9" w:rsidP="00232F8A">
      <w:pPr>
        <w:pStyle w:val="FootnoteText"/>
      </w:pPr>
      <w:r>
        <w:rPr>
          <w:rStyle w:val="FootnoteReference"/>
        </w:rPr>
        <w:footnoteRef/>
      </w:r>
      <w:r>
        <w:t xml:space="preserve"> </w:t>
      </w:r>
      <w:r>
        <w:fldChar w:fldCharType="begin"/>
      </w:r>
      <w:r>
        <w:instrText xml:space="preserve"> ADDIN EN.CITE &lt;EndNote&gt;&lt;Cite&gt;&lt;Author&gt;Winter&lt;/Author&gt;&lt;Year&gt;2005&lt;/Year&gt;&lt;RecNum&gt;114&lt;/RecNum&gt;&lt;DisplayText&gt;Prost and Winter, &lt;style face="italic"&gt;The Great War&lt;/style&gt;&lt;/DisplayText&gt;&lt;record&gt;&lt;rec-number&gt;114&lt;/rec-number&gt;&lt;foreign-keys&gt;&lt;key app="EN" db-id="2f5rvwawcsv2woetvw35fzwbdvvswerd0err"&gt;114&lt;/key&gt;&lt;/foreign-keys&gt;&lt;ref-type name="Book"&gt;6&lt;/ref-type&gt;&lt;contributors&gt;&lt;authors&gt;&lt;author&gt;Prost, Antoine&lt;/author&gt;&lt;author&gt;Winter, Jay&lt;/author&gt;&lt;/authors&gt;&lt;/contributors&gt;&lt;titles&gt;&lt;title&gt;The Great War in History: debates and controversies, 1914 to present&lt;/title&gt;&lt;short-title&gt;The Great War&lt;/short-title&gt;&lt;/titles&gt;&lt;dates&gt;&lt;year&gt;2005&lt;/year&gt;&lt;/dates&gt;&lt;pub-location&gt;Cambridge&lt;/pub-location&gt;&lt;urls&gt;&lt;/urls&gt;&lt;/record&gt;&lt;/Cite&gt;&lt;/EndNote&gt;</w:instrText>
      </w:r>
      <w:r>
        <w:fldChar w:fldCharType="separate"/>
      </w:r>
      <w:r>
        <w:rPr>
          <w:noProof/>
        </w:rPr>
        <w:t xml:space="preserve">Prost and Winter, </w:t>
      </w:r>
      <w:r w:rsidRPr="00232F8A">
        <w:rPr>
          <w:i/>
          <w:noProof/>
        </w:rPr>
        <w:t>The Great War</w:t>
      </w:r>
      <w:r>
        <w:fldChar w:fldCharType="end"/>
      </w:r>
      <w:r>
        <w:t>, pp. 155-156.</w:t>
      </w:r>
    </w:p>
  </w:footnote>
  <w:footnote w:id="411">
    <w:p w14:paraId="7D3578BD" w14:textId="1A8C04DD" w:rsidR="00DE3AC9" w:rsidRPr="00E175F4" w:rsidRDefault="00DE3AC9" w:rsidP="0048510E">
      <w:pPr>
        <w:pStyle w:val="FootnoteText"/>
      </w:pPr>
      <w:r>
        <w:rPr>
          <w:rStyle w:val="FootnoteReference"/>
        </w:rPr>
        <w:footnoteRef/>
      </w:r>
      <w:r>
        <w:t xml:space="preserve"> </w:t>
      </w:r>
      <w:r>
        <w:fldChar w:fldCharType="begin"/>
      </w:r>
      <w: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Pr>
          <w:noProof/>
        </w:rPr>
        <w:t xml:space="preserve">Cull, Culbert, and Welch, </w:t>
      </w:r>
      <w:r w:rsidRPr="007B7627">
        <w:rPr>
          <w:i/>
          <w:noProof/>
        </w:rPr>
        <w:t>Propaganda</w:t>
      </w:r>
      <w:r>
        <w:fldChar w:fldCharType="end"/>
      </w:r>
      <w:r>
        <w:t xml:space="preserve">, p. 41. See also </w:t>
      </w:r>
      <w:r>
        <w:fldChar w:fldCharType="begin"/>
      </w:r>
      <w:r>
        <w:instrText xml:space="preserve"> ADDIN EN.CITE &lt;EndNote&gt;&lt;Cite&gt;&lt;Author&gt;Becker&lt;/Author&gt;&lt;Year&gt;1949&lt;/Year&gt;&lt;RecNum&gt;325&lt;/RecNum&gt;&lt;DisplayText&gt;Howard Becker, &amp;apos;The nature and consequences of black propaganda&amp;apos;, in: &lt;style face="italic"&gt;American Sociological Review, &lt;/style&gt;14 (1949), &lt;/DisplayText&gt;&lt;record&gt;&lt;rec-number&gt;325&lt;/rec-number&gt;&lt;foreign-keys&gt;&lt;key app="EN" db-id="2f5rvwawcsv2woetvw35fzwbdvvswerd0err"&gt;325&lt;/key&gt;&lt;/foreign-keys&gt;&lt;ref-type name="Journal Article"&gt;17&lt;/ref-type&gt;&lt;contributors&gt;&lt;authors&gt;&lt;author&gt;Becker, Howard&lt;/author&gt;&lt;/authors&gt;&lt;/contributors&gt;&lt;titles&gt;&lt;title&gt;The nature and consequences of black propaganda&lt;/title&gt;&lt;secondary-title&gt;American Sociological Review&lt;/secondary-title&gt;&lt;short-title&gt;The nature and consequences&lt;/short-title&gt;&lt;/titles&gt;&lt;periodical&gt;&lt;full-title&gt;American Sociological Review&lt;/full-title&gt;&lt;/periodical&gt;&lt;volume&gt;14&lt;/volume&gt;&lt;dates&gt;&lt;year&gt;1949&lt;/year&gt;&lt;/dates&gt;&lt;urls&gt;&lt;/urls&gt;&lt;/record&gt;&lt;/Cite&gt;&lt;/EndNote&gt;</w:instrText>
      </w:r>
      <w:r>
        <w:fldChar w:fldCharType="separate"/>
      </w:r>
      <w:r>
        <w:rPr>
          <w:noProof/>
        </w:rPr>
        <w:t xml:space="preserve">Howard Becker, 'The nature and consequences of black propaganda', in: </w:t>
      </w:r>
      <w:r w:rsidRPr="00FE10C7">
        <w:rPr>
          <w:i/>
          <w:noProof/>
        </w:rPr>
        <w:t xml:space="preserve">American Sociological Review, </w:t>
      </w:r>
      <w:r>
        <w:rPr>
          <w:noProof/>
        </w:rPr>
        <w:t xml:space="preserve">14 (1949), </w:t>
      </w:r>
      <w:r>
        <w:fldChar w:fldCharType="end"/>
      </w:r>
      <w:r>
        <w:t>pp. 221-235.</w:t>
      </w:r>
    </w:p>
  </w:footnote>
  <w:footnote w:id="412">
    <w:p w14:paraId="0765D656" w14:textId="4367676B"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p. 167.</w:t>
      </w:r>
    </w:p>
  </w:footnote>
  <w:footnote w:id="413">
    <w:p w14:paraId="68DC5577"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p. 15.</w:t>
      </w:r>
    </w:p>
  </w:footnote>
  <w:footnote w:id="414">
    <w:p w14:paraId="67C7A738" w14:textId="77777777" w:rsidR="00DE3AC9" w:rsidRPr="00CD0F65" w:rsidRDefault="00DE3AC9" w:rsidP="0048510E">
      <w:pPr>
        <w:pStyle w:val="FootnoteText"/>
      </w:pPr>
      <w:r>
        <w:rPr>
          <w:rStyle w:val="FootnoteReference"/>
        </w:rPr>
        <w:footnoteRef/>
      </w:r>
      <w:r>
        <w:t xml:space="preserve"> </w:t>
      </w:r>
      <w:r>
        <w:fldChar w:fldCharType="begin"/>
      </w:r>
      <w:r>
        <w:instrText xml:space="preserve"> ADDIN EN.CITE &lt;EndNote&gt;&lt;Cite&gt;&lt;Author&gt;Ellul&lt;/Author&gt;&lt;Year&gt;1973&lt;/Year&gt;&lt;RecNum&gt;47&lt;/RecNum&gt;&lt;DisplayText&gt;Ibid.&lt;/DisplayText&gt;&lt;record&gt;&lt;rec-number&gt;47&lt;/rec-number&gt;&lt;foreign-keys&gt;&lt;key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Pr>
          <w:noProof/>
        </w:rPr>
        <w:t>Ibid.</w:t>
      </w:r>
      <w:r>
        <w:fldChar w:fldCharType="end"/>
      </w:r>
      <w:r>
        <w:t>, p. 16.</w:t>
      </w:r>
    </w:p>
  </w:footnote>
  <w:footnote w:id="415">
    <w:p w14:paraId="71670C3F" w14:textId="77777777" w:rsidR="00DE3AC9" w:rsidRPr="009F7DA3" w:rsidRDefault="00DE3AC9" w:rsidP="0048510E">
      <w:pPr>
        <w:pStyle w:val="FootnoteText"/>
      </w:pPr>
      <w:r>
        <w:rPr>
          <w:rStyle w:val="FootnoteReference"/>
        </w:rPr>
        <w:footnoteRef/>
      </w:r>
      <w:r>
        <w:t xml:space="preserve"> </w:t>
      </w:r>
      <w:r>
        <w:fldChar w:fldCharType="begin"/>
      </w:r>
      <w: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Pr>
          <w:noProof/>
        </w:rPr>
        <w:t xml:space="preserve">Nicolai, </w:t>
      </w:r>
      <w:r w:rsidRPr="007B7627">
        <w:rPr>
          <w:i/>
          <w:noProof/>
        </w:rPr>
        <w:t>The German</w:t>
      </w:r>
      <w:r>
        <w:fldChar w:fldCharType="end"/>
      </w:r>
      <w:r>
        <w:t>, pp. 160-161.</w:t>
      </w:r>
    </w:p>
  </w:footnote>
  <w:footnote w:id="416">
    <w:p w14:paraId="194DC539" w14:textId="77777777" w:rsidR="00DE3AC9" w:rsidRPr="00E63F0F" w:rsidRDefault="00DE3AC9" w:rsidP="0048510E">
      <w:pPr>
        <w:pStyle w:val="FootnoteText"/>
      </w:pPr>
      <w:r>
        <w:rPr>
          <w:rStyle w:val="FootnoteReference"/>
        </w:rPr>
        <w:footnoteRef/>
      </w:r>
      <w:r>
        <w:t xml:space="preserve"> </w:t>
      </w:r>
      <w:r w:rsidRPr="00E63F0F">
        <w:t>SHT AT: 16N1570. Collection of pamphlets produced by t</w:t>
      </w:r>
      <w:r>
        <w:t>he SPA. 1915-1918.</w:t>
      </w:r>
    </w:p>
  </w:footnote>
  <w:footnote w:id="417">
    <w:p w14:paraId="5793EAC1" w14:textId="77777777" w:rsidR="00DE3AC9" w:rsidRPr="000236C8" w:rsidRDefault="00DE3AC9" w:rsidP="0048510E">
      <w:pPr>
        <w:pStyle w:val="FootnoteText"/>
      </w:pPr>
      <w:r>
        <w:rPr>
          <w:rStyle w:val="FootnoteReference"/>
        </w:rPr>
        <w:footnoteRef/>
      </w:r>
      <w:r w:rsidRPr="000236C8">
        <w:t xml:space="preserve"> </w:t>
      </w:r>
      <w: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rsidRPr="000236C8">
        <w:t>, pp. 110-111.</w:t>
      </w:r>
    </w:p>
  </w:footnote>
  <w:footnote w:id="418">
    <w:p w14:paraId="60A1E027" w14:textId="77777777" w:rsidR="00DE3AC9" w:rsidRPr="009F7DA3" w:rsidRDefault="00DE3AC9" w:rsidP="0048510E">
      <w:pPr>
        <w:pStyle w:val="FootnoteText"/>
      </w:pPr>
      <w:r>
        <w:rPr>
          <w:rStyle w:val="FootnoteReference"/>
        </w:rPr>
        <w:footnoteRef/>
      </w:r>
      <w:r>
        <w:t xml:space="preserve"> SHD AA: 1A176. Report by Colonel Valantin to the war minister quoting a previous report by General Joffre about aerial propaganda. </w:t>
      </w:r>
      <w:r w:rsidRPr="009F7DA3">
        <w:t xml:space="preserve">29 October 1915. </w:t>
      </w:r>
    </w:p>
  </w:footnote>
  <w:footnote w:id="419">
    <w:p w14:paraId="3D21238A" w14:textId="77777777" w:rsidR="00DE3AC9" w:rsidRPr="00C37FA0" w:rsidRDefault="00DE3AC9" w:rsidP="0048510E">
      <w:pPr>
        <w:pStyle w:val="FootnoteText"/>
      </w:pPr>
      <w:r>
        <w:rPr>
          <w:rStyle w:val="FootnoteReference"/>
        </w:rPr>
        <w:footnoteRef/>
      </w:r>
      <w:r>
        <w:t xml:space="preserve"> </w:t>
      </w:r>
      <w:r>
        <w:fldChar w:fldCharType="begin"/>
      </w:r>
      <w:r>
        <w:instrText xml:space="preserve"> ADDIN EN.CITE &lt;EndNote&gt;&lt;Cite&gt;&lt;Author&gt;Kramer&lt;/Author&gt;&lt;Year&gt;2007&lt;/Year&gt;&lt;RecNum&gt;120&lt;/RecNum&gt;&lt;DisplayText&gt;Kramer, &lt;style face="italic"&gt;Dynamic&lt;/style&gt;&lt;/DisplayText&gt;&lt;record&gt;&lt;rec-number&gt;120&lt;/rec-number&gt;&lt;foreign-keys&gt;&lt;key app="EN" db-id="2f5rvwawcsv2woetvw35fzwbdvvswerd0err"&gt;120&lt;/key&gt;&lt;/foreign-keys&gt;&lt;ref-type name="Book"&gt;6&lt;/ref-type&gt;&lt;contributors&gt;&lt;authors&gt;&lt;author&gt;Kramer, Alan&lt;/author&gt;&lt;/authors&gt;&lt;/contributors&gt;&lt;titles&gt;&lt;title&gt;Dynamic of destruction: culture and mass killing in the First World War&lt;/title&gt;&lt;short-title&gt;Dynamic&lt;/short-title&gt;&lt;/titles&gt;&lt;dates&gt;&lt;year&gt;2007&lt;/year&gt;&lt;/dates&gt;&lt;pub-location&gt;Oxford&lt;/pub-location&gt;&lt;urls&gt;&lt;/urls&gt;&lt;/record&gt;&lt;/Cite&gt;&lt;/EndNote&gt;</w:instrText>
      </w:r>
      <w:r>
        <w:fldChar w:fldCharType="separate"/>
      </w:r>
      <w:r>
        <w:rPr>
          <w:noProof/>
        </w:rPr>
        <w:t xml:space="preserve">Kramer, </w:t>
      </w:r>
      <w:r w:rsidRPr="00824CCA">
        <w:rPr>
          <w:i/>
          <w:noProof/>
        </w:rPr>
        <w:t>Dynamic</w:t>
      </w:r>
      <w:r>
        <w:fldChar w:fldCharType="end"/>
      </w:r>
      <w:r>
        <w:t>, p. 99.</w:t>
      </w:r>
    </w:p>
  </w:footnote>
  <w:footnote w:id="420">
    <w:p w14:paraId="3B5D4A23" w14:textId="151CAE17" w:rsidR="00DE3AC9" w:rsidRPr="00CD0F65" w:rsidRDefault="00DE3AC9" w:rsidP="0048510E">
      <w:pPr>
        <w:pStyle w:val="FootnoteText"/>
      </w:pPr>
      <w:r>
        <w:rPr>
          <w:rStyle w:val="FootnoteReference"/>
        </w:rPr>
        <w:footnoteRef/>
      </w:r>
      <w:r>
        <w:t xml:space="preserve"> </w:t>
      </w:r>
      <w:r>
        <w:fldChar w:fldCharType="begin"/>
      </w:r>
      <w: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Pr>
          <w:noProof/>
        </w:rPr>
        <w:t xml:space="preserve">Ellul, </w:t>
      </w:r>
      <w:r w:rsidRPr="007B7627">
        <w:rPr>
          <w:i/>
          <w:noProof/>
        </w:rPr>
        <w:t>Propaganda</w:t>
      </w:r>
      <w:r>
        <w:fldChar w:fldCharType="end"/>
      </w:r>
      <w:r>
        <w:t xml:space="preserve">, pp. 152-163 and </w:t>
      </w:r>
      <w: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Lasswell, </w:t>
      </w:r>
      <w:r w:rsidRPr="007B7627">
        <w:rPr>
          <w:i/>
          <w:noProof/>
        </w:rPr>
        <w:t>Propaganda</w:t>
      </w:r>
      <w:r>
        <w:fldChar w:fldCharType="end"/>
      </w:r>
      <w:r>
        <w:t>, p. 47.</w:t>
      </w:r>
    </w:p>
  </w:footnote>
  <w:footnote w:id="421">
    <w:p w14:paraId="04F1F4DD" w14:textId="77777777" w:rsidR="00DE3AC9" w:rsidRPr="00CD0F65" w:rsidRDefault="00DE3AC9" w:rsidP="0048510E">
      <w:pPr>
        <w:pStyle w:val="FootnoteText"/>
      </w:pPr>
      <w:r>
        <w:rPr>
          <w:rStyle w:val="FootnoteReference"/>
        </w:rPr>
        <w:footnoteRef/>
      </w:r>
      <w:r>
        <w:t xml:space="preserve">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Pr>
          <w:noProof/>
        </w:rPr>
        <w:t xml:space="preserve">Jowett and O'Donnell, </w:t>
      </w:r>
      <w:r w:rsidRPr="007B7627">
        <w:rPr>
          <w:i/>
          <w:noProof/>
        </w:rPr>
        <w:t>Propaganda</w:t>
      </w:r>
      <w:r>
        <w:fldChar w:fldCharType="end"/>
      </w:r>
      <w:r>
        <w:t>, p. 166.</w:t>
      </w:r>
    </w:p>
  </w:footnote>
  <w:footnote w:id="422">
    <w:p w14:paraId="514B7516" w14:textId="77777777" w:rsidR="00DE3AC9" w:rsidRPr="00CD0F65" w:rsidRDefault="00DE3AC9" w:rsidP="0048510E">
      <w:pPr>
        <w:pStyle w:val="FootnoteText"/>
      </w:pPr>
      <w:r>
        <w:rPr>
          <w:rStyle w:val="FootnoteReference"/>
        </w:rPr>
        <w:footnoteRef/>
      </w:r>
      <w:r>
        <w:t xml:space="preserve"> </w:t>
      </w:r>
      <w:r>
        <w:fldChar w:fldCharType="begin"/>
      </w:r>
      <w:r>
        <w:instrText xml:space="preserve"> ADDIN EN.CITE &lt;EndNote&gt;&lt;Cite&gt;&lt;Author&gt;Chakotin&lt;/Author&gt;&lt;Year&gt;1940&lt;/Year&gt;&lt;RecNum&gt;25&lt;/RecNum&gt;&lt;DisplayText&gt;Chakotin, &lt;style face="italic"&gt;The rape&lt;/style&gt;&lt;/DisplayText&gt;&lt;record&gt;&lt;rec-number&gt;25&lt;/rec-number&gt;&lt;foreign-keys&gt;&lt;key app="EN" db-id="2f5rvwawcsv2woetvw35fzwbdvvswerd0err"&gt;25&lt;/key&gt;&lt;/foreign-keys&gt;&lt;ref-type name="Book"&gt;6&lt;/ref-type&gt;&lt;contributors&gt;&lt;authors&gt;&lt;author&gt;Chakotin, Serge&lt;/author&gt;&lt;/authors&gt;&lt;/contributors&gt;&lt;titles&gt;&lt;title&gt;The rape of the masses: psychology of totalitarian political propaganda&lt;/title&gt;&lt;short-title&gt;The rape&lt;/short-title&gt;&lt;/titles&gt;&lt;dates&gt;&lt;year&gt;1940&lt;/year&gt;&lt;/dates&gt;&lt;pub-location&gt;London&lt;/pub-location&gt;&lt;publisher&gt;The Labour Book Service&lt;/publisher&gt;&lt;urls&gt;&lt;/urls&gt;&lt;/record&gt;&lt;/Cite&gt;&lt;/EndNote&gt;</w:instrText>
      </w:r>
      <w:r>
        <w:fldChar w:fldCharType="separate"/>
      </w:r>
      <w:r>
        <w:rPr>
          <w:noProof/>
        </w:rPr>
        <w:t xml:space="preserve">Chakotin, </w:t>
      </w:r>
      <w:r w:rsidRPr="00824CCA">
        <w:rPr>
          <w:i/>
          <w:noProof/>
        </w:rPr>
        <w:t>The rape</w:t>
      </w:r>
      <w:r>
        <w:fldChar w:fldCharType="end"/>
      </w:r>
      <w:r>
        <w:t>, p. 86.</w:t>
      </w:r>
    </w:p>
  </w:footnote>
  <w:footnote w:id="423">
    <w:p w14:paraId="56D7ACAD" w14:textId="24E02869" w:rsidR="00DE3AC9" w:rsidRPr="007B0BC1" w:rsidRDefault="00DE3AC9" w:rsidP="0048510E">
      <w:pPr>
        <w:pStyle w:val="FootnoteText"/>
      </w:pPr>
      <w:r>
        <w:rPr>
          <w:rStyle w:val="FootnoteReference"/>
        </w:rPr>
        <w:footnoteRef/>
      </w:r>
      <w:r w:rsidRPr="007B0BC1">
        <w:t xml:space="preserve"> See for example: </w:t>
      </w:r>
      <w:r w:rsidRPr="007B0BC1">
        <w:rPr>
          <w:i/>
          <w:iCs/>
        </w:rPr>
        <w:t xml:space="preserve">La Gazette des Ardennes illustrée </w:t>
      </w:r>
      <w:r w:rsidRPr="007B0BC1">
        <w:t>(French fake), 1 March 1916.</w:t>
      </w:r>
    </w:p>
  </w:footnote>
  <w:footnote w:id="424">
    <w:p w14:paraId="2B0840F7" w14:textId="77777777" w:rsidR="00DE3AC9" w:rsidRPr="007B0BC1" w:rsidRDefault="00DE3AC9" w:rsidP="0048510E">
      <w:pPr>
        <w:pStyle w:val="FootnoteText"/>
      </w:pPr>
      <w:r>
        <w:rPr>
          <w:rStyle w:val="FootnoteReference"/>
        </w:rPr>
        <w:footnoteRef/>
      </w:r>
      <w:r>
        <w:t xml:space="preserve"> </w:t>
      </w:r>
      <w:r>
        <w:fldChar w:fldCharType="begin"/>
      </w:r>
      <w:r>
        <w:instrText xml:space="preserve"> ADDIN EN.CITE &lt;EndNote&gt;&lt;Cite&gt;&lt;Author&gt;Philippe&lt;/Author&gt;&lt;Year&gt;1980&lt;/Year&gt;&lt;RecNum&gt;118&lt;/RecNum&gt;&lt;DisplayText&gt;Philippe, &lt;style face="italic"&gt;Political&lt;/style&gt;&lt;/DisplayText&gt;&lt;record&gt;&lt;rec-number&gt;118&lt;/rec-number&gt;&lt;foreign-keys&gt;&lt;key app="EN" db-id="2f5rvwawcsv2woetvw35fzwbdvvswerd0err"&gt;118&lt;/key&gt;&lt;/foreign-keys&gt;&lt;ref-type name="Book"&gt;6&lt;/ref-type&gt;&lt;contributors&gt;&lt;authors&gt;&lt;author&gt;Philippe, Robert&lt;/author&gt;&lt;/authors&gt;&lt;/contributors&gt;&lt;titles&gt;&lt;title&gt;Political graphics: art as a weapon&lt;/title&gt;&lt;short-title&gt;Political&lt;/short-title&gt;&lt;/titles&gt;&lt;dates&gt;&lt;year&gt;1980&lt;/year&gt;&lt;/dates&gt;&lt;pub-location&gt;Oxford&lt;/pub-location&gt;&lt;urls&gt;&lt;/urls&gt;&lt;/record&gt;&lt;/Cite&gt;&lt;/EndNote&gt;</w:instrText>
      </w:r>
      <w:r>
        <w:fldChar w:fldCharType="separate"/>
      </w:r>
      <w:r>
        <w:rPr>
          <w:noProof/>
        </w:rPr>
        <w:t xml:space="preserve">Philippe, </w:t>
      </w:r>
      <w:r w:rsidRPr="007B7627">
        <w:rPr>
          <w:i/>
          <w:noProof/>
        </w:rPr>
        <w:t>Political</w:t>
      </w:r>
      <w:r>
        <w:fldChar w:fldCharType="end"/>
      </w:r>
      <w:r>
        <w:t>, p. 9.</w:t>
      </w:r>
    </w:p>
  </w:footnote>
  <w:footnote w:id="425">
    <w:p w14:paraId="4F1B6689" w14:textId="77777777" w:rsidR="00DE3AC9" w:rsidRPr="00080F90" w:rsidRDefault="00DE3AC9" w:rsidP="007D5EBA">
      <w:pPr>
        <w:pStyle w:val="FootnoteText"/>
      </w:pPr>
      <w:r>
        <w:rPr>
          <w:rStyle w:val="FootnoteReference"/>
        </w:rPr>
        <w:footnoteRef/>
      </w:r>
      <w:r w:rsidRPr="00080F90">
        <w:t xml:space="preserve"> </w:t>
      </w:r>
      <w:r>
        <w:fldChar w:fldCharType="begin"/>
      </w:r>
      <w:r w:rsidRPr="00080F90">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080F90">
        <w:rPr>
          <w:noProof/>
        </w:rPr>
        <w:t xml:space="preserve">Taylor, </w:t>
      </w:r>
      <w:r w:rsidRPr="00080F90">
        <w:rPr>
          <w:i/>
          <w:noProof/>
        </w:rPr>
        <w:t>Munitions</w:t>
      </w:r>
      <w:r>
        <w:fldChar w:fldCharType="end"/>
      </w:r>
      <w:r w:rsidRPr="00080F90">
        <w:t>, p. 6.</w:t>
      </w:r>
    </w:p>
  </w:footnote>
  <w:footnote w:id="426">
    <w:p w14:paraId="69398197" w14:textId="77777777" w:rsidR="00DE3AC9" w:rsidRPr="00080F90" w:rsidRDefault="00DE3AC9" w:rsidP="007D5EBA">
      <w:pPr>
        <w:pStyle w:val="FootnoteText"/>
      </w:pPr>
      <w:r>
        <w:rPr>
          <w:rStyle w:val="FootnoteReference"/>
        </w:rPr>
        <w:footnoteRef/>
      </w:r>
      <w:r w:rsidRPr="00080F90">
        <w:t xml:space="preserve"> </w:t>
      </w:r>
      <w:r>
        <w:fldChar w:fldCharType="begin"/>
      </w:r>
      <w:r w:rsidRPr="00080F90">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080F90">
        <w:rPr>
          <w:noProof/>
        </w:rPr>
        <w:t xml:space="preserve">Lasswell, </w:t>
      </w:r>
      <w:r w:rsidRPr="00080F90">
        <w:rPr>
          <w:i/>
          <w:noProof/>
        </w:rPr>
        <w:t>Propaganda</w:t>
      </w:r>
      <w:r>
        <w:fldChar w:fldCharType="end"/>
      </w:r>
      <w:r w:rsidRPr="00080F90">
        <w:t>, p. 47.</w:t>
      </w:r>
    </w:p>
  </w:footnote>
  <w:footnote w:id="427">
    <w:p w14:paraId="5E2D664E" w14:textId="77777777" w:rsidR="00DE3AC9" w:rsidRPr="00D5389B" w:rsidRDefault="00DE3AC9" w:rsidP="007D5EBA">
      <w:pPr>
        <w:pStyle w:val="FootnoteText"/>
        <w:rPr>
          <w:lang w:val="fr-FR"/>
        </w:rPr>
      </w:pPr>
      <w:r>
        <w:rPr>
          <w:rStyle w:val="FootnoteReference"/>
        </w:rPr>
        <w:footnoteRef/>
      </w:r>
      <w:r w:rsidRPr="00D5389B">
        <w:rPr>
          <w:lang w:val="fr-FR"/>
        </w:rPr>
        <w:t xml:space="preserve"> </w:t>
      </w:r>
      <w:r>
        <w:fldChar w:fldCharType="begin"/>
      </w:r>
      <w:r w:rsidRPr="00D5389B">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5389B">
        <w:rPr>
          <w:noProof/>
          <w:lang w:val="fr-FR"/>
        </w:rPr>
        <w:t xml:space="preserve">Ellul, </w:t>
      </w:r>
      <w:r w:rsidRPr="00D5389B">
        <w:rPr>
          <w:i/>
          <w:noProof/>
          <w:lang w:val="fr-FR"/>
        </w:rPr>
        <w:t>Propaganda</w:t>
      </w:r>
      <w:r>
        <w:fldChar w:fldCharType="end"/>
      </w:r>
      <w:r w:rsidRPr="00D5389B">
        <w:rPr>
          <w:lang w:val="fr-FR"/>
        </w:rPr>
        <w:t>, p. 133.</w:t>
      </w:r>
    </w:p>
  </w:footnote>
  <w:footnote w:id="428">
    <w:p w14:paraId="0EBAA01F" w14:textId="77777777" w:rsidR="00DE3AC9" w:rsidRPr="00D5389B" w:rsidRDefault="00DE3AC9" w:rsidP="007D5EBA">
      <w:pPr>
        <w:pStyle w:val="FootnoteText"/>
        <w:rPr>
          <w:lang w:val="fr-FR"/>
        </w:rPr>
      </w:pPr>
      <w:r>
        <w:rPr>
          <w:rStyle w:val="FootnoteReference"/>
        </w:rPr>
        <w:footnoteRef/>
      </w:r>
      <w:r w:rsidRPr="00D5389B">
        <w:rPr>
          <w:lang w:val="fr-FR"/>
        </w:rPr>
        <w:t xml:space="preserve"> </w:t>
      </w:r>
      <w:r>
        <w:rPr>
          <w:lang w:val="fr-FR"/>
        </w:rPr>
        <w:fldChar w:fldCharType="begin"/>
      </w:r>
      <w:r w:rsidRPr="00D5389B">
        <w:rPr>
          <w:lang w:val="fr-FR"/>
        </w:rPr>
        <w:instrText xml:space="preserve"> ADDIN EN.CITE &lt;EndNote&gt;&lt;Cite&gt;&lt;Author&gt;Corbin&lt;/Author&gt;&lt;Year&gt;2008&lt;/Year&gt;&lt;RecNum&gt;190&lt;/RecNum&gt;&lt;DisplayText&gt;Stéphane Corbin and Emmanuel Romain, &amp;apos;La propagande et l&amp;apos;usurpation de la démocratie&amp;apos;, in: &lt;style face="italic"&gt;La propagande: images, paroles et manipulation, &lt;/style&gt;ed. by A. Dorna, J. Quellien, and S. Simonnet (Paris, 2008),&lt;/DisplayText&gt;&lt;record&gt;&lt;rec-number&gt;190&lt;/rec-number&gt;&lt;foreign-keys&gt;&lt;key app="EN" db-id="2f5rvwawcsv2woetvw35fzwbdvvswerd0err"&gt;190&lt;/key&gt;&lt;/foreign-keys&gt;&lt;ref-type name="Book Section"&gt;5&lt;/ref-type&gt;&lt;contributors&gt;&lt;authors&gt;&lt;author&gt;Corbin, Stéphane&lt;/author&gt;&lt;author&gt;Romain, Emmanuel&lt;/author&gt;&lt;/authors&gt;&lt;secondary-authors&gt;&lt;author&gt;A. Dorna&lt;/author&gt;&lt;author&gt;J. Quellien&lt;/author&gt;&lt;author&gt;S. Simonnet&lt;/author&gt;&lt;/secondary-authors&gt;&lt;/contributors&gt;&lt;titles&gt;&lt;title&gt;La propagande et l&amp;apos;usurpation de la démocratie&lt;/title&gt;&lt;secondary-title&gt;La propagande: images, paroles et manipulation&lt;/secondary-title&gt;&lt;short-title&gt;La propagande&lt;/short-title&gt;&lt;/titles&gt;&lt;dates&gt;&lt;year&gt;2008&lt;/year&gt;&lt;/dates&gt;&lt;pub-location&gt;Paris&lt;/pub-location&gt;&lt;urls&gt;&lt;/urls&gt;&lt;/record&gt;&lt;/Cite&gt;&lt;/EndNote&gt;</w:instrText>
      </w:r>
      <w:r>
        <w:rPr>
          <w:lang w:val="fr-FR"/>
        </w:rPr>
        <w:fldChar w:fldCharType="separate"/>
      </w:r>
      <w:r w:rsidRPr="00D5389B">
        <w:rPr>
          <w:noProof/>
          <w:lang w:val="fr-FR"/>
        </w:rPr>
        <w:t xml:space="preserve">Stéphane Corbin and Emmanuel Romain, 'La propagande et l'usurpation de la démocratie', in: </w:t>
      </w:r>
      <w:r w:rsidRPr="00D5389B">
        <w:rPr>
          <w:i/>
          <w:noProof/>
          <w:lang w:val="fr-FR"/>
        </w:rPr>
        <w:t xml:space="preserve">La propagande: images, paroles et manipulation, </w:t>
      </w:r>
      <w:r w:rsidRPr="00D5389B">
        <w:rPr>
          <w:noProof/>
          <w:lang w:val="fr-FR"/>
        </w:rPr>
        <w:t>ed. by A. Dorna, J. Quellien, and S. Simonnet (Paris, 2008),</w:t>
      </w:r>
      <w:r>
        <w:rPr>
          <w:lang w:val="fr-FR"/>
        </w:rPr>
        <w:fldChar w:fldCharType="end"/>
      </w:r>
      <w:r w:rsidRPr="00D5389B">
        <w:rPr>
          <w:lang w:val="fr-FR"/>
        </w:rPr>
        <w:t xml:space="preserve"> p. 41.</w:t>
      </w:r>
    </w:p>
  </w:footnote>
  <w:footnote w:id="429">
    <w:p w14:paraId="289D7A50" w14:textId="77777777" w:rsidR="00DE3AC9" w:rsidRPr="00553CF7" w:rsidRDefault="00DE3AC9" w:rsidP="007D5EBA">
      <w:pPr>
        <w:pStyle w:val="FootnoteText"/>
        <w:rPr>
          <w:lang w:val="fr-FR"/>
        </w:rPr>
      </w:pPr>
      <w:r>
        <w:rPr>
          <w:rStyle w:val="FootnoteReference"/>
        </w:rPr>
        <w:footnoteRef/>
      </w:r>
      <w:r w:rsidRPr="00553CF7">
        <w:rPr>
          <w:lang w:val="fr-FR"/>
        </w:rPr>
        <w:t xml:space="preserve"> </w:t>
      </w:r>
      <w:r>
        <w:rPr>
          <w:lang w:val="fr-FR"/>
        </w:rP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Pr>
          <w:noProof/>
          <w:lang w:val="fr-FR"/>
        </w:rPr>
        <w:t xml:space="preserve">Laska, </w:t>
      </w:r>
      <w:r w:rsidRPr="007B7627">
        <w:rPr>
          <w:i/>
          <w:noProof/>
          <w:lang w:val="fr-FR"/>
        </w:rPr>
        <w:t>Presse</w:t>
      </w:r>
      <w:r>
        <w:rPr>
          <w:lang w:val="fr-FR"/>
        </w:rPr>
        <w:fldChar w:fldCharType="end"/>
      </w:r>
      <w:r>
        <w:rPr>
          <w:lang w:val="fr-FR"/>
        </w:rPr>
        <w:t>, p. 177.</w:t>
      </w:r>
    </w:p>
  </w:footnote>
  <w:footnote w:id="430">
    <w:p w14:paraId="3C6A199E" w14:textId="77777777" w:rsidR="00DE3AC9" w:rsidRPr="00C53343" w:rsidRDefault="00DE3AC9" w:rsidP="007D5EBA">
      <w:pPr>
        <w:pStyle w:val="FootnoteText"/>
      </w:pPr>
      <w:r>
        <w:rPr>
          <w:rStyle w:val="FootnoteReference"/>
        </w:rPr>
        <w:footnoteRef/>
      </w:r>
      <w:r w:rsidRPr="00A402AD">
        <w:rPr>
          <w:lang w:val="fr-FR"/>
        </w:rPr>
        <w:t xml:space="preserve"> </w:t>
      </w:r>
      <w:r>
        <w:rPr>
          <w:i/>
          <w:iCs/>
          <w:lang w:val="fr-FR"/>
        </w:rPr>
        <w:t xml:space="preserve">La Gazette des Ardennes, </w:t>
      </w:r>
      <w:r>
        <w:rPr>
          <w:lang w:val="fr-FR"/>
        </w:rPr>
        <w:t xml:space="preserve">1 November 1914. </w:t>
      </w:r>
      <w:r w:rsidRPr="00C53343">
        <w:t>The same subject was used on 20 December 1914.</w:t>
      </w:r>
    </w:p>
  </w:footnote>
  <w:footnote w:id="431">
    <w:p w14:paraId="4D6591F9" w14:textId="77777777" w:rsidR="00DE3AC9" w:rsidRPr="00CF2C00" w:rsidRDefault="00DE3AC9" w:rsidP="007D5EBA">
      <w:pPr>
        <w:pStyle w:val="FootnoteText"/>
      </w:pPr>
      <w:r>
        <w:rPr>
          <w:rStyle w:val="FootnoteReference"/>
        </w:rPr>
        <w:footnoteRef/>
      </w:r>
      <w:r w:rsidRPr="00CF2C00">
        <w:t xml:space="preserve"> </w:t>
      </w:r>
      <w:r>
        <w:rPr>
          <w:lang w:val="fr-FR"/>
        </w:rPr>
        <w:fldChar w:fldCharType="begin"/>
      </w:r>
      <w:r>
        <w:instrText xml:space="preserve"> ADDIN EN.CITE &lt;EndNote&gt;&lt;Cite&gt;&lt;Author&gt;Helmreich&lt;/Author&gt;&lt;Year&gt;1964&lt;/Year&gt;&lt;RecNum&gt;182&lt;/RecNum&gt;&lt;DisplayText&gt;Jonathan Helmreich, &amp;apos;Belgian concern over neutrality and British intentions, 1906-1914&amp;apos;, in: &lt;style face="italic"&gt;The Journal of Modern History, &lt;/style&gt;36 (1964), &lt;/DisplayText&gt;&lt;record&gt;&lt;rec-number&gt;182&lt;/rec-number&gt;&lt;foreign-keys&gt;&lt;key app="EN" db-id="2f5rvwawcsv2woetvw35fzwbdvvswerd0err"&gt;182&lt;/key&gt;&lt;/foreign-keys&gt;&lt;ref-type name="Journal Article"&gt;17&lt;/ref-type&gt;&lt;contributors&gt;&lt;authors&gt;&lt;author&gt;Helmreich, Jonathan&lt;/author&gt;&lt;/authors&gt;&lt;/contributors&gt;&lt;titles&gt;&lt;title&gt;Belgian concern over neutrality and British intentions, 1906-1914&lt;/title&gt;&lt;secondary-title&gt;The Journal of Modern History&lt;/secondary-title&gt;&lt;short-title&gt;Belgian&lt;/short-title&gt;&lt;/titles&gt;&lt;periodical&gt;&lt;full-title&gt;The Journal of Modern History&lt;/full-title&gt;&lt;/periodical&gt;&lt;volume&gt;36&lt;/volume&gt;&lt;number&gt;4&lt;/number&gt;&lt;dates&gt;&lt;year&gt;1964&lt;/year&gt;&lt;/dates&gt;&lt;urls&gt;&lt;/urls&gt;&lt;/record&gt;&lt;/Cite&gt;&lt;/EndNote&gt;</w:instrText>
      </w:r>
      <w:r>
        <w:rPr>
          <w:lang w:val="fr-FR"/>
        </w:rPr>
        <w:fldChar w:fldCharType="separate"/>
      </w:r>
      <w:r w:rsidRPr="00FD549B">
        <w:rPr>
          <w:noProof/>
        </w:rPr>
        <w:t xml:space="preserve">Jonathan Helmreich, 'Belgian concern over neutrality and British intentions, 1906-1914', in: </w:t>
      </w:r>
      <w:r w:rsidRPr="00FD549B">
        <w:rPr>
          <w:i/>
          <w:noProof/>
        </w:rPr>
        <w:t xml:space="preserve">The Journal of Modern History, </w:t>
      </w:r>
      <w:r w:rsidRPr="00FD549B">
        <w:rPr>
          <w:noProof/>
        </w:rPr>
        <w:t xml:space="preserve">36 (1964), </w:t>
      </w:r>
      <w:r>
        <w:rPr>
          <w:lang w:val="fr-FR"/>
        </w:rPr>
        <w:fldChar w:fldCharType="end"/>
      </w:r>
      <w:r w:rsidRPr="00CF2C00">
        <w:t>pp. 416-427.</w:t>
      </w:r>
    </w:p>
  </w:footnote>
  <w:footnote w:id="432">
    <w:p w14:paraId="4C9DD38D" w14:textId="77777777" w:rsidR="00DE3AC9" w:rsidRPr="008000FF" w:rsidRDefault="00DE3AC9" w:rsidP="007D5EBA">
      <w:pPr>
        <w:pStyle w:val="FootnoteText"/>
        <w:rPr>
          <w:lang w:val="fr-FR"/>
        </w:rPr>
      </w:pPr>
      <w:r>
        <w:rPr>
          <w:rStyle w:val="FootnoteReference"/>
        </w:rPr>
        <w:footnoteRef/>
      </w:r>
      <w:r w:rsidRPr="008000FF">
        <w:rPr>
          <w:lang w:val="fr-FR"/>
        </w:rPr>
        <w:t xml:space="preserve"> </w:t>
      </w:r>
      <w:r>
        <w:rPr>
          <w:i/>
          <w:iCs/>
          <w:lang w:val="fr-FR"/>
        </w:rPr>
        <w:t>La Gazette des Ardennes</w:t>
      </w:r>
      <w:r>
        <w:rPr>
          <w:lang w:val="fr-FR"/>
        </w:rPr>
        <w:t>, 29 November 1914.</w:t>
      </w:r>
    </w:p>
  </w:footnote>
  <w:footnote w:id="433">
    <w:p w14:paraId="5DC996BF" w14:textId="77777777" w:rsidR="00DE3AC9" w:rsidRPr="00306B57" w:rsidRDefault="00DE3AC9" w:rsidP="007D5EBA">
      <w:pPr>
        <w:pStyle w:val="FootnoteText"/>
        <w:rPr>
          <w:lang w:val="fr-FR"/>
        </w:rPr>
      </w:pPr>
      <w:r>
        <w:rPr>
          <w:rStyle w:val="FootnoteReference"/>
        </w:rPr>
        <w:footnoteRef/>
      </w:r>
      <w:r w:rsidRPr="00306B57">
        <w:rPr>
          <w:lang w:val="fr-FR"/>
        </w:rPr>
        <w:t xml:space="preserve"> </w:t>
      </w:r>
      <w:r>
        <w:rPr>
          <w:i/>
          <w:iCs/>
          <w:lang w:val="fr-FR"/>
        </w:rPr>
        <w:t>La Gazette des Ardennes illustrée</w:t>
      </w:r>
      <w:r>
        <w:rPr>
          <w:lang w:val="fr-FR"/>
        </w:rPr>
        <w:t>, 21 April 1918.</w:t>
      </w:r>
    </w:p>
  </w:footnote>
  <w:footnote w:id="434">
    <w:p w14:paraId="19A90504" w14:textId="77777777" w:rsidR="00DE3AC9" w:rsidRPr="00E34DB8" w:rsidRDefault="00DE3AC9" w:rsidP="007D5EBA">
      <w:pPr>
        <w:pStyle w:val="FootnoteText"/>
        <w:rPr>
          <w:lang w:val="fr-FR"/>
        </w:rPr>
      </w:pPr>
      <w:r>
        <w:rPr>
          <w:rStyle w:val="FootnoteReference"/>
        </w:rPr>
        <w:footnoteRef/>
      </w:r>
      <w:r w:rsidRPr="00E34DB8">
        <w:rPr>
          <w:lang w:val="fr-FR"/>
        </w:rPr>
        <w:t xml:space="preserve"> </w:t>
      </w:r>
      <w:r>
        <w:rPr>
          <w:i/>
          <w:iCs/>
          <w:lang w:val="fr-FR"/>
        </w:rPr>
        <w:t>La Gazette des Ardennes</w:t>
      </w:r>
      <w:r>
        <w:rPr>
          <w:lang w:val="fr-FR"/>
        </w:rPr>
        <w:t>, 27 January 1918.</w:t>
      </w:r>
    </w:p>
  </w:footnote>
  <w:footnote w:id="435">
    <w:p w14:paraId="043225F3" w14:textId="77777777" w:rsidR="00DE3AC9" w:rsidRPr="00E34DB8" w:rsidRDefault="00DE3AC9" w:rsidP="007D5EBA">
      <w:pPr>
        <w:pStyle w:val="FootnoteText"/>
        <w:rPr>
          <w:lang w:val="fr-FR"/>
        </w:rPr>
      </w:pPr>
      <w:r>
        <w:rPr>
          <w:rStyle w:val="FootnoteReference"/>
        </w:rPr>
        <w:footnoteRef/>
      </w:r>
      <w:r w:rsidRPr="00E34DB8">
        <w:rPr>
          <w:lang w:val="fr-FR"/>
        </w:rPr>
        <w:t xml:space="preserve"> </w:t>
      </w:r>
      <w:r>
        <w:rPr>
          <w:i/>
          <w:iCs/>
          <w:lang w:val="fr-FR"/>
        </w:rPr>
        <w:t>La Gazette des Ardennes</w:t>
      </w:r>
      <w:r>
        <w:rPr>
          <w:lang w:val="fr-FR"/>
        </w:rPr>
        <w:t>, 16 April 1915.</w:t>
      </w:r>
    </w:p>
  </w:footnote>
  <w:footnote w:id="436">
    <w:p w14:paraId="12E6974C" w14:textId="77777777" w:rsidR="00DE3AC9" w:rsidRPr="00C54460" w:rsidRDefault="00DE3AC9" w:rsidP="007D5EBA">
      <w:pPr>
        <w:pStyle w:val="FootnoteText"/>
        <w:rPr>
          <w:lang w:val="sv-SE"/>
        </w:rPr>
      </w:pPr>
      <w:r>
        <w:rPr>
          <w:rStyle w:val="FootnoteReference"/>
        </w:rPr>
        <w:footnoteRef/>
      </w:r>
      <w:r w:rsidRPr="00C54460">
        <w:rPr>
          <w:lang w:val="sv-SE"/>
        </w:rPr>
        <w:t xml:space="preserve"> </w:t>
      </w:r>
      <w:r>
        <w:rPr>
          <w:lang w:val="fr-FR"/>
        </w:rPr>
        <w:fldChar w:fldCharType="begin"/>
      </w:r>
      <w:r w:rsidRPr="00C54460">
        <w:rPr>
          <w:lang w:val="sv-SE"/>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C54460">
        <w:rPr>
          <w:noProof/>
          <w:lang w:val="sv-SE"/>
        </w:rPr>
        <w:t xml:space="preserve">Laska, </w:t>
      </w:r>
      <w:r w:rsidRPr="00C54460">
        <w:rPr>
          <w:i/>
          <w:noProof/>
          <w:lang w:val="sv-SE"/>
        </w:rPr>
        <w:t>Presse</w:t>
      </w:r>
      <w:r>
        <w:rPr>
          <w:lang w:val="fr-FR"/>
        </w:rPr>
        <w:fldChar w:fldCharType="end"/>
      </w:r>
      <w:r w:rsidRPr="00C54460">
        <w:rPr>
          <w:lang w:val="sv-SE"/>
        </w:rPr>
        <w:t>, p. 195.</w:t>
      </w:r>
    </w:p>
  </w:footnote>
  <w:footnote w:id="437">
    <w:p w14:paraId="3347050B" w14:textId="77777777" w:rsidR="00DE3AC9" w:rsidRPr="00C54460" w:rsidRDefault="00DE3AC9" w:rsidP="007D5EBA">
      <w:pPr>
        <w:pStyle w:val="FootnoteText"/>
        <w:rPr>
          <w:lang w:val="sv-SE"/>
        </w:rPr>
      </w:pPr>
      <w:r>
        <w:rPr>
          <w:rStyle w:val="FootnoteReference"/>
        </w:rPr>
        <w:footnoteRef/>
      </w:r>
      <w:r w:rsidRPr="00C54460">
        <w:rPr>
          <w:lang w:val="sv-SE"/>
        </w:rPr>
        <w:t xml:space="preserve"> </w:t>
      </w:r>
      <w:r>
        <w:rPr>
          <w:lang w:val="fr-FR"/>
        </w:rPr>
        <w:fldChar w:fldCharType="begin"/>
      </w:r>
      <w:r w:rsidRPr="00C54460">
        <w:rPr>
          <w:lang w:val="sv-SE"/>
        </w:rPr>
        <w:instrText xml:space="preserve"> ADDIN EN.CITE &lt;EndNote&gt;&lt;Cite&gt;&lt;Author&gt;Schaepdrijver&lt;/Author&gt;&lt;Year&gt;1999&lt;/Year&gt;&lt;RecNum&gt;64&lt;/RecNum&gt;&lt;DisplayText&gt;de Schaepdrijver, &lt;style face="italic"&gt;Occupation&lt;/style&gt;&lt;/DisplayText&gt;&lt;record&gt;&lt;rec-number&gt;64&lt;/rec-number&gt;&lt;foreign-keys&gt;&lt;key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rPr>
          <w:lang w:val="fr-FR"/>
        </w:rPr>
        <w:fldChar w:fldCharType="separate"/>
      </w:r>
      <w:r w:rsidRPr="00C54460">
        <w:rPr>
          <w:noProof/>
          <w:lang w:val="sv-SE"/>
        </w:rPr>
        <w:t xml:space="preserve">de Schaepdrijver, </w:t>
      </w:r>
      <w:r w:rsidRPr="00C54460">
        <w:rPr>
          <w:i/>
          <w:noProof/>
          <w:lang w:val="sv-SE"/>
        </w:rPr>
        <w:t>Occupation</w:t>
      </w:r>
      <w:r>
        <w:rPr>
          <w:lang w:val="fr-FR"/>
        </w:rPr>
        <w:fldChar w:fldCharType="end"/>
      </w:r>
      <w:r w:rsidRPr="00B54A2B">
        <w:rPr>
          <w:lang w:val="sv-SE"/>
        </w:rPr>
        <w:t>,</w:t>
      </w:r>
      <w:r w:rsidRPr="00C54460">
        <w:rPr>
          <w:lang w:val="sv-SE"/>
        </w:rPr>
        <w:t xml:space="preserve"> p. 281.</w:t>
      </w:r>
    </w:p>
  </w:footnote>
  <w:footnote w:id="438">
    <w:p w14:paraId="469946F2" w14:textId="77777777" w:rsidR="00DE3AC9" w:rsidRPr="00C54460" w:rsidRDefault="00DE3AC9" w:rsidP="007D5EBA">
      <w:pPr>
        <w:pStyle w:val="FootnoteText"/>
        <w:rPr>
          <w:lang w:val="sv-SE"/>
        </w:rPr>
      </w:pPr>
      <w:r>
        <w:rPr>
          <w:rStyle w:val="FootnoteReference"/>
        </w:rPr>
        <w:footnoteRef/>
      </w:r>
      <w:r w:rsidRPr="00C54460">
        <w:rPr>
          <w:lang w:val="sv-SE"/>
        </w:rPr>
        <w:t xml:space="preserve"> </w:t>
      </w:r>
      <w:r>
        <w:rPr>
          <w:lang w:val="fr-FR"/>
        </w:rPr>
        <w:fldChar w:fldCharType="begin"/>
      </w:r>
      <w:r w:rsidRPr="00C54460">
        <w:rPr>
          <w:lang w:val="sv-SE"/>
        </w:rPr>
        <w:instrText xml:space="preserve"> ADDIN EN.CITE &lt;EndNote&gt;&lt;Cite&gt;&lt;Author&gt;Schaepdrijver&lt;/Author&gt;&lt;Year&gt;1999&lt;/Year&gt;&lt;RecNum&gt;64&lt;/RecNum&gt;&lt;DisplayText&gt;Ibid.&lt;/DisplayText&gt;&lt;record&gt;&lt;rec-number&gt;64&lt;/rec-number&gt;&lt;foreign-keys&gt;&lt;key app="EN" db-id="2f5rvwawcsv2woetvw35fzwbdvvswerd0err"&gt;64&lt;/key&gt;&lt;/foreign-keys&gt;&lt;ref-type name="Book Section"&gt;5&lt;/ref-type&gt;&lt;contributors&gt;&lt;authors&gt;&lt;author&gt;de Schaepdrijver, Sophie&lt;/author&gt;&lt;/authors&gt;&lt;secondary-authors&gt;&lt;author&gt;A. Roshwald&lt;/author&gt;&lt;author&gt;R. Stites&lt;/author&gt;&lt;/secondary-authors&gt;&lt;/contributors&gt;&lt;titles&gt;&lt;title&gt;Occupation, propaganda and the idea of Belgium&lt;/title&gt;&lt;secondary-title&gt;European culture in the Great War&lt;/secondary-title&gt;&lt;short-title&gt;Occupation&lt;/short-title&gt;&lt;/titles&gt;&lt;dates&gt;&lt;year&gt;1999&lt;/year&gt;&lt;/dates&gt;&lt;pub-location&gt;Cambridge&lt;/pub-location&gt;&lt;urls&gt;&lt;/urls&gt;&lt;/record&gt;&lt;/Cite&gt;&lt;/EndNote&gt;</w:instrText>
      </w:r>
      <w:r>
        <w:rPr>
          <w:lang w:val="fr-FR"/>
        </w:rPr>
        <w:fldChar w:fldCharType="separate"/>
      </w:r>
      <w:r w:rsidRPr="00C54460">
        <w:rPr>
          <w:noProof/>
          <w:lang w:val="sv-SE"/>
        </w:rPr>
        <w:t>Ibid.</w:t>
      </w:r>
      <w:r>
        <w:rPr>
          <w:lang w:val="fr-FR"/>
        </w:rPr>
        <w:fldChar w:fldCharType="end"/>
      </w:r>
      <w:r w:rsidRPr="00C54460">
        <w:rPr>
          <w:lang w:val="sv-SE"/>
        </w:rPr>
        <w:t>, pp. 281-283.</w:t>
      </w:r>
    </w:p>
  </w:footnote>
  <w:footnote w:id="439">
    <w:p w14:paraId="0143847D" w14:textId="77777777" w:rsidR="00DE3AC9" w:rsidRPr="004F0A24" w:rsidRDefault="00DE3AC9" w:rsidP="007D5EBA">
      <w:pPr>
        <w:pStyle w:val="FootnoteText"/>
      </w:pPr>
      <w:r>
        <w:rPr>
          <w:rStyle w:val="FootnoteReference"/>
        </w:rPr>
        <w:footnoteRef/>
      </w:r>
      <w:r w:rsidRPr="004F0A24">
        <w:t xml:space="preserve"> </w:t>
      </w:r>
      <w:r>
        <w:rPr>
          <w:lang w:val="fr-FR"/>
        </w:rPr>
        <w:fldChar w:fldCharType="begin"/>
      </w:r>
      <w:r w:rsidRPr="004F0A24">
        <w:instrText xml:space="preserve"> ADDIN EN.CITE &lt;EndNote&gt;&lt;Cite&gt;&lt;Author&gt;Delforge&lt;/Author&gt;&lt;Year&gt;2008&lt;/Year&gt;&lt;RecNum&gt;164&lt;/RecNum&gt;&lt;DisplayText&gt;Delforge, &lt;style face="italic"&gt;La Wallonie&lt;/style&gt;&lt;/DisplayText&gt;&lt;record&gt;&lt;rec-number&gt;164&lt;/rec-number&gt;&lt;foreign-keys&gt;&lt;key app="EN" db-id="2f5rvwawcsv2woetvw35fzwbdvvswerd0err"&gt;164&lt;/key&gt;&lt;/foreign-keys&gt;&lt;ref-type name="Book"&gt;6&lt;/ref-type&gt;&lt;contributors&gt;&lt;authors&gt;&lt;author&gt;Delforge, Paul&lt;/author&gt;&lt;/authors&gt;&lt;/contributors&gt;&lt;titles&gt;&lt;title&gt;La Wallonie et la Première Guerre Mondiale&lt;/title&gt;&lt;short-title&gt;La Wallonie&lt;/short-title&gt;&lt;/titles&gt;&lt;dates&gt;&lt;year&gt;2008&lt;/year&gt;&lt;/dates&gt;&lt;pub-location&gt;Namur&lt;/pub-location&gt;&lt;urls&gt;&lt;/urls&gt;&lt;/record&gt;&lt;/Cite&gt;&lt;/EndNote&gt;</w:instrText>
      </w:r>
      <w:r>
        <w:rPr>
          <w:lang w:val="fr-FR"/>
        </w:rPr>
        <w:fldChar w:fldCharType="separate"/>
      </w:r>
      <w:r w:rsidRPr="004F0A24">
        <w:rPr>
          <w:noProof/>
        </w:rPr>
        <w:t xml:space="preserve">Delforge, </w:t>
      </w:r>
      <w:r w:rsidRPr="004F0A24">
        <w:rPr>
          <w:i/>
          <w:noProof/>
        </w:rPr>
        <w:t>La Wallonie</w:t>
      </w:r>
      <w:r>
        <w:rPr>
          <w:lang w:val="fr-FR"/>
        </w:rPr>
        <w:fldChar w:fldCharType="end"/>
      </w:r>
      <w:r w:rsidRPr="004F0A24">
        <w:t>, p. 196.</w:t>
      </w:r>
    </w:p>
  </w:footnote>
  <w:footnote w:id="440">
    <w:p w14:paraId="163E6955" w14:textId="77777777" w:rsidR="00DE3AC9" w:rsidRPr="004F0A24" w:rsidRDefault="00DE3AC9" w:rsidP="007D5EBA">
      <w:pPr>
        <w:pStyle w:val="FootnoteText"/>
      </w:pPr>
      <w:r>
        <w:rPr>
          <w:rStyle w:val="FootnoteReference"/>
        </w:rPr>
        <w:footnoteRef/>
      </w:r>
      <w:r w:rsidRPr="004F0A24">
        <w:t xml:space="preserve"> See </w:t>
      </w:r>
      <w:r>
        <w:fldChar w:fldCharType="begin"/>
      </w:r>
      <w:r w:rsidRPr="004F0A24">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4F0A24">
        <w:rPr>
          <w:noProof/>
        </w:rPr>
        <w:t xml:space="preserve">Nivet, </w:t>
      </w:r>
      <w:r w:rsidRPr="004F0A24">
        <w:rPr>
          <w:i/>
          <w:noProof/>
        </w:rPr>
        <w:t>La France</w:t>
      </w:r>
      <w:r>
        <w:fldChar w:fldCharType="end"/>
      </w:r>
      <w:r>
        <w:t>,</w:t>
      </w:r>
      <w:r w:rsidRPr="004F0A24">
        <w:t xml:space="preserve"> for more details about conditions of living in occupied territories.</w:t>
      </w:r>
    </w:p>
  </w:footnote>
  <w:footnote w:id="441">
    <w:p w14:paraId="735BA503" w14:textId="77777777" w:rsidR="00DE3AC9" w:rsidRPr="00DE3AC9" w:rsidRDefault="00DE3AC9" w:rsidP="007D5EBA">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&lt;EndNote&gt;&lt;Cite&gt;&lt;Author&gt;Audoin-Rouzeau&lt;/Author&gt;&lt;Year&gt;2002&lt;/Year&gt;&lt;RecNum&gt;29&lt;/RecNum&gt;&lt;DisplayText&gt;Audoin-Rouzeau and Becker, &lt;style face="italic"&gt;Understanding&lt;/style&gt;&lt;/DisplayText&gt;&lt;record&gt;&lt;rec-number&gt;29&lt;/rec-number&gt;&lt;foreign-keys&gt;&lt;key app="EN" db-id="2f5rvwawcsv2woetvw35fzwbdvvswerd0err"&gt;29&lt;/key&gt;&lt;/foreign-keys&gt;&lt;ref-type name="Book"&gt;6&lt;/ref-type&gt;&lt;contributors&gt;&lt;authors&gt;&lt;author&gt;Audoin-Rouzeau, Stéphane&lt;/author&gt;&lt;author&gt;Becker, Annette&lt;/author&gt;&lt;/authors&gt;&lt;/contributors&gt;&lt;titles&gt;&lt;title&gt;1914-1918: Understanding the Great War&lt;/title&gt;&lt;short-title&gt;Understanding&lt;/short-title&gt;&lt;/titles&gt;&lt;dates&gt;&lt;year&gt;2002&lt;/year&gt;&lt;/dates&gt;&lt;pub-location&gt;London&lt;/pub-location&gt;&lt;publisher&gt;Profile Books&lt;/publisher&gt;&lt;urls&gt;&lt;/urls&gt;&lt;/record&gt;&lt;/Cite&gt;&lt;/EndNote&gt;</w:instrText>
      </w:r>
      <w:r>
        <w:rPr>
          <w:lang w:val="fr-FR"/>
        </w:rPr>
        <w:fldChar w:fldCharType="separate"/>
      </w:r>
      <w:r w:rsidRPr="00DE3AC9">
        <w:rPr>
          <w:noProof/>
          <w:lang w:val="fr-FR"/>
        </w:rPr>
        <w:t xml:space="preserve">Audoin-Rouzeau and Becker, </w:t>
      </w:r>
      <w:r w:rsidRPr="00DE3AC9">
        <w:rPr>
          <w:i/>
          <w:noProof/>
          <w:lang w:val="fr-FR"/>
        </w:rPr>
        <w:t>Understanding</w:t>
      </w:r>
      <w:r>
        <w:rPr>
          <w:lang w:val="fr-FR"/>
        </w:rPr>
        <w:fldChar w:fldCharType="end"/>
      </w:r>
      <w:r w:rsidRPr="00DE3AC9">
        <w:rPr>
          <w:lang w:val="fr-FR"/>
        </w:rPr>
        <w:t>, p. 59.</w:t>
      </w:r>
    </w:p>
  </w:footnote>
  <w:footnote w:id="442">
    <w:p w14:paraId="1DD66635" w14:textId="77777777" w:rsidR="00DE3AC9" w:rsidRPr="00583918" w:rsidRDefault="00DE3AC9" w:rsidP="007D5EBA">
      <w:pPr>
        <w:pStyle w:val="FootnoteText"/>
        <w:rPr>
          <w:lang w:val="fr-FR"/>
        </w:rPr>
      </w:pPr>
      <w:r>
        <w:rPr>
          <w:rStyle w:val="FootnoteReference"/>
        </w:rPr>
        <w:footnoteRef/>
      </w:r>
      <w:r w:rsidRPr="00583918">
        <w:rPr>
          <w:lang w:val="fr-FR"/>
        </w:rPr>
        <w:t xml:space="preserve"> </w:t>
      </w:r>
      <w:r>
        <w:rPr>
          <w:lang w:val="fr-FR"/>
        </w:rP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rPr>
          <w:lang w:val="fr-FR"/>
        </w:rPr>
        <w:fldChar w:fldCharType="separate"/>
      </w:r>
      <w:r>
        <w:rPr>
          <w:noProof/>
          <w:lang w:val="fr-FR"/>
        </w:rPr>
        <w:t xml:space="preserve">de Schaepdrijver, </w:t>
      </w:r>
      <w:r w:rsidRPr="007B7627">
        <w:rPr>
          <w:i/>
          <w:noProof/>
          <w:lang w:val="fr-FR"/>
        </w:rPr>
        <w:t>La Belgique</w:t>
      </w:r>
      <w:r>
        <w:rPr>
          <w:lang w:val="fr-FR"/>
        </w:rPr>
        <w:fldChar w:fldCharType="end"/>
      </w:r>
      <w:r>
        <w:rPr>
          <w:lang w:val="fr-FR"/>
        </w:rPr>
        <w:t>, p. 108.</w:t>
      </w:r>
    </w:p>
  </w:footnote>
  <w:footnote w:id="443">
    <w:p w14:paraId="451BAF95" w14:textId="77777777" w:rsidR="00DE3AC9" w:rsidRPr="00C56082" w:rsidRDefault="00DE3AC9" w:rsidP="007D5EBA">
      <w:pPr>
        <w:pStyle w:val="FootnoteText"/>
        <w:rPr>
          <w:lang w:val="fr-FR"/>
        </w:rPr>
      </w:pPr>
      <w:r>
        <w:rPr>
          <w:rStyle w:val="FootnoteReference"/>
        </w:rPr>
        <w:footnoteRef/>
      </w:r>
      <w:r w:rsidRPr="00C56082">
        <w:rPr>
          <w:lang w:val="fr-FR"/>
        </w:rPr>
        <w:t xml:space="preserve"> </w:t>
      </w:r>
      <w:r>
        <w:rPr>
          <w:i/>
          <w:iCs/>
          <w:lang w:val="fr-FR"/>
        </w:rPr>
        <w:t>La Voix du Pays</w:t>
      </w:r>
      <w:r>
        <w:rPr>
          <w:lang w:val="fr-FR"/>
        </w:rPr>
        <w:t>, 16 November 1915.</w:t>
      </w:r>
    </w:p>
  </w:footnote>
  <w:footnote w:id="444">
    <w:p w14:paraId="522BC709" w14:textId="77777777" w:rsidR="00DE3AC9" w:rsidRPr="00723D94" w:rsidRDefault="00DE3AC9" w:rsidP="007D5EBA">
      <w:pPr>
        <w:pStyle w:val="FootnoteText"/>
      </w:pPr>
      <w:r>
        <w:rPr>
          <w:rStyle w:val="FootnoteReference"/>
        </w:rPr>
        <w:footnoteRef/>
      </w:r>
      <w:r w:rsidRPr="00723D94">
        <w:t xml:space="preserve"> </w:t>
      </w:r>
      <w:r>
        <w:rPr>
          <w:lang w:val="fr-FR"/>
        </w:rPr>
        <w:fldChar w:fldCharType="begin"/>
      </w:r>
      <w:r>
        <w:instrText xml:space="preserve"> ADDIN EN.CITE &lt;EndNote&gt;&lt;Cite&gt;&lt;Author&gt;Clayton&lt;/Author&gt;&lt;Year&gt;2005&lt;/Year&gt;&lt;RecNum&gt;329&lt;/RecNum&gt;&lt;DisplayText&gt;Anthony Clayton, &lt;style face="italic"&gt;Paths of glory: the French army 1914-1918&lt;/style&gt;, (London, 2005)&lt;/DisplayText&gt;&lt;record&gt;&lt;rec-number&gt;329&lt;/rec-number&gt;&lt;foreign-keys&gt;&lt;key app="EN" db-id="2f5rvwawcsv2woetvw35fzwbdvvswerd0err"&gt;329&lt;/key&gt;&lt;/foreign-keys&gt;&lt;ref-type name="Book"&gt;6&lt;/ref-type&gt;&lt;contributors&gt;&lt;authors&gt;&lt;author&gt;Clayton, Anthony&lt;/author&gt;&lt;/authors&gt;&lt;/contributors&gt;&lt;titles&gt;&lt;title&gt;Paths of glory: the French army 1914-1918&lt;/title&gt;&lt;short-title&gt;Paths of glory&lt;/short-title&gt;&lt;/titles&gt;&lt;dates&gt;&lt;year&gt;2005&lt;/year&gt;&lt;/dates&gt;&lt;pub-location&gt;London&lt;/pub-location&gt;&lt;urls&gt;&lt;/urls&gt;&lt;/record&gt;&lt;/Cite&gt;&lt;/EndNote&gt;</w:instrText>
      </w:r>
      <w:r>
        <w:rPr>
          <w:lang w:val="fr-FR"/>
        </w:rPr>
        <w:fldChar w:fldCharType="separate"/>
      </w:r>
      <w:r w:rsidRPr="002F62A7">
        <w:rPr>
          <w:noProof/>
        </w:rPr>
        <w:t xml:space="preserve">Anthony Clayton, </w:t>
      </w:r>
      <w:r w:rsidRPr="002F62A7">
        <w:rPr>
          <w:i/>
          <w:noProof/>
        </w:rPr>
        <w:t>Paths of glory: the French army 1914-1918</w:t>
      </w:r>
      <w:r w:rsidRPr="002F62A7">
        <w:rPr>
          <w:noProof/>
        </w:rPr>
        <w:t>, (London, 2005)</w:t>
      </w:r>
      <w:r>
        <w:rPr>
          <w:lang w:val="fr-FR"/>
        </w:rPr>
        <w:fldChar w:fldCharType="end"/>
      </w:r>
      <w:r w:rsidRPr="00723D94">
        <w:t xml:space="preserve">, p. </w:t>
      </w:r>
      <w:r>
        <w:t>93.</w:t>
      </w:r>
    </w:p>
  </w:footnote>
  <w:footnote w:id="445">
    <w:p w14:paraId="747F914A" w14:textId="77777777" w:rsidR="00DE3AC9" w:rsidRPr="008E54F7" w:rsidRDefault="00DE3AC9" w:rsidP="007D5EBA">
      <w:pPr>
        <w:pStyle w:val="FootnoteText"/>
        <w:rPr>
          <w:lang w:val="fr-FR"/>
        </w:rPr>
      </w:pPr>
      <w:r>
        <w:rPr>
          <w:rStyle w:val="FootnoteReference"/>
        </w:rPr>
        <w:footnoteRef/>
      </w:r>
      <w:r w:rsidRPr="008E54F7">
        <w:rPr>
          <w:lang w:val="fr-FR"/>
        </w:rPr>
        <w:t xml:space="preserve"> </w:t>
      </w:r>
      <w:r>
        <w:rPr>
          <w:i/>
          <w:iCs/>
          <w:lang w:val="fr-FR"/>
        </w:rPr>
        <w:t xml:space="preserve">La Voix du Pays, </w:t>
      </w:r>
      <w:r>
        <w:rPr>
          <w:lang w:val="fr-FR"/>
        </w:rPr>
        <w:t>8 February 1916 and 17 April 1917</w:t>
      </w:r>
    </w:p>
  </w:footnote>
  <w:footnote w:id="446">
    <w:p w14:paraId="5CF5A8BC" w14:textId="77777777" w:rsidR="00DE3AC9" w:rsidRPr="00DE3AC9" w:rsidRDefault="00DE3AC9" w:rsidP="007D5EBA">
      <w:pPr>
        <w:pStyle w:val="FootnoteText"/>
        <w:rPr>
          <w:lang w:val="fr-FR"/>
        </w:rPr>
      </w:pPr>
      <w:r>
        <w:rPr>
          <w:rStyle w:val="FootnoteReference"/>
        </w:rPr>
        <w:footnoteRef/>
      </w:r>
      <w:r w:rsidRPr="00DE3AC9">
        <w:rPr>
          <w:lang w:val="fr-FR"/>
        </w:rPr>
        <w:t xml:space="preserve"> </w:t>
      </w:r>
      <w:r w:rsidRPr="00DE3AC9">
        <w:rPr>
          <w:i/>
          <w:iCs/>
          <w:lang w:val="fr-FR"/>
        </w:rPr>
        <w:t xml:space="preserve">Le Courrier de l’Air, </w:t>
      </w:r>
      <w:r w:rsidRPr="00DE3AC9">
        <w:rPr>
          <w:lang w:val="fr-FR"/>
        </w:rPr>
        <w:t>15 June and 21 December 1917.</w:t>
      </w:r>
    </w:p>
  </w:footnote>
  <w:footnote w:id="447">
    <w:p w14:paraId="575720DE" w14:textId="77777777" w:rsidR="00DE3AC9" w:rsidRPr="0020333D" w:rsidRDefault="00DE3AC9" w:rsidP="007D5EBA">
      <w:pPr>
        <w:pStyle w:val="FootnoteText"/>
      </w:pPr>
      <w:r>
        <w:rPr>
          <w:rStyle w:val="FootnoteReference"/>
        </w:rPr>
        <w:footnoteRef/>
      </w:r>
      <w:r w:rsidRPr="0020333D">
        <w:t xml:space="preserve"> </w:t>
      </w:r>
      <w:r>
        <w:rPr>
          <w:lang w:val="fr-FR"/>
        </w:rPr>
        <w:fldChar w:fldCharType="begin"/>
      </w:r>
      <w:r>
        <w:instrText xml:space="preserve"> ADDIN EN.CITE &lt;EndNote&gt;&lt;Cite&gt;&lt;Author&gt;Becker&lt;/Author&gt;&lt;Year&gt;2010&lt;/Year&gt;&lt;RecNum&gt;187&lt;/RecNum&gt;&lt;DisplayText&gt;Jean-Jacques Becker, &amp;apos;War aims and neutrality&amp;apos;, in: &lt;style face="italic"&gt;A companion to World War One, &lt;/style&gt;ed. by J. Horne (Chichester, 2010),&lt;/DisplayText&gt;&lt;record&gt;&lt;rec-number&gt;187&lt;/rec-number&gt;&lt;foreign-keys&gt;&lt;key app="EN" db-id="2f5rvwawcsv2woetvw35fzwbdvvswerd0err"&gt;187&lt;/key&gt;&lt;/foreign-keys&gt;&lt;ref-type name="Book Section"&gt;5&lt;/ref-type&gt;&lt;contributors&gt;&lt;authors&gt;&lt;author&gt;Becker, Jean-Jacques&lt;/author&gt;&lt;/authors&gt;&lt;secondary-authors&gt;&lt;author&gt;J. Horne&lt;/author&gt;&lt;/secondary-authors&gt;&lt;/contributors&gt;&lt;titles&gt;&lt;title&gt;War aims and neutrality&lt;/title&gt;&lt;secondary-title&gt;A companion to World War One&lt;/secondary-title&gt;&lt;short-title&gt;War aims&lt;/short-title&gt;&lt;/titles&gt;&lt;dates&gt;&lt;year&gt;2010&lt;/year&gt;&lt;/dates&gt;&lt;pub-location&gt;Chichester&lt;/pub-location&gt;&lt;urls&gt;&lt;/urls&gt;&lt;/record&gt;&lt;/Cite&gt;&lt;/EndNote&gt;</w:instrText>
      </w:r>
      <w:r>
        <w:rPr>
          <w:lang w:val="fr-FR"/>
        </w:rPr>
        <w:fldChar w:fldCharType="separate"/>
      </w:r>
      <w:r w:rsidRPr="002F62A7">
        <w:rPr>
          <w:noProof/>
        </w:rPr>
        <w:t xml:space="preserve">Jean-Jacques Becker, 'War aims and neutrality', in: </w:t>
      </w:r>
      <w:r w:rsidRPr="002F62A7">
        <w:rPr>
          <w:i/>
          <w:noProof/>
        </w:rPr>
        <w:t xml:space="preserve">A companion to World War One, </w:t>
      </w:r>
      <w:r w:rsidRPr="002F62A7">
        <w:rPr>
          <w:noProof/>
        </w:rPr>
        <w:t>ed. by J. Horne (Chichester, 2010),</w:t>
      </w:r>
      <w:r>
        <w:rPr>
          <w:lang w:val="fr-FR"/>
        </w:rPr>
        <w:fldChar w:fldCharType="end"/>
      </w:r>
      <w:r w:rsidRPr="0020333D">
        <w:t xml:space="preserve"> p. 203.</w:t>
      </w:r>
    </w:p>
  </w:footnote>
  <w:footnote w:id="448">
    <w:p w14:paraId="4494C60E" w14:textId="77777777" w:rsidR="00DE3AC9" w:rsidRPr="00C54460" w:rsidRDefault="00DE3AC9" w:rsidP="007D5EBA">
      <w:pPr>
        <w:pStyle w:val="FootnoteText"/>
        <w:rPr>
          <w:lang w:val="de-DE"/>
        </w:rPr>
      </w:pPr>
      <w:r>
        <w:rPr>
          <w:rStyle w:val="FootnoteReference"/>
        </w:rPr>
        <w:footnoteRef/>
      </w:r>
      <w:r w:rsidRPr="00C54460">
        <w:rPr>
          <w:lang w:val="de-DE"/>
        </w:rPr>
        <w:t xml:space="preserve"> </w:t>
      </w:r>
      <w:r>
        <w:rPr>
          <w:lang w:val="fr-FR"/>
        </w:rPr>
        <w:fldChar w:fldCharType="begin"/>
      </w:r>
      <w:r w:rsidRPr="00C54460">
        <w:rPr>
          <w:lang w:val="de-DE"/>
        </w:rPr>
        <w:instrText xml:space="preserve"> ADDIN EN.CITE &lt;EndNote&gt;&lt;Cite&gt;&lt;Author&gt;Becker&lt;/Author&gt;&lt;Year&gt;2012&lt;/Year&gt;&lt;RecNum&gt;183&lt;/RecNum&gt;&lt;DisplayText&gt;Becker and Krumeich, &lt;style face="italic"&gt;Une histoire franco-allemande&lt;/style&gt;&lt;/DisplayText&gt;&lt;record&gt;&lt;rec-number&gt;183&lt;/rec-number&gt;&lt;foreign-keys&gt;&lt;key app="EN" db-id="2f5rvwawcsv2woetvw35fzwbdvvswerd0err"&gt;183&lt;/key&gt;&lt;/foreign-keys&gt;&lt;ref-type name="Book"&gt;6&lt;/ref-type&gt;&lt;contributors&gt;&lt;authors&gt;&lt;author&gt;Becker, Jean-Jacques&lt;/author&gt;&lt;author&gt;Krumeich, Gerd&lt;/author&gt;&lt;/authors&gt;&lt;/contributors&gt;&lt;titles&gt;&lt;title&gt;La Grande Guerre: une histoire franco-allemande&lt;/title&gt;&lt;short-title&gt;Une histoire franco-allemande&lt;/short-title&gt;&lt;/titles&gt;&lt;dates&gt;&lt;year&gt;2012&lt;/year&gt;&lt;/dates&gt;&lt;pub-location&gt;Paris&lt;/pub-location&gt;&lt;urls&gt;&lt;/urls&gt;&lt;/record&gt;&lt;/Cite&gt;&lt;/EndNote&gt;</w:instrText>
      </w:r>
      <w:r>
        <w:rPr>
          <w:lang w:val="fr-FR"/>
        </w:rPr>
        <w:fldChar w:fldCharType="separate"/>
      </w:r>
      <w:r w:rsidRPr="00C54460">
        <w:rPr>
          <w:noProof/>
          <w:lang w:val="de-DE"/>
        </w:rPr>
        <w:t xml:space="preserve">Becker and Krumeich, </w:t>
      </w:r>
      <w:r w:rsidRPr="00C54460">
        <w:rPr>
          <w:i/>
          <w:noProof/>
          <w:lang w:val="de-DE"/>
        </w:rPr>
        <w:t>Une histoire franco-allemande</w:t>
      </w:r>
      <w:r>
        <w:rPr>
          <w:lang w:val="fr-FR"/>
        </w:rPr>
        <w:fldChar w:fldCharType="end"/>
      </w:r>
      <w:r w:rsidRPr="00C54460">
        <w:rPr>
          <w:lang w:val="de-DE"/>
        </w:rPr>
        <w:t>, p. 69.</w:t>
      </w:r>
    </w:p>
  </w:footnote>
  <w:footnote w:id="449">
    <w:p w14:paraId="1A7EE606" w14:textId="77777777" w:rsidR="00DE3AC9" w:rsidRPr="00B10F1E" w:rsidRDefault="00DE3AC9" w:rsidP="007D5EBA">
      <w:pPr>
        <w:pStyle w:val="FootnoteText"/>
      </w:pPr>
      <w:r>
        <w:rPr>
          <w:rStyle w:val="FootnoteReference"/>
        </w:rPr>
        <w:footnoteRef/>
      </w:r>
      <w:r>
        <w:t xml:space="preserve"> </w:t>
      </w:r>
      <w:r>
        <w:fldChar w:fldCharType="begin"/>
      </w:r>
      <w:r>
        <w:instrText xml:space="preserve"> ADDIN EN.CITE &lt;EndNote&gt;&lt;Cite&gt;&lt;Author&gt;Winter&lt;/Author&gt;&lt;Year&gt;2005&lt;/Year&gt;&lt;RecNum&gt;114&lt;/RecNum&gt;&lt;DisplayText&gt;Prost and Winter, &lt;style face="italic"&gt;The Great War&lt;/style&gt;&lt;/DisplayText&gt;&lt;record&gt;&lt;rec-number&gt;114&lt;/rec-number&gt;&lt;foreign-keys&gt;&lt;key app="EN" db-id="2f5rvwawcsv2woetvw35fzwbdvvswerd0err"&gt;114&lt;/key&gt;&lt;/foreign-keys&gt;&lt;ref-type name="Book"&gt;6&lt;/ref-type&gt;&lt;contributors&gt;&lt;authors&gt;&lt;author&gt;Prost, Antoine&lt;/author&gt;&lt;author&gt;Winter, Jay&lt;/author&gt;&lt;/authors&gt;&lt;/contributors&gt;&lt;titles&gt;&lt;title&gt;The Great War in History: debates and controversies, 1914 to present&lt;/title&gt;&lt;short-title&gt;The Great War&lt;/short-title&gt;&lt;/titles&gt;&lt;dates&gt;&lt;year&gt;2005&lt;/year&gt;&lt;/dates&gt;&lt;pub-location&gt;Cambridge&lt;/pub-location&gt;&lt;urls&gt;&lt;/urls&gt;&lt;/record&gt;&lt;/Cite&gt;&lt;/EndNote&gt;</w:instrText>
      </w:r>
      <w:r>
        <w:fldChar w:fldCharType="separate"/>
      </w:r>
      <w:r>
        <w:rPr>
          <w:noProof/>
        </w:rPr>
        <w:t xml:space="preserve">Prost and Winter, </w:t>
      </w:r>
      <w:r w:rsidRPr="00232F8A">
        <w:rPr>
          <w:i/>
          <w:noProof/>
        </w:rPr>
        <w:t>The Great War</w:t>
      </w:r>
      <w:r>
        <w:fldChar w:fldCharType="end"/>
      </w:r>
      <w:r>
        <w:t>, p. 37.</w:t>
      </w:r>
    </w:p>
  </w:footnote>
  <w:footnote w:id="450">
    <w:p w14:paraId="114B2CFA" w14:textId="77777777" w:rsidR="00DE3AC9" w:rsidRPr="008E54F7" w:rsidRDefault="00DE3AC9" w:rsidP="007D5EBA">
      <w:pPr>
        <w:pStyle w:val="FootnoteText"/>
        <w:rPr>
          <w:lang w:val="fr-FR"/>
        </w:rPr>
      </w:pPr>
      <w:r>
        <w:rPr>
          <w:rStyle w:val="FootnoteReference"/>
        </w:rPr>
        <w:footnoteRef/>
      </w:r>
      <w:r w:rsidRPr="008E54F7">
        <w:rPr>
          <w:lang w:val="fr-FR"/>
        </w:rPr>
        <w:t xml:space="preserve"> </w:t>
      </w:r>
      <w:r>
        <w:rPr>
          <w:lang w:val="fr-FR"/>
        </w:rPr>
        <w:t>See Chapter six.</w:t>
      </w:r>
    </w:p>
  </w:footnote>
  <w:footnote w:id="451">
    <w:p w14:paraId="0C094086" w14:textId="77777777" w:rsidR="00DE3AC9" w:rsidRPr="00C82D2A" w:rsidRDefault="00DE3AC9" w:rsidP="007D5EBA">
      <w:pPr>
        <w:pStyle w:val="FootnoteText"/>
        <w:rPr>
          <w:lang w:val="fr-FR"/>
        </w:rPr>
      </w:pPr>
      <w:r>
        <w:rPr>
          <w:rStyle w:val="FootnoteReference"/>
        </w:rPr>
        <w:footnoteRef/>
      </w:r>
      <w:r w:rsidRPr="00C82D2A">
        <w:rPr>
          <w:lang w:val="fr-FR"/>
        </w:rPr>
        <w:t xml:space="preserve"> </w:t>
      </w:r>
      <w:r>
        <w:rPr>
          <w:i/>
          <w:iCs/>
          <w:lang w:val="fr-FR"/>
        </w:rPr>
        <w:t>La Voix du Pays</w:t>
      </w:r>
      <w:r>
        <w:rPr>
          <w:lang w:val="fr-FR"/>
        </w:rPr>
        <w:t>, 2 April 1918.</w:t>
      </w:r>
    </w:p>
  </w:footnote>
  <w:footnote w:id="452">
    <w:p w14:paraId="59FD1604" w14:textId="77777777" w:rsidR="00DE3AC9" w:rsidRPr="002C0F9C" w:rsidRDefault="00DE3AC9" w:rsidP="007D5EBA">
      <w:pPr>
        <w:pStyle w:val="FootnoteText"/>
      </w:pPr>
      <w:r>
        <w:rPr>
          <w:rStyle w:val="FootnoteReference"/>
        </w:rPr>
        <w:footnoteRef/>
      </w:r>
      <w:r w:rsidRPr="002C0F9C">
        <w:t xml:space="preserve"> </w:t>
      </w:r>
      <w:r>
        <w:rPr>
          <w:lang w:val="fr-FR"/>
        </w:rPr>
        <w:fldChar w:fldCharType="begin"/>
      </w:r>
      <w:r w:rsidRPr="002C0F9C">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rPr>
          <w:lang w:val="fr-FR"/>
        </w:rPr>
        <w:fldChar w:fldCharType="separate"/>
      </w:r>
      <w:r w:rsidRPr="002C0F9C">
        <w:rPr>
          <w:noProof/>
        </w:rPr>
        <w:t xml:space="preserve">Taylor, </w:t>
      </w:r>
      <w:r w:rsidRPr="002C0F9C">
        <w:rPr>
          <w:i/>
          <w:noProof/>
        </w:rPr>
        <w:t>Munitions</w:t>
      </w:r>
      <w:r>
        <w:rPr>
          <w:lang w:val="fr-FR"/>
        </w:rPr>
        <w:fldChar w:fldCharType="end"/>
      </w:r>
      <w:r w:rsidRPr="002C0F9C">
        <w:t>, p. 176.</w:t>
      </w:r>
    </w:p>
  </w:footnote>
  <w:footnote w:id="453">
    <w:p w14:paraId="5D428047" w14:textId="77777777" w:rsidR="00DE3AC9" w:rsidRPr="00B82D3C" w:rsidRDefault="00DE3AC9" w:rsidP="007D5EBA">
      <w:pPr>
        <w:pStyle w:val="FootnoteText"/>
      </w:pPr>
      <w:r>
        <w:rPr>
          <w:rStyle w:val="FootnoteReference"/>
        </w:rPr>
        <w:footnoteRef/>
      </w:r>
      <w:r w:rsidRPr="00B82D3C">
        <w:t xml:space="preserve"> </w:t>
      </w:r>
      <w:r w:rsidRPr="00B82D3C">
        <w:rPr>
          <w:i/>
          <w:iCs/>
        </w:rPr>
        <w:t xml:space="preserve">La Lettre du Soldat, </w:t>
      </w:r>
      <w:r w:rsidRPr="00B82D3C">
        <w:t xml:space="preserve">August 1917 and </w:t>
      </w:r>
      <w:r>
        <w:rPr>
          <w:lang w:val="fr-FR"/>
        </w:rPr>
        <w:fldChar w:fldCharType="begin"/>
      </w:r>
      <w:r>
        <w:instrText xml:space="preserve"> ADDIN EN.CITE &lt;EndNote&gt;&lt;Cite&gt;&lt;Author&gt;Fischer&lt;/Author&gt;&lt;Year&gt;2014&lt;/Year&gt;&lt;RecNum&gt;345&lt;/RecNum&gt;&lt;DisplayText&gt;Fischer, &lt;style face="italic"&gt;Of occupied territories and lost provinces&lt;/style&gt;&lt;/DisplayText&gt;&lt;record&gt;&lt;rec-number&gt;345&lt;/rec-number&gt;&lt;foreign-keys&gt;&lt;key app="EN" db-id="2f5rvwawcsv2woetvw35fzwbdvvswerd0err"&gt;345&lt;/key&gt;&lt;/foreign-keys&gt;&lt;ref-type name="Book Section"&gt;5&lt;/ref-type&gt;&lt;contributors&gt;&lt;authors&gt;&lt;author&gt;Fischer, Christopher&lt;/author&gt;&lt;/authors&gt;&lt;secondary-authors&gt;&lt;author&gt;Paddock, Troy&lt;/author&gt;&lt;/secondary-authors&gt;&lt;/contributors&gt;&lt;titles&gt;&lt;title&gt;Of occupied territories and lost provinces: German and Entente propaganda in the west during World War One&lt;/title&gt;&lt;secondary-title&gt;World War One and propaganda&lt;/secondary-title&gt;&lt;short-title&gt;Of occupied territories and lost provinces&lt;/short-title&gt;&lt;/titles&gt;&lt;dates&gt;&lt;year&gt;2014&lt;/year&gt;&lt;/dates&gt;&lt;pub-location&gt;Boston&lt;/pub-location&gt;&lt;urls&gt;&lt;/urls&gt;&lt;/record&gt;&lt;/Cite&gt;&lt;/EndNote&gt;</w:instrText>
      </w:r>
      <w:r>
        <w:rPr>
          <w:lang w:val="fr-FR"/>
        </w:rPr>
        <w:fldChar w:fldCharType="separate"/>
      </w:r>
      <w:r w:rsidRPr="00B82D3C">
        <w:rPr>
          <w:noProof/>
        </w:rPr>
        <w:t xml:space="preserve">Fischer, </w:t>
      </w:r>
      <w:r w:rsidRPr="00B82D3C">
        <w:rPr>
          <w:i/>
          <w:noProof/>
        </w:rPr>
        <w:t>Of occupied territories and lost provinces</w:t>
      </w:r>
      <w:r>
        <w:rPr>
          <w:lang w:val="fr-FR"/>
        </w:rPr>
        <w:fldChar w:fldCharType="end"/>
      </w:r>
      <w:r w:rsidRPr="00B82D3C">
        <w:t xml:space="preserve">, p. </w:t>
      </w:r>
      <w:r>
        <w:t>204.</w:t>
      </w:r>
    </w:p>
  </w:footnote>
  <w:footnote w:id="454">
    <w:p w14:paraId="5B40020D" w14:textId="77777777" w:rsidR="00DE3AC9" w:rsidRPr="00DE3AC9" w:rsidRDefault="00DE3AC9" w:rsidP="007D5EBA">
      <w:pPr>
        <w:pStyle w:val="FootnoteText"/>
        <w:rPr>
          <w:lang w:val="fr-FR"/>
        </w:rPr>
      </w:pPr>
      <w:r>
        <w:rPr>
          <w:rStyle w:val="FootnoteReference"/>
        </w:rPr>
        <w:footnoteRef/>
      </w:r>
      <w:r w:rsidRPr="00DE3AC9">
        <w:rPr>
          <w:lang w:val="fr-FR"/>
        </w:rPr>
        <w:t xml:space="preserve"> </w:t>
      </w:r>
      <w:r w:rsidRPr="00DE3AC9">
        <w:rPr>
          <w:i/>
          <w:iCs/>
          <w:lang w:val="fr-FR"/>
        </w:rPr>
        <w:t>La Voix du Pays</w:t>
      </w:r>
      <w:r w:rsidRPr="00DE3AC9">
        <w:rPr>
          <w:lang w:val="fr-FR"/>
        </w:rPr>
        <w:t xml:space="preserve">, 22 February 1916, 21 March 1916 ; </w:t>
      </w:r>
      <w:r w:rsidRPr="00DE3AC9">
        <w:rPr>
          <w:i/>
          <w:iCs/>
          <w:lang w:val="fr-FR"/>
        </w:rPr>
        <w:t>Le Courrier de l’air</w:t>
      </w:r>
      <w:r w:rsidRPr="00DE3AC9">
        <w:rPr>
          <w:lang w:val="fr-FR"/>
        </w:rPr>
        <w:t>, 22 July 1917 and 10 August 1917.</w:t>
      </w:r>
    </w:p>
  </w:footnote>
  <w:footnote w:id="455">
    <w:p w14:paraId="419B99E5" w14:textId="2B958EB8" w:rsidR="00DE3AC9" w:rsidRPr="0020344A" w:rsidRDefault="00DE3AC9" w:rsidP="007D5EBA">
      <w:pPr>
        <w:pStyle w:val="FootnoteText"/>
      </w:pPr>
      <w:r>
        <w:rPr>
          <w:rStyle w:val="FootnoteReference"/>
        </w:rPr>
        <w:footnoteRef/>
      </w:r>
      <w:r w:rsidRPr="0020344A">
        <w:t xml:space="preserve"> </w:t>
      </w:r>
      <w:r>
        <w:rPr>
          <w:lang w:val="fr-FR"/>
        </w:rPr>
        <w:fldChar w:fldCharType="begin"/>
      </w:r>
      <w:r>
        <w:instrText xml:space="preserve"> ADDIN EN.CITE &lt;EndNote&gt;&lt;Cite&gt;&lt;Author&gt;Stevenson&lt;/Author&gt;&lt;Year&gt;1986&lt;/Year&gt;&lt;RecNum&gt;138&lt;/RecNum&gt;&lt;DisplayText&gt;David Stevenson, &lt;style face="italic"&gt;French war aims against Germany&lt;/style&gt;, (Oxford, 1986)&lt;/DisplayText&gt;&lt;record&gt;&lt;rec-number&gt;138&lt;/rec-number&gt;&lt;foreign-keys&gt;&lt;key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sidRPr="007D5EBA">
        <w:rPr>
          <w:noProof/>
        </w:rPr>
        <w:t xml:space="preserve">David Stevenson, </w:t>
      </w:r>
      <w:r w:rsidRPr="007D5EBA">
        <w:rPr>
          <w:i/>
          <w:noProof/>
        </w:rPr>
        <w:t>French war aims against Germany</w:t>
      </w:r>
      <w:r w:rsidRPr="007D5EBA">
        <w:rPr>
          <w:noProof/>
        </w:rPr>
        <w:t>, (Oxford, 1986)</w:t>
      </w:r>
      <w:r>
        <w:rPr>
          <w:lang w:val="fr-FR"/>
        </w:rPr>
        <w:fldChar w:fldCharType="end"/>
      </w:r>
      <w:r w:rsidRPr="0020344A">
        <w:t>, p. 31.</w:t>
      </w:r>
    </w:p>
  </w:footnote>
  <w:footnote w:id="456">
    <w:p w14:paraId="096BB29F" w14:textId="77777777" w:rsidR="00DE3AC9" w:rsidRPr="006702F0" w:rsidRDefault="00DE3AC9" w:rsidP="007D5EBA">
      <w:pPr>
        <w:pStyle w:val="FootnoteText"/>
        <w:rPr>
          <w:lang w:val="fr-FR"/>
        </w:rPr>
      </w:pPr>
      <w:r>
        <w:rPr>
          <w:rStyle w:val="FootnoteReference"/>
        </w:rPr>
        <w:footnoteRef/>
      </w:r>
      <w:r w:rsidRPr="00522B64">
        <w:rPr>
          <w:lang w:val="fr-FR"/>
        </w:rPr>
        <w:t xml:space="preserve"> </w:t>
      </w:r>
      <w:r>
        <w:rPr>
          <w:lang w:val="fr-FR"/>
        </w:rPr>
        <w:fldChar w:fldCharType="begin"/>
      </w:r>
      <w:r w:rsidRPr="00522B64">
        <w:rPr>
          <w:lang w:val="fr-FR"/>
        </w:rPr>
        <w:instrText xml:space="preserve"> ADDIN EN.CITE &lt;EndNote&gt;&lt;Cite&gt;&lt;Author&gt;Amara&lt;/Author&gt;&lt;Year&gt;2012&lt;/Year&gt;&lt;RecNum&gt;149&lt;/RecNum&gt;&lt;DisplayText&gt;Amara, &lt;style face="italic"&gt;Les grands défis&lt;/style&gt;&lt;/DisplayText&gt;&lt;record&gt;&lt;rec-number&gt;149&lt;/rec-number&gt;&lt;foreign-keys&gt;&lt;key app="EN" db-id="2f5rvwawcsv2woetvw35fzwbdvvswerd0err"&gt;149&lt;/key&gt;&lt;/foreign-keys&gt;&lt;ref-type name="Book Section"&gt;5&lt;/ref-type&gt;&lt;contributors&gt;&lt;authors&gt;&lt;author&gt;Amara, Michael&lt;/author&gt;&lt;/authors&gt;&lt;secondary-authors&gt;&lt;author&gt;B. Rochet &lt;/author&gt;&lt;author&gt;A. Tixhon&lt;/author&gt;&lt;/secondary-authors&gt;&lt;/contributors&gt;&lt;titles&gt;&lt;title&gt;Les grands défis de la propagande belge durant la Première Guerre Mondiale&lt;/title&gt;&lt;secondary-title&gt;La petite Belgique dans la Grande Guerre: une icône, des images&lt;/secondary-title&gt;&lt;short-title&gt;Les grands défis&lt;/short-title&gt;&lt;/titles&gt;&lt;dates&gt;&lt;year&gt;2012&lt;/year&gt;&lt;/dates&gt;&lt;pub-location&gt;Namur&lt;/pub-location&gt;&lt;urls&gt;&lt;/urls&gt;&lt;/record&gt;&lt;/Cite&gt;&lt;/EndNote&gt;</w:instrText>
      </w:r>
      <w:r>
        <w:rPr>
          <w:lang w:val="fr-FR"/>
        </w:rPr>
        <w:fldChar w:fldCharType="separate"/>
      </w:r>
      <w:r w:rsidRPr="00522B64">
        <w:rPr>
          <w:noProof/>
          <w:lang w:val="fr-FR"/>
        </w:rPr>
        <w:t xml:space="preserve">Amara, </w:t>
      </w:r>
      <w:r w:rsidRPr="006702F0">
        <w:rPr>
          <w:i/>
          <w:noProof/>
          <w:lang w:val="fr-FR"/>
        </w:rPr>
        <w:t>Les grands défis</w:t>
      </w:r>
      <w:r>
        <w:rPr>
          <w:lang w:val="fr-FR"/>
        </w:rPr>
        <w:fldChar w:fldCharType="end"/>
      </w:r>
      <w:r w:rsidRPr="00522B64">
        <w:rPr>
          <w:lang w:val="fr-FR"/>
        </w:rPr>
        <w:t>, pp. 30-31.</w:t>
      </w:r>
    </w:p>
  </w:footnote>
  <w:footnote w:id="457">
    <w:p w14:paraId="03B03BBB" w14:textId="77777777" w:rsidR="00DE3AC9" w:rsidRPr="005861D9" w:rsidRDefault="00DE3AC9" w:rsidP="007D5EBA">
      <w:pPr>
        <w:pStyle w:val="FootnoteText"/>
      </w:pPr>
      <w:r>
        <w:rPr>
          <w:rStyle w:val="FootnoteReference"/>
        </w:rPr>
        <w:footnoteRef/>
      </w:r>
      <w:r w:rsidRPr="005861D9">
        <w:t xml:space="preserve"> </w:t>
      </w:r>
      <w:r>
        <w:rPr>
          <w:lang w:val="fr-FR"/>
        </w:rPr>
        <w:fldChar w:fldCharType="begin"/>
      </w:r>
      <w:r w:rsidRPr="005861D9">
        <w:instrText xml:space="preserve"> ADDIN EN.CITE &lt;EndNote&gt;&lt;Cite&gt;&lt;Author&gt;Flood&lt;/Author&gt;&lt;Year&gt;1990&lt;/Year&gt;&lt;RecNum&gt;191&lt;/RecNum&gt;&lt;DisplayText&gt;Flood, &lt;style face="italic"&gt;France&lt;/style&gt;&lt;/DisplayText&gt;&lt;record&gt;&lt;rec-number&gt;191&lt;/rec-number&gt;&lt;foreign-keys&gt;&lt;key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rPr>
          <w:lang w:val="fr-FR"/>
        </w:rPr>
        <w:fldChar w:fldCharType="separate"/>
      </w:r>
      <w:r w:rsidRPr="005861D9">
        <w:rPr>
          <w:noProof/>
        </w:rPr>
        <w:t xml:space="preserve">Flood, </w:t>
      </w:r>
      <w:r w:rsidRPr="005861D9">
        <w:rPr>
          <w:i/>
          <w:noProof/>
        </w:rPr>
        <w:t>France</w:t>
      </w:r>
      <w:r>
        <w:rPr>
          <w:lang w:val="fr-FR"/>
        </w:rPr>
        <w:fldChar w:fldCharType="end"/>
      </w:r>
      <w:r w:rsidRPr="005861D9">
        <w:t>, p. 83.</w:t>
      </w:r>
    </w:p>
  </w:footnote>
  <w:footnote w:id="458">
    <w:p w14:paraId="1AF030BB" w14:textId="77777777" w:rsidR="00DE3AC9" w:rsidRPr="005861D9" w:rsidRDefault="00DE3AC9" w:rsidP="007D5EBA">
      <w:pPr>
        <w:pStyle w:val="FootnoteText"/>
      </w:pPr>
      <w:r>
        <w:rPr>
          <w:rStyle w:val="FootnoteReference"/>
        </w:rPr>
        <w:footnoteRef/>
      </w:r>
      <w:r w:rsidRPr="005861D9">
        <w:t xml:space="preserve"> </w:t>
      </w:r>
      <w:r>
        <w:rPr>
          <w:lang w:val="fr-FR"/>
        </w:rPr>
        <w:fldChar w:fldCharType="begin"/>
      </w:r>
      <w:r w:rsidRPr="005861D9">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FR"/>
        </w:rPr>
        <w:fldChar w:fldCharType="separate"/>
      </w:r>
      <w:r w:rsidRPr="005861D9">
        <w:rPr>
          <w:noProof/>
        </w:rPr>
        <w:t xml:space="preserve">Horne, </w:t>
      </w:r>
      <w:r w:rsidRPr="005861D9">
        <w:rPr>
          <w:i/>
          <w:noProof/>
        </w:rPr>
        <w:t>Remobilizing</w:t>
      </w:r>
      <w:r>
        <w:rPr>
          <w:lang w:val="fr-FR"/>
        </w:rPr>
        <w:fldChar w:fldCharType="end"/>
      </w:r>
      <w:r w:rsidRPr="000D542F">
        <w:t>,</w:t>
      </w:r>
      <w:r w:rsidRPr="005861D9">
        <w:t xml:space="preserve"> p. 195.</w:t>
      </w:r>
    </w:p>
  </w:footnote>
  <w:footnote w:id="459">
    <w:p w14:paraId="0B8A2777" w14:textId="77777777" w:rsidR="00DE3AC9" w:rsidRPr="00DF73CD" w:rsidRDefault="00DE3AC9" w:rsidP="007D5EBA">
      <w:pPr>
        <w:pStyle w:val="FootnoteText"/>
        <w:rPr>
          <w:lang w:val="fr-FR"/>
        </w:rPr>
      </w:pPr>
      <w:r>
        <w:rPr>
          <w:rStyle w:val="FootnoteReference"/>
        </w:rPr>
        <w:footnoteRef/>
      </w:r>
      <w:r w:rsidRPr="00DF73CD">
        <w:rPr>
          <w:lang w:val="fr-FR"/>
        </w:rPr>
        <w:t xml:space="preserve"> </w:t>
      </w:r>
      <w:r>
        <w:rPr>
          <w:i/>
          <w:iCs/>
          <w:lang w:val="fr-FR"/>
        </w:rPr>
        <w:t>La Voix du Pays</w:t>
      </w:r>
      <w:r>
        <w:rPr>
          <w:lang w:val="fr-FR"/>
        </w:rPr>
        <w:t>, 16 November 1915.</w:t>
      </w:r>
    </w:p>
  </w:footnote>
  <w:footnote w:id="460">
    <w:p w14:paraId="4E18B62E" w14:textId="77777777" w:rsidR="00DE3AC9" w:rsidRPr="007F3929" w:rsidRDefault="00DE3AC9" w:rsidP="007D5EBA">
      <w:pPr>
        <w:pStyle w:val="FootnoteText"/>
        <w:rPr>
          <w:lang w:val="fr-FR"/>
        </w:rPr>
      </w:pPr>
      <w:r>
        <w:rPr>
          <w:rStyle w:val="FootnoteReference"/>
        </w:rPr>
        <w:footnoteRef/>
      </w:r>
      <w:r w:rsidRPr="007F3929">
        <w:rPr>
          <w:lang w:val="fr-FR"/>
        </w:rPr>
        <w:t xml:space="preserve"> </w:t>
      </w:r>
      <w:r>
        <w:rPr>
          <w:lang w:val="fr-FR"/>
        </w:rPr>
        <w:fldChar w:fldCharType="begin"/>
      </w:r>
      <w:r>
        <w:rPr>
          <w:lang w:val="fr-FR"/>
        </w:rPr>
        <w:instrText xml:space="preserve"> ADDIN EN.CITE &lt;EndNote&gt;&lt;Cite&gt;&lt;Author&gt;Michel&lt;/Author&gt;&lt;Year&gt;2008&lt;/Year&gt;&lt;RecNum&gt;196&lt;/RecNum&gt;&lt;DisplayText&gt;M. Michel, &amp;apos;Sortir de la Grande Guerre en Afrique&amp;apos;, in: &lt;style face="italic"&gt;Sortir de la Grande Guerre, &lt;/style&gt;ed. by Stéphane Audoin-Rouzeau and Christophe Prochasson (Paris, 2008),&lt;/DisplayText&gt;&lt;record&gt;&lt;rec-number&gt;196&lt;/rec-number&gt;&lt;foreign-keys&gt;&lt;key app="EN" db-id="2f5rvwawcsv2woetvw35fzwbdvvswerd0err"&gt;196&lt;/key&gt;&lt;/foreign-keys&gt;&lt;ref-type name="Book Section"&gt;5&lt;/ref-type&gt;&lt;contributors&gt;&lt;authors&gt;&lt;author&gt;Michel, M.&lt;/author&gt;&lt;/authors&gt;&lt;secondary-authors&gt;&lt;author&gt;Audoin-Rouzeau, Stéphane&lt;/author&gt;&lt;author&gt;Prochasson, Christophe&lt;/author&gt;&lt;/secondary-authors&gt;&lt;/contributors&gt;&lt;titles&gt;&lt;title&gt;Sortir de la Grande Guerre en Afrique&lt;/title&gt;&lt;secondary-title&gt;Sortir de la Grande Guerre&lt;/secondary-title&gt;&lt;short-title&gt;Sortir&lt;/short-title&gt;&lt;/titles&gt;&lt;dates&gt;&lt;year&gt;2008&lt;/year&gt;&lt;/dates&gt;&lt;pub-location&gt;Paris&lt;/pub-location&gt;&lt;urls&gt;&lt;/urls&gt;&lt;/record&gt;&lt;/Cite&gt;&lt;/EndNote&gt;</w:instrText>
      </w:r>
      <w:r>
        <w:rPr>
          <w:lang w:val="fr-FR"/>
        </w:rPr>
        <w:fldChar w:fldCharType="separate"/>
      </w:r>
      <w:r>
        <w:rPr>
          <w:noProof/>
          <w:lang w:val="fr-FR"/>
        </w:rPr>
        <w:t xml:space="preserve">M. Michel, 'Sortir de la Grande Guerre en Afrique', in: </w:t>
      </w:r>
      <w:r w:rsidRPr="00FD549B">
        <w:rPr>
          <w:i/>
          <w:noProof/>
          <w:lang w:val="fr-FR"/>
        </w:rPr>
        <w:t xml:space="preserve">Sortir de la Grande Guerre, </w:t>
      </w:r>
      <w:r>
        <w:rPr>
          <w:noProof/>
          <w:lang w:val="fr-FR"/>
        </w:rPr>
        <w:t>ed. by Stéphane Audoin-Rouzeau and Christophe Prochasson (Paris, 2008),</w:t>
      </w:r>
      <w:r>
        <w:rPr>
          <w:lang w:val="fr-FR"/>
        </w:rPr>
        <w:fldChar w:fldCharType="end"/>
      </w:r>
      <w:r>
        <w:rPr>
          <w:lang w:val="fr-FR"/>
        </w:rPr>
        <w:t xml:space="preserve"> p. 393.</w:t>
      </w:r>
    </w:p>
  </w:footnote>
  <w:footnote w:id="461">
    <w:p w14:paraId="2511D429" w14:textId="77777777" w:rsidR="00DE3AC9" w:rsidRPr="00DF1C6C" w:rsidRDefault="00DE3AC9" w:rsidP="007D5EBA">
      <w:pPr>
        <w:pStyle w:val="FootnoteText"/>
        <w:rPr>
          <w:lang w:val="fr-FR"/>
        </w:rPr>
      </w:pPr>
      <w:r>
        <w:rPr>
          <w:rStyle w:val="FootnoteReference"/>
        </w:rPr>
        <w:footnoteRef/>
      </w:r>
      <w:r w:rsidRPr="00DF1C6C">
        <w:rPr>
          <w:lang w:val="fr-FR"/>
        </w:rPr>
        <w:t xml:space="preserve"> </w:t>
      </w:r>
      <w:r>
        <w:rPr>
          <w:lang w:val="fr-FR"/>
        </w:rPr>
        <w:t>See chapter six.</w:t>
      </w:r>
    </w:p>
  </w:footnote>
  <w:footnote w:id="462">
    <w:p w14:paraId="3804ED61" w14:textId="77777777" w:rsidR="00DE3AC9" w:rsidRPr="00764FC2" w:rsidRDefault="00DE3AC9" w:rsidP="007D5EBA">
      <w:pPr>
        <w:pStyle w:val="FootnoteText"/>
        <w:rPr>
          <w:lang w:val="fr-FR"/>
        </w:rPr>
      </w:pPr>
      <w:r>
        <w:rPr>
          <w:rStyle w:val="FootnoteReference"/>
        </w:rPr>
        <w:footnoteRef/>
      </w:r>
      <w:r w:rsidRPr="00764FC2">
        <w:rPr>
          <w:lang w:val="fr-FR"/>
        </w:rPr>
        <w:t xml:space="preserve"> </w:t>
      </w:r>
      <w:r>
        <w:rPr>
          <w:i/>
          <w:iCs/>
          <w:lang w:val="fr-FR"/>
        </w:rPr>
        <w:t xml:space="preserve">La Voix du Pays, </w:t>
      </w:r>
      <w:r>
        <w:rPr>
          <w:lang w:val="fr-FR"/>
        </w:rPr>
        <w:t>8 February 1916.</w:t>
      </w:r>
    </w:p>
  </w:footnote>
  <w:footnote w:id="463">
    <w:p w14:paraId="30137CD4" w14:textId="77777777" w:rsidR="00DE3AC9" w:rsidRPr="00FD549B" w:rsidRDefault="00DE3AC9" w:rsidP="007D5EBA">
      <w:pPr>
        <w:pStyle w:val="FootnoteText"/>
        <w:rPr>
          <w:lang w:val="fr-FR"/>
        </w:rPr>
      </w:pPr>
      <w:r>
        <w:rPr>
          <w:rStyle w:val="FootnoteReference"/>
        </w:rPr>
        <w:footnoteRef/>
      </w:r>
      <w:r w:rsidRPr="00FD549B">
        <w:rPr>
          <w:lang w:val="fr-FR"/>
        </w:rPr>
        <w:t xml:space="preserve"> </w:t>
      </w:r>
      <w:r>
        <w:rPr>
          <w:lang w:val="fr-FR"/>
        </w:rPr>
        <w:fldChar w:fldCharType="begin"/>
      </w:r>
      <w:r>
        <w:rPr>
          <w:lang w:val="fr-FR"/>
        </w:rPr>
        <w:instrText xml:space="preserve"> ADDIN EN.CITE &lt;EndNote&gt;&lt;Cite&gt;&lt;Author&gt;Becker&lt;/Author&gt;&lt;Year&gt;2010&lt;/Year&gt;&lt;RecNum&gt;187&lt;/RecNum&gt;&lt;DisplayText&gt;Becker, &lt;style face="italic"&gt;War aims&lt;/style&gt;&lt;/DisplayText&gt;&lt;record&gt;&lt;rec-number&gt;187&lt;/rec-number&gt;&lt;foreign-keys&gt;&lt;key app="EN" db-id="2f5rvwawcsv2woetvw35fzwbdvvswerd0err"&gt;187&lt;/key&gt;&lt;/foreign-keys&gt;&lt;ref-type name="Book Section"&gt;5&lt;/ref-type&gt;&lt;contributors&gt;&lt;authors&gt;&lt;author&gt;Becker, Jean-Jacques&lt;/author&gt;&lt;/authors&gt;&lt;secondary-authors&gt;&lt;author&gt;J. Horne&lt;/author&gt;&lt;/secondary-authors&gt;&lt;/contributors&gt;&lt;titles&gt;&lt;title&gt;War aims and neutrality&lt;/title&gt;&lt;secondary-title&gt;A companion to World War One&lt;/secondary-title&gt;&lt;short-title&gt;War aims&lt;/short-title&gt;&lt;/titles&gt;&lt;dates&gt;&lt;year&gt;2010&lt;/year&gt;&lt;/dates&gt;&lt;pub-location&gt;Chichester&lt;/pub-location&gt;&lt;urls&gt;&lt;/urls&gt;&lt;/record&gt;&lt;/Cite&gt;&lt;/EndNote&gt;</w:instrText>
      </w:r>
      <w:r>
        <w:rPr>
          <w:lang w:val="fr-FR"/>
        </w:rPr>
        <w:fldChar w:fldCharType="separate"/>
      </w:r>
      <w:r>
        <w:rPr>
          <w:noProof/>
          <w:lang w:val="fr-FR"/>
        </w:rPr>
        <w:t xml:space="preserve">Becker, </w:t>
      </w:r>
      <w:r w:rsidRPr="007B7627">
        <w:rPr>
          <w:i/>
          <w:noProof/>
          <w:lang w:val="fr-FR"/>
        </w:rPr>
        <w:t>War aims</w:t>
      </w:r>
      <w:r>
        <w:rPr>
          <w:lang w:val="fr-FR"/>
        </w:rPr>
        <w:fldChar w:fldCharType="end"/>
      </w:r>
      <w:r w:rsidRPr="00FD549B">
        <w:rPr>
          <w:lang w:val="fr-FR"/>
        </w:rPr>
        <w:t>,</w:t>
      </w:r>
      <w:r>
        <w:rPr>
          <w:lang w:val="fr-FR"/>
        </w:rPr>
        <w:t xml:space="preserve"> p. 204 and </w:t>
      </w:r>
      <w:r>
        <w:rPr>
          <w:lang w:val="fr-FR"/>
        </w:rPr>
        <w:fldChar w:fldCharType="begin"/>
      </w:r>
      <w:r>
        <w:rPr>
          <w:lang w:val="fr-FR"/>
        </w:rPr>
        <w:instrText xml:space="preserve"> ADDIN EN.CITE &lt;EndNote&gt;&lt;Cite&gt;&lt;Author&gt;Becker&lt;/Author&gt;&lt;Year&gt;2008&lt;/Year&gt;&lt;RecNum&gt;343&lt;/RecNum&gt;&lt;DisplayText&gt;Becker, &lt;style face="italic"&gt;L&amp;apos;opinion publique française et l&amp;apos;Alsace-Lorraine&lt;/style&gt;&lt;/DisplayText&gt;&lt;record&gt;&lt;rec-number&gt;343&lt;/rec-number&gt;&lt;foreign-keys&gt;&lt;key app="EN" db-id="2f5rvwawcsv2woetvw35fzwbdvvswerd0err"&gt;343&lt;/key&gt;&lt;/foreign-keys&gt;&lt;ref-type name="Book Section"&gt;5&lt;/ref-type&gt;&lt;contributors&gt;&lt;authors&gt;&lt;author&gt;Becker, Jean-Jacques&lt;/author&gt;&lt;/authors&gt;&lt;secondary-authors&gt;&lt;author&gt;Grandhomme, Jean-Noël&lt;/author&gt;&lt;/secondary-authors&gt;&lt;/contributors&gt;&lt;titles&gt;&lt;title&gt;L&amp;apos;opinion publique française et l&amp;apos;Alsace-Lorraine&lt;/title&gt;&lt;secondary-title&gt;Boches ou tricolores: les Alsaciens-Lorrains dans la Grande Guerre&lt;/secondary-title&gt;&lt;/titles&gt;&lt;dates&gt;&lt;year&gt;2008&lt;/year&gt;&lt;/dates&gt;&lt;pub-location&gt;Strasbourg&lt;/pub-location&gt;&lt;urls&gt;&lt;/urls&gt;&lt;/record&gt;&lt;/Cite&gt;&lt;/EndNote&gt;</w:instrText>
      </w:r>
      <w:r>
        <w:rPr>
          <w:lang w:val="fr-FR"/>
        </w:rPr>
        <w:fldChar w:fldCharType="separate"/>
      </w:r>
      <w:r>
        <w:rPr>
          <w:noProof/>
          <w:lang w:val="fr-FR"/>
        </w:rPr>
        <w:t xml:space="preserve">Becker, </w:t>
      </w:r>
      <w:r w:rsidRPr="00E55B1D">
        <w:rPr>
          <w:i/>
          <w:noProof/>
          <w:lang w:val="fr-FR"/>
        </w:rPr>
        <w:t>L'opinion publique française et l'Alsace-Lorraine</w:t>
      </w:r>
      <w:r>
        <w:rPr>
          <w:lang w:val="fr-FR"/>
        </w:rPr>
        <w:fldChar w:fldCharType="end"/>
      </w:r>
      <w:r>
        <w:rPr>
          <w:lang w:val="fr-FR"/>
        </w:rPr>
        <w:t>, p. 40.</w:t>
      </w:r>
    </w:p>
  </w:footnote>
  <w:footnote w:id="464">
    <w:p w14:paraId="76A89BA4" w14:textId="77777777" w:rsidR="00DE3AC9" w:rsidRPr="000E327A" w:rsidRDefault="00DE3AC9" w:rsidP="007D5EBA">
      <w:pPr>
        <w:pStyle w:val="FootnoteText"/>
        <w:rPr>
          <w:lang w:val="fr-FR"/>
        </w:rPr>
      </w:pPr>
      <w:r>
        <w:rPr>
          <w:rStyle w:val="FootnoteReference"/>
        </w:rPr>
        <w:footnoteRef/>
      </w:r>
      <w:r w:rsidRPr="000E327A">
        <w:rPr>
          <w:lang w:val="fr-FR"/>
        </w:rPr>
        <w:t xml:space="preserve"> </w:t>
      </w:r>
      <w:r>
        <w:rPr>
          <w:i/>
          <w:iCs/>
          <w:lang w:val="fr-FR"/>
        </w:rPr>
        <w:t>La Voix du Pays</w:t>
      </w:r>
      <w:r>
        <w:rPr>
          <w:lang w:val="fr-FR"/>
        </w:rPr>
        <w:t>, 25 September 1917.</w:t>
      </w:r>
    </w:p>
  </w:footnote>
  <w:footnote w:id="465">
    <w:p w14:paraId="3D67DF7C" w14:textId="77777777" w:rsidR="00DE3AC9" w:rsidRPr="00C9082E" w:rsidRDefault="00DE3AC9" w:rsidP="007D5EBA">
      <w:pPr>
        <w:pStyle w:val="FootnoteText"/>
        <w:rPr>
          <w:lang w:val="fr-FR"/>
        </w:rPr>
      </w:pPr>
      <w:r>
        <w:rPr>
          <w:rStyle w:val="FootnoteReference"/>
        </w:rPr>
        <w:footnoteRef/>
      </w:r>
      <w:r w:rsidRPr="00C9082E">
        <w:rPr>
          <w:lang w:val="fr-FR"/>
        </w:rPr>
        <w:t xml:space="preserve"> </w:t>
      </w:r>
      <w:r>
        <w:rPr>
          <w:i/>
          <w:iCs/>
          <w:lang w:val="fr-FR"/>
        </w:rPr>
        <w:t xml:space="preserve">La Voix du Pays, </w:t>
      </w:r>
      <w:r>
        <w:rPr>
          <w:lang w:val="fr-FR"/>
        </w:rPr>
        <w:t>5 March 1918.</w:t>
      </w:r>
    </w:p>
  </w:footnote>
  <w:footnote w:id="466">
    <w:p w14:paraId="54F56A18" w14:textId="77777777" w:rsidR="00DE3AC9" w:rsidRPr="009D54D8" w:rsidRDefault="00DE3AC9" w:rsidP="007D5EBA">
      <w:pPr>
        <w:pStyle w:val="FootnoteText"/>
        <w:rPr>
          <w:lang w:val="fr-FR"/>
        </w:rPr>
      </w:pPr>
      <w:r>
        <w:rPr>
          <w:rStyle w:val="FootnoteReference"/>
        </w:rPr>
        <w:footnoteRef/>
      </w:r>
      <w:r w:rsidRPr="009D54D8">
        <w:rPr>
          <w:lang w:val="fr-FR"/>
        </w:rPr>
        <w:t xml:space="preserve"> </w:t>
      </w:r>
      <w:r>
        <w:rPr>
          <w:i/>
          <w:iCs/>
          <w:lang w:val="fr-FR"/>
        </w:rPr>
        <w:t>Le Courrier de l’Air</w:t>
      </w:r>
      <w:r>
        <w:rPr>
          <w:lang w:val="fr-FR"/>
        </w:rPr>
        <w:t>, 8 June 1917 and 18 January 1918.</w:t>
      </w:r>
    </w:p>
  </w:footnote>
  <w:footnote w:id="467">
    <w:p w14:paraId="65F3F096" w14:textId="77777777" w:rsidR="00DE3AC9" w:rsidRPr="00C81451" w:rsidRDefault="00DE3AC9" w:rsidP="007D5EBA">
      <w:pPr>
        <w:pStyle w:val="FootnoteText"/>
        <w:rPr>
          <w:lang w:val="fr-FR"/>
        </w:rPr>
      </w:pPr>
      <w:r>
        <w:rPr>
          <w:rStyle w:val="FootnoteReference"/>
        </w:rPr>
        <w:footnoteRef/>
      </w:r>
      <w:r w:rsidRPr="00C81451">
        <w:rPr>
          <w:lang w:val="fr-FR"/>
        </w:rPr>
        <w:t xml:space="preserve"> </w:t>
      </w:r>
      <w:r>
        <w:rPr>
          <w:i/>
          <w:iCs/>
          <w:lang w:val="fr-FR"/>
        </w:rPr>
        <w:t>Le Courrier de l’Air</w:t>
      </w:r>
      <w:r>
        <w:rPr>
          <w:lang w:val="fr-FR"/>
        </w:rPr>
        <w:t>, 21 December 1917</w:t>
      </w:r>
    </w:p>
  </w:footnote>
  <w:footnote w:id="468">
    <w:p w14:paraId="5A618A79" w14:textId="77777777" w:rsidR="00DE3AC9" w:rsidRPr="002D1D14" w:rsidRDefault="00DE3AC9" w:rsidP="007D5EBA">
      <w:pPr>
        <w:pStyle w:val="FootnoteText"/>
        <w:rPr>
          <w:lang w:val="fr-FR"/>
        </w:rPr>
      </w:pPr>
      <w:r>
        <w:rPr>
          <w:rStyle w:val="FootnoteReference"/>
        </w:rPr>
        <w:footnoteRef/>
      </w:r>
      <w:r w:rsidRPr="002D1D14">
        <w:rPr>
          <w:lang w:val="fr-FR"/>
        </w:rPr>
        <w:t xml:space="preserve"> </w:t>
      </w:r>
      <w:r>
        <w:rPr>
          <w:lang w:val="fr-FR"/>
        </w:rPr>
        <w:fldChar w:fldCharType="begin"/>
      </w:r>
      <w:r>
        <w:rPr>
          <w:lang w:val="fr-FR"/>
        </w:rP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FR"/>
        </w:rPr>
        <w:fldChar w:fldCharType="separate"/>
      </w:r>
      <w:r>
        <w:rPr>
          <w:noProof/>
          <w:lang w:val="fr-FR"/>
        </w:rPr>
        <w:t xml:space="preserve">Horne, </w:t>
      </w:r>
      <w:r w:rsidRPr="007B7627">
        <w:rPr>
          <w:i/>
          <w:noProof/>
          <w:lang w:val="fr-FR"/>
        </w:rPr>
        <w:t>Remobilizing</w:t>
      </w:r>
      <w:r>
        <w:rPr>
          <w:lang w:val="fr-FR"/>
        </w:rPr>
        <w:fldChar w:fldCharType="end"/>
      </w:r>
      <w:r w:rsidRPr="002D1D14">
        <w:rPr>
          <w:lang w:val="fr-FR"/>
        </w:rPr>
        <w:t>, p. 204.</w:t>
      </w:r>
    </w:p>
  </w:footnote>
  <w:footnote w:id="469">
    <w:p w14:paraId="6B0A37F2" w14:textId="77777777" w:rsidR="00DE3AC9" w:rsidRPr="009A0A90" w:rsidRDefault="00DE3AC9" w:rsidP="007D5EBA">
      <w:pPr>
        <w:pStyle w:val="FootnoteText"/>
        <w:rPr>
          <w:lang w:val="fr-FR"/>
        </w:rPr>
      </w:pPr>
      <w:r>
        <w:rPr>
          <w:rStyle w:val="FootnoteReference"/>
        </w:rPr>
        <w:footnoteRef/>
      </w:r>
      <w:r w:rsidRPr="009A0A90">
        <w:rPr>
          <w:lang w:val="fr-FR"/>
        </w:rPr>
        <w:t xml:space="preserve"> </w:t>
      </w:r>
      <w:r>
        <w:rPr>
          <w:i/>
          <w:iCs/>
          <w:lang w:val="fr-FR"/>
        </w:rPr>
        <w:t>Le Courrier de l’Air</w:t>
      </w:r>
      <w:r>
        <w:rPr>
          <w:lang w:val="fr-FR"/>
        </w:rPr>
        <w:t>, 28 December 1917.</w:t>
      </w:r>
    </w:p>
  </w:footnote>
  <w:footnote w:id="470">
    <w:p w14:paraId="02111FA7" w14:textId="77777777" w:rsidR="00DE3AC9" w:rsidRPr="00A74F4A" w:rsidRDefault="00DE3AC9" w:rsidP="007D5EBA">
      <w:pPr>
        <w:pStyle w:val="FootnoteText"/>
        <w:rPr>
          <w:lang w:val="fr-FR"/>
        </w:rPr>
      </w:pPr>
      <w:r>
        <w:rPr>
          <w:rStyle w:val="FootnoteReference"/>
        </w:rPr>
        <w:footnoteRef/>
      </w:r>
      <w:r w:rsidRPr="00A74F4A">
        <w:rPr>
          <w:lang w:val="fr-FR"/>
        </w:rPr>
        <w:t xml:space="preserve"> </w:t>
      </w:r>
      <w:r>
        <w:rPr>
          <w:i/>
          <w:iCs/>
          <w:lang w:val="fr-FR"/>
        </w:rPr>
        <w:t>Le Courrier de l’Air</w:t>
      </w:r>
      <w:r>
        <w:rPr>
          <w:lang w:val="fr-FR"/>
        </w:rPr>
        <w:t>, 11 January 1918.</w:t>
      </w:r>
    </w:p>
  </w:footnote>
  <w:footnote w:id="471">
    <w:p w14:paraId="65F7E9F6" w14:textId="77777777" w:rsidR="00DE3AC9" w:rsidRPr="00086B27" w:rsidRDefault="00DE3AC9" w:rsidP="007D5EBA">
      <w:pPr>
        <w:pStyle w:val="FootnoteText"/>
        <w:rPr>
          <w:lang w:val="fr-FR"/>
        </w:rPr>
      </w:pPr>
      <w:r>
        <w:rPr>
          <w:rStyle w:val="FootnoteReference"/>
        </w:rPr>
        <w:footnoteRef/>
      </w:r>
      <w:r w:rsidRPr="00086B27">
        <w:rPr>
          <w:lang w:val="fr-FR"/>
        </w:rPr>
        <w:t xml:space="preserve"> </w:t>
      </w:r>
      <w:r>
        <w:rPr>
          <w:i/>
          <w:iCs/>
          <w:lang w:val="fr-FR"/>
        </w:rPr>
        <w:t>La Voix du Pays</w:t>
      </w:r>
      <w:r>
        <w:rPr>
          <w:lang w:val="fr-FR"/>
        </w:rPr>
        <w:t>, 8 January 1918.</w:t>
      </w:r>
    </w:p>
  </w:footnote>
  <w:footnote w:id="472">
    <w:p w14:paraId="72D76738" w14:textId="77777777" w:rsidR="00DE3AC9" w:rsidRPr="00C50E28" w:rsidRDefault="00DE3AC9" w:rsidP="007D5EBA">
      <w:pPr>
        <w:pStyle w:val="FootnoteText"/>
      </w:pPr>
      <w:r>
        <w:rPr>
          <w:rStyle w:val="FootnoteReference"/>
        </w:rPr>
        <w:footnoteRef/>
      </w:r>
      <w:r w:rsidRPr="00C50E28">
        <w:t xml:space="preserve"> </w:t>
      </w:r>
      <w:r>
        <w:rPr>
          <w:lang w:val="nl-NL"/>
        </w:rPr>
        <w:fldChar w:fldCharType="begin"/>
      </w:r>
      <w:r>
        <w:instrText xml:space="preserve"> ADDIN EN.CITE &lt;EndNote&gt;&lt;Cite&gt;&lt;Author&gt;Lunn&lt;/Author&gt;&lt;Year&gt;1999&lt;/Year&gt;&lt;RecNum&gt;200&lt;/RecNum&gt;&lt;DisplayText&gt;Joe Lunn, &amp;apos;&amp;apos;Les Races Guerrières&amp;apos;: racial preconceptions in the French military about West African soldiers during the First World War&amp;apos;, in: &lt;style face="italic"&gt;Journal of Contemporary History, &lt;/style&gt;34 (1999), &lt;/DisplayText&gt;&lt;record&gt;&lt;rec-number&gt;200&lt;/rec-number&gt;&lt;foreign-keys&gt;&lt;key app="EN" db-id="2f5rvwawcsv2woetvw35fzwbdvvswerd0err"&gt;200&lt;/key&gt;&lt;/foreign-keys&gt;&lt;ref-type name="Journal Article"&gt;17&lt;/ref-type&gt;&lt;contributors&gt;&lt;authors&gt;&lt;author&gt;Lunn, Joe&lt;/author&gt;&lt;/authors&gt;&lt;/contributors&gt;&lt;titles&gt;&lt;title&gt;&amp;apos;Les Races Guerrières&amp;apos;: racial preconceptions in the French military about West African soldiers during the First World War&lt;/title&gt;&lt;secondary-title&gt;Journal of Contemporary History&lt;/secondary-title&gt;&lt;short-title&gt;Les races&lt;/short-title&gt;&lt;/titles&gt;&lt;periodical&gt;&lt;full-title&gt;Journal of Contemporary History&lt;/full-title&gt;&lt;/periodical&gt;&lt;volume&gt;34&lt;/volume&gt;&lt;dates&gt;&lt;year&gt;1999&lt;/year&gt;&lt;/dates&gt;&lt;urls&gt;&lt;/urls&gt;&lt;/record&gt;&lt;/Cite&gt;&lt;/EndNote&gt;</w:instrText>
      </w:r>
      <w:r>
        <w:rPr>
          <w:lang w:val="nl-NL"/>
        </w:rPr>
        <w:fldChar w:fldCharType="separate"/>
      </w:r>
      <w:r w:rsidRPr="00FD549B">
        <w:rPr>
          <w:noProof/>
        </w:rPr>
        <w:t xml:space="preserve">Joe Lunn, ''Les Races Guerrières': racial preconceptions in the French military about West African soldiers during the First World War', in: </w:t>
      </w:r>
      <w:r w:rsidRPr="00FD549B">
        <w:rPr>
          <w:i/>
          <w:noProof/>
        </w:rPr>
        <w:t xml:space="preserve">Journal of Contemporary History, </w:t>
      </w:r>
      <w:r w:rsidRPr="00FD549B">
        <w:rPr>
          <w:noProof/>
        </w:rPr>
        <w:t xml:space="preserve">34 (1999), </w:t>
      </w:r>
      <w:r>
        <w:rPr>
          <w:lang w:val="nl-NL"/>
        </w:rPr>
        <w:fldChar w:fldCharType="end"/>
      </w:r>
      <w:r w:rsidRPr="00C50E28">
        <w:t>p. 533.</w:t>
      </w:r>
    </w:p>
  </w:footnote>
  <w:footnote w:id="473">
    <w:p w14:paraId="4C9FD2EB" w14:textId="77777777" w:rsidR="00DE3AC9" w:rsidRPr="00FD549B" w:rsidRDefault="00DE3AC9" w:rsidP="007D5EBA">
      <w:pPr>
        <w:pStyle w:val="FootnoteText"/>
      </w:pPr>
      <w:r>
        <w:rPr>
          <w:rStyle w:val="FootnoteReference"/>
        </w:rPr>
        <w:footnoteRef/>
      </w:r>
      <w:r w:rsidRPr="00FD549B">
        <w:t xml:space="preserve"> </w:t>
      </w:r>
      <w:r>
        <w:rPr>
          <w:lang w:val="nl-NL"/>
        </w:rPr>
        <w:fldChar w:fldCharType="begin"/>
      </w:r>
      <w: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nl-NL"/>
        </w:rPr>
        <w:fldChar w:fldCharType="separate"/>
      </w:r>
      <w:r w:rsidRPr="007B7627">
        <w:rPr>
          <w:noProof/>
        </w:rPr>
        <w:t xml:space="preserve">Horne, </w:t>
      </w:r>
      <w:r w:rsidRPr="007B7627">
        <w:rPr>
          <w:i/>
          <w:noProof/>
        </w:rPr>
        <w:t>Remobilizing</w:t>
      </w:r>
      <w:r>
        <w:rPr>
          <w:lang w:val="nl-NL"/>
        </w:rPr>
        <w:fldChar w:fldCharType="end"/>
      </w:r>
      <w:r w:rsidRPr="00FD549B">
        <w:t>, p. 205.</w:t>
      </w:r>
    </w:p>
  </w:footnote>
  <w:footnote w:id="474">
    <w:p w14:paraId="2A6B59B7" w14:textId="77777777" w:rsidR="00DE3AC9" w:rsidRPr="00FD549B" w:rsidRDefault="00DE3AC9" w:rsidP="007D5EBA">
      <w:pPr>
        <w:pStyle w:val="FootnoteText"/>
      </w:pPr>
      <w:r>
        <w:rPr>
          <w:rStyle w:val="FootnoteReference"/>
        </w:rPr>
        <w:footnoteRef/>
      </w:r>
      <w:r w:rsidRPr="00FD549B">
        <w:t xml:space="preserve"> </w:t>
      </w:r>
      <w:r>
        <w:rPr>
          <w:lang w:val="fr-FR"/>
        </w:rPr>
        <w:fldChar w:fldCharType="begin"/>
      </w:r>
      <w:r>
        <w:instrText xml:space="preserve"> ADDIN EN.CITE &lt;EndNote&gt;&lt;Cite&gt;&lt;Author&gt;Flood&lt;/Author&gt;&lt;Year&gt;1990&lt;/Year&gt;&lt;RecNum&gt;191&lt;/RecNum&gt;&lt;DisplayText&gt;Flood, &lt;style face="italic"&gt;France&lt;/style&gt;&lt;/DisplayText&gt;&lt;record&gt;&lt;rec-number&gt;191&lt;/rec-number&gt;&lt;foreign-keys&gt;&lt;key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rPr>
          <w:lang w:val="fr-FR"/>
        </w:rPr>
        <w:fldChar w:fldCharType="separate"/>
      </w:r>
      <w:r w:rsidRPr="007B7627">
        <w:rPr>
          <w:noProof/>
        </w:rPr>
        <w:t xml:space="preserve">Flood, </w:t>
      </w:r>
      <w:r w:rsidRPr="007B7627">
        <w:rPr>
          <w:i/>
          <w:noProof/>
        </w:rPr>
        <w:t>France</w:t>
      </w:r>
      <w:r>
        <w:rPr>
          <w:lang w:val="fr-FR"/>
        </w:rPr>
        <w:fldChar w:fldCharType="end"/>
      </w:r>
      <w:r w:rsidRPr="00FD549B">
        <w:t>, p. 178.</w:t>
      </w:r>
    </w:p>
  </w:footnote>
  <w:footnote w:id="475">
    <w:p w14:paraId="735D7ADF" w14:textId="77777777" w:rsidR="00DE3AC9" w:rsidRPr="004A7BFA" w:rsidRDefault="00DE3AC9" w:rsidP="007D5EBA">
      <w:pPr>
        <w:pStyle w:val="FootnoteText"/>
      </w:pPr>
      <w:r>
        <w:rPr>
          <w:rStyle w:val="FootnoteReference"/>
        </w:rPr>
        <w:footnoteRef/>
      </w:r>
      <w:r>
        <w:t xml:space="preserve"> </w:t>
      </w:r>
      <w:r>
        <w:fldChar w:fldCharType="begin"/>
      </w:r>
      <w: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Pr>
          <w:noProof/>
        </w:rPr>
        <w:t xml:space="preserve">Nivet, </w:t>
      </w:r>
      <w:r w:rsidRPr="004A7BFA">
        <w:rPr>
          <w:i/>
          <w:noProof/>
        </w:rPr>
        <w:t>La France</w:t>
      </w:r>
      <w:r>
        <w:fldChar w:fldCharType="end"/>
      </w:r>
      <w:r>
        <w:t>, p. 177.</w:t>
      </w:r>
    </w:p>
  </w:footnote>
  <w:footnote w:id="476">
    <w:p w14:paraId="643FC275" w14:textId="77777777" w:rsidR="00DE3AC9" w:rsidRPr="006D5F0A" w:rsidRDefault="00DE3AC9" w:rsidP="007D5EBA">
      <w:pPr>
        <w:pStyle w:val="FootnoteText"/>
      </w:pPr>
      <w:r>
        <w:rPr>
          <w:rStyle w:val="FootnoteReference"/>
        </w:rPr>
        <w:footnoteRef/>
      </w:r>
      <w:r w:rsidRPr="006D5F0A">
        <w:t xml:space="preserve"> A. Becker, ‘Faith, ideologies, and the</w:t>
      </w:r>
      <w:r>
        <w:t xml:space="preserve"> </w:t>
      </w:r>
      <w:r w:rsidRPr="006D5F0A">
        <w:t>”cultures of war</w:t>
      </w:r>
      <w:r>
        <w:t xml:space="preserve">”’, in: </w:t>
      </w:r>
      <w:r>
        <w:rPr>
          <w:i/>
          <w:iCs/>
        </w:rPr>
        <w:t>A companion to World War One</w:t>
      </w:r>
      <w:r>
        <w:t>, ed. by J. Horne (United Kingdom, 2010), pp. 234-235.</w:t>
      </w:r>
    </w:p>
  </w:footnote>
  <w:footnote w:id="477">
    <w:p w14:paraId="7D13EFAC" w14:textId="77777777" w:rsidR="00DE3AC9" w:rsidRPr="007B0BC1" w:rsidRDefault="00DE3AC9" w:rsidP="007D5EBA">
      <w:pPr>
        <w:pStyle w:val="FootnoteText"/>
        <w:rPr>
          <w:lang w:val="fr-FR"/>
        </w:rPr>
      </w:pPr>
      <w:r>
        <w:rPr>
          <w:rStyle w:val="FootnoteReference"/>
        </w:rPr>
        <w:footnoteRef/>
      </w:r>
      <w:r w:rsidRPr="007D267F">
        <w:rPr>
          <w:lang w:val="fr-FR"/>
        </w:rPr>
        <w:t xml:space="preserve"> </w:t>
      </w:r>
      <w:r>
        <w:rPr>
          <w:lang w:val="fr-FR"/>
        </w:rPr>
        <w:fldChar w:fldCharType="begin"/>
      </w:r>
      <w:r>
        <w:rPr>
          <w:lang w:val="fr-FR"/>
        </w:rPr>
        <w:instrText xml:space="preserve"> ADDIN EN.CITE &lt;EndNote&gt;&lt;Cite&gt;&lt;Author&gt;Bock&lt;/Author&gt;&lt;Year&gt;2004&lt;/Year&gt;&lt;RecNum&gt;192&lt;/RecNum&gt;&lt;DisplayText&gt;Fabienne Bock, &amp;apos;Parlement, pouvoir civil et pouvoir militaire (Allemagne, France, Italie, Royaume-Uni)&amp;apos;, in: &lt;style face="italic"&gt;Encyclopédie de la Grande Guerre 1914-1918, &lt;/style&gt;ed. by Stéphane Audoin-Rouzeau and Jean-Jacques Becker (Paris, 2004),&lt;/DisplayText&gt;&lt;record&gt;&lt;rec-number&gt;192&lt;/rec-number&gt;&lt;foreign-keys&gt;&lt;key app="EN" db-id="2f5rvwawcsv2woetvw35fzwbdvvswerd0err"&gt;192&lt;/key&gt;&lt;/foreign-keys&gt;&lt;ref-type name="Book Section"&gt;5&lt;/ref-type&gt;&lt;contributors&gt;&lt;authors&gt;&lt;author&gt;Bock, Fabienne&lt;/author&gt;&lt;/authors&gt;&lt;secondary-authors&gt;&lt;author&gt;Stéphane Audoin-Rouzeau&lt;/author&gt;&lt;author&gt;Jean-Jacques Becker&lt;/author&gt;&lt;/secondary-authors&gt;&lt;/contributors&gt;&lt;titles&gt;&lt;title&gt;Parlement, pouvoir civil et pouvoir militaire (Allemagne, France, Italie, Royaume-Uni)&lt;/title&gt;&lt;secondary-title&gt;Encyclopédie de la Grande Guerre 1914-1918&lt;/secondary-title&gt;&lt;short-title&gt;Parlement&lt;/short-title&gt;&lt;/titles&gt;&lt;dates&gt;&lt;year&gt;2004&lt;/year&gt;&lt;/dates&gt;&lt;pub-location&gt;Paris&lt;/pub-location&gt;&lt;urls&gt;&lt;/urls&gt;&lt;/record&gt;&lt;/Cite&gt;&lt;/EndNote&gt;</w:instrText>
      </w:r>
      <w:r>
        <w:rPr>
          <w:lang w:val="fr-FR"/>
        </w:rPr>
        <w:fldChar w:fldCharType="separate"/>
      </w:r>
      <w:r>
        <w:rPr>
          <w:noProof/>
          <w:lang w:val="fr-FR"/>
        </w:rPr>
        <w:t xml:space="preserve">Fabienne Bock, 'Parlement, pouvoir civil et pouvoir militaire (Allemagne, France, Italie, Royaume-Uni)', in: </w:t>
      </w:r>
      <w:r w:rsidRPr="00FD549B">
        <w:rPr>
          <w:i/>
          <w:noProof/>
          <w:lang w:val="fr-FR"/>
        </w:rPr>
        <w:t xml:space="preserve">Encyclopédie de la Grande Guerre 1914-1918, </w:t>
      </w:r>
      <w:r>
        <w:rPr>
          <w:noProof/>
          <w:lang w:val="fr-FR"/>
        </w:rPr>
        <w:t>ed. by Stéphane Audoin-Rouzeau and Jean-Jacques Becker (Paris, 2004),</w:t>
      </w:r>
      <w:r>
        <w:rPr>
          <w:lang w:val="fr-FR"/>
        </w:rPr>
        <w:fldChar w:fldCharType="end"/>
      </w:r>
      <w:r w:rsidRPr="007B0BC1">
        <w:rPr>
          <w:lang w:val="fr-FR"/>
        </w:rPr>
        <w:t xml:space="preserve"> pp. 495-496.</w:t>
      </w:r>
    </w:p>
  </w:footnote>
  <w:footnote w:id="478">
    <w:p w14:paraId="00DE8C47" w14:textId="77777777" w:rsidR="00DE3AC9" w:rsidRPr="002D6DCC" w:rsidRDefault="00DE3AC9" w:rsidP="007D5EBA">
      <w:pPr>
        <w:pStyle w:val="FootnoteText"/>
      </w:pPr>
      <w:r>
        <w:rPr>
          <w:rStyle w:val="FootnoteReference"/>
        </w:rPr>
        <w:footnoteRef/>
      </w:r>
      <w:r>
        <w:t xml:space="preserve"> </w:t>
      </w:r>
      <w:r w:rsidRPr="002D6DCC">
        <w:t xml:space="preserve">See for example </w:t>
      </w:r>
      <w:r w:rsidRPr="002D6DCC">
        <w:rPr>
          <w:i/>
          <w:iCs/>
        </w:rPr>
        <w:t>Le Courrier de l’Air</w:t>
      </w:r>
      <w:r w:rsidRPr="002D6DCC">
        <w:t>, 13 April</w:t>
      </w:r>
      <w:r>
        <w:t xml:space="preserve"> 1917, 27 April 1917, 13 July 1917, 20 July 1918, 21 September 1917, 9 November 1917, 14 March 1918, 21 March 1918, 11 April 1918, 25 April 1918, 9 May 1918, 23 May 1918, 20 June 1918, 8 August 1918, 15 August 1918, 5 September 1918, 12 September 1918 and 26 September 1918.</w:t>
      </w:r>
    </w:p>
  </w:footnote>
  <w:footnote w:id="479">
    <w:p w14:paraId="74B83DC1" w14:textId="77777777" w:rsidR="00DE3AC9" w:rsidRPr="00AA40BF" w:rsidRDefault="00DE3AC9" w:rsidP="007D5EBA">
      <w:pPr>
        <w:pStyle w:val="FootnoteText"/>
      </w:pPr>
      <w:r>
        <w:rPr>
          <w:rStyle w:val="FootnoteReference"/>
        </w:rPr>
        <w:footnoteRef/>
      </w:r>
      <w:r w:rsidRPr="00AA40BF">
        <w:t xml:space="preserve"> See Chapter six.</w:t>
      </w:r>
    </w:p>
  </w:footnote>
  <w:footnote w:id="480">
    <w:p w14:paraId="5B261DA2" w14:textId="77777777" w:rsidR="00DE3AC9" w:rsidRPr="007D3F9A" w:rsidRDefault="00DE3AC9" w:rsidP="007D5EBA">
      <w:pPr>
        <w:pStyle w:val="FootnoteText"/>
      </w:pPr>
      <w:r>
        <w:rPr>
          <w:rStyle w:val="FootnoteReference"/>
        </w:rPr>
        <w:footnoteRef/>
      </w:r>
      <w:r w:rsidRPr="00D35BA3">
        <w:t xml:space="preserve"> </w:t>
      </w:r>
      <w:r>
        <w:rPr>
          <w:lang w:val="fr-FR"/>
        </w:rPr>
        <w:fldChar w:fldCharType="begin"/>
      </w:r>
      <w:r w:rsidRPr="00D35BA3">
        <w:instrText xml:space="preserve"> ADDIN EN.CITE &lt;EndNote&gt;&lt;Cite&gt;&lt;Author&gt;Monger&lt;/Author&gt;&lt;Year&gt;2011&lt;/Year&gt;&lt;RecNum&gt;330&lt;/RecNum&gt;&lt;DisplayText&gt;David Monger, &amp;apos;Soldiers, propaganda and ideas of home and community in First World War Britain&amp;apos;, in: &lt;style face="italic"&gt;Cultural and Social History, &lt;/style&gt;8 (2011), &lt;/DisplayText&gt;&lt;record&gt;&lt;rec-number&gt;330&lt;/rec-number&gt;&lt;foreign-keys&gt;&lt;key app="EN" db-id="2f5rvwawcsv2woetvw35fzwbdvvswerd0err"&gt;330&lt;/key&gt;&lt;/foreign-keys&gt;&lt;ref-type name="Journal Article"&gt;17&lt;/ref-type&gt;&lt;contributors&gt;&lt;authors&gt;&lt;author&gt;Monger, David&lt;/author&gt;&lt;/authors&gt;&lt;/contributors&gt;&lt;titles&gt;&lt;title&gt;Soldiers, propaganda and ideas of home and community in First World War Britain&lt;/title&gt;&lt;secondary-title&gt;Cultural and Social History&lt;/secondary-title&gt;&lt;short-title&gt;Soldiers, propaganda and ideas&lt;/short-title&gt;&lt;/titles&gt;&lt;periodical&gt;&lt;full-title&gt;Cultural and Social History&lt;/full-title&gt;&lt;/periodical&gt;&lt;volume&gt;8&lt;/volume&gt;&lt;dates&gt;&lt;year&gt;2011&lt;/year&gt;&lt;/dates&gt;&lt;urls&gt;&lt;/urls&gt;&lt;/record&gt;&lt;/Cite&gt;&lt;/EndNote&gt;</w:instrText>
      </w:r>
      <w:r>
        <w:rPr>
          <w:lang w:val="fr-FR"/>
        </w:rPr>
        <w:fldChar w:fldCharType="separate"/>
      </w:r>
      <w:r w:rsidRPr="00D35BA3">
        <w:rPr>
          <w:noProof/>
        </w:rPr>
        <w:t xml:space="preserve">David Monger, 'Soldiers, propaganda and ideas of home and community in First World War Britain', in: </w:t>
      </w:r>
      <w:r w:rsidRPr="00D35BA3">
        <w:rPr>
          <w:i/>
          <w:noProof/>
        </w:rPr>
        <w:t xml:space="preserve">Cultural and Social History, </w:t>
      </w:r>
      <w:r w:rsidRPr="00D35BA3">
        <w:rPr>
          <w:noProof/>
        </w:rPr>
        <w:t xml:space="preserve">8 (2011), </w:t>
      </w:r>
      <w:r>
        <w:rPr>
          <w:lang w:val="fr-FR"/>
        </w:rPr>
        <w:fldChar w:fldCharType="end"/>
      </w:r>
      <w:r w:rsidRPr="007D3F9A">
        <w:t>pp. 33</w:t>
      </w:r>
      <w:r>
        <w:t>3-334.</w:t>
      </w:r>
    </w:p>
  </w:footnote>
  <w:footnote w:id="481">
    <w:p w14:paraId="604BB348" w14:textId="77777777" w:rsidR="00DE3AC9" w:rsidRPr="00FF6E83" w:rsidRDefault="00DE3AC9" w:rsidP="007D5EBA">
      <w:pPr>
        <w:pStyle w:val="FootnoteText"/>
        <w:rPr>
          <w:lang w:val="fr-FR"/>
        </w:rPr>
      </w:pPr>
      <w:r>
        <w:rPr>
          <w:rStyle w:val="FootnoteReference"/>
        </w:rPr>
        <w:footnoteRef/>
      </w:r>
      <w:r w:rsidRPr="00FF6E83">
        <w:rPr>
          <w:lang w:val="fr-FR"/>
        </w:rPr>
        <w:t xml:space="preserve"> </w:t>
      </w:r>
      <w:r>
        <w:rPr>
          <w:i/>
          <w:iCs/>
          <w:lang w:val="fr-FR"/>
        </w:rPr>
        <w:t>La Voix du Pays</w:t>
      </w:r>
      <w:r>
        <w:rPr>
          <w:lang w:val="fr-FR"/>
        </w:rPr>
        <w:t>, 25 January 1916.</w:t>
      </w:r>
    </w:p>
  </w:footnote>
  <w:footnote w:id="482">
    <w:p w14:paraId="5329AC6B" w14:textId="77777777" w:rsidR="00DE3AC9" w:rsidRPr="00055AAD" w:rsidRDefault="00DE3AC9" w:rsidP="007D5EBA">
      <w:pPr>
        <w:pStyle w:val="FootnoteText"/>
        <w:rPr>
          <w:lang w:val="fr-FR"/>
        </w:rPr>
      </w:pPr>
      <w:r>
        <w:rPr>
          <w:rStyle w:val="FootnoteReference"/>
        </w:rPr>
        <w:footnoteRef/>
      </w:r>
      <w:r w:rsidRPr="00055AAD">
        <w:rPr>
          <w:lang w:val="fr-FR"/>
        </w:rPr>
        <w:t xml:space="preserve"> </w:t>
      </w:r>
      <w:r>
        <w:rPr>
          <w:i/>
          <w:iCs/>
          <w:lang w:val="fr-FR"/>
        </w:rPr>
        <w:t>La Voix du Pays</w:t>
      </w:r>
      <w:r>
        <w:rPr>
          <w:lang w:val="fr-FR"/>
        </w:rPr>
        <w:t>, 25 July 1916.</w:t>
      </w:r>
    </w:p>
  </w:footnote>
  <w:footnote w:id="483">
    <w:p w14:paraId="00C867DB" w14:textId="77777777" w:rsidR="00DE3AC9" w:rsidRPr="001A1A6C" w:rsidRDefault="00DE3AC9" w:rsidP="007D5EBA">
      <w:pPr>
        <w:pStyle w:val="FootnoteText"/>
        <w:rPr>
          <w:lang w:val="fr-FR"/>
        </w:rPr>
      </w:pPr>
      <w:r>
        <w:rPr>
          <w:rStyle w:val="FootnoteReference"/>
        </w:rPr>
        <w:footnoteRef/>
      </w:r>
      <w:r w:rsidRPr="000E327A">
        <w:rPr>
          <w:lang w:val="fr-FR"/>
        </w:rPr>
        <w:t xml:space="preserve"> </w:t>
      </w:r>
      <w:r>
        <w:rPr>
          <w:i/>
          <w:iCs/>
          <w:lang w:val="fr-FR"/>
        </w:rPr>
        <w:t xml:space="preserve">La Voix du Pays, </w:t>
      </w:r>
      <w:r>
        <w:rPr>
          <w:lang w:val="fr-FR"/>
        </w:rPr>
        <w:t xml:space="preserve">20 November 1917. </w:t>
      </w:r>
      <w:r w:rsidRPr="005C7BEE">
        <w:rPr>
          <w:lang w:val="fr-FR"/>
        </w:rPr>
        <w:t xml:space="preserve">This burning topic has been explored recently by </w:t>
      </w:r>
      <w:r>
        <w:fldChar w:fldCharType="begin"/>
      </w:r>
      <w:r w:rsidRPr="005C7BEE">
        <w:rPr>
          <w:lang w:val="fr-FR"/>
        </w:rPr>
        <w:instrText xml:space="preserve"> ADDIN EN.CITE &lt;EndNote&gt;&lt;Cite&gt;&lt;Author&gt;Le Naour&lt;/Author&gt;&lt;Year&gt;2011&lt;/Year&gt;&lt;RecNum&gt;262&lt;/RecNum&gt;&lt;DisplayText&gt;Jean-Yves Le Naour, &lt;style face="italic"&gt;Désunion nationale: la légende noire des soldats du Midi&lt;/style&gt;, (Paris, 2011)&lt;/DisplayText&gt;&lt;record&gt;&lt;rec-number&gt;262&lt;/rec-number&gt;&lt;foreign-keys&gt;&lt;key app="EN" db-id="2f5rvwawcsv2woetvw35fzwbdvvswerd0err"&gt;262&lt;/key&gt;&lt;/foreign-keys&gt;&lt;ref-type name="Book"&gt;6&lt;/ref-type&gt;&lt;contributors&gt;&lt;authors&gt;&lt;author&gt;Le Naour, Jean-Yves&lt;/author&gt;&lt;/authors&gt;&lt;/contributors&gt;&lt;titles&gt;&lt;title&gt;Désunion nationale: la légende noire des soldats du Midi&lt;/title&gt;&lt;short-title&gt;Désunion&lt;/short-title&gt;&lt;/titles&gt;&lt;dates&gt;&lt;year&gt;2011&lt;/year&gt;&lt;/dates&gt;&lt;pub-location&gt;Paris&lt;/pub-location&gt;&lt;urls&gt;&lt;/urls&gt;&lt;/record&gt;&lt;/Cite&gt;&lt;/EndNote&gt;</w:instrText>
      </w:r>
      <w:r>
        <w:fldChar w:fldCharType="separate"/>
      </w:r>
      <w:r w:rsidRPr="005C7BEE">
        <w:rPr>
          <w:noProof/>
          <w:lang w:val="fr-FR"/>
        </w:rPr>
        <w:t xml:space="preserve">Jean-Yves Le Naour, </w:t>
      </w:r>
      <w:r w:rsidRPr="005C7BEE">
        <w:rPr>
          <w:i/>
          <w:noProof/>
          <w:lang w:val="fr-FR"/>
        </w:rPr>
        <w:t>Désunion nationale: la légende noire des soldats du Midi</w:t>
      </w:r>
      <w:r w:rsidRPr="005C7BEE">
        <w:rPr>
          <w:noProof/>
          <w:lang w:val="fr-FR"/>
        </w:rPr>
        <w:t>, (Paris, 2011)</w:t>
      </w:r>
      <w:r>
        <w:fldChar w:fldCharType="end"/>
      </w:r>
      <w:r w:rsidRPr="001A1A6C">
        <w:rPr>
          <w:lang w:val="fr-FR"/>
        </w:rPr>
        <w:t xml:space="preserve"> ; </w:t>
      </w:r>
      <w:r>
        <w:fldChar w:fldCharType="begin"/>
      </w:r>
      <w:r>
        <w:rPr>
          <w:lang w:val="fr-FR"/>
        </w:rPr>
        <w:instrText xml:space="preserve"> ADDIN EN.CITE &lt;EndNote&gt;&lt;Cite&gt;&lt;Author&gt;Bourlet&lt;/Author&gt;&lt;Year&gt;2013&lt;/Year&gt;&lt;RecNum&gt;261&lt;/RecNum&gt;&lt;DisplayText&gt;Michaël Bourlet, &amp;apos;L&amp;apos;expérience de la guerre des soldats du Nord et du Pas-de-Calais&amp;apos;, in: &lt;style face="italic"&gt;Petites patries dans la Grande Guerre, &lt;/style&gt;ed. by Michaël Bourlet, Yann Lagadec, and Erwan Le Gall (Rennes, 2013),&lt;/DisplayText&gt;&lt;record&gt;&lt;rec-number&gt;261&lt;/rec-number&gt;&lt;foreign-keys&gt;&lt;key app="EN" db-id="2f5rvwawcsv2woetvw35fzwbdvvswerd0err"&gt;261&lt;/key&gt;&lt;/foreign-keys&gt;&lt;ref-type name="Book Section"&gt;5&lt;/ref-type&gt;&lt;contributors&gt;&lt;authors&gt;&lt;author&gt;Bourlet, Michaël&lt;/author&gt;&lt;/authors&gt;&lt;secondary-authors&gt;&lt;author&gt;Bourlet, Michaël&lt;/author&gt;&lt;author&gt;Lagadec, Yann&lt;/author&gt;&lt;author&gt;Le Gall, Erwan&lt;/author&gt;&lt;/secondary-authors&gt;&lt;/contributors&gt;&lt;titles&gt;&lt;title&gt;L&amp;apos;expérience de la guerre des soldats du Nord et du Pas-de-Calais&lt;/title&gt;&lt;secondary-title&gt;Petites patries dans la Grande Guerre&lt;/secondary-title&gt;&lt;short-title&gt;L&amp;apos;expérience&lt;/short-title&gt;&lt;/titles&gt;&lt;dates&gt;&lt;year&gt;2013&lt;/year&gt;&lt;/dates&gt;&lt;pub-location&gt;Rennes&lt;/pub-location&gt;&lt;urls&gt;&lt;/urls&gt;&lt;/record&gt;&lt;/Cite&gt;&lt;/EndNote&gt;</w:instrText>
      </w:r>
      <w:r>
        <w:fldChar w:fldCharType="separate"/>
      </w:r>
      <w:r w:rsidRPr="00FD549B">
        <w:rPr>
          <w:noProof/>
          <w:lang w:val="fr-FR"/>
        </w:rPr>
        <w:t xml:space="preserve">Michaël Bourlet, 'L'expérience de la guerre des soldats du Nord et du Pas-de-Calais', in: </w:t>
      </w:r>
      <w:r w:rsidRPr="00FD549B">
        <w:rPr>
          <w:i/>
          <w:noProof/>
          <w:lang w:val="fr-FR"/>
        </w:rPr>
        <w:t xml:space="preserve">Petites patries dans la Grande Guerre, </w:t>
      </w:r>
      <w:r w:rsidRPr="00FD549B">
        <w:rPr>
          <w:noProof/>
          <w:lang w:val="fr-FR"/>
        </w:rPr>
        <w:t>ed. by Michaël Bourlet, Yann Lagadec, and Erwan Le Gall (Rennes, 2013),</w:t>
      </w:r>
      <w:r>
        <w:fldChar w:fldCharType="end"/>
      </w:r>
      <w:r w:rsidRPr="001A1A6C">
        <w:rPr>
          <w:lang w:val="fr-FR"/>
        </w:rPr>
        <w:t xml:space="preserve"> pp. 135-159 and </w:t>
      </w:r>
      <w:r>
        <w:fldChar w:fldCharType="begin"/>
      </w:r>
      <w:r>
        <w:rPr>
          <w:lang w:val="fr-FR"/>
        </w:rPr>
        <w:instrText xml:space="preserve"> ADDIN EN.CITE &lt;EndNote&gt;&lt;Cite&gt;&lt;Author&gt;Lagadec&lt;/Author&gt;&lt;Year&gt;2013&lt;/Year&gt;&lt;RecNum&gt;263&lt;/RecNum&gt;&lt;DisplayText&gt;Yann Lagadec, &amp;apos;L&amp;apos;approche régionale, quelle pertinence ? Le cas des combattants Bretons dans la Grande Guerre&amp;apos;, in: &lt;style face="italic"&gt;Petites patries dans la Grande Guerre, &lt;/style&gt;ed. by Michaël Bourlet, Yann Lagadec, and Erwan Le Gall (Rennes, 2013),&lt;/DisplayText&gt;&lt;record&gt;&lt;rec-number&gt;263&lt;/rec-number&gt;&lt;foreign-keys&gt;&lt;key app="EN" db-id="2f5rvwawcsv2woetvw35fzwbdvvswerd0err"&gt;263&lt;/key&gt;&lt;/foreign-keys&gt;&lt;ref-type name="Book Section"&gt;5&lt;/ref-type&gt;&lt;contributors&gt;&lt;authors&gt;&lt;author&gt;Lagadec, Yann&lt;/author&gt;&lt;/authors&gt;&lt;secondary-authors&gt;&lt;author&gt;Bourlet, Michaël&lt;/author&gt;&lt;author&gt;Lagadec, Yann&lt;/author&gt;&lt;author&gt;Le Gall, Erwan&lt;/author&gt;&lt;/secondary-authors&gt;&lt;/contributors&gt;&lt;titles&gt;&lt;title&gt;L&amp;apos;approche régionale, quelle pertinence ? Le cas des combattants Bretons dans la Grande Guerre&lt;/title&gt;&lt;secondary-title&gt;Petites patries dans la Grande Guerre&lt;/secondary-title&gt;&lt;short-title&gt;L&amp;apos;approche régionale&lt;/short-title&gt;&lt;/titles&gt;&lt;dates&gt;&lt;year&gt;2013&lt;/year&gt;&lt;/dates&gt;&lt;pub-location&gt;Rennes&lt;/pub-location&gt;&lt;urls&gt;&lt;/urls&gt;&lt;/record&gt;&lt;/Cite&gt;&lt;/EndNote&gt;</w:instrText>
      </w:r>
      <w:r>
        <w:fldChar w:fldCharType="separate"/>
      </w:r>
      <w:r w:rsidRPr="00FD549B">
        <w:rPr>
          <w:noProof/>
          <w:lang w:val="fr-FR"/>
        </w:rPr>
        <w:t xml:space="preserve">Yann Lagadec, 'L'approche régionale, quelle pertinence ? Le cas des combattants Bretons dans la Grande Guerre', in: </w:t>
      </w:r>
      <w:r w:rsidRPr="00FD549B">
        <w:rPr>
          <w:i/>
          <w:noProof/>
          <w:lang w:val="fr-FR"/>
        </w:rPr>
        <w:t xml:space="preserve">Petites patries dans la Grande Guerre, </w:t>
      </w:r>
      <w:r w:rsidRPr="00FD549B">
        <w:rPr>
          <w:noProof/>
          <w:lang w:val="fr-FR"/>
        </w:rPr>
        <w:t>ed. by Michaël Bourlet, Yann Lagadec, and Erwan Le Gall (Rennes, 2013),</w:t>
      </w:r>
      <w:r>
        <w:fldChar w:fldCharType="end"/>
      </w:r>
      <w:r w:rsidRPr="001A1A6C">
        <w:rPr>
          <w:lang w:val="fr-FR"/>
        </w:rPr>
        <w:t xml:space="preserve"> pp. 29-70.</w:t>
      </w:r>
    </w:p>
  </w:footnote>
  <w:footnote w:id="484">
    <w:p w14:paraId="2344EE03" w14:textId="77777777" w:rsidR="00DE3AC9" w:rsidRPr="00397B89" w:rsidRDefault="00DE3AC9" w:rsidP="007D5EBA">
      <w:pPr>
        <w:pStyle w:val="FootnoteText"/>
        <w:rPr>
          <w:lang w:val="fr-FR"/>
        </w:rPr>
      </w:pPr>
      <w:r>
        <w:rPr>
          <w:rStyle w:val="FootnoteReference"/>
        </w:rPr>
        <w:footnoteRef/>
      </w:r>
      <w:r w:rsidRPr="00397B89">
        <w:rPr>
          <w:lang w:val="fr-FR"/>
        </w:rPr>
        <w:t xml:space="preserve"> </w:t>
      </w:r>
      <w:r>
        <w:rPr>
          <w:i/>
          <w:iCs/>
          <w:lang w:val="fr-FR"/>
        </w:rPr>
        <w:t xml:space="preserve">La Lettre du Soldat, </w:t>
      </w:r>
      <w:r>
        <w:rPr>
          <w:lang w:val="fr-FR"/>
        </w:rPr>
        <w:t>March 1917.</w:t>
      </w:r>
    </w:p>
  </w:footnote>
  <w:footnote w:id="485">
    <w:p w14:paraId="266BBE70" w14:textId="77777777" w:rsidR="00DE3AC9" w:rsidRPr="00397B89" w:rsidRDefault="00DE3AC9" w:rsidP="007D5EBA">
      <w:pPr>
        <w:pStyle w:val="FootnoteText"/>
        <w:rPr>
          <w:lang w:val="fr-FR"/>
        </w:rPr>
      </w:pPr>
      <w:r>
        <w:rPr>
          <w:rStyle w:val="FootnoteReference"/>
        </w:rPr>
        <w:footnoteRef/>
      </w:r>
      <w:r w:rsidRPr="00397B89">
        <w:rPr>
          <w:lang w:val="fr-FR"/>
        </w:rPr>
        <w:t xml:space="preserve"> </w:t>
      </w:r>
      <w:r>
        <w:rPr>
          <w:i/>
          <w:iCs/>
          <w:lang w:val="fr-FR"/>
        </w:rPr>
        <w:t xml:space="preserve">Le Courrier de l’Air, </w:t>
      </w:r>
      <w:r>
        <w:rPr>
          <w:lang w:val="fr-FR"/>
        </w:rPr>
        <w:t>1 July 1917.</w:t>
      </w:r>
    </w:p>
  </w:footnote>
  <w:footnote w:id="486">
    <w:p w14:paraId="0E758966" w14:textId="77777777" w:rsidR="00DE3AC9" w:rsidRPr="00DE3AC9" w:rsidRDefault="00DE3AC9" w:rsidP="007D5EBA">
      <w:pPr>
        <w:pStyle w:val="FootnoteText"/>
      </w:pPr>
      <w:r>
        <w:rPr>
          <w:rStyle w:val="FootnoteReference"/>
        </w:rPr>
        <w:footnoteRef/>
      </w:r>
      <w:r w:rsidRPr="00DE3AC9">
        <w:t xml:space="preserve"> </w:t>
      </w:r>
      <w:r>
        <w:fldChar w:fldCharType="begin"/>
      </w:r>
      <w:r w:rsidRPr="00DE3AC9">
        <w:instrText xml:space="preserve"> ADDIN EN.CITE &lt;EndNote&gt;&lt;Cite&gt;&lt;Author&gt;Corbin&lt;/Author&gt;&lt;Year&gt;2008&lt;/Year&gt;&lt;RecNum&gt;190&lt;/RecNum&gt;&lt;DisplayText&gt;Corbin and Romain, &lt;style face="italic"&gt;La propagande&lt;/style&gt;&lt;/DisplayText&gt;&lt;record&gt;&lt;rec-number&gt;190&lt;/rec-number&gt;&lt;foreign-keys&gt;&lt;key app="EN" db-id="2f5rvwawcsv2woetvw35fzwbdvvswerd0err"&gt;190&lt;/key&gt;&lt;/foreign-keys&gt;&lt;ref-type name="Book Section"&gt;5&lt;/ref-type&gt;&lt;contributors&gt;&lt;authors&gt;&lt;author&gt;Corbin, Stéphane&lt;/author&gt;&lt;author&gt;Romain, Emmanuel&lt;/author&gt;&lt;/authors&gt;&lt;secondary-authors&gt;&lt;author&gt;A. Dorna&lt;/author&gt;&lt;author&gt;J. Quellien&lt;/author&gt;&lt;author&gt;S. Simonnet&lt;/author&gt;&lt;/secondary-authors&gt;&lt;/contributors&gt;&lt;titles&gt;&lt;title&gt;La propagande et l&amp;apos;usurpation de la démocratie&lt;/title&gt;&lt;secondary-title&gt;La propagande: images, paroles et manipulation&lt;/secondary-title&gt;&lt;short-title&gt;La propagande&lt;/short-title&gt;&lt;/titles&gt;&lt;dates&gt;&lt;year&gt;2008&lt;/year&gt;&lt;/dates&gt;&lt;pub-location&gt;Paris&lt;/pub-location&gt;&lt;urls&gt;&lt;/urls&gt;&lt;/record&gt;&lt;/Cite&gt;&lt;/EndNote&gt;</w:instrText>
      </w:r>
      <w:r>
        <w:fldChar w:fldCharType="separate"/>
      </w:r>
      <w:r w:rsidRPr="00DE3AC9">
        <w:rPr>
          <w:noProof/>
        </w:rPr>
        <w:t xml:space="preserve">Corbin and Romain, </w:t>
      </w:r>
      <w:r w:rsidRPr="00DE3AC9">
        <w:rPr>
          <w:i/>
          <w:noProof/>
        </w:rPr>
        <w:t>La propagande</w:t>
      </w:r>
      <w:r>
        <w:fldChar w:fldCharType="end"/>
      </w:r>
      <w:r w:rsidRPr="00DE3AC9">
        <w:t xml:space="preserve"> pp. 47-48.</w:t>
      </w:r>
    </w:p>
  </w:footnote>
  <w:footnote w:id="487">
    <w:p w14:paraId="4E24BA73" w14:textId="77777777" w:rsidR="00DE3AC9" w:rsidRPr="00F8067F" w:rsidRDefault="00DE3AC9" w:rsidP="007D5EBA">
      <w:pPr>
        <w:pStyle w:val="FootnoteText"/>
      </w:pPr>
      <w:r>
        <w:rPr>
          <w:rStyle w:val="FootnoteReference"/>
        </w:rPr>
        <w:footnoteRef/>
      </w:r>
      <w:r>
        <w:t xml:space="preserve"> </w:t>
      </w:r>
      <w:r>
        <w:fldChar w:fldCharType="begin"/>
      </w:r>
      <w: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Pr>
          <w:noProof/>
        </w:rPr>
        <w:t xml:space="preserve">Ellul, </w:t>
      </w:r>
      <w:r w:rsidRPr="007B7627">
        <w:rPr>
          <w:i/>
          <w:noProof/>
        </w:rPr>
        <w:t>Propaganda</w:t>
      </w:r>
      <w:r>
        <w:fldChar w:fldCharType="end"/>
      </w:r>
      <w:r>
        <w:t>, p. 137.</w:t>
      </w:r>
    </w:p>
  </w:footnote>
  <w:footnote w:id="488">
    <w:p w14:paraId="7211AC4C" w14:textId="77777777" w:rsidR="00DE3AC9" w:rsidRPr="008E2FAC" w:rsidRDefault="00DE3AC9" w:rsidP="007D5EBA">
      <w:pPr>
        <w:pStyle w:val="FootnoteText"/>
      </w:pPr>
      <w:r>
        <w:rPr>
          <w:rStyle w:val="FootnoteReference"/>
        </w:rPr>
        <w:footnoteRef/>
      </w:r>
      <w:r w:rsidRPr="008E2FAC">
        <w:t xml:space="preserve"> The English edition, used in this thesis, being</w:t>
      </w:r>
      <w:r>
        <w:t xml:space="preserve"> S. Audoin-Rouzeau, A. Becker, </w:t>
      </w:r>
      <w:r>
        <w:rPr>
          <w:i/>
          <w:iCs/>
        </w:rPr>
        <w:t>1914-1918, Understanding the Great War</w:t>
      </w:r>
      <w:r>
        <w:t xml:space="preserve"> (London, 2002). See also</w:t>
      </w:r>
      <w:r w:rsidRPr="008E2FAC">
        <w:t xml:space="preserve"> </w:t>
      </w:r>
      <w:r>
        <w:fldChar w:fldCharType="begin"/>
      </w:r>
      <w:r>
        <w:instrText xml:space="preserve"> ADDIN EN.CITE &lt;EndNote&gt;&lt;Cite&gt;&lt;Author&gt;Winter&lt;/Author&gt;&lt;Year&gt;2005&lt;/Year&gt;&lt;RecNum&gt;114&lt;/RecNum&gt;&lt;DisplayText&gt;Prost and Winter, &lt;style face="italic"&gt;The Great War&lt;/style&gt;&lt;/DisplayText&gt;&lt;record&gt;&lt;rec-number&gt;114&lt;/rec-number&gt;&lt;foreign-keys&gt;&lt;key app="EN" db-id="2f5rvwawcsv2woetvw35fzwbdvvswerd0err"&gt;114&lt;/key&gt;&lt;/foreign-keys&gt;&lt;ref-type name="Book"&gt;6&lt;/ref-type&gt;&lt;contributors&gt;&lt;authors&gt;&lt;author&gt;Prost, Antoine&lt;/author&gt;&lt;author&gt;Winter, Jay&lt;/author&gt;&lt;/authors&gt;&lt;/contributors&gt;&lt;titles&gt;&lt;title&gt;The Great War in History: debates and controversies, 1914 to present&lt;/title&gt;&lt;short-title&gt;The Great War&lt;/short-title&gt;&lt;/titles&gt;&lt;dates&gt;&lt;year&gt;2005&lt;/year&gt;&lt;/dates&gt;&lt;pub-location&gt;Cambridge&lt;/pub-location&gt;&lt;urls&gt;&lt;/urls&gt;&lt;/record&gt;&lt;/Cite&gt;&lt;/EndNote&gt;</w:instrText>
      </w:r>
      <w:r>
        <w:fldChar w:fldCharType="separate"/>
      </w:r>
      <w:r>
        <w:rPr>
          <w:noProof/>
        </w:rPr>
        <w:t xml:space="preserve">Prost and Winter, </w:t>
      </w:r>
      <w:r w:rsidRPr="00232F8A">
        <w:rPr>
          <w:i/>
          <w:noProof/>
        </w:rPr>
        <w:t>The Great War</w:t>
      </w:r>
      <w:r>
        <w:fldChar w:fldCharType="end"/>
      </w:r>
      <w:r>
        <w:t xml:space="preserve">, p. 105. The debate has been summarised in </w:t>
      </w:r>
      <w:r>
        <w:fldChar w:fldCharType="begin"/>
      </w:r>
      <w:r>
        <w:instrText xml:space="preserve"> ADDIN EN.CITE &lt;EndNote&gt;&lt;Cite&gt;&lt;Author&gt;Purseigle&lt;/Author&gt;&lt;Year&gt;2008&lt;/Year&gt;&lt;RecNum&gt;335&lt;/RecNum&gt;&lt;DisplayText&gt;Pierre Purseigle, &amp;apos;A very French debate: the 1914-1918 &amp;apos;war culture&amp;apos;&amp;apos;, in: &lt;style face="italic"&gt;Journal of War and Culture Studies, &lt;/style&gt;1 (2008), &lt;/DisplayText&gt;&lt;record&gt;&lt;rec-number&gt;335&lt;/rec-number&gt;&lt;foreign-keys&gt;&lt;key app="EN" db-id="2f5rvwawcsv2woetvw35fzwbdvvswerd0err"&gt;335&lt;/key&gt;&lt;/foreign-keys&gt;&lt;ref-type name="Journal Article"&gt;17&lt;/ref-type&gt;&lt;contributors&gt;&lt;authors&gt;&lt;author&gt;Purseigle, Pierre&lt;/author&gt;&lt;/authors&gt;&lt;/contributors&gt;&lt;titles&gt;&lt;title&gt;A very French debate: the 1914-1918 &amp;apos;war culture&amp;apos;&lt;/title&gt;&lt;secondary-title&gt;Journal of War and Culture Studies&lt;/secondary-title&gt;&lt;short-title&gt;A very French debate&lt;/short-title&gt;&lt;/titles&gt;&lt;periodical&gt;&lt;full-title&gt;Journal of War and Culture Studies&lt;/full-title&gt;&lt;/periodical&gt;&lt;volume&gt;1&lt;/volume&gt;&lt;dates&gt;&lt;year&gt;2008&lt;/year&gt;&lt;/dates&gt;&lt;urls&gt;&lt;/urls&gt;&lt;/record&gt;&lt;/Cite&gt;&lt;/EndNote&gt;</w:instrText>
      </w:r>
      <w:r>
        <w:fldChar w:fldCharType="separate"/>
      </w:r>
      <w:r>
        <w:rPr>
          <w:noProof/>
        </w:rPr>
        <w:t xml:space="preserve">Pierre Purseigle, 'A very French debate: the 1914-1918 'war culture'', in: </w:t>
      </w:r>
      <w:r w:rsidRPr="002369AE">
        <w:rPr>
          <w:i/>
          <w:noProof/>
        </w:rPr>
        <w:t xml:space="preserve">Journal of War and Culture Studies, </w:t>
      </w:r>
      <w:r>
        <w:rPr>
          <w:noProof/>
        </w:rPr>
        <w:t xml:space="preserve">1 (2008), </w:t>
      </w:r>
      <w:r>
        <w:fldChar w:fldCharType="end"/>
      </w:r>
      <w:r>
        <w:t>pp. 25-43.</w:t>
      </w:r>
    </w:p>
  </w:footnote>
  <w:footnote w:id="489">
    <w:p w14:paraId="2B0BD207" w14:textId="77777777" w:rsidR="00DE3AC9" w:rsidRPr="00410F8F" w:rsidRDefault="00DE3AC9" w:rsidP="007D5EBA">
      <w:pPr>
        <w:pStyle w:val="FootnoteText"/>
      </w:pPr>
      <w:r>
        <w:rPr>
          <w:rStyle w:val="FootnoteReference"/>
        </w:rPr>
        <w:footnoteRef/>
      </w:r>
      <w:r w:rsidRPr="00410F8F">
        <w:t xml:space="preserve"> The views of the CRID 1914-1918</w:t>
      </w:r>
      <w:r>
        <w:t xml:space="preserve"> are summarised in </w:t>
      </w:r>
      <w:r>
        <w:fldChar w:fldCharType="begin"/>
      </w:r>
      <w:r>
        <w:instrText xml:space="preserve"> ADDIN EN.CITE &lt;EndNote&gt;&lt;Cite&gt;&lt;Author&gt;Cazals&lt;/Author&gt;&lt;Year&gt;2002&lt;/Year&gt;&lt;RecNum&gt;184&lt;/RecNum&gt;&lt;DisplayText&gt;Rémy Cazals, &amp;apos;1914-1918: chercher encore&amp;apos;, in: &lt;style face="italic"&gt;Le Mouvement Social, &lt;/style&gt;199 (2002), &lt;/DisplayText&gt;&lt;record&gt;&lt;rec-number&gt;184&lt;/rec-number&gt;&lt;foreign-keys&gt;&lt;key app="EN" db-id="2f5rvwawcsv2woetvw35fzwbdvvswerd0err"&gt;184&lt;/key&gt;&lt;/foreign-keys&gt;&lt;ref-type name="Journal Article"&gt;17&lt;/ref-type&gt;&lt;contributors&gt;&lt;authors&gt;&lt;author&gt;Cazals, Rémy&lt;/author&gt;&lt;/authors&gt;&lt;/contributors&gt;&lt;titles&gt;&lt;title&gt;1914-1918: chercher encore&lt;/title&gt;&lt;secondary-title&gt;Le Mouvement Social&lt;/secondary-title&gt;&lt;short-title&gt;Chercher encore&lt;/short-title&gt;&lt;/titles&gt;&lt;periodical&gt;&lt;full-title&gt;Le Mouvement Social&lt;/full-title&gt;&lt;/periodical&gt;&lt;volume&gt;199&lt;/volume&gt;&lt;dates&gt;&lt;year&gt;2002&lt;/year&gt;&lt;/dates&gt;&lt;urls&gt;&lt;/urls&gt;&lt;/record&gt;&lt;/Cite&gt;&lt;/EndNote&gt;</w:instrText>
      </w:r>
      <w:r>
        <w:fldChar w:fldCharType="separate"/>
      </w:r>
      <w:r>
        <w:rPr>
          <w:noProof/>
        </w:rPr>
        <w:t xml:space="preserve">Rémy Cazals, '1914-1918: chercher encore', in: </w:t>
      </w:r>
      <w:r w:rsidRPr="00FD549B">
        <w:rPr>
          <w:i/>
          <w:noProof/>
        </w:rPr>
        <w:t xml:space="preserve">Le Mouvement Social, </w:t>
      </w:r>
      <w:r>
        <w:rPr>
          <w:noProof/>
        </w:rPr>
        <w:t xml:space="preserve">199 (2002), </w:t>
      </w:r>
      <w:r>
        <w:fldChar w:fldCharType="end"/>
      </w:r>
      <w:r>
        <w:t>pp. 107-113.</w:t>
      </w:r>
    </w:p>
  </w:footnote>
  <w:footnote w:id="490">
    <w:p w14:paraId="7F85181A" w14:textId="77777777" w:rsidR="00DE3AC9" w:rsidRPr="00592DC9" w:rsidRDefault="00DE3AC9" w:rsidP="007D5EBA">
      <w:pPr>
        <w:pStyle w:val="FootnoteText"/>
        <w:rPr>
          <w:lang w:val="fr-FR"/>
        </w:rPr>
      </w:pPr>
      <w:r>
        <w:rPr>
          <w:rStyle w:val="FootnoteReference"/>
        </w:rPr>
        <w:footnoteRef/>
      </w:r>
      <w:r w:rsidRPr="00592DC9">
        <w:rPr>
          <w:lang w:val="fr-FR"/>
        </w:rPr>
        <w:t xml:space="preserve"> </w:t>
      </w:r>
      <w:r>
        <w:rPr>
          <w:i/>
          <w:iCs/>
          <w:lang w:val="fr-FR"/>
        </w:rPr>
        <w:t>Le Courrier de l’Air</w:t>
      </w:r>
      <w:r>
        <w:rPr>
          <w:lang w:val="fr-FR"/>
        </w:rPr>
        <w:t>, 1 June 1917.</w:t>
      </w:r>
    </w:p>
  </w:footnote>
  <w:footnote w:id="491">
    <w:p w14:paraId="2FFA9B2D" w14:textId="77777777" w:rsidR="00DE3AC9" w:rsidRPr="005A3840" w:rsidRDefault="00DE3AC9" w:rsidP="007D5EBA">
      <w:pPr>
        <w:pStyle w:val="FootnoteText"/>
      </w:pPr>
      <w:r>
        <w:rPr>
          <w:rStyle w:val="FootnoteReference"/>
        </w:rPr>
        <w:footnoteRef/>
      </w:r>
      <w:r w:rsidRPr="005A3840">
        <w:t xml:space="preserve"> </w:t>
      </w:r>
      <w:r>
        <w:rPr>
          <w:lang w:val="fr-FR"/>
        </w:rPr>
        <w:fldChar w:fldCharType="begin"/>
      </w:r>
      <w:r w:rsidRPr="005A3840">
        <w:instrText xml:space="preserve"> ADDIN EN.CITE &lt;EndNote&gt;&lt;Cite&gt;&lt;Author&gt;Becker&lt;/Author&gt;&lt;Year&gt;2010&lt;/Year&gt;&lt;RecNum&gt;193&lt;/RecNum&gt;&lt;DisplayText&gt;Annette Becker, &amp;apos;Faith, ideologies, and the &amp;quot;Cultures of War&amp;quot;&amp;apos;, in: &lt;style face="italic"&gt;A companion to World War One, &lt;/style&gt;ed. by J. Horne (Chichester, 2010),&lt;/DisplayText&gt;&lt;record&gt;&lt;rec-number&gt;193&lt;/rec-number&gt;&lt;foreign-keys&gt;&lt;key app="EN" db-id="2f5rvwawcsv2woetvw35fzwbdvvswerd0err"&gt;193&lt;/key&gt;&lt;/foreign-keys&gt;&lt;ref-type name="Book Section"&gt;5&lt;/ref-type&gt;&lt;contributors&gt;&lt;authors&gt;&lt;author&gt;Becker, Annette&lt;/author&gt;&lt;/authors&gt;&lt;secondary-authors&gt;&lt;author&gt;J. Horne&lt;/author&gt;&lt;/secondary-authors&gt;&lt;/contributors&gt;&lt;titles&gt;&lt;title&gt;Faith, ideologies, and the &amp;quot;Cultures of War&amp;quot;&lt;/title&gt;&lt;secondary-title&gt;A companion to World War One&lt;/secondary-title&gt;&lt;short-title&gt;Faith&lt;/short-title&gt;&lt;/titles&gt;&lt;dates&gt;&lt;year&gt;2010&lt;/year&gt;&lt;/dates&gt;&lt;pub-location&gt;Chichester&lt;/pub-location&gt;&lt;urls&gt;&lt;/urls&gt;&lt;/record&gt;&lt;/Cite&gt;&lt;/EndNote&gt;</w:instrText>
      </w:r>
      <w:r>
        <w:rPr>
          <w:lang w:val="fr-FR"/>
        </w:rPr>
        <w:fldChar w:fldCharType="separate"/>
      </w:r>
      <w:r w:rsidRPr="005A3840">
        <w:rPr>
          <w:noProof/>
        </w:rPr>
        <w:t xml:space="preserve">Annette Becker, 'Faith, ideologies, and the "Cultures of War"', in: </w:t>
      </w:r>
      <w:r w:rsidRPr="005A3840">
        <w:rPr>
          <w:i/>
          <w:noProof/>
        </w:rPr>
        <w:t xml:space="preserve">A companion to World War One, </w:t>
      </w:r>
      <w:r w:rsidRPr="005A3840">
        <w:rPr>
          <w:noProof/>
        </w:rPr>
        <w:t>ed. by J. Horne (Chichester, 2010),</w:t>
      </w:r>
      <w:r>
        <w:rPr>
          <w:lang w:val="fr-FR"/>
        </w:rPr>
        <w:fldChar w:fldCharType="end"/>
      </w:r>
      <w:r w:rsidRPr="005A3840">
        <w:t>, p. 235.</w:t>
      </w:r>
    </w:p>
  </w:footnote>
  <w:footnote w:id="492">
    <w:p w14:paraId="3C1FDF3F" w14:textId="77777777" w:rsidR="00DE3AC9" w:rsidRPr="00314EDD" w:rsidRDefault="00DE3AC9" w:rsidP="007D5EBA">
      <w:pPr>
        <w:pStyle w:val="FootnoteText"/>
        <w:rPr>
          <w:lang w:val="fr-FR"/>
        </w:rPr>
      </w:pPr>
      <w:r>
        <w:rPr>
          <w:rStyle w:val="FootnoteReference"/>
        </w:rPr>
        <w:footnoteRef/>
      </w:r>
      <w:r w:rsidRPr="00314EDD">
        <w:rPr>
          <w:lang w:val="fr-FR"/>
        </w:rPr>
        <w:t xml:space="preserve"> </w:t>
      </w:r>
      <w:r>
        <w:rPr>
          <w:i/>
          <w:iCs/>
          <w:lang w:val="fr-FR"/>
        </w:rPr>
        <w:t xml:space="preserve">Le Courrier de l’Air, </w:t>
      </w:r>
      <w:r>
        <w:rPr>
          <w:lang w:val="fr-FR"/>
        </w:rPr>
        <w:t>6 July 1917.</w:t>
      </w:r>
    </w:p>
  </w:footnote>
  <w:footnote w:id="493">
    <w:p w14:paraId="2DC43BD2" w14:textId="77777777" w:rsidR="00DE3AC9" w:rsidRPr="00FB5D8D" w:rsidRDefault="00DE3AC9" w:rsidP="007D5EBA">
      <w:pPr>
        <w:pStyle w:val="FootnoteText"/>
        <w:rPr>
          <w:lang w:val="fr-FR"/>
        </w:rPr>
      </w:pPr>
      <w:r>
        <w:rPr>
          <w:rStyle w:val="FootnoteReference"/>
        </w:rPr>
        <w:footnoteRef/>
      </w:r>
      <w:r w:rsidRPr="00FB5D8D">
        <w:rPr>
          <w:lang w:val="fr-FR"/>
        </w:rPr>
        <w:t xml:space="preserve"> </w:t>
      </w:r>
      <w:r>
        <w:rPr>
          <w:lang w:val="fr-FR"/>
        </w:rPr>
        <w:fldChar w:fldCharType="begin"/>
      </w:r>
      <w:r>
        <w:rPr>
          <w:lang w:val="fr-FR"/>
        </w:rPr>
        <w:instrText xml:space="preserve"> ADDIN EN.CITE &lt;EndNote&gt;&lt;Cite&gt;&lt;Author&gt;Delporte&lt;/Author&gt;&lt;Year&gt;2006&lt;/Year&gt;&lt;RecNum&gt;195&lt;/RecNum&gt;&lt;DisplayText&gt;Delporte, &lt;style face="italic"&gt;Images&lt;/style&gt;&lt;/DisplayText&gt;&lt;record&gt;&lt;rec-number&gt;195&lt;/rec-number&gt;&lt;foreign-keys&gt;&lt;key app="EN" db-id="2f5rvwawcsv2woetvw35fzwbdvvswerd0err"&gt;195&lt;/key&gt;&lt;/foreign-keys&gt;&lt;ref-type name="Book"&gt;6&lt;/ref-type&gt;&lt;contributors&gt;&lt;authors&gt;&lt;author&gt;Delporte, Christian&lt;/author&gt;&lt;/authors&gt;&lt;/contributors&gt;&lt;titles&gt;&lt;title&gt;Images et politique en France au XXe siècle&lt;/title&gt;&lt;short-title&gt;Images&lt;/short-title&gt;&lt;/titles&gt;&lt;dates&gt;&lt;year&gt;2006&lt;/year&gt;&lt;/dates&gt;&lt;pub-location&gt;Paris&lt;/pub-location&gt;&lt;urls&gt;&lt;/urls&gt;&lt;/record&gt;&lt;/Cite&gt;&lt;/EndNote&gt;</w:instrText>
      </w:r>
      <w:r>
        <w:rPr>
          <w:lang w:val="fr-FR"/>
        </w:rPr>
        <w:fldChar w:fldCharType="separate"/>
      </w:r>
      <w:r>
        <w:rPr>
          <w:noProof/>
          <w:lang w:val="fr-FR"/>
        </w:rPr>
        <w:t xml:space="preserve">Delporte, </w:t>
      </w:r>
      <w:r w:rsidRPr="007B7627">
        <w:rPr>
          <w:i/>
          <w:noProof/>
          <w:lang w:val="fr-FR"/>
        </w:rPr>
        <w:t>Images</w:t>
      </w:r>
      <w:r>
        <w:rPr>
          <w:lang w:val="fr-FR"/>
        </w:rPr>
        <w:fldChar w:fldCharType="end"/>
      </w:r>
      <w:r>
        <w:rPr>
          <w:lang w:val="fr-FR"/>
        </w:rPr>
        <w:t>, p. 155.</w:t>
      </w:r>
    </w:p>
  </w:footnote>
  <w:footnote w:id="494">
    <w:p w14:paraId="5C37A926" w14:textId="77777777" w:rsidR="00DE3AC9" w:rsidRPr="0002561E" w:rsidRDefault="00DE3AC9" w:rsidP="007D5EBA">
      <w:pPr>
        <w:pStyle w:val="FootnoteText"/>
        <w:rPr>
          <w:lang w:val="fr-FR"/>
        </w:rPr>
      </w:pPr>
      <w:r>
        <w:rPr>
          <w:rStyle w:val="FootnoteReference"/>
        </w:rPr>
        <w:footnoteRef/>
      </w:r>
      <w:r w:rsidRPr="0002561E">
        <w:rPr>
          <w:lang w:val="fr-FR"/>
        </w:rPr>
        <w:t xml:space="preserve"> </w:t>
      </w:r>
      <w:r>
        <w:rPr>
          <w:i/>
          <w:iCs/>
          <w:lang w:val="fr-FR"/>
        </w:rPr>
        <w:t>Le Courrier de l’Air</w:t>
      </w:r>
      <w:r>
        <w:rPr>
          <w:lang w:val="fr-FR"/>
        </w:rPr>
        <w:t>, 7 March 1918.</w:t>
      </w:r>
    </w:p>
  </w:footnote>
  <w:footnote w:id="495">
    <w:p w14:paraId="5E610A0B" w14:textId="77777777" w:rsidR="00DE3AC9" w:rsidRPr="007C3DB8" w:rsidRDefault="00DE3AC9" w:rsidP="007D5EBA">
      <w:pPr>
        <w:pStyle w:val="FootnoteText"/>
      </w:pPr>
      <w:r>
        <w:rPr>
          <w:rStyle w:val="FootnoteReference"/>
        </w:rPr>
        <w:footnoteRef/>
      </w:r>
      <w:r w:rsidRPr="007C3DB8">
        <w:t xml:space="preserve"> See Chapter six.</w:t>
      </w:r>
    </w:p>
  </w:footnote>
  <w:footnote w:id="496">
    <w:p w14:paraId="4BCB2FC5" w14:textId="77777777" w:rsidR="00DE3AC9" w:rsidRPr="007C3DB8" w:rsidRDefault="00DE3AC9" w:rsidP="007D5EBA">
      <w:pPr>
        <w:pStyle w:val="FootnoteText"/>
      </w:pPr>
      <w:r>
        <w:rPr>
          <w:rStyle w:val="FootnoteReference"/>
        </w:rPr>
        <w:footnoteRef/>
      </w:r>
      <w:r w:rsidRPr="007C3DB8">
        <w:t xml:space="preserve"> </w:t>
      </w:r>
      <w:r>
        <w:rPr>
          <w:lang w:val="fr-FR"/>
        </w:rPr>
        <w:fldChar w:fldCharType="begin"/>
      </w:r>
      <w:r>
        <w:instrText xml:space="preserve"> ADDIN EN.CITE &lt;EndNote&gt;&lt;Cite&gt;&lt;Author&gt;Flood&lt;/Author&gt;&lt;Year&gt;1990&lt;/Year&gt;&lt;RecNum&gt;191&lt;/RecNum&gt;&lt;DisplayText&gt;Flood, &lt;style face="italic"&gt;France&lt;/style&gt;&lt;/DisplayText&gt;&lt;record&gt;&lt;rec-number&gt;191&lt;/rec-number&gt;&lt;foreign-keys&gt;&lt;key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rPr>
          <w:lang w:val="fr-FR"/>
        </w:rPr>
        <w:fldChar w:fldCharType="separate"/>
      </w:r>
      <w:r w:rsidRPr="007C3DB8">
        <w:rPr>
          <w:noProof/>
        </w:rPr>
        <w:t xml:space="preserve">Flood, </w:t>
      </w:r>
      <w:r w:rsidRPr="007C3DB8">
        <w:rPr>
          <w:i/>
          <w:noProof/>
        </w:rPr>
        <w:t>France</w:t>
      </w:r>
      <w:r>
        <w:rPr>
          <w:lang w:val="fr-FR"/>
        </w:rPr>
        <w:fldChar w:fldCharType="end"/>
      </w:r>
      <w:r w:rsidRPr="007C3DB8">
        <w:t>, p. 146.</w:t>
      </w:r>
    </w:p>
  </w:footnote>
  <w:footnote w:id="497">
    <w:p w14:paraId="4CF4885C" w14:textId="77777777" w:rsidR="00DE3AC9" w:rsidRPr="00D40F92" w:rsidRDefault="00DE3AC9" w:rsidP="007D5EBA">
      <w:pPr>
        <w:pStyle w:val="FootnoteText"/>
        <w:rPr>
          <w:lang w:val="fr-FR"/>
        </w:rPr>
      </w:pPr>
      <w:r>
        <w:rPr>
          <w:rStyle w:val="FootnoteReference"/>
        </w:rPr>
        <w:footnoteRef/>
      </w:r>
      <w:r w:rsidRPr="00D40F92">
        <w:rPr>
          <w:lang w:val="fr-FR"/>
        </w:rPr>
        <w:t xml:space="preserve"> </w:t>
      </w:r>
      <w:r>
        <w:rPr>
          <w:i/>
          <w:iCs/>
          <w:lang w:val="fr-FR"/>
        </w:rPr>
        <w:t>Le Courrier de l’Air</w:t>
      </w:r>
      <w:r>
        <w:rPr>
          <w:lang w:val="fr-FR"/>
        </w:rPr>
        <w:t>, 10 October 1918.</w:t>
      </w:r>
    </w:p>
  </w:footnote>
  <w:footnote w:id="498">
    <w:p w14:paraId="5C200B8F" w14:textId="77777777" w:rsidR="00DE3AC9" w:rsidRPr="002D1D14" w:rsidRDefault="00DE3AC9" w:rsidP="007D5EBA">
      <w:pPr>
        <w:pStyle w:val="FootnoteText"/>
        <w:rPr>
          <w:lang w:val="fr-FR"/>
        </w:rPr>
      </w:pPr>
      <w:r>
        <w:rPr>
          <w:rStyle w:val="FootnoteReference"/>
        </w:rPr>
        <w:footnoteRef/>
      </w:r>
      <w:r w:rsidRPr="002D1D14">
        <w:rPr>
          <w:lang w:val="fr-FR"/>
        </w:rPr>
        <w:t xml:space="preserve"> </w:t>
      </w:r>
      <w:r>
        <w:rPr>
          <w:lang w:val="fr-FR"/>
        </w:rPr>
        <w:fldChar w:fldCharType="begin"/>
      </w:r>
      <w:r>
        <w:rPr>
          <w:lang w:val="fr-FR"/>
        </w:rPr>
        <w:instrText xml:space="preserve"> ADDIN EN.CITE &lt;EndNote&gt;&lt;Cite&gt;&lt;Author&gt;Flood&lt;/Author&gt;&lt;Year&gt;1990&lt;/Year&gt;&lt;RecNum&gt;191&lt;/RecNum&gt;&lt;DisplayText&gt;Flood, &lt;style face="italic"&gt;France&lt;/style&gt;&lt;/DisplayText&gt;&lt;record&gt;&lt;rec-number&gt;191&lt;/rec-number&gt;&lt;foreign-keys&gt;&lt;key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rPr>
          <w:lang w:val="fr-FR"/>
        </w:rPr>
        <w:fldChar w:fldCharType="separate"/>
      </w:r>
      <w:r>
        <w:rPr>
          <w:noProof/>
          <w:lang w:val="fr-FR"/>
        </w:rPr>
        <w:t xml:space="preserve">Flood, </w:t>
      </w:r>
      <w:r w:rsidRPr="007B7627">
        <w:rPr>
          <w:i/>
          <w:noProof/>
          <w:lang w:val="fr-FR"/>
        </w:rPr>
        <w:t>France</w:t>
      </w:r>
      <w:r>
        <w:rPr>
          <w:lang w:val="fr-FR"/>
        </w:rPr>
        <w:fldChar w:fldCharType="end"/>
      </w:r>
      <w:r w:rsidRPr="002D1D14">
        <w:rPr>
          <w:lang w:val="fr-FR"/>
        </w:rPr>
        <w:t>, p. 154.</w:t>
      </w:r>
    </w:p>
  </w:footnote>
  <w:footnote w:id="499">
    <w:p w14:paraId="54685A7E" w14:textId="77777777" w:rsidR="00DE3AC9" w:rsidRPr="00BD3AB8" w:rsidRDefault="00DE3AC9" w:rsidP="007D5EBA">
      <w:pPr>
        <w:pStyle w:val="FootnoteText"/>
        <w:rPr>
          <w:lang w:val="fr-FR"/>
        </w:rPr>
      </w:pPr>
      <w:r>
        <w:rPr>
          <w:rStyle w:val="FootnoteReference"/>
        </w:rPr>
        <w:footnoteRef/>
      </w:r>
      <w:r w:rsidRPr="00426173">
        <w:rPr>
          <w:lang w:val="fr-FR"/>
        </w:rPr>
        <w:t xml:space="preserve"> </w:t>
      </w:r>
      <w:r>
        <w:rPr>
          <w:i/>
          <w:iCs/>
          <w:lang w:val="fr-FR"/>
        </w:rPr>
        <w:t>La Voix du Pays</w:t>
      </w:r>
      <w:r>
        <w:rPr>
          <w:lang w:val="fr-FR"/>
        </w:rPr>
        <w:t xml:space="preserve">, 22 January and 5 February 1918 ; </w:t>
      </w:r>
      <w:r>
        <w:rPr>
          <w:i/>
          <w:iCs/>
          <w:lang w:val="fr-FR"/>
        </w:rPr>
        <w:t xml:space="preserve">La Lettre du Soldat, </w:t>
      </w:r>
      <w:r>
        <w:rPr>
          <w:lang w:val="fr-FR"/>
        </w:rPr>
        <w:t>June 1918.</w:t>
      </w:r>
    </w:p>
  </w:footnote>
  <w:footnote w:id="500">
    <w:p w14:paraId="4264830B" w14:textId="77777777" w:rsidR="00DE3AC9" w:rsidRPr="000B0F34" w:rsidRDefault="00DE3AC9" w:rsidP="007D5EBA">
      <w:pPr>
        <w:pStyle w:val="FootnoteText"/>
        <w:rPr>
          <w:lang w:val="fr-FR"/>
        </w:rPr>
      </w:pPr>
      <w:r>
        <w:rPr>
          <w:rStyle w:val="FootnoteReference"/>
        </w:rPr>
        <w:footnoteRef/>
      </w:r>
      <w:r w:rsidRPr="000B0F34">
        <w:rPr>
          <w:lang w:val="fr-FR"/>
        </w:rPr>
        <w:t xml:space="preserve"> </w:t>
      </w:r>
      <w:r>
        <w:rPr>
          <w:i/>
          <w:iCs/>
          <w:lang w:val="fr-FR"/>
        </w:rPr>
        <w:t>Le Courrier de l’Air</w:t>
      </w:r>
      <w:r>
        <w:rPr>
          <w:lang w:val="fr-FR"/>
        </w:rPr>
        <w:t>, 14 November 1918.</w:t>
      </w:r>
    </w:p>
  </w:footnote>
  <w:footnote w:id="501">
    <w:p w14:paraId="25040CB9" w14:textId="77777777" w:rsidR="00DE3AC9" w:rsidRPr="00C54460" w:rsidRDefault="00DE3AC9" w:rsidP="007D5EBA">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&lt;EndNote&gt;&lt;Cite&gt;&lt;Author&gt;Ferro&lt;/Author&gt;&lt;Year&gt;1999&lt;/Year&gt;&lt;RecNum&gt;151&lt;/RecNum&gt;&lt;DisplayText&gt;Ferro, &lt;style face="italic"&gt;Cultural&lt;/style&gt;&lt;/DisplayText&gt;&lt;record&gt;&lt;rec-number&gt;151&lt;/rec-number&gt;&lt;foreign-keys&gt;&lt;key app="EN" db-id="2f5rvwawcsv2woetvw35fzwbdvvswerd0err"&gt;151&lt;/key&gt;&lt;/foreign-keys&gt;&lt;ref-type name="Book Section"&gt;5&lt;/ref-type&gt;&lt;contributors&gt;&lt;authors&gt;&lt;author&gt;Ferro, Marc&lt;/author&gt;&lt;/authors&gt;&lt;secondary-authors&gt;&lt;author&gt;Aviel Roshwald&lt;/author&gt;&lt;author&gt;Richard Stites&lt;/author&gt;&lt;/secondary-authors&gt;&lt;/contributors&gt;&lt;titles&gt;&lt;title&gt;Cultural life in France, 1914-1918&lt;/title&gt;&lt;secondary-title&gt;European culture in the Great War&lt;/secondary-title&gt;&lt;short-title&gt;Cultural&lt;/short-title&gt;&lt;/titles&gt;&lt;dates&gt;&lt;year&gt;1999&lt;/year&gt;&lt;/dates&gt;&lt;pub-location&gt;Cambridge&lt;/pub-location&gt;&lt;urls&gt;&lt;/urls&gt;&lt;/record&gt;&lt;/Cite&gt;&lt;/EndNote&gt;</w:instrText>
      </w:r>
      <w:r>
        <w:rPr>
          <w:lang w:val="fr-FR"/>
        </w:rPr>
        <w:fldChar w:fldCharType="separate"/>
      </w:r>
      <w:r w:rsidRPr="00C54460">
        <w:rPr>
          <w:noProof/>
          <w:lang w:val="fr-FR"/>
        </w:rPr>
        <w:t xml:space="preserve">Ferro, </w:t>
      </w:r>
      <w:r w:rsidRPr="00C54460">
        <w:rPr>
          <w:i/>
          <w:noProof/>
          <w:lang w:val="fr-FR"/>
        </w:rPr>
        <w:t>Cultural</w:t>
      </w:r>
      <w:r>
        <w:rPr>
          <w:lang w:val="fr-FR"/>
        </w:rPr>
        <w:fldChar w:fldCharType="end"/>
      </w:r>
      <w:r>
        <w:rPr>
          <w:lang w:val="fr-FR"/>
        </w:rPr>
        <w:t>,</w:t>
      </w:r>
      <w:r w:rsidRPr="00C54460">
        <w:rPr>
          <w:lang w:val="fr-FR"/>
        </w:rPr>
        <w:t xml:space="preserve"> p. 300.</w:t>
      </w:r>
    </w:p>
  </w:footnote>
  <w:footnote w:id="502">
    <w:p w14:paraId="2768D2E0" w14:textId="77777777" w:rsidR="00DE3AC9" w:rsidRPr="000B0A6E" w:rsidRDefault="00DE3AC9" w:rsidP="007D5EBA">
      <w:pPr>
        <w:pStyle w:val="FootnoteText"/>
        <w:rPr>
          <w:lang w:val="fr-FR"/>
        </w:rPr>
      </w:pPr>
      <w:r>
        <w:rPr>
          <w:rStyle w:val="FootnoteReference"/>
        </w:rPr>
        <w:footnoteRef/>
      </w:r>
      <w:r w:rsidRPr="000B0A6E">
        <w:rPr>
          <w:lang w:val="fr-FR"/>
        </w:rPr>
        <w:t xml:space="preserve"> </w:t>
      </w:r>
      <w:r>
        <w:rPr>
          <w:lang w:val="fr-FR"/>
        </w:rPr>
        <w:fldChar w:fldCharType="begin"/>
      </w:r>
      <w:r>
        <w:rPr>
          <w:lang w:val="fr-FR"/>
        </w:rPr>
        <w:instrText xml:space="preserve"> ADDIN EN.CITE &lt;EndNote&gt;&lt;Cite&gt;&lt;Author&gt;Cabanes&lt;/Author&gt;&lt;Year&gt;2008&lt;/Year&gt;&lt;RecNum&gt;194&lt;/RecNum&gt;&lt;DisplayText&gt;Cabanes, &lt;style face="italic"&gt;Les vivants&lt;/style&gt;&lt;/DisplayText&gt;&lt;record&gt;&lt;rec-number&gt;194&lt;/rec-number&gt;&lt;foreign-keys&gt;&lt;key app="EN" db-id="2f5rvwawcsv2woetvw35fzwbdvvswerd0err"&gt;194&lt;/key&gt;&lt;/foreign-keys&gt;&lt;ref-type name="Book Section"&gt;5&lt;/ref-type&gt;&lt;contributors&gt;&lt;authors&gt;&lt;author&gt;Cabanes, Bruno&lt;/author&gt;&lt;/authors&gt;&lt;secondary-authors&gt;&lt;author&gt;Audoin-Rouzeau, S.&lt;/author&gt;&lt;author&gt;Prochasson, C.&lt;/author&gt;&lt;/secondary-authors&gt;&lt;/contributors&gt;&lt;titles&gt;&lt;title&gt;Les vivants et les morts: la France au sortir de la Grande Guerre&lt;/title&gt;&lt;secondary-title&gt;Sortir de la Grande Guerre&lt;/secondary-title&gt;&lt;short-title&gt;Les vivants&lt;/short-title&gt;&lt;/titles&gt;&lt;dates&gt;&lt;year&gt;2008&lt;/year&gt;&lt;/dates&gt;&lt;pub-location&gt;Paris&lt;/pub-location&gt;&lt;urls&gt;&lt;/urls&gt;&lt;/record&gt;&lt;/Cite&gt;&lt;/EndNote&gt;</w:instrText>
      </w:r>
      <w:r>
        <w:rPr>
          <w:lang w:val="fr-FR"/>
        </w:rPr>
        <w:fldChar w:fldCharType="separate"/>
      </w:r>
      <w:r>
        <w:rPr>
          <w:noProof/>
          <w:lang w:val="fr-FR"/>
        </w:rPr>
        <w:t xml:space="preserve">Cabanes, </w:t>
      </w:r>
      <w:r w:rsidRPr="007B7627">
        <w:rPr>
          <w:i/>
          <w:noProof/>
          <w:lang w:val="fr-FR"/>
        </w:rPr>
        <w:t>Les vivants</w:t>
      </w:r>
      <w:r>
        <w:rPr>
          <w:lang w:val="fr-FR"/>
        </w:rPr>
        <w:fldChar w:fldCharType="end"/>
      </w:r>
      <w:r>
        <w:rPr>
          <w:lang w:val="fr-FR"/>
        </w:rPr>
        <w:t xml:space="preserve"> p. 27.</w:t>
      </w:r>
    </w:p>
  </w:footnote>
  <w:footnote w:id="503">
    <w:p w14:paraId="7B6EA1A8" w14:textId="77777777" w:rsidR="00DE3AC9" w:rsidRPr="00917037" w:rsidRDefault="00DE3AC9" w:rsidP="007D5EBA">
      <w:pPr>
        <w:pStyle w:val="FootnoteText"/>
        <w:rPr>
          <w:lang w:val="fr-FR"/>
        </w:rPr>
      </w:pPr>
      <w:r>
        <w:rPr>
          <w:rStyle w:val="FootnoteReference"/>
        </w:rPr>
        <w:footnoteRef/>
      </w:r>
      <w:r w:rsidRPr="00917037">
        <w:rPr>
          <w:lang w:val="fr-FR"/>
        </w:rPr>
        <w:t xml:space="preserve"> </w:t>
      </w:r>
      <w:r>
        <w:rPr>
          <w:lang w:val="fr-FR"/>
        </w:rPr>
        <w:fldChar w:fldCharType="begin"/>
      </w:r>
      <w:r>
        <w:rPr>
          <w:lang w:val="fr-FR"/>
        </w:rPr>
        <w:instrText xml:space="preserve"> ADDIN EN.CITE &lt;EndNote&gt;&lt;Cite&gt;&lt;Author&gt;Deperchin&lt;/Author&gt;&lt;Year&gt;2004&lt;/Year&gt;&lt;RecNum&gt;204&lt;/RecNum&gt;&lt;DisplayText&gt;Annie Deperchin, &amp;apos;L&amp;apos;application des traités&amp;apos;, in: &lt;style face="italic"&gt;Encyclopédie de la Grande Guerre 1914-1918, &lt;/style&gt;ed. by Stéphane Audoin-Rouzeau and Jean-Jacques Becker (Paris, 2004),&lt;/DisplayText&gt;&lt;record&gt;&lt;rec-number&gt;204&lt;/rec-number&gt;&lt;foreign-keys&gt;&lt;key app="EN" db-id="2f5rvwawcsv2woetvw35fzwbdvvswerd0err"&gt;204&lt;/key&gt;&lt;/foreign-keys&gt;&lt;ref-type name="Book Section"&gt;5&lt;/ref-type&gt;&lt;contributors&gt;&lt;authors&gt;&lt;author&gt;Deperchin, Annie&lt;/author&gt;&lt;/authors&gt;&lt;secondary-authors&gt;&lt;author&gt;Audoin-Rouzeau, Stéphane&lt;/author&gt;&lt;author&gt;Becker, Jean-Jacques&lt;/author&gt;&lt;/secondary-authors&gt;&lt;/contributors&gt;&lt;titles&gt;&lt;title&gt;L&amp;apos;application des traités&lt;/title&gt;&lt;secondary-title&gt;Encyclopédie de la Grande Guerre 1914-1918&lt;/secondary-title&gt;&lt;short-title&gt;L&amp;apos;application&lt;/short-title&gt;&lt;/titles&gt;&lt;dates&gt;&lt;year&gt;2004&lt;/year&gt;&lt;/dates&gt;&lt;pub-location&gt;Paris&lt;/pub-location&gt;&lt;urls&gt;&lt;/urls&gt;&lt;/record&gt;&lt;/Cite&gt;&lt;/EndNote&gt;</w:instrText>
      </w:r>
      <w:r>
        <w:rPr>
          <w:lang w:val="fr-FR"/>
        </w:rPr>
        <w:fldChar w:fldCharType="separate"/>
      </w:r>
      <w:r>
        <w:rPr>
          <w:noProof/>
          <w:lang w:val="fr-FR"/>
        </w:rPr>
        <w:t xml:space="preserve">Annie Deperchin, 'L'application des traités', in: </w:t>
      </w:r>
      <w:r w:rsidRPr="00FD549B">
        <w:rPr>
          <w:i/>
          <w:noProof/>
          <w:lang w:val="fr-FR"/>
        </w:rPr>
        <w:t xml:space="preserve">Encyclopédie de la Grande Guerre 1914-1918, </w:t>
      </w:r>
      <w:r>
        <w:rPr>
          <w:noProof/>
          <w:lang w:val="fr-FR"/>
        </w:rPr>
        <w:t>ed. by Stéphane Audoin-Rouzeau and Jean-Jacques Becker (Paris, 2004),</w:t>
      </w:r>
      <w:r>
        <w:rPr>
          <w:lang w:val="fr-FR"/>
        </w:rPr>
        <w:fldChar w:fldCharType="end"/>
      </w:r>
      <w:r>
        <w:rPr>
          <w:lang w:val="fr-FR"/>
        </w:rPr>
        <w:t xml:space="preserve"> pp. 1019-1030.</w:t>
      </w:r>
    </w:p>
  </w:footnote>
  <w:footnote w:id="504">
    <w:p w14:paraId="5E3C9268" w14:textId="77777777" w:rsidR="00DE3AC9" w:rsidRPr="00842CDD" w:rsidRDefault="00DE3AC9" w:rsidP="007D5EBA">
      <w:pPr>
        <w:pStyle w:val="FootnoteText"/>
        <w:rPr>
          <w:lang w:val="fr-FR"/>
        </w:rPr>
      </w:pPr>
      <w:r>
        <w:rPr>
          <w:rStyle w:val="FootnoteReference"/>
        </w:rPr>
        <w:footnoteRef/>
      </w:r>
      <w:r w:rsidRPr="00842CDD">
        <w:rPr>
          <w:lang w:val="fr-FR"/>
        </w:rPr>
        <w:t xml:space="preserve"> </w:t>
      </w:r>
      <w:r>
        <w:rPr>
          <w:lang w:val="fr-FR"/>
        </w:rPr>
        <w:fldChar w:fldCharType="begin"/>
      </w:r>
      <w:r>
        <w:rPr>
          <w:lang w:val="fr-FR"/>
        </w:rPr>
        <w:instrText xml:space="preserve"> ADDIN EN.CITE &lt;EndNote&gt;&lt;Cite&gt;&lt;Author&gt;Mayeur&lt;/Author&gt;&lt;Year&gt;1984&lt;/Year&gt;&lt;RecNum&gt;197&lt;/RecNum&gt;&lt;DisplayText&gt;Jean-Marie Mayeur, &lt;style face="italic"&gt;La vie politique sous la Troisième République 1870-1940&lt;/style&gt;, (Paris, 1984)&lt;/DisplayText&gt;&lt;record&gt;&lt;rec-number&gt;197&lt;/rec-number&gt;&lt;foreign-keys&gt;&lt;key app="EN" db-id="2f5rvwawcsv2woetvw35fzwbdvvswerd0err"&gt;197&lt;/key&gt;&lt;/foreign-keys&gt;&lt;ref-type name="Book"&gt;6&lt;/ref-type&gt;&lt;contributors&gt;&lt;authors&gt;&lt;author&gt;Mayeur, Jean-Marie&lt;/author&gt;&lt;/authors&gt;&lt;/contributors&gt;&lt;titles&gt;&lt;title&gt;La vie politique sous la Troisième République 1870-1940&lt;/title&gt;&lt;short-title&gt;La vie politique&lt;/short-title&gt;&lt;/titles&gt;&lt;dates&gt;&lt;year&gt;1984&lt;/year&gt;&lt;/dates&gt;&lt;pub-location&gt;Paris&lt;/pub-location&gt;&lt;urls&gt;&lt;/urls&gt;&lt;/record&gt;&lt;/Cite&gt;&lt;/EndNote&gt;</w:instrText>
      </w:r>
      <w:r>
        <w:rPr>
          <w:lang w:val="fr-FR"/>
        </w:rPr>
        <w:fldChar w:fldCharType="separate"/>
      </w:r>
      <w:r>
        <w:rPr>
          <w:noProof/>
          <w:lang w:val="fr-FR"/>
        </w:rPr>
        <w:t xml:space="preserve">Jean-Marie Mayeur, </w:t>
      </w:r>
      <w:r w:rsidRPr="005C7BEE">
        <w:rPr>
          <w:i/>
          <w:noProof/>
          <w:lang w:val="fr-FR"/>
        </w:rPr>
        <w:t>La vie politique sous la Troisième République 1870-1940</w:t>
      </w:r>
      <w:r>
        <w:rPr>
          <w:noProof/>
          <w:lang w:val="fr-FR"/>
        </w:rPr>
        <w:t>, (Paris, 1984)</w:t>
      </w:r>
      <w:r>
        <w:rPr>
          <w:lang w:val="fr-FR"/>
        </w:rPr>
        <w:fldChar w:fldCharType="end"/>
      </w:r>
      <w:r>
        <w:rPr>
          <w:lang w:val="fr-FR"/>
        </w:rPr>
        <w:t>, p. 238.</w:t>
      </w:r>
    </w:p>
  </w:footnote>
  <w:footnote w:id="505">
    <w:p w14:paraId="54C97AAB" w14:textId="77777777" w:rsidR="00DE3AC9" w:rsidRPr="00732061" w:rsidRDefault="00DE3AC9" w:rsidP="007D5EBA">
      <w:pPr>
        <w:pStyle w:val="FootnoteText"/>
        <w:rPr>
          <w:lang w:val="fr-FR"/>
        </w:rPr>
      </w:pPr>
      <w:r>
        <w:rPr>
          <w:rStyle w:val="FootnoteReference"/>
        </w:rPr>
        <w:footnoteRef/>
      </w:r>
      <w:r w:rsidRPr="00732061">
        <w:rPr>
          <w:lang w:val="fr-FR"/>
        </w:rPr>
        <w:t xml:space="preserve"> </w:t>
      </w:r>
      <w:r>
        <w:rPr>
          <w:i/>
          <w:iCs/>
          <w:lang w:val="fr-FR"/>
        </w:rPr>
        <w:t xml:space="preserve">La Gazette des Ardennes, </w:t>
      </w:r>
      <w:r>
        <w:rPr>
          <w:lang w:val="fr-FR"/>
        </w:rPr>
        <w:t>24 September 1916.</w:t>
      </w:r>
    </w:p>
  </w:footnote>
  <w:footnote w:id="506">
    <w:p w14:paraId="5073D89F" w14:textId="77777777" w:rsidR="00DE3AC9" w:rsidRPr="00FE1C5B" w:rsidRDefault="00DE3AC9" w:rsidP="007D5EBA">
      <w:pPr>
        <w:pStyle w:val="FootnoteText"/>
        <w:rPr>
          <w:lang w:val="fr-FR"/>
        </w:rPr>
      </w:pPr>
      <w:r>
        <w:rPr>
          <w:rStyle w:val="FootnoteReference"/>
        </w:rPr>
        <w:footnoteRef/>
      </w:r>
      <w:r w:rsidRPr="00FE1C5B">
        <w:rPr>
          <w:lang w:val="fr-FR"/>
        </w:rPr>
        <w:t xml:space="preserve"> </w:t>
      </w:r>
      <w:r>
        <w:rPr>
          <w:i/>
          <w:iCs/>
          <w:lang w:val="fr-FR"/>
        </w:rPr>
        <w:t>La Voix du Pays</w:t>
      </w:r>
      <w:r>
        <w:rPr>
          <w:lang w:val="fr-FR"/>
        </w:rPr>
        <w:t>, 28 December 1915.</w:t>
      </w:r>
    </w:p>
  </w:footnote>
  <w:footnote w:id="507">
    <w:p w14:paraId="074A3830" w14:textId="77777777" w:rsidR="00DE3AC9" w:rsidRPr="0048510E" w:rsidRDefault="00DE3AC9" w:rsidP="007D5EBA">
      <w:pPr>
        <w:pStyle w:val="FootnoteText"/>
        <w:rPr>
          <w:lang w:val="fr-FR"/>
        </w:rPr>
      </w:pPr>
      <w:r>
        <w:rPr>
          <w:rStyle w:val="FootnoteReference"/>
        </w:rPr>
        <w:footnoteRef/>
      </w:r>
      <w:r w:rsidRPr="0048510E">
        <w:rPr>
          <w:lang w:val="fr-FR"/>
        </w:rPr>
        <w:t xml:space="preserve"> </w:t>
      </w:r>
      <w:r>
        <w:rPr>
          <w:lang w:val="fr-FR"/>
        </w:rPr>
        <w:fldChar w:fldCharType="begin"/>
      </w:r>
      <w:r>
        <w:rPr>
          <w:lang w:val="fr-FR"/>
        </w:rPr>
        <w:instrText xml:space="preserve"> ADDIN EN.CITE &lt;EndNote&gt;&lt;Cite&gt;&lt;Author&gt;Mayeur&lt;/Author&gt;&lt;Year&gt;1984&lt;/Year&gt;&lt;RecNum&gt;197&lt;/RecNum&gt;&lt;DisplayText&gt;Mayeur, &lt;style face="italic"&gt;La vie politique&lt;/style&gt;&lt;/DisplayText&gt;&lt;record&gt;&lt;rec-number&gt;197&lt;/rec-number&gt;&lt;foreign-keys&gt;&lt;key app="EN" db-id="2f5rvwawcsv2woetvw35fzwbdvvswerd0err"&gt;197&lt;/key&gt;&lt;/foreign-keys&gt;&lt;ref-type name="Book"&gt;6&lt;/ref-type&gt;&lt;contributors&gt;&lt;authors&gt;&lt;author&gt;Mayeur, Jean-Marie&lt;/author&gt;&lt;/authors&gt;&lt;/contributors&gt;&lt;titles&gt;&lt;title&gt;La vie politique sous la Troisième République 1870-1940&lt;/title&gt;&lt;short-title&gt;La vie politique&lt;/short-title&gt;&lt;/titles&gt;&lt;dates&gt;&lt;year&gt;1984&lt;/year&gt;&lt;/dates&gt;&lt;pub-location&gt;Paris&lt;/pub-location&gt;&lt;urls&gt;&lt;/urls&gt;&lt;/record&gt;&lt;/Cite&gt;&lt;/EndNote&gt;</w:instrText>
      </w:r>
      <w:r>
        <w:rPr>
          <w:lang w:val="fr-FR"/>
        </w:rPr>
        <w:fldChar w:fldCharType="separate"/>
      </w:r>
      <w:r>
        <w:rPr>
          <w:noProof/>
          <w:lang w:val="fr-FR"/>
        </w:rPr>
        <w:t xml:space="preserve">Mayeur, </w:t>
      </w:r>
      <w:r w:rsidRPr="005C7BEE">
        <w:rPr>
          <w:i/>
          <w:noProof/>
          <w:lang w:val="fr-FR"/>
        </w:rPr>
        <w:t>La vie politique</w:t>
      </w:r>
      <w:r>
        <w:rPr>
          <w:lang w:val="fr-FR"/>
        </w:rPr>
        <w:fldChar w:fldCharType="end"/>
      </w:r>
      <w:r w:rsidRPr="0048510E">
        <w:rPr>
          <w:lang w:val="fr-FR"/>
        </w:rPr>
        <w:t>, p. 240.</w:t>
      </w:r>
    </w:p>
  </w:footnote>
  <w:footnote w:id="508">
    <w:p w14:paraId="455A368B" w14:textId="77777777" w:rsidR="00DE3AC9" w:rsidRPr="00644560" w:rsidRDefault="00DE3AC9" w:rsidP="007D5EBA">
      <w:pPr>
        <w:pStyle w:val="FootnoteText"/>
      </w:pPr>
      <w:r>
        <w:rPr>
          <w:rStyle w:val="FootnoteReference"/>
        </w:rPr>
        <w:footnoteRef/>
      </w:r>
      <w:r w:rsidRPr="00644560">
        <w:t xml:space="preserve"> </w:t>
      </w:r>
      <w:r>
        <w:fldChar w:fldCharType="begin"/>
      </w:r>
      <w:r w:rsidRPr="00644560">
        <w:instrText xml:space="preserve"> ADDIN EN.CITE &lt;EndNote&gt;&lt;Cite&gt;&lt;Author&gt;Mayeur&lt;/Author&gt;&lt;Year&gt;1984&lt;/Year&gt;&lt;RecNum&gt;197&lt;/RecNum&gt;&lt;DisplayText&gt;Ibid.&lt;/DisplayText&gt;&lt;record&gt;&lt;rec-number&gt;197&lt;/rec-number&gt;&lt;foreign-keys&gt;&lt;key app="EN" db-id="2f5rvwawcsv2woetvw35fzwbdvvswerd0err"&gt;197&lt;/key&gt;&lt;/foreign-keys&gt;&lt;ref-type name="Book"&gt;6&lt;/ref-type&gt;&lt;contributors&gt;&lt;authors&gt;&lt;author&gt;Mayeur, Jean-Marie&lt;/author&gt;&lt;/authors&gt;&lt;/contributors&gt;&lt;titles&gt;&lt;title&gt;La vie politique sous la Troisième République 1870-1940&lt;/title&gt;&lt;short-title&gt;La vie politique&lt;/short-title&gt;&lt;/titles&gt;&lt;dates&gt;&lt;year&gt;1984&lt;/year&gt;&lt;/dates&gt;&lt;pub-location&gt;Paris&lt;/pub-location&gt;&lt;urls&gt;&lt;/urls&gt;&lt;/record&gt;&lt;/Cite&gt;&lt;/EndNote&gt;</w:instrText>
      </w:r>
      <w:r>
        <w:fldChar w:fldCharType="separate"/>
      </w:r>
      <w:r w:rsidRPr="00644560">
        <w:rPr>
          <w:noProof/>
        </w:rPr>
        <w:t>Ibid.</w:t>
      </w:r>
      <w:r>
        <w:fldChar w:fldCharType="end"/>
      </w:r>
      <w:r w:rsidRPr="00644560">
        <w:t>, p. 243.</w:t>
      </w:r>
    </w:p>
  </w:footnote>
  <w:footnote w:id="509">
    <w:p w14:paraId="30EB59AC" w14:textId="77777777" w:rsidR="00DE3AC9" w:rsidRPr="007B0BC1" w:rsidRDefault="00DE3AC9" w:rsidP="007D5EBA">
      <w:pPr>
        <w:pStyle w:val="FootnoteText"/>
      </w:pPr>
      <w:r>
        <w:rPr>
          <w:rStyle w:val="FootnoteReference"/>
        </w:rPr>
        <w:footnoteRef/>
      </w:r>
      <w:r w:rsidRPr="007B0BC1">
        <w:t xml:space="preserve"> </w:t>
      </w:r>
      <w:r>
        <w:rPr>
          <w:lang w:val="fr-FR"/>
        </w:rPr>
        <w:fldChar w:fldCharType="begin"/>
      </w:r>
      <w:r>
        <w:instrText xml:space="preserve"> ADDIN EN.CITE &lt;EndNote&gt;&lt;Cite&gt;&lt;Author&gt;Berstein&lt;/Author&gt;&lt;Year&gt;1992&lt;/Year&gt;&lt;RecNum&gt;304&lt;/RecNum&gt;&lt;DisplayText&gt;Serge Berstein, &amp;apos;The Radical Socialist party&amp;apos;, in: &lt;style face="italic"&gt;The French Home Front, &lt;/style&gt;ed. by Patrick Fridenson (Providence, 1992),&lt;/DisplayText&gt;&lt;record&gt;&lt;rec-number&gt;304&lt;/rec-number&gt;&lt;foreign-keys&gt;&lt;key app="EN" db-id="2f5rvwawcsv2woetvw35fzwbdvvswerd0err"&gt;304&lt;/key&gt;&lt;/foreign-keys&gt;&lt;ref-type name="Book Section"&gt;5&lt;/ref-type&gt;&lt;contributors&gt;&lt;authors&gt;&lt;author&gt;Berstein, Serge&lt;/author&gt;&lt;/authors&gt;&lt;secondary-authors&gt;&lt;author&gt;Fridenson, Patrick&lt;/author&gt;&lt;/secondary-authors&gt;&lt;/contributors&gt;&lt;titles&gt;&lt;title&gt;The Radical Socialist party&lt;/title&gt;&lt;secondary-title&gt;The French Home Front&lt;/secondary-title&gt;&lt;short-title&gt;The Radical&lt;/short-title&gt;&lt;/titles&gt;&lt;dates&gt;&lt;year&gt;1992&lt;/year&gt;&lt;/dates&gt;&lt;pub-location&gt;Providence&lt;/pub-location&gt;&lt;urls&gt;&lt;/urls&gt;&lt;/record&gt;&lt;/Cite&gt;&lt;/EndNote&gt;</w:instrText>
      </w:r>
      <w:r>
        <w:rPr>
          <w:lang w:val="fr-FR"/>
        </w:rPr>
        <w:fldChar w:fldCharType="separate"/>
      </w:r>
      <w:r w:rsidRPr="007B0BC1">
        <w:rPr>
          <w:noProof/>
        </w:rPr>
        <w:t xml:space="preserve">Serge Berstein, 'The Radical Socialist party', in: </w:t>
      </w:r>
      <w:r w:rsidRPr="007B0BC1">
        <w:rPr>
          <w:i/>
          <w:noProof/>
        </w:rPr>
        <w:t xml:space="preserve">The French Home Front, </w:t>
      </w:r>
      <w:r w:rsidRPr="007B0BC1">
        <w:rPr>
          <w:noProof/>
        </w:rPr>
        <w:t>ed. by Patrick Fridenson (Providence, 1992),</w:t>
      </w:r>
      <w:r>
        <w:rPr>
          <w:lang w:val="fr-FR"/>
        </w:rPr>
        <w:fldChar w:fldCharType="end"/>
      </w:r>
      <w:r w:rsidRPr="007B0BC1">
        <w:t xml:space="preserve"> p. 47.</w:t>
      </w:r>
    </w:p>
  </w:footnote>
  <w:footnote w:id="510">
    <w:p w14:paraId="4FDBF9E5" w14:textId="77777777" w:rsidR="00DE3AC9" w:rsidRPr="00FC7FFC" w:rsidRDefault="00DE3AC9" w:rsidP="007D5EBA">
      <w:pPr>
        <w:pStyle w:val="FootnoteText"/>
        <w:rPr>
          <w:lang w:val="fr-FR"/>
        </w:rPr>
      </w:pPr>
      <w:r>
        <w:rPr>
          <w:rStyle w:val="FootnoteReference"/>
        </w:rPr>
        <w:footnoteRef/>
      </w:r>
      <w:r w:rsidRPr="00A85ABE">
        <w:rPr>
          <w:lang w:val="fr-FR"/>
        </w:rPr>
        <w:t xml:space="preserve"> </w:t>
      </w:r>
      <w:r>
        <w:rPr>
          <w:i/>
          <w:iCs/>
          <w:lang w:val="fr-FR"/>
        </w:rPr>
        <w:t xml:space="preserve">La Gazette des Ardennes, </w:t>
      </w:r>
      <w:r>
        <w:rPr>
          <w:lang w:val="fr-FR"/>
        </w:rPr>
        <w:t xml:space="preserve">26 September 1916 and </w:t>
      </w:r>
      <w:r>
        <w:rPr>
          <w:i/>
          <w:iCs/>
          <w:lang w:val="fr-FR"/>
        </w:rPr>
        <w:t>Nieuwe Gentsche Courant</w:t>
      </w:r>
      <w:r>
        <w:rPr>
          <w:lang w:val="fr-FR"/>
        </w:rPr>
        <w:t>, 27 January 1918.</w:t>
      </w:r>
    </w:p>
  </w:footnote>
  <w:footnote w:id="511">
    <w:p w14:paraId="450E9AEF" w14:textId="77777777" w:rsidR="00DE3AC9" w:rsidRPr="00495709" w:rsidRDefault="00DE3AC9" w:rsidP="007D5EBA">
      <w:pPr>
        <w:pStyle w:val="FootnoteText"/>
        <w:rPr>
          <w:lang w:val="fr-FR"/>
        </w:rPr>
      </w:pPr>
      <w:r>
        <w:rPr>
          <w:rStyle w:val="FootnoteReference"/>
        </w:rPr>
        <w:footnoteRef/>
      </w:r>
      <w:r w:rsidRPr="00495709">
        <w:rPr>
          <w:lang w:val="fr-FR"/>
        </w:rPr>
        <w:t xml:space="preserve"> </w:t>
      </w:r>
      <w:r>
        <w:rPr>
          <w:i/>
          <w:iCs/>
          <w:lang w:val="fr-FR"/>
        </w:rPr>
        <w:t xml:space="preserve">La Voix du Pays, </w:t>
      </w:r>
      <w:r>
        <w:rPr>
          <w:lang w:val="fr-FR"/>
        </w:rPr>
        <w:t>31 October 1916.</w:t>
      </w:r>
    </w:p>
  </w:footnote>
  <w:footnote w:id="512">
    <w:p w14:paraId="5C5AAD5F" w14:textId="77777777" w:rsidR="00DE3AC9" w:rsidRPr="00946533" w:rsidRDefault="00DE3AC9" w:rsidP="007D5EBA">
      <w:pPr>
        <w:pStyle w:val="FootnoteText"/>
        <w:rPr>
          <w:lang w:val="fr-FR"/>
        </w:rPr>
      </w:pPr>
      <w:r>
        <w:rPr>
          <w:rStyle w:val="FootnoteReference"/>
        </w:rPr>
        <w:footnoteRef/>
      </w:r>
      <w:r w:rsidRPr="00946533">
        <w:rPr>
          <w:lang w:val="fr-FR"/>
        </w:rPr>
        <w:t xml:space="preserve"> </w:t>
      </w:r>
      <w:r>
        <w:rPr>
          <w:i/>
          <w:iCs/>
          <w:lang w:val="fr-FR"/>
        </w:rPr>
        <w:t xml:space="preserve">Le Courrier de l’Air, </w:t>
      </w:r>
      <w:r>
        <w:rPr>
          <w:lang w:val="fr-FR"/>
        </w:rPr>
        <w:t xml:space="preserve">25 May 1917 ; </w:t>
      </w:r>
      <w:r>
        <w:rPr>
          <w:i/>
          <w:iCs/>
          <w:lang w:val="fr-FR"/>
        </w:rPr>
        <w:t xml:space="preserve">La Lettre du Soldat, </w:t>
      </w:r>
      <w:r>
        <w:rPr>
          <w:lang w:val="fr-FR"/>
        </w:rPr>
        <w:t xml:space="preserve">April and May 1917 ; </w:t>
      </w:r>
      <w:r>
        <w:rPr>
          <w:i/>
          <w:iCs/>
          <w:lang w:val="fr-FR"/>
        </w:rPr>
        <w:t>La Voix du Pays</w:t>
      </w:r>
      <w:r>
        <w:rPr>
          <w:lang w:val="fr-FR"/>
        </w:rPr>
        <w:t xml:space="preserve">, 20 March and 2 April 1917 and </w:t>
      </w:r>
      <w:r>
        <w:rPr>
          <w:lang w:val="fr-FR"/>
        </w:rPr>
        <w:fldChar w:fldCharType="begin"/>
      </w:r>
      <w:r>
        <w:rPr>
          <w:lang w:val="fr-FR"/>
        </w:rPr>
        <w:instrText xml:space="preserve"> ADDIN EN.CITE &lt;EndNote&gt;&lt;Cite&gt;&lt;Author&gt;Werth&lt;/Author&gt;&lt;Year&gt;2004&lt;/Year&gt;&lt;RecNum&gt;198&lt;/RecNum&gt;&lt;DisplayText&gt;Nicolas Werth, &amp;apos;Paysans-soldats et sortie de guerre de la Russie en 1917-1918&amp;apos;, in: &lt;style face="italic"&gt;Encyclopédie de la Grande Guerre 1914-1918, &lt;/style&gt;ed. by S. Audoin-Rouzeau and J-J. Becker (Paris, 2004),&lt;/DisplayText&gt;&lt;record&gt;&lt;rec-number&gt;198&lt;/rec-number&gt;&lt;foreign-keys&gt;&lt;key app="EN" db-id="2f5rvwawcsv2woetvw35fzwbdvvswerd0err"&gt;198&lt;/key&gt;&lt;/foreign-keys&gt;&lt;ref-type name="Book Section"&gt;5&lt;/ref-type&gt;&lt;contributors&gt;&lt;authors&gt;&lt;author&gt;Werth, Nicolas&lt;/author&gt;&lt;/authors&gt;&lt;secondary-authors&gt;&lt;author&gt;Audoin-Rouzeau, S.&lt;/author&gt;&lt;author&gt;Becker, J-J.&lt;/author&gt;&lt;/secondary-authors&gt;&lt;/contributors&gt;&lt;titles&gt;&lt;title&gt;Paysans-soldats et sortie de guerre de la Russie en 1917-1918&lt;/title&gt;&lt;secondary-title&gt;Encyclopédie de la Grande Guerre 1914-1918&lt;/secondary-title&gt;&lt;short-title&gt;Paysans&lt;/short-title&gt;&lt;/titles&gt;&lt;dates&gt;&lt;year&gt;2004&lt;/year&gt;&lt;/dates&gt;&lt;pub-location&gt;Paris&lt;/pub-location&gt;&lt;urls&gt;&lt;/urls&gt;&lt;/record&gt;&lt;/Cite&gt;&lt;/EndNote&gt;</w:instrText>
      </w:r>
      <w:r>
        <w:rPr>
          <w:lang w:val="fr-FR"/>
        </w:rPr>
        <w:fldChar w:fldCharType="separate"/>
      </w:r>
      <w:r>
        <w:rPr>
          <w:noProof/>
          <w:lang w:val="fr-FR"/>
        </w:rPr>
        <w:t xml:space="preserve">Nicolas Werth, 'Paysans-soldats et sortie de guerre de la Russie en 1917-1918', in: </w:t>
      </w:r>
      <w:r w:rsidRPr="00FD549B">
        <w:rPr>
          <w:i/>
          <w:noProof/>
          <w:lang w:val="fr-FR"/>
        </w:rPr>
        <w:t xml:space="preserve">Encyclopédie de la Grande Guerre 1914-1918, </w:t>
      </w:r>
      <w:r>
        <w:rPr>
          <w:noProof/>
          <w:lang w:val="fr-FR"/>
        </w:rPr>
        <w:t>ed. by S. Audoin-Rouzeau and J-J. Becker (Paris, 2004),</w:t>
      </w:r>
      <w:r>
        <w:rPr>
          <w:lang w:val="fr-FR"/>
        </w:rPr>
        <w:fldChar w:fldCharType="end"/>
      </w:r>
      <w:r>
        <w:rPr>
          <w:lang w:val="fr-FR"/>
        </w:rPr>
        <w:t xml:space="preserve"> p. 829.</w:t>
      </w:r>
    </w:p>
  </w:footnote>
  <w:footnote w:id="513">
    <w:p w14:paraId="1DB9FA98" w14:textId="77777777" w:rsidR="00DE3AC9" w:rsidRPr="00FE1C5B" w:rsidRDefault="00DE3AC9" w:rsidP="007D5EBA">
      <w:pPr>
        <w:pStyle w:val="FootnoteText"/>
        <w:rPr>
          <w:lang w:val="fr-FR"/>
        </w:rPr>
      </w:pPr>
      <w:r>
        <w:rPr>
          <w:rStyle w:val="FootnoteReference"/>
        </w:rPr>
        <w:footnoteRef/>
      </w:r>
      <w:r>
        <w:rPr>
          <w:lang w:val="fr-FR"/>
        </w:rPr>
        <w:t xml:space="preserve"> </w:t>
      </w:r>
      <w:r>
        <w:rPr>
          <w:lang w:val="fr-FR"/>
        </w:rPr>
        <w:fldChar w:fldCharType="begin"/>
      </w:r>
      <w:r>
        <w:rPr>
          <w:lang w:val="fr-FR"/>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fr-FR"/>
        </w:rPr>
        <w:fldChar w:fldCharType="separate"/>
      </w:r>
      <w:r>
        <w:rPr>
          <w:noProof/>
          <w:lang w:val="fr-FR"/>
        </w:rPr>
        <w:t xml:space="preserve">Duroselle, </w:t>
      </w:r>
      <w:r w:rsidRPr="007B7627">
        <w:rPr>
          <w:i/>
          <w:noProof/>
          <w:lang w:val="fr-FR"/>
        </w:rPr>
        <w:t>La Grande Guerre</w:t>
      </w:r>
      <w:r>
        <w:rPr>
          <w:lang w:val="fr-FR"/>
        </w:rPr>
        <w:fldChar w:fldCharType="end"/>
      </w:r>
      <w:r>
        <w:rPr>
          <w:lang w:val="fr-FR"/>
        </w:rPr>
        <w:t>, p. 296 and</w:t>
      </w:r>
      <w:r w:rsidRPr="00FE1C5B">
        <w:rPr>
          <w:lang w:val="fr-FR"/>
        </w:rPr>
        <w:t xml:space="preserve"> </w:t>
      </w:r>
      <w:r>
        <w:rPr>
          <w:lang w:val="fr-FR"/>
        </w:rPr>
        <w:fldChar w:fldCharType="begin"/>
      </w:r>
      <w:r>
        <w:rPr>
          <w:lang w:val="fr-FR"/>
        </w:rPr>
        <w:instrText xml:space="preserve"> ADDIN EN.CITE &lt;EndNote&gt;&lt;Cite&gt;&lt;Author&gt;Becker&lt;/Author&gt;&lt;Year&gt;2012&lt;/Year&gt;&lt;RecNum&gt;183&lt;/RecNum&gt;&lt;DisplayText&gt;Becker and Krumeich, &lt;style face="italic"&gt;Une histoire franco-allemande&lt;/style&gt;&lt;/DisplayText&gt;&lt;record&gt;&lt;rec-number&gt;183&lt;/rec-number&gt;&lt;foreign-keys&gt;&lt;key app="EN" db-id="2f5rvwawcsv2woetvw35fzwbdvvswerd0err"&gt;183&lt;/key&gt;&lt;/foreign-keys&gt;&lt;ref-type name="Book"&gt;6&lt;/ref-type&gt;&lt;contributors&gt;&lt;authors&gt;&lt;author&gt;Becker, Jean-Jacques&lt;/author&gt;&lt;author&gt;Krumeich, Gerd&lt;/author&gt;&lt;/authors&gt;&lt;/contributors&gt;&lt;titles&gt;&lt;title&gt;La Grande Guerre: une histoire franco-allemande&lt;/title&gt;&lt;short-title&gt;Une histoire franco-allemande&lt;/short-title&gt;&lt;/titles&gt;&lt;dates&gt;&lt;year&gt;2012&lt;/year&gt;&lt;/dates&gt;&lt;pub-location&gt;Paris&lt;/pub-location&gt;&lt;urls&gt;&lt;/urls&gt;&lt;/record&gt;&lt;/Cite&gt;&lt;/EndNote&gt;</w:instrText>
      </w:r>
      <w:r>
        <w:rPr>
          <w:lang w:val="fr-FR"/>
        </w:rPr>
        <w:fldChar w:fldCharType="separate"/>
      </w:r>
      <w:r>
        <w:rPr>
          <w:noProof/>
          <w:lang w:val="fr-FR"/>
        </w:rPr>
        <w:t xml:space="preserve">Becker and Krumeich, </w:t>
      </w:r>
      <w:r w:rsidRPr="007B7627">
        <w:rPr>
          <w:i/>
          <w:noProof/>
          <w:lang w:val="fr-FR"/>
        </w:rPr>
        <w:t>Une histoire franco-allemande</w:t>
      </w:r>
      <w:r>
        <w:rPr>
          <w:lang w:val="fr-FR"/>
        </w:rPr>
        <w:fldChar w:fldCharType="end"/>
      </w:r>
      <w:r>
        <w:rPr>
          <w:lang w:val="fr-FR"/>
        </w:rPr>
        <w:t>, p. 96.</w:t>
      </w:r>
    </w:p>
  </w:footnote>
  <w:footnote w:id="514">
    <w:p w14:paraId="02CF4DF9" w14:textId="77777777" w:rsidR="00DE3AC9" w:rsidRPr="00363315" w:rsidRDefault="00DE3AC9" w:rsidP="007D5EBA">
      <w:pPr>
        <w:pStyle w:val="FootnoteText"/>
        <w:rPr>
          <w:lang w:val="fr-FR"/>
        </w:rPr>
      </w:pPr>
      <w:r>
        <w:rPr>
          <w:rStyle w:val="FootnoteReference"/>
        </w:rPr>
        <w:footnoteRef/>
      </w:r>
      <w:r w:rsidRPr="00363315">
        <w:rPr>
          <w:lang w:val="fr-FR"/>
        </w:rPr>
        <w:t xml:space="preserve"> </w:t>
      </w:r>
      <w:r>
        <w:rPr>
          <w:lang w:val="fr-FR"/>
        </w:rPr>
        <w:fldChar w:fldCharType="begin"/>
      </w:r>
      <w:r>
        <w:rPr>
          <w:lang w:val="fr-FR"/>
        </w:rPr>
        <w:instrText xml:space="preserve"> ADDIN EN.CITE &lt;EndNote&gt;&lt;Cite&gt;&lt;Author&gt;Becker&lt;/Author&gt;&lt;Year&gt;1980&lt;/Year&gt;&lt;RecNum&gt;201&lt;/RecNum&gt;&lt;DisplayText&gt;Jean-Jacques Becker, &lt;style face="italic"&gt;Les Français dans la Grande Guerre&lt;/style&gt;, (Paris, 1980)&lt;/DisplayText&gt;&lt;record&gt;&lt;rec-number&gt;201&lt;/rec-number&gt;&lt;foreign-keys&gt;&lt;key app="EN" db-id="2f5rvwawcsv2woetvw35fzwbdvvswerd0err"&gt;201&lt;/key&gt;&lt;/foreign-keys&gt;&lt;ref-type name="Book"&gt;6&lt;/ref-type&gt;&lt;contributors&gt;&lt;authors&gt;&lt;author&gt;Becker, Jean-Jacques&lt;/author&gt;&lt;/authors&gt;&lt;/contributors&gt;&lt;titles&gt;&lt;title&gt;Les Français dans la Grande Guerre&lt;/title&gt;&lt;short-title&gt;Les Français&lt;/short-title&gt;&lt;/titles&gt;&lt;dates&gt;&lt;year&gt;1980&lt;/year&gt;&lt;/dates&gt;&lt;pub-location&gt;Paris&lt;/pub-location&gt;&lt;urls&gt;&lt;/urls&gt;&lt;/record&gt;&lt;/Cite&gt;&lt;/EndNote&gt;</w:instrText>
      </w:r>
      <w:r>
        <w:rPr>
          <w:lang w:val="fr-FR"/>
        </w:rPr>
        <w:fldChar w:fldCharType="separate"/>
      </w:r>
      <w:r>
        <w:rPr>
          <w:noProof/>
          <w:lang w:val="fr-FR"/>
        </w:rPr>
        <w:t xml:space="preserve">Jean-Jacques Becker, </w:t>
      </w:r>
      <w:r w:rsidRPr="007B7627">
        <w:rPr>
          <w:i/>
          <w:noProof/>
          <w:lang w:val="fr-FR"/>
        </w:rPr>
        <w:t>Les Français dans la Grande Guerre</w:t>
      </w:r>
      <w:r>
        <w:rPr>
          <w:noProof/>
          <w:lang w:val="fr-FR"/>
        </w:rPr>
        <w:t>, (Paris, 1980)</w:t>
      </w:r>
      <w:r>
        <w:rPr>
          <w:lang w:val="fr-FR"/>
        </w:rPr>
        <w:fldChar w:fldCharType="end"/>
      </w:r>
      <w:r>
        <w:rPr>
          <w:lang w:val="fr-FR"/>
        </w:rPr>
        <w:t>, pp. 204-205.</w:t>
      </w:r>
    </w:p>
  </w:footnote>
  <w:footnote w:id="515">
    <w:p w14:paraId="65EEF823" w14:textId="77777777" w:rsidR="00DE3AC9" w:rsidRPr="007A6F63" w:rsidRDefault="00DE3AC9" w:rsidP="007D5EBA">
      <w:pPr>
        <w:pStyle w:val="FootnoteText"/>
        <w:rPr>
          <w:lang w:val="fr-FR"/>
        </w:rPr>
      </w:pPr>
      <w:r>
        <w:rPr>
          <w:rStyle w:val="FootnoteReference"/>
        </w:rPr>
        <w:footnoteRef/>
      </w:r>
      <w:r w:rsidRPr="007A6F63">
        <w:rPr>
          <w:lang w:val="fr-FR"/>
        </w:rPr>
        <w:t xml:space="preserve"> </w:t>
      </w:r>
      <w:r>
        <w:rPr>
          <w:i/>
          <w:iCs/>
          <w:lang w:val="fr-FR"/>
        </w:rPr>
        <w:t>La Voix du Pays</w:t>
      </w:r>
      <w:r>
        <w:rPr>
          <w:lang w:val="fr-FR"/>
        </w:rPr>
        <w:t>, 12 June 1917.</w:t>
      </w:r>
    </w:p>
  </w:footnote>
  <w:footnote w:id="516">
    <w:p w14:paraId="1BB236C7" w14:textId="77777777" w:rsidR="00DE3AC9" w:rsidRPr="003535FC" w:rsidRDefault="00DE3AC9" w:rsidP="007D5EBA">
      <w:pPr>
        <w:pStyle w:val="FootnoteText"/>
        <w:rPr>
          <w:lang w:val="fr-FR"/>
        </w:rPr>
      </w:pPr>
      <w:r>
        <w:rPr>
          <w:rStyle w:val="FootnoteReference"/>
        </w:rPr>
        <w:footnoteRef/>
      </w:r>
      <w:r w:rsidRPr="003535FC">
        <w:rPr>
          <w:lang w:val="fr-FR"/>
        </w:rPr>
        <w:t xml:space="preserve"> </w:t>
      </w:r>
      <w:r>
        <w:rPr>
          <w:lang w:val="fr-FR"/>
        </w:rPr>
        <w:fldChar w:fldCharType="begin"/>
      </w:r>
      <w:r>
        <w:rPr>
          <w:lang w:val="fr-FR"/>
        </w:rPr>
        <w:instrText xml:space="preserve"> ADDIN EN.CITE &lt;EndNote&gt;&lt;Cite&gt;&lt;Author&gt;Witte&lt;/Author&gt;&lt;Year&gt;1987&lt;/Year&gt;&lt;RecNum&gt;199&lt;/RecNum&gt;&lt;DisplayText&gt;Witte and Craeybeckx, &lt;style face="italic"&gt;La Belgique&lt;/style&gt;&lt;/DisplayText&gt;&lt;record&gt;&lt;rec-number&gt;199&lt;/rec-number&gt;&lt;foreign-keys&gt;&lt;key app="EN" db-id="2f5rvwawcsv2woetvw35fzwbdvvswerd0err"&gt;199&lt;/key&gt;&lt;/foreign-keys&gt;&lt;ref-type name="Book"&gt;6&lt;/ref-type&gt;&lt;contributors&gt;&lt;authors&gt;&lt;author&gt;Witte, Els&lt;/author&gt;&lt;author&gt;Craeybeckx, Jan&lt;/author&gt;&lt;/authors&gt;&lt;/contributors&gt;&lt;titles&gt;&lt;title&gt;La Belgique politique de 1830 à nos jours&lt;/title&gt;&lt;short-title&gt;La Belgique&lt;/short-title&gt;&lt;/titles&gt;&lt;dates&gt;&lt;year&gt;1987&lt;/year&gt;&lt;/dates&gt;&lt;pub-location&gt;Brussels&lt;/pub-location&gt;&lt;urls&gt;&lt;/urls&gt;&lt;/record&gt;&lt;/Cite&gt;&lt;/EndNote&gt;</w:instrText>
      </w:r>
      <w:r>
        <w:rPr>
          <w:lang w:val="fr-FR"/>
        </w:rPr>
        <w:fldChar w:fldCharType="separate"/>
      </w:r>
      <w:r>
        <w:rPr>
          <w:noProof/>
          <w:lang w:val="fr-FR"/>
        </w:rPr>
        <w:t xml:space="preserve">Witte and Craeybeckx, </w:t>
      </w:r>
      <w:r w:rsidRPr="007B7627">
        <w:rPr>
          <w:i/>
          <w:noProof/>
          <w:lang w:val="fr-FR"/>
        </w:rPr>
        <w:t>La Belgique</w:t>
      </w:r>
      <w:r>
        <w:rPr>
          <w:lang w:val="fr-FR"/>
        </w:rPr>
        <w:fldChar w:fldCharType="end"/>
      </w:r>
      <w:r>
        <w:rPr>
          <w:lang w:val="fr-FR"/>
        </w:rPr>
        <w:t>, p. 145.</w:t>
      </w:r>
    </w:p>
  </w:footnote>
  <w:footnote w:id="517">
    <w:p w14:paraId="1EEC3587" w14:textId="77777777" w:rsidR="00DE3AC9" w:rsidRPr="00295684" w:rsidRDefault="00DE3AC9" w:rsidP="007D5EBA">
      <w:pPr>
        <w:pStyle w:val="FootnoteText"/>
        <w:rPr>
          <w:lang w:val="fr-FR"/>
        </w:rPr>
      </w:pPr>
      <w:r>
        <w:rPr>
          <w:rStyle w:val="FootnoteReference"/>
        </w:rPr>
        <w:footnoteRef/>
      </w:r>
      <w:r w:rsidRPr="00295684">
        <w:rPr>
          <w:lang w:val="fr-FR"/>
        </w:rPr>
        <w:t xml:space="preserve"> </w:t>
      </w:r>
      <w:r>
        <w:rPr>
          <w:i/>
          <w:iCs/>
          <w:lang w:val="fr-FR"/>
        </w:rPr>
        <w:t xml:space="preserve">La Lettre du Soldat, </w:t>
      </w:r>
      <w:r>
        <w:rPr>
          <w:lang w:val="fr-FR"/>
        </w:rPr>
        <w:t>June 1917.</w:t>
      </w:r>
    </w:p>
  </w:footnote>
  <w:footnote w:id="518">
    <w:p w14:paraId="66CE4F96" w14:textId="77777777" w:rsidR="00DE3AC9" w:rsidRPr="00F02139" w:rsidRDefault="00DE3AC9" w:rsidP="007D5EBA">
      <w:pPr>
        <w:pStyle w:val="FootnoteText"/>
        <w:rPr>
          <w:lang w:val="fr-FR"/>
        </w:rPr>
      </w:pPr>
      <w:r>
        <w:rPr>
          <w:rStyle w:val="FootnoteReference"/>
        </w:rPr>
        <w:footnoteRef/>
      </w:r>
      <w:r w:rsidRPr="00F02139">
        <w:rPr>
          <w:lang w:val="fr-FR"/>
        </w:rPr>
        <w:t xml:space="preserve"> </w:t>
      </w:r>
      <w:r>
        <w:rPr>
          <w:i/>
          <w:iCs/>
          <w:lang w:val="fr-FR"/>
        </w:rPr>
        <w:t xml:space="preserve">Le Courrier de l’Air, </w:t>
      </w:r>
      <w:r>
        <w:rPr>
          <w:lang w:val="fr-FR"/>
        </w:rPr>
        <w:t>15 June 1917.</w:t>
      </w:r>
    </w:p>
  </w:footnote>
  <w:footnote w:id="519">
    <w:p w14:paraId="13D01BA4" w14:textId="77777777" w:rsidR="00DE3AC9" w:rsidRPr="0041184E" w:rsidRDefault="00DE3AC9" w:rsidP="007D5EBA">
      <w:pPr>
        <w:pStyle w:val="FootnoteText"/>
        <w:rPr>
          <w:lang w:val="fr-FR"/>
        </w:rPr>
      </w:pPr>
      <w:r>
        <w:rPr>
          <w:rStyle w:val="FootnoteReference"/>
        </w:rPr>
        <w:footnoteRef/>
      </w:r>
      <w:r>
        <w:rPr>
          <w:lang w:val="fr-FR"/>
        </w:rPr>
        <w:t xml:space="preserve"> </w:t>
      </w:r>
      <w:r>
        <w:rPr>
          <w:i/>
          <w:iCs/>
          <w:lang w:val="fr-FR"/>
        </w:rPr>
        <w:t xml:space="preserve">Le Courrier de l’Air, </w:t>
      </w:r>
      <w:r>
        <w:rPr>
          <w:lang w:val="fr-FR"/>
        </w:rPr>
        <w:t>3 August 1917 and</w:t>
      </w:r>
      <w:r w:rsidRPr="0041184E">
        <w:rPr>
          <w:lang w:val="fr-FR"/>
        </w:rPr>
        <w:t xml:space="preserve"> </w:t>
      </w:r>
      <w:r>
        <w:rPr>
          <w:i/>
          <w:iCs/>
          <w:lang w:val="fr-FR"/>
        </w:rPr>
        <w:t xml:space="preserve">La Voix du Pays, </w:t>
      </w:r>
      <w:r>
        <w:rPr>
          <w:lang w:val="fr-FR"/>
        </w:rPr>
        <w:t>25 July 1917.</w:t>
      </w:r>
    </w:p>
  </w:footnote>
  <w:footnote w:id="520">
    <w:p w14:paraId="31C11681" w14:textId="77777777" w:rsidR="00DE3AC9" w:rsidRPr="00C54460" w:rsidRDefault="00DE3AC9" w:rsidP="007D5EBA">
      <w:pPr>
        <w:pStyle w:val="FootnoteText"/>
        <w:rPr>
          <w:lang w:val="it-IT"/>
        </w:rPr>
      </w:pPr>
      <w:r>
        <w:rPr>
          <w:rStyle w:val="FootnoteReference"/>
        </w:rPr>
        <w:footnoteRef/>
      </w:r>
      <w:r w:rsidRPr="00C54460">
        <w:rPr>
          <w:lang w:val="it-IT"/>
        </w:rPr>
        <w:t xml:space="preserve"> </w:t>
      </w:r>
      <w:r>
        <w:rPr>
          <w:lang w:val="fr-FR"/>
        </w:rPr>
        <w:fldChar w:fldCharType="begin"/>
      </w:r>
      <w:r>
        <w:rPr>
          <w:lang w:val="it-IT"/>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fr-FR"/>
        </w:rPr>
        <w:fldChar w:fldCharType="separate"/>
      </w:r>
      <w:r w:rsidRPr="00C54460">
        <w:rPr>
          <w:noProof/>
          <w:lang w:val="it-IT"/>
        </w:rPr>
        <w:t xml:space="preserve">Duroselle, </w:t>
      </w:r>
      <w:r w:rsidRPr="00C54460">
        <w:rPr>
          <w:i/>
          <w:noProof/>
          <w:lang w:val="it-IT"/>
        </w:rPr>
        <w:t>La Grande Guerre</w:t>
      </w:r>
      <w:r>
        <w:rPr>
          <w:lang w:val="fr-FR"/>
        </w:rPr>
        <w:fldChar w:fldCharType="end"/>
      </w:r>
      <w:r w:rsidRPr="00C54460">
        <w:rPr>
          <w:lang w:val="it-IT"/>
        </w:rPr>
        <w:t>, p. 230.</w:t>
      </w:r>
    </w:p>
  </w:footnote>
  <w:footnote w:id="521">
    <w:p w14:paraId="578927FB" w14:textId="77777777" w:rsidR="00DE3AC9" w:rsidRPr="009C417F" w:rsidRDefault="00DE3AC9" w:rsidP="007D5EBA">
      <w:pPr>
        <w:pStyle w:val="FootnoteText"/>
        <w:rPr>
          <w:lang w:val="fr-FR"/>
        </w:rPr>
      </w:pPr>
      <w:r>
        <w:rPr>
          <w:rStyle w:val="FootnoteReference"/>
        </w:rPr>
        <w:footnoteRef/>
      </w:r>
      <w:r w:rsidRPr="009C417F">
        <w:rPr>
          <w:lang w:val="fr-FR"/>
        </w:rPr>
        <w:t xml:space="preserve"> </w:t>
      </w:r>
      <w:r>
        <w:rPr>
          <w:i/>
          <w:iCs/>
          <w:lang w:val="fr-FR"/>
        </w:rPr>
        <w:t>La Voix du Pays</w:t>
      </w:r>
      <w:r>
        <w:rPr>
          <w:lang w:val="fr-FR"/>
        </w:rPr>
        <w:t>, 20 December 1917.</w:t>
      </w:r>
    </w:p>
  </w:footnote>
  <w:footnote w:id="522">
    <w:p w14:paraId="43CFAF36" w14:textId="77777777" w:rsidR="00DE3AC9" w:rsidRPr="00F8555C" w:rsidRDefault="00DE3AC9" w:rsidP="007D5EBA">
      <w:pPr>
        <w:pStyle w:val="FootnoteText"/>
        <w:rPr>
          <w:lang w:val="fr-FR"/>
        </w:rPr>
      </w:pPr>
      <w:r>
        <w:rPr>
          <w:rStyle w:val="FootnoteReference"/>
        </w:rPr>
        <w:footnoteRef/>
      </w:r>
      <w:r w:rsidRPr="00F8555C">
        <w:rPr>
          <w:lang w:val="fr-FR"/>
        </w:rPr>
        <w:t xml:space="preserve"> </w:t>
      </w:r>
      <w:r>
        <w:rPr>
          <w:i/>
          <w:iCs/>
          <w:lang w:val="fr-FR"/>
        </w:rPr>
        <w:t>La Voix du Pays</w:t>
      </w:r>
      <w:r>
        <w:rPr>
          <w:lang w:val="fr-FR"/>
        </w:rPr>
        <w:t>, 8 January 1918.</w:t>
      </w:r>
    </w:p>
  </w:footnote>
  <w:footnote w:id="523">
    <w:p w14:paraId="11817B18" w14:textId="77777777" w:rsidR="00DE3AC9" w:rsidRPr="00FD549B" w:rsidRDefault="00DE3AC9" w:rsidP="007D5EBA">
      <w:pPr>
        <w:pStyle w:val="FootnoteText"/>
        <w:rPr>
          <w:lang w:val="fr-FR"/>
        </w:rPr>
      </w:pPr>
      <w:r>
        <w:rPr>
          <w:rStyle w:val="FootnoteReference"/>
        </w:rPr>
        <w:footnoteRef/>
      </w:r>
      <w:r w:rsidRPr="00FD549B">
        <w:rPr>
          <w:lang w:val="fr-FR"/>
        </w:rPr>
        <w:t xml:space="preserve"> </w:t>
      </w:r>
      <w:r>
        <w:rPr>
          <w:lang w:val="fr-FR"/>
        </w:rPr>
        <w:fldChar w:fldCharType="begin"/>
      </w:r>
      <w:r>
        <w:rPr>
          <w:lang w:val="fr-FR"/>
        </w:rPr>
        <w:instrText xml:space="preserve"> ADDIN EN.CITE &lt;EndNote&gt;&lt;Cite&gt;&lt;Author&gt;Becker&lt;/Author&gt;&lt;Year&gt;1980&lt;/Year&gt;&lt;RecNum&gt;201&lt;/RecNum&gt;&lt;DisplayText&gt;Becker, &lt;style face="italic"&gt;Les Français&lt;/style&gt;&lt;/DisplayText&gt;&lt;record&gt;&lt;rec-number&gt;201&lt;/rec-number&gt;&lt;foreign-keys&gt;&lt;key app="EN" db-id="2f5rvwawcsv2woetvw35fzwbdvvswerd0err"&gt;201&lt;/key&gt;&lt;/foreign-keys&gt;&lt;ref-type name="Book"&gt;6&lt;/ref-type&gt;&lt;contributors&gt;&lt;authors&gt;&lt;author&gt;Becker, Jean-Jacques&lt;/author&gt;&lt;/authors&gt;&lt;/contributors&gt;&lt;titles&gt;&lt;title&gt;Les Français dans la Grande Guerre&lt;/title&gt;&lt;short-title&gt;Les Français&lt;/short-title&gt;&lt;/titles&gt;&lt;dates&gt;&lt;year&gt;1980&lt;/year&gt;&lt;/dates&gt;&lt;pub-location&gt;Paris&lt;/pub-location&gt;&lt;urls&gt;&lt;/urls&gt;&lt;/record&gt;&lt;/Cite&gt;&lt;/EndNote&gt;</w:instrText>
      </w:r>
      <w:r>
        <w:rPr>
          <w:lang w:val="fr-FR"/>
        </w:rPr>
        <w:fldChar w:fldCharType="separate"/>
      </w:r>
      <w:r>
        <w:rPr>
          <w:noProof/>
          <w:lang w:val="fr-FR"/>
        </w:rPr>
        <w:t xml:space="preserve">Becker, </w:t>
      </w:r>
      <w:r w:rsidRPr="007B7627">
        <w:rPr>
          <w:i/>
          <w:noProof/>
          <w:lang w:val="fr-FR"/>
        </w:rPr>
        <w:t>Les Français</w:t>
      </w:r>
      <w:r>
        <w:rPr>
          <w:lang w:val="fr-FR"/>
        </w:rPr>
        <w:fldChar w:fldCharType="end"/>
      </w:r>
      <w:r w:rsidRPr="00FD549B">
        <w:rPr>
          <w:lang w:val="fr-FR"/>
        </w:rPr>
        <w:t>, p. 218.</w:t>
      </w:r>
    </w:p>
  </w:footnote>
  <w:footnote w:id="524">
    <w:p w14:paraId="2F5BFE58" w14:textId="77777777" w:rsidR="00DE3AC9" w:rsidRPr="003E3E4A" w:rsidRDefault="00DE3AC9" w:rsidP="007D5EBA">
      <w:pPr>
        <w:pStyle w:val="FootnoteText"/>
        <w:rPr>
          <w:lang w:val="fr-FR"/>
        </w:rPr>
      </w:pPr>
      <w:r>
        <w:rPr>
          <w:rStyle w:val="FootnoteReference"/>
        </w:rPr>
        <w:footnoteRef/>
      </w:r>
      <w:r w:rsidRPr="003E3E4A">
        <w:rPr>
          <w:lang w:val="fr-FR"/>
        </w:rPr>
        <w:t xml:space="preserve"> </w:t>
      </w:r>
      <w:r>
        <w:rPr>
          <w:i/>
          <w:iCs/>
          <w:lang w:val="fr-FR"/>
        </w:rPr>
        <w:t xml:space="preserve">Le Courrier de l’Air, </w:t>
      </w:r>
      <w:r>
        <w:rPr>
          <w:lang w:val="fr-FR"/>
        </w:rPr>
        <w:t>14 March 1918.</w:t>
      </w:r>
    </w:p>
  </w:footnote>
  <w:footnote w:id="525">
    <w:p w14:paraId="77393967" w14:textId="77777777" w:rsidR="00DE3AC9" w:rsidRPr="00C40CEB" w:rsidRDefault="00DE3AC9" w:rsidP="007D5EBA">
      <w:pPr>
        <w:pStyle w:val="FootnoteText"/>
        <w:rPr>
          <w:lang w:val="fr-FR"/>
        </w:rPr>
      </w:pPr>
      <w:r>
        <w:rPr>
          <w:rStyle w:val="FootnoteReference"/>
        </w:rPr>
        <w:footnoteRef/>
      </w:r>
      <w:r w:rsidRPr="00C40CEB">
        <w:rPr>
          <w:lang w:val="fr-FR"/>
        </w:rPr>
        <w:t xml:space="preserve"> </w:t>
      </w:r>
      <w:r>
        <w:rPr>
          <w:i/>
          <w:iCs/>
          <w:lang w:val="fr-FR"/>
        </w:rPr>
        <w:t xml:space="preserve">La Lettre du Soldat, </w:t>
      </w:r>
      <w:r>
        <w:rPr>
          <w:lang w:val="fr-FR"/>
        </w:rPr>
        <w:t>December 1917.</w:t>
      </w:r>
    </w:p>
  </w:footnote>
  <w:footnote w:id="526">
    <w:p w14:paraId="695C108A" w14:textId="77777777" w:rsidR="00DE3AC9" w:rsidRPr="009F771E" w:rsidRDefault="00DE3AC9" w:rsidP="007D5EBA">
      <w:pPr>
        <w:pStyle w:val="FootnoteText"/>
        <w:rPr>
          <w:lang w:val="fr-FR"/>
        </w:rPr>
      </w:pPr>
      <w:r>
        <w:rPr>
          <w:rStyle w:val="FootnoteReference"/>
        </w:rPr>
        <w:footnoteRef/>
      </w:r>
      <w:r w:rsidRPr="009F771E">
        <w:rPr>
          <w:lang w:val="fr-FR"/>
        </w:rPr>
        <w:t xml:space="preserve"> </w:t>
      </w:r>
      <w:r>
        <w:rPr>
          <w:i/>
          <w:iCs/>
          <w:lang w:val="fr-FR"/>
        </w:rPr>
        <w:t xml:space="preserve">Le Courrier de l’Air, </w:t>
      </w:r>
      <w:r>
        <w:rPr>
          <w:lang w:val="fr-FR"/>
        </w:rPr>
        <w:t>9 May 1918.</w:t>
      </w:r>
    </w:p>
  </w:footnote>
  <w:footnote w:id="527">
    <w:p w14:paraId="0BF35C2C" w14:textId="77777777" w:rsidR="00DE3AC9" w:rsidRPr="002D1D14" w:rsidRDefault="00DE3AC9" w:rsidP="007D5EBA">
      <w:pPr>
        <w:pStyle w:val="FootnoteText"/>
        <w:rPr>
          <w:lang w:val="fr-FR"/>
        </w:rPr>
      </w:pPr>
      <w:r>
        <w:rPr>
          <w:rStyle w:val="FootnoteReference"/>
        </w:rPr>
        <w:footnoteRef/>
      </w:r>
      <w:r w:rsidRPr="002D1D14">
        <w:rPr>
          <w:lang w:val="fr-FR"/>
        </w:rPr>
        <w:t xml:space="preserve"> </w:t>
      </w:r>
      <w:r>
        <w:rPr>
          <w:lang w:val="fr-FR"/>
        </w:rPr>
        <w:fldChar w:fldCharType="begin"/>
      </w:r>
      <w:r>
        <w:rPr>
          <w:lang w:val="fr-FR"/>
        </w:rP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FR"/>
        </w:rPr>
        <w:fldChar w:fldCharType="separate"/>
      </w:r>
      <w:r>
        <w:rPr>
          <w:noProof/>
          <w:lang w:val="fr-FR"/>
        </w:rPr>
        <w:t xml:space="preserve">Horne, </w:t>
      </w:r>
      <w:r w:rsidRPr="007B7627">
        <w:rPr>
          <w:i/>
          <w:noProof/>
          <w:lang w:val="fr-FR"/>
        </w:rPr>
        <w:t>Remobilizing</w:t>
      </w:r>
      <w:r>
        <w:rPr>
          <w:lang w:val="fr-FR"/>
        </w:rPr>
        <w:fldChar w:fldCharType="end"/>
      </w:r>
      <w:r w:rsidRPr="002D1D14">
        <w:rPr>
          <w:lang w:val="fr-FR"/>
        </w:rPr>
        <w:t>, p. 210.</w:t>
      </w:r>
    </w:p>
  </w:footnote>
  <w:footnote w:id="528">
    <w:p w14:paraId="1223B5E4" w14:textId="77777777" w:rsidR="00DE3AC9" w:rsidRPr="007D4979" w:rsidRDefault="00DE3AC9" w:rsidP="007D5EBA">
      <w:pPr>
        <w:pStyle w:val="FootnoteText"/>
        <w:rPr>
          <w:lang w:val="fr-FR"/>
        </w:rPr>
      </w:pPr>
      <w:r>
        <w:rPr>
          <w:rStyle w:val="FootnoteReference"/>
        </w:rPr>
        <w:footnoteRef/>
      </w:r>
      <w:r w:rsidRPr="008E7AA3">
        <w:rPr>
          <w:lang w:val="fr-FR"/>
        </w:rPr>
        <w:t xml:space="preserve"> </w:t>
      </w:r>
      <w:r>
        <w:fldChar w:fldCharType="begin"/>
      </w:r>
      <w:r>
        <w:rPr>
          <w:lang w:val="fr-FR"/>
        </w:rPr>
        <w:instrText xml:space="preserve"> ADDIN EN.CITE &lt;EndNote&gt;&lt;Cite&gt;&lt;Author&gt;Allain&lt;/Author&gt;&lt;Year&gt;2004&lt;/Year&gt;&lt;RecNum&gt;202&lt;/RecNum&gt;&lt;DisplayText&gt;Jean-Claude Allain, &amp;apos;Les négociations&amp;apos;, in: &lt;style face="italic"&gt;Encyclopédie de la Grande Guerre 1914-1918, &lt;/style&gt;ed. by Stéphane Audoin-Rouzeau and Jean-Jacques Becker (Paris, 2004),&lt;/DisplayText&gt;&lt;record&gt;&lt;rec-number&gt;202&lt;/rec-number&gt;&lt;foreign-keys&gt;&lt;key app="EN" db-id="2f5rvwawcsv2woetvw35fzwbdvvswerd0err"&gt;202&lt;/key&gt;&lt;/foreign-keys&gt;&lt;ref-type name="Book Section"&gt;5&lt;/ref-type&gt;&lt;contributors&gt;&lt;authors&gt;&lt;author&gt;Allain, Jean-Claude&lt;/author&gt;&lt;/authors&gt;&lt;secondary-authors&gt;&lt;author&gt;Audoin-Rouzeau, Stéphane&lt;/author&gt;&lt;author&gt;Becker, Jean-Jacques&lt;/author&gt;&lt;/secondary-authors&gt;&lt;/contributors&gt;&lt;titles&gt;&lt;title&gt;Les négociations&lt;/title&gt;&lt;secondary-title&gt;Encyclopédie de la Grande Guerre 1914-1918&lt;/secondary-title&gt;&lt;short-title&gt;Négociations&lt;/short-title&gt;&lt;/titles&gt;&lt;dates&gt;&lt;year&gt;2004&lt;/year&gt;&lt;/dates&gt;&lt;pub-location&gt;Paris&lt;/pub-location&gt;&lt;urls&gt;&lt;/urls&gt;&lt;/record&gt;&lt;/Cite&gt;&lt;/EndNote&gt;</w:instrText>
      </w:r>
      <w:r>
        <w:fldChar w:fldCharType="separate"/>
      </w:r>
      <w:r w:rsidRPr="00FD549B">
        <w:rPr>
          <w:noProof/>
          <w:lang w:val="fr-FR"/>
        </w:rPr>
        <w:t xml:space="preserve">Jean-Claude Allain, 'Les négociations', in: </w:t>
      </w:r>
      <w:r w:rsidRPr="00FD549B">
        <w:rPr>
          <w:i/>
          <w:noProof/>
          <w:lang w:val="fr-FR"/>
        </w:rPr>
        <w:t xml:space="preserve">Encyclopédie de la Grande Guerre 1914-1918, </w:t>
      </w:r>
      <w:r w:rsidRPr="00FD549B">
        <w:rPr>
          <w:noProof/>
          <w:lang w:val="fr-FR"/>
        </w:rPr>
        <w:t>ed. by Stéphane Audoin-Rouzeau and Jean-Jacques Becker (Paris, 2004),</w:t>
      </w:r>
      <w:r>
        <w:fldChar w:fldCharType="end"/>
      </w:r>
      <w:r w:rsidRPr="008E7AA3">
        <w:rPr>
          <w:lang w:val="fr-FR"/>
        </w:rPr>
        <w:t xml:space="preserve"> p. 475.</w:t>
      </w:r>
    </w:p>
  </w:footnote>
  <w:footnote w:id="529">
    <w:p w14:paraId="7F059E40" w14:textId="77777777" w:rsidR="00DE3AC9" w:rsidRPr="00F80D67" w:rsidRDefault="00DE3AC9" w:rsidP="007D5EBA">
      <w:pPr>
        <w:pStyle w:val="FootnoteText"/>
        <w:rPr>
          <w:lang w:val="fr-FR"/>
        </w:rPr>
      </w:pPr>
      <w:r>
        <w:rPr>
          <w:rStyle w:val="FootnoteReference"/>
        </w:rPr>
        <w:footnoteRef/>
      </w:r>
      <w:r w:rsidRPr="008E7AA3">
        <w:rPr>
          <w:lang w:val="fr-FR"/>
        </w:rPr>
        <w:t xml:space="preserve"> </w:t>
      </w:r>
      <w:r>
        <w:fldChar w:fldCharType="begin"/>
      </w:r>
      <w:r>
        <w:rPr>
          <w:lang w:val="fr-FR"/>
        </w:rPr>
        <w:instrText xml:space="preserve"> ADDIN EN.CITE &lt;EndNote&gt;&lt;Cite&gt;&lt;Author&gt;Chaline&lt;/Author&gt;&lt;Year&gt;2004&lt;/Year&gt;&lt;RecNum&gt;185&lt;/RecNum&gt;&lt;DisplayText&gt;Nadine-Josette Chaline, &amp;apos;Pacifismes pendant la guerre&amp;apos;, in: &lt;style face="italic"&gt;Encyclopédie de la Grande Guerre 1914-1918, &lt;/style&gt;ed. by S. Audoin-Rouzeau and J-J. Becker (Paris, 2004),&lt;/DisplayText&gt;&lt;record&gt;&lt;rec-number&gt;185&lt;/rec-number&gt;&lt;foreign-keys&gt;&lt;key app="EN" db-id="2f5rvwawcsv2woetvw35fzwbdvvswerd0err"&gt;185&lt;/key&gt;&lt;/foreign-keys&gt;&lt;ref-type name="Book Section"&gt;5&lt;/ref-type&gt;&lt;contributors&gt;&lt;authors&gt;&lt;author&gt;Chaline, Nadine-Josette&lt;/author&gt;&lt;/authors&gt;&lt;secondary-authors&gt;&lt;author&gt;S. Audoin-Rouzeau&lt;/author&gt;&lt;author&gt;J-J. Becker&lt;/author&gt;&lt;/secondary-authors&gt;&lt;/contributors&gt;&lt;titles&gt;&lt;title&gt;Pacifismes pendant la guerre&lt;/title&gt;&lt;secondary-title&gt;Encyclopédie de la Grande Guerre 1914-1918&lt;/secondary-title&gt;&lt;short-title&gt;Pacifismes&lt;/short-title&gt;&lt;/titles&gt;&lt;dates&gt;&lt;year&gt;2004&lt;/year&gt;&lt;/dates&gt;&lt;pub-location&gt;Paris&lt;/pub-location&gt;&lt;urls&gt;&lt;/urls&gt;&lt;/record&gt;&lt;/Cite&gt;&lt;/EndNote&gt;</w:instrText>
      </w:r>
      <w:r>
        <w:fldChar w:fldCharType="separate"/>
      </w:r>
      <w:r w:rsidRPr="00FD549B">
        <w:rPr>
          <w:noProof/>
          <w:lang w:val="fr-FR"/>
        </w:rPr>
        <w:t xml:space="preserve">Nadine-Josette Chaline, 'Pacifismes pendant la guerre', in: </w:t>
      </w:r>
      <w:r w:rsidRPr="00FD549B">
        <w:rPr>
          <w:i/>
          <w:noProof/>
          <w:lang w:val="fr-FR"/>
        </w:rPr>
        <w:t xml:space="preserve">Encyclopédie de la Grande Guerre 1914-1918, </w:t>
      </w:r>
      <w:r w:rsidRPr="00FD549B">
        <w:rPr>
          <w:noProof/>
          <w:lang w:val="fr-FR"/>
        </w:rPr>
        <w:t>ed. by S. Audoin-Rouzeau and J-J. Becker (Paris, 2004),</w:t>
      </w:r>
      <w:r>
        <w:fldChar w:fldCharType="end"/>
      </w:r>
      <w:r w:rsidRPr="00F349D3">
        <w:rPr>
          <w:lang w:val="fr-FR"/>
        </w:rPr>
        <w:t xml:space="preserve"> p. 847.</w:t>
      </w:r>
    </w:p>
  </w:footnote>
  <w:footnote w:id="530">
    <w:p w14:paraId="159506D2" w14:textId="77777777" w:rsidR="00DE3AC9" w:rsidRPr="00F349D3" w:rsidRDefault="00DE3AC9" w:rsidP="007D5EBA">
      <w:pPr>
        <w:pStyle w:val="FootnoteText"/>
        <w:rPr>
          <w:lang w:val="fr-FR"/>
        </w:rPr>
      </w:pPr>
      <w:r>
        <w:rPr>
          <w:rStyle w:val="FootnoteReference"/>
        </w:rPr>
        <w:footnoteRef/>
      </w:r>
      <w:r w:rsidRPr="00F349D3">
        <w:rPr>
          <w:lang w:val="fr-FR"/>
        </w:rPr>
        <w:t xml:space="preserve"> </w:t>
      </w:r>
      <w:r>
        <w:rPr>
          <w:i/>
          <w:iCs/>
          <w:lang w:val="fr-FR"/>
        </w:rPr>
        <w:t xml:space="preserve">La Gazette des Ardennes, </w:t>
      </w:r>
      <w:r>
        <w:rPr>
          <w:lang w:val="fr-FR"/>
        </w:rPr>
        <w:t>14 December 1916.</w:t>
      </w:r>
    </w:p>
  </w:footnote>
  <w:footnote w:id="531">
    <w:p w14:paraId="11336CA6" w14:textId="77777777" w:rsidR="00DE3AC9" w:rsidRPr="00F349D3" w:rsidRDefault="00DE3AC9" w:rsidP="007D5EBA">
      <w:pPr>
        <w:pStyle w:val="FootnoteText"/>
        <w:rPr>
          <w:lang w:val="fr-FR"/>
        </w:rPr>
      </w:pPr>
      <w:r>
        <w:rPr>
          <w:rStyle w:val="FootnoteReference"/>
        </w:rPr>
        <w:footnoteRef/>
      </w:r>
      <w:r w:rsidRPr="00F349D3">
        <w:rPr>
          <w:lang w:val="fr-FR"/>
        </w:rPr>
        <w:t xml:space="preserve"> </w:t>
      </w:r>
      <w:r>
        <w:rPr>
          <w:i/>
          <w:iCs/>
          <w:lang w:val="fr-FR"/>
        </w:rPr>
        <w:t xml:space="preserve">La Gazette des Ardennes, </w:t>
      </w:r>
      <w:r>
        <w:rPr>
          <w:lang w:val="fr-FR"/>
        </w:rPr>
        <w:t>21 December 1916.</w:t>
      </w:r>
    </w:p>
  </w:footnote>
  <w:footnote w:id="532">
    <w:p w14:paraId="7CDBE548" w14:textId="77777777" w:rsidR="00DE3AC9" w:rsidRPr="00F80D67" w:rsidRDefault="00DE3AC9" w:rsidP="007D5EBA">
      <w:pPr>
        <w:pStyle w:val="FootnoteText"/>
        <w:rPr>
          <w:lang w:val="fr-FR"/>
        </w:rPr>
      </w:pPr>
      <w:r>
        <w:rPr>
          <w:rStyle w:val="FootnoteReference"/>
        </w:rPr>
        <w:footnoteRef/>
      </w:r>
      <w:r w:rsidRPr="00F80D67">
        <w:rPr>
          <w:lang w:val="fr-FR"/>
        </w:rPr>
        <w:t xml:space="preserve"> </w:t>
      </w:r>
      <w:r>
        <w:rPr>
          <w:i/>
          <w:iCs/>
          <w:lang w:val="fr-FR"/>
        </w:rPr>
        <w:t>La Voix du Pays</w:t>
      </w:r>
      <w:r>
        <w:rPr>
          <w:lang w:val="fr-FR"/>
        </w:rPr>
        <w:t>, 9 January 1917.</w:t>
      </w:r>
    </w:p>
  </w:footnote>
  <w:footnote w:id="533">
    <w:p w14:paraId="1AF7F837" w14:textId="77777777" w:rsidR="00DE3AC9" w:rsidRPr="00DE3AC9" w:rsidRDefault="00DE3AC9" w:rsidP="007D5EBA">
      <w:pPr>
        <w:pStyle w:val="FootnoteText"/>
      </w:pPr>
      <w:r>
        <w:rPr>
          <w:rStyle w:val="FootnoteReference"/>
        </w:rPr>
        <w:footnoteRef/>
      </w:r>
      <w:r w:rsidRPr="00DE3AC9">
        <w:t xml:space="preserve"> Idem</w:t>
      </w:r>
      <w:r w:rsidRPr="00DE3AC9">
        <w:rPr>
          <w:i/>
          <w:iCs/>
        </w:rPr>
        <w:t>.</w:t>
      </w:r>
    </w:p>
  </w:footnote>
  <w:footnote w:id="534">
    <w:p w14:paraId="35FA0F9A" w14:textId="77777777" w:rsidR="00DE3AC9" w:rsidRPr="00DE3AC9" w:rsidRDefault="00DE3AC9" w:rsidP="007D5EBA">
      <w:pPr>
        <w:pStyle w:val="FootnoteText"/>
      </w:pPr>
      <w:r>
        <w:rPr>
          <w:rStyle w:val="FootnoteReference"/>
        </w:rPr>
        <w:footnoteRef/>
      </w:r>
      <w:r w:rsidRPr="00DE3AC9">
        <w:t xml:space="preserve"> </w:t>
      </w:r>
      <w:r w:rsidRPr="00DE3AC9">
        <w:rPr>
          <w:i/>
          <w:iCs/>
        </w:rPr>
        <w:t xml:space="preserve">La Lettre du Soldat, </w:t>
      </w:r>
      <w:r w:rsidRPr="00DE3AC9">
        <w:t>January 1917.</w:t>
      </w:r>
    </w:p>
  </w:footnote>
  <w:footnote w:id="535">
    <w:p w14:paraId="55355492" w14:textId="77777777" w:rsidR="00DE3AC9" w:rsidRPr="00917037" w:rsidRDefault="00DE3AC9" w:rsidP="007D5EBA">
      <w:pPr>
        <w:pStyle w:val="FootnoteText"/>
      </w:pPr>
      <w:r>
        <w:rPr>
          <w:rStyle w:val="FootnoteReference"/>
        </w:rPr>
        <w:footnoteRef/>
      </w:r>
      <w:r w:rsidRPr="00917037">
        <w:t xml:space="preserve"> </w:t>
      </w:r>
      <w:r>
        <w:rPr>
          <w:lang w:val="fr-FR"/>
        </w:rP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sidRPr="007B7627">
        <w:rPr>
          <w:noProof/>
        </w:rPr>
        <w:t xml:space="preserve">Stevenson, </w:t>
      </w:r>
      <w:r w:rsidRPr="007B7627">
        <w:rPr>
          <w:i/>
          <w:noProof/>
        </w:rPr>
        <w:t>French war aims</w:t>
      </w:r>
      <w:r>
        <w:rPr>
          <w:lang w:val="fr-FR"/>
        </w:rPr>
        <w:fldChar w:fldCharType="end"/>
      </w:r>
      <w:r w:rsidRPr="00917037">
        <w:t xml:space="preserve">, p. 45 and </w:t>
      </w:r>
      <w:r>
        <w:rPr>
          <w:lang w:val="fr-FR"/>
        </w:rPr>
        <w:fldChar w:fldCharType="begin"/>
      </w:r>
      <w:r>
        <w:instrText xml:space="preserve"> ADDIN EN.CITE &lt;EndNote&gt;&lt;Cite&gt;&lt;Author&gt;Olmstead&lt;/Author&gt;&lt;Year&gt;2013&lt;/Year&gt;&lt;RecNum&gt;205&lt;/RecNum&gt;&lt;DisplayText&gt;Justin Olmstead, &amp;apos;Acquiring America: the diplomatic battle for America, 1914-1917&amp;apos;, (Doctorale thesis, University of Sheffield, 2013)&lt;/DisplayText&gt;&lt;record&gt;&lt;rec-number&gt;205&lt;/rec-number&gt;&lt;foreign-keys&gt;&lt;key app="EN" db-id="2f5rvwawcsv2woetvw35fzwbdvvswerd0err"&gt;205&lt;/key&gt;&lt;/foreign-keys&gt;&lt;ref-type name="Thesis"&gt;32&lt;/ref-type&gt;&lt;contributors&gt;&lt;authors&gt;&lt;author&gt;Olmstead, Justin&lt;/author&gt;&lt;/authors&gt;&lt;/contributors&gt;&lt;titles&gt;&lt;title&gt;Acquiring America: the diplomatic battle for America, 1914-1917&lt;/title&gt;&lt;secondary-title&gt;Department of History&lt;/secondary-title&gt;&lt;short-title&gt;Acquiring&lt;/short-title&gt;&lt;/titles&gt;&lt;volume&gt;PhD&lt;/volume&gt;&lt;dates&gt;&lt;year&gt;2013&lt;/year&gt;&lt;/dates&gt;&lt;pub-location&gt;Sheffield&lt;/pub-location&gt;&lt;publisher&gt;University of Sheffield&lt;/publisher&gt;&lt;work-type&gt;Doctorale thesis&lt;/work-type&gt;&lt;urls&gt;&lt;/urls&gt;&lt;/record&gt;&lt;/Cite&gt;&lt;/EndNote&gt;</w:instrText>
      </w:r>
      <w:r>
        <w:rPr>
          <w:lang w:val="fr-FR"/>
        </w:rPr>
        <w:fldChar w:fldCharType="separate"/>
      </w:r>
      <w:r w:rsidRPr="00FD549B">
        <w:rPr>
          <w:noProof/>
        </w:rPr>
        <w:t>Justin Olmstead, 'Acquiring America: the diplomatic battle for America, 1914-1917', (Doctorale thesis, University of Sheffield, 2013)</w:t>
      </w:r>
      <w:r>
        <w:rPr>
          <w:lang w:val="fr-FR"/>
        </w:rPr>
        <w:fldChar w:fldCharType="end"/>
      </w:r>
      <w:r>
        <w:t>, pp. 20-35.</w:t>
      </w:r>
    </w:p>
  </w:footnote>
  <w:footnote w:id="536">
    <w:p w14:paraId="79FA45C5" w14:textId="77777777" w:rsidR="00DE3AC9" w:rsidRPr="006A6F11" w:rsidRDefault="00DE3AC9" w:rsidP="007D5EBA">
      <w:pPr>
        <w:pStyle w:val="FootnoteText"/>
        <w:rPr>
          <w:lang w:val="fr-FR"/>
        </w:rPr>
      </w:pPr>
      <w:r>
        <w:rPr>
          <w:rStyle w:val="FootnoteReference"/>
        </w:rPr>
        <w:footnoteRef/>
      </w:r>
      <w:r w:rsidRPr="006A6F11">
        <w:rPr>
          <w:lang w:val="fr-FR"/>
        </w:rPr>
        <w:t xml:space="preserve"> </w:t>
      </w:r>
      <w:r>
        <w:rPr>
          <w:i/>
          <w:iCs/>
          <w:lang w:val="fr-FR"/>
        </w:rPr>
        <w:t xml:space="preserve">La Gazette des Ardennes, </w:t>
      </w:r>
      <w:r>
        <w:rPr>
          <w:lang w:val="fr-FR"/>
        </w:rPr>
        <w:t>6 January 1917.</w:t>
      </w:r>
    </w:p>
  </w:footnote>
  <w:footnote w:id="537">
    <w:p w14:paraId="11538384" w14:textId="77777777" w:rsidR="00DE3AC9" w:rsidRPr="009728B9" w:rsidRDefault="00DE3AC9" w:rsidP="007D5EBA">
      <w:pPr>
        <w:pStyle w:val="FootnoteText"/>
      </w:pPr>
      <w:r>
        <w:rPr>
          <w:rStyle w:val="FootnoteReference"/>
        </w:rPr>
        <w:footnoteRef/>
      </w:r>
      <w:r w:rsidRPr="00B4362F">
        <w:t xml:space="preserve"> </w:t>
      </w:r>
      <w:r>
        <w:rPr>
          <w:lang w:val="nl-NL"/>
        </w:rPr>
        <w:fldChar w:fldCharType="begin"/>
      </w:r>
      <w:r>
        <w:instrText xml:space="preserve"> ADDIN EN.CITE &lt;EndNote&gt;&lt;Cite&gt;&lt;Author&gt;Stevenson&lt;/Author&gt;&lt;Year&gt;2007&lt;/Year&gt;&lt;RecNum&gt;203&lt;/RecNum&gt;&lt;DisplayText&gt;David Stevenson, &amp;apos;Battlefield or barrier? Rearmament and military planning in Belgium, 1902-1914&amp;apos;, in: &lt;style face="italic"&gt;The International History Review, &lt;/style&gt;29 (2007), &lt;/DisplayText&gt;&lt;record&gt;&lt;rec-number&gt;203&lt;/rec-number&gt;&lt;foreign-keys&gt;&lt;key app="EN" db-id="2f5rvwawcsv2woetvw35fzwbdvvswerd0err"&gt;203&lt;/key&gt;&lt;/foreign-keys&gt;&lt;ref-type name="Journal Article"&gt;17&lt;/ref-type&gt;&lt;contributors&gt;&lt;authors&gt;&lt;author&gt;Stevenson, David&lt;/author&gt;&lt;/authors&gt;&lt;/contributors&gt;&lt;titles&gt;&lt;title&gt;Battlefield or barrier? Rearmament and military planning in Belgium, 1902-1914&lt;/title&gt;&lt;secondary-title&gt;The International History Review&lt;/secondary-title&gt;&lt;short-title&gt;Battlefield&lt;/short-title&gt;&lt;/titles&gt;&lt;periodical&gt;&lt;full-title&gt;The International History Review&lt;/full-title&gt;&lt;/periodical&gt;&lt;volume&gt;29&lt;/volume&gt;&lt;dates&gt;&lt;year&gt;2007&lt;/year&gt;&lt;/dates&gt;&lt;urls&gt;&lt;/urls&gt;&lt;/record&gt;&lt;/Cite&gt;&lt;/EndNote&gt;</w:instrText>
      </w:r>
      <w:r>
        <w:rPr>
          <w:lang w:val="nl-NL"/>
        </w:rPr>
        <w:fldChar w:fldCharType="separate"/>
      </w:r>
      <w:r w:rsidRPr="00FD549B">
        <w:rPr>
          <w:noProof/>
        </w:rPr>
        <w:t xml:space="preserve">David Stevenson, 'Battlefield or barrier? Rearmament and military planning in Belgium, 1902-1914', in: </w:t>
      </w:r>
      <w:r w:rsidRPr="00FD549B">
        <w:rPr>
          <w:i/>
          <w:noProof/>
        </w:rPr>
        <w:t xml:space="preserve">The International History Review, </w:t>
      </w:r>
      <w:r w:rsidRPr="00FD549B">
        <w:rPr>
          <w:noProof/>
        </w:rPr>
        <w:t xml:space="preserve">29 (2007), </w:t>
      </w:r>
      <w:r>
        <w:rPr>
          <w:lang w:val="nl-NL"/>
        </w:rPr>
        <w:fldChar w:fldCharType="end"/>
      </w:r>
      <w:r w:rsidRPr="009728B9">
        <w:t xml:space="preserve">p. </w:t>
      </w:r>
      <w:r>
        <w:t>474.</w:t>
      </w:r>
    </w:p>
  </w:footnote>
  <w:footnote w:id="538">
    <w:p w14:paraId="4BE91679" w14:textId="77777777" w:rsidR="00DE3AC9" w:rsidRPr="00FD549B" w:rsidRDefault="00DE3AC9" w:rsidP="007D5EBA">
      <w:pPr>
        <w:pStyle w:val="FootnoteText"/>
      </w:pPr>
      <w:r>
        <w:rPr>
          <w:rStyle w:val="FootnoteReference"/>
        </w:rPr>
        <w:footnoteRef/>
      </w:r>
      <w:r w:rsidRPr="00FD549B">
        <w:t xml:space="preserve"> </w:t>
      </w:r>
      <w:r>
        <w:rPr>
          <w:lang w:val="fr-FR"/>
        </w:rP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sidRPr="007B7627">
        <w:rPr>
          <w:noProof/>
        </w:rPr>
        <w:t xml:space="preserve">Stevenson, </w:t>
      </w:r>
      <w:r w:rsidRPr="007B7627">
        <w:rPr>
          <w:i/>
          <w:noProof/>
        </w:rPr>
        <w:t>French war aims</w:t>
      </w:r>
      <w:r>
        <w:rPr>
          <w:lang w:val="fr-FR"/>
        </w:rPr>
        <w:fldChar w:fldCharType="end"/>
      </w:r>
      <w:r w:rsidRPr="00FD549B">
        <w:t>, p. 45.</w:t>
      </w:r>
    </w:p>
  </w:footnote>
  <w:footnote w:id="539">
    <w:p w14:paraId="481010A6" w14:textId="77777777" w:rsidR="00DE3AC9" w:rsidRPr="00380359" w:rsidRDefault="00DE3AC9" w:rsidP="007D5EBA">
      <w:pPr>
        <w:pStyle w:val="FootnoteText"/>
        <w:rPr>
          <w:lang w:val="fr-FR"/>
        </w:rPr>
      </w:pPr>
      <w:r>
        <w:rPr>
          <w:rStyle w:val="FootnoteReference"/>
        </w:rPr>
        <w:footnoteRef/>
      </w:r>
      <w:r w:rsidRPr="00380359">
        <w:rPr>
          <w:lang w:val="fr-FR"/>
        </w:rPr>
        <w:t xml:space="preserve"> </w:t>
      </w:r>
      <w:r>
        <w:rPr>
          <w:lang w:val="fr-FR"/>
        </w:rPr>
        <w:fldChar w:fldCharType="begin"/>
      </w:r>
      <w:r>
        <w:rPr>
          <w:lang w:val="fr-FR"/>
        </w:rPr>
        <w:instrText xml:space="preserve"> ADDIN EN.CITE &lt;EndNote&gt;&lt;Cite&gt;&lt;Author&gt;Stevenson&lt;/Author&gt;&lt;Year&gt;1986&lt;/Year&gt;&lt;RecNum&gt;138&lt;/RecNum&gt;&lt;DisplayText&gt;Ibid.&lt;/DisplayText&gt;&lt;record&gt;&lt;rec-number&gt;138&lt;/rec-number&gt;&lt;foreign-keys&gt;&lt;key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Pr>
          <w:noProof/>
          <w:lang w:val="fr-FR"/>
        </w:rPr>
        <w:t>Ibid.</w:t>
      </w:r>
      <w:r>
        <w:rPr>
          <w:lang w:val="fr-FR"/>
        </w:rPr>
        <w:fldChar w:fldCharType="end"/>
      </w:r>
      <w:r>
        <w:rPr>
          <w:lang w:val="fr-FR"/>
        </w:rPr>
        <w:t>, p. 47.</w:t>
      </w:r>
    </w:p>
  </w:footnote>
  <w:footnote w:id="540">
    <w:p w14:paraId="2B5B9157" w14:textId="77777777" w:rsidR="00DE3AC9" w:rsidRPr="009854AF" w:rsidRDefault="00DE3AC9" w:rsidP="007D5EBA">
      <w:pPr>
        <w:pStyle w:val="FootnoteText"/>
        <w:rPr>
          <w:lang w:val="fr-FR"/>
        </w:rPr>
      </w:pPr>
      <w:r>
        <w:rPr>
          <w:rStyle w:val="FootnoteReference"/>
        </w:rPr>
        <w:footnoteRef/>
      </w:r>
      <w:r w:rsidRPr="00380359">
        <w:rPr>
          <w:lang w:val="fr-FR"/>
        </w:rPr>
        <w:t xml:space="preserve"> </w:t>
      </w:r>
      <w:r>
        <w:rPr>
          <w:i/>
          <w:iCs/>
          <w:lang w:val="fr-FR"/>
        </w:rPr>
        <w:t xml:space="preserve">La Voix du Pays, </w:t>
      </w:r>
      <w:r>
        <w:rPr>
          <w:lang w:val="fr-FR"/>
        </w:rPr>
        <w:t xml:space="preserve">9 January 1917 and </w:t>
      </w:r>
      <w:r>
        <w:rPr>
          <w:i/>
          <w:iCs/>
          <w:lang w:val="fr-FR"/>
        </w:rPr>
        <w:t xml:space="preserve">La Lettre du Soldat, </w:t>
      </w:r>
      <w:r>
        <w:rPr>
          <w:lang w:val="fr-FR"/>
        </w:rPr>
        <w:t>January 1917.</w:t>
      </w:r>
    </w:p>
  </w:footnote>
  <w:footnote w:id="541">
    <w:p w14:paraId="72E372B2" w14:textId="77777777" w:rsidR="00DE3AC9" w:rsidRPr="009854AF" w:rsidRDefault="00DE3AC9" w:rsidP="007D5EBA">
      <w:pPr>
        <w:pStyle w:val="FootnoteText"/>
        <w:rPr>
          <w:lang w:val="fr-FR"/>
        </w:rPr>
      </w:pPr>
      <w:r>
        <w:rPr>
          <w:rStyle w:val="FootnoteReference"/>
        </w:rPr>
        <w:footnoteRef/>
      </w:r>
      <w:r w:rsidRPr="009854AF">
        <w:rPr>
          <w:lang w:val="fr-FR"/>
        </w:rPr>
        <w:t xml:space="preserve"> </w:t>
      </w:r>
      <w:r>
        <w:rPr>
          <w:i/>
          <w:iCs/>
          <w:lang w:val="fr-FR"/>
        </w:rPr>
        <w:t xml:space="preserve">La Voix du Pays, </w:t>
      </w:r>
      <w:r>
        <w:rPr>
          <w:lang w:val="fr-FR"/>
        </w:rPr>
        <w:t>23 January 1917.</w:t>
      </w:r>
    </w:p>
  </w:footnote>
  <w:footnote w:id="542">
    <w:p w14:paraId="1AB40A6E" w14:textId="77777777" w:rsidR="00DE3AC9" w:rsidRPr="00F00291" w:rsidRDefault="00DE3AC9" w:rsidP="007D5EBA">
      <w:pPr>
        <w:pStyle w:val="FootnoteText"/>
        <w:rPr>
          <w:lang w:val="fr-FR"/>
        </w:rPr>
      </w:pPr>
      <w:r>
        <w:rPr>
          <w:rStyle w:val="FootnoteReference"/>
        </w:rPr>
        <w:footnoteRef/>
      </w:r>
      <w:r w:rsidRPr="00F00291">
        <w:rPr>
          <w:lang w:val="fr-FR"/>
        </w:rPr>
        <w:t xml:space="preserve"> </w:t>
      </w:r>
      <w:r w:rsidRPr="00F00291">
        <w:rPr>
          <w:i/>
          <w:iCs/>
          <w:lang w:val="fr-FR"/>
        </w:rPr>
        <w:t xml:space="preserve">La Gazette des Ardennes, </w:t>
      </w:r>
      <w:r w:rsidRPr="00F00291">
        <w:rPr>
          <w:lang w:val="fr-FR"/>
        </w:rPr>
        <w:t>18 January 1917.</w:t>
      </w:r>
    </w:p>
  </w:footnote>
  <w:footnote w:id="543">
    <w:p w14:paraId="0800E9DE" w14:textId="77777777" w:rsidR="00DE3AC9" w:rsidRPr="00FD549B" w:rsidRDefault="00DE3AC9" w:rsidP="007D5EBA">
      <w:pPr>
        <w:pStyle w:val="FootnoteText"/>
      </w:pPr>
      <w:r>
        <w:rPr>
          <w:rStyle w:val="FootnoteReference"/>
        </w:rPr>
        <w:footnoteRef/>
      </w:r>
      <w:r w:rsidRPr="00FD549B">
        <w:t xml:space="preserve"> </w:t>
      </w:r>
      <w:r>
        <w:rPr>
          <w:lang w:val="nl-NL"/>
        </w:rP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nl-NL"/>
        </w:rPr>
        <w:fldChar w:fldCharType="separate"/>
      </w:r>
      <w:r w:rsidRPr="007B7627">
        <w:rPr>
          <w:noProof/>
        </w:rPr>
        <w:t xml:space="preserve">Stevenson, </w:t>
      </w:r>
      <w:r w:rsidRPr="007B7627">
        <w:rPr>
          <w:i/>
          <w:noProof/>
        </w:rPr>
        <w:t>French war aims</w:t>
      </w:r>
      <w:r>
        <w:rPr>
          <w:lang w:val="nl-NL"/>
        </w:rPr>
        <w:fldChar w:fldCharType="end"/>
      </w:r>
      <w:r w:rsidRPr="00FD549B">
        <w:t>, pp. 47-48.</w:t>
      </w:r>
    </w:p>
  </w:footnote>
  <w:footnote w:id="544">
    <w:p w14:paraId="26189D33" w14:textId="77777777" w:rsidR="00DE3AC9" w:rsidRPr="00C54460" w:rsidRDefault="00DE3AC9" w:rsidP="007D5EBA">
      <w:pPr>
        <w:pStyle w:val="FootnoteText"/>
      </w:pPr>
      <w:r>
        <w:rPr>
          <w:rStyle w:val="FootnoteReference"/>
        </w:rPr>
        <w:footnoteRef/>
      </w:r>
      <w:r w:rsidRPr="00C54460">
        <w:t xml:space="preserve"> </w:t>
      </w:r>
      <w:r>
        <w:rPr>
          <w:lang w:val="fr-FR"/>
        </w:rPr>
        <w:fldChar w:fldCharType="begin"/>
      </w:r>
      <w:r w:rsidRPr="00C54460">
        <w:instrText xml:space="preserve"> ADDIN EN.CITE &lt;EndNote&gt;&lt;Cite&gt;&lt;Author&gt;Chaline&lt;/Author&gt;&lt;Year&gt;2004&lt;/Year&gt;&lt;RecNum&gt;185&lt;/RecNum&gt;&lt;DisplayText&gt;Chaline, &lt;style face="italic"&gt;Pacifismes&lt;/style&gt;&lt;/DisplayText&gt;&lt;record&gt;&lt;rec-number&gt;185&lt;/rec-number&gt;&lt;foreign-keys&gt;&lt;key app="EN" db-id="2f5rvwawcsv2woetvw35fzwbdvvswerd0err"&gt;185&lt;/key&gt;&lt;/foreign-keys&gt;&lt;ref-type name="Book Section"&gt;5&lt;/ref-type&gt;&lt;contributors&gt;&lt;authors&gt;&lt;author&gt;Chaline, Nadine-Josette&lt;/author&gt;&lt;/authors&gt;&lt;secondary-authors&gt;&lt;author&gt;S. Audoin-Rouzeau&lt;/author&gt;&lt;author&gt;J-J. Becker&lt;/author&gt;&lt;/secondary-authors&gt;&lt;/contributors&gt;&lt;titles&gt;&lt;title&gt;Pacifismes pendant la guerre&lt;/title&gt;&lt;secondary-title&gt;Encyclopédie de la Grande Guerre 1914-1918&lt;/secondary-title&gt;&lt;short-title&gt;Pacifismes&lt;/short-title&gt;&lt;/titles&gt;&lt;dates&gt;&lt;year&gt;2004&lt;/year&gt;&lt;/dates&gt;&lt;pub-location&gt;Paris&lt;/pub-location&gt;&lt;urls&gt;&lt;/urls&gt;&lt;/record&gt;&lt;/Cite&gt;&lt;/EndNote&gt;</w:instrText>
      </w:r>
      <w:r>
        <w:rPr>
          <w:lang w:val="fr-FR"/>
        </w:rPr>
        <w:fldChar w:fldCharType="separate"/>
      </w:r>
      <w:r w:rsidRPr="00C54460">
        <w:rPr>
          <w:noProof/>
        </w:rPr>
        <w:t xml:space="preserve">Chaline, </w:t>
      </w:r>
      <w:r w:rsidRPr="00C54460">
        <w:rPr>
          <w:i/>
          <w:noProof/>
        </w:rPr>
        <w:t>Pacifismes</w:t>
      </w:r>
      <w:r>
        <w:rPr>
          <w:lang w:val="fr-FR"/>
        </w:rPr>
        <w:fldChar w:fldCharType="end"/>
      </w:r>
      <w:r w:rsidRPr="00C54460">
        <w:t xml:space="preserve"> p. 847.</w:t>
      </w:r>
    </w:p>
  </w:footnote>
  <w:footnote w:id="545">
    <w:p w14:paraId="1953862C" w14:textId="77777777" w:rsidR="00DE3AC9" w:rsidRPr="00FD549B" w:rsidRDefault="00DE3AC9" w:rsidP="007D5EBA">
      <w:pPr>
        <w:pStyle w:val="FootnoteText"/>
      </w:pPr>
      <w:r>
        <w:rPr>
          <w:rStyle w:val="FootnoteReference"/>
        </w:rPr>
        <w:footnoteRef/>
      </w:r>
      <w:r w:rsidRPr="00FD549B">
        <w:t xml:space="preserve"> </w:t>
      </w:r>
      <w:r>
        <w:rPr>
          <w:lang w:val="fr-FR"/>
        </w:rP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sidRPr="007B7627">
        <w:rPr>
          <w:noProof/>
        </w:rPr>
        <w:t xml:space="preserve">Stevenson, </w:t>
      </w:r>
      <w:r w:rsidRPr="007B7627">
        <w:rPr>
          <w:i/>
          <w:noProof/>
        </w:rPr>
        <w:t>French war aims</w:t>
      </w:r>
      <w:r>
        <w:rPr>
          <w:lang w:val="fr-FR"/>
        </w:rPr>
        <w:fldChar w:fldCharType="end"/>
      </w:r>
      <w:r w:rsidRPr="00FD549B">
        <w:t>, p. 80.</w:t>
      </w:r>
    </w:p>
  </w:footnote>
  <w:footnote w:id="546">
    <w:p w14:paraId="344EF4E4" w14:textId="77777777" w:rsidR="00DE3AC9" w:rsidRPr="00B4362F" w:rsidRDefault="00DE3AC9" w:rsidP="007D5EBA">
      <w:pPr>
        <w:pStyle w:val="FootnoteText"/>
        <w:rPr>
          <w:lang w:val="fr-FR"/>
        </w:rPr>
      </w:pPr>
      <w:r>
        <w:rPr>
          <w:rStyle w:val="FootnoteReference"/>
        </w:rPr>
        <w:footnoteRef/>
      </w:r>
      <w:r w:rsidRPr="00FD549B">
        <w:rPr>
          <w:lang w:val="fr-FR"/>
        </w:rPr>
        <w:t xml:space="preserve"> </w:t>
      </w:r>
      <w:r>
        <w:rPr>
          <w:lang w:val="fr-FR"/>
        </w:rPr>
        <w:fldChar w:fldCharType="begin"/>
      </w:r>
      <w:r>
        <w:rPr>
          <w:lang w:val="fr-FR"/>
        </w:rPr>
        <w:instrText xml:space="preserve"> ADDIN EN.CITE &lt;EndNote&gt;&lt;Cite&gt;&lt;Author&gt;Chaline&lt;/Author&gt;&lt;Year&gt;2004&lt;/Year&gt;&lt;RecNum&gt;185&lt;/RecNum&gt;&lt;DisplayText&gt;Chaline, &lt;style face="italic"&gt;Pacifismes&lt;/style&gt;&lt;/DisplayText&gt;&lt;record&gt;&lt;rec-number&gt;185&lt;/rec-number&gt;&lt;foreign-keys&gt;&lt;key app="EN" db-id="2f5rvwawcsv2woetvw35fzwbdvvswerd0err"&gt;185&lt;/key&gt;&lt;/foreign-keys&gt;&lt;ref-type name="Book Section"&gt;5&lt;/ref-type&gt;&lt;contributors&gt;&lt;authors&gt;&lt;author&gt;Chaline, Nadine-Josette&lt;/author&gt;&lt;/authors&gt;&lt;secondary-authors&gt;&lt;author&gt;S. Audoin-Rouzeau&lt;/author&gt;&lt;author&gt;J-J. Becker&lt;/author&gt;&lt;/secondary-authors&gt;&lt;/contributors&gt;&lt;titles&gt;&lt;title&gt;Pacifismes pendant la guerre&lt;/title&gt;&lt;secondary-title&gt;Encyclopédie de la Grande Guerre 1914-1918&lt;/secondary-title&gt;&lt;short-title&gt;Pacifismes&lt;/short-title&gt;&lt;/titles&gt;&lt;dates&gt;&lt;year&gt;2004&lt;/year&gt;&lt;/dates&gt;&lt;pub-location&gt;Paris&lt;/pub-location&gt;&lt;urls&gt;&lt;/urls&gt;&lt;/record&gt;&lt;/Cite&gt;&lt;/EndNote&gt;</w:instrText>
      </w:r>
      <w:r>
        <w:rPr>
          <w:lang w:val="fr-FR"/>
        </w:rPr>
        <w:fldChar w:fldCharType="separate"/>
      </w:r>
      <w:r>
        <w:rPr>
          <w:noProof/>
          <w:lang w:val="fr-FR"/>
        </w:rPr>
        <w:t xml:space="preserve">Chaline, </w:t>
      </w:r>
      <w:r w:rsidRPr="007B7627">
        <w:rPr>
          <w:i/>
          <w:noProof/>
          <w:lang w:val="fr-FR"/>
        </w:rPr>
        <w:t>Pacifismes</w:t>
      </w:r>
      <w:r>
        <w:rPr>
          <w:lang w:val="fr-FR"/>
        </w:rPr>
        <w:fldChar w:fldCharType="end"/>
      </w:r>
      <w:r w:rsidRPr="00FD549B">
        <w:rPr>
          <w:lang w:val="fr-FR"/>
        </w:rPr>
        <w:t xml:space="preserve">, p. 848 and </w:t>
      </w:r>
      <w:r>
        <w:fldChar w:fldCharType="begin"/>
      </w:r>
      <w:r>
        <w:rPr>
          <w:lang w:val="fr-FR"/>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fldChar w:fldCharType="separate"/>
      </w:r>
      <w:r w:rsidRPr="007B7627">
        <w:rPr>
          <w:noProof/>
          <w:lang w:val="fr-FR"/>
        </w:rPr>
        <w:t xml:space="preserve">Duroselle, </w:t>
      </w:r>
      <w:r w:rsidRPr="007B7627">
        <w:rPr>
          <w:i/>
          <w:noProof/>
          <w:lang w:val="fr-FR"/>
        </w:rPr>
        <w:t>La Grande Guerre</w:t>
      </w:r>
      <w:r>
        <w:fldChar w:fldCharType="end"/>
      </w:r>
      <w:r w:rsidRPr="00B4362F">
        <w:rPr>
          <w:lang w:val="fr-FR"/>
        </w:rPr>
        <w:t>, p. 301.</w:t>
      </w:r>
    </w:p>
  </w:footnote>
  <w:footnote w:id="547">
    <w:p w14:paraId="54159D6D" w14:textId="77777777" w:rsidR="00DE3AC9" w:rsidRPr="004512C7" w:rsidRDefault="00DE3AC9" w:rsidP="007D5EBA">
      <w:pPr>
        <w:pStyle w:val="FootnoteText"/>
        <w:rPr>
          <w:lang w:val="fr-FR"/>
        </w:rPr>
      </w:pPr>
      <w:r>
        <w:rPr>
          <w:rStyle w:val="FootnoteReference"/>
        </w:rPr>
        <w:footnoteRef/>
      </w:r>
      <w:r w:rsidRPr="004512C7">
        <w:rPr>
          <w:lang w:val="fr-FR"/>
        </w:rPr>
        <w:t xml:space="preserve"> </w:t>
      </w:r>
      <w:r>
        <w:rPr>
          <w:i/>
          <w:iCs/>
          <w:lang w:val="fr-FR"/>
        </w:rPr>
        <w:t xml:space="preserve">La Voix du Pays, </w:t>
      </w:r>
      <w:r>
        <w:rPr>
          <w:lang w:val="fr-FR"/>
        </w:rPr>
        <w:t>25 August 1917 and 10 September 1917.</w:t>
      </w:r>
    </w:p>
  </w:footnote>
  <w:footnote w:id="548">
    <w:p w14:paraId="5C454D31" w14:textId="77777777" w:rsidR="00DE3AC9" w:rsidRPr="00FD549B" w:rsidRDefault="00DE3AC9" w:rsidP="007D5EBA">
      <w:pPr>
        <w:pStyle w:val="FootnoteText"/>
      </w:pPr>
      <w:r>
        <w:rPr>
          <w:rStyle w:val="FootnoteReference"/>
        </w:rPr>
        <w:footnoteRef/>
      </w:r>
      <w:r w:rsidRPr="00FD549B">
        <w:t xml:space="preserve"> </w:t>
      </w:r>
      <w:r>
        <w:rPr>
          <w:lang w:val="fr-FR"/>
        </w:rP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rPr>
          <w:lang w:val="fr-FR"/>
        </w:rPr>
        <w:fldChar w:fldCharType="separate"/>
      </w:r>
      <w:r w:rsidRPr="007B7627">
        <w:rPr>
          <w:noProof/>
        </w:rPr>
        <w:t xml:space="preserve">Stevenson, </w:t>
      </w:r>
      <w:r w:rsidRPr="007B7627">
        <w:rPr>
          <w:i/>
          <w:noProof/>
        </w:rPr>
        <w:t>French war aims</w:t>
      </w:r>
      <w:r>
        <w:rPr>
          <w:lang w:val="fr-FR"/>
        </w:rPr>
        <w:fldChar w:fldCharType="end"/>
      </w:r>
      <w:r w:rsidRPr="00FD549B">
        <w:t>, p. 81.</w:t>
      </w:r>
    </w:p>
  </w:footnote>
  <w:footnote w:id="549">
    <w:p w14:paraId="69AF2E89" w14:textId="77777777" w:rsidR="00DE3AC9" w:rsidRPr="00181C43" w:rsidRDefault="00DE3AC9" w:rsidP="007D5EBA">
      <w:pPr>
        <w:pStyle w:val="FootnoteText"/>
        <w:rPr>
          <w:lang w:val="fr-FR"/>
        </w:rPr>
      </w:pPr>
      <w:r>
        <w:rPr>
          <w:rStyle w:val="FootnoteReference"/>
        </w:rPr>
        <w:footnoteRef/>
      </w:r>
      <w:r w:rsidRPr="00181C43">
        <w:rPr>
          <w:lang w:val="fr-FR"/>
        </w:rPr>
        <w:t xml:space="preserve"> </w:t>
      </w:r>
      <w:r>
        <w:rPr>
          <w:i/>
          <w:iCs/>
          <w:lang w:val="fr-FR"/>
        </w:rPr>
        <w:t xml:space="preserve">La Gazette des Ardennes, </w:t>
      </w:r>
      <w:r>
        <w:rPr>
          <w:lang w:val="fr-FR"/>
        </w:rPr>
        <w:t>4 September 1917.</w:t>
      </w:r>
    </w:p>
  </w:footnote>
  <w:footnote w:id="550">
    <w:p w14:paraId="00992087" w14:textId="77777777" w:rsidR="00DE3AC9" w:rsidRPr="003169FE" w:rsidRDefault="00DE3AC9" w:rsidP="007D5EBA">
      <w:pPr>
        <w:pStyle w:val="FootnoteText"/>
        <w:rPr>
          <w:lang w:val="fr-FR"/>
        </w:rPr>
      </w:pPr>
      <w:r>
        <w:rPr>
          <w:rStyle w:val="FootnoteReference"/>
        </w:rPr>
        <w:footnoteRef/>
      </w:r>
      <w:r w:rsidRPr="003169FE">
        <w:rPr>
          <w:lang w:val="fr-FR"/>
        </w:rPr>
        <w:t xml:space="preserve"> </w:t>
      </w:r>
      <w:r>
        <w:rPr>
          <w:i/>
          <w:iCs/>
          <w:lang w:val="fr-FR"/>
        </w:rPr>
        <w:t xml:space="preserve">La Gazette des Ardennes, </w:t>
      </w:r>
      <w:r>
        <w:rPr>
          <w:lang w:val="fr-FR"/>
        </w:rPr>
        <w:t>6, 8, 9 and 11 September 1917.</w:t>
      </w:r>
    </w:p>
  </w:footnote>
  <w:footnote w:id="551">
    <w:p w14:paraId="0D819DF5" w14:textId="77777777" w:rsidR="00DE3AC9" w:rsidRPr="00354A7B" w:rsidRDefault="00DE3AC9" w:rsidP="007D5EBA">
      <w:pPr>
        <w:pStyle w:val="FootnoteText"/>
        <w:rPr>
          <w:lang w:val="fr-FR"/>
        </w:rPr>
      </w:pPr>
      <w:r>
        <w:rPr>
          <w:rStyle w:val="FootnoteReference"/>
        </w:rPr>
        <w:footnoteRef/>
      </w:r>
      <w:r w:rsidRPr="004512C7">
        <w:rPr>
          <w:lang w:val="fr-FR"/>
        </w:rPr>
        <w:t xml:space="preserve"> </w:t>
      </w:r>
      <w:r>
        <w:rPr>
          <w:i/>
          <w:iCs/>
          <w:lang w:val="fr-FR"/>
        </w:rPr>
        <w:t>Le Courrier de l’Air</w:t>
      </w:r>
      <w:r>
        <w:rPr>
          <w:lang w:val="fr-FR"/>
        </w:rPr>
        <w:t>, 31 August 1917.</w:t>
      </w:r>
    </w:p>
  </w:footnote>
  <w:footnote w:id="552">
    <w:p w14:paraId="40957B59" w14:textId="77777777" w:rsidR="00DE3AC9" w:rsidRPr="005C662C" w:rsidRDefault="00DE3AC9" w:rsidP="007D5EBA">
      <w:pPr>
        <w:pStyle w:val="FootnoteText"/>
        <w:rPr>
          <w:lang w:val="fr-FR"/>
        </w:rPr>
      </w:pPr>
      <w:r>
        <w:rPr>
          <w:rStyle w:val="FootnoteReference"/>
        </w:rPr>
        <w:footnoteRef/>
      </w:r>
      <w:r w:rsidRPr="005C662C">
        <w:rPr>
          <w:lang w:val="fr-FR"/>
        </w:rPr>
        <w:t xml:space="preserve"> </w:t>
      </w:r>
      <w:r>
        <w:rPr>
          <w:i/>
          <w:iCs/>
          <w:lang w:val="fr-FR"/>
        </w:rPr>
        <w:t>La Voix du Pays</w:t>
      </w:r>
      <w:r>
        <w:rPr>
          <w:lang w:val="fr-FR"/>
        </w:rPr>
        <w:t>, 10 September 1917.</w:t>
      </w:r>
    </w:p>
  </w:footnote>
  <w:footnote w:id="553">
    <w:p w14:paraId="41A9E547" w14:textId="77777777" w:rsidR="00DE3AC9" w:rsidRPr="00FD549B" w:rsidRDefault="00DE3AC9" w:rsidP="007D5EBA">
      <w:pPr>
        <w:pStyle w:val="FootnoteText"/>
      </w:pPr>
      <w:r>
        <w:rPr>
          <w:rStyle w:val="FootnoteReference"/>
        </w:rPr>
        <w:footnoteRef/>
      </w:r>
      <w:r w:rsidRPr="00FD549B">
        <w:t xml:space="preserve"> </w:t>
      </w:r>
      <w: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fldChar w:fldCharType="separate"/>
      </w:r>
      <w:r>
        <w:rPr>
          <w:noProof/>
        </w:rPr>
        <w:t xml:space="preserve">Stevenson, </w:t>
      </w:r>
      <w:r w:rsidRPr="007B7627">
        <w:rPr>
          <w:i/>
          <w:noProof/>
        </w:rPr>
        <w:t>French war aims</w:t>
      </w:r>
      <w:r>
        <w:fldChar w:fldCharType="end"/>
      </w:r>
      <w:r w:rsidRPr="00FD549B">
        <w:t>, p. 81.</w:t>
      </w:r>
    </w:p>
  </w:footnote>
  <w:footnote w:id="554">
    <w:p w14:paraId="76B10E95" w14:textId="77777777" w:rsidR="00DE3AC9" w:rsidRPr="003B22D7" w:rsidRDefault="00DE3AC9" w:rsidP="0048510E">
      <w:pPr>
        <w:pStyle w:val="FootnoteText"/>
      </w:pPr>
      <w:r>
        <w:rPr>
          <w:rStyle w:val="FootnoteReference"/>
        </w:rPr>
        <w:footnoteRef/>
      </w:r>
      <w:r>
        <w:t xml:space="preserve"> </w:t>
      </w:r>
      <w:r>
        <w:fldChar w:fldCharType="begin"/>
      </w:r>
      <w:r>
        <w:instrText xml:space="preserve"> ADDIN EN.CITE &lt;EndNote&gt;&lt;Cite&gt;&lt;Author&gt;Baycroft&lt;/Author&gt;&lt;Year&gt;2008&lt;/Year&gt;&lt;RecNum&gt;129&lt;/RecNum&gt;&lt;DisplayText&gt;Timothy Baycroft, &lt;style face="italic"&gt;France&lt;/style&gt;, (London, 2008)&lt;/DisplayText&gt;&lt;record&gt;&lt;rec-number&gt;129&lt;/rec-number&gt;&lt;foreign-keys&gt;&lt;key app="EN" db-id="2f5rvwawcsv2woetvw35fzwbdvvswerd0err"&gt;129&lt;/key&gt;&lt;/foreign-keys&gt;&lt;ref-type name="Book"&gt;6&lt;/ref-type&gt;&lt;contributors&gt;&lt;authors&gt;&lt;author&gt;Baycroft, Timothy&lt;/author&gt;&lt;/authors&gt;&lt;/contributors&gt;&lt;titles&gt;&lt;title&gt;France&lt;/title&gt;&lt;short-title&gt;France&lt;/short-title&gt;&lt;/titles&gt;&lt;dates&gt;&lt;year&gt;2008&lt;/year&gt;&lt;/dates&gt;&lt;pub-location&gt;London&lt;/pub-location&gt;&lt;urls&gt;&lt;/urls&gt;&lt;/record&gt;&lt;/Cite&gt;&lt;/EndNote&gt;</w:instrText>
      </w:r>
      <w:r>
        <w:fldChar w:fldCharType="separate"/>
      </w:r>
      <w:r>
        <w:rPr>
          <w:noProof/>
        </w:rPr>
        <w:t xml:space="preserve">Timothy Baycroft, </w:t>
      </w:r>
      <w:r w:rsidRPr="007B7627">
        <w:rPr>
          <w:i/>
          <w:noProof/>
        </w:rPr>
        <w:t>France</w:t>
      </w:r>
      <w:r>
        <w:rPr>
          <w:noProof/>
        </w:rPr>
        <w:t>, (London, 2008)</w:t>
      </w:r>
      <w:r>
        <w:fldChar w:fldCharType="end"/>
      </w:r>
      <w:r>
        <w:t xml:space="preserve">, p. 37 and </w:t>
      </w:r>
      <w:r>
        <w:fldChar w:fldCharType="begin"/>
      </w:r>
      <w:r>
        <w:instrText xml:space="preserve"> ADDIN EN.CITE &lt;EndNote&gt;&lt;Cite&gt;&lt;Author&gt;Jowett&lt;/Author&gt;&lt;Year&gt;2012&lt;/Year&gt;&lt;RecNum&gt;92&lt;/RecNum&gt;&lt;DisplayText&gt;Jowett and O&amp;apos;Donnell, &lt;style face="italic"&gt;Propaganda&lt;/style&gt;; Baycroft, &lt;style face="italic"&gt;France&lt;/style&gt;&lt;/DisplayText&gt;&lt;record&gt;&lt;rec-number&gt;92&lt;/rec-number&gt;&lt;foreign-keys&gt;&lt;key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Cite&gt;&lt;Author&gt;Baycroft&lt;/Author&gt;&lt;Year&gt;2008&lt;/Year&gt;&lt;RecNum&gt;129&lt;/RecNum&gt;&lt;record&gt;&lt;rec-number&gt;129&lt;/rec-number&gt;&lt;foreign-keys&gt;&lt;key app="EN" db-id="2f5rvwawcsv2woetvw35fzwbdvvswerd0err"&gt;129&lt;/key&gt;&lt;/foreign-keys&gt;&lt;ref-type name="Book"&gt;6&lt;/ref-type&gt;&lt;contributors&gt;&lt;authors&gt;&lt;author&gt;Baycroft, Timothy&lt;/author&gt;&lt;/authors&gt;&lt;/contributors&gt;&lt;titles&gt;&lt;title&gt;France&lt;/title&gt;&lt;short-title&gt;France&lt;/short-title&gt;&lt;/titles&gt;&lt;dates&gt;&lt;year&gt;2008&lt;/year&gt;&lt;/dates&gt;&lt;pub-location&gt;London&lt;/pub-location&gt;&lt;urls&gt;&lt;/urls&gt;&lt;/record&gt;&lt;/Cite&gt;&lt;/EndNote&gt;</w:instrText>
      </w:r>
      <w:r>
        <w:fldChar w:fldCharType="separate"/>
      </w:r>
      <w:r>
        <w:rPr>
          <w:noProof/>
        </w:rPr>
        <w:t xml:space="preserve">Jowett and O'Donnell, </w:t>
      </w:r>
      <w:r w:rsidRPr="007B7627">
        <w:rPr>
          <w:i/>
          <w:noProof/>
        </w:rPr>
        <w:t>Propaganda</w:t>
      </w:r>
      <w:r>
        <w:rPr>
          <w:noProof/>
        </w:rPr>
        <w:t xml:space="preserve">; Baycroft, </w:t>
      </w:r>
      <w:r w:rsidRPr="007B7627">
        <w:rPr>
          <w:i/>
          <w:noProof/>
        </w:rPr>
        <w:t>France</w:t>
      </w:r>
      <w:r>
        <w:fldChar w:fldCharType="end"/>
      </w:r>
      <w:r>
        <w:t>, p. 166.</w:t>
      </w:r>
    </w:p>
  </w:footnote>
  <w:footnote w:id="555">
    <w:p w14:paraId="01895595" w14:textId="661723CE" w:rsidR="00DE3AC9" w:rsidRPr="003B22D7" w:rsidRDefault="00DE3AC9" w:rsidP="0048510E">
      <w:pPr>
        <w:pStyle w:val="FootnoteText"/>
      </w:pPr>
      <w:r>
        <w:rPr>
          <w:rStyle w:val="FootnoteReference"/>
        </w:rPr>
        <w:footnoteRef/>
      </w:r>
      <w:r>
        <w:t xml:space="preserve"> </w:t>
      </w:r>
      <w:r>
        <w:fldChar w:fldCharType="begin"/>
      </w:r>
      <w:r>
        <w:instrText xml:space="preserve"> ADDIN EN.CITE &lt;EndNote&gt;&lt;Cite&gt;&lt;Year&gt;1996&lt;/Year&gt;&lt;RecNum&gt;130&lt;/RecNum&gt;&lt;DisplayText&gt;Becker, &lt;style face="italic"&gt;Life&lt;/style&gt;&lt;/DisplayText&gt;&lt;record&gt;&lt;rec-number&gt;130&lt;/rec-number&gt;&lt;foreign-keys&gt;&lt;key app="EN" db-id="2f5rvwawcsv2woetvw35fzwbdvvswerd0err"&gt;130&lt;/key&gt;&lt;/foreign-keys&gt;&lt;ref-type name="Book Section"&gt;5&lt;/ref-type&gt;&lt;contributors&gt;&lt;authors&gt;&lt;author&gt;Becker, Annette&lt;/author&gt;&lt;/authors&gt;&lt;secondary-authors&gt;&lt;author&gt;H. Cecil&lt;/author&gt;&lt;author&gt;P. Liddle&lt;/author&gt;&lt;/secondary-authors&gt;&lt;/contributors&gt;&lt;titles&gt;&lt;title&gt;Life in occupied zone: Lille, Roubaix, Tourcoing&lt;/title&gt;&lt;secondary-title&gt;Facing Armageddon: the First World War experienced&lt;/secondary-title&gt;&lt;short-title&gt;Life&lt;/short-title&gt;&lt;/titles&gt;&lt;dates&gt;&lt;year&gt;1996&lt;/year&gt;&lt;/dates&gt;&lt;pub-location&gt;London&lt;/pub-location&gt;&lt;urls&gt;&lt;/urls&gt;&lt;/record&gt;&lt;/Cite&gt;&lt;/EndNote&gt;</w:instrText>
      </w:r>
      <w:r>
        <w:fldChar w:fldCharType="separate"/>
      </w:r>
      <w:r>
        <w:rPr>
          <w:noProof/>
        </w:rPr>
        <w:t xml:space="preserve">Becker, </w:t>
      </w:r>
      <w:r w:rsidRPr="007B7627">
        <w:rPr>
          <w:i/>
          <w:noProof/>
        </w:rPr>
        <w:t>Life</w:t>
      </w:r>
      <w:r>
        <w:fldChar w:fldCharType="end"/>
      </w:r>
      <w:r>
        <w:t>, p. 630.</w:t>
      </w:r>
    </w:p>
  </w:footnote>
  <w:footnote w:id="556">
    <w:p w14:paraId="0CA4D487" w14:textId="77777777" w:rsidR="00DE3AC9" w:rsidRPr="003B22D7" w:rsidRDefault="00DE3AC9" w:rsidP="0048510E">
      <w:pPr>
        <w:pStyle w:val="FootnoteText"/>
      </w:pPr>
      <w:r>
        <w:rPr>
          <w:rStyle w:val="FootnoteReference"/>
        </w:rPr>
        <w:footnoteRef/>
      </w:r>
      <w:r>
        <w:t xml:space="preserve"> </w:t>
      </w:r>
      <w:r>
        <w:fldChar w:fldCharType="begin"/>
      </w:r>
      <w:r>
        <w:instrText xml:space="preserve"> ADDIN EN.CITE &lt;EndNote&gt;&lt;Cite&gt;&lt;Author&gt;Horne&lt;/Author&gt;&lt;Year&gt;2001&lt;/Year&gt;&lt;RecNum&gt;43&lt;/RecNum&gt;&lt;DisplayText&gt;Horne and Kramer, &lt;style face="italic"&gt;German atrocities&lt;/style&gt;&lt;/DisplayText&gt;&lt;record&gt;&lt;rec-number&gt;43&lt;/rec-number&gt;&lt;foreign-keys&gt;&lt;key app="EN" db-id="2f5rvwawcsv2woetvw35fzwbdvvswerd0err"&gt;43&lt;/key&gt;&lt;/foreign-keys&gt;&lt;ref-type name="Book"&gt;6&lt;/ref-type&gt;&lt;contributors&gt;&lt;authors&gt;&lt;author&gt;Horne, John&lt;/author&gt;&lt;author&gt;Kramer, Alan&lt;/author&gt;&lt;/authors&gt;&lt;/contributors&gt;&lt;titles&gt;&lt;title&gt;German atrocities 1914: a history of denial&lt;/title&gt;&lt;short-title&gt;German atrocities&lt;/short-title&gt;&lt;/titles&gt;&lt;dates&gt;&lt;year&gt;2001&lt;/year&gt;&lt;/dates&gt;&lt;pub-location&gt;New Haven and London&lt;/pub-location&gt;&lt;urls&gt;&lt;/urls&gt;&lt;/record&gt;&lt;/Cite&gt;&lt;/EndNote&gt;</w:instrText>
      </w:r>
      <w:r>
        <w:fldChar w:fldCharType="separate"/>
      </w:r>
      <w:r>
        <w:rPr>
          <w:noProof/>
        </w:rPr>
        <w:t xml:space="preserve">Horne and Kramer, </w:t>
      </w:r>
      <w:r w:rsidRPr="007B7627">
        <w:rPr>
          <w:i/>
          <w:noProof/>
        </w:rPr>
        <w:t>German atrocities</w:t>
      </w:r>
      <w:r>
        <w:fldChar w:fldCharType="end"/>
      </w:r>
      <w:r>
        <w:t>, p. 2.</w:t>
      </w:r>
    </w:p>
  </w:footnote>
  <w:footnote w:id="557">
    <w:p w14:paraId="2A79F6A4" w14:textId="63ED898B"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C54460">
        <w:rPr>
          <w:noProof/>
          <w:lang w:val="fr-FR"/>
        </w:rPr>
        <w:t xml:space="preserve">Lasswell, </w:t>
      </w:r>
      <w:r w:rsidRPr="00C54460">
        <w:rPr>
          <w:i/>
          <w:noProof/>
          <w:lang w:val="fr-FR"/>
        </w:rPr>
        <w:t>Propaganda</w:t>
      </w:r>
      <w:r>
        <w:fldChar w:fldCharType="end"/>
      </w:r>
      <w:r w:rsidRPr="00C54460">
        <w:rPr>
          <w:lang w:val="fr-FR"/>
        </w:rPr>
        <w:t>, p. 107.</w:t>
      </w:r>
    </w:p>
  </w:footnote>
  <w:footnote w:id="558">
    <w:p w14:paraId="23F7CE61" w14:textId="77777777" w:rsidR="00DE3AC9" w:rsidRPr="00783D8D" w:rsidRDefault="00DE3AC9" w:rsidP="0048510E">
      <w:pPr>
        <w:pStyle w:val="FootnoteText"/>
        <w:rPr>
          <w:lang w:val="fr-FR"/>
        </w:rPr>
      </w:pPr>
      <w:r>
        <w:rPr>
          <w:rStyle w:val="FootnoteReference"/>
        </w:rPr>
        <w:footnoteRef/>
      </w:r>
      <w:r w:rsidRPr="003B22D7">
        <w:rPr>
          <w:lang w:val="fr-FR"/>
        </w:rPr>
        <w:t xml:space="preserve"> </w:t>
      </w:r>
      <w: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7B7627">
        <w:rPr>
          <w:noProof/>
          <w:lang w:val="fr-FR"/>
        </w:rPr>
        <w:t xml:space="preserve">de Schaepdrijver, </w:t>
      </w:r>
      <w:r w:rsidRPr="007B7627">
        <w:rPr>
          <w:i/>
          <w:noProof/>
          <w:lang w:val="fr-FR"/>
        </w:rPr>
        <w:t>La Belgique</w:t>
      </w:r>
      <w:r>
        <w:fldChar w:fldCharType="end"/>
      </w:r>
      <w:r w:rsidRPr="003B22D7">
        <w:rPr>
          <w:lang w:val="fr-FR"/>
        </w:rPr>
        <w:t>, p. 238.</w:t>
      </w:r>
    </w:p>
  </w:footnote>
  <w:footnote w:id="559">
    <w:p w14:paraId="74B5246F" w14:textId="61539139" w:rsidR="00DE3AC9" w:rsidRPr="002A43A2" w:rsidRDefault="00DE3AC9" w:rsidP="0048510E">
      <w:pPr>
        <w:pStyle w:val="FootnoteText"/>
        <w:rPr>
          <w:lang w:val="fr-FR"/>
        </w:rPr>
      </w:pPr>
      <w:r>
        <w:rPr>
          <w:rStyle w:val="FootnoteReference"/>
        </w:rPr>
        <w:footnoteRef/>
      </w:r>
      <w:r w:rsidRPr="002A43A2">
        <w:t xml:space="preserve"> All aerial propaganda newspapers systematically began with news of </w:t>
      </w:r>
      <w:r>
        <w:t>the national army they belonged to followed by the events on the w</w:t>
      </w:r>
      <w:r w:rsidRPr="002A43A2">
        <w:t xml:space="preserve">estern </w:t>
      </w:r>
      <w:r>
        <w:t>f</w:t>
      </w:r>
      <w:r w:rsidRPr="002A43A2">
        <w:t xml:space="preserve">ront. </w:t>
      </w:r>
      <w:r w:rsidRPr="002A43A2">
        <w:rPr>
          <w:lang w:val="fr-FR"/>
        </w:rPr>
        <w:t xml:space="preserve">See: </w:t>
      </w:r>
      <w:r w:rsidRPr="002A43A2">
        <w:rPr>
          <w:i/>
          <w:iCs/>
          <w:lang w:val="fr-FR"/>
        </w:rPr>
        <w:t xml:space="preserve">Le Courrier de l’Air, </w:t>
      </w:r>
      <w:r>
        <w:rPr>
          <w:lang w:val="fr-FR"/>
        </w:rPr>
        <w:t xml:space="preserve">1917-1918 ; </w:t>
      </w:r>
      <w:r w:rsidRPr="002A43A2">
        <w:rPr>
          <w:i/>
          <w:iCs/>
          <w:lang w:val="fr-FR"/>
        </w:rPr>
        <w:t>La Lettre du Soldat</w:t>
      </w:r>
      <w:r>
        <w:rPr>
          <w:lang w:val="fr-FR"/>
        </w:rPr>
        <w:t xml:space="preserve">, 1917-1918, and </w:t>
      </w:r>
      <w:r w:rsidRPr="002A43A2">
        <w:rPr>
          <w:i/>
          <w:iCs/>
          <w:lang w:val="fr-FR"/>
        </w:rPr>
        <w:t>La Voix du Pays</w:t>
      </w:r>
      <w:r w:rsidRPr="002A43A2">
        <w:rPr>
          <w:lang w:val="fr-FR"/>
        </w:rPr>
        <w:t>, 1915-1918.</w:t>
      </w:r>
    </w:p>
  </w:footnote>
  <w:footnote w:id="560">
    <w:p w14:paraId="64439991"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lang w:val="fr-FR"/>
        </w:rPr>
        <w:t xml:space="preserve">Jowett and O'Donnell, </w:t>
      </w:r>
      <w:r w:rsidRPr="00DE3AC9">
        <w:rPr>
          <w:i/>
          <w:noProof/>
          <w:lang w:val="fr-FR"/>
        </w:rPr>
        <w:t>Propaganda</w:t>
      </w:r>
      <w:r>
        <w:fldChar w:fldCharType="end"/>
      </w:r>
      <w:r w:rsidRPr="00DE3AC9">
        <w:rPr>
          <w:lang w:val="fr-FR"/>
        </w:rPr>
        <w:t>, pp. 297-298.</w:t>
      </w:r>
    </w:p>
  </w:footnote>
  <w:footnote w:id="561">
    <w:p w14:paraId="10672CD1"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&lt;EndNote&gt;&lt;Cite&gt;&lt;Author&gt;Jowett&lt;/Author&gt;&lt;Year&gt;2012&lt;/Year&gt;&lt;RecNum&gt;92&lt;/RecNum&gt;&lt;DisplayText&gt;Ibid.&lt;/DisplayText&gt;&lt;record&gt;&lt;rec-number&gt;92&lt;/rec-number&gt;&lt;foreign-keys&gt;&lt;key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rPr>
          <w:lang w:val="fr-FR"/>
        </w:rPr>
        <w:fldChar w:fldCharType="separate"/>
      </w:r>
      <w:r w:rsidRPr="00DE3AC9">
        <w:rPr>
          <w:noProof/>
          <w:lang w:val="fr-FR"/>
        </w:rPr>
        <w:t>Ibid.</w:t>
      </w:r>
      <w:r>
        <w:rPr>
          <w:lang w:val="fr-FR"/>
        </w:rPr>
        <w:fldChar w:fldCharType="end"/>
      </w:r>
      <w:r w:rsidRPr="00DE3AC9">
        <w:rPr>
          <w:lang w:val="fr-FR"/>
        </w:rPr>
        <w:t>, p. 292.</w:t>
      </w:r>
    </w:p>
  </w:footnote>
  <w:footnote w:id="562">
    <w:p w14:paraId="612EF8EF" w14:textId="77777777" w:rsidR="00DE3AC9" w:rsidRPr="00AD6868" w:rsidRDefault="00DE3AC9" w:rsidP="005C7BEE">
      <w:pPr>
        <w:pStyle w:val="FootnoteText"/>
        <w:rPr>
          <w:lang w:val="fr-FR"/>
        </w:rPr>
      </w:pPr>
      <w:r>
        <w:rPr>
          <w:rStyle w:val="FootnoteReference"/>
        </w:rPr>
        <w:footnoteRef/>
      </w:r>
      <w:r w:rsidRPr="00AD6868">
        <w:rPr>
          <w:lang w:val="fr-FR"/>
        </w:rPr>
        <w:t xml:space="preserve"> </w:t>
      </w:r>
      <w:r>
        <w:rPr>
          <w:lang w:val="fr-FR"/>
        </w:rPr>
        <w:fldChar w:fldCharType="begin"/>
      </w:r>
      <w:r>
        <w:rPr>
          <w:lang w:val="fr-FR"/>
        </w:rPr>
        <w:instrText xml:space="preserve"> ADDIN EN.CITE &lt;EndNote&gt;&lt;Cite&gt;&lt;Author&gt;Offenstadt&lt;/Author&gt;&lt;Year&gt;2010&lt;/Year&gt;&lt;RecNum&gt;127&lt;/RecNum&gt;&lt;DisplayText&gt;Nicolas Offenstadt, &lt;style face="italic"&gt;14-18 aujourd&amp;apos;hui: la Grande Guerre dans la France contemporaine&lt;/style&gt;, (Paris, 2010)&lt;/DisplayText&gt;&lt;record&gt;&lt;rec-number&gt;127&lt;/rec-number&gt;&lt;foreign-keys&gt;&lt;key app="EN" db-id="2f5rvwawcsv2woetvw35fzwbdvvswerd0err"&gt;127&lt;/key&gt;&lt;/foreign-keys&gt;&lt;ref-type name="Book"&gt;6&lt;/ref-type&gt;&lt;contributors&gt;&lt;authors&gt;&lt;author&gt;Offenstadt, Nicolas&lt;/author&gt;&lt;/authors&gt;&lt;/contributors&gt;&lt;titles&gt;&lt;title&gt;14-18 aujourd&amp;apos;hui: la Grande Guerre dans la France contemporaine&lt;/title&gt;&lt;short-title&gt;14-18 aujourd&amp;apos;hui&lt;/short-title&gt;&lt;/titles&gt;&lt;dates&gt;&lt;year&gt;2010&lt;/year&gt;&lt;/dates&gt;&lt;pub-location&gt;Paris&lt;/pub-location&gt;&lt;urls&gt;&lt;/urls&gt;&lt;/record&gt;&lt;/Cite&gt;&lt;/EndNote&gt;</w:instrText>
      </w:r>
      <w:r>
        <w:rPr>
          <w:lang w:val="fr-FR"/>
        </w:rPr>
        <w:fldChar w:fldCharType="separate"/>
      </w:r>
      <w:r>
        <w:rPr>
          <w:noProof/>
          <w:lang w:val="fr-FR"/>
        </w:rPr>
        <w:t xml:space="preserve">Nicolas Offenstadt, </w:t>
      </w:r>
      <w:r w:rsidRPr="005C7BEE">
        <w:rPr>
          <w:i/>
          <w:noProof/>
          <w:lang w:val="fr-FR"/>
        </w:rPr>
        <w:t>14-18 aujourd'hui: la Grande Guerre dans la France contemporaine</w:t>
      </w:r>
      <w:r>
        <w:rPr>
          <w:noProof/>
          <w:lang w:val="fr-FR"/>
        </w:rPr>
        <w:t>, (Paris, 2010)</w:t>
      </w:r>
      <w:r>
        <w:rPr>
          <w:lang w:val="fr-FR"/>
        </w:rPr>
        <w:fldChar w:fldCharType="end"/>
      </w:r>
      <w:r>
        <w:rPr>
          <w:lang w:val="fr-FR"/>
        </w:rPr>
        <w:t>, pp. 111-127.</w:t>
      </w:r>
    </w:p>
  </w:footnote>
  <w:footnote w:id="563">
    <w:p w14:paraId="1FC85B98" w14:textId="77777777" w:rsidR="00DE3AC9" w:rsidRPr="00415A32" w:rsidRDefault="00DE3AC9" w:rsidP="008F12F2">
      <w:pPr>
        <w:pStyle w:val="FootnoteText"/>
      </w:pPr>
      <w:r>
        <w:rPr>
          <w:rStyle w:val="FootnoteReference"/>
        </w:rPr>
        <w:footnoteRef/>
      </w:r>
      <w:r w:rsidRPr="00415A32">
        <w:t xml:space="preserve"> </w:t>
      </w:r>
      <w:r>
        <w:rPr>
          <w:lang w:val="fr-FR"/>
        </w:rPr>
        <w:fldChar w:fldCharType="begin"/>
      </w:r>
      <w:r w:rsidRPr="00415A32">
        <w:instrText xml:space="preserve"> ADDIN EN.CITE &lt;EndNote&gt;&lt;Cite&gt;&lt;Author&gt;Offenstadt&lt;/Author&gt;&lt;Year&gt;2010&lt;/Year&gt;&lt;RecNum&gt;127&lt;/RecNum&gt;&lt;DisplayText&gt;Ibid.&lt;/DisplayText&gt;&lt;record&gt;&lt;rec-number&gt;127&lt;/rec-number&gt;&lt;foreign-keys&gt;&lt;key app="EN" db-id="2f5rvwawcsv2woetvw35fzwbdvvswerd0err"&gt;127&lt;/key&gt;&lt;/foreign-keys&gt;&lt;ref-type name="Book"&gt;6&lt;/ref-type&gt;&lt;contributors&gt;&lt;authors&gt;&lt;author&gt;Offenstadt, Nicolas&lt;/author&gt;&lt;/authors&gt;&lt;/contributors&gt;&lt;titles&gt;&lt;title&gt;14-18 aujourd&amp;apos;hui: la Grande Guerre dans la France contemporaine&lt;/title&gt;&lt;short-title&gt;14-18 aujourd&amp;apos;hui&lt;/short-title&gt;&lt;/titles&gt;&lt;dates&gt;&lt;year&gt;2010&lt;/year&gt;&lt;/dates&gt;&lt;pub-location&gt;Paris&lt;/pub-location&gt;&lt;urls&gt;&lt;/urls&gt;&lt;/record&gt;&lt;/Cite&gt;&lt;/EndNote&gt;</w:instrText>
      </w:r>
      <w:r>
        <w:rPr>
          <w:lang w:val="fr-FR"/>
        </w:rPr>
        <w:fldChar w:fldCharType="separate"/>
      </w:r>
      <w:r w:rsidRPr="00415A32">
        <w:rPr>
          <w:noProof/>
        </w:rPr>
        <w:t>Ibid.</w:t>
      </w:r>
      <w:r>
        <w:rPr>
          <w:lang w:val="fr-FR"/>
        </w:rPr>
        <w:fldChar w:fldCharType="end"/>
      </w:r>
      <w:r w:rsidRPr="00415A32">
        <w:t>, pp. 111-127.</w:t>
      </w:r>
    </w:p>
  </w:footnote>
  <w:footnote w:id="564">
    <w:p w14:paraId="5D93E75A" w14:textId="4979FD92" w:rsidR="00DE3AC9" w:rsidRPr="00E21D97" w:rsidRDefault="00DE3AC9" w:rsidP="008F12F2">
      <w:pPr>
        <w:pStyle w:val="FootnoteText"/>
      </w:pPr>
      <w:r>
        <w:rPr>
          <w:rStyle w:val="FootnoteReference"/>
        </w:rPr>
        <w:footnoteRef/>
      </w:r>
      <w:r>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Pr>
          <w:noProof/>
        </w:rPr>
        <w:t xml:space="preserve">Doughty, </w:t>
      </w:r>
      <w:r w:rsidRPr="008F12F2">
        <w:rPr>
          <w:i/>
          <w:noProof/>
        </w:rPr>
        <w:t>Pyrrhic victory</w:t>
      </w:r>
      <w:r>
        <w:fldChar w:fldCharType="end"/>
      </w:r>
      <w:r>
        <w:t>, p. 279.</w:t>
      </w:r>
    </w:p>
  </w:footnote>
  <w:footnote w:id="565">
    <w:p w14:paraId="6210CCB4"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&lt;EndNote&gt;&lt;Cite&gt;&lt;Author&gt;Audoin-Rouzeau&lt;/Author&gt;&lt;Year&gt;2002&lt;/Year&gt;&lt;RecNum&gt;29&lt;/RecNum&gt;&lt;DisplayText&gt;Audoin-Rouzeau and Becker, &lt;style face="italic"&gt;Understanding&lt;/style&gt;&lt;/DisplayText&gt;&lt;record&gt;&lt;rec-number&gt;29&lt;/rec-number&gt;&lt;foreign-keys&gt;&lt;key app="EN" db-id="2f5rvwawcsv2woetvw35fzwbdvvswerd0err"&gt;29&lt;/key&gt;&lt;/foreign-keys&gt;&lt;ref-type name="Book"&gt;6&lt;/ref-type&gt;&lt;contributors&gt;&lt;authors&gt;&lt;author&gt;Audoin-Rouzeau, Stéphane&lt;/author&gt;&lt;author&gt;Becker, Annette&lt;/author&gt;&lt;/authors&gt;&lt;/contributors&gt;&lt;titles&gt;&lt;title&gt;1914-1918: Understanding the Great War&lt;/title&gt;&lt;short-title&gt;Understanding&lt;/short-title&gt;&lt;/titles&gt;&lt;dates&gt;&lt;year&gt;2002&lt;/year&gt;&lt;/dates&gt;&lt;pub-location&gt;London&lt;/pub-location&gt;&lt;publisher&gt;Profile Books&lt;/publisher&gt;&lt;urls&gt;&lt;/urls&gt;&lt;/record&gt;&lt;/Cite&gt;&lt;/EndNote&gt;</w:instrText>
      </w:r>
      <w:r>
        <w:rPr>
          <w:lang w:val="fr-FR"/>
        </w:rPr>
        <w:fldChar w:fldCharType="separate"/>
      </w:r>
      <w:r w:rsidRPr="00DE3AC9">
        <w:rPr>
          <w:noProof/>
          <w:lang w:val="fr-FR"/>
        </w:rPr>
        <w:t xml:space="preserve">Audoin-Rouzeau and Becker, </w:t>
      </w:r>
      <w:r w:rsidRPr="00DE3AC9">
        <w:rPr>
          <w:i/>
          <w:noProof/>
          <w:lang w:val="fr-FR"/>
        </w:rPr>
        <w:t>Understanding</w:t>
      </w:r>
      <w:r>
        <w:rPr>
          <w:lang w:val="fr-FR"/>
        </w:rPr>
        <w:fldChar w:fldCharType="end"/>
      </w:r>
      <w:r w:rsidRPr="00DE3AC9">
        <w:rPr>
          <w:lang w:val="fr-FR"/>
        </w:rPr>
        <w:t>, p. 59.</w:t>
      </w:r>
    </w:p>
  </w:footnote>
  <w:footnote w:id="566">
    <w:p w14:paraId="3989F41A" w14:textId="77777777" w:rsidR="00DE3AC9" w:rsidRPr="00793B50" w:rsidRDefault="00DE3AC9" w:rsidP="0048510E">
      <w:pPr>
        <w:pStyle w:val="FootnoteText"/>
        <w:rPr>
          <w:lang w:val="fr-FR"/>
        </w:rPr>
      </w:pPr>
      <w:r>
        <w:rPr>
          <w:rStyle w:val="FootnoteReference"/>
        </w:rPr>
        <w:footnoteRef/>
      </w:r>
      <w:r w:rsidRPr="00793B50">
        <w:rPr>
          <w:lang w:val="fr-FR"/>
        </w:rPr>
        <w:t xml:space="preserve"> </w:t>
      </w:r>
      <w:r>
        <w:rPr>
          <w:lang w:val="fr-FR"/>
        </w:rPr>
        <w:fldChar w:fldCharType="begin"/>
      </w:r>
      <w:r>
        <w:rPr>
          <w:lang w:val="fr-FR"/>
        </w:rPr>
        <w:instrText xml:space="preserve"> ADDIN EN.CITE &lt;EndNote&gt;&lt;Cite&gt;&lt;Author&gt;Miquel&lt;/Author&gt;&lt;Year&gt;1997&lt;/Year&gt;&lt;RecNum&gt;131&lt;/RecNum&gt;&lt;DisplayText&gt;Pierre Miquel, &lt;style face="italic"&gt;Le chemin des Dames&lt;/style&gt;, (Paris, 1997)&lt;/DisplayText&gt;&lt;record&gt;&lt;rec-number&gt;131&lt;/rec-number&gt;&lt;foreign-keys&gt;&lt;key app="EN" db-id="2f5rvwawcsv2woetvw35fzwbdvvswerd0err"&gt;131&lt;/key&gt;&lt;/foreign-keys&gt;&lt;ref-type name="Book"&gt;6&lt;/ref-type&gt;&lt;contributors&gt;&lt;authors&gt;&lt;author&gt;Miquel, Pierre&lt;/author&gt;&lt;/authors&gt;&lt;/contributors&gt;&lt;titles&gt;&lt;title&gt;Le chemin des Dames&lt;/title&gt;&lt;short-title&gt;Le chemin&lt;/short-title&gt;&lt;/titles&gt;&lt;dates&gt;&lt;year&gt;1997&lt;/year&gt;&lt;/dates&gt;&lt;pub-location&gt;Paris&lt;/pub-location&gt;&lt;urls&gt;&lt;/urls&gt;&lt;/record&gt;&lt;/Cite&gt;&lt;/EndNote&gt;</w:instrText>
      </w:r>
      <w:r>
        <w:rPr>
          <w:lang w:val="fr-FR"/>
        </w:rPr>
        <w:fldChar w:fldCharType="separate"/>
      </w:r>
      <w:r>
        <w:rPr>
          <w:noProof/>
          <w:lang w:val="fr-FR"/>
        </w:rPr>
        <w:t xml:space="preserve">Pierre Miquel, </w:t>
      </w:r>
      <w:r w:rsidRPr="007B7627">
        <w:rPr>
          <w:i/>
          <w:noProof/>
          <w:lang w:val="fr-FR"/>
        </w:rPr>
        <w:t>Le chemin des Dames</w:t>
      </w:r>
      <w:r>
        <w:rPr>
          <w:noProof/>
          <w:lang w:val="fr-FR"/>
        </w:rPr>
        <w:t>, (Paris, 1997)</w:t>
      </w:r>
      <w:r>
        <w:rPr>
          <w:lang w:val="fr-FR"/>
        </w:rPr>
        <w:fldChar w:fldCharType="end"/>
      </w:r>
      <w:r>
        <w:rPr>
          <w:lang w:val="fr-FR"/>
        </w:rPr>
        <w:t>, pp. 216-240.</w:t>
      </w:r>
    </w:p>
  </w:footnote>
  <w:footnote w:id="567">
    <w:p w14:paraId="7C6653B2" w14:textId="77777777" w:rsidR="00DE3AC9" w:rsidRPr="00C71F00" w:rsidRDefault="00DE3AC9" w:rsidP="0048510E">
      <w:pPr>
        <w:pStyle w:val="FootnoteText"/>
        <w:rPr>
          <w:lang w:val="fr-FR"/>
        </w:rPr>
      </w:pPr>
      <w:r>
        <w:rPr>
          <w:rStyle w:val="FootnoteReference"/>
        </w:rPr>
        <w:footnoteRef/>
      </w:r>
      <w:r w:rsidRPr="00C71F00">
        <w:rPr>
          <w:lang w:val="fr-FR"/>
        </w:rPr>
        <w:t xml:space="preserve"> </w:t>
      </w:r>
      <w:r>
        <w:rPr>
          <w:lang w:val="fr-FR"/>
        </w:rPr>
        <w:fldChar w:fldCharType="begin"/>
      </w:r>
      <w:r>
        <w:rPr>
          <w:lang w:val="fr-FR"/>
        </w:rPr>
        <w:instrText xml:space="preserve"> ADDIN EN.CITE &lt;EndNote&gt;&lt;Cite&gt;&lt;Author&gt;Miquel&lt;/Author&gt;&lt;Year&gt;1997&lt;/Year&gt;&lt;RecNum&gt;131&lt;/RecNum&gt;&lt;DisplayText&gt;Ibid.&lt;/DisplayText&gt;&lt;record&gt;&lt;rec-number&gt;131&lt;/rec-number&gt;&lt;foreign-keys&gt;&lt;key app="EN" db-id="2f5rvwawcsv2woetvw35fzwbdvvswerd0err"&gt;131&lt;/key&gt;&lt;/foreign-keys&gt;&lt;ref-type name="Book"&gt;6&lt;/ref-type&gt;&lt;contributors&gt;&lt;authors&gt;&lt;author&gt;Miquel, Pierre&lt;/author&gt;&lt;/authors&gt;&lt;/contributors&gt;&lt;titles&gt;&lt;title&gt;Le chemin des Dames&lt;/title&gt;&lt;short-title&gt;Le chemin&lt;/short-title&gt;&lt;/titles&gt;&lt;dates&gt;&lt;year&gt;1997&lt;/year&gt;&lt;/dates&gt;&lt;pub-location&gt;Paris&lt;/pub-location&gt;&lt;urls&gt;&lt;/urls&gt;&lt;/record&gt;&lt;/Cite&gt;&lt;/EndNote&gt;</w:instrText>
      </w:r>
      <w:r>
        <w:rPr>
          <w:lang w:val="fr-FR"/>
        </w:rPr>
        <w:fldChar w:fldCharType="separate"/>
      </w:r>
      <w:r>
        <w:rPr>
          <w:noProof/>
          <w:lang w:val="fr-FR"/>
        </w:rPr>
        <w:t>Ibid.</w:t>
      </w:r>
      <w:r>
        <w:rPr>
          <w:lang w:val="fr-FR"/>
        </w:rPr>
        <w:fldChar w:fldCharType="end"/>
      </w:r>
      <w:r>
        <w:rPr>
          <w:lang w:val="fr-FR"/>
        </w:rPr>
        <w:t>, p. 8.</w:t>
      </w:r>
    </w:p>
  </w:footnote>
  <w:footnote w:id="568">
    <w:p w14:paraId="7CA5D416" w14:textId="77777777" w:rsidR="00DE3AC9" w:rsidRPr="003127E2" w:rsidRDefault="00DE3AC9" w:rsidP="0048510E">
      <w:pPr>
        <w:pStyle w:val="FootnoteText"/>
        <w:rPr>
          <w:lang w:val="fr-FR"/>
        </w:rPr>
      </w:pPr>
      <w:r>
        <w:rPr>
          <w:rStyle w:val="FootnoteReference"/>
        </w:rPr>
        <w:footnoteRef/>
      </w:r>
      <w:r>
        <w:rPr>
          <w:lang w:val="fr-FR"/>
        </w:rPr>
        <w:t xml:space="preserve"> </w:t>
      </w:r>
      <w:r>
        <w:rPr>
          <w:lang w:val="fr-FR"/>
        </w:rPr>
        <w:fldChar w:fldCharType="begin"/>
      </w:r>
      <w:r>
        <w:rPr>
          <w:lang w:val="fr-FR"/>
        </w:rPr>
        <w:instrText xml:space="preserve"> ADDIN EN.CITE &lt;EndNote&gt;&lt;Cite&gt;&lt;Author&gt;Audoin-Rouzeau&lt;/Author&gt;&lt;Year&gt;2004&lt;/Year&gt;&lt;RecNum&gt;35&lt;/RecNum&gt;&lt;DisplayText&gt;Audoin-Rouzeau and Krumeich, &lt;style face="italic"&gt;Les batailles&lt;/style&gt;&lt;/DisplayText&gt;&lt;record&gt;&lt;rec-number&gt;35&lt;/rec-number&gt;&lt;foreign-keys&gt;&lt;key app="EN" db-id="2f5rvwawcsv2woetvw35fzwbdvvswerd0err"&gt;35&lt;/key&gt;&lt;/foreign-keys&gt;&lt;ref-type name="Book Section"&gt;5&lt;/ref-type&gt;&lt;contributors&gt;&lt;authors&gt;&lt;author&gt;Audoin-Rouzeau, Stéphane&lt;/author&gt;&lt;author&gt;Krumeich, Gerd&lt;/author&gt;&lt;/authors&gt;&lt;secondary-authors&gt;&lt;author&gt;Stéphane Audoin-Rouzeau &lt;/author&gt;&lt;author&gt;Jean-Jacques Becker&lt;/author&gt;&lt;/secondary-authors&gt;&lt;/contributors&gt;&lt;titles&gt;&lt;title&gt;Les batailles de la Grande Guerre&lt;/title&gt;&lt;secondary-title&gt;Encyclopédie de la Grande Guerre&lt;/secondary-title&gt;&lt;short-title&gt;Les batailles&lt;/short-title&gt;&lt;/titles&gt;&lt;dates&gt;&lt;year&gt;2004&lt;/year&gt;&lt;/dates&gt;&lt;pub-location&gt;Paris&lt;/pub-location&gt;&lt;urls&gt;&lt;/urls&gt;&lt;/record&gt;&lt;/Cite&gt;&lt;/EndNote&gt;</w:instrText>
      </w:r>
      <w:r>
        <w:rPr>
          <w:lang w:val="fr-FR"/>
        </w:rPr>
        <w:fldChar w:fldCharType="separate"/>
      </w:r>
      <w:r>
        <w:rPr>
          <w:noProof/>
          <w:lang w:val="fr-FR"/>
        </w:rPr>
        <w:t xml:space="preserve">Audoin-Rouzeau and Krumeich, </w:t>
      </w:r>
      <w:r w:rsidRPr="007B7627">
        <w:rPr>
          <w:i/>
          <w:noProof/>
          <w:lang w:val="fr-FR"/>
        </w:rPr>
        <w:t>Les batailles</w:t>
      </w:r>
      <w:r>
        <w:rPr>
          <w:lang w:val="fr-FR"/>
        </w:rPr>
        <w:fldChar w:fldCharType="end"/>
      </w:r>
      <w:r>
        <w:rPr>
          <w:lang w:val="fr-FR"/>
        </w:rPr>
        <w:t>, p. 304.</w:t>
      </w:r>
    </w:p>
  </w:footnote>
  <w:footnote w:id="569">
    <w:p w14:paraId="00C65D16" w14:textId="77777777" w:rsidR="00DE3AC9" w:rsidRPr="003127E2" w:rsidRDefault="00DE3AC9" w:rsidP="0048510E">
      <w:pPr>
        <w:pStyle w:val="FootnoteText"/>
        <w:rPr>
          <w:lang w:val="fr-FR"/>
        </w:rPr>
      </w:pPr>
      <w:r>
        <w:rPr>
          <w:rStyle w:val="FootnoteReference"/>
        </w:rPr>
        <w:footnoteRef/>
      </w:r>
      <w:r w:rsidRPr="003127E2">
        <w:rPr>
          <w:lang w:val="fr-FR"/>
        </w:rPr>
        <w:t xml:space="preserve"> </w:t>
      </w:r>
      <w:r>
        <w:rPr>
          <w:lang w:val="fr-FR"/>
        </w:rPr>
        <w:fldChar w:fldCharType="begin"/>
      </w:r>
      <w:r>
        <w:rPr>
          <w:lang w:val="fr-FR"/>
        </w:rPr>
        <w:instrText xml:space="preserve"> ADDIN EN.CITE &lt;EndNote&gt;&lt;Cite&gt;&lt;Author&gt;Miquel&lt;/Author&gt;&lt;Year&gt;2002&lt;/Year&gt;&lt;RecNum&gt;30&lt;/RecNum&gt;&lt;DisplayText&gt;Pierre Miquel, &lt;style face="italic"&gt;Mourir à Verdun&lt;/style&gt;, (Poitiers, 2002)&lt;/DisplayText&gt;&lt;record&gt;&lt;rec-number&gt;30&lt;/rec-number&gt;&lt;foreign-keys&gt;&lt;key app="EN" db-id="2f5rvwawcsv2woetvw35fzwbdvvswerd0err"&gt;30&lt;/key&gt;&lt;/foreign-keys&gt;&lt;ref-type name="Book"&gt;6&lt;/ref-type&gt;&lt;contributors&gt;&lt;authors&gt;&lt;author&gt;Miquel, Pierre&lt;/author&gt;&lt;/authors&gt;&lt;/contributors&gt;&lt;titles&gt;&lt;title&gt;Mourir à Verdun&lt;/title&gt;&lt;short-title&gt;Mourir&lt;/short-title&gt;&lt;/titles&gt;&lt;dates&gt;&lt;year&gt;2002&lt;/year&gt;&lt;/dates&gt;&lt;pub-location&gt;Poitiers&lt;/pub-location&gt;&lt;publisher&gt;Editions de la Seine&lt;/publisher&gt;&lt;urls&gt;&lt;/urls&gt;&lt;/record&gt;&lt;/Cite&gt;&lt;/EndNote&gt;</w:instrText>
      </w:r>
      <w:r>
        <w:rPr>
          <w:lang w:val="fr-FR"/>
        </w:rPr>
        <w:fldChar w:fldCharType="separate"/>
      </w:r>
      <w:r>
        <w:rPr>
          <w:noProof/>
          <w:lang w:val="fr-FR"/>
        </w:rPr>
        <w:t xml:space="preserve">Pierre Miquel, </w:t>
      </w:r>
      <w:r w:rsidRPr="007B7627">
        <w:rPr>
          <w:i/>
          <w:noProof/>
          <w:lang w:val="fr-FR"/>
        </w:rPr>
        <w:t>Mourir à Verdun</w:t>
      </w:r>
      <w:r>
        <w:rPr>
          <w:noProof/>
          <w:lang w:val="fr-FR"/>
        </w:rPr>
        <w:t>, (Poitiers, 2002)</w:t>
      </w:r>
      <w:r>
        <w:rPr>
          <w:lang w:val="fr-FR"/>
        </w:rPr>
        <w:fldChar w:fldCharType="end"/>
      </w:r>
      <w:r>
        <w:rPr>
          <w:lang w:val="fr-FR"/>
        </w:rPr>
        <w:t>, p. 301.</w:t>
      </w:r>
    </w:p>
  </w:footnote>
  <w:footnote w:id="570">
    <w:p w14:paraId="54EDC9AA" w14:textId="77777777" w:rsidR="00DE3AC9" w:rsidRPr="00A354C2" w:rsidRDefault="00DE3AC9" w:rsidP="0048510E">
      <w:pPr>
        <w:pStyle w:val="FootnoteText"/>
        <w:rPr>
          <w:lang w:val="fr-BE"/>
        </w:rPr>
      </w:pPr>
      <w:r>
        <w:rPr>
          <w:rStyle w:val="FootnoteReference"/>
        </w:rPr>
        <w:footnoteRef/>
      </w:r>
      <w:r w:rsidRPr="00A354C2">
        <w:rPr>
          <w:lang w:val="fr-BE"/>
        </w:rPr>
        <w:t xml:space="preserve"> </w:t>
      </w:r>
      <w:r>
        <w:rPr>
          <w:i/>
          <w:lang w:val="fr-BE"/>
        </w:rPr>
        <w:t>La Gazette des Ardennes</w:t>
      </w:r>
      <w:r>
        <w:rPr>
          <w:lang w:val="fr-BE"/>
        </w:rPr>
        <w:t>, 26 February 1916.</w:t>
      </w:r>
    </w:p>
  </w:footnote>
  <w:footnote w:id="571">
    <w:p w14:paraId="415E7333" w14:textId="77777777" w:rsidR="00DE3AC9" w:rsidRPr="00CC5661" w:rsidRDefault="00DE3AC9">
      <w:pPr>
        <w:pStyle w:val="FootnoteText"/>
        <w:rPr>
          <w:lang w:val="fr-FR"/>
        </w:rPr>
      </w:pPr>
      <w:r>
        <w:rPr>
          <w:rStyle w:val="FootnoteReference"/>
        </w:rPr>
        <w:footnoteRef/>
      </w:r>
      <w:r w:rsidRPr="0098688A">
        <w:rPr>
          <w:lang w:val="fr-BE"/>
        </w:rPr>
        <w:t xml:space="preserve"> </w:t>
      </w:r>
      <w:r>
        <w:rPr>
          <w:i/>
          <w:iCs/>
          <w:lang w:val="fr-FR"/>
        </w:rPr>
        <w:t>L’Ami de l’ordre</w:t>
      </w:r>
      <w:r>
        <w:rPr>
          <w:lang w:val="fr-FR"/>
        </w:rPr>
        <w:t>, 26 February 1916.</w:t>
      </w:r>
    </w:p>
  </w:footnote>
  <w:footnote w:id="572">
    <w:p w14:paraId="5F7634CE" w14:textId="77777777" w:rsidR="00DE3AC9" w:rsidRPr="00240B8F" w:rsidRDefault="00DE3AC9" w:rsidP="0048510E">
      <w:pPr>
        <w:pStyle w:val="FootnoteText"/>
        <w:rPr>
          <w:lang w:val="fr-FR"/>
        </w:rPr>
      </w:pPr>
      <w:r>
        <w:rPr>
          <w:rStyle w:val="FootnoteReference"/>
        </w:rPr>
        <w:footnoteRef/>
      </w:r>
      <w:r w:rsidRPr="00426C83">
        <w:rPr>
          <w:lang w:val="fr-FR"/>
        </w:rPr>
        <w:t xml:space="preserve"> </w:t>
      </w:r>
      <w: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7B7627">
        <w:rPr>
          <w:noProof/>
          <w:lang w:val="fr-FR"/>
        </w:rPr>
        <w:t xml:space="preserve">Laska, </w:t>
      </w:r>
      <w:r w:rsidRPr="007B7627">
        <w:rPr>
          <w:i/>
          <w:noProof/>
          <w:lang w:val="fr-FR"/>
        </w:rPr>
        <w:t>Presse</w:t>
      </w:r>
      <w:r>
        <w:fldChar w:fldCharType="end"/>
      </w:r>
      <w:r w:rsidRPr="00426C83">
        <w:rPr>
          <w:lang w:val="fr-FR"/>
        </w:rPr>
        <w:t>, p. 163.</w:t>
      </w:r>
    </w:p>
  </w:footnote>
  <w:footnote w:id="573">
    <w:p w14:paraId="54D4B566" w14:textId="77777777" w:rsidR="00DE3AC9" w:rsidRPr="00C13C7F" w:rsidRDefault="00DE3AC9" w:rsidP="0048510E">
      <w:pPr>
        <w:pStyle w:val="FootnoteText"/>
        <w:rPr>
          <w:lang w:val="fr-FR"/>
        </w:rPr>
      </w:pPr>
      <w:r>
        <w:rPr>
          <w:rStyle w:val="FootnoteReference"/>
        </w:rPr>
        <w:footnoteRef/>
      </w:r>
      <w:r w:rsidRPr="00C13C7F">
        <w:rPr>
          <w:lang w:val="fr-FR"/>
        </w:rPr>
        <w:t xml:space="preserve"> </w:t>
      </w:r>
      <w:r>
        <w:rPr>
          <w:i/>
          <w:iCs/>
          <w:lang w:val="fr-FR"/>
        </w:rPr>
        <w:t>La Gazette des Ardennes</w:t>
      </w:r>
      <w:r>
        <w:rPr>
          <w:lang w:val="fr-FR"/>
        </w:rPr>
        <w:t>, 3 March 1916.</w:t>
      </w:r>
    </w:p>
  </w:footnote>
  <w:footnote w:id="574">
    <w:p w14:paraId="7F3FFFD7" w14:textId="6B34F7A7" w:rsidR="00DE3AC9" w:rsidRPr="006B3B63" w:rsidRDefault="00DE3AC9" w:rsidP="005C7BEE">
      <w:pPr>
        <w:pStyle w:val="FootnoteText"/>
      </w:pPr>
      <w:r>
        <w:rPr>
          <w:rStyle w:val="FootnoteReference"/>
        </w:rPr>
        <w:footnoteRef/>
      </w:r>
      <w:r w:rsidRPr="006B3B63">
        <w:t xml:space="preserve"> </w:t>
      </w:r>
      <w:r>
        <w:rPr>
          <w:lang w:val="fr-FR"/>
        </w:rP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sidRPr="005C7BEE">
        <w:rPr>
          <w:noProof/>
        </w:rPr>
        <w:t xml:space="preserve">Doughty, </w:t>
      </w:r>
      <w:r w:rsidRPr="005C7BEE">
        <w:rPr>
          <w:i/>
          <w:noProof/>
        </w:rPr>
        <w:t>Pyrrhic victory</w:t>
      </w:r>
      <w:r>
        <w:rPr>
          <w:lang w:val="fr-FR"/>
        </w:rPr>
        <w:fldChar w:fldCharType="end"/>
      </w:r>
      <w:r w:rsidRPr="006B3B63">
        <w:t>, p. 264.</w:t>
      </w:r>
    </w:p>
  </w:footnote>
  <w:footnote w:id="575">
    <w:p w14:paraId="5546C9A0" w14:textId="77777777" w:rsidR="00DE3AC9" w:rsidRPr="00C54460" w:rsidRDefault="00DE3AC9" w:rsidP="0048510E">
      <w:pPr>
        <w:pStyle w:val="FootnoteText"/>
      </w:pPr>
      <w:r>
        <w:rPr>
          <w:rStyle w:val="FootnoteReference"/>
        </w:rPr>
        <w:footnoteRef/>
      </w:r>
      <w:r w:rsidRPr="00C54460">
        <w:t xml:space="preserve"> </w:t>
      </w:r>
      <w:r>
        <w:fldChar w:fldCharType="begin"/>
      </w:r>
      <w:r w:rsidRPr="00C54460">
        <w:instrText xml:space="preserve"> ADDIN EN.CITE &lt;EndNote&gt;&lt;Cite&gt;&lt;Author&gt;Becker&lt;/Author&gt;&lt;Year&gt;2008&lt;/Year&gt;&lt;RecNum&gt;65&lt;/RecNum&gt;&lt;DisplayText&gt;Becker, &lt;style face="italic"&gt;Dictionnaire&lt;/style&gt;&lt;/DisplayText&gt;&lt;record&gt;&lt;rec-number&gt;65&lt;/rec-number&gt;&lt;foreign-keys&gt;&lt;key app="EN" db-id="2f5rvwawcsv2woetvw35fzwbdvvswerd0err"&gt;65&lt;/key&gt;&lt;/foreign-keys&gt;&lt;ref-type name="Book"&gt;6&lt;/ref-type&gt;&lt;contributors&gt;&lt;authors&gt;&lt;author&gt;Becker, Jean-Jacques&lt;/author&gt;&lt;/authors&gt;&lt;/contributors&gt;&lt;titles&gt;&lt;title&gt;Dictionnaire de la Grande Guerre&lt;/title&gt;&lt;short-title&gt;Dictionnaire&lt;/short-title&gt;&lt;/titles&gt;&lt;dates&gt;&lt;year&gt;2008&lt;/year&gt;&lt;/dates&gt;&lt;pub-location&gt;Brussels&lt;/pub-location&gt;&lt;urls&gt;&lt;/urls&gt;&lt;/record&gt;&lt;/Cite&gt;&lt;/EndNote&gt;</w:instrText>
      </w:r>
      <w:r>
        <w:fldChar w:fldCharType="separate"/>
      </w:r>
      <w:r w:rsidRPr="00C54460">
        <w:rPr>
          <w:noProof/>
        </w:rPr>
        <w:t xml:space="preserve">Becker, </w:t>
      </w:r>
      <w:r w:rsidRPr="00C54460">
        <w:rPr>
          <w:i/>
          <w:noProof/>
        </w:rPr>
        <w:t>Dictionnaire</w:t>
      </w:r>
      <w:r>
        <w:fldChar w:fldCharType="end"/>
      </w:r>
      <w:r w:rsidRPr="00C54460">
        <w:t>, p. 229.</w:t>
      </w:r>
    </w:p>
  </w:footnote>
  <w:footnote w:id="576">
    <w:p w14:paraId="17B1D5F8" w14:textId="77777777" w:rsidR="00DE3AC9" w:rsidRPr="00E3358C" w:rsidRDefault="00DE3AC9" w:rsidP="0048510E">
      <w:pPr>
        <w:pStyle w:val="FootnoteText"/>
      </w:pPr>
      <w:r>
        <w:rPr>
          <w:rStyle w:val="FootnoteReference"/>
        </w:rPr>
        <w:footnoteRef/>
      </w:r>
      <w:r w:rsidRPr="00E3358C">
        <w:t xml:space="preserve"> </w:t>
      </w:r>
      <w:r>
        <w:rPr>
          <w:lang w:val="fr-FR"/>
        </w:rPr>
        <w:fldChar w:fldCharType="begin"/>
      </w:r>
      <w:r>
        <w:instrText xml:space="preserve"> ADDIN EN.CITE &lt;EndNote&gt;&lt;Cite&gt;&lt;Author&gt;Chakotin&lt;/Author&gt;&lt;Year&gt;1940&lt;/Year&gt;&lt;RecNum&gt;25&lt;/RecNum&gt;&lt;DisplayText&gt;Chakotin, &lt;style face="italic"&gt;The rape&lt;/style&gt;&lt;/DisplayText&gt;&lt;record&gt;&lt;rec-number&gt;25&lt;/rec-number&gt;&lt;foreign-keys&gt;&lt;key app="EN" db-id="2f5rvwawcsv2woetvw35fzwbdvvswerd0err"&gt;25&lt;/key&gt;&lt;/foreign-keys&gt;&lt;ref-type name="Book"&gt;6&lt;/ref-type&gt;&lt;contributors&gt;&lt;authors&gt;&lt;author&gt;Chakotin, Serge&lt;/author&gt;&lt;/authors&gt;&lt;/contributors&gt;&lt;titles&gt;&lt;title&gt;The rape of the masses: psychology of totalitarian political propaganda&lt;/title&gt;&lt;short-title&gt;The rape&lt;/short-title&gt;&lt;/titles&gt;&lt;dates&gt;&lt;year&gt;1940&lt;/year&gt;&lt;/dates&gt;&lt;pub-location&gt;London&lt;/pub-location&gt;&lt;publisher&gt;The Labour Book Service&lt;/publisher&gt;&lt;urls&gt;&lt;/urls&gt;&lt;/record&gt;&lt;/Cite&gt;&lt;/EndNote&gt;</w:instrText>
      </w:r>
      <w:r>
        <w:rPr>
          <w:lang w:val="fr-FR"/>
        </w:rPr>
        <w:fldChar w:fldCharType="separate"/>
      </w:r>
      <w:r w:rsidRPr="007B7627">
        <w:rPr>
          <w:noProof/>
        </w:rPr>
        <w:t xml:space="preserve">Chakotin, </w:t>
      </w:r>
      <w:r w:rsidRPr="007B7627">
        <w:rPr>
          <w:i/>
          <w:noProof/>
        </w:rPr>
        <w:t>The rape</w:t>
      </w:r>
      <w:r>
        <w:rPr>
          <w:lang w:val="fr-FR"/>
        </w:rPr>
        <w:fldChar w:fldCharType="end"/>
      </w:r>
      <w:r w:rsidRPr="00E3358C">
        <w:t>, p. 31.</w:t>
      </w:r>
    </w:p>
  </w:footnote>
  <w:footnote w:id="577">
    <w:p w14:paraId="1C6A5294" w14:textId="77777777" w:rsidR="00DE3AC9" w:rsidRPr="00AC5770" w:rsidRDefault="00DE3AC9" w:rsidP="0048510E">
      <w:pPr>
        <w:pStyle w:val="FootnoteText"/>
      </w:pPr>
      <w:r>
        <w:rPr>
          <w:rStyle w:val="FootnoteReference"/>
        </w:rPr>
        <w:footnoteRef/>
      </w:r>
      <w:r w:rsidRPr="00AC5770">
        <w:t xml:space="preserve"> See chapter three.</w:t>
      </w:r>
    </w:p>
  </w:footnote>
  <w:footnote w:id="578">
    <w:p w14:paraId="35EEB62F" w14:textId="77777777" w:rsidR="00DE3AC9" w:rsidRPr="003806CD" w:rsidRDefault="00DE3AC9" w:rsidP="0048510E">
      <w:pPr>
        <w:pStyle w:val="FootnoteText"/>
        <w:rPr>
          <w:lang w:val="fr-FR"/>
        </w:rPr>
      </w:pPr>
      <w:r>
        <w:rPr>
          <w:rStyle w:val="FootnoteReference"/>
        </w:rPr>
        <w:footnoteRef/>
      </w:r>
      <w:r w:rsidRPr="003806CD">
        <w:rPr>
          <w:lang w:val="fr-FR"/>
        </w:rPr>
        <w:t xml:space="preserve"> </w:t>
      </w:r>
      <w:r w:rsidRPr="003806CD">
        <w:rPr>
          <w:i/>
          <w:iCs/>
          <w:lang w:val="fr-FR"/>
        </w:rPr>
        <w:t xml:space="preserve">La Voix du Pays, </w:t>
      </w:r>
      <w:r w:rsidRPr="003806CD">
        <w:rPr>
          <w:lang w:val="fr-FR"/>
        </w:rPr>
        <w:t>6 March 1916.</w:t>
      </w:r>
    </w:p>
  </w:footnote>
  <w:footnote w:id="579">
    <w:p w14:paraId="21CFE851" w14:textId="77777777" w:rsidR="00DE3AC9" w:rsidRPr="00A80DE6" w:rsidRDefault="00DE3AC9" w:rsidP="0048510E">
      <w:pPr>
        <w:pStyle w:val="FootnoteText"/>
        <w:rPr>
          <w:lang w:val="fr-FR"/>
        </w:rPr>
      </w:pPr>
      <w:r>
        <w:rPr>
          <w:rStyle w:val="FootnoteReference"/>
        </w:rPr>
        <w:footnoteRef/>
      </w:r>
      <w:r w:rsidRPr="00A80DE6">
        <w:rPr>
          <w:lang w:val="fr-FR"/>
        </w:rPr>
        <w:t xml:space="preserve"> </w:t>
      </w:r>
      <w:r>
        <w:rPr>
          <w:i/>
          <w:iCs/>
          <w:lang w:val="fr-FR"/>
        </w:rPr>
        <w:t>La Gazette des Ardennes</w:t>
      </w:r>
      <w:r>
        <w:rPr>
          <w:lang w:val="fr-FR"/>
        </w:rPr>
        <w:t xml:space="preserve"> (French fake), 1 March 1916.</w:t>
      </w:r>
    </w:p>
  </w:footnote>
  <w:footnote w:id="580">
    <w:p w14:paraId="40102A97" w14:textId="4689F638" w:rsidR="00DE3AC9" w:rsidRPr="00976ED3" w:rsidRDefault="00DE3AC9" w:rsidP="005C7BE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lang w:val="fr-FR"/>
        </w:rPr>
        <w:t xml:space="preserve">Doughty, </w:t>
      </w:r>
      <w:r w:rsidRPr="005C7BEE">
        <w:rPr>
          <w:i/>
          <w:noProof/>
          <w:lang w:val="fr-FR"/>
        </w:rPr>
        <w:t>Pyrrhic victory</w:t>
      </w:r>
      <w:r>
        <w:fldChar w:fldCharType="end"/>
      </w:r>
      <w:r w:rsidRPr="00C54460">
        <w:rPr>
          <w:lang w:val="fr-FR"/>
        </w:rPr>
        <w:t xml:space="preserve">, pp. 250-273 and </w:t>
      </w:r>
      <w:r>
        <w:fldChar w:fldCharType="begin"/>
      </w:r>
      <w:r w:rsidRPr="00C54460">
        <w:rPr>
          <w:lang w:val="fr-FR"/>
        </w:rPr>
        <w:instrText xml:space="preserve"> ADDIN EN.CITE &lt;EndNote&gt;&lt;Cite&gt;&lt;Author&gt;Turbergue&lt;/Author&gt;&lt;Year&gt;2006&lt;/Year&gt;&lt;RecNum&gt;121&lt;/RecNum&gt;&lt;DisplayText&gt;Jean-Pierre Turbergue, &lt;style face="italic"&gt;Les 300 jours de Verdun&lt;/style&gt;, (Paris, 2006)&lt;/DisplayText&gt;&lt;record&gt;&lt;rec-number&gt;121&lt;/rec-number&gt;&lt;foreign-keys&gt;&lt;key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fldChar w:fldCharType="separate"/>
      </w:r>
      <w:r w:rsidRPr="00C54460">
        <w:rPr>
          <w:noProof/>
          <w:lang w:val="fr-FR"/>
        </w:rPr>
        <w:t xml:space="preserve">Jean-Pierre Turbergue, </w:t>
      </w:r>
      <w:r w:rsidRPr="00C54460">
        <w:rPr>
          <w:i/>
          <w:noProof/>
          <w:lang w:val="fr-FR"/>
        </w:rPr>
        <w:t>Les 300 jours de Verdun</w:t>
      </w:r>
      <w:r w:rsidRPr="00C54460">
        <w:rPr>
          <w:noProof/>
          <w:lang w:val="fr-FR"/>
        </w:rPr>
        <w:t>, (Paris, 2006)</w:t>
      </w:r>
      <w:r>
        <w:fldChar w:fldCharType="end"/>
      </w:r>
      <w:r w:rsidRPr="00426C83">
        <w:rPr>
          <w:lang w:val="fr-FR"/>
        </w:rPr>
        <w:t>, p. 82.</w:t>
      </w:r>
    </w:p>
  </w:footnote>
  <w:footnote w:id="581">
    <w:p w14:paraId="473EC16A" w14:textId="77777777" w:rsidR="00DE3AC9" w:rsidRPr="002C0F9C" w:rsidRDefault="00DE3AC9">
      <w:pPr>
        <w:pStyle w:val="FootnoteText"/>
        <w:rPr>
          <w:lang w:val="fr-FR"/>
        </w:rPr>
      </w:pPr>
      <w:r>
        <w:rPr>
          <w:rStyle w:val="FootnoteReference"/>
        </w:rPr>
        <w:footnoteRef/>
      </w:r>
      <w:r>
        <w:t xml:space="preserve"> </w:t>
      </w:r>
      <w:r w:rsidRPr="00CB248F">
        <w:t xml:space="preserve">The German press in French was of course using the capture of Douaumont. </w:t>
      </w:r>
      <w:r w:rsidRPr="002C0F9C">
        <w:rPr>
          <w:i/>
          <w:iCs/>
          <w:lang w:val="fr-FR"/>
        </w:rPr>
        <w:t xml:space="preserve">Le Bruxellois, </w:t>
      </w:r>
      <w:r w:rsidRPr="002C0F9C">
        <w:rPr>
          <w:lang w:val="fr-FR"/>
        </w:rPr>
        <w:t>28 February 1916.</w:t>
      </w:r>
    </w:p>
  </w:footnote>
  <w:footnote w:id="582">
    <w:p w14:paraId="4D8EE230" w14:textId="65C0925C"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C54460">
        <w:rPr>
          <w:noProof/>
          <w:lang w:val="fr-FR"/>
        </w:rPr>
        <w:t xml:space="preserve">Lasswell, </w:t>
      </w:r>
      <w:r w:rsidRPr="00C54460">
        <w:rPr>
          <w:i/>
          <w:noProof/>
          <w:lang w:val="fr-FR"/>
        </w:rPr>
        <w:t>Propaganda</w:t>
      </w:r>
      <w:r>
        <w:fldChar w:fldCharType="end"/>
      </w:r>
      <w:r w:rsidRPr="00C54460">
        <w:rPr>
          <w:lang w:val="fr-FR"/>
        </w:rPr>
        <w:t>, p. 205.</w:t>
      </w:r>
    </w:p>
  </w:footnote>
  <w:footnote w:id="583">
    <w:p w14:paraId="7D882DBD" w14:textId="77777777" w:rsidR="00DE3AC9" w:rsidRPr="00C80925" w:rsidRDefault="00DE3AC9" w:rsidP="0048510E">
      <w:pPr>
        <w:pStyle w:val="FootnoteText"/>
        <w:rPr>
          <w:lang w:val="fr-FR"/>
        </w:rPr>
      </w:pPr>
      <w:r>
        <w:rPr>
          <w:rStyle w:val="FootnoteReference"/>
        </w:rPr>
        <w:footnoteRef/>
      </w:r>
      <w:r w:rsidRPr="00C80925">
        <w:rPr>
          <w:lang w:val="fr-FR"/>
        </w:rPr>
        <w:t xml:space="preserve"> </w:t>
      </w:r>
      <w:r>
        <w:rPr>
          <w:i/>
          <w:iCs/>
          <w:lang w:val="fr-FR"/>
        </w:rPr>
        <w:t xml:space="preserve">La Voix du Pays, </w:t>
      </w:r>
      <w:r>
        <w:rPr>
          <w:lang w:val="fr-FR"/>
        </w:rPr>
        <w:t>6 March 1916.</w:t>
      </w:r>
    </w:p>
  </w:footnote>
  <w:footnote w:id="584">
    <w:p w14:paraId="6C4FB7D9" w14:textId="77777777" w:rsidR="00DE3AC9" w:rsidRPr="00C80925" w:rsidRDefault="00DE3AC9" w:rsidP="0048510E">
      <w:pPr>
        <w:pStyle w:val="FootnoteText"/>
        <w:rPr>
          <w:lang w:val="fr-FR"/>
        </w:rPr>
      </w:pPr>
      <w:r>
        <w:rPr>
          <w:rStyle w:val="FootnoteReference"/>
        </w:rPr>
        <w:footnoteRef/>
      </w:r>
      <w:r w:rsidRPr="00C80925">
        <w:rPr>
          <w:lang w:val="fr-FR"/>
        </w:rPr>
        <w:t xml:space="preserve"> </w:t>
      </w:r>
      <w:r>
        <w:rPr>
          <w:i/>
          <w:iCs/>
          <w:lang w:val="fr-FR"/>
        </w:rPr>
        <w:t>La Gazette des Ardennes</w:t>
      </w:r>
      <w:r>
        <w:rPr>
          <w:lang w:val="fr-FR"/>
        </w:rPr>
        <w:t xml:space="preserve"> (French fake), 1 March 1916.</w:t>
      </w:r>
    </w:p>
  </w:footnote>
  <w:footnote w:id="585">
    <w:p w14:paraId="494CFA57" w14:textId="5715EF7E" w:rsidR="00DE3AC9" w:rsidRPr="00DE3AC9" w:rsidRDefault="00DE3AC9" w:rsidP="005C7BE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sidRPr="00DE3AC9">
        <w:rPr>
          <w:noProof/>
          <w:lang w:val="fr-FR"/>
        </w:rPr>
        <w:t xml:space="preserve">Doughty, </w:t>
      </w:r>
      <w:r w:rsidRPr="00DE3AC9">
        <w:rPr>
          <w:i/>
          <w:noProof/>
          <w:lang w:val="fr-FR"/>
        </w:rPr>
        <w:t>Pyrrhic victory</w:t>
      </w:r>
      <w:r>
        <w:rPr>
          <w:lang w:val="fr-FR"/>
        </w:rPr>
        <w:fldChar w:fldCharType="end"/>
      </w:r>
      <w:r w:rsidRPr="00DE3AC9">
        <w:rPr>
          <w:lang w:val="fr-FR"/>
        </w:rPr>
        <w:t>, p. 273.</w:t>
      </w:r>
    </w:p>
  </w:footnote>
  <w:footnote w:id="586">
    <w:p w14:paraId="292CB4D9" w14:textId="77777777" w:rsidR="00DE3AC9" w:rsidRPr="00DE3AC9" w:rsidRDefault="00DE3AC9">
      <w:pPr>
        <w:pStyle w:val="FootnoteText"/>
        <w:rPr>
          <w:lang w:val="fr-FR"/>
        </w:rPr>
      </w:pPr>
      <w:r>
        <w:rPr>
          <w:rStyle w:val="FootnoteReference"/>
        </w:rPr>
        <w:footnoteRef/>
      </w:r>
      <w:r w:rsidRPr="00DE3AC9">
        <w:rPr>
          <w:lang w:val="fr-FR"/>
        </w:rPr>
        <w:t xml:space="preserve"> </w:t>
      </w:r>
      <w:r w:rsidRPr="00DE3AC9">
        <w:rPr>
          <w:i/>
          <w:iCs/>
          <w:lang w:val="fr-FR"/>
        </w:rPr>
        <w:t xml:space="preserve">L’Ami de l’ordre, </w:t>
      </w:r>
      <w:r w:rsidRPr="00DE3AC9">
        <w:rPr>
          <w:lang w:val="fr-FR"/>
        </w:rPr>
        <w:t>3-4 March 1916.</w:t>
      </w:r>
    </w:p>
  </w:footnote>
  <w:footnote w:id="587">
    <w:p w14:paraId="3322A91F" w14:textId="77777777" w:rsidR="00DE3AC9" w:rsidRPr="00DE3AC9" w:rsidRDefault="00DE3AC9">
      <w:pPr>
        <w:pStyle w:val="FootnoteText"/>
        <w:rPr>
          <w:lang w:val="fr-FR"/>
        </w:rPr>
      </w:pPr>
      <w:r>
        <w:rPr>
          <w:rStyle w:val="FootnoteReference"/>
        </w:rPr>
        <w:footnoteRef/>
      </w:r>
      <w:r w:rsidRPr="00DE3AC9">
        <w:rPr>
          <w:lang w:val="fr-FR"/>
        </w:rPr>
        <w:t xml:space="preserve"> </w:t>
      </w:r>
      <w:r w:rsidRPr="00DE3AC9">
        <w:rPr>
          <w:i/>
          <w:iCs/>
          <w:lang w:val="fr-FR"/>
        </w:rPr>
        <w:t xml:space="preserve">Le Bruxellois, </w:t>
      </w:r>
      <w:r w:rsidRPr="00DE3AC9">
        <w:rPr>
          <w:lang w:val="fr-FR"/>
        </w:rPr>
        <w:t>28 February 1916.</w:t>
      </w:r>
    </w:p>
  </w:footnote>
  <w:footnote w:id="588">
    <w:p w14:paraId="53BEDE41" w14:textId="77777777" w:rsidR="00DE3AC9" w:rsidRPr="00E6467B"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&lt;EndNote&gt;&lt;Cite&gt;&lt;Author&gt;Miquel&lt;/Author&gt;&lt;Year&gt;2002&lt;/Year&gt;&lt;RecNum&gt;30&lt;/RecNum&gt;&lt;DisplayText&gt;Miquel, &lt;style face="italic"&gt;Mourir&lt;/style&gt;&lt;/DisplayText&gt;&lt;record&gt;&lt;rec-number&gt;30&lt;/rec-number&gt;&lt;foreign-keys&gt;&lt;key app="EN" db-id="2f5rvwawcsv2woetvw35fzwbdvvswerd0err"&gt;30&lt;/key&gt;&lt;/foreign-keys&gt;&lt;ref-type name="Book"&gt;6&lt;/ref-type&gt;&lt;contributors&gt;&lt;authors&gt;&lt;author&gt;Miquel, Pierre&lt;/author&gt;&lt;/authors&gt;&lt;/contributors&gt;&lt;titles&gt;&lt;title&gt;Mourir à Verdun&lt;/title&gt;&lt;short-title&gt;Mourir&lt;/short-title&gt;&lt;/titles&gt;&lt;dates&gt;&lt;year&gt;2002&lt;/year&gt;&lt;/dates&gt;&lt;pub-location&gt;Poitiers&lt;/pub-location&gt;&lt;publisher&gt;Editions de la Seine&lt;/publisher&gt;&lt;urls&gt;&lt;/urls&gt;&lt;/record&gt;&lt;/Cite&gt;&lt;/EndNote&gt;</w:instrText>
      </w:r>
      <w:r>
        <w:rPr>
          <w:lang w:val="fr-FR"/>
        </w:rPr>
        <w:fldChar w:fldCharType="separate"/>
      </w:r>
      <w:r w:rsidRPr="00C54460">
        <w:rPr>
          <w:noProof/>
          <w:lang w:val="fr-FR"/>
        </w:rPr>
        <w:t xml:space="preserve">Miquel, </w:t>
      </w:r>
      <w:r w:rsidRPr="00C54460">
        <w:rPr>
          <w:i/>
          <w:noProof/>
          <w:lang w:val="fr-FR"/>
        </w:rPr>
        <w:t>Mourir</w:t>
      </w:r>
      <w:r>
        <w:rPr>
          <w:lang w:val="fr-FR"/>
        </w:rPr>
        <w:fldChar w:fldCharType="end"/>
      </w:r>
      <w:r w:rsidRPr="00C54460">
        <w:rPr>
          <w:lang w:val="fr-FR"/>
        </w:rPr>
        <w:t xml:space="preserve">, pp. 56-57 and </w:t>
      </w:r>
      <w:r>
        <w:rPr>
          <w:lang w:val="fr-FR"/>
        </w:rPr>
        <w:fldChar w:fldCharType="begin"/>
      </w:r>
      <w:r w:rsidRPr="00C54460">
        <w:rPr>
          <w:lang w:val="fr-FR"/>
        </w:rPr>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rPr>
          <w:lang w:val="fr-FR"/>
        </w:rPr>
        <w:fldChar w:fldCharType="separate"/>
      </w:r>
      <w:r w:rsidRPr="00C54460">
        <w:rPr>
          <w:noProof/>
          <w:lang w:val="fr-FR"/>
        </w:rPr>
        <w:t xml:space="preserve">Turbergue, </w:t>
      </w:r>
      <w:r w:rsidRPr="00C54460">
        <w:rPr>
          <w:i/>
          <w:noProof/>
          <w:lang w:val="fr-FR"/>
        </w:rPr>
        <w:t>Les 300 jours</w:t>
      </w:r>
      <w:r>
        <w:rPr>
          <w:lang w:val="fr-FR"/>
        </w:rPr>
        <w:fldChar w:fldCharType="end"/>
      </w:r>
      <w:r w:rsidRPr="00E6467B">
        <w:rPr>
          <w:lang w:val="fr-FR"/>
        </w:rPr>
        <w:t>, pp. 58-69.</w:t>
      </w:r>
    </w:p>
  </w:footnote>
  <w:footnote w:id="589">
    <w:p w14:paraId="5C615534" w14:textId="77777777" w:rsidR="00DE3AC9" w:rsidRPr="0082217B" w:rsidRDefault="00DE3AC9" w:rsidP="0048510E">
      <w:pPr>
        <w:pStyle w:val="FootnoteText"/>
        <w:rPr>
          <w:lang w:val="fr-FR"/>
        </w:rPr>
      </w:pPr>
      <w:r>
        <w:rPr>
          <w:rStyle w:val="FootnoteReference"/>
        </w:rPr>
        <w:footnoteRef/>
      </w:r>
      <w:r w:rsidRPr="0082217B">
        <w:rPr>
          <w:lang w:val="fr-FR"/>
        </w:rPr>
        <w:t xml:space="preserve"> </w:t>
      </w:r>
      <w:r>
        <w:rPr>
          <w:i/>
          <w:iCs/>
          <w:lang w:val="fr-FR"/>
        </w:rPr>
        <w:t>La Gazette des Ardennes</w:t>
      </w:r>
      <w:r>
        <w:rPr>
          <w:lang w:val="fr-FR"/>
        </w:rPr>
        <w:t xml:space="preserve"> (French fake), 1 March 1916.</w:t>
      </w:r>
    </w:p>
  </w:footnote>
  <w:footnote w:id="590">
    <w:p w14:paraId="1D0E93D2" w14:textId="77777777" w:rsidR="00DE3AC9" w:rsidRPr="00426C83" w:rsidRDefault="00DE3AC9" w:rsidP="0048510E">
      <w:pPr>
        <w:pStyle w:val="FootnoteText"/>
      </w:pPr>
      <w:r>
        <w:rPr>
          <w:rStyle w:val="FootnoteReference"/>
        </w:rPr>
        <w:footnoteRef/>
      </w:r>
      <w:r w:rsidRPr="00426C83">
        <w:t xml:space="preserve"> </w:t>
      </w:r>
      <w:r>
        <w:rPr>
          <w:lang w:val="fr-FR"/>
        </w:rPr>
        <w:fldChar w:fldCharType="begin"/>
      </w:r>
      <w:r>
        <w:instrText xml:space="preserve"> ADDIN EN.CITE &lt;EndNote&gt;&lt;Cite&gt;&lt;Author&gt;A&lt;/Author&gt;&lt;Year&gt;1920&lt;/Year&gt;&lt;RecNum&gt;122&lt;/RecNum&gt;&lt;DisplayText&gt;N. A, &lt;style face="italic"&gt;Histories of the 25th division of the German army which participated in the war (1914-1918)&lt;/style&gt;, (Ithacan, 1920)&lt;/DisplayText&gt;&lt;record&gt;&lt;rec-number&gt;122&lt;/rec-number&gt;&lt;foreign-keys&gt;&lt;key app="EN" db-id="2f5rvwawcsv2woetvw35fzwbdvvswerd0err"&gt;122&lt;/key&gt;&lt;/foreign-keys&gt;&lt;ref-type name="Book"&gt;6&lt;/ref-type&gt;&lt;contributors&gt;&lt;authors&gt;&lt;author&gt;N. A&lt;/author&gt;&lt;/authors&gt;&lt;/contributors&gt;&lt;titles&gt;&lt;title&gt;Histories of the 25th division of the German army which participated in the war (1914-1918)&lt;/title&gt;&lt;short-title&gt;Histories of the 25th&lt;/short-title&gt;&lt;/titles&gt;&lt;dates&gt;&lt;year&gt;1920&lt;/year&gt;&lt;/dates&gt;&lt;pub-location&gt;Ithacan&lt;/pub-location&gt;&lt;urls&gt;&lt;/urls&gt;&lt;/record&gt;&lt;/Cite&gt;&lt;/EndNote&gt;</w:instrText>
      </w:r>
      <w:r>
        <w:rPr>
          <w:lang w:val="fr-FR"/>
        </w:rPr>
        <w:fldChar w:fldCharType="separate"/>
      </w:r>
      <w:r w:rsidRPr="007B7627">
        <w:rPr>
          <w:noProof/>
        </w:rPr>
        <w:t xml:space="preserve">N. A, </w:t>
      </w:r>
      <w:r w:rsidRPr="007B7627">
        <w:rPr>
          <w:i/>
          <w:noProof/>
        </w:rPr>
        <w:t>Histories of the 25th division of the German army which participated in the war (1914-1918)</w:t>
      </w:r>
      <w:r w:rsidRPr="007B7627">
        <w:rPr>
          <w:noProof/>
        </w:rPr>
        <w:t>, (Ithacan, 1920)</w:t>
      </w:r>
      <w:r>
        <w:rPr>
          <w:lang w:val="fr-FR"/>
        </w:rPr>
        <w:fldChar w:fldCharType="end"/>
      </w:r>
      <w:r w:rsidRPr="00426C83">
        <w:t xml:space="preserve">, p. 315 and </w:t>
      </w:r>
      <w:r w:rsidRPr="00426C83">
        <w:rPr>
          <w:i/>
          <w:iCs/>
        </w:rPr>
        <w:t>La Voix du Pays</w:t>
      </w:r>
      <w:r w:rsidRPr="00426C83">
        <w:t>, 21 March 1916.</w:t>
      </w:r>
    </w:p>
  </w:footnote>
  <w:footnote w:id="591">
    <w:p w14:paraId="5349904B" w14:textId="77777777" w:rsidR="00DE3AC9" w:rsidRPr="00BB58BD" w:rsidRDefault="00DE3AC9" w:rsidP="0048510E">
      <w:pPr>
        <w:pStyle w:val="FootnoteText"/>
        <w:rPr>
          <w:lang w:val="fr-FR"/>
        </w:rPr>
      </w:pPr>
      <w:r>
        <w:rPr>
          <w:rStyle w:val="FootnoteReference"/>
        </w:rPr>
        <w:footnoteRef/>
      </w:r>
      <w:r w:rsidRPr="00BB58BD">
        <w:rPr>
          <w:lang w:val="fr-FR"/>
        </w:rPr>
        <w:t xml:space="preserve"> </w:t>
      </w:r>
      <w:r>
        <w:rPr>
          <w:i/>
          <w:iCs/>
          <w:lang w:val="fr-FR"/>
        </w:rPr>
        <w:t>La Voix du Pays</w:t>
      </w:r>
      <w:r>
        <w:rPr>
          <w:lang w:val="fr-FR"/>
        </w:rPr>
        <w:t>, 6 March 1916.</w:t>
      </w:r>
    </w:p>
  </w:footnote>
  <w:footnote w:id="592">
    <w:p w14:paraId="48315F24" w14:textId="10C91035" w:rsidR="00DE3AC9" w:rsidRPr="006B3B63" w:rsidRDefault="00DE3AC9" w:rsidP="005C7BEE">
      <w:pPr>
        <w:pStyle w:val="FootnoteText"/>
      </w:pPr>
      <w:r>
        <w:rPr>
          <w:rStyle w:val="FootnoteReference"/>
        </w:rPr>
        <w:footnoteRef/>
      </w:r>
      <w:r>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Pr>
          <w:noProof/>
        </w:rPr>
        <w:t xml:space="preserve">Doughty, </w:t>
      </w:r>
      <w:r w:rsidRPr="005C7BEE">
        <w:rPr>
          <w:i/>
          <w:noProof/>
        </w:rPr>
        <w:t>Pyrrhic victory</w:t>
      </w:r>
      <w:r>
        <w:fldChar w:fldCharType="end"/>
      </w:r>
      <w:r>
        <w:t>, p. 271.</w:t>
      </w:r>
    </w:p>
  </w:footnote>
  <w:footnote w:id="593">
    <w:p w14:paraId="291BD660" w14:textId="78D2F7AC" w:rsidR="00DE3AC9" w:rsidRPr="00374CF4" w:rsidRDefault="00DE3AC9" w:rsidP="0048510E">
      <w:pPr>
        <w:pStyle w:val="FootnoteText"/>
      </w:pPr>
      <w:r>
        <w:rPr>
          <w:rStyle w:val="FootnoteReference"/>
        </w:rPr>
        <w:footnoteRef/>
      </w:r>
      <w:r w:rsidRPr="00374CF4">
        <w:t xml:space="preserve"> </w:t>
      </w:r>
      <w:r>
        <w:fldChar w:fldCharType="begin"/>
      </w:r>
      <w:r>
        <w:instrText xml:space="preserve"> ADDIN EN.CITE &lt;EndNote&gt;&lt;Cite&gt;&lt;Author&gt;Doughty&lt;/Author&gt;&lt;Year&gt;2005&lt;/Year&gt;&lt;RecNum&gt;31&lt;/RecNum&gt;&lt;DisplayText&gt;Ibid.&lt;/DisplayText&gt;&lt;record&gt;&lt;rec-number&gt;31&lt;/rec-number&gt;&lt;foreign-keys&gt;&lt;key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374CF4">
        <w:rPr>
          <w:noProof/>
        </w:rPr>
        <w:t>Ibid.</w:t>
      </w:r>
      <w:r>
        <w:fldChar w:fldCharType="end"/>
      </w:r>
      <w:r w:rsidRPr="00374CF4">
        <w:t xml:space="preserve">, p. 276 and </w:t>
      </w:r>
      <w:r>
        <w:fldChar w:fldCharType="begin"/>
      </w:r>
      <w:r w:rsidRPr="00374CF4">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fldChar w:fldCharType="separate"/>
      </w:r>
      <w:r w:rsidRPr="00374CF4">
        <w:rPr>
          <w:noProof/>
        </w:rPr>
        <w:t xml:space="preserve">Turbergue, </w:t>
      </w:r>
      <w:r w:rsidRPr="00374CF4">
        <w:rPr>
          <w:i/>
          <w:noProof/>
        </w:rPr>
        <w:t>Les 300 jours</w:t>
      </w:r>
      <w:r>
        <w:fldChar w:fldCharType="end"/>
      </w:r>
      <w:r w:rsidRPr="00374CF4">
        <w:t>, p. 120.</w:t>
      </w:r>
    </w:p>
  </w:footnote>
  <w:footnote w:id="594">
    <w:p w14:paraId="2BFBE2BD" w14:textId="77777777" w:rsidR="00DE3AC9" w:rsidRPr="004F0A24" w:rsidRDefault="00DE3AC9" w:rsidP="0048510E">
      <w:pPr>
        <w:pStyle w:val="FootnoteText"/>
        <w:rPr>
          <w:lang w:val="de-DE"/>
        </w:rPr>
      </w:pPr>
      <w:r>
        <w:rPr>
          <w:rStyle w:val="FootnoteReference"/>
        </w:rPr>
        <w:footnoteRef/>
      </w:r>
      <w:r w:rsidRPr="004F0A24">
        <w:rPr>
          <w:lang w:val="de-DE"/>
        </w:rPr>
        <w:t xml:space="preserve"> </w:t>
      </w:r>
      <w:r w:rsidRPr="004F0A24">
        <w:rPr>
          <w:i/>
          <w:iCs/>
          <w:lang w:val="de-DE"/>
        </w:rPr>
        <w:t>Gazette des Ardennes</w:t>
      </w:r>
      <w:r w:rsidRPr="004F0A24">
        <w:rPr>
          <w:lang w:val="de-DE"/>
        </w:rPr>
        <w:t xml:space="preserve"> (French fake), 19 March 1916.</w:t>
      </w:r>
    </w:p>
  </w:footnote>
  <w:footnote w:id="595">
    <w:p w14:paraId="79363989" w14:textId="54702AB8" w:rsidR="00DE3AC9" w:rsidRPr="004F0A24" w:rsidRDefault="00DE3AC9" w:rsidP="0048510E">
      <w:pPr>
        <w:pStyle w:val="FootnoteText"/>
        <w:rPr>
          <w:lang w:val="de-DE"/>
        </w:rPr>
      </w:pPr>
      <w:r>
        <w:rPr>
          <w:rStyle w:val="FootnoteReference"/>
        </w:rPr>
        <w:footnoteRef/>
      </w:r>
      <w:r w:rsidRPr="004F0A24">
        <w:rPr>
          <w:lang w:val="de-DE"/>
        </w:rPr>
        <w:t xml:space="preserve"> </w:t>
      </w:r>
      <w:r>
        <w:rPr>
          <w:lang w:val="fr-FR"/>
        </w:rPr>
        <w:fldChar w:fldCharType="begin"/>
      </w:r>
      <w:r>
        <w:rPr>
          <w:lang w:val="de-DE"/>
        </w:rP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4F0A24">
        <w:rPr>
          <w:noProof/>
          <w:lang w:val="de-DE"/>
        </w:rPr>
        <w:t xml:space="preserve">Lasswell, </w:t>
      </w:r>
      <w:r w:rsidRPr="004F0A24">
        <w:rPr>
          <w:i/>
          <w:noProof/>
          <w:lang w:val="de-DE"/>
        </w:rPr>
        <w:t>Propaganda</w:t>
      </w:r>
      <w:r>
        <w:rPr>
          <w:lang w:val="fr-FR"/>
        </w:rPr>
        <w:fldChar w:fldCharType="end"/>
      </w:r>
      <w:r w:rsidRPr="004F0A24">
        <w:rPr>
          <w:lang w:val="de-DE"/>
        </w:rPr>
        <w:t>, p. 204.</w:t>
      </w:r>
    </w:p>
  </w:footnote>
  <w:footnote w:id="596">
    <w:p w14:paraId="304A248C"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La Voix du Pays</w:t>
      </w:r>
      <w:r w:rsidRPr="00DE3AC9">
        <w:rPr>
          <w:lang w:val="fr-FR"/>
        </w:rPr>
        <w:t>, 21 March, 5 and 18 April 1916.</w:t>
      </w:r>
    </w:p>
  </w:footnote>
  <w:footnote w:id="597">
    <w:p w14:paraId="2768D85E" w14:textId="77777777" w:rsidR="00DE3AC9" w:rsidRPr="00E431DD" w:rsidRDefault="00DE3AC9" w:rsidP="0048510E">
      <w:pPr>
        <w:pStyle w:val="FootnoteText"/>
      </w:pPr>
      <w:r>
        <w:rPr>
          <w:rStyle w:val="FootnoteReference"/>
        </w:rPr>
        <w:footnoteRef/>
      </w:r>
      <w:r w:rsidRPr="00E431DD">
        <w:t xml:space="preserve"> </w:t>
      </w:r>
      <w:r w:rsidRPr="00E431DD">
        <w:rPr>
          <w:i/>
          <w:iCs/>
        </w:rPr>
        <w:t>Gazette des Ardennes</w:t>
      </w:r>
      <w:r w:rsidRPr="00E431DD">
        <w:t xml:space="preserve">, 12 and 19 March 1916. See also: </w:t>
      </w:r>
      <w:r>
        <w:fldChar w:fldCharType="begin"/>
      </w:r>
      <w: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Pr>
          <w:noProof/>
        </w:rPr>
        <w:t xml:space="preserve">Laska, </w:t>
      </w:r>
      <w:r w:rsidRPr="007B7627">
        <w:rPr>
          <w:i/>
          <w:noProof/>
        </w:rPr>
        <w:t>Presse</w:t>
      </w:r>
      <w:r>
        <w:fldChar w:fldCharType="end"/>
      </w:r>
      <w:r>
        <w:t>, p. 164.</w:t>
      </w:r>
    </w:p>
  </w:footnote>
  <w:footnote w:id="598">
    <w:p w14:paraId="7C4148E4" w14:textId="77777777" w:rsidR="00DE3AC9" w:rsidRPr="004D179F" w:rsidRDefault="00DE3AC9" w:rsidP="0048510E">
      <w:pPr>
        <w:pStyle w:val="FootnoteText"/>
        <w:rPr>
          <w:lang w:val="fr-FR"/>
        </w:rPr>
      </w:pPr>
      <w:r>
        <w:rPr>
          <w:rStyle w:val="FootnoteReference"/>
        </w:rPr>
        <w:footnoteRef/>
      </w:r>
      <w:r w:rsidRPr="004D179F">
        <w:rPr>
          <w:lang w:val="fr-FR"/>
        </w:rPr>
        <w:t xml:space="preserve"> </w:t>
      </w:r>
      <w:r>
        <w:rPr>
          <w:i/>
          <w:iCs/>
          <w:lang w:val="fr-FR"/>
        </w:rPr>
        <w:t>La Voix du Pays</w:t>
      </w:r>
      <w:r>
        <w:rPr>
          <w:lang w:val="fr-FR"/>
        </w:rPr>
        <w:t>, 21 March 1916.</w:t>
      </w:r>
    </w:p>
  </w:footnote>
  <w:footnote w:id="599">
    <w:p w14:paraId="6F963C40" w14:textId="0D4DAC07" w:rsidR="00DE3AC9" w:rsidRPr="005C7BEE" w:rsidRDefault="00DE3AC9" w:rsidP="005C7BEE">
      <w:pPr>
        <w:pStyle w:val="FootnoteText"/>
      </w:pPr>
      <w:r>
        <w:rPr>
          <w:rStyle w:val="FootnoteReference"/>
        </w:rPr>
        <w:footnoteRef/>
      </w:r>
      <w:r w:rsidRPr="005C7BEE">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rPr>
        <w:t xml:space="preserve">Doughty, </w:t>
      </w:r>
      <w:r w:rsidRPr="005C7BEE">
        <w:rPr>
          <w:i/>
          <w:noProof/>
        </w:rPr>
        <w:t>Pyrrhic victory</w:t>
      </w:r>
      <w:r>
        <w:fldChar w:fldCharType="end"/>
      </w:r>
      <w:r w:rsidRPr="005C7BEE">
        <w:t xml:space="preserve">, p. 283 and </w:t>
      </w:r>
      <w:r>
        <w:rPr>
          <w:lang w:val="fr-FR"/>
        </w:rPr>
        <w:fldChar w:fldCharType="begin"/>
      </w:r>
      <w:r w:rsidRPr="005C7BEE">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rPr>
          <w:lang w:val="fr-FR"/>
        </w:rPr>
        <w:fldChar w:fldCharType="separate"/>
      </w:r>
      <w:r w:rsidRPr="005C7BEE">
        <w:rPr>
          <w:noProof/>
        </w:rPr>
        <w:t xml:space="preserve">Turbergue, </w:t>
      </w:r>
      <w:r w:rsidRPr="005C7BEE">
        <w:rPr>
          <w:i/>
          <w:noProof/>
        </w:rPr>
        <w:t>Les 300 jours</w:t>
      </w:r>
      <w:r>
        <w:rPr>
          <w:lang w:val="fr-FR"/>
        </w:rPr>
        <w:fldChar w:fldCharType="end"/>
      </w:r>
      <w:r w:rsidRPr="005C7BEE">
        <w:t>, p. 204.</w:t>
      </w:r>
    </w:p>
  </w:footnote>
  <w:footnote w:id="600">
    <w:p w14:paraId="719252F7" w14:textId="77777777" w:rsidR="00DE3AC9" w:rsidRPr="000A766B" w:rsidRDefault="00DE3AC9" w:rsidP="0048510E">
      <w:pPr>
        <w:pStyle w:val="FootnoteText"/>
        <w:rPr>
          <w:lang w:val="fr-FR"/>
        </w:rPr>
      </w:pPr>
      <w:r>
        <w:rPr>
          <w:rStyle w:val="FootnoteReference"/>
        </w:rPr>
        <w:footnoteRef/>
      </w:r>
      <w:r w:rsidRPr="000A766B">
        <w:rPr>
          <w:lang w:val="fr-FR"/>
        </w:rPr>
        <w:t xml:space="preserve"> </w:t>
      </w:r>
      <w:r>
        <w:rPr>
          <w:i/>
          <w:iCs/>
          <w:lang w:val="fr-FR"/>
        </w:rPr>
        <w:t>La Voix du Pays</w:t>
      </w:r>
      <w:r>
        <w:rPr>
          <w:lang w:val="fr-FR"/>
        </w:rPr>
        <w:t>, 18 April 1916.</w:t>
      </w:r>
    </w:p>
  </w:footnote>
  <w:footnote w:id="601">
    <w:p w14:paraId="1585C758"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C54460">
        <w:rPr>
          <w:noProof/>
          <w:lang w:val="fr-FR"/>
        </w:rPr>
        <w:t xml:space="preserve">Laska, </w:t>
      </w:r>
      <w:r w:rsidRPr="00C54460">
        <w:rPr>
          <w:i/>
          <w:noProof/>
          <w:lang w:val="fr-FR"/>
        </w:rPr>
        <w:t>Presse</w:t>
      </w:r>
      <w:r>
        <w:fldChar w:fldCharType="end"/>
      </w:r>
      <w:r w:rsidRPr="00C54460">
        <w:rPr>
          <w:lang w:val="fr-FR"/>
        </w:rPr>
        <w:t>, p. 164.</w:t>
      </w:r>
    </w:p>
  </w:footnote>
  <w:footnote w:id="602">
    <w:p w14:paraId="483D26F4" w14:textId="77777777" w:rsidR="00DE3AC9" w:rsidRPr="00E01F4A" w:rsidRDefault="00DE3AC9" w:rsidP="0048510E">
      <w:pPr>
        <w:pStyle w:val="FootnoteText"/>
        <w:rPr>
          <w:lang w:val="fr-FR"/>
        </w:rPr>
      </w:pPr>
      <w:r>
        <w:rPr>
          <w:rStyle w:val="FootnoteReference"/>
        </w:rPr>
        <w:footnoteRef/>
      </w:r>
      <w:r w:rsidRPr="00E01F4A">
        <w:rPr>
          <w:lang w:val="fr-FR"/>
        </w:rPr>
        <w:t xml:space="preserve"> </w:t>
      </w:r>
      <w:r w:rsidRPr="00E01F4A">
        <w:rPr>
          <w:i/>
          <w:iCs/>
          <w:lang w:val="fr-FR"/>
        </w:rPr>
        <w:t>La Voix du Pays</w:t>
      </w:r>
      <w:r w:rsidRPr="00E01F4A">
        <w:rPr>
          <w:lang w:val="fr-FR"/>
        </w:rPr>
        <w:t>, 17 May 1916.</w:t>
      </w:r>
    </w:p>
  </w:footnote>
  <w:footnote w:id="603">
    <w:p w14:paraId="6D0C2A04" w14:textId="435A8FFE" w:rsidR="00DE3AC9" w:rsidRPr="004F0A24" w:rsidRDefault="00DE3AC9" w:rsidP="005C7BEE">
      <w:pPr>
        <w:pStyle w:val="FootnoteText"/>
        <w:rPr>
          <w:lang w:val="fr-FR"/>
        </w:rPr>
      </w:pPr>
      <w:r>
        <w:rPr>
          <w:rStyle w:val="FootnoteReference"/>
        </w:rPr>
        <w:footnoteRef/>
      </w:r>
      <w:r w:rsidRPr="004F0A24">
        <w:rPr>
          <w:lang w:val="fr-FR"/>
        </w:rPr>
        <w:t xml:space="preserve"> </w:t>
      </w:r>
      <w: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4F0A24">
        <w:rPr>
          <w:noProof/>
          <w:lang w:val="fr-FR"/>
        </w:rPr>
        <w:t xml:space="preserve">Doughty, </w:t>
      </w:r>
      <w:r w:rsidRPr="004F0A24">
        <w:rPr>
          <w:i/>
          <w:noProof/>
          <w:lang w:val="fr-FR"/>
        </w:rPr>
        <w:t>Pyrrhic victory</w:t>
      </w:r>
      <w:r>
        <w:fldChar w:fldCharType="end"/>
      </w:r>
      <w:r w:rsidRPr="004F0A24">
        <w:rPr>
          <w:lang w:val="fr-FR"/>
        </w:rPr>
        <w:t xml:space="preserve">, p. 283 and </w:t>
      </w:r>
      <w:r>
        <w:rPr>
          <w:lang w:val="fr-FR"/>
        </w:rPr>
        <w:fldChar w:fldCharType="begin"/>
      </w:r>
      <w:r w:rsidRPr="004F0A24">
        <w:rPr>
          <w:lang w:val="fr-FR"/>
        </w:rPr>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rPr>
          <w:lang w:val="fr-FR"/>
        </w:rPr>
        <w:fldChar w:fldCharType="separate"/>
      </w:r>
      <w:r w:rsidRPr="004F0A24">
        <w:rPr>
          <w:noProof/>
          <w:lang w:val="fr-FR"/>
        </w:rPr>
        <w:t xml:space="preserve">Turbergue, </w:t>
      </w:r>
      <w:r w:rsidRPr="004F0A24">
        <w:rPr>
          <w:i/>
          <w:noProof/>
          <w:lang w:val="fr-FR"/>
        </w:rPr>
        <w:t>Les 300 jours</w:t>
      </w:r>
      <w:r>
        <w:rPr>
          <w:lang w:val="fr-FR"/>
        </w:rPr>
        <w:fldChar w:fldCharType="end"/>
      </w:r>
      <w:r w:rsidRPr="004F0A24">
        <w:rPr>
          <w:lang w:val="fr-FR"/>
        </w:rPr>
        <w:t>, pp. 251-265.</w:t>
      </w:r>
    </w:p>
  </w:footnote>
  <w:footnote w:id="604">
    <w:p w14:paraId="06B4D152" w14:textId="77777777" w:rsidR="00DE3AC9" w:rsidRPr="00527732" w:rsidRDefault="00DE3AC9" w:rsidP="0048510E">
      <w:pPr>
        <w:pStyle w:val="FootnoteText"/>
        <w:rPr>
          <w:lang w:val="fr-FR"/>
        </w:rPr>
      </w:pPr>
      <w:r>
        <w:rPr>
          <w:rStyle w:val="FootnoteReference"/>
        </w:rPr>
        <w:footnoteRef/>
      </w:r>
      <w:r w:rsidRPr="00527732">
        <w:rPr>
          <w:lang w:val="fr-FR"/>
        </w:rPr>
        <w:t xml:space="preserve"> </w:t>
      </w:r>
      <w:r>
        <w:rPr>
          <w:i/>
          <w:iCs/>
          <w:lang w:val="fr-FR"/>
        </w:rPr>
        <w:t>Le Clairon du Roi</w:t>
      </w:r>
      <w:r>
        <w:rPr>
          <w:lang w:val="fr-FR"/>
        </w:rPr>
        <w:t>, n. 1, May 1916.</w:t>
      </w:r>
    </w:p>
  </w:footnote>
  <w:footnote w:id="605">
    <w:p w14:paraId="61CEDFA0" w14:textId="77777777" w:rsidR="00DE3AC9" w:rsidRPr="005D549A" w:rsidRDefault="00DE3AC9" w:rsidP="0048510E">
      <w:pPr>
        <w:pStyle w:val="FootnoteText"/>
        <w:rPr>
          <w:lang w:val="fr-FR"/>
        </w:rPr>
      </w:pPr>
      <w:r>
        <w:rPr>
          <w:rStyle w:val="FootnoteReference"/>
        </w:rPr>
        <w:footnoteRef/>
      </w:r>
      <w:r w:rsidRPr="005D549A">
        <w:rPr>
          <w:lang w:val="fr-FR"/>
        </w:rPr>
        <w:t xml:space="preserve"> </w:t>
      </w:r>
      <w:r>
        <w:rPr>
          <w:i/>
          <w:iCs/>
          <w:lang w:val="fr-FR"/>
        </w:rPr>
        <w:t>Le Clairon du Roi</w:t>
      </w:r>
      <w:r>
        <w:rPr>
          <w:lang w:val="fr-FR"/>
        </w:rPr>
        <w:t>, n. 2, May 1916.</w:t>
      </w:r>
    </w:p>
  </w:footnote>
  <w:footnote w:id="606">
    <w:p w14:paraId="5865D6BD"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DE3AC9">
        <w:rPr>
          <w:noProof/>
          <w:lang w:val="fr-FR"/>
        </w:rPr>
        <w:t xml:space="preserve">Laska, </w:t>
      </w:r>
      <w:r w:rsidRPr="00DE3AC9">
        <w:rPr>
          <w:i/>
          <w:noProof/>
          <w:lang w:val="fr-FR"/>
        </w:rPr>
        <w:t>Presse</w:t>
      </w:r>
      <w:r>
        <w:fldChar w:fldCharType="end"/>
      </w:r>
      <w:r w:rsidRPr="00DE3AC9">
        <w:rPr>
          <w:lang w:val="fr-FR"/>
        </w:rPr>
        <w:t>, p. 164.</w:t>
      </w:r>
    </w:p>
  </w:footnote>
  <w:footnote w:id="607">
    <w:p w14:paraId="55EBF3CA" w14:textId="5B279E91"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sidRPr="00DE3AC9">
        <w:rPr>
          <w:noProof/>
          <w:lang w:val="fr-FR"/>
        </w:rPr>
        <w:t xml:space="preserve">Cull, Culbert, and Welch, </w:t>
      </w:r>
      <w:r w:rsidRPr="00DE3AC9">
        <w:rPr>
          <w:i/>
          <w:noProof/>
          <w:lang w:val="fr-FR"/>
        </w:rPr>
        <w:t>Propaganda</w:t>
      </w:r>
      <w:r>
        <w:fldChar w:fldCharType="end"/>
      </w:r>
      <w:r w:rsidRPr="00DE3AC9">
        <w:rPr>
          <w:lang w:val="fr-FR"/>
        </w:rPr>
        <w:t>, p. xviii.</w:t>
      </w:r>
    </w:p>
  </w:footnote>
  <w:footnote w:id="608">
    <w:p w14:paraId="57F47222" w14:textId="7DEA2D9D"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sidRPr="00DE3AC9">
        <w:rPr>
          <w:noProof/>
          <w:lang w:val="fr-FR"/>
        </w:rPr>
        <w:t xml:space="preserve">Lasswell, </w:t>
      </w:r>
      <w:r w:rsidRPr="00DE3AC9">
        <w:rPr>
          <w:i/>
          <w:noProof/>
          <w:lang w:val="fr-FR"/>
        </w:rPr>
        <w:t>Propaganda</w:t>
      </w:r>
      <w:r>
        <w:fldChar w:fldCharType="end"/>
      </w:r>
      <w:r w:rsidRPr="00DE3AC9">
        <w:rPr>
          <w:lang w:val="fr-FR"/>
        </w:rPr>
        <w:t>, p. 208.</w:t>
      </w:r>
    </w:p>
  </w:footnote>
  <w:footnote w:id="609">
    <w:p w14:paraId="57CB75D1" w14:textId="77777777" w:rsidR="00DE3AC9" w:rsidRPr="00DE3AC9" w:rsidRDefault="00DE3AC9" w:rsidP="0048510E">
      <w:pPr>
        <w:pStyle w:val="FootnoteText"/>
        <w:rPr>
          <w:lang w:val="fr-FR"/>
        </w:rPr>
      </w:pPr>
      <w:r>
        <w:rPr>
          <w:rStyle w:val="FootnoteReference"/>
        </w:rPr>
        <w:footnoteRef/>
      </w:r>
      <w:r w:rsidRPr="00DE3AC9">
        <w:rPr>
          <w:lang w:val="fr-FR"/>
        </w:rPr>
        <w:t xml:space="preserve"> See chapter three.</w:t>
      </w:r>
    </w:p>
  </w:footnote>
  <w:footnote w:id="610">
    <w:p w14:paraId="3373A93F" w14:textId="77777777" w:rsidR="00DE3AC9" w:rsidRPr="00F9699E" w:rsidRDefault="00DE3AC9" w:rsidP="0048510E">
      <w:pPr>
        <w:pStyle w:val="FootnoteText"/>
        <w:rPr>
          <w:lang w:val="fr-FR"/>
        </w:rPr>
      </w:pPr>
      <w:r>
        <w:rPr>
          <w:rStyle w:val="FootnoteReference"/>
        </w:rPr>
        <w:footnoteRef/>
      </w:r>
      <w:r w:rsidRPr="00F9699E">
        <w:rPr>
          <w:lang w:val="fr-FR"/>
        </w:rPr>
        <w:t xml:space="preserve"> </w:t>
      </w:r>
      <w:r>
        <w:rPr>
          <w:i/>
          <w:iCs/>
          <w:lang w:val="fr-FR"/>
        </w:rPr>
        <w:t>La Voix du Pays</w:t>
      </w:r>
      <w:r>
        <w:rPr>
          <w:lang w:val="fr-FR"/>
        </w:rPr>
        <w:t>, 31 May 1916.</w:t>
      </w:r>
    </w:p>
  </w:footnote>
  <w:footnote w:id="611">
    <w:p w14:paraId="773092F3" w14:textId="2C6321F0" w:rsidR="00DE3AC9" w:rsidRPr="005C7BEE" w:rsidRDefault="00DE3AC9" w:rsidP="005C7BEE">
      <w:pPr>
        <w:pStyle w:val="FootnoteText"/>
      </w:pPr>
      <w:r>
        <w:rPr>
          <w:rStyle w:val="FootnoteReference"/>
        </w:rPr>
        <w:footnoteRef/>
      </w:r>
      <w:r w:rsidRPr="005C7BEE">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rPr>
        <w:t xml:space="preserve">Doughty, </w:t>
      </w:r>
      <w:r w:rsidRPr="005C7BEE">
        <w:rPr>
          <w:i/>
          <w:noProof/>
        </w:rPr>
        <w:t>Pyrrhic victory</w:t>
      </w:r>
      <w:r>
        <w:fldChar w:fldCharType="end"/>
      </w:r>
      <w:r w:rsidRPr="005C7BEE">
        <w:t xml:space="preserve">, pp. 287-289 and </w:t>
      </w:r>
      <w:r>
        <w:fldChar w:fldCharType="begin"/>
      </w:r>
      <w:r w:rsidRPr="005C7BEE">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fldChar w:fldCharType="separate"/>
      </w:r>
      <w:r w:rsidRPr="005C7BEE">
        <w:rPr>
          <w:noProof/>
        </w:rPr>
        <w:t xml:space="preserve">Turbergue, </w:t>
      </w:r>
      <w:r w:rsidRPr="005C7BEE">
        <w:rPr>
          <w:i/>
          <w:noProof/>
        </w:rPr>
        <w:t>Les 300 jours</w:t>
      </w:r>
      <w:r>
        <w:fldChar w:fldCharType="end"/>
      </w:r>
      <w:r w:rsidRPr="005C7BEE">
        <w:t>, p. 307.</w:t>
      </w:r>
    </w:p>
  </w:footnote>
  <w:footnote w:id="612">
    <w:p w14:paraId="1D8275E8" w14:textId="77777777" w:rsidR="00DE3AC9" w:rsidRPr="0098688A" w:rsidRDefault="00DE3AC9" w:rsidP="0048510E">
      <w:pPr>
        <w:pStyle w:val="FootnoteText"/>
        <w:rPr>
          <w:lang w:val="fr-FR"/>
        </w:rPr>
      </w:pPr>
      <w:r>
        <w:rPr>
          <w:rStyle w:val="FootnoteReference"/>
        </w:rPr>
        <w:footnoteRef/>
      </w:r>
      <w:r w:rsidRPr="00377B5D">
        <w:rPr>
          <w:lang w:val="fr-FR"/>
        </w:rPr>
        <w:t xml:space="preserve"> </w:t>
      </w:r>
      <w:r>
        <w:rPr>
          <w:i/>
          <w:iCs/>
          <w:lang w:val="fr-FR"/>
        </w:rPr>
        <w:t xml:space="preserve">La Gazette des Ardennes, </w:t>
      </w:r>
      <w:r>
        <w:rPr>
          <w:lang w:val="fr-FR"/>
        </w:rPr>
        <w:t xml:space="preserve">28 June, 2 and 3 July 1916. </w:t>
      </w:r>
      <w:r>
        <w:rPr>
          <w:lang w:val="fr-FR"/>
        </w:rPr>
        <w:fldChar w:fldCharType="begin"/>
      </w:r>
      <w:r>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1D7A9F">
        <w:rPr>
          <w:noProof/>
        </w:rPr>
        <w:t xml:space="preserve">Laska, </w:t>
      </w:r>
      <w:r w:rsidRPr="001D7A9F">
        <w:rPr>
          <w:i/>
          <w:noProof/>
        </w:rPr>
        <w:t>Presse</w:t>
      </w:r>
      <w:r>
        <w:rPr>
          <w:lang w:val="fr-FR"/>
        </w:rPr>
        <w:fldChar w:fldCharType="end"/>
      </w:r>
      <w:r w:rsidRPr="001D7A9F">
        <w:t>, p. 165. The fort of Vaux was also used by Ge</w:t>
      </w:r>
      <w:r>
        <w:t xml:space="preserve">rman propaganda in Belgium. </w:t>
      </w:r>
      <w:r w:rsidRPr="0098688A">
        <w:rPr>
          <w:lang w:val="fr-FR"/>
        </w:rPr>
        <w:t xml:space="preserve">See </w:t>
      </w:r>
      <w:r w:rsidRPr="0098688A">
        <w:rPr>
          <w:i/>
          <w:iCs/>
          <w:lang w:val="fr-FR"/>
        </w:rPr>
        <w:t xml:space="preserve">L’Ami de l’ordre, </w:t>
      </w:r>
      <w:r w:rsidRPr="0098688A">
        <w:rPr>
          <w:lang w:val="fr-FR"/>
        </w:rPr>
        <w:t>8-9 June 1916.</w:t>
      </w:r>
    </w:p>
  </w:footnote>
  <w:footnote w:id="613">
    <w:p w14:paraId="30F2020D" w14:textId="77777777" w:rsidR="00DE3AC9" w:rsidRPr="007B424E" w:rsidRDefault="00DE3AC9" w:rsidP="0048510E">
      <w:pPr>
        <w:pStyle w:val="FootnoteText"/>
        <w:rPr>
          <w:lang w:val="fr-FR"/>
        </w:rPr>
      </w:pPr>
      <w:r>
        <w:rPr>
          <w:rStyle w:val="FootnoteReference"/>
        </w:rPr>
        <w:footnoteRef/>
      </w:r>
      <w:r w:rsidRPr="007B424E">
        <w:rPr>
          <w:lang w:val="fr-FR"/>
        </w:rPr>
        <w:t xml:space="preserve"> </w:t>
      </w:r>
      <w:r>
        <w:rPr>
          <w:i/>
          <w:iCs/>
          <w:lang w:val="fr-FR"/>
        </w:rPr>
        <w:t>Le Clairon du Roi</w:t>
      </w:r>
      <w:r>
        <w:rPr>
          <w:lang w:val="fr-FR"/>
        </w:rPr>
        <w:t>, n. 4, July 1916.</w:t>
      </w:r>
    </w:p>
  </w:footnote>
  <w:footnote w:id="614">
    <w:p w14:paraId="4F456C1D" w14:textId="77777777" w:rsidR="00DE3AC9" w:rsidRPr="00EB7173" w:rsidRDefault="00DE3AC9" w:rsidP="0048510E">
      <w:pPr>
        <w:pStyle w:val="FootnoteText"/>
        <w:rPr>
          <w:lang w:val="fr-FR"/>
        </w:rPr>
      </w:pPr>
      <w:r>
        <w:rPr>
          <w:rStyle w:val="FootnoteReference"/>
        </w:rPr>
        <w:footnoteRef/>
      </w:r>
      <w:r w:rsidRPr="00EB7173">
        <w:rPr>
          <w:lang w:val="fr-FR"/>
        </w:rPr>
        <w:t xml:space="preserve"> </w:t>
      </w:r>
      <w:r>
        <w:rPr>
          <w:i/>
          <w:iCs/>
          <w:lang w:val="fr-FR"/>
        </w:rPr>
        <w:t>La Voix du Pays</w:t>
      </w:r>
      <w:r>
        <w:rPr>
          <w:lang w:val="fr-FR"/>
        </w:rPr>
        <w:t>, 13 and 27 June 1916.</w:t>
      </w:r>
    </w:p>
  </w:footnote>
  <w:footnote w:id="615">
    <w:p w14:paraId="355161A3" w14:textId="77777777" w:rsidR="00DE3AC9" w:rsidRPr="00EB7173" w:rsidRDefault="00DE3AC9" w:rsidP="0048510E">
      <w:pPr>
        <w:pStyle w:val="FootnoteText"/>
        <w:rPr>
          <w:lang w:val="fr-FR"/>
        </w:rPr>
      </w:pPr>
      <w:r>
        <w:rPr>
          <w:rStyle w:val="FootnoteReference"/>
        </w:rPr>
        <w:footnoteRef/>
      </w:r>
      <w:r w:rsidRPr="00EB7173">
        <w:rPr>
          <w:lang w:val="fr-FR"/>
        </w:rPr>
        <w:t xml:space="preserve"> </w:t>
      </w:r>
      <w:r>
        <w:rPr>
          <w:i/>
          <w:iCs/>
          <w:lang w:val="fr-FR"/>
        </w:rPr>
        <w:t>La Gazette des Ardennes</w:t>
      </w:r>
      <w:r>
        <w:rPr>
          <w:lang w:val="fr-FR"/>
        </w:rPr>
        <w:t xml:space="preserve"> (French fake), 14 and 30 June 1916.</w:t>
      </w:r>
    </w:p>
  </w:footnote>
  <w:footnote w:id="616">
    <w:p w14:paraId="0E1B8089" w14:textId="63BA736E" w:rsidR="00DE3AC9" w:rsidRPr="00AF3420" w:rsidRDefault="00DE3AC9" w:rsidP="005C7BE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&lt;EndNote&gt;&lt;Cite&gt;&lt;Author&gt;Audoin-Rouzeau&lt;/Author&gt;&lt;Year&gt;2004&lt;/Year&gt;&lt;RecNum&gt;35&lt;/RecNum&gt;&lt;DisplayText&gt;Audoin-Rouzeau and Krumeich, &lt;style face="italic"&gt;Les batailles&lt;/style&gt;&lt;/DisplayText&gt;&lt;record&gt;&lt;rec-number&gt;35&lt;/rec-number&gt;&lt;foreign-keys&gt;&lt;key app="EN" db-id="2f5rvwawcsv2woetvw35fzwbdvvswerd0err"&gt;35&lt;/key&gt;&lt;/foreign-keys&gt;&lt;ref-type name="Book Section"&gt;5&lt;/ref-type&gt;&lt;contributors&gt;&lt;authors&gt;&lt;author&gt;Audoin-Rouzeau, Stéphane&lt;/author&gt;&lt;author&gt;Krumeich, Gerd&lt;/author&gt;&lt;/authors&gt;&lt;secondary-authors&gt;&lt;author&gt;Stéphane Audoin-Rouzeau &lt;/author&gt;&lt;author&gt;Jean-Jacques Becker&lt;/author&gt;&lt;/secondary-authors&gt;&lt;/contributors&gt;&lt;titles&gt;&lt;title&gt;Les batailles de la Grande Guerre&lt;/title&gt;&lt;secondary-title&gt;Encyclopédie de la Grande Guerre&lt;/secondary-title&gt;&lt;short-title&gt;Les batailles&lt;/short-title&gt;&lt;/titles&gt;&lt;dates&gt;&lt;year&gt;2004&lt;/year&gt;&lt;/dates&gt;&lt;pub-location&gt;Paris&lt;/pub-location&gt;&lt;urls&gt;&lt;/urls&gt;&lt;/record&gt;&lt;/Cite&gt;&lt;/EndNote&gt;</w:instrText>
      </w:r>
      <w:r>
        <w:rPr>
          <w:lang w:val="fr-FR"/>
        </w:rPr>
        <w:fldChar w:fldCharType="separate"/>
      </w:r>
      <w:r w:rsidRPr="00C54460">
        <w:rPr>
          <w:noProof/>
          <w:lang w:val="fr-FR"/>
        </w:rPr>
        <w:t xml:space="preserve">Audoin-Rouzeau and Krumeich, </w:t>
      </w:r>
      <w:r w:rsidRPr="00C54460">
        <w:rPr>
          <w:i/>
          <w:noProof/>
          <w:lang w:val="fr-FR"/>
        </w:rPr>
        <w:t>Les batailles</w:t>
      </w:r>
      <w:r>
        <w:rPr>
          <w:lang w:val="fr-FR"/>
        </w:rPr>
        <w:fldChar w:fldCharType="end"/>
      </w:r>
      <w:r w:rsidRPr="00C54460">
        <w:rPr>
          <w:lang w:val="fr-FR"/>
        </w:rPr>
        <w:t xml:space="preserve">, p. 304 ; </w:t>
      </w:r>
      <w: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lang w:val="fr-FR"/>
        </w:rPr>
        <w:t xml:space="preserve">Doughty, </w:t>
      </w:r>
      <w:r w:rsidRPr="005C7BEE">
        <w:rPr>
          <w:i/>
          <w:noProof/>
          <w:lang w:val="fr-FR"/>
        </w:rPr>
        <w:t>Pyrrhic victory</w:t>
      </w:r>
      <w:r>
        <w:fldChar w:fldCharType="end"/>
      </w:r>
      <w:r w:rsidRPr="00C54460">
        <w:rPr>
          <w:lang w:val="fr-FR"/>
        </w:rPr>
        <w:t xml:space="preserve">, pp. 297-299 and </w:t>
      </w:r>
      <w:r>
        <w:rPr>
          <w:lang w:val="fr-FR"/>
        </w:rPr>
        <w:fldChar w:fldCharType="begin"/>
      </w:r>
      <w:r w:rsidRPr="00C54460">
        <w:rPr>
          <w:lang w:val="fr-FR"/>
        </w:rPr>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rPr>
          <w:lang w:val="fr-FR"/>
        </w:rPr>
        <w:fldChar w:fldCharType="separate"/>
      </w:r>
      <w:r w:rsidRPr="00C54460">
        <w:rPr>
          <w:noProof/>
          <w:lang w:val="fr-FR"/>
        </w:rPr>
        <w:t xml:space="preserve">Turbergue, </w:t>
      </w:r>
      <w:r w:rsidRPr="00C54460">
        <w:rPr>
          <w:i/>
          <w:noProof/>
          <w:lang w:val="fr-FR"/>
        </w:rPr>
        <w:t>Les 300 jours</w:t>
      </w:r>
      <w:r>
        <w:rPr>
          <w:lang w:val="fr-FR"/>
        </w:rPr>
        <w:fldChar w:fldCharType="end"/>
      </w:r>
      <w:r>
        <w:rPr>
          <w:lang w:val="fr-FR"/>
        </w:rPr>
        <w:t>, pp. 356-374.</w:t>
      </w:r>
    </w:p>
  </w:footnote>
  <w:footnote w:id="617">
    <w:p w14:paraId="501EC4D6" w14:textId="77777777" w:rsidR="00DE3AC9" w:rsidRPr="0038563C" w:rsidRDefault="00DE3AC9" w:rsidP="0048510E">
      <w:pPr>
        <w:pStyle w:val="FootnoteText"/>
        <w:rPr>
          <w:lang w:val="fr-FR"/>
        </w:rPr>
      </w:pPr>
      <w:r>
        <w:rPr>
          <w:rStyle w:val="FootnoteReference"/>
        </w:rPr>
        <w:footnoteRef/>
      </w:r>
      <w:r w:rsidRPr="0038563C">
        <w:rPr>
          <w:lang w:val="fr-FR"/>
        </w:rPr>
        <w:t xml:space="preserve"> </w:t>
      </w:r>
      <w:r>
        <w:rPr>
          <w:i/>
          <w:iCs/>
          <w:lang w:val="fr-FR"/>
        </w:rPr>
        <w:t>La Voix du Pays</w:t>
      </w:r>
      <w:r>
        <w:rPr>
          <w:lang w:val="fr-FR"/>
        </w:rPr>
        <w:t>, 11 July, 1916.</w:t>
      </w:r>
    </w:p>
  </w:footnote>
  <w:footnote w:id="618">
    <w:p w14:paraId="47722101" w14:textId="77777777" w:rsidR="00DE3AC9" w:rsidRPr="00DB1AF4" w:rsidRDefault="00DE3AC9" w:rsidP="0048510E">
      <w:pPr>
        <w:pStyle w:val="FootnoteText"/>
        <w:rPr>
          <w:lang w:val="fr-FR"/>
        </w:rPr>
      </w:pPr>
      <w:r>
        <w:rPr>
          <w:rStyle w:val="FootnoteReference"/>
        </w:rPr>
        <w:footnoteRef/>
      </w:r>
      <w:r w:rsidRPr="00D70A16">
        <w:rPr>
          <w:lang w:val="fr-FR"/>
        </w:rPr>
        <w:t xml:space="preserve"> </w:t>
      </w:r>
      <w:r>
        <w:rPr>
          <w:i/>
          <w:iCs/>
          <w:lang w:val="fr-FR"/>
        </w:rPr>
        <w:t>La Voix du Pays</w:t>
      </w:r>
      <w:r>
        <w:rPr>
          <w:lang w:val="fr-FR"/>
        </w:rPr>
        <w:t xml:space="preserve">, 22 August 1916 and </w:t>
      </w:r>
      <w:r>
        <w:rPr>
          <w:i/>
          <w:iCs/>
          <w:lang w:val="fr-FR"/>
        </w:rPr>
        <w:t>Le Clairon du Roi</w:t>
      </w:r>
      <w:r>
        <w:rPr>
          <w:lang w:val="fr-FR"/>
        </w:rPr>
        <w:t>, n. 7, September 1916.</w:t>
      </w:r>
    </w:p>
  </w:footnote>
  <w:footnote w:id="619">
    <w:p w14:paraId="00690659" w14:textId="7A828291" w:rsidR="00DE3AC9" w:rsidRPr="005C7BEE" w:rsidRDefault="00DE3AC9" w:rsidP="005C7BEE">
      <w:pPr>
        <w:pStyle w:val="FootnoteText"/>
      </w:pPr>
      <w:r>
        <w:rPr>
          <w:rStyle w:val="FootnoteReference"/>
        </w:rPr>
        <w:footnoteRef/>
      </w:r>
      <w:r w:rsidRPr="005C7BEE">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rPr>
        <w:t xml:space="preserve">Doughty, </w:t>
      </w:r>
      <w:r w:rsidRPr="005C7BEE">
        <w:rPr>
          <w:i/>
          <w:noProof/>
        </w:rPr>
        <w:t>Pyrrhic victory</w:t>
      </w:r>
      <w:r>
        <w:fldChar w:fldCharType="end"/>
      </w:r>
      <w:r w:rsidRPr="005C7BEE">
        <w:t xml:space="preserve">, p. 307 and </w:t>
      </w:r>
      <w:r>
        <w:rPr>
          <w:lang w:val="fr-FR"/>
        </w:rPr>
        <w:fldChar w:fldCharType="begin"/>
      </w:r>
      <w:r w:rsidRPr="005C7BEE">
        <w:instrText xml:space="preserve"> ADDIN EN.CITE &lt;EndNote&gt;&lt;Cite&gt;&lt;Author&gt;Turbergue&lt;/Author&gt;&lt;Year&gt;2006&lt;/Year&gt;&lt;RecNum&gt;121&lt;/RecNum&gt;&lt;DisplayText&gt;Turbergue, &lt;style face="italic"&gt;Les 300 jours&lt;/style&gt;&lt;/DisplayText&gt;&lt;record&gt;&lt;rec-number&gt;121&lt;/rec-number&gt;&lt;foreign-keys&gt;&lt;key app="EN" db-id="2f5rvwawcsv2woetvw35fzwbdvvswerd0err"&gt;121&lt;/key&gt;&lt;/foreign-keys&gt;&lt;ref-type name="Book"&gt;6&lt;/ref-type&gt;&lt;contributors&gt;&lt;authors&gt;&lt;author&gt;Turbergue, Jean-Pierre&lt;/author&gt;&lt;/authors&gt;&lt;/contributors&gt;&lt;titles&gt;&lt;title&gt;Les 300 jours de Verdun&lt;/title&gt;&lt;short-title&gt;Les 300 jours&lt;/short-title&gt;&lt;/titles&gt;&lt;dates&gt;&lt;year&gt;2006&lt;/year&gt;&lt;/dates&gt;&lt;pub-location&gt;Paris&lt;/pub-location&gt;&lt;urls&gt;&lt;/urls&gt;&lt;/record&gt;&lt;/Cite&gt;&lt;/EndNote&gt;</w:instrText>
      </w:r>
      <w:r>
        <w:rPr>
          <w:lang w:val="fr-FR"/>
        </w:rPr>
        <w:fldChar w:fldCharType="separate"/>
      </w:r>
      <w:r w:rsidRPr="005C7BEE">
        <w:rPr>
          <w:noProof/>
        </w:rPr>
        <w:t xml:space="preserve">Turbergue, </w:t>
      </w:r>
      <w:r w:rsidRPr="005C7BEE">
        <w:rPr>
          <w:i/>
          <w:noProof/>
        </w:rPr>
        <w:t>Les 300 jours</w:t>
      </w:r>
      <w:r>
        <w:rPr>
          <w:lang w:val="fr-FR"/>
        </w:rPr>
        <w:fldChar w:fldCharType="end"/>
      </w:r>
      <w:r w:rsidRPr="005C7BEE">
        <w:t>, p. 468.</w:t>
      </w:r>
    </w:p>
  </w:footnote>
  <w:footnote w:id="620">
    <w:p w14:paraId="582535C9" w14:textId="77777777" w:rsidR="00DE3AC9" w:rsidRPr="00C11A8A" w:rsidRDefault="00DE3AC9" w:rsidP="0048510E">
      <w:pPr>
        <w:pStyle w:val="FootnoteText"/>
        <w:rPr>
          <w:lang w:val="fr-FR"/>
        </w:rPr>
      </w:pPr>
      <w:r>
        <w:rPr>
          <w:rStyle w:val="FootnoteReference"/>
        </w:rPr>
        <w:footnoteRef/>
      </w:r>
      <w:r w:rsidRPr="00C11A8A">
        <w:rPr>
          <w:lang w:val="fr-FR"/>
        </w:rPr>
        <w:t xml:space="preserve"> </w:t>
      </w:r>
      <w:r>
        <w:rPr>
          <w:i/>
          <w:iCs/>
          <w:lang w:val="fr-FR"/>
        </w:rPr>
        <w:t>La Voix du Pays</w:t>
      </w:r>
      <w:r>
        <w:rPr>
          <w:lang w:val="fr-FR"/>
        </w:rPr>
        <w:t>, 31 October 1916.</w:t>
      </w:r>
    </w:p>
  </w:footnote>
  <w:footnote w:id="621">
    <w:p w14:paraId="268D355E" w14:textId="4068622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fldChar w:fldCharType="separate"/>
      </w:r>
      <w:r w:rsidRPr="00DE3AC9">
        <w:rPr>
          <w:noProof/>
          <w:lang w:val="fr-FR"/>
        </w:rPr>
        <w:t xml:space="preserve">Cull, Culbert, and Welch, </w:t>
      </w:r>
      <w:r w:rsidRPr="00DE3AC9">
        <w:rPr>
          <w:i/>
          <w:noProof/>
          <w:lang w:val="fr-FR"/>
        </w:rPr>
        <w:t>Propaganda</w:t>
      </w:r>
      <w:r>
        <w:fldChar w:fldCharType="end"/>
      </w:r>
      <w:r w:rsidRPr="00DE3AC9">
        <w:rPr>
          <w:lang w:val="fr-FR"/>
        </w:rPr>
        <w:t>, p. xx.</w:t>
      </w:r>
    </w:p>
  </w:footnote>
  <w:footnote w:id="622">
    <w:p w14:paraId="124514BE" w14:textId="77777777" w:rsidR="00DE3AC9" w:rsidRPr="00D478D9" w:rsidRDefault="00DE3AC9" w:rsidP="0048510E">
      <w:pPr>
        <w:pStyle w:val="FootnoteText"/>
        <w:rPr>
          <w:lang w:val="fr-FR"/>
        </w:rPr>
      </w:pPr>
      <w:r>
        <w:rPr>
          <w:rStyle w:val="FootnoteReference"/>
        </w:rPr>
        <w:footnoteRef/>
      </w:r>
      <w:r w:rsidRPr="00D478D9">
        <w:rPr>
          <w:lang w:val="fr-FR"/>
        </w:rPr>
        <w:t xml:space="preserve"> </w:t>
      </w:r>
      <w:r>
        <w:rPr>
          <w:i/>
          <w:iCs/>
          <w:lang w:val="fr-FR"/>
        </w:rPr>
        <w:t>La Voix du Pays</w:t>
      </w:r>
      <w:r>
        <w:rPr>
          <w:lang w:val="fr-FR"/>
        </w:rPr>
        <w:t>, 14 November 1916.</w:t>
      </w:r>
    </w:p>
  </w:footnote>
  <w:footnote w:id="623">
    <w:p w14:paraId="7F397C56"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C54460">
        <w:rPr>
          <w:noProof/>
          <w:lang w:val="fr-FR"/>
        </w:rPr>
        <w:t xml:space="preserve">Ellul, </w:t>
      </w:r>
      <w:r w:rsidRPr="00C54460">
        <w:rPr>
          <w:i/>
          <w:noProof/>
          <w:lang w:val="fr-FR"/>
        </w:rPr>
        <w:t>Propaganda</w:t>
      </w:r>
      <w:r>
        <w:fldChar w:fldCharType="end"/>
      </w:r>
      <w:r w:rsidRPr="00C54460">
        <w:rPr>
          <w:lang w:val="fr-FR"/>
        </w:rPr>
        <w:t>, p. 166.</w:t>
      </w:r>
    </w:p>
  </w:footnote>
  <w:footnote w:id="624">
    <w:p w14:paraId="5B63DBBD" w14:textId="77777777" w:rsidR="00DE3AC9" w:rsidRPr="00240926" w:rsidRDefault="00DE3AC9" w:rsidP="0048510E">
      <w:pPr>
        <w:pStyle w:val="FootnoteText"/>
        <w:rPr>
          <w:lang w:val="fr-FR"/>
        </w:rPr>
      </w:pPr>
      <w:r>
        <w:rPr>
          <w:rStyle w:val="FootnoteReference"/>
        </w:rPr>
        <w:footnoteRef/>
      </w:r>
      <w:r w:rsidRPr="00240926">
        <w:rPr>
          <w:lang w:val="fr-FR"/>
        </w:rPr>
        <w:t xml:space="preserve"> </w:t>
      </w:r>
      <w:r>
        <w:rPr>
          <w:i/>
          <w:iCs/>
          <w:lang w:val="fr-FR"/>
        </w:rPr>
        <w:t>Le Clairon du Roi</w:t>
      </w:r>
      <w:r>
        <w:rPr>
          <w:lang w:val="fr-FR"/>
        </w:rPr>
        <w:t xml:space="preserve">, n. 10, November 1916 and </w:t>
      </w:r>
      <w:r>
        <w:rPr>
          <w:i/>
          <w:iCs/>
          <w:lang w:val="fr-FR"/>
        </w:rPr>
        <w:t>La Voix du Pays</w:t>
      </w:r>
      <w:r>
        <w:rPr>
          <w:lang w:val="fr-FR"/>
        </w:rPr>
        <w:t>, 14 November 1916.</w:t>
      </w:r>
    </w:p>
  </w:footnote>
  <w:footnote w:id="625">
    <w:p w14:paraId="20F1BC1A"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C54460">
        <w:rPr>
          <w:noProof/>
          <w:lang w:val="fr-FR"/>
        </w:rPr>
        <w:t xml:space="preserve">Ellul, </w:t>
      </w:r>
      <w:r w:rsidRPr="00C54460">
        <w:rPr>
          <w:i/>
          <w:noProof/>
          <w:lang w:val="fr-FR"/>
        </w:rPr>
        <w:t>Propaganda</w:t>
      </w:r>
      <w:r>
        <w:fldChar w:fldCharType="end"/>
      </w:r>
      <w:r w:rsidRPr="00C54460">
        <w:rPr>
          <w:lang w:val="fr-FR"/>
        </w:rPr>
        <w:t>, p. 15.</w:t>
      </w:r>
    </w:p>
  </w:footnote>
  <w:footnote w:id="626">
    <w:p w14:paraId="74C9EE22"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&lt;EndNote&gt;&lt;Cite&gt;&lt;Author&gt;Ellul&lt;/Author&gt;&lt;Year&gt;1973&lt;/Year&gt;&lt;RecNum&gt;47&lt;/RecNum&gt;&lt;DisplayText&gt;Ibid.&lt;/DisplayText&gt;&lt;record&gt;&lt;rec-number&gt;47&lt;/rec-number&gt;&lt;foreign-keys&gt;&lt;key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C54460">
        <w:rPr>
          <w:noProof/>
          <w:lang w:val="fr-FR"/>
        </w:rPr>
        <w:t>Ibid.</w:t>
      </w:r>
      <w:r>
        <w:rPr>
          <w:lang w:val="fr-FR"/>
        </w:rPr>
        <w:fldChar w:fldCharType="end"/>
      </w:r>
      <w:r w:rsidRPr="00C54460">
        <w:rPr>
          <w:lang w:val="fr-FR"/>
        </w:rPr>
        <w:t>, p. 21.</w:t>
      </w:r>
    </w:p>
  </w:footnote>
  <w:footnote w:id="627">
    <w:p w14:paraId="01C19381"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C54460">
        <w:rPr>
          <w:noProof/>
          <w:lang w:val="fr-FR"/>
        </w:rPr>
        <w:t xml:space="preserve">Laska, </w:t>
      </w:r>
      <w:r w:rsidRPr="00C54460">
        <w:rPr>
          <w:i/>
          <w:noProof/>
          <w:lang w:val="fr-FR"/>
        </w:rPr>
        <w:t>Presse</w:t>
      </w:r>
      <w:r>
        <w:rPr>
          <w:lang w:val="fr-FR"/>
        </w:rPr>
        <w:fldChar w:fldCharType="end"/>
      </w:r>
      <w:r w:rsidRPr="00C54460">
        <w:rPr>
          <w:lang w:val="fr-FR"/>
        </w:rPr>
        <w:t>, p. 165.</w:t>
      </w:r>
    </w:p>
  </w:footnote>
  <w:footnote w:id="628">
    <w:p w14:paraId="7A4466CB" w14:textId="77777777" w:rsidR="00DE3AC9" w:rsidRPr="00853ADD" w:rsidRDefault="00DE3AC9" w:rsidP="0048510E">
      <w:pPr>
        <w:pStyle w:val="FootnoteText"/>
        <w:rPr>
          <w:lang w:val="fr-FR"/>
        </w:rPr>
      </w:pPr>
      <w:r>
        <w:rPr>
          <w:rStyle w:val="FootnoteReference"/>
        </w:rPr>
        <w:footnoteRef/>
      </w:r>
      <w:r w:rsidRPr="00853ADD">
        <w:rPr>
          <w:lang w:val="fr-FR"/>
        </w:rPr>
        <w:t xml:space="preserve"> </w:t>
      </w:r>
      <w:r>
        <w:rPr>
          <w:i/>
          <w:iCs/>
          <w:lang w:val="fr-FR"/>
        </w:rPr>
        <w:t>La Voix du Pays</w:t>
      </w:r>
      <w:r>
        <w:rPr>
          <w:lang w:val="fr-FR"/>
        </w:rPr>
        <w:t>, 27 June 1916.</w:t>
      </w:r>
    </w:p>
  </w:footnote>
  <w:footnote w:id="629">
    <w:p w14:paraId="2D287D06" w14:textId="77777777" w:rsidR="00DE3AC9" w:rsidRPr="00560DC9" w:rsidRDefault="00DE3AC9" w:rsidP="005C7BEE">
      <w:pPr>
        <w:pStyle w:val="FootnoteText"/>
      </w:pPr>
      <w:r>
        <w:rPr>
          <w:rStyle w:val="FootnoteReference"/>
        </w:rPr>
        <w:footnoteRef/>
      </w:r>
      <w:r>
        <w:t xml:space="preserve"> </w:t>
      </w:r>
      <w:r>
        <w:fldChar w:fldCharType="begin"/>
      </w:r>
      <w:r>
        <w:instrText xml:space="preserve"> ADDIN EN.CITE &lt;EndNote&gt;&lt;Cite&gt;&lt;Author&gt;Sheffield&lt;/Author&gt;&lt;Year&gt;2002&lt;/Year&gt;&lt;RecNum&gt;123&lt;/RecNum&gt;&lt;DisplayText&gt;Gary Sheffield, &lt;style face="italic"&gt;Forgotten victory: the First World War, myths and realities&lt;/style&gt;, (London, 2002)&lt;/DisplayText&gt;&lt;record&gt;&lt;rec-number&gt;123&lt;/rec-number&gt;&lt;foreign-keys&gt;&lt;key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Pr>
          <w:noProof/>
        </w:rPr>
        <w:t xml:space="preserve">Gary Sheffield, </w:t>
      </w:r>
      <w:r w:rsidRPr="005C7BEE">
        <w:rPr>
          <w:i/>
          <w:noProof/>
        </w:rPr>
        <w:t>Forgotten victory: the First World War, myths and realities</w:t>
      </w:r>
      <w:r>
        <w:rPr>
          <w:noProof/>
        </w:rPr>
        <w:t>, (London, 2002)</w:t>
      </w:r>
      <w:r>
        <w:fldChar w:fldCharType="end"/>
      </w:r>
      <w:r>
        <w:t>, p. 165.</w:t>
      </w:r>
    </w:p>
  </w:footnote>
  <w:footnote w:id="630">
    <w:p w14:paraId="055122BB" w14:textId="77777777" w:rsidR="00DE3AC9" w:rsidRPr="00474317" w:rsidRDefault="00DE3AC9" w:rsidP="005C7BEE">
      <w:pPr>
        <w:pStyle w:val="FootnoteText"/>
      </w:pPr>
      <w:r>
        <w:rPr>
          <w:rStyle w:val="FootnoteReference"/>
        </w:rPr>
        <w:footnoteRef/>
      </w:r>
      <w:r>
        <w:t xml:space="preserve"> </w:t>
      </w:r>
      <w:r>
        <w:fldChar w:fldCharType="begin"/>
      </w:r>
      <w:r>
        <w:instrText xml:space="preserve"> ADDIN EN.CITE &lt;EndNote&gt;&lt;Cite&gt;&lt;Author&gt;Duffy&lt;/Author&gt;&lt;Year&gt;2007&lt;/Year&gt;&lt;RecNum&gt;124&lt;/RecNum&gt;&lt;DisplayText&gt;Christopher Duffy, &lt;style face="italic"&gt;Through German eyes: the British and the Somme 1916&lt;/style&gt;, (London, 2007)&lt;/DisplayText&gt;&lt;record&gt;&lt;rec-number&gt;124&lt;/rec-number&gt;&lt;foreign-keys&gt;&lt;key app="EN" db-id="2f5rvwawcsv2woetvw35fzwbdvvswerd0err"&gt;124&lt;/key&gt;&lt;/foreign-keys&gt;&lt;ref-type name="Book"&gt;6&lt;/ref-type&gt;&lt;contributors&gt;&lt;authors&gt;&lt;author&gt;Duffy, Christopher&lt;/author&gt;&lt;/authors&gt;&lt;/contributors&gt;&lt;titles&gt;&lt;title&gt;Through German eyes: the British and the Somme 1916&lt;/title&gt;&lt;short-title&gt;Through&lt;/short-title&gt;&lt;/titles&gt;&lt;dates&gt;&lt;year&gt;2007&lt;/year&gt;&lt;/dates&gt;&lt;pub-location&gt;London&lt;/pub-location&gt;&lt;urls&gt;&lt;/urls&gt;&lt;/record&gt;&lt;/Cite&gt;&lt;/EndNote&gt;</w:instrText>
      </w:r>
      <w:r>
        <w:fldChar w:fldCharType="separate"/>
      </w:r>
      <w:r>
        <w:rPr>
          <w:noProof/>
        </w:rPr>
        <w:t xml:space="preserve">Christopher Duffy, </w:t>
      </w:r>
      <w:r w:rsidRPr="005C7BEE">
        <w:rPr>
          <w:i/>
          <w:noProof/>
        </w:rPr>
        <w:t>Through German eyes: the British and the Somme 1916</w:t>
      </w:r>
      <w:r>
        <w:rPr>
          <w:noProof/>
        </w:rPr>
        <w:t>, (London, 2007)</w:t>
      </w:r>
      <w:r>
        <w:fldChar w:fldCharType="end"/>
      </w:r>
      <w:r>
        <w:t>, pp. 123-130.</w:t>
      </w:r>
    </w:p>
  </w:footnote>
  <w:footnote w:id="631">
    <w:p w14:paraId="14AE015B" w14:textId="77777777" w:rsidR="00DE3AC9" w:rsidRPr="00826661" w:rsidRDefault="00DE3AC9" w:rsidP="0048510E">
      <w:pPr>
        <w:pStyle w:val="FootnoteText"/>
        <w:rPr>
          <w:lang w:val="fr-FR"/>
        </w:rPr>
      </w:pPr>
      <w:r>
        <w:rPr>
          <w:rStyle w:val="FootnoteReference"/>
        </w:rPr>
        <w:footnoteRef/>
      </w:r>
      <w:r>
        <w:t xml:space="preserve"> See: IWM: Papers of Lt-Colonel A. Lee. Report to Lt-Colonel </w:t>
      </w:r>
      <w:r w:rsidRPr="00DA256A">
        <w:t>Bigham</w:t>
      </w:r>
      <w:r>
        <w:t xml:space="preserve"> of the HQ of the British armies in France. </w:t>
      </w:r>
      <w:r w:rsidRPr="00826661">
        <w:rPr>
          <w:lang w:val="fr-FR"/>
        </w:rPr>
        <w:t>5 March 1917.</w:t>
      </w:r>
    </w:p>
  </w:footnote>
  <w:footnote w:id="632">
    <w:p w14:paraId="7276B3FB" w14:textId="77777777" w:rsidR="00DE3AC9" w:rsidRPr="008C0207" w:rsidRDefault="00DE3AC9" w:rsidP="0048510E">
      <w:pPr>
        <w:pStyle w:val="FootnoteText"/>
        <w:rPr>
          <w:lang w:val="fr-FR"/>
        </w:rPr>
      </w:pPr>
      <w:r>
        <w:rPr>
          <w:rStyle w:val="FootnoteReference"/>
        </w:rPr>
        <w:footnoteRef/>
      </w:r>
      <w:r w:rsidRPr="00F41984">
        <w:rPr>
          <w:lang w:val="fr-FR"/>
        </w:rPr>
        <w:t xml:space="preserve"> </w:t>
      </w:r>
      <w:r>
        <w:rPr>
          <w:i/>
          <w:iCs/>
          <w:lang w:val="fr-FR"/>
        </w:rPr>
        <w:t>La Voix du Pays</w:t>
      </w:r>
      <w:r>
        <w:rPr>
          <w:lang w:val="fr-FR"/>
        </w:rPr>
        <w:t>, 1916.</w:t>
      </w:r>
    </w:p>
  </w:footnote>
  <w:footnote w:id="633">
    <w:p w14:paraId="4EE39FAA" w14:textId="77777777" w:rsidR="00DE3AC9" w:rsidRPr="00FC5188" w:rsidRDefault="00DE3AC9" w:rsidP="0048510E">
      <w:pPr>
        <w:pStyle w:val="FootnoteText"/>
        <w:rPr>
          <w:lang w:val="fr-FR"/>
        </w:rPr>
      </w:pPr>
      <w:r>
        <w:rPr>
          <w:rStyle w:val="FootnoteReference"/>
        </w:rPr>
        <w:footnoteRef/>
      </w:r>
      <w:r w:rsidRPr="00FC5188">
        <w:rPr>
          <w:lang w:val="fr-FR"/>
        </w:rPr>
        <w:t xml:space="preserve"> </w:t>
      </w:r>
      <w:r>
        <w:rPr>
          <w:i/>
          <w:iCs/>
          <w:lang w:val="fr-FR"/>
        </w:rPr>
        <w:t>La Voix du Pays</w:t>
      </w:r>
      <w:r>
        <w:rPr>
          <w:lang w:val="fr-FR"/>
        </w:rPr>
        <w:t>, 11 July 1916.</w:t>
      </w:r>
    </w:p>
  </w:footnote>
  <w:footnote w:id="634">
    <w:p w14:paraId="0D7123CA" w14:textId="0004E677" w:rsidR="00DE3AC9" w:rsidRPr="00DD35D1" w:rsidRDefault="00DE3AC9" w:rsidP="005C7BEE">
      <w:pPr>
        <w:pStyle w:val="FootnoteText"/>
        <w:rPr>
          <w:lang w:val="fr-FR"/>
        </w:rPr>
      </w:pPr>
      <w:r>
        <w:rPr>
          <w:rStyle w:val="FootnoteReference"/>
        </w:rPr>
        <w:footnoteRef/>
      </w:r>
      <w:r w:rsidRPr="00DD35D1">
        <w:rPr>
          <w:lang w:val="fr-FR"/>
        </w:rPr>
        <w:t xml:space="preserve"> </w:t>
      </w:r>
      <w:r>
        <w:rPr>
          <w:i/>
          <w:iCs/>
          <w:lang w:val="fr-FR"/>
        </w:rPr>
        <w:t>La Voix du Pays</w:t>
      </w:r>
      <w:r>
        <w:rPr>
          <w:lang w:val="fr-FR"/>
        </w:rPr>
        <w:t xml:space="preserve">, 11 July 1916 and </w:t>
      </w:r>
      <w:r>
        <w:rPr>
          <w:lang w:val="fr-FR"/>
        </w:rP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Pr>
          <w:noProof/>
          <w:lang w:val="fr-FR"/>
        </w:rPr>
        <w:t xml:space="preserve">Doughty, </w:t>
      </w:r>
      <w:r w:rsidRPr="005C7BEE">
        <w:rPr>
          <w:i/>
          <w:noProof/>
          <w:lang w:val="fr-FR"/>
        </w:rPr>
        <w:t>Pyrrhic victory</w:t>
      </w:r>
      <w:r>
        <w:rPr>
          <w:lang w:val="fr-FR"/>
        </w:rPr>
        <w:fldChar w:fldCharType="end"/>
      </w:r>
      <w:r>
        <w:rPr>
          <w:lang w:val="fr-FR"/>
        </w:rPr>
        <w:t>, p. 290.</w:t>
      </w:r>
    </w:p>
  </w:footnote>
  <w:footnote w:id="635">
    <w:p w14:paraId="4876A67E" w14:textId="4366DFA0" w:rsidR="00DE3AC9" w:rsidRPr="00DD35D1" w:rsidRDefault="00DE3AC9" w:rsidP="0048510E">
      <w:pPr>
        <w:pStyle w:val="FootnoteText"/>
        <w:rPr>
          <w:lang w:val="fr-FR"/>
        </w:rPr>
      </w:pPr>
      <w:r>
        <w:rPr>
          <w:rStyle w:val="FootnoteReference"/>
        </w:rPr>
        <w:footnoteRef/>
      </w:r>
      <w:r w:rsidRPr="00DD35D1">
        <w:rPr>
          <w:lang w:val="fr-FR"/>
        </w:rPr>
        <w:t xml:space="preserve"> </w:t>
      </w:r>
      <w:r>
        <w:rPr>
          <w:i/>
          <w:iCs/>
          <w:lang w:val="fr-FR"/>
        </w:rPr>
        <w:t>La Voix du Pays</w:t>
      </w:r>
      <w:r>
        <w:rPr>
          <w:lang w:val="fr-FR"/>
        </w:rPr>
        <w:t xml:space="preserve">, 11 July 1916 and </w:t>
      </w:r>
      <w:r>
        <w:rPr>
          <w:lang w:val="fr-FR"/>
        </w:rPr>
        <w:fldChar w:fldCharType="begin"/>
      </w:r>
      <w:r>
        <w:rPr>
          <w:lang w:val="fr-FR"/>
        </w:rPr>
        <w:instrText xml:space="preserve"> ADDIN EN.CITE &lt;EndNote&gt;&lt;Cite&gt;&lt;Author&gt;Doughty&lt;/Author&gt;&lt;Year&gt;2005&lt;/Year&gt;&lt;RecNum&gt;31&lt;/RecNum&gt;&lt;DisplayText&gt;ibid.&lt;/DisplayText&gt;&lt;record&gt;&lt;rec-number&gt;31&lt;/rec-number&gt;&lt;foreign-keys&gt;&lt;key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Pr>
          <w:noProof/>
          <w:lang w:val="fr-FR"/>
        </w:rPr>
        <w:t>ibid.</w:t>
      </w:r>
      <w:r>
        <w:rPr>
          <w:lang w:val="fr-FR"/>
        </w:rPr>
        <w:fldChar w:fldCharType="end"/>
      </w:r>
      <w:r>
        <w:rPr>
          <w:lang w:val="fr-FR"/>
        </w:rPr>
        <w:t>, p. 290.</w:t>
      </w:r>
    </w:p>
  </w:footnote>
  <w:footnote w:id="636">
    <w:p w14:paraId="0ADE0CC3" w14:textId="77777777" w:rsidR="00DE3AC9" w:rsidRPr="0023126A" w:rsidRDefault="00DE3AC9" w:rsidP="005C7BEE">
      <w:pPr>
        <w:pStyle w:val="FootnoteText"/>
      </w:pPr>
      <w:r>
        <w:rPr>
          <w:rStyle w:val="FootnoteReference"/>
        </w:rPr>
        <w:footnoteRef/>
      </w:r>
      <w:r w:rsidRPr="0023126A">
        <w:t xml:space="preserve"> </w:t>
      </w:r>
      <w:r>
        <w:fldChar w:fldCharType="begin"/>
      </w:r>
      <w:r>
        <w:instrText xml:space="preserve"> ADDIN EN.CITE &lt;EndNote&gt;&lt;Cite&gt;&lt;Author&gt;Duffy&lt;/Author&gt;&lt;Year&gt;2007&lt;/Year&gt;&lt;RecNum&gt;124&lt;/RecNum&gt;&lt;DisplayText&gt;Duffy, &lt;style face="italic"&gt;Through&lt;/style&gt;&lt;/DisplayText&gt;&lt;record&gt;&lt;rec-number&gt;124&lt;/rec-number&gt;&lt;foreign-keys&gt;&lt;key app="EN" db-id="2f5rvwawcsv2woetvw35fzwbdvvswerd0err"&gt;124&lt;/key&gt;&lt;/foreign-keys&gt;&lt;ref-type name="Book"&gt;6&lt;/ref-type&gt;&lt;contributors&gt;&lt;authors&gt;&lt;author&gt;Duffy, Christopher&lt;/author&gt;&lt;/authors&gt;&lt;/contributors&gt;&lt;titles&gt;&lt;title&gt;Through German eyes: the British and the Somme 1916&lt;/title&gt;&lt;short-title&gt;Through&lt;/short-title&gt;&lt;/titles&gt;&lt;dates&gt;&lt;year&gt;2007&lt;/year&gt;&lt;/dates&gt;&lt;pub-location&gt;London&lt;/pub-location&gt;&lt;urls&gt;&lt;/urls&gt;&lt;/record&gt;&lt;/Cite&gt;&lt;/EndNote&gt;</w:instrText>
      </w:r>
      <w:r>
        <w:fldChar w:fldCharType="separate"/>
      </w:r>
      <w:r>
        <w:rPr>
          <w:noProof/>
        </w:rPr>
        <w:t xml:space="preserve">Duffy, </w:t>
      </w:r>
      <w:r w:rsidRPr="007B7627">
        <w:rPr>
          <w:i/>
          <w:noProof/>
        </w:rPr>
        <w:t>Through</w:t>
      </w:r>
      <w:r>
        <w:fldChar w:fldCharType="end"/>
      </w:r>
      <w:r w:rsidRPr="0023126A">
        <w:t xml:space="preserve">, p. 126 and </w:t>
      </w:r>
      <w: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Pr>
          <w:noProof/>
        </w:rPr>
        <w:t xml:space="preserve">Sheffield, </w:t>
      </w:r>
      <w:r w:rsidRPr="005C7BEE">
        <w:rPr>
          <w:i/>
          <w:noProof/>
        </w:rPr>
        <w:t>Forgotten victory</w:t>
      </w:r>
      <w:r>
        <w:fldChar w:fldCharType="end"/>
      </w:r>
      <w:r w:rsidRPr="0023126A">
        <w:t>, p. 165.</w:t>
      </w:r>
    </w:p>
  </w:footnote>
  <w:footnote w:id="637">
    <w:p w14:paraId="039C5848" w14:textId="77777777" w:rsidR="00DE3AC9" w:rsidRPr="0025475E" w:rsidRDefault="00DE3AC9" w:rsidP="0048510E">
      <w:pPr>
        <w:pStyle w:val="FootnoteText"/>
        <w:rPr>
          <w:lang w:val="fr-FR"/>
        </w:rPr>
      </w:pPr>
      <w:r>
        <w:rPr>
          <w:rStyle w:val="FootnoteReference"/>
        </w:rPr>
        <w:footnoteRef/>
      </w:r>
      <w:r w:rsidRPr="0025475E">
        <w:rPr>
          <w:lang w:val="fr-FR"/>
        </w:rPr>
        <w:t xml:space="preserve"> </w:t>
      </w:r>
      <w:r>
        <w:rPr>
          <w:i/>
          <w:iCs/>
          <w:lang w:val="fr-FR"/>
        </w:rPr>
        <w:t>La Voix du Pays</w:t>
      </w:r>
      <w:r>
        <w:rPr>
          <w:lang w:val="fr-FR"/>
        </w:rPr>
        <w:t>, 10 and 22 August 1916.</w:t>
      </w:r>
    </w:p>
  </w:footnote>
  <w:footnote w:id="638">
    <w:p w14:paraId="1FF3618E" w14:textId="77777777" w:rsidR="00DE3AC9" w:rsidRPr="009E1429" w:rsidRDefault="00DE3AC9" w:rsidP="0048510E">
      <w:pPr>
        <w:pStyle w:val="FootnoteText"/>
        <w:rPr>
          <w:lang w:val="fr-FR"/>
        </w:rPr>
      </w:pPr>
      <w:r>
        <w:rPr>
          <w:rStyle w:val="FootnoteReference"/>
        </w:rPr>
        <w:footnoteRef/>
      </w:r>
      <w:r w:rsidRPr="009E1429">
        <w:rPr>
          <w:lang w:val="fr-FR"/>
        </w:rPr>
        <w:t xml:space="preserve"> </w:t>
      </w:r>
      <w:r>
        <w:rPr>
          <w:i/>
          <w:iCs/>
          <w:lang w:val="fr-FR"/>
        </w:rPr>
        <w:t>La Voix du Pays</w:t>
      </w:r>
      <w:r>
        <w:rPr>
          <w:lang w:val="fr-FR"/>
        </w:rPr>
        <w:t>, 11 July 1916.</w:t>
      </w:r>
    </w:p>
  </w:footnote>
  <w:footnote w:id="639">
    <w:p w14:paraId="56F23C2F"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&lt;EndNote&gt;&lt;Cite&gt;&lt;Author&gt;Duffy&lt;/Author&gt;&lt;Year&gt;2007&lt;/Year&gt;&lt;RecNum&gt;124&lt;/RecNum&gt;&lt;DisplayText&gt;Duffy, &lt;style face="italic"&gt;Through&lt;/style&gt;&lt;/DisplayText&gt;&lt;record&gt;&lt;rec-number&gt;124&lt;/rec-number&gt;&lt;foreign-keys&gt;&lt;key app="EN" db-id="2f5rvwawcsv2woetvw35fzwbdvvswerd0err"&gt;124&lt;/key&gt;&lt;/foreign-keys&gt;&lt;ref-type name="Book"&gt;6&lt;/ref-type&gt;&lt;contributors&gt;&lt;authors&gt;&lt;author&gt;Duffy, Christopher&lt;/author&gt;&lt;/authors&gt;&lt;/contributors&gt;&lt;titles&gt;&lt;title&gt;Through German eyes: the British and the Somme 1916&lt;/title&gt;&lt;short-title&gt;Through&lt;/short-title&gt;&lt;/titles&gt;&lt;dates&gt;&lt;year&gt;2007&lt;/year&gt;&lt;/dates&gt;&lt;pub-location&gt;London&lt;/pub-location&gt;&lt;urls&gt;&lt;/urls&gt;&lt;/record&gt;&lt;/Cite&gt;&lt;/EndNote&gt;</w:instrText>
      </w:r>
      <w:r>
        <w:fldChar w:fldCharType="separate"/>
      </w:r>
      <w:r w:rsidRPr="00C54460">
        <w:rPr>
          <w:noProof/>
          <w:lang w:val="fr-FR"/>
        </w:rPr>
        <w:t xml:space="preserve">Duffy, </w:t>
      </w:r>
      <w:r w:rsidRPr="00C54460">
        <w:rPr>
          <w:i/>
          <w:noProof/>
          <w:lang w:val="fr-FR"/>
        </w:rPr>
        <w:t>Through</w:t>
      </w:r>
      <w:r>
        <w:fldChar w:fldCharType="end"/>
      </w:r>
      <w:r w:rsidRPr="00C54460">
        <w:rPr>
          <w:lang w:val="fr-FR"/>
        </w:rPr>
        <w:t>, pp. 170-180.</w:t>
      </w:r>
    </w:p>
  </w:footnote>
  <w:footnote w:id="640">
    <w:p w14:paraId="25FBA860" w14:textId="1F11FD19" w:rsidR="00DE3AC9" w:rsidRPr="00075F7A" w:rsidRDefault="00DE3AC9" w:rsidP="005C7BEE">
      <w:pPr>
        <w:pStyle w:val="FootnoteText"/>
        <w:rPr>
          <w:i/>
          <w:iCs/>
          <w:lang w:val="fr-FR"/>
        </w:rPr>
      </w:pPr>
      <w:r>
        <w:rPr>
          <w:rStyle w:val="FootnoteReference"/>
        </w:rPr>
        <w:footnoteRef/>
      </w:r>
      <w:r w:rsidRPr="004365CB">
        <w:rPr>
          <w:lang w:val="fr-FR"/>
        </w:rPr>
        <w:t xml:space="preserve"> </w:t>
      </w:r>
      <w:r>
        <w:rPr>
          <w:i/>
          <w:iCs/>
          <w:lang w:val="fr-FR"/>
        </w:rPr>
        <w:t xml:space="preserve">Le Clairon du </w:t>
      </w:r>
      <w:r w:rsidRPr="006C45D4">
        <w:rPr>
          <w:i/>
          <w:iCs/>
          <w:lang w:val="fr-FR"/>
        </w:rPr>
        <w:t>Roi</w:t>
      </w:r>
      <w:r>
        <w:rPr>
          <w:i/>
          <w:iCs/>
          <w:lang w:val="fr-FR"/>
        </w:rPr>
        <w:t xml:space="preserve">, </w:t>
      </w:r>
      <w:r>
        <w:rPr>
          <w:lang w:val="fr-FR"/>
        </w:rPr>
        <w:t xml:space="preserve">n.5, July 1916 ; </w:t>
      </w:r>
      <w:r w:rsidRPr="006C45D4">
        <w:rPr>
          <w:i/>
          <w:iCs/>
          <w:lang w:val="fr-FR"/>
        </w:rPr>
        <w:t>La</w:t>
      </w:r>
      <w:r>
        <w:rPr>
          <w:i/>
          <w:iCs/>
          <w:lang w:val="fr-FR"/>
        </w:rPr>
        <w:t xml:space="preserve"> Voix du Pays</w:t>
      </w:r>
      <w:r>
        <w:rPr>
          <w:lang w:val="fr-FR"/>
        </w:rPr>
        <w:t xml:space="preserve">, 25 July 1916 and </w:t>
      </w:r>
      <w:r>
        <w:rPr>
          <w:lang w:val="fr-FR"/>
        </w:rP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Pr>
          <w:noProof/>
          <w:lang w:val="fr-FR"/>
        </w:rPr>
        <w:t xml:space="preserve">Doughty, </w:t>
      </w:r>
      <w:r w:rsidRPr="005C7BEE">
        <w:rPr>
          <w:i/>
          <w:noProof/>
          <w:lang w:val="fr-FR"/>
        </w:rPr>
        <w:t>Pyrrhic victory</w:t>
      </w:r>
      <w:r>
        <w:rPr>
          <w:lang w:val="fr-FR"/>
        </w:rPr>
        <w:fldChar w:fldCharType="end"/>
      </w:r>
      <w:r>
        <w:rPr>
          <w:lang w:val="fr-FR"/>
        </w:rPr>
        <w:t xml:space="preserve">, p. 295. </w:t>
      </w:r>
    </w:p>
  </w:footnote>
  <w:footnote w:id="641">
    <w:p w14:paraId="4277216C" w14:textId="77777777" w:rsidR="00DE3AC9" w:rsidRPr="000E48B9" w:rsidRDefault="00DE3AC9">
      <w:pPr>
        <w:pStyle w:val="FootnoteText"/>
        <w:rPr>
          <w:lang w:val="fr-FR"/>
        </w:rPr>
      </w:pPr>
      <w:r>
        <w:rPr>
          <w:rStyle w:val="FootnoteReference"/>
        </w:rPr>
        <w:footnoteRef/>
      </w:r>
      <w:r w:rsidRPr="000E48B9">
        <w:rPr>
          <w:lang w:val="fr-FR"/>
        </w:rPr>
        <w:t xml:space="preserve"> </w:t>
      </w:r>
      <w:r>
        <w:rPr>
          <w:i/>
          <w:iCs/>
          <w:lang w:val="fr-FR"/>
        </w:rPr>
        <w:t xml:space="preserve">Le Bruxellois, </w:t>
      </w:r>
      <w:r>
        <w:rPr>
          <w:lang w:val="fr-FR"/>
        </w:rPr>
        <w:t>4-5 July 1916.</w:t>
      </w:r>
    </w:p>
  </w:footnote>
  <w:footnote w:id="642">
    <w:p w14:paraId="6F4A0F10" w14:textId="77777777" w:rsidR="00DE3AC9" w:rsidRPr="00075F7A" w:rsidRDefault="00DE3AC9" w:rsidP="0048510E">
      <w:pPr>
        <w:pStyle w:val="FootnoteText"/>
        <w:rPr>
          <w:lang w:val="fr-FR"/>
        </w:rPr>
      </w:pPr>
      <w:r>
        <w:rPr>
          <w:rStyle w:val="FootnoteReference"/>
        </w:rPr>
        <w:footnoteRef/>
      </w:r>
      <w:r w:rsidRPr="00075F7A">
        <w:rPr>
          <w:lang w:val="fr-FR"/>
        </w:rPr>
        <w:t xml:space="preserve"> </w:t>
      </w:r>
      <w:r>
        <w:rPr>
          <w:i/>
          <w:iCs/>
          <w:lang w:val="fr-FR"/>
        </w:rPr>
        <w:t>La Voix du Pays</w:t>
      </w:r>
      <w:r>
        <w:rPr>
          <w:lang w:val="fr-FR"/>
        </w:rPr>
        <w:t>, 25 July 1916 and 22 August 1916.</w:t>
      </w:r>
    </w:p>
  </w:footnote>
  <w:footnote w:id="643">
    <w:p w14:paraId="0730C90F" w14:textId="3B27C9CE" w:rsidR="00DE3AC9" w:rsidRPr="007200AD" w:rsidRDefault="00DE3AC9" w:rsidP="002F62A7">
      <w:pPr>
        <w:pStyle w:val="FootnoteText"/>
      </w:pPr>
      <w:r>
        <w:rPr>
          <w:rStyle w:val="FootnoteReference"/>
        </w:rPr>
        <w:footnoteRef/>
      </w:r>
      <w:r w:rsidRPr="00FB6C67">
        <w:t xml:space="preserve"> </w:t>
      </w:r>
      <w:r>
        <w:rPr>
          <w:lang w:val="fr-FR"/>
        </w:rPr>
        <w:fldChar w:fldCharType="begin"/>
      </w:r>
      <w:r>
        <w:instrText xml:space="preserve"> ADDIN EN.CITE &lt;EndNote&gt;&lt;Cite&gt;&lt;Author&gt;Reeves&lt;/Author&gt;&lt;Year&gt;1983&lt;/Year&gt;&lt;RecNum&gt;125&lt;/RecNum&gt;&lt;DisplayText&gt;Nicholas Reeves, &amp;apos;Film propaganda and its audience: the example of Britain&amp;apos;s official films during the First World War&amp;apos;, in: &lt;style face="italic"&gt;Journal of Contemporary History, &lt;/style&gt;18 (1983), &lt;/DisplayText&gt;&lt;record&gt;&lt;rec-number&gt;125&lt;/rec-number&gt;&lt;foreign-keys&gt;&lt;key app="EN" db-id="2f5rvwawcsv2woetvw35fzwbdvvswerd0err"&gt;125&lt;/key&gt;&lt;/foreign-keys&gt;&lt;ref-type name="Journal Article"&gt;17&lt;/ref-type&gt;&lt;contributors&gt;&lt;authors&gt;&lt;author&gt;Reeves, Nicholas&lt;/author&gt;&lt;/authors&gt;&lt;/contributors&gt;&lt;titles&gt;&lt;title&gt;Film propaganda and its audience: the example of Britain&amp;apos;s official films during the First World War&lt;/title&gt;&lt;secondary-title&gt;Journal of Contemporary History&lt;/secondary-title&gt;&lt;short-title&gt;Film&lt;/short-title&gt;&lt;/titles&gt;&lt;periodical&gt;&lt;full-title&gt;Journal of Contemporary History&lt;/full-title&gt;&lt;/periodical&gt;&lt;volume&gt;18&lt;/volume&gt;&lt;number&gt;3&lt;/number&gt;&lt;dates&gt;&lt;year&gt;1983&lt;/year&gt;&lt;/dates&gt;&lt;urls&gt;&lt;/urls&gt;&lt;/record&gt;&lt;/Cite&gt;&lt;/EndNote&gt;</w:instrText>
      </w:r>
      <w:r>
        <w:rPr>
          <w:lang w:val="fr-FR"/>
        </w:rPr>
        <w:fldChar w:fldCharType="separate"/>
      </w:r>
      <w:r w:rsidRPr="002F62A7">
        <w:rPr>
          <w:noProof/>
        </w:rPr>
        <w:t xml:space="preserve">Nicholas Reeves, 'Film propaganda and its audience: the example of Britain's official films during the First World War', in: </w:t>
      </w:r>
      <w:r w:rsidRPr="002F62A7">
        <w:rPr>
          <w:i/>
          <w:noProof/>
        </w:rPr>
        <w:t xml:space="preserve">Journal of Contemporary History, </w:t>
      </w:r>
      <w:r w:rsidRPr="002F62A7">
        <w:rPr>
          <w:noProof/>
        </w:rPr>
        <w:t xml:space="preserve">18 (1983), </w:t>
      </w:r>
      <w:r>
        <w:rPr>
          <w:lang w:val="fr-FR"/>
        </w:rPr>
        <w:fldChar w:fldCharType="end"/>
      </w:r>
      <w:r w:rsidRPr="00FB6C67">
        <w:t xml:space="preserve">p. 468 and </w:t>
      </w:r>
      <w:r>
        <w:fldChar w:fldCharType="begin"/>
      </w:r>
      <w:r>
        <w:instrText xml:space="preserve"> ADDIN EN.CITE &lt;EndNote&gt;&lt;Cite&gt;&lt;Author&gt;Beurier&lt;/Author&gt;&lt;Year&gt;2008&lt;/Year&gt;&lt;RecNum&gt;68&lt;/RecNum&gt;&lt;DisplayText&gt;Beurier, &lt;style face="italic"&gt;Information&lt;/style&gt;&lt;/DisplayText&gt;&lt;record&gt;&lt;rec-number&gt;68&lt;/rec-number&gt;&lt;foreign-keys&gt;&lt;key app="EN" db-id="2f5rvwawcsv2woetvw35fzwbdvvswerd0err"&gt;68&lt;/key&gt;&lt;/foreign-keys&gt;&lt;ref-type name="Book Section"&gt;5&lt;/ref-type&gt;&lt;contributors&gt;&lt;authors&gt;&lt;author&gt;Beurier, Joëlle&lt;/author&gt;&lt;/authors&gt;&lt;secondary-authors&gt;&lt;author&gt;Heather Jones&lt;/author&gt;&lt;author&gt;Jennifer O&amp;apos;Brien&lt;/author&gt;&lt;author&gt;Christoph Schmidt-Supprian&lt;/author&gt;&lt;/secondary-authors&gt;&lt;/contributors&gt;&lt;titles&gt;&lt;title&gt;Information, censorship or propaganda? The illustrated French press in the First World War&lt;/title&gt;&lt;secondary-title&gt;Untold War: new perspectives in First World War studies&lt;/secondary-title&gt;&lt;short-title&gt;Information&lt;/short-title&gt;&lt;/titles&gt;&lt;dates&gt;&lt;year&gt;2008&lt;/year&gt;&lt;/dates&gt;&lt;pub-location&gt;Boston&lt;/pub-location&gt;&lt;urls&gt;&lt;/urls&gt;&lt;/record&gt;&lt;/Cite&gt;&lt;/EndNote&gt;</w:instrText>
      </w:r>
      <w:r>
        <w:fldChar w:fldCharType="separate"/>
      </w:r>
      <w:r>
        <w:rPr>
          <w:noProof/>
        </w:rPr>
        <w:t xml:space="preserve">Beurier, </w:t>
      </w:r>
      <w:r w:rsidRPr="007B7627">
        <w:rPr>
          <w:i/>
          <w:noProof/>
        </w:rPr>
        <w:t>Information</w:t>
      </w:r>
      <w:r>
        <w:fldChar w:fldCharType="end"/>
      </w:r>
      <w:r>
        <w:t xml:space="preserve"> p. 291.</w:t>
      </w:r>
    </w:p>
  </w:footnote>
  <w:footnote w:id="644">
    <w:p w14:paraId="759DFBD1" w14:textId="77777777" w:rsidR="00DE3AC9" w:rsidRPr="00C83993" w:rsidRDefault="00DE3AC9" w:rsidP="0048510E">
      <w:pPr>
        <w:pStyle w:val="FootnoteText"/>
        <w:rPr>
          <w:lang w:val="fr-FR"/>
        </w:rPr>
      </w:pPr>
      <w:r>
        <w:rPr>
          <w:rStyle w:val="FootnoteReference"/>
        </w:rPr>
        <w:footnoteRef/>
      </w:r>
      <w:r w:rsidRPr="00C83993">
        <w:rPr>
          <w:lang w:val="fr-FR"/>
        </w:rPr>
        <w:t xml:space="preserve"> </w:t>
      </w:r>
      <w:r>
        <w:rPr>
          <w:i/>
          <w:iCs/>
          <w:lang w:val="fr-FR"/>
        </w:rPr>
        <w:t>La Voix du Pays</w:t>
      </w:r>
      <w:r>
        <w:rPr>
          <w:lang w:val="fr-FR"/>
        </w:rPr>
        <w:t>, 10 August 1916.</w:t>
      </w:r>
    </w:p>
  </w:footnote>
  <w:footnote w:id="645">
    <w:p w14:paraId="48D28A0B" w14:textId="77777777" w:rsidR="00DE3AC9" w:rsidRPr="0093496B" w:rsidRDefault="00DE3AC9" w:rsidP="0048510E">
      <w:pPr>
        <w:pStyle w:val="FootnoteText"/>
      </w:pPr>
      <w:r>
        <w:rPr>
          <w:rStyle w:val="FootnoteReference"/>
        </w:rPr>
        <w:footnoteRef/>
      </w:r>
      <w:r>
        <w:t xml:space="preserve"> </w:t>
      </w:r>
      <w:r>
        <w:fldChar w:fldCharType="begin"/>
      </w:r>
      <w:r>
        <w:instrText xml:space="preserve"> ADDIN EN.CITE &lt;EndNote&gt;&lt;Cite&gt;&lt;Author&gt;Greenhalgh&lt;/Author&gt;&lt;Year&gt;1999&lt;/Year&gt;&lt;RecNum&gt;126&lt;/RecNum&gt;&lt;DisplayText&gt;Elizabeth Greenhalgh, &amp;apos;&amp;quot;Parade ground soldiers&amp;quot;: French army assessments of the British on the Somme in 1916.&amp;apos;, in: &lt;style face="italic"&gt;The Journal of Military History, &lt;/style&gt;63 (1999), &lt;/DisplayText&gt;&lt;record&gt;&lt;rec-number&gt;126&lt;/rec-number&gt;&lt;foreign-keys&gt;&lt;key app="EN" db-id="2f5rvwawcsv2woetvw35fzwbdvvswerd0err"&gt;126&lt;/key&gt;&lt;/foreign-keys&gt;&lt;ref-type name="Journal Article"&gt;17&lt;/ref-type&gt;&lt;contributors&gt;&lt;authors&gt;&lt;author&gt;Greenhalgh, Elizabeth&lt;/author&gt;&lt;/authors&gt;&lt;/contributors&gt;&lt;titles&gt;&lt;title&gt;&amp;quot;Parade ground soldiers&amp;quot;: French army assessments of the British on the Somme in 1916.&lt;/title&gt;&lt;secondary-title&gt;The Journal of Military History&lt;/secondary-title&gt;&lt;short-title&gt;French army&lt;/short-title&gt;&lt;/titles&gt;&lt;periodical&gt;&lt;full-title&gt;The Journal of Military History&lt;/full-title&gt;&lt;/periodical&gt;&lt;volume&gt;63&lt;/volume&gt;&lt;number&gt;2&lt;/number&gt;&lt;dates&gt;&lt;year&gt;1999&lt;/year&gt;&lt;/dates&gt;&lt;urls&gt;&lt;/urls&gt;&lt;/record&gt;&lt;/Cite&gt;&lt;/EndNote&gt;</w:instrText>
      </w:r>
      <w:r>
        <w:fldChar w:fldCharType="separate"/>
      </w:r>
      <w:r>
        <w:rPr>
          <w:noProof/>
        </w:rPr>
        <w:t xml:space="preserve">Elizabeth Greenhalgh, '"Parade ground soldiers": French army assessments of the British on the Somme in 1916.', in: </w:t>
      </w:r>
      <w:r w:rsidRPr="00824CCA">
        <w:rPr>
          <w:i/>
          <w:noProof/>
        </w:rPr>
        <w:t xml:space="preserve">The Journal of Military History, </w:t>
      </w:r>
      <w:r>
        <w:rPr>
          <w:noProof/>
        </w:rPr>
        <w:t xml:space="preserve">63 (1999), </w:t>
      </w:r>
      <w:r>
        <w:fldChar w:fldCharType="end"/>
      </w:r>
      <w:r>
        <w:t>p. 312.</w:t>
      </w:r>
    </w:p>
  </w:footnote>
  <w:footnote w:id="646">
    <w:p w14:paraId="5006B16B" w14:textId="56BDB475" w:rsidR="00DE3AC9" w:rsidRPr="00E245AB" w:rsidRDefault="00DE3AC9" w:rsidP="0048510E">
      <w:pPr>
        <w:pStyle w:val="FootnoteText"/>
      </w:pPr>
      <w:r>
        <w:rPr>
          <w:rStyle w:val="FootnoteReference"/>
        </w:rPr>
        <w:footnoteRef/>
      </w:r>
      <w:r>
        <w:t xml:space="preserve"> </w:t>
      </w:r>
      <w: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Lasswell, </w:t>
      </w:r>
      <w:r w:rsidRPr="007B7627">
        <w:rPr>
          <w:i/>
          <w:noProof/>
        </w:rPr>
        <w:t>Propaganda</w:t>
      </w:r>
      <w:r>
        <w:fldChar w:fldCharType="end"/>
      </w:r>
      <w:r>
        <w:t xml:space="preserve">, p. 114 and </w:t>
      </w:r>
      <w:r>
        <w:fldChar w:fldCharType="begin"/>
      </w:r>
      <w:r>
        <w:instrText xml:space="preserve"> ADDIN EN.CITE &lt;EndNote&gt;&lt;Cite&gt;&lt;Author&gt;Stibbe&lt;/Author&gt;&lt;Year&gt;2001&lt;/Year&gt;&lt;RecNum&gt;33&lt;/RecNum&gt;&lt;DisplayText&gt;Stibbe, &lt;style face="italic"&gt;German Anglophobia&lt;/style&gt;&lt;/DisplayText&gt;&lt;record&gt;&lt;rec-number&gt;33&lt;/rec-number&gt;&lt;foreign-keys&gt;&lt;key app="EN" db-id="2f5rvwawcsv2woetvw35fzwbdvvswerd0err"&gt;33&lt;/key&gt;&lt;/foreign-keys&gt;&lt;ref-type name="Book"&gt;6&lt;/ref-type&gt;&lt;contributors&gt;&lt;authors&gt;&lt;author&gt;Stibbe, Matthew&lt;/author&gt;&lt;/authors&gt;&lt;/contributors&gt;&lt;titles&gt;&lt;title&gt;German Anglophobia and the Great War, 1914-1918&lt;/title&gt;&lt;short-title&gt;German Anglophobia&lt;/short-title&gt;&lt;/titles&gt;&lt;dates&gt;&lt;year&gt;2001&lt;/year&gt;&lt;/dates&gt;&lt;pub-location&gt;Cambridge&lt;/pub-location&gt;&lt;publisher&gt;Cambridge University Press&lt;/publisher&gt;&lt;urls&gt;&lt;/urls&gt;&lt;/record&gt;&lt;/Cite&gt;&lt;/EndNote&gt;</w:instrText>
      </w:r>
      <w:r>
        <w:fldChar w:fldCharType="separate"/>
      </w:r>
      <w:r>
        <w:rPr>
          <w:noProof/>
        </w:rPr>
        <w:t xml:space="preserve">Stibbe, </w:t>
      </w:r>
      <w:r w:rsidRPr="007B7627">
        <w:rPr>
          <w:i/>
          <w:noProof/>
        </w:rPr>
        <w:t>German Anglophobia</w:t>
      </w:r>
      <w:r>
        <w:fldChar w:fldCharType="end"/>
      </w:r>
      <w:r>
        <w:t>, pp. 16-17.</w:t>
      </w:r>
    </w:p>
  </w:footnote>
  <w:footnote w:id="647">
    <w:p w14:paraId="2BD14584"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&lt;EndNote&gt;&lt;Cite&gt;&lt;Author&gt;Duffy&lt;/Author&gt;&lt;Year&gt;2007&lt;/Year&gt;&lt;RecNum&gt;124&lt;/RecNum&gt;&lt;DisplayText&gt;Duffy, &lt;style face="italic"&gt;Through&lt;/style&gt;&lt;/DisplayText&gt;&lt;record&gt;&lt;rec-number&gt;124&lt;/rec-number&gt;&lt;foreign-keys&gt;&lt;key app="EN" db-id="2f5rvwawcsv2woetvw35fzwbdvvswerd0err"&gt;124&lt;/key&gt;&lt;/foreign-keys&gt;&lt;ref-type name="Book"&gt;6&lt;/ref-type&gt;&lt;contributors&gt;&lt;authors&gt;&lt;author&gt;Duffy, Christopher&lt;/author&gt;&lt;/authors&gt;&lt;/contributors&gt;&lt;titles&gt;&lt;title&gt;Through German eyes: the British and the Somme 1916&lt;/title&gt;&lt;short-title&gt;Through&lt;/short-title&gt;&lt;/titles&gt;&lt;dates&gt;&lt;year&gt;2007&lt;/year&gt;&lt;/dates&gt;&lt;pub-location&gt;London&lt;/pub-location&gt;&lt;urls&gt;&lt;/urls&gt;&lt;/record&gt;&lt;/Cite&gt;&lt;/EndNote&gt;</w:instrText>
      </w:r>
      <w:r>
        <w:fldChar w:fldCharType="separate"/>
      </w:r>
      <w:r w:rsidRPr="00DE3AC9">
        <w:rPr>
          <w:noProof/>
        </w:rPr>
        <w:t xml:space="preserve">Duffy, </w:t>
      </w:r>
      <w:r w:rsidRPr="00DE3AC9">
        <w:rPr>
          <w:i/>
          <w:noProof/>
        </w:rPr>
        <w:t>Through</w:t>
      </w:r>
      <w:r>
        <w:fldChar w:fldCharType="end"/>
      </w:r>
      <w:r w:rsidRPr="00DE3AC9">
        <w:t>, pp. 187-191.</w:t>
      </w:r>
    </w:p>
  </w:footnote>
  <w:footnote w:id="648">
    <w:p w14:paraId="1664A528" w14:textId="77777777" w:rsidR="00DE3AC9" w:rsidRPr="009500A2" w:rsidRDefault="00DE3AC9" w:rsidP="0048510E">
      <w:pPr>
        <w:pStyle w:val="FootnoteText"/>
        <w:rPr>
          <w:lang w:val="fr-FR"/>
        </w:rPr>
      </w:pPr>
      <w:r>
        <w:rPr>
          <w:rStyle w:val="FootnoteReference"/>
        </w:rPr>
        <w:footnoteRef/>
      </w:r>
      <w:r w:rsidRPr="009500A2">
        <w:rPr>
          <w:lang w:val="fr-FR"/>
        </w:rPr>
        <w:t xml:space="preserve"> </w:t>
      </w:r>
      <w:r>
        <w:rPr>
          <w:i/>
          <w:iCs/>
          <w:lang w:val="fr-FR"/>
        </w:rPr>
        <w:t>La Voix du Pays</w:t>
      </w:r>
      <w:r>
        <w:rPr>
          <w:lang w:val="fr-FR"/>
        </w:rPr>
        <w:t>, 5 September 1916.</w:t>
      </w:r>
    </w:p>
  </w:footnote>
  <w:footnote w:id="649">
    <w:p w14:paraId="2E20BEF5" w14:textId="77777777" w:rsidR="00DE3AC9" w:rsidRPr="00644560" w:rsidRDefault="00DE3AC9" w:rsidP="005C7BEE">
      <w:pPr>
        <w:pStyle w:val="FootnoteText"/>
      </w:pPr>
      <w:r>
        <w:rPr>
          <w:rStyle w:val="FootnoteReference"/>
        </w:rPr>
        <w:footnoteRef/>
      </w:r>
      <w:r w:rsidRPr="00644560">
        <w:t xml:space="preserve"> </w:t>
      </w:r>
      <w:r>
        <w:fldChar w:fldCharType="begin"/>
      </w:r>
      <w:r w:rsidRPr="00644560">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sidRPr="00644560">
        <w:rPr>
          <w:noProof/>
        </w:rPr>
        <w:t xml:space="preserve">Sheffield, </w:t>
      </w:r>
      <w:r w:rsidRPr="00644560">
        <w:rPr>
          <w:i/>
          <w:noProof/>
        </w:rPr>
        <w:t>Forgotten victory</w:t>
      </w:r>
      <w:r>
        <w:fldChar w:fldCharType="end"/>
      </w:r>
      <w:r w:rsidRPr="00644560">
        <w:t>, p. 175.</w:t>
      </w:r>
    </w:p>
  </w:footnote>
  <w:footnote w:id="650">
    <w:p w14:paraId="394A8529" w14:textId="77777777" w:rsidR="00DE3AC9" w:rsidRPr="00374CF4" w:rsidRDefault="00DE3AC9" w:rsidP="0048510E">
      <w:pPr>
        <w:pStyle w:val="FootnoteText"/>
      </w:pPr>
      <w:r>
        <w:rPr>
          <w:rStyle w:val="FootnoteReference"/>
        </w:rPr>
        <w:footnoteRef/>
      </w:r>
      <w:r w:rsidRPr="00374CF4">
        <w:t xml:space="preserve"> </w:t>
      </w:r>
      <w:r w:rsidRPr="00374CF4">
        <w:rPr>
          <w:i/>
          <w:iCs/>
        </w:rPr>
        <w:t>La Gazette des Ardennes</w:t>
      </w:r>
      <w:r w:rsidRPr="00374CF4">
        <w:t xml:space="preserve">, 9 August 1916 and </w:t>
      </w:r>
      <w:r>
        <w:rPr>
          <w:lang w:val="fr-FR"/>
        </w:rPr>
        <w:fldChar w:fldCharType="begin"/>
      </w:r>
      <w:r w:rsidRPr="00374CF4">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374CF4">
        <w:rPr>
          <w:noProof/>
        </w:rPr>
        <w:t xml:space="preserve">Laska, </w:t>
      </w:r>
      <w:r w:rsidRPr="00374CF4">
        <w:rPr>
          <w:i/>
          <w:noProof/>
        </w:rPr>
        <w:t>Presse</w:t>
      </w:r>
      <w:r>
        <w:rPr>
          <w:lang w:val="fr-FR"/>
        </w:rPr>
        <w:fldChar w:fldCharType="end"/>
      </w:r>
      <w:r w:rsidRPr="00374CF4">
        <w:t>, p. 165.</w:t>
      </w:r>
    </w:p>
  </w:footnote>
  <w:footnote w:id="651">
    <w:p w14:paraId="7AE34CA9" w14:textId="321037BF" w:rsidR="00DE3AC9" w:rsidRPr="005C7BEE" w:rsidRDefault="00DE3AC9" w:rsidP="005C7BEE">
      <w:pPr>
        <w:pStyle w:val="FootnoteText"/>
      </w:pPr>
      <w:r>
        <w:rPr>
          <w:rStyle w:val="FootnoteReference"/>
        </w:rPr>
        <w:footnoteRef/>
      </w:r>
      <w:r w:rsidRPr="005C7BEE">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rPr>
        <w:t xml:space="preserve">Doughty, </w:t>
      </w:r>
      <w:r w:rsidRPr="005C7BEE">
        <w:rPr>
          <w:i/>
          <w:noProof/>
        </w:rPr>
        <w:t>Pyrrhic victory</w:t>
      </w:r>
      <w:r>
        <w:fldChar w:fldCharType="end"/>
      </w:r>
      <w:r w:rsidRPr="005C7BEE">
        <w:t xml:space="preserve">, p. 304 and </w:t>
      </w:r>
      <w:r>
        <w:rPr>
          <w:lang w:val="fr-FR"/>
        </w:rPr>
        <w:fldChar w:fldCharType="begin"/>
      </w:r>
      <w:r w:rsidRPr="005C7BEE">
        <w:instrText xml:space="preserve"> ADDIN EN.CITE &lt;EndNote&gt;&lt;Cite&gt;&lt;Author&gt;Greenhalgh&lt;/Author&gt;&lt;Year&gt;1999&lt;/Year&gt;&lt;RecNum&gt;126&lt;/RecNum&gt;&lt;DisplayText&gt;Greenhalgh, &lt;style face="italic"&gt;French army&lt;/style&gt;&lt;/DisplayText&gt;&lt;record&gt;&lt;rec-number&gt;126&lt;/rec-number&gt;&lt;foreign-keys&gt;&lt;key app="EN" db-id="2f5rvwawcsv2woetvw35fzwbdvvswerd0err"&gt;126&lt;/key&gt;&lt;/foreign-keys&gt;&lt;ref-type name="Journal Article"&gt;17&lt;/ref-type&gt;&lt;contributors&gt;&lt;authors&gt;&lt;author&gt;Greenhalgh, Elizabeth&lt;/author&gt;&lt;/authors&gt;&lt;/contributors&gt;&lt;titles&gt;&lt;title&gt;&amp;quot;Parade ground soldiers&amp;quot;: French army assessments of the British on the Somme in 1916.&lt;/title&gt;&lt;secondary-title&gt;The Journal of Military History&lt;/secondary-title&gt;&lt;short-title&gt;French army&lt;/short-title&gt;&lt;/titles&gt;&lt;periodical&gt;&lt;full-title&gt;The Journal of Military History&lt;/full-title&gt;&lt;/periodical&gt;&lt;volume&gt;63&lt;/volume&gt;&lt;number&gt;2&lt;/number&gt;&lt;dates&gt;&lt;year&gt;1999&lt;/year&gt;&lt;/dates&gt;&lt;urls&gt;&lt;/urls&gt;&lt;/record&gt;&lt;/Cite&gt;&lt;/EndNote&gt;</w:instrText>
      </w:r>
      <w:r>
        <w:rPr>
          <w:lang w:val="fr-FR"/>
        </w:rPr>
        <w:fldChar w:fldCharType="separate"/>
      </w:r>
      <w:r w:rsidRPr="005C7BEE">
        <w:rPr>
          <w:noProof/>
        </w:rPr>
        <w:t xml:space="preserve">Greenhalgh, </w:t>
      </w:r>
      <w:r w:rsidRPr="005C7BEE">
        <w:rPr>
          <w:i/>
          <w:noProof/>
        </w:rPr>
        <w:t>French army</w:t>
      </w:r>
      <w:r>
        <w:rPr>
          <w:lang w:val="fr-FR"/>
        </w:rPr>
        <w:fldChar w:fldCharType="end"/>
      </w:r>
      <w:r w:rsidRPr="005C7BEE">
        <w:t>, p. 303.</w:t>
      </w:r>
    </w:p>
  </w:footnote>
  <w:footnote w:id="652">
    <w:p w14:paraId="7D00D645" w14:textId="77777777" w:rsidR="00DE3AC9" w:rsidRPr="00DE3AC9" w:rsidRDefault="00DE3AC9" w:rsidP="005C7BE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sidRPr="00DE3AC9">
        <w:rPr>
          <w:noProof/>
          <w:lang w:val="fr-FR"/>
        </w:rPr>
        <w:t xml:space="preserve">Sheffield, </w:t>
      </w:r>
      <w:r w:rsidRPr="00DE3AC9">
        <w:rPr>
          <w:i/>
          <w:noProof/>
          <w:lang w:val="fr-FR"/>
        </w:rPr>
        <w:t>Forgotten victory</w:t>
      </w:r>
      <w:r>
        <w:fldChar w:fldCharType="end"/>
      </w:r>
      <w:r w:rsidRPr="00DE3AC9">
        <w:rPr>
          <w:lang w:val="fr-FR"/>
        </w:rPr>
        <w:t>, pp. 175-178.</w:t>
      </w:r>
    </w:p>
  </w:footnote>
  <w:footnote w:id="653">
    <w:p w14:paraId="2428FE0B"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La Voix du Pays</w:t>
      </w:r>
      <w:r w:rsidRPr="00DE3AC9">
        <w:rPr>
          <w:lang w:val="fr-FR"/>
        </w:rPr>
        <w:t>, 19 September and 3 October 1916.</w:t>
      </w:r>
    </w:p>
  </w:footnote>
  <w:footnote w:id="654">
    <w:p w14:paraId="53A6B1E7"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&lt;EndNote&gt;&lt;Cite&gt;&lt;Author&gt;Greenhalgh&lt;/Author&gt;&lt;Year&gt;1999&lt;/Year&gt;&lt;RecNum&gt;126&lt;/RecNum&gt;&lt;DisplayText&gt;Greenhalgh, &lt;style face="italic"&gt;French army&lt;/style&gt;&lt;/DisplayText&gt;&lt;record&gt;&lt;rec-number&gt;126&lt;/rec-number&gt;&lt;foreign-keys&gt;&lt;key app="EN" db-id="2f5rvwawcsv2woetvw35fzwbdvvswerd0err"&gt;126&lt;/key&gt;&lt;/foreign-keys&gt;&lt;ref-type name="Journal Article"&gt;17&lt;/ref-type&gt;&lt;contributors&gt;&lt;authors&gt;&lt;author&gt;Greenhalgh, Elizabeth&lt;/author&gt;&lt;/authors&gt;&lt;/contributors&gt;&lt;titles&gt;&lt;title&gt;&amp;quot;Parade ground soldiers&amp;quot;: French army assessments of the British on the Somme in 1916.&lt;/title&gt;&lt;secondary-title&gt;The Journal of Military History&lt;/secondary-title&gt;&lt;short-title&gt;French army&lt;/short-title&gt;&lt;/titles&gt;&lt;periodical&gt;&lt;full-title&gt;The Journal of Military History&lt;/full-title&gt;&lt;/periodical&gt;&lt;volume&gt;63&lt;/volume&gt;&lt;number&gt;2&lt;/number&gt;&lt;dates&gt;&lt;year&gt;1999&lt;/year&gt;&lt;/dates&gt;&lt;urls&gt;&lt;/urls&gt;&lt;/record&gt;&lt;/Cite&gt;&lt;/EndNote&gt;</w:instrText>
      </w:r>
      <w:r>
        <w:rPr>
          <w:lang w:val="fr-FR"/>
        </w:rPr>
        <w:fldChar w:fldCharType="separate"/>
      </w:r>
      <w:r w:rsidRPr="00DE3AC9">
        <w:rPr>
          <w:noProof/>
          <w:lang w:val="fr-FR"/>
        </w:rPr>
        <w:t xml:space="preserve">Greenhalgh, </w:t>
      </w:r>
      <w:r w:rsidRPr="00DE3AC9">
        <w:rPr>
          <w:i/>
          <w:noProof/>
          <w:lang w:val="fr-FR"/>
        </w:rPr>
        <w:t>French army</w:t>
      </w:r>
      <w:r>
        <w:rPr>
          <w:lang w:val="fr-FR"/>
        </w:rPr>
        <w:fldChar w:fldCharType="end"/>
      </w:r>
      <w:r w:rsidRPr="00DE3AC9">
        <w:rPr>
          <w:lang w:val="fr-FR"/>
        </w:rPr>
        <w:t>, p. 303.</w:t>
      </w:r>
    </w:p>
  </w:footnote>
  <w:footnote w:id="655">
    <w:p w14:paraId="3D03D6D1" w14:textId="77777777" w:rsidR="00DE3AC9" w:rsidRPr="00D2594E" w:rsidRDefault="00DE3AC9" w:rsidP="0048510E">
      <w:pPr>
        <w:pStyle w:val="FootnoteText"/>
        <w:rPr>
          <w:lang w:val="fr-FR"/>
        </w:rPr>
      </w:pPr>
      <w:r>
        <w:rPr>
          <w:rStyle w:val="FootnoteReference"/>
        </w:rPr>
        <w:footnoteRef/>
      </w:r>
      <w:r w:rsidRPr="00D2594E">
        <w:rPr>
          <w:lang w:val="fr-FR"/>
        </w:rPr>
        <w:t xml:space="preserve"> </w:t>
      </w:r>
      <w:r>
        <w:rPr>
          <w:i/>
          <w:iCs/>
          <w:lang w:val="fr-FR"/>
        </w:rPr>
        <w:t>Le Clairon du Roi</w:t>
      </w:r>
      <w:r>
        <w:rPr>
          <w:lang w:val="fr-FR"/>
        </w:rPr>
        <w:t xml:space="preserve">, n. 8, September 1916; </w:t>
      </w:r>
      <w:r>
        <w:rPr>
          <w:i/>
          <w:iCs/>
          <w:lang w:val="fr-FR"/>
        </w:rPr>
        <w:t>La Voix du Pays</w:t>
      </w:r>
      <w:r>
        <w:rPr>
          <w:lang w:val="fr-FR"/>
        </w:rPr>
        <w:t>, 19 September 1916.</w:t>
      </w:r>
    </w:p>
  </w:footnote>
  <w:footnote w:id="656">
    <w:p w14:paraId="5754D8FB" w14:textId="77777777" w:rsidR="00DE3AC9" w:rsidRPr="00480238" w:rsidRDefault="00DE3AC9" w:rsidP="0048510E">
      <w:pPr>
        <w:pStyle w:val="FootnoteText"/>
        <w:rPr>
          <w:lang w:val="fr-FR"/>
        </w:rPr>
      </w:pPr>
      <w:r>
        <w:rPr>
          <w:rStyle w:val="FootnoteReference"/>
        </w:rPr>
        <w:footnoteRef/>
      </w:r>
      <w:r w:rsidRPr="00480238">
        <w:rPr>
          <w:lang w:val="fr-FR"/>
        </w:rPr>
        <w:t xml:space="preserve"> </w:t>
      </w:r>
      <w:r>
        <w:rPr>
          <w:i/>
          <w:iCs/>
          <w:lang w:val="fr-FR"/>
        </w:rPr>
        <w:t>La Voix du Pays</w:t>
      </w:r>
      <w:r>
        <w:rPr>
          <w:lang w:val="fr-FR"/>
        </w:rPr>
        <w:t>, 14 November 1916.</w:t>
      </w:r>
    </w:p>
  </w:footnote>
  <w:footnote w:id="657">
    <w:p w14:paraId="6D14F2D7" w14:textId="77777777" w:rsidR="00DE3AC9" w:rsidRPr="00C41A92" w:rsidRDefault="00DE3AC9" w:rsidP="0048510E">
      <w:pPr>
        <w:pStyle w:val="FootnoteText"/>
        <w:rPr>
          <w:lang w:val="fr-FR"/>
        </w:rPr>
      </w:pPr>
      <w:r>
        <w:rPr>
          <w:rStyle w:val="FootnoteReference"/>
        </w:rPr>
        <w:footnoteRef/>
      </w:r>
      <w:r w:rsidRPr="00C41A92">
        <w:rPr>
          <w:lang w:val="fr-FR"/>
        </w:rPr>
        <w:t xml:space="preserve"> </w:t>
      </w:r>
      <w:r>
        <w:rPr>
          <w:i/>
          <w:iCs/>
          <w:lang w:val="fr-FR"/>
        </w:rPr>
        <w:t>La Voix du Pays</w:t>
      </w:r>
      <w:r>
        <w:rPr>
          <w:lang w:val="fr-FR"/>
        </w:rPr>
        <w:t>, 23 January 1917.</w:t>
      </w:r>
    </w:p>
  </w:footnote>
  <w:footnote w:id="658">
    <w:p w14:paraId="57B52441" w14:textId="77777777" w:rsidR="00DE3AC9" w:rsidRPr="005C5A6D" w:rsidRDefault="00DE3AC9" w:rsidP="0048510E">
      <w:pPr>
        <w:pStyle w:val="FootnoteText"/>
      </w:pPr>
      <w:r>
        <w:rPr>
          <w:rStyle w:val="FootnoteReference"/>
        </w:rPr>
        <w:footnoteRef/>
      </w:r>
      <w:r>
        <w:t xml:space="preserve"> IWM: Papers of Lt-Colonel A. Lee. Report from Lt-Colonel Bigham of the French mission to General Charteris of the HQ. 3</w:t>
      </w:r>
      <w:r w:rsidRPr="005C5A6D">
        <w:t xml:space="preserve"> March 1917.</w:t>
      </w:r>
    </w:p>
  </w:footnote>
  <w:footnote w:id="659">
    <w:p w14:paraId="5B3CBF15" w14:textId="77777777" w:rsidR="00DE3AC9" w:rsidRPr="00C54460" w:rsidRDefault="00DE3AC9" w:rsidP="0048510E">
      <w:pPr>
        <w:pStyle w:val="FootnoteText"/>
      </w:pPr>
      <w:r>
        <w:rPr>
          <w:rStyle w:val="FootnoteReference"/>
        </w:rPr>
        <w:footnoteRef/>
      </w:r>
      <w:r>
        <w:t xml:space="preserve"> IWM: Papers of Lt-Colonel A. Lee. Report from General Charteris to Lt-Colonel Bigham. </w:t>
      </w:r>
      <w:r w:rsidRPr="00C54460">
        <w:t>5 March 1917.</w:t>
      </w:r>
    </w:p>
  </w:footnote>
  <w:footnote w:id="660">
    <w:p w14:paraId="447B70EE" w14:textId="77777777" w:rsidR="00DE3AC9" w:rsidRPr="00C54460" w:rsidRDefault="00DE3AC9" w:rsidP="0048510E">
      <w:pPr>
        <w:pStyle w:val="FootnoteText"/>
      </w:pPr>
      <w:r>
        <w:rPr>
          <w:rStyle w:val="FootnoteReference"/>
        </w:rPr>
        <w:footnoteRef/>
      </w:r>
      <w:r w:rsidRPr="00C54460">
        <w:t xml:space="preserve"> </w:t>
      </w:r>
      <w:r w:rsidRPr="00C54460">
        <w:rPr>
          <w:i/>
          <w:iCs/>
        </w:rPr>
        <w:t>La Gazette des Ardennes</w:t>
      </w:r>
      <w:r w:rsidRPr="00C54460">
        <w:t>, December 1916.</w:t>
      </w:r>
    </w:p>
  </w:footnote>
  <w:footnote w:id="661">
    <w:p w14:paraId="4EA82E4E" w14:textId="287C4961" w:rsidR="00DE3AC9" w:rsidRPr="005B6A2D" w:rsidRDefault="00DE3AC9" w:rsidP="005C7BEE">
      <w:pPr>
        <w:pStyle w:val="FootnoteText"/>
      </w:pPr>
      <w:r>
        <w:rPr>
          <w:rStyle w:val="FootnoteReference"/>
        </w:rPr>
        <w:footnoteRef/>
      </w:r>
      <w:r w:rsidRPr="005B6A2D">
        <w:t xml:space="preserve"> </w:t>
      </w:r>
      <w: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Pr>
          <w:noProof/>
        </w:rPr>
        <w:t xml:space="preserve">Doughty, </w:t>
      </w:r>
      <w:r w:rsidRPr="005C7BEE">
        <w:rPr>
          <w:i/>
          <w:noProof/>
        </w:rPr>
        <w:t>Pyrrhic victory</w:t>
      </w:r>
      <w:r>
        <w:fldChar w:fldCharType="end"/>
      </w:r>
      <w:r w:rsidRPr="005B6A2D">
        <w:t>, pp. 343 and 354.</w:t>
      </w:r>
    </w:p>
  </w:footnote>
  <w:footnote w:id="662">
    <w:p w14:paraId="250549FE" w14:textId="77777777" w:rsidR="00DE3AC9" w:rsidRPr="00374CF4" w:rsidRDefault="00DE3AC9" w:rsidP="0048510E">
      <w:pPr>
        <w:pStyle w:val="FootnoteText"/>
        <w:rPr>
          <w:lang w:val="fr-FR"/>
        </w:rPr>
      </w:pPr>
      <w:r>
        <w:rPr>
          <w:rStyle w:val="FootnoteReference"/>
        </w:rPr>
        <w:footnoteRef/>
      </w:r>
      <w:r w:rsidRPr="00374CF4">
        <w:rPr>
          <w:lang w:val="fr-FR"/>
        </w:rPr>
        <w:t xml:space="preserve"> </w:t>
      </w:r>
      <w:r w:rsidRPr="00374CF4">
        <w:rPr>
          <w:i/>
          <w:iCs/>
          <w:lang w:val="fr-FR"/>
        </w:rPr>
        <w:t>La Gazette des Ardennes</w:t>
      </w:r>
      <w:r w:rsidRPr="00374CF4">
        <w:rPr>
          <w:lang w:val="fr-FR"/>
        </w:rPr>
        <w:t>, 28 April 1917.</w:t>
      </w:r>
    </w:p>
  </w:footnote>
  <w:footnote w:id="663">
    <w:p w14:paraId="56F45F14"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&lt;EndNote&gt;&lt;Cite&gt;&lt;Author&gt;Audoin-Rouzeau&lt;/Author&gt;&lt;Year&gt;2002&lt;/Year&gt;&lt;RecNum&gt;29&lt;/RecNum&gt;&lt;DisplayText&gt;Audoin-Rouzeau and Becker, &lt;style face="italic"&gt;Understanding&lt;/style&gt;&lt;/DisplayText&gt;&lt;record&gt;&lt;rec-number&gt;29&lt;/rec-number&gt;&lt;foreign-keys&gt;&lt;key app="EN" db-id="2f5rvwawcsv2woetvw35fzwbdvvswerd0err"&gt;29&lt;/key&gt;&lt;/foreign-keys&gt;&lt;ref-type name="Book"&gt;6&lt;/ref-type&gt;&lt;contributors&gt;&lt;authors&gt;&lt;author&gt;Audoin-Rouzeau, Stéphane&lt;/author&gt;&lt;author&gt;Becker, Annette&lt;/author&gt;&lt;/authors&gt;&lt;/contributors&gt;&lt;titles&gt;&lt;title&gt;1914-1918: Understanding the Great War&lt;/title&gt;&lt;short-title&gt;Understanding&lt;/short-title&gt;&lt;/titles&gt;&lt;dates&gt;&lt;year&gt;2002&lt;/year&gt;&lt;/dates&gt;&lt;pub-location&gt;London&lt;/pub-location&gt;&lt;publisher&gt;Profile Books&lt;/publisher&gt;&lt;urls&gt;&lt;/urls&gt;&lt;/record&gt;&lt;/Cite&gt;&lt;/EndNote&gt;</w:instrText>
      </w:r>
      <w:r>
        <w:rPr>
          <w:lang w:val="fr-FR"/>
        </w:rPr>
        <w:fldChar w:fldCharType="separate"/>
      </w:r>
      <w:r w:rsidRPr="00DE3AC9">
        <w:rPr>
          <w:noProof/>
          <w:lang w:val="fr-FR"/>
        </w:rPr>
        <w:t xml:space="preserve">Audoin-Rouzeau and Becker, </w:t>
      </w:r>
      <w:r w:rsidRPr="00DE3AC9">
        <w:rPr>
          <w:i/>
          <w:noProof/>
          <w:lang w:val="fr-FR"/>
        </w:rPr>
        <w:t>Understanding</w:t>
      </w:r>
      <w:r>
        <w:rPr>
          <w:lang w:val="fr-FR"/>
        </w:rPr>
        <w:fldChar w:fldCharType="end"/>
      </w:r>
      <w:r w:rsidRPr="00DE3AC9">
        <w:rPr>
          <w:lang w:val="fr-FR"/>
        </w:rPr>
        <w:t xml:space="preserve">, p. 59 and </w:t>
      </w:r>
      <w:r>
        <w:fldChar w:fldCharType="begin"/>
      </w:r>
      <w:r w:rsidRPr="00DE3AC9">
        <w:rPr>
          <w:lang w:val="fr-FR"/>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fldChar w:fldCharType="separate"/>
      </w:r>
      <w:r w:rsidRPr="00DE3AC9">
        <w:rPr>
          <w:noProof/>
          <w:lang w:val="fr-FR"/>
        </w:rPr>
        <w:t xml:space="preserve">Duroselle, </w:t>
      </w:r>
      <w:r w:rsidRPr="00DE3AC9">
        <w:rPr>
          <w:i/>
          <w:noProof/>
          <w:lang w:val="fr-FR"/>
        </w:rPr>
        <w:t>La Grande Guerre</w:t>
      </w:r>
      <w:r>
        <w:fldChar w:fldCharType="end"/>
      </w:r>
      <w:r w:rsidRPr="00DE3AC9">
        <w:rPr>
          <w:lang w:val="fr-FR"/>
        </w:rPr>
        <w:t>, p. 197.</w:t>
      </w:r>
    </w:p>
  </w:footnote>
  <w:footnote w:id="664">
    <w:p w14:paraId="77F058E1" w14:textId="05A33429" w:rsidR="00DE3AC9" w:rsidRPr="00DE3AC9" w:rsidRDefault="00DE3AC9" w:rsidP="005C7BE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DE3AC9">
        <w:rPr>
          <w:noProof/>
          <w:lang w:val="fr-FR"/>
        </w:rPr>
        <w:t xml:space="preserve">Doughty, </w:t>
      </w:r>
      <w:r w:rsidRPr="00DE3AC9">
        <w:rPr>
          <w:i/>
          <w:noProof/>
          <w:lang w:val="fr-FR"/>
        </w:rPr>
        <w:t>Pyrrhic victory</w:t>
      </w:r>
      <w:r>
        <w:fldChar w:fldCharType="end"/>
      </w:r>
      <w:r w:rsidRPr="00DE3AC9">
        <w:rPr>
          <w:lang w:val="fr-FR"/>
        </w:rPr>
        <w:t xml:space="preserve">, p. 354 and </w:t>
      </w:r>
      <w:r>
        <w:rPr>
          <w:lang w:val="fr-BE"/>
        </w:rPr>
        <w:fldChar w:fldCharType="begin"/>
      </w:r>
      <w:r w:rsidRPr="00DE3AC9">
        <w:rPr>
          <w:lang w:val="fr-FR"/>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fr-BE"/>
        </w:rPr>
        <w:fldChar w:fldCharType="separate"/>
      </w:r>
      <w:r w:rsidRPr="00DE3AC9">
        <w:rPr>
          <w:noProof/>
          <w:lang w:val="fr-FR"/>
        </w:rPr>
        <w:t xml:space="preserve">Duroselle, </w:t>
      </w:r>
      <w:r w:rsidRPr="00DE3AC9">
        <w:rPr>
          <w:i/>
          <w:noProof/>
          <w:lang w:val="fr-FR"/>
        </w:rPr>
        <w:t>La Grande Guerre</w:t>
      </w:r>
      <w:r>
        <w:rPr>
          <w:lang w:val="fr-BE"/>
        </w:rPr>
        <w:fldChar w:fldCharType="end"/>
      </w:r>
      <w:r w:rsidRPr="00DE3AC9">
        <w:rPr>
          <w:lang w:val="fr-FR"/>
        </w:rPr>
        <w:t>, p. 198.</w:t>
      </w:r>
    </w:p>
  </w:footnote>
  <w:footnote w:id="665">
    <w:p w14:paraId="5A8EAF0A" w14:textId="77777777" w:rsidR="00DE3AC9" w:rsidRPr="004F5C5C" w:rsidRDefault="00DE3AC9" w:rsidP="0048510E">
      <w:pPr>
        <w:pStyle w:val="FootnoteText"/>
      </w:pPr>
      <w:r>
        <w:rPr>
          <w:rStyle w:val="FootnoteReference"/>
        </w:rPr>
        <w:footnoteRef/>
      </w:r>
      <w:r>
        <w:t xml:space="preserve"> </w:t>
      </w:r>
      <w:r>
        <w:fldChar w:fldCharType="begin"/>
      </w:r>
      <w:r>
        <w:instrText xml:space="preserve"> ADDIN EN.CITE &lt;EndNote&gt;&lt;Cite&gt;&lt;Author&gt;Becker&lt;/Author&gt;&lt;Year&gt;1985&lt;/Year&gt;&lt;RecNum&gt;134&lt;/RecNum&gt;&lt;DisplayText&gt;Jean-Jacques Becker, &lt;style face="italic"&gt;The Great War and the French people&lt;/style&gt;, (Leamington Spa, 1985)&lt;/DisplayText&gt;&lt;record&gt;&lt;rec-number&gt;134&lt;/rec-number&gt;&lt;foreign-keys&gt;&lt;key app="EN" db-id="2f5rvwawcsv2woetvw35fzwbdvvswerd0err"&gt;134&lt;/key&gt;&lt;/foreign-keys&gt;&lt;ref-type name="Book"&gt;6&lt;/ref-type&gt;&lt;contributors&gt;&lt;authors&gt;&lt;author&gt;Becker, Jean-Jacques&lt;/author&gt;&lt;/authors&gt;&lt;/contributors&gt;&lt;titles&gt;&lt;title&gt;The Great War and the French people&lt;/title&gt;&lt;short-title&gt;The Great War&lt;/short-title&gt;&lt;/titles&gt;&lt;dates&gt;&lt;year&gt;1985&lt;/year&gt;&lt;/dates&gt;&lt;pub-location&gt;Leamington Spa&lt;/pub-location&gt;&lt;urls&gt;&lt;/urls&gt;&lt;/record&gt;&lt;/Cite&gt;&lt;/EndNote&gt;</w:instrText>
      </w:r>
      <w:r>
        <w:fldChar w:fldCharType="separate"/>
      </w:r>
      <w:r>
        <w:rPr>
          <w:noProof/>
        </w:rPr>
        <w:t xml:space="preserve">Jean-Jacques Becker, </w:t>
      </w:r>
      <w:r w:rsidRPr="007B7627">
        <w:rPr>
          <w:i/>
          <w:noProof/>
        </w:rPr>
        <w:t>The Great War and the French people</w:t>
      </w:r>
      <w:r>
        <w:rPr>
          <w:noProof/>
        </w:rPr>
        <w:t>, (Leamington Spa, 1985)</w:t>
      </w:r>
      <w:r>
        <w:fldChar w:fldCharType="end"/>
      </w:r>
      <w:r>
        <w:t xml:space="preserve">, p. 195 and </w:t>
      </w:r>
      <w:r>
        <w:fldChar w:fldCharType="begin"/>
      </w:r>
      <w:r>
        <w:instrText xml:space="preserve"> ADDIN EN.CITE &lt;EndNote&gt;&lt;Cite&gt;&lt;Author&gt;Stevenson&lt;/Author&gt;&lt;Year&gt;1991&lt;/Year&gt;&lt;RecNum&gt;133&lt;/RecNum&gt;&lt;DisplayText&gt;David Stevenson, &amp;apos;The failure of peace by negotiation in 1917&amp;apos;, in: &lt;style face="italic"&gt;The Historical Journal, &lt;/style&gt;34 (1991), &lt;/DisplayText&gt;&lt;record&gt;&lt;rec-number&gt;133&lt;/rec-number&gt;&lt;foreign-keys&gt;&lt;key app="EN" db-id="2f5rvwawcsv2woetvw35fzwbdvvswerd0err"&gt;133&lt;/key&gt;&lt;/foreign-keys&gt;&lt;ref-type name="Journal Article"&gt;17&lt;/ref-type&gt;&lt;contributors&gt;&lt;authors&gt;&lt;author&gt;Stevenson, David&lt;/author&gt;&lt;/authors&gt;&lt;/contributors&gt;&lt;titles&gt;&lt;title&gt;The failure of peace by negotiation in 1917&lt;/title&gt;&lt;secondary-title&gt;The Historical Journal&lt;/secondary-title&gt;&lt;short-title&gt;The failure&lt;/short-title&gt;&lt;/titles&gt;&lt;periodical&gt;&lt;full-title&gt;The Historical Journal&lt;/full-title&gt;&lt;/periodical&gt;&lt;volume&gt;34&lt;/volume&gt;&lt;dates&gt;&lt;year&gt;1991&lt;/year&gt;&lt;/dates&gt;&lt;urls&gt;&lt;/urls&gt;&lt;/record&gt;&lt;/Cite&gt;&lt;/EndNote&gt;</w:instrText>
      </w:r>
      <w:r>
        <w:fldChar w:fldCharType="separate"/>
      </w:r>
      <w:r>
        <w:rPr>
          <w:noProof/>
        </w:rPr>
        <w:t xml:space="preserve">David Stevenson, 'The failure of peace by negotiation in 1917', in: </w:t>
      </w:r>
      <w:r w:rsidRPr="007B7627">
        <w:rPr>
          <w:i/>
          <w:noProof/>
        </w:rPr>
        <w:t xml:space="preserve">The Historical Journal, </w:t>
      </w:r>
      <w:r>
        <w:rPr>
          <w:noProof/>
        </w:rPr>
        <w:t xml:space="preserve">34 (1991), </w:t>
      </w:r>
      <w:r>
        <w:fldChar w:fldCharType="end"/>
      </w:r>
      <w:r>
        <w:t>p. 66.</w:t>
      </w:r>
    </w:p>
  </w:footnote>
  <w:footnote w:id="666">
    <w:p w14:paraId="2EDE03DA" w14:textId="16609D62" w:rsidR="00DE3AC9" w:rsidRPr="000A1B22" w:rsidRDefault="00DE3AC9" w:rsidP="007D5EBA">
      <w:pPr>
        <w:pStyle w:val="FootnoteText"/>
      </w:pPr>
      <w:r>
        <w:rPr>
          <w:rStyle w:val="FootnoteReference"/>
        </w:rPr>
        <w:footnoteRef/>
      </w:r>
      <w:r>
        <w:t xml:space="preserve"> </w:t>
      </w:r>
      <w:r>
        <w:fldChar w:fldCharType="begin"/>
      </w:r>
      <w:r>
        <w:instrText xml:space="preserve"> ADDIN EN.CITE &lt;EndNote&gt;&lt;Cite&gt;&lt;Author&gt;Stevenson&lt;/Author&gt;&lt;Year&gt;1986&lt;/Year&gt;&lt;RecNum&gt;138&lt;/RecNum&gt;&lt;DisplayText&gt;Stevenson, &lt;style face="italic"&gt;French war aims&lt;/style&gt;&lt;/DisplayText&gt;&lt;record&gt;&lt;rec-number&gt;138&lt;/rec-number&gt;&lt;foreign-keys&gt;&lt;key app="EN" db-id="2f5rvwawcsv2woetvw35fzwbdvvswerd0err"&gt;138&lt;/key&gt;&lt;/foreign-keys&gt;&lt;ref-type name="Book"&gt;6&lt;/ref-type&gt;&lt;contributors&gt;&lt;authors&gt;&lt;author&gt;Stevenson, David&lt;/author&gt;&lt;/authors&gt;&lt;/contributors&gt;&lt;titles&gt;&lt;title&gt;French war aims against Germany&lt;/title&gt;&lt;short-title&gt;French war aims&lt;/short-title&gt;&lt;/titles&gt;&lt;dates&gt;&lt;year&gt;1986&lt;/year&gt;&lt;/dates&gt;&lt;pub-location&gt;Oxford&lt;/pub-location&gt;&lt;urls&gt;&lt;/urls&gt;&lt;/record&gt;&lt;/Cite&gt;&lt;/EndNote&gt;</w:instrText>
      </w:r>
      <w:r>
        <w:fldChar w:fldCharType="separate"/>
      </w:r>
      <w:r>
        <w:rPr>
          <w:noProof/>
        </w:rPr>
        <w:t xml:space="preserve">Stevenson, </w:t>
      </w:r>
      <w:r w:rsidRPr="007D5EBA">
        <w:rPr>
          <w:i/>
          <w:noProof/>
        </w:rPr>
        <w:t>French war aims</w:t>
      </w:r>
      <w:r>
        <w:fldChar w:fldCharType="end"/>
      </w:r>
      <w:r>
        <w:t>, p</w:t>
      </w:r>
      <w:r w:rsidRPr="000A1B22">
        <w:t>. 61</w:t>
      </w:r>
      <w:r>
        <w:t>.</w:t>
      </w:r>
    </w:p>
  </w:footnote>
  <w:footnote w:id="667">
    <w:p w14:paraId="16468748" w14:textId="70E7561E" w:rsidR="00DE3AC9" w:rsidRPr="00C54460" w:rsidRDefault="00DE3AC9" w:rsidP="005C7BEE">
      <w:pPr>
        <w:pStyle w:val="FootnoteText"/>
        <w:rPr>
          <w:lang w:val="fr-FR"/>
        </w:rPr>
      </w:pPr>
      <w:r>
        <w:rPr>
          <w:rStyle w:val="FootnoteReference"/>
        </w:rPr>
        <w:footnoteRef/>
      </w:r>
      <w:r w:rsidRPr="00C54460">
        <w:rPr>
          <w:lang w:val="fr-FR"/>
        </w:rPr>
        <w:t xml:space="preserve"> </w:t>
      </w:r>
      <w:r>
        <w:rPr>
          <w:lang w:val="fr-FR"/>
        </w:rP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Pr>
          <w:noProof/>
          <w:lang w:val="fr-FR"/>
        </w:rPr>
        <w:t xml:space="preserve">Doughty, </w:t>
      </w:r>
      <w:r w:rsidRPr="005C7BEE">
        <w:rPr>
          <w:i/>
          <w:noProof/>
          <w:lang w:val="fr-FR"/>
        </w:rPr>
        <w:t>Pyrrhic victory</w:t>
      </w:r>
      <w:r>
        <w:rPr>
          <w:lang w:val="fr-FR"/>
        </w:rPr>
        <w:fldChar w:fldCharType="end"/>
      </w:r>
      <w:r w:rsidRPr="00C54460">
        <w:rPr>
          <w:lang w:val="fr-FR"/>
        </w:rPr>
        <w:t>, p. 348.</w:t>
      </w:r>
    </w:p>
  </w:footnote>
  <w:footnote w:id="668">
    <w:p w14:paraId="2AC09AC4" w14:textId="77777777" w:rsidR="00DE3AC9" w:rsidRPr="00D869D9" w:rsidRDefault="00DE3AC9" w:rsidP="005C7BEE">
      <w:pPr>
        <w:pStyle w:val="FootnoteText"/>
        <w:rPr>
          <w:lang w:val="fr-FR"/>
        </w:rPr>
      </w:pPr>
      <w:r>
        <w:rPr>
          <w:rStyle w:val="FootnoteReference"/>
        </w:rPr>
        <w:footnoteRef/>
      </w:r>
      <w:r w:rsidRPr="005E512E">
        <w:rPr>
          <w:lang w:val="fr-BE"/>
        </w:rPr>
        <w:t xml:space="preserve"> </w:t>
      </w:r>
      <w:r>
        <w:fldChar w:fldCharType="begin"/>
      </w:r>
      <w:r>
        <w:rPr>
          <w:lang w:val="fr-BE"/>
        </w:rPr>
        <w:instrText xml:space="preserve"> ADDIN EN.CITE &lt;EndNote&gt;&lt;Cite&gt;&lt;Author&gt;Rioux&lt;/Author&gt;&lt;Year&gt;2000&lt;/Year&gt;&lt;RecNum&gt;132&lt;/RecNum&gt;&lt;DisplayText&gt;Jean-Pierre Rioux, &amp;apos;Histoire et mémoire au Chemin des Dames&amp;apos;, in: &lt;style face="italic"&gt;Vingtième Siècle, &lt;/style&gt;68 (2000), &lt;/DisplayText&gt;&lt;record&gt;&lt;rec-number&gt;132&lt;/rec-number&gt;&lt;foreign-keys&gt;&lt;key app="EN" db-id="2f5rvwawcsv2woetvw35fzwbdvvswerd0err"&gt;132&lt;/key&gt;&lt;/foreign-keys&gt;&lt;ref-type name="Journal Article"&gt;17&lt;/ref-type&gt;&lt;contributors&gt;&lt;authors&gt;&lt;author&gt;Rioux, Jean-Pierre&lt;/author&gt;&lt;/authors&gt;&lt;/contributors&gt;&lt;titles&gt;&lt;title&gt;Histoire et mémoire au Chemin des Dames&lt;/title&gt;&lt;secondary-title&gt;Vingtième Siècle&lt;/secondary-title&gt;&lt;short-title&gt;Histoire&lt;/short-title&gt;&lt;/titles&gt;&lt;periodical&gt;&lt;full-title&gt;Vingtième Siècle&lt;/full-title&gt;&lt;/periodical&gt;&lt;volume&gt;68&lt;/volume&gt;&lt;dates&gt;&lt;year&gt;2000&lt;/year&gt;&lt;/dates&gt;&lt;urls&gt;&lt;/urls&gt;&lt;/record&gt;&lt;/Cite&gt;&lt;/EndNote&gt;</w:instrText>
      </w:r>
      <w:r>
        <w:fldChar w:fldCharType="separate"/>
      </w:r>
      <w:r w:rsidRPr="007B7627">
        <w:rPr>
          <w:noProof/>
          <w:lang w:val="fr-BE"/>
        </w:rPr>
        <w:t xml:space="preserve">Jean-Pierre Rioux, 'Histoire et mémoire au Chemin des Dames', in: </w:t>
      </w:r>
      <w:r w:rsidRPr="007B7627">
        <w:rPr>
          <w:i/>
          <w:noProof/>
          <w:lang w:val="fr-BE"/>
        </w:rPr>
        <w:t xml:space="preserve">Vingtième Siècle, </w:t>
      </w:r>
      <w:r w:rsidRPr="007B7627">
        <w:rPr>
          <w:noProof/>
          <w:lang w:val="fr-BE"/>
        </w:rPr>
        <w:t xml:space="preserve">68 (2000), </w:t>
      </w:r>
      <w:r>
        <w:fldChar w:fldCharType="end"/>
      </w:r>
      <w:r w:rsidRPr="0071549B">
        <w:rPr>
          <w:lang w:val="fr-FR"/>
        </w:rPr>
        <w:t xml:space="preserve">pp. 130-131 and </w:t>
      </w:r>
      <w:r>
        <w:fldChar w:fldCharType="begin"/>
      </w:r>
      <w:r>
        <w:rPr>
          <w:lang w:val="fr-FR"/>
        </w:rPr>
        <w:instrText xml:space="preserve"> ADDIN EN.CITE &lt;EndNote&gt;&lt;Cite&gt;&lt;Author&gt;Offenstadt&lt;/Author&gt;&lt;Year&gt;2010&lt;/Year&gt;&lt;RecNum&gt;127&lt;/RecNum&gt;&lt;DisplayText&gt;Offenstadt, &lt;style face="italic"&gt;14-18 aujourd&amp;apos;hui&lt;/style&gt;&lt;/DisplayText&gt;&lt;record&gt;&lt;rec-number&gt;127&lt;/rec-number&gt;&lt;foreign-keys&gt;&lt;key app="EN" db-id="2f5rvwawcsv2woetvw35fzwbdvvswerd0err"&gt;127&lt;/key&gt;&lt;/foreign-keys&gt;&lt;ref-type name="Book"&gt;6&lt;/ref-type&gt;&lt;contributors&gt;&lt;authors&gt;&lt;author&gt;Offenstadt, Nicolas&lt;/author&gt;&lt;/authors&gt;&lt;/contributors&gt;&lt;titles&gt;&lt;title&gt;14-18 aujourd&amp;apos;hui: la Grande Guerre dans la France contemporaine&lt;/title&gt;&lt;short-title&gt;14-18 aujourd&amp;apos;hui&lt;/short-title&gt;&lt;/titles&gt;&lt;dates&gt;&lt;year&gt;2010&lt;/year&gt;&lt;/dates&gt;&lt;pub-location&gt;Paris&lt;/pub-location&gt;&lt;urls&gt;&lt;/urls&gt;&lt;/record&gt;&lt;/Cite&gt;&lt;/EndNote&gt;</w:instrText>
      </w:r>
      <w:r>
        <w:fldChar w:fldCharType="separate"/>
      </w:r>
      <w:r w:rsidRPr="005C7BEE">
        <w:rPr>
          <w:noProof/>
          <w:lang w:val="fr-FR"/>
        </w:rPr>
        <w:t xml:space="preserve">Offenstadt, </w:t>
      </w:r>
      <w:r w:rsidRPr="005C7BEE">
        <w:rPr>
          <w:i/>
          <w:noProof/>
          <w:lang w:val="fr-FR"/>
        </w:rPr>
        <w:t>14-18 aujourd'hui</w:t>
      </w:r>
      <w:r>
        <w:fldChar w:fldCharType="end"/>
      </w:r>
      <w:r w:rsidRPr="0071549B">
        <w:rPr>
          <w:lang w:val="fr-FR"/>
        </w:rPr>
        <w:t>, pp. 7-8.</w:t>
      </w:r>
    </w:p>
  </w:footnote>
  <w:footnote w:id="669">
    <w:p w14:paraId="39FE213A" w14:textId="5BB05B4D" w:rsidR="00DE3AC9" w:rsidRPr="007C3DB8" w:rsidRDefault="00DE3AC9" w:rsidP="005C7BEE">
      <w:pPr>
        <w:pStyle w:val="FootnoteText"/>
        <w:rPr>
          <w:lang w:val="fr-FR"/>
        </w:rPr>
      </w:pPr>
      <w:r>
        <w:rPr>
          <w:rStyle w:val="FootnoteReference"/>
        </w:rPr>
        <w:footnoteRef/>
      </w:r>
      <w:r w:rsidRPr="007C3DB8">
        <w:rPr>
          <w:lang w:val="fr-FR"/>
        </w:rPr>
        <w:t xml:space="preserve"> </w:t>
      </w:r>
      <w:r>
        <w:rPr>
          <w:lang w:val="fr-BE"/>
        </w:rP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BE"/>
        </w:rPr>
        <w:fldChar w:fldCharType="separate"/>
      </w:r>
      <w:r w:rsidRPr="005C7BEE">
        <w:rPr>
          <w:noProof/>
          <w:lang w:val="fr-FR"/>
        </w:rPr>
        <w:t xml:space="preserve">Doughty, </w:t>
      </w:r>
      <w:r w:rsidRPr="005C7BEE">
        <w:rPr>
          <w:i/>
          <w:noProof/>
          <w:lang w:val="fr-FR"/>
        </w:rPr>
        <w:t>Pyrrhic victory</w:t>
      </w:r>
      <w:r>
        <w:rPr>
          <w:lang w:val="fr-BE"/>
        </w:rPr>
        <w:fldChar w:fldCharType="end"/>
      </w:r>
      <w:r w:rsidRPr="007C3DB8">
        <w:rPr>
          <w:lang w:val="fr-FR"/>
        </w:rPr>
        <w:t>, p. 345.</w:t>
      </w:r>
    </w:p>
  </w:footnote>
  <w:footnote w:id="670">
    <w:p w14:paraId="654D879C" w14:textId="77777777" w:rsidR="00DE3AC9" w:rsidRPr="00F46960" w:rsidRDefault="00DE3AC9" w:rsidP="0048510E">
      <w:pPr>
        <w:pStyle w:val="FootnoteText"/>
        <w:rPr>
          <w:lang w:val="fr-BE"/>
        </w:rPr>
      </w:pPr>
      <w:r>
        <w:rPr>
          <w:rStyle w:val="FootnoteReference"/>
        </w:rPr>
        <w:footnoteRef/>
      </w:r>
      <w:r>
        <w:rPr>
          <w:lang w:val="fr-BE"/>
        </w:rPr>
        <w:t xml:space="preserve"> </w:t>
      </w:r>
      <w:r>
        <w:rPr>
          <w:lang w:val="fr-BE"/>
        </w:rPr>
        <w:fldChar w:fldCharType="begin"/>
      </w:r>
      <w:r>
        <w:rPr>
          <w:lang w:val="fr-BE"/>
        </w:rPr>
        <w:instrText xml:space="preserve"> ADDIN EN.CITE &lt;EndNote&gt;&lt;Cite&gt;&lt;Author&gt;Loez&lt;/Author&gt;&lt;Year&gt;2004&lt;/Year&gt;&lt;RecNum&gt;136&lt;/RecNum&gt;&lt;DisplayText&gt;André Loez, &amp;apos;La bataille avant la bataille: imaginer et deviner l&amp;apos;offensive&amp;apos;, in: &lt;style face="italic"&gt;Le Chemin des Dames, &lt;/style&gt;ed. by N. Offenstadt (Paris, 2004),&lt;/DisplayText&gt;&lt;record&gt;&lt;rec-number&gt;136&lt;/rec-number&gt;&lt;foreign-keys&gt;&lt;key app="EN" db-id="2f5rvwawcsv2woetvw35fzwbdvvswerd0err"&gt;136&lt;/key&gt;&lt;/foreign-keys&gt;&lt;ref-type name="Book Section"&gt;5&lt;/ref-type&gt;&lt;contributors&gt;&lt;authors&gt;&lt;author&gt;Loez, André&lt;/author&gt;&lt;/authors&gt;&lt;secondary-authors&gt;&lt;author&gt;N. Offenstadt&lt;/author&gt;&lt;/secondary-authors&gt;&lt;/contributors&gt;&lt;titles&gt;&lt;title&gt;La bataille avant la bataille: imaginer et deviner l&amp;apos;offensive&lt;/title&gt;&lt;secondary-title&gt;Le Chemin des Dames&lt;/secondary-title&gt;&lt;short-title&gt;La bataille&lt;/short-title&gt;&lt;/titles&gt;&lt;dates&gt;&lt;year&gt;2004&lt;/year&gt;&lt;/dates&gt;&lt;pub-location&gt;Paris&lt;/pub-location&gt;&lt;urls&gt;&lt;/urls&gt;&lt;/record&gt;&lt;/Cite&gt;&lt;/EndNote&gt;</w:instrText>
      </w:r>
      <w:r>
        <w:rPr>
          <w:lang w:val="fr-BE"/>
        </w:rPr>
        <w:fldChar w:fldCharType="separate"/>
      </w:r>
      <w:r>
        <w:rPr>
          <w:noProof/>
          <w:lang w:val="fr-BE"/>
        </w:rPr>
        <w:t xml:space="preserve">André Loez, 'La bataille avant la bataille: imaginer et deviner l'offensive', in: </w:t>
      </w:r>
      <w:r w:rsidRPr="007B7627">
        <w:rPr>
          <w:i/>
          <w:noProof/>
          <w:lang w:val="fr-BE"/>
        </w:rPr>
        <w:t xml:space="preserve">Le Chemin des Dames, </w:t>
      </w:r>
      <w:r>
        <w:rPr>
          <w:noProof/>
          <w:lang w:val="fr-BE"/>
        </w:rPr>
        <w:t>ed. by N. Offenstadt (Paris, 2004),</w:t>
      </w:r>
      <w:r>
        <w:rPr>
          <w:lang w:val="fr-BE"/>
        </w:rPr>
        <w:fldChar w:fldCharType="end"/>
      </w:r>
      <w:r>
        <w:rPr>
          <w:lang w:val="fr-BE"/>
        </w:rPr>
        <w:t xml:space="preserve"> p. 271.</w:t>
      </w:r>
    </w:p>
  </w:footnote>
  <w:footnote w:id="671">
    <w:p w14:paraId="6A5847D5" w14:textId="77777777" w:rsidR="00DE3AC9" w:rsidRPr="00AB46BE" w:rsidRDefault="00DE3AC9" w:rsidP="0048510E">
      <w:pPr>
        <w:pStyle w:val="FootnoteText"/>
        <w:rPr>
          <w:lang w:val="fr-FR"/>
        </w:rPr>
      </w:pPr>
      <w:r>
        <w:rPr>
          <w:rStyle w:val="FootnoteReference"/>
        </w:rPr>
        <w:footnoteRef/>
      </w:r>
      <w:r w:rsidRPr="00AB46BE">
        <w:rPr>
          <w:lang w:val="fr-FR"/>
        </w:rPr>
        <w:t xml:space="preserve"> </w:t>
      </w:r>
      <w:r>
        <w:rPr>
          <w:i/>
          <w:iCs/>
          <w:lang w:val="fr-FR"/>
        </w:rPr>
        <w:t>Le Courrier de l’Air</w:t>
      </w:r>
      <w:r>
        <w:rPr>
          <w:lang w:val="fr-FR"/>
        </w:rPr>
        <w:t xml:space="preserve">, 13 April 1917 and </w:t>
      </w:r>
      <w:r>
        <w:rPr>
          <w:i/>
          <w:iCs/>
          <w:lang w:val="fr-FR"/>
        </w:rPr>
        <w:t>La Voix du Pays</w:t>
      </w:r>
      <w:r>
        <w:rPr>
          <w:lang w:val="fr-FR"/>
        </w:rPr>
        <w:t>, 17 April 1917.</w:t>
      </w:r>
    </w:p>
  </w:footnote>
  <w:footnote w:id="672">
    <w:p w14:paraId="57C8A040" w14:textId="77777777" w:rsidR="00DE3AC9" w:rsidRPr="00C54460" w:rsidRDefault="00DE3AC9" w:rsidP="005C7BEE">
      <w:pPr>
        <w:pStyle w:val="FootnoteText"/>
      </w:pPr>
      <w:r>
        <w:rPr>
          <w:rStyle w:val="FootnoteReference"/>
        </w:rPr>
        <w:footnoteRef/>
      </w:r>
      <w:r w:rsidRPr="00C54460">
        <w:t xml:space="preserve"> </w:t>
      </w:r>
      <w: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Pr>
          <w:noProof/>
        </w:rPr>
        <w:t xml:space="preserve">Sheffield, </w:t>
      </w:r>
      <w:r w:rsidRPr="005C7BEE">
        <w:rPr>
          <w:i/>
          <w:noProof/>
        </w:rPr>
        <w:t>Forgotten victory</w:t>
      </w:r>
      <w:r>
        <w:fldChar w:fldCharType="end"/>
      </w:r>
      <w:r w:rsidRPr="00C54460">
        <w:t>, p. 194.</w:t>
      </w:r>
    </w:p>
  </w:footnote>
  <w:footnote w:id="673">
    <w:p w14:paraId="46B8AA57" w14:textId="77777777" w:rsidR="00DE3AC9" w:rsidRPr="00127DD9" w:rsidRDefault="00DE3AC9" w:rsidP="0048510E">
      <w:pPr>
        <w:pStyle w:val="FootnoteText"/>
      </w:pPr>
      <w:r>
        <w:rPr>
          <w:rStyle w:val="FootnoteReference"/>
        </w:rPr>
        <w:footnoteRef/>
      </w:r>
      <w:r>
        <w:t xml:space="preserve"> </w:t>
      </w:r>
      <w:r>
        <w:fldChar w:fldCharType="begin"/>
      </w:r>
      <w:r>
        <w:instrText xml:space="preserve"> ADDIN EN.CITE &lt;EndNote&gt;&lt;Cite&gt;&lt;Author&gt;Haig&lt;/Author&gt;&lt;Year&gt;1952&lt;/Year&gt;&lt;RecNum&gt;139&lt;/RecNum&gt;&lt;DisplayText&gt;Douglas Haig, &lt;style face="italic"&gt;The private papers of Douglas Haig, 1914-1919&lt;/style&gt;, (London, 1952)&lt;/DisplayText&gt;&lt;record&gt;&lt;rec-number&gt;139&lt;/rec-number&gt;&lt;foreign-keys&gt;&lt;key app="EN" db-id="2f5rvwawcsv2woetvw35fzwbdvvswerd0err"&gt;139&lt;/key&gt;&lt;/foreign-keys&gt;&lt;ref-type name="Book"&gt;6&lt;/ref-type&gt;&lt;contributors&gt;&lt;authors&gt;&lt;author&gt;Haig, Douglas&lt;/author&gt;&lt;/authors&gt;&lt;secondary-authors&gt;&lt;author&gt;Blacke, R.&lt;/author&gt;&lt;/secondary-authors&gt;&lt;/contributors&gt;&lt;titles&gt;&lt;title&gt;The private papers of Douglas Haig, 1914-1919&lt;/title&gt;&lt;short-title&gt;The private papers&lt;/short-title&gt;&lt;/titles&gt;&lt;dates&gt;&lt;year&gt;1952&lt;/year&gt;&lt;/dates&gt;&lt;pub-location&gt;London&lt;/pub-location&gt;&lt;urls&gt;&lt;/urls&gt;&lt;/record&gt;&lt;/Cite&gt;&lt;/EndNote&gt;</w:instrText>
      </w:r>
      <w:r>
        <w:fldChar w:fldCharType="separate"/>
      </w:r>
      <w:r>
        <w:rPr>
          <w:noProof/>
        </w:rPr>
        <w:t xml:space="preserve">Douglas Haig, </w:t>
      </w:r>
      <w:r w:rsidRPr="007B7627">
        <w:rPr>
          <w:i/>
          <w:noProof/>
        </w:rPr>
        <w:t>The private papers of Douglas Haig, 1914-1919</w:t>
      </w:r>
      <w:r>
        <w:rPr>
          <w:noProof/>
        </w:rPr>
        <w:t>, (London, 1952)</w:t>
      </w:r>
      <w:r>
        <w:fldChar w:fldCharType="end"/>
      </w:r>
      <w:r>
        <w:rPr>
          <w:i/>
        </w:rPr>
        <w:t xml:space="preserve">, </w:t>
      </w:r>
      <w:r>
        <w:t>p. 218.</w:t>
      </w:r>
    </w:p>
  </w:footnote>
  <w:footnote w:id="674">
    <w:p w14:paraId="356BA572" w14:textId="77777777" w:rsidR="00DE3AC9" w:rsidRPr="007C3DB8" w:rsidRDefault="00DE3AC9" w:rsidP="0048510E">
      <w:pPr>
        <w:pStyle w:val="FootnoteText"/>
        <w:rPr>
          <w:lang w:val="fr-FR"/>
        </w:rPr>
      </w:pPr>
      <w:r>
        <w:rPr>
          <w:rStyle w:val="FootnoteReference"/>
        </w:rPr>
        <w:footnoteRef/>
      </w:r>
      <w:r w:rsidRPr="007C3DB8">
        <w:rPr>
          <w:lang w:val="fr-FR"/>
        </w:rPr>
        <w:t xml:space="preserve"> </w:t>
      </w:r>
      <w:r>
        <w:fldChar w:fldCharType="begin"/>
      </w:r>
      <w:r w:rsidRPr="007C3DB8">
        <w:rPr>
          <w:lang w:val="fr-FR"/>
        </w:rPr>
        <w:instrText xml:space="preserve"> ADDIN EN.CITE &lt;EndNote&gt;&lt;Cite&gt;&lt;Author&gt;Miquel&lt;/Author&gt;&lt;Year&gt;1997&lt;/Year&gt;&lt;RecNum&gt;131&lt;/RecNum&gt;&lt;DisplayText&gt;Miquel, &lt;style face="italic"&gt;Le chemin&lt;/style&gt;&lt;/DisplayText&gt;&lt;record&gt;&lt;rec-number&gt;131&lt;/rec-number&gt;&lt;foreign-keys&gt;&lt;key app="EN" db-id="2f5rvwawcsv2woetvw35fzwbdvvswerd0err"&gt;131&lt;/key&gt;&lt;/foreign-keys&gt;&lt;ref-type name="Book"&gt;6&lt;/ref-type&gt;&lt;contributors&gt;&lt;authors&gt;&lt;author&gt;Miquel, Pierre&lt;/author&gt;&lt;/authors&gt;&lt;/contributors&gt;&lt;titles&gt;&lt;title&gt;Le chemin des Dames&lt;/title&gt;&lt;short-title&gt;Le chemin&lt;/short-title&gt;&lt;/titles&gt;&lt;dates&gt;&lt;year&gt;1997&lt;/year&gt;&lt;/dates&gt;&lt;pub-location&gt;Paris&lt;/pub-location&gt;&lt;urls&gt;&lt;/urls&gt;&lt;/record&gt;&lt;/Cite&gt;&lt;/EndNote&gt;</w:instrText>
      </w:r>
      <w:r>
        <w:fldChar w:fldCharType="separate"/>
      </w:r>
      <w:r w:rsidRPr="007C3DB8">
        <w:rPr>
          <w:noProof/>
          <w:lang w:val="fr-FR"/>
        </w:rPr>
        <w:t xml:space="preserve">Miquel, </w:t>
      </w:r>
      <w:r w:rsidRPr="007C3DB8">
        <w:rPr>
          <w:i/>
          <w:noProof/>
          <w:lang w:val="fr-FR"/>
        </w:rPr>
        <w:t>Le chemin</w:t>
      </w:r>
      <w:r>
        <w:fldChar w:fldCharType="end"/>
      </w:r>
      <w:r w:rsidRPr="007C3DB8">
        <w:rPr>
          <w:lang w:val="fr-FR"/>
        </w:rPr>
        <w:t xml:space="preserve">, pp. 16-17 and </w:t>
      </w:r>
      <w:r>
        <w:rPr>
          <w:lang w:val="nl-NL"/>
        </w:rPr>
        <w:fldChar w:fldCharType="begin"/>
      </w:r>
      <w:r>
        <w:rPr>
          <w:lang w:val="fr-FR"/>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nl-NL"/>
        </w:rPr>
        <w:fldChar w:fldCharType="separate"/>
      </w:r>
      <w:r w:rsidRPr="007C3DB8">
        <w:rPr>
          <w:noProof/>
          <w:lang w:val="fr-FR"/>
        </w:rPr>
        <w:t xml:space="preserve">Duroselle, </w:t>
      </w:r>
      <w:r w:rsidRPr="007C3DB8">
        <w:rPr>
          <w:i/>
          <w:noProof/>
          <w:lang w:val="fr-FR"/>
        </w:rPr>
        <w:t>La Grande Guerre</w:t>
      </w:r>
      <w:r>
        <w:rPr>
          <w:lang w:val="nl-NL"/>
        </w:rPr>
        <w:fldChar w:fldCharType="end"/>
      </w:r>
      <w:r w:rsidRPr="007C3DB8">
        <w:rPr>
          <w:lang w:val="fr-FR"/>
        </w:rPr>
        <w:t>, p. 194.</w:t>
      </w:r>
    </w:p>
  </w:footnote>
  <w:footnote w:id="675">
    <w:p w14:paraId="7DB6D815" w14:textId="34B281F2"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BE"/>
        </w:rPr>
        <w:fldChar w:fldCharType="begin"/>
      </w:r>
      <w:r w:rsidRPr="00DE3AC9">
        <w:rPr>
          <w:lang w:val="fr-FR"/>
        </w:rPr>
        <w:instrText xml:space="preserve"> ADDIN EN.CITE &lt;EndNote&gt;&lt;Cite&gt;&lt;Author&gt;Loez&lt;/Author&gt;&lt;Year&gt;2004&lt;/Year&gt;&lt;RecNum&gt;136&lt;/RecNum&gt;&lt;DisplayText&gt;Loez, &lt;style face="italic"&gt;La bataille&lt;/style&gt;&lt;/DisplayText&gt;&lt;record&gt;&lt;rec-number&gt;136&lt;/rec-number&gt;&lt;foreign-keys&gt;&lt;key app="EN" db-id="2f5rvwawcsv2woetvw35fzwbdvvswerd0err"&gt;136&lt;/key&gt;&lt;/foreign-keys&gt;&lt;ref-type name="Book Section"&gt;5&lt;/ref-type&gt;&lt;contributors&gt;&lt;authors&gt;&lt;author&gt;Loez, André&lt;/author&gt;&lt;/authors&gt;&lt;secondary-authors&gt;&lt;author&gt;N. Offenstadt&lt;/author&gt;&lt;/secondary-authors&gt;&lt;/contributors&gt;&lt;titles&gt;&lt;title&gt;La bataille avant la bataille: imaginer et deviner l&amp;apos;offensive&lt;/title&gt;&lt;secondary-title&gt;Le Chemin des Dames&lt;/secondary-title&gt;&lt;short-title&gt;La bataille&lt;/short-title&gt;&lt;/titles&gt;&lt;dates&gt;&lt;year&gt;2004&lt;/year&gt;&lt;/dates&gt;&lt;pub-location&gt;Paris&lt;/pub-location&gt;&lt;urls&gt;&lt;/urls&gt;&lt;/record&gt;&lt;/Cite&gt;&lt;/EndNote&gt;</w:instrText>
      </w:r>
      <w:r>
        <w:rPr>
          <w:lang w:val="fr-BE"/>
        </w:rPr>
        <w:fldChar w:fldCharType="separate"/>
      </w:r>
      <w:r w:rsidRPr="00DE3AC9">
        <w:rPr>
          <w:noProof/>
          <w:lang w:val="fr-FR"/>
        </w:rPr>
        <w:t xml:space="preserve">Loez, </w:t>
      </w:r>
      <w:r w:rsidRPr="00DE3AC9">
        <w:rPr>
          <w:i/>
          <w:noProof/>
          <w:lang w:val="fr-FR"/>
        </w:rPr>
        <w:t>La bataille</w:t>
      </w:r>
      <w:r>
        <w:rPr>
          <w:lang w:val="fr-BE"/>
        </w:rPr>
        <w:fldChar w:fldCharType="end"/>
      </w:r>
      <w:r w:rsidRPr="00DE3AC9">
        <w:rPr>
          <w:lang w:val="fr-FR"/>
        </w:rPr>
        <w:t xml:space="preserve">, p. 280-283 and </w:t>
      </w:r>
      <w:r>
        <w:fldChar w:fldCharType="begin"/>
      </w:r>
      <w:r w:rsidRPr="00DE3AC9">
        <w:rPr>
          <w:lang w:val="fr-FR"/>
        </w:rPr>
        <w:instrText xml:space="preserve"> ADDIN EN.CITE &lt;EndNote&gt;&lt;Cite&gt;&lt;Author&gt;Smith&lt;/Author&gt;&lt;Year&gt;1997&lt;/Year&gt;&lt;RecNum&gt;140&lt;/RecNum&gt;&lt;DisplayText&gt;Leonard Smith, &amp;apos;Remobilizing the citizen-soldier&amp;apos;, in: &lt;style face="italic"&gt;State, society and mobilization in Europe during the First World War, &lt;/style&gt;ed. by John Horne (Cambridge, 1997),&lt;/DisplayText&gt;&lt;record&gt;&lt;rec-number&gt;140&lt;/rec-number&gt;&lt;foreign-keys&gt;&lt;key app="EN" db-id="2f5rvwawcsv2woetvw35fzwbdvvswerd0err"&gt;140&lt;/key&gt;&lt;/foreign-keys&gt;&lt;ref-type name="Book Section"&gt;5&lt;/ref-type&gt;&lt;contributors&gt;&lt;authors&gt;&lt;author&gt;Smith, Leonard&lt;/author&gt;&lt;/authors&gt;&lt;secondary-authors&gt;&lt;author&gt;Horne, John&lt;/author&gt;&lt;/secondary-authors&gt;&lt;/contributors&gt;&lt;titles&gt;&lt;title&gt;Remobilizing the citizen-soldier&lt;/title&gt;&lt;secondary-title&gt;State,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fldChar w:fldCharType="separate"/>
      </w:r>
      <w:r w:rsidRPr="00DE3AC9">
        <w:rPr>
          <w:noProof/>
          <w:lang w:val="fr-FR"/>
        </w:rPr>
        <w:t xml:space="preserve">Leonard Smith, 'Remobilizing the citizen-soldier', in: </w:t>
      </w:r>
      <w:r w:rsidRPr="00DE3AC9">
        <w:rPr>
          <w:i/>
          <w:noProof/>
          <w:lang w:val="fr-FR"/>
        </w:rPr>
        <w:t xml:space="preserve">State, society and mobilization in Europe during the First World War, </w:t>
      </w:r>
      <w:r w:rsidRPr="00DE3AC9">
        <w:rPr>
          <w:noProof/>
          <w:lang w:val="fr-FR"/>
        </w:rPr>
        <w:t>ed. by John Horne (Cambridge, 1997),</w:t>
      </w:r>
      <w:r>
        <w:fldChar w:fldCharType="end"/>
      </w:r>
      <w:r w:rsidRPr="00DE3AC9">
        <w:rPr>
          <w:lang w:val="fr-FR"/>
        </w:rPr>
        <w:t xml:space="preserve"> pp. 153-154.</w:t>
      </w:r>
    </w:p>
  </w:footnote>
  <w:footnote w:id="676">
    <w:p w14:paraId="6A8C9D61" w14:textId="77777777" w:rsidR="00DE3AC9" w:rsidRPr="00DE0F8A" w:rsidRDefault="00DE3AC9" w:rsidP="0048510E">
      <w:pPr>
        <w:pStyle w:val="FootnoteText"/>
        <w:rPr>
          <w:lang w:val="fr-BE"/>
        </w:rPr>
      </w:pPr>
      <w:r>
        <w:rPr>
          <w:rStyle w:val="FootnoteReference"/>
        </w:rPr>
        <w:footnoteRef/>
      </w:r>
      <w:r w:rsidRPr="00DE0F8A">
        <w:rPr>
          <w:lang w:val="fr-BE"/>
        </w:rPr>
        <w:t xml:space="preserve"> </w:t>
      </w:r>
      <w:r>
        <w:rPr>
          <w:lang w:val="fr-BE"/>
        </w:rPr>
        <w:fldChar w:fldCharType="begin"/>
      </w:r>
      <w:r>
        <w:rPr>
          <w:lang w:val="fr-BE"/>
        </w:rPr>
        <w:instrText xml:space="preserve"> ADDIN EN.CITE &lt;EndNote&gt;&lt;Cite&gt;&lt;Author&gt;Horne&lt;/Author&gt;&lt;Year&gt;1987&lt;/Year&gt;&lt;RecNum&gt;137&lt;/RecNum&gt;&lt;DisplayText&gt;John Horne, &amp;apos;Information, opinion publique et l&amp;apos;offensive de Nivelles du 16 avril 1917&amp;apos;, in: &lt;style face="italic"&gt;Images de 1917, &lt;/style&gt;ed. by Laurent Gervereau and Christophe Prochasson (Paris and Nanterre, 1987),&lt;/DisplayText&gt;&lt;record&gt;&lt;rec-number&gt;137&lt;/rec-number&gt;&lt;foreign-keys&gt;&lt;key app="EN" db-id="2f5rvwawcsv2woetvw35fzwbdvvswerd0err"&gt;137&lt;/key&gt;&lt;/foreign-keys&gt;&lt;ref-type name="Book Section"&gt;5&lt;/ref-type&gt;&lt;contributors&gt;&lt;authors&gt;&lt;author&gt;Horne, John&lt;/author&gt;&lt;/authors&gt;&lt;secondary-authors&gt;&lt;author&gt;Laurent Gervereau&lt;/author&gt;&lt;author&gt;Christophe Prochasson&lt;/author&gt;&lt;/secondary-authors&gt;&lt;/contributors&gt;&lt;titles&gt;&lt;title&gt;Information, opinion publique et l&amp;apos;offensive de Nivelles du 16 avril 1917&lt;/title&gt;&lt;secondary-title&gt;Images de 1917&lt;/secondary-title&gt;&lt;short-title&gt;Information&lt;/short-title&gt;&lt;/titles&gt;&lt;dates&gt;&lt;year&gt;1987&lt;/year&gt;&lt;/dates&gt;&lt;pub-location&gt;Paris and Nanterre&lt;/pub-location&gt;&lt;urls&gt;&lt;/urls&gt;&lt;/record&gt;&lt;/Cite&gt;&lt;/EndNote&gt;</w:instrText>
      </w:r>
      <w:r>
        <w:rPr>
          <w:lang w:val="fr-BE"/>
        </w:rPr>
        <w:fldChar w:fldCharType="separate"/>
      </w:r>
      <w:r>
        <w:rPr>
          <w:noProof/>
          <w:lang w:val="fr-BE"/>
        </w:rPr>
        <w:t xml:space="preserve">John Horne, 'Information, opinion publique et l'offensive de Nivelles du 16 avril 1917', in: </w:t>
      </w:r>
      <w:r w:rsidRPr="007B7627">
        <w:rPr>
          <w:i/>
          <w:noProof/>
          <w:lang w:val="fr-BE"/>
        </w:rPr>
        <w:t xml:space="preserve">Images de 1917, </w:t>
      </w:r>
      <w:r>
        <w:rPr>
          <w:noProof/>
          <w:lang w:val="fr-BE"/>
        </w:rPr>
        <w:t>ed. by Laurent Gervereau and Christophe Prochasson (Paris and Nanterre, 1987),</w:t>
      </w:r>
      <w:r>
        <w:rPr>
          <w:lang w:val="fr-BE"/>
        </w:rPr>
        <w:fldChar w:fldCharType="end"/>
      </w:r>
      <w:r>
        <w:rPr>
          <w:lang w:val="fr-BE"/>
        </w:rPr>
        <w:t xml:space="preserve"> pp. 72-80.</w:t>
      </w:r>
    </w:p>
  </w:footnote>
  <w:footnote w:id="677">
    <w:p w14:paraId="2F7E86E7" w14:textId="77777777" w:rsidR="00DE3AC9" w:rsidRPr="00F2781E" w:rsidRDefault="00DE3AC9" w:rsidP="0048510E">
      <w:pPr>
        <w:pStyle w:val="FootnoteText"/>
        <w:rPr>
          <w:lang w:val="fr-BE"/>
        </w:rPr>
      </w:pPr>
      <w:r>
        <w:rPr>
          <w:rStyle w:val="FootnoteReference"/>
        </w:rPr>
        <w:footnoteRef/>
      </w:r>
      <w:r w:rsidRPr="00F2781E">
        <w:rPr>
          <w:lang w:val="fr-BE"/>
        </w:rPr>
        <w:t xml:space="preserve"> </w:t>
      </w:r>
      <w:r>
        <w:rPr>
          <w:i/>
          <w:lang w:val="fr-BE"/>
        </w:rPr>
        <w:t>La Voix du Pays</w:t>
      </w:r>
      <w:r>
        <w:rPr>
          <w:lang w:val="fr-BE"/>
        </w:rPr>
        <w:t xml:space="preserve">, 17 April 1917 and </w:t>
      </w:r>
      <w:r>
        <w:rPr>
          <w:i/>
          <w:lang w:val="fr-BE"/>
        </w:rPr>
        <w:t>Le Courrier de l’Air</w:t>
      </w:r>
      <w:r>
        <w:rPr>
          <w:lang w:val="fr-BE"/>
        </w:rPr>
        <w:t>, 20 April 1917.</w:t>
      </w:r>
    </w:p>
  </w:footnote>
  <w:footnote w:id="678">
    <w:p w14:paraId="240A1EA4" w14:textId="77777777" w:rsidR="00DE3AC9" w:rsidRPr="00E6467B" w:rsidRDefault="00DE3AC9" w:rsidP="0048510E">
      <w:pPr>
        <w:pStyle w:val="FootnoteText"/>
        <w:rPr>
          <w:lang w:val="it-IT"/>
        </w:rPr>
      </w:pPr>
      <w:r>
        <w:rPr>
          <w:rStyle w:val="FootnoteReference"/>
        </w:rPr>
        <w:footnoteRef/>
      </w:r>
      <w:r w:rsidRPr="00E6467B">
        <w:rPr>
          <w:lang w:val="it-IT"/>
        </w:rPr>
        <w:t xml:space="preserve"> </w:t>
      </w:r>
      <w:r>
        <w:rPr>
          <w:lang w:val="fr-BE"/>
        </w:rPr>
        <w:fldChar w:fldCharType="begin"/>
      </w:r>
      <w:r>
        <w:rPr>
          <w:lang w:val="it-IT"/>
        </w:rPr>
        <w:instrText xml:space="preserve"> ADDIN EN.CITE &lt;EndNote&gt;&lt;Cite&gt;&lt;Author&gt;Duroselle&lt;/Author&gt;&lt;Year&gt;2002&lt;/Year&gt;&lt;RecNum&gt;135&lt;/RecNum&gt;&lt;DisplayText&gt;Duroselle, &lt;style face="italic"&gt;La Grande Guerre&lt;/style&gt;&lt;/DisplayText&gt;&lt;record&gt;&lt;rec-number&gt;135&lt;/rec-number&gt;&lt;foreign-keys&gt;&lt;key app="EN" db-id="2f5rvwawcsv2woetvw35fzwbdvvswerd0err"&gt;135&lt;/key&gt;&lt;/foreign-keys&gt;&lt;ref-type name="Book"&gt;6&lt;/ref-type&gt;&lt;contributors&gt;&lt;authors&gt;&lt;author&gt;Duroselle, Jean-Baptiste&lt;/author&gt;&lt;/authors&gt;&lt;/contributors&gt;&lt;titles&gt;&lt;title&gt;La Grande Guerre des Français: l&amp;apos;incompréhensible&lt;/title&gt;&lt;short-title&gt;La Grande Guerre&lt;/short-title&gt;&lt;/titles&gt;&lt;dates&gt;&lt;year&gt;2002&lt;/year&gt;&lt;/dates&gt;&lt;pub-location&gt;Paris&lt;/pub-location&gt;&lt;urls&gt;&lt;/urls&gt;&lt;/record&gt;&lt;/Cite&gt;&lt;/EndNote&gt;</w:instrText>
      </w:r>
      <w:r>
        <w:rPr>
          <w:lang w:val="fr-BE"/>
        </w:rPr>
        <w:fldChar w:fldCharType="separate"/>
      </w:r>
      <w:r w:rsidRPr="007B7627">
        <w:rPr>
          <w:noProof/>
          <w:lang w:val="it-IT"/>
        </w:rPr>
        <w:t xml:space="preserve">Duroselle, </w:t>
      </w:r>
      <w:r w:rsidRPr="007B7627">
        <w:rPr>
          <w:i/>
          <w:noProof/>
          <w:lang w:val="it-IT"/>
        </w:rPr>
        <w:t>La Grande Guerre</w:t>
      </w:r>
      <w:r>
        <w:rPr>
          <w:lang w:val="fr-BE"/>
        </w:rPr>
        <w:fldChar w:fldCharType="end"/>
      </w:r>
      <w:r w:rsidRPr="00E6467B">
        <w:rPr>
          <w:lang w:val="it-IT"/>
        </w:rPr>
        <w:t>, pp. 197-198.</w:t>
      </w:r>
    </w:p>
  </w:footnote>
  <w:footnote w:id="679">
    <w:p w14:paraId="3346416F" w14:textId="3A0B7B49" w:rsidR="00DE3AC9" w:rsidRPr="00C54460" w:rsidRDefault="00DE3AC9" w:rsidP="005C7BEE">
      <w:pPr>
        <w:pStyle w:val="FootnoteText"/>
        <w:rPr>
          <w:lang w:val="fr-FR"/>
        </w:rPr>
      </w:pPr>
      <w:r>
        <w:rPr>
          <w:rStyle w:val="FootnoteReference"/>
        </w:rPr>
        <w:footnoteRef/>
      </w:r>
      <w:r w:rsidRPr="00C54460">
        <w:rPr>
          <w:lang w:val="fr-FR"/>
        </w:rPr>
        <w:t xml:space="preserve"> </w:t>
      </w:r>
      <w:r>
        <w:fldChar w:fldCharType="begin"/>
      </w:r>
      <w:r>
        <w:rPr>
          <w:lang w:val="fr-FR"/>
        </w:rP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fldChar w:fldCharType="separate"/>
      </w:r>
      <w:r w:rsidRPr="005C7BEE">
        <w:rPr>
          <w:noProof/>
          <w:lang w:val="fr-FR"/>
        </w:rPr>
        <w:t xml:space="preserve">Doughty, </w:t>
      </w:r>
      <w:r w:rsidRPr="005C7BEE">
        <w:rPr>
          <w:i/>
          <w:noProof/>
          <w:lang w:val="fr-FR"/>
        </w:rPr>
        <w:t>Pyrrhic victory</w:t>
      </w:r>
      <w:r>
        <w:fldChar w:fldCharType="end"/>
      </w:r>
      <w:r w:rsidRPr="00C54460">
        <w:rPr>
          <w:lang w:val="fr-FR"/>
        </w:rPr>
        <w:t>, p. 352.</w:t>
      </w:r>
    </w:p>
  </w:footnote>
  <w:footnote w:id="680">
    <w:p w14:paraId="29492095" w14:textId="77777777" w:rsidR="00DE3AC9" w:rsidRPr="000A1B22" w:rsidRDefault="00DE3AC9" w:rsidP="0048510E">
      <w:pPr>
        <w:pStyle w:val="FootnoteText"/>
        <w:rPr>
          <w:lang w:val="fr-BE"/>
        </w:rPr>
      </w:pPr>
      <w:r>
        <w:rPr>
          <w:rStyle w:val="FootnoteReference"/>
        </w:rPr>
        <w:footnoteRef/>
      </w:r>
      <w:r w:rsidRPr="000A1B22">
        <w:rPr>
          <w:lang w:val="fr-BE"/>
        </w:rPr>
        <w:t xml:space="preserve"> </w:t>
      </w:r>
      <w:r>
        <w:rPr>
          <w:i/>
          <w:lang w:val="fr-BE"/>
        </w:rPr>
        <w:t>La Voix du Pays</w:t>
      </w:r>
      <w:r>
        <w:rPr>
          <w:lang w:val="fr-BE"/>
        </w:rPr>
        <w:t>, 17 April 1917.</w:t>
      </w:r>
    </w:p>
  </w:footnote>
  <w:footnote w:id="681">
    <w:p w14:paraId="7573C520" w14:textId="77777777" w:rsidR="00DE3AC9" w:rsidRPr="00BE621A" w:rsidRDefault="00DE3AC9" w:rsidP="0048510E">
      <w:pPr>
        <w:pStyle w:val="FootnoteText"/>
        <w:rPr>
          <w:lang w:val="fr-FR"/>
        </w:rPr>
      </w:pPr>
      <w:r>
        <w:rPr>
          <w:rStyle w:val="FootnoteReference"/>
        </w:rPr>
        <w:footnoteRef/>
      </w:r>
      <w:r w:rsidRPr="00BE621A">
        <w:rPr>
          <w:lang w:val="fr-FR"/>
        </w:rPr>
        <w:t xml:space="preserve"> </w:t>
      </w:r>
      <w:r>
        <w:rPr>
          <w:i/>
          <w:iCs/>
          <w:lang w:val="fr-FR"/>
        </w:rPr>
        <w:t>Le Courrier de l’Air</w:t>
      </w:r>
      <w:r>
        <w:rPr>
          <w:lang w:val="fr-FR"/>
        </w:rPr>
        <w:t>, 20 April 1917.</w:t>
      </w:r>
    </w:p>
  </w:footnote>
  <w:footnote w:id="682">
    <w:p w14:paraId="755E4406" w14:textId="77777777" w:rsidR="00DE3AC9" w:rsidRPr="00CE466E" w:rsidRDefault="00DE3AC9" w:rsidP="0048510E">
      <w:pPr>
        <w:pStyle w:val="FootnoteText"/>
        <w:rPr>
          <w:lang w:val="fr-FR"/>
        </w:rPr>
      </w:pPr>
      <w:r>
        <w:rPr>
          <w:rStyle w:val="FootnoteReference"/>
        </w:rPr>
        <w:footnoteRef/>
      </w:r>
      <w:r w:rsidRPr="006D57F2">
        <w:t xml:space="preserve"> </w:t>
      </w:r>
      <w:r w:rsidRPr="006D57F2">
        <w:rPr>
          <w:i/>
          <w:iCs/>
        </w:rPr>
        <w:t xml:space="preserve">La Belgique, </w:t>
      </w:r>
      <w:r w:rsidRPr="006D57F2">
        <w:t xml:space="preserve">20 April 1917 and 22 April 1917. </w:t>
      </w:r>
      <w:r>
        <w:rPr>
          <w:lang w:val="fr-FR"/>
        </w:rPr>
        <w:t xml:space="preserve">See also </w:t>
      </w:r>
      <w:r>
        <w:rPr>
          <w:i/>
          <w:iCs/>
          <w:lang w:val="fr-FR"/>
        </w:rPr>
        <w:t>La Gazette des Ardennes</w:t>
      </w:r>
      <w:r>
        <w:rPr>
          <w:lang w:val="fr-FR"/>
        </w:rPr>
        <w:t>, 24 April 1917.</w:t>
      </w:r>
    </w:p>
  </w:footnote>
  <w:footnote w:id="683">
    <w:p w14:paraId="3C648D7F" w14:textId="77777777" w:rsidR="00DE3AC9" w:rsidRPr="0099359D" w:rsidRDefault="00DE3AC9" w:rsidP="0048510E">
      <w:pPr>
        <w:pStyle w:val="FootnoteText"/>
        <w:rPr>
          <w:lang w:val="fr-FR"/>
        </w:rPr>
      </w:pPr>
      <w:r>
        <w:rPr>
          <w:rStyle w:val="FootnoteReference"/>
        </w:rPr>
        <w:footnoteRef/>
      </w:r>
      <w:r w:rsidRPr="0099359D">
        <w:rPr>
          <w:lang w:val="fr-FR"/>
        </w:rPr>
        <w:t xml:space="preserve"> </w:t>
      </w:r>
      <w:r>
        <w:rPr>
          <w:i/>
          <w:iCs/>
          <w:lang w:val="fr-FR"/>
        </w:rPr>
        <w:t>La Gazette des Ardennes</w:t>
      </w:r>
      <w:r>
        <w:rPr>
          <w:lang w:val="fr-FR"/>
        </w:rPr>
        <w:t xml:space="preserve">, 26 April 1917. </w:t>
      </w:r>
    </w:p>
  </w:footnote>
  <w:footnote w:id="684">
    <w:p w14:paraId="78950997" w14:textId="77777777" w:rsidR="00DE3AC9" w:rsidRPr="00ED0174" w:rsidRDefault="00DE3AC9" w:rsidP="0048510E">
      <w:pPr>
        <w:pStyle w:val="FootnoteText"/>
        <w:rPr>
          <w:lang w:val="fr-FR"/>
        </w:rPr>
      </w:pPr>
      <w:r>
        <w:rPr>
          <w:rStyle w:val="FootnoteReference"/>
        </w:rPr>
        <w:footnoteRef/>
      </w:r>
      <w:r w:rsidRPr="00ED0174">
        <w:rPr>
          <w:lang w:val="fr-FR"/>
        </w:rPr>
        <w:t xml:space="preserve"> </w:t>
      </w:r>
      <w:r>
        <w:rPr>
          <w:i/>
          <w:iCs/>
          <w:lang w:val="fr-FR"/>
        </w:rPr>
        <w:t>La Gazette des Ardennes</w:t>
      </w:r>
      <w:r>
        <w:rPr>
          <w:lang w:val="fr-FR"/>
        </w:rPr>
        <w:t>, 3 May 1917.</w:t>
      </w:r>
    </w:p>
  </w:footnote>
  <w:footnote w:id="685">
    <w:p w14:paraId="089DD880"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BE"/>
        </w:rPr>
        <w:fldChar w:fldCharType="begin"/>
      </w:r>
      <w:r w:rsidRPr="00C54460">
        <w:rPr>
          <w:lang w:val="fr-FR"/>
        </w:rPr>
        <w:instrText xml:space="preserve"> ADDIN EN.CITE &lt;EndNote&gt;&lt;Cite&gt;&lt;Author&gt;Loez&lt;/Author&gt;&lt;Year&gt;2004&lt;/Year&gt;&lt;RecNum&gt;136&lt;/RecNum&gt;&lt;DisplayText&gt;Loez, &lt;style face="italic"&gt;La bataille&lt;/style&gt;&lt;/DisplayText&gt;&lt;record&gt;&lt;rec-number&gt;136&lt;/rec-number&gt;&lt;foreign-keys&gt;&lt;key app="EN" db-id="2f5rvwawcsv2woetvw35fzwbdvvswerd0err"&gt;136&lt;/key&gt;&lt;/foreign-keys&gt;&lt;ref-type name="Book Section"&gt;5&lt;/ref-type&gt;&lt;contributors&gt;&lt;authors&gt;&lt;author&gt;Loez, André&lt;/author&gt;&lt;/authors&gt;&lt;secondary-authors&gt;&lt;author&gt;N. Offenstadt&lt;/author&gt;&lt;/secondary-authors&gt;&lt;/contributors&gt;&lt;titles&gt;&lt;title&gt;La bataille avant la bataille: imaginer et deviner l&amp;apos;offensive&lt;/title&gt;&lt;secondary-title&gt;Le Chemin des Dames&lt;/secondary-title&gt;&lt;short-title&gt;La bataille&lt;/short-title&gt;&lt;/titles&gt;&lt;dates&gt;&lt;year&gt;2004&lt;/year&gt;&lt;/dates&gt;&lt;pub-location&gt;Paris&lt;/pub-location&gt;&lt;urls&gt;&lt;/urls&gt;&lt;/record&gt;&lt;/Cite&gt;&lt;/EndNote&gt;</w:instrText>
      </w:r>
      <w:r>
        <w:rPr>
          <w:lang w:val="fr-BE"/>
        </w:rPr>
        <w:fldChar w:fldCharType="separate"/>
      </w:r>
      <w:r w:rsidRPr="00C54460">
        <w:rPr>
          <w:noProof/>
          <w:lang w:val="fr-FR"/>
        </w:rPr>
        <w:t xml:space="preserve">Loez, </w:t>
      </w:r>
      <w:r w:rsidRPr="00C54460">
        <w:rPr>
          <w:i/>
          <w:noProof/>
          <w:lang w:val="fr-FR"/>
        </w:rPr>
        <w:t>La bataille</w:t>
      </w:r>
      <w:r>
        <w:rPr>
          <w:lang w:val="fr-BE"/>
        </w:rPr>
        <w:fldChar w:fldCharType="end"/>
      </w:r>
      <w:r w:rsidRPr="00C54460">
        <w:rPr>
          <w:lang w:val="fr-FR"/>
        </w:rPr>
        <w:t>, 2004, p. 282.</w:t>
      </w:r>
    </w:p>
  </w:footnote>
  <w:footnote w:id="686">
    <w:p w14:paraId="2A8756AE"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&lt;EndNote&gt;&lt;Cite&gt;&lt;Author&gt;Audoin-Rouzeau&lt;/Author&gt;&lt;Year&gt;2006&lt;/Year&gt;&lt;RecNum&gt;108&lt;/RecNum&gt;&lt;DisplayText&gt;Audoin-Rouzeau, Becker, and Smith, &lt;style face="italic"&gt;France&lt;/style&gt;&lt;/DisplayText&gt;&lt;record&gt;&lt;rec-number&gt;108&lt;/rec-number&gt;&lt;foreign-keys&gt;&lt;key app="EN" db-id="2f5rvwawcsv2woetvw35fzwbdvvswerd0err"&gt;108&lt;/key&gt;&lt;/foreign-keys&gt;&lt;ref-type name="Book"&gt;6&lt;/ref-type&gt;&lt;contributors&gt;&lt;authors&gt;&lt;author&gt;Audoin-Rouzeau, Stéphane&lt;/author&gt;&lt;author&gt;Becker, Annette&lt;/author&gt;&lt;author&gt;Smith, Leonard&lt;/author&gt;&lt;/authors&gt;&lt;/contributors&gt;&lt;titles&gt;&lt;title&gt;France and the Great War 1914-1918&lt;/title&gt;&lt;short-title&gt;France&lt;/short-title&gt;&lt;/titles&gt;&lt;dates&gt;&lt;year&gt;2006&lt;/year&gt;&lt;/dates&gt;&lt;pub-location&gt;Cambridge&lt;/pub-location&gt;&lt;urls&gt;&lt;/urls&gt;&lt;/record&gt;&lt;/Cite&gt;&lt;/EndNote&gt;</w:instrText>
      </w:r>
      <w:r>
        <w:fldChar w:fldCharType="separate"/>
      </w:r>
      <w:r w:rsidRPr="00C54460">
        <w:rPr>
          <w:noProof/>
          <w:lang w:val="fr-FR"/>
        </w:rPr>
        <w:t xml:space="preserve">Audoin-Rouzeau, Becker, and Smith, </w:t>
      </w:r>
      <w:r w:rsidRPr="00C54460">
        <w:rPr>
          <w:i/>
          <w:noProof/>
          <w:lang w:val="fr-FR"/>
        </w:rPr>
        <w:t>France</w:t>
      </w:r>
      <w:r>
        <w:fldChar w:fldCharType="end"/>
      </w:r>
      <w:r w:rsidRPr="00C54460">
        <w:rPr>
          <w:lang w:val="fr-FR"/>
        </w:rPr>
        <w:t>, p. 127.</w:t>
      </w:r>
    </w:p>
  </w:footnote>
  <w:footnote w:id="687">
    <w:p w14:paraId="2515232F" w14:textId="77777777" w:rsidR="00DE3AC9" w:rsidRPr="00385A70" w:rsidRDefault="00DE3AC9" w:rsidP="0048510E">
      <w:pPr>
        <w:pStyle w:val="FootnoteText"/>
        <w:rPr>
          <w:lang w:val="fr-FR"/>
        </w:rPr>
      </w:pPr>
      <w:r>
        <w:rPr>
          <w:rStyle w:val="FootnoteReference"/>
        </w:rPr>
        <w:footnoteRef/>
      </w:r>
      <w:r w:rsidRPr="00385A70">
        <w:rPr>
          <w:lang w:val="fr-FR"/>
        </w:rPr>
        <w:t xml:space="preserve"> </w:t>
      </w:r>
      <w:r>
        <w:fldChar w:fldCharType="begin"/>
      </w:r>
      <w:r>
        <w:rPr>
          <w:lang w:val="fr-FR"/>
        </w:rPr>
        <w:instrText xml:space="preserve"> ADDIN EN.CITE &lt;EndNote&gt;&lt;Cite&gt;&lt;Author&gt;Ziemann&lt;/Author&gt;&lt;Year&gt;2004&lt;/Year&gt;&lt;RecNum&gt;260&lt;/RecNum&gt;&lt;DisplayText&gt;Benjamin Ziemann, &amp;apos;Le Chemin des Dames dans l&amp;apos;historiographie militaire allemande&amp;apos;, in: &lt;style face="italic"&gt;Le Chemin des Dames, &lt;/style&gt;ed. by N. Offenstadt (Paris, 2004),&lt;/DisplayText&gt;&lt;record&gt;&lt;rec-number&gt;260&lt;/rec-number&gt;&lt;foreign-keys&gt;&lt;key app="EN" db-id="2f5rvwawcsv2woetvw35fzwbdvvswerd0err"&gt;260&lt;/key&gt;&lt;/foreign-keys&gt;&lt;ref-type name="Book Section"&gt;5&lt;/ref-type&gt;&lt;contributors&gt;&lt;authors&gt;&lt;author&gt;Ziemann, Benjamin&lt;/author&gt;&lt;/authors&gt;&lt;secondary-authors&gt;&lt;author&gt;Offenstadt, N.&lt;/author&gt;&lt;/secondary-authors&gt;&lt;/contributors&gt;&lt;titles&gt;&lt;title&gt;Le Chemin des Dames dans l&amp;apos;historiographie militaire allemande&lt;/title&gt;&lt;secondary-title&gt;Le Chemin des Dames&lt;/secondary-title&gt;&lt;short-title&gt;Le Chemin&lt;/short-title&gt;&lt;/titles&gt;&lt;dates&gt;&lt;year&gt;2004&lt;/year&gt;&lt;/dates&gt;&lt;pub-location&gt;Paris&lt;/pub-location&gt;&lt;urls&gt;&lt;/urls&gt;&lt;/record&gt;&lt;/Cite&gt;&lt;/EndNote&gt;</w:instrText>
      </w:r>
      <w:r>
        <w:fldChar w:fldCharType="separate"/>
      </w:r>
      <w:r w:rsidRPr="007B7627">
        <w:rPr>
          <w:noProof/>
          <w:lang w:val="fr-FR"/>
        </w:rPr>
        <w:t xml:space="preserve">Benjamin Ziemann, 'Le Chemin des Dames dans l'historiographie militaire allemande', in: </w:t>
      </w:r>
      <w:r w:rsidRPr="007B7627">
        <w:rPr>
          <w:i/>
          <w:noProof/>
          <w:lang w:val="fr-FR"/>
        </w:rPr>
        <w:t xml:space="preserve">Le Chemin des Dames, </w:t>
      </w:r>
      <w:r w:rsidRPr="007B7627">
        <w:rPr>
          <w:noProof/>
          <w:lang w:val="fr-FR"/>
        </w:rPr>
        <w:t>ed. by N. Offenstadt (Paris, 2004),</w:t>
      </w:r>
      <w:r>
        <w:fldChar w:fldCharType="end"/>
      </w:r>
      <w:r w:rsidRPr="00385A70">
        <w:rPr>
          <w:lang w:val="fr-FR"/>
        </w:rPr>
        <w:t xml:space="preserve"> p. 547.</w:t>
      </w:r>
    </w:p>
  </w:footnote>
  <w:footnote w:id="688">
    <w:p w14:paraId="36F390F9" w14:textId="77777777" w:rsidR="00DE3AC9" w:rsidRPr="005E512E" w:rsidRDefault="00DE3AC9" w:rsidP="005C7BEE">
      <w:pPr>
        <w:pStyle w:val="FootnoteText"/>
      </w:pPr>
      <w:r>
        <w:rPr>
          <w:rStyle w:val="FootnoteReference"/>
        </w:rPr>
        <w:footnoteRef/>
      </w:r>
      <w:r>
        <w:t xml:space="preserve"> </w:t>
      </w:r>
      <w:r>
        <w:fldChar w:fldCharType="begin"/>
      </w:r>
      <w:r>
        <w:instrText xml:space="preserve"> ADDIN EN.CITE &lt;EndNote&gt;&lt;Cite&gt;&lt;Author&gt;Smith&lt;/Author&gt;&lt;Year&gt;2004&lt;/Year&gt;&lt;RecNum&gt;141&lt;/RecNum&gt;&lt;DisplayText&gt;Leonard Smith, &lt;style face="italic"&gt;Between mutiny and obedience: the case of the fifth infantry division during World War I&lt;/style&gt;, (Princeton, 2004)&lt;/DisplayText&gt;&lt;record&gt;&lt;rec-number&gt;141&lt;/rec-number&gt;&lt;foreign-keys&gt;&lt;key app="EN" db-id="2f5rvwawcsv2woetvw35fzwbdvvswerd0err"&gt;141&lt;/key&gt;&lt;/foreign-keys&gt;&lt;ref-type name="Book"&gt;6&lt;/ref-type&gt;&lt;contributors&gt;&lt;authors&gt;&lt;author&gt;Smith, Leonard&lt;/author&gt;&lt;/authors&gt;&lt;/contributors&gt;&lt;titles&gt;&lt;title&gt;Between mutiny and obedience: the case of the fifth infantry division during World War I&lt;/title&gt;&lt;short-title&gt;Between mutiny&lt;/short-title&gt;&lt;/titles&gt;&lt;dates&gt;&lt;year&gt;2004&lt;/year&gt;&lt;/dates&gt;&lt;pub-location&gt;Princeton&lt;/pub-location&gt;&lt;urls&gt;&lt;/urls&gt;&lt;/record&gt;&lt;/Cite&gt;&lt;/EndNote&gt;</w:instrText>
      </w:r>
      <w:r>
        <w:fldChar w:fldCharType="separate"/>
      </w:r>
      <w:r>
        <w:rPr>
          <w:noProof/>
        </w:rPr>
        <w:t xml:space="preserve">Leonard Smith, </w:t>
      </w:r>
      <w:r w:rsidRPr="005C7BEE">
        <w:rPr>
          <w:i/>
          <w:noProof/>
        </w:rPr>
        <w:t>Between mutiny and obedience: the case of the fifth infantry division during World War I</w:t>
      </w:r>
      <w:r>
        <w:rPr>
          <w:noProof/>
        </w:rPr>
        <w:t>, (Princeton, 2004)</w:t>
      </w:r>
      <w:r>
        <w:fldChar w:fldCharType="end"/>
      </w:r>
      <w:r>
        <w:t>,</w:t>
      </w:r>
      <w:r w:rsidRPr="005E512E">
        <w:t xml:space="preserve"> p. </w:t>
      </w:r>
      <w:r>
        <w:t>180.</w:t>
      </w:r>
    </w:p>
  </w:footnote>
  <w:footnote w:id="689">
    <w:p w14:paraId="390D8490" w14:textId="77777777" w:rsidR="00DE3AC9" w:rsidRPr="0023126A" w:rsidRDefault="00DE3AC9" w:rsidP="005C7BEE">
      <w:pPr>
        <w:pStyle w:val="FootnoteText"/>
      </w:pPr>
      <w:r>
        <w:rPr>
          <w:rStyle w:val="FootnoteReference"/>
        </w:rPr>
        <w:footnoteRef/>
      </w:r>
      <w:r w:rsidRPr="0023126A">
        <w:t xml:space="preserve"> </w:t>
      </w:r>
      <w:r>
        <w:fldChar w:fldCharType="begin"/>
      </w:r>
      <w:r>
        <w:instrText xml:space="preserve"> ADDIN EN.CITE &lt;EndNote&gt;&lt;Cite&gt;&lt;Author&gt;Olivera&lt;/Author&gt;&lt;Year&gt;2004&lt;/Year&gt;&lt;RecNum&gt;144&lt;/RecNum&gt;&lt;DisplayText&gt;Philippe Olivera, &amp;apos;La bataille introuvable&amp;apos;, in: &lt;style face="italic"&gt;Le Chemin des Dames, &lt;/style&gt;ed. by N. Offenstadt (Paris 2004),&lt;/DisplayText&gt;&lt;record&gt;&lt;rec-number&gt;144&lt;/rec-number&gt;&lt;foreign-keys&gt;&lt;key app="EN" db-id="2f5rvwawcsv2woetvw35fzwbdvvswerd0err"&gt;144&lt;/key&gt;&lt;/foreign-keys&gt;&lt;ref-type name="Book Section"&gt;5&lt;/ref-type&gt;&lt;contributors&gt;&lt;authors&gt;&lt;author&gt;Olivera, Philippe&lt;/author&gt;&lt;/authors&gt;&lt;secondary-authors&gt;&lt;author&gt;N. Offenstadt&lt;/author&gt;&lt;/secondary-authors&gt;&lt;/contributors&gt;&lt;titles&gt;&lt;title&gt;La bataille introuvable&lt;/title&gt;&lt;secondary-title&gt;Le Chemin des Dames&lt;/secondary-title&gt;&lt;short-title&gt;La bataille&lt;/short-title&gt;&lt;/titles&gt;&lt;dates&gt;&lt;year&gt;2004&lt;/year&gt;&lt;/dates&gt;&lt;pub-location&gt;Paris &lt;/pub-location&gt;&lt;urls&gt;&lt;/urls&gt;&lt;/record&gt;&lt;/Cite&gt;&lt;/EndNote&gt;</w:instrText>
      </w:r>
      <w:r>
        <w:fldChar w:fldCharType="separate"/>
      </w:r>
      <w:r>
        <w:rPr>
          <w:noProof/>
        </w:rPr>
        <w:t xml:space="preserve">Philippe Olivera, 'La bataille introuvable', in: </w:t>
      </w:r>
      <w:r w:rsidRPr="007B7627">
        <w:rPr>
          <w:i/>
          <w:noProof/>
        </w:rPr>
        <w:t xml:space="preserve">Le Chemin des Dames, </w:t>
      </w:r>
      <w:r>
        <w:rPr>
          <w:noProof/>
        </w:rPr>
        <w:t>ed. by N. Offenstadt (Paris 2004),</w:t>
      </w:r>
      <w:r>
        <w:fldChar w:fldCharType="end"/>
      </w:r>
      <w:r w:rsidRPr="0023126A">
        <w:t xml:space="preserve"> p. 59 and </w:t>
      </w:r>
      <w:r>
        <w:rPr>
          <w:lang w:val="fr-BE"/>
        </w:rPr>
        <w:fldChar w:fldCharType="begin"/>
      </w:r>
      <w:r>
        <w:instrText xml:space="preserve"> ADDIN EN.CITE &lt;EndNote&gt;&lt;Cite&gt;&lt;Author&gt;Smith&lt;/Author&gt;&lt;Year&gt;2004&lt;/Year&gt;&lt;RecNum&gt;141&lt;/RecNum&gt;&lt;DisplayText&gt;Smith, &lt;style face="italic"&gt;Between mutiny&lt;/style&gt;&lt;/DisplayText&gt;&lt;record&gt;&lt;rec-number&gt;141&lt;/rec-number&gt;&lt;foreign-keys&gt;&lt;key app="EN" db-id="2f5rvwawcsv2woetvw35fzwbdvvswerd0err"&gt;141&lt;/key&gt;&lt;/foreign-keys&gt;&lt;ref-type name="Book"&gt;6&lt;/ref-type&gt;&lt;contributors&gt;&lt;authors&gt;&lt;author&gt;Smith, Leonard&lt;/author&gt;&lt;/authors&gt;&lt;/contributors&gt;&lt;titles&gt;&lt;title&gt;Between mutiny and obedience: the case of the fifth infantry division during World War I&lt;/title&gt;&lt;short-title&gt;Between mutiny&lt;/short-title&gt;&lt;/titles&gt;&lt;dates&gt;&lt;year&gt;2004&lt;/year&gt;&lt;/dates&gt;&lt;pub-location&gt;Princeton&lt;/pub-location&gt;&lt;urls&gt;&lt;/urls&gt;&lt;/record&gt;&lt;/Cite&gt;&lt;/EndNote&gt;</w:instrText>
      </w:r>
      <w:r>
        <w:rPr>
          <w:lang w:val="fr-BE"/>
        </w:rPr>
        <w:fldChar w:fldCharType="separate"/>
      </w:r>
      <w:r w:rsidRPr="005C7BEE">
        <w:rPr>
          <w:noProof/>
        </w:rPr>
        <w:t xml:space="preserve">Smith, </w:t>
      </w:r>
      <w:r w:rsidRPr="005C7BEE">
        <w:rPr>
          <w:i/>
          <w:noProof/>
        </w:rPr>
        <w:t>Between mutiny</w:t>
      </w:r>
      <w:r>
        <w:rPr>
          <w:lang w:val="fr-BE"/>
        </w:rPr>
        <w:fldChar w:fldCharType="end"/>
      </w:r>
      <w:r w:rsidRPr="0023126A">
        <w:t>, p. 181.</w:t>
      </w:r>
    </w:p>
  </w:footnote>
  <w:footnote w:id="690">
    <w:p w14:paraId="56A35590" w14:textId="77777777" w:rsidR="00DE3AC9" w:rsidRPr="00DC68F8" w:rsidRDefault="00DE3AC9" w:rsidP="0048510E">
      <w:pPr>
        <w:pStyle w:val="FootnoteText"/>
        <w:rPr>
          <w:lang w:val="fr-FR"/>
        </w:rPr>
      </w:pPr>
      <w:r>
        <w:rPr>
          <w:rStyle w:val="FootnoteReference"/>
        </w:rPr>
        <w:footnoteRef/>
      </w:r>
      <w:r w:rsidRPr="00DC68F8">
        <w:rPr>
          <w:lang w:val="fr-FR"/>
        </w:rPr>
        <w:t xml:space="preserve"> </w:t>
      </w:r>
      <w:r w:rsidRPr="00DC68F8">
        <w:rPr>
          <w:i/>
          <w:lang w:val="fr-FR"/>
        </w:rPr>
        <w:t>Le Courrier de l’Air</w:t>
      </w:r>
      <w:r w:rsidRPr="00DC68F8">
        <w:rPr>
          <w:lang w:val="fr-FR"/>
        </w:rPr>
        <w:t xml:space="preserve">, 9 November 1917. </w:t>
      </w:r>
    </w:p>
  </w:footnote>
  <w:footnote w:id="691">
    <w:p w14:paraId="53165991" w14:textId="77777777" w:rsidR="00DE3AC9" w:rsidRPr="00A72731" w:rsidRDefault="00DE3AC9" w:rsidP="0048510E">
      <w:pPr>
        <w:pStyle w:val="FootnoteText"/>
        <w:rPr>
          <w:lang w:val="fr-BE"/>
        </w:rPr>
      </w:pPr>
      <w:r>
        <w:rPr>
          <w:rStyle w:val="FootnoteReference"/>
        </w:rPr>
        <w:footnoteRef/>
      </w:r>
      <w:r w:rsidRPr="00A72731">
        <w:rPr>
          <w:lang w:val="fr-BE"/>
        </w:rPr>
        <w:t xml:space="preserve"> </w:t>
      </w:r>
      <w:r>
        <w:rPr>
          <w:i/>
          <w:lang w:val="fr-BE"/>
        </w:rPr>
        <w:t>La Voix du Pays</w:t>
      </w:r>
      <w:r>
        <w:rPr>
          <w:lang w:val="fr-BE"/>
        </w:rPr>
        <w:t>, 20 November 1917.</w:t>
      </w:r>
    </w:p>
  </w:footnote>
  <w:footnote w:id="692">
    <w:p w14:paraId="1B76EADE" w14:textId="77777777" w:rsidR="00DE3AC9" w:rsidRPr="00C54460" w:rsidRDefault="00DE3AC9" w:rsidP="0048510E">
      <w:pPr>
        <w:pStyle w:val="FootnoteText"/>
        <w:rPr>
          <w:lang w:val="fr-BE"/>
        </w:rPr>
      </w:pPr>
      <w:r>
        <w:rPr>
          <w:rStyle w:val="FootnoteReference"/>
        </w:rPr>
        <w:footnoteRef/>
      </w:r>
      <w:r w:rsidRPr="00C54460">
        <w:rPr>
          <w:lang w:val="fr-BE"/>
        </w:rPr>
        <w:t xml:space="preserve"> </w:t>
      </w:r>
      <w:r>
        <w:rPr>
          <w:lang w:val="fr-BE"/>
        </w:rPr>
        <w:fldChar w:fldCharType="begin"/>
      </w:r>
      <w:r w:rsidRPr="00C54460">
        <w:rPr>
          <w:lang w:val="fr-BE"/>
        </w:rPr>
        <w:instrText xml:space="preserve"> ADDIN EN.CITE &lt;EndNote&gt;&lt;Cite&gt;&lt;Author&gt;Olivera&lt;/Author&gt;&lt;Year&gt;2004&lt;/Year&gt;&lt;RecNum&gt;144&lt;/RecNum&gt;&lt;DisplayText&gt;Olivera, &lt;style face="italic"&gt;La bataille&lt;/style&gt;&lt;/DisplayText&gt;&lt;record&gt;&lt;rec-number&gt;144&lt;/rec-number&gt;&lt;foreign-keys&gt;&lt;key app="EN" db-id="2f5rvwawcsv2woetvw35fzwbdvvswerd0err"&gt;144&lt;/key&gt;&lt;/foreign-keys&gt;&lt;ref-type name="Book Section"&gt;5&lt;/ref-type&gt;&lt;contributors&gt;&lt;authors&gt;&lt;author&gt;Olivera, Philippe&lt;/author&gt;&lt;/authors&gt;&lt;secondary-authors&gt;&lt;author&gt;N. Offenstadt&lt;/author&gt;&lt;/secondary-authors&gt;&lt;/contributors&gt;&lt;titles&gt;&lt;title&gt;La bataille introuvable&lt;/title&gt;&lt;secondary-title&gt;Le Chemin des Dames&lt;/secondary-title&gt;&lt;short-title&gt;La bataille&lt;/short-title&gt;&lt;/titles&gt;&lt;dates&gt;&lt;year&gt;2004&lt;/year&gt;&lt;/dates&gt;&lt;pub-location&gt;Paris &lt;/pub-location&gt;&lt;urls&gt;&lt;/urls&gt;&lt;/record&gt;&lt;/Cite&gt;&lt;/EndNote&gt;</w:instrText>
      </w:r>
      <w:r>
        <w:rPr>
          <w:lang w:val="fr-BE"/>
        </w:rPr>
        <w:fldChar w:fldCharType="separate"/>
      </w:r>
      <w:r w:rsidRPr="00C54460">
        <w:rPr>
          <w:noProof/>
          <w:lang w:val="fr-BE"/>
        </w:rPr>
        <w:t xml:space="preserve">Olivera, </w:t>
      </w:r>
      <w:r w:rsidRPr="00C54460">
        <w:rPr>
          <w:i/>
          <w:noProof/>
          <w:lang w:val="fr-BE"/>
        </w:rPr>
        <w:t>La bataille</w:t>
      </w:r>
      <w:r>
        <w:rPr>
          <w:lang w:val="fr-BE"/>
        </w:rPr>
        <w:fldChar w:fldCharType="end"/>
      </w:r>
      <w:r w:rsidRPr="00C54460">
        <w:rPr>
          <w:lang w:val="fr-BE"/>
        </w:rPr>
        <w:t>, p. 59.</w:t>
      </w:r>
    </w:p>
  </w:footnote>
  <w:footnote w:id="693">
    <w:p w14:paraId="3C1CFC4C" w14:textId="77777777" w:rsidR="00DE3AC9" w:rsidRPr="00C54460" w:rsidRDefault="00DE3AC9" w:rsidP="0048510E">
      <w:pPr>
        <w:pStyle w:val="FootnoteText"/>
        <w:rPr>
          <w:lang w:val="fr-BE"/>
        </w:rPr>
      </w:pPr>
      <w:r>
        <w:rPr>
          <w:rStyle w:val="FootnoteReference"/>
        </w:rPr>
        <w:footnoteRef/>
      </w:r>
      <w:r w:rsidRPr="00C54460">
        <w:rPr>
          <w:lang w:val="fr-BE"/>
        </w:rPr>
        <w:t xml:space="preserve"> </w:t>
      </w:r>
      <w:r>
        <w:rPr>
          <w:lang w:val="fr-BE"/>
        </w:rPr>
        <w:fldChar w:fldCharType="begin"/>
      </w:r>
      <w:r w:rsidRPr="00C54460">
        <w:rPr>
          <w:lang w:val="fr-BE"/>
        </w:rP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BE"/>
        </w:rPr>
        <w:fldChar w:fldCharType="separate"/>
      </w:r>
      <w:r w:rsidRPr="00C54460">
        <w:rPr>
          <w:noProof/>
          <w:lang w:val="fr-BE"/>
        </w:rPr>
        <w:t xml:space="preserve">Horne, </w:t>
      </w:r>
      <w:r w:rsidRPr="00C54460">
        <w:rPr>
          <w:i/>
          <w:noProof/>
          <w:lang w:val="fr-BE"/>
        </w:rPr>
        <w:t>Remobilizing</w:t>
      </w:r>
      <w:r>
        <w:rPr>
          <w:lang w:val="fr-BE"/>
        </w:rPr>
        <w:fldChar w:fldCharType="end"/>
      </w:r>
      <w:r>
        <w:rPr>
          <w:lang w:val="fr-BE"/>
        </w:rPr>
        <w:t>,</w:t>
      </w:r>
      <w:r w:rsidRPr="00C54460">
        <w:rPr>
          <w:lang w:val="fr-BE"/>
        </w:rPr>
        <w:t xml:space="preserve"> p. 198</w:t>
      </w:r>
    </w:p>
  </w:footnote>
  <w:footnote w:id="694">
    <w:p w14:paraId="3F07CB8C" w14:textId="77777777" w:rsidR="00DE3AC9" w:rsidRPr="00DE3AC9" w:rsidRDefault="00DE3AC9" w:rsidP="0048510E">
      <w:pPr>
        <w:pStyle w:val="FootnoteText"/>
        <w:rPr>
          <w:lang w:val="fr-BE"/>
        </w:rPr>
      </w:pPr>
      <w:r>
        <w:rPr>
          <w:rStyle w:val="FootnoteReference"/>
        </w:rPr>
        <w:footnoteRef/>
      </w:r>
      <w:r w:rsidRPr="00DE3AC9">
        <w:rPr>
          <w:lang w:val="fr-BE"/>
        </w:rPr>
        <w:t xml:space="preserve"> </w:t>
      </w:r>
      <w:r>
        <w:rPr>
          <w:lang w:val="fr-BE"/>
        </w:rPr>
        <w:fldChar w:fldCharType="begin"/>
      </w:r>
      <w:r w:rsidRPr="00DE3AC9">
        <w:rPr>
          <w:lang w:val="fr-BE"/>
        </w:rPr>
        <w:instrText xml:space="preserve"> ADDIN EN.CITE &lt;EndNote&gt;&lt;Cite&gt;&lt;Author&gt;Audoin-Rouzeau&lt;/Author&gt;&lt;Year&gt;2002&lt;/Year&gt;&lt;RecNum&gt;29&lt;/RecNum&gt;&lt;DisplayText&gt;Audoin-Rouzeau and Becker, &lt;style face="italic"&gt;Understanding&lt;/style&gt;&lt;/DisplayText&gt;&lt;record&gt;&lt;rec-number&gt;29&lt;/rec-number&gt;&lt;foreign-keys&gt;&lt;key app="EN" db-id="2f5rvwawcsv2woetvw35fzwbdvvswerd0err"&gt;29&lt;/key&gt;&lt;/foreign-keys&gt;&lt;ref-type name="Book"&gt;6&lt;/ref-type&gt;&lt;contributors&gt;&lt;authors&gt;&lt;author&gt;Audoin-Rouzeau, Stéphane&lt;/author&gt;&lt;author&gt;Becker, Annette&lt;/author&gt;&lt;/authors&gt;&lt;/contributors&gt;&lt;titles&gt;&lt;title&gt;1914-1918: Understanding the Great War&lt;/title&gt;&lt;short-title&gt;Understanding&lt;/short-title&gt;&lt;/titles&gt;&lt;dates&gt;&lt;year&gt;2002&lt;/year&gt;&lt;/dates&gt;&lt;pub-location&gt;London&lt;/pub-location&gt;&lt;publisher&gt;Profile Books&lt;/publisher&gt;&lt;urls&gt;&lt;/urls&gt;&lt;/record&gt;&lt;/Cite&gt;&lt;/EndNote&gt;</w:instrText>
      </w:r>
      <w:r>
        <w:rPr>
          <w:lang w:val="fr-BE"/>
        </w:rPr>
        <w:fldChar w:fldCharType="separate"/>
      </w:r>
      <w:r w:rsidRPr="00DE3AC9">
        <w:rPr>
          <w:noProof/>
          <w:lang w:val="fr-BE"/>
        </w:rPr>
        <w:t xml:space="preserve">Audoin-Rouzeau and Becker, </w:t>
      </w:r>
      <w:r w:rsidRPr="00DE3AC9">
        <w:rPr>
          <w:i/>
          <w:noProof/>
          <w:lang w:val="fr-BE"/>
        </w:rPr>
        <w:t>Understanding</w:t>
      </w:r>
      <w:r>
        <w:rPr>
          <w:lang w:val="fr-BE"/>
        </w:rPr>
        <w:fldChar w:fldCharType="end"/>
      </w:r>
      <w:r w:rsidRPr="00DE3AC9">
        <w:rPr>
          <w:lang w:val="fr-BE"/>
        </w:rPr>
        <w:t>, p. 59.</w:t>
      </w:r>
    </w:p>
  </w:footnote>
  <w:footnote w:id="695">
    <w:p w14:paraId="29188ED4" w14:textId="77777777" w:rsidR="00DE3AC9" w:rsidRPr="00DE3AC9" w:rsidRDefault="00DE3AC9" w:rsidP="005C7BEE">
      <w:pPr>
        <w:pStyle w:val="FootnoteText"/>
        <w:rPr>
          <w:lang w:val="fr-BE"/>
        </w:rPr>
      </w:pPr>
      <w:r>
        <w:rPr>
          <w:rStyle w:val="FootnoteReference"/>
        </w:rPr>
        <w:footnoteRef/>
      </w:r>
      <w:r w:rsidRPr="00DE3AC9">
        <w:rPr>
          <w:lang w:val="fr-BE"/>
        </w:rPr>
        <w:t xml:space="preserve"> </w:t>
      </w:r>
      <w:r>
        <w:fldChar w:fldCharType="begin"/>
      </w:r>
      <w:r w:rsidRPr="00DE3AC9">
        <w:rPr>
          <w:lang w:val="fr-BE"/>
        </w:rPr>
        <w:instrText xml:space="preserve"> ADDIN EN.CITE &lt;EndNote&gt;&lt;Cite&gt;&lt;Author&gt;Stevenson&lt;/Author&gt;&lt;Year&gt;2011&lt;/Year&gt;&lt;RecNum&gt;143&lt;/RecNum&gt;&lt;DisplayText&gt;David Stevenson, &lt;style face="italic"&gt;With our back to the wall: victory and defeat in 1918&lt;/style&gt;, (Cambridge, 2011)&lt;/DisplayText&gt;&lt;record&gt;&lt;rec-number&gt;143&lt;/rec-number&gt;&lt;foreign-keys&gt;&lt;key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fldChar w:fldCharType="separate"/>
      </w:r>
      <w:r w:rsidRPr="00DE3AC9">
        <w:rPr>
          <w:noProof/>
          <w:lang w:val="fr-BE"/>
        </w:rPr>
        <w:t xml:space="preserve">David Stevenson, </w:t>
      </w:r>
      <w:r w:rsidRPr="00DE3AC9">
        <w:rPr>
          <w:i/>
          <w:noProof/>
          <w:lang w:val="fr-BE"/>
        </w:rPr>
        <w:t>With our back to the wall: victory and defeat in 1918</w:t>
      </w:r>
      <w:r w:rsidRPr="00DE3AC9">
        <w:rPr>
          <w:noProof/>
          <w:lang w:val="fr-BE"/>
        </w:rPr>
        <w:t>, (Cambridge, 2011)</w:t>
      </w:r>
      <w:r>
        <w:fldChar w:fldCharType="end"/>
      </w:r>
      <w:r w:rsidRPr="00DE3AC9">
        <w:rPr>
          <w:lang w:val="fr-BE"/>
        </w:rPr>
        <w:t>, p. 30.</w:t>
      </w:r>
    </w:p>
  </w:footnote>
  <w:footnote w:id="696">
    <w:p w14:paraId="2E2C341B" w14:textId="77777777" w:rsidR="00DE3AC9" w:rsidRPr="00D050D0" w:rsidRDefault="00DE3AC9" w:rsidP="005C7BEE">
      <w:pPr>
        <w:pStyle w:val="FootnoteText"/>
      </w:pPr>
      <w:r>
        <w:rPr>
          <w:rStyle w:val="FootnoteReference"/>
        </w:rPr>
        <w:footnoteRef/>
      </w:r>
      <w:r w:rsidRPr="00D050D0">
        <w:t xml:space="preserve"> </w:t>
      </w:r>
      <w:r>
        <w:fldChar w:fldCharType="begin"/>
      </w:r>
      <w:r>
        <w:instrText xml:space="preserve"> ADDIN EN.CITE &lt;EndNote&gt;&lt;Cite&gt;&lt;Author&gt;Toland&lt;/Author&gt;&lt;Year&gt;1982&lt;/Year&gt;&lt;RecNum&gt;142&lt;/RecNum&gt;&lt;DisplayText&gt;John Toland, &lt;style face="italic"&gt;No man&amp;apos;s land: the story of 1918&lt;/style&gt;, (London, 1982)&lt;/DisplayText&gt;&lt;record&gt;&lt;rec-number&gt;142&lt;/rec-number&gt;&lt;foreign-keys&gt;&lt;key app="EN" db-id="2f5rvwawcsv2woetvw35fzwbdvvswerd0err"&gt;142&lt;/key&gt;&lt;/foreign-keys&gt;&lt;ref-type name="Book"&gt;6&lt;/ref-type&gt;&lt;contributors&gt;&lt;authors&gt;&lt;author&gt;Toland, John&lt;/author&gt;&lt;/authors&gt;&lt;/contributors&gt;&lt;titles&gt;&lt;title&gt;No man&amp;apos;s land: the story of 1918&lt;/title&gt;&lt;short-title&gt;No man&amp;apos;s land&lt;/short-title&gt;&lt;/titles&gt;&lt;dates&gt;&lt;year&gt;1982&lt;/year&gt;&lt;/dates&gt;&lt;pub-location&gt;London&lt;/pub-location&gt;&lt;urls&gt;&lt;/urls&gt;&lt;/record&gt;&lt;/Cite&gt;&lt;/EndNote&gt;</w:instrText>
      </w:r>
      <w:r>
        <w:fldChar w:fldCharType="separate"/>
      </w:r>
      <w:r>
        <w:rPr>
          <w:noProof/>
        </w:rPr>
        <w:t xml:space="preserve">John Toland, </w:t>
      </w:r>
      <w:r w:rsidRPr="005C7BEE">
        <w:rPr>
          <w:i/>
          <w:noProof/>
        </w:rPr>
        <w:t>No man's land: the story of 1918</w:t>
      </w:r>
      <w:r>
        <w:rPr>
          <w:noProof/>
        </w:rPr>
        <w:t>, (London, 1982)</w:t>
      </w:r>
      <w:r>
        <w:fldChar w:fldCharType="end"/>
      </w:r>
      <w:r w:rsidRPr="00D050D0">
        <w:t xml:space="preserve">, p. </w:t>
      </w:r>
      <w:r>
        <w:t>xvii-xviii.</w:t>
      </w:r>
    </w:p>
  </w:footnote>
  <w:footnote w:id="697">
    <w:p w14:paraId="70D7C885" w14:textId="77777777" w:rsidR="00DE3AC9" w:rsidRPr="00C54460" w:rsidRDefault="00DE3AC9" w:rsidP="0048510E">
      <w:pPr>
        <w:pStyle w:val="FootnoteText"/>
      </w:pPr>
      <w:r>
        <w:rPr>
          <w:rStyle w:val="FootnoteReference"/>
        </w:rPr>
        <w:footnoteRef/>
      </w:r>
      <w:r w:rsidRPr="00C54460">
        <w:t xml:space="preserve"> </w:t>
      </w:r>
      <w:r>
        <w:fldChar w:fldCharType="begin"/>
      </w:r>
      <w:r w:rsidRPr="00C54460">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fldChar w:fldCharType="separate"/>
      </w:r>
      <w:r w:rsidRPr="00C54460">
        <w:rPr>
          <w:noProof/>
        </w:rPr>
        <w:t xml:space="preserve">Horne, </w:t>
      </w:r>
      <w:r w:rsidRPr="00C54460">
        <w:rPr>
          <w:i/>
          <w:noProof/>
        </w:rPr>
        <w:t>Remobilizing</w:t>
      </w:r>
      <w:r>
        <w:fldChar w:fldCharType="end"/>
      </w:r>
      <w:r w:rsidRPr="00C54460">
        <w:t>, p. 198.</w:t>
      </w:r>
    </w:p>
  </w:footnote>
  <w:footnote w:id="698">
    <w:p w14:paraId="213498EB" w14:textId="43EC2FDA" w:rsidR="00DE3AC9" w:rsidRPr="00E6467B" w:rsidRDefault="00DE3AC9" w:rsidP="005C7BEE">
      <w:pPr>
        <w:pStyle w:val="FootnoteText"/>
      </w:pPr>
      <w:r>
        <w:rPr>
          <w:rStyle w:val="FootnoteReference"/>
        </w:rPr>
        <w:footnoteRef/>
      </w:r>
      <w:r w:rsidRPr="00E6467B">
        <w:t xml:space="preserve"> </w:t>
      </w:r>
      <w:r>
        <w:rPr>
          <w:lang w:val="fr-FR"/>
        </w:rP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sidRPr="005C7BEE">
        <w:rPr>
          <w:noProof/>
        </w:rPr>
        <w:t xml:space="preserve">Doughty, </w:t>
      </w:r>
      <w:r w:rsidRPr="005C7BEE">
        <w:rPr>
          <w:i/>
          <w:noProof/>
        </w:rPr>
        <w:t>Pyrrhic victory</w:t>
      </w:r>
      <w:r>
        <w:rPr>
          <w:lang w:val="fr-FR"/>
        </w:rPr>
        <w:fldChar w:fldCharType="end"/>
      </w:r>
      <w:r w:rsidRPr="00E6467B">
        <w:t>, p. 405.</w:t>
      </w:r>
    </w:p>
  </w:footnote>
  <w:footnote w:id="699">
    <w:p w14:paraId="79DB39EC" w14:textId="77777777" w:rsidR="00DE3AC9" w:rsidRPr="00486FC8" w:rsidRDefault="00DE3AC9" w:rsidP="0048510E">
      <w:pPr>
        <w:pStyle w:val="FootnoteText"/>
        <w:rPr>
          <w:lang w:val="fr-FR"/>
        </w:rPr>
      </w:pPr>
      <w:r>
        <w:rPr>
          <w:rStyle w:val="FootnoteReference"/>
        </w:rPr>
        <w:footnoteRef/>
      </w:r>
      <w:r w:rsidRPr="00486FC8">
        <w:rPr>
          <w:lang w:val="fr-FR"/>
        </w:rPr>
        <w:t xml:space="preserve"> </w:t>
      </w:r>
      <w:r>
        <w:rPr>
          <w:i/>
          <w:iCs/>
          <w:lang w:val="fr-FR"/>
        </w:rPr>
        <w:t>La Lettre du Soldat</w:t>
      </w:r>
      <w:r>
        <w:rPr>
          <w:lang w:val="fr-FR"/>
        </w:rPr>
        <w:t>, March 1918.</w:t>
      </w:r>
    </w:p>
  </w:footnote>
  <w:footnote w:id="700">
    <w:p w14:paraId="6A4A08AB" w14:textId="77777777" w:rsidR="00DE3AC9" w:rsidRPr="00C54460" w:rsidRDefault="00DE3AC9" w:rsidP="005C7BEE">
      <w:pPr>
        <w:pStyle w:val="FootnoteText"/>
      </w:pPr>
      <w:r>
        <w:rPr>
          <w:rStyle w:val="FootnoteReference"/>
        </w:rPr>
        <w:footnoteRef/>
      </w:r>
      <w:r w:rsidRPr="00C54460">
        <w:t xml:space="preserve"> </w:t>
      </w:r>
      <w:r>
        <w:rPr>
          <w:lang w:val="fr-FR"/>
        </w:rP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rPr>
          <w:lang w:val="fr-FR"/>
        </w:rPr>
        <w:fldChar w:fldCharType="separate"/>
      </w:r>
      <w:r w:rsidRPr="005C7BEE">
        <w:rPr>
          <w:noProof/>
        </w:rPr>
        <w:t xml:space="preserve">Sheffield, </w:t>
      </w:r>
      <w:r w:rsidRPr="005C7BEE">
        <w:rPr>
          <w:i/>
          <w:noProof/>
        </w:rPr>
        <w:t>Forgotten victory</w:t>
      </w:r>
      <w:r>
        <w:rPr>
          <w:lang w:val="fr-FR"/>
        </w:rPr>
        <w:fldChar w:fldCharType="end"/>
      </w:r>
      <w:r w:rsidRPr="00C54460">
        <w:t xml:space="preserve">, p. 228 and </w:t>
      </w:r>
      <w:r>
        <w:rPr>
          <w:lang w:val="nl-NL"/>
        </w:rP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rPr>
          <w:lang w:val="nl-NL"/>
        </w:rPr>
        <w:fldChar w:fldCharType="separate"/>
      </w:r>
      <w:r w:rsidRPr="00C54460">
        <w:rPr>
          <w:noProof/>
        </w:rPr>
        <w:t xml:space="preserve">Stevenson, </w:t>
      </w:r>
      <w:r w:rsidRPr="00C54460">
        <w:rPr>
          <w:i/>
          <w:noProof/>
        </w:rPr>
        <w:t>With our back</w:t>
      </w:r>
      <w:r>
        <w:rPr>
          <w:lang w:val="nl-NL"/>
        </w:rPr>
        <w:fldChar w:fldCharType="end"/>
      </w:r>
      <w:r w:rsidRPr="00C54460">
        <w:t>, p. 30.</w:t>
      </w:r>
    </w:p>
  </w:footnote>
  <w:footnote w:id="701">
    <w:p w14:paraId="353B84BA" w14:textId="77777777" w:rsidR="00DE3AC9" w:rsidRPr="00DE3AC9" w:rsidRDefault="00DE3AC9" w:rsidP="005C7BEE">
      <w:pPr>
        <w:pStyle w:val="FootnoteText"/>
      </w:pPr>
      <w:r>
        <w:rPr>
          <w:rStyle w:val="FootnoteReference"/>
        </w:rPr>
        <w:footnoteRef/>
      </w:r>
      <w:r w:rsidRPr="00DE3AC9">
        <w:t xml:space="preserve"> </w:t>
      </w:r>
      <w:r>
        <w:fldChar w:fldCharType="begin"/>
      </w:r>
      <w:r w:rsidRPr="00DE3AC9">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sidRPr="00DE3AC9">
        <w:rPr>
          <w:noProof/>
        </w:rPr>
        <w:t xml:space="preserve">Sheffield, </w:t>
      </w:r>
      <w:r w:rsidRPr="00DE3AC9">
        <w:rPr>
          <w:i/>
          <w:noProof/>
        </w:rPr>
        <w:t>Forgotten victory</w:t>
      </w:r>
      <w:r>
        <w:fldChar w:fldCharType="end"/>
      </w:r>
      <w:r w:rsidRPr="00DE3AC9">
        <w:t>, pp. 227-228.</w:t>
      </w:r>
    </w:p>
  </w:footnote>
  <w:footnote w:id="702">
    <w:p w14:paraId="475FB008" w14:textId="77777777" w:rsidR="00DE3AC9" w:rsidRPr="00DE3AC9" w:rsidRDefault="00DE3AC9" w:rsidP="0048510E">
      <w:pPr>
        <w:pStyle w:val="FootnoteText"/>
      </w:pPr>
      <w:r>
        <w:rPr>
          <w:rStyle w:val="FootnoteReference"/>
        </w:rPr>
        <w:footnoteRef/>
      </w:r>
      <w:r w:rsidRPr="00DE3AC9">
        <w:t xml:space="preserve"> </w:t>
      </w:r>
      <w:r w:rsidRPr="00DE3AC9">
        <w:rPr>
          <w:i/>
          <w:iCs/>
        </w:rPr>
        <w:t>La Gazette des Ardennes</w:t>
      </w:r>
      <w:r w:rsidRPr="00DE3AC9">
        <w:t>, 26, 27 and 28 March 1918.</w:t>
      </w:r>
    </w:p>
  </w:footnote>
  <w:footnote w:id="703">
    <w:p w14:paraId="3CF1024A" w14:textId="77777777" w:rsidR="00DE3AC9" w:rsidRPr="00AA40BF" w:rsidRDefault="00DE3AC9" w:rsidP="0048510E">
      <w:pPr>
        <w:pStyle w:val="FootnoteText"/>
        <w:rPr>
          <w:lang w:val="fr-FR"/>
        </w:rPr>
      </w:pPr>
      <w:r>
        <w:rPr>
          <w:rStyle w:val="FootnoteReference"/>
        </w:rPr>
        <w:footnoteRef/>
      </w:r>
      <w:r w:rsidRPr="00AA40BF">
        <w:rPr>
          <w:lang w:val="fr-FR"/>
        </w:rPr>
        <w:t xml:space="preserve"> </w:t>
      </w:r>
      <w:r>
        <w:fldChar w:fldCharType="begin"/>
      </w:r>
      <w:r w:rsidRPr="00AA40BF">
        <w:rPr>
          <w:lang w:val="fr-FR"/>
        </w:rPr>
        <w:instrText xml:space="preserve"> ADDIN EN.CITE &lt;EndNote&gt;&lt;Cite&gt;&lt;Author&gt;NA&lt;/Author&gt;&lt;Year&gt;1918&lt;/Year&gt;&lt;RecNum&gt;336&lt;/RecNum&gt;&lt;DisplayText&gt;NA, &lt;style face="italic"&gt;Un souvenir historique. Les avis, proclamations et nouvelles de guerre allemands publiés en Belgique pendant l&amp;apos;occupation&lt;/style&gt;, (Ixelles, 1918)&lt;/DisplayText&gt;&lt;record&gt;&lt;rec-number&gt;336&lt;/rec-number&gt;&lt;foreign-keys&gt;&lt;key app="EN" db-id="2f5rvwawcsv2woetvw35fzwbdvvswerd0err"&gt;336&lt;/key&gt;&lt;/foreign-keys&gt;&lt;ref-type name="Book"&gt;6&lt;/ref-type&gt;&lt;contributors&gt;&lt;authors&gt;&lt;author&gt;NA&lt;/author&gt;&lt;/authors&gt;&lt;/contributors&gt;&lt;titles&gt;&lt;title&gt;Un souvenir historique. Les avis, proclamations et nouvelles de guerre allemands publiés en Belgique pendant l&amp;apos;occupation&lt;/title&gt;&lt;/titles&gt;&lt;volume&gt;30&lt;/volume&gt;&lt;dates&gt;&lt;year&gt;1918&lt;/year&gt;&lt;/dates&gt;&lt;pub-location&gt;Ixelles&lt;/pub-location&gt;&lt;urls&gt;&lt;/urls&gt;&lt;/record&gt;&lt;/Cite&gt;&lt;/EndNote&gt;</w:instrText>
      </w:r>
      <w:r>
        <w:fldChar w:fldCharType="separate"/>
      </w:r>
      <w:r w:rsidRPr="00AA40BF">
        <w:rPr>
          <w:noProof/>
          <w:lang w:val="fr-FR"/>
        </w:rPr>
        <w:t xml:space="preserve">NA, </w:t>
      </w:r>
      <w:r w:rsidRPr="00AA40BF">
        <w:rPr>
          <w:i/>
          <w:noProof/>
          <w:lang w:val="fr-FR"/>
        </w:rPr>
        <w:t>Un souvenir historique. Les avis, proclamations et nouvelles de guerre allemands publiés en Belgique pendant l'occupation</w:t>
      </w:r>
      <w:r w:rsidRPr="00AA40BF">
        <w:rPr>
          <w:noProof/>
          <w:lang w:val="fr-FR"/>
        </w:rPr>
        <w:t>, (Ixelles, 1918)</w:t>
      </w:r>
      <w:r>
        <w:fldChar w:fldCharType="end"/>
      </w:r>
      <w:r w:rsidRPr="00AA40BF">
        <w:rPr>
          <w:lang w:val="fr-FR"/>
        </w:rPr>
        <w:t>, p. 1</w:t>
      </w:r>
      <w:r>
        <w:rPr>
          <w:lang w:val="fr-FR"/>
        </w:rPr>
        <w:t>5.</w:t>
      </w:r>
    </w:p>
  </w:footnote>
  <w:footnote w:id="704">
    <w:p w14:paraId="04F1B37E" w14:textId="77777777" w:rsidR="00DE3AC9" w:rsidRPr="00C54460" w:rsidRDefault="00DE3AC9" w:rsidP="0048510E">
      <w:pPr>
        <w:pStyle w:val="FootnoteText"/>
      </w:pPr>
      <w:r>
        <w:rPr>
          <w:rStyle w:val="FootnoteReference"/>
        </w:rPr>
        <w:footnoteRef/>
      </w:r>
      <w:r w:rsidRPr="0069273F">
        <w:t xml:space="preserve"> </w:t>
      </w:r>
      <w:r w:rsidRPr="0069273F">
        <w:rPr>
          <w:i/>
          <w:iCs/>
        </w:rPr>
        <w:t>La Gazette des Ardennes</w:t>
      </w:r>
      <w:r w:rsidRPr="0069273F">
        <w:t xml:space="preserve">, 31 March 1918 and </w:t>
      </w:r>
      <w:r>
        <w:rPr>
          <w:lang w:val="fr-FR"/>
        </w:rP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rPr>
          <w:lang w:val="fr-FR"/>
        </w:rPr>
        <w:fldChar w:fldCharType="separate"/>
      </w:r>
      <w:r w:rsidRPr="00C54460">
        <w:rPr>
          <w:noProof/>
        </w:rPr>
        <w:t xml:space="preserve">Stevenson, </w:t>
      </w:r>
      <w:r w:rsidRPr="00C54460">
        <w:rPr>
          <w:i/>
          <w:noProof/>
        </w:rPr>
        <w:t>With our back</w:t>
      </w:r>
      <w:r>
        <w:rPr>
          <w:lang w:val="fr-FR"/>
        </w:rPr>
        <w:fldChar w:fldCharType="end"/>
      </w:r>
      <w:r w:rsidRPr="00C54460">
        <w:t>, p. 67.</w:t>
      </w:r>
    </w:p>
  </w:footnote>
  <w:footnote w:id="705">
    <w:p w14:paraId="477F9DBF" w14:textId="77777777" w:rsidR="00DE3AC9" w:rsidRPr="004F0A24" w:rsidRDefault="00DE3AC9" w:rsidP="0048510E">
      <w:pPr>
        <w:pStyle w:val="FootnoteText"/>
      </w:pPr>
      <w:r>
        <w:rPr>
          <w:rStyle w:val="FootnoteReference"/>
        </w:rPr>
        <w:footnoteRef/>
      </w:r>
      <w:r>
        <w:rPr>
          <w:lang w:val="fr-BE"/>
        </w:rPr>
        <w:fldChar w:fldCharType="begin"/>
      </w:r>
      <w:r w:rsidRPr="004F0A24">
        <w:instrText xml:space="preserve"> ADDIN EN.CITE &lt;EndNote&gt;&lt;Cite&gt;&lt;Author&gt;Olivera&lt;/Author&gt;&lt;Year&gt;2004&lt;/Year&gt;&lt;RecNum&gt;144&lt;/RecNum&gt;&lt;DisplayText&gt;Olivera, &lt;style face="italic"&gt;La bataille&lt;/style&gt;&lt;/DisplayText&gt;&lt;record&gt;&lt;rec-number&gt;144&lt;/rec-number&gt;&lt;foreign-keys&gt;&lt;key app="EN" db-id="2f5rvwawcsv2woetvw35fzwbdvvswerd0err"&gt;144&lt;/key&gt;&lt;/foreign-keys&gt;&lt;ref-type name="Book Section"&gt;5&lt;/ref-type&gt;&lt;contributors&gt;&lt;authors&gt;&lt;author&gt;Olivera, Philippe&lt;/author&gt;&lt;/authors&gt;&lt;secondary-authors&gt;&lt;author&gt;N. Offenstadt&lt;/author&gt;&lt;/secondary-authors&gt;&lt;/contributors&gt;&lt;titles&gt;&lt;title&gt;La bataille introuvable&lt;/title&gt;&lt;secondary-title&gt;Le Chemin des Dames&lt;/secondary-title&gt;&lt;short-title&gt;La bataille&lt;/short-title&gt;&lt;/titles&gt;&lt;dates&gt;&lt;year&gt;2004&lt;/year&gt;&lt;/dates&gt;&lt;pub-location&gt;Paris &lt;/pub-location&gt;&lt;urls&gt;&lt;/urls&gt;&lt;/record&gt;&lt;/Cite&gt;&lt;/EndNote&gt;</w:instrText>
      </w:r>
      <w:r>
        <w:rPr>
          <w:lang w:val="fr-BE"/>
        </w:rPr>
        <w:fldChar w:fldCharType="separate"/>
      </w:r>
      <w:r w:rsidRPr="004F0A24">
        <w:rPr>
          <w:noProof/>
        </w:rPr>
        <w:t xml:space="preserve">Olivera, </w:t>
      </w:r>
      <w:r w:rsidRPr="004F0A24">
        <w:rPr>
          <w:i/>
          <w:noProof/>
        </w:rPr>
        <w:t>La bataille</w:t>
      </w:r>
      <w:r>
        <w:rPr>
          <w:lang w:val="fr-BE"/>
        </w:rPr>
        <w:fldChar w:fldCharType="end"/>
      </w:r>
      <w:r w:rsidRPr="004F0A24">
        <w:t>, pp. 52-53.</w:t>
      </w:r>
    </w:p>
  </w:footnote>
  <w:footnote w:id="706">
    <w:p w14:paraId="05D39257" w14:textId="77777777" w:rsidR="00DE3AC9" w:rsidRPr="002C0F9C" w:rsidRDefault="00DE3AC9">
      <w:pPr>
        <w:pStyle w:val="FootnoteText"/>
      </w:pPr>
      <w:r>
        <w:rPr>
          <w:rStyle w:val="FootnoteReference"/>
        </w:rPr>
        <w:footnoteRef/>
      </w:r>
      <w:r w:rsidRPr="002C0F9C">
        <w:t xml:space="preserve"> </w:t>
      </w:r>
      <w:r w:rsidRPr="002C0F9C">
        <w:rPr>
          <w:i/>
          <w:iCs/>
        </w:rPr>
        <w:t>Het Vlaamsche Nieuws</w:t>
      </w:r>
      <w:r w:rsidRPr="002C0F9C">
        <w:t>, 25 March 1918 and 27 March 1918.</w:t>
      </w:r>
    </w:p>
  </w:footnote>
  <w:footnote w:id="707">
    <w:p w14:paraId="20A1C0F0" w14:textId="77777777" w:rsidR="00DE3AC9" w:rsidRPr="004F0A24" w:rsidRDefault="00DE3AC9" w:rsidP="0048510E">
      <w:pPr>
        <w:pStyle w:val="FootnoteText"/>
      </w:pPr>
      <w:r>
        <w:rPr>
          <w:rStyle w:val="FootnoteReference"/>
        </w:rPr>
        <w:footnoteRef/>
      </w:r>
      <w:r w:rsidRPr="004F0A24">
        <w:t xml:space="preserve"> </w:t>
      </w:r>
      <w:r>
        <w:rPr>
          <w:lang w:val="fr-FR"/>
        </w:rPr>
        <w:fldChar w:fldCharType="begin"/>
      </w:r>
      <w:r w:rsidRPr="004F0A24">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FR"/>
        </w:rPr>
        <w:fldChar w:fldCharType="separate"/>
      </w:r>
      <w:r w:rsidRPr="004F0A24">
        <w:rPr>
          <w:noProof/>
        </w:rPr>
        <w:t xml:space="preserve">Horne, </w:t>
      </w:r>
      <w:r w:rsidRPr="004F0A24">
        <w:rPr>
          <w:i/>
          <w:noProof/>
        </w:rPr>
        <w:t>Remobilizing</w:t>
      </w:r>
      <w:r>
        <w:rPr>
          <w:lang w:val="fr-FR"/>
        </w:rPr>
        <w:fldChar w:fldCharType="end"/>
      </w:r>
      <w:r w:rsidRPr="004F0A24">
        <w:t>, p. 210.</w:t>
      </w:r>
    </w:p>
  </w:footnote>
  <w:footnote w:id="708">
    <w:p w14:paraId="78738CE7" w14:textId="77777777" w:rsidR="00DE3AC9" w:rsidRPr="00DE3AC9" w:rsidRDefault="00DE3AC9" w:rsidP="005C7BEE">
      <w:pPr>
        <w:pStyle w:val="FootnoteText"/>
      </w:pPr>
      <w:r>
        <w:rPr>
          <w:rStyle w:val="FootnoteReference"/>
        </w:rPr>
        <w:footnoteRef/>
      </w:r>
      <w:r w:rsidRPr="00DE3AC9">
        <w:t xml:space="preserve"> </w:t>
      </w:r>
      <w:r>
        <w:fldChar w:fldCharType="begin"/>
      </w:r>
      <w:r w:rsidRPr="00DE3AC9">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sidRPr="00DE3AC9">
        <w:rPr>
          <w:noProof/>
        </w:rPr>
        <w:t xml:space="preserve">Sheffield, </w:t>
      </w:r>
      <w:r w:rsidRPr="00DE3AC9">
        <w:rPr>
          <w:i/>
          <w:noProof/>
        </w:rPr>
        <w:t>Forgotten victory</w:t>
      </w:r>
      <w:r>
        <w:fldChar w:fldCharType="end"/>
      </w:r>
      <w:r w:rsidRPr="00DE3AC9">
        <w:t>, p. 228.</w:t>
      </w:r>
    </w:p>
  </w:footnote>
  <w:footnote w:id="709">
    <w:p w14:paraId="03F17255" w14:textId="77777777" w:rsidR="00DE3AC9" w:rsidRPr="00D5389B" w:rsidRDefault="00DE3AC9" w:rsidP="0048510E">
      <w:pPr>
        <w:pStyle w:val="FootnoteText"/>
        <w:rPr>
          <w:lang w:val="fr-FR"/>
        </w:rPr>
      </w:pPr>
      <w:r>
        <w:rPr>
          <w:rStyle w:val="FootnoteReference"/>
        </w:rPr>
        <w:footnoteRef/>
      </w:r>
      <w:r w:rsidRPr="00D5389B">
        <w:rPr>
          <w:lang w:val="fr-FR"/>
        </w:rPr>
        <w:t xml:space="preserve"> </w:t>
      </w:r>
      <w:r>
        <w:fldChar w:fldCharType="begin"/>
      </w:r>
      <w:r w:rsidRPr="00D5389B">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D5389B">
        <w:rPr>
          <w:noProof/>
          <w:lang w:val="fr-FR"/>
        </w:rPr>
        <w:t xml:space="preserve">de Schaepdrijver, </w:t>
      </w:r>
      <w:r w:rsidRPr="00D5389B">
        <w:rPr>
          <w:i/>
          <w:noProof/>
          <w:lang w:val="fr-FR"/>
        </w:rPr>
        <w:t>La Belgique</w:t>
      </w:r>
      <w:r>
        <w:fldChar w:fldCharType="end"/>
      </w:r>
      <w:r w:rsidRPr="00D5389B">
        <w:rPr>
          <w:lang w:val="fr-FR"/>
        </w:rPr>
        <w:t>, p. 238.</w:t>
      </w:r>
    </w:p>
  </w:footnote>
  <w:footnote w:id="710">
    <w:p w14:paraId="60BBD675" w14:textId="77777777" w:rsidR="00DE3AC9" w:rsidRPr="00D5389B" w:rsidRDefault="00DE3AC9" w:rsidP="0048510E">
      <w:pPr>
        <w:pStyle w:val="FootnoteText"/>
        <w:rPr>
          <w:lang w:val="fr-FR"/>
        </w:rPr>
      </w:pPr>
      <w:r>
        <w:rPr>
          <w:rStyle w:val="FootnoteReference"/>
        </w:rPr>
        <w:footnoteRef/>
      </w:r>
      <w:r w:rsidRPr="00D5389B">
        <w:rPr>
          <w:lang w:val="fr-FR"/>
        </w:rPr>
        <w:t xml:space="preserve"> </w:t>
      </w:r>
      <w:r w:rsidRPr="00D5389B">
        <w:rPr>
          <w:i/>
          <w:iCs/>
          <w:lang w:val="fr-FR"/>
        </w:rPr>
        <w:t>La Lettre du Soldat</w:t>
      </w:r>
      <w:r w:rsidRPr="00D5389B">
        <w:rPr>
          <w:lang w:val="fr-FR"/>
        </w:rPr>
        <w:t>, year 1918.</w:t>
      </w:r>
    </w:p>
  </w:footnote>
  <w:footnote w:id="711">
    <w:p w14:paraId="211F2D75" w14:textId="77777777" w:rsidR="00DE3AC9" w:rsidRPr="0079129B" w:rsidRDefault="00DE3AC9" w:rsidP="0048510E">
      <w:pPr>
        <w:pStyle w:val="FootnoteText"/>
        <w:rPr>
          <w:lang w:val="fr-FR"/>
        </w:rPr>
      </w:pPr>
      <w:r>
        <w:rPr>
          <w:rStyle w:val="FootnoteReference"/>
        </w:rPr>
        <w:footnoteRef/>
      </w:r>
      <w:r w:rsidRPr="0079129B">
        <w:rPr>
          <w:lang w:val="fr-FR"/>
        </w:rPr>
        <w:t xml:space="preserve"> </w:t>
      </w:r>
      <w:r>
        <w:rPr>
          <w:i/>
          <w:iCs/>
          <w:lang w:val="fr-FR"/>
        </w:rPr>
        <w:t>Le Courrier de l’Air</w:t>
      </w:r>
      <w:r>
        <w:rPr>
          <w:lang w:val="fr-FR"/>
        </w:rPr>
        <w:t>, 27 March 1918.</w:t>
      </w:r>
    </w:p>
  </w:footnote>
  <w:footnote w:id="712">
    <w:p w14:paraId="441FAB02" w14:textId="77777777" w:rsidR="00DE3AC9" w:rsidRPr="00FD3A81" w:rsidRDefault="00DE3AC9" w:rsidP="0048510E">
      <w:pPr>
        <w:pStyle w:val="FootnoteText"/>
        <w:rPr>
          <w:lang w:val="fr-FR"/>
        </w:rPr>
      </w:pPr>
      <w:r>
        <w:rPr>
          <w:rStyle w:val="FootnoteReference"/>
        </w:rPr>
        <w:footnoteRef/>
      </w:r>
      <w:r w:rsidRPr="00FD3A81">
        <w:rPr>
          <w:lang w:val="fr-FR"/>
        </w:rPr>
        <w:t xml:space="preserve"> </w:t>
      </w:r>
      <w:r>
        <w:rPr>
          <w:i/>
          <w:iCs/>
          <w:lang w:val="fr-FR"/>
        </w:rPr>
        <w:t>La Gazette des Ardennes</w:t>
      </w:r>
      <w:r>
        <w:rPr>
          <w:lang w:val="fr-FR"/>
        </w:rPr>
        <w:t>, 27 March 1918.</w:t>
      </w:r>
    </w:p>
  </w:footnote>
  <w:footnote w:id="713">
    <w:p w14:paraId="0DF04CD6" w14:textId="092765F5"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rPr>
          <w:lang w:val="fr-FR"/>
        </w:rPr>
        <w:fldChar w:fldCharType="separate"/>
      </w:r>
      <w:r w:rsidRPr="00DE3AC9">
        <w:rPr>
          <w:noProof/>
          <w:lang w:val="fr-FR"/>
        </w:rPr>
        <w:t xml:space="preserve">Cull, Culbert, and Welch, </w:t>
      </w:r>
      <w:r w:rsidRPr="00DE3AC9">
        <w:rPr>
          <w:i/>
          <w:noProof/>
          <w:lang w:val="fr-FR"/>
        </w:rPr>
        <w:t>Propaganda</w:t>
      </w:r>
      <w:r>
        <w:rPr>
          <w:lang w:val="fr-FR"/>
        </w:rPr>
        <w:fldChar w:fldCharType="end"/>
      </w:r>
      <w:r w:rsidRPr="00DE3AC9">
        <w:rPr>
          <w:lang w:val="fr-FR"/>
        </w:rPr>
        <w:t>, p. xvii.</w:t>
      </w:r>
    </w:p>
  </w:footnote>
  <w:footnote w:id="714">
    <w:p w14:paraId="56C070CD" w14:textId="77777777" w:rsidR="00DE3AC9" w:rsidRPr="003468E8" w:rsidRDefault="00DE3AC9" w:rsidP="0048510E">
      <w:pPr>
        <w:pStyle w:val="FootnoteText"/>
        <w:rPr>
          <w:lang w:val="fr-FR"/>
        </w:rPr>
      </w:pPr>
      <w:r>
        <w:rPr>
          <w:rStyle w:val="FootnoteReference"/>
        </w:rPr>
        <w:footnoteRef/>
      </w:r>
      <w:r w:rsidRPr="003468E8">
        <w:rPr>
          <w:lang w:val="fr-FR"/>
        </w:rPr>
        <w:t xml:space="preserve"> </w:t>
      </w:r>
      <w:r>
        <w:rPr>
          <w:i/>
          <w:iCs/>
          <w:lang w:val="fr-FR"/>
        </w:rPr>
        <w:t>Le Courrier de l’Air</w:t>
      </w:r>
      <w:r>
        <w:rPr>
          <w:lang w:val="fr-FR"/>
        </w:rPr>
        <w:t>, 27 March 1918.</w:t>
      </w:r>
    </w:p>
  </w:footnote>
  <w:footnote w:id="715">
    <w:p w14:paraId="2FB4581E" w14:textId="77777777" w:rsidR="00DE3AC9" w:rsidRPr="00C54460" w:rsidRDefault="00DE3AC9" w:rsidP="005C7BEE">
      <w:pPr>
        <w:pStyle w:val="FootnoteText"/>
      </w:pPr>
      <w:r>
        <w:rPr>
          <w:rStyle w:val="FootnoteReference"/>
        </w:rPr>
        <w:footnoteRef/>
      </w:r>
      <w:r w:rsidRPr="00C54460">
        <w:t xml:space="preserve"> </w:t>
      </w:r>
      <w:r>
        <w:rPr>
          <w:lang w:val="fr-FR"/>
        </w:rP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rPr>
          <w:lang w:val="fr-FR"/>
        </w:rPr>
        <w:fldChar w:fldCharType="separate"/>
      </w:r>
      <w:r w:rsidRPr="005C7BEE">
        <w:rPr>
          <w:noProof/>
        </w:rPr>
        <w:t xml:space="preserve">Sheffield, </w:t>
      </w:r>
      <w:r w:rsidRPr="005C7BEE">
        <w:rPr>
          <w:i/>
          <w:noProof/>
        </w:rPr>
        <w:t>Forgotten victory</w:t>
      </w:r>
      <w:r>
        <w:rPr>
          <w:lang w:val="fr-FR"/>
        </w:rPr>
        <w:fldChar w:fldCharType="end"/>
      </w:r>
      <w:r w:rsidRPr="00C54460">
        <w:t xml:space="preserve">, p. 228 and </w:t>
      </w:r>
      <w:r>
        <w:rPr>
          <w:lang w:val="fr-FR"/>
        </w:rP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rPr>
          <w:lang w:val="fr-FR"/>
        </w:rPr>
        <w:fldChar w:fldCharType="separate"/>
      </w:r>
      <w:r w:rsidRPr="00C54460">
        <w:rPr>
          <w:noProof/>
        </w:rPr>
        <w:t xml:space="preserve">Stevenson, </w:t>
      </w:r>
      <w:r w:rsidRPr="00C54460">
        <w:rPr>
          <w:i/>
          <w:noProof/>
        </w:rPr>
        <w:t>With our back</w:t>
      </w:r>
      <w:r>
        <w:rPr>
          <w:lang w:val="fr-FR"/>
        </w:rPr>
        <w:fldChar w:fldCharType="end"/>
      </w:r>
      <w:r w:rsidRPr="00C54460">
        <w:t>, p. 68.</w:t>
      </w:r>
    </w:p>
  </w:footnote>
  <w:footnote w:id="716">
    <w:p w14:paraId="34A5431A" w14:textId="77777777" w:rsidR="00DE3AC9" w:rsidRPr="00D87FE2" w:rsidRDefault="00DE3AC9" w:rsidP="0048510E">
      <w:pPr>
        <w:pStyle w:val="FootnoteText"/>
        <w:rPr>
          <w:lang w:val="fr-FR"/>
        </w:rPr>
      </w:pPr>
      <w:r>
        <w:rPr>
          <w:rStyle w:val="FootnoteReference"/>
        </w:rPr>
        <w:footnoteRef/>
      </w:r>
      <w:r w:rsidRPr="00D87FE2">
        <w:rPr>
          <w:lang w:val="fr-FR"/>
        </w:rPr>
        <w:t xml:space="preserve"> </w:t>
      </w:r>
      <w:r w:rsidRPr="00D87FE2">
        <w:rPr>
          <w:i/>
          <w:iCs/>
          <w:lang w:val="fr-FR"/>
        </w:rPr>
        <w:t>La Lettre du Soldat</w:t>
      </w:r>
      <w:r w:rsidRPr="00D87FE2">
        <w:rPr>
          <w:lang w:val="fr-FR"/>
        </w:rPr>
        <w:t>, April 1918.</w:t>
      </w:r>
    </w:p>
  </w:footnote>
  <w:footnote w:id="717">
    <w:p w14:paraId="430C0BDF" w14:textId="77777777" w:rsidR="00DE3AC9" w:rsidRPr="0049553F" w:rsidRDefault="00DE3AC9" w:rsidP="0048510E">
      <w:pPr>
        <w:pStyle w:val="FootnoteText"/>
        <w:rPr>
          <w:lang w:val="fr-FR"/>
        </w:rPr>
      </w:pPr>
      <w:r>
        <w:rPr>
          <w:rStyle w:val="FootnoteReference"/>
        </w:rPr>
        <w:footnoteRef/>
      </w:r>
      <w:r w:rsidRPr="0049553F">
        <w:rPr>
          <w:lang w:val="fr-FR"/>
        </w:rPr>
        <w:t xml:space="preserve"> </w:t>
      </w:r>
      <w:r>
        <w:rPr>
          <w:i/>
          <w:iCs/>
          <w:lang w:val="fr-FR"/>
        </w:rPr>
        <w:t>La Voix du Pays</w:t>
      </w:r>
      <w:r>
        <w:rPr>
          <w:lang w:val="fr-FR"/>
        </w:rPr>
        <w:t>, 2 April 1918.</w:t>
      </w:r>
    </w:p>
  </w:footnote>
  <w:footnote w:id="718">
    <w:p w14:paraId="4030322B" w14:textId="77777777" w:rsidR="00DE3AC9" w:rsidRPr="00C54460" w:rsidRDefault="00DE3AC9" w:rsidP="0048510E">
      <w:pPr>
        <w:pStyle w:val="FootnoteText"/>
      </w:pPr>
      <w:r>
        <w:rPr>
          <w:rStyle w:val="FootnoteReference"/>
        </w:rPr>
        <w:footnoteRef/>
      </w:r>
      <w:r>
        <w:t xml:space="preserve"> British Library: C.40.I.21. Unpublished account of the history of the </w:t>
      </w:r>
      <w:r>
        <w:rPr>
          <w:i/>
          <w:iCs/>
        </w:rPr>
        <w:t xml:space="preserve">Courrier de l’Air. </w:t>
      </w:r>
      <w:r w:rsidRPr="00C54460">
        <w:t>November 1918.</w:t>
      </w:r>
    </w:p>
  </w:footnote>
  <w:footnote w:id="719">
    <w:p w14:paraId="14017264" w14:textId="77777777" w:rsidR="00DE3AC9" w:rsidRPr="00C54460" w:rsidRDefault="00DE3AC9" w:rsidP="005C7BEE">
      <w:pPr>
        <w:pStyle w:val="FootnoteText"/>
      </w:pPr>
      <w:r>
        <w:rPr>
          <w:rStyle w:val="FootnoteReference"/>
        </w:rPr>
        <w:footnoteRef/>
      </w:r>
      <w:r w:rsidRPr="00C54460">
        <w:t xml:space="preserve"> </w:t>
      </w:r>
      <w: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fldChar w:fldCharType="separate"/>
      </w:r>
      <w:r>
        <w:rPr>
          <w:noProof/>
        </w:rPr>
        <w:t xml:space="preserve">Sheffield, </w:t>
      </w:r>
      <w:r w:rsidRPr="005C7BEE">
        <w:rPr>
          <w:i/>
          <w:noProof/>
        </w:rPr>
        <w:t>Forgotten victory</w:t>
      </w:r>
      <w:r>
        <w:fldChar w:fldCharType="end"/>
      </w:r>
      <w:r w:rsidRPr="00C54460">
        <w:t>, pp. 228-233.</w:t>
      </w:r>
    </w:p>
  </w:footnote>
  <w:footnote w:id="720">
    <w:p w14:paraId="168E26D8"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fldChar w:fldCharType="separate"/>
      </w:r>
      <w:r w:rsidRPr="00C54460">
        <w:rPr>
          <w:noProof/>
        </w:rPr>
        <w:t xml:space="preserve">Stevenson, </w:t>
      </w:r>
      <w:r w:rsidRPr="00C54460">
        <w:rPr>
          <w:i/>
          <w:noProof/>
        </w:rPr>
        <w:t>With our back</w:t>
      </w:r>
      <w:r>
        <w:fldChar w:fldCharType="end"/>
      </w:r>
      <w:r w:rsidRPr="00C54460">
        <w:t>, p. 68.</w:t>
      </w:r>
    </w:p>
  </w:footnote>
  <w:footnote w:id="721">
    <w:p w14:paraId="6674EF01" w14:textId="5DAC1B66" w:rsidR="00DE3AC9" w:rsidRPr="004603A0" w:rsidRDefault="00DE3AC9" w:rsidP="005C7BEE">
      <w:pPr>
        <w:pStyle w:val="FootnoteText"/>
      </w:pPr>
      <w:r>
        <w:rPr>
          <w:rStyle w:val="FootnoteReference"/>
        </w:rPr>
        <w:footnoteRef/>
      </w:r>
      <w:r w:rsidRPr="004603A0">
        <w:t xml:space="preserve"> </w:t>
      </w:r>
      <w:r>
        <w:rPr>
          <w:lang w:val="fr-FR"/>
        </w:rP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sidRPr="005C7BEE">
        <w:rPr>
          <w:noProof/>
        </w:rPr>
        <w:t xml:space="preserve">Doughty, </w:t>
      </w:r>
      <w:r w:rsidRPr="005C7BEE">
        <w:rPr>
          <w:i/>
          <w:noProof/>
        </w:rPr>
        <w:t>Pyrrhic victory</w:t>
      </w:r>
      <w:r>
        <w:rPr>
          <w:lang w:val="fr-FR"/>
        </w:rPr>
        <w:fldChar w:fldCharType="end"/>
      </w:r>
      <w:r w:rsidRPr="004603A0">
        <w:t xml:space="preserve">, p. 443 and </w:t>
      </w:r>
      <w:r>
        <w:rPr>
          <w:lang w:val="fr-FR"/>
        </w:rPr>
        <w:fldChar w:fldCharType="begin"/>
      </w:r>
      <w:r>
        <w:instrText xml:space="preserve"> ADDIN EN.CITE &lt;EndNote&gt;&lt;Cite&gt;&lt;Author&gt;Sheffield&lt;/Author&gt;&lt;Year&gt;2002&lt;/Year&gt;&lt;RecNum&gt;123&lt;/RecNum&gt;&lt;DisplayText&gt;Sheffield, &lt;style face="italic"&gt;Forgotten victory&lt;/style&gt;&lt;/DisplayText&gt;&lt;record&gt;&lt;rec-number&gt;123&lt;/rec-number&gt;&lt;foreign-keys&gt;&lt;key app="EN" db-id="2f5rvwawcsv2woetvw35fzwbdvvswerd0err"&gt;123&lt;/key&gt;&lt;/foreign-keys&gt;&lt;ref-type name="Book"&gt;6&lt;/ref-type&gt;&lt;contributors&gt;&lt;authors&gt;&lt;author&gt;Sheffield, Gary&lt;/author&gt;&lt;/authors&gt;&lt;/contributors&gt;&lt;titles&gt;&lt;title&gt;Forgotten victory: the First World War, myths and realities&lt;/title&gt;&lt;short-title&gt;Forgotten victory&lt;/short-title&gt;&lt;/titles&gt;&lt;dates&gt;&lt;year&gt;2002&lt;/year&gt;&lt;/dates&gt;&lt;pub-location&gt;London&lt;/pub-location&gt;&lt;urls&gt;&lt;/urls&gt;&lt;/record&gt;&lt;/Cite&gt;&lt;/EndNote&gt;</w:instrText>
      </w:r>
      <w:r>
        <w:rPr>
          <w:lang w:val="fr-FR"/>
        </w:rPr>
        <w:fldChar w:fldCharType="separate"/>
      </w:r>
      <w:r w:rsidRPr="005C7BEE">
        <w:rPr>
          <w:noProof/>
        </w:rPr>
        <w:t xml:space="preserve">Sheffield, </w:t>
      </w:r>
      <w:r w:rsidRPr="005C7BEE">
        <w:rPr>
          <w:i/>
          <w:noProof/>
        </w:rPr>
        <w:t>Forgotten victory</w:t>
      </w:r>
      <w:r>
        <w:rPr>
          <w:lang w:val="fr-FR"/>
        </w:rPr>
        <w:fldChar w:fldCharType="end"/>
      </w:r>
      <w:r w:rsidRPr="004603A0">
        <w:t>, p. 229.</w:t>
      </w:r>
    </w:p>
  </w:footnote>
  <w:footnote w:id="722">
    <w:p w14:paraId="2F01DE98" w14:textId="77777777" w:rsidR="00DE3AC9" w:rsidRPr="00E6467B" w:rsidRDefault="00DE3AC9" w:rsidP="0048510E">
      <w:pPr>
        <w:pStyle w:val="FootnoteText"/>
        <w:rPr>
          <w:lang w:val="fr-FR"/>
        </w:rPr>
      </w:pPr>
      <w:r>
        <w:rPr>
          <w:rStyle w:val="FootnoteReference"/>
        </w:rPr>
        <w:footnoteRef/>
      </w:r>
      <w:r w:rsidRPr="00E6467B">
        <w:rPr>
          <w:lang w:val="fr-FR"/>
        </w:rPr>
        <w:t xml:space="preserve"> </w:t>
      </w:r>
      <w:r w:rsidRPr="00E6467B">
        <w:rPr>
          <w:i/>
          <w:iCs/>
          <w:lang w:val="fr-FR"/>
        </w:rPr>
        <w:t>Le Courrier de l’Air</w:t>
      </w:r>
      <w:r w:rsidRPr="00E6467B">
        <w:rPr>
          <w:lang w:val="fr-FR"/>
        </w:rPr>
        <w:t>, 18 April 1918.</w:t>
      </w:r>
    </w:p>
  </w:footnote>
  <w:footnote w:id="723">
    <w:p w14:paraId="75C52FE7" w14:textId="32B1590A" w:rsidR="00DE3AC9" w:rsidRPr="00B92946" w:rsidRDefault="00DE3AC9" w:rsidP="005C7BEE">
      <w:pPr>
        <w:pStyle w:val="FootnoteText"/>
      </w:pPr>
      <w:r>
        <w:rPr>
          <w:rStyle w:val="FootnoteReference"/>
        </w:rPr>
        <w:footnoteRef/>
      </w:r>
      <w:r w:rsidRPr="00B92946">
        <w:t xml:space="preserve"> </w:t>
      </w:r>
      <w:r>
        <w:rPr>
          <w:lang w:val="fr-FR"/>
        </w:rPr>
        <w:fldChar w:fldCharType="begin"/>
      </w:r>
      <w:r>
        <w:instrText xml:space="preserve"> ADDIN EN.CITE &lt;EndNote&gt;&lt;Cite&gt;&lt;Author&gt;Doughty&lt;/Author&gt;&lt;Year&gt;2005&lt;/Year&gt;&lt;RecNum&gt;31&lt;/RecNum&gt;&lt;DisplayText&gt;Doughty, &lt;style face="italic"&gt;Pyrrhic victory&lt;/style&gt;&lt;/DisplayText&gt;&lt;record&gt;&lt;rec-number&gt;31&lt;/rec-number&gt;&lt;foreign-keys&gt;&lt;key app="EN" db-id="2f5rvwawcsv2woetvw35fzwbdvvswerd0err"&gt;31&lt;/key&gt;&lt;/foreign-keys&gt;&lt;ref-type name="Book"&gt;6&lt;/ref-type&gt;&lt;contributors&gt;&lt;authors&gt;&lt;author&gt;Doughty, Robert&lt;/author&gt;&lt;/authors&gt;&lt;/contributors&gt;&lt;titles&gt;&lt;title&gt;Pyrrhic victory: French strategy and operations in the Great War&lt;/title&gt;&lt;short-title&gt;Pyrrhic victory&lt;/short-title&gt;&lt;/titles&gt;&lt;dates&gt;&lt;year&gt;2005&lt;/year&gt;&lt;/dates&gt;&lt;pub-location&gt;Harvard&lt;/pub-location&gt;&lt;urls&gt;&lt;/urls&gt;&lt;/record&gt;&lt;/Cite&gt;&lt;/EndNote&gt;</w:instrText>
      </w:r>
      <w:r>
        <w:rPr>
          <w:lang w:val="fr-FR"/>
        </w:rPr>
        <w:fldChar w:fldCharType="separate"/>
      </w:r>
      <w:r w:rsidRPr="005C7BEE">
        <w:rPr>
          <w:noProof/>
        </w:rPr>
        <w:t xml:space="preserve">Doughty, </w:t>
      </w:r>
      <w:r w:rsidRPr="005C7BEE">
        <w:rPr>
          <w:i/>
          <w:noProof/>
        </w:rPr>
        <w:t>Pyrrhic victory</w:t>
      </w:r>
      <w:r>
        <w:rPr>
          <w:lang w:val="fr-FR"/>
        </w:rPr>
        <w:fldChar w:fldCharType="end"/>
      </w:r>
      <w:r w:rsidRPr="00B92946">
        <w:t xml:space="preserve">, pp. 443-444 and </w:t>
      </w:r>
      <w:r>
        <w:rPr>
          <w:lang w:val="fr-FR"/>
        </w:rP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rPr>
          <w:lang w:val="fr-FR"/>
        </w:rPr>
        <w:fldChar w:fldCharType="separate"/>
      </w:r>
      <w:r w:rsidRPr="007B7627">
        <w:rPr>
          <w:noProof/>
        </w:rPr>
        <w:t xml:space="preserve">Stevenson, </w:t>
      </w:r>
      <w:r w:rsidRPr="007B7627">
        <w:rPr>
          <w:i/>
          <w:noProof/>
        </w:rPr>
        <w:t>With our back</w:t>
      </w:r>
      <w:r>
        <w:rPr>
          <w:lang w:val="fr-FR"/>
        </w:rPr>
        <w:fldChar w:fldCharType="end"/>
      </w:r>
      <w:r w:rsidRPr="00B92946">
        <w:t>, p. 71.</w:t>
      </w:r>
    </w:p>
  </w:footnote>
  <w:footnote w:id="724">
    <w:p w14:paraId="28CBA416" w14:textId="77777777" w:rsidR="00DE3AC9" w:rsidRPr="00AA07C7" w:rsidRDefault="00DE3AC9" w:rsidP="0048510E">
      <w:pPr>
        <w:pStyle w:val="FootnoteText"/>
        <w:rPr>
          <w:lang w:val="fr-FR"/>
        </w:rPr>
      </w:pPr>
      <w:r>
        <w:rPr>
          <w:rStyle w:val="FootnoteReference"/>
        </w:rPr>
        <w:footnoteRef/>
      </w:r>
      <w:r w:rsidRPr="00AA07C7">
        <w:rPr>
          <w:lang w:val="fr-FR"/>
        </w:rPr>
        <w:t xml:space="preserve"> </w:t>
      </w:r>
      <w:r>
        <w:rPr>
          <w:i/>
          <w:iCs/>
          <w:lang w:val="fr-FR"/>
        </w:rPr>
        <w:t>La Voix du Pays</w:t>
      </w:r>
      <w:r>
        <w:rPr>
          <w:lang w:val="fr-FR"/>
        </w:rPr>
        <w:t>, 30 April 1918.</w:t>
      </w:r>
    </w:p>
  </w:footnote>
  <w:footnote w:id="725">
    <w:p w14:paraId="27629A83" w14:textId="31258AA8" w:rsidR="00DE3AC9" w:rsidRPr="00C54460" w:rsidRDefault="00DE3AC9" w:rsidP="0048510E">
      <w:pPr>
        <w:pStyle w:val="FootnoteText"/>
      </w:pPr>
      <w:r>
        <w:rPr>
          <w:rStyle w:val="FootnoteReference"/>
        </w:rPr>
        <w:footnoteRef/>
      </w:r>
      <w:r w:rsidRPr="00C54460">
        <w:t xml:space="preserve"> </w:t>
      </w:r>
      <w:r>
        <w:rPr>
          <w:lang w:val="fr-FR"/>
        </w:rP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C54460">
        <w:rPr>
          <w:noProof/>
        </w:rPr>
        <w:t xml:space="preserve">Lasswell, </w:t>
      </w:r>
      <w:r w:rsidRPr="00C54460">
        <w:rPr>
          <w:i/>
          <w:noProof/>
        </w:rPr>
        <w:t>Propaganda</w:t>
      </w:r>
      <w:r>
        <w:rPr>
          <w:lang w:val="fr-FR"/>
        </w:rPr>
        <w:fldChar w:fldCharType="end"/>
      </w:r>
      <w:r w:rsidRPr="00C54460">
        <w:t>, p. 114.</w:t>
      </w:r>
    </w:p>
  </w:footnote>
  <w:footnote w:id="726">
    <w:p w14:paraId="0CCE681D"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fldChar w:fldCharType="separate"/>
      </w:r>
      <w:r w:rsidRPr="00C54460">
        <w:rPr>
          <w:noProof/>
        </w:rPr>
        <w:t xml:space="preserve">Stevenson, </w:t>
      </w:r>
      <w:r w:rsidRPr="00C54460">
        <w:rPr>
          <w:i/>
          <w:noProof/>
        </w:rPr>
        <w:t>With our back</w:t>
      </w:r>
      <w:r>
        <w:fldChar w:fldCharType="end"/>
      </w:r>
      <w:r w:rsidRPr="00C54460">
        <w:t>, p. 78.</w:t>
      </w:r>
    </w:p>
  </w:footnote>
  <w:footnote w:id="727">
    <w:p w14:paraId="657CCFD0" w14:textId="77777777" w:rsidR="00DE3AC9" w:rsidRPr="00783798" w:rsidRDefault="00DE3AC9" w:rsidP="0048510E">
      <w:pPr>
        <w:pStyle w:val="FootnoteText"/>
        <w:rPr>
          <w:lang w:val="fr-FR"/>
        </w:rPr>
      </w:pPr>
      <w:r>
        <w:rPr>
          <w:rStyle w:val="FootnoteReference"/>
        </w:rPr>
        <w:footnoteRef/>
      </w:r>
      <w:r w:rsidRPr="00783798">
        <w:rPr>
          <w:lang w:val="fr-FR"/>
        </w:rPr>
        <w:t xml:space="preserve"> </w:t>
      </w:r>
      <w:r>
        <w:rPr>
          <w:i/>
          <w:iCs/>
          <w:lang w:val="fr-FR"/>
        </w:rPr>
        <w:t>Le Courrier de l’Air</w:t>
      </w:r>
      <w:r>
        <w:rPr>
          <w:lang w:val="fr-FR"/>
        </w:rPr>
        <w:t>, 25 April 1918.</w:t>
      </w:r>
    </w:p>
  </w:footnote>
  <w:footnote w:id="728">
    <w:p w14:paraId="003D5002" w14:textId="77777777" w:rsidR="00DE3AC9" w:rsidRPr="00C54460" w:rsidRDefault="00DE3AC9" w:rsidP="0048510E">
      <w:pPr>
        <w:pStyle w:val="FootnoteText"/>
      </w:pPr>
      <w:r>
        <w:rPr>
          <w:rStyle w:val="FootnoteReference"/>
        </w:rPr>
        <w:footnoteRef/>
      </w:r>
      <w:r w:rsidRPr="00C54460">
        <w:t xml:space="preserve"> </w:t>
      </w:r>
      <w:r>
        <w:rPr>
          <w:lang w:val="nl-NL"/>
        </w:rPr>
        <w:fldChar w:fldCharType="begin"/>
      </w:r>
      <w:r w:rsidRPr="00C54460">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nl-NL"/>
        </w:rPr>
        <w:fldChar w:fldCharType="separate"/>
      </w:r>
      <w:r w:rsidRPr="00C54460">
        <w:rPr>
          <w:noProof/>
        </w:rPr>
        <w:t xml:space="preserve">Horne, </w:t>
      </w:r>
      <w:r w:rsidRPr="00C54460">
        <w:rPr>
          <w:i/>
          <w:noProof/>
        </w:rPr>
        <w:t>Remobilizing</w:t>
      </w:r>
      <w:r>
        <w:rPr>
          <w:lang w:val="nl-NL"/>
        </w:rPr>
        <w:fldChar w:fldCharType="end"/>
      </w:r>
      <w:r w:rsidRPr="00C54460">
        <w:t>, p. 210.</w:t>
      </w:r>
    </w:p>
  </w:footnote>
  <w:footnote w:id="729">
    <w:p w14:paraId="4B33105A"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fldChar w:fldCharType="separate"/>
      </w:r>
      <w:r w:rsidRPr="00C54460">
        <w:rPr>
          <w:noProof/>
        </w:rPr>
        <w:t xml:space="preserve">Stevenson, </w:t>
      </w:r>
      <w:r w:rsidRPr="00C54460">
        <w:rPr>
          <w:i/>
          <w:noProof/>
        </w:rPr>
        <w:t>With our back</w:t>
      </w:r>
      <w:r>
        <w:fldChar w:fldCharType="end"/>
      </w:r>
      <w:r w:rsidRPr="00C54460">
        <w:t>, p. 85.</w:t>
      </w:r>
    </w:p>
  </w:footnote>
  <w:footnote w:id="730">
    <w:p w14:paraId="01072C4F" w14:textId="77777777" w:rsidR="00DE3AC9" w:rsidRPr="005A3E16" w:rsidRDefault="00DE3AC9" w:rsidP="0048510E">
      <w:pPr>
        <w:pStyle w:val="FootnoteText"/>
        <w:rPr>
          <w:lang w:val="fr-FR"/>
        </w:rPr>
      </w:pPr>
      <w:r>
        <w:rPr>
          <w:rStyle w:val="FootnoteReference"/>
        </w:rPr>
        <w:footnoteRef/>
      </w:r>
      <w:r w:rsidRPr="005A3E16">
        <w:rPr>
          <w:lang w:val="fr-FR"/>
        </w:rPr>
        <w:t xml:space="preserve"> </w:t>
      </w:r>
      <w:r>
        <w:rPr>
          <w:i/>
          <w:iCs/>
          <w:lang w:val="fr-FR"/>
        </w:rPr>
        <w:t>La Voix du Pays</w:t>
      </w:r>
      <w:r>
        <w:rPr>
          <w:lang w:val="fr-FR"/>
        </w:rPr>
        <w:t>, 2 April and 16 June 1918.</w:t>
      </w:r>
    </w:p>
  </w:footnote>
  <w:footnote w:id="731">
    <w:p w14:paraId="0B3B8BE0" w14:textId="77777777" w:rsidR="00DE3AC9" w:rsidRPr="00930062" w:rsidRDefault="00DE3AC9" w:rsidP="0048510E">
      <w:pPr>
        <w:pStyle w:val="FootnoteText"/>
        <w:rPr>
          <w:lang w:val="fr-FR"/>
        </w:rPr>
      </w:pPr>
      <w:r>
        <w:rPr>
          <w:rStyle w:val="FootnoteReference"/>
        </w:rPr>
        <w:footnoteRef/>
      </w:r>
      <w:r w:rsidRPr="00930062">
        <w:rPr>
          <w:lang w:val="fr-FR"/>
        </w:rPr>
        <w:t xml:space="preserve"> </w:t>
      </w:r>
      <w:r>
        <w:rPr>
          <w:i/>
          <w:iCs/>
          <w:lang w:val="fr-FR"/>
        </w:rPr>
        <w:t xml:space="preserve">Le Courrier de l’Air, </w:t>
      </w:r>
      <w:r>
        <w:rPr>
          <w:lang w:val="fr-FR"/>
        </w:rPr>
        <w:t>13 June 1918.</w:t>
      </w:r>
    </w:p>
  </w:footnote>
  <w:footnote w:id="732">
    <w:p w14:paraId="51E95A14" w14:textId="7820017A" w:rsidR="00DE3AC9" w:rsidRPr="00415A32" w:rsidRDefault="00DE3AC9" w:rsidP="005747B8">
      <w:pPr>
        <w:pStyle w:val="FootnoteText"/>
        <w:rPr>
          <w:lang w:val="fr-FR"/>
        </w:rPr>
      </w:pPr>
      <w:r>
        <w:rPr>
          <w:rStyle w:val="FootnoteReference"/>
        </w:rPr>
        <w:footnoteRef/>
      </w:r>
      <w:r w:rsidRPr="00415A32">
        <w:rPr>
          <w:lang w:val="fr-FR"/>
        </w:rPr>
        <w:t xml:space="preserve"> </w:t>
      </w:r>
      <w:r>
        <w:fldChar w:fldCharType="begin"/>
      </w:r>
      <w:r w:rsidRPr="00415A32">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415A32">
        <w:rPr>
          <w:noProof/>
          <w:lang w:val="fr-FR"/>
        </w:rPr>
        <w:t xml:space="preserve">de Schaepdrijver, </w:t>
      </w:r>
      <w:r w:rsidRPr="00415A32">
        <w:rPr>
          <w:i/>
          <w:noProof/>
          <w:lang w:val="fr-FR"/>
        </w:rPr>
        <w:t>La Belgique</w:t>
      </w:r>
      <w:r>
        <w:fldChar w:fldCharType="end"/>
      </w:r>
      <w:r w:rsidRPr="00415A32">
        <w:rPr>
          <w:lang w:val="fr-FR"/>
        </w:rPr>
        <w:t>, p. 234.</w:t>
      </w:r>
    </w:p>
  </w:footnote>
  <w:footnote w:id="733">
    <w:p w14:paraId="31C2047E" w14:textId="610B3F04" w:rsidR="00DE3AC9" w:rsidRPr="00DE3AC9" w:rsidRDefault="00DE3AC9" w:rsidP="00473C5B">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DE3AC9">
        <w:rPr>
          <w:noProof/>
          <w:lang w:val="fr-FR"/>
        </w:rPr>
        <w:t xml:space="preserve">Nivet, </w:t>
      </w:r>
      <w:r w:rsidRPr="00DE3AC9">
        <w:rPr>
          <w:i/>
          <w:noProof/>
          <w:lang w:val="fr-FR"/>
        </w:rPr>
        <w:t>La France</w:t>
      </w:r>
      <w:r>
        <w:fldChar w:fldCharType="end"/>
      </w:r>
      <w:r w:rsidRPr="00DE3AC9">
        <w:rPr>
          <w:lang w:val="fr-FR"/>
        </w:rPr>
        <w:t>, pp. 192-198.</w:t>
      </w:r>
    </w:p>
  </w:footnote>
  <w:footnote w:id="734">
    <w:p w14:paraId="0671B432"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fldChar w:fldCharType="separate"/>
      </w:r>
      <w:r w:rsidRPr="00C54460">
        <w:rPr>
          <w:noProof/>
        </w:rPr>
        <w:t xml:space="preserve">Stevenson, </w:t>
      </w:r>
      <w:r w:rsidRPr="00C54460">
        <w:rPr>
          <w:i/>
          <w:noProof/>
        </w:rPr>
        <w:t>With our back</w:t>
      </w:r>
      <w:r>
        <w:fldChar w:fldCharType="end"/>
      </w:r>
      <w:r w:rsidRPr="00C54460">
        <w:t>, p. 88.</w:t>
      </w:r>
    </w:p>
  </w:footnote>
  <w:footnote w:id="735">
    <w:p w14:paraId="531A9A66" w14:textId="77777777" w:rsidR="00DE3AC9" w:rsidRPr="00D840DD" w:rsidRDefault="00DE3AC9" w:rsidP="0048510E">
      <w:pPr>
        <w:pStyle w:val="FootnoteText"/>
        <w:rPr>
          <w:lang w:val="fr-FR"/>
        </w:rPr>
      </w:pPr>
      <w:r>
        <w:rPr>
          <w:rStyle w:val="FootnoteReference"/>
        </w:rPr>
        <w:footnoteRef/>
      </w:r>
      <w:r w:rsidRPr="00D840DD">
        <w:rPr>
          <w:lang w:val="fr-FR"/>
        </w:rPr>
        <w:t xml:space="preserve"> </w:t>
      </w:r>
      <w:r w:rsidRPr="00D840DD">
        <w:rPr>
          <w:i/>
          <w:iCs/>
          <w:lang w:val="fr-FR"/>
        </w:rPr>
        <w:t xml:space="preserve">Les Bonnes Nouvelles, </w:t>
      </w:r>
      <w:r>
        <w:rPr>
          <w:i/>
          <w:iCs/>
          <w:lang w:val="fr-FR"/>
        </w:rPr>
        <w:t>Le Courrier de l’Air</w:t>
      </w:r>
      <w:r>
        <w:rPr>
          <w:lang w:val="fr-FR"/>
        </w:rPr>
        <w:t xml:space="preserve">, </w:t>
      </w:r>
      <w:r>
        <w:rPr>
          <w:i/>
          <w:iCs/>
          <w:lang w:val="fr-FR"/>
        </w:rPr>
        <w:t xml:space="preserve">La Lettre du Soldat </w:t>
      </w:r>
      <w:r>
        <w:rPr>
          <w:lang w:val="fr-FR"/>
        </w:rPr>
        <w:t>and</w:t>
      </w:r>
      <w:r>
        <w:rPr>
          <w:i/>
          <w:iCs/>
          <w:lang w:val="fr-FR"/>
        </w:rPr>
        <w:t xml:space="preserve"> La Voix du pays, </w:t>
      </w:r>
      <w:r>
        <w:rPr>
          <w:lang w:val="fr-FR"/>
        </w:rPr>
        <w:t>June – November 1918.</w:t>
      </w:r>
    </w:p>
  </w:footnote>
  <w:footnote w:id="736">
    <w:p w14:paraId="03763483" w14:textId="1B6B2482" w:rsidR="00DE3AC9" w:rsidRPr="00D50A7C" w:rsidRDefault="00DE3AC9" w:rsidP="0048510E">
      <w:pPr>
        <w:pStyle w:val="FootnoteText"/>
      </w:pPr>
      <w:r>
        <w:rPr>
          <w:rStyle w:val="FootnoteReference"/>
        </w:rPr>
        <w:footnoteRef/>
      </w:r>
      <w:r w:rsidRPr="00D50A7C">
        <w:t xml:space="preserve"> </w:t>
      </w:r>
      <w:r>
        <w:rPr>
          <w:lang w:val="fr-FR"/>
        </w:rPr>
        <w:fldChar w:fldCharType="begin"/>
      </w:r>
      <w:r>
        <w:instrText xml:space="preserve"> ADDIN EN.CITE &lt;EndNote&gt;&lt;Cite&gt;&lt;Author&gt;Horne&lt;/Author&gt;&lt;Year&gt;1997&lt;/Year&gt;&lt;RecNum&gt;145&lt;/RecNum&gt;&lt;DisplayText&gt;Horne, &lt;style face="italic"&gt;Remobilizing&lt;/style&gt;&lt;/DisplayText&gt;&lt;record&gt;&lt;rec-number&gt;145&lt;/rec-number&gt;&lt;foreign-keys&gt;&lt;key app="EN" db-id="2f5rvwawcsv2woetvw35fzwbdvvswerd0err"&gt;145&lt;/key&gt;&lt;/foreign-keys&gt;&lt;ref-type name="Book Section"&gt;5&lt;/ref-type&gt;&lt;contributors&gt;&lt;authors&gt;&lt;author&gt;Horne, John&lt;/author&gt;&lt;/authors&gt;&lt;secondary-authors&gt;&lt;author&gt;J. Horne&lt;/author&gt;&lt;/secondary-authors&gt;&lt;/contributors&gt;&lt;titles&gt;&lt;title&gt;Remobilizing for &amp;apos;Total War&amp;apos;: France and Britain, 1917-1918&lt;/title&gt;&lt;secondary-title&gt;State, society and mobilization in Europe during the First World War&lt;/secondary-title&gt;&lt;short-title&gt;Remobilizing&lt;/short-title&gt;&lt;/titles&gt;&lt;dates&gt;&lt;year&gt;1997&lt;/year&gt;&lt;/dates&gt;&lt;pub-location&gt;Cambridge&lt;/pub-location&gt;&lt;urls&gt;&lt;/urls&gt;&lt;/record&gt;&lt;/Cite&gt;&lt;/EndNote&gt;</w:instrText>
      </w:r>
      <w:r>
        <w:rPr>
          <w:lang w:val="fr-FR"/>
        </w:rPr>
        <w:fldChar w:fldCharType="separate"/>
      </w:r>
      <w:r w:rsidRPr="00446253">
        <w:rPr>
          <w:noProof/>
        </w:rPr>
        <w:t xml:space="preserve">Horne, </w:t>
      </w:r>
      <w:r w:rsidRPr="00446253">
        <w:rPr>
          <w:i/>
          <w:noProof/>
        </w:rPr>
        <w:t>Remobilizing</w:t>
      </w:r>
      <w:r>
        <w:rPr>
          <w:lang w:val="fr-FR"/>
        </w:rPr>
        <w:fldChar w:fldCharType="end"/>
      </w:r>
      <w:r w:rsidRPr="00D50A7C">
        <w:t xml:space="preserve"> p. 195 and </w:t>
      </w:r>
      <w:r>
        <w:rPr>
          <w:lang w:val="fr-FR"/>
        </w:rP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446253">
        <w:rPr>
          <w:noProof/>
        </w:rPr>
        <w:t xml:space="preserve">Lasswell, </w:t>
      </w:r>
      <w:r w:rsidRPr="00446253">
        <w:rPr>
          <w:i/>
          <w:noProof/>
        </w:rPr>
        <w:t>Propaganda</w:t>
      </w:r>
      <w:r>
        <w:rPr>
          <w:lang w:val="fr-FR"/>
        </w:rPr>
        <w:fldChar w:fldCharType="end"/>
      </w:r>
      <w:r w:rsidRPr="00D50A7C">
        <w:t>, p. 47.</w:t>
      </w:r>
    </w:p>
  </w:footnote>
  <w:footnote w:id="737">
    <w:p w14:paraId="68C940DB" w14:textId="14EE90D2" w:rsidR="00DE3AC9" w:rsidRPr="00D50A7C" w:rsidRDefault="00DE3AC9" w:rsidP="0048510E">
      <w:pPr>
        <w:pStyle w:val="FootnoteText"/>
      </w:pPr>
      <w:r>
        <w:rPr>
          <w:rStyle w:val="FootnoteReference"/>
        </w:rPr>
        <w:footnoteRef/>
      </w:r>
      <w:r w:rsidRPr="00D50A7C">
        <w:t xml:space="preserve"> </w:t>
      </w:r>
      <w:r>
        <w:rPr>
          <w:lang w:val="fr-FR"/>
        </w:rPr>
        <w:fldChar w:fldCharType="begin"/>
      </w:r>
      <w:r>
        <w:instrText xml:space="preserve"> ADDIN EN.CITE &lt;EndNote&gt;&lt;Cite&gt;&lt;Author&gt;Cull&lt;/Author&gt;&lt;Year&gt;2003&lt;/Year&gt;&lt;RecNum&gt;101&lt;/RecNum&gt;&lt;DisplayText&gt;Cull, Culbert, and Welch, &lt;style face="italic"&gt;Propaganda&lt;/style&gt;&lt;/DisplayText&gt;&lt;record&gt;&lt;rec-number&gt;101&lt;/rec-number&gt;&lt;foreign-keys&gt;&lt;key app="EN" db-id="2f5rvwawcsv2woetvw35fzwbdvvswerd0err"&gt;101&lt;/key&gt;&lt;/foreign-keys&gt;&lt;ref-type name="Book"&gt;6&lt;/ref-type&gt;&lt;contributors&gt;&lt;authors&gt;&lt;author&gt;Cull, Nicolas&lt;/author&gt;&lt;author&gt;Culbert, David&lt;/author&gt;&lt;author&gt;Welch, David&lt;/author&gt;&lt;/authors&gt;&lt;/contributors&gt;&lt;titles&gt;&lt;title&gt;Propaganda and mass persuasion: a Historical Encyclopedia&lt;/title&gt;&lt;short-title&gt;Propaganda&lt;/short-title&gt;&lt;/titles&gt;&lt;dates&gt;&lt;year&gt;2003&lt;/year&gt;&lt;/dates&gt;&lt;pub-location&gt;Santa Barbara&lt;/pub-location&gt;&lt;urls&gt;&lt;/urls&gt;&lt;/record&gt;&lt;/Cite&gt;&lt;/EndNote&gt;</w:instrText>
      </w:r>
      <w:r>
        <w:rPr>
          <w:lang w:val="fr-FR"/>
        </w:rPr>
        <w:fldChar w:fldCharType="separate"/>
      </w:r>
      <w:r w:rsidRPr="00446253">
        <w:rPr>
          <w:noProof/>
        </w:rPr>
        <w:t xml:space="preserve">Cull, Culbert, and Welch, </w:t>
      </w:r>
      <w:r w:rsidRPr="00446253">
        <w:rPr>
          <w:i/>
          <w:noProof/>
        </w:rPr>
        <w:t>Propaganda</w:t>
      </w:r>
      <w:r>
        <w:rPr>
          <w:lang w:val="fr-FR"/>
        </w:rPr>
        <w:fldChar w:fldCharType="end"/>
      </w:r>
      <w:r w:rsidRPr="00D50A7C">
        <w:t xml:space="preserve">, p. 24 and </w:t>
      </w:r>
      <w:r>
        <w:rPr>
          <w:lang w:val="fr-FR"/>
        </w:rP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A53216">
        <w:rPr>
          <w:noProof/>
        </w:rPr>
        <w:t xml:space="preserve">Lasswell, </w:t>
      </w:r>
      <w:r w:rsidRPr="00A53216">
        <w:rPr>
          <w:i/>
          <w:noProof/>
        </w:rPr>
        <w:t>Propaganda</w:t>
      </w:r>
      <w:r>
        <w:rPr>
          <w:lang w:val="fr-FR"/>
        </w:rPr>
        <w:fldChar w:fldCharType="end"/>
      </w:r>
      <w:r w:rsidRPr="00D50A7C">
        <w:t>, pp. 47-48.</w:t>
      </w:r>
    </w:p>
  </w:footnote>
  <w:footnote w:id="738">
    <w:p w14:paraId="0BCA0567" w14:textId="77777777" w:rsidR="00DE3AC9" w:rsidRPr="00D50A7C" w:rsidRDefault="00DE3AC9" w:rsidP="0048510E">
      <w:pPr>
        <w:pStyle w:val="FootnoteText"/>
      </w:pPr>
      <w:r>
        <w:rPr>
          <w:rStyle w:val="FootnoteReference"/>
        </w:rPr>
        <w:footnoteRef/>
      </w:r>
      <w:r>
        <w:t xml:space="preserve"> </w:t>
      </w:r>
      <w:r>
        <w:fldChar w:fldCharType="begin"/>
      </w:r>
      <w:r>
        <w:instrText xml:space="preserve"> ADDIN EN.CITE &lt;EndNote&gt;&lt;Cite&gt;&lt;Author&gt;Bourke&lt;/Author&gt;&lt;Year&gt;2006&lt;/Year&gt;&lt;RecNum&gt;178&lt;/RecNum&gt;&lt;DisplayText&gt;Joanna Bourke, &amp;apos;Barbarisation vs Civilisation in time of War&amp;apos;, in: &lt;style face="italic"&gt;The barbarisation of warfare, &lt;/style&gt;ed. by George Kassimeris (London, 2006),&lt;/DisplayText&gt;&lt;record&gt;&lt;rec-number&gt;178&lt;/rec-number&gt;&lt;foreign-keys&gt;&lt;key app="EN" db-id="2f5rvwawcsv2woetvw35fzwbdvvswerd0err"&gt;178&lt;/key&gt;&lt;/foreign-keys&gt;&lt;ref-type name="Book Section"&gt;5&lt;/ref-type&gt;&lt;contributors&gt;&lt;authors&gt;&lt;author&gt;Bourke, Joanna&lt;/author&gt;&lt;/authors&gt;&lt;secondary-authors&gt;&lt;author&gt;George Kassimeris&lt;/author&gt;&lt;/secondary-authors&gt;&lt;/contributors&gt;&lt;titles&gt;&lt;title&gt;Barbarisation vs Civilisation in time of War&lt;/title&gt;&lt;secondary-title&gt;The barbarisation of warfare&lt;/secondary-title&gt;&lt;short-title&gt;Barbarisation&lt;/short-title&gt;&lt;/titles&gt;&lt;dates&gt;&lt;year&gt;2006&lt;/year&gt;&lt;/dates&gt;&lt;pub-location&gt;London&lt;/pub-location&gt;&lt;urls&gt;&lt;/urls&gt;&lt;/record&gt;&lt;/Cite&gt;&lt;/EndNote&gt;</w:instrText>
      </w:r>
      <w:r>
        <w:fldChar w:fldCharType="separate"/>
      </w:r>
      <w:r>
        <w:rPr>
          <w:noProof/>
        </w:rPr>
        <w:t xml:space="preserve">Joanna Bourke, 'Barbarisation vs Civilisation in time of War', in: </w:t>
      </w:r>
      <w:r w:rsidRPr="00A53216">
        <w:rPr>
          <w:i/>
          <w:noProof/>
        </w:rPr>
        <w:t xml:space="preserve">The barbarisation of warfare, </w:t>
      </w:r>
      <w:r>
        <w:rPr>
          <w:noProof/>
        </w:rPr>
        <w:t>ed. by George Kassimeris (London, 2006),</w:t>
      </w:r>
      <w:r>
        <w:fldChar w:fldCharType="end"/>
      </w:r>
      <w:r>
        <w:t xml:space="preserve"> pp. 23-26.</w:t>
      </w:r>
    </w:p>
  </w:footnote>
  <w:footnote w:id="739">
    <w:p w14:paraId="603DECD9"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pp. 225-226.</w:t>
      </w:r>
    </w:p>
  </w:footnote>
  <w:footnote w:id="740">
    <w:p w14:paraId="42B43605" w14:textId="7777777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&lt;EndNote&gt;&lt;Cite&gt;&lt;Author&gt;Becker&lt;/Author&gt;&lt;Year&gt;1998&lt;/Year&gt;&lt;RecNum&gt;115&lt;/RecNum&gt;&lt;DisplayText&gt;Becker, &lt;style face="italic"&gt;Oubliés&lt;/style&gt;&lt;/DisplayText&gt;&lt;record&gt;&lt;rec-number&gt;115&lt;/rec-number&gt;&lt;foreign-keys&gt;&lt;key app="EN" db-id="2f5rvwawcsv2woetvw35fzwbdvvswerd0err"&gt;115&lt;/key&gt;&lt;/foreign-keys&gt;&lt;ref-type name="Book"&gt;6&lt;/ref-type&gt;&lt;contributors&gt;&lt;authors&gt;&lt;author&gt;Becker, Annette&lt;/author&gt;&lt;/authors&gt;&lt;/contributors&gt;&lt;titles&gt;&lt;title&gt;Oubliés de la Grande Guerre: humanitaire et culture de guerre&lt;/title&gt;&lt;short-title&gt;Oubliés&lt;/short-title&gt;&lt;/titles&gt;&lt;dates&gt;&lt;year&gt;1998&lt;/year&gt;&lt;/dates&gt;&lt;pub-location&gt;Paris&lt;/pub-location&gt;&lt;urls&gt;&lt;/urls&gt;&lt;/record&gt;&lt;/Cite&gt;&lt;/EndNote&gt;</w:instrText>
      </w:r>
      <w:r>
        <w:rPr>
          <w:lang w:val="fr-FR"/>
        </w:rPr>
        <w:fldChar w:fldCharType="separate"/>
      </w:r>
      <w:r w:rsidRPr="00DE3AC9">
        <w:rPr>
          <w:noProof/>
        </w:rPr>
        <w:t xml:space="preserve">Becker, </w:t>
      </w:r>
      <w:r w:rsidRPr="00DE3AC9">
        <w:rPr>
          <w:i/>
          <w:noProof/>
        </w:rPr>
        <w:t>Oubliés</w:t>
      </w:r>
      <w:r>
        <w:rPr>
          <w:lang w:val="fr-FR"/>
        </w:rPr>
        <w:fldChar w:fldCharType="end"/>
      </w:r>
      <w:r w:rsidRPr="00DE3AC9">
        <w:t>, p. 383.</w:t>
      </w:r>
    </w:p>
  </w:footnote>
  <w:footnote w:id="741">
    <w:p w14:paraId="16893AF5" w14:textId="7777777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DE3AC9">
        <w:rPr>
          <w:noProof/>
        </w:rPr>
        <w:t xml:space="preserve">Ellul, </w:t>
      </w:r>
      <w:r w:rsidRPr="00DE3AC9">
        <w:rPr>
          <w:i/>
          <w:noProof/>
        </w:rPr>
        <w:t>Propaganda</w:t>
      </w:r>
      <w:r>
        <w:rPr>
          <w:lang w:val="fr-FR"/>
        </w:rPr>
        <w:fldChar w:fldCharType="end"/>
      </w:r>
      <w:r w:rsidRPr="00DE3AC9">
        <w:t>, pp. 72-74.</w:t>
      </w:r>
    </w:p>
  </w:footnote>
  <w:footnote w:id="742">
    <w:p w14:paraId="29A77404" w14:textId="2A556601"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DE3AC9">
        <w:rPr>
          <w:noProof/>
        </w:rPr>
        <w:t xml:space="preserve">Lasswell, </w:t>
      </w:r>
      <w:r w:rsidRPr="00DE3AC9">
        <w:rPr>
          <w:i/>
          <w:noProof/>
        </w:rPr>
        <w:t>Propaganda</w:t>
      </w:r>
      <w:r>
        <w:rPr>
          <w:lang w:val="fr-FR"/>
        </w:rPr>
        <w:fldChar w:fldCharType="end"/>
      </w:r>
      <w:r w:rsidRPr="00DE3AC9">
        <w:t>, p. 47.</w:t>
      </w:r>
    </w:p>
  </w:footnote>
  <w:footnote w:id="743">
    <w:p w14:paraId="181A7AF9"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&lt;EndNote&gt;&lt;Cite&gt;&lt;Author&gt;Horne&lt;/Author&gt;&lt;Year&gt;2004&lt;/Year&gt;&lt;RecNum&gt;167&lt;/RecNum&gt;&lt;DisplayText&gt;Horne, &lt;style face="italic"&gt;&amp;quot;Propagande&amp;quot;&lt;/style&gt;&lt;/DisplayText&gt;&lt;record&gt;&lt;rec-number&gt;167&lt;/rec-number&gt;&lt;foreign-keys&gt;&lt;key app="EN" db-id="2f5rvwawcsv2woetvw35fzwbdvvswerd0err"&gt;167&lt;/key&gt;&lt;/foreign-keys&gt;&lt;ref-type name="Book Section"&gt;5&lt;/ref-type&gt;&lt;contributors&gt;&lt;authors&gt;&lt;author&gt;Horne, John&lt;/author&gt;&lt;/authors&gt;&lt;secondary-authors&gt;&lt;author&gt;Christophe Prochasson&lt;/author&gt;&lt;author&gt;Anne Rasmussen&lt;/author&gt;&lt;/secondary-authors&gt;&lt;/contributors&gt;&lt;titles&gt;&lt;title&gt;&amp;quot;Propagande&amp;quot; et &amp;quot;vérité&amp;quot; dans la Grande Guerre&lt;/title&gt;&lt;secondary-title&gt;Vrai et faux dans la Grande Guerre&lt;/secondary-title&gt;&lt;short-title&gt;&amp;quot;Propagande&amp;quot;&lt;/short-title&gt;&lt;/titles&gt;&lt;dates&gt;&lt;year&gt;2004&lt;/year&gt;&lt;/dates&gt;&lt;pub-location&gt;Paris&lt;/pub-location&gt;&lt;urls&gt;&lt;/urls&gt;&lt;/record&gt;&lt;/Cite&gt;&lt;/EndNote&gt;</w:instrText>
      </w:r>
      <w:r>
        <w:fldChar w:fldCharType="separate"/>
      </w:r>
      <w:r w:rsidRPr="00DE3AC9">
        <w:rPr>
          <w:noProof/>
        </w:rPr>
        <w:t xml:space="preserve">Horne, </w:t>
      </w:r>
      <w:r w:rsidRPr="00DE3AC9">
        <w:rPr>
          <w:i/>
          <w:noProof/>
        </w:rPr>
        <w:t>"Propagande"</w:t>
      </w:r>
      <w:r>
        <w:fldChar w:fldCharType="end"/>
      </w:r>
      <w:r w:rsidRPr="00DE3AC9">
        <w:t xml:space="preserve"> p. 87.</w:t>
      </w:r>
    </w:p>
  </w:footnote>
  <w:footnote w:id="744">
    <w:p w14:paraId="4AEC5ACE" w14:textId="3FA419B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DE3AC9">
        <w:rPr>
          <w:noProof/>
        </w:rPr>
        <w:t xml:space="preserve">Ellul, </w:t>
      </w:r>
      <w:r w:rsidRPr="00DE3AC9">
        <w:rPr>
          <w:i/>
          <w:noProof/>
        </w:rPr>
        <w:t>Propaganda</w:t>
      </w:r>
      <w:r>
        <w:rPr>
          <w:lang w:val="fr-FR"/>
        </w:rPr>
        <w:fldChar w:fldCharType="end"/>
      </w:r>
      <w:r w:rsidRPr="00DE3AC9">
        <w:t xml:space="preserve">, pp. 152-163 and </w:t>
      </w:r>
      <w:r>
        <w:rPr>
          <w:lang w:val="fr-FR"/>
        </w:rPr>
        <w:fldChar w:fldCharType="begin"/>
      </w:r>
      <w:r w:rsidRPr="00DE3AC9">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rPr>
          <w:lang w:val="fr-FR"/>
        </w:rPr>
        <w:fldChar w:fldCharType="separate"/>
      </w:r>
      <w:r w:rsidRPr="00DE3AC9">
        <w:rPr>
          <w:noProof/>
        </w:rPr>
        <w:t xml:space="preserve">Lasswell, </w:t>
      </w:r>
      <w:r w:rsidRPr="00DE3AC9">
        <w:rPr>
          <w:i/>
          <w:noProof/>
        </w:rPr>
        <w:t>Propaganda</w:t>
      </w:r>
      <w:r>
        <w:rPr>
          <w:lang w:val="fr-FR"/>
        </w:rPr>
        <w:fldChar w:fldCharType="end"/>
      </w:r>
      <w:r w:rsidRPr="00DE3AC9">
        <w:t>, p. 47.</w:t>
      </w:r>
    </w:p>
  </w:footnote>
  <w:footnote w:id="745">
    <w:p w14:paraId="68645B16" w14:textId="7777777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rPr>
          <w:lang w:val="fr-FR"/>
        </w:rPr>
        <w:fldChar w:fldCharType="separate"/>
      </w:r>
      <w:r w:rsidRPr="00DE3AC9">
        <w:rPr>
          <w:noProof/>
        </w:rPr>
        <w:t xml:space="preserve">Ellul, </w:t>
      </w:r>
      <w:r w:rsidRPr="00DE3AC9">
        <w:rPr>
          <w:i/>
          <w:noProof/>
        </w:rPr>
        <w:t>Propaganda</w:t>
      </w:r>
      <w:r>
        <w:rPr>
          <w:lang w:val="fr-FR"/>
        </w:rPr>
        <w:fldChar w:fldCharType="end"/>
      </w:r>
      <w:r w:rsidRPr="00DE3AC9">
        <w:t>, p. 47.</w:t>
      </w:r>
    </w:p>
  </w:footnote>
  <w:footnote w:id="746">
    <w:p w14:paraId="6D075B6B"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p. 225.</w:t>
      </w:r>
    </w:p>
  </w:footnote>
  <w:footnote w:id="747">
    <w:p w14:paraId="2E104EE1"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DE3AC9">
        <w:rPr>
          <w:noProof/>
        </w:rPr>
        <w:t xml:space="preserve">Taylor, </w:t>
      </w:r>
      <w:r w:rsidRPr="00DE3AC9">
        <w:rPr>
          <w:i/>
          <w:noProof/>
        </w:rPr>
        <w:t>Munitions</w:t>
      </w:r>
      <w:r>
        <w:fldChar w:fldCharType="end"/>
      </w:r>
      <w:r w:rsidRPr="00DE3AC9">
        <w:t>, p. 180.</w:t>
      </w:r>
    </w:p>
  </w:footnote>
  <w:footnote w:id="748">
    <w:p w14:paraId="42AEE40E"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xml:space="preserve">, pp. 52-53 and </w:t>
      </w:r>
      <w:r>
        <w:fldChar w:fldCharType="begin"/>
      </w:r>
      <w:r w:rsidRPr="00DE3AC9">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sidRPr="00DE3AC9">
        <w:rPr>
          <w:noProof/>
        </w:rPr>
        <w:t xml:space="preserve">Taylor, </w:t>
      </w:r>
      <w:r w:rsidRPr="00DE3AC9">
        <w:rPr>
          <w:i/>
          <w:noProof/>
        </w:rPr>
        <w:t>Munitions</w:t>
      </w:r>
      <w:r>
        <w:fldChar w:fldCharType="end"/>
      </w:r>
      <w:r w:rsidRPr="00DE3AC9">
        <w:t>, p. 15.</w:t>
      </w:r>
    </w:p>
  </w:footnote>
  <w:footnote w:id="749">
    <w:p w14:paraId="4A6FD084" w14:textId="77777777" w:rsidR="00DE3AC9" w:rsidRPr="00DE3AC9" w:rsidRDefault="00DE3AC9" w:rsidP="0048510E">
      <w:pPr>
        <w:pStyle w:val="FootnoteText"/>
      </w:pPr>
      <w:r>
        <w:rPr>
          <w:rStyle w:val="FootnoteReference"/>
        </w:rPr>
        <w:footnoteRef/>
      </w:r>
      <w:r w:rsidRPr="00DE3AC9">
        <w:t xml:space="preserve"> See further in this part of the chapter for the instrumentalisation of submarine warfare and the Armenian genocide.</w:t>
      </w:r>
    </w:p>
  </w:footnote>
  <w:footnote w:id="750">
    <w:p w14:paraId="3E9F3337" w14:textId="77777777" w:rsidR="00DE3AC9" w:rsidRPr="000232EA" w:rsidRDefault="00DE3AC9" w:rsidP="0048510E">
      <w:pPr>
        <w:pStyle w:val="FootnoteText"/>
      </w:pPr>
      <w:r>
        <w:rPr>
          <w:rStyle w:val="FootnoteReference"/>
        </w:rPr>
        <w:footnoteRef/>
      </w:r>
      <w:r w:rsidRPr="000232EA">
        <w:t xml:space="preserve"> </w:t>
      </w:r>
      <w:r>
        <w:rPr>
          <w:lang w:val="fr-FR"/>
        </w:rPr>
        <w:fldChar w:fldCharType="begin"/>
      </w:r>
      <w:r>
        <w:instrText xml:space="preserve"> ADDIN EN.CITE &lt;EndNote&gt;&lt;Cite&gt;&lt;Author&gt;Gay&lt;/Author&gt;&lt;Year&gt;1993&lt;/Year&gt;&lt;RecNum&gt;162&lt;/RecNum&gt;&lt;DisplayText&gt;Peter Gay, &lt;style face="italic"&gt;The cultivation of hatred&lt;/style&gt;, (New York, 1993)&lt;/DisplayText&gt;&lt;record&gt;&lt;rec-number&gt;162&lt;/rec-number&gt;&lt;foreign-keys&gt;&lt;key app="EN" db-id="2f5rvwawcsv2woetvw35fzwbdvvswerd0err"&gt;162&lt;/key&gt;&lt;/foreign-keys&gt;&lt;ref-type name="Book"&gt;6&lt;/ref-type&gt;&lt;contributors&gt;&lt;authors&gt;&lt;author&gt;Gay, Peter&lt;/author&gt;&lt;/authors&gt;&lt;/contributors&gt;&lt;titles&gt;&lt;title&gt;The cultivation of hatred&lt;/title&gt;&lt;short-title&gt;The cultivation&lt;/short-title&gt;&lt;/titles&gt;&lt;dates&gt;&lt;year&gt;1993&lt;/year&gt;&lt;/dates&gt;&lt;pub-location&gt;New York&lt;/pub-location&gt;&lt;urls&gt;&lt;/urls&gt;&lt;/record&gt;&lt;/Cite&gt;&lt;/EndNote&gt;</w:instrText>
      </w:r>
      <w:r>
        <w:rPr>
          <w:lang w:val="fr-FR"/>
        </w:rPr>
        <w:fldChar w:fldCharType="separate"/>
      </w:r>
      <w:r w:rsidRPr="00A53216">
        <w:rPr>
          <w:noProof/>
        </w:rPr>
        <w:t xml:space="preserve">Peter Gay, </w:t>
      </w:r>
      <w:r w:rsidRPr="00A53216">
        <w:rPr>
          <w:i/>
          <w:noProof/>
        </w:rPr>
        <w:t>The cultivation of hatred</w:t>
      </w:r>
      <w:r w:rsidRPr="00A53216">
        <w:rPr>
          <w:noProof/>
        </w:rPr>
        <w:t>, (New York, 1993)</w:t>
      </w:r>
      <w:r>
        <w:rPr>
          <w:lang w:val="fr-FR"/>
        </w:rPr>
        <w:fldChar w:fldCharType="end"/>
      </w:r>
      <w:r w:rsidRPr="000232EA">
        <w:t xml:space="preserve"> and </w:t>
      </w:r>
      <w:r>
        <w:rPr>
          <w:lang w:val="fr-FR"/>
        </w:rPr>
        <w:fldChar w:fldCharType="begin"/>
      </w:r>
      <w:r>
        <w:instrText xml:space="preserve"> ADDIN EN.CITE &lt;EndNote&gt;&lt;Cite&gt;&lt;Author&gt;Winter&lt;/Author&gt;&lt;Year&gt;2003&lt;/Year&gt;&lt;RecNum&gt;161&lt;/RecNum&gt;&lt;DisplayText&gt;Jay Winter, &lt;style face="italic"&gt;America and the Armenian genocide of 1915&lt;/style&gt;, (Cambridge, 2003)&lt;/DisplayText&gt;&lt;record&gt;&lt;rec-number&gt;161&lt;/rec-number&gt;&lt;foreign-keys&gt;&lt;key app="EN" db-id="2f5rvwawcsv2woetvw35fzwbdvvswerd0err"&gt;161&lt;/key&gt;&lt;/foreign-keys&gt;&lt;ref-type name="Book"&gt;6&lt;/ref-type&gt;&lt;contributors&gt;&lt;authors&gt;&lt;author&gt;Winter, Jay&lt;/author&gt;&lt;/authors&gt;&lt;secondary-authors&gt;&lt;author&gt;J. Winter&lt;/author&gt;&lt;/secondary-authors&gt;&lt;/contributors&gt;&lt;titles&gt;&lt;title&gt;America and the Armenian genocide of 1915&lt;/title&gt;&lt;short-title&gt;America&lt;/short-title&gt;&lt;/titles&gt;&lt;dates&gt;&lt;year&gt;2003&lt;/year&gt;&lt;/dates&gt;&lt;pub-location&gt;Cambridge&lt;/pub-location&gt;&lt;urls&gt;&lt;/urls&gt;&lt;/record&gt;&lt;/Cite&gt;&lt;/EndNote&gt;</w:instrText>
      </w:r>
      <w:r>
        <w:rPr>
          <w:lang w:val="fr-FR"/>
        </w:rPr>
        <w:fldChar w:fldCharType="separate"/>
      </w:r>
      <w:r w:rsidRPr="00A53216">
        <w:rPr>
          <w:noProof/>
        </w:rPr>
        <w:t xml:space="preserve">Jay Winter, </w:t>
      </w:r>
      <w:r w:rsidRPr="00A53216">
        <w:rPr>
          <w:i/>
          <w:noProof/>
        </w:rPr>
        <w:t>America and the Armenian genocide of 1915</w:t>
      </w:r>
      <w:r w:rsidRPr="00A53216">
        <w:rPr>
          <w:noProof/>
        </w:rPr>
        <w:t>, (Cambridge, 2003)</w:t>
      </w:r>
      <w:r>
        <w:rPr>
          <w:lang w:val="fr-FR"/>
        </w:rPr>
        <w:fldChar w:fldCharType="end"/>
      </w:r>
      <w:r w:rsidRPr="000232EA">
        <w:t>, p. 47.</w:t>
      </w:r>
    </w:p>
  </w:footnote>
  <w:footnote w:id="751">
    <w:p w14:paraId="7C7CA7F5" w14:textId="77777777" w:rsidR="00DE3AC9" w:rsidRPr="00A0287B" w:rsidRDefault="00DE3AC9" w:rsidP="0048510E">
      <w:pPr>
        <w:pStyle w:val="FootnoteText"/>
        <w:rPr>
          <w:lang w:val="fr-FR"/>
        </w:rPr>
      </w:pPr>
      <w:r>
        <w:rPr>
          <w:rStyle w:val="FootnoteReference"/>
        </w:rPr>
        <w:footnoteRef/>
      </w:r>
      <w:r w:rsidRPr="00A0287B">
        <w:rPr>
          <w:lang w:val="fr-FR"/>
        </w:rPr>
        <w:t xml:space="preserve"> </w:t>
      </w:r>
      <w:r>
        <w:rPr>
          <w:i/>
          <w:iCs/>
          <w:lang w:val="fr-FR"/>
        </w:rPr>
        <w:t>La Voix du Pays</w:t>
      </w:r>
      <w:r>
        <w:rPr>
          <w:lang w:val="fr-FR"/>
        </w:rPr>
        <w:t xml:space="preserve">, November 1915 – April 1917. </w:t>
      </w:r>
    </w:p>
  </w:footnote>
  <w:footnote w:id="752">
    <w:p w14:paraId="5544602F" w14:textId="77777777" w:rsidR="00DE3AC9" w:rsidRPr="00FC7FFC" w:rsidRDefault="00DE3AC9" w:rsidP="0048510E">
      <w:pPr>
        <w:pStyle w:val="FootnoteText"/>
      </w:pPr>
      <w:r>
        <w:rPr>
          <w:rStyle w:val="FootnoteReference"/>
        </w:rPr>
        <w:footnoteRef/>
      </w:r>
      <w:r>
        <w:t xml:space="preserve"> </w:t>
      </w:r>
      <w:r>
        <w:fldChar w:fldCharType="begin"/>
      </w:r>
      <w:r>
        <w:instrText xml:space="preserve"> ADDIN EN.CITE &lt;EndNote&gt;&lt;Cite&gt;&lt;Author&gt;Halpern&lt;/Author&gt;&lt;Year&gt;1994&lt;/Year&gt;&lt;RecNum&gt;156&lt;/RecNum&gt;&lt;DisplayText&gt;Paul Halpern, &lt;style face="italic"&gt;A naval history of World War One&lt;/style&gt;, (London, 1994)&lt;/DisplayText&gt;&lt;record&gt;&lt;rec-number&gt;156&lt;/rec-number&gt;&lt;foreign-keys&gt;&lt;key app="EN" db-id="2f5rvwawcsv2woetvw35fzwbdvvswerd0err"&gt;156&lt;/key&gt;&lt;/foreign-keys&gt;&lt;ref-type name="Book"&gt;6&lt;/ref-type&gt;&lt;contributors&gt;&lt;authors&gt;&lt;author&gt;Halpern, Paul&lt;/author&gt;&lt;/authors&gt;&lt;/contributors&gt;&lt;titles&gt;&lt;title&gt;A naval history of World War One&lt;/title&gt;&lt;short-title&gt;A naval&lt;/short-title&gt;&lt;/titles&gt;&lt;dates&gt;&lt;year&gt;1994&lt;/year&gt;&lt;/dates&gt;&lt;pub-location&gt;London&lt;/pub-location&gt;&lt;urls&gt;&lt;/urls&gt;&lt;/record&gt;&lt;/Cite&gt;&lt;/EndNote&gt;</w:instrText>
      </w:r>
      <w:r>
        <w:fldChar w:fldCharType="separate"/>
      </w:r>
      <w:r>
        <w:rPr>
          <w:noProof/>
        </w:rPr>
        <w:t xml:space="preserve">Paul Halpern, </w:t>
      </w:r>
      <w:r w:rsidRPr="00A53216">
        <w:rPr>
          <w:i/>
          <w:noProof/>
        </w:rPr>
        <w:t>A naval history of World War One</w:t>
      </w:r>
      <w:r>
        <w:rPr>
          <w:noProof/>
        </w:rPr>
        <w:t>, (London, 1994)</w:t>
      </w:r>
      <w:r>
        <w:fldChar w:fldCharType="end"/>
      </w:r>
      <w:r>
        <w:t xml:space="preserve">, pp. 296-299 and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A53216">
        <w:rPr>
          <w:i/>
          <w:noProof/>
        </w:rPr>
        <w:t>Munitions</w:t>
      </w:r>
      <w:r>
        <w:fldChar w:fldCharType="end"/>
      </w:r>
      <w:r>
        <w:t xml:space="preserve">, pp. 178-179. German propaganda in Belgium tried to answer. See </w:t>
      </w:r>
      <w:r>
        <w:rPr>
          <w:i/>
          <w:iCs/>
        </w:rPr>
        <w:t>L’Echo de Liège</w:t>
      </w:r>
      <w:r>
        <w:t>, 1 June 1915.</w:t>
      </w:r>
    </w:p>
  </w:footnote>
  <w:footnote w:id="753">
    <w:p w14:paraId="3B2AC06B" w14:textId="77777777" w:rsidR="00DE3AC9" w:rsidRPr="006918EA" w:rsidRDefault="00DE3AC9" w:rsidP="0048510E">
      <w:pPr>
        <w:pStyle w:val="FootnoteText"/>
      </w:pPr>
      <w:r>
        <w:rPr>
          <w:rStyle w:val="FootnoteReference"/>
        </w:rPr>
        <w:footnoteRef/>
      </w:r>
      <w:r>
        <w:t xml:space="preserve"> </w:t>
      </w:r>
      <w:r>
        <w:fldChar w:fldCharType="begin"/>
      </w:r>
      <w:r>
        <w:instrText xml:space="preserve"> ADDIN EN.CITE &lt;EndNote&gt;&lt;Cite&gt;&lt;Author&gt;Davis&lt;/Author&gt;&lt;Year&gt;1966&lt;/Year&gt;&lt;RecNum&gt;157&lt;/RecNum&gt;&lt;DisplayText&gt;Gerald Davis, &amp;apos;The &amp;apos;Ancona&amp;apos; affair: a case of preventive diplomacy&amp;apos;, in: &lt;style face="italic"&gt;The Journal of Modern History, &lt;/style&gt;38 (1966), &lt;/DisplayText&gt;&lt;record&gt;&lt;rec-number&gt;157&lt;/rec-number&gt;&lt;foreign-keys&gt;&lt;key app="EN" db-id="2f5rvwawcsv2woetvw35fzwbdvvswerd0err"&gt;157&lt;/key&gt;&lt;/foreign-keys&gt;&lt;ref-type name="Journal Article"&gt;17&lt;/ref-type&gt;&lt;contributors&gt;&lt;authors&gt;&lt;author&gt;Davis, Gerald&lt;/author&gt;&lt;/authors&gt;&lt;/contributors&gt;&lt;titles&gt;&lt;title&gt;The &amp;apos;Ancona&amp;apos; affair: a case of preventive diplomacy&lt;/title&gt;&lt;secondary-title&gt;The Journal of Modern History&lt;/secondary-title&gt;&lt;short-title&gt;The &amp;apos;Ancona&amp;apos;&lt;/short-title&gt;&lt;/titles&gt;&lt;periodical&gt;&lt;full-title&gt;The Journal of Modern History&lt;/full-title&gt;&lt;/periodical&gt;&lt;volume&gt;38&lt;/volume&gt;&lt;number&gt;3&lt;/number&gt;&lt;dates&gt;&lt;year&gt;1966&lt;/year&gt;&lt;/dates&gt;&lt;urls&gt;&lt;/urls&gt;&lt;/record&gt;&lt;/Cite&gt;&lt;/EndNote&gt;</w:instrText>
      </w:r>
      <w:r>
        <w:fldChar w:fldCharType="separate"/>
      </w:r>
      <w:r>
        <w:rPr>
          <w:noProof/>
        </w:rPr>
        <w:t xml:space="preserve">Gerald Davis, 'The 'Ancona' affair: a case of preventive diplomacy', in: </w:t>
      </w:r>
      <w:r w:rsidRPr="00A53216">
        <w:rPr>
          <w:i/>
          <w:noProof/>
        </w:rPr>
        <w:t xml:space="preserve">The Journal of Modern History, </w:t>
      </w:r>
      <w:r>
        <w:rPr>
          <w:noProof/>
        </w:rPr>
        <w:t xml:space="preserve">38 (1966), </w:t>
      </w:r>
      <w:r>
        <w:fldChar w:fldCharType="end"/>
      </w:r>
      <w:r>
        <w:t>pp. 270-272.</w:t>
      </w:r>
    </w:p>
  </w:footnote>
  <w:footnote w:id="754">
    <w:p w14:paraId="72249E70" w14:textId="77777777" w:rsidR="00DE3AC9" w:rsidRPr="00DB0DAD" w:rsidRDefault="00DE3AC9" w:rsidP="0048510E">
      <w:pPr>
        <w:pStyle w:val="FootnoteText"/>
        <w:rPr>
          <w:lang w:val="fr-FR"/>
        </w:rPr>
      </w:pPr>
      <w:r>
        <w:rPr>
          <w:rStyle w:val="FootnoteReference"/>
        </w:rPr>
        <w:footnoteRef/>
      </w:r>
      <w:r w:rsidRPr="00DB0DAD">
        <w:rPr>
          <w:lang w:val="fr-FR"/>
        </w:rPr>
        <w:t xml:space="preserve"> </w:t>
      </w:r>
      <w:r w:rsidRPr="00DB0DAD">
        <w:rPr>
          <w:i/>
          <w:iCs/>
          <w:lang w:val="fr-FR"/>
        </w:rPr>
        <w:t>La Voix du Pays</w:t>
      </w:r>
      <w:r w:rsidRPr="00DB0DAD">
        <w:rPr>
          <w:lang w:val="fr-FR"/>
        </w:rPr>
        <w:t>, 30 November 1915.</w:t>
      </w:r>
    </w:p>
  </w:footnote>
  <w:footnote w:id="755">
    <w:p w14:paraId="01DF192A" w14:textId="77777777" w:rsidR="00DE3AC9" w:rsidRPr="00031A09" w:rsidRDefault="00DE3AC9" w:rsidP="0048510E">
      <w:pPr>
        <w:pStyle w:val="FootnoteText"/>
      </w:pPr>
      <w:r>
        <w:rPr>
          <w:rStyle w:val="FootnoteReference"/>
        </w:rPr>
        <w:footnoteRef/>
      </w:r>
      <w:r w:rsidRPr="00031A09">
        <w:t xml:space="preserve"> </w:t>
      </w:r>
      <w:r w:rsidRPr="00031A09">
        <w:rPr>
          <w:i/>
          <w:iCs/>
        </w:rPr>
        <w:t>La Voix du Pays</w:t>
      </w:r>
      <w:r w:rsidRPr="00031A09">
        <w:t>, 15 December 1915, 10 January, 22 February</w:t>
      </w:r>
      <w:r>
        <w:t xml:space="preserve">, 6 March, 5 April, 2 May and 17 May </w:t>
      </w:r>
      <w:r w:rsidRPr="00031A09">
        <w:t>1916.</w:t>
      </w:r>
    </w:p>
  </w:footnote>
  <w:footnote w:id="756">
    <w:p w14:paraId="66D51814" w14:textId="77777777" w:rsidR="00DE3AC9" w:rsidRPr="008025CE" w:rsidRDefault="00DE3AC9" w:rsidP="0048510E">
      <w:pPr>
        <w:pStyle w:val="FootnoteText"/>
        <w:rPr>
          <w:lang w:val="fr-FR"/>
        </w:rPr>
      </w:pPr>
      <w:r>
        <w:rPr>
          <w:rStyle w:val="FootnoteReference"/>
        </w:rPr>
        <w:footnoteRef/>
      </w:r>
      <w:r w:rsidRPr="008025CE">
        <w:rPr>
          <w:lang w:val="fr-FR"/>
        </w:rPr>
        <w:t xml:space="preserve"> </w:t>
      </w:r>
      <w:r>
        <w:rPr>
          <w:i/>
          <w:iCs/>
          <w:lang w:val="fr-FR"/>
        </w:rPr>
        <w:t>Le Clairon du Roi</w:t>
      </w:r>
      <w:r>
        <w:rPr>
          <w:lang w:val="fr-FR"/>
        </w:rPr>
        <w:t>, November 1916.</w:t>
      </w:r>
    </w:p>
  </w:footnote>
  <w:footnote w:id="757">
    <w:p w14:paraId="18099D79" w14:textId="77777777" w:rsidR="00DE3AC9" w:rsidRPr="002D63BE" w:rsidRDefault="00DE3AC9" w:rsidP="0048510E">
      <w:pPr>
        <w:pStyle w:val="FootnoteText"/>
        <w:rPr>
          <w:lang w:val="fr-FR"/>
        </w:rPr>
      </w:pPr>
      <w:r>
        <w:rPr>
          <w:rStyle w:val="FootnoteReference"/>
        </w:rPr>
        <w:footnoteRef/>
      </w:r>
      <w:r w:rsidRPr="002D63BE">
        <w:rPr>
          <w:lang w:val="fr-FR"/>
        </w:rPr>
        <w:t xml:space="preserve"> </w:t>
      </w:r>
      <w:r>
        <w:rPr>
          <w:i/>
          <w:iCs/>
          <w:lang w:val="fr-FR"/>
        </w:rPr>
        <w:t>La Voix du Pays</w:t>
      </w:r>
      <w:r>
        <w:rPr>
          <w:lang w:val="fr-FR"/>
        </w:rPr>
        <w:t>, 22 August 1916.</w:t>
      </w:r>
    </w:p>
  </w:footnote>
  <w:footnote w:id="758">
    <w:p w14:paraId="43EAEC25" w14:textId="77777777" w:rsidR="00DE3AC9" w:rsidRPr="00EA73A1" w:rsidRDefault="00DE3AC9" w:rsidP="005C7BEE">
      <w:pPr>
        <w:pStyle w:val="FootnoteText"/>
      </w:pPr>
      <w:r>
        <w:rPr>
          <w:rStyle w:val="FootnoteReference"/>
        </w:rPr>
        <w:footnoteRef/>
      </w:r>
      <w:r w:rsidRPr="00EA73A1">
        <w:t xml:space="preserve"> </w:t>
      </w:r>
      <w:r>
        <w:t>German’s responsibility</w:t>
      </w:r>
      <w:r w:rsidRPr="00EA73A1">
        <w:t xml:space="preserve"> in the Armenian genocide is still heavily debated. </w:t>
      </w:r>
      <w:r>
        <w:t xml:space="preserve">See: </w:t>
      </w:r>
      <w:r>
        <w:fldChar w:fldCharType="begin"/>
      </w:r>
      <w:r>
        <w:instrText xml:space="preserve"> ADDIN EN.CITE &lt;EndNote&gt;&lt;Cite&gt;&lt;Author&gt;Vahakn&lt;/Author&gt;&lt;Year&gt;1996&lt;/Year&gt;&lt;RecNum&gt;264&lt;/RecNum&gt;&lt;DisplayText&gt;Dadrian Vahakn, &lt;style face="italic"&gt;German responsibility in the Armenian genocide: a review of the historical evidence of German complicity&lt;/style&gt;, (Cambridge, 1996)&lt;/DisplayText&gt;&lt;record&gt;&lt;rec-number&gt;264&lt;/rec-number&gt;&lt;foreign-keys&gt;&lt;key app="EN" db-id="2f5rvwawcsv2woetvw35fzwbdvvswerd0err"&gt;264&lt;/key&gt;&lt;/foreign-keys&gt;&lt;ref-type name="Book"&gt;6&lt;/ref-type&gt;&lt;contributors&gt;&lt;authors&gt;&lt;author&gt;Vahakn, Dadrian&lt;/author&gt;&lt;/authors&gt;&lt;/contributors&gt;&lt;titles&gt;&lt;title&gt;German responsibility in the Armenian genocide: a review of the historical evidence of German complicity&lt;/title&gt;&lt;short-title&gt;German&lt;/short-title&gt;&lt;/titles&gt;&lt;dates&gt;&lt;year&gt;1996&lt;/year&gt;&lt;/dates&gt;&lt;pub-location&gt;Cambridge&lt;/pub-location&gt;&lt;urls&gt;&lt;/urls&gt;&lt;/record&gt;&lt;/Cite&gt;&lt;/EndNote&gt;</w:instrText>
      </w:r>
      <w:r>
        <w:fldChar w:fldCharType="separate"/>
      </w:r>
      <w:r>
        <w:rPr>
          <w:noProof/>
        </w:rPr>
        <w:t xml:space="preserve">Dadrian Vahakn, </w:t>
      </w:r>
      <w:r w:rsidRPr="005C7BEE">
        <w:rPr>
          <w:i/>
          <w:noProof/>
        </w:rPr>
        <w:t>German responsibility in the Armenian genocide: a review of the historical evidence of German complicity</w:t>
      </w:r>
      <w:r>
        <w:rPr>
          <w:noProof/>
        </w:rPr>
        <w:t>, (Cambridge, 1996)</w:t>
      </w:r>
      <w:r>
        <w:fldChar w:fldCharType="end"/>
      </w:r>
      <w:r>
        <w:t xml:space="preserve">; </w:t>
      </w:r>
      <w:r>
        <w:fldChar w:fldCharType="begin"/>
      </w:r>
      <w:r>
        <w:instrText xml:space="preserve"> ADDIN EN.CITE &lt;EndNote&gt;&lt;Cite&gt;&lt;Author&gt;Vahakn&lt;/Author&gt;&lt;Year&gt;1995&lt;/Year&gt;&lt;RecNum&gt;265&lt;/RecNum&gt;&lt;DisplayText&gt;Dadrian Vahakn, &lt;style face="italic"&gt;The history of the Armenian genocide: ethnic conflict from the Balkans to Anatolia to the Caucasus&lt;/style&gt;, (Providence, 1995)&lt;/DisplayText&gt;&lt;record&gt;&lt;rec-number&gt;265&lt;/rec-number&gt;&lt;foreign-keys&gt;&lt;key app="EN" db-id="2f5rvwawcsv2woetvw35fzwbdvvswerd0err"&gt;265&lt;/key&gt;&lt;/foreign-keys&gt;&lt;ref-type name="Book"&gt;6&lt;/ref-type&gt;&lt;contributors&gt;&lt;authors&gt;&lt;author&gt;Vahakn, Dadrian&lt;/author&gt;&lt;/authors&gt;&lt;/contributors&gt;&lt;titles&gt;&lt;title&gt;The history of the Armenian genocide: ethnic conflict from the Balkans to Anatolia to the Caucasus&lt;/title&gt;&lt;short-title&gt;The history of the Armenian genocide&lt;/short-title&gt;&lt;/titles&gt;&lt;dates&gt;&lt;year&gt;1995&lt;/year&gt;&lt;/dates&gt;&lt;pub-location&gt;Providence&lt;/pub-location&gt;&lt;urls&gt;&lt;/urls&gt;&lt;/record&gt;&lt;/Cite&gt;&lt;/EndNote&gt;</w:instrText>
      </w:r>
      <w:r>
        <w:fldChar w:fldCharType="separate"/>
      </w:r>
      <w:r>
        <w:rPr>
          <w:noProof/>
        </w:rPr>
        <w:t xml:space="preserve">Dadrian Vahakn, </w:t>
      </w:r>
      <w:r w:rsidRPr="005C7BEE">
        <w:rPr>
          <w:i/>
          <w:noProof/>
        </w:rPr>
        <w:t>The history of the Armenian genocide: ethnic conflict from the Balkans to Anatolia to the Caucasus</w:t>
      </w:r>
      <w:r>
        <w:rPr>
          <w:noProof/>
        </w:rPr>
        <w:t>, (Providence, 1995)</w:t>
      </w:r>
      <w:r>
        <w:fldChar w:fldCharType="end"/>
      </w:r>
      <w:r>
        <w:t xml:space="preserve">, pp. 248-300; </w:t>
      </w:r>
      <w:r>
        <w:fldChar w:fldCharType="begin"/>
      </w:r>
      <w:r>
        <w:instrText xml:space="preserve"> ADDIN EN.CITE &lt;EndNote&gt;&lt;Cite&gt;&lt;Author&gt;Ohandjanian&lt;/Author&gt;&lt;Year&gt;1989&lt;/Year&gt;&lt;RecNum&gt;266&lt;/RecNum&gt;&lt;DisplayText&gt;Artem Ohandjanian, &lt;style face="italic"&gt;Armenien: Der verschwiegene Völkermord&lt;/style&gt;, (Köln, 1989)&lt;/DisplayText&gt;&lt;record&gt;&lt;rec-number&gt;266&lt;/rec-number&gt;&lt;foreign-keys&gt;&lt;key app="EN" db-id="2f5rvwawcsv2woetvw35fzwbdvvswerd0err"&gt;266&lt;/key&gt;&lt;/foreign-keys&gt;&lt;ref-type name="Book"&gt;6&lt;/ref-type&gt;&lt;contributors&gt;&lt;authors&gt;&lt;author&gt;Ohandjanian, Artem&lt;/author&gt;&lt;/authors&gt;&lt;/contributors&gt;&lt;titles&gt;&lt;title&gt;Armenien: Der verschwiegene Völkermord&lt;/title&gt;&lt;short-title&gt;Der verschwiegene&lt;/short-title&gt;&lt;/titles&gt;&lt;dates&gt;&lt;year&gt;1989&lt;/year&gt;&lt;/dates&gt;&lt;pub-location&gt;Köln&lt;/pub-location&gt;&lt;urls&gt;&lt;/urls&gt;&lt;/record&gt;&lt;/Cite&gt;&lt;/EndNote&gt;</w:instrText>
      </w:r>
      <w:r>
        <w:fldChar w:fldCharType="separate"/>
      </w:r>
      <w:r>
        <w:rPr>
          <w:noProof/>
        </w:rPr>
        <w:t xml:space="preserve">Artem Ohandjanian, </w:t>
      </w:r>
      <w:r w:rsidRPr="005C7BEE">
        <w:rPr>
          <w:i/>
          <w:noProof/>
        </w:rPr>
        <w:t>Armenien: Der verschwiegene Völkermord</w:t>
      </w:r>
      <w:r>
        <w:rPr>
          <w:noProof/>
        </w:rPr>
        <w:t>, (Köln, 1989)</w:t>
      </w:r>
      <w:r>
        <w:fldChar w:fldCharType="end"/>
      </w:r>
      <w:r>
        <w:t xml:space="preserve">, pp. 202-221 and </w:t>
      </w:r>
      <w:r>
        <w:fldChar w:fldCharType="begin"/>
      </w:r>
      <w:r>
        <w:instrText xml:space="preserve"> ADDIN EN.CITE &lt;EndNote&gt;&lt;Cite&gt;&lt;Author&gt;Bloxham&lt;/Author&gt;&lt;Year&gt;2005&lt;/Year&gt;&lt;RecNum&gt;267&lt;/RecNum&gt;&lt;DisplayText&gt;Donald Bloxham, &lt;style face="italic"&gt;The great game of genocide: imperialism, nationalism, and the destruction of the Ottoman Armenians&lt;/style&gt;, (Oxford, 2005)&lt;/DisplayText&gt;&lt;record&gt;&lt;rec-number&gt;267&lt;/rec-number&gt;&lt;foreign-keys&gt;&lt;key app="EN" db-id="2f5rvwawcsv2woetvw35fzwbdvvswerd0err"&gt;267&lt;/key&gt;&lt;/foreign-keys&gt;&lt;ref-type name="Book"&gt;6&lt;/ref-type&gt;&lt;contributors&gt;&lt;authors&gt;&lt;author&gt;Bloxham, Donald&lt;/author&gt;&lt;/authors&gt;&lt;/contributors&gt;&lt;titles&gt;&lt;title&gt;The great game of genocide: imperialism, nationalism, and the destruction of the Ottoman Armenians&lt;/title&gt;&lt;short-title&gt;The great game&lt;/short-title&gt;&lt;/titles&gt;&lt;dates&gt;&lt;year&gt;2005&lt;/year&gt;&lt;/dates&gt;&lt;pub-location&gt;Oxford&lt;/pub-location&gt;&lt;urls&gt;&lt;/urls&gt;&lt;/record&gt;&lt;/Cite&gt;&lt;/EndNote&gt;</w:instrText>
      </w:r>
      <w:r>
        <w:fldChar w:fldCharType="separate"/>
      </w:r>
      <w:r>
        <w:rPr>
          <w:noProof/>
        </w:rPr>
        <w:t xml:space="preserve">Donald Bloxham, </w:t>
      </w:r>
      <w:r w:rsidRPr="005C7BEE">
        <w:rPr>
          <w:i/>
          <w:noProof/>
        </w:rPr>
        <w:t>The great game of genocide: imperialism, nationalism, and the destruction of the Ottoman Armenians</w:t>
      </w:r>
      <w:r>
        <w:rPr>
          <w:noProof/>
        </w:rPr>
        <w:t>, (Oxford, 2005)</w:t>
      </w:r>
      <w:r>
        <w:fldChar w:fldCharType="end"/>
      </w:r>
      <w:r>
        <w:t>, pp. 115-133.</w:t>
      </w:r>
    </w:p>
  </w:footnote>
  <w:footnote w:id="759">
    <w:p w14:paraId="26722255" w14:textId="77777777" w:rsidR="00DE3AC9" w:rsidRPr="00A53216" w:rsidRDefault="00DE3AC9" w:rsidP="0048510E">
      <w:pPr>
        <w:pStyle w:val="FootnoteText"/>
        <w:rPr>
          <w:lang w:val="fr-FR"/>
        </w:rPr>
      </w:pPr>
      <w:r>
        <w:rPr>
          <w:rStyle w:val="FootnoteReference"/>
        </w:rPr>
        <w:footnoteRef/>
      </w:r>
      <w:r w:rsidRPr="00A53216">
        <w:rPr>
          <w:lang w:val="fr-FR"/>
        </w:rPr>
        <w:t xml:space="preserve"> </w:t>
      </w:r>
      <w:r>
        <w:rPr>
          <w:lang w:val="fr-FR"/>
        </w:rPr>
        <w:fldChar w:fldCharType="begin"/>
      </w:r>
      <w:r w:rsidRPr="00A53216">
        <w:rPr>
          <w:lang w:val="fr-FR"/>
        </w:rPr>
        <w:instrText xml:space="preserve"> ADDIN EN.CITE &lt;EndNote&gt;&lt;Cite&gt;&lt;Author&gt;Winter&lt;/Author&gt;&lt;Year&gt;2003&lt;/Year&gt;&lt;RecNum&gt;161&lt;/RecNum&gt;&lt;DisplayText&gt;Winter, &lt;style face="italic"&gt;America&lt;/style&gt;&lt;/DisplayText&gt;&lt;record&gt;&lt;rec-number&gt;161&lt;/rec-number&gt;&lt;foreign-keys&gt;&lt;key app="EN" db-id="2f5rvwawcsv2woetvw35fzwbdvvswerd0err"&gt;161&lt;/key&gt;&lt;/foreign-keys&gt;&lt;ref-type name="Book"&gt;6&lt;/ref-type&gt;&lt;contributors&gt;&lt;authors&gt;&lt;author&gt;Winter, Jay&lt;/author&gt;&lt;/authors&gt;&lt;secondary-authors&gt;&lt;author&gt;J. Winter&lt;/author&gt;&lt;/secondary-authors&gt;&lt;/contributors&gt;&lt;titles&gt;&lt;title&gt;America and the Armenian genocide of 1915&lt;/title&gt;&lt;short-title&gt;America&lt;/short-title&gt;&lt;/titles&gt;&lt;dates&gt;&lt;year&gt;2003&lt;/year&gt;&lt;/dates&gt;&lt;pub-location&gt;Cambridge&lt;/pub-location&gt;&lt;urls&gt;&lt;/urls&gt;&lt;/record&gt;&lt;/Cite&gt;&lt;/EndNote&gt;</w:instrText>
      </w:r>
      <w:r>
        <w:rPr>
          <w:lang w:val="fr-FR"/>
        </w:rPr>
        <w:fldChar w:fldCharType="separate"/>
      </w:r>
      <w:r w:rsidRPr="00A53216">
        <w:rPr>
          <w:noProof/>
          <w:lang w:val="fr-FR"/>
        </w:rPr>
        <w:t xml:space="preserve">Winter, </w:t>
      </w:r>
      <w:r w:rsidRPr="00A53216">
        <w:rPr>
          <w:i/>
          <w:noProof/>
          <w:lang w:val="fr-FR"/>
        </w:rPr>
        <w:t>America</w:t>
      </w:r>
      <w:r>
        <w:rPr>
          <w:lang w:val="fr-FR"/>
        </w:rPr>
        <w:fldChar w:fldCharType="end"/>
      </w:r>
      <w:r w:rsidRPr="00A53216">
        <w:rPr>
          <w:lang w:val="fr-FR"/>
        </w:rPr>
        <w:t>, p. 39.</w:t>
      </w:r>
    </w:p>
  </w:footnote>
  <w:footnote w:id="760">
    <w:p w14:paraId="039BD706" w14:textId="77777777" w:rsidR="00DE3AC9" w:rsidRPr="0026438A" w:rsidRDefault="00DE3AC9" w:rsidP="0048510E">
      <w:pPr>
        <w:pStyle w:val="FootnoteText"/>
        <w:rPr>
          <w:lang w:val="fr-FR"/>
        </w:rPr>
      </w:pPr>
      <w:r>
        <w:rPr>
          <w:rStyle w:val="FootnoteReference"/>
        </w:rPr>
        <w:footnoteRef/>
      </w:r>
      <w:r w:rsidRPr="0026438A">
        <w:rPr>
          <w:lang w:val="fr-FR"/>
        </w:rPr>
        <w:t xml:space="preserve"> </w:t>
      </w:r>
      <w:r>
        <w:rPr>
          <w:lang w:val="fr-FR"/>
        </w:rP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Pr>
          <w:lang w:val="fr-FR"/>
        </w:rPr>
        <w:fldChar w:fldCharType="separate"/>
      </w:r>
      <w:r>
        <w:rPr>
          <w:noProof/>
          <w:lang w:val="fr-FR"/>
        </w:rPr>
        <w:t xml:space="preserve">Nivet, </w:t>
      </w:r>
      <w:r w:rsidRPr="00446253">
        <w:rPr>
          <w:i/>
          <w:noProof/>
          <w:lang w:val="fr-FR"/>
        </w:rPr>
        <w:t>La France</w:t>
      </w:r>
      <w:r>
        <w:rPr>
          <w:lang w:val="fr-FR"/>
        </w:rPr>
        <w:fldChar w:fldCharType="end"/>
      </w:r>
      <w:r>
        <w:rPr>
          <w:lang w:val="fr-FR"/>
        </w:rPr>
        <w:t>, pp. 265-266.</w:t>
      </w:r>
    </w:p>
  </w:footnote>
  <w:footnote w:id="761">
    <w:p w14:paraId="0C94A0E1" w14:textId="77777777" w:rsidR="00DE3AC9" w:rsidRPr="00BE3055" w:rsidRDefault="00DE3AC9" w:rsidP="0048510E">
      <w:pPr>
        <w:pStyle w:val="FootnoteText"/>
        <w:rPr>
          <w:lang w:val="fr-FR"/>
        </w:rPr>
      </w:pPr>
      <w:r>
        <w:rPr>
          <w:rStyle w:val="FootnoteReference"/>
        </w:rPr>
        <w:footnoteRef/>
      </w:r>
      <w:r w:rsidRPr="00BE3055">
        <w:rPr>
          <w:lang w:val="fr-FR"/>
        </w:rPr>
        <w:t xml:space="preserve"> </w:t>
      </w:r>
      <w:r>
        <w:rPr>
          <w:i/>
          <w:iCs/>
          <w:lang w:val="fr-FR"/>
        </w:rPr>
        <w:t>La Gazette des Ardennes</w:t>
      </w:r>
      <w:r>
        <w:rPr>
          <w:lang w:val="fr-FR"/>
        </w:rPr>
        <w:t xml:space="preserve"> (French Fake), 8 September 1916.</w:t>
      </w:r>
      <w:r>
        <w:rPr>
          <w:i/>
          <w:iCs/>
          <w:lang w:val="fr-FR"/>
        </w:rPr>
        <w:t xml:space="preserve"> </w:t>
      </w:r>
    </w:p>
  </w:footnote>
  <w:footnote w:id="762">
    <w:p w14:paraId="3CEC84D8" w14:textId="6F67C91D" w:rsidR="00DE3AC9" w:rsidRPr="00173F8E" w:rsidRDefault="00DE3AC9" w:rsidP="002F62A7">
      <w:pPr>
        <w:pStyle w:val="FootnoteText"/>
      </w:pPr>
      <w:r>
        <w:rPr>
          <w:rStyle w:val="FootnoteReference"/>
        </w:rPr>
        <w:footnoteRef/>
      </w:r>
      <w:r>
        <w:t xml:space="preserve"> </w:t>
      </w:r>
      <w:r>
        <w:fldChar w:fldCharType="begin"/>
      </w:r>
      <w:r>
        <w:instrText xml:space="preserve"> ADDIN EN.CITE &lt;EndNote&gt;&lt;Cite&gt;&lt;Author&gt;Horne&lt;/Author&gt;&lt;Year&gt;1920&lt;/Year&gt;&lt;RecNum&gt;158&lt;/RecNum&gt;&lt;DisplayText&gt;Charles Horne, &lt;style face="italic"&gt;Source records of the Great War. Volume III: Germany&amp;apos;s year of triumph &lt;/style&gt;(Indianapolis, 1920)&lt;/DisplayText&gt;&lt;record&gt;&lt;rec-number&gt;158&lt;/rec-number&gt;&lt;foreign-keys&gt;&lt;key app="EN" db-id="2f5rvwawcsv2woetvw35fzwbdvvswerd0err"&gt;158&lt;/key&gt;&lt;/foreign-keys&gt;&lt;ref-type name="Book"&gt;6&lt;/ref-type&gt;&lt;contributors&gt;&lt;authors&gt;&lt;author&gt;Horne, Charles&lt;/author&gt;&lt;/authors&gt;&lt;/contributors&gt;&lt;titles&gt;&lt;title&gt;Source records of the Great War. Volume III: Germany&amp;apos;s year of triumph &lt;/title&gt;&lt;short-title&gt;Source&lt;/short-title&gt;&lt;/titles&gt;&lt;dates&gt;&lt;year&gt;1920&lt;/year&gt;&lt;/dates&gt;&lt;pub-location&gt;Indianapolis&lt;/pub-location&gt;&lt;urls&gt;&lt;/urls&gt;&lt;/record&gt;&lt;/Cite&gt;&lt;/EndNote&gt;</w:instrText>
      </w:r>
      <w:r>
        <w:fldChar w:fldCharType="separate"/>
      </w:r>
      <w:r>
        <w:rPr>
          <w:noProof/>
        </w:rPr>
        <w:t xml:space="preserve">Charles Horne, </w:t>
      </w:r>
      <w:r w:rsidRPr="002F62A7">
        <w:rPr>
          <w:i/>
          <w:noProof/>
        </w:rPr>
        <w:t xml:space="preserve">Source records of the Great War. Volume III: Germany's year of triumph </w:t>
      </w:r>
      <w:r>
        <w:rPr>
          <w:noProof/>
        </w:rPr>
        <w:t>(Indianapolis, 1920)</w:t>
      </w:r>
      <w:r>
        <w:fldChar w:fldCharType="end"/>
      </w:r>
      <w:r>
        <w:t>, pp. 162-165.</w:t>
      </w:r>
    </w:p>
  </w:footnote>
  <w:footnote w:id="763">
    <w:p w14:paraId="58B139A5" w14:textId="77777777" w:rsidR="00DE3AC9" w:rsidRPr="000232EA" w:rsidRDefault="00DE3AC9" w:rsidP="0048510E">
      <w:pPr>
        <w:pStyle w:val="FootnoteText"/>
      </w:pPr>
      <w:r>
        <w:rPr>
          <w:rStyle w:val="FootnoteReference"/>
        </w:rPr>
        <w:footnoteRef/>
      </w:r>
      <w:r w:rsidRPr="000232EA">
        <w:t xml:space="preserve"> </w:t>
      </w:r>
      <w:r w:rsidRPr="000232EA">
        <w:rPr>
          <w:i/>
          <w:iCs/>
        </w:rPr>
        <w:t>La Gazette des Ardennes</w:t>
      </w:r>
      <w:r w:rsidRPr="000232EA">
        <w:t xml:space="preserve"> (French Fake), 8 September 1916.</w:t>
      </w:r>
    </w:p>
  </w:footnote>
  <w:footnote w:id="764">
    <w:p w14:paraId="21FD4D5A" w14:textId="77777777" w:rsidR="00DE3AC9" w:rsidRPr="00173F8E" w:rsidRDefault="00DE3AC9" w:rsidP="0048510E">
      <w:pPr>
        <w:pStyle w:val="FootnoteText"/>
        <w:rPr>
          <w:lang w:val="fr-FR"/>
        </w:rPr>
      </w:pPr>
      <w:r>
        <w:rPr>
          <w:rStyle w:val="FootnoteReference"/>
        </w:rPr>
        <w:footnoteRef/>
      </w:r>
      <w:r w:rsidRPr="00173F8E">
        <w:rPr>
          <w:lang w:val="fr-FR"/>
        </w:rPr>
        <w:t xml:space="preserve"> </w:t>
      </w:r>
      <w:r>
        <w:fldChar w:fldCharType="begin"/>
      </w:r>
      <w:r>
        <w:rPr>
          <w:lang w:val="fr-FR"/>
        </w:rPr>
        <w:instrText xml:space="preserve"> ADDIN EN.CITE &lt;EndNote&gt;&lt;Cite&gt;&lt;Author&gt;Varandian&lt;/Author&gt;&lt;Year&gt;1917&lt;/Year&gt;&lt;RecNum&gt;159&lt;/RecNum&gt;&lt;DisplayText&gt;Mikaël Varandian, &lt;style face="italic"&gt;L&amp;apos;Arménie et la question arménienne&lt;/style&gt;, (Laval, 1917)&lt;/DisplayText&gt;&lt;record&gt;&lt;rec-number&gt;159&lt;/rec-number&gt;&lt;foreign-keys&gt;&lt;key app="EN" db-id="2f5rvwawcsv2woetvw35fzwbdvvswerd0err"&gt;159&lt;/key&gt;&lt;/foreign-keys&gt;&lt;ref-type name="Book"&gt;6&lt;/ref-type&gt;&lt;contributors&gt;&lt;authors&gt;&lt;author&gt;Varandian, Mikaël&lt;/author&gt;&lt;/authors&gt;&lt;/contributors&gt;&lt;titles&gt;&lt;title&gt;L&amp;apos;Arménie et la question arménienne&lt;/title&gt;&lt;short-title&gt;L&amp;apos;Arménie&lt;/short-title&gt;&lt;/titles&gt;&lt;dates&gt;&lt;year&gt;1917&lt;/year&gt;&lt;/dates&gt;&lt;pub-location&gt;Laval&lt;/pub-location&gt;&lt;urls&gt;&lt;/urls&gt;&lt;/record&gt;&lt;/Cite&gt;&lt;/EndNote&gt;</w:instrText>
      </w:r>
      <w:r>
        <w:fldChar w:fldCharType="separate"/>
      </w:r>
      <w:r w:rsidRPr="00A53216">
        <w:rPr>
          <w:noProof/>
          <w:lang w:val="fr-FR"/>
        </w:rPr>
        <w:t xml:space="preserve">Mikaël Varandian, </w:t>
      </w:r>
      <w:r w:rsidRPr="00A53216">
        <w:rPr>
          <w:i/>
          <w:noProof/>
          <w:lang w:val="fr-FR"/>
        </w:rPr>
        <w:t>L'Arménie et la question arménienne</w:t>
      </w:r>
      <w:r w:rsidRPr="00A53216">
        <w:rPr>
          <w:noProof/>
          <w:lang w:val="fr-FR"/>
        </w:rPr>
        <w:t>, (Laval, 1917)</w:t>
      </w:r>
      <w:r>
        <w:fldChar w:fldCharType="end"/>
      </w:r>
      <w:r w:rsidRPr="00173F8E">
        <w:rPr>
          <w:lang w:val="fr-FR"/>
        </w:rPr>
        <w:t xml:space="preserve">, p. 86. </w:t>
      </w:r>
      <w:r>
        <w:t xml:space="preserve">Another publication of 1922 used the testimony of the German teachers but did not accuse the German government of complicity. </w:t>
      </w:r>
      <w:r>
        <w:fldChar w:fldCharType="begin"/>
      </w:r>
      <w:r>
        <w:instrText xml:space="preserve"> ADDIN EN.CITE &lt;EndNote&gt;&lt;Cite&gt;&lt;Author&gt;Varandian&lt;/Author&gt;&lt;Year&gt;1922&lt;/Year&gt;&lt;RecNum&gt;160&lt;/RecNum&gt;&lt;DisplayText&gt;Mikaël Varandian, &lt;style face="italic"&gt;L&amp;apos;Arménie et la question arménienne&lt;/style&gt;, (Paris, 1922)&lt;/DisplayText&gt;&lt;record&gt;&lt;rec-number&gt;160&lt;/rec-number&gt;&lt;foreign-keys&gt;&lt;key app="EN" db-id="2f5rvwawcsv2woetvw35fzwbdvvswerd0err"&gt;160&lt;/key&gt;&lt;/foreign-keys&gt;&lt;ref-type name="Book"&gt;6&lt;/ref-type&gt;&lt;contributors&gt;&lt;authors&gt;&lt;author&gt;Varandian, Mikaël&lt;/author&gt;&lt;/authors&gt;&lt;/contributors&gt;&lt;titles&gt;&lt;title&gt;L&amp;apos;Arménie et la question arménienne&lt;/title&gt;&lt;short-title&gt;L&amp;apos;Arménie&lt;/short-title&gt;&lt;/titles&gt;&lt;dates&gt;&lt;year&gt;1922&lt;/year&gt;&lt;/dates&gt;&lt;pub-location&gt;Paris&lt;/pub-location&gt;&lt;urls&gt;&lt;/urls&gt;&lt;/record&gt;&lt;/Cite&gt;&lt;/EndNote&gt;</w:instrText>
      </w:r>
      <w:r>
        <w:fldChar w:fldCharType="separate"/>
      </w:r>
      <w:r w:rsidRPr="00C54460">
        <w:rPr>
          <w:noProof/>
          <w:lang w:val="fr-FR"/>
        </w:rPr>
        <w:t xml:space="preserve">Mikaël Varandian, </w:t>
      </w:r>
      <w:r w:rsidRPr="00C54460">
        <w:rPr>
          <w:i/>
          <w:noProof/>
          <w:lang w:val="fr-FR"/>
        </w:rPr>
        <w:t>L'Arménie et la question arménienne</w:t>
      </w:r>
      <w:r w:rsidRPr="00C54460">
        <w:rPr>
          <w:noProof/>
          <w:lang w:val="fr-FR"/>
        </w:rPr>
        <w:t>, (Paris, 1922)</w:t>
      </w:r>
      <w:r>
        <w:fldChar w:fldCharType="end"/>
      </w:r>
      <w:r w:rsidRPr="00173F8E">
        <w:rPr>
          <w:lang w:val="fr-FR"/>
        </w:rPr>
        <w:t>.</w:t>
      </w:r>
    </w:p>
  </w:footnote>
  <w:footnote w:id="765">
    <w:p w14:paraId="0D8D4A71" w14:textId="77777777" w:rsidR="00DE3AC9" w:rsidRPr="00642299" w:rsidRDefault="00DE3AC9" w:rsidP="0048510E">
      <w:pPr>
        <w:pStyle w:val="FootnoteText"/>
        <w:rPr>
          <w:lang w:val="fr-FR"/>
        </w:rPr>
      </w:pPr>
      <w:r>
        <w:rPr>
          <w:rStyle w:val="FootnoteReference"/>
        </w:rPr>
        <w:footnoteRef/>
      </w:r>
      <w:r w:rsidRPr="00642299">
        <w:rPr>
          <w:lang w:val="fr-FR"/>
        </w:rPr>
        <w:t xml:space="preserve"> </w:t>
      </w:r>
      <w:r>
        <w:rPr>
          <w:i/>
          <w:iCs/>
          <w:lang w:val="fr-FR"/>
        </w:rPr>
        <w:t>La Gazette des Ardennes</w:t>
      </w:r>
      <w:r>
        <w:rPr>
          <w:lang w:val="fr-FR"/>
        </w:rPr>
        <w:t xml:space="preserve"> (French Fake), 1 December 1916.</w:t>
      </w:r>
    </w:p>
  </w:footnote>
  <w:footnote w:id="766">
    <w:p w14:paraId="006D953D" w14:textId="77777777" w:rsidR="00DE3AC9" w:rsidRPr="009A3A2D" w:rsidRDefault="00DE3AC9" w:rsidP="0048510E">
      <w:pPr>
        <w:pStyle w:val="FootnoteText"/>
        <w:rPr>
          <w:lang w:val="it-IT"/>
        </w:rPr>
      </w:pPr>
      <w:r>
        <w:rPr>
          <w:rStyle w:val="FootnoteReference"/>
        </w:rPr>
        <w:footnoteRef/>
      </w:r>
      <w:r w:rsidRPr="009A3A2D">
        <w:rPr>
          <w:lang w:val="it-IT"/>
        </w:rPr>
        <w:t xml:space="preserve"> </w:t>
      </w:r>
      <w:r>
        <w:fldChar w:fldCharType="begin"/>
      </w:r>
      <w:r w:rsidRPr="009A3A2D">
        <w:rPr>
          <w:lang w:val="it-IT"/>
        </w:rPr>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9A3A2D">
        <w:rPr>
          <w:noProof/>
          <w:lang w:val="it-IT"/>
        </w:rPr>
        <w:t xml:space="preserve">Ellul, </w:t>
      </w:r>
      <w:r w:rsidRPr="009A3A2D">
        <w:rPr>
          <w:i/>
          <w:noProof/>
          <w:lang w:val="it-IT"/>
        </w:rPr>
        <w:t>Propaganda</w:t>
      </w:r>
      <w:r>
        <w:fldChar w:fldCharType="end"/>
      </w:r>
      <w:r w:rsidRPr="009A3A2D">
        <w:rPr>
          <w:lang w:val="it-IT"/>
        </w:rPr>
        <w:t>, p. 80.</w:t>
      </w:r>
    </w:p>
  </w:footnote>
  <w:footnote w:id="767">
    <w:p w14:paraId="070303E1" w14:textId="77777777" w:rsidR="00DE3AC9" w:rsidRPr="000232EA" w:rsidRDefault="00DE3AC9" w:rsidP="0048510E">
      <w:pPr>
        <w:pStyle w:val="FootnoteText"/>
      </w:pPr>
      <w:r>
        <w:rPr>
          <w:rStyle w:val="FootnoteReference"/>
        </w:rPr>
        <w:footnoteRef/>
      </w:r>
      <w:r w:rsidRPr="00DE3AC9">
        <w:rPr>
          <w:lang w:val="it-IT"/>
        </w:rPr>
        <w:t xml:space="preserve"> British Library: C.40.I.21. </w:t>
      </w:r>
      <w:r>
        <w:t xml:space="preserve">Unpublished account of the history of the </w:t>
      </w:r>
      <w:r>
        <w:rPr>
          <w:i/>
          <w:iCs/>
        </w:rPr>
        <w:t xml:space="preserve">Courrier de l’Air. </w:t>
      </w:r>
      <w:r>
        <w:t>November 1918.</w:t>
      </w:r>
    </w:p>
  </w:footnote>
  <w:footnote w:id="768">
    <w:p w14:paraId="19B8837E" w14:textId="77777777" w:rsidR="00DE3AC9" w:rsidRPr="00B94D16" w:rsidRDefault="00DE3AC9" w:rsidP="0048510E">
      <w:pPr>
        <w:pStyle w:val="FootnoteText"/>
      </w:pPr>
      <w:r>
        <w:rPr>
          <w:rStyle w:val="FootnoteReference"/>
        </w:rPr>
        <w:footnoteRef/>
      </w:r>
      <w:r>
        <w:t xml:space="preserve"> British Library: C.40.I.21. Unpublished account of the history of the </w:t>
      </w:r>
      <w:r>
        <w:rPr>
          <w:i/>
          <w:iCs/>
        </w:rPr>
        <w:t xml:space="preserve">Courrier de l’Air. </w:t>
      </w:r>
      <w:r w:rsidRPr="00B94D16">
        <w:t>November 1918.</w:t>
      </w:r>
    </w:p>
  </w:footnote>
  <w:footnote w:id="769">
    <w:p w14:paraId="569932F4" w14:textId="0D34884C" w:rsidR="00DE3AC9" w:rsidRPr="000232EA" w:rsidRDefault="00DE3AC9" w:rsidP="0048510E">
      <w:pPr>
        <w:pStyle w:val="FootnoteText"/>
      </w:pPr>
      <w:r>
        <w:rPr>
          <w:rStyle w:val="FootnoteReference"/>
        </w:rPr>
        <w:footnoteRef/>
      </w:r>
      <w:r>
        <w:t xml:space="preserve"> </w:t>
      </w:r>
      <w:r>
        <w:fldChar w:fldCharType="begin"/>
      </w:r>
      <w:r>
        <w:instrText xml:space="preserve"> ADDIN EN.CITE &lt;EndNote&gt;&lt;Cite&gt;&lt;Author&gt;Heron-Allen&lt;/Author&gt;&lt;Year&gt;2002&lt;/Year&gt;&lt;RecNum&gt;88&lt;/RecNum&gt;&lt;DisplayText&gt;Heron-Allen, &lt;style face="italic"&gt;Journal&lt;/style&gt;&lt;/DisplayText&gt;&lt;record&gt;&lt;rec-number&gt;88&lt;/rec-number&gt;&lt;foreign-keys&gt;&lt;key app="EN" db-id="2f5rvwawcsv2woetvw35fzwbdvvswerd0err"&gt;88&lt;/key&gt;&lt;/foreign-keys&gt;&lt;ref-type name="Journal Article"&gt;17&lt;/ref-type&gt;&lt;contributors&gt;&lt;authors&gt;&lt;author&gt;Heron-Allen, Edward&lt;/author&gt;&lt;/authors&gt;&lt;/contributors&gt;&lt;titles&gt;&lt;title&gt;Journal of the Great War&lt;/title&gt;&lt;secondary-title&gt;Sussex Record Society&lt;/secondary-title&gt;&lt;short-title&gt;Journal&lt;/short-title&gt;&lt;/titles&gt;&lt;periodical&gt;&lt;full-title&gt;Sussex Record Society&lt;/full-title&gt;&lt;/periodical&gt;&lt;volume&gt;V&lt;/volume&gt;&lt;dates&gt;&lt;year&gt;2002&lt;/year&gt;&lt;/dates&gt;&lt;urls&gt;&lt;/urls&gt;&lt;/record&gt;&lt;/Cite&gt;&lt;/EndNote&gt;</w:instrText>
      </w:r>
      <w:r>
        <w:fldChar w:fldCharType="separate"/>
      </w:r>
      <w:r>
        <w:rPr>
          <w:noProof/>
        </w:rPr>
        <w:t xml:space="preserve">Heron-Allen, </w:t>
      </w:r>
      <w:r w:rsidRPr="00446253">
        <w:rPr>
          <w:i/>
          <w:noProof/>
        </w:rPr>
        <w:t>Journal</w:t>
      </w:r>
      <w:r>
        <w:fldChar w:fldCharType="end"/>
      </w:r>
      <w:r>
        <w:t>, pp. 27-67.</w:t>
      </w:r>
    </w:p>
  </w:footnote>
  <w:footnote w:id="770">
    <w:p w14:paraId="4E44A959" w14:textId="77777777" w:rsidR="00DE3AC9" w:rsidRPr="000232EA" w:rsidRDefault="00DE3AC9" w:rsidP="0048510E">
      <w:pPr>
        <w:pStyle w:val="FootnoteText"/>
      </w:pPr>
      <w:r>
        <w:rPr>
          <w:rStyle w:val="FootnoteReference"/>
        </w:rPr>
        <w:footnoteRef/>
      </w:r>
      <w:r w:rsidRPr="002D1D14">
        <w:t xml:space="preserve"> </w:t>
      </w:r>
      <w:r>
        <w:fldChar w:fldCharType="begin"/>
      </w:r>
      <w:r w:rsidRPr="002D1D14">
        <w:instrText xml:space="preserve"> ADDIN EN.CITE &lt;EndNote&gt;&lt;Cite&gt;&lt;Author&gt;Winter&lt;/Author&gt;&lt;Year&gt;2003&lt;/Year&gt;&lt;RecNum&gt;161&lt;/RecNum&gt;&lt;DisplayText&gt;Winter, &lt;style face="italic"&gt;America&lt;/style&gt;&lt;/DisplayText&gt;&lt;record&gt;&lt;rec-number&gt;161&lt;/rec-number&gt;&lt;foreign-keys&gt;&lt;key app="EN" db-id="2f5rvwawcsv2woetvw35fzwbdvvswerd0err"&gt;161&lt;/key&gt;&lt;/foreign-keys&gt;&lt;ref-type name="Book"&gt;6&lt;/ref-type&gt;&lt;contributors&gt;&lt;authors&gt;&lt;author&gt;Winter, Jay&lt;/author&gt;&lt;/authors&gt;&lt;secondary-authors&gt;&lt;author&gt;J. Winter&lt;/author&gt;&lt;/secondary-authors&gt;&lt;/contributors&gt;&lt;titles&gt;&lt;title&gt;America and the Armenian genocide of 1915&lt;/title&gt;&lt;short-title&gt;America&lt;/short-title&gt;&lt;/titles&gt;&lt;dates&gt;&lt;year&gt;2003&lt;/year&gt;&lt;/dates&gt;&lt;pub-location&gt;Cambridge&lt;/pub-location&gt;&lt;urls&gt;&lt;/urls&gt;&lt;/record&gt;&lt;/Cite&gt;&lt;/EndNote&gt;</w:instrText>
      </w:r>
      <w:r>
        <w:fldChar w:fldCharType="separate"/>
      </w:r>
      <w:r w:rsidRPr="002D1D14">
        <w:rPr>
          <w:noProof/>
        </w:rPr>
        <w:t xml:space="preserve">Winter, </w:t>
      </w:r>
      <w:r w:rsidRPr="002D1D14">
        <w:rPr>
          <w:i/>
          <w:noProof/>
        </w:rPr>
        <w:t>America</w:t>
      </w:r>
      <w:r>
        <w:fldChar w:fldCharType="end"/>
      </w:r>
      <w:r w:rsidRPr="002D1D14">
        <w:t xml:space="preserve">, p. 47. </w:t>
      </w:r>
      <w:r>
        <w:t xml:space="preserve">See also: </w:t>
      </w:r>
      <w:r>
        <w:fldChar w:fldCharType="begin"/>
      </w:r>
      <w:r>
        <w:instrText xml:space="preserve"> ADDIN EN.CITE &lt;EndNote&gt;&lt;Cite&gt;&lt;Author&gt;Winter&lt;/Author&gt;&lt;Year&gt;1998&lt;/Year&gt;&lt;RecNum&gt;163&lt;/RecNum&gt;&lt;DisplayText&gt;Jay Winter, &amp;apos;Propaganda and the mobilization of consent&amp;apos;, in: &lt;style face="italic"&gt;The Oxford illustrated history of the First World War, &lt;/style&gt;ed. by H. Strachan (Oxford, 1998),&lt;/DisplayText&gt;&lt;record&gt;&lt;rec-number&gt;163&lt;/rec-number&gt;&lt;foreign-keys&gt;&lt;key app="EN" db-id="2f5rvwawcsv2woetvw35fzwbdvvswerd0err"&gt;163&lt;/key&gt;&lt;/foreign-keys&gt;&lt;ref-type name="Book Section"&gt;5&lt;/ref-type&gt;&lt;contributors&gt;&lt;authors&gt;&lt;author&gt;Winter, Jay&lt;/author&gt;&lt;/authors&gt;&lt;secondary-authors&gt;&lt;author&gt;H. Strachan&lt;/author&gt;&lt;/secondary-authors&gt;&lt;/contributors&gt;&lt;titles&gt;&lt;title&gt;Propaganda and the mobilization of consent&lt;/title&gt;&lt;secondary-title&gt;The Oxford illustrated history of the First World War&lt;/secondary-title&gt;&lt;short-title&gt;Propaganda&lt;/short-title&gt;&lt;/titles&gt;&lt;dates&gt;&lt;year&gt;1998&lt;/year&gt;&lt;/dates&gt;&lt;pub-location&gt;Oxford&lt;/pub-location&gt;&lt;urls&gt;&lt;/urls&gt;&lt;/record&gt;&lt;/Cite&gt;&lt;/EndNote&gt;</w:instrText>
      </w:r>
      <w:r>
        <w:fldChar w:fldCharType="separate"/>
      </w:r>
      <w:r>
        <w:rPr>
          <w:noProof/>
        </w:rPr>
        <w:t xml:space="preserve">Jay Winter, 'Propaganda and the mobilization of consent', in: </w:t>
      </w:r>
      <w:r w:rsidRPr="00A53216">
        <w:rPr>
          <w:i/>
          <w:noProof/>
        </w:rPr>
        <w:t xml:space="preserve">The Oxford illustrated history of the First World War, </w:t>
      </w:r>
      <w:r>
        <w:rPr>
          <w:noProof/>
        </w:rPr>
        <w:t>ed. by H. Strachan (Oxford, 1998),</w:t>
      </w:r>
      <w:r>
        <w:fldChar w:fldCharType="end"/>
      </w:r>
      <w:r>
        <w:t xml:space="preserve"> pp. 25-40.</w:t>
      </w:r>
    </w:p>
  </w:footnote>
  <w:footnote w:id="771">
    <w:p w14:paraId="3B21904D" w14:textId="77777777" w:rsidR="00DE3AC9" w:rsidRPr="009A3A2D" w:rsidRDefault="00DE3AC9" w:rsidP="0048510E">
      <w:pPr>
        <w:pStyle w:val="FootnoteText"/>
      </w:pPr>
      <w:r>
        <w:rPr>
          <w:rStyle w:val="FootnoteReference"/>
        </w:rPr>
        <w:footnoteRef/>
      </w:r>
      <w:r w:rsidRPr="009A3A2D">
        <w:t xml:space="preserve"> </w:t>
      </w:r>
      <w:r>
        <w:rPr>
          <w:lang w:val="fr-FR"/>
        </w:rPr>
        <w:fldChar w:fldCharType="begin"/>
      </w:r>
      <w:r>
        <w:instrText xml:space="preserve"> ADDIN EN.CITE &lt;EndNote&gt;&lt;Cite&gt;&lt;Author&gt;Ellis&lt;/Author&gt;&lt;Year&gt;1998&lt;/Year&gt;&lt;RecNum&gt;326&lt;/RecNum&gt;&lt;DisplayText&gt;Ellis, &lt;style face="italic"&gt;The methods of barbarism&lt;/style&gt;&lt;/DisplayText&gt;&lt;record&gt;&lt;rec-number&gt;326&lt;/rec-number&gt;&lt;foreign-keys&gt;&lt;key app="EN" db-id="2f5rvwawcsv2woetvw35fzwbdvvswerd0err"&gt;326&lt;/key&gt;&lt;/foreign-keys&gt;&lt;ref-type name="Journal Article"&gt;17&lt;/ref-type&gt;&lt;contributors&gt;&lt;authors&gt;&lt;author&gt;Ellis, John&lt;/author&gt;&lt;/authors&gt;&lt;/contributors&gt;&lt;titles&gt;&lt;title&gt;&amp;quot;The methods of barbarism&amp;quot; and the &amp;quot;Rights of small nations&amp;quot;: war propaganda and British pluralism&lt;/title&gt;&lt;secondary-title&gt;Albion&lt;/secondary-title&gt;&lt;short-title&gt;The methods of barbarism&lt;/short-title&gt;&lt;/titles&gt;&lt;periodical&gt;&lt;full-title&gt;Albion&lt;/full-title&gt;&lt;/periodical&gt;&lt;volume&gt;30&lt;/volume&gt;&lt;dates&gt;&lt;year&gt;1998&lt;/year&gt;&lt;/dates&gt;&lt;urls&gt;&lt;/urls&gt;&lt;/record&gt;&lt;/Cite&gt;&lt;/EndNote&gt;</w:instrText>
      </w:r>
      <w:r>
        <w:rPr>
          <w:lang w:val="fr-FR"/>
        </w:rPr>
        <w:fldChar w:fldCharType="separate"/>
      </w:r>
      <w:r w:rsidRPr="00446253">
        <w:rPr>
          <w:noProof/>
        </w:rPr>
        <w:t xml:space="preserve">Ellis, </w:t>
      </w:r>
      <w:r w:rsidRPr="00446253">
        <w:rPr>
          <w:i/>
          <w:noProof/>
        </w:rPr>
        <w:t>The methods of barbarism</w:t>
      </w:r>
      <w:r>
        <w:rPr>
          <w:lang w:val="fr-FR"/>
        </w:rPr>
        <w:fldChar w:fldCharType="end"/>
      </w:r>
      <w:r w:rsidRPr="005E3F61">
        <w:t xml:space="preserve">, </w:t>
      </w:r>
      <w:r w:rsidRPr="009A3A2D">
        <w:t xml:space="preserve">p. </w:t>
      </w:r>
      <w:r>
        <w:t>49.</w:t>
      </w:r>
    </w:p>
  </w:footnote>
  <w:footnote w:id="772">
    <w:p w14:paraId="11A9B311" w14:textId="77777777" w:rsidR="00DE3AC9" w:rsidRPr="00FA7E8C" w:rsidRDefault="00DE3AC9" w:rsidP="0048510E">
      <w:pPr>
        <w:pStyle w:val="FootnoteText"/>
        <w:rPr>
          <w:lang w:val="fr-FR"/>
        </w:rPr>
      </w:pPr>
      <w:r>
        <w:rPr>
          <w:rStyle w:val="FootnoteReference"/>
        </w:rPr>
        <w:footnoteRef/>
      </w:r>
      <w:r w:rsidRPr="00FA7E8C">
        <w:rPr>
          <w:lang w:val="fr-FR"/>
        </w:rPr>
        <w:t xml:space="preserve"> </w:t>
      </w:r>
      <w:r>
        <w:rPr>
          <w:lang w:val="fr-FR"/>
        </w:rPr>
        <w:fldChar w:fldCharType="begin"/>
      </w:r>
      <w:r>
        <w:rPr>
          <w:lang w:val="fr-FR"/>
        </w:rPr>
        <w:instrText xml:space="preserve"> ADDIN EN.CITE &lt;EndNote&gt;&lt;Cite&gt;&lt;Author&gt;Prochasson&lt;/Author&gt;&lt;Year&gt;2005&lt;/Year&gt;&lt;RecNum&gt;188&lt;/RecNum&gt;&lt;DisplayText&gt;Christophe Prochasson, &amp;apos;La guerre en ses cultures&amp;apos;, in: &lt;style face="italic"&gt;Histoire culturelle de la Grande Guerre, &lt;/style&gt;ed. by Jean-Jacques Becker (Paris, 2005),&lt;/DisplayText&gt;&lt;record&gt;&lt;rec-number&gt;188&lt;/rec-number&gt;&lt;foreign-keys&gt;&lt;key app="EN" db-id="2f5rvwawcsv2woetvw35fzwbdvvswerd0err"&gt;188&lt;/key&gt;&lt;/foreign-keys&gt;&lt;ref-type name="Book Section"&gt;5&lt;/ref-type&gt;&lt;contributors&gt;&lt;authors&gt;&lt;author&gt;Prochasson, Christophe&lt;/author&gt;&lt;/authors&gt;&lt;secondary-authors&gt;&lt;author&gt;Becker, Jean-Jacques&lt;/author&gt;&lt;/secondary-authors&gt;&lt;/contributors&gt;&lt;titles&gt;&lt;title&gt;La guerre en ses cultures&lt;/title&gt;&lt;secondary-title&gt;Histoire culturelle de la Grande Guerre&lt;/secondary-title&gt;&lt;short-title&gt;La guerre&lt;/short-title&gt;&lt;/titles&gt;&lt;dates&gt;&lt;year&gt;2005&lt;/year&gt;&lt;/dates&gt;&lt;pub-location&gt;Paris&lt;/pub-location&gt;&lt;urls&gt;&lt;/urls&gt;&lt;/record&gt;&lt;/Cite&gt;&lt;/EndNote&gt;</w:instrText>
      </w:r>
      <w:r>
        <w:rPr>
          <w:lang w:val="fr-FR"/>
        </w:rPr>
        <w:fldChar w:fldCharType="separate"/>
      </w:r>
      <w:r>
        <w:rPr>
          <w:noProof/>
          <w:lang w:val="fr-FR"/>
        </w:rPr>
        <w:t xml:space="preserve">Christophe Prochasson, 'La guerre en ses cultures', in: </w:t>
      </w:r>
      <w:r w:rsidRPr="00A53216">
        <w:rPr>
          <w:i/>
          <w:noProof/>
          <w:lang w:val="fr-FR"/>
        </w:rPr>
        <w:t xml:space="preserve">Histoire culturelle de la Grande Guerre, </w:t>
      </w:r>
      <w:r>
        <w:rPr>
          <w:noProof/>
          <w:lang w:val="fr-FR"/>
        </w:rPr>
        <w:t>ed. by Jean-Jacques Becker (Paris, 2005),</w:t>
      </w:r>
      <w:r>
        <w:rPr>
          <w:lang w:val="fr-FR"/>
        </w:rPr>
        <w:fldChar w:fldCharType="end"/>
      </w:r>
      <w:r>
        <w:rPr>
          <w:lang w:val="fr-FR"/>
        </w:rPr>
        <w:t xml:space="preserve"> p. 255.</w:t>
      </w:r>
    </w:p>
  </w:footnote>
  <w:footnote w:id="773">
    <w:p w14:paraId="36474587" w14:textId="77777777" w:rsidR="00DE3AC9" w:rsidRPr="00DE030B" w:rsidRDefault="00DE3AC9" w:rsidP="0048510E">
      <w:pPr>
        <w:pStyle w:val="FootnoteText"/>
        <w:rPr>
          <w:lang w:val="fr-FR"/>
        </w:rPr>
      </w:pPr>
      <w:r>
        <w:rPr>
          <w:rStyle w:val="FootnoteReference"/>
        </w:rPr>
        <w:footnoteRef/>
      </w:r>
      <w:r w:rsidRPr="00DE030B">
        <w:rPr>
          <w:lang w:val="fr-FR"/>
        </w:rPr>
        <w:t xml:space="preserve"> </w:t>
      </w:r>
      <w:r>
        <w:rPr>
          <w:i/>
          <w:iCs/>
          <w:lang w:val="fr-FR"/>
        </w:rPr>
        <w:t>Le Courrier de l’Air</w:t>
      </w:r>
      <w:r>
        <w:rPr>
          <w:lang w:val="fr-FR"/>
        </w:rPr>
        <w:t>, 27 April 1917.</w:t>
      </w:r>
    </w:p>
  </w:footnote>
  <w:footnote w:id="774">
    <w:p w14:paraId="67432847" w14:textId="77777777" w:rsidR="00DE3AC9" w:rsidRPr="003643D0" w:rsidRDefault="00DE3AC9" w:rsidP="0048510E">
      <w:pPr>
        <w:pStyle w:val="FootnoteText"/>
        <w:rPr>
          <w:lang w:val="fr-FR"/>
        </w:rPr>
      </w:pPr>
      <w:r>
        <w:rPr>
          <w:rStyle w:val="FootnoteReference"/>
        </w:rPr>
        <w:footnoteRef/>
      </w:r>
      <w:r w:rsidRPr="006A6EB7">
        <w:rPr>
          <w:lang w:val="fr-FR"/>
        </w:rPr>
        <w:t xml:space="preserve"> </w:t>
      </w:r>
      <w:r w:rsidRPr="006A6EB7">
        <w:rPr>
          <w:i/>
          <w:iCs/>
          <w:lang w:val="fr-FR"/>
        </w:rPr>
        <w:t>Le Courrier de l’Air</w:t>
      </w:r>
      <w:r w:rsidRPr="006A6EB7">
        <w:rPr>
          <w:lang w:val="fr-FR"/>
        </w:rPr>
        <w:t>, 4 May 1917.</w:t>
      </w:r>
    </w:p>
  </w:footnote>
  <w:footnote w:id="775">
    <w:p w14:paraId="166D1CA3" w14:textId="77777777" w:rsidR="00DE3AC9" w:rsidRPr="00872097" w:rsidRDefault="00DE3AC9" w:rsidP="005C7BEE">
      <w:pPr>
        <w:pStyle w:val="FootnoteText"/>
      </w:pPr>
      <w:r>
        <w:rPr>
          <w:rStyle w:val="FootnoteReference"/>
        </w:rPr>
        <w:footnoteRef/>
      </w:r>
      <w:r>
        <w:t xml:space="preserve"> </w:t>
      </w:r>
      <w:r>
        <w:fldChar w:fldCharType="begin"/>
      </w:r>
      <w:r>
        <w:instrText xml:space="preserve"> ADDIN EN.CITE &lt;EndNote&gt;&lt;Cite&gt;&lt;Author&gt;Koselleck&lt;/Author&gt;&lt;Year&gt;2004&lt;/Year&gt;&lt;RecNum&gt;165&lt;/RecNum&gt;&lt;DisplayText&gt;Reinhart Koselleck, &lt;style face="italic"&gt;Futures past: on the semantics of historical time&lt;/style&gt;, (Columbia, 2004)&lt;/DisplayText&gt;&lt;record&gt;&lt;rec-number&gt;165&lt;/rec-number&gt;&lt;foreign-keys&gt;&lt;key app="EN" db-id="2f5rvwawcsv2woetvw35fzwbdvvswerd0err"&gt;165&lt;/key&gt;&lt;/foreign-keys&gt;&lt;ref-type name="Book"&gt;6&lt;/ref-type&gt;&lt;contributors&gt;&lt;authors&gt;&lt;author&gt;Koselleck, Reinhart&lt;/author&gt;&lt;/authors&gt;&lt;/contributors&gt;&lt;titles&gt;&lt;title&gt;Futures past: on the semantics of historical time&lt;/title&gt;&lt;short-title&gt;Futures&lt;/short-title&gt;&lt;/titles&gt;&lt;dates&gt;&lt;year&gt;2004&lt;/year&gt;&lt;/dates&gt;&lt;pub-location&gt;Columbia&lt;/pub-location&gt;&lt;urls&gt;&lt;/urls&gt;&lt;/record&gt;&lt;/Cite&gt;&lt;/EndNote&gt;</w:instrText>
      </w:r>
      <w:r>
        <w:fldChar w:fldCharType="separate"/>
      </w:r>
      <w:r>
        <w:rPr>
          <w:noProof/>
        </w:rPr>
        <w:t xml:space="preserve">Reinhart Koselleck, </w:t>
      </w:r>
      <w:r w:rsidRPr="005C7BEE">
        <w:rPr>
          <w:i/>
          <w:noProof/>
        </w:rPr>
        <w:t>Futures past: on the semantics of historical time</w:t>
      </w:r>
      <w:r>
        <w:rPr>
          <w:noProof/>
        </w:rPr>
        <w:t>, (Columbia, 2004)</w:t>
      </w:r>
      <w:r>
        <w:fldChar w:fldCharType="end"/>
      </w:r>
      <w:r>
        <w:t>, pp. 161-168.</w:t>
      </w:r>
    </w:p>
  </w:footnote>
  <w:footnote w:id="776">
    <w:p w14:paraId="72F061D1" w14:textId="77777777" w:rsidR="00DE3AC9" w:rsidRPr="00034E8C" w:rsidRDefault="00DE3AC9" w:rsidP="0048510E">
      <w:pPr>
        <w:pStyle w:val="FootnoteText"/>
        <w:rPr>
          <w:lang w:val="fr-FR"/>
        </w:rPr>
      </w:pPr>
      <w:r>
        <w:rPr>
          <w:rStyle w:val="FootnoteReference"/>
        </w:rPr>
        <w:footnoteRef/>
      </w:r>
      <w:r w:rsidRPr="00034E8C">
        <w:rPr>
          <w:lang w:val="fr-FR"/>
        </w:rPr>
        <w:t xml:space="preserve"> </w:t>
      </w:r>
      <w:r>
        <w:rPr>
          <w:i/>
          <w:iCs/>
          <w:lang w:val="fr-FR"/>
        </w:rPr>
        <w:t xml:space="preserve">La Gazette des Ardennes, </w:t>
      </w:r>
      <w:r>
        <w:rPr>
          <w:lang w:val="fr-FR"/>
        </w:rPr>
        <w:t>9 April 1915, 21 October 1917 and 22 January 1918.</w:t>
      </w:r>
    </w:p>
  </w:footnote>
  <w:footnote w:id="777">
    <w:p w14:paraId="0AE58F82" w14:textId="77777777" w:rsidR="00DE3AC9" w:rsidRPr="001A2ADE" w:rsidRDefault="00DE3AC9" w:rsidP="0048510E">
      <w:pPr>
        <w:pStyle w:val="FootnoteText"/>
        <w:rPr>
          <w:lang w:val="fr-FR"/>
        </w:rPr>
      </w:pPr>
      <w:r>
        <w:rPr>
          <w:rStyle w:val="FootnoteReference"/>
        </w:rPr>
        <w:footnoteRef/>
      </w:r>
      <w:r w:rsidRPr="00872097">
        <w:rPr>
          <w:lang w:val="fr-FR"/>
        </w:rPr>
        <w:t xml:space="preserve"> </w:t>
      </w:r>
      <w:r>
        <w:rPr>
          <w:i/>
          <w:iCs/>
          <w:lang w:val="fr-FR"/>
        </w:rPr>
        <w:t>Le Courrier de l’Air</w:t>
      </w:r>
      <w:r>
        <w:rPr>
          <w:lang w:val="fr-FR"/>
        </w:rPr>
        <w:t>, 27 April 1917.</w:t>
      </w:r>
    </w:p>
  </w:footnote>
  <w:footnote w:id="778">
    <w:p w14:paraId="23BF1604" w14:textId="77777777" w:rsidR="00DE3AC9" w:rsidRPr="00146C63" w:rsidRDefault="00DE3AC9" w:rsidP="0048510E">
      <w:pPr>
        <w:pStyle w:val="FootnoteText"/>
        <w:rPr>
          <w:lang w:val="fr-FR"/>
        </w:rPr>
      </w:pPr>
      <w:r>
        <w:rPr>
          <w:rStyle w:val="FootnoteReference"/>
        </w:rPr>
        <w:footnoteRef/>
      </w:r>
      <w:r w:rsidRPr="00872097">
        <w:rPr>
          <w:lang w:val="fr-FR"/>
        </w:rPr>
        <w:t xml:space="preserve"> </w:t>
      </w:r>
      <w:r>
        <w:rPr>
          <w:i/>
          <w:iCs/>
          <w:lang w:val="fr-FR"/>
        </w:rPr>
        <w:t>Le Courrier de l’Air</w:t>
      </w:r>
      <w:r>
        <w:rPr>
          <w:lang w:val="fr-FR"/>
        </w:rPr>
        <w:t xml:space="preserve">, 27 April 1917. </w:t>
      </w:r>
    </w:p>
  </w:footnote>
  <w:footnote w:id="779">
    <w:p w14:paraId="74BC5C3C"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sidRPr="00DE3AC9">
        <w:rPr>
          <w:noProof/>
          <w:lang w:val="fr-FR"/>
        </w:rPr>
        <w:t xml:space="preserve">Sanders and Taylor, </w:t>
      </w:r>
      <w:r w:rsidRPr="00DE3AC9">
        <w:rPr>
          <w:i/>
          <w:noProof/>
          <w:lang w:val="fr-FR"/>
        </w:rPr>
        <w:t>British propaganda</w:t>
      </w:r>
      <w:r>
        <w:fldChar w:fldCharType="end"/>
      </w:r>
      <w:r w:rsidRPr="00DE3AC9">
        <w:rPr>
          <w:lang w:val="fr-FR"/>
        </w:rPr>
        <w:t>, pp. 146-147.</w:t>
      </w:r>
    </w:p>
  </w:footnote>
  <w:footnote w:id="780">
    <w:p w14:paraId="792B6041"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&lt;EndNote&gt;&lt;Cite&gt;&lt;Author&gt;Qualter&lt;/Author&gt;&lt;Year&gt;1962&lt;/Year&gt;&lt;RecNum&gt;112&lt;/RecNum&gt;&lt;DisplayText&gt;Qualter, &lt;style face="italic"&gt;Propaganda&lt;/style&gt;&lt;/DisplayText&gt;&lt;record&gt;&lt;rec-number&gt;112&lt;/rec-number&gt;&lt;foreign-keys&gt;&lt;key app="EN" db-id="2f5rvwawcsv2woetvw35fzwbdvvswerd0err"&gt;112&lt;/key&gt;&lt;/foreign-keys&gt;&lt;ref-type name="Book"&gt;6&lt;/ref-type&gt;&lt;contributors&gt;&lt;authors&gt;&lt;author&gt;Qualter, Terence&lt;/author&gt;&lt;/authors&gt;&lt;/contributors&gt;&lt;titles&gt;&lt;title&gt;Propaganda and psychological warfare&lt;/title&gt;&lt;short-title&gt;Propaganda&lt;/short-title&gt;&lt;/titles&gt;&lt;dates&gt;&lt;year&gt;1962&lt;/year&gt;&lt;/dates&gt;&lt;pub-location&gt;New York&lt;/pub-location&gt;&lt;urls&gt;&lt;/urls&gt;&lt;/record&gt;&lt;/Cite&gt;&lt;/EndNote&gt;</w:instrText>
      </w:r>
      <w:r>
        <w:fldChar w:fldCharType="separate"/>
      </w:r>
      <w:r w:rsidRPr="00DE3AC9">
        <w:rPr>
          <w:noProof/>
          <w:lang w:val="fr-FR"/>
        </w:rPr>
        <w:t xml:space="preserve">Qualter, </w:t>
      </w:r>
      <w:r w:rsidRPr="00DE3AC9">
        <w:rPr>
          <w:i/>
          <w:noProof/>
          <w:lang w:val="fr-FR"/>
        </w:rPr>
        <w:t>Propaganda</w:t>
      </w:r>
      <w:r>
        <w:fldChar w:fldCharType="end"/>
      </w:r>
      <w:r w:rsidRPr="00DE3AC9">
        <w:rPr>
          <w:lang w:val="fr-FR"/>
        </w:rPr>
        <w:t>, p. 66.</w:t>
      </w:r>
    </w:p>
  </w:footnote>
  <w:footnote w:id="781">
    <w:p w14:paraId="1018A490"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sidRPr="00DE3AC9">
        <w:rPr>
          <w:noProof/>
          <w:lang w:val="fr-FR"/>
        </w:rPr>
        <w:t xml:space="preserve">Sanders and Taylor, </w:t>
      </w:r>
      <w:r w:rsidRPr="00DE3AC9">
        <w:rPr>
          <w:i/>
          <w:noProof/>
          <w:lang w:val="fr-FR"/>
        </w:rPr>
        <w:t>British propaganda</w:t>
      </w:r>
      <w:r>
        <w:fldChar w:fldCharType="end"/>
      </w:r>
      <w:r w:rsidRPr="00DE3AC9">
        <w:rPr>
          <w:lang w:val="fr-FR"/>
        </w:rPr>
        <w:t>, pp. 55-56.</w:t>
      </w:r>
    </w:p>
  </w:footnote>
  <w:footnote w:id="782">
    <w:p w14:paraId="1C6DE109" w14:textId="77777777" w:rsidR="00DE3AC9" w:rsidRPr="00E152E6" w:rsidRDefault="00DE3AC9" w:rsidP="0048510E">
      <w:pPr>
        <w:pStyle w:val="FootnoteText"/>
      </w:pPr>
      <w:r>
        <w:rPr>
          <w:rStyle w:val="FootnoteReference"/>
        </w:rPr>
        <w:footnoteRef/>
      </w:r>
      <w:r>
        <w:t xml:space="preserve"> </w:t>
      </w:r>
      <w:r w:rsidRPr="00E152E6">
        <w:rPr>
          <w:i/>
          <w:iCs/>
        </w:rPr>
        <w:t>The Times</w:t>
      </w:r>
      <w:r w:rsidRPr="00E152E6">
        <w:t xml:space="preserve">, 17 April 1917 and </w:t>
      </w:r>
      <w:r w:rsidRPr="00E152E6">
        <w:rPr>
          <w:i/>
          <w:iCs/>
        </w:rPr>
        <w:t>The Daily Mail</w:t>
      </w:r>
      <w:r>
        <w:t>, 17 April 1917.</w:t>
      </w:r>
    </w:p>
  </w:footnote>
  <w:footnote w:id="783">
    <w:p w14:paraId="3E5EDD01" w14:textId="77777777" w:rsidR="00DE3AC9" w:rsidRPr="00065BE6" w:rsidRDefault="00DE3AC9" w:rsidP="0048510E">
      <w:pPr>
        <w:pStyle w:val="FootnoteText"/>
        <w:rPr>
          <w:lang w:val="fr-FR"/>
        </w:rPr>
      </w:pPr>
      <w:r>
        <w:rPr>
          <w:rStyle w:val="FootnoteReference"/>
        </w:rPr>
        <w:footnoteRef/>
      </w:r>
      <w:r>
        <w:t xml:space="preserve"> British Library: C.40.I.21. Unpublished account of the history of the </w:t>
      </w:r>
      <w:r>
        <w:rPr>
          <w:i/>
          <w:iCs/>
        </w:rPr>
        <w:t xml:space="preserve">Courrier de l’Air. </w:t>
      </w:r>
      <w:r w:rsidRPr="00065BE6">
        <w:rPr>
          <w:lang w:val="fr-FR"/>
        </w:rPr>
        <w:t>November 1918.</w:t>
      </w:r>
    </w:p>
  </w:footnote>
  <w:footnote w:id="784">
    <w:p w14:paraId="585134D2" w14:textId="77777777" w:rsidR="00DE3AC9" w:rsidRPr="00345955" w:rsidRDefault="00DE3AC9" w:rsidP="0048510E">
      <w:pPr>
        <w:pStyle w:val="FootnoteText"/>
        <w:rPr>
          <w:lang w:val="fr-FR"/>
        </w:rPr>
      </w:pPr>
      <w:r>
        <w:rPr>
          <w:rStyle w:val="FootnoteReference"/>
        </w:rPr>
        <w:footnoteRef/>
      </w:r>
      <w:r w:rsidRPr="00345955">
        <w:rPr>
          <w:lang w:val="fr-FR"/>
        </w:rPr>
        <w:t xml:space="preserve"> </w:t>
      </w:r>
      <w:r>
        <w:rPr>
          <w:i/>
          <w:iCs/>
          <w:lang w:val="fr-FR"/>
        </w:rPr>
        <w:t>Le Courrier de l’Air</w:t>
      </w:r>
      <w:r>
        <w:rPr>
          <w:lang w:val="fr-FR"/>
        </w:rPr>
        <w:t>, 18 May 1917.</w:t>
      </w:r>
    </w:p>
  </w:footnote>
  <w:footnote w:id="785">
    <w:p w14:paraId="3E6444BD" w14:textId="77777777" w:rsidR="00DE3AC9" w:rsidRPr="00F03393" w:rsidRDefault="00DE3AC9" w:rsidP="0048510E">
      <w:pPr>
        <w:pStyle w:val="FootnoteText"/>
        <w:rPr>
          <w:lang w:val="fr-FR"/>
        </w:rPr>
      </w:pPr>
      <w:r>
        <w:rPr>
          <w:rStyle w:val="FootnoteReference"/>
        </w:rPr>
        <w:footnoteRef/>
      </w:r>
      <w:r w:rsidRPr="00F03393">
        <w:rPr>
          <w:lang w:val="fr-FR"/>
        </w:rPr>
        <w:t xml:space="preserve"> </w:t>
      </w:r>
      <w:r>
        <w:rPr>
          <w:i/>
          <w:iCs/>
          <w:lang w:val="fr-FR"/>
        </w:rPr>
        <w:t>La Voix du Pays</w:t>
      </w:r>
      <w:r>
        <w:rPr>
          <w:lang w:val="fr-FR"/>
        </w:rPr>
        <w:t>, November 1915 to December 1918.</w:t>
      </w:r>
    </w:p>
  </w:footnote>
  <w:footnote w:id="786">
    <w:p w14:paraId="27ADE872" w14:textId="77777777" w:rsidR="00DE3AC9" w:rsidRPr="0077750B" w:rsidRDefault="00DE3AC9" w:rsidP="0048510E">
      <w:pPr>
        <w:pStyle w:val="FootnoteText"/>
        <w:rPr>
          <w:lang w:val="fr-FR"/>
        </w:rPr>
      </w:pPr>
      <w:r>
        <w:rPr>
          <w:rStyle w:val="FootnoteReference"/>
        </w:rPr>
        <w:footnoteRef/>
      </w:r>
      <w:r w:rsidRPr="0077750B">
        <w:rPr>
          <w:lang w:val="fr-FR"/>
        </w:rPr>
        <w:t xml:space="preserve"> </w:t>
      </w:r>
      <w:r>
        <w:rPr>
          <w:i/>
          <w:iCs/>
          <w:lang w:val="fr-FR"/>
        </w:rPr>
        <w:t>La Lettre du Soldat</w:t>
      </w:r>
      <w:r>
        <w:rPr>
          <w:lang w:val="fr-FR"/>
        </w:rPr>
        <w:t>, April to June 1917.</w:t>
      </w:r>
    </w:p>
  </w:footnote>
  <w:footnote w:id="787">
    <w:p w14:paraId="55BB1276"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Le Courrier de l’Air</w:t>
      </w:r>
      <w:r w:rsidRPr="00DE3AC9">
        <w:rPr>
          <w:lang w:val="fr-FR"/>
        </w:rPr>
        <w:t>, April to July 1917.</w:t>
      </w:r>
    </w:p>
  </w:footnote>
  <w:footnote w:id="788">
    <w:p w14:paraId="04C029CA"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&lt;EndNote&gt;&lt;Cite&gt;&lt;Author&gt;Becker&lt;/Author&gt;&lt;Year&gt;2008&lt;/Year&gt;&lt;RecNum&gt;65&lt;/RecNum&gt;&lt;DisplayText&gt;Becker, &lt;style face="italic"&gt;Dictionnaire&lt;/style&gt;&lt;/DisplayText&gt;&lt;record&gt;&lt;rec-number&gt;65&lt;/rec-number&gt;&lt;foreign-keys&gt;&lt;key app="EN" db-id="2f5rvwawcsv2woetvw35fzwbdvvswerd0err"&gt;65&lt;/key&gt;&lt;/foreign-keys&gt;&lt;ref-type name="Book"&gt;6&lt;/ref-type&gt;&lt;contributors&gt;&lt;authors&gt;&lt;author&gt;Becker, Jean-Jacques&lt;/author&gt;&lt;/authors&gt;&lt;/contributors&gt;&lt;titles&gt;&lt;title&gt;Dictionnaire de la Grande Guerre&lt;/title&gt;&lt;short-title&gt;Dictionnaire&lt;/short-title&gt;&lt;/titles&gt;&lt;dates&gt;&lt;year&gt;2008&lt;/year&gt;&lt;/dates&gt;&lt;pub-location&gt;Brussels&lt;/pub-location&gt;&lt;urls&gt;&lt;/urls&gt;&lt;/record&gt;&lt;/Cite&gt;&lt;/EndNote&gt;</w:instrText>
      </w:r>
      <w:r>
        <w:rPr>
          <w:lang w:val="fr-FR"/>
        </w:rPr>
        <w:fldChar w:fldCharType="separate"/>
      </w:r>
      <w:r w:rsidRPr="00DE3AC9">
        <w:rPr>
          <w:noProof/>
          <w:lang w:val="fr-FR"/>
        </w:rPr>
        <w:t xml:space="preserve">Becker, </w:t>
      </w:r>
      <w:r w:rsidRPr="00DE3AC9">
        <w:rPr>
          <w:i/>
          <w:noProof/>
          <w:lang w:val="fr-FR"/>
        </w:rPr>
        <w:t>Dictionnaire</w:t>
      </w:r>
      <w:r>
        <w:rPr>
          <w:lang w:val="fr-FR"/>
        </w:rPr>
        <w:fldChar w:fldCharType="end"/>
      </w:r>
      <w:r w:rsidRPr="00DE3AC9">
        <w:rPr>
          <w:lang w:val="fr-FR"/>
        </w:rPr>
        <w:t>, p. 244.</w:t>
      </w:r>
    </w:p>
  </w:footnote>
  <w:footnote w:id="789">
    <w:p w14:paraId="5B0FD398" w14:textId="77777777" w:rsidR="00DE3AC9" w:rsidRPr="00242B96" w:rsidRDefault="00DE3AC9" w:rsidP="0048510E">
      <w:pPr>
        <w:pStyle w:val="FootnoteText"/>
      </w:pPr>
      <w:r>
        <w:rPr>
          <w:rStyle w:val="FootnoteReference"/>
        </w:rPr>
        <w:footnoteRef/>
      </w:r>
      <w:r w:rsidRPr="00242B96">
        <w:t xml:space="preserve"> </w:t>
      </w:r>
      <w:r>
        <w:rPr>
          <w:lang w:val="fr-FR"/>
        </w:rPr>
        <w:fldChar w:fldCharType="begin"/>
      </w:r>
      <w:r>
        <w:instrText xml:space="preserve"> ADDIN EN.CITE &lt;EndNote&gt;&lt;Cite&gt;&lt;Author&gt;Stevenson&lt;/Author&gt;&lt;Year&gt;2011&lt;/Year&gt;&lt;RecNum&gt;143&lt;/RecNum&gt;&lt;DisplayText&gt;Stevenson, &lt;style face="italic"&gt;With our back&lt;/style&gt;&lt;/DisplayText&gt;&lt;record&gt;&lt;rec-number&gt;143&lt;/rec-number&gt;&lt;foreign-keys&gt;&lt;key app="EN" db-id="2f5rvwawcsv2woetvw35fzwbdvvswerd0err"&gt;143&lt;/key&gt;&lt;/foreign-keys&gt;&lt;ref-type name="Book"&gt;6&lt;/ref-type&gt;&lt;contributors&gt;&lt;authors&gt;&lt;author&gt;Stevenson, David&lt;/author&gt;&lt;/authors&gt;&lt;/contributors&gt;&lt;titles&gt;&lt;title&gt;With our back to the wall: victory and defeat in 1918&lt;/title&gt;&lt;short-title&gt;With our back&lt;/short-title&gt;&lt;/titles&gt;&lt;dates&gt;&lt;year&gt;2011&lt;/year&gt;&lt;/dates&gt;&lt;pub-location&gt;Cambridge&lt;/pub-location&gt;&lt;urls&gt;&lt;/urls&gt;&lt;/record&gt;&lt;/Cite&gt;&lt;/EndNote&gt;</w:instrText>
      </w:r>
      <w:r>
        <w:rPr>
          <w:lang w:val="fr-FR"/>
        </w:rPr>
        <w:fldChar w:fldCharType="separate"/>
      </w:r>
      <w:r w:rsidRPr="00446253">
        <w:rPr>
          <w:noProof/>
        </w:rPr>
        <w:t xml:space="preserve">Stevenson, </w:t>
      </w:r>
      <w:r w:rsidRPr="00446253">
        <w:rPr>
          <w:i/>
          <w:noProof/>
        </w:rPr>
        <w:t>With our back</w:t>
      </w:r>
      <w:r>
        <w:rPr>
          <w:lang w:val="fr-FR"/>
        </w:rPr>
        <w:fldChar w:fldCharType="end"/>
      </w:r>
      <w:r w:rsidRPr="00242B96">
        <w:t xml:space="preserve">, p. 30 and </w:t>
      </w:r>
      <w:r w:rsidRPr="00242B96">
        <w:rPr>
          <w:i/>
          <w:iCs/>
        </w:rPr>
        <w:t>Le Courrier de l’Air</w:t>
      </w:r>
      <w:r w:rsidRPr="00242B96">
        <w:t>, 21 March to 11 July 1918.</w:t>
      </w:r>
    </w:p>
  </w:footnote>
  <w:footnote w:id="790">
    <w:p w14:paraId="09354451" w14:textId="77777777" w:rsidR="00DE3AC9" w:rsidRPr="007D239D" w:rsidRDefault="00DE3AC9" w:rsidP="0048510E">
      <w:pPr>
        <w:pStyle w:val="FootnoteText"/>
        <w:rPr>
          <w:lang w:val="fr-FR"/>
        </w:rPr>
      </w:pPr>
      <w:r>
        <w:rPr>
          <w:rStyle w:val="FootnoteReference"/>
        </w:rPr>
        <w:footnoteRef/>
      </w:r>
      <w:r w:rsidRPr="007D239D">
        <w:rPr>
          <w:lang w:val="fr-FR"/>
        </w:rPr>
        <w:t xml:space="preserve"> </w:t>
      </w:r>
      <w:r>
        <w:rPr>
          <w:lang w:val="fr-FR"/>
        </w:rPr>
        <w:fldChar w:fldCharType="begin"/>
      </w:r>
      <w:r>
        <w:rPr>
          <w:lang w:val="fr-FR"/>
        </w:rPr>
        <w:instrText xml:space="preserve"> ADDIN EN.CITE &lt;EndNote&gt;&lt;Cite&gt;&lt;Author&gt;Le Naour&lt;/Author&gt;&lt;Year&gt;2006&lt;/Year&gt;&lt;RecNum&gt;245&lt;/RecNum&gt;&lt;DisplayText&gt;Jean-Yves Le Naour, &amp;apos;&amp;quot;Bouffer du Boche&amp;quot;. Animalisation, scatologie et cannibalisme dans la caricature française de la Grande Guerre&amp;apos;, in: &lt;style face="italic"&gt;Quasimodo, &lt;/style&gt;8 (2006), &lt;/DisplayText&gt;&lt;record&gt;&lt;rec-number&gt;245&lt;/rec-number&gt;&lt;foreign-keys&gt;&lt;key app="EN" db-id="2f5rvwawcsv2woetvw35fzwbdvvswerd0err"&gt;245&lt;/key&gt;&lt;/foreign-keys&gt;&lt;ref-type name="Journal Article"&gt;17&lt;/ref-type&gt;&lt;contributors&gt;&lt;authors&gt;&lt;author&gt;Le Naour, Jean-Yves&lt;/author&gt;&lt;/authors&gt;&lt;/contributors&gt;&lt;titles&gt;&lt;title&gt;&amp;quot;Bouffer du Boche&amp;quot;. Animalisation, scatologie et cannibalisme dans la caricature française de la Grande Guerre&lt;/title&gt;&lt;secondary-title&gt;Quasimodo&lt;/secondary-title&gt;&lt;short-title&gt;&amp;quot;Bouffer du Boche&amp;quot;&lt;/short-title&gt;&lt;/titles&gt;&lt;periodical&gt;&lt;full-title&gt;Quasimodo&lt;/full-title&gt;&lt;/periodical&gt;&lt;volume&gt;8&lt;/volume&gt;&lt;dates&gt;&lt;year&gt;2006&lt;/year&gt;&lt;/dates&gt;&lt;urls&gt;&lt;/urls&gt;&lt;/record&gt;&lt;/Cite&gt;&lt;/EndNote&gt;</w:instrText>
      </w:r>
      <w:r>
        <w:rPr>
          <w:lang w:val="fr-FR"/>
        </w:rPr>
        <w:fldChar w:fldCharType="separate"/>
      </w:r>
      <w:r>
        <w:rPr>
          <w:noProof/>
          <w:lang w:val="fr-FR"/>
        </w:rPr>
        <w:t xml:space="preserve">Jean-Yves Le Naour, '"Bouffer du Boche". Animalisation, scatologie et cannibalisme dans la caricature française de la Grande Guerre', in: </w:t>
      </w:r>
      <w:r w:rsidRPr="00A53216">
        <w:rPr>
          <w:i/>
          <w:noProof/>
          <w:lang w:val="fr-FR"/>
        </w:rPr>
        <w:t xml:space="preserve">Quasimodo, </w:t>
      </w:r>
      <w:r>
        <w:rPr>
          <w:noProof/>
          <w:lang w:val="fr-FR"/>
        </w:rPr>
        <w:t xml:space="preserve">8 (2006), </w:t>
      </w:r>
      <w:r>
        <w:rPr>
          <w:lang w:val="fr-FR"/>
        </w:rPr>
        <w:fldChar w:fldCharType="end"/>
      </w:r>
      <w:r>
        <w:rPr>
          <w:lang w:val="fr-FR"/>
        </w:rPr>
        <w:t>pp. 255-261.</w:t>
      </w:r>
    </w:p>
  </w:footnote>
  <w:footnote w:id="791">
    <w:p w14:paraId="5B8A7F96" w14:textId="77777777" w:rsidR="00DE3AC9" w:rsidRPr="007F5AA5" w:rsidRDefault="00DE3AC9" w:rsidP="0048510E">
      <w:pPr>
        <w:pStyle w:val="FootnoteText"/>
        <w:rPr>
          <w:lang w:val="fr-FR"/>
        </w:rPr>
      </w:pPr>
      <w:r>
        <w:rPr>
          <w:rStyle w:val="FootnoteReference"/>
        </w:rPr>
        <w:footnoteRef/>
      </w:r>
      <w:r w:rsidRPr="007F5AA5">
        <w:rPr>
          <w:lang w:val="fr-FR"/>
        </w:rPr>
        <w:t xml:space="preserve"> </w:t>
      </w:r>
      <w:r>
        <w:rPr>
          <w:lang w:val="fr-FR"/>
        </w:rPr>
        <w:fldChar w:fldCharType="begin"/>
      </w:r>
      <w:r>
        <w:rPr>
          <w:lang w:val="fr-FR"/>
        </w:rPr>
        <w:instrText xml:space="preserve"> ADDIN EN.CITE &lt;EndNote&gt;&lt;Cite&gt;&lt;Author&gt;Beurier&lt;/Author&gt;&lt;Year&gt;2007&lt;/Year&gt;&lt;RecNum&gt;189&lt;/RecNum&gt;&lt;DisplayText&gt;Beurier, &lt;style face="italic"&gt;Images&lt;/style&gt;&lt;/DisplayText&gt;&lt;record&gt;&lt;rec-number&gt;189&lt;/rec-number&gt;&lt;foreign-keys&gt;&lt;key app="EN" db-id="2f5rvwawcsv2woetvw35fzwbdvvswerd0err"&gt;189&lt;/key&gt;&lt;/foreign-keys&gt;&lt;ref-type name="Book"&gt;6&lt;/ref-type&gt;&lt;contributors&gt;&lt;authors&gt;&lt;author&gt;Beurier, Joëlle&lt;/author&gt;&lt;/authors&gt;&lt;/contributors&gt;&lt;titles&gt;&lt;title&gt;Images et violence 1914-1918: quand le Miroir racontait la Grande Guerre&lt;/title&gt;&lt;short-title&gt;Images&lt;/short-title&gt;&lt;/titles&gt;&lt;dates&gt;&lt;year&gt;2007&lt;/year&gt;&lt;/dates&gt;&lt;pub-location&gt;Paris&lt;/pub-location&gt;&lt;urls&gt;&lt;/urls&gt;&lt;/record&gt;&lt;/Cite&gt;&lt;/EndNote&gt;</w:instrText>
      </w:r>
      <w:r>
        <w:rPr>
          <w:lang w:val="fr-FR"/>
        </w:rPr>
        <w:fldChar w:fldCharType="separate"/>
      </w:r>
      <w:r>
        <w:rPr>
          <w:noProof/>
          <w:lang w:val="fr-FR"/>
        </w:rPr>
        <w:t xml:space="preserve">Beurier, </w:t>
      </w:r>
      <w:r w:rsidRPr="00446253">
        <w:rPr>
          <w:i/>
          <w:noProof/>
          <w:lang w:val="fr-FR"/>
        </w:rPr>
        <w:t>Images</w:t>
      </w:r>
      <w:r>
        <w:rPr>
          <w:lang w:val="fr-FR"/>
        </w:rPr>
        <w:fldChar w:fldCharType="end"/>
      </w:r>
      <w:r>
        <w:rPr>
          <w:lang w:val="fr-FR"/>
        </w:rPr>
        <w:t>, p. 48.</w:t>
      </w:r>
    </w:p>
  </w:footnote>
  <w:footnote w:id="792">
    <w:p w14:paraId="6B4D851E" w14:textId="77777777" w:rsidR="00DE3AC9" w:rsidRPr="005718D6" w:rsidRDefault="00DE3AC9" w:rsidP="0048510E">
      <w:pPr>
        <w:pStyle w:val="FootnoteText"/>
        <w:rPr>
          <w:lang w:val="fr-FR"/>
        </w:rPr>
      </w:pPr>
      <w:r>
        <w:rPr>
          <w:rStyle w:val="FootnoteReference"/>
        </w:rPr>
        <w:footnoteRef/>
      </w:r>
      <w:r w:rsidRPr="005718D6">
        <w:rPr>
          <w:lang w:val="fr-FR"/>
        </w:rPr>
        <w:t xml:space="preserve"> </w:t>
      </w:r>
      <w:r>
        <w:rPr>
          <w:i/>
          <w:iCs/>
          <w:lang w:val="fr-FR"/>
        </w:rPr>
        <w:t>Le Courrier de l’Air</w:t>
      </w:r>
      <w:r>
        <w:rPr>
          <w:lang w:val="fr-FR"/>
        </w:rPr>
        <w:t>, 21 March 1918.</w:t>
      </w:r>
    </w:p>
  </w:footnote>
  <w:footnote w:id="793">
    <w:p w14:paraId="17F8B1C2" w14:textId="77777777" w:rsidR="00DE3AC9" w:rsidRPr="00065BE6" w:rsidRDefault="00DE3AC9" w:rsidP="0048510E">
      <w:pPr>
        <w:pStyle w:val="FootnoteText"/>
        <w:rPr>
          <w:lang w:val="fr-FR"/>
        </w:rPr>
      </w:pPr>
      <w:r>
        <w:rPr>
          <w:rStyle w:val="FootnoteReference"/>
        </w:rPr>
        <w:footnoteRef/>
      </w:r>
      <w:r w:rsidRPr="00065BE6">
        <w:rPr>
          <w:lang w:val="fr-FR"/>
        </w:rPr>
        <w:t xml:space="preserve"> </w:t>
      </w:r>
      <w:r>
        <w:fldChar w:fldCharType="begin"/>
      </w:r>
      <w:r>
        <w:rPr>
          <w:lang w:val="fr-FR"/>
        </w:rPr>
        <w:instrText xml:space="preserve"> ADDIN EN.CITE &lt;EndNote&gt;&lt;Cite&gt;&lt;Author&gt;Becker&lt;/Author&gt;&lt;Year&gt;1994&lt;/Year&gt;&lt;RecNum&gt;168&lt;/RecNum&gt;&lt;DisplayText&gt;Becker, &lt;style face="italic"&gt;La guerre et la foi&lt;/style&gt;&lt;/DisplayText&gt;&lt;record&gt;&lt;rec-number&gt;168&lt;/rec-number&gt;&lt;foreign-keys&gt;&lt;key app="EN" db-id="2f5rvwawcsv2woetvw35fzwbdvvswerd0err"&gt;168&lt;/key&gt;&lt;/foreign-keys&gt;&lt;ref-type name="Book"&gt;6&lt;/ref-type&gt;&lt;contributors&gt;&lt;authors&gt;&lt;author&gt;Becker, Annette&lt;/author&gt;&lt;/authors&gt;&lt;/contributors&gt;&lt;titles&gt;&lt;title&gt;La guerre et la foi: de la mort à la mémoire, 1914-1930&lt;/title&gt;&lt;short-title&gt;La guerre et la foi&lt;/short-title&gt;&lt;/titles&gt;&lt;dates&gt;&lt;year&gt;1994&lt;/year&gt;&lt;/dates&gt;&lt;pub-location&gt;Paris&lt;/pub-location&gt;&lt;urls&gt;&lt;/urls&gt;&lt;/record&gt;&lt;/Cite&gt;&lt;/EndNote&gt;</w:instrText>
      </w:r>
      <w:r>
        <w:fldChar w:fldCharType="separate"/>
      </w:r>
      <w:r w:rsidRPr="00446253">
        <w:rPr>
          <w:noProof/>
          <w:lang w:val="fr-FR"/>
        </w:rPr>
        <w:t xml:space="preserve">Becker, </w:t>
      </w:r>
      <w:r w:rsidRPr="00446253">
        <w:rPr>
          <w:i/>
          <w:noProof/>
          <w:lang w:val="fr-FR"/>
        </w:rPr>
        <w:t>La guerre et la foi</w:t>
      </w:r>
      <w:r>
        <w:fldChar w:fldCharType="end"/>
      </w:r>
      <w:r w:rsidRPr="00065BE6">
        <w:rPr>
          <w:lang w:val="fr-FR"/>
        </w:rPr>
        <w:t>, pp. 15-24.</w:t>
      </w:r>
    </w:p>
  </w:footnote>
  <w:footnote w:id="794">
    <w:p w14:paraId="3AC81BA5" w14:textId="77777777" w:rsidR="00DE3AC9" w:rsidRPr="00C6234E" w:rsidRDefault="00DE3AC9" w:rsidP="0048510E">
      <w:pPr>
        <w:pStyle w:val="FootnoteText"/>
      </w:pPr>
      <w:r>
        <w:rPr>
          <w:rStyle w:val="FootnoteReference"/>
        </w:rPr>
        <w:footnoteRef/>
      </w:r>
      <w:r>
        <w:t xml:space="preserve"> </w:t>
      </w:r>
      <w:r>
        <w:fldChar w:fldCharType="begin"/>
      </w:r>
      <w:r>
        <w:instrText xml:space="preserve"> ADDIN EN.CITE &lt;EndNote&gt;&lt;Cite&gt;&lt;Author&gt;Landrieux&lt;/Author&gt;&lt;Year&gt;1920&lt;/Year&gt;&lt;RecNum&gt;169&lt;/RecNum&gt;&lt;DisplayText&gt;Maurice Landrieux, &lt;style face="italic"&gt;The Cathedral of Reims&lt;/style&gt;, (London, 1920)&lt;/DisplayText&gt;&lt;record&gt;&lt;rec-number&gt;169&lt;/rec-number&gt;&lt;foreign-keys&gt;&lt;key app="EN" db-id="2f5rvwawcsv2woetvw35fzwbdvvswerd0err"&gt;169&lt;/key&gt;&lt;/foreign-keys&gt;&lt;ref-type name="Book"&gt;6&lt;/ref-type&gt;&lt;contributors&gt;&lt;authors&gt;&lt;author&gt;Landrieux, Maurice&lt;/author&gt;&lt;/authors&gt;&lt;/contributors&gt;&lt;titles&gt;&lt;title&gt;The Cathedral of Reims&lt;/title&gt;&lt;short-title&gt;The Cathedral&lt;/short-title&gt;&lt;/titles&gt;&lt;dates&gt;&lt;year&gt;1920&lt;/year&gt;&lt;/dates&gt;&lt;pub-location&gt;London&lt;/pub-location&gt;&lt;urls&gt;&lt;/urls&gt;&lt;/record&gt;&lt;/Cite&gt;&lt;/EndNote&gt;</w:instrText>
      </w:r>
      <w:r>
        <w:fldChar w:fldCharType="separate"/>
      </w:r>
      <w:r>
        <w:rPr>
          <w:noProof/>
        </w:rPr>
        <w:t xml:space="preserve">Maurice Landrieux, </w:t>
      </w:r>
      <w:r w:rsidRPr="00A53216">
        <w:rPr>
          <w:i/>
          <w:noProof/>
        </w:rPr>
        <w:t>The Cathedral of Reims</w:t>
      </w:r>
      <w:r>
        <w:rPr>
          <w:noProof/>
        </w:rPr>
        <w:t>, (London, 1920)</w:t>
      </w:r>
      <w:r>
        <w:fldChar w:fldCharType="end"/>
      </w:r>
      <w:r>
        <w:t>, pp. 71-72.</w:t>
      </w:r>
    </w:p>
  </w:footnote>
  <w:footnote w:id="795">
    <w:p w14:paraId="29D95D50" w14:textId="77777777" w:rsidR="00DE3AC9" w:rsidRPr="007637F9" w:rsidRDefault="00DE3AC9" w:rsidP="0048510E">
      <w:pPr>
        <w:pStyle w:val="FootnoteText"/>
      </w:pPr>
      <w:r>
        <w:rPr>
          <w:rStyle w:val="FootnoteReference"/>
        </w:rPr>
        <w:footnoteRef/>
      </w:r>
      <w:r w:rsidRPr="007637F9">
        <w:t xml:space="preserve"> </w:t>
      </w:r>
      <w:r>
        <w:rPr>
          <w:lang w:val="fr-FR"/>
        </w:rPr>
        <w:fldChar w:fldCharType="begin"/>
      </w:r>
      <w:r>
        <w:instrText xml:space="preserve"> ADDIN EN.CITE &lt;EndNote&gt;&lt;Cite&gt;&lt;Author&gt;Gullace&lt;/Author&gt;&lt;Year&gt;1997&lt;/Year&gt;&lt;RecNum&gt;166&lt;/RecNum&gt;&lt;DisplayText&gt;Nicoletta Gullace, &amp;apos;Sexual violence and family honor: British propaganda and international law during the First World War&amp;apos;, in: &lt;style face="italic"&gt;The American Historical Review, &lt;/style&gt;102 (1997), &lt;/DisplayText&gt;&lt;record&gt;&lt;rec-number&gt;166&lt;/rec-number&gt;&lt;foreign-keys&gt;&lt;key app="EN" db-id="2f5rvwawcsv2woetvw35fzwbdvvswerd0err"&gt;166&lt;/key&gt;&lt;/foreign-keys&gt;&lt;ref-type name="Journal Article"&gt;17&lt;/ref-type&gt;&lt;contributors&gt;&lt;authors&gt;&lt;author&gt;Gullace, Nicoletta&lt;/author&gt;&lt;/authors&gt;&lt;/contributors&gt;&lt;titles&gt;&lt;title&gt;Sexual violence and family honor: British propaganda and international law during the First World War&lt;/title&gt;&lt;secondary-title&gt;The American Historical Review&lt;/secondary-title&gt;&lt;short-title&gt;Sexual violence&lt;/short-title&gt;&lt;/titles&gt;&lt;periodical&gt;&lt;full-title&gt;The American Historical Review&lt;/full-title&gt;&lt;/periodical&gt;&lt;volume&gt;102&lt;/volume&gt;&lt;number&gt;3&lt;/number&gt;&lt;dates&gt;&lt;year&gt;1997&lt;/year&gt;&lt;/dates&gt;&lt;urls&gt;&lt;/urls&gt;&lt;/record&gt;&lt;/Cite&gt;&lt;/EndNote&gt;</w:instrText>
      </w:r>
      <w:r>
        <w:rPr>
          <w:lang w:val="fr-FR"/>
        </w:rPr>
        <w:fldChar w:fldCharType="separate"/>
      </w:r>
      <w:r w:rsidRPr="00A53216">
        <w:rPr>
          <w:noProof/>
        </w:rPr>
        <w:t xml:space="preserve">Nicoletta Gullace, 'Sexual violence and family honor: British propaganda and international law during the First World War', in: </w:t>
      </w:r>
      <w:r w:rsidRPr="00A53216">
        <w:rPr>
          <w:i/>
          <w:noProof/>
        </w:rPr>
        <w:t xml:space="preserve">The American Historical Review, </w:t>
      </w:r>
      <w:r w:rsidRPr="00A53216">
        <w:rPr>
          <w:noProof/>
        </w:rPr>
        <w:t xml:space="preserve">102 (1997), </w:t>
      </w:r>
      <w:r>
        <w:rPr>
          <w:lang w:val="fr-FR"/>
        </w:rPr>
        <w:fldChar w:fldCharType="end"/>
      </w:r>
      <w:r w:rsidRPr="007637F9">
        <w:t>p. 714.</w:t>
      </w:r>
    </w:p>
  </w:footnote>
  <w:footnote w:id="796">
    <w:p w14:paraId="12DD8DC6" w14:textId="77777777" w:rsidR="00DE3AC9" w:rsidRPr="003F0F90" w:rsidRDefault="00DE3AC9" w:rsidP="0048510E">
      <w:pPr>
        <w:pStyle w:val="FootnoteText"/>
        <w:rPr>
          <w:lang w:val="fr-FR"/>
        </w:rPr>
      </w:pPr>
      <w:r>
        <w:rPr>
          <w:rStyle w:val="FootnoteReference"/>
        </w:rPr>
        <w:footnoteRef/>
      </w:r>
      <w:r w:rsidRPr="003F0F90">
        <w:rPr>
          <w:lang w:val="fr-FR"/>
        </w:rPr>
        <w:t xml:space="preserve"> </w:t>
      </w:r>
      <w:r>
        <w:rPr>
          <w:i/>
          <w:iCs/>
          <w:lang w:val="fr-FR"/>
        </w:rPr>
        <w:t>Le Courrier de l’Air</w:t>
      </w:r>
      <w:r>
        <w:rPr>
          <w:lang w:val="fr-FR"/>
        </w:rPr>
        <w:t>, 16 Mai 1918.</w:t>
      </w:r>
    </w:p>
  </w:footnote>
  <w:footnote w:id="797">
    <w:p w14:paraId="589491E3" w14:textId="77777777" w:rsidR="00DE3AC9" w:rsidRPr="004E27C7" w:rsidRDefault="00DE3AC9" w:rsidP="0048510E">
      <w:pPr>
        <w:pStyle w:val="FootnoteText"/>
        <w:rPr>
          <w:lang w:val="de-DE"/>
        </w:rPr>
      </w:pPr>
      <w:r>
        <w:rPr>
          <w:rStyle w:val="FootnoteReference"/>
        </w:rPr>
        <w:footnoteRef/>
      </w:r>
      <w:r w:rsidRPr="004E27C7">
        <w:rPr>
          <w:lang w:val="de-DE"/>
        </w:rPr>
        <w:t xml:space="preserve"> </w:t>
      </w:r>
      <w:r>
        <w:fldChar w:fldCharType="begin"/>
      </w:r>
      <w:r>
        <w:rPr>
          <w:lang w:val="de-DE"/>
        </w:rPr>
        <w:instrText xml:space="preserve"> ADDIN EN.CITE &lt;EndNote&gt;&lt;Cite&gt;&lt;Author&gt;Hirschfeld&lt;/Author&gt;&lt;Year&gt;1929&lt;/Year&gt;&lt;RecNum&gt;179&lt;/RecNum&gt;&lt;DisplayText&gt;Magnus Hirschfeld and Andreas Gaspar, &lt;style face="italic"&gt;Sittengescichte des Ersten Weltkrieges&lt;/style&gt;, (Hanau, 1929)&lt;/DisplayText&gt;&lt;record&gt;&lt;rec-number&gt;179&lt;/rec-number&gt;&lt;foreign-keys&gt;&lt;key app="EN" db-id="2f5rvwawcsv2woetvw35fzwbdvvswerd0err"&gt;179&lt;/key&gt;&lt;/foreign-keys&gt;&lt;ref-type name="Book"&gt;6&lt;/ref-type&gt;&lt;contributors&gt;&lt;authors&gt;&lt;author&gt;Hirschfeld, Magnus&lt;/author&gt;&lt;author&gt;Gaspar, Andreas&lt;/author&gt;&lt;/authors&gt;&lt;/contributors&gt;&lt;titles&gt;&lt;title&gt;Sittengescichte des Ersten Weltkrieges&lt;/title&gt;&lt;short-title&gt;Sittengescichte&lt;/short-title&gt;&lt;/titles&gt;&lt;dates&gt;&lt;year&gt;1929&lt;/year&gt;&lt;/dates&gt;&lt;pub-location&gt;Hanau&lt;/pub-location&gt;&lt;urls&gt;&lt;/urls&gt;&lt;/record&gt;&lt;/Cite&gt;&lt;/EndNote&gt;</w:instrText>
      </w:r>
      <w:r>
        <w:fldChar w:fldCharType="separate"/>
      </w:r>
      <w:r w:rsidRPr="00A53216">
        <w:rPr>
          <w:noProof/>
          <w:lang w:val="de-DE"/>
        </w:rPr>
        <w:t xml:space="preserve">Magnus Hirschfeld and Andreas Gaspar, </w:t>
      </w:r>
      <w:r w:rsidRPr="00A53216">
        <w:rPr>
          <w:i/>
          <w:noProof/>
          <w:lang w:val="de-DE"/>
        </w:rPr>
        <w:t>Sittengescichte des Ersten Weltkrieges</w:t>
      </w:r>
      <w:r w:rsidRPr="00A53216">
        <w:rPr>
          <w:noProof/>
          <w:lang w:val="de-DE"/>
        </w:rPr>
        <w:t>, (Hanau, 1929)</w:t>
      </w:r>
      <w:r>
        <w:fldChar w:fldCharType="end"/>
      </w:r>
      <w:r w:rsidRPr="004E27C7">
        <w:rPr>
          <w:lang w:val="de-DE"/>
        </w:rPr>
        <w:t>, pp. 491-519.</w:t>
      </w:r>
    </w:p>
  </w:footnote>
  <w:footnote w:id="798">
    <w:p w14:paraId="56AD8AB4" w14:textId="77777777" w:rsidR="00DE3AC9" w:rsidRPr="00065BE6" w:rsidRDefault="00DE3AC9" w:rsidP="0048510E">
      <w:pPr>
        <w:pStyle w:val="FootnoteText"/>
      </w:pPr>
      <w:r>
        <w:rPr>
          <w:rStyle w:val="FootnoteReference"/>
        </w:rPr>
        <w:footnoteRef/>
      </w:r>
      <w:r>
        <w:t xml:space="preserve"> </w:t>
      </w:r>
      <w:r>
        <w:fldChar w:fldCharType="begin"/>
      </w:r>
      <w:r>
        <w:instrText xml:space="preserve"> ADDIN EN.CITE &lt;EndNote&gt;&lt;Cite&gt;&lt;Author&gt;Apel&lt;/Author&gt;&lt;Year&gt;1999&lt;/Year&gt;&lt;RecNum&gt;171&lt;/RecNum&gt;&lt;DisplayText&gt;Dora Apel, &amp;apos;Cultural battlegrounds: Weimar photographic narratives of war&amp;apos;, in: &lt;style face="italic"&gt;New German Critique, &lt;/style&gt;76 (1999), &lt;/DisplayText&gt;&lt;record&gt;&lt;rec-number&gt;171&lt;/rec-number&gt;&lt;foreign-keys&gt;&lt;key app="EN" db-id="2f5rvwawcsv2woetvw35fzwbdvvswerd0err"&gt;171&lt;/key&gt;&lt;/foreign-keys&gt;&lt;ref-type name="Journal Article"&gt;17&lt;/ref-type&gt;&lt;contributors&gt;&lt;authors&gt;&lt;author&gt;Apel, Dora&lt;/author&gt;&lt;/authors&gt;&lt;/contributors&gt;&lt;titles&gt;&lt;title&gt;Cultural battlegrounds: Weimar photographic narratives of war&lt;/title&gt;&lt;secondary-title&gt;New German Critique&lt;/secondary-title&gt;&lt;short-title&gt;Cultural battlegrounds&lt;/short-title&gt;&lt;/titles&gt;&lt;periodical&gt;&lt;full-title&gt;New German Critique&lt;/full-title&gt;&lt;/periodical&gt;&lt;volume&gt;76&lt;/volume&gt;&lt;dates&gt;&lt;year&gt;1999&lt;/year&gt;&lt;/dates&gt;&lt;urls&gt;&lt;/urls&gt;&lt;/record&gt;&lt;/Cite&gt;&lt;/EndNote&gt;</w:instrText>
      </w:r>
      <w:r>
        <w:fldChar w:fldCharType="separate"/>
      </w:r>
      <w:r>
        <w:rPr>
          <w:noProof/>
        </w:rPr>
        <w:t xml:space="preserve">Dora Apel, 'Cultural battlegrounds: Weimar photographic narratives of war', in: </w:t>
      </w:r>
      <w:r w:rsidRPr="00A53216">
        <w:rPr>
          <w:i/>
          <w:noProof/>
        </w:rPr>
        <w:t xml:space="preserve">New German Critique, </w:t>
      </w:r>
      <w:r>
        <w:rPr>
          <w:noProof/>
        </w:rPr>
        <w:t xml:space="preserve">76 (1999), </w:t>
      </w:r>
      <w:r>
        <w:fldChar w:fldCharType="end"/>
      </w:r>
      <w:r>
        <w:t>pp. 49-84.</w:t>
      </w:r>
    </w:p>
  </w:footnote>
  <w:footnote w:id="799">
    <w:p w14:paraId="5AAF020B" w14:textId="77777777" w:rsidR="00DE3AC9" w:rsidRPr="00065BE6" w:rsidRDefault="00DE3AC9" w:rsidP="0048510E">
      <w:pPr>
        <w:pStyle w:val="FootnoteText"/>
        <w:rPr>
          <w:lang w:val="de-DE"/>
        </w:rPr>
      </w:pPr>
      <w:r>
        <w:rPr>
          <w:rStyle w:val="FootnoteReference"/>
        </w:rPr>
        <w:footnoteRef/>
      </w:r>
      <w:r w:rsidRPr="00065BE6">
        <w:rPr>
          <w:lang w:val="de-DE"/>
        </w:rPr>
        <w:t xml:space="preserve"> </w:t>
      </w:r>
      <w:r>
        <w:fldChar w:fldCharType="begin"/>
      </w:r>
      <w:r>
        <w:rPr>
          <w:lang w:val="de-DE"/>
        </w:rPr>
        <w:instrText xml:space="preserve"> ADDIN EN.CITE &lt;EndNote&gt;&lt;Cite&gt;&lt;Author&gt;Friedrich&lt;/Author&gt;&lt;Year&gt;1982&lt;/Year&gt;&lt;RecNum&gt;170&lt;/RecNum&gt;&lt;DisplayText&gt;Ernst Friedrich, &lt;style face="italic"&gt;Krieg dem Kriege&lt;/style&gt;, (Frankfurt am Main, 1982)&lt;/DisplayText&gt;&lt;record&gt;&lt;rec-number&gt;170&lt;/rec-number&gt;&lt;foreign-keys&gt;&lt;key app="EN" db-id="2f5rvwawcsv2woetvw35fzwbdvvswerd0err"&gt;170&lt;/key&gt;&lt;/foreign-keys&gt;&lt;ref-type name="Book"&gt;6&lt;/ref-type&gt;&lt;contributors&gt;&lt;authors&gt;&lt;author&gt;Friedrich, Ernst&lt;/author&gt;&lt;/authors&gt;&lt;/contributors&gt;&lt;titles&gt;&lt;title&gt;Krieg dem Kriege&lt;/title&gt;&lt;short-title&gt;Krieg&lt;/short-title&gt;&lt;/titles&gt;&lt;dates&gt;&lt;year&gt;1982&lt;/year&gt;&lt;/dates&gt;&lt;pub-location&gt;Frankfurt am Main&lt;/pub-location&gt;&lt;urls&gt;&lt;/urls&gt;&lt;/record&gt;&lt;/Cite&gt;&lt;/EndNote&gt;</w:instrText>
      </w:r>
      <w:r>
        <w:fldChar w:fldCharType="separate"/>
      </w:r>
      <w:r w:rsidRPr="00A53216">
        <w:rPr>
          <w:noProof/>
          <w:lang w:val="de-DE"/>
        </w:rPr>
        <w:t xml:space="preserve">Ernst Friedrich, </w:t>
      </w:r>
      <w:r w:rsidRPr="00A53216">
        <w:rPr>
          <w:i/>
          <w:noProof/>
          <w:lang w:val="de-DE"/>
        </w:rPr>
        <w:t>Krieg dem Kriege</w:t>
      </w:r>
      <w:r w:rsidRPr="00A53216">
        <w:rPr>
          <w:noProof/>
          <w:lang w:val="de-DE"/>
        </w:rPr>
        <w:t>, (Frankfurt am Main, 1982)</w:t>
      </w:r>
      <w:r>
        <w:fldChar w:fldCharType="end"/>
      </w:r>
      <w:r w:rsidRPr="00065BE6">
        <w:rPr>
          <w:lang w:val="de-DE"/>
        </w:rPr>
        <w:t>, pp. 170-171.</w:t>
      </w:r>
    </w:p>
  </w:footnote>
  <w:footnote w:id="800">
    <w:p w14:paraId="06EE33FF" w14:textId="77777777" w:rsidR="00DE3AC9" w:rsidRPr="00065BE6" w:rsidRDefault="00DE3AC9" w:rsidP="0048510E">
      <w:pPr>
        <w:pStyle w:val="FootnoteText"/>
      </w:pPr>
      <w:r>
        <w:rPr>
          <w:rStyle w:val="FootnoteReference"/>
        </w:rPr>
        <w:footnoteRef/>
      </w:r>
      <w:r>
        <w:t xml:space="preserve"> </w:t>
      </w:r>
      <w:r>
        <w:fldChar w:fldCharType="begin"/>
      </w:r>
      <w:r>
        <w:instrText xml:space="preserve"> ADDIN EN.CITE &lt;EndNote&gt;&lt;Cite&gt;&lt;Author&gt;Apel&lt;/Author&gt;&lt;Year&gt;1997&lt;/Year&gt;&lt;RecNum&gt;172&lt;/RecNum&gt;&lt;DisplayText&gt;Dora Apel, &amp;apos;&amp;quot;Heroes&amp;quot; and &amp;quot;Whores&amp;quot;: the politics of gender in Weimar antiwar imagery&amp;apos;, in: &lt;style face="italic"&gt;The Art Bulletin, &lt;/style&gt;79 (1997), &lt;/DisplayText&gt;&lt;record&gt;&lt;rec-number&gt;172&lt;/rec-number&gt;&lt;foreign-keys&gt;&lt;key app="EN" db-id="2f5rvwawcsv2woetvw35fzwbdvvswerd0err"&gt;172&lt;/key&gt;&lt;/foreign-keys&gt;&lt;ref-type name="Journal Article"&gt;17&lt;/ref-type&gt;&lt;contributors&gt;&lt;authors&gt;&lt;author&gt;Apel, Dora&lt;/author&gt;&lt;/authors&gt;&lt;/contributors&gt;&lt;titles&gt;&lt;title&gt;&amp;quot;Heroes&amp;quot; and &amp;quot;Whores&amp;quot;: the politics of gender in Weimar antiwar imagery&lt;/title&gt;&lt;secondary-title&gt;The Art Bulletin&lt;/secondary-title&gt;&lt;short-title&gt;&amp;quot;Heroes&amp;quot;&lt;/short-title&gt;&lt;/titles&gt;&lt;periodical&gt;&lt;full-title&gt;The Art Bulletin&lt;/full-title&gt;&lt;/periodical&gt;&lt;volume&gt;79&lt;/volume&gt;&lt;number&gt;3&lt;/number&gt;&lt;dates&gt;&lt;year&gt;1997&lt;/year&gt;&lt;/dates&gt;&lt;urls&gt;&lt;/urls&gt;&lt;/record&gt;&lt;/Cite&gt;&lt;/EndNote&gt;</w:instrText>
      </w:r>
      <w:r>
        <w:fldChar w:fldCharType="separate"/>
      </w:r>
      <w:r>
        <w:rPr>
          <w:noProof/>
        </w:rPr>
        <w:t xml:space="preserve">Dora Apel, '"Heroes" and "Whores": the politics of gender in Weimar antiwar imagery', in: </w:t>
      </w:r>
      <w:r w:rsidRPr="00A53216">
        <w:rPr>
          <w:i/>
          <w:noProof/>
        </w:rPr>
        <w:t xml:space="preserve">The Art Bulletin, </w:t>
      </w:r>
      <w:r>
        <w:rPr>
          <w:noProof/>
        </w:rPr>
        <w:t xml:space="preserve">79 (1997), </w:t>
      </w:r>
      <w:r>
        <w:fldChar w:fldCharType="end"/>
      </w:r>
      <w:r>
        <w:t>pp. 376-377.</w:t>
      </w:r>
    </w:p>
  </w:footnote>
  <w:footnote w:id="801">
    <w:p w14:paraId="7B4D6280" w14:textId="77777777" w:rsidR="00DE3AC9" w:rsidRPr="00A2593D" w:rsidRDefault="00DE3AC9" w:rsidP="0048510E">
      <w:pPr>
        <w:pStyle w:val="FootnoteText"/>
        <w:rPr>
          <w:lang w:val="fr-FR"/>
        </w:rPr>
      </w:pPr>
      <w:r>
        <w:rPr>
          <w:rStyle w:val="FootnoteReference"/>
        </w:rPr>
        <w:footnoteRef/>
      </w:r>
      <w:r w:rsidRPr="009A29FE">
        <w:rPr>
          <w:lang w:val="fr-FR"/>
        </w:rPr>
        <w:t xml:space="preserve"> </w:t>
      </w:r>
      <w:r>
        <w:fldChar w:fldCharType="begin"/>
      </w:r>
      <w:r>
        <w:rPr>
          <w:lang w:val="fr-FR"/>
        </w:rPr>
        <w:instrText xml:space="preserve"> ADDIN EN.CITE &lt;EndNote&gt;&lt;Cite&gt;&lt;Author&gt;Le Naour&lt;/Author&gt;&lt;Year&gt;2000&lt;/Year&gt;&lt;RecNum&gt;246&lt;/RecNum&gt;&lt;DisplayText&gt;Jean-Yves Le Naour, &amp;apos;Femmes tondues et répression des &amp;quot;femmes à boches&amp;quot; en 1918&amp;apos;, in: &lt;style face="italic"&gt;Revue d&amp;apos;histoire moderne et contemporaine, &lt;/style&gt; (2000), &lt;/DisplayText&gt;&lt;record&gt;&lt;rec-number&gt;246&lt;/rec-number&gt;&lt;foreign-keys&gt;&lt;key app="EN" db-id="2f5rvwawcsv2woetvw35fzwbdvvswerd0err"&gt;246&lt;/key&gt;&lt;/foreign-keys&gt;&lt;ref-type name="Journal Article"&gt;17&lt;/ref-type&gt;&lt;contributors&gt;&lt;authors&gt;&lt;author&gt;Le Naour, Jean-Yves&lt;/author&gt;&lt;/authors&gt;&lt;/contributors&gt;&lt;titles&gt;&lt;title&gt;Femmes tondues et répression des &amp;quot;femmes à boches&amp;quot; en 1918&lt;/title&gt;&lt;secondary-title&gt;Revue d&amp;apos;histoire moderne et contemporaine&lt;/secondary-title&gt;&lt;short-title&gt;Femmes&lt;/short-title&gt;&lt;/titles&gt;&lt;periodical&gt;&lt;full-title&gt;Revue d&amp;apos;histoire moderne et contemporaine&lt;/full-title&gt;&lt;/periodical&gt;&lt;dates&gt;&lt;year&gt;2000&lt;/year&gt;&lt;/dates&gt;&lt;urls&gt;&lt;/urls&gt;&lt;/record&gt;&lt;/Cite&gt;&lt;/EndNote&gt;</w:instrText>
      </w:r>
      <w:r>
        <w:fldChar w:fldCharType="separate"/>
      </w:r>
      <w:r w:rsidRPr="00A53216">
        <w:rPr>
          <w:noProof/>
          <w:lang w:val="fr-FR"/>
        </w:rPr>
        <w:t xml:space="preserve">Jean-Yves Le Naour, 'Femmes tondues et répression des "femmes à boches" en 1918', in: </w:t>
      </w:r>
      <w:r w:rsidRPr="00A53216">
        <w:rPr>
          <w:i/>
          <w:noProof/>
          <w:lang w:val="fr-FR"/>
        </w:rPr>
        <w:t xml:space="preserve">Revue d'histoire moderne et contemporaine, </w:t>
      </w:r>
      <w:r w:rsidRPr="00A53216">
        <w:rPr>
          <w:noProof/>
          <w:lang w:val="fr-FR"/>
        </w:rPr>
        <w:t xml:space="preserve"> (2000), </w:t>
      </w:r>
      <w:r>
        <w:fldChar w:fldCharType="end"/>
      </w:r>
      <w:r w:rsidRPr="009A29FE">
        <w:rPr>
          <w:lang w:val="fr-FR"/>
        </w:rPr>
        <w:t>pp. 148-158.</w:t>
      </w:r>
    </w:p>
  </w:footnote>
  <w:footnote w:id="802">
    <w:p w14:paraId="62C8B06C" w14:textId="77777777" w:rsidR="00DE3AC9" w:rsidRPr="00A53216" w:rsidRDefault="00DE3AC9" w:rsidP="0048510E">
      <w:pPr>
        <w:pStyle w:val="FootnoteText"/>
        <w:rPr>
          <w:lang w:val="es-ES_tradnl"/>
        </w:rPr>
      </w:pPr>
      <w:r>
        <w:rPr>
          <w:rStyle w:val="FootnoteReference"/>
        </w:rPr>
        <w:footnoteRef/>
      </w:r>
      <w:r w:rsidRPr="00A53216">
        <w:rPr>
          <w:lang w:val="es-ES_tradnl"/>
        </w:rPr>
        <w:t xml:space="preserve"> </w:t>
      </w:r>
      <w:r>
        <w:fldChar w:fldCharType="begin"/>
      </w:r>
      <w:r w:rsidRPr="00A53216">
        <w:rPr>
          <w:lang w:val="es-ES_tradnl"/>
        </w:rPr>
        <w:instrText xml:space="preserve"> ADDIN EN.CITE &lt;EndNote&gt;&lt;Cite&gt;&lt;Author&gt;Apel&lt;/Author&gt;&lt;Year&gt;1997&lt;/Year&gt;&lt;RecNum&gt;172&lt;/RecNum&gt;&lt;DisplayText&gt;Apel, &lt;style face="italic"&gt;&amp;quot;Heroes&amp;quot;&lt;/style&gt;&lt;/DisplayText&gt;&lt;record&gt;&lt;rec-number&gt;172&lt;/rec-number&gt;&lt;foreign-keys&gt;&lt;key app="EN" db-id="2f5rvwawcsv2woetvw35fzwbdvvswerd0err"&gt;172&lt;/key&gt;&lt;/foreign-keys&gt;&lt;ref-type name="Journal Article"&gt;17&lt;/ref-type&gt;&lt;contributors&gt;&lt;authors&gt;&lt;author&gt;Apel, Dora&lt;/author&gt;&lt;/authors&gt;&lt;/contributors&gt;&lt;titles&gt;&lt;title&gt;&amp;quot;Heroes&amp;quot; and &amp;quot;Whores&amp;quot;: the politics of gender in Weimar antiwar imagery&lt;/title&gt;&lt;secondary-title&gt;The Art Bulletin&lt;/secondary-title&gt;&lt;short-title&gt;&amp;quot;Heroes&amp;quot;&lt;/short-title&gt;&lt;/titles&gt;&lt;periodical&gt;&lt;full-title&gt;The Art Bulletin&lt;/full-title&gt;&lt;/periodical&gt;&lt;volume&gt;79&lt;/volume&gt;&lt;number&gt;3&lt;/number&gt;&lt;dates&gt;&lt;year&gt;1997&lt;/year&gt;&lt;/dates&gt;&lt;urls&gt;&lt;/urls&gt;&lt;/record&gt;&lt;/Cite&gt;&lt;/EndNote&gt;</w:instrText>
      </w:r>
      <w:r>
        <w:fldChar w:fldCharType="separate"/>
      </w:r>
      <w:r w:rsidRPr="00A53216">
        <w:rPr>
          <w:noProof/>
          <w:lang w:val="es-ES_tradnl"/>
        </w:rPr>
        <w:t xml:space="preserve">Apel, </w:t>
      </w:r>
      <w:r w:rsidRPr="00A53216">
        <w:rPr>
          <w:i/>
          <w:noProof/>
          <w:lang w:val="es-ES_tradnl"/>
        </w:rPr>
        <w:t>"Heroes"</w:t>
      </w:r>
      <w:r>
        <w:fldChar w:fldCharType="end"/>
      </w:r>
      <w:r w:rsidRPr="00A53216">
        <w:rPr>
          <w:lang w:val="es-ES_tradnl"/>
        </w:rPr>
        <w:t>, p. 377.</w:t>
      </w:r>
    </w:p>
  </w:footnote>
  <w:footnote w:id="803">
    <w:p w14:paraId="48251D0A" w14:textId="77777777" w:rsidR="00DE3AC9" w:rsidRPr="00A53216" w:rsidRDefault="00DE3AC9" w:rsidP="0048510E">
      <w:pPr>
        <w:pStyle w:val="FootnoteText"/>
        <w:rPr>
          <w:lang w:val="es-ES_tradnl"/>
        </w:rPr>
      </w:pPr>
      <w:r>
        <w:rPr>
          <w:rStyle w:val="FootnoteReference"/>
        </w:rPr>
        <w:footnoteRef/>
      </w:r>
      <w:r w:rsidRPr="00A53216">
        <w:rPr>
          <w:lang w:val="es-ES_tradnl"/>
        </w:rPr>
        <w:t xml:space="preserve"> </w:t>
      </w:r>
      <w:r>
        <w:rPr>
          <w:lang w:val="fr-FR"/>
        </w:rPr>
        <w:fldChar w:fldCharType="begin"/>
      </w:r>
      <w:r w:rsidRPr="00A53216">
        <w:rPr>
          <w:lang w:val="es-ES_tradnl"/>
        </w:rPr>
        <w:instrText xml:space="preserve"> ADDIN EN.CITE &lt;EndNote&gt;&lt;Cite&gt;&lt;Author&gt;Gullace&lt;/Author&gt;&lt;Year&gt;1997&lt;/Year&gt;&lt;RecNum&gt;166&lt;/RecNum&gt;&lt;DisplayText&gt;Gullace, &lt;style face="italic"&gt;Sexual violence&lt;/style&gt;&lt;/DisplayText&gt;&lt;record&gt;&lt;rec-number&gt;166&lt;/rec-number&gt;&lt;foreign-keys&gt;&lt;key app="EN" db-id="2f5rvwawcsv2woetvw35fzwbdvvswerd0err"&gt;166&lt;/key&gt;&lt;/foreign-keys&gt;&lt;ref-type name="Journal Article"&gt;17&lt;/ref-type&gt;&lt;contributors&gt;&lt;authors&gt;&lt;author&gt;Gullace, Nicoletta&lt;/author&gt;&lt;/authors&gt;&lt;/contributors&gt;&lt;titles&gt;&lt;title&gt;Sexual violence and family honor: British propaganda and international law during the First World War&lt;/title&gt;&lt;secondary-title&gt;The American Historical Review&lt;/secondary-title&gt;&lt;short-title&gt;Sexual violence&lt;/short-title&gt;&lt;/titles&gt;&lt;periodical&gt;&lt;full-title&gt;The American Historical Review&lt;/full-title&gt;&lt;/periodical&gt;&lt;volume&gt;102&lt;/volume&gt;&lt;number&gt;3&lt;/number&gt;&lt;dates&gt;&lt;year&gt;1997&lt;/year&gt;&lt;/dates&gt;&lt;urls&gt;&lt;/urls&gt;&lt;/record&gt;&lt;/Cite&gt;&lt;/EndNote&gt;</w:instrText>
      </w:r>
      <w:r>
        <w:rPr>
          <w:lang w:val="fr-FR"/>
        </w:rPr>
        <w:fldChar w:fldCharType="separate"/>
      </w:r>
      <w:r w:rsidRPr="00A53216">
        <w:rPr>
          <w:noProof/>
          <w:lang w:val="es-ES_tradnl"/>
        </w:rPr>
        <w:t xml:space="preserve">Gullace, </w:t>
      </w:r>
      <w:r w:rsidRPr="00A53216">
        <w:rPr>
          <w:i/>
          <w:noProof/>
          <w:lang w:val="es-ES_tradnl"/>
        </w:rPr>
        <w:t>Sexual violence</w:t>
      </w:r>
      <w:r>
        <w:rPr>
          <w:lang w:val="fr-FR"/>
        </w:rPr>
        <w:fldChar w:fldCharType="end"/>
      </w:r>
      <w:r w:rsidRPr="00A53216">
        <w:rPr>
          <w:lang w:val="es-ES_tradnl"/>
        </w:rPr>
        <w:t>, p. 738.</w:t>
      </w:r>
    </w:p>
  </w:footnote>
  <w:footnote w:id="804">
    <w:p w14:paraId="52D7E17F" w14:textId="77777777" w:rsidR="00DE3AC9" w:rsidRPr="00CD10F0" w:rsidRDefault="00DE3AC9" w:rsidP="0048510E">
      <w:pPr>
        <w:pStyle w:val="FootnoteText"/>
      </w:pPr>
      <w:r>
        <w:rPr>
          <w:rStyle w:val="FootnoteReference"/>
        </w:rPr>
        <w:footnoteRef/>
      </w:r>
      <w:r w:rsidRPr="00CD10F0">
        <w:t xml:space="preserve"> </w:t>
      </w:r>
      <w:r>
        <w:rPr>
          <w:lang w:val="fr-FR"/>
        </w:rPr>
        <w:fldChar w:fldCharType="begin"/>
      </w:r>
      <w:r w:rsidRPr="00CD10F0">
        <w:instrText xml:space="preserve"> ADDIN EN.CITE &lt;EndNote&gt;&lt;Cite&gt;&lt;Author&gt;Ellis&lt;/Author&gt;&lt;Year&gt;1998&lt;/Year&gt;&lt;RecNum&gt;326&lt;/RecNum&gt;&lt;DisplayText&gt;Ellis, &lt;style face="italic"&gt;The methods of barbarism&lt;/style&gt;&lt;/DisplayText&gt;&lt;record&gt;&lt;rec-number&gt;326&lt;/rec-number&gt;&lt;foreign-keys&gt;&lt;key app="EN" db-id="2f5rvwawcsv2woetvw35fzwbdvvswerd0err"&gt;326&lt;/key&gt;&lt;/foreign-keys&gt;&lt;ref-type name="Journal Article"&gt;17&lt;/ref-type&gt;&lt;contributors&gt;&lt;authors&gt;&lt;author&gt;Ellis, John&lt;/author&gt;&lt;/authors&gt;&lt;/contributors&gt;&lt;titles&gt;&lt;title&gt;&amp;quot;The methods of barbarism&amp;quot; and the &amp;quot;Rights of small nations&amp;quot;: war propaganda and British pluralism&lt;/title&gt;&lt;secondary-title&gt;Albion&lt;/secondary-title&gt;&lt;short-title&gt;The methods of barbarism&lt;/short-title&gt;&lt;/titles&gt;&lt;periodical&gt;&lt;full-title&gt;Albion&lt;/full-title&gt;&lt;/periodical&gt;&lt;volume&gt;30&lt;/volume&gt;&lt;dates&gt;&lt;year&gt;1998&lt;/year&gt;&lt;/dates&gt;&lt;urls&gt;&lt;/urls&gt;&lt;/record&gt;&lt;/Cite&gt;&lt;/EndNote&gt;</w:instrText>
      </w:r>
      <w:r>
        <w:rPr>
          <w:lang w:val="fr-FR"/>
        </w:rPr>
        <w:fldChar w:fldCharType="separate"/>
      </w:r>
      <w:r w:rsidRPr="00CD10F0">
        <w:rPr>
          <w:noProof/>
        </w:rPr>
        <w:t xml:space="preserve">Ellis, </w:t>
      </w:r>
      <w:r w:rsidRPr="00CD10F0">
        <w:rPr>
          <w:i/>
          <w:noProof/>
        </w:rPr>
        <w:t>The methods of barbarism</w:t>
      </w:r>
      <w:r>
        <w:rPr>
          <w:lang w:val="fr-FR"/>
        </w:rPr>
        <w:fldChar w:fldCharType="end"/>
      </w:r>
      <w:r w:rsidRPr="00CD10F0">
        <w:t xml:space="preserve">, p. </w:t>
      </w:r>
      <w:r>
        <w:t>52.</w:t>
      </w:r>
    </w:p>
  </w:footnote>
  <w:footnote w:id="805">
    <w:p w14:paraId="3EF2AF4F" w14:textId="77777777" w:rsidR="00DE3AC9" w:rsidRPr="00B56E61" w:rsidRDefault="00DE3AC9" w:rsidP="0048510E">
      <w:pPr>
        <w:pStyle w:val="FootnoteText"/>
        <w:rPr>
          <w:lang w:val="fr-FR"/>
        </w:rPr>
      </w:pPr>
      <w:r>
        <w:rPr>
          <w:rStyle w:val="FootnoteReference"/>
        </w:rPr>
        <w:footnoteRef/>
      </w:r>
      <w:r w:rsidRPr="00B56E61">
        <w:rPr>
          <w:lang w:val="fr-FR"/>
        </w:rPr>
        <w:t xml:space="preserve"> </w:t>
      </w:r>
      <w:r>
        <w:rPr>
          <w:i/>
          <w:iCs/>
          <w:lang w:val="fr-FR"/>
        </w:rPr>
        <w:t>Le Courrier de l’Air</w:t>
      </w:r>
      <w:r>
        <w:rPr>
          <w:lang w:val="fr-FR"/>
        </w:rPr>
        <w:t>, 2 May 1918.</w:t>
      </w:r>
    </w:p>
  </w:footnote>
  <w:footnote w:id="806">
    <w:p w14:paraId="7F3C524C"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 xml:space="preserve">Le Courrier de l’Air, </w:t>
      </w:r>
      <w:r w:rsidRPr="00DE3AC9">
        <w:rPr>
          <w:lang w:val="fr-FR"/>
        </w:rPr>
        <w:t>August to November 1918.</w:t>
      </w:r>
    </w:p>
  </w:footnote>
  <w:footnote w:id="807">
    <w:p w14:paraId="482E1D54" w14:textId="77777777" w:rsidR="00DE3AC9" w:rsidRPr="00042E95" w:rsidRDefault="00DE3AC9" w:rsidP="0048510E">
      <w:pPr>
        <w:pStyle w:val="FootnoteText"/>
      </w:pPr>
      <w:r>
        <w:rPr>
          <w:rStyle w:val="FootnoteReference"/>
        </w:rPr>
        <w:footnoteRef/>
      </w:r>
      <w:r w:rsidRPr="00042E95">
        <w:t xml:space="preserve"> See Chapter </w:t>
      </w:r>
      <w:r>
        <w:t>three</w:t>
      </w:r>
      <w:r w:rsidRPr="00042E95">
        <w:t xml:space="preserve"> for more information.</w:t>
      </w:r>
    </w:p>
  </w:footnote>
  <w:footnote w:id="808">
    <w:p w14:paraId="2C27F2C3" w14:textId="77777777" w:rsidR="00DE3AC9" w:rsidRPr="002D1D14" w:rsidRDefault="00DE3AC9" w:rsidP="0048510E">
      <w:pPr>
        <w:pStyle w:val="FootnoteText"/>
        <w:rPr>
          <w:lang w:val="fr-FR"/>
        </w:rPr>
      </w:pPr>
      <w:r>
        <w:rPr>
          <w:rStyle w:val="FootnoteReference"/>
        </w:rPr>
        <w:footnoteRef/>
      </w:r>
      <w:r w:rsidRPr="002D1D14">
        <w:rPr>
          <w:lang w:val="fr-FR"/>
        </w:rPr>
        <w:t xml:space="preserve"> </w:t>
      </w:r>
      <w:r>
        <w:rPr>
          <w:lang w:val="nl-NL"/>
        </w:rPr>
        <w:fldChar w:fldCharType="begin"/>
      </w:r>
      <w:r>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Pr>
          <w:lang w:val="nl-NL"/>
        </w:rPr>
        <w:fldChar w:fldCharType="separate"/>
      </w:r>
      <w:r w:rsidRPr="002D1D14">
        <w:rPr>
          <w:noProof/>
          <w:lang w:val="fr-FR"/>
        </w:rPr>
        <w:t xml:space="preserve">Nivet, </w:t>
      </w:r>
      <w:r w:rsidRPr="002D1D14">
        <w:rPr>
          <w:i/>
          <w:noProof/>
          <w:lang w:val="fr-FR"/>
        </w:rPr>
        <w:t>La France</w:t>
      </w:r>
      <w:r>
        <w:rPr>
          <w:lang w:val="nl-NL"/>
        </w:rPr>
        <w:fldChar w:fldCharType="end"/>
      </w:r>
      <w:r w:rsidRPr="002D1D14">
        <w:rPr>
          <w:lang w:val="fr-FR"/>
        </w:rPr>
        <w:t>, pp. 244-247.</w:t>
      </w:r>
    </w:p>
  </w:footnote>
  <w:footnote w:id="809">
    <w:p w14:paraId="1398F51D" w14:textId="77777777" w:rsidR="00DE3AC9" w:rsidRPr="00A60A9B" w:rsidRDefault="00DE3AC9" w:rsidP="0048510E">
      <w:pPr>
        <w:pStyle w:val="FootnoteText"/>
        <w:rPr>
          <w:lang w:val="fr-FR"/>
        </w:rPr>
      </w:pPr>
      <w:r>
        <w:rPr>
          <w:rStyle w:val="FootnoteReference"/>
        </w:rPr>
        <w:footnoteRef/>
      </w:r>
      <w:r w:rsidRPr="00A60A9B">
        <w:rPr>
          <w:lang w:val="fr-FR"/>
        </w:rPr>
        <w:t xml:space="preserve"> </w:t>
      </w:r>
      <w:r w:rsidRPr="00A60A9B">
        <w:rPr>
          <w:i/>
          <w:iCs/>
          <w:lang w:val="fr-FR"/>
        </w:rPr>
        <w:t>La Gazette des Ardennes</w:t>
      </w:r>
      <w:r w:rsidRPr="00A60A9B">
        <w:rPr>
          <w:lang w:val="fr-FR"/>
        </w:rPr>
        <w:t>, 4 December 1914.</w:t>
      </w:r>
    </w:p>
  </w:footnote>
  <w:footnote w:id="810">
    <w:p w14:paraId="6E001DF1" w14:textId="77777777" w:rsidR="00DE3AC9" w:rsidRPr="00EC14D9" w:rsidRDefault="00DE3AC9" w:rsidP="0048510E">
      <w:pPr>
        <w:pStyle w:val="FootnoteText"/>
        <w:rPr>
          <w:lang w:val="fr-FR"/>
        </w:rPr>
      </w:pPr>
      <w:r>
        <w:rPr>
          <w:rStyle w:val="FootnoteReference"/>
        </w:rPr>
        <w:footnoteRef/>
      </w:r>
      <w:r w:rsidRPr="00EC14D9">
        <w:rPr>
          <w:lang w:val="fr-FR"/>
        </w:rPr>
        <w:t xml:space="preserve"> </w:t>
      </w:r>
      <w:r w:rsidRPr="00EC14D9">
        <w:rPr>
          <w:i/>
          <w:iCs/>
          <w:lang w:val="fr-FR"/>
        </w:rPr>
        <w:t>La Gazette des Ardennes</w:t>
      </w:r>
      <w:r w:rsidRPr="00EC14D9">
        <w:rPr>
          <w:lang w:val="fr-FR"/>
        </w:rPr>
        <w:t>, 22 January 1918.</w:t>
      </w:r>
    </w:p>
  </w:footnote>
  <w:footnote w:id="811">
    <w:p w14:paraId="1589A089" w14:textId="77777777" w:rsidR="00DE3AC9" w:rsidRPr="000522DD" w:rsidRDefault="00DE3AC9" w:rsidP="0048510E">
      <w:pPr>
        <w:pStyle w:val="FootnoteText"/>
      </w:pPr>
      <w:r>
        <w:rPr>
          <w:rStyle w:val="FootnoteReference"/>
        </w:rPr>
        <w:footnoteRef/>
      </w:r>
      <w:r w:rsidRPr="000522DD">
        <w:t xml:space="preserve"> </w:t>
      </w:r>
      <w:r>
        <w:rPr>
          <w:lang w:val="nl-NL"/>
        </w:rPr>
        <w:fldChar w:fldCharType="begin"/>
      </w:r>
      <w:r w:rsidRPr="000522DD">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nl-NL"/>
        </w:rPr>
        <w:fldChar w:fldCharType="separate"/>
      </w:r>
      <w:r w:rsidRPr="000522DD">
        <w:rPr>
          <w:noProof/>
        </w:rPr>
        <w:t xml:space="preserve">Laska, </w:t>
      </w:r>
      <w:r w:rsidRPr="000522DD">
        <w:rPr>
          <w:i/>
          <w:noProof/>
        </w:rPr>
        <w:t>Presse</w:t>
      </w:r>
      <w:r>
        <w:rPr>
          <w:lang w:val="nl-NL"/>
        </w:rPr>
        <w:fldChar w:fldCharType="end"/>
      </w:r>
      <w:r w:rsidRPr="000522DD">
        <w:t>, pp. 178-179.</w:t>
      </w:r>
    </w:p>
  </w:footnote>
  <w:footnote w:id="812">
    <w:p w14:paraId="5BE07685" w14:textId="77777777" w:rsidR="00DE3AC9" w:rsidRPr="00EC14D9" w:rsidRDefault="00DE3AC9" w:rsidP="00C10DB6">
      <w:pPr>
        <w:pStyle w:val="FootnoteText"/>
      </w:pPr>
      <w:r>
        <w:rPr>
          <w:rStyle w:val="FootnoteReference"/>
        </w:rPr>
        <w:footnoteRef/>
      </w:r>
      <w:r w:rsidRPr="00EC14D9">
        <w:t xml:space="preserve"> </w:t>
      </w:r>
      <w:r>
        <w:t>To understand how German intellectuals and the term Kultur were used by French propaganda, s</w:t>
      </w:r>
      <w:r w:rsidRPr="00EC14D9">
        <w:t xml:space="preserve">ee for example the French </w:t>
      </w:r>
      <w:r>
        <w:t>newspaper</w:t>
      </w:r>
      <w:r w:rsidRPr="00EC14D9">
        <w:t xml:space="preserve"> </w:t>
      </w:r>
      <w:r>
        <w:rPr>
          <w:i/>
          <w:iCs/>
        </w:rPr>
        <w:t xml:space="preserve">La Baïonnette, </w:t>
      </w:r>
      <w:r>
        <w:t xml:space="preserve">2 March 1916 about German intellectuals. </w:t>
      </w:r>
    </w:p>
  </w:footnote>
  <w:footnote w:id="813">
    <w:p w14:paraId="4D2FA27C" w14:textId="62347386" w:rsidR="00DE3AC9" w:rsidRPr="00407F22" w:rsidRDefault="00DE3AC9" w:rsidP="00680B9F">
      <w:pPr>
        <w:pStyle w:val="FootnoteText"/>
        <w:rPr>
          <w:lang w:val="fr-FR"/>
        </w:rPr>
      </w:pPr>
      <w:r>
        <w:rPr>
          <w:rStyle w:val="FootnoteReference"/>
        </w:rPr>
        <w:footnoteRef/>
      </w:r>
      <w:r w:rsidRPr="00407F22">
        <w:rPr>
          <w:lang w:val="fr-FR"/>
        </w:rPr>
        <w:t xml:space="preserve"> </w:t>
      </w:r>
      <w:r>
        <w:rPr>
          <w:lang w:val="fr-FR"/>
        </w:rPr>
        <w:t>See chapter four.</w:t>
      </w:r>
    </w:p>
  </w:footnote>
  <w:footnote w:id="814">
    <w:p w14:paraId="3779448A" w14:textId="77777777" w:rsidR="00DE3AC9" w:rsidRPr="00CB248F" w:rsidRDefault="00DE3AC9" w:rsidP="0048510E">
      <w:pPr>
        <w:pStyle w:val="FootnoteText"/>
      </w:pPr>
      <w:r>
        <w:rPr>
          <w:rStyle w:val="FootnoteReference"/>
        </w:rPr>
        <w:footnoteRef/>
      </w:r>
      <w:r w:rsidRPr="00F7786D">
        <w:rPr>
          <w:lang w:val="fr-FR"/>
        </w:rPr>
        <w:t xml:space="preserve"> </w:t>
      </w:r>
      <w:r w:rsidRPr="00F7786D">
        <w:rPr>
          <w:i/>
          <w:iCs/>
          <w:lang w:val="fr-FR"/>
        </w:rPr>
        <w:t>La Gazette des Ardennes illustrée</w:t>
      </w:r>
      <w:r w:rsidRPr="00F7786D">
        <w:rPr>
          <w:lang w:val="fr-FR"/>
        </w:rPr>
        <w:t>, 1916-1918.</w:t>
      </w:r>
      <w:r>
        <w:rPr>
          <w:lang w:val="fr-FR"/>
        </w:rPr>
        <w:t xml:space="preserve"> </w:t>
      </w:r>
      <w:r w:rsidRPr="00CB248F">
        <w:t xml:space="preserve">See also for Belgium, </w:t>
      </w:r>
      <w:r w:rsidRPr="00CB248F">
        <w:rPr>
          <w:i/>
          <w:iCs/>
        </w:rPr>
        <w:t xml:space="preserve">Le Bruxellois, </w:t>
      </w:r>
      <w:r>
        <w:t>3-4 February 1916 or 1-2 March 1916.</w:t>
      </w:r>
    </w:p>
  </w:footnote>
  <w:footnote w:id="815">
    <w:p w14:paraId="424745A3" w14:textId="77777777" w:rsidR="00DE3AC9" w:rsidRPr="002D1D14" w:rsidRDefault="00DE3AC9" w:rsidP="0048510E">
      <w:pPr>
        <w:pStyle w:val="FootnoteText"/>
        <w:rPr>
          <w:lang w:val="fr-FR"/>
        </w:rPr>
      </w:pPr>
      <w:r>
        <w:rPr>
          <w:rStyle w:val="FootnoteReference"/>
        </w:rPr>
        <w:footnoteRef/>
      </w:r>
      <w:r w:rsidRPr="002D1D14">
        <w:rPr>
          <w:lang w:val="fr-FR"/>
        </w:rPr>
        <w:t xml:space="preserve"> </w:t>
      </w:r>
      <w:r>
        <w:rPr>
          <w:lang w:val="nl-NL"/>
        </w:rPr>
        <w:fldChar w:fldCharType="begin"/>
      </w:r>
      <w:r w:rsidRPr="002D1D14">
        <w:rPr>
          <w:lang w:val="fr-FR"/>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nl-NL"/>
        </w:rPr>
        <w:fldChar w:fldCharType="separate"/>
      </w:r>
      <w:r w:rsidRPr="002D1D14">
        <w:rPr>
          <w:noProof/>
          <w:lang w:val="fr-FR"/>
        </w:rPr>
        <w:t xml:space="preserve">Laska, </w:t>
      </w:r>
      <w:r w:rsidRPr="002D1D14">
        <w:rPr>
          <w:i/>
          <w:noProof/>
          <w:lang w:val="fr-FR"/>
        </w:rPr>
        <w:t>Presse</w:t>
      </w:r>
      <w:r>
        <w:rPr>
          <w:lang w:val="nl-NL"/>
        </w:rPr>
        <w:fldChar w:fldCharType="end"/>
      </w:r>
      <w:r w:rsidRPr="002D1D14">
        <w:rPr>
          <w:lang w:val="fr-FR"/>
        </w:rPr>
        <w:t>, pp. 181-182.</w:t>
      </w:r>
    </w:p>
  </w:footnote>
  <w:footnote w:id="816">
    <w:p w14:paraId="43476072" w14:textId="77777777" w:rsidR="00DE3AC9" w:rsidRPr="001559AD" w:rsidRDefault="00DE3AC9" w:rsidP="0048510E">
      <w:pPr>
        <w:pStyle w:val="FootnoteText"/>
        <w:rPr>
          <w:lang w:val="fr-FR"/>
        </w:rPr>
      </w:pPr>
      <w:r>
        <w:rPr>
          <w:rStyle w:val="FootnoteReference"/>
        </w:rPr>
        <w:footnoteRef/>
      </w:r>
      <w:r w:rsidRPr="001559AD">
        <w:rPr>
          <w:lang w:val="fr-FR"/>
        </w:rPr>
        <w:t xml:space="preserve"> </w:t>
      </w:r>
      <w:r w:rsidRPr="001559AD">
        <w:rPr>
          <w:i/>
          <w:iCs/>
          <w:lang w:val="fr-FR"/>
        </w:rPr>
        <w:t xml:space="preserve">La Gazette des Ardennes illustrée, </w:t>
      </w:r>
      <w:r>
        <w:rPr>
          <w:lang w:val="fr-FR"/>
        </w:rPr>
        <w:t>1 August 1916.</w:t>
      </w:r>
    </w:p>
  </w:footnote>
  <w:footnote w:id="817">
    <w:p w14:paraId="244BD446" w14:textId="77777777" w:rsidR="00DE3AC9" w:rsidRPr="002D1D14" w:rsidRDefault="00DE3AC9" w:rsidP="0048510E">
      <w:pPr>
        <w:pStyle w:val="FootnoteText"/>
      </w:pPr>
      <w:r>
        <w:rPr>
          <w:rStyle w:val="FootnoteReference"/>
        </w:rPr>
        <w:footnoteRef/>
      </w:r>
      <w:r w:rsidRPr="002D1D14">
        <w:t xml:space="preserve"> </w:t>
      </w:r>
      <w:r>
        <w:fldChar w:fldCharType="begin"/>
      </w:r>
      <w:r w:rsidRPr="002D1D14">
        <w:instrText xml:space="preserve"> ADDIN EN.CITE &lt;EndNote&gt;&lt;Cite&gt;&lt;Author&gt;Gay&lt;/Author&gt;&lt;Year&gt;1993&lt;/Year&gt;&lt;RecNum&gt;162&lt;/RecNum&gt;&lt;DisplayText&gt;Gay, &lt;style face="italic"&gt;The cultivation&lt;/style&gt;&lt;/DisplayText&gt;&lt;record&gt;&lt;rec-number&gt;162&lt;/rec-number&gt;&lt;foreign-keys&gt;&lt;key app="EN" db-id="2f5rvwawcsv2woetvw35fzwbdvvswerd0err"&gt;162&lt;/key&gt;&lt;/foreign-keys&gt;&lt;ref-type name="Book"&gt;6&lt;/ref-type&gt;&lt;contributors&gt;&lt;authors&gt;&lt;author&gt;Gay, Peter&lt;/author&gt;&lt;/authors&gt;&lt;/contributors&gt;&lt;titles&gt;&lt;title&gt;The cultivation of hatred&lt;/title&gt;&lt;short-title&gt;The cultivation&lt;/short-title&gt;&lt;/titles&gt;&lt;dates&gt;&lt;year&gt;1993&lt;/year&gt;&lt;/dates&gt;&lt;pub-location&gt;New York&lt;/pub-location&gt;&lt;urls&gt;&lt;/urls&gt;&lt;/record&gt;&lt;/Cite&gt;&lt;/EndNote&gt;</w:instrText>
      </w:r>
      <w:r>
        <w:fldChar w:fldCharType="separate"/>
      </w:r>
      <w:r w:rsidRPr="002D1D14">
        <w:rPr>
          <w:noProof/>
        </w:rPr>
        <w:t xml:space="preserve">Gay, </w:t>
      </w:r>
      <w:r w:rsidRPr="002D1D14">
        <w:rPr>
          <w:i/>
          <w:noProof/>
        </w:rPr>
        <w:t>The cultivation</w:t>
      </w:r>
      <w:r>
        <w:fldChar w:fldCharType="end"/>
      </w:r>
      <w:r w:rsidRPr="002D1D14">
        <w:t>, p. 47.</w:t>
      </w:r>
    </w:p>
  </w:footnote>
  <w:footnote w:id="818">
    <w:p w14:paraId="0C1B59A0" w14:textId="77777777" w:rsidR="00DE3AC9" w:rsidRPr="00A4564E" w:rsidRDefault="00DE3AC9" w:rsidP="0048510E">
      <w:pPr>
        <w:pStyle w:val="FootnoteText"/>
      </w:pPr>
      <w:r>
        <w:rPr>
          <w:rStyle w:val="FootnoteReference"/>
        </w:rPr>
        <w:footnoteRef/>
      </w:r>
      <w:r>
        <w:t xml:space="preserve"> </w:t>
      </w:r>
      <w:r>
        <w:fldChar w:fldCharType="begin"/>
      </w:r>
      <w:r>
        <w:instrText xml:space="preserve"> ADDIN EN.CITE &lt;EndNote&gt;&lt;Cite&gt;&lt;Author&gt;Kassimeris&lt;/Author&gt;&lt;Year&gt;2006&lt;/Year&gt;&lt;RecNum&gt;173&lt;/RecNum&gt;&lt;DisplayText&gt;George Kassimeris, &amp;apos;The barbarisation of warfare: a user&amp;apos;s manuel&amp;apos;, in: &lt;style face="italic"&gt;The barbarisation of warfare, &lt;/style&gt;ed. by G. Kassimeris (London, 2006),&lt;/DisplayText&gt;&lt;record&gt;&lt;rec-number&gt;173&lt;/rec-number&gt;&lt;foreign-keys&gt;&lt;key app="EN" db-id="2f5rvwawcsv2woetvw35fzwbdvvswerd0err"&gt;173&lt;/key&gt;&lt;/foreign-keys&gt;&lt;ref-type name="Book Section"&gt;5&lt;/ref-type&gt;&lt;contributors&gt;&lt;authors&gt;&lt;author&gt;Kassimeris, George&lt;/author&gt;&lt;/authors&gt;&lt;secondary-authors&gt;&lt;author&gt;G. Kassimeris&lt;/author&gt;&lt;/secondary-authors&gt;&lt;/contributors&gt;&lt;titles&gt;&lt;title&gt;The barbarisation of warfare: a user&amp;apos;s manuel&lt;/title&gt;&lt;secondary-title&gt;The barbarisation of warfare&lt;/secondary-title&gt;&lt;short-title&gt;The barbarisation&lt;/short-title&gt;&lt;/titles&gt;&lt;dates&gt;&lt;year&gt;2006&lt;/year&gt;&lt;/dates&gt;&lt;pub-location&gt;London&lt;/pub-location&gt;&lt;urls&gt;&lt;/urls&gt;&lt;/record&gt;&lt;/Cite&gt;&lt;/EndNote&gt;</w:instrText>
      </w:r>
      <w:r>
        <w:fldChar w:fldCharType="separate"/>
      </w:r>
      <w:r>
        <w:rPr>
          <w:noProof/>
        </w:rPr>
        <w:t xml:space="preserve">George Kassimeris, 'The barbarisation of warfare: a user's manuel', in: </w:t>
      </w:r>
      <w:r w:rsidRPr="00A53216">
        <w:rPr>
          <w:i/>
          <w:noProof/>
        </w:rPr>
        <w:t xml:space="preserve">The barbarisation of warfare, </w:t>
      </w:r>
      <w:r>
        <w:rPr>
          <w:noProof/>
        </w:rPr>
        <w:t>ed. by G. Kassimeris (London, 2006),</w:t>
      </w:r>
      <w:r>
        <w:fldChar w:fldCharType="end"/>
      </w:r>
      <w:r>
        <w:t xml:space="preserve"> pp. 6-12.</w:t>
      </w:r>
    </w:p>
  </w:footnote>
  <w:footnote w:id="819">
    <w:p w14:paraId="1049FA96" w14:textId="77777777" w:rsidR="00DE3AC9" w:rsidRPr="008A5D3F" w:rsidRDefault="00DE3AC9" w:rsidP="0048510E">
      <w:pPr>
        <w:pStyle w:val="FootnoteText"/>
        <w:rPr>
          <w:lang w:val="fr-FR"/>
        </w:rPr>
      </w:pPr>
      <w:r>
        <w:rPr>
          <w:rStyle w:val="FootnoteReference"/>
        </w:rPr>
        <w:footnoteRef/>
      </w:r>
      <w:r w:rsidRPr="008A5D3F">
        <w:rPr>
          <w:lang w:val="fr-FR"/>
        </w:rPr>
        <w:t xml:space="preserve"> </w:t>
      </w:r>
      <w:r w:rsidRPr="008A5D3F">
        <w:rPr>
          <w:i/>
          <w:iCs/>
          <w:lang w:val="fr-FR"/>
        </w:rPr>
        <w:t>La Voix du Pays</w:t>
      </w:r>
      <w:r w:rsidRPr="008A5D3F">
        <w:rPr>
          <w:lang w:val="fr-FR"/>
        </w:rPr>
        <w:t>, 16 November 1915.</w:t>
      </w:r>
    </w:p>
  </w:footnote>
  <w:footnote w:id="820">
    <w:p w14:paraId="011F0D76" w14:textId="77777777" w:rsidR="00DE3AC9" w:rsidRPr="00433554" w:rsidRDefault="00DE3AC9" w:rsidP="0048510E">
      <w:pPr>
        <w:pStyle w:val="FootnoteText"/>
        <w:rPr>
          <w:lang w:val="fr-FR"/>
        </w:rPr>
      </w:pPr>
      <w:r>
        <w:rPr>
          <w:rStyle w:val="FootnoteReference"/>
        </w:rPr>
        <w:footnoteRef/>
      </w:r>
      <w:r w:rsidRPr="00433554">
        <w:rPr>
          <w:lang w:val="fr-FR"/>
        </w:rPr>
        <w:t xml:space="preserve"> </w:t>
      </w:r>
      <w:r w:rsidRPr="00433554">
        <w:rPr>
          <w:i/>
          <w:iCs/>
          <w:lang w:val="fr-FR"/>
        </w:rPr>
        <w:t>La Voix du Pays</w:t>
      </w:r>
      <w:r w:rsidRPr="00433554">
        <w:rPr>
          <w:lang w:val="fr-FR"/>
        </w:rPr>
        <w:t>, 8 February 1916.</w:t>
      </w:r>
    </w:p>
  </w:footnote>
  <w:footnote w:id="821">
    <w:p w14:paraId="1F54077D" w14:textId="77777777" w:rsidR="00DE3AC9" w:rsidRPr="001B199A" w:rsidRDefault="00DE3AC9" w:rsidP="0048510E">
      <w:pPr>
        <w:pStyle w:val="FootnoteText"/>
        <w:rPr>
          <w:lang w:val="fr-FR"/>
        </w:rPr>
      </w:pPr>
      <w:r>
        <w:rPr>
          <w:rStyle w:val="FootnoteReference"/>
        </w:rPr>
        <w:footnoteRef/>
      </w:r>
      <w:r w:rsidRPr="001B199A">
        <w:rPr>
          <w:lang w:val="fr-FR"/>
        </w:rPr>
        <w:t xml:space="preserve"> </w:t>
      </w:r>
      <w:r>
        <w:rPr>
          <w:i/>
          <w:iCs/>
          <w:lang w:val="fr-FR"/>
        </w:rPr>
        <w:t>La Voix du Pays</w:t>
      </w:r>
      <w:r>
        <w:rPr>
          <w:lang w:val="fr-FR"/>
        </w:rPr>
        <w:t>, February – December 1916.</w:t>
      </w:r>
    </w:p>
  </w:footnote>
  <w:footnote w:id="822">
    <w:p w14:paraId="75B012E9" w14:textId="77777777" w:rsidR="00DE3AC9" w:rsidRPr="00EF2047" w:rsidRDefault="00DE3AC9" w:rsidP="0048510E">
      <w:pPr>
        <w:pStyle w:val="FootnoteText"/>
        <w:rPr>
          <w:lang w:val="fr-FR"/>
        </w:rPr>
      </w:pPr>
      <w:r>
        <w:rPr>
          <w:rStyle w:val="FootnoteReference"/>
        </w:rPr>
        <w:footnoteRef/>
      </w:r>
      <w:r w:rsidRPr="00EF2047">
        <w:rPr>
          <w:lang w:val="fr-FR"/>
        </w:rPr>
        <w:t xml:space="preserve"> </w:t>
      </w:r>
      <w:r w:rsidRPr="00EF2047">
        <w:rPr>
          <w:i/>
          <w:iCs/>
          <w:lang w:val="fr-FR"/>
        </w:rPr>
        <w:t xml:space="preserve">Le Clairon du Roi, </w:t>
      </w:r>
      <w:r w:rsidRPr="00EF2047">
        <w:rPr>
          <w:lang w:val="fr-FR"/>
        </w:rPr>
        <w:t>year 1916.</w:t>
      </w:r>
    </w:p>
  </w:footnote>
  <w:footnote w:id="823">
    <w:p w14:paraId="7ED26B71" w14:textId="77777777" w:rsidR="00DE3AC9" w:rsidRPr="005252BB" w:rsidRDefault="00DE3AC9" w:rsidP="005C7BEE">
      <w:pPr>
        <w:pStyle w:val="FootnoteText"/>
      </w:pPr>
      <w:r>
        <w:rPr>
          <w:rStyle w:val="FootnoteReference"/>
        </w:rPr>
        <w:footnoteRef/>
      </w:r>
      <w:r>
        <w:t xml:space="preserve"> </w:t>
      </w:r>
      <w:r>
        <w:fldChar w:fldCharType="begin"/>
      </w:r>
      <w:r>
        <w:instrText xml:space="preserve"> ADDIN EN.CITE &lt;EndNote&gt;&lt;Cite&gt;&lt;Author&gt;Offer&lt;/Author&gt;&lt;Year&gt;2000&lt;/Year&gt;&lt;RecNum&gt;180&lt;/RecNum&gt;&lt;DisplayText&gt;Avner Offer, &amp;apos;Blockade and the strategy of starvation&amp;apos;, in: &lt;style face="italic"&gt;Great War, Total War: combat and mobilization on the Western front, 1914-1918, &lt;/style&gt;ed. by Roger Chickering and Stig Förster (Cambridge, 2000),&lt;/DisplayText&gt;&lt;record&gt;&lt;rec-number&gt;180&lt;/rec-number&gt;&lt;foreign-keys&gt;&lt;key app="EN" db-id="2f5rvwawcsv2woetvw35fzwbdvvswerd0err"&gt;180&lt;/key&gt;&lt;/foreign-keys&gt;&lt;ref-type name="Book Section"&gt;5&lt;/ref-type&gt;&lt;contributors&gt;&lt;authors&gt;&lt;author&gt;Offer, Avner&lt;/author&gt;&lt;/authors&gt;&lt;secondary-authors&gt;&lt;author&gt;Chickering, Roger&lt;/author&gt;&lt;author&gt;Förster, Stig&lt;/author&gt;&lt;/secondary-authors&gt;&lt;/contributors&gt;&lt;titles&gt;&lt;title&gt;Blockade and the strategy of starvation&lt;/title&gt;&lt;secondary-title&gt;Great War, Total War: combat and mobilization on the Western front, 1914-1918&lt;/secondary-title&gt;&lt;short-title&gt;Blockade&lt;/short-title&gt;&lt;/titles&gt;&lt;dates&gt;&lt;year&gt;2000&lt;/year&gt;&lt;/dates&gt;&lt;pub-location&gt;Cambridge&lt;/pub-location&gt;&lt;urls&gt;&lt;/urls&gt;&lt;/record&gt;&lt;/Cite&gt;&lt;/EndNote&gt;</w:instrText>
      </w:r>
      <w:r>
        <w:fldChar w:fldCharType="separate"/>
      </w:r>
      <w:r>
        <w:rPr>
          <w:noProof/>
        </w:rPr>
        <w:t xml:space="preserve">Avner Offer, 'Blockade and the strategy of starvation', in: </w:t>
      </w:r>
      <w:r w:rsidRPr="005C7BEE">
        <w:rPr>
          <w:i/>
          <w:noProof/>
        </w:rPr>
        <w:t xml:space="preserve">Great War, Total War: combat and mobilization on the Western front, 1914-1918, </w:t>
      </w:r>
      <w:r>
        <w:rPr>
          <w:noProof/>
        </w:rPr>
        <w:t>ed. by Roger Chickering and Stig Förster (Cambridge, 2000),</w:t>
      </w:r>
      <w:r>
        <w:fldChar w:fldCharType="end"/>
      </w:r>
      <w:r>
        <w:t xml:space="preserve"> p. 172.</w:t>
      </w:r>
    </w:p>
  </w:footnote>
  <w:footnote w:id="824">
    <w:p w14:paraId="6970BAC5" w14:textId="77777777" w:rsidR="00DE3AC9" w:rsidRPr="00E46D89" w:rsidRDefault="00DE3AC9" w:rsidP="0048510E">
      <w:pPr>
        <w:pStyle w:val="FootnoteText"/>
      </w:pPr>
      <w:r>
        <w:rPr>
          <w:rStyle w:val="FootnoteReference"/>
        </w:rPr>
        <w:footnoteRef/>
      </w:r>
      <w:r>
        <w:t xml:space="preserve"> </w:t>
      </w:r>
      <w:r>
        <w:fldChar w:fldCharType="begin"/>
      </w:r>
      <w:r>
        <w:instrText xml:space="preserve"> ADDIN EN.CITE &lt;EndNote&gt;&lt;Cite&gt;&lt;RecNum&gt;174&lt;/RecNum&gt;&lt;DisplayText&gt;&amp;apos;Laws of war: Laws and customs of war on land (Hague IV): October 18, 1907&amp;apos;&lt;style face="italic"&gt;, &lt;/style&gt;ed. by Yale Law School (Yale).&lt;/DisplayText&gt;&lt;record&gt;&lt;rec-number&gt;174&lt;/rec-number&gt;&lt;foreign-keys&gt;&lt;key app="EN" db-id="2f5rvwawcsv2woetvw35fzwbdvvswerd0err"&gt;174&lt;/key&gt;&lt;/foreign-keys&gt;&lt;ref-type name="Web Page"&gt;12&lt;/ref-type&gt;&lt;contributors&gt;&lt;secondary-authors&gt;&lt;author&gt;Yale Law School&lt;/author&gt;&lt;/secondary-authors&gt;&lt;/contributors&gt;&lt;titles&gt;&lt;title&gt;Laws of war: Laws and customs of war on land (Hague IV): October 18, 1907&lt;/title&gt;&lt;short-title&gt;Laws of war&lt;/short-title&gt;&lt;/titles&gt;&lt;volume&gt;2013&lt;/volume&gt;&lt;number&gt;13 June&lt;/number&gt;&lt;dates&gt;&lt;/dates&gt;&lt;pub-location&gt;Yale&lt;/pub-location&gt;&lt;urls&gt;&lt;related-urls&gt;&lt;url&gt;http://avalon.law.yale.edu/20th_century/hague04.asp#art25&lt;/url&gt;&lt;/related-urls&gt;&lt;/urls&gt;&lt;/record&gt;&lt;/Cite&gt;&lt;/EndNote&gt;</w:instrText>
      </w:r>
      <w:r>
        <w:fldChar w:fldCharType="separate"/>
      </w:r>
      <w:r>
        <w:rPr>
          <w:noProof/>
        </w:rPr>
        <w:t>'Laws of war: Laws and customs of war on land (Hague IV): October 18, 1907'</w:t>
      </w:r>
      <w:r w:rsidRPr="00E46D89">
        <w:rPr>
          <w:i/>
          <w:noProof/>
        </w:rPr>
        <w:t xml:space="preserve">, </w:t>
      </w:r>
      <w:r>
        <w:rPr>
          <w:noProof/>
        </w:rPr>
        <w:t>ed. by Yale Law School (Yale).</w:t>
      </w:r>
      <w:r>
        <w:fldChar w:fldCharType="end"/>
      </w:r>
      <w:r>
        <w:t xml:space="preserve"> </w:t>
      </w:r>
      <w:r w:rsidRPr="00E46D89">
        <w:t xml:space="preserve">Internet website: </w:t>
      </w:r>
      <w:hyperlink r:id="rId5" w:anchor="art25" w:history="1">
        <w:r w:rsidRPr="00E46D89">
          <w:rPr>
            <w:rStyle w:val="Hyperlink"/>
          </w:rPr>
          <w:t>http://avalon.law.yale.edu/20th_century/hague04.asp#art25</w:t>
        </w:r>
      </w:hyperlink>
      <w:r w:rsidRPr="00E46D89">
        <w:t xml:space="preserve"> [Accessed 13 June 2013].</w:t>
      </w:r>
    </w:p>
  </w:footnote>
  <w:footnote w:id="825">
    <w:p w14:paraId="24BA06FD" w14:textId="77777777" w:rsidR="00DE3AC9" w:rsidRPr="00A4564E" w:rsidRDefault="00DE3AC9" w:rsidP="0048510E">
      <w:pPr>
        <w:pStyle w:val="FootnoteText"/>
      </w:pPr>
      <w:r>
        <w:rPr>
          <w:rStyle w:val="FootnoteReference"/>
        </w:rPr>
        <w:footnoteRef/>
      </w:r>
      <w:r>
        <w:t xml:space="preserve"> </w:t>
      </w:r>
      <w:r>
        <w:fldChar w:fldCharType="begin"/>
      </w:r>
      <w:r>
        <w:instrText xml:space="preserve"> ADDIN EN.CITE &lt;EndNote&gt;&lt;Cite&gt;&lt;Author&gt;Grayzel&lt;/Author&gt;&lt;Year&gt;2006&lt;/Year&gt;&lt;RecNum&gt;175&lt;/RecNum&gt;&lt;DisplayText&gt;Susan Grayzel, &amp;apos;The souls of soldiers: civilians under fire in the First World War&amp;apos;, in: &lt;style face="italic"&gt;The Journal of Modern History, &lt;/style&gt;78 (2006), &lt;/DisplayText&gt;&lt;record&gt;&lt;rec-number&gt;175&lt;/rec-number&gt;&lt;foreign-keys&gt;&lt;key app="EN" db-id="2f5rvwawcsv2woetvw35fzwbdvvswerd0err"&gt;175&lt;/key&gt;&lt;/foreign-keys&gt;&lt;ref-type name="Journal Article"&gt;17&lt;/ref-type&gt;&lt;contributors&gt;&lt;authors&gt;&lt;author&gt;Grayzel, Susan&lt;/author&gt;&lt;/authors&gt;&lt;/contributors&gt;&lt;titles&gt;&lt;title&gt;The souls of soldiers: civilians under fire in the First World War&lt;/title&gt;&lt;secondary-title&gt;The Journal of Modern History&lt;/secondary-title&gt;&lt;short-title&gt;The souls&lt;/short-title&gt;&lt;/titles&gt;&lt;periodical&gt;&lt;full-title&gt;The Journal of Modern History&lt;/full-title&gt;&lt;/periodical&gt;&lt;volume&gt;78&lt;/volume&gt;&lt;number&gt;3&lt;/number&gt;&lt;dates&gt;&lt;year&gt;2006&lt;/year&gt;&lt;/dates&gt;&lt;urls&gt;&lt;/urls&gt;&lt;/record&gt;&lt;/Cite&gt;&lt;/EndNote&gt;</w:instrText>
      </w:r>
      <w:r>
        <w:fldChar w:fldCharType="separate"/>
      </w:r>
      <w:r>
        <w:rPr>
          <w:noProof/>
        </w:rPr>
        <w:t xml:space="preserve">Susan Grayzel, 'The souls of soldiers: civilians under fire in the First World War', in: </w:t>
      </w:r>
      <w:r w:rsidRPr="00A53216">
        <w:rPr>
          <w:i/>
          <w:noProof/>
        </w:rPr>
        <w:t xml:space="preserve">The Journal of Modern History, </w:t>
      </w:r>
      <w:r>
        <w:rPr>
          <w:noProof/>
        </w:rPr>
        <w:t xml:space="preserve">78 (2006), </w:t>
      </w:r>
      <w:r>
        <w:fldChar w:fldCharType="end"/>
      </w:r>
      <w:r>
        <w:t>pp. 588-622.</w:t>
      </w:r>
    </w:p>
  </w:footnote>
  <w:footnote w:id="826">
    <w:p w14:paraId="0FAACF36" w14:textId="77777777" w:rsidR="00DE3AC9" w:rsidRPr="001A46F2" w:rsidRDefault="00DE3AC9" w:rsidP="0048510E">
      <w:pPr>
        <w:pStyle w:val="FootnoteText"/>
        <w:rPr>
          <w:lang w:val="fr-FR"/>
        </w:rPr>
      </w:pPr>
      <w:r>
        <w:rPr>
          <w:rStyle w:val="FootnoteReference"/>
        </w:rPr>
        <w:footnoteRef/>
      </w:r>
      <w:r w:rsidRPr="001A46F2">
        <w:rPr>
          <w:lang w:val="fr-FR"/>
        </w:rPr>
        <w:t xml:space="preserve"> </w:t>
      </w:r>
      <w:r>
        <w:rPr>
          <w:i/>
          <w:iCs/>
          <w:lang w:val="fr-FR"/>
        </w:rPr>
        <w:t>La Voix du Pays</w:t>
      </w:r>
      <w:r>
        <w:rPr>
          <w:lang w:val="fr-FR"/>
        </w:rPr>
        <w:t>, 8 February 1916.</w:t>
      </w:r>
    </w:p>
  </w:footnote>
  <w:footnote w:id="827">
    <w:p w14:paraId="26DC000B" w14:textId="77777777" w:rsidR="00DE3AC9" w:rsidRPr="00A4564E" w:rsidRDefault="00DE3AC9" w:rsidP="0048510E">
      <w:pPr>
        <w:pStyle w:val="FootnoteText"/>
      </w:pPr>
      <w:r>
        <w:rPr>
          <w:rStyle w:val="FootnoteReference"/>
        </w:rPr>
        <w:footnoteRef/>
      </w:r>
      <w:r w:rsidRPr="00A4564E">
        <w:t xml:space="preserve"> </w:t>
      </w:r>
      <w:r w:rsidRPr="00A4564E">
        <w:rPr>
          <w:i/>
          <w:iCs/>
        </w:rPr>
        <w:t>Le Courrier de l’Air</w:t>
      </w:r>
      <w:r w:rsidRPr="00A4564E">
        <w:t>, 11 May 1917, 1 and 15 June 1917.</w:t>
      </w:r>
    </w:p>
  </w:footnote>
  <w:footnote w:id="828">
    <w:p w14:paraId="60FA6D07" w14:textId="77777777" w:rsidR="00DE3AC9" w:rsidRPr="00A4564E" w:rsidRDefault="00DE3AC9" w:rsidP="0048510E">
      <w:pPr>
        <w:pStyle w:val="FootnoteText"/>
      </w:pPr>
      <w:r>
        <w:rPr>
          <w:rStyle w:val="FootnoteReference"/>
        </w:rPr>
        <w:footnoteRef/>
      </w:r>
      <w:r>
        <w:t xml:space="preserve"> </w:t>
      </w:r>
      <w:r>
        <w:fldChar w:fldCharType="begin"/>
      </w:r>
      <w:r>
        <w:instrText xml:space="preserve"> ADDIN EN.CITE &lt;EndNote&gt;&lt;Cite&gt;&lt;Author&gt;Meilinger&lt;/Author&gt;&lt;Year&gt;1996&lt;/Year&gt;&lt;RecNum&gt;176&lt;/RecNum&gt;&lt;DisplayText&gt;Philip Meilinger, &amp;apos;Trenchard and &amp;apos;Morale Bombing&amp;apos;: the evolution of Royal Air Force doctrine before World War II&amp;apos;, in: &lt;style face="italic"&gt;The Journal of Military History, &lt;/style&gt;60 (1996), &lt;/DisplayText&gt;&lt;record&gt;&lt;rec-number&gt;176&lt;/rec-number&gt;&lt;foreign-keys&gt;&lt;key app="EN" db-id="2f5rvwawcsv2woetvw35fzwbdvvswerd0err"&gt;176&lt;/key&gt;&lt;/foreign-keys&gt;&lt;ref-type name="Journal Article"&gt;17&lt;/ref-type&gt;&lt;contributors&gt;&lt;authors&gt;&lt;author&gt;Meilinger, Philip&lt;/author&gt;&lt;/authors&gt;&lt;/contributors&gt;&lt;titles&gt;&lt;title&gt;Trenchard and &amp;apos;Morale Bombing&amp;apos;: the evolution of Royal Air Force doctrine before World War II&lt;/title&gt;&lt;secondary-title&gt;The Journal of Military History&lt;/secondary-title&gt;&lt;short-title&gt;Trenchard&lt;/short-title&gt;&lt;/titles&gt;&lt;periodical&gt;&lt;full-title&gt;The Journal of Military History&lt;/full-title&gt;&lt;/periodical&gt;&lt;volume&gt;60&lt;/volume&gt;&lt;number&gt;2&lt;/number&gt;&lt;dates&gt;&lt;year&gt;1996&lt;/year&gt;&lt;/dates&gt;&lt;urls&gt;&lt;/urls&gt;&lt;/record&gt;&lt;/Cite&gt;&lt;/EndNote&gt;</w:instrText>
      </w:r>
      <w:r>
        <w:fldChar w:fldCharType="separate"/>
      </w:r>
      <w:r>
        <w:rPr>
          <w:noProof/>
        </w:rPr>
        <w:t xml:space="preserve">Philip Meilinger, 'Trenchard and 'Morale Bombing': the evolution of Royal Air Force doctrine before World War II', in: </w:t>
      </w:r>
      <w:r w:rsidRPr="00A53216">
        <w:rPr>
          <w:i/>
          <w:noProof/>
        </w:rPr>
        <w:t xml:space="preserve">The Journal of Military History, </w:t>
      </w:r>
      <w:r>
        <w:rPr>
          <w:noProof/>
        </w:rPr>
        <w:t xml:space="preserve">60 (1996), </w:t>
      </w:r>
      <w:r>
        <w:fldChar w:fldCharType="end"/>
      </w:r>
      <w:r>
        <w:t>p. 244.</w:t>
      </w:r>
    </w:p>
  </w:footnote>
  <w:footnote w:id="829">
    <w:p w14:paraId="023586E1" w14:textId="77777777" w:rsidR="00DE3AC9" w:rsidRPr="00360E52" w:rsidRDefault="00DE3AC9" w:rsidP="0048510E">
      <w:pPr>
        <w:pStyle w:val="FootnoteText"/>
        <w:rPr>
          <w:lang w:val="fr-FR"/>
        </w:rPr>
      </w:pPr>
      <w:r>
        <w:rPr>
          <w:rStyle w:val="FootnoteReference"/>
        </w:rPr>
        <w:footnoteRef/>
      </w:r>
      <w:r w:rsidRPr="00360E52">
        <w:rPr>
          <w:lang w:val="fr-FR"/>
        </w:rPr>
        <w:t xml:space="preserve"> </w:t>
      </w:r>
      <w:r>
        <w:rPr>
          <w:i/>
          <w:iCs/>
          <w:lang w:val="fr-FR"/>
        </w:rPr>
        <w:t>Le Courrier de l’Air</w:t>
      </w:r>
      <w:r>
        <w:rPr>
          <w:lang w:val="fr-FR"/>
        </w:rPr>
        <w:t>, 20 April 1917.</w:t>
      </w:r>
    </w:p>
  </w:footnote>
  <w:footnote w:id="830">
    <w:p w14:paraId="5A841757" w14:textId="77777777" w:rsidR="00DE3AC9" w:rsidRPr="004F0A24" w:rsidRDefault="00DE3AC9" w:rsidP="0048510E">
      <w:pPr>
        <w:pStyle w:val="FootnoteText"/>
        <w:rPr>
          <w:lang w:val="fr-FR"/>
        </w:rPr>
      </w:pPr>
      <w:r>
        <w:rPr>
          <w:rStyle w:val="FootnoteReference"/>
        </w:rPr>
        <w:footnoteRef/>
      </w:r>
      <w:r w:rsidRPr="004F0A24">
        <w:rPr>
          <w:lang w:val="fr-FR"/>
        </w:rPr>
        <w:t xml:space="preserve"> </w:t>
      </w:r>
      <w:r>
        <w:rPr>
          <w:lang w:val="fr-FR"/>
        </w:rPr>
        <w:fldChar w:fldCharType="begin"/>
      </w:r>
      <w:r w:rsidRPr="004F0A24">
        <w:rPr>
          <w:lang w:val="fr-FR"/>
        </w:rPr>
        <w:instrText xml:space="preserve"> ADDIN EN.CITE &lt;EndNote&gt;&lt;Cite&gt;&lt;Author&gt;Becker&lt;/Author&gt;&lt;Year&gt;2012&lt;/Year&gt;&lt;RecNum&gt;183&lt;/RecNum&gt;&lt;DisplayText&gt;Becker and Krumeich, &lt;style face="italic"&gt;Une histoire franco-allemande&lt;/style&gt;&lt;/DisplayText&gt;&lt;record&gt;&lt;rec-number&gt;183&lt;/rec-number&gt;&lt;foreign-keys&gt;&lt;key app="EN" db-id="2f5rvwawcsv2woetvw35fzwbdvvswerd0err"&gt;183&lt;/key&gt;&lt;/foreign-keys&gt;&lt;ref-type name="Book"&gt;6&lt;/ref-type&gt;&lt;contributors&gt;&lt;authors&gt;&lt;author&gt;Becker, Jean-Jacques&lt;/author&gt;&lt;author&gt;Krumeich, Gerd&lt;/author&gt;&lt;/authors&gt;&lt;/contributors&gt;&lt;titles&gt;&lt;title&gt;La Grande Guerre: une histoire franco-allemande&lt;/title&gt;&lt;short-title&gt;Une histoire franco-allemande&lt;/short-title&gt;&lt;/titles&gt;&lt;dates&gt;&lt;year&gt;2012&lt;/year&gt;&lt;/dates&gt;&lt;pub-location&gt;Paris&lt;/pub-location&gt;&lt;urls&gt;&lt;/urls&gt;&lt;/record&gt;&lt;/Cite&gt;&lt;/EndNote&gt;</w:instrText>
      </w:r>
      <w:r>
        <w:rPr>
          <w:lang w:val="fr-FR"/>
        </w:rPr>
        <w:fldChar w:fldCharType="separate"/>
      </w:r>
      <w:r w:rsidRPr="004F0A24">
        <w:rPr>
          <w:noProof/>
          <w:lang w:val="fr-FR"/>
        </w:rPr>
        <w:t xml:space="preserve">Becker and Krumeich, </w:t>
      </w:r>
      <w:r w:rsidRPr="004F0A24">
        <w:rPr>
          <w:i/>
          <w:noProof/>
          <w:lang w:val="fr-FR"/>
        </w:rPr>
        <w:t>Une histoire franco-allemande</w:t>
      </w:r>
      <w:r>
        <w:rPr>
          <w:lang w:val="fr-FR"/>
        </w:rPr>
        <w:fldChar w:fldCharType="end"/>
      </w:r>
      <w:r w:rsidRPr="004F0A24">
        <w:rPr>
          <w:lang w:val="fr-FR"/>
        </w:rPr>
        <w:t>, pp. 182-183.</w:t>
      </w:r>
    </w:p>
  </w:footnote>
  <w:footnote w:id="831">
    <w:p w14:paraId="188047E4" w14:textId="77777777" w:rsidR="00DE3AC9" w:rsidRPr="006C3BA6" w:rsidRDefault="00DE3AC9" w:rsidP="0048510E">
      <w:pPr>
        <w:pStyle w:val="FootnoteText"/>
        <w:rPr>
          <w:lang w:val="fr-FR"/>
        </w:rPr>
      </w:pPr>
      <w:r>
        <w:rPr>
          <w:rStyle w:val="FootnoteReference"/>
        </w:rPr>
        <w:footnoteRef/>
      </w:r>
      <w:r w:rsidRPr="006C3BA6">
        <w:rPr>
          <w:lang w:val="fr-FR"/>
        </w:rPr>
        <w:t xml:space="preserve"> </w:t>
      </w:r>
      <w:r>
        <w:rPr>
          <w:lang w:val="fr-FR"/>
        </w:rPr>
        <w:fldChar w:fldCharType="begin"/>
      </w:r>
      <w:r>
        <w:rPr>
          <w:lang w:val="fr-FR"/>
        </w:rPr>
        <w:instrText xml:space="preserve"> ADDIN EN.CITE &lt;EndNote&gt;&lt;Cite&gt;&lt;Author&gt;Robène&lt;/Author&gt;&lt;Year&gt;2013&lt;/Year&gt;&lt;RecNum&gt;334&lt;/RecNum&gt;&lt;DisplayText&gt;Luc Robène, &amp;apos;Les sports aériens: de la compétition sportive à la violence de guerre&amp;apos;, in: &lt;style face="italic"&gt;Guerres mondiales et conflits contemporains, &lt;/style&gt;251 (2013), &lt;/DisplayText&gt;&lt;record&gt;&lt;rec-number&gt;334&lt;/rec-number&gt;&lt;foreign-keys&gt;&lt;key app="EN" db-id="2f5rvwawcsv2woetvw35fzwbdvvswerd0err"&gt;334&lt;/key&gt;&lt;/foreign-keys&gt;&lt;ref-type name="Journal Article"&gt;17&lt;/ref-type&gt;&lt;contributors&gt;&lt;authors&gt;&lt;author&gt;Robène, Luc&lt;/author&gt;&lt;/authors&gt;&lt;/contributors&gt;&lt;titles&gt;&lt;title&gt;Les sports aériens: de la compétition sportive à la violence de guerre&lt;/title&gt;&lt;secondary-title&gt;Guerres mondiales et conflits contemporains&lt;/secondary-title&gt;&lt;short-title&gt;Les sports aériens&lt;/short-title&gt;&lt;/titles&gt;&lt;periodical&gt;&lt;full-title&gt;Guerres mondiales et conflits contemporains&lt;/full-title&gt;&lt;/periodical&gt;&lt;volume&gt;251&lt;/volume&gt;&lt;dates&gt;&lt;year&gt;2013&lt;/year&gt;&lt;/dates&gt;&lt;urls&gt;&lt;/urls&gt;&lt;/record&gt;&lt;/Cite&gt;&lt;/EndNote&gt;</w:instrText>
      </w:r>
      <w:r>
        <w:rPr>
          <w:lang w:val="fr-FR"/>
        </w:rPr>
        <w:fldChar w:fldCharType="separate"/>
      </w:r>
      <w:r>
        <w:rPr>
          <w:noProof/>
          <w:lang w:val="fr-FR"/>
        </w:rPr>
        <w:t xml:space="preserve">Luc Robène, 'Les sports aériens: de la compétition sportive à la violence de guerre', in: </w:t>
      </w:r>
      <w:r w:rsidRPr="006C3BA6">
        <w:rPr>
          <w:i/>
          <w:noProof/>
          <w:lang w:val="fr-FR"/>
        </w:rPr>
        <w:t xml:space="preserve">Guerres mondiales et conflits contemporains, </w:t>
      </w:r>
      <w:r>
        <w:rPr>
          <w:noProof/>
          <w:lang w:val="fr-FR"/>
        </w:rPr>
        <w:t xml:space="preserve">251 (2013), </w:t>
      </w:r>
      <w:r>
        <w:rPr>
          <w:lang w:val="fr-FR"/>
        </w:rPr>
        <w:fldChar w:fldCharType="end"/>
      </w:r>
      <w:r>
        <w:rPr>
          <w:lang w:val="fr-FR"/>
        </w:rPr>
        <w:t>pp. 25-43.</w:t>
      </w:r>
    </w:p>
  </w:footnote>
  <w:footnote w:id="832">
    <w:p w14:paraId="0C52B3CC" w14:textId="77777777" w:rsidR="00DE3AC9" w:rsidRPr="00CE5FB9" w:rsidRDefault="00DE3AC9" w:rsidP="0048510E">
      <w:pPr>
        <w:pStyle w:val="FootnoteText"/>
        <w:rPr>
          <w:lang w:val="fr-FR"/>
        </w:rPr>
      </w:pPr>
      <w:r>
        <w:rPr>
          <w:rStyle w:val="FootnoteReference"/>
        </w:rPr>
        <w:footnoteRef/>
      </w:r>
      <w:r w:rsidRPr="00CE5FB9">
        <w:rPr>
          <w:lang w:val="fr-FR"/>
        </w:rPr>
        <w:t xml:space="preserve"> </w:t>
      </w:r>
      <w:r>
        <w:rPr>
          <w:i/>
          <w:iCs/>
          <w:lang w:val="fr-FR"/>
        </w:rPr>
        <w:t>La Voix du Pays</w:t>
      </w:r>
      <w:r>
        <w:rPr>
          <w:lang w:val="fr-FR"/>
        </w:rPr>
        <w:t>, 27 August 1918.</w:t>
      </w:r>
    </w:p>
  </w:footnote>
  <w:footnote w:id="833">
    <w:p w14:paraId="5BC854E7" w14:textId="77777777" w:rsidR="00DE3AC9" w:rsidRPr="00AF214D" w:rsidRDefault="00DE3AC9" w:rsidP="0048510E">
      <w:pPr>
        <w:pStyle w:val="FootnoteText"/>
        <w:rPr>
          <w:lang w:val="fr-FR"/>
        </w:rPr>
      </w:pPr>
      <w:r>
        <w:rPr>
          <w:rStyle w:val="FootnoteReference"/>
        </w:rPr>
        <w:footnoteRef/>
      </w:r>
      <w:r w:rsidRPr="00A4564E">
        <w:rPr>
          <w:lang w:val="fr-FR"/>
        </w:rPr>
        <w:t xml:space="preserve"> </w:t>
      </w:r>
      <w:r>
        <w:rPr>
          <w:i/>
          <w:iCs/>
          <w:lang w:val="fr-FR"/>
        </w:rPr>
        <w:t xml:space="preserve">Les Bonnes Nouvelles, </w:t>
      </w:r>
      <w:r>
        <w:rPr>
          <w:lang w:val="fr-FR"/>
        </w:rPr>
        <w:t>n. 7, 1918.</w:t>
      </w:r>
    </w:p>
  </w:footnote>
  <w:footnote w:id="834">
    <w:p w14:paraId="2F6DF9CF" w14:textId="77777777" w:rsidR="00DE3AC9" w:rsidRPr="00257845" w:rsidRDefault="00DE3AC9" w:rsidP="0048510E">
      <w:pPr>
        <w:pStyle w:val="FootnoteText"/>
        <w:rPr>
          <w:lang w:val="fr-FR"/>
        </w:rPr>
      </w:pPr>
      <w:r>
        <w:rPr>
          <w:rStyle w:val="FootnoteReference"/>
        </w:rPr>
        <w:footnoteRef/>
      </w:r>
      <w:r w:rsidRPr="00257845">
        <w:rPr>
          <w:lang w:val="fr-FR"/>
        </w:rPr>
        <w:t xml:space="preserve"> </w:t>
      </w:r>
      <w:r>
        <w:rPr>
          <w:i/>
          <w:iCs/>
          <w:lang w:val="fr-FR"/>
        </w:rPr>
        <w:t>Le Courier de l’Air</w:t>
      </w:r>
      <w:r>
        <w:rPr>
          <w:lang w:val="fr-FR"/>
        </w:rPr>
        <w:t>, 6 June 1918.</w:t>
      </w:r>
    </w:p>
  </w:footnote>
  <w:footnote w:id="835">
    <w:p w14:paraId="29155683" w14:textId="77777777" w:rsidR="00DE3AC9" w:rsidRPr="002E1D6C" w:rsidRDefault="00DE3AC9" w:rsidP="0048510E">
      <w:pPr>
        <w:pStyle w:val="FootnoteText"/>
        <w:rPr>
          <w:lang w:val="fr-FR"/>
        </w:rPr>
      </w:pPr>
      <w:r>
        <w:rPr>
          <w:rStyle w:val="FootnoteReference"/>
        </w:rPr>
        <w:footnoteRef/>
      </w:r>
      <w:r w:rsidRPr="002E1D6C">
        <w:rPr>
          <w:lang w:val="fr-FR"/>
        </w:rPr>
        <w:t xml:space="preserve"> Ibid.</w:t>
      </w:r>
    </w:p>
  </w:footnote>
  <w:footnote w:id="836">
    <w:p w14:paraId="32A4B10A" w14:textId="77777777" w:rsidR="00DE3AC9" w:rsidRPr="006B0539" w:rsidRDefault="00DE3AC9" w:rsidP="0048510E">
      <w:pPr>
        <w:pStyle w:val="FootnoteText"/>
        <w:rPr>
          <w:lang w:val="fr-FR"/>
        </w:rPr>
      </w:pPr>
      <w:r>
        <w:rPr>
          <w:rStyle w:val="FootnoteReference"/>
        </w:rPr>
        <w:footnoteRef/>
      </w:r>
      <w:r w:rsidRPr="006B0539">
        <w:rPr>
          <w:lang w:val="fr-FR"/>
        </w:rPr>
        <w:t xml:space="preserve"> </w:t>
      </w:r>
      <w:r w:rsidRPr="006B0539">
        <w:rPr>
          <w:i/>
          <w:iCs/>
          <w:lang w:val="fr-FR"/>
        </w:rPr>
        <w:t>Le Courrier de l’Air</w:t>
      </w:r>
      <w:r w:rsidRPr="006B0539">
        <w:rPr>
          <w:lang w:val="fr-FR"/>
        </w:rPr>
        <w:t>, 31 October 1918.</w:t>
      </w:r>
    </w:p>
  </w:footnote>
  <w:footnote w:id="837">
    <w:p w14:paraId="7328911D" w14:textId="5D2F755C" w:rsidR="00DE3AC9" w:rsidRPr="00A4564E" w:rsidRDefault="00DE3AC9" w:rsidP="002F62A7">
      <w:pPr>
        <w:pStyle w:val="FootnoteText"/>
      </w:pPr>
      <w:r>
        <w:rPr>
          <w:rStyle w:val="FootnoteReference"/>
        </w:rPr>
        <w:footnoteRef/>
      </w:r>
      <w:r>
        <w:t xml:space="preserve"> </w:t>
      </w:r>
      <w:r>
        <w:fldChar w:fldCharType="begin"/>
      </w:r>
      <w:r>
        <w:instrText xml:space="preserve"> ADDIN EN.CITE &lt;EndNote&gt;&lt;Cite&gt;&lt;Author&gt;Bourke&lt;/Author&gt;&lt;Year&gt;1999&lt;/Year&gt;&lt;RecNum&gt;177&lt;/RecNum&gt;&lt;DisplayText&gt;Joanna Bourke, &lt;style face="italic"&gt;An intimate history of killing: face-to-face killing in the twentieth-century warfare&lt;/style&gt;, (New York, 1999)&lt;/DisplayText&gt;&lt;record&gt;&lt;rec-number&gt;177&lt;/rec-number&gt;&lt;foreign-keys&gt;&lt;key app="EN" db-id="2f5rvwawcsv2woetvw35fzwbdvvswerd0err"&gt;177&lt;/key&gt;&lt;/foreign-keys&gt;&lt;ref-type name="Book"&gt;6&lt;/ref-type&gt;&lt;contributors&gt;&lt;authors&gt;&lt;author&gt;Bourke, Joanna&lt;/author&gt;&lt;/authors&gt;&lt;/contributors&gt;&lt;titles&gt;&lt;title&gt;An intimate history of killing: face-to-face killing in the twentieth-century warfare&lt;/title&gt;&lt;short-title&gt;An intimate&lt;/short-title&gt;&lt;/titles&gt;&lt;dates&gt;&lt;year&gt;1999&lt;/year&gt;&lt;/dates&gt;&lt;pub-location&gt;New York&lt;/pub-location&gt;&lt;urls&gt;&lt;/urls&gt;&lt;/record&gt;&lt;/Cite&gt;&lt;/EndNote&gt;</w:instrText>
      </w:r>
      <w:r>
        <w:fldChar w:fldCharType="separate"/>
      </w:r>
      <w:r>
        <w:rPr>
          <w:noProof/>
        </w:rPr>
        <w:t xml:space="preserve">Joanna Bourke, </w:t>
      </w:r>
      <w:r w:rsidRPr="002F62A7">
        <w:rPr>
          <w:i/>
          <w:noProof/>
        </w:rPr>
        <w:t>An intimate history of killing: face-to-face killing in the twentieth-century warfare</w:t>
      </w:r>
      <w:r>
        <w:rPr>
          <w:noProof/>
        </w:rPr>
        <w:t>, (New York, 1999)</w:t>
      </w:r>
      <w:r>
        <w:fldChar w:fldCharType="end"/>
      </w:r>
      <w:r>
        <w:t xml:space="preserve"> and </w:t>
      </w:r>
      <w:r>
        <w:fldChar w:fldCharType="begin"/>
      </w:r>
      <w:r>
        <w:instrText xml:space="preserve"> ADDIN EN.CITE &lt;EndNote&gt;&lt;Cite&gt;&lt;Author&gt;Bourke&lt;/Author&gt;&lt;Year&gt;2006&lt;/Year&gt;&lt;RecNum&gt;178&lt;/RecNum&gt;&lt;DisplayText&gt;Bourke, &lt;style face="italic"&gt;Barbarisation&lt;/style&gt;&lt;/DisplayText&gt;&lt;record&gt;&lt;rec-number&gt;178&lt;/rec-number&gt;&lt;foreign-keys&gt;&lt;key app="EN" db-id="2f5rvwawcsv2woetvw35fzwbdvvswerd0err"&gt;178&lt;/key&gt;&lt;/foreign-keys&gt;&lt;ref-type name="Book Section"&gt;5&lt;/ref-type&gt;&lt;contributors&gt;&lt;authors&gt;&lt;author&gt;Bourke, Joanna&lt;/author&gt;&lt;/authors&gt;&lt;secondary-authors&gt;&lt;author&gt;George Kassimeris&lt;/author&gt;&lt;/secondary-authors&gt;&lt;/contributors&gt;&lt;titles&gt;&lt;title&gt;Barbarisation vs Civilisation in time of War&lt;/title&gt;&lt;secondary-title&gt;The barbarisation of warfare&lt;/secondary-title&gt;&lt;short-title&gt;Barbarisation&lt;/short-title&gt;&lt;/titles&gt;&lt;dates&gt;&lt;year&gt;2006&lt;/year&gt;&lt;/dates&gt;&lt;pub-location&gt;London&lt;/pub-location&gt;&lt;urls&gt;&lt;/urls&gt;&lt;/record&gt;&lt;/Cite&gt;&lt;/EndNote&gt;</w:instrText>
      </w:r>
      <w:r>
        <w:fldChar w:fldCharType="separate"/>
      </w:r>
      <w:r>
        <w:rPr>
          <w:noProof/>
        </w:rPr>
        <w:t xml:space="preserve">Bourke, </w:t>
      </w:r>
      <w:r w:rsidRPr="00A53216">
        <w:rPr>
          <w:i/>
          <w:noProof/>
        </w:rPr>
        <w:t>Barbarisation</w:t>
      </w:r>
      <w:r>
        <w:fldChar w:fldCharType="end"/>
      </w:r>
      <w:r>
        <w:t xml:space="preserve"> pp. 23-26.</w:t>
      </w:r>
    </w:p>
  </w:footnote>
  <w:footnote w:id="838">
    <w:p w14:paraId="7654067C" w14:textId="77777777" w:rsidR="00DE3AC9" w:rsidRPr="006E5180" w:rsidRDefault="00DE3AC9" w:rsidP="0048510E">
      <w:pPr>
        <w:pStyle w:val="FootnoteText"/>
      </w:pPr>
      <w:r>
        <w:rPr>
          <w:rStyle w:val="FootnoteReference"/>
        </w:rPr>
        <w:footnoteRef/>
      </w:r>
      <w:r w:rsidRPr="006E5180">
        <w:t xml:space="preserve"> </w:t>
      </w:r>
      <w:r>
        <w:fldChar w:fldCharType="begin"/>
      </w:r>
      <w:r>
        <w:instrText xml:space="preserve"> ADDIN EN.CITE &lt;EndNote&gt;&lt;Cite&gt;&lt;Author&gt;Winter&lt;/Author&gt;&lt;Year&gt;2003&lt;/Year&gt;&lt;RecNum&gt;161&lt;/RecNum&gt;&lt;DisplayText&gt;Winter, &lt;style face="italic"&gt;America&lt;/style&gt;&lt;/DisplayText&gt;&lt;record&gt;&lt;rec-number&gt;161&lt;/rec-number&gt;&lt;foreign-keys&gt;&lt;key app="EN" db-id="2f5rvwawcsv2woetvw35fzwbdvvswerd0err"&gt;161&lt;/key&gt;&lt;/foreign-keys&gt;&lt;ref-type name="Book"&gt;6&lt;/ref-type&gt;&lt;contributors&gt;&lt;authors&gt;&lt;author&gt;Winter, Jay&lt;/author&gt;&lt;/authors&gt;&lt;secondary-authors&gt;&lt;author&gt;J. Winter&lt;/author&gt;&lt;/secondary-authors&gt;&lt;/contributors&gt;&lt;titles&gt;&lt;title&gt;America and the Armenian genocide of 1915&lt;/title&gt;&lt;short-title&gt;America&lt;/short-title&gt;&lt;/titles&gt;&lt;dates&gt;&lt;year&gt;2003&lt;/year&gt;&lt;/dates&gt;&lt;pub-location&gt;Cambridge&lt;/pub-location&gt;&lt;urls&gt;&lt;/urls&gt;&lt;/record&gt;&lt;/Cite&gt;&lt;/EndNote&gt;</w:instrText>
      </w:r>
      <w:r>
        <w:fldChar w:fldCharType="separate"/>
      </w:r>
      <w:r>
        <w:rPr>
          <w:noProof/>
        </w:rPr>
        <w:t xml:space="preserve">Winter, </w:t>
      </w:r>
      <w:r w:rsidRPr="00A53216">
        <w:rPr>
          <w:i/>
          <w:noProof/>
        </w:rPr>
        <w:t>America</w:t>
      </w:r>
      <w:r>
        <w:fldChar w:fldCharType="end"/>
      </w:r>
      <w:r w:rsidRPr="006E5180">
        <w:t>, p. 47.</w:t>
      </w:r>
    </w:p>
  </w:footnote>
  <w:footnote w:id="839">
    <w:p w14:paraId="1089B41E" w14:textId="77777777" w:rsidR="00DE3AC9" w:rsidRPr="00CF2C00" w:rsidRDefault="00DE3AC9" w:rsidP="0048510E">
      <w:pPr>
        <w:pStyle w:val="FootnoteText"/>
      </w:pPr>
      <w:r>
        <w:rPr>
          <w:rStyle w:val="FootnoteReference"/>
        </w:rPr>
        <w:footnoteRef/>
      </w:r>
      <w:r>
        <w:t xml:space="preserve"> </w:t>
      </w:r>
      <w:r>
        <w:fldChar w:fldCharType="begin"/>
      </w:r>
      <w:r>
        <w:instrText xml:space="preserve"> ADDIN EN.CITE &lt;EndNote&gt;&lt;Cite&gt;&lt;Author&gt;Winter&lt;/Author&gt;&lt;Year&gt;2006&lt;/Year&gt;&lt;RecNum&gt;181&lt;/RecNum&gt;&lt;DisplayText&gt;Jay Winter, &amp;apos;Reflections on war and barbarism&amp;apos;, in: &lt;style face="italic"&gt;The barbarisation of warfare, &lt;/style&gt;ed. by G. Kassimeris (London, 2006),&lt;/DisplayText&gt;&lt;record&gt;&lt;rec-number&gt;181&lt;/rec-number&gt;&lt;foreign-keys&gt;&lt;key app="EN" db-id="2f5rvwawcsv2woetvw35fzwbdvvswerd0err"&gt;181&lt;/key&gt;&lt;/foreign-keys&gt;&lt;ref-type name="Book Section"&gt;5&lt;/ref-type&gt;&lt;contributors&gt;&lt;authors&gt;&lt;author&gt;Winter, Jay&lt;/author&gt;&lt;/authors&gt;&lt;secondary-authors&gt;&lt;author&gt;G. Kassimeris&lt;/author&gt;&lt;/secondary-authors&gt;&lt;/contributors&gt;&lt;titles&gt;&lt;title&gt;Reflections on war and barbarism&lt;/title&gt;&lt;secondary-title&gt;The barbarisation of warfare&lt;/secondary-title&gt;&lt;short-title&gt;Reflections&lt;/short-title&gt;&lt;/titles&gt;&lt;dates&gt;&lt;year&gt;2006&lt;/year&gt;&lt;/dates&gt;&lt;pub-location&gt;London&lt;/pub-location&gt;&lt;urls&gt;&lt;/urls&gt;&lt;/record&gt;&lt;/Cite&gt;&lt;/EndNote&gt;</w:instrText>
      </w:r>
      <w:r>
        <w:fldChar w:fldCharType="separate"/>
      </w:r>
      <w:r>
        <w:rPr>
          <w:noProof/>
        </w:rPr>
        <w:t xml:space="preserve">Jay Winter, 'Reflections on war and barbarism', in: </w:t>
      </w:r>
      <w:r w:rsidRPr="00A53216">
        <w:rPr>
          <w:i/>
          <w:noProof/>
        </w:rPr>
        <w:t xml:space="preserve">The barbarisation of warfare, </w:t>
      </w:r>
      <w:r>
        <w:rPr>
          <w:noProof/>
        </w:rPr>
        <w:t>ed. by G. Kassimeris (London, 2006),</w:t>
      </w:r>
      <w:r>
        <w:fldChar w:fldCharType="end"/>
      </w:r>
      <w:r>
        <w:t xml:space="preserve"> pp. 263-265.</w:t>
      </w:r>
    </w:p>
  </w:footnote>
  <w:footnote w:id="840">
    <w:p w14:paraId="0DCF9A20" w14:textId="71EBB0B8" w:rsidR="00DE3AC9" w:rsidRPr="00830E47" w:rsidRDefault="00DE3AC9" w:rsidP="0048510E">
      <w:pPr>
        <w:pStyle w:val="FootnoteText"/>
      </w:pPr>
      <w:r>
        <w:rPr>
          <w:rStyle w:val="FootnoteReference"/>
        </w:rPr>
        <w:footnoteRef/>
      </w:r>
      <w:r>
        <w:t xml:space="preserve"> </w:t>
      </w:r>
      <w:r>
        <w:fldChar w:fldCharType="begin"/>
      </w:r>
      <w:r>
        <w:instrText xml:space="preserve"> ADDIN EN.CITE &lt;EndNote&gt;&lt;Cite&gt;&lt;Author&gt;Lasswell&lt;/Author&gt;&lt;Year&gt;1971&lt;/Year&gt;&lt;RecNum&gt;28&lt;/RecNum&gt;&lt;DisplayText&gt;Lasswell, &lt;style face="italic"&gt;Propaganda&lt;/style&gt;&lt;/DisplayText&gt;&lt;record&gt;&lt;rec-number&gt;28&lt;/rec-number&gt;&lt;foreign-keys&gt;&lt;key app="EN" db-id="2f5rvwawcsv2woetvw35fzwbdvvswerd0err"&gt;28&lt;/key&gt;&lt;/foreign-keys&gt;&lt;ref-type name="Book"&gt;6&lt;/ref-type&gt;&lt;contributors&gt;&lt;authors&gt;&lt;author&gt;Lasswell, Harold&lt;/author&gt;&lt;/authors&gt;&lt;/contributors&gt;&lt;titles&gt;&lt;title&gt;Propaganda technique in World War I &lt;/title&gt;&lt;short-title&gt;Propaganda&lt;/short-title&gt;&lt;/titles&gt;&lt;dates&gt;&lt;year&gt;1971&lt;/year&gt;&lt;/dates&gt;&lt;pub-location&gt;Cambridge&lt;/pub-location&gt;&lt;urls&gt;&lt;/urls&gt;&lt;/record&gt;&lt;/Cite&gt;&lt;/EndNote&gt;</w:instrText>
      </w:r>
      <w:r>
        <w:fldChar w:fldCharType="separate"/>
      </w:r>
      <w:r>
        <w:rPr>
          <w:noProof/>
        </w:rPr>
        <w:t xml:space="preserve">Lasswell, </w:t>
      </w:r>
      <w:r w:rsidRPr="007B7627">
        <w:rPr>
          <w:i/>
          <w:noProof/>
        </w:rPr>
        <w:t>Propaganda</w:t>
      </w:r>
      <w:r>
        <w:fldChar w:fldCharType="end"/>
      </w:r>
      <w:r>
        <w:t>, p. 19.</w:t>
      </w:r>
    </w:p>
  </w:footnote>
  <w:footnote w:id="841">
    <w:p w14:paraId="70586C14" w14:textId="77777777" w:rsidR="00DE3AC9" w:rsidRPr="00DE3AC9" w:rsidRDefault="00DE3AC9" w:rsidP="0048510E">
      <w:pPr>
        <w:pStyle w:val="FootnoteText"/>
      </w:pPr>
      <w:r>
        <w:rPr>
          <w:rStyle w:val="FootnoteReference"/>
        </w:rPr>
        <w:footnoteRef/>
      </w:r>
      <w:r>
        <w:t xml:space="preserve"> Such as ‘How did the selection of media and various message techniques seem to affect the outcome? How did the propagandist manipulate the context and the environment? Would the outcome have been inevitable had there been no propaganda? If the public-at-large changed directions, what seems to account for the swing?’ </w:t>
      </w:r>
      <w:r>
        <w:fldChar w:fldCharType="begin"/>
      </w:r>
      <w:r>
        <w:instrText xml:space="preserve"> ADDIN EN.CITE &lt;EndNote&gt;&lt;Cite&gt;&lt;Author&gt;Jowett&lt;/Author&gt;&lt;Year&gt;2012&lt;/Year&gt;&lt;RecNum&gt;92&lt;/RecNum&gt;&lt;DisplayText&gt;Jowett and O&amp;apos;Donnell, &lt;style face="italic"&gt;Propaganda&lt;/style&gt;&lt;/DisplayText&gt;&lt;record&gt;&lt;rec-number&gt;92&lt;/rec-number&gt;&lt;foreign-keys&gt;&lt;key app="EN" db-id="2f5rvwawcsv2woetvw35fzwbdvvswerd0err"&gt;92&lt;/key&gt;&lt;/foreign-keys&gt;&lt;ref-type name="Book"&gt;6&lt;/ref-type&gt;&lt;contributors&gt;&lt;authors&gt;&lt;author&gt;Jowett, Garth&lt;/author&gt;&lt;author&gt;O&amp;apos;Donnell, Victoria&lt;/author&gt;&lt;/authors&gt;&lt;/contributors&gt;&lt;titles&gt;&lt;title&gt;Propaganda and persuasion&lt;/title&gt;&lt;short-title&gt;Propaganda&lt;/short-title&gt;&lt;/titles&gt;&lt;dates&gt;&lt;year&gt;2012&lt;/year&gt;&lt;/dates&gt;&lt;pub-location&gt;California&lt;/pub-location&gt;&lt;urls&gt;&lt;/urls&gt;&lt;/record&gt;&lt;/Cite&gt;&lt;/EndNote&gt;</w:instrText>
      </w:r>
      <w:r>
        <w:fldChar w:fldCharType="separate"/>
      </w:r>
      <w:r w:rsidRPr="00DE3AC9">
        <w:rPr>
          <w:noProof/>
        </w:rPr>
        <w:t xml:space="preserve">Jowett and O'Donnell, </w:t>
      </w:r>
      <w:r w:rsidRPr="00DE3AC9">
        <w:rPr>
          <w:i/>
          <w:noProof/>
        </w:rPr>
        <w:t>Propaganda</w:t>
      </w:r>
      <w:r>
        <w:fldChar w:fldCharType="end"/>
      </w:r>
      <w:r w:rsidRPr="00DE3AC9">
        <w:t>, p. 306.</w:t>
      </w:r>
    </w:p>
  </w:footnote>
  <w:footnote w:id="842">
    <w:p w14:paraId="0B372CC9"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&lt;EndNote&gt;&lt;Cite&gt;&lt;Author&gt;Ellul&lt;/Author&gt;&lt;Year&gt;1973&lt;/Year&gt;&lt;RecNum&gt;47&lt;/RecNum&gt;&lt;DisplayText&gt;Ellul, &lt;style face="italic"&gt;Propaganda&lt;/style&gt;&lt;/DisplayText&gt;&lt;record&gt;&lt;rec-number&gt;47&lt;/rec-number&gt;&lt;foreign-keys&gt;&lt;key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 xml:space="preserve">Ellul, </w:t>
      </w:r>
      <w:r w:rsidRPr="00DE3AC9">
        <w:rPr>
          <w:i/>
          <w:noProof/>
        </w:rPr>
        <w:t>Propaganda</w:t>
      </w:r>
      <w:r>
        <w:fldChar w:fldCharType="end"/>
      </w:r>
      <w:r w:rsidRPr="00DE3AC9">
        <w:t>, p. 271.</w:t>
      </w:r>
    </w:p>
  </w:footnote>
  <w:footnote w:id="843">
    <w:p w14:paraId="5EBDD5B0"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&lt;EndNote&gt;&lt;Cite&gt;&lt;Author&gt;Ellul&lt;/Author&gt;&lt;Year&gt;1973&lt;/Year&gt;&lt;RecNum&gt;47&lt;/RecNum&gt;&lt;DisplayText&gt;Ibid.&lt;/DisplayText&gt;&lt;record&gt;&lt;rec-number&gt;47&lt;/rec-number&gt;&lt;foreign-keys&gt;&lt;key app="EN" db-id="2f5rvwawcsv2woetvw35fzwbdvvswerd0err"&gt;47&lt;/key&gt;&lt;/foreign-keys&gt;&lt;ref-type name="Book"&gt;6&lt;/ref-type&gt;&lt;contributors&gt;&lt;authors&gt;&lt;author&gt;Ellul, Jacques&lt;/author&gt;&lt;/authors&gt;&lt;/contributors&gt;&lt;titles&gt;&lt;title&gt;Propaganda: The formation of men&amp;apos;s attitudes&lt;/title&gt;&lt;short-title&gt;Propaganda&lt;/short-title&gt;&lt;/titles&gt;&lt;dates&gt;&lt;year&gt;1973&lt;/year&gt;&lt;/dates&gt;&lt;pub-location&gt;New York&lt;/pub-location&gt;&lt;urls&gt;&lt;/urls&gt;&lt;/record&gt;&lt;/Cite&gt;&lt;/EndNote&gt;</w:instrText>
      </w:r>
      <w:r>
        <w:fldChar w:fldCharType="separate"/>
      </w:r>
      <w:r w:rsidRPr="00DE3AC9">
        <w:rPr>
          <w:noProof/>
        </w:rPr>
        <w:t>Ibid.</w:t>
      </w:r>
      <w:r>
        <w:fldChar w:fldCharType="end"/>
      </w:r>
      <w:r w:rsidRPr="00DE3AC9">
        <w:t>, pp. 259-260.</w:t>
      </w:r>
    </w:p>
  </w:footnote>
  <w:footnote w:id="844">
    <w:p w14:paraId="33BBA365" w14:textId="77777777" w:rsidR="00DE3AC9" w:rsidRPr="00080F90" w:rsidRDefault="00DE3AC9" w:rsidP="0048510E">
      <w:pPr>
        <w:pStyle w:val="FootnoteText"/>
        <w:rPr>
          <w:lang w:val="fr-FR"/>
        </w:rPr>
      </w:pPr>
      <w:r>
        <w:rPr>
          <w:rStyle w:val="FootnoteReference"/>
        </w:rPr>
        <w:footnoteRef/>
      </w:r>
      <w:r w:rsidRPr="00080F90">
        <w:rPr>
          <w:lang w:val="fr-FR"/>
        </w:rPr>
        <w:t xml:space="preserve"> </w:t>
      </w:r>
      <w:r>
        <w:rPr>
          <w:lang w:val="fr-FR"/>
        </w:rPr>
        <w:fldChar w:fldCharType="begin"/>
      </w:r>
      <w:r w:rsidRPr="00080F90">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Pr>
          <w:lang w:val="fr-FR"/>
        </w:rPr>
        <w:fldChar w:fldCharType="separate"/>
      </w:r>
      <w:r w:rsidRPr="00080F90">
        <w:rPr>
          <w:noProof/>
          <w:lang w:val="fr-FR"/>
        </w:rPr>
        <w:t xml:space="preserve">Nivet, </w:t>
      </w:r>
      <w:r w:rsidRPr="00080F90">
        <w:rPr>
          <w:i/>
          <w:noProof/>
          <w:lang w:val="fr-FR"/>
        </w:rPr>
        <w:t>La France</w:t>
      </w:r>
      <w:r>
        <w:rPr>
          <w:lang w:val="fr-FR"/>
        </w:rPr>
        <w:fldChar w:fldCharType="end"/>
      </w:r>
      <w:r w:rsidRPr="00080F90">
        <w:rPr>
          <w:lang w:val="fr-FR"/>
        </w:rPr>
        <w:t>, pp. 216-217.</w:t>
      </w:r>
    </w:p>
  </w:footnote>
  <w:footnote w:id="845">
    <w:p w14:paraId="40782718" w14:textId="77777777" w:rsidR="00DE3AC9" w:rsidRPr="00080F90" w:rsidRDefault="00DE3AC9" w:rsidP="0048510E">
      <w:pPr>
        <w:pStyle w:val="FootnoteText"/>
        <w:rPr>
          <w:lang w:val="fr-FR"/>
        </w:rPr>
      </w:pPr>
      <w:r>
        <w:rPr>
          <w:rStyle w:val="FootnoteReference"/>
        </w:rPr>
        <w:footnoteRef/>
      </w:r>
      <w:r w:rsidRPr="00080F90">
        <w:rPr>
          <w:lang w:val="fr-FR"/>
        </w:rPr>
        <w:t xml:space="preserve"> </w:t>
      </w:r>
      <w:r>
        <w:fldChar w:fldCharType="begin"/>
      </w:r>
      <w:r w:rsidRPr="00080F90">
        <w:rPr>
          <w:lang w:val="fr-FR"/>
        </w:rPr>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080F90">
        <w:rPr>
          <w:noProof/>
          <w:lang w:val="fr-FR"/>
        </w:rPr>
        <w:t>Ibid.</w:t>
      </w:r>
      <w:r>
        <w:fldChar w:fldCharType="end"/>
      </w:r>
      <w:r w:rsidRPr="00080F90">
        <w:rPr>
          <w:lang w:val="fr-FR"/>
        </w:rPr>
        <w:t>, pp. 21-22.</w:t>
      </w:r>
    </w:p>
  </w:footnote>
  <w:footnote w:id="846">
    <w:p w14:paraId="5C808F8B" w14:textId="77777777" w:rsidR="00DE3AC9" w:rsidRPr="00417A4B" w:rsidRDefault="00DE3AC9" w:rsidP="005C7BEE">
      <w:pPr>
        <w:pStyle w:val="FootnoteText"/>
      </w:pPr>
      <w:r>
        <w:rPr>
          <w:rStyle w:val="FootnoteReference"/>
        </w:rPr>
        <w:footnoteRef/>
      </w:r>
      <w:r w:rsidRPr="00417A4B">
        <w:t xml:space="preserve"> </w:t>
      </w:r>
      <w:r>
        <w:fldChar w:fldCharType="begin"/>
      </w:r>
      <w:r>
        <w:instrText xml:space="preserve"> ADDIN EN.CITE &lt;EndNote&gt;&lt;Cite&gt;&lt;Author&gt;Hull&lt;/Author&gt;&lt;Year&gt;2005&lt;/Year&gt;&lt;RecNum&gt;206&lt;/RecNum&gt;&lt;DisplayText&gt;Isabel Hull, &lt;style face="italic"&gt;Absolute destruction: military culture and the practices of war in Imperial Germany&lt;/style&gt;, (London, 2005)&lt;/DisplayText&gt;&lt;record&gt;&lt;rec-number&gt;206&lt;/rec-number&gt;&lt;foreign-keys&gt;&lt;key app="EN" db-id="2f5rvwawcsv2woetvw35fzwbdvvswerd0err"&gt;206&lt;/key&gt;&lt;/foreign-keys&gt;&lt;ref-type name="Book"&gt;6&lt;/ref-type&gt;&lt;contributors&gt;&lt;authors&gt;&lt;author&gt;Hull, Isabel&lt;/author&gt;&lt;/authors&gt;&lt;/contributors&gt;&lt;titles&gt;&lt;title&gt;Absolute destruction: military culture and the practices of war in Imperial Germany&lt;/title&gt;&lt;short-title&gt;Absolute&lt;/short-title&gt;&lt;/titles&gt;&lt;dates&gt;&lt;year&gt;2005&lt;/year&gt;&lt;/dates&gt;&lt;pub-location&gt;London&lt;/pub-location&gt;&lt;urls&gt;&lt;/urls&gt;&lt;/record&gt;&lt;/Cite&gt;&lt;/EndNote&gt;</w:instrText>
      </w:r>
      <w:r>
        <w:fldChar w:fldCharType="separate"/>
      </w:r>
      <w:r>
        <w:rPr>
          <w:noProof/>
        </w:rPr>
        <w:t xml:space="preserve">Isabel Hull, </w:t>
      </w:r>
      <w:r w:rsidRPr="005C7BEE">
        <w:rPr>
          <w:i/>
          <w:noProof/>
        </w:rPr>
        <w:t>Absolute destruction: military culture and the practices of war in Imperial Germany</w:t>
      </w:r>
      <w:r>
        <w:rPr>
          <w:noProof/>
        </w:rPr>
        <w:t>, (London, 2005)</w:t>
      </w:r>
      <w:r>
        <w:fldChar w:fldCharType="end"/>
      </w:r>
      <w:r w:rsidRPr="00417A4B">
        <w:t>, p. 280.</w:t>
      </w:r>
    </w:p>
  </w:footnote>
  <w:footnote w:id="847">
    <w:p w14:paraId="7E211B69" w14:textId="77777777" w:rsidR="00DE3AC9" w:rsidRPr="00415A32" w:rsidRDefault="00DE3AC9" w:rsidP="002F0F06">
      <w:pPr>
        <w:pStyle w:val="FootnoteText"/>
        <w:rPr>
          <w:lang w:val="fr-FR"/>
        </w:rPr>
      </w:pPr>
      <w:r>
        <w:rPr>
          <w:rStyle w:val="FootnoteReference"/>
        </w:rPr>
        <w:footnoteRef/>
      </w:r>
      <w:r w:rsidRPr="00415A32">
        <w:rPr>
          <w:lang w:val="fr-FR"/>
        </w:rPr>
        <w:t xml:space="preserve"> </w:t>
      </w:r>
      <w:r>
        <w:fldChar w:fldCharType="begin"/>
      </w:r>
      <w:r w:rsidRPr="00415A32">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415A32">
        <w:rPr>
          <w:noProof/>
          <w:lang w:val="fr-FR"/>
        </w:rPr>
        <w:t xml:space="preserve">de Schaepdrijver, </w:t>
      </w:r>
      <w:r w:rsidRPr="00415A32">
        <w:rPr>
          <w:i/>
          <w:noProof/>
          <w:lang w:val="fr-FR"/>
        </w:rPr>
        <w:t>La Belgique</w:t>
      </w:r>
      <w:r>
        <w:fldChar w:fldCharType="end"/>
      </w:r>
      <w:r w:rsidRPr="00415A32">
        <w:rPr>
          <w:lang w:val="fr-FR"/>
        </w:rPr>
        <w:t>, p. 119.</w:t>
      </w:r>
    </w:p>
  </w:footnote>
  <w:footnote w:id="848">
    <w:p w14:paraId="6EA4385A" w14:textId="23DA04F0" w:rsidR="00DE3AC9" w:rsidRPr="002F0F06" w:rsidRDefault="00DE3AC9" w:rsidP="00D36789">
      <w:pPr>
        <w:pStyle w:val="FootnoteText"/>
        <w:rPr>
          <w:lang w:val="fr-FR"/>
        </w:rPr>
      </w:pPr>
      <w:r>
        <w:rPr>
          <w:rStyle w:val="FootnoteReference"/>
        </w:rPr>
        <w:footnoteRef/>
      </w:r>
      <w:r w:rsidRPr="002F0F06">
        <w:rPr>
          <w:lang w:val="fr-FR"/>
        </w:rPr>
        <w:t xml:space="preserve"> Debruyne and Paternostre, </w:t>
      </w:r>
      <w:r w:rsidRPr="002F0F06">
        <w:rPr>
          <w:i/>
          <w:iCs/>
          <w:lang w:val="fr-FR"/>
        </w:rPr>
        <w:t>La résistance</w:t>
      </w:r>
      <w:r>
        <w:rPr>
          <w:lang w:val="fr-FR"/>
        </w:rPr>
        <w:t>, p. 19.</w:t>
      </w:r>
    </w:p>
  </w:footnote>
  <w:footnote w:id="849">
    <w:p w14:paraId="47AE7721" w14:textId="77777777" w:rsidR="00DE3AC9" w:rsidRPr="004E2524" w:rsidRDefault="00DE3AC9" w:rsidP="00D4151B">
      <w:pPr>
        <w:pStyle w:val="FootnoteText"/>
        <w:rPr>
          <w:lang w:val="fr-FR"/>
        </w:rPr>
      </w:pPr>
      <w:r>
        <w:rPr>
          <w:rStyle w:val="FootnoteReference"/>
        </w:rPr>
        <w:footnoteRef/>
      </w:r>
      <w:r w:rsidRPr="004E2524">
        <w:rPr>
          <w:lang w:val="fr-FR"/>
        </w:rPr>
        <w:t xml:space="preserve"> </w:t>
      </w:r>
      <w:r>
        <w:fldChar w:fldCharType="begin"/>
      </w:r>
      <w:r w:rsidRPr="0033227E">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4E2524">
        <w:rPr>
          <w:noProof/>
          <w:lang w:val="fr-FR"/>
        </w:rPr>
        <w:t xml:space="preserve">de Schaepdrijver, </w:t>
      </w:r>
      <w:r w:rsidRPr="004E2524">
        <w:rPr>
          <w:i/>
          <w:noProof/>
          <w:lang w:val="fr-FR"/>
        </w:rPr>
        <w:t>La Belgique</w:t>
      </w:r>
      <w:r>
        <w:fldChar w:fldCharType="end"/>
      </w:r>
      <w:r w:rsidRPr="004E2524">
        <w:rPr>
          <w:lang w:val="fr-FR"/>
        </w:rPr>
        <w:t>, p. 119.</w:t>
      </w:r>
    </w:p>
  </w:footnote>
  <w:footnote w:id="850">
    <w:p w14:paraId="146BF10A" w14:textId="24082C5E" w:rsidR="00DE3AC9" w:rsidRPr="0033227E" w:rsidRDefault="00DE3AC9" w:rsidP="00D4151B">
      <w:pPr>
        <w:pStyle w:val="FootnoteText"/>
        <w:rPr>
          <w:lang w:val="fr-FR"/>
        </w:rPr>
      </w:pPr>
      <w:r>
        <w:rPr>
          <w:rStyle w:val="FootnoteReference"/>
        </w:rPr>
        <w:footnoteRef/>
      </w:r>
      <w:r w:rsidRPr="0033227E">
        <w:rPr>
          <w:lang w:val="fr-FR"/>
        </w:rPr>
        <w:t xml:space="preserve"> </w:t>
      </w:r>
      <w:r>
        <w:fldChar w:fldCharType="begin"/>
      </w:r>
      <w:r w:rsidRPr="0033227E">
        <w:rPr>
          <w:lang w:val="fr-FR"/>
        </w:rPr>
        <w:instrText xml:space="preserve"> ADDIN EN.CITE &lt;EndNote&gt;&lt;Cite&gt;&lt;Author&gt;Delforge&lt;/Author&gt;&lt;Year&gt;2008&lt;/Year&gt;&lt;RecNum&gt;164&lt;/RecNum&gt;&lt;DisplayText&gt;Delforge, &lt;style face="italic"&gt;La Wallonie&lt;/style&gt;&lt;/DisplayText&gt;&lt;record&gt;&lt;rec-number&gt;164&lt;/rec-number&gt;&lt;foreign-keys&gt;&lt;key app="EN" db-id="2f5rvwawcsv2woetvw35fzwbdvvswerd0err"&gt;164&lt;/key&gt;&lt;/foreign-keys&gt;&lt;ref-type name="Book"&gt;6&lt;/ref-type&gt;&lt;contributors&gt;&lt;authors&gt;&lt;author&gt;Delforge, Paul&lt;/author&gt;&lt;/authors&gt;&lt;/contributors&gt;&lt;titles&gt;&lt;title&gt;La Wallonie et la Première Guerre Mondiale&lt;/title&gt;&lt;short-title&gt;La Wallonie&lt;/short-title&gt;&lt;/titles&gt;&lt;dates&gt;&lt;year&gt;2008&lt;/year&gt;&lt;/dates&gt;&lt;pub-location&gt;Namur&lt;/pub-location&gt;&lt;urls&gt;&lt;/urls&gt;&lt;/record&gt;&lt;/Cite&gt;&lt;/EndNote&gt;</w:instrText>
      </w:r>
      <w:r>
        <w:fldChar w:fldCharType="separate"/>
      </w:r>
      <w:r w:rsidRPr="0033227E">
        <w:rPr>
          <w:noProof/>
          <w:lang w:val="fr-FR"/>
        </w:rPr>
        <w:t xml:space="preserve">Delforge, </w:t>
      </w:r>
      <w:r w:rsidRPr="0033227E">
        <w:rPr>
          <w:i/>
          <w:noProof/>
          <w:lang w:val="fr-FR"/>
        </w:rPr>
        <w:t>La Wallonie</w:t>
      </w:r>
      <w:r>
        <w:fldChar w:fldCharType="end"/>
      </w:r>
      <w:r w:rsidRPr="0033227E">
        <w:rPr>
          <w:lang w:val="fr-FR"/>
        </w:rPr>
        <w:t>, p. 198.</w:t>
      </w:r>
    </w:p>
  </w:footnote>
  <w:footnote w:id="851">
    <w:p w14:paraId="16B0D61C" w14:textId="77777777" w:rsidR="00DE3AC9" w:rsidRPr="002F0F06" w:rsidRDefault="00DE3AC9" w:rsidP="002A1150">
      <w:pPr>
        <w:pStyle w:val="FootnoteText"/>
        <w:rPr>
          <w:lang w:val="fr-FR"/>
        </w:rPr>
      </w:pPr>
      <w:r>
        <w:rPr>
          <w:rStyle w:val="FootnoteReference"/>
        </w:rPr>
        <w:footnoteRef/>
      </w:r>
      <w:r w:rsidRPr="002F0F06">
        <w:rPr>
          <w:lang w:val="fr-FR"/>
        </w:rPr>
        <w:t xml:space="preserve"> Debruyne and Paternostre, </w:t>
      </w:r>
      <w:r w:rsidRPr="002F0F06">
        <w:rPr>
          <w:i/>
          <w:iCs/>
          <w:lang w:val="fr-FR"/>
        </w:rPr>
        <w:t>La résistance</w:t>
      </w:r>
      <w:r w:rsidRPr="002F0F06">
        <w:rPr>
          <w:lang w:val="fr-FR"/>
        </w:rPr>
        <w:t>, p. 17.</w:t>
      </w:r>
    </w:p>
  </w:footnote>
  <w:footnote w:id="852">
    <w:p w14:paraId="4F94CC76" w14:textId="77777777" w:rsidR="00DE3AC9" w:rsidRPr="00DE3AC9" w:rsidRDefault="00DE3AC9" w:rsidP="00163B67">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&lt;EndNote&gt;&lt;Cite&gt;&lt;Author&gt;Debruyne&lt;/Author&gt;&lt;Year&gt;2013&lt;/Year&gt;&lt;RecNum&gt;216&lt;/RecNum&gt;&lt;DisplayText&gt;Debruyne and De Schaepdrijver, &lt;style face="italic"&gt;Sursum&lt;/style&gt;&lt;/DisplayText&gt;&lt;record&gt;&lt;rec-number&gt;216&lt;/rec-number&gt;&lt;foreign-keys&gt;&lt;key app="EN" db-id="2f5rvwawcsv2woetvw35fzwbdvvswerd0err"&gt;216&lt;/key&gt;&lt;/foreign-keys&gt;&lt;ref-type name="Journal Article"&gt;17&lt;/ref-type&gt;&lt;contributors&gt;&lt;authors&gt;&lt;author&gt;Debruyne, Emmanuel&lt;/author&gt;&lt;author&gt;De Schaepdrijver, Sophie&lt;/author&gt;&lt;/authors&gt;&lt;/contributors&gt;&lt;titles&gt;&lt;title&gt;&lt;style face="italic" font="default" size="100%"&gt;Sursum Corda: &lt;/style&gt;&lt;style face="normal" font="default" size="100%"&gt;the underground press in occupied Belgium, 1914-1918&lt;/style&gt;&lt;/title&gt;&lt;secondary-title&gt;First World War Studies&lt;/secondary-title&gt;&lt;short-title&gt;&lt;style face="italic" font="default" size="100%"&gt;Sursum&lt;/style&gt;&lt;/short-title&gt;&lt;/titles&gt;&lt;periodical&gt;&lt;full-title&gt;First World War Studies&lt;/full-title&gt;&lt;/periodical&gt;&lt;volume&gt;4&lt;/volume&gt;&lt;dates&gt;&lt;year&gt;2013&lt;/year&gt;&lt;/dates&gt;&lt;urls&gt;&lt;/urls&gt;&lt;/record&gt;&lt;/Cite&gt;&lt;/EndNote&gt;</w:instrText>
      </w:r>
      <w:r>
        <w:rPr>
          <w:lang w:val="fr-FR"/>
        </w:rPr>
        <w:fldChar w:fldCharType="separate"/>
      </w:r>
      <w:r w:rsidRPr="00DE3AC9">
        <w:rPr>
          <w:noProof/>
          <w:lang w:val="fr-FR"/>
        </w:rPr>
        <w:t xml:space="preserve">Debruyne and De Schaepdrijver, </w:t>
      </w:r>
      <w:r w:rsidRPr="00DE3AC9">
        <w:rPr>
          <w:i/>
          <w:noProof/>
          <w:lang w:val="fr-FR"/>
        </w:rPr>
        <w:t>Sursum</w:t>
      </w:r>
      <w:r>
        <w:rPr>
          <w:lang w:val="fr-FR"/>
        </w:rPr>
        <w:fldChar w:fldCharType="end"/>
      </w:r>
      <w:r w:rsidRPr="00DE3AC9">
        <w:rPr>
          <w:lang w:val="fr-FR"/>
        </w:rPr>
        <w:t>, pp. 23-28.</w:t>
      </w:r>
    </w:p>
  </w:footnote>
  <w:footnote w:id="853">
    <w:p w14:paraId="27ACBA30" w14:textId="55E7862E" w:rsidR="00DE3AC9" w:rsidRPr="00DE3AC9" w:rsidRDefault="00DE3AC9">
      <w:pPr>
        <w:pStyle w:val="FootnoteText"/>
        <w:rPr>
          <w:lang w:val="fr-FR"/>
        </w:rPr>
      </w:pPr>
      <w:r>
        <w:rPr>
          <w:rStyle w:val="FootnoteReference"/>
        </w:rPr>
        <w:footnoteRef/>
      </w:r>
      <w:r w:rsidRPr="00DE3AC9">
        <w:rPr>
          <w:lang w:val="fr-FR"/>
        </w:rPr>
        <w:t xml:space="preserve"> Ibid., pp. 23-25.</w:t>
      </w:r>
    </w:p>
  </w:footnote>
  <w:footnote w:id="854">
    <w:p w14:paraId="61306458" w14:textId="190DEE74" w:rsidR="00DE3AC9" w:rsidRPr="00DE3AC9" w:rsidRDefault="00DE3AC9" w:rsidP="00637259">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DE3AC9">
        <w:rPr>
          <w:noProof/>
          <w:lang w:val="fr-FR"/>
        </w:rPr>
        <w:t xml:space="preserve">Nivet, </w:t>
      </w:r>
      <w:r w:rsidRPr="00DE3AC9">
        <w:rPr>
          <w:i/>
          <w:noProof/>
          <w:lang w:val="fr-FR"/>
        </w:rPr>
        <w:t>La France</w:t>
      </w:r>
      <w:r>
        <w:fldChar w:fldCharType="end"/>
      </w:r>
      <w:r w:rsidRPr="00DE3AC9">
        <w:rPr>
          <w:lang w:val="fr-FR"/>
        </w:rPr>
        <w:t>, pp. 244-247.</w:t>
      </w:r>
    </w:p>
  </w:footnote>
  <w:footnote w:id="855">
    <w:p w14:paraId="4B0FC0CE" w14:textId="588FA085" w:rsidR="00DE3AC9" w:rsidRPr="00961BE5" w:rsidRDefault="00DE3AC9" w:rsidP="00637259">
      <w:pPr>
        <w:pStyle w:val="FootnoteText"/>
      </w:pPr>
      <w:r>
        <w:rPr>
          <w:rStyle w:val="FootnoteReference"/>
        </w:rPr>
        <w:footnoteRef/>
      </w:r>
      <w:r w:rsidRPr="00961BE5">
        <w:t xml:space="preserve"> </w:t>
      </w:r>
      <w:r>
        <w:fldChar w:fldCharType="begin"/>
      </w:r>
      <w:r w:rsidRPr="00961BE5">
        <w:instrText xml:space="preserve"> ADDIN EN.CITE &lt;EndNote&gt;&lt;Cite&gt;&lt;Author&gt;Nivet&lt;/Author&gt;&lt;Year&gt;2011&lt;/Year&gt;&lt;RecNum&gt;105&lt;/RecNum&gt;&lt;DisplayText&gt;Ibid.&lt;/DisplayText&gt;&lt;record&gt;&lt;rec-number&gt;105&lt;/rec-number&gt;&lt;foreign-keys&gt;&lt;key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961BE5">
        <w:rPr>
          <w:noProof/>
        </w:rPr>
        <w:t>Ibid.</w:t>
      </w:r>
      <w:r>
        <w:fldChar w:fldCharType="end"/>
      </w:r>
      <w:r w:rsidRPr="00961BE5">
        <w:t xml:space="preserve">, p. 9; </w:t>
      </w:r>
      <w:r>
        <w:rPr>
          <w:lang w:val="nl-NL"/>
        </w:rPr>
        <w:fldChar w:fldCharType="begin"/>
      </w:r>
      <w:r w:rsidRPr="00961BE5">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rPr>
          <w:lang w:val="nl-NL"/>
        </w:rPr>
        <w:fldChar w:fldCharType="separate"/>
      </w:r>
      <w:r w:rsidRPr="00961BE5">
        <w:rPr>
          <w:noProof/>
        </w:rPr>
        <w:t xml:space="preserve">Connolly, </w:t>
      </w:r>
      <w:r w:rsidRPr="00961BE5">
        <w:rPr>
          <w:i/>
          <w:noProof/>
        </w:rPr>
        <w:t>Encountering Germans</w:t>
      </w:r>
      <w:r>
        <w:rPr>
          <w:lang w:val="nl-NL"/>
        </w:rPr>
        <w:fldChar w:fldCharType="end"/>
      </w:r>
      <w:r w:rsidRPr="00961BE5">
        <w:t xml:space="preserve">, p. 19. </w:t>
      </w:r>
    </w:p>
  </w:footnote>
  <w:footnote w:id="856">
    <w:p w14:paraId="36647B99" w14:textId="77777777" w:rsidR="00DE3AC9" w:rsidRPr="00ED02DF" w:rsidRDefault="00DE3AC9" w:rsidP="0048510E">
      <w:pPr>
        <w:pStyle w:val="FootnoteText"/>
        <w:rPr>
          <w:lang w:val="fr-FR"/>
        </w:rPr>
      </w:pPr>
      <w:r>
        <w:rPr>
          <w:rStyle w:val="FootnoteReference"/>
        </w:rPr>
        <w:footnoteRef/>
      </w:r>
      <w:r w:rsidRPr="00ED02DF">
        <w:rPr>
          <w:lang w:val="fr-FR"/>
        </w:rPr>
        <w:t xml:space="preserve"> </w:t>
      </w:r>
      <w:r>
        <w:rPr>
          <w:lang w:val="fr-FR"/>
        </w:rPr>
        <w:fldChar w:fldCharType="begin"/>
      </w:r>
      <w:r>
        <w:rPr>
          <w:lang w:val="fr-FR"/>
        </w:rPr>
        <w:instrText xml:space="preserve"> ADDIN EN.CITE &lt;EndNote&gt;&lt;Cite&gt;&lt;Author&gt;Molina&lt;/Author&gt;&lt;Year&gt;1999&lt;/Year&gt;&lt;RecNum&gt;228&lt;/RecNum&gt;&lt;DisplayText&gt;Isabelle Molina, &amp;apos;Les femmes dans le Nord occupé pendant la Première Guerre Mondiale&amp;apos;, (Master Thesis, Lille III, 1999)&lt;/DisplayText&gt;&lt;record&gt;&lt;rec-number&gt;228&lt;/rec-number&gt;&lt;foreign-keys&gt;&lt;key app="EN" db-id="2f5rvwawcsv2woetvw35fzwbdvvswerd0err"&gt;228&lt;/key&gt;&lt;/foreign-keys&gt;&lt;ref-type name="Thesis"&gt;32&lt;/ref-type&gt;&lt;contributors&gt;&lt;authors&gt;&lt;author&gt;Molina, Isabelle&lt;/author&gt;&lt;/authors&gt;&lt;/contributors&gt;&lt;titles&gt;&lt;title&gt;Les femmes dans le Nord occupé pendant la Première Guerre Mondiale&lt;/title&gt;&lt;/titles&gt;&lt;volume&gt;Masters thesis&lt;/volume&gt;&lt;dates&gt;&lt;year&gt;1999&lt;/year&gt;&lt;/dates&gt;&lt;publisher&gt;Lille III&lt;/publisher&gt;&lt;work-type&gt;Master Thesis&lt;/work-type&gt;&lt;urls&gt;&lt;/urls&gt;&lt;/record&gt;&lt;/Cite&gt;&lt;/EndNote&gt;</w:instrText>
      </w:r>
      <w:r>
        <w:rPr>
          <w:lang w:val="fr-FR"/>
        </w:rPr>
        <w:fldChar w:fldCharType="separate"/>
      </w:r>
      <w:r>
        <w:rPr>
          <w:noProof/>
          <w:lang w:val="fr-FR"/>
        </w:rPr>
        <w:t>Isabelle Molina, 'Les femmes dans le Nord occupé pendant la Première Guerre Mondiale', (Master Thesis, Lille III, 1999)</w:t>
      </w:r>
      <w:r>
        <w:rPr>
          <w:lang w:val="fr-FR"/>
        </w:rPr>
        <w:fldChar w:fldCharType="end"/>
      </w:r>
      <w:r>
        <w:rPr>
          <w:lang w:val="fr-FR"/>
        </w:rPr>
        <w:t>, p. 3.</w:t>
      </w:r>
    </w:p>
  </w:footnote>
  <w:footnote w:id="857">
    <w:p w14:paraId="47E6717A"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&lt;EndNote&gt;&lt;Cite&gt;&lt;Author&gt;Connolly&lt;/Author&gt;&lt;Year&gt;2012&lt;/Year&gt;&lt;RecNum&gt;229&lt;/RecNum&gt;&lt;DisplayText&gt;Connolly, &lt;style face="italic"&gt;Encountering Germans&lt;/style&gt;&lt;/DisplayText&gt;&lt;record&gt;&lt;rec-number&gt;229&lt;/rec-number&gt;&lt;foreign-keys&gt;&lt;key app="EN" db-id="2f5rvwawcsv2woetvw35fzwbdvvswerd0err"&gt;229&lt;/key&gt;&lt;/foreign-keys&gt;&lt;ref-type name="Thesis"&gt;32&lt;/ref-type&gt;&lt;contributors&gt;&lt;authors&gt;&lt;author&gt;Connolly, James&lt;/author&gt;&lt;/authors&gt;&lt;/contributors&gt;&lt;titles&gt;&lt;title&gt;Encountering Germans: the experience of occupation in the Nord, 1914-1918&lt;/title&gt;&lt;short-title&gt;Encountering Germans&lt;/short-title&gt;&lt;/titles&gt;&lt;volume&gt;PhD&lt;/volume&gt;&lt;dates&gt;&lt;year&gt;2012&lt;/year&gt;&lt;/dates&gt;&lt;publisher&gt;King&amp;apos;s College London&lt;/publisher&gt;&lt;work-type&gt;PhD Thesis&lt;/work-type&gt;&lt;urls&gt;&lt;/urls&gt;&lt;/record&gt;&lt;/Cite&gt;&lt;/EndNote&gt;</w:instrText>
      </w:r>
      <w:r>
        <w:rPr>
          <w:lang w:val="fr-FR"/>
        </w:rPr>
        <w:fldChar w:fldCharType="separate"/>
      </w:r>
      <w:r w:rsidRPr="00DE3AC9">
        <w:rPr>
          <w:noProof/>
          <w:lang w:val="fr-FR"/>
        </w:rPr>
        <w:t xml:space="preserve">Connolly, </w:t>
      </w:r>
      <w:r w:rsidRPr="00DE3AC9">
        <w:rPr>
          <w:i/>
          <w:noProof/>
          <w:lang w:val="fr-FR"/>
        </w:rPr>
        <w:t>Encountering Germans</w:t>
      </w:r>
      <w:r>
        <w:rPr>
          <w:lang w:val="fr-FR"/>
        </w:rPr>
        <w:fldChar w:fldCharType="end"/>
      </w:r>
      <w:r w:rsidRPr="00DE3AC9">
        <w:rPr>
          <w:lang w:val="fr-FR"/>
        </w:rPr>
        <w:t>, p. 17.</w:t>
      </w:r>
    </w:p>
  </w:footnote>
  <w:footnote w:id="858">
    <w:p w14:paraId="6E9C2770"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sidRPr="00DE3AC9">
        <w:rPr>
          <w:noProof/>
          <w:lang w:val="fr-FR"/>
        </w:rPr>
        <w:t xml:space="preserve">Arnoux, </w:t>
      </w:r>
      <w:r w:rsidRPr="00DE3AC9">
        <w:rPr>
          <w:i/>
          <w:noProof/>
          <w:lang w:val="fr-FR"/>
        </w:rPr>
        <w:t>Bombardement</w:t>
      </w:r>
      <w:r>
        <w:rPr>
          <w:lang w:val="fr-FR"/>
        </w:rPr>
        <w:fldChar w:fldCharType="end"/>
      </w:r>
      <w:r w:rsidRPr="00DE3AC9">
        <w:rPr>
          <w:lang w:val="fr-FR"/>
        </w:rPr>
        <w:t>, pp. 52-53.</w:t>
      </w:r>
    </w:p>
  </w:footnote>
  <w:footnote w:id="859">
    <w:p w14:paraId="77A1F6E2" w14:textId="77777777" w:rsidR="00DE3AC9" w:rsidRPr="00934705" w:rsidRDefault="00DE3AC9" w:rsidP="0048510E">
      <w:pPr>
        <w:pStyle w:val="FootnoteText"/>
        <w:rPr>
          <w:lang w:val="fr-FR"/>
        </w:rPr>
      </w:pPr>
      <w:r>
        <w:rPr>
          <w:rStyle w:val="FootnoteReference"/>
        </w:rPr>
        <w:footnoteRef/>
      </w:r>
      <w:r w:rsidRPr="00934705">
        <w:rPr>
          <w:lang w:val="fr-FR"/>
        </w:rPr>
        <w:t xml:space="preserve"> </w:t>
      </w:r>
      <w:r>
        <w:rPr>
          <w:lang w:val="fr-FR"/>
        </w:rPr>
        <w:fldChar w:fldCharType="begin"/>
      </w:r>
      <w:r>
        <w:rPr>
          <w:lang w:val="fr-FR"/>
        </w:rPr>
        <w:instrText xml:space="preserve"> ADDIN EN.CITE &lt;EndNote&gt;&lt;Cite&gt;&lt;Author&gt;Bosc&lt;/Author&gt;&lt;Year&gt;1919&lt;/Year&gt;&lt;RecNum&gt;226&lt;/RecNum&gt;&lt;DisplayText&gt;Pierre Bosc, &lt;style face="italic"&gt;Les Allemands à Lille&lt;/style&gt;, (Lille, 1919)&lt;/DisplayText&gt;&lt;record&gt;&lt;rec-number&gt;226&lt;/rec-number&gt;&lt;foreign-keys&gt;&lt;key app="EN" db-id="2f5rvwawcsv2woetvw35fzwbdvvswerd0err"&gt;226&lt;/key&gt;&lt;/foreign-keys&gt;&lt;ref-type name="Book"&gt;6&lt;/ref-type&gt;&lt;contributors&gt;&lt;authors&gt;&lt;author&gt;Bosc, Pierre&lt;/author&gt;&lt;/authors&gt;&lt;/contributors&gt;&lt;titles&gt;&lt;title&gt;Les Allemands à Lille&lt;/title&gt;&lt;short-title&gt;Les Allemands&lt;/short-title&gt;&lt;/titles&gt;&lt;dates&gt;&lt;year&gt;1919&lt;/year&gt;&lt;/dates&gt;&lt;pub-location&gt;Lille&lt;/pub-location&gt;&lt;urls&gt;&lt;/urls&gt;&lt;/record&gt;&lt;/Cite&gt;&lt;/EndNote&gt;</w:instrText>
      </w:r>
      <w:r>
        <w:rPr>
          <w:lang w:val="fr-FR"/>
        </w:rPr>
        <w:fldChar w:fldCharType="separate"/>
      </w:r>
      <w:r>
        <w:rPr>
          <w:noProof/>
          <w:lang w:val="fr-FR"/>
        </w:rPr>
        <w:t xml:space="preserve">Pierre Bosc, </w:t>
      </w:r>
      <w:r w:rsidRPr="007B7627">
        <w:rPr>
          <w:i/>
          <w:noProof/>
          <w:lang w:val="fr-FR"/>
        </w:rPr>
        <w:t>Les Allemands à Lille</w:t>
      </w:r>
      <w:r>
        <w:rPr>
          <w:noProof/>
          <w:lang w:val="fr-FR"/>
        </w:rPr>
        <w:t>, (Lille, 1919)</w:t>
      </w:r>
      <w:r>
        <w:rPr>
          <w:lang w:val="fr-FR"/>
        </w:rPr>
        <w:fldChar w:fldCharType="end"/>
      </w:r>
      <w:r>
        <w:rPr>
          <w:lang w:val="fr-FR"/>
        </w:rPr>
        <w:t>, pp. 36-37.</w:t>
      </w:r>
    </w:p>
  </w:footnote>
  <w:footnote w:id="860">
    <w:p w14:paraId="1B893E68" w14:textId="77777777" w:rsidR="00DE3AC9" w:rsidRPr="00DD2284" w:rsidRDefault="00DE3AC9" w:rsidP="0048510E">
      <w:pPr>
        <w:pStyle w:val="FootnoteText"/>
        <w:rPr>
          <w:lang w:val="fr-FR"/>
        </w:rPr>
      </w:pPr>
      <w:r>
        <w:rPr>
          <w:rStyle w:val="FootnoteReference"/>
        </w:rPr>
        <w:footnoteRef/>
      </w:r>
      <w:r w:rsidRPr="00DD2284">
        <w:rPr>
          <w:lang w:val="fr-FR"/>
        </w:rPr>
        <w:t xml:space="preserve"> </w:t>
      </w:r>
      <w:r>
        <w:rPr>
          <w:lang w:val="fr-FR"/>
        </w:rPr>
        <w:fldChar w:fldCharType="begin"/>
      </w:r>
      <w:r>
        <w:rPr>
          <w:lang w:val="fr-FR"/>
        </w:rPr>
        <w:instrText xml:space="preserve"> ADDIN EN.CITE &lt;EndNote&gt;&lt;Cite&gt;&lt;Author&gt;Trochon&lt;/Author&gt;&lt;Year&gt;1922&lt;/Year&gt;&lt;RecNum&gt;227&lt;/RecNum&gt;&lt;DisplayText&gt;Paul Trochon, &lt;style face="italic"&gt;Lille avant et pendant l&amp;apos;occupation allemande&lt;/style&gt;, (Tourcoing, 1922)&lt;/DisplayText&gt;&lt;record&gt;&lt;rec-number&gt;227&lt;/rec-number&gt;&lt;foreign-keys&gt;&lt;key app="EN" db-id="2f5rvwawcsv2woetvw35fzwbdvvswerd0err"&gt;227&lt;/key&gt;&lt;/foreign-keys&gt;&lt;ref-type name="Book"&gt;6&lt;/ref-type&gt;&lt;contributors&gt;&lt;authors&gt;&lt;author&gt;Trochon, Paul&lt;/author&gt;&lt;/authors&gt;&lt;/contributors&gt;&lt;titles&gt;&lt;title&gt;Lille avant et pendant l&amp;apos;occupation allemande&lt;/title&gt;&lt;short-title&gt;Lille&lt;/short-title&gt;&lt;/titles&gt;&lt;dates&gt;&lt;year&gt;1922&lt;/year&gt;&lt;/dates&gt;&lt;pub-location&gt;Tourcoing&lt;/pub-location&gt;&lt;urls&gt;&lt;/urls&gt;&lt;/record&gt;&lt;/Cite&gt;&lt;/EndNote&gt;</w:instrText>
      </w:r>
      <w:r>
        <w:rPr>
          <w:lang w:val="fr-FR"/>
        </w:rPr>
        <w:fldChar w:fldCharType="separate"/>
      </w:r>
      <w:r>
        <w:rPr>
          <w:noProof/>
          <w:lang w:val="fr-FR"/>
        </w:rPr>
        <w:t xml:space="preserve">Paul Trochon, </w:t>
      </w:r>
      <w:r w:rsidRPr="007B7627">
        <w:rPr>
          <w:i/>
          <w:noProof/>
          <w:lang w:val="fr-FR"/>
        </w:rPr>
        <w:t>Lille avant et pendant l'occupation allemande</w:t>
      </w:r>
      <w:r>
        <w:rPr>
          <w:noProof/>
          <w:lang w:val="fr-FR"/>
        </w:rPr>
        <w:t>, (Tourcoing, 1922)</w:t>
      </w:r>
      <w:r>
        <w:rPr>
          <w:lang w:val="fr-FR"/>
        </w:rPr>
        <w:fldChar w:fldCharType="end"/>
      </w:r>
      <w:r>
        <w:rPr>
          <w:lang w:val="fr-FR"/>
        </w:rPr>
        <w:t xml:space="preserve">, p. 117 and </w:t>
      </w:r>
      <w:r>
        <w:rPr>
          <w:lang w:val="fr-FR"/>
        </w:rPr>
        <w:fldChar w:fldCharType="begin"/>
      </w:r>
      <w:r>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Pr>
          <w:noProof/>
          <w:lang w:val="fr-FR"/>
        </w:rPr>
        <w:t xml:space="preserve">Arnoux, </w:t>
      </w:r>
      <w:r w:rsidRPr="007B7627">
        <w:rPr>
          <w:i/>
          <w:noProof/>
          <w:lang w:val="fr-FR"/>
        </w:rPr>
        <w:t>Bombardement</w:t>
      </w:r>
      <w:r>
        <w:rPr>
          <w:lang w:val="fr-FR"/>
        </w:rPr>
        <w:fldChar w:fldCharType="end"/>
      </w:r>
      <w:r>
        <w:rPr>
          <w:lang w:val="fr-FR"/>
        </w:rPr>
        <w:t>, p. 94.</w:t>
      </w:r>
    </w:p>
  </w:footnote>
  <w:footnote w:id="861">
    <w:p w14:paraId="7B2BCA75" w14:textId="77777777" w:rsidR="00DE3AC9" w:rsidRPr="00D959DD" w:rsidRDefault="00DE3AC9" w:rsidP="0048510E">
      <w:pPr>
        <w:pStyle w:val="FootnoteText"/>
      </w:pPr>
      <w:r>
        <w:rPr>
          <w:rStyle w:val="FootnoteReference"/>
        </w:rPr>
        <w:footnoteRef/>
      </w:r>
      <w:r w:rsidRPr="00D74F33">
        <w:t xml:space="preserve"> SHD AT: 16N1571. </w:t>
      </w:r>
      <w:r w:rsidRPr="00D959DD">
        <w:t>Report from the Deuxième Bureau of the EMA.</w:t>
      </w:r>
      <w:r>
        <w:t xml:space="preserve"> 1 January 1916.</w:t>
      </w:r>
      <w:r w:rsidRPr="00D959DD">
        <w:t xml:space="preserve"> </w:t>
      </w:r>
    </w:p>
  </w:footnote>
  <w:footnote w:id="862">
    <w:p w14:paraId="5A02F0ED" w14:textId="77777777" w:rsidR="00DE3AC9" w:rsidRPr="00196A6B" w:rsidRDefault="00DE3AC9" w:rsidP="0048510E">
      <w:pPr>
        <w:pStyle w:val="FootnoteText"/>
        <w:rPr>
          <w:lang w:val="fr-FR"/>
        </w:rPr>
      </w:pPr>
      <w:r>
        <w:rPr>
          <w:rStyle w:val="FootnoteReference"/>
        </w:rPr>
        <w:footnoteRef/>
      </w:r>
      <w:r>
        <w:t xml:space="preserve"> SHD AT: 16N1569. Report from the GQG about aerial propaganda distribution. </w:t>
      </w:r>
      <w:r w:rsidRPr="00196A6B">
        <w:rPr>
          <w:lang w:val="fr-FR"/>
        </w:rPr>
        <w:t>12 March 1918.</w:t>
      </w:r>
    </w:p>
  </w:footnote>
  <w:footnote w:id="863">
    <w:p w14:paraId="3DE188D8" w14:textId="77777777" w:rsidR="00DE3AC9" w:rsidRPr="007C3DB8" w:rsidRDefault="00DE3AC9" w:rsidP="0048510E">
      <w:pPr>
        <w:pStyle w:val="FootnoteText"/>
        <w:rPr>
          <w:lang w:val="fr-FR"/>
        </w:rPr>
      </w:pPr>
      <w:r>
        <w:rPr>
          <w:rStyle w:val="FootnoteReference"/>
        </w:rPr>
        <w:footnoteRef/>
      </w:r>
      <w:r w:rsidRPr="007C3DB8">
        <w:rPr>
          <w:lang w:val="fr-FR"/>
        </w:rPr>
        <w:t xml:space="preserve"> </w:t>
      </w:r>
      <w:r>
        <w:rPr>
          <w:lang w:val="fr-FR"/>
        </w:rPr>
        <w:fldChar w:fldCharType="begin"/>
      </w:r>
      <w:r w:rsidRPr="007C3DB8">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sidRPr="007C3DB8">
        <w:rPr>
          <w:noProof/>
          <w:lang w:val="fr-FR"/>
        </w:rPr>
        <w:t xml:space="preserve">Arnoux, </w:t>
      </w:r>
      <w:r w:rsidRPr="007C3DB8">
        <w:rPr>
          <w:i/>
          <w:noProof/>
          <w:lang w:val="fr-FR"/>
        </w:rPr>
        <w:t>Bombardement</w:t>
      </w:r>
      <w:r>
        <w:rPr>
          <w:lang w:val="fr-FR"/>
        </w:rPr>
        <w:fldChar w:fldCharType="end"/>
      </w:r>
      <w:r w:rsidRPr="007C3DB8">
        <w:rPr>
          <w:lang w:val="fr-FR"/>
        </w:rPr>
        <w:t>, p. 207.</w:t>
      </w:r>
    </w:p>
  </w:footnote>
  <w:footnote w:id="864">
    <w:p w14:paraId="104B8AA8" w14:textId="77777777" w:rsidR="00DE3AC9" w:rsidRPr="00196A6B" w:rsidRDefault="00DE3AC9" w:rsidP="0048510E">
      <w:pPr>
        <w:pStyle w:val="FootnoteText"/>
        <w:rPr>
          <w:lang w:val="fr-FR"/>
        </w:rPr>
      </w:pPr>
      <w:r>
        <w:rPr>
          <w:rStyle w:val="FootnoteReference"/>
        </w:rPr>
        <w:footnoteRef/>
      </w:r>
      <w:r w:rsidRPr="00196A6B">
        <w:rPr>
          <w:lang w:val="fr-FR"/>
        </w:rPr>
        <w:t xml:space="preserve"> </w:t>
      </w:r>
      <w:r>
        <w:rPr>
          <w:lang w:val="fr-FR"/>
        </w:rPr>
        <w:fldChar w:fldCharType="begin"/>
      </w:r>
      <w:r>
        <w:rPr>
          <w:lang w:val="fr-FR"/>
        </w:rPr>
        <w:instrText xml:space="preserve"> ADDIN EN.CITE &lt;EndNote&gt;&lt;Cite&gt;&lt;Author&gt;Baucher&lt;/Author&gt;&lt;Year&gt;N. D.&lt;/Year&gt;&lt;RecNum&gt;230&lt;/RecNum&gt;&lt;DisplayText&gt;Pierre Baucher, &lt;style face="italic"&gt;Au long des rues: souvenirs de l&amp;apos;occupation allemande à Lille&lt;/style&gt;, (Strasbourg, N. D.)&lt;/DisplayText&gt;&lt;record&gt;&lt;rec-number&gt;230&lt;/rec-number&gt;&lt;foreign-keys&gt;&lt;key app="EN" db-id="2f5rvwawcsv2woetvw35fzwbdvvswerd0err"&gt;230&lt;/key&gt;&lt;/foreign-keys&gt;&lt;ref-type name="Book"&gt;6&lt;/ref-type&gt;&lt;contributors&gt;&lt;authors&gt;&lt;author&gt;Baucher, Pierre&lt;/author&gt;&lt;/authors&gt;&lt;/contributors&gt;&lt;titles&gt;&lt;title&gt;Au long des rues: souvenirs de l&amp;apos;occupation allemande à Lille&lt;/title&gt;&lt;short-title&gt;Au long&lt;/short-title&gt;&lt;/titles&gt;&lt;dates&gt;&lt;year&gt;N. D.&lt;/year&gt;&lt;/dates&gt;&lt;pub-location&gt;Strasbourg&lt;/pub-location&gt;&lt;urls&gt;&lt;/urls&gt;&lt;/record&gt;&lt;/Cite&gt;&lt;/EndNote&gt;</w:instrText>
      </w:r>
      <w:r>
        <w:rPr>
          <w:lang w:val="fr-FR"/>
        </w:rPr>
        <w:fldChar w:fldCharType="separate"/>
      </w:r>
      <w:r>
        <w:rPr>
          <w:noProof/>
          <w:lang w:val="fr-FR"/>
        </w:rPr>
        <w:t xml:space="preserve">Pierre Baucher, </w:t>
      </w:r>
      <w:r w:rsidRPr="007B7627">
        <w:rPr>
          <w:i/>
          <w:noProof/>
          <w:lang w:val="fr-FR"/>
        </w:rPr>
        <w:t>Au long des rues: souvenirs de l'occupation allemande à Lille</w:t>
      </w:r>
      <w:r>
        <w:rPr>
          <w:noProof/>
          <w:lang w:val="fr-FR"/>
        </w:rPr>
        <w:t>, (Strasbourg, N. D.)</w:t>
      </w:r>
      <w:r>
        <w:rPr>
          <w:lang w:val="fr-FR"/>
        </w:rPr>
        <w:fldChar w:fldCharType="end"/>
      </w:r>
      <w:r>
        <w:rPr>
          <w:lang w:val="fr-FR"/>
        </w:rPr>
        <w:t>, pp. 187-188.</w:t>
      </w:r>
    </w:p>
  </w:footnote>
  <w:footnote w:id="865">
    <w:p w14:paraId="3D130DBF" w14:textId="77777777" w:rsidR="00DE3AC9" w:rsidRPr="00C54460" w:rsidRDefault="00DE3AC9" w:rsidP="0048510E">
      <w:pPr>
        <w:pStyle w:val="FootnoteText"/>
      </w:pPr>
      <w:r>
        <w:rPr>
          <w:rStyle w:val="FootnoteReference"/>
        </w:rPr>
        <w:footnoteRef/>
      </w:r>
      <w:r w:rsidRPr="00C54460">
        <w:t xml:space="preserve"> </w:t>
      </w:r>
      <w:r>
        <w:rPr>
          <w:lang w:val="fr-FR"/>
        </w:rPr>
        <w:fldChar w:fldCharType="begin"/>
      </w:r>
      <w:r w:rsidRPr="00C54460">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sidRPr="00C54460">
        <w:rPr>
          <w:noProof/>
        </w:rPr>
        <w:t xml:space="preserve">Arnoux, </w:t>
      </w:r>
      <w:r w:rsidRPr="00C54460">
        <w:rPr>
          <w:i/>
          <w:noProof/>
        </w:rPr>
        <w:t>Bombardement</w:t>
      </w:r>
      <w:r>
        <w:rPr>
          <w:lang w:val="fr-FR"/>
        </w:rPr>
        <w:fldChar w:fldCharType="end"/>
      </w:r>
      <w:r w:rsidRPr="00C54460">
        <w:t>, p. 305.</w:t>
      </w:r>
    </w:p>
  </w:footnote>
  <w:footnote w:id="866">
    <w:p w14:paraId="1F033380" w14:textId="77777777" w:rsidR="00DE3AC9" w:rsidRPr="002C5A83" w:rsidRDefault="00DE3AC9" w:rsidP="005C7BEE">
      <w:pPr>
        <w:pStyle w:val="FootnoteText"/>
      </w:pPr>
      <w:r>
        <w:rPr>
          <w:rStyle w:val="FootnoteReference"/>
        </w:rPr>
        <w:footnoteRef/>
      </w:r>
      <w:r w:rsidRPr="00DE381C">
        <w:t xml:space="preserve"> </w:t>
      </w:r>
      <w:r w:rsidRPr="00C32B1B">
        <w:t xml:space="preserve">IWM: </w:t>
      </w:r>
      <w:r>
        <w:t xml:space="preserve">Papers of Lieutenant-Colonel A. Lee, Sherwood Foresters. Report on the morale situation in Lille. 19 October 1918. </w:t>
      </w:r>
      <w:r w:rsidRPr="002C5A83">
        <w:t xml:space="preserve">See also </w:t>
      </w:r>
      <w:r>
        <w:fldChar w:fldCharType="begin"/>
      </w:r>
      <w:r w:rsidRPr="002C5A83">
        <w:instrText xml:space="preserve"> ADDIN EN.CITE &lt;EndNote&gt;&lt;Cite&gt;&lt;Author&gt;Hautelin&lt;/Author&gt;&lt;Year&gt;1999&lt;/Year&gt;&lt;RecNum&gt;254&lt;/RecNum&gt;&lt;DisplayText&gt;Cécile Hautelin, &amp;apos;Intellectuels, barbarie et occupation: 1914-1918&amp;apos;, (Masters thesis, Lille III, 1999)&lt;/DisplayText&gt;&lt;record&gt;&lt;rec-number&gt;254&lt;/rec-number&gt;&lt;foreign-keys&gt;&lt;key app="EN" db-id="2f5rvwawcsv2woetvw35fzwbdvvswerd0err"&gt;254&lt;/key&gt;&lt;/foreign-keys&gt;&lt;ref-type name="Thesis"&gt;32&lt;/ref-type&gt;&lt;contributors&gt;&lt;authors&gt;&lt;author&gt;Hautelin, Cécile&lt;/author&gt;&lt;/authors&gt;&lt;/contributors&gt;&lt;titles&gt;&lt;title&gt;Intellectuels, barbarie et occupation: 1914-1918&lt;/title&gt;&lt;short-title&gt;Intellectuels&lt;/short-title&gt;&lt;/titles&gt;&lt;dates&gt;&lt;year&gt;1999&lt;/year&gt;&lt;/dates&gt;&lt;publisher&gt;Lille III&lt;/publisher&gt;&lt;work-type&gt;Masters thesis&lt;/work-type&gt;&lt;urls&gt;&lt;/urls&gt;&lt;/record&gt;&lt;/Cite&gt;&lt;/EndNote&gt;</w:instrText>
      </w:r>
      <w:r>
        <w:fldChar w:fldCharType="separate"/>
      </w:r>
      <w:r w:rsidRPr="002C5A83">
        <w:rPr>
          <w:noProof/>
        </w:rPr>
        <w:t>Cécile Hautelin, 'Intellectuels, barbarie et occupation: 1914-1918', (Masters thesis, Lille III, 1999)</w:t>
      </w:r>
      <w:r>
        <w:fldChar w:fldCharType="end"/>
      </w:r>
      <w:r w:rsidRPr="002C5A83">
        <w:t>, p. 98.</w:t>
      </w:r>
    </w:p>
  </w:footnote>
  <w:footnote w:id="867">
    <w:p w14:paraId="58DB8A8B" w14:textId="77777777" w:rsidR="00DE3AC9" w:rsidRPr="00A803D6" w:rsidRDefault="00DE3AC9" w:rsidP="0048510E">
      <w:pPr>
        <w:pStyle w:val="FootnoteText"/>
        <w:rPr>
          <w:lang w:val="fr-BE"/>
        </w:rPr>
      </w:pPr>
      <w:r>
        <w:rPr>
          <w:rStyle w:val="FootnoteReference"/>
        </w:rPr>
        <w:footnoteRef/>
      </w:r>
      <w:r>
        <w:t xml:space="preserve"> </w:t>
      </w:r>
      <w:r w:rsidRPr="00C32B1B">
        <w:t xml:space="preserve">IWM: </w:t>
      </w:r>
      <w:r>
        <w:t xml:space="preserve">Papers of Lieutenant-Colonel A. Lee, Sherwood Foresters. Report on the morale situation in Lille-Roubaix-Tourcoing. </w:t>
      </w:r>
      <w:r w:rsidRPr="00DE3AC9">
        <w:rPr>
          <w:lang w:val="fr-FR"/>
        </w:rPr>
        <w:t xml:space="preserve">28 September 1918. </w:t>
      </w:r>
      <w:r w:rsidRPr="00A803D6">
        <w:rPr>
          <w:lang w:val="fr-BE"/>
        </w:rPr>
        <w:t xml:space="preserve">7 October 1918. </w:t>
      </w:r>
    </w:p>
  </w:footnote>
  <w:footnote w:id="868">
    <w:p w14:paraId="795ED68D" w14:textId="77777777" w:rsidR="00DE3AC9" w:rsidRPr="00DE3AC9" w:rsidRDefault="00DE3AC9" w:rsidP="005C7BEE">
      <w:pPr>
        <w:pStyle w:val="FootnoteText"/>
        <w:rPr>
          <w:lang w:val="fr-FR"/>
        </w:rPr>
      </w:pPr>
      <w:r>
        <w:rPr>
          <w:rStyle w:val="FootnoteReference"/>
        </w:rPr>
        <w:footnoteRef/>
      </w:r>
      <w:r w:rsidRPr="00F52573">
        <w:rPr>
          <w:lang w:val="fr-FR"/>
        </w:rPr>
        <w:t xml:space="preserve"> </w:t>
      </w:r>
      <w:r>
        <w:rPr>
          <w:lang w:val="fr-FR"/>
        </w:rPr>
        <w:fldChar w:fldCharType="begin"/>
      </w:r>
      <w:r>
        <w:rPr>
          <w:lang w:val="fr-FR"/>
        </w:rPr>
        <w:instrText xml:space="preserve"> ADDIN EN.CITE &lt;EndNote&gt;&lt;Cite&gt;&lt;Author&gt;Delame&lt;/Author&gt;&lt;Year&gt;1933&lt;/Year&gt;&lt;RecNum&gt;238&lt;/RecNum&gt;&lt;DisplayText&gt;René Delame, &lt;style face="italic"&gt;Valenciennes: occupation allemande&lt;/style&gt;, (Valenciennes, 1933)&lt;/DisplayText&gt;&lt;record&gt;&lt;rec-number&gt;238&lt;/rec-number&gt;&lt;foreign-keys&gt;&lt;key app="EN" db-id="2f5rvwawcsv2woetvw35fzwbdvvswerd0err"&gt;238&lt;/key&gt;&lt;/foreign-keys&gt;&lt;ref-type name="Book"&gt;6&lt;/ref-type&gt;&lt;contributors&gt;&lt;authors&gt;&lt;author&gt;Delame, René&lt;/author&gt;&lt;/authors&gt;&lt;/contributors&gt;&lt;titles&gt;&lt;title&gt;Valenciennes: occupation allemande&lt;/title&gt;&lt;short-title&gt;Valenciennes&lt;/short-title&gt;&lt;/titles&gt;&lt;dates&gt;&lt;year&gt;1933&lt;/year&gt;&lt;/dates&gt;&lt;pub-location&gt;Valenciennes&lt;/pub-location&gt;&lt;urls&gt;&lt;/urls&gt;&lt;/record&gt;&lt;/Cite&gt;&lt;/EndNote&gt;</w:instrText>
      </w:r>
      <w:r>
        <w:rPr>
          <w:lang w:val="fr-FR"/>
        </w:rPr>
        <w:fldChar w:fldCharType="separate"/>
      </w:r>
      <w:r>
        <w:rPr>
          <w:noProof/>
          <w:lang w:val="fr-FR"/>
        </w:rPr>
        <w:t xml:space="preserve">René Delame, </w:t>
      </w:r>
      <w:r w:rsidRPr="007B7627">
        <w:rPr>
          <w:i/>
          <w:noProof/>
          <w:lang w:val="fr-FR"/>
        </w:rPr>
        <w:t>Valenciennes: occupation allemande</w:t>
      </w:r>
      <w:r>
        <w:rPr>
          <w:noProof/>
          <w:lang w:val="fr-FR"/>
        </w:rPr>
        <w:t>, (Valenciennes, 1933)</w:t>
      </w:r>
      <w:r>
        <w:rPr>
          <w:lang w:val="fr-FR"/>
        </w:rPr>
        <w:fldChar w:fldCharType="end"/>
      </w:r>
      <w:r>
        <w:rPr>
          <w:lang w:val="fr-FR"/>
        </w:rPr>
        <w:t xml:space="preserve">, p. 112 and ADHS: 4 M 513. </w:t>
      </w:r>
      <w:r w:rsidRPr="00DE3AC9">
        <w:rPr>
          <w:lang w:val="fr-FR"/>
        </w:rPr>
        <w:t xml:space="preserve">Report 737 about repatriated. 14 February 1917. Also confirmed in </w:t>
      </w:r>
      <w:r>
        <w:rPr>
          <w:lang w:val="fr-FR"/>
        </w:rPr>
        <w:fldChar w:fldCharType="begin"/>
      </w:r>
      <w:r w:rsidRPr="00DE3AC9">
        <w:rPr>
          <w:lang w:val="fr-FR"/>
        </w:rPr>
        <w:instrText xml:space="preserve"> ADDIN EN.CITE &lt;EndNote&gt;&lt;Cite&gt;&lt;Author&gt;Salome&lt;/Author&gt;&lt;Year&gt;1998&lt;/Year&gt;&lt;RecNum&gt;253&lt;/RecNum&gt;&lt;DisplayText&gt;Séverine Salome, &amp;apos;Valenciennes sous l&amp;apos;occupation allemande, 1914-1918&amp;apos;, (Masters thesis, Lille III, 1998)&lt;/DisplayText&gt;&lt;record&gt;&lt;rec-number&gt;253&lt;/rec-number&gt;&lt;foreign-keys&gt;&lt;key app="EN" db-id="2f5rvwawcsv2woetvw35fzwbdvvswerd0err"&gt;253&lt;/key&gt;&lt;/foreign-keys&gt;&lt;ref-type name="Thesis"&gt;32&lt;/ref-type&gt;&lt;contributors&gt;&lt;authors&gt;&lt;author&gt;Salome, Séverine&lt;/author&gt;&lt;/authors&gt;&lt;/contributors&gt;&lt;titles&gt;&lt;title&gt;Valenciennes sous l&amp;apos;occupation allemande, 1914-1918&lt;/title&gt;&lt;secondary-title&gt;History&lt;/secondary-title&gt;&lt;short-title&gt;Valenciennes&lt;/short-title&gt;&lt;/titles&gt;&lt;dates&gt;&lt;year&gt;1998&lt;/year&gt;&lt;/dates&gt;&lt;publisher&gt;Lille III&lt;/publisher&gt;&lt;work-type&gt;Masters thesis&lt;/work-type&gt;&lt;urls&gt;&lt;/urls&gt;&lt;/record&gt;&lt;/Cite&gt;&lt;/EndNote&gt;</w:instrText>
      </w:r>
      <w:r>
        <w:rPr>
          <w:lang w:val="fr-FR"/>
        </w:rPr>
        <w:fldChar w:fldCharType="separate"/>
      </w:r>
      <w:r w:rsidRPr="00DE3AC9">
        <w:rPr>
          <w:noProof/>
          <w:lang w:val="fr-FR"/>
        </w:rPr>
        <w:t>Séverine Salome, 'Valenciennes sous l'occupation allemande, 1914-1918', (Masters thesis, Lille III, 1998)</w:t>
      </w:r>
      <w:r>
        <w:rPr>
          <w:lang w:val="fr-FR"/>
        </w:rPr>
        <w:fldChar w:fldCharType="end"/>
      </w:r>
      <w:r w:rsidRPr="00DE3AC9">
        <w:rPr>
          <w:lang w:val="fr-FR"/>
        </w:rPr>
        <w:t xml:space="preserve">, p. 67. </w:t>
      </w:r>
    </w:p>
  </w:footnote>
  <w:footnote w:id="869">
    <w:p w14:paraId="4659DA2E" w14:textId="77777777" w:rsidR="00DE3AC9" w:rsidRPr="00A43C2C" w:rsidRDefault="00DE3AC9" w:rsidP="0048510E">
      <w:pPr>
        <w:pStyle w:val="FootnoteText"/>
        <w:rPr>
          <w:lang w:val="fr-FR"/>
        </w:rPr>
      </w:pPr>
      <w:r>
        <w:rPr>
          <w:rStyle w:val="FootnoteReference"/>
        </w:rPr>
        <w:footnoteRef/>
      </w:r>
      <w:r w:rsidRPr="00A43C2C">
        <w:rPr>
          <w:lang w:val="fr-FR"/>
        </w:rPr>
        <w:t xml:space="preserve"> </w:t>
      </w:r>
      <w:r>
        <w:rPr>
          <w:lang w:val="fr-FR"/>
        </w:rPr>
        <w:fldChar w:fldCharType="begin"/>
      </w:r>
      <w:r>
        <w:rPr>
          <w:lang w:val="fr-FR"/>
        </w:rPr>
        <w:instrText xml:space="preserve"> ADDIN EN.CITE &lt;EndNote&gt;&lt;Cite&gt;&lt;Author&gt;Delmotte&lt;/Author&gt;&lt;Year&gt;2007&lt;/Year&gt;&lt;RecNum&gt;239&lt;/RecNum&gt;&lt;DisplayText&gt;Maurice Delmotte, &lt;style face="italic"&gt;Vie quotidienne en France occupée: journaux de Maurice Delmotte 1914-1918&lt;/style&gt;, (Paris, 2007)&lt;/DisplayText&gt;&lt;record&gt;&lt;rec-number&gt;239&lt;/rec-number&gt;&lt;foreign-keys&gt;&lt;key app="EN" db-id="2f5rvwawcsv2woetvw35fzwbdvvswerd0err"&gt;239&lt;/key&gt;&lt;/foreign-keys&gt;&lt;ref-type name="Book"&gt;6&lt;/ref-type&gt;&lt;contributors&gt;&lt;authors&gt;&lt;author&gt;Delmotte, Maurice&lt;/author&gt;&lt;/authors&gt;&lt;secondary-authors&gt;&lt;author&gt;Philippe, Nathalie&lt;/author&gt;&lt;/secondary-authors&gt;&lt;/contributors&gt;&lt;titles&gt;&lt;title&gt;Vie quotidienne en France occupée: journaux de Maurice Delmotte 1914-1918&lt;/title&gt;&lt;short-title&gt;Vie quotidienne&lt;/short-title&gt;&lt;/titles&gt;&lt;dates&gt;&lt;year&gt;2007&lt;/year&gt;&lt;/dates&gt;&lt;pub-location&gt;Paris&lt;/pub-location&gt;&lt;urls&gt;&lt;/urls&gt;&lt;/record&gt;&lt;/Cite&gt;&lt;/EndNote&gt;</w:instrText>
      </w:r>
      <w:r>
        <w:rPr>
          <w:lang w:val="fr-FR"/>
        </w:rPr>
        <w:fldChar w:fldCharType="separate"/>
      </w:r>
      <w:r>
        <w:rPr>
          <w:noProof/>
          <w:lang w:val="fr-FR"/>
        </w:rPr>
        <w:t xml:space="preserve">Maurice Delmotte, </w:t>
      </w:r>
      <w:r w:rsidRPr="007B7627">
        <w:rPr>
          <w:i/>
          <w:noProof/>
          <w:lang w:val="fr-FR"/>
        </w:rPr>
        <w:t>Vie quotidienne en France occupée: journaux de Maurice Delmotte 1914-1918</w:t>
      </w:r>
      <w:r>
        <w:rPr>
          <w:noProof/>
          <w:lang w:val="fr-FR"/>
        </w:rPr>
        <w:t>, (Paris, 2007)</w:t>
      </w:r>
      <w:r>
        <w:rPr>
          <w:lang w:val="fr-FR"/>
        </w:rPr>
        <w:fldChar w:fldCharType="end"/>
      </w:r>
      <w:r>
        <w:rPr>
          <w:lang w:val="fr-FR"/>
        </w:rPr>
        <w:t>, p. 201.</w:t>
      </w:r>
    </w:p>
  </w:footnote>
  <w:footnote w:id="870">
    <w:p w14:paraId="0013F367" w14:textId="77777777" w:rsidR="00DE3AC9" w:rsidRPr="005D43BC" w:rsidRDefault="00DE3AC9" w:rsidP="0048510E">
      <w:pPr>
        <w:pStyle w:val="FootnoteText"/>
        <w:rPr>
          <w:lang w:val="fr-FR"/>
        </w:rPr>
      </w:pPr>
      <w:r>
        <w:rPr>
          <w:rStyle w:val="FootnoteReference"/>
        </w:rPr>
        <w:footnoteRef/>
      </w:r>
      <w:r w:rsidRPr="00F061F7">
        <w:rPr>
          <w:lang w:val="fr-FR"/>
        </w:rPr>
        <w:t xml:space="preserve"> </w:t>
      </w:r>
      <w:r>
        <w:fldChar w:fldCharType="begin"/>
      </w:r>
      <w:r>
        <w:rPr>
          <w:lang w:val="fr-FR"/>
        </w:rPr>
        <w:instrText xml:space="preserve"> ADDIN EN.CITE &lt;EndNote&gt;&lt;Cite&gt;&lt;Author&gt;Demolon&lt;/Author&gt;&lt;Year&gt;1922&lt;/Year&gt;&lt;RecNum&gt;240&lt;/RecNum&gt;&lt;DisplayText&gt;Jonathan Demolon, &lt;style face="italic"&gt;On vous demande à la commandanture!&lt;/style&gt;, (Paris, 1922)&lt;/DisplayText&gt;&lt;record&gt;&lt;rec-number&gt;240&lt;/rec-number&gt;&lt;foreign-keys&gt;&lt;key app="EN" db-id="2f5rvwawcsv2woetvw35fzwbdvvswerd0err"&gt;240&lt;/key&gt;&lt;/foreign-keys&gt;&lt;ref-type name="Book"&gt;6&lt;/ref-type&gt;&lt;contributors&gt;&lt;authors&gt;&lt;author&gt;Demolon, Jonathan&lt;/author&gt;&lt;/authors&gt;&lt;/contributors&gt;&lt;titles&gt;&lt;title&gt;On vous demande à la commandanture!&lt;/title&gt;&lt;short-title&gt;On vous demande&lt;/short-title&gt;&lt;/titles&gt;&lt;dates&gt;&lt;year&gt;1922&lt;/year&gt;&lt;/dates&gt;&lt;pub-location&gt;Paris&lt;/pub-location&gt;&lt;urls&gt;&lt;/urls&gt;&lt;/record&gt;&lt;/Cite&gt;&lt;/EndNote&gt;</w:instrText>
      </w:r>
      <w:r>
        <w:fldChar w:fldCharType="separate"/>
      </w:r>
      <w:r w:rsidRPr="007B7627">
        <w:rPr>
          <w:noProof/>
          <w:lang w:val="fr-FR"/>
        </w:rPr>
        <w:t xml:space="preserve">Jonathan Demolon, </w:t>
      </w:r>
      <w:r w:rsidRPr="007B7627">
        <w:rPr>
          <w:i/>
          <w:noProof/>
          <w:lang w:val="fr-FR"/>
        </w:rPr>
        <w:t>On vous demande à la commandanture!</w:t>
      </w:r>
      <w:r w:rsidRPr="007B7627">
        <w:rPr>
          <w:noProof/>
          <w:lang w:val="fr-FR"/>
        </w:rPr>
        <w:t>, (Paris, 1922)</w:t>
      </w:r>
      <w:r>
        <w:fldChar w:fldCharType="end"/>
      </w:r>
      <w:r w:rsidRPr="00F061F7">
        <w:rPr>
          <w:lang w:val="fr-FR"/>
        </w:rPr>
        <w:t>, pp. 67-68.</w:t>
      </w:r>
    </w:p>
  </w:footnote>
  <w:footnote w:id="871">
    <w:p w14:paraId="186D5DFC" w14:textId="77777777" w:rsidR="00DE3AC9" w:rsidRPr="00CD2C6F" w:rsidRDefault="00DE3AC9" w:rsidP="001C5604">
      <w:pPr>
        <w:pStyle w:val="FootnoteText"/>
        <w:rPr>
          <w:lang w:val="fr-FR"/>
        </w:rPr>
      </w:pPr>
      <w:r>
        <w:rPr>
          <w:rStyle w:val="FootnoteReference"/>
        </w:rPr>
        <w:footnoteRef/>
      </w:r>
      <w:r w:rsidRPr="00027F3F">
        <w:rPr>
          <w:lang w:val="fr-FR"/>
        </w:rPr>
        <w:t xml:space="preserve"> </w:t>
      </w:r>
      <w:r>
        <w:fldChar w:fldCharType="begin"/>
      </w:r>
      <w:r>
        <w:rPr>
          <w:lang w:val="fr-FR"/>
        </w:rPr>
        <w:instrText xml:space="preserve"> ADDIN EN.CITE &lt;EndNote&gt;&lt;Cite&gt;&lt;Author&gt;Salson&lt;/Author&gt;&lt;Year&gt;2013&lt;/Year&gt;&lt;RecNum&gt;340&lt;/RecNum&gt;&lt;DisplayText&gt;Salson, &lt;style face="italic"&gt;1914-1918: les années grises&lt;/style&gt;&lt;/DisplayText&gt;&lt;record&gt;&lt;rec-number&gt;340&lt;/rec-number&gt;&lt;foreign-keys&gt;&lt;key app="EN" db-id="2f5rvwawcsv2woetvw35fzwbdvvswerd0err"&gt;340&lt;/key&gt;&lt;/foreign-keys&gt;&lt;ref-type name="Thesis"&gt;32&lt;/ref-type&gt;&lt;contributors&gt;&lt;authors&gt;&lt;author&gt;Salson, Philippe&lt;/author&gt;&lt;/authors&gt;&lt;/contributors&gt;&lt;titles&gt;&lt;title&gt;1914-1918: les années grises: l&amp;apos;expérience des civils dans l&amp;apos;Aisne occupée&lt;/title&gt;&lt;short-title&gt;1914-1918: les années grises&lt;/short-title&gt;&lt;/titles&gt;&lt;dates&gt;&lt;year&gt;2013&lt;/year&gt;&lt;/dates&gt;&lt;publisher&gt;Université Paul Valéry- Montpellier III&lt;/publisher&gt;&lt;work-type&gt;PhD Thesis&lt;/work-type&gt;&lt;urls&gt;&lt;/urls&gt;&lt;/record&gt;&lt;/Cite&gt;&lt;/EndNote&gt;</w:instrText>
      </w:r>
      <w:r>
        <w:fldChar w:fldCharType="separate"/>
      </w:r>
      <w:r w:rsidRPr="001C5604">
        <w:rPr>
          <w:noProof/>
          <w:lang w:val="fr-FR"/>
        </w:rPr>
        <w:t xml:space="preserve">Salson, </w:t>
      </w:r>
      <w:r w:rsidRPr="001C5604">
        <w:rPr>
          <w:i/>
          <w:noProof/>
          <w:lang w:val="fr-FR"/>
        </w:rPr>
        <w:t>1914-1918: les années grises</w:t>
      </w:r>
      <w:r>
        <w:fldChar w:fldCharType="end"/>
      </w:r>
      <w:r w:rsidRPr="00CD2C6F">
        <w:rPr>
          <w:lang w:val="fr-FR"/>
        </w:rPr>
        <w:t xml:space="preserve">, p. </w:t>
      </w:r>
      <w:r>
        <w:rPr>
          <w:lang w:val="fr-FR"/>
        </w:rPr>
        <w:t>571.</w:t>
      </w:r>
    </w:p>
  </w:footnote>
  <w:footnote w:id="872">
    <w:p w14:paraId="36BB3C6E" w14:textId="77777777" w:rsidR="00DE3AC9" w:rsidRPr="00B919FC" w:rsidRDefault="00DE3AC9" w:rsidP="0048510E">
      <w:pPr>
        <w:pStyle w:val="FootnoteText"/>
        <w:rPr>
          <w:lang w:val="fr-FR"/>
        </w:rPr>
      </w:pPr>
      <w:r>
        <w:rPr>
          <w:rStyle w:val="FootnoteReference"/>
        </w:rPr>
        <w:footnoteRef/>
      </w:r>
      <w:r w:rsidRPr="00374CF4">
        <w:t xml:space="preserve"> SDH AT:16N1569. </w:t>
      </w:r>
      <w:r w:rsidRPr="00367CC1">
        <w:t xml:space="preserve">Report about propaganda efficiency in </w:t>
      </w:r>
      <w:r>
        <w:t xml:space="preserve">Saint-Quentin. </w:t>
      </w:r>
      <w:r w:rsidRPr="0004564D">
        <w:t xml:space="preserve">11 July 1918. </w:t>
      </w:r>
      <w:r>
        <w:t>ADHS</w:t>
      </w:r>
      <w:r w:rsidRPr="0004564D">
        <w:t xml:space="preserve">: 4 M 513. Report  about the morale in occupied territories. 11 July 1918. Aerial propaganda was probably much needed as the people of Saint-Quentin were forced to buy the </w:t>
      </w:r>
      <w:r>
        <w:rPr>
          <w:i/>
          <w:iCs/>
        </w:rPr>
        <w:t>Gazette des Ardennes</w:t>
      </w:r>
      <w:r>
        <w:t xml:space="preserve">. </w:t>
      </w:r>
      <w:r>
        <w:fldChar w:fldCharType="begin"/>
      </w:r>
      <w:r>
        <w:instrText xml:space="preserve"> ADDIN EN.CITE &lt;EndNote&gt;&lt;Cite&gt;&lt;Author&gt;Delville&lt;/Author&gt;&lt;Year&gt;1999&lt;/Year&gt;&lt;RecNum&gt;250&lt;/RecNum&gt;&lt;DisplayText&gt;Stéphanie Delville, &amp;apos;Saint-Quentin dans la Grande Guerre&amp;apos;, (Master thesis, Lille III, 1999)&lt;/DisplayText&gt;&lt;record&gt;&lt;rec-number&gt;250&lt;/rec-number&gt;&lt;foreign-keys&gt;&lt;key app="EN" db-id="2f5rvwawcsv2woetvw35fzwbdvvswerd0err"&gt;250&lt;/key&gt;&lt;/foreign-keys&gt;&lt;ref-type name="Thesis"&gt;32&lt;/ref-type&gt;&lt;contributors&gt;&lt;authors&gt;&lt;author&gt;Delville, Stéphanie&lt;/author&gt;&lt;/authors&gt;&lt;/contributors&gt;&lt;titles&gt;&lt;title&gt;Saint-Quentin dans la Grande Guerre&lt;/title&gt;&lt;secondary-title&gt;History&lt;/secondary-title&gt;&lt;short-title&gt;Saint-Quentin&lt;/short-title&gt;&lt;/titles&gt;&lt;volume&gt;Masters thesis&lt;/volume&gt;&lt;dates&gt;&lt;year&gt;1999&lt;/year&gt;&lt;/dates&gt;&lt;publisher&gt;Lille III&lt;/publisher&gt;&lt;work-type&gt;Master thesis&lt;/work-type&gt;&lt;urls&gt;&lt;/urls&gt;&lt;/record&gt;&lt;/Cite&gt;&lt;/EndNote&gt;</w:instrText>
      </w:r>
      <w:r>
        <w:fldChar w:fldCharType="separate"/>
      </w:r>
      <w:r w:rsidRPr="00C54460">
        <w:rPr>
          <w:noProof/>
          <w:lang w:val="fr-FR"/>
        </w:rPr>
        <w:t>Stéphanie Delville, 'Saint-Quentin dans la Grande Guerre', (Master thesis, Lille III, 1999)</w:t>
      </w:r>
      <w:r>
        <w:fldChar w:fldCharType="end"/>
      </w:r>
      <w:r w:rsidRPr="005E3F61">
        <w:rPr>
          <w:lang w:val="fr-FR"/>
        </w:rPr>
        <w:t xml:space="preserve">, </w:t>
      </w:r>
      <w:r w:rsidRPr="002833DB">
        <w:rPr>
          <w:lang w:val="fr-FR"/>
        </w:rPr>
        <w:t>p. 30.</w:t>
      </w:r>
    </w:p>
  </w:footnote>
  <w:footnote w:id="873">
    <w:p w14:paraId="480A0BB7" w14:textId="77777777" w:rsidR="00DE3AC9" w:rsidRPr="00367CC1" w:rsidRDefault="00DE3AC9" w:rsidP="0048510E">
      <w:pPr>
        <w:pStyle w:val="FootnoteText"/>
        <w:rPr>
          <w:lang w:val="fr-FR"/>
        </w:rPr>
      </w:pPr>
      <w:r>
        <w:rPr>
          <w:rStyle w:val="FootnoteReference"/>
        </w:rPr>
        <w:footnoteRef/>
      </w:r>
      <w:r w:rsidRPr="00F061F7">
        <w:rPr>
          <w:lang w:val="fr-FR"/>
        </w:rPr>
        <w:t xml:space="preserve"> </w:t>
      </w:r>
      <w:r>
        <w:rPr>
          <w:lang w:val="fr-FR"/>
        </w:rPr>
        <w:fldChar w:fldCharType="begin"/>
      </w:r>
      <w:r>
        <w:rPr>
          <w:lang w:val="fr-FR"/>
        </w:rPr>
        <w:instrText xml:space="preserve"> ADDIN EN.CITE &lt;EndNote&gt;&lt;Cite&gt;&lt;Author&gt;Fleury&lt;/Author&gt;&lt;Year&gt;1925&lt;/Year&gt;&lt;RecNum&gt;37&lt;/RecNum&gt;&lt;DisplayText&gt;Fleury, &lt;style face="italic"&gt;Sous la botte&lt;/style&gt;&lt;/DisplayText&gt;&lt;record&gt;&lt;rec-number&gt;37&lt;/rec-number&gt;&lt;foreign-keys&gt;&lt;key app="EN" db-id="2f5rvwawcsv2woetvw35fzwbdvvswerd0err"&gt;37&lt;/key&gt;&lt;/foreign-keys&gt;&lt;ref-type name="Book"&gt;6&lt;/ref-type&gt;&lt;contributors&gt;&lt;authors&gt;&lt;author&gt;Fleury, Elie&lt;/author&gt;&lt;/authors&gt;&lt;/contributors&gt;&lt;titles&gt;&lt;title&gt;Sous la botte, Histoire de la Ville de Saint-Quentin pendant l&amp;apos;occupation Allemande août 1914 - février 1917&lt;/title&gt;&lt;short-title&gt;Sous la botte&lt;/short-title&gt;&lt;/titles&gt;&lt;dates&gt;&lt;year&gt;1925&lt;/year&gt;&lt;/dates&gt;&lt;pub-location&gt;Paris&lt;/pub-location&gt;&lt;urls&gt;&lt;/urls&gt;&lt;/record&gt;&lt;/Cite&gt;&lt;/EndNote&gt;</w:instrText>
      </w:r>
      <w:r>
        <w:rPr>
          <w:lang w:val="fr-FR"/>
        </w:rPr>
        <w:fldChar w:fldCharType="separate"/>
      </w:r>
      <w:r>
        <w:rPr>
          <w:noProof/>
          <w:lang w:val="fr-FR"/>
        </w:rPr>
        <w:t xml:space="preserve">Fleury, </w:t>
      </w:r>
      <w:r w:rsidRPr="007B7627">
        <w:rPr>
          <w:i/>
          <w:noProof/>
          <w:lang w:val="fr-FR"/>
        </w:rPr>
        <w:t>Sous la botte</w:t>
      </w:r>
      <w:r>
        <w:rPr>
          <w:lang w:val="fr-FR"/>
        </w:rPr>
        <w:fldChar w:fldCharType="end"/>
      </w:r>
      <w:r>
        <w:rPr>
          <w:lang w:val="fr-FR"/>
        </w:rPr>
        <w:t>, p. 163.</w:t>
      </w:r>
    </w:p>
  </w:footnote>
  <w:footnote w:id="874">
    <w:p w14:paraId="4470453F" w14:textId="77777777" w:rsidR="00DE3AC9" w:rsidRPr="008C12EC" w:rsidRDefault="00DE3AC9" w:rsidP="0048510E">
      <w:pPr>
        <w:pStyle w:val="FootnoteText"/>
        <w:rPr>
          <w:lang w:val="fr-FR"/>
        </w:rPr>
      </w:pPr>
      <w:r>
        <w:rPr>
          <w:rStyle w:val="FootnoteReference"/>
        </w:rPr>
        <w:footnoteRef/>
      </w:r>
      <w:r w:rsidRPr="008C12EC">
        <w:rPr>
          <w:lang w:val="fr-FR"/>
        </w:rPr>
        <w:t xml:space="preserve"> </w:t>
      </w:r>
      <w:r>
        <w:rPr>
          <w:lang w:val="fr-FR"/>
        </w:rPr>
        <w:fldChar w:fldCharType="begin"/>
      </w:r>
      <w:r>
        <w:rPr>
          <w:lang w:val="fr-FR"/>
        </w:rPr>
        <w:instrText xml:space="preserve"> ADDIN EN.CITE &lt;EndNote&gt;&lt;Cite&gt;&lt;Author&gt;Karleskind&lt;/Author&gt;&lt;Year&gt;1935&lt;/Year&gt;&lt;RecNum&gt;232&lt;/RecNum&gt;&lt;DisplayText&gt;Clément Karleskind, &lt;style face="italic"&gt;Charleville, Mézières, pendant l&amp;apos;occupation allemande&lt;/style&gt;, (Charleville, 1935)&lt;/DisplayText&gt;&lt;record&gt;&lt;rec-number&gt;232&lt;/rec-number&gt;&lt;foreign-keys&gt;&lt;key app="EN" db-id="2f5rvwawcsv2woetvw35fzwbdvvswerd0err"&gt;232&lt;/key&gt;&lt;/foreign-keys&gt;&lt;ref-type name="Book"&gt;6&lt;/ref-type&gt;&lt;contributors&gt;&lt;authors&gt;&lt;author&gt;Karleskind, Clément&lt;/author&gt;&lt;/authors&gt;&lt;/contributors&gt;&lt;titles&gt;&lt;title&gt;Charleville, Mézières, pendant l&amp;apos;occupation allemande&lt;/title&gt;&lt;short-title&gt;Charleville&lt;/short-title&gt;&lt;/titles&gt;&lt;dates&gt;&lt;year&gt;1935&lt;/year&gt;&lt;/dates&gt;&lt;pub-location&gt;Charleville&lt;/pub-location&gt;&lt;urls&gt;&lt;/urls&gt;&lt;/record&gt;&lt;/Cite&gt;&lt;/EndNote&gt;</w:instrText>
      </w:r>
      <w:r>
        <w:rPr>
          <w:lang w:val="fr-FR"/>
        </w:rPr>
        <w:fldChar w:fldCharType="separate"/>
      </w:r>
      <w:r>
        <w:rPr>
          <w:noProof/>
          <w:lang w:val="fr-FR"/>
        </w:rPr>
        <w:t xml:space="preserve">Clément Karleskind, </w:t>
      </w:r>
      <w:r w:rsidRPr="007B7627">
        <w:rPr>
          <w:i/>
          <w:noProof/>
          <w:lang w:val="fr-FR"/>
        </w:rPr>
        <w:t>Charleville, Mézières, pendant l'occupation allemande</w:t>
      </w:r>
      <w:r>
        <w:rPr>
          <w:noProof/>
          <w:lang w:val="fr-FR"/>
        </w:rPr>
        <w:t>, (Charleville, 1935)</w:t>
      </w:r>
      <w:r>
        <w:rPr>
          <w:lang w:val="fr-FR"/>
        </w:rPr>
        <w:fldChar w:fldCharType="end"/>
      </w:r>
      <w:r>
        <w:rPr>
          <w:lang w:val="fr-FR"/>
        </w:rPr>
        <w:t>, pp. 133 and 130 ; 132 ; 140 ; 141 ; 143 ; 151 ; 216-217.</w:t>
      </w:r>
    </w:p>
  </w:footnote>
  <w:footnote w:id="875">
    <w:p w14:paraId="221D4C98" w14:textId="77777777" w:rsidR="00DE3AC9" w:rsidRPr="00151F43" w:rsidRDefault="00DE3AC9" w:rsidP="0048510E">
      <w:pPr>
        <w:pStyle w:val="FootnoteText"/>
        <w:rPr>
          <w:lang w:val="fr-FR"/>
        </w:rPr>
      </w:pPr>
      <w:r>
        <w:rPr>
          <w:rStyle w:val="FootnoteReference"/>
        </w:rPr>
        <w:footnoteRef/>
      </w:r>
      <w:r w:rsidRPr="00151F43">
        <w:rPr>
          <w:lang w:val="fr-FR"/>
        </w:rPr>
        <w:t xml:space="preserve"> </w:t>
      </w:r>
      <w:r>
        <w:rPr>
          <w:lang w:val="fr-FR"/>
        </w:rPr>
        <w:fldChar w:fldCharType="begin"/>
      </w:r>
      <w:r>
        <w:rPr>
          <w:lang w:val="fr-FR"/>
        </w:rPr>
        <w:instrText xml:space="preserve"> ADDIN EN.CITE &lt;EndNote&gt;&lt;Cite&gt;&lt;Author&gt;Chollet&lt;/Author&gt;&lt;Year&gt;1926&lt;/Year&gt;&lt;RecNum&gt;233&lt;/RecNum&gt;&lt;DisplayText&gt;Georges Chollet, &lt;style face="italic"&gt;Saint-Mihiel pendant l&amp;apos;occupation allemande de 1914 1918&lt;/style&gt;, (Nancy, 1926)&lt;/DisplayText&gt;&lt;record&gt;&lt;rec-number&gt;233&lt;/rec-number&gt;&lt;foreign-keys&gt;&lt;key app="EN" db-id="2f5rvwawcsv2woetvw35fzwbdvvswerd0err"&gt;233&lt;/key&gt;&lt;/foreign-keys&gt;&lt;ref-type name="Book"&gt;6&lt;/ref-type&gt;&lt;contributors&gt;&lt;authors&gt;&lt;author&gt;Chollet, Georges&lt;/author&gt;&lt;/authors&gt;&lt;/contributors&gt;&lt;titles&gt;&lt;title&gt;Saint-Mihiel pendant l&amp;apos;occupation allemande de 1914 1918&lt;/title&gt;&lt;short-title&gt;Saint-Mihiel&lt;/short-title&gt;&lt;/titles&gt;&lt;dates&gt;&lt;year&gt;1926&lt;/year&gt;&lt;/dates&gt;&lt;pub-location&gt;Nancy&lt;/pub-location&gt;&lt;urls&gt;&lt;/urls&gt;&lt;/record&gt;&lt;/Cite&gt;&lt;/EndNote&gt;</w:instrText>
      </w:r>
      <w:r>
        <w:rPr>
          <w:lang w:val="fr-FR"/>
        </w:rPr>
        <w:fldChar w:fldCharType="separate"/>
      </w:r>
      <w:r>
        <w:rPr>
          <w:noProof/>
          <w:lang w:val="fr-FR"/>
        </w:rPr>
        <w:t xml:space="preserve">Georges Chollet, </w:t>
      </w:r>
      <w:r w:rsidRPr="007B7627">
        <w:rPr>
          <w:i/>
          <w:noProof/>
          <w:lang w:val="fr-FR"/>
        </w:rPr>
        <w:t>Saint-Mihiel pendant l'occupation allemande de 1914 1918</w:t>
      </w:r>
      <w:r>
        <w:rPr>
          <w:noProof/>
          <w:lang w:val="fr-FR"/>
        </w:rPr>
        <w:t>, (Nancy, 1926)</w:t>
      </w:r>
      <w:r>
        <w:rPr>
          <w:lang w:val="fr-FR"/>
        </w:rPr>
        <w:fldChar w:fldCharType="end"/>
      </w:r>
      <w:r>
        <w:rPr>
          <w:lang w:val="fr-FR"/>
        </w:rPr>
        <w:t>, p. 555.</w:t>
      </w:r>
    </w:p>
  </w:footnote>
  <w:footnote w:id="876">
    <w:p w14:paraId="59101A5D" w14:textId="77777777" w:rsidR="00DE3AC9" w:rsidRPr="00F061F7" w:rsidRDefault="00DE3AC9" w:rsidP="0048510E">
      <w:pPr>
        <w:pStyle w:val="FootnoteText"/>
      </w:pPr>
      <w:r>
        <w:rPr>
          <w:rStyle w:val="FootnoteReference"/>
        </w:rPr>
        <w:footnoteRef/>
      </w:r>
      <w:r w:rsidRPr="00F061F7">
        <w:t xml:space="preserve"> See map of occupied France in </w:t>
      </w:r>
      <w:r>
        <w:rPr>
          <w:lang w:val="fr-FR"/>
        </w:rPr>
        <w:fldChar w:fldCharType="begin"/>
      </w:r>
      <w:r>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rPr>
          <w:lang w:val="fr-FR"/>
        </w:rPr>
        <w:fldChar w:fldCharType="separate"/>
      </w:r>
      <w:r w:rsidRPr="007B7627">
        <w:rPr>
          <w:noProof/>
        </w:rPr>
        <w:t xml:space="preserve">Nivet, </w:t>
      </w:r>
      <w:r w:rsidRPr="007B7627">
        <w:rPr>
          <w:i/>
          <w:noProof/>
        </w:rPr>
        <w:t>La France</w:t>
      </w:r>
      <w:r>
        <w:rPr>
          <w:lang w:val="fr-FR"/>
        </w:rPr>
        <w:fldChar w:fldCharType="end"/>
      </w:r>
      <w:r w:rsidRPr="00F061F7">
        <w:t>, p. 7.</w:t>
      </w:r>
    </w:p>
  </w:footnote>
  <w:footnote w:id="877">
    <w:p w14:paraId="59D055FF" w14:textId="77777777" w:rsidR="00DE3AC9" w:rsidRPr="00360A6A" w:rsidRDefault="00DE3AC9" w:rsidP="0048510E">
      <w:pPr>
        <w:pStyle w:val="FootnoteText"/>
        <w:rPr>
          <w:lang w:val="fr-FR"/>
        </w:rPr>
      </w:pPr>
      <w:r>
        <w:rPr>
          <w:rStyle w:val="FootnoteReference"/>
        </w:rPr>
        <w:footnoteRef/>
      </w:r>
      <w:r w:rsidRPr="00360A6A">
        <w:rPr>
          <w:lang w:val="fr-FR"/>
        </w:rPr>
        <w:t xml:space="preserve"> </w:t>
      </w:r>
      <w:r>
        <w:rPr>
          <w:lang w:val="fr-FR"/>
        </w:rPr>
        <w:fldChar w:fldCharType="begin"/>
      </w:r>
      <w:r>
        <w:rPr>
          <w:lang w:val="fr-FR"/>
        </w:rPr>
        <w:instrText xml:space="preserve"> ADDIN EN.CITE &lt;EndNote&gt;&lt;Cite&gt;&lt;Author&gt;Villemin&lt;/Author&gt;&lt;Year&gt;2002&lt;/Year&gt;&lt;RecNum&gt;241&lt;/RecNum&gt;&lt;DisplayText&gt;André Villemin, &lt;style face="italic"&gt;Senones, une ville vosgienne sous l&amp;apos;occupation allemande&lt;/style&gt;, (Vosges, 2002)&lt;/DisplayText&gt;&lt;record&gt;&lt;rec-number&gt;241&lt;/rec-number&gt;&lt;foreign-keys&gt;&lt;key app="EN" db-id="2f5rvwawcsv2woetvw35fzwbdvvswerd0err"&gt;241&lt;/key&gt;&lt;/foreign-keys&gt;&lt;ref-type name="Book"&gt;6&lt;/ref-type&gt;&lt;contributors&gt;&lt;authors&gt;&lt;author&gt;Villemin, André&lt;/author&gt;&lt;/authors&gt;&lt;/contributors&gt;&lt;titles&gt;&lt;title&gt;Senones, une ville vosgienne sous l&amp;apos;occupation allemande&lt;/title&gt;&lt;short-title&gt;Senones&lt;/short-title&gt;&lt;/titles&gt;&lt;dates&gt;&lt;year&gt;2002&lt;/year&gt;&lt;/dates&gt;&lt;pub-location&gt;Vosges&lt;/pub-location&gt;&lt;urls&gt;&lt;/urls&gt;&lt;/record&gt;&lt;/Cite&gt;&lt;/EndNote&gt;</w:instrText>
      </w:r>
      <w:r>
        <w:rPr>
          <w:lang w:val="fr-FR"/>
        </w:rPr>
        <w:fldChar w:fldCharType="separate"/>
      </w:r>
      <w:r>
        <w:rPr>
          <w:noProof/>
          <w:lang w:val="fr-FR"/>
        </w:rPr>
        <w:t xml:space="preserve">André Villemin, </w:t>
      </w:r>
      <w:r w:rsidRPr="007B7627">
        <w:rPr>
          <w:i/>
          <w:noProof/>
          <w:lang w:val="fr-FR"/>
        </w:rPr>
        <w:t>Senones, une ville vosgienne sous l'occupation allemande</w:t>
      </w:r>
      <w:r>
        <w:rPr>
          <w:noProof/>
          <w:lang w:val="fr-FR"/>
        </w:rPr>
        <w:t>, (Vosges, 2002)</w:t>
      </w:r>
      <w:r>
        <w:rPr>
          <w:lang w:val="fr-FR"/>
        </w:rPr>
        <w:fldChar w:fldCharType="end"/>
      </w:r>
      <w:r>
        <w:rPr>
          <w:lang w:val="fr-FR"/>
        </w:rPr>
        <w:t>, pp. 52 ; 102 ; 128 and 151.</w:t>
      </w:r>
    </w:p>
  </w:footnote>
  <w:footnote w:id="878">
    <w:p w14:paraId="28800D47" w14:textId="77777777" w:rsidR="00DE3AC9" w:rsidRPr="00F061F7" w:rsidRDefault="00DE3AC9" w:rsidP="0048510E">
      <w:pPr>
        <w:pStyle w:val="FootnoteText"/>
      </w:pPr>
      <w:r>
        <w:rPr>
          <w:rStyle w:val="FootnoteReference"/>
        </w:rPr>
        <w:footnoteRef/>
      </w:r>
      <w:r w:rsidRPr="00F061F7">
        <w:t xml:space="preserve"> ADHS: 4 M 513. Report 588 about repatriated. 24 January 1917.</w:t>
      </w:r>
    </w:p>
  </w:footnote>
  <w:footnote w:id="879">
    <w:p w14:paraId="538A1703" w14:textId="77777777" w:rsidR="00DE3AC9" w:rsidRPr="007A2E52" w:rsidRDefault="00DE3AC9" w:rsidP="0048510E">
      <w:pPr>
        <w:pStyle w:val="FootnoteText"/>
      </w:pPr>
      <w:r>
        <w:rPr>
          <w:rStyle w:val="FootnoteReference"/>
        </w:rPr>
        <w:footnoteRef/>
      </w:r>
      <w:r w:rsidRPr="00F061F7">
        <w:t xml:space="preserve"> </w:t>
      </w:r>
      <w:r w:rsidRPr="00A803D6">
        <w:t>AD</w:t>
      </w:r>
      <w:r w:rsidRPr="00D74F33">
        <w:t xml:space="preserve">HS: 4 M 513. </w:t>
      </w:r>
      <w:r w:rsidRPr="007A2E52">
        <w:t>Report 583 about repatriated. 24 January 1917.</w:t>
      </w:r>
      <w:r>
        <w:t xml:space="preserve"> Report 772 about repatriated. 19 February 1917. Report 598 about repatriated. 25 January 1917.</w:t>
      </w:r>
      <w:r w:rsidRPr="007A2E52">
        <w:t xml:space="preserve"> </w:t>
      </w:r>
    </w:p>
  </w:footnote>
  <w:footnote w:id="880">
    <w:p w14:paraId="73A1AD19" w14:textId="77777777" w:rsidR="00DE3AC9" w:rsidRPr="008F4B47" w:rsidRDefault="00DE3AC9" w:rsidP="0048510E">
      <w:pPr>
        <w:pStyle w:val="FootnoteText"/>
      </w:pPr>
      <w:r>
        <w:rPr>
          <w:rStyle w:val="FootnoteReference"/>
        </w:rPr>
        <w:footnoteRef/>
      </w:r>
      <w:r>
        <w:t xml:space="preserve"> </w:t>
      </w:r>
      <w:r w:rsidRPr="008F4B47">
        <w:t xml:space="preserve">ADHS: 4 M 513. Report </w:t>
      </w:r>
      <w:r>
        <w:t>578 about repatriated. 23 January 1917.</w:t>
      </w:r>
      <w:r w:rsidRPr="008F4B47">
        <w:t xml:space="preserve"> </w:t>
      </w:r>
    </w:p>
  </w:footnote>
  <w:footnote w:id="881">
    <w:p w14:paraId="1C7A7E36" w14:textId="77777777" w:rsidR="00DE3AC9" w:rsidRPr="002933B9" w:rsidRDefault="00DE3AC9" w:rsidP="0048510E">
      <w:pPr>
        <w:pStyle w:val="FootnoteText"/>
      </w:pPr>
      <w:r>
        <w:rPr>
          <w:rStyle w:val="FootnoteReference"/>
        </w:rPr>
        <w:footnoteRef/>
      </w:r>
      <w:r>
        <w:t xml:space="preserve"> </w:t>
      </w:r>
      <w:r w:rsidRPr="002933B9">
        <w:t xml:space="preserve">ADHS: 4 M 513. Report 772 about repatriated. </w:t>
      </w:r>
      <w:r>
        <w:t>19 February 1917.</w:t>
      </w:r>
    </w:p>
  </w:footnote>
  <w:footnote w:id="882">
    <w:p w14:paraId="2248A746" w14:textId="77777777" w:rsidR="00DE3AC9" w:rsidRPr="000A7D49" w:rsidRDefault="00DE3AC9" w:rsidP="0048510E">
      <w:pPr>
        <w:pStyle w:val="FootnoteText"/>
      </w:pPr>
      <w:r>
        <w:rPr>
          <w:rStyle w:val="FootnoteReference"/>
        </w:rPr>
        <w:footnoteRef/>
      </w:r>
      <w:r>
        <w:t xml:space="preserve"> </w:t>
      </w:r>
      <w:r>
        <w:fldChar w:fldCharType="begin"/>
      </w:r>
      <w:r>
        <w:instrText xml:space="preserve"> ADDIN EN.CITE &lt;EndNote&gt;&lt;Cite&gt;&lt;Author&gt;Flood&lt;/Author&gt;&lt;Year&gt;1990&lt;/Year&gt;&lt;RecNum&gt;191&lt;/RecNum&gt;&lt;DisplayText&gt;Flood, &lt;style face="italic"&gt;France&lt;/style&gt;&lt;/DisplayText&gt;&lt;record&gt;&lt;rec-number&gt;191&lt;/rec-number&gt;&lt;foreign-keys&gt;&lt;key app="EN" db-id="2f5rvwawcsv2woetvw35fzwbdvvswerd0err"&gt;191&lt;/key&gt;&lt;/foreign-keys&gt;&lt;ref-type name="Book"&gt;6&lt;/ref-type&gt;&lt;contributors&gt;&lt;authors&gt;&lt;author&gt;Flood, Patrick&lt;/author&gt;&lt;/authors&gt;&lt;/contributors&gt;&lt;titles&gt;&lt;title&gt;France 1914-1918: public opinion and the war effort&lt;/title&gt;&lt;short-title&gt;France&lt;/short-title&gt;&lt;/titles&gt;&lt;dates&gt;&lt;year&gt;1990&lt;/year&gt;&lt;/dates&gt;&lt;pub-location&gt;London&lt;/pub-location&gt;&lt;urls&gt;&lt;/urls&gt;&lt;/record&gt;&lt;/Cite&gt;&lt;/EndNote&gt;</w:instrText>
      </w:r>
      <w:r>
        <w:fldChar w:fldCharType="separate"/>
      </w:r>
      <w:r>
        <w:rPr>
          <w:noProof/>
        </w:rPr>
        <w:t xml:space="preserve">Flood, </w:t>
      </w:r>
      <w:r w:rsidRPr="007B7627">
        <w:rPr>
          <w:i/>
          <w:noProof/>
        </w:rPr>
        <w:t>France</w:t>
      </w:r>
      <w:r>
        <w:fldChar w:fldCharType="end"/>
      </w:r>
      <w:r>
        <w:t>, pp. 141-142.</w:t>
      </w:r>
    </w:p>
  </w:footnote>
  <w:footnote w:id="883">
    <w:p w14:paraId="5845F11C" w14:textId="77777777" w:rsidR="00DE3AC9" w:rsidRPr="00C54460" w:rsidRDefault="00DE3AC9" w:rsidP="0048510E">
      <w:pPr>
        <w:pStyle w:val="FootnoteText"/>
      </w:pPr>
      <w:r>
        <w:rPr>
          <w:rStyle w:val="FootnoteReference"/>
        </w:rPr>
        <w:footnoteRef/>
      </w:r>
      <w:r>
        <w:t xml:space="preserve"> ADHS: 4 M 513. Report 554 about repatriated. </w:t>
      </w:r>
      <w:r w:rsidRPr="00C54460">
        <w:t>19 January 1917.</w:t>
      </w:r>
    </w:p>
  </w:footnote>
  <w:footnote w:id="884">
    <w:p w14:paraId="0E3FA05B" w14:textId="77777777" w:rsidR="00DE3AC9" w:rsidRPr="00C54460" w:rsidRDefault="00DE3AC9" w:rsidP="0048510E">
      <w:pPr>
        <w:pStyle w:val="FootnoteText"/>
      </w:pPr>
      <w:r>
        <w:rPr>
          <w:rStyle w:val="FootnoteReference"/>
        </w:rPr>
        <w:footnoteRef/>
      </w:r>
      <w:r w:rsidRPr="00C54460">
        <w:t xml:space="preserve"> </w:t>
      </w:r>
      <w:r w:rsidRPr="00C54460">
        <w:rPr>
          <w:i/>
          <w:iCs/>
        </w:rPr>
        <w:t xml:space="preserve">L’Abeille, </w:t>
      </w:r>
      <w:r w:rsidRPr="00C54460">
        <w:t>June 2005.</w:t>
      </w:r>
    </w:p>
  </w:footnote>
  <w:footnote w:id="885">
    <w:p w14:paraId="39F78D17" w14:textId="77777777" w:rsidR="00DE3AC9" w:rsidRPr="0004564D" w:rsidRDefault="00DE3AC9" w:rsidP="0048510E">
      <w:pPr>
        <w:pStyle w:val="FootnoteText"/>
        <w:rPr>
          <w:lang w:val="fr-FR"/>
        </w:rPr>
      </w:pPr>
      <w:r>
        <w:rPr>
          <w:rStyle w:val="FootnoteReference"/>
        </w:rPr>
        <w:footnoteRef/>
      </w:r>
      <w:r w:rsidRPr="0004564D">
        <w:rPr>
          <w:lang w:val="fr-FR"/>
        </w:rPr>
        <w:t xml:space="preserve"> </w:t>
      </w:r>
      <w:r>
        <w:fldChar w:fldCharType="begin"/>
      </w:r>
      <w:r>
        <w:rPr>
          <w:lang w:val="fr-FR"/>
        </w:rPr>
        <w:instrText xml:space="preserve"> ADDIN EN.CITE &lt;EndNote&gt;&lt;Cite&gt;&lt;Author&gt;Dejardin&lt;/Author&gt;&lt;Year&gt;1995&lt;/Year&gt;&lt;RecNum&gt;252&lt;/RecNum&gt;&lt;DisplayText&gt;Isabelle Dejardin, &amp;apos;Tourcoing pendant la Première Guerre Mondiale: une ville occupée&amp;apos;, (Master thesis, Lille III, 1995)&lt;/DisplayText&gt;&lt;record&gt;&lt;rec-number&gt;252&lt;/rec-number&gt;&lt;foreign-keys&gt;&lt;key app="EN" db-id="2f5rvwawcsv2woetvw35fzwbdvvswerd0err"&gt;252&lt;/key&gt;&lt;/foreign-keys&gt;&lt;ref-type name="Thesis"&gt;32&lt;/ref-type&gt;&lt;contributors&gt;&lt;authors&gt;&lt;author&gt;Dejardin, Isabelle&lt;/author&gt;&lt;/authors&gt;&lt;/contributors&gt;&lt;titles&gt;&lt;title&gt;Tourcoing pendant la Première Guerre Mondiale: une ville occupée&lt;/title&gt;&lt;secondary-title&gt;History&lt;/secondary-title&gt;&lt;short-title&gt;Tourcoing&lt;/short-title&gt;&lt;/titles&gt;&lt;volume&gt;Masters thesis&lt;/volume&gt;&lt;dates&gt;&lt;year&gt;1995&lt;/year&gt;&lt;/dates&gt;&lt;publisher&gt;Lille III&lt;/publisher&gt;&lt;work-type&gt;Master thesis&lt;/work-type&gt;&lt;urls&gt;&lt;/urls&gt;&lt;/record&gt;&lt;/Cite&gt;&lt;/EndNote&gt;</w:instrText>
      </w:r>
      <w:r>
        <w:fldChar w:fldCharType="separate"/>
      </w:r>
      <w:r w:rsidRPr="007B7627">
        <w:rPr>
          <w:noProof/>
          <w:lang w:val="fr-FR"/>
        </w:rPr>
        <w:t>Isabelle Dejardin, 'Tourcoing pendant la Première Guerre Mondiale: une ville occupée', (Master thesis, Lille III, 1995)</w:t>
      </w:r>
      <w:r>
        <w:fldChar w:fldCharType="end"/>
      </w:r>
      <w:r w:rsidRPr="00C73288">
        <w:rPr>
          <w:lang w:val="fr-FR"/>
        </w:rPr>
        <w:t xml:space="preserve">, </w:t>
      </w:r>
      <w:r w:rsidRPr="0004564D">
        <w:rPr>
          <w:lang w:val="fr-FR"/>
        </w:rPr>
        <w:t>p. 45.</w:t>
      </w:r>
    </w:p>
  </w:footnote>
  <w:footnote w:id="886">
    <w:p w14:paraId="68EC7083" w14:textId="77777777" w:rsidR="00DE3AC9" w:rsidRPr="00C54460" w:rsidRDefault="00DE3AC9" w:rsidP="0048510E">
      <w:pPr>
        <w:pStyle w:val="FootnoteText"/>
        <w:rPr>
          <w:lang w:val="nl-NL"/>
        </w:rPr>
      </w:pPr>
      <w:r>
        <w:rPr>
          <w:rStyle w:val="FootnoteReference"/>
        </w:rPr>
        <w:footnoteRef/>
      </w:r>
      <w:r w:rsidRPr="00C54460">
        <w:rPr>
          <w:lang w:val="nl-NL"/>
        </w:rPr>
        <w:t xml:space="preserve"> </w:t>
      </w:r>
      <w:r>
        <w:fldChar w:fldCharType="begin"/>
      </w:r>
      <w:r w:rsidRPr="00C54460">
        <w:rPr>
          <w:lang w:val="nl-NL"/>
        </w:rPr>
        <w:instrText xml:space="preserve"> ADDIN EN.CITE &lt;EndNote&gt;&lt;Cite&gt;&lt;Author&gt;Debruyne&lt;/Author&gt;&lt;Year&gt;2013&lt;/Year&gt;&lt;RecNum&gt;216&lt;/RecNum&gt;&lt;DisplayText&gt;Debruyne and De Schaepdrijver, &lt;style face="italic"&gt;Sursum&lt;/style&gt;&lt;/DisplayText&gt;&lt;record&gt;&lt;rec-number&gt;216&lt;/rec-number&gt;&lt;foreign-keys&gt;&lt;key app="EN" db-id="2f5rvwawcsv2woetvw35fzwbdvvswerd0err"&gt;216&lt;/key&gt;&lt;/foreign-keys&gt;&lt;ref-type name="Journal Article"&gt;17&lt;/ref-type&gt;&lt;contributors&gt;&lt;authors&gt;&lt;author&gt;Debruyne, Emmanuel&lt;/author&gt;&lt;author&gt;De Schaepdrijver, Sophie&lt;/author&gt;&lt;/authors&gt;&lt;/contributors&gt;&lt;titles&gt;&lt;title&gt;&lt;style face="italic" font="default" size="100%"&gt;Sursum Corda: &lt;/style&gt;&lt;style face="normal" font="default" size="100%"&gt;the underground press in occupied Belgium, 1914-1918&lt;/style&gt;&lt;/title&gt;&lt;secondary-title&gt;First World War Studies&lt;/secondary-title&gt;&lt;short-title&gt;&lt;style face="italic" font="default" size="100%"&gt;Sursum&lt;/style&gt;&lt;/short-title&gt;&lt;/titles&gt;&lt;periodical&gt;&lt;full-title&gt;First World War Studies&lt;/full-title&gt;&lt;/periodical&gt;&lt;volume&gt;4&lt;/volume&gt;&lt;dates&gt;&lt;year&gt;2013&lt;/year&gt;&lt;/dates&gt;&lt;urls&gt;&lt;/urls&gt;&lt;/record&gt;&lt;/Cite&gt;&lt;/EndNote&gt;</w:instrText>
      </w:r>
      <w:r>
        <w:fldChar w:fldCharType="separate"/>
      </w:r>
      <w:r w:rsidRPr="00C54460">
        <w:rPr>
          <w:noProof/>
          <w:lang w:val="nl-NL"/>
        </w:rPr>
        <w:t xml:space="preserve">Debruyne and De Schaepdrijver, </w:t>
      </w:r>
      <w:r w:rsidRPr="00C54460">
        <w:rPr>
          <w:i/>
          <w:noProof/>
          <w:lang w:val="nl-NL"/>
        </w:rPr>
        <w:t>Sursum</w:t>
      </w:r>
      <w:r>
        <w:fldChar w:fldCharType="end"/>
      </w:r>
      <w:r w:rsidRPr="008708EE">
        <w:rPr>
          <w:lang w:val="nl-NL"/>
        </w:rPr>
        <w:t xml:space="preserve">, </w:t>
      </w:r>
      <w:r w:rsidRPr="00C54460">
        <w:rPr>
          <w:lang w:val="nl-NL"/>
        </w:rPr>
        <w:t>pp. 23-28.</w:t>
      </w:r>
    </w:p>
  </w:footnote>
  <w:footnote w:id="887">
    <w:p w14:paraId="51A54487" w14:textId="77777777" w:rsidR="00DE3AC9" w:rsidRPr="00DE3AC9" w:rsidRDefault="00DE3AC9" w:rsidP="0048510E">
      <w:pPr>
        <w:pStyle w:val="FootnoteText"/>
        <w:rPr>
          <w:noProof/>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sidRPr="00DE3AC9">
        <w:rPr>
          <w:noProof/>
          <w:lang w:val="fr-FR"/>
        </w:rPr>
        <w:t xml:space="preserve">McPhail, </w:t>
      </w:r>
      <w:r w:rsidRPr="00DE3AC9">
        <w:rPr>
          <w:i/>
          <w:noProof/>
          <w:lang w:val="fr-FR"/>
        </w:rPr>
        <w:t>The long</w:t>
      </w:r>
      <w:r>
        <w:fldChar w:fldCharType="end"/>
      </w:r>
      <w:r w:rsidRPr="00DE3AC9">
        <w:rPr>
          <w:lang w:val="fr-FR"/>
        </w:rPr>
        <w:t>, pp. 131-133.</w:t>
      </w:r>
    </w:p>
  </w:footnote>
  <w:footnote w:id="888">
    <w:p w14:paraId="4C42E14F" w14:textId="77777777" w:rsidR="00DE3AC9" w:rsidRPr="00C54460" w:rsidRDefault="00DE3AC9" w:rsidP="0048510E">
      <w:pPr>
        <w:pStyle w:val="FootnoteText"/>
      </w:pPr>
      <w:r>
        <w:rPr>
          <w:rStyle w:val="FootnoteReference"/>
        </w:rPr>
        <w:footnoteRef/>
      </w:r>
      <w:r w:rsidRPr="004456E0">
        <w:rPr>
          <w:lang w:val="fr-FR"/>
        </w:rPr>
        <w:t xml:space="preserve"> </w:t>
      </w:r>
      <w:r w:rsidRPr="004456E0">
        <w:rPr>
          <w:i/>
          <w:iCs/>
          <w:lang w:val="fr-FR"/>
        </w:rPr>
        <w:t>Le Dimanche du Journal de Roubaix</w:t>
      </w:r>
      <w:r>
        <w:rPr>
          <w:lang w:val="fr-FR"/>
        </w:rPr>
        <w:t xml:space="preserve">, 4 September 1921. </w:t>
      </w:r>
      <w:r w:rsidRPr="00C54460">
        <w:t xml:space="preserve">See also </w:t>
      </w:r>
      <w:r>
        <w:rPr>
          <w:lang w:val="fr-FR"/>
        </w:rPr>
        <w:fldChar w:fldCharType="begin"/>
      </w:r>
      <w:r w:rsidRPr="00C54460">
        <w:instrText xml:space="preserve"> ADDIN EN.CITE &lt;EndNote&gt;&lt;Cite&gt;&lt;Author&gt;De Forge&lt;/Author&gt;&lt;Year&gt;1932&lt;/Year&gt;&lt;RecNum&gt;207&lt;/RecNum&gt;&lt;DisplayText&gt;De Forge and Mauclere, &lt;style face="italic"&gt;Feuilles&lt;/style&gt;&lt;/DisplayText&gt;&lt;record&gt;&lt;rec-number&gt;207&lt;/rec-number&gt;&lt;foreign-keys&gt;&lt;key app="EN" db-id="2f5rvwawcsv2woetvw35fzwbdvvswerd0err"&gt;207&lt;/key&gt;&lt;/foreign-keys&gt;&lt;ref-type name="Book"&gt;6&lt;/ref-type&gt;&lt;contributors&gt;&lt;authors&gt;&lt;author&gt;De Forge, Henri&lt;/author&gt;&lt;author&gt;Mauclere, Jean&lt;/author&gt;&lt;/authors&gt;&lt;/contributors&gt;&lt;titles&gt;&lt;title&gt;Feuilles françaises&lt;/title&gt;&lt;short-title&gt;Feuilles&lt;/short-title&gt;&lt;/titles&gt;&lt;dates&gt;&lt;year&gt;1932&lt;/year&gt;&lt;/dates&gt;&lt;pub-location&gt;Paris&lt;/pub-location&gt;&lt;urls&gt;&lt;/urls&gt;&lt;/record&gt;&lt;/Cite&gt;&lt;/EndNote&gt;</w:instrText>
      </w:r>
      <w:r>
        <w:rPr>
          <w:lang w:val="fr-FR"/>
        </w:rPr>
        <w:fldChar w:fldCharType="separate"/>
      </w:r>
      <w:r w:rsidRPr="00C54460">
        <w:rPr>
          <w:noProof/>
        </w:rPr>
        <w:t xml:space="preserve">De Forge and Mauclere, </w:t>
      </w:r>
      <w:r w:rsidRPr="00C54460">
        <w:rPr>
          <w:i/>
          <w:noProof/>
        </w:rPr>
        <w:t>Feuilles</w:t>
      </w:r>
      <w:r>
        <w:rPr>
          <w:lang w:val="fr-FR"/>
        </w:rPr>
        <w:fldChar w:fldCharType="end"/>
      </w:r>
      <w:r w:rsidRPr="00C54460">
        <w:t>, p. 60.</w:t>
      </w:r>
    </w:p>
  </w:footnote>
  <w:footnote w:id="889">
    <w:p w14:paraId="3CCA6D9D"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fldChar w:fldCharType="separate"/>
      </w:r>
      <w:r w:rsidRPr="00C54460">
        <w:rPr>
          <w:noProof/>
          <w:lang w:val="fr-FR"/>
        </w:rPr>
        <w:t xml:space="preserve">Arnoux, </w:t>
      </w:r>
      <w:r w:rsidRPr="00C54460">
        <w:rPr>
          <w:i/>
          <w:noProof/>
          <w:lang w:val="fr-FR"/>
        </w:rPr>
        <w:t>Bombardement</w:t>
      </w:r>
      <w:r>
        <w:fldChar w:fldCharType="end"/>
      </w:r>
      <w:r w:rsidRPr="00C54460">
        <w:rPr>
          <w:lang w:val="fr-FR"/>
        </w:rPr>
        <w:t>, p. 131.</w:t>
      </w:r>
    </w:p>
  </w:footnote>
  <w:footnote w:id="890">
    <w:p w14:paraId="3CDBF8AD" w14:textId="77777777" w:rsidR="00DE3AC9" w:rsidRPr="00E47B3F" w:rsidRDefault="00DE3AC9" w:rsidP="0048510E">
      <w:pPr>
        <w:pStyle w:val="FootnoteText"/>
        <w:rPr>
          <w:lang w:val="fr-FR"/>
        </w:rPr>
      </w:pPr>
      <w:r>
        <w:rPr>
          <w:rStyle w:val="FootnoteReference"/>
        </w:rPr>
        <w:footnoteRef/>
      </w:r>
      <w:r w:rsidRPr="00E47B3F">
        <w:rPr>
          <w:lang w:val="fr-FR"/>
        </w:rPr>
        <w:t xml:space="preserve"> </w:t>
      </w:r>
      <w:r w:rsidRPr="00E47B3F">
        <w:rPr>
          <w:i/>
          <w:iCs/>
          <w:lang w:val="fr-FR"/>
        </w:rPr>
        <w:t xml:space="preserve">L’Abeille, </w:t>
      </w:r>
      <w:r w:rsidRPr="00E47B3F">
        <w:rPr>
          <w:lang w:val="fr-FR"/>
        </w:rPr>
        <w:t>June 2005.</w:t>
      </w:r>
    </w:p>
  </w:footnote>
  <w:footnote w:id="891">
    <w:p w14:paraId="5DDFDA1D" w14:textId="77777777" w:rsidR="00DE3AC9" w:rsidRPr="00C54460" w:rsidRDefault="00DE3AC9" w:rsidP="0048510E">
      <w:pPr>
        <w:pStyle w:val="FootnoteText"/>
      </w:pPr>
      <w:r>
        <w:rPr>
          <w:rStyle w:val="FootnoteReference"/>
        </w:rPr>
        <w:footnoteRef/>
      </w:r>
      <w:r w:rsidRPr="00C54460">
        <w:t xml:space="preserve"> </w:t>
      </w:r>
      <w:r w:rsidRPr="00C54460">
        <w:rPr>
          <w:i/>
          <w:iCs/>
        </w:rPr>
        <w:t xml:space="preserve">L’Oiseau de France, </w:t>
      </w:r>
      <w:r w:rsidRPr="00C54460">
        <w:t>14 July 1916.</w:t>
      </w:r>
    </w:p>
  </w:footnote>
  <w:footnote w:id="892">
    <w:p w14:paraId="6FBF7F7F" w14:textId="77777777"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sidRPr="00C54460">
        <w:rPr>
          <w:noProof/>
        </w:rPr>
        <w:t xml:space="preserve">McPhail, </w:t>
      </w:r>
      <w:r w:rsidRPr="00C54460">
        <w:rPr>
          <w:i/>
          <w:noProof/>
        </w:rPr>
        <w:t>The long</w:t>
      </w:r>
      <w:r>
        <w:fldChar w:fldCharType="end"/>
      </w:r>
      <w:r w:rsidRPr="00C54460">
        <w:t>, pp. 133-135.</w:t>
      </w:r>
    </w:p>
  </w:footnote>
  <w:footnote w:id="893">
    <w:p w14:paraId="208B19BC" w14:textId="77777777" w:rsidR="00DE3AC9" w:rsidRPr="00AB59B4" w:rsidRDefault="00DE3AC9" w:rsidP="0048510E">
      <w:pPr>
        <w:pStyle w:val="FootnoteText"/>
        <w:rPr>
          <w:lang w:val="fr-FR"/>
        </w:rPr>
      </w:pPr>
      <w:r>
        <w:rPr>
          <w:rStyle w:val="FootnoteReference"/>
        </w:rPr>
        <w:footnoteRef/>
      </w:r>
      <w:r>
        <w:t xml:space="preserve"> </w:t>
      </w:r>
      <w:r w:rsidRPr="00C32B1B">
        <w:t xml:space="preserve">IWM: </w:t>
      </w:r>
      <w:r>
        <w:t xml:space="preserve">Papers of Lieutenant-Colonel A. Lee, Sherwood Foresters. Report on the morale situation in Roubaix. </w:t>
      </w:r>
      <w:r w:rsidRPr="00AB59B4">
        <w:rPr>
          <w:lang w:val="fr-FR"/>
        </w:rPr>
        <w:t>19 October 1918.</w:t>
      </w:r>
    </w:p>
  </w:footnote>
  <w:footnote w:id="894">
    <w:p w14:paraId="1366F8AC" w14:textId="77777777" w:rsidR="00DE3AC9" w:rsidRPr="0041304F" w:rsidRDefault="00DE3AC9" w:rsidP="0048510E">
      <w:pPr>
        <w:pStyle w:val="FootnoteText"/>
        <w:rPr>
          <w:lang w:val="fr-FR"/>
        </w:rPr>
      </w:pPr>
      <w:r>
        <w:rPr>
          <w:rStyle w:val="FootnoteReference"/>
        </w:rPr>
        <w:footnoteRef/>
      </w:r>
      <w:r w:rsidRPr="00AB59B4">
        <w:rPr>
          <w:lang w:val="fr-FR"/>
        </w:rPr>
        <w:t xml:space="preserve"> </w:t>
      </w:r>
      <w: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7B7627">
        <w:rPr>
          <w:noProof/>
          <w:lang w:val="fr-FR"/>
        </w:rPr>
        <w:t xml:space="preserve">de Schaepdrijver, </w:t>
      </w:r>
      <w:r w:rsidRPr="007B7627">
        <w:rPr>
          <w:i/>
          <w:noProof/>
          <w:lang w:val="fr-FR"/>
        </w:rPr>
        <w:t>La Belgique</w:t>
      </w:r>
      <w:r>
        <w:fldChar w:fldCharType="end"/>
      </w:r>
      <w:r w:rsidRPr="00AB59B4">
        <w:rPr>
          <w:lang w:val="fr-FR"/>
        </w:rPr>
        <w:t>, p. 116.</w:t>
      </w:r>
    </w:p>
  </w:footnote>
  <w:footnote w:id="895">
    <w:p w14:paraId="705E9AE0" w14:textId="77777777" w:rsidR="00DE3AC9" w:rsidRPr="007109DC" w:rsidRDefault="00DE3AC9" w:rsidP="0048510E">
      <w:pPr>
        <w:pStyle w:val="FootnoteText"/>
      </w:pPr>
      <w:r>
        <w:rPr>
          <w:rStyle w:val="FootnoteReference"/>
        </w:rPr>
        <w:footnoteRef/>
      </w:r>
      <w:r w:rsidRPr="00A803D6">
        <w:rPr>
          <w:lang w:val="fr-BE"/>
        </w:rPr>
        <w:t xml:space="preserve"> AGR: T 029/461. Fonds Charles de Broqueville. </w:t>
      </w:r>
      <w:r w:rsidRPr="007109DC">
        <w:t xml:space="preserve">Anonymous report of March 1915 about the morale in Brussels. </w:t>
      </w:r>
    </w:p>
  </w:footnote>
  <w:footnote w:id="896">
    <w:p w14:paraId="78686CA5" w14:textId="77777777" w:rsidR="00DE3AC9" w:rsidRPr="00F57585" w:rsidRDefault="00DE3AC9" w:rsidP="0048510E">
      <w:pPr>
        <w:pStyle w:val="FootnoteText"/>
        <w:rPr>
          <w:lang w:val="fr-FR"/>
        </w:rPr>
      </w:pPr>
      <w:r>
        <w:rPr>
          <w:rStyle w:val="FootnoteReference"/>
        </w:rPr>
        <w:footnoteRef/>
      </w:r>
      <w:r w:rsidRPr="00F57585">
        <w:rPr>
          <w:lang w:val="fr-FR"/>
        </w:rPr>
        <w:t xml:space="preserve"> </w:t>
      </w:r>
      <w:r>
        <w:fldChar w:fldCharType="begin"/>
      </w:r>
      <w:r>
        <w:rPr>
          <w:lang w:val="fr-FR"/>
        </w:rPr>
        <w:instrText xml:space="preserve"> ADDIN EN.CITE &lt;EndNote&gt;&lt;Cite&gt;&lt;Author&gt;Gille&lt;/Author&gt;&lt;Year&gt;1919&lt;/Year&gt;&lt;RecNum&gt;211&lt;/RecNum&gt;&lt;DisplayText&gt;Louis Gille, Alphonse Ooms, and Paul Delandsheere, &lt;style face="italic"&gt;Cinquante mois d&amp;apos;occupation allemande. Vol. I 1914-1915.&lt;/style&gt;, (Brussels, 1919)&lt;/DisplayText&gt;&lt;record&gt;&lt;rec-number&gt;211&lt;/rec-number&gt;&lt;foreign-keys&gt;&lt;key app="EN" db-id="2f5rvwawcsv2woetvw35fzwbdvvswerd0err"&gt;211&lt;/key&gt;&lt;/foreign-keys&gt;&lt;ref-type name="Book"&gt;6&lt;/ref-type&gt;&lt;contributors&gt;&lt;authors&gt;&lt;author&gt;Gille, Louis&lt;/author&gt;&lt;author&gt;Ooms, Alphonse&lt;/author&gt;&lt;author&gt;Delandsheere, Paul&lt;/author&gt;&lt;/authors&gt;&lt;/contributors&gt;&lt;titles&gt;&lt;title&gt;Cinquante mois d&amp;apos;occupation allemande. Vol. I 1914-1915.&lt;/title&gt;&lt;short-title&gt;Cinquante vol I&lt;/short-title&gt;&lt;/titles&gt;&lt;dates&gt;&lt;year&gt;1919&lt;/year&gt;&lt;/dates&gt;&lt;pub-location&gt;Brussels&lt;/pub-location&gt;&lt;urls&gt;&lt;/urls&gt;&lt;/record&gt;&lt;/Cite&gt;&lt;/EndNote&gt;</w:instrText>
      </w:r>
      <w:r>
        <w:fldChar w:fldCharType="separate"/>
      </w:r>
      <w:r w:rsidRPr="007B7627">
        <w:rPr>
          <w:noProof/>
          <w:lang w:val="fr-FR"/>
        </w:rPr>
        <w:t xml:space="preserve">Louis Gille, Alphonse Ooms, and Paul Delandsheere, </w:t>
      </w:r>
      <w:r w:rsidRPr="007B7627">
        <w:rPr>
          <w:i/>
          <w:noProof/>
          <w:lang w:val="fr-FR"/>
        </w:rPr>
        <w:t>Cinquante mois d'occupation allemande. Vol. I 1914-1915.</w:t>
      </w:r>
      <w:r w:rsidRPr="007B7627">
        <w:rPr>
          <w:noProof/>
          <w:lang w:val="fr-FR"/>
        </w:rPr>
        <w:t>, (Brussels, 1919)</w:t>
      </w:r>
      <w:r>
        <w:fldChar w:fldCharType="end"/>
      </w:r>
      <w:r w:rsidRPr="00F57585">
        <w:rPr>
          <w:lang w:val="fr-FR"/>
        </w:rPr>
        <w:t xml:space="preserve">, p. 432 and </w:t>
      </w:r>
      <w:r>
        <w:fldChar w:fldCharType="begin"/>
      </w:r>
      <w:r>
        <w:rPr>
          <w:lang w:val="fr-FR"/>
        </w:rPr>
        <w:instrText xml:space="preserve"> ADDIN EN.CITE &lt;EndNote&gt;&lt;Cite&gt;&lt;Author&gt;Vierset&lt;/Author&gt;&lt;Year&gt;1932&lt;/Year&gt;&lt;RecNum&gt;214&lt;/RecNum&gt;&lt;DisplayText&gt;Auguste Vierset, &lt;style face="italic"&gt;Mes souvenirs sur l&amp;apos;occupation allemande en Belgique&lt;/style&gt;, (Paris, 1932)&lt;/DisplayText&gt;&lt;record&gt;&lt;rec-number&gt;214&lt;/rec-number&gt;&lt;foreign-keys&gt;&lt;key app="EN" db-id="2f5rvwawcsv2woetvw35fzwbdvvswerd0err"&gt;214&lt;/key&gt;&lt;/foreign-keys&gt;&lt;ref-type name="Book"&gt;6&lt;/ref-type&gt;&lt;contributors&gt;&lt;authors&gt;&lt;author&gt;Vierset, Auguste&lt;/author&gt;&lt;/authors&gt;&lt;/contributors&gt;&lt;titles&gt;&lt;title&gt;Mes souvenirs sur l&amp;apos;occupation allemande en Belgique&lt;/title&gt;&lt;short-title&gt;Mes souvenirs&lt;/short-title&gt;&lt;/titles&gt;&lt;dates&gt;&lt;year&gt;1932&lt;/year&gt;&lt;/dates&gt;&lt;pub-location&gt;Paris&lt;/pub-location&gt;&lt;urls&gt;&lt;/urls&gt;&lt;/record&gt;&lt;/Cite&gt;&lt;/EndNote&gt;</w:instrText>
      </w:r>
      <w:r>
        <w:fldChar w:fldCharType="separate"/>
      </w:r>
      <w:r w:rsidRPr="007B7627">
        <w:rPr>
          <w:noProof/>
          <w:lang w:val="fr-FR"/>
        </w:rPr>
        <w:t xml:space="preserve">Auguste Vierset, </w:t>
      </w:r>
      <w:r w:rsidRPr="007B7627">
        <w:rPr>
          <w:i/>
          <w:noProof/>
          <w:lang w:val="fr-FR"/>
        </w:rPr>
        <w:t>Mes souvenirs sur l'occupation allemande en Belgique</w:t>
      </w:r>
      <w:r w:rsidRPr="007B7627">
        <w:rPr>
          <w:noProof/>
          <w:lang w:val="fr-FR"/>
        </w:rPr>
        <w:t>, (Paris, 1932)</w:t>
      </w:r>
      <w:r>
        <w:fldChar w:fldCharType="end"/>
      </w:r>
      <w:r w:rsidRPr="00F57585">
        <w:rPr>
          <w:lang w:val="fr-FR"/>
        </w:rPr>
        <w:t>, p. 358.</w:t>
      </w:r>
    </w:p>
  </w:footnote>
  <w:footnote w:id="897">
    <w:p w14:paraId="591CFE16" w14:textId="77777777" w:rsidR="00DE3AC9" w:rsidRPr="007C3DB8" w:rsidRDefault="00DE3AC9" w:rsidP="0048510E">
      <w:pPr>
        <w:pStyle w:val="FootnoteText"/>
      </w:pPr>
      <w:r>
        <w:rPr>
          <w:rStyle w:val="FootnoteReference"/>
        </w:rPr>
        <w:footnoteRef/>
      </w:r>
      <w:r w:rsidRPr="00F57585">
        <w:rPr>
          <w:lang w:val="fr-FR"/>
        </w:rPr>
        <w:t xml:space="preserve"> </w:t>
      </w:r>
      <w:r>
        <w:fldChar w:fldCharType="begin"/>
      </w:r>
      <w:r>
        <w:rPr>
          <w:lang w:val="fr-FR"/>
        </w:rPr>
        <w:instrText xml:space="preserve"> ADDIN EN.CITE &lt;EndNote&gt;&lt;Cite&gt;&lt;Author&gt;Gille&lt;/Author&gt;&lt;Year&gt;1919&lt;/Year&gt;&lt;RecNum&gt;212&lt;/RecNum&gt;&lt;DisplayText&gt;Louis Gille, Alphonse Ooms, and Paul Delandsheere, &lt;style face="italic"&gt;Cinquante mois d&amp;apos;occupation allemande. Vol. II 1916.&lt;/style&gt;, (Brussels, 1919)&lt;/DisplayText&gt;&lt;record&gt;&lt;rec-number&gt;212&lt;/rec-number&gt;&lt;foreign-keys&gt;&lt;key app="EN" db-id="2f5rvwawcsv2woetvw35fzwbdvvswerd0err"&gt;212&lt;/key&gt;&lt;/foreign-keys&gt;&lt;ref-type name="Book"&gt;6&lt;/ref-type&gt;&lt;contributors&gt;&lt;authors&gt;&lt;author&gt;Gille, Louis&lt;/author&gt;&lt;author&gt;Ooms, Alphonse&lt;/author&gt;&lt;author&gt;Delandsheere, Paul&lt;/author&gt;&lt;/authors&gt;&lt;/contributors&gt;&lt;titles&gt;&lt;title&gt;Cinquante mois d&amp;apos;occupation allemande. Vol. II 1916.&lt;/title&gt;&lt;short-title&gt;Cinquante vol II&lt;/short-title&gt;&lt;/titles&gt;&lt;dates&gt;&lt;year&gt;1919&lt;/year&gt;&lt;/dates&gt;&lt;pub-location&gt;Brussels&lt;/pub-location&gt;&lt;urls&gt;&lt;/urls&gt;&lt;/record&gt;&lt;/Cite&gt;&lt;/EndNote&gt;</w:instrText>
      </w:r>
      <w:r>
        <w:fldChar w:fldCharType="separate"/>
      </w:r>
      <w:r w:rsidRPr="007B7627">
        <w:rPr>
          <w:noProof/>
          <w:lang w:val="fr-FR"/>
        </w:rPr>
        <w:t xml:space="preserve">Louis Gille, Alphonse Ooms, and Paul Delandsheere, </w:t>
      </w:r>
      <w:r w:rsidRPr="007B7627">
        <w:rPr>
          <w:i/>
          <w:noProof/>
          <w:lang w:val="fr-FR"/>
        </w:rPr>
        <w:t>Cinquante mois d'occupation allemande. Vol. II 1916.</w:t>
      </w:r>
      <w:r w:rsidRPr="007B7627">
        <w:rPr>
          <w:noProof/>
          <w:lang w:val="fr-FR"/>
        </w:rPr>
        <w:t>, (Brussels, 1919)</w:t>
      </w:r>
      <w:r>
        <w:fldChar w:fldCharType="end"/>
      </w:r>
      <w:r w:rsidRPr="00F57585">
        <w:rPr>
          <w:lang w:val="fr-FR"/>
        </w:rPr>
        <w:t xml:space="preserve">, p. 289 ; </w:t>
      </w:r>
      <w:r>
        <w:fldChar w:fldCharType="begin"/>
      </w:r>
      <w:r>
        <w:rPr>
          <w:lang w:val="fr-FR"/>
        </w:rPr>
        <w:instrText xml:space="preserve"> ADDIN EN.CITE &lt;EndNote&gt;&lt;Cite&gt;&lt;Author&gt;Gille&lt;/Author&gt;&lt;Year&gt;1919&lt;/Year&gt;&lt;RecNum&gt;213&lt;/RecNum&gt;&lt;DisplayText&gt;Louis Gille, Alphonse Ooms, and Paul Delandsheere, &lt;style face="italic"&gt;Cinquante mois d&amp;apos;occupation allemande. Vol. III 1917.&lt;/style&gt;, (Brussels, 1919)&lt;/DisplayText&gt;&lt;record&gt;&lt;rec-number&gt;213&lt;/rec-number&gt;&lt;foreign-keys&gt;&lt;key app="EN" db-id="2f5rvwawcsv2woetvw35fzwbdvvswerd0err"&gt;213&lt;/key&gt;&lt;/foreign-keys&gt;&lt;ref-type name="Book"&gt;6&lt;/ref-type&gt;&lt;contributors&gt;&lt;authors&gt;&lt;author&gt;Gille, Louis&lt;/author&gt;&lt;author&gt;Ooms, Alphonse&lt;/author&gt;&lt;author&gt;Delandsheere, Paul&lt;/author&gt;&lt;/authors&gt;&lt;/contributors&gt;&lt;titles&gt;&lt;title&gt;Cinquante mois d&amp;apos;occupation allemande. Vol. III 1917.&lt;/title&gt;&lt;short-title&gt;Cinquante vol III&lt;/short-title&gt;&lt;/titles&gt;&lt;dates&gt;&lt;year&gt;1919&lt;/year&gt;&lt;/dates&gt;&lt;pub-location&gt;Brussels&lt;/pub-location&gt;&lt;urls&gt;&lt;/urls&gt;&lt;/record&gt;&lt;/Cite&gt;&lt;/EndNote&gt;</w:instrText>
      </w:r>
      <w:r>
        <w:fldChar w:fldCharType="separate"/>
      </w:r>
      <w:r w:rsidRPr="007B7627">
        <w:rPr>
          <w:noProof/>
          <w:lang w:val="fr-FR"/>
        </w:rPr>
        <w:t xml:space="preserve">Louis Gille, Alphonse Ooms, and Paul Delandsheere, </w:t>
      </w:r>
      <w:r w:rsidRPr="007B7627">
        <w:rPr>
          <w:i/>
          <w:noProof/>
          <w:lang w:val="fr-FR"/>
        </w:rPr>
        <w:t xml:space="preserve">Cinquante mois d'occupation allemande. </w:t>
      </w:r>
      <w:r w:rsidRPr="007C3DB8">
        <w:rPr>
          <w:i/>
          <w:noProof/>
        </w:rPr>
        <w:t>Vol. III 1917.</w:t>
      </w:r>
      <w:r w:rsidRPr="007C3DB8">
        <w:rPr>
          <w:noProof/>
        </w:rPr>
        <w:t>, (Brussels, 1919)</w:t>
      </w:r>
      <w:r>
        <w:fldChar w:fldCharType="end"/>
      </w:r>
      <w:r w:rsidRPr="007C3DB8">
        <w:t xml:space="preserve">, p. 39 and </w:t>
      </w:r>
      <w:r>
        <w:fldChar w:fldCharType="begin"/>
      </w:r>
      <w:r w:rsidRPr="007C3DB8">
        <w:instrText xml:space="preserve"> ADDIN EN.CITE &lt;EndNote&gt;&lt;Cite&gt;&lt;Author&gt;Vierset&lt;/Author&gt;&lt;Year&gt;1932&lt;/Year&gt;&lt;RecNum&gt;214&lt;/RecNum&gt;&lt;DisplayText&gt;Vierset, &lt;style face="italic"&gt;Mes souvenirs&lt;/style&gt;&lt;/DisplayText&gt;&lt;record&gt;&lt;rec-number&gt;214&lt;/rec-number&gt;&lt;foreign-keys&gt;&lt;key app="EN" db-id="2f5rvwawcsv2woetvw35fzwbdvvswerd0err"&gt;214&lt;/key&gt;&lt;/foreign-keys&gt;&lt;ref-type name="Book"&gt;6&lt;/ref-type&gt;&lt;contributors&gt;&lt;authors&gt;&lt;author&gt;Vierset, Auguste&lt;/author&gt;&lt;/authors&gt;&lt;/contributors&gt;&lt;titles&gt;&lt;title&gt;Mes souvenirs sur l&amp;apos;occupation allemande en Belgique&lt;/title&gt;&lt;short-title&gt;Mes souvenirs&lt;/short-title&gt;&lt;/titles&gt;&lt;dates&gt;&lt;year&gt;1932&lt;/year&gt;&lt;/dates&gt;&lt;pub-location&gt;Paris&lt;/pub-location&gt;&lt;urls&gt;&lt;/urls&gt;&lt;/record&gt;&lt;/Cite&gt;&lt;/EndNote&gt;</w:instrText>
      </w:r>
      <w:r>
        <w:fldChar w:fldCharType="separate"/>
      </w:r>
      <w:r w:rsidRPr="007C3DB8">
        <w:rPr>
          <w:noProof/>
        </w:rPr>
        <w:t xml:space="preserve">Vierset, </w:t>
      </w:r>
      <w:r w:rsidRPr="007C3DB8">
        <w:rPr>
          <w:i/>
          <w:noProof/>
        </w:rPr>
        <w:t>Mes souvenirs</w:t>
      </w:r>
      <w:r>
        <w:fldChar w:fldCharType="end"/>
      </w:r>
      <w:r w:rsidRPr="007C3DB8">
        <w:t>, p. 395.</w:t>
      </w:r>
    </w:p>
  </w:footnote>
  <w:footnote w:id="898">
    <w:p w14:paraId="484C6D7B" w14:textId="77777777" w:rsidR="00DE3AC9" w:rsidRPr="00F57585" w:rsidRDefault="00DE3AC9" w:rsidP="0048510E">
      <w:pPr>
        <w:pStyle w:val="FootnoteText"/>
        <w:rPr>
          <w:lang w:val="fr-FR"/>
        </w:rPr>
      </w:pPr>
      <w:r>
        <w:rPr>
          <w:rStyle w:val="FootnoteReference"/>
        </w:rPr>
        <w:footnoteRef/>
      </w:r>
      <w:r>
        <w:t xml:space="preserve"> </w:t>
      </w:r>
      <w:r w:rsidRPr="00C32B1B">
        <w:t xml:space="preserve">IWM: </w:t>
      </w:r>
      <w:r>
        <w:t xml:space="preserve">Papers of Lieutenant-Colonel A. Lee, Sherwood Foresters. Report on the morale situation in Brussels. </w:t>
      </w:r>
      <w:r w:rsidRPr="00F57585">
        <w:rPr>
          <w:lang w:val="fr-FR"/>
        </w:rPr>
        <w:t>7 October 1918.</w:t>
      </w:r>
    </w:p>
  </w:footnote>
  <w:footnote w:id="899">
    <w:p w14:paraId="3710D935" w14:textId="77777777" w:rsidR="00DE3AC9" w:rsidRPr="0094503F" w:rsidRDefault="00DE3AC9" w:rsidP="0048510E">
      <w:pPr>
        <w:pStyle w:val="FootnoteText"/>
        <w:rPr>
          <w:lang w:val="fr-FR"/>
        </w:rPr>
      </w:pPr>
      <w:r>
        <w:rPr>
          <w:rStyle w:val="FootnoteReference"/>
        </w:rPr>
        <w:footnoteRef/>
      </w:r>
      <w:r w:rsidRPr="00F57585">
        <w:rPr>
          <w:lang w:val="fr-FR"/>
        </w:rPr>
        <w:t xml:space="preserve"> </w:t>
      </w:r>
      <w:r>
        <w:fldChar w:fldCharType="begin"/>
      </w:r>
      <w:r>
        <w:rPr>
          <w:lang w:val="fr-FR"/>
        </w:rPr>
        <w:instrText xml:space="preserve"> ADDIN EN.CITE &lt;EndNote&gt;&lt;Cite&gt;&lt;Author&gt;Gille&lt;/Author&gt;&lt;Year&gt;1919&lt;/Year&gt;&lt;RecNum&gt;215&lt;/RecNum&gt;&lt;DisplayText&gt;Louis Gille, Alphonse Ooms, and Paul Delandsheere, &lt;style face="italic"&gt;Cinquante mois d&amp;apos;occupation allemande. Vol. IV 1918.&lt;/style&gt;, (Brussels, 1919)&lt;/DisplayText&gt;&lt;record&gt;&lt;rec-number&gt;215&lt;/rec-number&gt;&lt;foreign-keys&gt;&lt;key app="EN" db-id="2f5rvwawcsv2woetvw35fzwbdvvswerd0err"&gt;215&lt;/key&gt;&lt;/foreign-keys&gt;&lt;ref-type name="Book"&gt;6&lt;/ref-type&gt;&lt;contributors&gt;&lt;authors&gt;&lt;author&gt;Gille, Louis&lt;/author&gt;&lt;author&gt;Ooms, Alphonse&lt;/author&gt;&lt;author&gt;Delandsheere, Paul&lt;/author&gt;&lt;/authors&gt;&lt;/contributors&gt;&lt;titles&gt;&lt;title&gt;Cinquante mois d&amp;apos;occupation allemande. Vol. IV 1918.&lt;/title&gt;&lt;short-title&gt;Cinquante vol IV&lt;/short-title&gt;&lt;/titles&gt;&lt;dates&gt;&lt;year&gt;1919&lt;/year&gt;&lt;/dates&gt;&lt;pub-location&gt;Brussels&lt;/pub-location&gt;&lt;urls&gt;&lt;/urls&gt;&lt;/record&gt;&lt;/Cite&gt;&lt;/EndNote&gt;</w:instrText>
      </w:r>
      <w:r>
        <w:fldChar w:fldCharType="separate"/>
      </w:r>
      <w:r w:rsidRPr="007B7627">
        <w:rPr>
          <w:noProof/>
          <w:lang w:val="fr-FR"/>
        </w:rPr>
        <w:t xml:space="preserve">Louis Gille, Alphonse Ooms, and Paul Delandsheere, </w:t>
      </w:r>
      <w:r w:rsidRPr="007B7627">
        <w:rPr>
          <w:i/>
          <w:noProof/>
          <w:lang w:val="fr-FR"/>
        </w:rPr>
        <w:t>Cinquante mois d'occupation allemande. Vol. IV 1918.</w:t>
      </w:r>
      <w:r w:rsidRPr="007B7627">
        <w:rPr>
          <w:noProof/>
          <w:lang w:val="fr-FR"/>
        </w:rPr>
        <w:t>, (Brussels, 1919)</w:t>
      </w:r>
      <w:r>
        <w:fldChar w:fldCharType="end"/>
      </w:r>
      <w:r w:rsidRPr="00F57585">
        <w:rPr>
          <w:lang w:val="fr-FR"/>
        </w:rPr>
        <w:t>, p. 39.</w:t>
      </w:r>
    </w:p>
  </w:footnote>
  <w:footnote w:id="900">
    <w:p w14:paraId="1C6991B6" w14:textId="77777777" w:rsidR="00DE3AC9" w:rsidRPr="002D473B" w:rsidRDefault="00DE3AC9" w:rsidP="0048510E">
      <w:pPr>
        <w:pStyle w:val="FootnoteText"/>
        <w:rPr>
          <w:lang w:val="fr-FR"/>
        </w:rPr>
      </w:pPr>
      <w:r>
        <w:rPr>
          <w:rStyle w:val="FootnoteReference"/>
        </w:rPr>
        <w:footnoteRef/>
      </w:r>
      <w:r w:rsidRPr="00F57585">
        <w:rPr>
          <w:lang w:val="fr-FR"/>
        </w:rPr>
        <w:t xml:space="preserve"> </w:t>
      </w:r>
      <w:r>
        <w:fldChar w:fldCharType="begin"/>
      </w:r>
      <w:r>
        <w:rPr>
          <w:lang w:val="fr-FR"/>
        </w:rPr>
        <w:instrText xml:space="preserve"> ADDIN EN.CITE &lt;EndNote&gt;&lt;Cite&gt;&lt;Author&gt;Gille&lt;/Author&gt;&lt;Year&gt;1919&lt;/Year&gt;&lt;RecNum&gt;215&lt;/RecNum&gt;&lt;DisplayText&gt;Ibid.&lt;/DisplayText&gt;&lt;record&gt;&lt;rec-number&gt;215&lt;/rec-number&gt;&lt;foreign-keys&gt;&lt;key app="EN" db-id="2f5rvwawcsv2woetvw35fzwbdvvswerd0err"&gt;215&lt;/key&gt;&lt;/foreign-keys&gt;&lt;ref-type name="Book"&gt;6&lt;/ref-type&gt;&lt;contributors&gt;&lt;authors&gt;&lt;author&gt;Gille, Louis&lt;/author&gt;&lt;author&gt;Ooms, Alphonse&lt;/author&gt;&lt;author&gt;Delandsheere, Paul&lt;/author&gt;&lt;/authors&gt;&lt;/contributors&gt;&lt;titles&gt;&lt;title&gt;Cinquante mois d&amp;apos;occupation allemande. Vol. IV 1918.&lt;/title&gt;&lt;short-title&gt;Cinquante vol IV&lt;/short-title&gt;&lt;/titles&gt;&lt;dates&gt;&lt;year&gt;1919&lt;/year&gt;&lt;/dates&gt;&lt;pub-location&gt;Brussels&lt;/pub-location&gt;&lt;urls&gt;&lt;/urls&gt;&lt;/record&gt;&lt;/Cite&gt;&lt;/EndNote&gt;</w:instrText>
      </w:r>
      <w:r>
        <w:fldChar w:fldCharType="separate"/>
      </w:r>
      <w:r w:rsidRPr="00F57585">
        <w:rPr>
          <w:noProof/>
          <w:lang w:val="fr-FR"/>
        </w:rPr>
        <w:t>Ibid.</w:t>
      </w:r>
      <w:r>
        <w:fldChar w:fldCharType="end"/>
      </w:r>
      <w:r w:rsidRPr="00F57585">
        <w:rPr>
          <w:lang w:val="fr-FR"/>
        </w:rPr>
        <w:t>, p. 322.</w:t>
      </w:r>
    </w:p>
  </w:footnote>
  <w:footnote w:id="901">
    <w:p w14:paraId="1907A339" w14:textId="77777777" w:rsidR="00DE3AC9" w:rsidRPr="002D473B" w:rsidRDefault="00DE3AC9" w:rsidP="0048510E">
      <w:pPr>
        <w:pStyle w:val="FootnoteText"/>
        <w:rPr>
          <w:lang w:val="fr-FR"/>
        </w:rPr>
      </w:pPr>
      <w:r>
        <w:rPr>
          <w:rStyle w:val="FootnoteReference"/>
        </w:rPr>
        <w:footnoteRef/>
      </w:r>
      <w:r w:rsidRPr="00F57585">
        <w:rPr>
          <w:lang w:val="fr-FR"/>
        </w:rPr>
        <w:t xml:space="preserve"> </w:t>
      </w:r>
      <w:r>
        <w:fldChar w:fldCharType="begin"/>
      </w:r>
      <w:r>
        <w:rPr>
          <w:lang w:val="fr-FR"/>
        </w:rPr>
        <w:instrText xml:space="preserve"> ADDIN EN.CITE &lt;EndNote&gt;&lt;Cite&gt;&lt;Author&gt;Gille&lt;/Author&gt;&lt;Year&gt;1919&lt;/Year&gt;&lt;RecNum&gt;215&lt;/RecNum&gt;&lt;DisplayText&gt;Ibid.&lt;/DisplayText&gt;&lt;record&gt;&lt;rec-number&gt;215&lt;/rec-number&gt;&lt;foreign-keys&gt;&lt;key app="EN" db-id="2f5rvwawcsv2woetvw35fzwbdvvswerd0err"&gt;215&lt;/key&gt;&lt;/foreign-keys&gt;&lt;ref-type name="Book"&gt;6&lt;/ref-type&gt;&lt;contributors&gt;&lt;authors&gt;&lt;author&gt;Gille, Louis&lt;/author&gt;&lt;author&gt;Ooms, Alphonse&lt;/author&gt;&lt;author&gt;Delandsheere, Paul&lt;/author&gt;&lt;/authors&gt;&lt;/contributors&gt;&lt;titles&gt;&lt;title&gt;Cinquante mois d&amp;apos;occupation allemande. Vol. IV 1918.&lt;/title&gt;&lt;short-title&gt;Cinquante vol IV&lt;/short-title&gt;&lt;/titles&gt;&lt;dates&gt;&lt;year&gt;1919&lt;/year&gt;&lt;/dates&gt;&lt;pub-location&gt;Brussels&lt;/pub-location&gt;&lt;urls&gt;&lt;/urls&gt;&lt;/record&gt;&lt;/Cite&gt;&lt;/EndNote&gt;</w:instrText>
      </w:r>
      <w:r>
        <w:fldChar w:fldCharType="separate"/>
      </w:r>
      <w:r w:rsidRPr="00F57585">
        <w:rPr>
          <w:noProof/>
          <w:lang w:val="fr-FR"/>
        </w:rPr>
        <w:t>Ibid.</w:t>
      </w:r>
      <w:r>
        <w:fldChar w:fldCharType="end"/>
      </w:r>
      <w:r w:rsidRPr="00F57585">
        <w:rPr>
          <w:lang w:val="fr-FR"/>
        </w:rPr>
        <w:t>, p. 323.</w:t>
      </w:r>
    </w:p>
  </w:footnote>
  <w:footnote w:id="902">
    <w:p w14:paraId="550D8CB6" w14:textId="77777777" w:rsidR="00DE3AC9" w:rsidRPr="00C63CED" w:rsidRDefault="00DE3AC9" w:rsidP="00C63CED">
      <w:pPr>
        <w:pStyle w:val="FootnoteText"/>
        <w:rPr>
          <w:lang w:val="fr-FR"/>
        </w:rPr>
      </w:pPr>
      <w:r>
        <w:rPr>
          <w:rStyle w:val="FootnoteReference"/>
        </w:rPr>
        <w:footnoteRef/>
      </w:r>
      <w:r w:rsidRPr="00C63CED">
        <w:rPr>
          <w:lang w:val="fr-FR"/>
        </w:rPr>
        <w:t xml:space="preserve"> </w:t>
      </w:r>
      <w:r>
        <w:rPr>
          <w:lang w:val="fr-FR"/>
        </w:rPr>
        <w:fldChar w:fldCharType="begin"/>
      </w:r>
      <w:r>
        <w:rPr>
          <w:lang w:val="fr-FR"/>
        </w:rPr>
        <w:instrText xml:space="preserve"> ADDIN EN.CITE &lt;EndNote&gt;&lt;Cite&gt;&lt;Author&gt;Sorgeloos&lt;/Author&gt;&lt;Year&gt;1991&lt;/Year&gt;&lt;RecNum&gt;347&lt;/RecNum&gt;&lt;DisplayText&gt;C. Sorgeloos and Veirman Gilbert, &amp;apos;La guerre du silence ou le journal de la comtesse d&amp;apos;Oultremont&amp;apos;, in: &lt;style face="italic"&gt;Revue belge d&amp;apos;histoire militaire, &lt;/style&gt;XXIX (1991), &lt;/DisplayText&gt;&lt;record&gt;&lt;rec-number&gt;347&lt;/rec-number&gt;&lt;foreign-keys&gt;&lt;key app="EN" db-id="2f5rvwawcsv2woetvw35fzwbdvvswerd0err"&gt;347&lt;/key&gt;&lt;/foreign-keys&gt;&lt;ref-type name="Journal Article"&gt;17&lt;/ref-type&gt;&lt;contributors&gt;&lt;authors&gt;&lt;author&gt;Sorgeloos, C.&lt;/author&gt;&lt;author&gt;Veirman Gilbert&lt;/author&gt;&lt;/authors&gt;&lt;/contributors&gt;&lt;titles&gt;&lt;title&gt;La guerre du silence ou le journal de la comtesse d&amp;apos;Oultremont&lt;/title&gt;&lt;secondary-title&gt;Revue belge d&amp;apos;histoire militaire&lt;/secondary-title&gt;&lt;/titles&gt;&lt;periodical&gt;&lt;full-title&gt;Revue belge d&amp;apos;histoire militaire&lt;/full-title&gt;&lt;/periodical&gt;&lt;volume&gt;XXIX&lt;/volume&gt;&lt;dates&gt;&lt;year&gt;1991&lt;/year&gt;&lt;/dates&gt;&lt;urls&gt;&lt;/urls&gt;&lt;/record&gt;&lt;/Cite&gt;&lt;/EndNote&gt;</w:instrText>
      </w:r>
      <w:r>
        <w:rPr>
          <w:lang w:val="fr-FR"/>
        </w:rPr>
        <w:fldChar w:fldCharType="separate"/>
      </w:r>
      <w:r>
        <w:rPr>
          <w:noProof/>
          <w:lang w:val="fr-FR"/>
        </w:rPr>
        <w:t xml:space="preserve">C. Sorgeloos and Veirman Gilbert, 'La guerre du silence ou le journal de la comtesse d'Oultremont', in: </w:t>
      </w:r>
      <w:r w:rsidRPr="00C63CED">
        <w:rPr>
          <w:i/>
          <w:noProof/>
          <w:lang w:val="fr-FR"/>
        </w:rPr>
        <w:t xml:space="preserve">Revue belge d'histoire militaire, </w:t>
      </w:r>
      <w:r>
        <w:rPr>
          <w:noProof/>
          <w:lang w:val="fr-FR"/>
        </w:rPr>
        <w:t xml:space="preserve">XXIX (1991), </w:t>
      </w:r>
      <w:r>
        <w:rPr>
          <w:lang w:val="fr-FR"/>
        </w:rPr>
        <w:fldChar w:fldCharType="end"/>
      </w:r>
      <w:r>
        <w:rPr>
          <w:lang w:val="fr-FR"/>
        </w:rPr>
        <w:t>pp. 122-144.</w:t>
      </w:r>
    </w:p>
  </w:footnote>
  <w:footnote w:id="903">
    <w:p w14:paraId="03DBF524" w14:textId="77777777" w:rsidR="00DE3AC9" w:rsidRPr="00501C89"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&lt;EndNote&gt;&lt;Cite&gt;&lt;Author&gt;Boverie&lt;/Author&gt;&lt;Year&gt;1978&lt;/Year&gt;&lt;RecNum&gt;217&lt;/RecNum&gt;&lt;DisplayText&gt;Dieudonné Boverie, &lt;style face="italic"&gt;Liège dans la guerre et dans la paix&lt;/style&gt;, (Liège, 1978)&lt;/DisplayText&gt;&lt;record&gt;&lt;rec-number&gt;217&lt;/rec-number&gt;&lt;foreign-keys&gt;&lt;key app="EN" db-id="2f5rvwawcsv2woetvw35fzwbdvvswerd0err"&gt;217&lt;/key&gt;&lt;/foreign-keys&gt;&lt;ref-type name="Book"&gt;6&lt;/ref-type&gt;&lt;contributors&gt;&lt;authors&gt;&lt;author&gt;Boverie, Dieudonné&lt;/author&gt;&lt;/authors&gt;&lt;/contributors&gt;&lt;titles&gt;&lt;title&gt;Liège dans la guerre et dans la paix&lt;/title&gt;&lt;short-title&gt;Liège&lt;/short-title&gt;&lt;/titles&gt;&lt;dates&gt;&lt;year&gt;1978&lt;/year&gt;&lt;/dates&gt;&lt;pub-location&gt;Liège&lt;/pub-location&gt;&lt;urls&gt;&lt;/urls&gt;&lt;/record&gt;&lt;/Cite&gt;&lt;/EndNote&gt;</w:instrText>
      </w:r>
      <w:r>
        <w:fldChar w:fldCharType="separate"/>
      </w:r>
      <w:r w:rsidRPr="007B7627">
        <w:rPr>
          <w:noProof/>
          <w:lang w:val="fr-FR"/>
        </w:rPr>
        <w:t xml:space="preserve">Dieudonné Boverie, </w:t>
      </w:r>
      <w:r w:rsidRPr="007B7627">
        <w:rPr>
          <w:i/>
          <w:noProof/>
          <w:lang w:val="fr-FR"/>
        </w:rPr>
        <w:t>Liège dans la guerre et dans la paix</w:t>
      </w:r>
      <w:r w:rsidRPr="007B7627">
        <w:rPr>
          <w:noProof/>
          <w:lang w:val="fr-FR"/>
        </w:rPr>
        <w:t>, (Liège, 1978)</w:t>
      </w:r>
      <w:r>
        <w:fldChar w:fldCharType="end"/>
      </w:r>
      <w:r w:rsidRPr="00DA04D3">
        <w:rPr>
          <w:lang w:val="fr-FR"/>
        </w:rPr>
        <w:t>, p. 114.</w:t>
      </w:r>
    </w:p>
  </w:footnote>
  <w:footnote w:id="904">
    <w:p w14:paraId="28582372" w14:textId="77777777" w:rsidR="00DE3AC9" w:rsidRPr="00B61CD6"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&lt;EndNote&gt;&lt;Cite&gt;&lt;Author&gt;De Thier&lt;/Author&gt;&lt;Year&gt;1919&lt;/Year&gt;&lt;RecNum&gt;218&lt;/RecNum&gt;&lt;DisplayText&gt;Jules De Thier and Olympe Gilbart, &lt;style face="italic"&gt;Liège pendant la grande guerre. Tome III Liège indomptée&lt;/style&gt;, (Liège, 1919)&lt;/DisplayText&gt;&lt;record&gt;&lt;rec-number&gt;218&lt;/rec-number&gt;&lt;foreign-keys&gt;&lt;key app="EN" db-id="2f5rvwawcsv2woetvw35fzwbdvvswerd0err"&gt;218&lt;/key&gt;&lt;/foreign-keys&gt;&lt;ref-type name="Book"&gt;6&lt;/ref-type&gt;&lt;contributors&gt;&lt;authors&gt;&lt;author&gt;De Thier, Jules&lt;/author&gt;&lt;author&gt;Gilbart, Olympe&lt;/author&gt;&lt;/authors&gt;&lt;/contributors&gt;&lt;titles&gt;&lt;title&gt;Liège pendant la grande guerre. Tome III Liège indomptée&lt;/title&gt;&lt;short-title&gt;Liège&lt;/short-title&gt;&lt;/titles&gt;&lt;dates&gt;&lt;year&gt;1919&lt;/year&gt;&lt;/dates&gt;&lt;pub-location&gt;Liège&lt;/pub-location&gt;&lt;urls&gt;&lt;/urls&gt;&lt;/record&gt;&lt;/Cite&gt;&lt;/EndNote&gt;</w:instrText>
      </w:r>
      <w:r>
        <w:fldChar w:fldCharType="separate"/>
      </w:r>
      <w:r w:rsidRPr="007B7627">
        <w:rPr>
          <w:noProof/>
          <w:lang w:val="fr-FR"/>
        </w:rPr>
        <w:t xml:space="preserve">Jules De Thier and Olympe Gilbart, </w:t>
      </w:r>
      <w:r w:rsidRPr="007B7627">
        <w:rPr>
          <w:i/>
          <w:noProof/>
          <w:lang w:val="fr-FR"/>
        </w:rPr>
        <w:t>Liège pendant la grande guerre. Tome III Liège indomptée</w:t>
      </w:r>
      <w:r w:rsidRPr="007B7627">
        <w:rPr>
          <w:noProof/>
          <w:lang w:val="fr-FR"/>
        </w:rPr>
        <w:t>, (Liège, 1919)</w:t>
      </w:r>
      <w:r>
        <w:fldChar w:fldCharType="end"/>
      </w:r>
      <w:r w:rsidRPr="00DA04D3">
        <w:rPr>
          <w:lang w:val="fr-FR"/>
        </w:rPr>
        <w:t>, p. 28.</w:t>
      </w:r>
    </w:p>
  </w:footnote>
  <w:footnote w:id="905">
    <w:p w14:paraId="58549D30" w14:textId="77777777" w:rsidR="00DE3AC9" w:rsidRPr="00160546"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&lt;EndNote&gt;&lt;Cite&gt;&lt;Author&gt;Masoin&lt;/Author&gt;&lt;Year&gt;1919&lt;/Year&gt;&lt;RecNum&gt;221&lt;/RecNum&gt;&lt;DisplayText&gt;Fritz Masoin, &lt;style face="italic"&gt;Le règne de la brute&lt;/style&gt;, (Brussels, 1919)&lt;/DisplayText&gt;&lt;record&gt;&lt;rec-number&gt;221&lt;/rec-number&gt;&lt;foreign-keys&gt;&lt;key app="EN" db-id="2f5rvwawcsv2woetvw35fzwbdvvswerd0err"&gt;221&lt;/key&gt;&lt;/foreign-keys&gt;&lt;ref-type name="Book"&gt;6&lt;/ref-type&gt;&lt;contributors&gt;&lt;authors&gt;&lt;author&gt;Masoin, Fritz&lt;/author&gt;&lt;/authors&gt;&lt;/contributors&gt;&lt;titles&gt;&lt;title&gt;Le règne de la brute&lt;/title&gt;&lt;short-title&gt;Le règne&lt;/short-title&gt;&lt;/titles&gt;&lt;dates&gt;&lt;year&gt;1919&lt;/year&gt;&lt;/dates&gt;&lt;pub-location&gt;Brussels&lt;/pub-location&gt;&lt;urls&gt;&lt;/urls&gt;&lt;/record&gt;&lt;/Cite&gt;&lt;/EndNote&gt;</w:instrText>
      </w:r>
      <w:r>
        <w:fldChar w:fldCharType="separate"/>
      </w:r>
      <w:r w:rsidRPr="007B7627">
        <w:rPr>
          <w:noProof/>
          <w:lang w:val="fr-FR"/>
        </w:rPr>
        <w:t xml:space="preserve">Fritz Masoin, </w:t>
      </w:r>
      <w:r w:rsidRPr="007B7627">
        <w:rPr>
          <w:i/>
          <w:noProof/>
          <w:lang w:val="fr-FR"/>
        </w:rPr>
        <w:t>Le règne de la brute</w:t>
      </w:r>
      <w:r w:rsidRPr="007B7627">
        <w:rPr>
          <w:noProof/>
          <w:lang w:val="fr-FR"/>
        </w:rPr>
        <w:t>, (Brussels, 1919)</w:t>
      </w:r>
      <w:r>
        <w:fldChar w:fldCharType="end"/>
      </w:r>
      <w:r w:rsidRPr="00DA04D3">
        <w:rPr>
          <w:lang w:val="fr-FR"/>
        </w:rPr>
        <w:t>, p. 14.</w:t>
      </w:r>
    </w:p>
  </w:footnote>
  <w:footnote w:id="906">
    <w:p w14:paraId="411F0CEF" w14:textId="77777777" w:rsidR="00DE3AC9" w:rsidRPr="000D1850"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&lt;EndNote&gt;&lt;Cite&gt;&lt;Author&gt;De Schryver&lt;/Author&gt;&lt;Year&gt;1919&lt;/Year&gt;&lt;RecNum&gt;219&lt;/RecNum&gt;&lt;DisplayText&gt;Charles De Schryver, &lt;style face="italic"&gt;Liège pendant la guerre&lt;/style&gt;, (Liège, 1919)&lt;/DisplayText&gt;&lt;record&gt;&lt;rec-number&gt;219&lt;/rec-number&gt;&lt;foreign-keys&gt;&lt;key app="EN" db-id="2f5rvwawcsv2woetvw35fzwbdvvswerd0err"&gt;219&lt;/key&gt;&lt;/foreign-keys&gt;&lt;ref-type name="Book"&gt;6&lt;/ref-type&gt;&lt;contributors&gt;&lt;authors&gt;&lt;author&gt;De Schryver, Charles&lt;/author&gt;&lt;/authors&gt;&lt;/contributors&gt;&lt;titles&gt;&lt;title&gt;Liège pendant la guerre&lt;/title&gt;&lt;short-title&gt;Liège&lt;/short-title&gt;&lt;/titles&gt;&lt;dates&gt;&lt;year&gt;1919&lt;/year&gt;&lt;/dates&gt;&lt;pub-location&gt;Liège&lt;/pub-location&gt;&lt;urls&gt;&lt;/urls&gt;&lt;/record&gt;&lt;/Cite&gt;&lt;/EndNote&gt;</w:instrText>
      </w:r>
      <w:r>
        <w:fldChar w:fldCharType="separate"/>
      </w:r>
      <w:r w:rsidRPr="007B7627">
        <w:rPr>
          <w:noProof/>
          <w:lang w:val="fr-FR"/>
        </w:rPr>
        <w:t xml:space="preserve">Charles De Schryver, </w:t>
      </w:r>
      <w:r w:rsidRPr="007B7627">
        <w:rPr>
          <w:i/>
          <w:noProof/>
          <w:lang w:val="fr-FR"/>
        </w:rPr>
        <w:t>Liège pendant la guerre</w:t>
      </w:r>
      <w:r w:rsidRPr="007B7627">
        <w:rPr>
          <w:noProof/>
          <w:lang w:val="fr-FR"/>
        </w:rPr>
        <w:t>, (Liège, 1919)</w:t>
      </w:r>
      <w:r>
        <w:fldChar w:fldCharType="end"/>
      </w:r>
      <w:r w:rsidRPr="00DA04D3">
        <w:rPr>
          <w:lang w:val="fr-FR"/>
        </w:rPr>
        <w:t>, p. 98.</w:t>
      </w:r>
    </w:p>
  </w:footnote>
  <w:footnote w:id="907">
    <w:p w14:paraId="5F400623" w14:textId="77777777" w:rsidR="00DE3AC9" w:rsidRPr="00DA04D3" w:rsidRDefault="00DE3AC9" w:rsidP="0048510E">
      <w:pPr>
        <w:pStyle w:val="FootnoteText"/>
        <w:rPr>
          <w:lang w:val="fr-FR"/>
        </w:rPr>
      </w:pPr>
      <w:r>
        <w:rPr>
          <w:rStyle w:val="FootnoteReference"/>
        </w:rPr>
        <w:footnoteRef/>
      </w:r>
      <w:r w:rsidRPr="00CD7CFB">
        <w:rPr>
          <w:lang w:val="fr-FR"/>
        </w:rPr>
        <w:t xml:space="preserve"> </w:t>
      </w:r>
      <w:r>
        <w:rPr>
          <w:lang w:val="fr-FR"/>
        </w:rPr>
        <w:t xml:space="preserve">AGR: T 029/461. </w:t>
      </w:r>
      <w:r w:rsidRPr="00CD7CFB">
        <w:rPr>
          <w:lang w:val="fr-FR"/>
        </w:rPr>
        <w:t>Fonds Charles de Broqueville</w:t>
      </w:r>
      <w:r>
        <w:rPr>
          <w:lang w:val="fr-FR"/>
        </w:rPr>
        <w:t xml:space="preserve">. </w:t>
      </w:r>
      <w:r w:rsidRPr="00CD7CFB">
        <w:t xml:space="preserve">Letter from E. Pietz to Charles de Broqueville about the morale in Verviers and </w:t>
      </w:r>
      <w:r>
        <w:t xml:space="preserve">Dohain. </w:t>
      </w:r>
      <w:r w:rsidRPr="00DA04D3">
        <w:rPr>
          <w:lang w:val="fr-FR"/>
        </w:rPr>
        <w:t>15 November 1916.</w:t>
      </w:r>
    </w:p>
  </w:footnote>
  <w:footnote w:id="908">
    <w:p w14:paraId="36385A56" w14:textId="77777777" w:rsidR="00DE3AC9" w:rsidRPr="000D1850"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&lt;EndNote&gt;&lt;Cite&gt;&lt;Author&gt;Van der Essen&lt;/Author&gt;&lt;Year&gt;1917&lt;/Year&gt;&lt;RecNum&gt;220&lt;/RecNum&gt;&lt;DisplayText&gt;Léon Van der Essen, &lt;style face="italic"&gt;Petite histoire de l&amp;apos;occupation&lt;/style&gt;, (Paris, 1917)&lt;/DisplayText&gt;&lt;record&gt;&lt;rec-number&gt;220&lt;/rec-number&gt;&lt;foreign-keys&gt;&lt;key app="EN" db-id="2f5rvwawcsv2woetvw35fzwbdvvswerd0err"&gt;220&lt;/key&gt;&lt;/foreign-keys&gt;&lt;ref-type name="Book"&gt;6&lt;/ref-type&gt;&lt;contributors&gt;&lt;authors&gt;&lt;author&gt;Van der Essen, Léon&lt;/author&gt;&lt;/authors&gt;&lt;/contributors&gt;&lt;titles&gt;&lt;title&gt;Petite histoire de l&amp;apos;occupation&lt;/title&gt;&lt;short-title&gt;Petite histoire&lt;/short-title&gt;&lt;/titles&gt;&lt;dates&gt;&lt;year&gt;1917&lt;/year&gt;&lt;/dates&gt;&lt;pub-location&gt;Paris&lt;/pub-location&gt;&lt;urls&gt;&lt;/urls&gt;&lt;/record&gt;&lt;/Cite&gt;&lt;/EndNote&gt;</w:instrText>
      </w:r>
      <w:r>
        <w:fldChar w:fldCharType="separate"/>
      </w:r>
      <w:r w:rsidRPr="007B7627">
        <w:rPr>
          <w:noProof/>
          <w:lang w:val="fr-FR"/>
        </w:rPr>
        <w:t xml:space="preserve">Léon Van der Essen, </w:t>
      </w:r>
      <w:r w:rsidRPr="007B7627">
        <w:rPr>
          <w:i/>
          <w:noProof/>
          <w:lang w:val="fr-FR"/>
        </w:rPr>
        <w:t>Petite histoire de l'occupation</w:t>
      </w:r>
      <w:r w:rsidRPr="007B7627">
        <w:rPr>
          <w:noProof/>
          <w:lang w:val="fr-FR"/>
        </w:rPr>
        <w:t>, (Paris, 1917)</w:t>
      </w:r>
      <w:r>
        <w:fldChar w:fldCharType="end"/>
      </w:r>
      <w:r w:rsidRPr="00DA04D3">
        <w:rPr>
          <w:lang w:val="fr-FR"/>
        </w:rPr>
        <w:t>, pp. 82-83.</w:t>
      </w:r>
    </w:p>
  </w:footnote>
  <w:footnote w:id="909">
    <w:p w14:paraId="2AEE651E" w14:textId="77777777" w:rsidR="00DE3AC9" w:rsidRPr="00802695" w:rsidRDefault="00DE3AC9" w:rsidP="0048510E">
      <w:pPr>
        <w:pStyle w:val="FootnoteText"/>
      </w:pPr>
      <w:r>
        <w:rPr>
          <w:rStyle w:val="FootnoteReference"/>
        </w:rPr>
        <w:footnoteRef/>
      </w:r>
      <w:r>
        <w:t xml:space="preserve"> </w:t>
      </w:r>
      <w:r w:rsidRPr="00C32B1B">
        <w:t xml:space="preserve">IWM: </w:t>
      </w:r>
      <w:r>
        <w:t xml:space="preserve">Papers of Lieutenant-Colonel A. Lee, Sherwood Foresters. Report on aerial distribution. 7 October 1918 and </w:t>
      </w:r>
      <w:r>
        <w:fldChar w:fldCharType="begin"/>
      </w:r>
      <w:r>
        <w:instrText xml:space="preserve"> ADDIN EN.CITE &lt;EndNote&gt;&lt;Cite&gt;&lt;Author&gt;De Thier&lt;/Author&gt;&lt;Year&gt;1919&lt;/Year&gt;&lt;RecNum&gt;218&lt;/RecNum&gt;&lt;DisplayText&gt;De Thier and Gilbart, &lt;style face="italic"&gt;Liège&lt;/style&gt;&lt;/DisplayText&gt;&lt;record&gt;&lt;rec-number&gt;218&lt;/rec-number&gt;&lt;foreign-keys&gt;&lt;key app="EN" db-id="2f5rvwawcsv2woetvw35fzwbdvvswerd0err"&gt;218&lt;/key&gt;&lt;/foreign-keys&gt;&lt;ref-type name="Book"&gt;6&lt;/ref-type&gt;&lt;contributors&gt;&lt;authors&gt;&lt;author&gt;De Thier, Jules&lt;/author&gt;&lt;author&gt;Gilbart, Olympe&lt;/author&gt;&lt;/authors&gt;&lt;/contributors&gt;&lt;titles&gt;&lt;title&gt;Liège pendant la grande guerre. Tome III Liège indomptée&lt;/title&gt;&lt;short-title&gt;Liège&lt;/short-title&gt;&lt;/titles&gt;&lt;dates&gt;&lt;year&gt;1919&lt;/year&gt;&lt;/dates&gt;&lt;pub-location&gt;Liège&lt;/pub-location&gt;&lt;urls&gt;&lt;/urls&gt;&lt;/record&gt;&lt;/Cite&gt;&lt;/EndNote&gt;</w:instrText>
      </w:r>
      <w:r>
        <w:fldChar w:fldCharType="separate"/>
      </w:r>
      <w:r>
        <w:rPr>
          <w:noProof/>
        </w:rPr>
        <w:t xml:space="preserve">De Thier and Gilbart, </w:t>
      </w:r>
      <w:r w:rsidRPr="007B7627">
        <w:rPr>
          <w:i/>
          <w:noProof/>
        </w:rPr>
        <w:t>Liège</w:t>
      </w:r>
      <w:r>
        <w:fldChar w:fldCharType="end"/>
      </w:r>
      <w:r>
        <w:t>, p. 239.</w:t>
      </w:r>
    </w:p>
  </w:footnote>
  <w:footnote w:id="910">
    <w:p w14:paraId="16A9FB81" w14:textId="77777777" w:rsidR="00DE3AC9" w:rsidRPr="007371C8" w:rsidRDefault="00DE3AC9" w:rsidP="0048510E">
      <w:pPr>
        <w:pStyle w:val="FootnoteText"/>
      </w:pPr>
      <w:r>
        <w:rPr>
          <w:rStyle w:val="FootnoteReference"/>
        </w:rPr>
        <w:footnoteRef/>
      </w:r>
      <w:r>
        <w:t xml:space="preserve"> SHD AT: 16N1569. Report by GQG about aerial propaganda.</w:t>
      </w:r>
    </w:p>
  </w:footnote>
  <w:footnote w:id="911">
    <w:p w14:paraId="122241E8" w14:textId="77777777" w:rsidR="00DE3AC9" w:rsidRPr="007371C8" w:rsidRDefault="00DE3AC9" w:rsidP="0048510E">
      <w:pPr>
        <w:pStyle w:val="FootnoteText"/>
        <w:rPr>
          <w:lang w:val="fr-FR"/>
        </w:rPr>
      </w:pPr>
      <w:r>
        <w:rPr>
          <w:rStyle w:val="FootnoteReference"/>
        </w:rPr>
        <w:footnoteRef/>
      </w:r>
      <w:r w:rsidRPr="00DA04D3">
        <w:rPr>
          <w:lang w:val="fr-FR"/>
        </w:rPr>
        <w:t xml:space="preserve"> </w:t>
      </w:r>
      <w:r>
        <w:fldChar w:fldCharType="begin"/>
      </w:r>
      <w:r>
        <w:rPr>
          <w:lang w:val="fr-FR"/>
        </w:rPr>
        <w:instrText xml:space="preserve"> ADDIN EN.CITE &lt;EndNote&gt;&lt;Cite&gt;&lt;Author&gt;Hubert&lt;/Author&gt;&lt;Year&gt;1929&lt;/Year&gt;&lt;RecNum&gt;222&lt;/RecNum&gt;&lt;DisplayText&gt;Joseph Hubert, &lt;style face="italic"&gt;Rosignol. Les drames de l&amp;apos;invasion allemande dans le Luxembourg belge&lt;/style&gt;, (Tamines, 1929)&lt;/DisplayText&gt;&lt;record&gt;&lt;rec-number&gt;222&lt;/rec-number&gt;&lt;foreign-keys&gt;&lt;key app="EN" db-id="2f5rvwawcsv2woetvw35fzwbdvvswerd0err"&gt;222&lt;/key&gt;&lt;/foreign-keys&gt;&lt;ref-type name="Book"&gt;6&lt;/ref-type&gt;&lt;contributors&gt;&lt;authors&gt;&lt;author&gt;Hubert, Joseph&lt;/author&gt;&lt;/authors&gt;&lt;/contributors&gt;&lt;titles&gt;&lt;title&gt;Rosignol. Les drames de l&amp;apos;invasion allemande dans le Luxembourg belge&lt;/title&gt;&lt;short-title&gt;Rosignol&lt;/short-title&gt;&lt;/titles&gt;&lt;dates&gt;&lt;year&gt;1929&lt;/year&gt;&lt;/dates&gt;&lt;pub-location&gt;Tamines&lt;/pub-location&gt;&lt;urls&gt;&lt;/urls&gt;&lt;/record&gt;&lt;/Cite&gt;&lt;/EndNote&gt;</w:instrText>
      </w:r>
      <w:r>
        <w:fldChar w:fldCharType="separate"/>
      </w:r>
      <w:r w:rsidRPr="007B7627">
        <w:rPr>
          <w:noProof/>
          <w:lang w:val="fr-FR"/>
        </w:rPr>
        <w:t xml:space="preserve">Joseph Hubert, </w:t>
      </w:r>
      <w:r w:rsidRPr="007B7627">
        <w:rPr>
          <w:i/>
          <w:noProof/>
          <w:lang w:val="fr-FR"/>
        </w:rPr>
        <w:t>Rosignol. Les drames de l'invasion allemande dans le Luxembourg belge</w:t>
      </w:r>
      <w:r w:rsidRPr="007B7627">
        <w:rPr>
          <w:noProof/>
          <w:lang w:val="fr-FR"/>
        </w:rPr>
        <w:t>, (Tamines, 1929)</w:t>
      </w:r>
      <w:r>
        <w:fldChar w:fldCharType="end"/>
      </w:r>
      <w:r w:rsidRPr="007371C8">
        <w:rPr>
          <w:lang w:val="fr-FR"/>
        </w:rPr>
        <w:t xml:space="preserve">, p. </w:t>
      </w:r>
      <w:r>
        <w:rPr>
          <w:lang w:val="fr-FR"/>
        </w:rPr>
        <w:t>145.</w:t>
      </w:r>
    </w:p>
  </w:footnote>
  <w:footnote w:id="912">
    <w:p w14:paraId="4747240B" w14:textId="77777777" w:rsidR="00DE3AC9" w:rsidRPr="00734EB7" w:rsidRDefault="00DE3AC9" w:rsidP="0048510E">
      <w:pPr>
        <w:pStyle w:val="FootnoteText"/>
      </w:pPr>
      <w:r>
        <w:rPr>
          <w:rStyle w:val="FootnoteReference"/>
        </w:rPr>
        <w:footnoteRef/>
      </w:r>
      <w:r w:rsidRPr="00734EB7">
        <w:rPr>
          <w:lang w:val="fr-FR"/>
        </w:rPr>
        <w:t xml:space="preserve"> AGR: T 029/461. Fonds Charles de Broqueville. </w:t>
      </w:r>
      <w:r w:rsidRPr="00734EB7">
        <w:t xml:space="preserve">Letters of </w:t>
      </w:r>
      <w:r>
        <w:t>J.</w:t>
      </w:r>
      <w:r w:rsidRPr="00734EB7">
        <w:t xml:space="preserve"> Dorlodot to </w:t>
      </w:r>
      <w:r>
        <w:t xml:space="preserve">C. de </w:t>
      </w:r>
      <w:r w:rsidRPr="00734EB7">
        <w:t>Broqueville.</w:t>
      </w:r>
      <w:r>
        <w:t xml:space="preserve"> 18 and 20 May 1916.</w:t>
      </w:r>
      <w:r w:rsidRPr="00734EB7">
        <w:t xml:space="preserve"> </w:t>
      </w:r>
    </w:p>
  </w:footnote>
  <w:footnote w:id="913">
    <w:p w14:paraId="0F3E8DC5"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fldChar w:fldCharType="begin"/>
      </w:r>
      <w:r w:rsidRPr="00DE3AC9">
        <w:rPr>
          <w:lang w:val="fr-FR"/>
        </w:rPr>
        <w:instrText xml:space="preserve"> ADDIN EN.CITE &lt;EndNote&gt;&lt;Cite&gt;&lt;Author&gt;Chot&lt;/Author&gt;&lt;Year&gt;1919&lt;/Year&gt;&lt;RecNum&gt;223&lt;/RecNum&gt;&lt;DisplayText&gt;Joseph Chot, &lt;style face="italic"&gt;Pendant la tourmente&lt;/style&gt;, (Charleroi, 1919)&lt;/DisplayText&gt;&lt;record&gt;&lt;rec-number&gt;223&lt;/rec-number&gt;&lt;foreign-keys&gt;&lt;key app="EN" db-id="2f5rvwawcsv2woetvw35fzwbdvvswerd0err"&gt;223&lt;/key&gt;&lt;/foreign-keys&gt;&lt;ref-type name="Book"&gt;6&lt;/ref-type&gt;&lt;contributors&gt;&lt;authors&gt;&lt;author&gt;Chot, Joseph&lt;/author&gt;&lt;/authors&gt;&lt;/contributors&gt;&lt;titles&gt;&lt;title&gt;Pendant la tourmente&lt;/title&gt;&lt;short-title&gt;Pendant&lt;/short-title&gt;&lt;/titles&gt;&lt;dates&gt;&lt;year&gt;1919&lt;/year&gt;&lt;/dates&gt;&lt;pub-location&gt;Charleroi&lt;/pub-location&gt;&lt;urls&gt;&lt;/urls&gt;&lt;/record&gt;&lt;/Cite&gt;&lt;/EndNote&gt;</w:instrText>
      </w:r>
      <w:r>
        <w:fldChar w:fldCharType="separate"/>
      </w:r>
      <w:r w:rsidRPr="00DE3AC9">
        <w:rPr>
          <w:noProof/>
          <w:lang w:val="fr-FR"/>
        </w:rPr>
        <w:t xml:space="preserve">Joseph Chot, </w:t>
      </w:r>
      <w:r w:rsidRPr="00DE3AC9">
        <w:rPr>
          <w:i/>
          <w:noProof/>
          <w:lang w:val="fr-FR"/>
        </w:rPr>
        <w:t>Pendant la tourmente</w:t>
      </w:r>
      <w:r w:rsidRPr="00DE3AC9">
        <w:rPr>
          <w:noProof/>
          <w:lang w:val="fr-FR"/>
        </w:rPr>
        <w:t>, (Charleroi, 1919)</w:t>
      </w:r>
      <w:r>
        <w:fldChar w:fldCharType="end"/>
      </w:r>
      <w:r w:rsidRPr="00DE3AC9">
        <w:rPr>
          <w:lang w:val="fr-FR"/>
        </w:rPr>
        <w:t>, p. 258.</w:t>
      </w:r>
    </w:p>
  </w:footnote>
  <w:footnote w:id="914">
    <w:p w14:paraId="6DD174E3" w14:textId="77777777" w:rsidR="00DE3AC9" w:rsidRPr="00881DB6" w:rsidRDefault="00DE3AC9" w:rsidP="0048510E">
      <w:pPr>
        <w:pStyle w:val="FootnoteText"/>
      </w:pPr>
      <w:r>
        <w:rPr>
          <w:rStyle w:val="FootnoteReference"/>
        </w:rPr>
        <w:footnoteRef/>
      </w:r>
      <w:r>
        <w:t xml:space="preserve"> </w:t>
      </w:r>
      <w:r w:rsidRPr="00C32B1B">
        <w:t xml:space="preserve">IWM: </w:t>
      </w:r>
      <w:r>
        <w:t xml:space="preserve">Papers of Lieutenant-Colonel A. Lee, Sherwood Foresters. Report on aerial distribution. 29 July 1918. </w:t>
      </w:r>
    </w:p>
  </w:footnote>
  <w:footnote w:id="915">
    <w:p w14:paraId="177E1CC2" w14:textId="77777777" w:rsidR="00DE3AC9" w:rsidRPr="007E3F44" w:rsidRDefault="00DE3AC9" w:rsidP="0048510E">
      <w:pPr>
        <w:pStyle w:val="FootnoteText"/>
      </w:pPr>
      <w:r>
        <w:rPr>
          <w:rStyle w:val="FootnoteReference"/>
        </w:rPr>
        <w:footnoteRef/>
      </w:r>
      <w:r>
        <w:t xml:space="preserve"> </w:t>
      </w:r>
      <w:r w:rsidRPr="007E3F44">
        <w:t>Private</w:t>
      </w:r>
      <w:r>
        <w:t xml:space="preserve"> collection:</w:t>
      </w:r>
      <w:r w:rsidRPr="007E3F44">
        <w:t xml:space="preserve"> diary of Notary Hambye of Mons.</w:t>
      </w:r>
      <w:r>
        <w:t xml:space="preserve"> Entry of 24 July 1918.</w:t>
      </w:r>
      <w:r w:rsidRPr="007E3F44">
        <w:t xml:space="preserve"> </w:t>
      </w:r>
      <w:r>
        <w:t xml:space="preserve">Thank you to Nicolas Mignon for the discovery of the diary and to Emmanuel Debruyne for giving me the transcripts. </w:t>
      </w:r>
    </w:p>
  </w:footnote>
  <w:footnote w:id="916">
    <w:p w14:paraId="5C21EE5B" w14:textId="77777777" w:rsidR="00DE3AC9" w:rsidRPr="00AE3639" w:rsidRDefault="00DE3AC9" w:rsidP="0048510E">
      <w:pPr>
        <w:pStyle w:val="FootnoteText"/>
      </w:pPr>
      <w:r>
        <w:rPr>
          <w:rStyle w:val="FootnoteReference"/>
        </w:rPr>
        <w:footnoteRef/>
      </w:r>
      <w:r>
        <w:t xml:space="preserve"> </w:t>
      </w:r>
      <w:r>
        <w:rPr>
          <w:i/>
          <w:iCs/>
        </w:rPr>
        <w:t>Ibid</w:t>
      </w:r>
      <w:r>
        <w:t>. Entry of 13 September 1918.</w:t>
      </w:r>
    </w:p>
  </w:footnote>
  <w:footnote w:id="917">
    <w:p w14:paraId="1CC1F586" w14:textId="77777777" w:rsidR="00DE3AC9" w:rsidRPr="00DE3AC9" w:rsidRDefault="00DE3AC9" w:rsidP="0048510E">
      <w:pPr>
        <w:pStyle w:val="FootnoteText"/>
        <w:rPr>
          <w:lang w:val="fr-FR"/>
        </w:rPr>
      </w:pPr>
      <w:r>
        <w:rPr>
          <w:rStyle w:val="FootnoteReference"/>
        </w:rPr>
        <w:footnoteRef/>
      </w:r>
      <w:r>
        <w:t xml:space="preserve"> </w:t>
      </w:r>
      <w:r w:rsidRPr="00C32B1B">
        <w:t xml:space="preserve">IWM: </w:t>
      </w:r>
      <w:r>
        <w:t xml:space="preserve">Papers of Lieutenant-Colonel A. Lee, Sherwood Foresters. </w:t>
      </w:r>
      <w:r w:rsidRPr="00DE3AC9">
        <w:rPr>
          <w:lang w:val="fr-FR"/>
        </w:rPr>
        <w:t>Report on aerial distribution. September 1918.</w:t>
      </w:r>
    </w:p>
  </w:footnote>
  <w:footnote w:id="918">
    <w:p w14:paraId="57F4CEB3" w14:textId="77777777" w:rsidR="00DE3AC9" w:rsidRPr="00563AAC" w:rsidRDefault="00DE3AC9" w:rsidP="0048510E">
      <w:pPr>
        <w:pStyle w:val="FootnoteText"/>
        <w:rPr>
          <w:lang w:val="fr-FR"/>
        </w:rPr>
      </w:pPr>
      <w:r>
        <w:rPr>
          <w:rStyle w:val="FootnoteReference"/>
        </w:rPr>
        <w:footnoteRef/>
      </w:r>
      <w:r w:rsidRPr="00CE2703">
        <w:rPr>
          <w:lang w:val="fr-FR"/>
        </w:rPr>
        <w:t xml:space="preserve"> </w:t>
      </w:r>
      <w:r>
        <w:fldChar w:fldCharType="begin"/>
      </w:r>
      <w:r>
        <w:rPr>
          <w:lang w:val="fr-FR"/>
        </w:rPr>
        <w:instrText xml:space="preserve"> ADDIN EN.CITE &lt;EndNote&gt;&lt;Cite&gt;&lt;Author&gt;Baertsoen&lt;/Author&gt;&lt;Year&gt;1929&lt;/Year&gt;&lt;RecNum&gt;224&lt;/RecNum&gt;&lt;DisplayText&gt;Marc Baertsoen, &lt;style face="italic"&gt;Notes d&amp;apos;un gantois sur la guerre de 1914-1918&lt;/style&gt;, (Gand, 1929)&lt;/DisplayText&gt;&lt;record&gt;&lt;rec-number&gt;224&lt;/rec-number&gt;&lt;foreign-keys&gt;&lt;key app="EN" db-id="2f5rvwawcsv2woetvw35fzwbdvvswerd0err"&gt;224&lt;/key&gt;&lt;/foreign-keys&gt;&lt;ref-type name="Book"&gt;6&lt;/ref-type&gt;&lt;contributors&gt;&lt;authors&gt;&lt;author&gt;Baertsoen, Marc&lt;/author&gt;&lt;/authors&gt;&lt;/contributors&gt;&lt;titles&gt;&lt;title&gt;Notes d&amp;apos;un gantois sur la guerre de 1914-1918&lt;/title&gt;&lt;short-title&gt;Notes &lt;/short-title&gt;&lt;/titles&gt;&lt;dates&gt;&lt;year&gt;1929&lt;/year&gt;&lt;/dates&gt;&lt;pub-location&gt;Gand&lt;/pub-location&gt;&lt;urls&gt;&lt;/urls&gt;&lt;/record&gt;&lt;/Cite&gt;&lt;/EndNote&gt;</w:instrText>
      </w:r>
      <w:r>
        <w:fldChar w:fldCharType="separate"/>
      </w:r>
      <w:r w:rsidRPr="007B7627">
        <w:rPr>
          <w:noProof/>
          <w:lang w:val="fr-FR"/>
        </w:rPr>
        <w:t xml:space="preserve">Marc Baertsoen, </w:t>
      </w:r>
      <w:r w:rsidRPr="007B7627">
        <w:rPr>
          <w:i/>
          <w:noProof/>
          <w:lang w:val="fr-FR"/>
        </w:rPr>
        <w:t>Notes d'un gantois sur la guerre de 1914-1918</w:t>
      </w:r>
      <w:r w:rsidRPr="007B7627">
        <w:rPr>
          <w:noProof/>
          <w:lang w:val="fr-FR"/>
        </w:rPr>
        <w:t>, (Gand, 1929)</w:t>
      </w:r>
      <w:r>
        <w:fldChar w:fldCharType="end"/>
      </w:r>
      <w:r w:rsidRPr="00CE2703">
        <w:rPr>
          <w:lang w:val="fr-FR"/>
        </w:rPr>
        <w:t>, p. 130.</w:t>
      </w:r>
    </w:p>
  </w:footnote>
  <w:footnote w:id="919">
    <w:p w14:paraId="65AA8BA2" w14:textId="77777777" w:rsidR="00DE3AC9" w:rsidRPr="00CE2703" w:rsidRDefault="00DE3AC9" w:rsidP="0048510E">
      <w:pPr>
        <w:pStyle w:val="FootnoteText"/>
        <w:rPr>
          <w:lang w:val="fr-FR"/>
        </w:rPr>
      </w:pPr>
      <w:r>
        <w:rPr>
          <w:rStyle w:val="FootnoteReference"/>
        </w:rPr>
        <w:footnoteRef/>
      </w:r>
      <w:r w:rsidRPr="00563AAC">
        <w:rPr>
          <w:lang w:val="fr-FR"/>
        </w:rPr>
        <w:t xml:space="preserve"> </w:t>
      </w:r>
      <w:r w:rsidRPr="00734EB7">
        <w:rPr>
          <w:lang w:val="fr-FR"/>
        </w:rPr>
        <w:t>AGR: T 029/461. Fonds Charles de Broqueville.</w:t>
      </w:r>
      <w:r>
        <w:rPr>
          <w:lang w:val="fr-FR"/>
        </w:rPr>
        <w:t xml:space="preserve"> </w:t>
      </w:r>
      <w:r w:rsidRPr="00563AAC">
        <w:t xml:space="preserve">Secret letter written by de Moor to Charles de Broqueville about the morale situation in Ghent. </w:t>
      </w:r>
      <w:r w:rsidRPr="00CE2703">
        <w:rPr>
          <w:lang w:val="fr-FR"/>
        </w:rPr>
        <w:t>18 April 1916.</w:t>
      </w:r>
    </w:p>
  </w:footnote>
  <w:footnote w:id="920">
    <w:p w14:paraId="5ABBA130" w14:textId="77777777" w:rsidR="00DE3AC9" w:rsidRPr="007B0BC1" w:rsidRDefault="00DE3AC9" w:rsidP="0048510E">
      <w:pPr>
        <w:pStyle w:val="FootnoteText"/>
      </w:pPr>
      <w:r>
        <w:rPr>
          <w:rStyle w:val="FootnoteReference"/>
        </w:rPr>
        <w:footnoteRef/>
      </w:r>
      <w:r w:rsidRPr="006466FC">
        <w:rPr>
          <w:lang w:val="fr-FR"/>
        </w:rPr>
        <w:t xml:space="preserve"> </w:t>
      </w:r>
      <w:r w:rsidRPr="00734EB7">
        <w:rPr>
          <w:lang w:val="fr-FR"/>
        </w:rPr>
        <w:t>AGR: T 029/461. Fonds Charles de Broqueville.</w:t>
      </w:r>
      <w:r>
        <w:rPr>
          <w:lang w:val="fr-FR"/>
        </w:rPr>
        <w:t xml:space="preserve"> Report by G. de Vos to Charles de Broqueville. </w:t>
      </w:r>
      <w:r w:rsidRPr="007B0BC1">
        <w:t>15 November 1916.</w:t>
      </w:r>
    </w:p>
  </w:footnote>
  <w:footnote w:id="921">
    <w:p w14:paraId="6B239862" w14:textId="77777777" w:rsidR="00DE3AC9" w:rsidRPr="007B0BC1" w:rsidRDefault="00DE3AC9" w:rsidP="0048510E">
      <w:pPr>
        <w:pStyle w:val="FootnoteText"/>
      </w:pPr>
      <w:r>
        <w:rPr>
          <w:rStyle w:val="FootnoteReference"/>
        </w:rPr>
        <w:footnoteRef/>
      </w:r>
      <w:r>
        <w:t xml:space="preserve"> </w:t>
      </w:r>
      <w:r>
        <w:fldChar w:fldCharType="begin"/>
      </w:r>
      <w:r>
        <w:instrText xml:space="preserve"> ADDIN EN.CITE &lt;EndNote&gt;&lt;Cite&gt;&lt;Author&gt;Baertsoen&lt;/Author&gt;&lt;Year&gt;1929&lt;/Year&gt;&lt;RecNum&gt;224&lt;/RecNum&gt;&lt;DisplayText&gt;Baertsoen, &lt;style face="italic"&gt;Notes &lt;/style&gt;&lt;/DisplayText&gt;&lt;record&gt;&lt;rec-number&gt;224&lt;/rec-number&gt;&lt;foreign-keys&gt;&lt;key app="EN" db-id="2f5rvwawcsv2woetvw35fzwbdvvswerd0err"&gt;224&lt;/key&gt;&lt;/foreign-keys&gt;&lt;ref-type name="Book"&gt;6&lt;/ref-type&gt;&lt;contributors&gt;&lt;authors&gt;&lt;author&gt;Baertsoen, Marc&lt;/author&gt;&lt;/authors&gt;&lt;/contributors&gt;&lt;titles&gt;&lt;title&gt;Notes d&amp;apos;un gantois sur la guerre de 1914-1918&lt;/title&gt;&lt;short-title&gt;Notes &lt;/short-title&gt;&lt;/titles&gt;&lt;dates&gt;&lt;year&gt;1929&lt;/year&gt;&lt;/dates&gt;&lt;pub-location&gt;Gand&lt;/pub-location&gt;&lt;urls&gt;&lt;/urls&gt;&lt;/record&gt;&lt;/Cite&gt;&lt;/EndNote&gt;</w:instrText>
      </w:r>
      <w:r>
        <w:fldChar w:fldCharType="separate"/>
      </w:r>
      <w:r>
        <w:rPr>
          <w:noProof/>
        </w:rPr>
        <w:t xml:space="preserve">Baertsoen, </w:t>
      </w:r>
      <w:r w:rsidRPr="007B7627">
        <w:rPr>
          <w:i/>
          <w:noProof/>
        </w:rPr>
        <w:t xml:space="preserve">Notes </w:t>
      </w:r>
      <w:r>
        <w:fldChar w:fldCharType="end"/>
      </w:r>
      <w:r>
        <w:t>, pp. 353-354.</w:t>
      </w:r>
    </w:p>
  </w:footnote>
  <w:footnote w:id="922">
    <w:p w14:paraId="4F99E1A9" w14:textId="77777777" w:rsidR="00DE3AC9" w:rsidRPr="0048510E" w:rsidRDefault="00DE3AC9" w:rsidP="0048510E">
      <w:pPr>
        <w:pStyle w:val="FootnoteText"/>
      </w:pPr>
      <w:r>
        <w:rPr>
          <w:rStyle w:val="FootnoteReference"/>
        </w:rPr>
        <w:footnoteRef/>
      </w:r>
      <w:r w:rsidRPr="0048510E">
        <w:t xml:space="preserve"> </w:t>
      </w:r>
      <w:r w:rsidRPr="0048510E">
        <w:rPr>
          <w:i/>
          <w:iCs/>
        </w:rPr>
        <w:t xml:space="preserve">The Times, </w:t>
      </w:r>
      <w:r w:rsidRPr="0048510E">
        <w:t>16 September 1918.</w:t>
      </w:r>
    </w:p>
  </w:footnote>
  <w:footnote w:id="923">
    <w:p w14:paraId="5D72E630" w14:textId="77777777" w:rsidR="00DE3AC9" w:rsidRPr="007C3DB8" w:rsidRDefault="00DE3AC9" w:rsidP="0048510E">
      <w:pPr>
        <w:pStyle w:val="FootnoteText"/>
        <w:rPr>
          <w:lang w:val="fr-FR"/>
        </w:rPr>
      </w:pPr>
      <w:r>
        <w:rPr>
          <w:rStyle w:val="FootnoteReference"/>
        </w:rPr>
        <w:footnoteRef/>
      </w:r>
      <w:r>
        <w:t xml:space="preserve"> BL: C.40.I.21. Unpublished account of the history of the </w:t>
      </w:r>
      <w:r>
        <w:rPr>
          <w:i/>
          <w:iCs/>
        </w:rPr>
        <w:t xml:space="preserve">Courrier de l’Air. </w:t>
      </w:r>
      <w:r w:rsidRPr="007C3DB8">
        <w:rPr>
          <w:lang w:val="fr-FR"/>
        </w:rPr>
        <w:t>November 1918.</w:t>
      </w:r>
    </w:p>
  </w:footnote>
  <w:footnote w:id="924">
    <w:p w14:paraId="1BF59874"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&lt;EndNote&gt;&lt;Cite&gt;&lt;Author&gt;Heron-Allen&lt;/Author&gt;&lt;Year&gt;2002&lt;/Year&gt;&lt;RecNum&gt;88&lt;/RecNum&gt;&lt;DisplayText&gt;Heron-Allen, &lt;style face="italic"&gt;Journal&lt;/style&gt;&lt;/DisplayText&gt;&lt;record&gt;&lt;rec-number&gt;88&lt;/rec-number&gt;&lt;foreign-keys&gt;&lt;key app="EN" db-id="2f5rvwawcsv2woetvw35fzwbdvvswerd0err"&gt;88&lt;/key&gt;&lt;/foreign-keys&gt;&lt;ref-type name="Journal Article"&gt;17&lt;/ref-type&gt;&lt;contributors&gt;&lt;authors&gt;&lt;author&gt;Heron-Allen, Edward&lt;/author&gt;&lt;/authors&gt;&lt;/contributors&gt;&lt;titles&gt;&lt;title&gt;Journal of the Great War&lt;/title&gt;&lt;secondary-title&gt;Sussex Record Society&lt;/secondary-title&gt;&lt;short-title&gt;Journal&lt;/short-title&gt;&lt;/titles&gt;&lt;periodical&gt;&lt;full-title&gt;Sussex Record Society&lt;/full-title&gt;&lt;/periodical&gt;&lt;volume&gt;V&lt;/volume&gt;&lt;dates&gt;&lt;year&gt;2002&lt;/year&gt;&lt;/dates&gt;&lt;urls&gt;&lt;/urls&gt;&lt;/record&gt;&lt;/Cite&gt;&lt;/EndNote&gt;</w:instrText>
      </w:r>
      <w:r>
        <w:fldChar w:fldCharType="separate"/>
      </w:r>
      <w:r w:rsidRPr="00C54460">
        <w:rPr>
          <w:noProof/>
          <w:lang w:val="fr-FR"/>
        </w:rPr>
        <w:t xml:space="preserve">Heron-Allen, </w:t>
      </w:r>
      <w:r w:rsidRPr="00C54460">
        <w:rPr>
          <w:i/>
          <w:noProof/>
          <w:lang w:val="fr-FR"/>
        </w:rPr>
        <w:t>Journal</w:t>
      </w:r>
      <w:r>
        <w:fldChar w:fldCharType="end"/>
      </w:r>
      <w:r w:rsidRPr="000D542F">
        <w:rPr>
          <w:lang w:val="fr-FR"/>
        </w:rPr>
        <w:t xml:space="preserve">, </w:t>
      </w:r>
      <w:r w:rsidRPr="00C54460">
        <w:rPr>
          <w:lang w:val="fr-FR"/>
        </w:rPr>
        <w:t>p. 261.</w:t>
      </w:r>
    </w:p>
  </w:footnote>
  <w:footnote w:id="925">
    <w:p w14:paraId="37E66BE3" w14:textId="77777777" w:rsidR="00DE3AC9" w:rsidRPr="00CE2703" w:rsidRDefault="00DE3AC9" w:rsidP="0048510E">
      <w:pPr>
        <w:pStyle w:val="FootnoteText"/>
        <w:rPr>
          <w:lang w:val="fr-FR"/>
        </w:rPr>
      </w:pPr>
      <w:r>
        <w:rPr>
          <w:rStyle w:val="FootnoteReference"/>
        </w:rPr>
        <w:footnoteRef/>
      </w:r>
      <w:r w:rsidRPr="00CE2703">
        <w:rPr>
          <w:lang w:val="fr-FR"/>
        </w:rPr>
        <w:t xml:space="preserve"> </w:t>
      </w:r>
      <w:r>
        <w:rPr>
          <w:lang w:val="nl-NL"/>
        </w:rPr>
        <w:fldChar w:fldCharType="begin"/>
      </w:r>
      <w:r>
        <w:rPr>
          <w:lang w:val="fr-FR"/>
        </w:rPr>
        <w:instrText xml:space="preserve"> ADDIN EN.CITE &lt;EndNote&gt;&lt;Cite&gt;&lt;Author&gt;Massart&lt;/Author&gt;&lt;Year&gt;1917&lt;/Year&gt;&lt;RecNum&gt;225&lt;/RecNum&gt;&lt;DisplayText&gt;Jean Massart, &lt;style face="italic"&gt;La presse clandestine dans la Belgique occupée&lt;/style&gt;, (Paris, 1917)&lt;/DisplayText&gt;&lt;record&gt;&lt;rec-number&gt;225&lt;/rec-number&gt;&lt;foreign-keys&gt;&lt;key app="EN" db-id="2f5rvwawcsv2woetvw35fzwbdvvswerd0err"&gt;225&lt;/key&gt;&lt;/foreign-keys&gt;&lt;ref-type name="Book"&gt;6&lt;/ref-type&gt;&lt;contributors&gt;&lt;authors&gt;&lt;author&gt;Massart, Jean&lt;/author&gt;&lt;/authors&gt;&lt;/contributors&gt;&lt;titles&gt;&lt;title&gt;La presse clandestine dans la Belgique occupée&lt;/title&gt;&lt;short-title&gt;La presse&lt;/short-title&gt;&lt;/titles&gt;&lt;dates&gt;&lt;year&gt;1917&lt;/year&gt;&lt;/dates&gt;&lt;pub-location&gt;Paris&lt;/pub-location&gt;&lt;urls&gt;&lt;/urls&gt;&lt;/record&gt;&lt;/Cite&gt;&lt;/EndNote&gt;</w:instrText>
      </w:r>
      <w:r>
        <w:rPr>
          <w:lang w:val="nl-NL"/>
        </w:rPr>
        <w:fldChar w:fldCharType="separate"/>
      </w:r>
      <w:r w:rsidRPr="007B7627">
        <w:rPr>
          <w:noProof/>
          <w:lang w:val="fr-FR"/>
        </w:rPr>
        <w:t xml:space="preserve">Jean Massart, </w:t>
      </w:r>
      <w:r w:rsidRPr="007B7627">
        <w:rPr>
          <w:i/>
          <w:noProof/>
          <w:lang w:val="fr-FR"/>
        </w:rPr>
        <w:t>La presse clandestine dans la Belgique occupée</w:t>
      </w:r>
      <w:r w:rsidRPr="007B7627">
        <w:rPr>
          <w:noProof/>
          <w:lang w:val="fr-FR"/>
        </w:rPr>
        <w:t>, (Paris, 1917)</w:t>
      </w:r>
      <w:r>
        <w:rPr>
          <w:lang w:val="nl-NL"/>
        </w:rPr>
        <w:fldChar w:fldCharType="end"/>
      </w:r>
      <w:r w:rsidRPr="00CE2703">
        <w:rPr>
          <w:lang w:val="fr-FR"/>
        </w:rPr>
        <w:t>, p. 27.</w:t>
      </w:r>
    </w:p>
  </w:footnote>
  <w:footnote w:id="926">
    <w:p w14:paraId="04F9354C" w14:textId="77777777" w:rsidR="00DE3AC9" w:rsidRPr="008D3BBB" w:rsidRDefault="00DE3AC9" w:rsidP="009B6582">
      <w:pPr>
        <w:pStyle w:val="FootnoteText"/>
      </w:pPr>
      <w:r>
        <w:rPr>
          <w:rStyle w:val="FootnoteReference"/>
        </w:rPr>
        <w:footnoteRef/>
      </w:r>
      <w:r>
        <w:t xml:space="preserve"> </w:t>
      </w:r>
      <w:r>
        <w:fldChar w:fldCharType="begin"/>
      </w:r>
      <w:r>
        <w:instrText xml:space="preserve"> ADDIN EN.CITE &lt;EndNote&gt;&lt;Cite&gt;&lt;Author&gt;Pieters&lt;/Author&gt;&lt;Year&gt;2010&lt;/Year&gt;&lt;RecNum&gt;91&lt;/RecNum&gt;&lt;DisplayText&gt;Pieters, &lt;style face="italic"&gt;The Belgian&lt;/style&gt;&lt;/DisplayText&gt;&lt;record&gt;&lt;rec-number&gt;91&lt;/rec-number&gt;&lt;foreign-keys&gt;&lt;key app="EN" db-id="2f5rvwawcsv2woetvw35fzwbdvvswerd0err"&gt;91&lt;/key&gt;&lt;/foreign-keys&gt;&lt;ref-type name="Book"&gt;6&lt;/ref-type&gt;&lt;contributors&gt;&lt;authors&gt;&lt;author&gt;Pieters, Walter&lt;/author&gt;&lt;/authors&gt;&lt;/contributors&gt;&lt;titles&gt;&lt;title&gt;The Belgian air service in the First World War&lt;/title&gt;&lt;short-title&gt;The Belgian&lt;/short-title&gt;&lt;/titles&gt;&lt;dates&gt;&lt;year&gt;2010&lt;/year&gt;&lt;/dates&gt;&lt;pub-location&gt;Indio&lt;/pub-location&gt;&lt;urls&gt;&lt;/urls&gt;&lt;/record&gt;&lt;/Cite&gt;&lt;/EndNote&gt;</w:instrText>
      </w:r>
      <w:r>
        <w:fldChar w:fldCharType="separate"/>
      </w:r>
      <w:r>
        <w:rPr>
          <w:noProof/>
        </w:rPr>
        <w:t xml:space="preserve">Pieters, </w:t>
      </w:r>
      <w:r w:rsidRPr="007B7627">
        <w:rPr>
          <w:i/>
          <w:noProof/>
        </w:rPr>
        <w:t>The Belgian</w:t>
      </w:r>
      <w:r>
        <w:fldChar w:fldCharType="end"/>
      </w:r>
      <w:r>
        <w:t>, p. 280.</w:t>
      </w:r>
    </w:p>
  </w:footnote>
  <w:footnote w:id="927">
    <w:p w14:paraId="46F63FC2" w14:textId="77777777" w:rsidR="00DE3AC9" w:rsidRPr="007F5121" w:rsidRDefault="00DE3AC9" w:rsidP="0048510E">
      <w:pPr>
        <w:pStyle w:val="FootnoteText"/>
      </w:pPr>
      <w:r>
        <w:rPr>
          <w:rStyle w:val="FootnoteReference"/>
        </w:rPr>
        <w:footnoteRef/>
      </w:r>
      <w:r w:rsidRPr="007F5121">
        <w:t xml:space="preserve"> </w:t>
      </w:r>
      <w:r w:rsidRPr="00C32B1B">
        <w:t xml:space="preserve">IWM: </w:t>
      </w:r>
      <w:r>
        <w:t>Papers of Lieutenant-Colonel A. Lee, Sherwood Foresters. Report on aerial distribution. 15 July 1918.</w:t>
      </w:r>
    </w:p>
  </w:footnote>
  <w:footnote w:id="928">
    <w:p w14:paraId="6FF8C19A"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nl-NL"/>
        </w:rPr>
        <w:fldChar w:fldCharType="begin"/>
      </w:r>
      <w:r w:rsidRPr="00C54460">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rPr>
          <w:lang w:val="nl-NL"/>
        </w:rPr>
        <w:fldChar w:fldCharType="separate"/>
      </w:r>
      <w:r w:rsidRPr="00C54460">
        <w:rPr>
          <w:noProof/>
          <w:lang w:val="fr-FR"/>
        </w:rPr>
        <w:t xml:space="preserve">de Schaepdrijver, </w:t>
      </w:r>
      <w:r w:rsidRPr="00C54460">
        <w:rPr>
          <w:i/>
          <w:noProof/>
          <w:lang w:val="fr-FR"/>
        </w:rPr>
        <w:t>La Belgique</w:t>
      </w:r>
      <w:r>
        <w:rPr>
          <w:lang w:val="nl-NL"/>
        </w:rPr>
        <w:fldChar w:fldCharType="end"/>
      </w:r>
      <w:r w:rsidRPr="00C54460">
        <w:rPr>
          <w:lang w:val="fr-FR"/>
        </w:rPr>
        <w:t>, pp. 122-123.</w:t>
      </w:r>
    </w:p>
  </w:footnote>
  <w:footnote w:id="929">
    <w:p w14:paraId="35281FC4" w14:textId="77777777" w:rsidR="00DE3AC9" w:rsidRPr="00DA04D3" w:rsidRDefault="00DE3AC9" w:rsidP="0048510E">
      <w:pPr>
        <w:pStyle w:val="FootnoteText"/>
        <w:rPr>
          <w:lang w:val="nl-NL"/>
        </w:rPr>
      </w:pPr>
      <w:r>
        <w:rPr>
          <w:rStyle w:val="FootnoteReference"/>
        </w:rPr>
        <w:footnoteRef/>
      </w:r>
      <w:r w:rsidRPr="00DA04D3">
        <w:rPr>
          <w:lang w:val="nl-NL"/>
        </w:rPr>
        <w:t xml:space="preserve"> </w:t>
      </w:r>
      <w:r>
        <w:rPr>
          <w:lang w:val="fr-FR"/>
        </w:rPr>
        <w:fldChar w:fldCharType="begin"/>
      </w:r>
      <w:r>
        <w:rPr>
          <w:lang w:val="nl-NL"/>
        </w:rPr>
        <w:instrText xml:space="preserve"> ADDIN EN.CITE &lt;EndNote&gt;&lt;Cite&gt;&lt;Author&gt;Debruyne&lt;/Author&gt;&lt;Year&gt;2013&lt;/Year&gt;&lt;RecNum&gt;216&lt;/RecNum&gt;&lt;DisplayText&gt;Debruyne and De Schaepdrijver, &lt;style face="italic"&gt;Sursum&lt;/style&gt;&lt;/DisplayText&gt;&lt;record&gt;&lt;rec-number&gt;216&lt;/rec-number&gt;&lt;foreign-keys&gt;&lt;key app="EN" db-id="2f5rvwawcsv2woetvw35fzwbdvvswerd0err"&gt;216&lt;/key&gt;&lt;/foreign-keys&gt;&lt;ref-type name="Journal Article"&gt;17&lt;/ref-type&gt;&lt;contributors&gt;&lt;authors&gt;&lt;author&gt;Debruyne, Emmanuel&lt;/author&gt;&lt;author&gt;De Schaepdrijver, Sophie&lt;/author&gt;&lt;/authors&gt;&lt;/contributors&gt;&lt;titles&gt;&lt;title&gt;&lt;style face="italic" font="default" size="100%"&gt;Sursum Corda: &lt;/style&gt;&lt;style face="normal" font="default" size="100%"&gt;the underground press in occupied Belgium, 1914-1918&lt;/style&gt;&lt;/title&gt;&lt;secondary-title&gt;First World War Studies&lt;/secondary-title&gt;&lt;short-title&gt;&lt;style face="italic" font="default" size="100%"&gt;Sursum&lt;/style&gt;&lt;/short-title&gt;&lt;/titles&gt;&lt;periodical&gt;&lt;full-title&gt;First World War Studies&lt;/full-title&gt;&lt;/periodical&gt;&lt;volume&gt;4&lt;/volume&gt;&lt;dates&gt;&lt;year&gt;2013&lt;/year&gt;&lt;/dates&gt;&lt;urls&gt;&lt;/urls&gt;&lt;/record&gt;&lt;/Cite&gt;&lt;/EndNote&gt;</w:instrText>
      </w:r>
      <w:r>
        <w:rPr>
          <w:lang w:val="fr-FR"/>
        </w:rPr>
        <w:fldChar w:fldCharType="separate"/>
      </w:r>
      <w:r w:rsidRPr="007B7627">
        <w:rPr>
          <w:noProof/>
          <w:lang w:val="nl-NL"/>
        </w:rPr>
        <w:t xml:space="preserve">Debruyne and De Schaepdrijver, </w:t>
      </w:r>
      <w:r w:rsidRPr="007B7627">
        <w:rPr>
          <w:i/>
          <w:noProof/>
          <w:lang w:val="nl-NL"/>
        </w:rPr>
        <w:t>Sursum</w:t>
      </w:r>
      <w:r>
        <w:rPr>
          <w:lang w:val="fr-FR"/>
        </w:rPr>
        <w:fldChar w:fldCharType="end"/>
      </w:r>
      <w:r w:rsidRPr="00DA04D3">
        <w:rPr>
          <w:lang w:val="nl-NL"/>
        </w:rPr>
        <w:t>, pp. 23-28.</w:t>
      </w:r>
    </w:p>
  </w:footnote>
  <w:footnote w:id="930">
    <w:p w14:paraId="5F576E8E" w14:textId="77777777" w:rsidR="00DE3AC9" w:rsidRPr="008A71BD" w:rsidRDefault="00DE3AC9" w:rsidP="0048510E">
      <w:pPr>
        <w:pStyle w:val="FootnoteText"/>
      </w:pPr>
      <w:r>
        <w:rPr>
          <w:rStyle w:val="FootnoteReference"/>
        </w:rPr>
        <w:footnoteRef/>
      </w:r>
      <w:r w:rsidRPr="008A71BD">
        <w:t xml:space="preserve"> See Chapters one and two.</w:t>
      </w:r>
    </w:p>
  </w:footnote>
  <w:footnote w:id="931">
    <w:p w14:paraId="38391AF3" w14:textId="77777777" w:rsidR="00DE3AC9" w:rsidRPr="006023EF" w:rsidRDefault="00DE3AC9" w:rsidP="0048510E">
      <w:pPr>
        <w:pStyle w:val="FootnoteText"/>
        <w:rPr>
          <w:lang w:val="fr-FR"/>
        </w:rPr>
      </w:pPr>
      <w:r>
        <w:rPr>
          <w:rStyle w:val="FootnoteReference"/>
        </w:rPr>
        <w:footnoteRef/>
      </w:r>
      <w:r w:rsidRPr="006023EF">
        <w:rPr>
          <w:lang w:val="fr-FR"/>
        </w:rPr>
        <w:t xml:space="preserve"> </w:t>
      </w:r>
      <w:r w:rsidRPr="006023EF">
        <w:rPr>
          <w:i/>
          <w:iCs/>
          <w:lang w:val="fr-FR"/>
        </w:rPr>
        <w:t xml:space="preserve">L’Ame belge, </w:t>
      </w:r>
      <w:r w:rsidRPr="006023EF">
        <w:rPr>
          <w:lang w:val="fr-FR"/>
        </w:rPr>
        <w:t xml:space="preserve">November 1915-November 1918 ; </w:t>
      </w:r>
      <w:r w:rsidRPr="006023EF">
        <w:rPr>
          <w:i/>
          <w:iCs/>
          <w:lang w:val="fr-FR"/>
        </w:rPr>
        <w:t xml:space="preserve">Revue hebdomadaire de la presse française, </w:t>
      </w:r>
      <w:r w:rsidRPr="006023EF">
        <w:rPr>
          <w:lang w:val="fr-FR"/>
        </w:rPr>
        <w:t>February 1915-May 1917 followed by</w:t>
      </w:r>
      <w:r w:rsidRPr="006023EF">
        <w:rPr>
          <w:i/>
          <w:iCs/>
          <w:lang w:val="fr-FR"/>
        </w:rPr>
        <w:t xml:space="preserve"> Revue de la Presse, </w:t>
      </w:r>
      <w:r w:rsidRPr="006023EF">
        <w:rPr>
          <w:lang w:val="fr-FR"/>
        </w:rPr>
        <w:t>June 1917- November 1918.</w:t>
      </w:r>
    </w:p>
  </w:footnote>
  <w:footnote w:id="932">
    <w:p w14:paraId="01CB9C32"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&lt;EndNote&gt;&lt;Cite&gt;&lt;Author&gt;Gille&lt;/Author&gt;&lt;Year&gt;1919&lt;/Year&gt;&lt;RecNum&gt;212&lt;/RecNum&gt;&lt;DisplayText&gt;Gille, Ooms, and Delandsheere, &lt;style face="italic"&gt;Cinquante vol II&lt;/style&gt;&lt;/DisplayText&gt;&lt;record&gt;&lt;rec-number&gt;212&lt;/rec-number&gt;&lt;foreign-keys&gt;&lt;key app="EN" db-id="2f5rvwawcsv2woetvw35fzwbdvvswerd0err"&gt;212&lt;/key&gt;&lt;/foreign-keys&gt;&lt;ref-type name="Book"&gt;6&lt;/ref-type&gt;&lt;contributors&gt;&lt;authors&gt;&lt;author&gt;Gille, Louis&lt;/author&gt;&lt;author&gt;Ooms, Alphonse&lt;/author&gt;&lt;author&gt;Delandsheere, Paul&lt;/author&gt;&lt;/authors&gt;&lt;/contributors&gt;&lt;titles&gt;&lt;title&gt;Cinquante mois d&amp;apos;occupation allemande. Vol. II 1916.&lt;/title&gt;&lt;short-title&gt;Cinquante vol II&lt;/short-title&gt;&lt;/titles&gt;&lt;dates&gt;&lt;year&gt;1919&lt;/year&gt;&lt;/dates&gt;&lt;pub-location&gt;Brussels&lt;/pub-location&gt;&lt;urls&gt;&lt;/urls&gt;&lt;/record&gt;&lt;/Cite&gt;&lt;/EndNote&gt;</w:instrText>
      </w:r>
      <w:r>
        <w:fldChar w:fldCharType="separate"/>
      </w:r>
      <w:r w:rsidRPr="00C54460">
        <w:rPr>
          <w:noProof/>
          <w:lang w:val="fr-FR"/>
        </w:rPr>
        <w:t xml:space="preserve">Gille, Ooms, and Delandsheere, </w:t>
      </w:r>
      <w:r w:rsidRPr="00C54460">
        <w:rPr>
          <w:i/>
          <w:noProof/>
          <w:lang w:val="fr-FR"/>
        </w:rPr>
        <w:t>Cinquante vol II</w:t>
      </w:r>
      <w:r>
        <w:fldChar w:fldCharType="end"/>
      </w:r>
      <w:r w:rsidRPr="00C54460">
        <w:rPr>
          <w:lang w:val="fr-FR"/>
        </w:rPr>
        <w:t>, p. 60.</w:t>
      </w:r>
    </w:p>
  </w:footnote>
  <w:footnote w:id="933">
    <w:p w14:paraId="7B33DB50" w14:textId="77777777" w:rsidR="00DE3AC9" w:rsidRPr="0004564D" w:rsidRDefault="00DE3AC9" w:rsidP="0048510E">
      <w:pPr>
        <w:pStyle w:val="FootnoteText"/>
        <w:rPr>
          <w:lang w:val="fr-FR"/>
        </w:rPr>
      </w:pPr>
      <w:r>
        <w:rPr>
          <w:rStyle w:val="FootnoteReference"/>
        </w:rPr>
        <w:footnoteRef/>
      </w:r>
      <w:r w:rsidRPr="0004564D">
        <w:rPr>
          <w:lang w:val="fr-FR"/>
        </w:rPr>
        <w:t xml:space="preserve"> </w:t>
      </w:r>
      <w:r>
        <w:fldChar w:fldCharType="begin"/>
      </w:r>
      <w:r>
        <w:rPr>
          <w:lang w:val="fr-FR"/>
        </w:rPr>
        <w:instrText xml:space="preserve"> ADDIN EN.CITE &lt;EndNote&gt;&lt;Cite&gt;&lt;Author&gt;Antier&lt;/Author&gt;&lt;Year&gt;2008&lt;/Year&gt;&lt;RecNum&gt;243&lt;/RecNum&gt;&lt;DisplayText&gt;Chantal Antier, &amp;apos;Résister, espionner: nouvelle fonction pour la femme en 1914-1918&amp;apos;, in: &lt;style face="italic"&gt;Guerres mondiales et conflits contemporains, &lt;/style&gt;232 (2008), &lt;/DisplayText&gt;&lt;record&gt;&lt;rec-number&gt;243&lt;/rec-number&gt;&lt;foreign-keys&gt;&lt;key app="EN" db-id="2f5rvwawcsv2woetvw35fzwbdvvswerd0err"&gt;243&lt;/key&gt;&lt;/foreign-keys&gt;&lt;ref-type name="Journal Article"&gt;17&lt;/ref-type&gt;&lt;contributors&gt;&lt;authors&gt;&lt;author&gt;Antier, Chantal&lt;/author&gt;&lt;/authors&gt;&lt;/contributors&gt;&lt;titles&gt;&lt;title&gt;Résister, espionner: nouvelle fonction pour la femme en 1914-1918&lt;/title&gt;&lt;secondary-title&gt;Guerres mondiales et conflits contemporains&lt;/secondary-title&gt;&lt;short-title&gt;Résister&lt;/short-title&gt;&lt;/titles&gt;&lt;periodical&gt;&lt;full-title&gt;Guerres mondiales et conflits contemporains&lt;/full-title&gt;&lt;/periodical&gt;&lt;volume&gt;232&lt;/volume&gt;&lt;dates&gt;&lt;year&gt;2008&lt;/year&gt;&lt;/dates&gt;&lt;urls&gt;&lt;/urls&gt;&lt;/record&gt;&lt;/Cite&gt;&lt;/EndNote&gt;</w:instrText>
      </w:r>
      <w:r>
        <w:fldChar w:fldCharType="separate"/>
      </w:r>
      <w:r w:rsidRPr="007B7627">
        <w:rPr>
          <w:noProof/>
          <w:lang w:val="fr-FR"/>
        </w:rPr>
        <w:t xml:space="preserve">Chantal Antier, 'Résister, espionner: nouvelle fonction pour la femme en 1914-1918', in: </w:t>
      </w:r>
      <w:r w:rsidRPr="007B7627">
        <w:rPr>
          <w:i/>
          <w:noProof/>
          <w:lang w:val="fr-FR"/>
        </w:rPr>
        <w:t xml:space="preserve">Guerres mondiales et conflits contemporains, </w:t>
      </w:r>
      <w:r w:rsidRPr="007B7627">
        <w:rPr>
          <w:noProof/>
          <w:lang w:val="fr-FR"/>
        </w:rPr>
        <w:t xml:space="preserve">232 (2008), </w:t>
      </w:r>
      <w:r>
        <w:fldChar w:fldCharType="end"/>
      </w:r>
      <w:r w:rsidRPr="0004564D">
        <w:rPr>
          <w:lang w:val="fr-FR"/>
        </w:rPr>
        <w:t>pp. 143-154.</w:t>
      </w:r>
    </w:p>
  </w:footnote>
  <w:footnote w:id="934">
    <w:p w14:paraId="0F719244" w14:textId="77777777" w:rsidR="00DE3AC9" w:rsidRPr="00DE3AC9" w:rsidRDefault="00DE3AC9" w:rsidP="0048510E">
      <w:pPr>
        <w:pStyle w:val="FootnoteText"/>
      </w:pPr>
      <w:r>
        <w:rPr>
          <w:rStyle w:val="FootnoteReference"/>
        </w:rPr>
        <w:footnoteRef/>
      </w:r>
      <w:r w:rsidRPr="00456BE3">
        <w:t xml:space="preserve"> </w:t>
      </w:r>
      <w:r w:rsidRPr="009A27B7">
        <w:t>ASPF AEB: B. 345</w:t>
      </w:r>
      <w:r>
        <w:t xml:space="preserve">. Report of the BDB regarding the lack of aerial newspapers. </w:t>
      </w:r>
      <w:r w:rsidRPr="00DE3AC9">
        <w:t>19 December 1917.</w:t>
      </w:r>
    </w:p>
  </w:footnote>
  <w:footnote w:id="935">
    <w:p w14:paraId="1304EB09" w14:textId="77777777" w:rsidR="00DE3AC9" w:rsidRPr="00DE3AC9" w:rsidRDefault="00DE3AC9" w:rsidP="0048510E">
      <w:pPr>
        <w:pStyle w:val="FootnoteText"/>
      </w:pPr>
      <w:r>
        <w:rPr>
          <w:rStyle w:val="FootnoteReference"/>
        </w:rPr>
        <w:footnoteRef/>
      </w:r>
      <w:r w:rsidRPr="00DE3AC9">
        <w:t xml:space="preserve"> </w:t>
      </w:r>
      <w:r>
        <w:rPr>
          <w:lang w:val="nl-NL"/>
        </w:rPr>
        <w:fldChar w:fldCharType="begin"/>
      </w:r>
      <w:r w:rsidRPr="00DE3AC9">
        <w:instrText xml:space="preserve"> ADDIN EN.CITE &lt;EndNote&gt;&lt;Cite&gt;&lt;Author&gt;Lods&lt;/Author&gt;&lt;Year&gt;1945&lt;/Year&gt;&lt;RecNum&gt;208&lt;/RecNum&gt;&lt;DisplayText&gt;Adolphe Lods, &amp;apos;Eloge funèbre de M. Joseph Bidez&amp;apos;, in: &lt;style face="italic"&gt;Comptes-rendus des séances de l’Académie des inscriptions et Belles-Lettres, &lt;/style&gt;89 (1945), &lt;/DisplayText&gt;&lt;record&gt;&lt;rec-number&gt;208&lt;/rec-number&gt;&lt;foreign-keys&gt;&lt;key app="EN" db-id="2f5rvwawcsv2woetvw35fzwbdvvswerd0err"&gt;208&lt;/key&gt;&lt;/foreign-keys&gt;&lt;ref-type name="Journal Article"&gt;17&lt;/ref-type&gt;&lt;contributors&gt;&lt;authors&gt;&lt;author&gt;Lods, Adolphe&lt;/author&gt;&lt;/authors&gt;&lt;/contributors&gt;&lt;titles&gt;&lt;title&gt;Eloge funèbre de M. Joseph Bidez&lt;/title&gt;&lt;secondary-title&gt;Comptes-rendus des séances de l’Académie des inscriptions et Belles-Lettres&lt;/secondary-title&gt;&lt;short-title&gt;Eloge&lt;/short-title&gt;&lt;/titles&gt;&lt;periodical&gt;&lt;full-title&gt;Comptes-rendus des séances de l’Académie des inscriptions et Belles-Lettres&lt;/full-title&gt;&lt;/periodical&gt;&lt;volume&gt;89&lt;/volume&gt;&lt;dates&gt;&lt;year&gt;1945&lt;/year&gt;&lt;/dates&gt;&lt;urls&gt;&lt;/urls&gt;&lt;/record&gt;&lt;/Cite&gt;&lt;/EndNote&gt;</w:instrText>
      </w:r>
      <w:r>
        <w:rPr>
          <w:lang w:val="nl-NL"/>
        </w:rPr>
        <w:fldChar w:fldCharType="separate"/>
      </w:r>
      <w:r w:rsidRPr="00DE3AC9">
        <w:rPr>
          <w:noProof/>
        </w:rPr>
        <w:t xml:space="preserve">Adolphe Lods, 'Eloge funèbre de M. Joseph Bidez', in: </w:t>
      </w:r>
      <w:r w:rsidRPr="00DE3AC9">
        <w:rPr>
          <w:i/>
          <w:noProof/>
        </w:rPr>
        <w:t xml:space="preserve">Comptes-rendus des séances de l’Académie des inscriptions et Belles-Lettres, </w:t>
      </w:r>
      <w:r w:rsidRPr="00DE3AC9">
        <w:rPr>
          <w:noProof/>
        </w:rPr>
        <w:t xml:space="preserve">89 (1945), </w:t>
      </w:r>
      <w:r>
        <w:rPr>
          <w:lang w:val="nl-NL"/>
        </w:rPr>
        <w:fldChar w:fldCharType="end"/>
      </w:r>
      <w:r w:rsidRPr="00DE3AC9">
        <w:t xml:space="preserve">pp. 476-481 and </w:t>
      </w:r>
      <w:r>
        <w:rPr>
          <w:lang w:val="nl-NL"/>
        </w:rPr>
        <w:fldChar w:fldCharType="begin"/>
      </w:r>
      <w:r w:rsidRPr="00DE3AC9">
        <w:instrText xml:space="preserve"> ADDIN EN.CITE &lt;EndNote&gt;&lt;Cite&gt;&lt;Author&gt;Willem&lt;/Author&gt;&lt;Year&gt;1949&lt;/Year&gt;&lt;RecNum&gt;209&lt;/RecNum&gt;&lt;DisplayText&gt;Albert Willem, &amp;apos;Joseph Hombert&amp;apos;, in: &lt;style face="italic"&gt;Revue belge de philologie et d&amp;apos;histoire, &lt;/style&gt;27 (1949), &lt;/DisplayText&gt;&lt;record&gt;&lt;rec-number&gt;209&lt;/rec-number&gt;&lt;foreign-keys&gt;&lt;key app="EN" db-id="2f5rvwawcsv2woetvw35fzwbdvvswerd0err"&gt;209&lt;/key&gt;&lt;/foreign-keys&gt;&lt;ref-type name="Journal Article"&gt;17&lt;/ref-type&gt;&lt;contributors&gt;&lt;authors&gt;&lt;author&gt;Willem, Albert&lt;/author&gt;&lt;/authors&gt;&lt;/contributors&gt;&lt;titles&gt;&lt;title&gt;Joseph Hombert&lt;/title&gt;&lt;secondary-title&gt;Revue belge de philologie et d&amp;apos;histoire&lt;/secondary-title&gt;&lt;short-title&gt;Joseph&lt;/short-title&gt;&lt;/titles&gt;&lt;periodical&gt;&lt;full-title&gt;Revue belge de philologie et d&amp;apos;histoire&lt;/full-title&gt;&lt;/periodical&gt;&lt;volume&gt;27&lt;/volume&gt;&lt;dates&gt;&lt;year&gt;1949&lt;/year&gt;&lt;/dates&gt;&lt;urls&gt;&lt;/urls&gt;&lt;/record&gt;&lt;/Cite&gt;&lt;/EndNote&gt;</w:instrText>
      </w:r>
      <w:r>
        <w:rPr>
          <w:lang w:val="nl-NL"/>
        </w:rPr>
        <w:fldChar w:fldCharType="separate"/>
      </w:r>
      <w:r w:rsidRPr="00DE3AC9">
        <w:rPr>
          <w:noProof/>
        </w:rPr>
        <w:t xml:space="preserve">Albert Willem, 'Joseph Hombert', in: </w:t>
      </w:r>
      <w:r w:rsidRPr="00DE3AC9">
        <w:rPr>
          <w:i/>
          <w:noProof/>
        </w:rPr>
        <w:t xml:space="preserve">Revue belge de philologie et d'histoire, </w:t>
      </w:r>
      <w:r w:rsidRPr="00DE3AC9">
        <w:rPr>
          <w:noProof/>
        </w:rPr>
        <w:t xml:space="preserve">27 (1949), </w:t>
      </w:r>
      <w:r>
        <w:rPr>
          <w:lang w:val="nl-NL"/>
        </w:rPr>
        <w:fldChar w:fldCharType="end"/>
      </w:r>
      <w:r w:rsidRPr="00DE3AC9">
        <w:t>pp. 1221-1223.</w:t>
      </w:r>
    </w:p>
  </w:footnote>
  <w:footnote w:id="936">
    <w:p w14:paraId="3EB971D1" w14:textId="77777777" w:rsidR="00DE3AC9" w:rsidRPr="00F57585" w:rsidRDefault="00DE3AC9" w:rsidP="0048510E">
      <w:pPr>
        <w:pStyle w:val="FootnoteText"/>
        <w:rPr>
          <w:lang w:val="nl-NL"/>
        </w:rPr>
      </w:pPr>
      <w:r>
        <w:rPr>
          <w:rStyle w:val="FootnoteReference"/>
        </w:rPr>
        <w:footnoteRef/>
      </w:r>
      <w:r w:rsidRPr="00F57585">
        <w:rPr>
          <w:lang w:val="nl-NL"/>
        </w:rPr>
        <w:t xml:space="preserve"> </w:t>
      </w:r>
      <w:r w:rsidRPr="00F57585">
        <w:rPr>
          <w:i/>
          <w:iCs/>
          <w:lang w:val="nl-NL"/>
        </w:rPr>
        <w:t>L’Autre Cloche,</w:t>
      </w:r>
      <w:r w:rsidRPr="00F57585">
        <w:rPr>
          <w:lang w:val="nl-NL"/>
        </w:rPr>
        <w:t xml:space="preserve"> 17 October 1918 ; 25 October 1918.</w:t>
      </w:r>
      <w:r w:rsidRPr="00F57585">
        <w:rPr>
          <w:i/>
          <w:iCs/>
          <w:lang w:val="nl-NL"/>
        </w:rPr>
        <w:t xml:space="preserve"> </w:t>
      </w:r>
    </w:p>
  </w:footnote>
  <w:footnote w:id="937">
    <w:p w14:paraId="6B502595" w14:textId="77777777" w:rsidR="00DE3AC9" w:rsidRPr="00F57585" w:rsidRDefault="00DE3AC9" w:rsidP="0048510E">
      <w:pPr>
        <w:pStyle w:val="FootnoteText"/>
        <w:rPr>
          <w:lang w:val="nl-NL"/>
        </w:rPr>
      </w:pPr>
      <w:r>
        <w:rPr>
          <w:rStyle w:val="FootnoteReference"/>
        </w:rPr>
        <w:footnoteRef/>
      </w:r>
      <w:r w:rsidRPr="00F57585">
        <w:rPr>
          <w:lang w:val="nl-NL"/>
        </w:rPr>
        <w:t xml:space="preserve"> </w:t>
      </w:r>
      <w:r>
        <w:rPr>
          <w:lang w:val="fr-FR"/>
        </w:rPr>
        <w:fldChar w:fldCharType="begin"/>
      </w:r>
      <w:r>
        <w:rPr>
          <w:lang w:val="nl-NL"/>
        </w:rPr>
        <w:instrText xml:space="preserve"> ADDIN EN.CITE &lt;EndNote&gt;&lt;Cite&gt;&lt;Author&gt;Vanden Bosch&lt;/Author&gt;&lt;Year&gt;2013&lt;/Year&gt;&lt;RecNum&gt;210&lt;/RecNum&gt;&lt;DisplayText&gt;Hans Vanden Bosch, &lt;style face="italic"&gt;Inventarissen van de archieven betreffende de Eerste Wereldoorlog verzameld door particulieren&lt;/style&gt;, (Brussels, 2013)&lt;/DisplayText&gt;&lt;record&gt;&lt;rec-number&gt;210&lt;/rec-number&gt;&lt;foreign-keys&gt;&lt;key app="EN" db-id="2f5rvwawcsv2woetvw35fzwbdvvswerd0err"&gt;210&lt;/key&gt;&lt;/foreign-keys&gt;&lt;ref-type name="Book"&gt;6&lt;/ref-type&gt;&lt;contributors&gt;&lt;authors&gt;&lt;author&gt;Vanden Bosch, Hans&lt;/author&gt;&lt;/authors&gt;&lt;/contributors&gt;&lt;titles&gt;&lt;title&gt;Inventarissen van de archieven betreffende de Eerste Wereldoorlog verzameld door particulieren&lt;/title&gt;&lt;short-title&gt;Inventarissen&lt;/short-title&gt;&lt;/titles&gt;&lt;dates&gt;&lt;year&gt;2013&lt;/year&gt;&lt;/dates&gt;&lt;pub-location&gt;Brussels&lt;/pub-location&gt;&lt;urls&gt;&lt;/urls&gt;&lt;/record&gt;&lt;/Cite&gt;&lt;/EndNote&gt;</w:instrText>
      </w:r>
      <w:r>
        <w:rPr>
          <w:lang w:val="fr-FR"/>
        </w:rPr>
        <w:fldChar w:fldCharType="separate"/>
      </w:r>
      <w:r w:rsidRPr="007B7627">
        <w:rPr>
          <w:noProof/>
          <w:lang w:val="nl-NL"/>
        </w:rPr>
        <w:t xml:space="preserve">Hans Vanden Bosch, </w:t>
      </w:r>
      <w:r w:rsidRPr="007B7627">
        <w:rPr>
          <w:i/>
          <w:noProof/>
          <w:lang w:val="nl-NL"/>
        </w:rPr>
        <w:t>Inventarissen van de archieven betreffende de Eerste Wereldoorlog verzameld door particulieren</w:t>
      </w:r>
      <w:r w:rsidRPr="007B7627">
        <w:rPr>
          <w:noProof/>
          <w:lang w:val="nl-NL"/>
        </w:rPr>
        <w:t>, (Brussels, 2013)</w:t>
      </w:r>
      <w:r>
        <w:rPr>
          <w:lang w:val="fr-FR"/>
        </w:rPr>
        <w:fldChar w:fldCharType="end"/>
      </w:r>
      <w:r w:rsidRPr="00F57585">
        <w:rPr>
          <w:lang w:val="nl-NL"/>
        </w:rPr>
        <w:t>, pp. 5-6.</w:t>
      </w:r>
    </w:p>
  </w:footnote>
  <w:footnote w:id="938">
    <w:p w14:paraId="7CBEA9FB" w14:textId="77777777" w:rsidR="00DE3AC9" w:rsidRPr="00726F69" w:rsidRDefault="00DE3AC9" w:rsidP="0048510E">
      <w:pPr>
        <w:pStyle w:val="FootnoteText"/>
      </w:pPr>
      <w:r>
        <w:rPr>
          <w:rStyle w:val="FootnoteReference"/>
        </w:rPr>
        <w:footnoteRef/>
      </w:r>
      <w:r w:rsidRPr="00825D5F">
        <w:rPr>
          <w:lang w:val="fr-FR"/>
        </w:rPr>
        <w:t xml:space="preserve"> Archives Générales du Royaume (AGR)</w:t>
      </w:r>
      <w:r>
        <w:rPr>
          <w:lang w:val="fr-FR"/>
        </w:rPr>
        <w:t xml:space="preserve">: I. 538. </w:t>
      </w:r>
      <w:r w:rsidRPr="00F57585">
        <w:t>Fonds Corneille Gram. Aerial leaflets and reproductions from 1918</w:t>
      </w:r>
      <w:r>
        <w:t>.</w:t>
      </w:r>
      <w:r w:rsidRPr="00726F69">
        <w:t xml:space="preserve"> </w:t>
      </w:r>
    </w:p>
  </w:footnote>
  <w:footnote w:id="939">
    <w:p w14:paraId="398BEEE8" w14:textId="77777777" w:rsidR="00DE3AC9" w:rsidRPr="008708EE" w:rsidRDefault="00DE3AC9">
      <w:pPr>
        <w:pStyle w:val="FootnoteText"/>
      </w:pPr>
      <w:r>
        <w:rPr>
          <w:rStyle w:val="FootnoteReference"/>
        </w:rPr>
        <w:footnoteRef/>
      </w:r>
      <w:r w:rsidRPr="001F57F7">
        <w:rPr>
          <w:lang w:val="it-IT"/>
        </w:rPr>
        <w:t xml:space="preserve"> CEGES/SOMA: AA.2324. Clandestine anti-German propaganda, 1914-1918. </w:t>
      </w:r>
      <w:r w:rsidRPr="008708EE">
        <w:t>Various leaflets.</w:t>
      </w:r>
    </w:p>
  </w:footnote>
  <w:footnote w:id="940">
    <w:p w14:paraId="48590356" w14:textId="77777777" w:rsidR="00DE3AC9" w:rsidRPr="005861D9" w:rsidRDefault="00DE3AC9" w:rsidP="0048510E">
      <w:pPr>
        <w:pStyle w:val="FootnoteText"/>
      </w:pPr>
      <w:r>
        <w:rPr>
          <w:rStyle w:val="FootnoteReference"/>
        </w:rPr>
        <w:footnoteRef/>
      </w:r>
      <w:r w:rsidRPr="008708EE">
        <w:t xml:space="preserve"> </w:t>
      </w:r>
      <w:r>
        <w:fldChar w:fldCharType="begin"/>
      </w:r>
      <w:r w:rsidRPr="008708EE">
        <w:instrText xml:space="preserve"> ADDIN EN.CITE &lt;EndNote&gt;&lt;Cite&gt;&lt;Author&gt;Vierset&lt;/Author&gt;&lt;Year&gt;1932&lt;/Year&gt;&lt;</w:instrText>
      </w:r>
      <w:r w:rsidRPr="005861D9">
        <w:instrText>RecNum&gt;214&lt;/RecNum&gt;&lt;DisplayText&gt;Vierset, &lt;style face="italic"&gt;Mes souvenirs&lt;/style&gt;&lt;/DisplayText&gt;&lt;record&gt;&lt;rec-number&gt;214&lt;/rec-number&gt;&lt;foreign-keys&gt;&lt;key app="EN" db-id="2f5rvwawcsv2woetvw35fzwbdvvswerd0err"&gt;214&lt;/key&gt;&lt;/foreign-keys&gt;&lt;ref-type name="Book"&gt;6&lt;/ref-type&gt;&lt;contributors&gt;&lt;authors&gt;&lt;author&gt;Vierset, Auguste&lt;/author&gt;&lt;/authors&gt;&lt;/contributors&gt;&lt;titles&gt;&lt;title&gt;Mes souvenirs sur l&amp;apos;occupation allemande en Belgique&lt;/title&gt;&lt;short-title&gt;Mes souvenirs&lt;/short-title&gt;&lt;/titles&gt;&lt;dates&gt;&lt;year&gt;1932&lt;/year&gt;&lt;/dates&gt;&lt;pub-location&gt;Paris&lt;/pub-location&gt;&lt;urls&gt;&lt;/urls&gt;&lt;/record&gt;&lt;/Cite&gt;&lt;/EndNote&gt;</w:instrText>
      </w:r>
      <w:r>
        <w:fldChar w:fldCharType="separate"/>
      </w:r>
      <w:r w:rsidRPr="005861D9">
        <w:rPr>
          <w:noProof/>
        </w:rPr>
        <w:t xml:space="preserve">Vierset, </w:t>
      </w:r>
      <w:r w:rsidRPr="005861D9">
        <w:rPr>
          <w:i/>
          <w:noProof/>
        </w:rPr>
        <w:t>Mes souvenirs</w:t>
      </w:r>
      <w:r>
        <w:fldChar w:fldCharType="end"/>
      </w:r>
      <w:r w:rsidRPr="005861D9">
        <w:t>, p. 96.</w:t>
      </w:r>
    </w:p>
  </w:footnote>
  <w:footnote w:id="941">
    <w:p w14:paraId="19E1D7E8" w14:textId="77777777" w:rsidR="00DE3AC9" w:rsidRPr="007C3DB8" w:rsidRDefault="00DE3AC9" w:rsidP="0048510E">
      <w:pPr>
        <w:pStyle w:val="FootnoteText"/>
        <w:rPr>
          <w:lang w:val="fr-FR"/>
        </w:rPr>
      </w:pPr>
      <w:r>
        <w:rPr>
          <w:rStyle w:val="FootnoteReference"/>
        </w:rPr>
        <w:footnoteRef/>
      </w:r>
      <w:r w:rsidRPr="002C0F9C">
        <w:t xml:space="preserve"> ASPF AEB: B. 345. </w:t>
      </w:r>
      <w:r>
        <w:t xml:space="preserve">Report of the BDB regarding the reproduction of clandestine newspapers. </w:t>
      </w:r>
      <w:r w:rsidRPr="007C3DB8">
        <w:rPr>
          <w:lang w:val="fr-FR"/>
        </w:rPr>
        <w:t>13 March 1917.</w:t>
      </w:r>
    </w:p>
  </w:footnote>
  <w:footnote w:id="942">
    <w:p w14:paraId="082494B5"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&lt;EndNote&gt;&lt;Cite&gt;&lt;Author&gt;Vierset&lt;/Author&gt;&lt;Year&gt;1932&lt;/Year&gt;&lt;RecNum&gt;214&lt;/RecNum&gt;&lt;DisplayText&gt;Vierset, &lt;style face="italic"&gt;Mes souvenirs&lt;/style&gt;&lt;/DisplayText&gt;&lt;record&gt;&lt;rec-number&gt;214&lt;/rec-number&gt;&lt;foreign-keys&gt;&lt;key app="EN" db-id="2f5rvwawcsv2woetvw35fzwbdvvswerd0err"&gt;214&lt;/key&gt;&lt;/foreign-keys&gt;&lt;ref-type name="Book"&gt;6&lt;/ref-type&gt;&lt;contributors&gt;&lt;authors&gt;&lt;author&gt;Vierset, Auguste&lt;/author&gt;&lt;/authors&gt;&lt;/contributors&gt;&lt;titles&gt;&lt;title&gt;Mes souvenirs sur l&amp;apos;occupation allemande en Belgique&lt;/title&gt;&lt;short-title&gt;Mes souvenirs&lt;/short-title&gt;&lt;/titles&gt;&lt;dates&gt;&lt;year&gt;1932&lt;/year&gt;&lt;/dates&gt;&lt;pub-location&gt;Paris&lt;/pub-location&gt;&lt;urls&gt;&lt;/urls&gt;&lt;/record&gt;&lt;/Cite&gt;&lt;/EndNote&gt;</w:instrText>
      </w:r>
      <w:r>
        <w:fldChar w:fldCharType="separate"/>
      </w:r>
      <w:r w:rsidRPr="00C54460">
        <w:rPr>
          <w:noProof/>
          <w:lang w:val="fr-FR"/>
        </w:rPr>
        <w:t xml:space="preserve">Vierset, </w:t>
      </w:r>
      <w:r w:rsidRPr="00C54460">
        <w:rPr>
          <w:i/>
          <w:noProof/>
          <w:lang w:val="fr-FR"/>
        </w:rPr>
        <w:t>Mes souvenirs</w:t>
      </w:r>
      <w:r>
        <w:fldChar w:fldCharType="end"/>
      </w:r>
      <w:r w:rsidRPr="00C54460">
        <w:rPr>
          <w:lang w:val="fr-FR"/>
        </w:rPr>
        <w:t>, p. 178.</w:t>
      </w:r>
    </w:p>
  </w:footnote>
  <w:footnote w:id="943">
    <w:p w14:paraId="7E69AAC8"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&lt;EndNote&gt;&lt;Cite&gt;&lt;Author&gt;De Schryver&lt;/Author&gt;&lt;Year&gt;1919&lt;/Year&gt;&lt;RecNum&gt;219&lt;/RecNum&gt;&lt;DisplayText&gt;De Schryver, &lt;style face="italic"&gt;Liège&lt;/style&gt;&lt;/DisplayText&gt;&lt;record&gt;&lt;rec-number&gt;219&lt;/rec-number&gt;&lt;foreign-keys&gt;&lt;key app="EN" db-id="2f5rvwawcsv2woetvw35fzwbdvvswerd0err"&gt;219&lt;/key&gt;&lt;/foreign-keys&gt;&lt;ref-type name="Book"&gt;6&lt;/ref-type&gt;&lt;contributors&gt;&lt;authors&gt;&lt;author&gt;De Schryver, Charles&lt;/author&gt;&lt;/authors&gt;&lt;/contributors&gt;&lt;titles&gt;&lt;title&gt;Liège pendant la guerre&lt;/title&gt;&lt;short-title&gt;Liège&lt;/short-title&gt;&lt;/titles&gt;&lt;dates&gt;&lt;year&gt;1919&lt;/year&gt;&lt;/dates&gt;&lt;pub-location&gt;Liège&lt;/pub-location&gt;&lt;urls&gt;&lt;/urls&gt;&lt;/record&gt;&lt;/Cite&gt;&lt;/EndNote&gt;</w:instrText>
      </w:r>
      <w:r>
        <w:fldChar w:fldCharType="separate"/>
      </w:r>
      <w:r w:rsidRPr="00C54460">
        <w:rPr>
          <w:noProof/>
          <w:lang w:val="fr-FR"/>
        </w:rPr>
        <w:t xml:space="preserve">De Schryver, </w:t>
      </w:r>
      <w:r w:rsidRPr="00C54460">
        <w:rPr>
          <w:i/>
          <w:noProof/>
          <w:lang w:val="fr-FR"/>
        </w:rPr>
        <w:t>Liège</w:t>
      </w:r>
      <w:r>
        <w:fldChar w:fldCharType="end"/>
      </w:r>
      <w:r w:rsidRPr="00C54460">
        <w:rPr>
          <w:lang w:val="fr-FR"/>
        </w:rPr>
        <w:t>, p. 80.</w:t>
      </w:r>
    </w:p>
  </w:footnote>
  <w:footnote w:id="944">
    <w:p w14:paraId="36C9C25A"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fldChar w:fldCharType="begin"/>
      </w:r>
      <w:r w:rsidRPr="00C54460">
        <w:rPr>
          <w:lang w:val="fr-FR"/>
        </w:rPr>
        <w:instrText xml:space="preserve"> ADDIN EN.CITE &lt;EndNote&gt;&lt;Cite&gt;&lt;Author&gt;De Thier&lt;/Author&gt;&lt;Year&gt;1919&lt;/Year&gt;&lt;RecNum&gt;218&lt;/RecNum&gt;&lt;DisplayText&gt;De Thier and Gilbart, &lt;style face="italic"&gt;Liège&lt;/style&gt;&lt;/DisplayText&gt;&lt;record&gt;&lt;rec-number&gt;218&lt;/rec-number&gt;&lt;foreign-keys&gt;&lt;key app="EN" db-id="2f5rvwawcsv2woetvw35fzwbdvvswerd0err"&gt;218&lt;/key&gt;&lt;/foreign-keys&gt;&lt;ref-type name="Book"&gt;6&lt;/ref-type&gt;&lt;contributors&gt;&lt;authors&gt;&lt;author&gt;De Thier, Jules&lt;/author&gt;&lt;author&gt;Gilbart, Olympe&lt;/author&gt;&lt;/authors&gt;&lt;/contributors&gt;&lt;titles&gt;&lt;title&gt;Liège pendant la grande guerre. Tome III Liège indomptée&lt;/title&gt;&lt;short-title&gt;Liège&lt;/short-title&gt;&lt;/titles&gt;&lt;dates&gt;&lt;year&gt;1919&lt;/year&gt;&lt;/dates&gt;&lt;pub-location&gt;Liège&lt;/pub-location&gt;&lt;urls&gt;&lt;/urls&gt;&lt;/record&gt;&lt;/Cite&gt;&lt;/EndNote&gt;</w:instrText>
      </w:r>
      <w:r>
        <w:fldChar w:fldCharType="separate"/>
      </w:r>
      <w:r w:rsidRPr="00C54460">
        <w:rPr>
          <w:noProof/>
          <w:lang w:val="fr-FR"/>
        </w:rPr>
        <w:t xml:space="preserve">De Thier and Gilbart, </w:t>
      </w:r>
      <w:r w:rsidRPr="00C54460">
        <w:rPr>
          <w:i/>
          <w:noProof/>
          <w:lang w:val="fr-FR"/>
        </w:rPr>
        <w:t>Liège</w:t>
      </w:r>
      <w:r>
        <w:fldChar w:fldCharType="end"/>
      </w:r>
      <w:r w:rsidRPr="00C54460">
        <w:rPr>
          <w:lang w:val="fr-FR"/>
        </w:rPr>
        <w:t>, p. 44.</w:t>
      </w:r>
    </w:p>
  </w:footnote>
  <w:footnote w:id="945">
    <w:p w14:paraId="7531CEBC" w14:textId="77777777" w:rsidR="00DE3AC9" w:rsidRPr="00C73288" w:rsidRDefault="00DE3AC9" w:rsidP="0048510E">
      <w:pPr>
        <w:pStyle w:val="FootnoteText"/>
        <w:rPr>
          <w:lang w:val="fr-FR"/>
        </w:rPr>
      </w:pPr>
      <w:r>
        <w:rPr>
          <w:rStyle w:val="FootnoteReference"/>
        </w:rPr>
        <w:footnoteRef/>
      </w:r>
      <w:r w:rsidRPr="00C73288">
        <w:rPr>
          <w:lang w:val="fr-FR"/>
        </w:rPr>
        <w:t xml:space="preserve"> </w:t>
      </w:r>
      <w:r>
        <w:rPr>
          <w:lang w:val="nl-NL"/>
        </w:rPr>
        <w:fldChar w:fldCharType="begin"/>
      </w:r>
      <w:r w:rsidRPr="00C73288">
        <w:rPr>
          <w:lang w:val="fr-FR"/>
        </w:rPr>
        <w:instrText xml:space="preserve"> ADDIN EN.CITE &lt;EndNote&gt;&lt;Cite&gt;&lt;Author&gt;Debruyne&lt;/Author&gt;&lt;Year&gt;2008&lt;/Year&gt;&lt;RecNum&gt;244&lt;/RecNum&gt;&lt;DisplayText&gt;Debruyne, &lt;style face="italic"&gt;Patriotes&lt;/style&gt;&lt;/DisplayText&gt;&lt;record&gt;&lt;rec-number&gt;244&lt;/rec-number&gt;&lt;foreign-keys&gt;&lt;key app="EN" db-id="2f5rvwawcsv2woetvw35fzwbdvvswerd0err"&gt;244&lt;/key&gt;&lt;/foreign-keys&gt;&lt;ref-type name="Journal Article"&gt;17&lt;/ref-type&gt;&lt;contributors&gt;&lt;authors&gt;&lt;author&gt;Debruyne, Emmanuel&lt;/author&gt;&lt;/authors&gt;&lt;/contributors&gt;&lt;titles&gt;&lt;title&gt;Patriotes désintéressés ou espions vénaux? Agents et argent en Belgique et en France occupée, 1914-1918&lt;/title&gt;&lt;secondary-title&gt;Guerres mondiales et conflits contemporains&lt;/secondary-title&gt;&lt;short-title&gt;Patriotes&lt;/short-title&gt;&lt;/titles&gt;&lt;periodical&gt;&lt;full-title&gt;Guerres mondiales et conflits contemporains&lt;/full-title&gt;&lt;/periodical&gt;&lt;volume&gt;232&lt;/volume&gt;&lt;dates&gt;&lt;year&gt;2008&lt;/year&gt;&lt;/dates&gt;&lt;urls&gt;&lt;/urls&gt;&lt;/record&gt;&lt;/Cite&gt;&lt;/EndNote&gt;</w:instrText>
      </w:r>
      <w:r>
        <w:rPr>
          <w:lang w:val="nl-NL"/>
        </w:rPr>
        <w:fldChar w:fldCharType="separate"/>
      </w:r>
      <w:r w:rsidRPr="00C73288">
        <w:rPr>
          <w:noProof/>
          <w:lang w:val="fr-FR"/>
        </w:rPr>
        <w:t xml:space="preserve">Debruyne, </w:t>
      </w:r>
      <w:r w:rsidRPr="00C73288">
        <w:rPr>
          <w:i/>
          <w:noProof/>
          <w:lang w:val="fr-FR"/>
        </w:rPr>
        <w:t>Patriotes</w:t>
      </w:r>
      <w:r>
        <w:rPr>
          <w:lang w:val="nl-NL"/>
        </w:rPr>
        <w:fldChar w:fldCharType="end"/>
      </w:r>
      <w:r w:rsidRPr="008708EE">
        <w:rPr>
          <w:lang w:val="fr-FR"/>
        </w:rPr>
        <w:t xml:space="preserve">, </w:t>
      </w:r>
      <w:r w:rsidRPr="00C73288">
        <w:rPr>
          <w:lang w:val="fr-FR"/>
        </w:rPr>
        <w:t>pp. 25-45.</w:t>
      </w:r>
    </w:p>
  </w:footnote>
  <w:footnote w:id="946">
    <w:p w14:paraId="12D4EC8C" w14:textId="77777777" w:rsidR="00DE3AC9" w:rsidRPr="00C73288" w:rsidRDefault="00DE3AC9" w:rsidP="005C7BEE">
      <w:pPr>
        <w:pStyle w:val="FootnoteText"/>
        <w:rPr>
          <w:lang w:val="fr-FR"/>
        </w:rPr>
      </w:pPr>
      <w:r>
        <w:rPr>
          <w:rStyle w:val="FootnoteReference"/>
        </w:rPr>
        <w:footnoteRef/>
      </w:r>
      <w:r w:rsidRPr="00C73288">
        <w:rPr>
          <w:lang w:val="fr-FR"/>
        </w:rPr>
        <w:t xml:space="preserve"> </w:t>
      </w:r>
      <w:r>
        <w:fldChar w:fldCharType="begin"/>
      </w:r>
      <w:r w:rsidRPr="00C73288">
        <w:rPr>
          <w:lang w:val="fr-FR"/>
        </w:rPr>
        <w:instrText xml:space="preserve"> ADDIN EN.CITE &lt;EndNote&gt;&lt;Cite&gt;&lt;Author&gt;Masoin&lt;/Author&gt;&lt;Year&gt;1919&lt;/Year&gt;&lt;RecNum&gt;221&lt;/RecNum&gt;&lt;DisplayText&gt;Masoin, &lt;style face="italic"&gt;Le règne&lt;/style&gt;&lt;/DisplayText&gt;&lt;record&gt;&lt;rec-number&gt;221&lt;/rec-number&gt;&lt;foreign-keys&gt;&lt;key app="EN" db-id="2f5rvwawcsv2woetvw35fzwbdvvswerd0err"&gt;221&lt;/key&gt;&lt;/foreign-keys&gt;&lt;ref-type name="Book"&gt;6&lt;/ref-type&gt;&lt;contributors&gt;&lt;authors&gt;&lt;author&gt;Masoin, Fritz&lt;/author&gt;&lt;/authors&gt;&lt;/contributors&gt;&lt;titles&gt;&lt;title&gt;Le règne de la brute&lt;/title&gt;&lt;short-title&gt;Le règne&lt;/short-title&gt;&lt;/titles&gt;&lt;dates&gt;&lt;year&gt;1919&lt;/year&gt;&lt;/dates&gt;&lt;pub-location&gt;Brussels&lt;/pub-location&gt;&lt;urls&gt;&lt;/urls&gt;&lt;/record&gt;&lt;/Cite&gt;&lt;/EndNote&gt;</w:instrText>
      </w:r>
      <w:r>
        <w:fldChar w:fldCharType="separate"/>
      </w:r>
      <w:r w:rsidRPr="00C73288">
        <w:rPr>
          <w:noProof/>
          <w:lang w:val="fr-FR"/>
        </w:rPr>
        <w:t xml:space="preserve">Masoin, </w:t>
      </w:r>
      <w:r w:rsidRPr="00C73288">
        <w:rPr>
          <w:i/>
          <w:noProof/>
          <w:lang w:val="fr-FR"/>
        </w:rPr>
        <w:t>Le règne</w:t>
      </w:r>
      <w:r>
        <w:fldChar w:fldCharType="end"/>
      </w:r>
      <w:r w:rsidRPr="00C73288">
        <w:rPr>
          <w:lang w:val="fr-FR"/>
        </w:rPr>
        <w:t xml:space="preserve">, p. 22 and </w:t>
      </w:r>
      <w:r>
        <w:rPr>
          <w:lang w:val="nl-NL"/>
        </w:rPr>
        <w:fldChar w:fldCharType="begin"/>
      </w:r>
      <w:r w:rsidRPr="00C73288">
        <w:rPr>
          <w:lang w:val="fr-FR"/>
        </w:rPr>
        <w:instrText xml:space="preserve"> ADDIN EN.CITE &lt;EndNote&gt;&lt;Cite&gt;&lt;Author&gt;Taïeb&lt;/Author&gt;&lt;Year&gt;2002&lt;/Year&gt;&lt;RecNum&gt;249&lt;/RecNum&gt;&lt;DisplayText&gt;Emmanuel Taïeb, &amp;apos;Des rumeurs de guerre&amp;apos;, in: &lt;style face="italic"&gt;Quaderni, &lt;/style&gt;49 (2002), &lt;/DisplayText&gt;&lt;record&gt;&lt;rec-number&gt;249&lt;/rec-number&gt;&lt;foreign-keys&gt;&lt;key app="EN" db-id="2f5rvwawcsv2woetvw35fzwbdvvswerd0err"&gt;249&lt;/key&gt;&lt;/foreign-keys&gt;&lt;ref-type name="Journal Article"&gt;17&lt;/ref-type&gt;&lt;contributors&gt;&lt;authors&gt;&lt;author&gt;Taïeb, Emmanuel&lt;/author&gt;&lt;/authors&gt;&lt;/contributors&gt;&lt;titles&gt;&lt;title&gt;Des rumeurs de guerre&lt;/title&gt;&lt;secondary-title&gt;Quaderni&lt;/secondary-title&gt;&lt;short-title&gt;Des rumeurs&lt;/short-title&gt;&lt;/titles&gt;&lt;periodical&gt;&lt;full-title&gt;Quaderni&lt;/full-title&gt;&lt;/periodical&gt;&lt;volume&gt;49&lt;/volume&gt;&lt;dates&gt;&lt;year&gt;2002&lt;/year&gt;&lt;/dates&gt;&lt;urls&gt;&lt;/urls&gt;&lt;/record&gt;&lt;/Cite&gt;&lt;/EndNote&gt;</w:instrText>
      </w:r>
      <w:r>
        <w:rPr>
          <w:lang w:val="nl-NL"/>
        </w:rPr>
        <w:fldChar w:fldCharType="separate"/>
      </w:r>
      <w:r w:rsidRPr="00C73288">
        <w:rPr>
          <w:noProof/>
          <w:lang w:val="fr-FR"/>
        </w:rPr>
        <w:t xml:space="preserve">Emmanuel Taïeb, 'Des rumeurs de guerre', in: </w:t>
      </w:r>
      <w:r w:rsidRPr="00C73288">
        <w:rPr>
          <w:i/>
          <w:noProof/>
          <w:lang w:val="fr-FR"/>
        </w:rPr>
        <w:t xml:space="preserve">Quaderni, </w:t>
      </w:r>
      <w:r w:rsidRPr="00C73288">
        <w:rPr>
          <w:noProof/>
          <w:lang w:val="fr-FR"/>
        </w:rPr>
        <w:t xml:space="preserve">49 (2002), </w:t>
      </w:r>
      <w:r>
        <w:rPr>
          <w:lang w:val="nl-NL"/>
        </w:rPr>
        <w:fldChar w:fldCharType="end"/>
      </w:r>
      <w:r w:rsidRPr="00C73288">
        <w:rPr>
          <w:lang w:val="fr-FR"/>
        </w:rPr>
        <w:t xml:space="preserve">pp. 5-16. The fact was also highlighted for occupied France by </w:t>
      </w:r>
      <w:r>
        <w:rPr>
          <w:lang w:val="nl-NL"/>
        </w:rPr>
        <w:fldChar w:fldCharType="begin"/>
      </w:r>
      <w:r w:rsidRPr="00C73288">
        <w:rPr>
          <w:lang w:val="fr-FR"/>
        </w:rPr>
        <w:instrText xml:space="preserve"> ADDIN EN.CITE &lt;EndNote&gt;&lt;Cite&gt;&lt;Author&gt;Ramirez&lt;/Author&gt;&lt;Year&gt;1999&lt;/Year&gt;&lt;RecNum&gt;255&lt;/RecNum&gt;&lt;DisplayText&gt;Christel Ramirez, &amp;apos;Les villes et les campagnes dans le Nord pendant l&amp;apos;occupation allemande de 1914-1918&amp;apos;, (Masters thesis, Lille III, 1999)&lt;/DisplayText&gt;&lt;record&gt;&lt;rec-number&gt;255&lt;/rec-number&gt;&lt;foreign-keys&gt;&lt;key app="EN" db-id="2f5rvwawcsv2woetvw35fzwbdvvswerd0err"&gt;255&lt;/key&gt;&lt;/foreign-keys&gt;&lt;ref-type name="Thesis"&gt;32&lt;/ref-type&gt;&lt;contributors&gt;&lt;authors&gt;&lt;author&gt;Ramirez, Christel&lt;/author&gt;&lt;/authors&gt;&lt;/contributors&gt;&lt;titles&gt;&lt;title&gt;Les villes et les campagnes dans le Nord pendant l&amp;apos;occupation allemande de 1914-1918&lt;/title&gt;&lt;/titles&gt;&lt;dates&gt;&lt;year&gt;1999&lt;/year&gt;&lt;/dates&gt;&lt;publisher&gt;Lille III&lt;/publisher&gt;&lt;work-type&gt;Masters thesis&lt;/work-type&gt;&lt;urls&gt;&lt;/urls&gt;&lt;/record&gt;&lt;/Cite&gt;&lt;/EndNote&gt;</w:instrText>
      </w:r>
      <w:r>
        <w:rPr>
          <w:lang w:val="nl-NL"/>
        </w:rPr>
        <w:fldChar w:fldCharType="separate"/>
      </w:r>
      <w:r w:rsidRPr="00C73288">
        <w:rPr>
          <w:noProof/>
          <w:lang w:val="fr-FR"/>
        </w:rPr>
        <w:t>Christel Ramirez, 'Les villes et les campagnes dans le Nord pendant l'occupation allemande de 1914-1918', (Masters thesis, Lille III, 1999)</w:t>
      </w:r>
      <w:r>
        <w:rPr>
          <w:lang w:val="nl-NL"/>
        </w:rPr>
        <w:fldChar w:fldCharType="end"/>
      </w:r>
      <w:r w:rsidRPr="008708EE">
        <w:rPr>
          <w:lang w:val="fr-FR"/>
        </w:rPr>
        <w:t xml:space="preserve">, </w:t>
      </w:r>
      <w:r w:rsidRPr="00C73288">
        <w:rPr>
          <w:lang w:val="fr-FR"/>
        </w:rPr>
        <w:t>p. 41.</w:t>
      </w:r>
    </w:p>
  </w:footnote>
  <w:footnote w:id="947">
    <w:p w14:paraId="0D838038" w14:textId="3B4CA960" w:rsidR="00DE3AC9" w:rsidRDefault="00DE3AC9" w:rsidP="0048510E">
      <w:pPr>
        <w:pStyle w:val="FootnoteText"/>
      </w:pPr>
      <w:r>
        <w:rPr>
          <w:rStyle w:val="FootnoteReference"/>
        </w:rPr>
        <w:footnoteRef/>
      </w:r>
      <w:r>
        <w:t xml:space="preserve"> </w:t>
      </w:r>
      <w:r>
        <w:fldChar w:fldCharType="begin"/>
      </w:r>
      <w:r>
        <w:instrText xml:space="preserve"> ADDIN EN.CITE &lt;EndNote&gt;&lt;Cite&gt;&lt;Author&gt;Welch&lt;/Author&gt;&lt;Year&gt;2000&lt;/Year&gt;&lt;RecNum&gt;22&lt;/RecNum&gt;&lt;DisplayText&gt;Welch, &lt;style face="italic"&gt;Germany&lt;/style&gt;&lt;/DisplayText&gt;&lt;record&gt;&lt;rec-number&gt;22&lt;/rec-number&gt;&lt;foreign-keys&gt;&lt;key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fldChar w:fldCharType="separate"/>
      </w:r>
      <w:r>
        <w:rPr>
          <w:noProof/>
        </w:rPr>
        <w:t xml:space="preserve">Welch, </w:t>
      </w:r>
      <w:r w:rsidRPr="007B7627">
        <w:rPr>
          <w:i/>
          <w:noProof/>
        </w:rPr>
        <w:t>Germany</w:t>
      </w:r>
      <w:r>
        <w:fldChar w:fldCharType="end"/>
      </w:r>
      <w:r>
        <w:t>, pp. 20-21.</w:t>
      </w:r>
    </w:p>
  </w:footnote>
  <w:footnote w:id="948">
    <w:p w14:paraId="08DA9128" w14:textId="77777777" w:rsidR="00DE3AC9" w:rsidRDefault="00DE3AC9" w:rsidP="0048510E">
      <w:pPr>
        <w:pStyle w:val="FootnoteText"/>
      </w:pPr>
      <w:r>
        <w:rPr>
          <w:rStyle w:val="FootnoteReference"/>
        </w:rPr>
        <w:footnoteRef/>
      </w:r>
      <w:r>
        <w:t xml:space="preserve"> </w:t>
      </w:r>
      <w:r>
        <w:fldChar w:fldCharType="begin"/>
      </w:r>
      <w:r>
        <w:instrText xml:space="preserve"> ADDIN EN.CITE &lt;EndNote&gt;&lt;Cite&gt;&lt;Author&gt;Hull&lt;/Author&gt;&lt;Year&gt;2005&lt;/Year&gt;&lt;RecNum&gt;206&lt;/RecNum&gt;&lt;DisplayText&gt;Hull, &lt;style face="italic"&gt;Absolute&lt;/style&gt;&lt;/DisplayText&gt;&lt;record&gt;&lt;rec-number&gt;206&lt;/rec-number&gt;&lt;foreign-keys&gt;&lt;key app="EN" db-id="2f5rvwawcsv2woetvw35fzwbdvvswerd0err"&gt;206&lt;/key&gt;&lt;/foreign-keys&gt;&lt;ref-type name="Book"&gt;6&lt;/ref-type&gt;&lt;contributors&gt;&lt;authors&gt;&lt;author&gt;Hull, Isabel&lt;/author&gt;&lt;/authors&gt;&lt;/contributors&gt;&lt;titles&gt;&lt;title&gt;Absolute destruction: military culture and the practices of war in Imperial Germany&lt;/title&gt;&lt;short-title&gt;Absolute&lt;/short-title&gt;&lt;/titles&gt;&lt;dates&gt;&lt;year&gt;2005&lt;/year&gt;&lt;/dates&gt;&lt;pub-location&gt;London&lt;/pub-location&gt;&lt;urls&gt;&lt;/urls&gt;&lt;/record&gt;&lt;/Cite&gt;&lt;/EndNote&gt;</w:instrText>
      </w:r>
      <w:r>
        <w:fldChar w:fldCharType="separate"/>
      </w:r>
      <w:r>
        <w:rPr>
          <w:noProof/>
        </w:rPr>
        <w:t xml:space="preserve">Hull, </w:t>
      </w:r>
      <w:r w:rsidRPr="007B7627">
        <w:rPr>
          <w:i/>
          <w:noProof/>
        </w:rPr>
        <w:t>Absolute</w:t>
      </w:r>
      <w:r>
        <w:fldChar w:fldCharType="end"/>
      </w:r>
      <w:r>
        <w:t>, p. 180.</w:t>
      </w:r>
    </w:p>
  </w:footnote>
  <w:footnote w:id="949">
    <w:p w14:paraId="43FF5079" w14:textId="77777777" w:rsidR="00DE3AC9" w:rsidRPr="001C4AD2" w:rsidRDefault="00DE3AC9" w:rsidP="0048510E">
      <w:pPr>
        <w:pStyle w:val="FootnoteText"/>
      </w:pPr>
      <w:r>
        <w:rPr>
          <w:rStyle w:val="FootnoteReference"/>
        </w:rPr>
        <w:footnoteRef/>
      </w:r>
      <w:r>
        <w:t xml:space="preserve"> </w:t>
      </w:r>
      <w:r>
        <w:fldChar w:fldCharType="begin"/>
      </w:r>
      <w:r>
        <w:instrText xml:space="preserve"> ADDIN EN.CITE &lt;EndNote&gt;&lt;Cite&gt;&lt;Author&gt;Prein&lt;/Author&gt;&lt;Year&gt;1994&lt;/Year&gt;&lt;RecNum&gt;247&lt;/RecNum&gt;&lt;DisplayText&gt;Philipp Prein, &amp;apos;Guns and top hats: African resistance in German South West Africa, 1907-1915&amp;apos;, in: &lt;style face="italic"&gt;Journal of Southern African Studies, &lt;/style&gt;20 (1994), &lt;/DisplayText&gt;&lt;record&gt;&lt;rec-number&gt;247&lt;/rec-number&gt;&lt;foreign-keys&gt;&lt;key app="EN" db-id="2f5rvwawcsv2woetvw35fzwbdvvswerd0err"&gt;247&lt;/key&gt;&lt;/foreign-keys&gt;&lt;ref-type name="Journal Article"&gt;17&lt;/ref-type&gt;&lt;contributors&gt;&lt;authors&gt;&lt;author&gt;Prein, Philipp&lt;/author&gt;&lt;/authors&gt;&lt;/contributors&gt;&lt;titles&gt;&lt;title&gt;Guns and top hats: African resistance in German South West Africa, 1907-1915&lt;/title&gt;&lt;secondary-title&gt;Journal of Southern African Studies&lt;/secondary-title&gt;&lt;short-title&gt;Guns&lt;/short-title&gt;&lt;/titles&gt;&lt;periodical&gt;&lt;full-title&gt;Journal of Southern African Studies&lt;/full-title&gt;&lt;/periodical&gt;&lt;volume&gt;20&lt;/volume&gt;&lt;dates&gt;&lt;year&gt;1994&lt;/year&gt;&lt;/dates&gt;&lt;urls&gt;&lt;/urls&gt;&lt;/record&gt;&lt;/Cite&gt;&lt;/EndNote&gt;</w:instrText>
      </w:r>
      <w:r>
        <w:fldChar w:fldCharType="separate"/>
      </w:r>
      <w:r>
        <w:rPr>
          <w:noProof/>
        </w:rPr>
        <w:t xml:space="preserve">Philipp Prein, 'Guns and top hats: African resistance in German South West Africa, 1907-1915', in: </w:t>
      </w:r>
      <w:r w:rsidRPr="007B7627">
        <w:rPr>
          <w:i/>
          <w:noProof/>
        </w:rPr>
        <w:t xml:space="preserve">Journal of Southern African Studies, </w:t>
      </w:r>
      <w:r>
        <w:rPr>
          <w:noProof/>
        </w:rPr>
        <w:t xml:space="preserve">20 (1994), </w:t>
      </w:r>
      <w:r>
        <w:fldChar w:fldCharType="end"/>
      </w:r>
      <w:r>
        <w:t>pp. 99-121.</w:t>
      </w:r>
    </w:p>
  </w:footnote>
  <w:footnote w:id="950">
    <w:p w14:paraId="34BEFA7D" w14:textId="77777777" w:rsidR="00DE3AC9" w:rsidRPr="000F79BD" w:rsidRDefault="00DE3AC9" w:rsidP="0048510E">
      <w:pPr>
        <w:pStyle w:val="FootnoteText"/>
      </w:pPr>
      <w:r>
        <w:rPr>
          <w:rStyle w:val="FootnoteReference"/>
        </w:rPr>
        <w:footnoteRef/>
      </w:r>
      <w:r>
        <w:t xml:space="preserve"> </w:t>
      </w:r>
      <w:r>
        <w:fldChar w:fldCharType="begin"/>
      </w:r>
      <w:r>
        <w:instrText xml:space="preserve"> ADDIN EN.CITE &lt;EndNote&gt;&lt;Cite&gt;&lt;Author&gt;Horne&lt;/Author&gt;&lt;Year&gt;1994&lt;/Year&gt;&lt;RecNum&gt;231&lt;/RecNum&gt;&lt;DisplayText&gt;Horne and Kramer, &lt;style face="italic"&gt;&amp;apos;German atrocities&amp;apos;&lt;/style&gt;&lt;/DisplayText&gt;&lt;record&gt;&lt;rec-number&gt;231&lt;/rec-number&gt;&lt;foreign-keys&gt;&lt;key app="EN" db-id="2f5rvwawcsv2woetvw35fzwbdvvswerd0err"&gt;231&lt;/key&gt;&lt;/foreign-keys&gt;&lt;ref-type name="Journal Article"&gt;17&lt;/ref-type&gt;&lt;contributors&gt;&lt;authors&gt;&lt;author&gt;Horne, John&lt;/author&gt;&lt;author&gt;Kramer, Alan&lt;/author&gt;&lt;/authors&gt;&lt;/contributors&gt;&lt;titles&gt;&lt;title&gt;&amp;apos;German atrocities&amp;apos; and Franco-German opinion, 1914&lt;/title&gt;&lt;secondary-title&gt;Journal of Modern History&lt;/secondary-title&gt;&lt;short-title&gt;&amp;apos;German atrocities&amp;apos;&lt;/short-title&gt;&lt;/titles&gt;&lt;periodical&gt;&lt;full-title&gt;Journal of Modern History&lt;/full-title&gt;&lt;/periodical&gt;&lt;volume&gt;66&lt;/volume&gt;&lt;number&gt;1&lt;/number&gt;&lt;dates&gt;&lt;year&gt;1994&lt;/year&gt;&lt;/dates&gt;&lt;urls&gt;&lt;/urls&gt;&lt;/record&gt;&lt;/Cite&gt;&lt;/EndNote&gt;</w:instrText>
      </w:r>
      <w:r>
        <w:fldChar w:fldCharType="separate"/>
      </w:r>
      <w:r>
        <w:rPr>
          <w:noProof/>
        </w:rPr>
        <w:t xml:space="preserve">Horne and Kramer, </w:t>
      </w:r>
      <w:r w:rsidRPr="007B7627">
        <w:rPr>
          <w:i/>
          <w:noProof/>
        </w:rPr>
        <w:t>'German atrocities'</w:t>
      </w:r>
      <w:r>
        <w:fldChar w:fldCharType="end"/>
      </w:r>
      <w:r>
        <w:t>, p. 10.</w:t>
      </w:r>
    </w:p>
  </w:footnote>
  <w:footnote w:id="951">
    <w:p w14:paraId="1D9C60A8" w14:textId="77777777" w:rsidR="00DE3AC9" w:rsidRDefault="00DE3AC9" w:rsidP="0048510E">
      <w:pPr>
        <w:pStyle w:val="FootnoteText"/>
      </w:pPr>
      <w:r>
        <w:rPr>
          <w:rStyle w:val="FootnoteReference"/>
        </w:rPr>
        <w:footnoteRef/>
      </w:r>
      <w:r>
        <w:t xml:space="preserve"> </w:t>
      </w:r>
      <w:r>
        <w:fldChar w:fldCharType="begin"/>
      </w:r>
      <w: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Pr>
          <w:noProof/>
        </w:rPr>
        <w:t xml:space="preserve">Nicolai, </w:t>
      </w:r>
      <w:r w:rsidRPr="007B7627">
        <w:rPr>
          <w:i/>
          <w:noProof/>
        </w:rPr>
        <w:t>The German</w:t>
      </w:r>
      <w:r>
        <w:fldChar w:fldCharType="end"/>
      </w:r>
      <w:r>
        <w:t>, p. 167.</w:t>
      </w:r>
    </w:p>
  </w:footnote>
  <w:footnote w:id="952">
    <w:p w14:paraId="1334DF4E" w14:textId="77777777" w:rsidR="00DE3AC9" w:rsidRPr="0002136D" w:rsidRDefault="00DE3AC9" w:rsidP="0048510E">
      <w:pPr>
        <w:pStyle w:val="FootnoteText"/>
      </w:pPr>
      <w:r>
        <w:rPr>
          <w:rStyle w:val="FootnoteReference"/>
        </w:rPr>
        <w:footnoteRef/>
      </w:r>
      <w:r>
        <w:t xml:space="preserve"> </w:t>
      </w:r>
      <w:r w:rsidRPr="0004564D">
        <w:t>It will be shown below that the Germans jumped on aerial propaganda to justify their failure on the Western front.</w:t>
      </w:r>
    </w:p>
  </w:footnote>
  <w:footnote w:id="953">
    <w:p w14:paraId="6E6777BE" w14:textId="77777777" w:rsidR="00DE3AC9" w:rsidRPr="00127994" w:rsidRDefault="00DE3AC9" w:rsidP="0048510E">
      <w:pPr>
        <w:pStyle w:val="FootnoteText"/>
      </w:pPr>
      <w:r>
        <w:rPr>
          <w:rStyle w:val="FootnoteReference"/>
        </w:rPr>
        <w:footnoteRef/>
      </w:r>
      <w:r>
        <w:t xml:space="preserve"> See chapter two about distribution.</w:t>
      </w:r>
    </w:p>
  </w:footnote>
  <w:footnote w:id="954">
    <w:p w14:paraId="1269AE03" w14:textId="77777777" w:rsidR="00DE3AC9" w:rsidRPr="0098688A" w:rsidRDefault="00DE3AC9" w:rsidP="0098688A">
      <w:pPr>
        <w:pStyle w:val="FootnoteText"/>
        <w:rPr>
          <w:b/>
          <w:bCs/>
          <w:lang w:val="de-DE"/>
        </w:rPr>
      </w:pPr>
      <w:r>
        <w:rPr>
          <w:rStyle w:val="FootnoteReference"/>
        </w:rPr>
        <w:footnoteRef/>
      </w:r>
      <w:r w:rsidRPr="0098688A">
        <w:rPr>
          <w:lang w:val="de-DE"/>
        </w:rPr>
        <w:t xml:space="preserve"> </w:t>
      </w:r>
      <w:r>
        <w:rPr>
          <w:lang w:val="de-DE"/>
        </w:rPr>
        <w:t xml:space="preserve">PAAA: R22189. Akten des Auswärtigen Amts im Grossen Hauptquartiers – Frankreich: Report by Ludendorff to Berlin, January 1918.  </w:t>
      </w:r>
    </w:p>
  </w:footnote>
  <w:footnote w:id="955">
    <w:p w14:paraId="7B455179" w14:textId="17DF2DCD" w:rsidR="00DE3AC9" w:rsidRPr="008A61F4" w:rsidRDefault="00DE3AC9">
      <w:pPr>
        <w:pStyle w:val="FootnoteText"/>
      </w:pPr>
      <w:r>
        <w:rPr>
          <w:rStyle w:val="FootnoteReference"/>
        </w:rPr>
        <w:footnoteRef/>
      </w:r>
      <w:r>
        <w:t xml:space="preserve"> </w:t>
      </w:r>
      <w:r w:rsidRPr="008A61F4">
        <w:t>PAAA :</w:t>
      </w:r>
      <w:r>
        <w:t xml:space="preserve"> R22189. Various reports about a</w:t>
      </w:r>
      <w:r w:rsidRPr="008A61F4">
        <w:t xml:space="preserve">llied aerial propaganda and international laws. </w:t>
      </w:r>
      <w:r>
        <w:t>October 1917 – March 1918.</w:t>
      </w:r>
    </w:p>
  </w:footnote>
  <w:footnote w:id="956">
    <w:p w14:paraId="2D538B7D" w14:textId="77777777" w:rsidR="00DE3AC9" w:rsidRPr="00F322AF" w:rsidRDefault="00DE3AC9" w:rsidP="0048510E">
      <w:pPr>
        <w:pStyle w:val="FootnoteText"/>
        <w:rPr>
          <w:lang w:val="en-US"/>
        </w:rPr>
      </w:pPr>
      <w:r>
        <w:rPr>
          <w:rStyle w:val="FootnoteReference"/>
        </w:rPr>
        <w:footnoteRef/>
      </w:r>
      <w:r w:rsidRPr="008A61F4">
        <w:t xml:space="preserve"> </w:t>
      </w:r>
      <w:r>
        <w:fldChar w:fldCharType="begin"/>
      </w:r>
      <w:r w:rsidRPr="008A61F4">
        <w:instrText xml:space="preserve"> ADDIN EN.CITE &lt;EndNote&gt;&lt;Cite&gt;&lt;Author&gt;Nicola</w:instrText>
      </w:r>
      <w:r w:rsidRPr="00F322AF">
        <w:rPr>
          <w:lang w:val="en-US"/>
        </w:rPr>
        <w:instrText>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sidRPr="00F322AF">
        <w:rPr>
          <w:noProof/>
          <w:lang w:val="en-US"/>
        </w:rPr>
        <w:t xml:space="preserve">Nicolai, </w:t>
      </w:r>
      <w:r w:rsidRPr="00F322AF">
        <w:rPr>
          <w:i/>
          <w:noProof/>
          <w:lang w:val="en-US"/>
        </w:rPr>
        <w:t>The German</w:t>
      </w:r>
      <w:r>
        <w:fldChar w:fldCharType="end"/>
      </w:r>
      <w:r w:rsidRPr="00F322AF">
        <w:rPr>
          <w:lang w:val="en-US"/>
        </w:rPr>
        <w:t>, p. 160.</w:t>
      </w:r>
    </w:p>
  </w:footnote>
  <w:footnote w:id="957">
    <w:p w14:paraId="791B100D" w14:textId="087FC243" w:rsidR="00DE3AC9" w:rsidRPr="00C54460" w:rsidRDefault="00DE3AC9" w:rsidP="0048510E">
      <w:pPr>
        <w:pStyle w:val="FootnoteText"/>
      </w:pPr>
      <w:r>
        <w:rPr>
          <w:rStyle w:val="FootnoteReference"/>
        </w:rPr>
        <w:footnoteRef/>
      </w:r>
      <w:r w:rsidRPr="00C54460">
        <w:t xml:space="preserve"> </w:t>
      </w:r>
      <w:r>
        <w:fldChar w:fldCharType="begin"/>
      </w:r>
      <w:r>
        <w:instrText xml:space="preserve"> ADDIN EN.CITE &lt;EndNote&gt;&lt;Cite&gt;&lt;Author&gt;Welch&lt;/Author&gt;&lt;Year&gt;2000&lt;/Year&gt;&lt;RecNum&gt;22&lt;/RecNum&gt;&lt;DisplayText&gt;Welch, &lt;style face="italic"&gt;Germany&lt;/style&gt;&lt;/DisplayText&gt;&lt;record&gt;&lt;rec-number&gt;22&lt;/rec-number&gt;&lt;foreign-keys&gt;&lt;key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fldChar w:fldCharType="separate"/>
      </w:r>
      <w:r w:rsidRPr="00C54460">
        <w:rPr>
          <w:noProof/>
        </w:rPr>
        <w:t xml:space="preserve">Welch, </w:t>
      </w:r>
      <w:r w:rsidRPr="00C54460">
        <w:rPr>
          <w:i/>
          <w:noProof/>
        </w:rPr>
        <w:t>Germany</w:t>
      </w:r>
      <w:r>
        <w:fldChar w:fldCharType="end"/>
      </w:r>
      <w:r w:rsidRPr="00C54460">
        <w:t>, p. 26.</w:t>
      </w:r>
    </w:p>
  </w:footnote>
  <w:footnote w:id="958">
    <w:p w14:paraId="1E43B42B" w14:textId="77777777" w:rsidR="00DE3AC9" w:rsidRPr="003E4F7B" w:rsidRDefault="00DE3AC9" w:rsidP="0048510E">
      <w:pPr>
        <w:pStyle w:val="FootnoteText"/>
      </w:pPr>
      <w:r>
        <w:rPr>
          <w:rStyle w:val="FootnoteReference"/>
        </w:rPr>
        <w:footnoteRef/>
      </w:r>
      <w:r>
        <w:t xml:space="preserve"> </w:t>
      </w:r>
      <w:r>
        <w:fldChar w:fldCharType="begin"/>
      </w:r>
      <w: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fldChar w:fldCharType="separate"/>
      </w:r>
      <w:r>
        <w:rPr>
          <w:noProof/>
        </w:rPr>
        <w:t xml:space="preserve">Taylor, </w:t>
      </w:r>
      <w:r w:rsidRPr="007B7627">
        <w:rPr>
          <w:i/>
          <w:noProof/>
        </w:rPr>
        <w:t>Munitions</w:t>
      </w:r>
      <w:r>
        <w:fldChar w:fldCharType="end"/>
      </w:r>
      <w:r>
        <w:t>, p. 195.</w:t>
      </w:r>
    </w:p>
  </w:footnote>
  <w:footnote w:id="959">
    <w:p w14:paraId="26638966" w14:textId="77777777" w:rsidR="00DE3AC9" w:rsidRPr="000807FD" w:rsidRDefault="00DE3AC9" w:rsidP="0048510E">
      <w:pPr>
        <w:pStyle w:val="FootnoteText"/>
        <w:rPr>
          <w:lang w:val="it-IT"/>
        </w:rPr>
      </w:pPr>
      <w:r>
        <w:rPr>
          <w:rStyle w:val="FootnoteReference"/>
        </w:rPr>
        <w:footnoteRef/>
      </w:r>
      <w:r w:rsidRPr="000807FD">
        <w:rPr>
          <w:lang w:val="it-IT"/>
        </w:rPr>
        <w:t xml:space="preserve"> </w:t>
      </w:r>
      <w:r>
        <w:fldChar w:fldCharType="begin"/>
      </w:r>
      <w:r>
        <w:rPr>
          <w:lang w:val="it-IT"/>
        </w:rP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sidRPr="007B7627">
        <w:rPr>
          <w:noProof/>
          <w:lang w:val="it-IT"/>
        </w:rPr>
        <w:t xml:space="preserve">Nicolai, </w:t>
      </w:r>
      <w:r w:rsidRPr="007B7627">
        <w:rPr>
          <w:i/>
          <w:noProof/>
          <w:lang w:val="it-IT"/>
        </w:rPr>
        <w:t>The German</w:t>
      </w:r>
      <w:r>
        <w:fldChar w:fldCharType="end"/>
      </w:r>
      <w:r w:rsidRPr="000807FD">
        <w:rPr>
          <w:lang w:val="it-IT"/>
        </w:rPr>
        <w:t>, p. 168.</w:t>
      </w:r>
    </w:p>
  </w:footnote>
  <w:footnote w:id="960">
    <w:p w14:paraId="539AD53C" w14:textId="77777777" w:rsidR="00DE3AC9" w:rsidRPr="00C54460" w:rsidRDefault="00DE3AC9" w:rsidP="0048510E">
      <w:pPr>
        <w:pStyle w:val="FootnoteText"/>
        <w:rPr>
          <w:lang w:val="it-IT"/>
        </w:rPr>
      </w:pPr>
      <w:r>
        <w:rPr>
          <w:rStyle w:val="FootnoteReference"/>
        </w:rPr>
        <w:footnoteRef/>
      </w:r>
      <w:r w:rsidRPr="00C54460">
        <w:rPr>
          <w:lang w:val="it-IT"/>
        </w:rPr>
        <w:t xml:space="preserve"> </w:t>
      </w:r>
      <w:r>
        <w:fldChar w:fldCharType="begin"/>
      </w:r>
      <w:r w:rsidRPr="00C54460">
        <w:rPr>
          <w:lang w:val="it-IT"/>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C54460">
        <w:rPr>
          <w:noProof/>
          <w:lang w:val="it-IT"/>
        </w:rPr>
        <w:t xml:space="preserve">Laska, </w:t>
      </w:r>
      <w:r w:rsidRPr="00C54460">
        <w:rPr>
          <w:i/>
          <w:noProof/>
          <w:lang w:val="it-IT"/>
        </w:rPr>
        <w:t>Presse</w:t>
      </w:r>
      <w:r>
        <w:fldChar w:fldCharType="end"/>
      </w:r>
      <w:r w:rsidRPr="00C54460">
        <w:rPr>
          <w:lang w:val="it-IT"/>
        </w:rPr>
        <w:t>, p. 119.</w:t>
      </w:r>
    </w:p>
  </w:footnote>
  <w:footnote w:id="961">
    <w:p w14:paraId="75F34E10" w14:textId="2C0D2E1D" w:rsidR="00DE3AC9" w:rsidRPr="0048510E" w:rsidRDefault="00DE3AC9" w:rsidP="0048510E">
      <w:pPr>
        <w:pStyle w:val="FootnoteText"/>
      </w:pPr>
      <w:r>
        <w:rPr>
          <w:rStyle w:val="FootnoteReference"/>
        </w:rPr>
        <w:footnoteRef/>
      </w:r>
      <w:r w:rsidRPr="0048510E">
        <w:t xml:space="preserve"> </w:t>
      </w:r>
      <w:r>
        <w:fldChar w:fldCharType="begin"/>
      </w:r>
      <w:r>
        <w:instrText xml:space="preserve"> ADDIN EN.CITE &lt;EndNote&gt;&lt;Cite&gt;&lt;Author&gt;Welch&lt;/Author&gt;&lt;Year&gt;2000&lt;/Year&gt;&lt;RecNum&gt;22&lt;/RecNum&gt;&lt;DisplayText&gt;Welch, &lt;style face="italic"&gt;Germany&lt;/style&gt;&lt;/DisplayText&gt;&lt;record&gt;&lt;rec-number&gt;22&lt;/rec-number&gt;&lt;foreign-keys&gt;&lt;key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fldChar w:fldCharType="separate"/>
      </w:r>
      <w:r w:rsidRPr="0048510E">
        <w:rPr>
          <w:noProof/>
        </w:rPr>
        <w:t xml:space="preserve">Welch, </w:t>
      </w:r>
      <w:r w:rsidRPr="0048510E">
        <w:rPr>
          <w:i/>
          <w:noProof/>
        </w:rPr>
        <w:t>Germany</w:t>
      </w:r>
      <w:r>
        <w:fldChar w:fldCharType="end"/>
      </w:r>
      <w:r w:rsidRPr="0048510E">
        <w:t>, p. 22.</w:t>
      </w:r>
    </w:p>
  </w:footnote>
  <w:footnote w:id="962">
    <w:p w14:paraId="1206B1E7"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&lt;EndNote&gt;&lt;Cite&gt;&lt;Author&gt;Hull&lt;/Author&gt;&lt;Year&gt;2005&lt;/Year&gt;&lt;RecNum&gt;206&lt;/RecNum&gt;&lt;DisplayText&gt;Hull, &lt;style face="italic"&gt;Absolute&lt;/style&gt;&lt;/DisplayText&gt;&lt;record&gt;&lt;rec-number&gt;206&lt;/rec-number&gt;&lt;foreign-keys&gt;&lt;key app="EN" db-id="2f5rvwawcsv2woetvw35fzwbdvvswerd0err"&gt;206&lt;/key&gt;&lt;/foreign-keys&gt;&lt;ref-type name="Book"&gt;6&lt;/ref-type&gt;&lt;contributors&gt;&lt;authors&gt;&lt;author&gt;Hull, Isabel&lt;/author&gt;&lt;/authors&gt;&lt;/contributors&gt;&lt;titles&gt;&lt;title&gt;Absolute destruction: military culture and the practices of war in Imperial Germany&lt;/title&gt;&lt;short-title&gt;Absolute&lt;/short-title&gt;&lt;/titles&gt;&lt;dates&gt;&lt;year&gt;2005&lt;/year&gt;&lt;/dates&gt;&lt;pub-location&gt;London&lt;/pub-location&gt;&lt;urls&gt;&lt;/urls&gt;&lt;/record&gt;&lt;/Cite&gt;&lt;/EndNote&gt;</w:instrText>
      </w:r>
      <w:r>
        <w:fldChar w:fldCharType="separate"/>
      </w:r>
      <w:r w:rsidRPr="00DE3AC9">
        <w:rPr>
          <w:noProof/>
        </w:rPr>
        <w:t xml:space="preserve">Hull, </w:t>
      </w:r>
      <w:r w:rsidRPr="00DE3AC9">
        <w:rPr>
          <w:i/>
          <w:noProof/>
        </w:rPr>
        <w:t>Absolute</w:t>
      </w:r>
      <w:r>
        <w:fldChar w:fldCharType="end"/>
      </w:r>
      <w:r w:rsidRPr="00DE3AC9">
        <w:t>, p. 180.</w:t>
      </w:r>
    </w:p>
  </w:footnote>
  <w:footnote w:id="963">
    <w:p w14:paraId="25E3A896" w14:textId="77777777" w:rsidR="00DE3AC9" w:rsidRPr="00E602E4" w:rsidRDefault="00DE3AC9" w:rsidP="0048510E">
      <w:pPr>
        <w:pStyle w:val="FootnoteText"/>
        <w:rPr>
          <w:lang w:val="fr-FR"/>
        </w:rPr>
      </w:pPr>
      <w:r>
        <w:rPr>
          <w:rStyle w:val="FootnoteReference"/>
        </w:rPr>
        <w:footnoteRef/>
      </w:r>
      <w:r w:rsidRPr="000E3A5F">
        <w:t xml:space="preserve"> BL: C.40.I.21. </w:t>
      </w:r>
      <w:r>
        <w:t xml:space="preserve">Unpublished account of the history of the </w:t>
      </w:r>
      <w:r>
        <w:rPr>
          <w:i/>
          <w:iCs/>
        </w:rPr>
        <w:t xml:space="preserve">Courrier de l’Air. </w:t>
      </w:r>
      <w:r w:rsidRPr="00CA62F2">
        <w:rPr>
          <w:lang w:val="fr-FR"/>
        </w:rPr>
        <w:t>November 1918.</w:t>
      </w:r>
    </w:p>
  </w:footnote>
  <w:footnote w:id="964">
    <w:p w14:paraId="29C748C7" w14:textId="77777777" w:rsidR="00DE3AC9" w:rsidRPr="00704FF4" w:rsidRDefault="00DE3AC9" w:rsidP="0048510E">
      <w:pPr>
        <w:pStyle w:val="FootnoteText"/>
        <w:rPr>
          <w:lang w:val="fr-FR"/>
        </w:rPr>
      </w:pPr>
      <w:r>
        <w:rPr>
          <w:rStyle w:val="FootnoteReference"/>
        </w:rPr>
        <w:footnoteRef/>
      </w:r>
      <w:r>
        <w:rPr>
          <w:i/>
          <w:iCs/>
          <w:lang w:val="fr-FR"/>
        </w:rPr>
        <w:t xml:space="preserve"> La Belgique, </w:t>
      </w:r>
      <w:r>
        <w:rPr>
          <w:lang w:val="fr-FR"/>
        </w:rPr>
        <w:t>January 1916 and</w:t>
      </w:r>
      <w:r w:rsidRPr="007B041D">
        <w:rPr>
          <w:lang w:val="fr-FR"/>
        </w:rPr>
        <w:t xml:space="preserve"> </w:t>
      </w:r>
      <w:r>
        <w:rPr>
          <w:lang w:val="fr-FR"/>
        </w:rPr>
        <w:fldChar w:fldCharType="begin"/>
      </w:r>
      <w:r>
        <w:rPr>
          <w:lang w:val="fr-FR"/>
        </w:rPr>
        <w:instrText xml:space="preserve"> ADDIN EN.CITE &lt;EndNote&gt;&lt;Cite&gt;&lt;Author&gt;NA&lt;/Author&gt;&lt;Year&gt;1918&lt;/Year&gt;&lt;RecNum&gt;337&lt;/RecNum&gt;&lt;DisplayText&gt;NA, &lt;style face="italic"&gt;Un souvenir historique. Les avis, proclamations et nouvelles de guerre allemands affichés à Bruxelles pendant l&amp;apos;occupation&lt;/style&gt;, (Ixelles, 1918)&lt;/DisplayText&gt;&lt;record&gt;&lt;rec-number&gt;337&lt;/rec-number&gt;&lt;foreign-keys&gt;&lt;key app="EN" db-id="2f5rvwawcsv2woetvw35fzwbdvvswerd0err"&gt;337&lt;/key&gt;&lt;/foreign-keys&gt;&lt;ref-type name="Book"&gt;6&lt;/ref-type&gt;&lt;contributors&gt;&lt;authors&gt;&lt;author&gt;NA&lt;/author&gt;&lt;/authors&gt;&lt;/contributors&gt;&lt;titles&gt;&lt;title&gt;Un souvenir historique. Les avis, proclamations et nouvelles de guerre allemands affichés à Bruxelles pendant l&amp;apos;occupation&lt;/title&gt;&lt;short-title&gt;Un souvenir historique&lt;/short-title&gt;&lt;/titles&gt;&lt;volume&gt;12&lt;/volume&gt;&lt;dates&gt;&lt;year&gt;1918&lt;/year&gt;&lt;/dates&gt;&lt;pub-location&gt;Ixelles&lt;/pub-location&gt;&lt;urls&gt;&lt;/urls&gt;&lt;/record&gt;&lt;/Cite&gt;&lt;/EndNote&gt;</w:instrText>
      </w:r>
      <w:r>
        <w:rPr>
          <w:lang w:val="fr-FR"/>
        </w:rPr>
        <w:fldChar w:fldCharType="separate"/>
      </w:r>
      <w:r>
        <w:rPr>
          <w:noProof/>
          <w:lang w:val="fr-FR"/>
        </w:rPr>
        <w:t xml:space="preserve">NA, </w:t>
      </w:r>
      <w:r w:rsidRPr="007B041D">
        <w:rPr>
          <w:i/>
          <w:noProof/>
          <w:lang w:val="fr-FR"/>
        </w:rPr>
        <w:t>Un souvenir historique. Les avis, proclamations et nouvelles de guerre allemands affichés à Bruxelles pendant l'occupation</w:t>
      </w:r>
      <w:r>
        <w:rPr>
          <w:noProof/>
          <w:lang w:val="fr-FR"/>
        </w:rPr>
        <w:t>, (Ixelles, 1918)</w:t>
      </w:r>
      <w:r>
        <w:rPr>
          <w:lang w:val="fr-FR"/>
        </w:rPr>
        <w:fldChar w:fldCharType="end"/>
      </w:r>
      <w:r>
        <w:rPr>
          <w:lang w:val="fr-FR"/>
        </w:rPr>
        <w:t>, p. 89.</w:t>
      </w:r>
    </w:p>
  </w:footnote>
  <w:footnote w:id="965">
    <w:p w14:paraId="5D3FBC4E" w14:textId="77777777" w:rsidR="00DE3AC9" w:rsidRPr="00A63098" w:rsidRDefault="00DE3AC9" w:rsidP="0048510E">
      <w:pPr>
        <w:pStyle w:val="FootnoteText"/>
        <w:rPr>
          <w:lang w:val="fr-FR"/>
        </w:rPr>
      </w:pPr>
      <w:r>
        <w:rPr>
          <w:rStyle w:val="FootnoteReference"/>
        </w:rPr>
        <w:footnoteRef/>
      </w:r>
      <w:r w:rsidRPr="00A63098">
        <w:rPr>
          <w:lang w:val="fr-FR"/>
        </w:rPr>
        <w:t xml:space="preserve"> </w:t>
      </w:r>
      <w:r>
        <w:rPr>
          <w:lang w:val="fr-FR"/>
        </w:rPr>
        <w:fldChar w:fldCharType="begin"/>
      </w:r>
      <w:r>
        <w:rPr>
          <w:lang w:val="fr-FR"/>
        </w:rPr>
        <w:instrText xml:space="preserve"> ADDIN EN.CITE &lt;EndNote&gt;&lt;Cite&gt;&lt;Author&gt;NA&lt;/Author&gt;&lt;Year&gt;1918&lt;/Year&gt;&lt;RecNum&gt;337&lt;/RecNum&gt;&lt;DisplayText&gt;Ibid.&lt;/DisplayText&gt;&lt;record&gt;&lt;rec-number&gt;337&lt;/rec-number&gt;&lt;foreign-keys&gt;&lt;key app="EN" db-id="2f5rvwawcsv2woetvw35fzwbdvvswerd0err"&gt;337&lt;/key&gt;&lt;/foreign-keys&gt;&lt;ref-type name="Book"&gt;6&lt;/ref-type&gt;&lt;contributors&gt;&lt;authors&gt;&lt;author&gt;NA&lt;/author&gt;&lt;/authors&gt;&lt;/contributors&gt;&lt;titles&gt;&lt;title&gt;Un souvenir historique. Les avis, proclamations et nouvelles de guerre allemands affichés à Bruxelles pendant l&amp;apos;occupation&lt;/title&gt;&lt;short-title&gt;Un souvenir historique&lt;/short-title&gt;&lt;/titles&gt;&lt;volume&gt;12&lt;/volume&gt;&lt;dates&gt;&lt;year&gt;1918&lt;/year&gt;&lt;/dates&gt;&lt;pub-location&gt;Ixelles&lt;/pub-location&gt;&lt;urls&gt;&lt;/urls&gt;&lt;/record&gt;&lt;/Cite&gt;&lt;/EndNote&gt;</w:instrText>
      </w:r>
      <w:r>
        <w:rPr>
          <w:lang w:val="fr-FR"/>
        </w:rPr>
        <w:fldChar w:fldCharType="separate"/>
      </w:r>
      <w:r>
        <w:rPr>
          <w:noProof/>
          <w:lang w:val="fr-FR"/>
        </w:rPr>
        <w:t>Ibid.</w:t>
      </w:r>
      <w:r>
        <w:rPr>
          <w:lang w:val="fr-FR"/>
        </w:rPr>
        <w:fldChar w:fldCharType="end"/>
      </w:r>
      <w:r>
        <w:rPr>
          <w:lang w:val="fr-FR"/>
        </w:rPr>
        <w:t>, pp. 50-51.</w:t>
      </w:r>
    </w:p>
  </w:footnote>
  <w:footnote w:id="966">
    <w:p w14:paraId="7127D725" w14:textId="77777777" w:rsidR="00DE3AC9" w:rsidRPr="0004564D" w:rsidRDefault="00DE3AC9" w:rsidP="0048510E">
      <w:pPr>
        <w:pStyle w:val="FootnoteText"/>
      </w:pPr>
      <w:r>
        <w:rPr>
          <w:rStyle w:val="FootnoteReference"/>
        </w:rPr>
        <w:footnoteRef/>
      </w:r>
      <w:r w:rsidRPr="00FA27AE">
        <w:rPr>
          <w:lang w:val="fr-FR"/>
        </w:rPr>
        <w:t xml:space="preserve"> </w:t>
      </w:r>
      <w:r>
        <w:rPr>
          <w:lang w:val="fr-FR"/>
        </w:rPr>
        <w:fldChar w:fldCharType="begin"/>
      </w:r>
      <w:r>
        <w:rPr>
          <w:lang w:val="fr-FR"/>
        </w:rPr>
        <w:instrText xml:space="preserve"> ADDIN EN.CITE &lt;EndNote&gt;&lt;Cite&gt;&lt;Author&gt;Schaeger&lt;/Author&gt;&lt;Year&gt;1922&lt;/Year&gt;&lt;RecNum&gt;236&lt;/RecNum&gt;&lt;DisplayText&gt;Jean Schaeger, &lt;style face="italic"&gt;La ville de Huy sous l&amp;apos;occupation allemande&lt;/style&gt;, (Huy, 1922)&lt;/DisplayText&gt;&lt;record&gt;&lt;rec-number&gt;236&lt;/rec-number&gt;&lt;foreign-keys&gt;&lt;key app="EN" db-id="2f5rvwawcsv2woetvw35fzwbdvvswerd0err"&gt;236&lt;/key&gt;&lt;/foreign-keys&gt;&lt;ref-type name="Book"&gt;6&lt;/ref-type&gt;&lt;contributors&gt;&lt;authors&gt;&lt;author&gt;Schaeger, Jean&lt;/author&gt;&lt;/authors&gt;&lt;/contributors&gt;&lt;titles&gt;&lt;title&gt;La ville de Huy sous l&amp;apos;occupation allemande&lt;/title&gt;&lt;short-title&gt;La ville &lt;/short-title&gt;&lt;/titles&gt;&lt;dates&gt;&lt;year&gt;1922&lt;/year&gt;&lt;/dates&gt;&lt;pub-location&gt;Huy&lt;/pub-location&gt;&lt;urls&gt;&lt;/urls&gt;&lt;/record&gt;&lt;/Cite&gt;&lt;/EndNote&gt;</w:instrText>
      </w:r>
      <w:r>
        <w:rPr>
          <w:lang w:val="fr-FR"/>
        </w:rPr>
        <w:fldChar w:fldCharType="separate"/>
      </w:r>
      <w:r>
        <w:rPr>
          <w:noProof/>
          <w:lang w:val="fr-FR"/>
        </w:rPr>
        <w:t xml:space="preserve">Jean Schaeger, </w:t>
      </w:r>
      <w:r w:rsidRPr="007B7627">
        <w:rPr>
          <w:i/>
          <w:noProof/>
          <w:lang w:val="fr-FR"/>
        </w:rPr>
        <w:t>La ville de Huy sous l'occupation allemande</w:t>
      </w:r>
      <w:r>
        <w:rPr>
          <w:noProof/>
          <w:lang w:val="fr-FR"/>
        </w:rPr>
        <w:t>, (Huy, 1922)</w:t>
      </w:r>
      <w:r>
        <w:rPr>
          <w:lang w:val="fr-FR"/>
        </w:rPr>
        <w:fldChar w:fldCharType="end"/>
      </w:r>
      <w:r>
        <w:rPr>
          <w:lang w:val="fr-FR"/>
        </w:rPr>
        <w:t xml:space="preserve">, pp. 242-243 and </w:t>
      </w:r>
      <w:r>
        <w:rPr>
          <w:lang w:val="fr-FR"/>
        </w:rPr>
        <w:fldChar w:fldCharType="begin"/>
      </w:r>
      <w:r>
        <w:rPr>
          <w:lang w:val="fr-FR"/>
        </w:rPr>
        <w:instrText xml:space="preserve"> ADDIN EN.CITE &lt;EndNote&gt;&lt;Cite&gt;&lt;Author&gt;de 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rPr>
          <w:lang w:val="fr-FR"/>
        </w:rPr>
        <w:fldChar w:fldCharType="separate"/>
      </w:r>
      <w:r>
        <w:rPr>
          <w:noProof/>
          <w:lang w:val="fr-FR"/>
        </w:rPr>
        <w:t xml:space="preserve">de Schaepdrijver, </w:t>
      </w:r>
      <w:r w:rsidRPr="007B7627">
        <w:rPr>
          <w:i/>
          <w:noProof/>
          <w:lang w:val="fr-FR"/>
        </w:rPr>
        <w:t>La Belgique</w:t>
      </w:r>
      <w:r>
        <w:rPr>
          <w:lang w:val="fr-FR"/>
        </w:rPr>
        <w:fldChar w:fldCharType="end"/>
      </w:r>
      <w:r>
        <w:rPr>
          <w:lang w:val="fr-FR"/>
        </w:rPr>
        <w:t xml:space="preserve">, p. 228. </w:t>
      </w:r>
      <w:r w:rsidRPr="0004564D">
        <w:t xml:space="preserve">See also </w:t>
      </w:r>
      <w:r>
        <w:rPr>
          <w:lang w:val="fr-FR"/>
        </w:rPr>
        <w:fldChar w:fldCharType="begin"/>
      </w:r>
      <w:r>
        <w:instrText xml:space="preserve"> ADDIN EN.CITE &lt;EndNote&gt;&lt;Cite&gt;&lt;Author&gt;Spoerer&lt;/Author&gt;&lt;Year&gt;2006&lt;/Year&gt;&lt;RecNum&gt;248&lt;/RecNum&gt;&lt;DisplayText&gt;Mark Spoerer, &amp;apos;The mortality of Allied prisoners of war and Belgian civilian deportees in German custody during the First World War: a reappraisal of the effects of forced labour&amp;apos;, in: &lt;style face="italic"&gt;Population Studies, &lt;/style&gt;60 (2006), &lt;/DisplayText&gt;&lt;record&gt;&lt;rec-number&gt;248&lt;/rec-number&gt;&lt;foreign-keys&gt;&lt;key app="EN" db-id="2f5rvwawcsv2woetvw35fzwbdvvswerd0err"&gt;248&lt;/key&gt;&lt;/foreign-keys&gt;&lt;ref-type name="Journal Article"&gt;17&lt;/ref-type&gt;&lt;contributors&gt;&lt;authors&gt;&lt;author&gt;Spoerer, Mark&lt;/author&gt;&lt;/authors&gt;&lt;/contributors&gt;&lt;titles&gt;&lt;title&gt;The mortality of Allied prisoners of war and Belgian civilian deportees in German custody during the First World War: a reappraisal of the effects of forced labour&lt;/title&gt;&lt;secondary-title&gt;Population Studies&lt;/secondary-title&gt;&lt;/titles&gt;&lt;periodical&gt;&lt;full-title&gt;Population Studies&lt;/full-title&gt;&lt;/periodical&gt;&lt;volume&gt;60&lt;/volume&gt;&lt;dates&gt;&lt;year&gt;2006&lt;/year&gt;&lt;/dates&gt;&lt;urls&gt;&lt;/urls&gt;&lt;/record&gt;&lt;/Cite&gt;&lt;/EndNote&gt;</w:instrText>
      </w:r>
      <w:r>
        <w:rPr>
          <w:lang w:val="fr-FR"/>
        </w:rPr>
        <w:fldChar w:fldCharType="separate"/>
      </w:r>
      <w:r w:rsidRPr="007B7627">
        <w:rPr>
          <w:noProof/>
        </w:rPr>
        <w:t xml:space="preserve">Mark Spoerer, 'The mortality of Allied prisoners of war and Belgian civilian deportees in German custody during the First World War: a reappraisal of the effects of forced labour', in: </w:t>
      </w:r>
      <w:r w:rsidRPr="007B7627">
        <w:rPr>
          <w:i/>
          <w:noProof/>
        </w:rPr>
        <w:t xml:space="preserve">Population Studies, </w:t>
      </w:r>
      <w:r w:rsidRPr="007B7627">
        <w:rPr>
          <w:noProof/>
        </w:rPr>
        <w:t xml:space="preserve">60 (2006), </w:t>
      </w:r>
      <w:r>
        <w:rPr>
          <w:lang w:val="fr-FR"/>
        </w:rPr>
        <w:fldChar w:fldCharType="end"/>
      </w:r>
      <w:r w:rsidRPr="0004564D">
        <w:t xml:space="preserve">pp. 121-136 to understand the difficulties faced by those sent to Germany. </w:t>
      </w:r>
    </w:p>
  </w:footnote>
  <w:footnote w:id="967">
    <w:p w14:paraId="2075AC57" w14:textId="77777777" w:rsidR="00DE3AC9" w:rsidRPr="004F6898" w:rsidRDefault="00DE3AC9" w:rsidP="0048510E">
      <w:pPr>
        <w:pStyle w:val="FootnoteText"/>
        <w:rPr>
          <w:lang w:val="fr-FR"/>
        </w:rPr>
      </w:pPr>
      <w:r>
        <w:rPr>
          <w:rStyle w:val="FootnoteReference"/>
        </w:rPr>
        <w:footnoteRef/>
      </w:r>
      <w:r w:rsidRPr="004F6898">
        <w:rPr>
          <w:lang w:val="fr-FR"/>
        </w:rPr>
        <w:t xml:space="preserve"> </w:t>
      </w:r>
      <w:r>
        <w:rPr>
          <w:i/>
          <w:iCs/>
          <w:lang w:val="fr-FR"/>
        </w:rPr>
        <w:t xml:space="preserve">Le Bulletin de Lille, </w:t>
      </w:r>
      <w:r>
        <w:rPr>
          <w:lang w:val="fr-FR"/>
        </w:rPr>
        <w:t>29 August 1915.</w:t>
      </w:r>
    </w:p>
  </w:footnote>
  <w:footnote w:id="968">
    <w:p w14:paraId="5D614FDC" w14:textId="77777777" w:rsidR="00DE3AC9" w:rsidRPr="007C3DB8" w:rsidRDefault="00DE3AC9" w:rsidP="0048510E">
      <w:pPr>
        <w:pStyle w:val="FootnoteText"/>
      </w:pPr>
      <w:r>
        <w:rPr>
          <w:rStyle w:val="FootnoteReference"/>
        </w:rPr>
        <w:footnoteRef/>
      </w:r>
      <w:r w:rsidRPr="00CA62F2">
        <w:rPr>
          <w:lang w:val="fr-FR"/>
        </w:rPr>
        <w:t xml:space="preserve"> </w:t>
      </w:r>
      <w:r>
        <w:rPr>
          <w:lang w:val="fr-FR"/>
        </w:rPr>
        <w:t xml:space="preserve">Archives Départementales du Nord (ADN): 9R 790. </w:t>
      </w:r>
      <w:r w:rsidRPr="004F0A24">
        <w:rPr>
          <w:lang w:val="de-DE"/>
        </w:rPr>
        <w:t xml:space="preserve">Proclamation by Major von Grundherr. </w:t>
      </w:r>
      <w:r w:rsidRPr="007C3DB8">
        <w:t xml:space="preserve">29 August 1916. Also reproduced in </w:t>
      </w:r>
      <w:r w:rsidRPr="007C3DB8">
        <w:rPr>
          <w:i/>
          <w:iCs/>
        </w:rPr>
        <w:t xml:space="preserve">Le Bulletin de Lille, </w:t>
      </w:r>
      <w:r w:rsidRPr="007C3DB8">
        <w:t>31 August 1916.</w:t>
      </w:r>
    </w:p>
  </w:footnote>
  <w:footnote w:id="969">
    <w:p w14:paraId="794184FC" w14:textId="77777777" w:rsidR="00DE3AC9" w:rsidRPr="002C5A83" w:rsidRDefault="00DE3AC9" w:rsidP="0048510E">
      <w:pPr>
        <w:pStyle w:val="FootnoteText"/>
      </w:pPr>
      <w:r>
        <w:rPr>
          <w:rStyle w:val="FootnoteReference"/>
        </w:rPr>
        <w:footnoteRef/>
      </w:r>
      <w:r w:rsidRPr="002C5A83">
        <w:t xml:space="preserve"> </w:t>
      </w:r>
      <w:r>
        <w:rPr>
          <w:lang w:val="fr-FR"/>
        </w:rPr>
        <w:fldChar w:fldCharType="begin"/>
      </w:r>
      <w:r w:rsidRPr="002C5A83">
        <w:instrText xml:space="preserve"> ADDIN EN.CITE &lt;EndNote&gt;&lt;Cite&gt;&lt;Author&gt;Karleskind&lt;/Author&gt;&lt;Year&gt;1935&lt;/Year&gt;&lt;RecNum&gt;232&lt;/RecNum&gt;&lt;DisplayText&gt;Karleskind, &lt;style face="italic"&gt;Charleville&lt;/style&gt;&lt;/DisplayText&gt;&lt;record&gt;&lt;rec-number&gt;232&lt;/rec-number&gt;&lt;foreign-keys&gt;&lt;key app="EN" db-id="2f5rvwawcsv2woetvw35fzwbdvvswerd0err"&gt;232&lt;/key&gt;&lt;/foreign-keys&gt;&lt;ref-type name="Book"&gt;6&lt;/ref-type&gt;&lt;contributors&gt;&lt;authors&gt;&lt;author&gt;Karleskind, Clément&lt;/author&gt;&lt;/authors&gt;&lt;/contributors&gt;&lt;titles&gt;&lt;title&gt;Charleville, Mézières, pendant l&amp;apos;occupation allemande&lt;/title&gt;&lt;short-title&gt;Charleville&lt;/short-title&gt;&lt;/titles&gt;&lt;dates&gt;&lt;year&gt;1935&lt;/year&gt;&lt;/dates&gt;&lt;pub-location&gt;Charleville&lt;/pub-location&gt;&lt;urls&gt;&lt;/urls&gt;&lt;/record&gt;&lt;/Cite&gt;&lt;/EndNote&gt;</w:instrText>
      </w:r>
      <w:r>
        <w:rPr>
          <w:lang w:val="fr-FR"/>
        </w:rPr>
        <w:fldChar w:fldCharType="separate"/>
      </w:r>
      <w:r w:rsidRPr="002C5A83">
        <w:rPr>
          <w:noProof/>
        </w:rPr>
        <w:t xml:space="preserve">Karleskind, </w:t>
      </w:r>
      <w:r w:rsidRPr="002C5A83">
        <w:rPr>
          <w:i/>
          <w:noProof/>
        </w:rPr>
        <w:t>Charleville</w:t>
      </w:r>
      <w:r>
        <w:rPr>
          <w:lang w:val="fr-FR"/>
        </w:rPr>
        <w:fldChar w:fldCharType="end"/>
      </w:r>
      <w:r w:rsidRPr="002C5A83">
        <w:t>, p. 140.</w:t>
      </w:r>
    </w:p>
  </w:footnote>
  <w:footnote w:id="970">
    <w:p w14:paraId="61979E1F"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sidRPr="00C54460">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sidRPr="00C54460">
        <w:rPr>
          <w:noProof/>
          <w:lang w:val="fr-FR"/>
        </w:rPr>
        <w:t xml:space="preserve">Arnoux, </w:t>
      </w:r>
      <w:r w:rsidRPr="00C54460">
        <w:rPr>
          <w:i/>
          <w:noProof/>
          <w:lang w:val="fr-FR"/>
        </w:rPr>
        <w:t>Bombardement</w:t>
      </w:r>
      <w:r>
        <w:rPr>
          <w:lang w:val="fr-FR"/>
        </w:rPr>
        <w:fldChar w:fldCharType="end"/>
      </w:r>
      <w:r w:rsidRPr="00C54460">
        <w:rPr>
          <w:lang w:val="fr-FR"/>
        </w:rPr>
        <w:t xml:space="preserve">, p. 207 ; </w:t>
      </w:r>
      <w:r>
        <w:rPr>
          <w:lang w:val="fr-FR"/>
        </w:rPr>
        <w:fldChar w:fldCharType="begin"/>
      </w:r>
      <w:r w:rsidRPr="00C54460">
        <w:rPr>
          <w:lang w:val="fr-FR"/>
        </w:rPr>
        <w:instrText xml:space="preserve"> ADDIN EN.CITE &lt;EndNote&gt;&lt;Cite&gt;&lt;Author&gt;Domelier&lt;/Author&gt;&lt;Year&gt;1919&lt;/Year&gt;&lt;RecNum&gt;39&lt;/RecNum&gt;&lt;DisplayText&gt;Domelier, &lt;style face="italic"&gt;Au GQG&lt;/style&gt;&lt;/DisplayText&gt;&lt;record&gt;&lt;rec-number&gt;39&lt;/rec-number&gt;&lt;foreign-keys&gt;&lt;key app="EN" db-id="2f5rvwawcsv2woetvw35fzwbdvvswerd0err"&gt;39&lt;/key&gt;&lt;/foreign-keys&gt;&lt;ref-type name="Book"&gt;6&lt;/ref-type&gt;&lt;contributors&gt;&lt;authors&gt;&lt;author&gt;Domelier, Henri&lt;/author&gt;&lt;/authors&gt;&lt;/contributors&gt;&lt;titles&gt;&lt;title&gt;Au G.Q.G allemand&lt;/title&gt;&lt;short-title&gt;Au GQG&lt;/short-title&gt;&lt;/titles&gt;&lt;dates&gt;&lt;year&gt;1919&lt;/year&gt;&lt;/dates&gt;&lt;pub-location&gt;Paris&lt;/pub-location&gt;&lt;urls&gt;&lt;/urls&gt;&lt;/record&gt;&lt;/Cite&gt;&lt;/EndNote&gt;</w:instrText>
      </w:r>
      <w:r>
        <w:rPr>
          <w:lang w:val="fr-FR"/>
        </w:rPr>
        <w:fldChar w:fldCharType="separate"/>
      </w:r>
      <w:r w:rsidRPr="00C54460">
        <w:rPr>
          <w:noProof/>
          <w:lang w:val="fr-FR"/>
        </w:rPr>
        <w:t xml:space="preserve">Domelier, </w:t>
      </w:r>
      <w:r w:rsidRPr="00C54460">
        <w:rPr>
          <w:i/>
          <w:noProof/>
          <w:lang w:val="fr-FR"/>
        </w:rPr>
        <w:t>Au GQG</w:t>
      </w:r>
      <w:r>
        <w:rPr>
          <w:lang w:val="fr-FR"/>
        </w:rPr>
        <w:fldChar w:fldCharType="end"/>
      </w:r>
      <w:r w:rsidRPr="00C54460">
        <w:rPr>
          <w:lang w:val="fr-FR"/>
        </w:rPr>
        <w:t>, p. 196.</w:t>
      </w:r>
    </w:p>
  </w:footnote>
  <w:footnote w:id="971">
    <w:p w14:paraId="1099FEBB" w14:textId="77777777" w:rsidR="00DE3AC9" w:rsidRPr="00571DB1" w:rsidRDefault="00DE3AC9" w:rsidP="0048510E">
      <w:pPr>
        <w:pStyle w:val="FootnoteText"/>
        <w:rPr>
          <w:lang w:val="fr-FR"/>
        </w:rPr>
      </w:pPr>
      <w:r>
        <w:rPr>
          <w:rStyle w:val="FootnoteReference"/>
        </w:rPr>
        <w:footnoteRef/>
      </w:r>
      <w:r w:rsidRPr="00571DB1">
        <w:rPr>
          <w:lang w:val="fr-FR"/>
        </w:rPr>
        <w:t xml:space="preserve"> </w:t>
      </w:r>
      <w:r>
        <w:rPr>
          <w:lang w:val="fr-FR"/>
        </w:rPr>
        <w:fldChar w:fldCharType="begin"/>
      </w:r>
      <w:r>
        <w:rPr>
          <w:lang w:val="fr-FR"/>
        </w:rPr>
        <w:instrText xml:space="preserve"> ADDIN EN.CITE &lt;EndNote&gt;&lt;Cite&gt;&lt;Author&gt;Becker&lt;/Author&gt;&lt;Year&gt;2010&lt;/Year&gt;&lt;RecNum&gt;237&lt;/RecNum&gt;&lt;DisplayText&gt;Becker, &lt;style face="italic"&gt;Les cicatrices&lt;/style&gt;&lt;/DisplayText&gt;&lt;record&gt;&lt;rec-number&gt;237&lt;/rec-number&gt;&lt;foreign-keys&gt;&lt;key app="EN" db-id="2f5rvwawcsv2woetvw35fzwbdvvswerd0err"&gt;237&lt;/key&gt;&lt;/foreign-keys&gt;&lt;ref-type name="Book"&gt;6&lt;/ref-type&gt;&lt;contributors&gt;&lt;authors&gt;&lt;author&gt;Becker, Annette&lt;/author&gt;&lt;/authors&gt;&lt;/contributors&gt;&lt;titles&gt;&lt;title&gt;Les cicatrices rouges 14-18: France et Belgique occupées&lt;/title&gt;&lt;short-title&gt;Les cicatrices&lt;/short-title&gt;&lt;/titles&gt;&lt;dates&gt;&lt;year&gt;2010&lt;/year&gt;&lt;/dates&gt;&lt;pub-location&gt;Paris&lt;/pub-location&gt;&lt;urls&gt;&lt;/urls&gt;&lt;/record&gt;&lt;/Cite&gt;&lt;/EndNote&gt;</w:instrText>
      </w:r>
      <w:r>
        <w:rPr>
          <w:lang w:val="fr-FR"/>
        </w:rPr>
        <w:fldChar w:fldCharType="separate"/>
      </w:r>
      <w:r>
        <w:rPr>
          <w:noProof/>
          <w:lang w:val="fr-FR"/>
        </w:rPr>
        <w:t xml:space="preserve">Becker, </w:t>
      </w:r>
      <w:r w:rsidRPr="007B7627">
        <w:rPr>
          <w:i/>
          <w:noProof/>
          <w:lang w:val="fr-FR"/>
        </w:rPr>
        <w:t>Les cicatrices</w:t>
      </w:r>
      <w:r>
        <w:rPr>
          <w:lang w:val="fr-FR"/>
        </w:rPr>
        <w:fldChar w:fldCharType="end"/>
      </w:r>
      <w:r>
        <w:rPr>
          <w:lang w:val="fr-FR"/>
        </w:rPr>
        <w:t>, p. 16.</w:t>
      </w:r>
    </w:p>
  </w:footnote>
  <w:footnote w:id="972">
    <w:p w14:paraId="7ECDFBE2" w14:textId="77777777" w:rsidR="00DE3AC9" w:rsidRPr="001A2B62" w:rsidRDefault="00DE3AC9" w:rsidP="0048510E">
      <w:pPr>
        <w:pStyle w:val="FootnoteText"/>
        <w:rPr>
          <w:lang w:val="fr-FR"/>
        </w:rPr>
      </w:pPr>
      <w:r>
        <w:rPr>
          <w:rStyle w:val="FootnoteReference"/>
        </w:rPr>
        <w:footnoteRef/>
      </w:r>
      <w:r w:rsidRPr="001A2B62">
        <w:rPr>
          <w:lang w:val="fr-FR"/>
        </w:rPr>
        <w:t xml:space="preserve"> </w:t>
      </w:r>
      <w:r>
        <w:rPr>
          <w:lang w:val="fr-FR"/>
        </w:rPr>
        <w:fldChar w:fldCharType="begin"/>
      </w:r>
      <w:r>
        <w:rPr>
          <w:lang w:val="fr-FR"/>
        </w:rPr>
        <w:instrText xml:space="preserve"> ADDIN EN.CITE &lt;EndNote&gt;&lt;Cite&gt;&lt;Author&gt;Chollet&lt;/Author&gt;&lt;Year&gt;1926&lt;/Year&gt;&lt;RecNum&gt;233&lt;/RecNum&gt;&lt;DisplayText&gt;Chollet, &lt;style face="italic"&gt;Saint-Mihiel&lt;/style&gt;&lt;/DisplayText&gt;&lt;record&gt;&lt;rec-number&gt;233&lt;/rec-number&gt;&lt;foreign-keys&gt;&lt;key app="EN" db-id="2f5rvwawcsv2woetvw35fzwbdvvswerd0err"&gt;233&lt;/key&gt;&lt;/foreign-keys&gt;&lt;ref-type name="Book"&gt;6&lt;/ref-type&gt;&lt;contributors&gt;&lt;authors&gt;&lt;author&gt;Chollet, Georges&lt;/author&gt;&lt;/authors&gt;&lt;/contributors&gt;&lt;titles&gt;&lt;title&gt;Saint-Mihiel pendant l&amp;apos;occupation allemande de 1914 1918&lt;/title&gt;&lt;short-title&gt;Saint-Mihiel&lt;/short-title&gt;&lt;/titles&gt;&lt;dates&gt;&lt;year&gt;1926&lt;/year&gt;&lt;/dates&gt;&lt;pub-location&gt;Nancy&lt;/pub-location&gt;&lt;urls&gt;&lt;/urls&gt;&lt;/record&gt;&lt;/Cite&gt;&lt;/EndNote&gt;</w:instrText>
      </w:r>
      <w:r>
        <w:rPr>
          <w:lang w:val="fr-FR"/>
        </w:rPr>
        <w:fldChar w:fldCharType="separate"/>
      </w:r>
      <w:r>
        <w:rPr>
          <w:noProof/>
          <w:lang w:val="fr-FR"/>
        </w:rPr>
        <w:t xml:space="preserve">Chollet, </w:t>
      </w:r>
      <w:r w:rsidRPr="007B7627">
        <w:rPr>
          <w:i/>
          <w:noProof/>
          <w:lang w:val="fr-FR"/>
        </w:rPr>
        <w:t>Saint-Mihiel</w:t>
      </w:r>
      <w:r>
        <w:rPr>
          <w:lang w:val="fr-FR"/>
        </w:rPr>
        <w:fldChar w:fldCharType="end"/>
      </w:r>
      <w:r>
        <w:rPr>
          <w:lang w:val="fr-FR"/>
        </w:rPr>
        <w:t xml:space="preserve">, p. 555 and </w:t>
      </w:r>
      <w:r>
        <w:rPr>
          <w:lang w:val="fr-FR"/>
        </w:rPr>
        <w:fldChar w:fldCharType="begin"/>
      </w:r>
      <w:r>
        <w:rPr>
          <w:lang w:val="fr-FR"/>
        </w:rPr>
        <w:instrText xml:space="preserve"> ADDIN EN.CITE &lt;EndNote&gt;&lt;Cite&gt;&lt;Author&gt;Stephani&lt;/Author&gt;&lt;Year&gt;1919&lt;/Year&gt;&lt;RecNum&gt;235&lt;/RecNum&gt;&lt;DisplayText&gt;Philippe Stephani, &lt;style face="italic"&gt;Sedan sous la domination allemande&lt;/style&gt;, (Paris, 1919)&lt;/DisplayText&gt;&lt;record&gt;&lt;rec-number&gt;235&lt;/rec-number&gt;&lt;foreign-keys&gt;&lt;key app="EN" db-id="2f5rvwawcsv2woetvw35fzwbdvvswerd0err"&gt;235&lt;/key&gt;&lt;/foreign-keys&gt;&lt;ref-type name="Book"&gt;6&lt;/ref-type&gt;&lt;contributors&gt;&lt;authors&gt;&lt;author&gt;Stephani, Philippe&lt;/author&gt;&lt;/authors&gt;&lt;/contributors&gt;&lt;titles&gt;&lt;title&gt;Sedan sous la domination allemande&lt;/title&gt;&lt;/titles&gt;&lt;dates&gt;&lt;year&gt;1919&lt;/year&gt;&lt;/dates&gt;&lt;pub-location&gt;Paris&lt;/pub-location&gt;&lt;urls&gt;&lt;/urls&gt;&lt;/record&gt;&lt;/Cite&gt;&lt;/EndNote&gt;</w:instrText>
      </w:r>
      <w:r>
        <w:rPr>
          <w:lang w:val="fr-FR"/>
        </w:rPr>
        <w:fldChar w:fldCharType="separate"/>
      </w:r>
      <w:r>
        <w:rPr>
          <w:noProof/>
          <w:lang w:val="fr-FR"/>
        </w:rPr>
        <w:t xml:space="preserve">Philippe Stephani, </w:t>
      </w:r>
      <w:r w:rsidRPr="007B7627">
        <w:rPr>
          <w:i/>
          <w:noProof/>
          <w:lang w:val="fr-FR"/>
        </w:rPr>
        <w:t>Sedan sous la domination allemande</w:t>
      </w:r>
      <w:r>
        <w:rPr>
          <w:noProof/>
          <w:lang w:val="fr-FR"/>
        </w:rPr>
        <w:t>, (Paris, 1919)</w:t>
      </w:r>
      <w:r>
        <w:rPr>
          <w:lang w:val="fr-FR"/>
        </w:rPr>
        <w:fldChar w:fldCharType="end"/>
      </w:r>
      <w:r>
        <w:rPr>
          <w:lang w:val="fr-FR"/>
        </w:rPr>
        <w:t>, p. 25.</w:t>
      </w:r>
    </w:p>
  </w:footnote>
  <w:footnote w:id="973">
    <w:p w14:paraId="3F4516E5" w14:textId="77777777" w:rsidR="00DE3AC9" w:rsidRPr="00C54460" w:rsidRDefault="00DE3AC9" w:rsidP="0048510E">
      <w:pPr>
        <w:pStyle w:val="FootnoteText"/>
        <w:rPr>
          <w:lang w:val="fr-FR"/>
        </w:rPr>
      </w:pPr>
      <w:r>
        <w:rPr>
          <w:rStyle w:val="FootnoteReference"/>
        </w:rPr>
        <w:footnoteRef/>
      </w:r>
      <w:r w:rsidRPr="00C54460">
        <w:rPr>
          <w:lang w:val="fr-FR"/>
        </w:rPr>
        <w:t xml:space="preserve"> </w:t>
      </w:r>
      <w:r>
        <w:rPr>
          <w:lang w:val="fr-FR"/>
        </w:rPr>
        <w:fldChar w:fldCharType="begin"/>
      </w:r>
      <w:r>
        <w:rPr>
          <w:lang w:val="fr-FR"/>
        </w:rPr>
        <w:instrText xml:space="preserve"> ADDIN EN.CITE &lt;EndNote&gt;&lt;Cite&gt;&lt;Author&gt;Becker&lt;/Author&gt;&lt;Year&gt;2010&lt;/Year&gt;&lt;RecNum&gt;237&lt;/RecNum&gt;&lt;DisplayText&gt;Becker, &lt;style face="italic"&gt;Les cicatrices&lt;/style&gt;&lt;/DisplayText&gt;&lt;record&gt;&lt;rec-number&gt;237&lt;/rec-number&gt;&lt;foreign-keys&gt;&lt;key app="EN" db-id="2f5rvwawcsv2woetvw35fzwbdvvswerd0err"&gt;237&lt;/key&gt;&lt;/foreign-keys&gt;&lt;ref-type name="Book"&gt;6&lt;/ref-type&gt;&lt;contributors&gt;&lt;authors&gt;&lt;author&gt;Becker, Annette&lt;/author&gt;&lt;/authors&gt;&lt;/contributors&gt;&lt;titles&gt;&lt;title&gt;Les cicatrices rouges 14-18: France et Belgique occupées&lt;/title&gt;&lt;short-title&gt;Les cicatrices&lt;/short-title&gt;&lt;/titles&gt;&lt;dates&gt;&lt;year&gt;2010&lt;/year&gt;&lt;/dates&gt;&lt;pub-location&gt;Paris&lt;/pub-location&gt;&lt;urls&gt;&lt;/urls&gt;&lt;/record&gt;&lt;/Cite&gt;&lt;/EndNote&gt;</w:instrText>
      </w:r>
      <w:r>
        <w:rPr>
          <w:lang w:val="fr-FR"/>
        </w:rPr>
        <w:fldChar w:fldCharType="separate"/>
      </w:r>
      <w:r w:rsidRPr="00C54460">
        <w:rPr>
          <w:noProof/>
          <w:lang w:val="fr-FR"/>
        </w:rPr>
        <w:t xml:space="preserve">Becker, </w:t>
      </w:r>
      <w:r w:rsidRPr="00C54460">
        <w:rPr>
          <w:i/>
          <w:noProof/>
          <w:lang w:val="fr-FR"/>
        </w:rPr>
        <w:t>Les cicatrices</w:t>
      </w:r>
      <w:r>
        <w:rPr>
          <w:lang w:val="fr-FR"/>
        </w:rPr>
        <w:fldChar w:fldCharType="end"/>
      </w:r>
      <w:r w:rsidRPr="00C54460">
        <w:rPr>
          <w:lang w:val="fr-FR"/>
        </w:rPr>
        <w:t>, p. 13.</w:t>
      </w:r>
    </w:p>
  </w:footnote>
  <w:footnote w:id="974">
    <w:p w14:paraId="588C2A87" w14:textId="77777777" w:rsidR="00DE3AC9" w:rsidRPr="00DA6CEA" w:rsidRDefault="00DE3AC9" w:rsidP="0048510E">
      <w:pPr>
        <w:pStyle w:val="FootnoteText"/>
        <w:rPr>
          <w:lang w:val="fr-FR"/>
        </w:rPr>
      </w:pPr>
      <w:r>
        <w:rPr>
          <w:rStyle w:val="FootnoteReference"/>
        </w:rPr>
        <w:footnoteRef/>
      </w:r>
      <w:r w:rsidRPr="00DA6CEA">
        <w:rPr>
          <w:lang w:val="fr-FR"/>
        </w:rPr>
        <w:t xml:space="preserve"> </w:t>
      </w:r>
      <w:r>
        <w:rPr>
          <w:lang w:val="fr-FR"/>
        </w:rPr>
        <w:fldChar w:fldCharType="begin"/>
      </w:r>
      <w:r>
        <w:rPr>
          <w:lang w:val="fr-FR"/>
        </w:rPr>
        <w:instrText xml:space="preserve"> ADDIN EN.CITE &lt;EndNote&gt;&lt;Cite&gt;&lt;Author&gt;Leclère&lt;/Author&gt;&lt;Year&gt;1920&lt;/Year&gt;&lt;RecNum&gt;234&lt;/RecNum&gt;&lt;DisplayText&gt;Jean-Pierre Leclère, &lt;style face="italic"&gt;Suspicion et guerre&lt;/style&gt;, (Metz, 1920)&lt;/DisplayText&gt;&lt;record&gt;&lt;rec-number&gt;234&lt;/rec-number&gt;&lt;foreign-keys&gt;&lt;key app="EN" db-id="2f5rvwawcsv2woetvw35fzwbdvvswerd0err"&gt;234&lt;/key&gt;&lt;/foreign-keys&gt;&lt;ref-type name="Book"&gt;6&lt;/ref-type&gt;&lt;contributors&gt;&lt;authors&gt;&lt;author&gt;Leclère, Jean-Pierre&lt;/author&gt;&lt;/authors&gt;&lt;/contributors&gt;&lt;titles&gt;&lt;title&gt;Suspicion et guerre&lt;/title&gt;&lt;short-title&gt;Suspicion&lt;/short-title&gt;&lt;/titles&gt;&lt;dates&gt;&lt;year&gt;1920&lt;/year&gt;&lt;/dates&gt;&lt;pub-location&gt;Metz&lt;/pub-location&gt;&lt;urls&gt;&lt;/urls&gt;&lt;/record&gt;&lt;/Cite&gt;&lt;/EndNote&gt;</w:instrText>
      </w:r>
      <w:r>
        <w:rPr>
          <w:lang w:val="fr-FR"/>
        </w:rPr>
        <w:fldChar w:fldCharType="separate"/>
      </w:r>
      <w:r>
        <w:rPr>
          <w:noProof/>
          <w:lang w:val="fr-FR"/>
        </w:rPr>
        <w:t xml:space="preserve">Jean-Pierre Leclère, </w:t>
      </w:r>
      <w:r w:rsidRPr="007B7627">
        <w:rPr>
          <w:i/>
          <w:noProof/>
          <w:lang w:val="fr-FR"/>
        </w:rPr>
        <w:t>Suspicion et guerre</w:t>
      </w:r>
      <w:r>
        <w:rPr>
          <w:noProof/>
          <w:lang w:val="fr-FR"/>
        </w:rPr>
        <w:t>, (Metz, 1920)</w:t>
      </w:r>
      <w:r>
        <w:rPr>
          <w:lang w:val="fr-FR"/>
        </w:rPr>
        <w:fldChar w:fldCharType="end"/>
      </w:r>
      <w:r>
        <w:rPr>
          <w:lang w:val="fr-FR"/>
        </w:rPr>
        <w:t>, p. 26.</w:t>
      </w:r>
    </w:p>
  </w:footnote>
  <w:footnote w:id="975">
    <w:p w14:paraId="144866FF" w14:textId="77777777" w:rsidR="00DE3AC9" w:rsidRPr="00CA26F9" w:rsidRDefault="00DE3AC9" w:rsidP="0048510E">
      <w:pPr>
        <w:pStyle w:val="FootnoteText"/>
        <w:rPr>
          <w:lang w:val="fr-FR"/>
        </w:rPr>
      </w:pPr>
      <w:r>
        <w:rPr>
          <w:rStyle w:val="FootnoteReference"/>
        </w:rPr>
        <w:footnoteRef/>
      </w:r>
      <w:r w:rsidRPr="00C87132">
        <w:rPr>
          <w:lang w:val="fr-FR"/>
        </w:rPr>
        <w:t xml:space="preserve"> ASPF AEB: B. 345. </w:t>
      </w:r>
      <w:r w:rsidRPr="00CA26F9">
        <w:rPr>
          <w:lang w:val="fr-FR"/>
        </w:rPr>
        <w:t xml:space="preserve">Report of the Sûreté militaire de l’armée belge about aerial propaganda effects. </w:t>
      </w:r>
      <w:r>
        <w:rPr>
          <w:lang w:val="fr-FR"/>
        </w:rPr>
        <w:t>28 September 1918.</w:t>
      </w:r>
    </w:p>
  </w:footnote>
  <w:footnote w:id="976">
    <w:p w14:paraId="38A3F1F8" w14:textId="77777777" w:rsidR="00DE3AC9" w:rsidRPr="00E41F79" w:rsidRDefault="00DE3AC9" w:rsidP="0048510E">
      <w:pPr>
        <w:pStyle w:val="FootnoteText"/>
        <w:rPr>
          <w:lang w:val="fr-FR"/>
        </w:rPr>
      </w:pPr>
      <w:r>
        <w:rPr>
          <w:rStyle w:val="FootnoteReference"/>
        </w:rPr>
        <w:footnoteRef/>
      </w:r>
      <w:r w:rsidRPr="00C87132">
        <w:rPr>
          <w:lang w:val="fr-FR"/>
        </w:rPr>
        <w:t xml:space="preserve"> SHD AT: 16N1570. </w:t>
      </w:r>
      <w:r w:rsidRPr="00E41F79">
        <w:rPr>
          <w:lang w:val="fr-FR"/>
        </w:rPr>
        <w:t xml:space="preserve">Bulletin de Renseignements 114 </w:t>
      </w:r>
      <w:r>
        <w:rPr>
          <w:lang w:val="fr-FR"/>
        </w:rPr>
        <w:t>de la Xe armée, September 1918.</w:t>
      </w:r>
    </w:p>
  </w:footnote>
  <w:footnote w:id="977">
    <w:p w14:paraId="04868CD1" w14:textId="77777777" w:rsidR="00DE3AC9" w:rsidRPr="008E65BF" w:rsidRDefault="00DE3AC9" w:rsidP="0048510E">
      <w:pPr>
        <w:pStyle w:val="FootnoteText"/>
        <w:rPr>
          <w:lang w:val="fr-FR"/>
        </w:rPr>
      </w:pPr>
      <w:r>
        <w:rPr>
          <w:rStyle w:val="FootnoteReference"/>
        </w:rPr>
        <w:footnoteRef/>
      </w:r>
      <w:r w:rsidRPr="007B041D">
        <w:rPr>
          <w:lang w:val="fr-FR"/>
        </w:rPr>
        <w:t xml:space="preserve"> </w:t>
      </w:r>
      <w:r>
        <w:fldChar w:fldCharType="begin"/>
      </w:r>
      <w:r>
        <w:rPr>
          <w:lang w:val="fr-FR"/>
        </w:rPr>
        <w:instrText xml:space="preserve"> ADDIN EN.CITE &lt;EndNote&gt;&lt;Cite&gt;&lt;Author&gt;NA&lt;/Author&gt;&lt;Year&gt;1918&lt;/Year&gt;&lt;RecNum&gt;337&lt;/RecNum&gt;&lt;DisplayText&gt;NA, &lt;style face="italic"&gt;Un souvenir historique&lt;/style&gt;&lt;/DisplayText&gt;&lt;record&gt;&lt;rec-number&gt;337&lt;/rec-number&gt;&lt;foreign-keys&gt;&lt;key app="EN" db-id="2f5rvwawcsv2woetvw35fzwbdvvswerd0err"&gt;337&lt;/key&gt;&lt;/foreign-keys&gt;&lt;ref-type name="Book"&gt;6&lt;/ref-type&gt;&lt;contributors&gt;&lt;authors&gt;&lt;author&gt;NA&lt;/author&gt;&lt;/authors&gt;&lt;/contributors&gt;&lt;titles&gt;&lt;title&gt;Un souvenir historique. Les avis, proclamations et nouvelles de guerre allemands affichés à Bruxelles pendant l&amp;apos;occupation&lt;/title&gt;&lt;short-title&gt;Un souvenir historique&lt;/short-title&gt;&lt;/titles&gt;&lt;volume&gt;12&lt;/volume&gt;&lt;dates&gt;&lt;year&gt;1918&lt;/year&gt;&lt;/dates&gt;&lt;pub-location&gt;Ixelles&lt;/pub-location&gt;&lt;urls&gt;&lt;/urls&gt;&lt;/record&gt;&lt;/Cite&gt;&lt;/EndNote&gt;</w:instrText>
      </w:r>
      <w:r>
        <w:fldChar w:fldCharType="separate"/>
      </w:r>
      <w:r w:rsidRPr="007B041D">
        <w:rPr>
          <w:noProof/>
          <w:lang w:val="fr-FR"/>
        </w:rPr>
        <w:t xml:space="preserve">NA, </w:t>
      </w:r>
      <w:r w:rsidRPr="007B041D">
        <w:rPr>
          <w:i/>
          <w:noProof/>
          <w:lang w:val="fr-FR"/>
        </w:rPr>
        <w:t>Un souvenir historique</w:t>
      </w:r>
      <w:r>
        <w:fldChar w:fldCharType="end"/>
      </w:r>
      <w:r w:rsidRPr="007B041D">
        <w:rPr>
          <w:lang w:val="fr-FR"/>
        </w:rPr>
        <w:t>, p</w:t>
      </w:r>
      <w:r>
        <w:rPr>
          <w:lang w:val="fr-FR"/>
        </w:rPr>
        <w:t>p</w:t>
      </w:r>
      <w:r w:rsidRPr="007B041D">
        <w:rPr>
          <w:lang w:val="fr-FR"/>
        </w:rPr>
        <w:t xml:space="preserve">. </w:t>
      </w:r>
      <w:r>
        <w:rPr>
          <w:lang w:val="fr-FR"/>
        </w:rPr>
        <w:t>29 and 62.</w:t>
      </w:r>
    </w:p>
  </w:footnote>
  <w:footnote w:id="978">
    <w:p w14:paraId="38D4D99C"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Kölnische Volkszeitung</w:t>
      </w:r>
      <w:r w:rsidRPr="00DE3AC9">
        <w:rPr>
          <w:lang w:val="fr-FR"/>
        </w:rPr>
        <w:t xml:space="preserve">, 28 December 1915. The </w:t>
      </w:r>
      <w:r w:rsidRPr="00DE3AC9">
        <w:rPr>
          <w:i/>
          <w:iCs/>
          <w:lang w:val="fr-FR"/>
        </w:rPr>
        <w:t>Voix du Pays</w:t>
      </w:r>
      <w:r w:rsidRPr="00DE3AC9">
        <w:rPr>
          <w:lang w:val="fr-FR"/>
        </w:rPr>
        <w:t xml:space="preserve"> was also disscussed in the </w:t>
      </w:r>
      <w:r w:rsidRPr="00DE3AC9">
        <w:rPr>
          <w:i/>
          <w:iCs/>
          <w:lang w:val="fr-FR"/>
        </w:rPr>
        <w:t>Kölnische Volkszeitung</w:t>
      </w:r>
      <w:r w:rsidRPr="00DE3AC9">
        <w:rPr>
          <w:lang w:val="fr-FR"/>
        </w:rPr>
        <w:t>, 5 January 1916 and 5 March 1916.</w:t>
      </w:r>
    </w:p>
  </w:footnote>
  <w:footnote w:id="979">
    <w:p w14:paraId="58AD0B8A"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 xml:space="preserve">Gazette des Ardennes, </w:t>
      </w:r>
      <w:r w:rsidRPr="00DE3AC9">
        <w:rPr>
          <w:lang w:val="fr-FR"/>
        </w:rPr>
        <w:t>24 March 1916.</w:t>
      </w:r>
    </w:p>
  </w:footnote>
  <w:footnote w:id="980">
    <w:p w14:paraId="01A08D1F" w14:textId="77777777" w:rsidR="00DE3AC9" w:rsidRPr="0098688A" w:rsidRDefault="00DE3AC9" w:rsidP="0048510E">
      <w:pPr>
        <w:pStyle w:val="FootnoteText"/>
      </w:pPr>
      <w:r>
        <w:rPr>
          <w:rStyle w:val="FootnoteReference"/>
        </w:rPr>
        <w:footnoteRef/>
      </w:r>
      <w:r w:rsidRPr="0098688A">
        <w:t xml:space="preserve"> </w:t>
      </w:r>
      <w:r w:rsidRPr="0098688A">
        <w:rPr>
          <w:i/>
          <w:iCs/>
        </w:rPr>
        <w:t>Kölnische Volkszeitung</w:t>
      </w:r>
      <w:r w:rsidRPr="0098688A">
        <w:t>, 15 March 1916.</w:t>
      </w:r>
    </w:p>
  </w:footnote>
  <w:footnote w:id="981">
    <w:p w14:paraId="07528587" w14:textId="77777777" w:rsidR="00DE3AC9" w:rsidRPr="0023126A" w:rsidRDefault="00DE3AC9" w:rsidP="0048510E">
      <w:pPr>
        <w:pStyle w:val="FootnoteText"/>
      </w:pPr>
      <w:r>
        <w:rPr>
          <w:rStyle w:val="FootnoteReference"/>
        </w:rPr>
        <w:footnoteRef/>
      </w:r>
      <w:r w:rsidRPr="0023126A">
        <w:t xml:space="preserve"> These reactions were publicized with pride in their book </w:t>
      </w:r>
      <w:r>
        <w:fldChar w:fldCharType="begin"/>
      </w:r>
      <w:r>
        <w:instrText xml:space="preserve"> ADDIN EN.CITE &lt;EndNote&gt;&lt;Cite&gt;&lt;Author&gt;Tonnelat&lt;/Author&gt;&lt;Year&gt;1922&lt;/Year&gt;&lt;RecNum&gt;19&lt;/RecNum&gt;&lt;DisplayText&gt;Hansi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Pr>
          <w:noProof/>
        </w:rPr>
        <w:t xml:space="preserve">Hansi and Tonnelat, </w:t>
      </w:r>
      <w:r w:rsidRPr="007B7627">
        <w:rPr>
          <w:i/>
          <w:noProof/>
        </w:rPr>
        <w:t>A travers</w:t>
      </w:r>
      <w:r>
        <w:fldChar w:fldCharType="end"/>
      </w:r>
      <w:r w:rsidRPr="0023126A">
        <w:t xml:space="preserve">, p. 114. </w:t>
      </w:r>
    </w:p>
  </w:footnote>
  <w:footnote w:id="982">
    <w:p w14:paraId="03D9466B" w14:textId="77777777" w:rsidR="00DE3AC9" w:rsidRPr="00E57561" w:rsidRDefault="00DE3AC9" w:rsidP="0048510E">
      <w:pPr>
        <w:pStyle w:val="FootnoteText"/>
        <w:rPr>
          <w:lang w:val="de-DE"/>
        </w:rPr>
      </w:pPr>
      <w:r>
        <w:rPr>
          <w:rStyle w:val="FootnoteReference"/>
        </w:rPr>
        <w:footnoteRef/>
      </w:r>
      <w:r w:rsidRPr="00E57561">
        <w:rPr>
          <w:lang w:val="de-DE"/>
        </w:rPr>
        <w:t xml:space="preserve"> </w:t>
      </w:r>
      <w:r w:rsidRPr="00E57561">
        <w:rPr>
          <w:i/>
          <w:iCs/>
          <w:lang w:val="de-DE"/>
        </w:rPr>
        <w:t xml:space="preserve">Vossische Zeitung, </w:t>
      </w:r>
      <w:r>
        <w:rPr>
          <w:lang w:val="de-DE"/>
        </w:rPr>
        <w:t xml:space="preserve">13 April 1916 and </w:t>
      </w:r>
      <w:r w:rsidRPr="00414136">
        <w:rPr>
          <w:i/>
          <w:iCs/>
          <w:lang w:val="de-DE"/>
        </w:rPr>
        <w:t>Stuttgarter neue tagblatt</w:t>
      </w:r>
      <w:r>
        <w:rPr>
          <w:lang w:val="de-DE"/>
        </w:rPr>
        <w:t>, 19 April 1916.</w:t>
      </w:r>
    </w:p>
  </w:footnote>
  <w:footnote w:id="983">
    <w:p w14:paraId="416F2298" w14:textId="77777777" w:rsidR="00DE3AC9" w:rsidRPr="00414136" w:rsidRDefault="00DE3AC9" w:rsidP="0048510E">
      <w:pPr>
        <w:pStyle w:val="FootnoteText"/>
        <w:rPr>
          <w:lang w:val="de-DE"/>
        </w:rPr>
      </w:pPr>
      <w:r>
        <w:rPr>
          <w:rStyle w:val="FootnoteReference"/>
        </w:rPr>
        <w:footnoteRef/>
      </w:r>
      <w:r w:rsidRPr="00414136">
        <w:rPr>
          <w:lang w:val="de-DE"/>
        </w:rPr>
        <w:t xml:space="preserve"> </w:t>
      </w:r>
      <w:r w:rsidRPr="00414136">
        <w:rPr>
          <w:i/>
          <w:iCs/>
          <w:lang w:val="de-DE"/>
        </w:rPr>
        <w:t>Gazette des Ardennes</w:t>
      </w:r>
      <w:r w:rsidRPr="00414136">
        <w:rPr>
          <w:lang w:val="de-DE"/>
        </w:rPr>
        <w:t>, 29 March 1916.</w:t>
      </w:r>
    </w:p>
  </w:footnote>
  <w:footnote w:id="984">
    <w:p w14:paraId="5F8EE763" w14:textId="77777777" w:rsidR="00DE3AC9" w:rsidRPr="002C5A83" w:rsidRDefault="00DE3AC9" w:rsidP="0048510E">
      <w:pPr>
        <w:pStyle w:val="FootnoteText"/>
        <w:rPr>
          <w:lang w:val="de-DE"/>
        </w:rPr>
      </w:pPr>
      <w:r>
        <w:rPr>
          <w:rStyle w:val="FootnoteReference"/>
        </w:rPr>
        <w:footnoteRef/>
      </w:r>
      <w:r w:rsidRPr="002C5A83">
        <w:rPr>
          <w:lang w:val="de-DE"/>
        </w:rPr>
        <w:t xml:space="preserve"> </w:t>
      </w:r>
      <w:r>
        <w:fldChar w:fldCharType="begin"/>
      </w:r>
      <w:r w:rsidRPr="002C5A83">
        <w:rPr>
          <w:lang w:val="de-DE"/>
        </w:rP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sidRPr="002C5A83">
        <w:rPr>
          <w:noProof/>
          <w:lang w:val="de-DE"/>
        </w:rPr>
        <w:t xml:space="preserve">Nicolai, </w:t>
      </w:r>
      <w:r w:rsidRPr="002C5A83">
        <w:rPr>
          <w:i/>
          <w:noProof/>
          <w:lang w:val="de-DE"/>
        </w:rPr>
        <w:t>The German</w:t>
      </w:r>
      <w:r>
        <w:fldChar w:fldCharType="end"/>
      </w:r>
      <w:r w:rsidRPr="002C5A83">
        <w:rPr>
          <w:lang w:val="de-DE"/>
        </w:rPr>
        <w:t>, p. 162.</w:t>
      </w:r>
    </w:p>
  </w:footnote>
  <w:footnote w:id="985">
    <w:p w14:paraId="084FB21C" w14:textId="611E5F51" w:rsidR="00DE3AC9" w:rsidRPr="004F0A24" w:rsidRDefault="00DE3AC9" w:rsidP="0048510E">
      <w:pPr>
        <w:pStyle w:val="FootnoteText"/>
      </w:pPr>
      <w:r>
        <w:rPr>
          <w:rStyle w:val="FootnoteReference"/>
        </w:rPr>
        <w:footnoteRef/>
      </w:r>
      <w:r w:rsidRPr="004F0A24">
        <w:t xml:space="preserve"> </w:t>
      </w:r>
      <w:r>
        <w:fldChar w:fldCharType="begin"/>
      </w:r>
      <w:r>
        <w:instrText xml:space="preserve"> ADDIN EN.CITE &lt;EndNote&gt;&lt;Cite&gt;&lt;Author&gt;Welch&lt;/Author&gt;&lt;Year&gt;2000&lt;/Year&gt;&lt;RecNum&gt;22&lt;/RecNum&gt;&lt;DisplayText&gt;Welch, &lt;style face="italic"&gt;Germany&lt;/style&gt;&lt;/DisplayText&gt;&lt;record&gt;&lt;rec-number&gt;22&lt;/rec-number&gt;&lt;foreign-keys&gt;&lt;key app="EN" db-id="2f5rvwawcsv2woetvw35fzwbdvvswerd0err"&gt;22&lt;/key&gt;&lt;/foreign-keys&gt;&lt;ref-type name="Book"&gt;6&lt;/ref-type&gt;&lt;contributors&gt;&lt;authors&gt;&lt;author&gt;Welch, David&lt;/author&gt;&lt;/authors&gt;&lt;/contributors&gt;&lt;titles&gt;&lt;title&gt;Germany, propaganda and total war, 1914-1918&lt;/title&gt;&lt;short-title&gt;Germany&lt;/short-title&gt;&lt;/titles&gt;&lt;dates&gt;&lt;year&gt;2000&lt;/year&gt;&lt;/dates&gt;&lt;pub-location&gt;London&lt;/pub-location&gt;&lt;urls&gt;&lt;/urls&gt;&lt;/record&gt;&lt;/Cite&gt;&lt;/EndNote&gt;</w:instrText>
      </w:r>
      <w:r>
        <w:fldChar w:fldCharType="separate"/>
      </w:r>
      <w:r w:rsidRPr="004F0A24">
        <w:rPr>
          <w:noProof/>
        </w:rPr>
        <w:t xml:space="preserve">Welch, </w:t>
      </w:r>
      <w:r w:rsidRPr="004F0A24">
        <w:rPr>
          <w:i/>
          <w:noProof/>
        </w:rPr>
        <w:t>Germany</w:t>
      </w:r>
      <w:r>
        <w:fldChar w:fldCharType="end"/>
      </w:r>
      <w:r w:rsidRPr="004F0A24">
        <w:t>, p. 230.</w:t>
      </w:r>
    </w:p>
  </w:footnote>
  <w:footnote w:id="986">
    <w:p w14:paraId="74709A49" w14:textId="77777777" w:rsidR="00DE3AC9" w:rsidRDefault="00DE3AC9" w:rsidP="005C7BEE">
      <w:pPr>
        <w:pStyle w:val="FootnoteText"/>
      </w:pPr>
      <w:r>
        <w:rPr>
          <w:rStyle w:val="FootnoteReference"/>
        </w:rPr>
        <w:footnoteRef/>
      </w:r>
      <w:r>
        <w:t xml:space="preserve"> </w:t>
      </w:r>
      <w:r>
        <w:fldChar w:fldCharType="begin"/>
      </w:r>
      <w:r>
        <w:instrText xml:space="preserve"> ADDIN EN.CITE &lt;EndNote&gt;&lt;Cite&gt;&lt;Author&gt;Kitchen&lt;/Author&gt;&lt;Year&gt;1976&lt;/Year&gt;&lt;RecNum&gt;242&lt;/RecNum&gt;&lt;DisplayText&gt;Martin Kitchen, &lt;style face="italic"&gt;The silent dictatorship: the politics of the German High Command under Hindenburg and Ludendorff, 1916-1918&lt;/style&gt;, (London, 1976)&lt;/DisplayText&gt;&lt;record&gt;&lt;rec-number&gt;242&lt;/rec-number&gt;&lt;foreign-keys&gt;&lt;key app="EN" db-id="2f5rvwawcsv2woetvw35fzwbdvvswerd0err"&gt;242&lt;/key&gt;&lt;/foreign-keys&gt;&lt;ref-type name="Book"&gt;6&lt;/ref-type&gt;&lt;contributors&gt;&lt;authors&gt;&lt;author&gt;Kitchen, Martin&lt;/author&gt;&lt;/authors&gt;&lt;/contributors&gt;&lt;titles&gt;&lt;title&gt;The silent dictatorship: the politics of the German High Command under Hindenburg and Ludendorff, 1916-1918&lt;/title&gt;&lt;short-title&gt;The silent&lt;/short-title&gt;&lt;/titles&gt;&lt;dates&gt;&lt;year&gt;1976&lt;/year&gt;&lt;/dates&gt;&lt;pub-location&gt;London&lt;/pub-location&gt;&lt;urls&gt;&lt;/urls&gt;&lt;/record&gt;&lt;/Cite&gt;&lt;/EndNote&gt;</w:instrText>
      </w:r>
      <w:r>
        <w:fldChar w:fldCharType="separate"/>
      </w:r>
      <w:r>
        <w:rPr>
          <w:noProof/>
        </w:rPr>
        <w:t xml:space="preserve">Martin Kitchen, </w:t>
      </w:r>
      <w:r w:rsidRPr="005C7BEE">
        <w:rPr>
          <w:i/>
          <w:noProof/>
        </w:rPr>
        <w:t>The silent dictatorship: the politics of the German High Command under Hindenburg and Ludendorff, 1916-1918</w:t>
      </w:r>
      <w:r>
        <w:rPr>
          <w:noProof/>
        </w:rPr>
        <w:t>, (London, 1976)</w:t>
      </w:r>
      <w:r>
        <w:fldChar w:fldCharType="end"/>
      </w:r>
      <w:r>
        <w:t>, pp. 50-63.</w:t>
      </w:r>
    </w:p>
  </w:footnote>
  <w:footnote w:id="987">
    <w:p w14:paraId="1EDBD29D" w14:textId="77777777" w:rsidR="00DE3AC9" w:rsidRPr="00A66F38" w:rsidRDefault="00DE3AC9" w:rsidP="0048510E">
      <w:pPr>
        <w:pStyle w:val="FootnoteText"/>
      </w:pPr>
      <w:r>
        <w:rPr>
          <w:rStyle w:val="FootnoteReference"/>
        </w:rPr>
        <w:footnoteRef/>
      </w:r>
      <w:r>
        <w:t xml:space="preserve"> See chapter one for more details. </w:t>
      </w:r>
    </w:p>
  </w:footnote>
  <w:footnote w:id="988">
    <w:p w14:paraId="722BA0AE" w14:textId="77777777" w:rsidR="00DE3AC9" w:rsidRPr="001601DE" w:rsidRDefault="00DE3AC9" w:rsidP="0048510E">
      <w:pPr>
        <w:pStyle w:val="FootnoteText"/>
      </w:pPr>
      <w:r>
        <w:rPr>
          <w:rStyle w:val="FootnoteReference"/>
        </w:rPr>
        <w:footnoteRef/>
      </w:r>
      <w:r>
        <w:t xml:space="preserve"> </w:t>
      </w:r>
      <w:r>
        <w:fldChar w:fldCharType="begin"/>
      </w:r>
      <w:r>
        <w:instrText xml:space="preserve"> ADDIN EN.CITE &lt;EndNote&gt;&lt;Cite&gt;&lt;Author&gt;Georgakakis&lt;/Author&gt;&lt;Year&gt;2004&lt;/Year&gt;&lt;RecNum&gt;78&lt;/RecNum&gt;&lt;DisplayText&gt;Georgakakis, &lt;style face="italic"&gt;La République&lt;/style&gt;&lt;/DisplayText&gt;&lt;record&gt;&lt;rec-number&gt;78&lt;/rec-number&gt;&lt;foreign-keys&gt;&lt;key app="EN" db-id="2f5rvwawcsv2woetvw35fzwbdvvswerd0err"&gt;78&lt;/key&gt;&lt;/foreign-keys&gt;&lt;ref-type name="Book"&gt;6&lt;/ref-type&gt;&lt;contributors&gt;&lt;authors&gt;&lt;author&gt;Georgakakis, Didier&lt;/author&gt;&lt;/authors&gt;&lt;/contributors&gt;&lt;titles&gt;&lt;title&gt;La République contre la propagande: aux origines perdues de la communication d&amp;apos;état en France (1917-1940)&lt;/title&gt;&lt;short-title&gt;La République&lt;/short-title&gt;&lt;/titles&gt;&lt;dates&gt;&lt;year&gt;2004&lt;/year&gt;&lt;/dates&gt;&lt;pub-location&gt;Paris&lt;/pub-location&gt;&lt;urls&gt;&lt;/urls&gt;&lt;/record&gt;&lt;/Cite&gt;&lt;/EndNote&gt;</w:instrText>
      </w:r>
      <w:r>
        <w:fldChar w:fldCharType="separate"/>
      </w:r>
      <w:r>
        <w:rPr>
          <w:noProof/>
        </w:rPr>
        <w:t xml:space="preserve">Georgakakis, </w:t>
      </w:r>
      <w:r w:rsidRPr="007B7627">
        <w:rPr>
          <w:i/>
          <w:noProof/>
        </w:rPr>
        <w:t>La République</w:t>
      </w:r>
      <w:r>
        <w:fldChar w:fldCharType="end"/>
      </w:r>
      <w:r>
        <w:t xml:space="preserve">, p. 76 and </w:t>
      </w:r>
      <w:r>
        <w:fldChar w:fldCharType="begin"/>
      </w:r>
      <w:r>
        <w:instrText xml:space="preserve"> ADDIN EN.CITE &lt;EndNote&gt;&lt;Cite&gt;&lt;Author&gt;Sander&lt;/Author&gt;&lt;Year&gt;1982&lt;/Year&gt;&lt;RecNum&gt;23&lt;/RecNum&gt;&lt;DisplayText&gt;Sanders and Taylor, &lt;style face="italic"&gt;British propaganda&lt;/style&gt;&lt;/DisplayText&gt;&lt;record&gt;&lt;rec-number&gt;23&lt;/rec-number&gt;&lt;foreign-keys&gt;&lt;key app="EN" db-id="2f5rvwawcsv2woetvw35fzwbdvvswerd0err"&gt;23&lt;/key&gt;&lt;/foreign-keys&gt;&lt;ref-type name="Book"&gt;6&lt;/ref-type&gt;&lt;contributors&gt;&lt;authors&gt;&lt;author&gt;Sanders, Michael&lt;/author&gt;&lt;author&gt;Taylor, Philip&lt;/author&gt;&lt;/authors&gt;&lt;/contributors&gt;&lt;titles&gt;&lt;title&gt;British propaganda during the First World War&lt;/title&gt;&lt;short-title&gt;British propaganda&lt;/short-title&gt;&lt;/titles&gt;&lt;dates&gt;&lt;year&gt;1982&lt;/year&gt;&lt;/dates&gt;&lt;pub-location&gt;London&lt;/pub-location&gt;&lt;publisher&gt;The Macmillan Press&lt;/publisher&gt;&lt;urls&gt;&lt;/urls&gt;&lt;/record&gt;&lt;/Cite&gt;&lt;/EndNote&gt;</w:instrText>
      </w:r>
      <w:r>
        <w:fldChar w:fldCharType="separate"/>
      </w:r>
      <w:r>
        <w:rPr>
          <w:noProof/>
        </w:rPr>
        <w:t xml:space="preserve">Sanders and Taylor, </w:t>
      </w:r>
      <w:r w:rsidRPr="007B7627">
        <w:rPr>
          <w:i/>
          <w:noProof/>
        </w:rPr>
        <w:t>British propaganda</w:t>
      </w:r>
      <w:r>
        <w:fldChar w:fldCharType="end"/>
      </w:r>
      <w:r>
        <w:t>, pp. 52-54.</w:t>
      </w:r>
    </w:p>
  </w:footnote>
  <w:footnote w:id="989">
    <w:p w14:paraId="0EC036A3" w14:textId="77777777" w:rsidR="00DE3AC9" w:rsidRPr="00C87132" w:rsidRDefault="00DE3AC9" w:rsidP="0048510E">
      <w:pPr>
        <w:pStyle w:val="FootnoteText"/>
        <w:rPr>
          <w:b/>
          <w:bCs/>
        </w:rPr>
      </w:pPr>
      <w:r>
        <w:rPr>
          <w:rStyle w:val="FootnoteReference"/>
        </w:rPr>
        <w:footnoteRef/>
      </w:r>
      <w:r>
        <w:t xml:space="preserve"> BL: C.40.I.21. Unpublished account of the history of the </w:t>
      </w:r>
      <w:r>
        <w:rPr>
          <w:i/>
          <w:iCs/>
        </w:rPr>
        <w:t xml:space="preserve">Courrier de l’Air. </w:t>
      </w:r>
      <w:r w:rsidRPr="00C87132">
        <w:t>November 1918.</w:t>
      </w:r>
    </w:p>
  </w:footnote>
  <w:footnote w:id="990">
    <w:p w14:paraId="7EFCD5C4" w14:textId="77777777" w:rsidR="00DE3AC9" w:rsidRPr="00AB59B4" w:rsidRDefault="00DE3AC9" w:rsidP="0048510E">
      <w:pPr>
        <w:pStyle w:val="FootnoteText"/>
      </w:pPr>
      <w:r>
        <w:rPr>
          <w:rStyle w:val="FootnoteReference"/>
        </w:rPr>
        <w:footnoteRef/>
      </w:r>
      <w:r w:rsidRPr="00AB59B4">
        <w:t xml:space="preserve"> </w:t>
      </w:r>
      <w:r>
        <w:rPr>
          <w:lang w:val="fr-FR"/>
        </w:rPr>
        <w:fldChar w:fldCharType="begin"/>
      </w:r>
      <w:r>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rPr>
          <w:lang w:val="fr-FR"/>
        </w:rPr>
        <w:fldChar w:fldCharType="separate"/>
      </w:r>
      <w:r w:rsidRPr="007B7627">
        <w:rPr>
          <w:noProof/>
        </w:rPr>
        <w:t xml:space="preserve">Hansi and Tonnelat, </w:t>
      </w:r>
      <w:r w:rsidRPr="007B7627">
        <w:rPr>
          <w:i/>
          <w:noProof/>
        </w:rPr>
        <w:t>A travers</w:t>
      </w:r>
      <w:r>
        <w:rPr>
          <w:lang w:val="fr-FR"/>
        </w:rPr>
        <w:fldChar w:fldCharType="end"/>
      </w:r>
      <w:r w:rsidRPr="00AB59B4">
        <w:t>, p. 110.</w:t>
      </w:r>
    </w:p>
  </w:footnote>
  <w:footnote w:id="991">
    <w:p w14:paraId="44A1B624" w14:textId="77777777" w:rsidR="00DE3AC9" w:rsidRPr="00C87132" w:rsidRDefault="00DE3AC9" w:rsidP="0048510E">
      <w:pPr>
        <w:pStyle w:val="FootnoteText"/>
      </w:pPr>
      <w:r>
        <w:rPr>
          <w:rStyle w:val="FootnoteReference"/>
        </w:rPr>
        <w:footnoteRef/>
      </w:r>
      <w:r>
        <w:t xml:space="preserve"> See chapter one</w:t>
      </w:r>
      <w:r w:rsidRPr="00C87132">
        <w:t>.</w:t>
      </w:r>
    </w:p>
  </w:footnote>
  <w:footnote w:id="992">
    <w:p w14:paraId="0AD55953" w14:textId="77777777" w:rsidR="00DE3AC9" w:rsidRPr="00C87132" w:rsidRDefault="00DE3AC9" w:rsidP="0048510E">
      <w:pPr>
        <w:pStyle w:val="FootnoteText"/>
      </w:pPr>
      <w:r>
        <w:rPr>
          <w:rStyle w:val="FootnoteReference"/>
        </w:rPr>
        <w:footnoteRef/>
      </w:r>
      <w:r>
        <w:t xml:space="preserve"> </w:t>
      </w:r>
      <w:r>
        <w:fldChar w:fldCharType="begin"/>
      </w:r>
      <w: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Pr>
          <w:noProof/>
        </w:rPr>
        <w:t xml:space="preserve">Occleshaw, </w:t>
      </w:r>
      <w:r w:rsidRPr="007B7627">
        <w:rPr>
          <w:i/>
          <w:noProof/>
        </w:rPr>
        <w:t>Armour</w:t>
      </w:r>
      <w:r>
        <w:fldChar w:fldCharType="end"/>
      </w:r>
      <w:r>
        <w:t>, p. 303.</w:t>
      </w:r>
    </w:p>
  </w:footnote>
  <w:footnote w:id="993">
    <w:p w14:paraId="35D07B40" w14:textId="77777777" w:rsidR="00DE3AC9" w:rsidRPr="00C87132" w:rsidRDefault="00DE3AC9" w:rsidP="0048510E">
      <w:pPr>
        <w:pStyle w:val="FootnoteText"/>
      </w:pPr>
      <w:r>
        <w:rPr>
          <w:rStyle w:val="FootnoteReference"/>
        </w:rPr>
        <w:footnoteRef/>
      </w:r>
      <w:r>
        <w:t xml:space="preserve"> </w:t>
      </w:r>
      <w:r>
        <w:fldChar w:fldCharType="begin"/>
      </w:r>
      <w: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 xml:space="preserve">Brooks, </w:t>
      </w:r>
      <w:r w:rsidRPr="007B7627">
        <w:rPr>
          <w:i/>
          <w:noProof/>
        </w:rPr>
        <w:t>British propaganda</w:t>
      </w:r>
      <w:r>
        <w:fldChar w:fldCharType="end"/>
      </w:r>
      <w:r>
        <w:t>, p. 10.</w:t>
      </w:r>
    </w:p>
  </w:footnote>
  <w:footnote w:id="994">
    <w:p w14:paraId="1A1525A3" w14:textId="77777777" w:rsidR="00DE3AC9" w:rsidRPr="005E0348" w:rsidRDefault="00DE3AC9" w:rsidP="0048510E">
      <w:pPr>
        <w:pStyle w:val="FootnoteText"/>
      </w:pPr>
      <w:r>
        <w:rPr>
          <w:rStyle w:val="FootnoteReference"/>
        </w:rPr>
        <w:footnoteRef/>
      </w:r>
      <w:r>
        <w:t xml:space="preserve"> Thanks to Maude Fagot for the information regarding French propaganda during the Second World War.</w:t>
      </w:r>
    </w:p>
  </w:footnote>
  <w:footnote w:id="995">
    <w:p w14:paraId="38519A75" w14:textId="77777777" w:rsidR="00DE3AC9" w:rsidRPr="0048510E" w:rsidRDefault="00DE3AC9" w:rsidP="0048510E">
      <w:pPr>
        <w:pStyle w:val="FootnoteText"/>
      </w:pPr>
      <w:r>
        <w:rPr>
          <w:rStyle w:val="FootnoteReference"/>
        </w:rPr>
        <w:footnoteRef/>
      </w:r>
      <w:r>
        <w:t xml:space="preserve"> AN: F41/479. Archives of the CGI. November 1938 and SHD AT: 6YE61601. </w:t>
      </w:r>
      <w:r w:rsidRPr="0048510E">
        <w:t>Military file of Raymond Schuhl.</w:t>
      </w:r>
    </w:p>
  </w:footnote>
  <w:footnote w:id="996">
    <w:p w14:paraId="2D9F55D8" w14:textId="625FF50E" w:rsidR="00DE3AC9" w:rsidRPr="00080F90" w:rsidRDefault="00DE3AC9" w:rsidP="0048510E">
      <w:pPr>
        <w:pStyle w:val="FootnoteText"/>
      </w:pPr>
      <w:r>
        <w:rPr>
          <w:rStyle w:val="FootnoteReference"/>
        </w:rPr>
        <w:footnoteRef/>
      </w:r>
      <w:r w:rsidRPr="00080F90">
        <w:t xml:space="preserve"> </w:t>
      </w:r>
      <w:r>
        <w:fldChar w:fldCharType="begin"/>
      </w:r>
      <w:r w:rsidRPr="00080F90">
        <w:instrText xml:space="preserve"> ADDIN EN.CITE &lt;EndNote&gt;&lt;Cite&gt;&lt;Author&gt;Fagot&lt;/Author&gt;&lt;Year&gt;2013&lt;/Year&gt;&lt;RecNum&gt;256&lt;/RecNum&gt;&lt;DisplayText&gt;Fagot, &lt;style face="italic"&gt;La &amp;quot;drôle de guerre&amp;quot;&lt;/style&gt;&lt;/DisplayText&gt;&lt;record&gt;&lt;rec-number&gt;256&lt;/rec-number&gt;&lt;foreign-keys&gt;&lt;key app="EN" db-id="2f5rvwawcsv2woetvw35fzwbdvvswerd0err"&gt;256&lt;/key&gt;&lt;/foreign-keys&gt;&lt;ref-type name="Thesis"&gt;32&lt;/ref-type&gt;&lt;contributors&gt;&lt;authors&gt;&lt;author&gt;Fagot, Maude&lt;/author&gt;&lt;/authors&gt;&lt;/contributors&gt;&lt;titles&gt;&lt;title&gt;La &amp;quot;drôle de guerre&amp;quot;: une guerre d&amp;apos;influence&lt;/title&gt;&lt;short-title&gt;La &amp;quot;drôle de guerre&amp;quot;&lt;/short-title&gt;&lt;/titles&gt;&lt;dates&gt;&lt;year&gt;2013&lt;/year&gt;&lt;/dates&gt;&lt;publisher&gt;Université Lumière Lyon 2 / Universität Freiburg&lt;/publisher&gt;&lt;work-type&gt;Masters thesis&lt;/work-type&gt;&lt;urls&gt;&lt;/urls&gt;&lt;/record&gt;&lt;/Cite&gt;&lt;/EndNote&gt;</w:instrText>
      </w:r>
      <w:r>
        <w:fldChar w:fldCharType="separate"/>
      </w:r>
      <w:r w:rsidRPr="00080F90">
        <w:rPr>
          <w:noProof/>
        </w:rPr>
        <w:t xml:space="preserve">Fagot, </w:t>
      </w:r>
      <w:r w:rsidRPr="00080F90">
        <w:rPr>
          <w:i/>
          <w:noProof/>
        </w:rPr>
        <w:t>La "drôle de guerre"</w:t>
      </w:r>
      <w:r>
        <w:fldChar w:fldCharType="end"/>
      </w:r>
      <w:r w:rsidRPr="00080F90">
        <w:t>, pp. 88-137.</w:t>
      </w:r>
    </w:p>
  </w:footnote>
  <w:footnote w:id="997">
    <w:p w14:paraId="54AD030E" w14:textId="77777777" w:rsidR="00DE3AC9" w:rsidRPr="005E0348" w:rsidRDefault="00DE3AC9" w:rsidP="0048510E">
      <w:pPr>
        <w:pStyle w:val="FootnoteText"/>
      </w:pPr>
      <w:r>
        <w:rPr>
          <w:rStyle w:val="FootnoteReference"/>
        </w:rPr>
        <w:footnoteRef/>
      </w:r>
      <w:r>
        <w:t xml:space="preserve"> </w:t>
      </w:r>
      <w:r>
        <w:fldChar w:fldCharType="begin"/>
      </w:r>
      <w: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 xml:space="preserve">Brooks, </w:t>
      </w:r>
      <w:r w:rsidRPr="007B7627">
        <w:rPr>
          <w:i/>
          <w:noProof/>
        </w:rPr>
        <w:t>British propaganda</w:t>
      </w:r>
      <w:r>
        <w:fldChar w:fldCharType="end"/>
      </w:r>
      <w:r>
        <w:t>, p. 11.</w:t>
      </w:r>
    </w:p>
  </w:footnote>
  <w:footnote w:id="998">
    <w:p w14:paraId="0C5B03C9" w14:textId="77777777" w:rsidR="00DE3AC9" w:rsidRPr="005E0348" w:rsidRDefault="00DE3AC9" w:rsidP="0048510E">
      <w:pPr>
        <w:pStyle w:val="FootnoteText"/>
      </w:pPr>
      <w:r>
        <w:rPr>
          <w:rStyle w:val="FootnoteReference"/>
        </w:rPr>
        <w:footnoteRef/>
      </w:r>
      <w:r>
        <w:t xml:space="preserve"> </w:t>
      </w:r>
      <w:r>
        <w:fldChar w:fldCharType="begin"/>
      </w:r>
      <w:r>
        <w:instrText xml:space="preserve"> ADDIN EN.CITE &lt;EndNote&gt;&lt;Cite&gt;&lt;Author&gt;Brooks&lt;/Author&gt;&lt;Year&gt;2007&lt;/Year&gt;&lt;RecNum&gt;21&lt;/RecNum&gt;&lt;DisplayText&gt;Ibid.&lt;/DisplayText&gt;&lt;record&gt;&lt;rec-number&gt;21&lt;/rec-number&gt;&lt;foreign-keys&gt;&lt;key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Pr>
          <w:noProof/>
        </w:rPr>
        <w:t>Ibid.</w:t>
      </w:r>
      <w:r>
        <w:fldChar w:fldCharType="end"/>
      </w:r>
      <w:r>
        <w:t>, p. 2.</w:t>
      </w:r>
    </w:p>
  </w:footnote>
  <w:footnote w:id="999">
    <w:p w14:paraId="1AACE560" w14:textId="77777777" w:rsidR="00DE3AC9" w:rsidRPr="00415A32" w:rsidRDefault="00DE3AC9" w:rsidP="0048510E">
      <w:pPr>
        <w:pStyle w:val="FootnoteText"/>
      </w:pPr>
      <w:r>
        <w:rPr>
          <w:rStyle w:val="FootnoteReference"/>
        </w:rPr>
        <w:footnoteRef/>
      </w:r>
      <w:r w:rsidRPr="00415A32">
        <w:t xml:space="preserve"> </w:t>
      </w:r>
      <w:r>
        <w:fldChar w:fldCharType="begin"/>
      </w:r>
      <w:r w:rsidRPr="00415A32">
        <w:instrText xml:space="preserve"> ADDIN EN.CITE &lt;EndNote&gt;&lt;Cite&gt;&lt;Author&gt;Brooks&lt;/Author&gt;&lt;Year&gt;2007&lt;/Year&gt;&lt;RecNum&gt;21&lt;/RecNum&gt;&lt;DisplayText&gt;Ibid.&lt;/DisplayText&gt;&lt;record&gt;&lt;rec-number&gt;21&lt;/rec-number&gt;&lt;foreign-keys&gt;&lt;key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sidRPr="00415A32">
        <w:rPr>
          <w:noProof/>
        </w:rPr>
        <w:t>Ibid.</w:t>
      </w:r>
      <w:r>
        <w:fldChar w:fldCharType="end"/>
      </w:r>
      <w:r w:rsidRPr="00415A32">
        <w:t>, p. 2.</w:t>
      </w:r>
    </w:p>
  </w:footnote>
  <w:footnote w:id="1000">
    <w:p w14:paraId="04461F5A" w14:textId="309B8A5B" w:rsidR="00DE3AC9" w:rsidRPr="0024769A" w:rsidRDefault="00DE3AC9" w:rsidP="007650C1">
      <w:pPr>
        <w:pStyle w:val="FootnoteText"/>
      </w:pPr>
      <w:r>
        <w:rPr>
          <w:rStyle w:val="FootnoteReference"/>
        </w:rPr>
        <w:footnoteRef/>
      </w:r>
      <w:r w:rsidRPr="007650C1">
        <w:t xml:space="preserve"> </w:t>
      </w:r>
      <w:r w:rsidRPr="00415A32">
        <w:t xml:space="preserve">SHD AA: 1A176. </w:t>
      </w:r>
      <w:r>
        <w:t>Colonel Valentin to the war m</w:t>
      </w:r>
      <w:r w:rsidRPr="00831228">
        <w:t>inister, 29 October 1915.</w:t>
      </w:r>
    </w:p>
  </w:footnote>
  <w:footnote w:id="1001">
    <w:p w14:paraId="79BF1062" w14:textId="1B577C42" w:rsidR="00DE3AC9" w:rsidRPr="004E2524" w:rsidRDefault="00DE3AC9">
      <w:pPr>
        <w:pStyle w:val="FootnoteText"/>
      </w:pPr>
      <w:r>
        <w:rPr>
          <w:rStyle w:val="FootnoteReference"/>
        </w:rPr>
        <w:footnoteRef/>
      </w:r>
      <w:r>
        <w:t xml:space="preserve"> </w:t>
      </w:r>
      <w:r w:rsidRPr="00415A32">
        <w:t>ASPF AE</w:t>
      </w:r>
      <w:r w:rsidRPr="007650C1">
        <w:t>B</w:t>
      </w:r>
      <w:r w:rsidRPr="00415A32">
        <w:t xml:space="preserve">: B. 347. </w:t>
      </w:r>
      <w:r w:rsidRPr="00DB0F46">
        <w:t xml:space="preserve">Report of the </w:t>
      </w:r>
      <w:r>
        <w:t>war m</w:t>
      </w:r>
      <w:r w:rsidRPr="00DB0F46">
        <w:t>inister Cabinet regarding the creation of an aerial publication aiming at occupied territories.</w:t>
      </w:r>
      <w:r>
        <w:t xml:space="preserve"> 22 October 1915. </w:t>
      </w:r>
    </w:p>
  </w:footnote>
  <w:footnote w:id="1002">
    <w:p w14:paraId="75E865EB" w14:textId="77777777" w:rsidR="00DE3AC9" w:rsidRPr="00415A32" w:rsidRDefault="00DE3AC9" w:rsidP="0048510E">
      <w:pPr>
        <w:pStyle w:val="FootnoteText"/>
      </w:pPr>
      <w:r>
        <w:rPr>
          <w:rStyle w:val="FootnoteReference"/>
        </w:rPr>
        <w:footnoteRef/>
      </w:r>
      <w:r w:rsidRPr="00415A32">
        <w:t xml:space="preserve"> </w:t>
      </w:r>
      <w:r>
        <w:fldChar w:fldCharType="begin"/>
      </w:r>
      <w:r w:rsidRPr="00415A32">
        <w:instrText xml:space="preserve"> ADDIN EN.CITE &lt;EndNote&gt;&lt;Cite&gt;&lt;Author&gt;Street&lt;/Author&gt;&lt;Year&gt;1919&lt;/Year&gt;&lt;RecNum&gt;150&lt;/RecNum&gt;&lt;DisplayText&gt;Street, &lt;style face="italic"&gt;Propaganda&lt;/style&gt;&lt;/DisplayText&gt;&lt;record&gt;&lt;rec-number&gt;150&lt;/rec-number&gt;&lt;foreign-keys&gt;&lt;key app="EN" db-id="2f5rvwawcsv2woetvw35fzwbdvvswerd0err"&gt;150&lt;/key&gt;&lt;/foreign-keys&gt;&lt;ref-type name="Journal Article"&gt;17&lt;/ref-type&gt;&lt;contributors&gt;&lt;authors&gt;&lt;author&gt;Street, Cecil&lt;/author&gt;&lt;/authors&gt;&lt;/contributors&gt;&lt;titles&gt;&lt;title&gt;Propaganda behind the lines&lt;/title&gt;&lt;secondary-title&gt;The Cornhill magazine&lt;/secondary-title&gt;&lt;short-title&gt;Propaganda&lt;/short-title&gt;&lt;/titles&gt;&lt;periodical&gt;&lt;full-title&gt;The Cornhill magazine&lt;/full-title&gt;&lt;/periodical&gt;&lt;volume&gt;XLVII&lt;/volume&gt;&lt;dates&gt;&lt;year&gt;1919&lt;/year&gt;&lt;/dates&gt;&lt;urls&gt;&lt;/urls&gt;&lt;/record&gt;&lt;/Cite&gt;&lt;/EndNote&gt;</w:instrText>
      </w:r>
      <w:r>
        <w:fldChar w:fldCharType="separate"/>
      </w:r>
      <w:r w:rsidRPr="00415A32">
        <w:rPr>
          <w:noProof/>
        </w:rPr>
        <w:t xml:space="preserve">Street, </w:t>
      </w:r>
      <w:r w:rsidRPr="00415A32">
        <w:rPr>
          <w:i/>
          <w:noProof/>
        </w:rPr>
        <w:t>Propaganda</w:t>
      </w:r>
      <w:r>
        <w:fldChar w:fldCharType="end"/>
      </w:r>
      <w:r w:rsidRPr="00415A32">
        <w:t>, pp. 488-499.</w:t>
      </w:r>
    </w:p>
  </w:footnote>
  <w:footnote w:id="1003">
    <w:p w14:paraId="6F9AE49A" w14:textId="77777777" w:rsidR="00DE3AC9" w:rsidRPr="00415A32" w:rsidRDefault="00DE3AC9" w:rsidP="0048510E">
      <w:pPr>
        <w:pStyle w:val="FootnoteText"/>
      </w:pPr>
      <w:r>
        <w:rPr>
          <w:rStyle w:val="FootnoteReference"/>
        </w:rPr>
        <w:footnoteRef/>
      </w:r>
      <w:r w:rsidRPr="0033227E">
        <w:t xml:space="preserve"> </w:t>
      </w:r>
      <w:r>
        <w:fldChar w:fldCharType="begin"/>
      </w:r>
      <w:r w:rsidRPr="0033227E">
        <w:instrText xml:space="preserve"> ADDIN EN.CITE &lt;EndNote&gt;&lt;Cite&gt;&lt;Author&gt;Becker&lt;/Author&gt;&lt;Year&gt;2010&lt;/Year&gt;&lt;RecNum&gt;237&lt;/RecNum&gt;&lt;DisplayText&gt;Becker, &lt;style face="italic"&gt;Les cicatrices&lt;/style&gt;&lt;/DisplayText&gt;&lt;record&gt;&lt;rec-number&gt;237&lt;/rec-number&gt;&lt;foreign-keys&gt;&lt;key app="EN" db-id="2f5rvwawcsv2woetvw35fzwbdvvswerd0err"&gt;237&lt;/key&gt;&lt;/foreign-keys&gt;&lt;ref-type name="Book"&gt;6&lt;/ref-type&gt;&lt;contributors&gt;&lt;authors&gt;&lt;author&gt;Becker, Annette&lt;/author&gt;&lt;/authors&gt;&lt;/contributors&gt;&lt;titles&gt;&lt;title&gt;Les cicatrices rouges 14-18: France et Belgique occupées&lt;/title&gt;&lt;short-title&gt;Les cicatrices&lt;/short-title&gt;&lt;/titles&gt;&lt;dates&gt;&lt;year&gt;2010&lt;/year&gt;&lt;/dates&gt;&lt;pub-location&gt;Paris&lt;/pub-location&gt;&lt;urls&gt;&lt;/urls&gt;&lt;/record&gt;&lt;/Cite&gt;&lt;/EndNote&gt;</w:instrText>
      </w:r>
      <w:r>
        <w:fldChar w:fldCharType="separate"/>
      </w:r>
      <w:r w:rsidRPr="00415A32">
        <w:rPr>
          <w:noProof/>
        </w:rPr>
        <w:t xml:space="preserve">Becker, </w:t>
      </w:r>
      <w:r w:rsidRPr="00415A32">
        <w:rPr>
          <w:i/>
          <w:noProof/>
        </w:rPr>
        <w:t>Les cicatrices</w:t>
      </w:r>
      <w:r>
        <w:fldChar w:fldCharType="end"/>
      </w:r>
      <w:r w:rsidRPr="00415A32">
        <w:t xml:space="preserve">, p. 263; </w:t>
      </w:r>
      <w:r>
        <w:fldChar w:fldCharType="begin"/>
      </w:r>
      <w:r w:rsidRPr="00415A32">
        <w:instrText xml:space="preserve"> ADDIN EN.CITE &lt;EndNote&gt;&lt;Cite&gt;&lt;Author&gt;McPhail&lt;/Author&gt;&lt;Year&gt;2001&lt;/Year&gt;&lt;RecNum&gt;51&lt;/RecNum&gt;&lt;DisplayText&gt;McPhail, &lt;style face="italic"&gt;The long&lt;/style&gt;&lt;/DisplayText&gt;&lt;record&gt;&lt;rec-number&gt;51&lt;/rec-number&gt;&lt;foreign-keys&gt;&lt;key app="EN" db-id="2f5rvwawcsv2woetvw35fzwbdvvswerd0err"&gt;51&lt;/key&gt;&lt;/foreign-keys&gt;&lt;ref-type name="Book"&gt;6&lt;/ref-type&gt;&lt;contributors&gt;&lt;authors&gt;&lt;author&gt;McPhail, Helen&lt;/author&gt;&lt;/authors&gt;&lt;/contributors&gt;&lt;titles&gt;&lt;title&gt;The long silence: civilian life under the German occupation of northern France, 1914-1918&lt;/title&gt;&lt;short-title&gt;The long&lt;/short-title&gt;&lt;/titles&gt;&lt;dates&gt;&lt;year&gt;2001&lt;/year&gt;&lt;/dates&gt;&lt;pub-location&gt;London and New York&lt;/pub-location&gt;&lt;urls&gt;&lt;/urls&gt;&lt;/record&gt;&lt;/Cite&gt;&lt;/EndNote&gt;</w:instrText>
      </w:r>
      <w:r>
        <w:fldChar w:fldCharType="separate"/>
      </w:r>
      <w:r w:rsidRPr="00415A32">
        <w:rPr>
          <w:noProof/>
        </w:rPr>
        <w:t xml:space="preserve">McPhail, </w:t>
      </w:r>
      <w:r w:rsidRPr="00415A32">
        <w:rPr>
          <w:i/>
          <w:noProof/>
        </w:rPr>
        <w:t>The long</w:t>
      </w:r>
      <w:r>
        <w:fldChar w:fldCharType="end"/>
      </w:r>
      <w:r w:rsidRPr="00415A32">
        <w:t xml:space="preserve">, pp. 127-131; </w:t>
      </w:r>
      <w:r>
        <w:fldChar w:fldCharType="begin"/>
      </w:r>
      <w:r w:rsidRPr="00415A32">
        <w:instrText xml:space="preserve"> ADDIN EN.CITE &lt;EndNote&gt;&lt;Cite&gt;&lt;Author&gt;Nivet&lt;/Author&gt;&lt;Year&gt;2011&lt;/Year&gt;&lt;RecNum&gt;105&lt;/RecNum&gt;&lt;DisplayText&gt;Nivet, &lt;style face="italic"&gt;La France&lt;/style&gt;&lt;/DisplayText&gt;&lt;record&gt;&lt;rec-number&gt;105&lt;/rec-number&gt;&lt;foreign-keys&gt;&lt;key app="EN" db-id="2f5rvwawcsv2woetvw35fzwbdvvswerd0err"&gt;105&lt;/key&gt;&lt;/foreign-keys&gt;&lt;ref-type name="Book"&gt;6&lt;/ref-type&gt;&lt;contributors&gt;&lt;authors&gt;&lt;author&gt;Nivet, Philippe&lt;/author&gt;&lt;/authors&gt;&lt;/contributors&gt;&lt;titles&gt;&lt;title&gt;La France occupée: 1914-1918&lt;/title&gt;&lt;short-title&gt;La France&lt;/short-title&gt;&lt;/titles&gt;&lt;dates&gt;&lt;year&gt;2011&lt;/year&gt;&lt;/dates&gt;&lt;pub-location&gt;Paris&lt;/pub-location&gt;&lt;urls&gt;&lt;/urls&gt;&lt;/record&gt;&lt;/Cite&gt;&lt;/EndNote&gt;</w:instrText>
      </w:r>
      <w:r>
        <w:fldChar w:fldCharType="separate"/>
      </w:r>
      <w:r w:rsidRPr="00415A32">
        <w:rPr>
          <w:noProof/>
        </w:rPr>
        <w:t xml:space="preserve">Nivet, </w:t>
      </w:r>
      <w:r w:rsidRPr="00415A32">
        <w:rPr>
          <w:i/>
          <w:noProof/>
        </w:rPr>
        <w:t>La France</w:t>
      </w:r>
      <w:r>
        <w:fldChar w:fldCharType="end"/>
      </w:r>
      <w:r w:rsidRPr="00415A32">
        <w:t xml:space="preserve">, p. 21 and </w:t>
      </w:r>
      <w:r>
        <w:fldChar w:fldCharType="begin"/>
      </w:r>
      <w:r w:rsidRPr="00415A32">
        <w:instrText xml:space="preserve"> ADDIN EN.CITE &lt;EndNote&gt;&lt;Cite&gt;&lt;Author&gt;Schaepdrijver&lt;/Author&gt;&lt;Year&gt;2004&lt;/Year&gt;&lt;RecNum&gt;128&lt;/RecNum&gt;&lt;DisplayText&gt;de Schaepdrijver, &lt;style face="italic"&gt;La Belgique&lt;/style&gt;&lt;/DisplayText&gt;&lt;record&gt;&lt;rec-number&gt;128&lt;/rec-number&gt;&lt;foreign-keys&gt;&lt;key app="EN" db-id="2f5rvwawcsv2woetvw35fzwbdvvswerd0err"&gt;128&lt;/key&gt;&lt;/foreign-keys&gt;&lt;ref-type name="Book"&gt;6&lt;/ref-type&gt;&lt;contributors&gt;&lt;authors&gt;&lt;author&gt;de Schaepdrijver, Sophie&lt;/author&gt;&lt;/authors&gt;&lt;/contributors&gt;&lt;titles&gt;&lt;title&gt;La Belgique et la Première Guerre Mondiale&lt;/title&gt;&lt;short-title&gt;La Belgique&lt;/short-title&gt;&lt;/titles&gt;&lt;dates&gt;&lt;year&gt;2004&lt;/year&gt;&lt;/dates&gt;&lt;pub-location&gt;New York&lt;/pub-location&gt;&lt;urls&gt;&lt;/urls&gt;&lt;/record&gt;&lt;/Cite&gt;&lt;/EndNote&gt;</w:instrText>
      </w:r>
      <w:r>
        <w:fldChar w:fldCharType="separate"/>
      </w:r>
      <w:r w:rsidRPr="00415A32">
        <w:rPr>
          <w:noProof/>
        </w:rPr>
        <w:t xml:space="preserve">de Schaepdrijver, </w:t>
      </w:r>
      <w:r w:rsidRPr="00415A32">
        <w:rPr>
          <w:i/>
          <w:noProof/>
        </w:rPr>
        <w:t>La Belgique</w:t>
      </w:r>
      <w:r>
        <w:fldChar w:fldCharType="end"/>
      </w:r>
      <w:r w:rsidRPr="00415A32">
        <w:t>, p. 236.</w:t>
      </w:r>
    </w:p>
  </w:footnote>
  <w:footnote w:id="1004">
    <w:p w14:paraId="2440C815" w14:textId="77777777" w:rsidR="00DE3AC9" w:rsidRPr="00DE3AC9" w:rsidRDefault="00DE3AC9" w:rsidP="0048510E">
      <w:pPr>
        <w:pStyle w:val="FootnoteText"/>
      </w:pPr>
      <w:r>
        <w:rPr>
          <w:rStyle w:val="FootnoteReference"/>
        </w:rPr>
        <w:footnoteRef/>
      </w:r>
      <w:r w:rsidRPr="00DE3AC9">
        <w:t xml:space="preserve"> </w:t>
      </w:r>
      <w:r>
        <w:rPr>
          <w:lang w:val="fr-FR"/>
        </w:rPr>
        <w:fldChar w:fldCharType="begin"/>
      </w:r>
      <w:r w:rsidRPr="00DE3AC9">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rPr>
          <w:lang w:val="fr-FR"/>
        </w:rPr>
        <w:fldChar w:fldCharType="separate"/>
      </w:r>
      <w:r w:rsidRPr="00DE3AC9">
        <w:rPr>
          <w:noProof/>
        </w:rPr>
        <w:t xml:space="preserve">Laska, </w:t>
      </w:r>
      <w:r w:rsidRPr="00DE3AC9">
        <w:rPr>
          <w:i/>
          <w:noProof/>
        </w:rPr>
        <w:t>Presse</w:t>
      </w:r>
      <w:r>
        <w:rPr>
          <w:lang w:val="fr-FR"/>
        </w:rPr>
        <w:fldChar w:fldCharType="end"/>
      </w:r>
      <w:r w:rsidRPr="00DE3AC9">
        <w:t>.</w:t>
      </w:r>
    </w:p>
  </w:footnote>
  <w:footnote w:id="1005">
    <w:p w14:paraId="644882E7" w14:textId="77777777" w:rsidR="00DE3AC9" w:rsidRPr="00DE3AC9" w:rsidRDefault="00DE3AC9" w:rsidP="0048510E">
      <w:pPr>
        <w:pStyle w:val="FootnoteText"/>
      </w:pPr>
      <w:r>
        <w:rPr>
          <w:rStyle w:val="FootnoteReference"/>
        </w:rPr>
        <w:footnoteRef/>
      </w:r>
      <w:r w:rsidRPr="00DE3AC9">
        <w:t xml:space="preserve"> </w:t>
      </w:r>
      <w:r>
        <w:fldChar w:fldCharType="begin"/>
      </w:r>
      <w:r w:rsidRPr="00DE3AC9">
        <w:instrText xml:space="preserve"> ADDIN EN.CITE &lt;EndNote&gt;&lt;Cite&gt;&lt;Author&gt;Corbin&lt;/Author&gt;&lt;Year&gt;2008&lt;/Year&gt;&lt;RecNum&gt;190&lt;/RecNum&gt;&lt;DisplayText&gt;Corbin and Romain, &lt;style face="italic"&gt;La propagande&lt;/style&gt;&lt;/DisplayText&gt;&lt;record&gt;&lt;rec-number&gt;190&lt;/rec-number&gt;&lt;foreign-keys&gt;&lt;key app="EN" db-id="2f5rvwawcsv2woetvw35fzwbdvvswerd0err"&gt;190&lt;/key&gt;&lt;/foreign-keys&gt;&lt;ref-type name="Book Section"&gt;5&lt;/ref-type&gt;&lt;contributors&gt;&lt;authors&gt;&lt;author&gt;Corbin, Stéphane&lt;/author&gt;&lt;author&gt;Romain, Emmanuel&lt;/author&gt;&lt;/authors&gt;&lt;secondary-authors&gt;&lt;author&gt;A. Dorna&lt;/author&gt;&lt;author&gt;J. Quellien&lt;/author&gt;&lt;author&gt;S. Simonnet&lt;/author&gt;&lt;/secondary-authors&gt;&lt;/contributors&gt;&lt;titles&gt;&lt;title&gt;La propagande et l&amp;apos;usurpation de la démocratie&lt;/title&gt;&lt;secondary-title&gt;La propagande: images, paroles et manipulation&lt;/secondary-title&gt;&lt;short-title&gt;La propagande&lt;/short-title&gt;&lt;/titles&gt;&lt;dates&gt;&lt;year&gt;2008&lt;/year&gt;&lt;/dates&gt;&lt;pub-location&gt;Paris&lt;/pub-location&gt;&lt;urls&gt;&lt;/urls&gt;&lt;/record&gt;&lt;/Cite&gt;&lt;/EndNote&gt;</w:instrText>
      </w:r>
      <w:r>
        <w:fldChar w:fldCharType="separate"/>
      </w:r>
      <w:r w:rsidRPr="00DE3AC9">
        <w:rPr>
          <w:noProof/>
        </w:rPr>
        <w:t xml:space="preserve">Corbin and Romain, </w:t>
      </w:r>
      <w:r w:rsidRPr="00DE3AC9">
        <w:rPr>
          <w:i/>
          <w:noProof/>
        </w:rPr>
        <w:t>La propagande</w:t>
      </w:r>
      <w:r>
        <w:fldChar w:fldCharType="end"/>
      </w:r>
      <w:r w:rsidRPr="00DE3AC9">
        <w:t>, p. 41.</w:t>
      </w:r>
    </w:p>
  </w:footnote>
  <w:footnote w:id="1006">
    <w:p w14:paraId="4CD2B760" w14:textId="77777777" w:rsidR="00DE3AC9" w:rsidRPr="0048510E" w:rsidRDefault="00DE3AC9" w:rsidP="0048510E">
      <w:pPr>
        <w:pStyle w:val="FootnoteText"/>
      </w:pPr>
      <w:r>
        <w:rPr>
          <w:rStyle w:val="FootnoteReference"/>
        </w:rPr>
        <w:footnoteRef/>
      </w:r>
      <w:r>
        <w:t xml:space="preserve"> SHD AA: 1A176. Report by Colonel Valantin to the war minister quoting a previous report by General Joffre about aerial propaganda. </w:t>
      </w:r>
      <w:r w:rsidRPr="0048510E">
        <w:t>29 October 1915.</w:t>
      </w:r>
    </w:p>
  </w:footnote>
  <w:footnote w:id="1007">
    <w:p w14:paraId="4AD1C773" w14:textId="77777777" w:rsidR="00DE3AC9" w:rsidRPr="0048510E" w:rsidRDefault="00DE3AC9" w:rsidP="0048510E">
      <w:pPr>
        <w:pStyle w:val="FootnoteText"/>
      </w:pPr>
      <w:r>
        <w:rPr>
          <w:rStyle w:val="FootnoteReference"/>
        </w:rPr>
        <w:footnoteRef/>
      </w:r>
      <w:r w:rsidRPr="0048510E">
        <w:t xml:space="preserve"> </w:t>
      </w:r>
      <w:r>
        <w:rPr>
          <w:lang w:val="fr-FR"/>
        </w:rPr>
        <w:fldChar w:fldCharType="begin"/>
      </w:r>
      <w:r w:rsidRPr="0048510E">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rPr>
          <w:lang w:val="fr-FR"/>
        </w:rPr>
        <w:fldChar w:fldCharType="separate"/>
      </w:r>
      <w:r w:rsidRPr="0048510E">
        <w:rPr>
          <w:noProof/>
        </w:rPr>
        <w:t xml:space="preserve">Hansi and Tonnelat, </w:t>
      </w:r>
      <w:r w:rsidRPr="0048510E">
        <w:rPr>
          <w:i/>
          <w:noProof/>
        </w:rPr>
        <w:t>A travers</w:t>
      </w:r>
      <w:r>
        <w:rPr>
          <w:lang w:val="fr-FR"/>
        </w:rPr>
        <w:fldChar w:fldCharType="end"/>
      </w:r>
      <w:r w:rsidRPr="0048510E">
        <w:t>, pp. 109-110.</w:t>
      </w:r>
    </w:p>
  </w:footnote>
  <w:footnote w:id="1008">
    <w:p w14:paraId="6CDD5DFE" w14:textId="77777777" w:rsidR="00DE3AC9" w:rsidRPr="00A33005" w:rsidRDefault="00DE3AC9" w:rsidP="0048510E">
      <w:pPr>
        <w:pStyle w:val="FootnoteText"/>
      </w:pPr>
      <w:r>
        <w:rPr>
          <w:rStyle w:val="FootnoteReference"/>
        </w:rPr>
        <w:footnoteRef/>
      </w:r>
      <w:r>
        <w:t xml:space="preserve"> </w:t>
      </w:r>
      <w:r w:rsidRPr="00A33005">
        <w:t xml:space="preserve">ASPF AEB: B. 345. </w:t>
      </w:r>
      <w:r>
        <w:t>Various reports between the war minister, the Foreign Office and the BDB. 1915-1917.</w:t>
      </w:r>
    </w:p>
  </w:footnote>
  <w:footnote w:id="1009">
    <w:p w14:paraId="036BC39A" w14:textId="77777777" w:rsidR="00DE3AC9" w:rsidRPr="001575F5" w:rsidRDefault="00DE3AC9" w:rsidP="0048510E">
      <w:pPr>
        <w:pStyle w:val="FootnoteText"/>
        <w:rPr>
          <w:lang w:val="fr-FR"/>
        </w:rPr>
      </w:pPr>
      <w:r>
        <w:rPr>
          <w:rStyle w:val="FootnoteReference"/>
        </w:rPr>
        <w:footnoteRef/>
      </w:r>
      <w:r w:rsidRPr="001575F5">
        <w:rPr>
          <w:lang w:val="fr-FR"/>
        </w:rPr>
        <w:t xml:space="preserve"> </w:t>
      </w:r>
      <w:r>
        <w:fldChar w:fldCharType="begin"/>
      </w:r>
      <w:r>
        <w:rPr>
          <w:lang w:val="fr-FR"/>
        </w:rPr>
        <w:instrText xml:space="preserve"> ADDIN EN.CITE &lt;EndNote&gt;&lt;Cite&gt;&lt;Author&gt;Montant&lt;/Author&gt;&lt;Year&gt;1988&lt;/Year&gt;&lt;RecNum&gt;63&lt;/RecNum&gt;&lt;DisplayText&gt;Montant, &lt;style face="italic"&gt;La propagande&lt;/style&gt;&lt;/DisplayText&gt;&lt;record&gt;&lt;rec-number&gt;63&lt;/rec-number&gt;&lt;foreign-keys&gt;&lt;key app="EN" db-id="2f5rvwawcsv2woetvw35fzwbdvvswerd0err"&gt;63&lt;/key&gt;&lt;/foreign-keys&gt;&lt;ref-type name="Thesis"&gt;32&lt;/ref-type&gt;&lt;contributors&gt;&lt;authors&gt;&lt;author&gt;Montant, Jean-Claude&lt;/author&gt;&lt;/authors&gt;&lt;/contributors&gt;&lt;titles&gt;&lt;title&gt;La propagande extérieure de la France pendant la Première Guerre Mondiale: l&amp;apos;exemple de quelques neutres&lt;/title&gt;&lt;short-title&gt;La propagande&lt;/short-title&gt;&lt;/titles&gt;&lt;volume&gt;PhD&lt;/volume&gt;&lt;dates&gt;&lt;year&gt;1988&lt;/year&gt;&lt;/dates&gt;&lt;publisher&gt;Université de Lille&lt;/publisher&gt;&lt;work-type&gt;PhD Thesis&lt;/work-type&gt;&lt;urls&gt;&lt;/urls&gt;&lt;/record&gt;&lt;/Cite&gt;&lt;/EndNote&gt;</w:instrText>
      </w:r>
      <w:r>
        <w:fldChar w:fldCharType="separate"/>
      </w:r>
      <w:r w:rsidRPr="00126D56">
        <w:rPr>
          <w:noProof/>
          <w:lang w:val="fr-FR"/>
        </w:rPr>
        <w:t xml:space="preserve">Montant, </w:t>
      </w:r>
      <w:r w:rsidRPr="00126D56">
        <w:rPr>
          <w:i/>
          <w:noProof/>
          <w:lang w:val="fr-FR"/>
        </w:rPr>
        <w:t>La propagande</w:t>
      </w:r>
      <w:r>
        <w:fldChar w:fldCharType="end"/>
      </w:r>
      <w:r w:rsidRPr="001575F5">
        <w:rPr>
          <w:lang w:val="fr-FR"/>
        </w:rPr>
        <w:t xml:space="preserve">, p. </w:t>
      </w:r>
      <w:r>
        <w:rPr>
          <w:lang w:val="fr-FR"/>
        </w:rPr>
        <w:t>317.</w:t>
      </w:r>
    </w:p>
  </w:footnote>
  <w:footnote w:id="1010">
    <w:p w14:paraId="583B94D4" w14:textId="77777777" w:rsidR="00DE3AC9" w:rsidRPr="00126D56" w:rsidRDefault="00DE3AC9" w:rsidP="0048510E">
      <w:pPr>
        <w:pStyle w:val="FootnoteText"/>
        <w:rPr>
          <w:lang w:val="fr-FR"/>
        </w:rPr>
      </w:pPr>
      <w:r>
        <w:rPr>
          <w:rStyle w:val="FootnoteReference"/>
        </w:rPr>
        <w:footnoteRef/>
      </w:r>
      <w:r w:rsidRPr="00126D56">
        <w:rPr>
          <w:lang w:val="fr-FR"/>
        </w:rPr>
        <w:t xml:space="preserve"> </w:t>
      </w:r>
      <w:r>
        <w:fldChar w:fldCharType="begin"/>
      </w:r>
      <w:r>
        <w:rPr>
          <w:lang w:val="fr-FR"/>
        </w:rPr>
        <w:instrText xml:space="preserve"> ADDIN EN.CITE &lt;EndNote&gt;&lt;Cite&gt;&lt;Author&gt;Occleshaw&lt;/Author&gt;&lt;Year&gt;1989&lt;/Year&gt;&lt;RecNum&gt;73&lt;/RecNum&gt;&lt;DisplayText&gt;Occleshaw, &lt;style face="italic"&gt;Armour&lt;/style&gt;&lt;/DisplayText&gt;&lt;record&gt;&lt;rec-number&gt;73&lt;/rec-number&gt;&lt;foreign-keys&gt;&lt;key app="EN" db-id="2f5rvwawcsv2woetvw35fzwbdvvswerd0err"&gt;73&lt;/key&gt;&lt;/foreign-keys&gt;&lt;ref-type name="Book"&gt;6&lt;/ref-type&gt;&lt;contributors&gt;&lt;authors&gt;&lt;author&gt;Occleshaw, Michael&lt;/author&gt;&lt;/authors&gt;&lt;/contributors&gt;&lt;titles&gt;&lt;title&gt;Armour against fate: British military intelligence in the First World War&lt;/title&gt;&lt;short-title&gt;Armour&lt;/short-title&gt;&lt;/titles&gt;&lt;dates&gt;&lt;year&gt;1989&lt;/year&gt;&lt;/dates&gt;&lt;pub-location&gt;London&lt;/pub-location&gt;&lt;urls&gt;&lt;/urls&gt;&lt;/record&gt;&lt;/Cite&gt;&lt;/EndNote&gt;</w:instrText>
      </w:r>
      <w:r>
        <w:fldChar w:fldCharType="separate"/>
      </w:r>
      <w:r w:rsidRPr="00126D56">
        <w:rPr>
          <w:noProof/>
          <w:lang w:val="fr-FR"/>
        </w:rPr>
        <w:t xml:space="preserve">Occleshaw, </w:t>
      </w:r>
      <w:r w:rsidRPr="00126D56">
        <w:rPr>
          <w:i/>
          <w:noProof/>
          <w:lang w:val="fr-FR"/>
        </w:rPr>
        <w:t>Armour</w:t>
      </w:r>
      <w:r>
        <w:fldChar w:fldCharType="end"/>
      </w:r>
      <w:r w:rsidRPr="00126D56">
        <w:rPr>
          <w:lang w:val="fr-FR"/>
        </w:rPr>
        <w:t>, p. 303.</w:t>
      </w:r>
    </w:p>
  </w:footnote>
  <w:footnote w:id="1011">
    <w:p w14:paraId="00C97777" w14:textId="77777777" w:rsidR="00DE3AC9" w:rsidRPr="002456C3" w:rsidRDefault="00DE3AC9" w:rsidP="0048510E">
      <w:pPr>
        <w:pStyle w:val="FootnoteText"/>
      </w:pPr>
      <w:r>
        <w:rPr>
          <w:rStyle w:val="FootnoteReference"/>
        </w:rPr>
        <w:footnoteRef/>
      </w:r>
      <w:r w:rsidRPr="002456C3">
        <w:t xml:space="preserve"> </w:t>
      </w:r>
      <w:r>
        <w:t>See chapter one.</w:t>
      </w:r>
    </w:p>
  </w:footnote>
  <w:footnote w:id="1012">
    <w:p w14:paraId="4BF8B9AA" w14:textId="77777777" w:rsidR="00DE3AC9" w:rsidRPr="00952997" w:rsidRDefault="00DE3AC9" w:rsidP="0048510E">
      <w:pPr>
        <w:pStyle w:val="FootnoteText"/>
      </w:pPr>
      <w:r>
        <w:rPr>
          <w:rStyle w:val="FootnoteReference"/>
        </w:rPr>
        <w:footnoteRef/>
      </w:r>
      <w:r w:rsidRPr="00426BBB">
        <w:t xml:space="preserve"> </w:t>
      </w:r>
      <w:r>
        <w:fldChar w:fldCharType="begin"/>
      </w:r>
      <w:r>
        <w:instrText xml:space="preserve"> ADDIN EN.CITE &lt;EndNote&gt;&lt;Cite&gt;&lt;Author&gt;Jones&lt;/Author&gt;&lt;Year&gt;1928&lt;/Year&gt;&lt;RecNum&gt;94&lt;/RecNum&gt;&lt;DisplayText&gt;Jones, &lt;style face="italic"&gt;War in the air&lt;/style&gt;&lt;/DisplayText&gt;&lt;record&gt;&lt;rec-number&gt;94&lt;/rec-number&gt;&lt;foreign-keys&gt;&lt;key app="EN" db-id="2f5rvwawcsv2woetvw35fzwbdvvswerd0err"&gt;94&lt;/key&gt;&lt;/foreign-keys&gt;&lt;ref-type name="Book"&gt;6&lt;/ref-type&gt;&lt;contributors&gt;&lt;authors&gt;&lt;author&gt;Jones, H.&lt;/author&gt;&lt;/authors&gt;&lt;/contributors&gt;&lt;titles&gt;&lt;title&gt;War in the air. Being the story of the part played in the Great War by the Royal Air Force. Volume IV.&lt;/title&gt;&lt;short-title&gt;War in the air&lt;/short-title&gt;&lt;/titles&gt;&lt;dates&gt;&lt;year&gt;1928&lt;/year&gt;&lt;/dates&gt;&lt;pub-location&gt;London&lt;/pub-location&gt;&lt;urls&gt;&lt;/urls&gt;&lt;/record&gt;&lt;/Cite&gt;&lt;/EndNote&gt;</w:instrText>
      </w:r>
      <w:r>
        <w:fldChar w:fldCharType="separate"/>
      </w:r>
      <w:r>
        <w:rPr>
          <w:noProof/>
        </w:rPr>
        <w:t xml:space="preserve">Jones, </w:t>
      </w:r>
      <w:r w:rsidRPr="00126D56">
        <w:rPr>
          <w:i/>
          <w:noProof/>
        </w:rPr>
        <w:t>War in the air</w:t>
      </w:r>
      <w:r>
        <w:fldChar w:fldCharType="end"/>
      </w:r>
      <w:r w:rsidRPr="00952997">
        <w:t>, p. 225.</w:t>
      </w:r>
    </w:p>
  </w:footnote>
  <w:footnote w:id="1013">
    <w:p w14:paraId="1FF799C2" w14:textId="77777777" w:rsidR="00DE3AC9" w:rsidRPr="00A33005" w:rsidRDefault="00DE3AC9" w:rsidP="0048510E">
      <w:pPr>
        <w:pStyle w:val="FootnoteText"/>
      </w:pPr>
      <w:r>
        <w:rPr>
          <w:rStyle w:val="FootnoteReference"/>
        </w:rPr>
        <w:footnoteRef/>
      </w:r>
      <w:r>
        <w:t xml:space="preserve"> See chapter two.</w:t>
      </w:r>
    </w:p>
  </w:footnote>
  <w:footnote w:id="1014">
    <w:p w14:paraId="78D27519" w14:textId="77777777" w:rsidR="00DE3AC9" w:rsidRPr="00CC4EC7" w:rsidRDefault="00DE3AC9" w:rsidP="0048510E">
      <w:pPr>
        <w:pStyle w:val="FootnoteText"/>
      </w:pPr>
      <w:r>
        <w:rPr>
          <w:rStyle w:val="FootnoteReference"/>
        </w:rPr>
        <w:footnoteRef/>
      </w:r>
      <w:r>
        <w:t xml:space="preserve"> </w:t>
      </w:r>
      <w:r>
        <w:rPr>
          <w:i/>
          <w:iCs/>
        </w:rPr>
        <w:t>Occupés</w:t>
      </w:r>
      <w:r>
        <w:t xml:space="preserve"> had mixed feeling about the Parisian press, a fact illustrated in ADHS</w:t>
      </w:r>
      <w:r w:rsidRPr="00CC4EC7">
        <w:t>: 4 M 513.</w:t>
      </w:r>
      <w:r>
        <w:t xml:space="preserve"> Interviews of refugees.</w:t>
      </w:r>
    </w:p>
  </w:footnote>
  <w:footnote w:id="1015">
    <w:p w14:paraId="3CE3472E" w14:textId="77777777" w:rsidR="00DE3AC9" w:rsidRPr="00AA7843" w:rsidRDefault="00DE3AC9" w:rsidP="0048510E">
      <w:pPr>
        <w:pStyle w:val="FootnoteText"/>
      </w:pPr>
      <w:r>
        <w:rPr>
          <w:rStyle w:val="FootnoteReference"/>
        </w:rPr>
        <w:footnoteRef/>
      </w:r>
      <w:r>
        <w:t xml:space="preserve"> </w:t>
      </w:r>
      <w:r>
        <w:fldChar w:fldCharType="begin"/>
      </w:r>
      <w:r>
        <w:instrText xml:space="preserve"> ADDIN EN.CITE &lt;EndNote&gt;&lt;Cite&gt;&lt;Author&gt;Scott&lt;/Author&gt;&lt;Year&gt;2008&lt;/Year&gt;&lt;RecNum&gt;85&lt;/RecNum&gt;&lt;DisplayText&gt;Scott, &lt;style face="italic"&gt;Tea&lt;/style&gt;&lt;/DisplayText&gt;&lt;record&gt;&lt;rec-number&gt;85&lt;/rec-number&gt;&lt;foreign-keys&gt;&lt;key app="EN" db-id="2f5rvwawcsv2woetvw35fzwbdvvswerd0err"&gt;85&lt;/key&gt;&lt;/foreign-keys&gt;&lt;ref-type name="Journal Article"&gt;17&lt;/ref-type&gt;&lt;contributors&gt;&lt;authors&gt;&lt;author&gt;Scott, Peter&lt;/author&gt;&lt;/authors&gt;&lt;/contributors&gt;&lt;titles&gt;&lt;title&gt;Tea at the De Keyser Hotel - Edward Heron-Allen&amp;apos;s colleagues at MI7(b)&lt;/title&gt;&lt;secondary-title&gt;Opuscullum Heron-Allen Society&lt;/secondary-title&gt;&lt;short-title&gt;Tea&lt;/short-title&gt;&lt;/titles&gt;&lt;periodical&gt;&lt;full-title&gt;Opuscullum Heron-Allen Society&lt;/full-title&gt;&lt;/periodical&gt;&lt;volume&gt;XII&lt;/volume&gt;&lt;dates&gt;&lt;year&gt;2008&lt;/year&gt;&lt;/dates&gt;&lt;urls&gt;&lt;/urls&gt;&lt;/record&gt;&lt;/Cite&gt;&lt;/EndNote&gt;</w:instrText>
      </w:r>
      <w:r>
        <w:fldChar w:fldCharType="separate"/>
      </w:r>
      <w:r>
        <w:rPr>
          <w:noProof/>
        </w:rPr>
        <w:t xml:space="preserve">Scott, </w:t>
      </w:r>
      <w:r w:rsidRPr="00126D56">
        <w:rPr>
          <w:i/>
          <w:noProof/>
        </w:rPr>
        <w:t>Tea</w:t>
      </w:r>
      <w:r>
        <w:fldChar w:fldCharType="end"/>
      </w:r>
      <w:r>
        <w:t>, pp. 30-41.</w:t>
      </w:r>
    </w:p>
  </w:footnote>
  <w:footnote w:id="1016">
    <w:p w14:paraId="762E765E" w14:textId="77777777" w:rsidR="00DE3AC9" w:rsidRPr="00E448CC" w:rsidRDefault="00DE3AC9" w:rsidP="0048510E">
      <w:pPr>
        <w:pStyle w:val="FootnoteText"/>
      </w:pPr>
      <w:r>
        <w:rPr>
          <w:rStyle w:val="FootnoteReference"/>
        </w:rPr>
        <w:footnoteRef/>
      </w:r>
      <w:r>
        <w:t xml:space="preserve"> See </w:t>
      </w:r>
      <w:r>
        <w:rPr>
          <w:i/>
          <w:iCs/>
        </w:rPr>
        <w:t>‘t Kerelsblad</w:t>
      </w:r>
      <w:r>
        <w:t>, 1917.</w:t>
      </w:r>
    </w:p>
  </w:footnote>
  <w:footnote w:id="1017">
    <w:p w14:paraId="6F7FD900" w14:textId="77777777" w:rsidR="00DE3AC9" w:rsidRPr="00EF59E8" w:rsidRDefault="00DE3AC9" w:rsidP="0048510E">
      <w:pPr>
        <w:pStyle w:val="FootnoteText"/>
      </w:pPr>
      <w:r>
        <w:rPr>
          <w:rStyle w:val="FootnoteReference"/>
        </w:rPr>
        <w:footnoteRef/>
      </w:r>
      <w:r w:rsidRPr="00EF59E8">
        <w:t xml:space="preserve"> </w:t>
      </w:r>
      <w:r>
        <w:fldChar w:fldCharType="begin"/>
      </w:r>
      <w:r w:rsidRPr="00EF59E8">
        <w:instrText xml:space="preserve"> ADDIN EN.CITE &lt;EndNote&gt;&lt;Cite&gt;&lt;Author&gt;Hansi&lt;/Author&gt;&lt;Year&gt;1922&lt;/Year&gt;&lt;RecNum&gt;19&lt;/RecNum&gt;&lt;DisplayText&gt;Hansi and Tonnelat, &lt;style face="italic"&gt;A travers&lt;/style&gt;&lt;/DisplayText&gt;&lt;record&gt;&lt;rec-number&gt;19&lt;/rec-number&gt;&lt;foreign-keys&gt;&lt;key app="EN" db-id="2f5rvwawcsv2woetvw35fzwbdvvswerd0err"&gt;19&lt;/key&gt;&lt;/foreign-keys&gt;&lt;ref-type name="Book"&gt;6&lt;/ref-type&gt;&lt;contributors&gt;&lt;authors&gt;&lt;author&gt;Hansi &lt;/author&gt;&lt;author&gt;Tonnelat, Ernest&lt;/author&gt;&lt;/authors&gt;&lt;/contributors&gt;&lt;titles&gt;&lt;title&gt;A travers les lignes ennemies: trois années d’offensive contre le moral allemand&lt;/title&gt;&lt;short-title&gt;A travers&lt;/short-title&gt;&lt;/titles&gt;&lt;dates&gt;&lt;year&gt;1922&lt;/year&gt;&lt;/dates&gt;&lt;pub-location&gt;Paris&lt;/pub-location&gt;&lt;publisher&gt;Payot&lt;/publisher&gt;&lt;urls&gt;&lt;/urls&gt;&lt;/record&gt;&lt;/Cite&gt;&lt;/EndNote&gt;</w:instrText>
      </w:r>
      <w:r>
        <w:fldChar w:fldCharType="separate"/>
      </w:r>
      <w:r w:rsidRPr="00EF59E8">
        <w:rPr>
          <w:noProof/>
        </w:rPr>
        <w:t xml:space="preserve">Hansi and Tonnelat, </w:t>
      </w:r>
      <w:r w:rsidRPr="00EF59E8">
        <w:rPr>
          <w:i/>
          <w:noProof/>
        </w:rPr>
        <w:t>A travers</w:t>
      </w:r>
      <w:r>
        <w:fldChar w:fldCharType="end"/>
      </w:r>
      <w:r w:rsidRPr="00EF59E8">
        <w:t>, pp. 110-111.</w:t>
      </w:r>
    </w:p>
  </w:footnote>
  <w:footnote w:id="1018">
    <w:p w14:paraId="16B4C1B9" w14:textId="77777777" w:rsidR="00DE3AC9" w:rsidRPr="00A33005" w:rsidRDefault="00DE3AC9" w:rsidP="0048510E">
      <w:pPr>
        <w:pStyle w:val="FootnoteText"/>
      </w:pPr>
      <w:r>
        <w:rPr>
          <w:rStyle w:val="FootnoteReference"/>
        </w:rPr>
        <w:footnoteRef/>
      </w:r>
      <w:r>
        <w:t xml:space="preserve"> </w:t>
      </w:r>
      <w:r>
        <w:fldChar w:fldCharType="begin"/>
      </w:r>
      <w:r>
        <w:instrText xml:space="preserve"> ADDIN EN.CITE &lt;EndNote&gt;&lt;Cite&gt;&lt;Year&gt;1996&lt;/Year&gt;&lt;RecNum&gt;130&lt;/RecNum&gt;&lt;DisplayText&gt;Becker, &lt;style face="italic"&gt;Life&lt;/style&gt;&lt;/DisplayText&gt;&lt;record&gt;&lt;rec-number&gt;130&lt;/rec-number&gt;&lt;foreign-keys&gt;&lt;key app="EN" db-id="2f5rvwawcsv2woetvw35fzwbdvvswerd0err"&gt;130&lt;/key&gt;&lt;/foreign-keys&gt;&lt;ref-type name="Book Section"&gt;5&lt;/ref-type&gt;&lt;contributors&gt;&lt;authors&gt;&lt;author&gt;Becker, Annette&lt;/author&gt;&lt;/authors&gt;&lt;secondary-authors&gt;&lt;author&gt;H. Cecil&lt;/author&gt;&lt;author&gt;P. Liddle&lt;/author&gt;&lt;/secondary-authors&gt;&lt;/contributors&gt;&lt;titles&gt;&lt;title&gt;Life in occupied zone: Lille, Roubaix, Tourcoing&lt;/title&gt;&lt;secondary-title&gt;Facing Armageddon: the First World War experienced&lt;/secondary-title&gt;&lt;short-title&gt;Life&lt;/short-title&gt;&lt;/titles&gt;&lt;dates&gt;&lt;year&gt;1996&lt;/year&gt;&lt;/dates&gt;&lt;pub-location&gt;London&lt;/pub-location&gt;&lt;urls&gt;&lt;/urls&gt;&lt;/record&gt;&lt;/Cite&gt;&lt;/EndNote&gt;</w:instrText>
      </w:r>
      <w:r>
        <w:fldChar w:fldCharType="separate"/>
      </w:r>
      <w:r>
        <w:rPr>
          <w:noProof/>
        </w:rPr>
        <w:t xml:space="preserve">Becker, </w:t>
      </w:r>
      <w:r w:rsidRPr="00126D56">
        <w:rPr>
          <w:i/>
          <w:noProof/>
        </w:rPr>
        <w:t>Life</w:t>
      </w:r>
      <w:r>
        <w:fldChar w:fldCharType="end"/>
      </w:r>
      <w:r>
        <w:t xml:space="preserve"> p. 630.</w:t>
      </w:r>
    </w:p>
  </w:footnote>
  <w:footnote w:id="1019">
    <w:p w14:paraId="2F789F43" w14:textId="77777777" w:rsidR="00DE3AC9" w:rsidRPr="007C3DB8" w:rsidRDefault="00DE3AC9" w:rsidP="0048510E">
      <w:pPr>
        <w:pStyle w:val="FootnoteText"/>
      </w:pPr>
      <w:r>
        <w:rPr>
          <w:rStyle w:val="FootnoteReference"/>
        </w:rPr>
        <w:footnoteRef/>
      </w:r>
      <w:r w:rsidRPr="007C3DB8">
        <w:t xml:space="preserve"> </w:t>
      </w:r>
      <w:r>
        <w:rPr>
          <w:lang w:val="fr-BE"/>
        </w:rPr>
        <w:fldChar w:fldCharType="begin"/>
      </w:r>
      <w:r w:rsidRPr="007C3DB8">
        <w:instrText xml:space="preserve"> ADDIN EN.CITE &lt;EndNote&gt;&lt;Cite&gt;&lt;Author&gt;Horne&lt;/Author&gt;&lt;Year&gt;1987&lt;/Year&gt;&lt;RecNum&gt;137&lt;/RecNum&gt;&lt;DisplayText&gt;Horne, &lt;style face="italic"&gt;Information&lt;/style&gt;&lt;/DisplayText&gt;&lt;record&gt;&lt;rec-number&gt;137&lt;/rec-number&gt;&lt;foreign-keys&gt;&lt;key app="EN" db-id="2f5rvwawcsv2woetvw35fzwbdvvswerd0err"&gt;137&lt;/key&gt;&lt;/foreign-keys&gt;&lt;ref-type name="Book Section"&gt;5&lt;/ref-type&gt;&lt;contributors&gt;&lt;authors&gt;&lt;author&gt;Horne, John&lt;/author&gt;&lt;/authors&gt;&lt;secondary-authors&gt;&lt;author&gt;Laurent Gervereau&lt;/author&gt;&lt;author&gt;Christophe Prochasson&lt;/author&gt;&lt;/secondary-authors&gt;&lt;/contributors&gt;&lt;titles&gt;&lt;title&gt;Information, opinion publique et l&amp;apos;offensive de Nivelles du 16 avril 1917&lt;/title&gt;&lt;secondary-title&gt;Images de 1917&lt;/secondary-title&gt;&lt;short-title&gt;Information&lt;/short-title&gt;&lt;/titles&gt;&lt;dates&gt;&lt;year&gt;1987&lt;/year&gt;&lt;/dates&gt;&lt;pub-location&gt;Paris and Nanterre&lt;/pub-location&gt;&lt;urls&gt;&lt;/urls&gt;&lt;/record&gt;&lt;/Cite&gt;&lt;/EndNote&gt;</w:instrText>
      </w:r>
      <w:r>
        <w:rPr>
          <w:lang w:val="fr-BE"/>
        </w:rPr>
        <w:fldChar w:fldCharType="separate"/>
      </w:r>
      <w:r w:rsidRPr="007C3DB8">
        <w:rPr>
          <w:noProof/>
        </w:rPr>
        <w:t xml:space="preserve">Horne, </w:t>
      </w:r>
      <w:r w:rsidRPr="007C3DB8">
        <w:rPr>
          <w:i/>
          <w:noProof/>
        </w:rPr>
        <w:t>Information</w:t>
      </w:r>
      <w:r>
        <w:rPr>
          <w:lang w:val="fr-BE"/>
        </w:rPr>
        <w:fldChar w:fldCharType="end"/>
      </w:r>
      <w:r w:rsidRPr="007C3DB8">
        <w:t xml:space="preserve"> pp. 72-80.</w:t>
      </w:r>
    </w:p>
  </w:footnote>
  <w:footnote w:id="1020">
    <w:p w14:paraId="4182AB00" w14:textId="77777777" w:rsidR="00DE3AC9" w:rsidRPr="00A33005" w:rsidRDefault="00DE3AC9" w:rsidP="0048510E">
      <w:pPr>
        <w:pStyle w:val="FootnoteText"/>
      </w:pPr>
      <w:r>
        <w:rPr>
          <w:rStyle w:val="FootnoteReference"/>
        </w:rPr>
        <w:footnoteRef/>
      </w:r>
      <w:r>
        <w:t xml:space="preserve"> See for example </w:t>
      </w:r>
      <w:r w:rsidRPr="00041A1F">
        <w:rPr>
          <w:i/>
          <w:iCs/>
        </w:rPr>
        <w:t>La Gazette des Ardennes</w:t>
      </w:r>
      <w:r w:rsidRPr="00041A1F">
        <w:t>, 24 April 1917.</w:t>
      </w:r>
    </w:p>
  </w:footnote>
  <w:footnote w:id="1021">
    <w:p w14:paraId="4CE6FAC9" w14:textId="4B753820" w:rsidR="00DE3AC9" w:rsidRPr="00A33005" w:rsidRDefault="00DE3AC9" w:rsidP="00680B9F">
      <w:pPr>
        <w:pStyle w:val="FootnoteText"/>
      </w:pPr>
      <w:r>
        <w:rPr>
          <w:rStyle w:val="FootnoteReference"/>
        </w:rPr>
        <w:footnoteRef/>
      </w:r>
      <w:r>
        <w:t xml:space="preserve"> As shown in chapter five.</w:t>
      </w:r>
    </w:p>
  </w:footnote>
  <w:footnote w:id="1022">
    <w:p w14:paraId="542FDE6A" w14:textId="77777777" w:rsidR="00DE3AC9" w:rsidRPr="00DE3AC9" w:rsidRDefault="00DE3AC9" w:rsidP="0048510E">
      <w:pPr>
        <w:pStyle w:val="FootnoteText"/>
        <w:rPr>
          <w:lang w:val="fr-FR"/>
        </w:rPr>
      </w:pPr>
      <w:r>
        <w:rPr>
          <w:rStyle w:val="FootnoteReference"/>
        </w:rPr>
        <w:footnoteRef/>
      </w:r>
      <w:r w:rsidRPr="00DE3AC9">
        <w:rPr>
          <w:lang w:val="fr-FR"/>
        </w:rPr>
        <w:t xml:space="preserve"> See for example </w:t>
      </w:r>
      <w:r w:rsidRPr="00DE3AC9">
        <w:rPr>
          <w:i/>
          <w:iCs/>
          <w:lang w:val="fr-FR"/>
        </w:rPr>
        <w:t>La Gazette des Ardennes</w:t>
      </w:r>
      <w:r w:rsidRPr="00DE3AC9">
        <w:rPr>
          <w:lang w:val="fr-FR"/>
        </w:rPr>
        <w:t xml:space="preserve">, 29 November 1914 and </w:t>
      </w:r>
      <w:r>
        <w:rPr>
          <w:lang w:val="fr-FR"/>
        </w:rPr>
        <w:fldChar w:fldCharType="begin"/>
      </w:r>
      <w:r w:rsidRPr="00DE3AC9">
        <w:rPr>
          <w:lang w:val="fr-FR"/>
        </w:rPr>
        <w:instrText xml:space="preserve"> ADDIN EN.CITE &lt;EndNote&gt;&lt;Cite&gt;&lt;Author&gt;Stibbe&lt;/Author&gt;&lt;Year&gt;2001&lt;/Year&gt;&lt;RecNum&gt;33&lt;/RecNum&gt;&lt;DisplayText&gt;Stibbe, &lt;style face="italic"&gt;German Anglophobia&lt;/style&gt;&lt;/DisplayText&gt;&lt;record&gt;&lt;rec-number&gt;33&lt;/rec-number&gt;&lt;foreign-keys&gt;&lt;key app="EN" db-id="2f5rvwawcsv2woetvw35fzwbdvvswerd0err"&gt;33&lt;/key&gt;&lt;/foreign-keys&gt;&lt;ref-type name="Book"&gt;6&lt;/ref-type&gt;&lt;contributors&gt;&lt;authors&gt;&lt;author&gt;Stibbe, Matthew&lt;/author&gt;&lt;/authors&gt;&lt;/contributors&gt;&lt;titles&gt;&lt;title&gt;German Anglophobia and the Great War, 1914-1918&lt;/title&gt;&lt;short-title&gt;German Anglophobia&lt;/short-title&gt;&lt;/titles&gt;&lt;dates&gt;&lt;year&gt;2001&lt;/year&gt;&lt;/dates&gt;&lt;pub-location&gt;Cambridge&lt;/pub-location&gt;&lt;publisher&gt;Cambridge University Press&lt;/publisher&gt;&lt;urls&gt;&lt;/urls&gt;&lt;/record&gt;&lt;/Cite&gt;&lt;/EndNote&gt;</w:instrText>
      </w:r>
      <w:r>
        <w:rPr>
          <w:lang w:val="fr-FR"/>
        </w:rPr>
        <w:fldChar w:fldCharType="separate"/>
      </w:r>
      <w:r w:rsidRPr="00DE3AC9">
        <w:rPr>
          <w:noProof/>
          <w:lang w:val="fr-FR"/>
        </w:rPr>
        <w:t xml:space="preserve">Stibbe, </w:t>
      </w:r>
      <w:r w:rsidRPr="00DE3AC9">
        <w:rPr>
          <w:i/>
          <w:noProof/>
          <w:lang w:val="fr-FR"/>
        </w:rPr>
        <w:t>German Anglophobia</w:t>
      </w:r>
      <w:r>
        <w:rPr>
          <w:lang w:val="fr-FR"/>
        </w:rPr>
        <w:fldChar w:fldCharType="end"/>
      </w:r>
      <w:r w:rsidRPr="00DE3AC9">
        <w:rPr>
          <w:lang w:val="fr-FR"/>
        </w:rPr>
        <w:t>.</w:t>
      </w:r>
    </w:p>
  </w:footnote>
  <w:footnote w:id="1023">
    <w:p w14:paraId="4B7469D7"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Pr>
          <w:lang w:val="fr-FR"/>
        </w:rPr>
        <w:fldChar w:fldCharType="begin"/>
      </w:r>
      <w:r w:rsidRPr="00DE3AC9">
        <w:rPr>
          <w:lang w:val="fr-FR"/>
        </w:rPr>
        <w:instrText xml:space="preserve"> ADDIN EN.CITE &lt;EndNote&gt;&lt;Cite&gt;&lt;Author&gt;Taylor&lt;/Author&gt;&lt;Year&gt;1995&lt;/Year&gt;&lt;RecNum&gt;7&lt;/RecNum&gt;&lt;DisplayText&gt;Taylor, &lt;style face="italic"&gt;Munitions&lt;/style&gt;&lt;/DisplayText&gt;&lt;record&gt;&lt;rec-number&gt;7&lt;/rec-number&gt;&lt;foreign-keys&gt;&lt;key app="EN" db-id="2f5rvwawcsv2woetvw35fzwbdvvswerd0err"&gt;7&lt;/key&gt;&lt;/foreign-keys&gt;&lt;ref-type name="Book"&gt;6&lt;/ref-type&gt;&lt;contributors&gt;&lt;authors&gt;&lt;author&gt;Taylor, Philip&lt;/author&gt;&lt;/authors&gt;&lt;/contributors&gt;&lt;titles&gt;&lt;title&gt;Munitions of the mind : a history of propaganda from the ancient world to the present era&lt;/title&gt;&lt;short-title&gt;Munitions&lt;/short-title&gt;&lt;/titles&gt;&lt;keywords&gt;&lt;keyword&gt;Military history.&lt;/keyword&gt;&lt;keyword&gt;Propaganda History.&lt;/keyword&gt;&lt;/keywords&gt;&lt;dates&gt;&lt;year&gt;1995&lt;/year&gt;&lt;/dates&gt;&lt;pub-location&gt;Manchester&lt;/pub-location&gt;&lt;publisher&gt;Manchester University Press&lt;/publisher&gt;&lt;isbn&gt;071904829X (alk. paper)&amp;#xD;0719048303 (pbk. alk. paper)&lt;/isbn&gt;&lt;accession-num&gt;3505305&lt;/accession-num&gt;&lt;call-num&gt;Jefferson or Adams Building Reading Rooms D25.5; .T39 1995&lt;/call-num&gt;&lt;urls&gt;&lt;/urls&gt;&lt;/record&gt;&lt;/Cite&gt;&lt;/EndNote&gt;</w:instrText>
      </w:r>
      <w:r>
        <w:rPr>
          <w:lang w:val="fr-FR"/>
        </w:rPr>
        <w:fldChar w:fldCharType="separate"/>
      </w:r>
      <w:r w:rsidRPr="00DE3AC9">
        <w:rPr>
          <w:noProof/>
          <w:lang w:val="fr-FR"/>
        </w:rPr>
        <w:t xml:space="preserve">Taylor, </w:t>
      </w:r>
      <w:r w:rsidRPr="00DE3AC9">
        <w:rPr>
          <w:i/>
          <w:noProof/>
          <w:lang w:val="fr-FR"/>
        </w:rPr>
        <w:t>Munitions</w:t>
      </w:r>
      <w:r>
        <w:rPr>
          <w:lang w:val="fr-FR"/>
        </w:rPr>
        <w:fldChar w:fldCharType="end"/>
      </w:r>
      <w:r w:rsidRPr="00DE3AC9">
        <w:rPr>
          <w:lang w:val="fr-FR"/>
        </w:rPr>
        <w:t>, p. 176.</w:t>
      </w:r>
    </w:p>
  </w:footnote>
  <w:footnote w:id="1024">
    <w:p w14:paraId="4C0D3512" w14:textId="77777777" w:rsidR="00DE3AC9" w:rsidRPr="00DE3AC9" w:rsidRDefault="00DE3AC9" w:rsidP="0048510E">
      <w:pPr>
        <w:pStyle w:val="FootnoteText"/>
        <w:rPr>
          <w:lang w:val="fr-FR"/>
        </w:rPr>
      </w:pPr>
      <w:r>
        <w:rPr>
          <w:rStyle w:val="FootnoteReference"/>
        </w:rPr>
        <w:footnoteRef/>
      </w:r>
      <w:r w:rsidRPr="00DE3AC9">
        <w:rPr>
          <w:lang w:val="fr-FR"/>
        </w:rPr>
        <w:t xml:space="preserve"> </w:t>
      </w:r>
      <w:r w:rsidRPr="00DE3AC9">
        <w:rPr>
          <w:i/>
          <w:iCs/>
          <w:lang w:val="fr-FR"/>
        </w:rPr>
        <w:t>Le Courrier de l’Air</w:t>
      </w:r>
      <w:r w:rsidRPr="00DE3AC9">
        <w:rPr>
          <w:lang w:val="fr-FR"/>
        </w:rPr>
        <w:t>, 10 October 1918.</w:t>
      </w:r>
    </w:p>
  </w:footnote>
  <w:footnote w:id="1025">
    <w:p w14:paraId="31B9D6D2" w14:textId="77777777" w:rsidR="00DE3AC9" w:rsidRPr="005C2D23" w:rsidRDefault="00DE3AC9" w:rsidP="005C7BEE">
      <w:pPr>
        <w:pStyle w:val="FootnoteText"/>
        <w:rPr>
          <w:lang w:val="fr-FR"/>
        </w:rPr>
      </w:pPr>
      <w:r>
        <w:rPr>
          <w:rStyle w:val="FootnoteReference"/>
        </w:rPr>
        <w:footnoteRef/>
      </w:r>
      <w:r w:rsidRPr="005C2D23">
        <w:rPr>
          <w:lang w:val="fr-FR"/>
        </w:rPr>
        <w:t xml:space="preserve"> </w:t>
      </w:r>
      <w:r>
        <w:rPr>
          <w:lang w:val="fr-FR"/>
        </w:rPr>
        <w:fldChar w:fldCharType="begin"/>
      </w:r>
      <w:r>
        <w:rPr>
          <w:lang w:val="fr-FR"/>
        </w:rPr>
        <w:instrText xml:space="preserve"> ADDIN EN.CITE &lt;EndNote&gt;&lt;Cite&gt;&lt;Author&gt;Mayeur&lt;/Author&gt;&lt;Year&gt;1984&lt;/Year&gt;&lt;RecNum&gt;197&lt;/RecNum&gt;&lt;DisplayText&gt;Mayeur, &lt;style face="italic"&gt;La vie politique&lt;/style&gt;&lt;/DisplayText&gt;&lt;record&gt;&lt;rec-number&gt;197&lt;/rec-number&gt;&lt;foreign-keys&gt;&lt;key app="EN" db-id="2f5rvwawcsv2woetvw35fzwbdvvswerd0err"&gt;197&lt;/key&gt;&lt;/foreign-keys&gt;&lt;ref-type name="Book"&gt;6&lt;/ref-type&gt;&lt;contributors&gt;&lt;authors&gt;&lt;author&gt;Mayeur, Jean-Marie&lt;/author&gt;&lt;/authors&gt;&lt;/contributors&gt;&lt;titles&gt;&lt;title&gt;La vie politique sous la Troisième République 1870-1940&lt;/title&gt;&lt;short-title&gt;La vie politique&lt;/short-title&gt;&lt;/titles&gt;&lt;dates&gt;&lt;year&gt;1984&lt;/year&gt;&lt;/dates&gt;&lt;pub-location&gt;Paris&lt;/pub-location&gt;&lt;urls&gt;&lt;/urls&gt;&lt;/record&gt;&lt;/Cite&gt;&lt;/EndNote&gt;</w:instrText>
      </w:r>
      <w:r>
        <w:rPr>
          <w:lang w:val="fr-FR"/>
        </w:rPr>
        <w:fldChar w:fldCharType="separate"/>
      </w:r>
      <w:r>
        <w:rPr>
          <w:noProof/>
          <w:lang w:val="fr-FR"/>
        </w:rPr>
        <w:t xml:space="preserve">Mayeur, </w:t>
      </w:r>
      <w:r w:rsidRPr="005C7BEE">
        <w:rPr>
          <w:i/>
          <w:noProof/>
          <w:lang w:val="fr-FR"/>
        </w:rPr>
        <w:t>La vie politique</w:t>
      </w:r>
      <w:r>
        <w:rPr>
          <w:lang w:val="fr-FR"/>
        </w:rPr>
        <w:fldChar w:fldCharType="end"/>
      </w:r>
      <w:r>
        <w:rPr>
          <w:lang w:val="fr-FR"/>
        </w:rPr>
        <w:t>, pp. 240-243.</w:t>
      </w:r>
    </w:p>
  </w:footnote>
  <w:footnote w:id="1026">
    <w:p w14:paraId="4173039E" w14:textId="77777777" w:rsidR="00DE3AC9" w:rsidRPr="00D304F3" w:rsidRDefault="00DE3AC9" w:rsidP="0048510E">
      <w:pPr>
        <w:pStyle w:val="FootnoteText"/>
        <w:rPr>
          <w:lang w:val="fr-FR"/>
        </w:rPr>
      </w:pPr>
      <w:r>
        <w:rPr>
          <w:rStyle w:val="FootnoteReference"/>
        </w:rPr>
        <w:footnoteRef/>
      </w:r>
      <w:r w:rsidRPr="005C2D23">
        <w:rPr>
          <w:lang w:val="fr-FR"/>
        </w:rPr>
        <w:t xml:space="preserve"> </w:t>
      </w:r>
      <w:r>
        <w:rPr>
          <w:i/>
          <w:iCs/>
          <w:lang w:val="fr-FR"/>
        </w:rPr>
        <w:t>La Voix du Pays</w:t>
      </w:r>
      <w:r>
        <w:rPr>
          <w:lang w:val="fr-FR"/>
        </w:rPr>
        <w:t xml:space="preserve">, 25 September 1917 and </w:t>
      </w:r>
      <w:r>
        <w:rPr>
          <w:i/>
          <w:iCs/>
          <w:lang w:val="fr-FR"/>
        </w:rPr>
        <w:t>Le Courrier de l’Air</w:t>
      </w:r>
      <w:r>
        <w:rPr>
          <w:lang w:val="fr-FR"/>
        </w:rPr>
        <w:t>, 21 December 1917.</w:t>
      </w:r>
    </w:p>
  </w:footnote>
  <w:footnote w:id="1027">
    <w:p w14:paraId="745E8941" w14:textId="77777777" w:rsidR="00DE3AC9" w:rsidRPr="003A3B38" w:rsidRDefault="00DE3AC9" w:rsidP="0048510E">
      <w:pPr>
        <w:pStyle w:val="FootnoteText"/>
        <w:rPr>
          <w:lang w:val="fr-FR"/>
        </w:rPr>
      </w:pPr>
      <w:r>
        <w:rPr>
          <w:rStyle w:val="FootnoteReference"/>
        </w:rPr>
        <w:footnoteRef/>
      </w:r>
      <w:r w:rsidRPr="003A3B38">
        <w:rPr>
          <w:lang w:val="fr-FR"/>
        </w:rPr>
        <w:t xml:space="preserve"> See chapter six.</w:t>
      </w:r>
    </w:p>
  </w:footnote>
  <w:footnote w:id="1028">
    <w:p w14:paraId="69C4800B" w14:textId="77777777" w:rsidR="00DE3AC9" w:rsidRPr="00020527" w:rsidRDefault="00DE3AC9" w:rsidP="0048510E">
      <w:pPr>
        <w:pStyle w:val="FootnoteText"/>
        <w:rPr>
          <w:lang w:val="fr-FR"/>
        </w:rPr>
      </w:pPr>
      <w:r>
        <w:rPr>
          <w:rStyle w:val="FootnoteReference"/>
        </w:rPr>
        <w:footnoteRef/>
      </w:r>
      <w:r w:rsidRPr="00020527">
        <w:rPr>
          <w:lang w:val="fr-FR"/>
        </w:rPr>
        <w:t xml:space="preserve"> </w:t>
      </w:r>
      <w:r>
        <w:rPr>
          <w:lang w:val="fr-FR"/>
        </w:rPr>
        <w:fldChar w:fldCharType="begin"/>
      </w:r>
      <w:r>
        <w:rPr>
          <w:lang w:val="fr-FR"/>
        </w:rPr>
        <w:instrText xml:space="preserve"> ADDIN EN.CITE &lt;EndNote&gt;&lt;Cite&gt;&lt;Author&gt;Le Naour&lt;/Author&gt;&lt;Year&gt;2006&lt;/Year&gt;&lt;RecNum&gt;245&lt;/RecNum&gt;&lt;DisplayText&gt;Le Naour, &lt;style face="italic"&gt;&amp;quot;Bouffer du Boche&amp;quot;&lt;/style&gt;&lt;/DisplayText&gt;&lt;record&gt;&lt;rec-number&gt;245&lt;/rec-number&gt;&lt;foreign-keys&gt;&lt;key app="EN" db-id="2f5rvwawcsv2woetvw35fzwbdvvswerd0err"&gt;245&lt;/key&gt;&lt;/foreign-keys&gt;&lt;ref-type name="Journal Article"&gt;17&lt;/ref-type&gt;&lt;contributors&gt;&lt;authors&gt;&lt;author&gt;Le Naour, Jean-Yves&lt;/author&gt;&lt;/authors&gt;&lt;/contributors&gt;&lt;titles&gt;&lt;title&gt;&amp;quot;Bouffer du Boche&amp;quot;. Animalisation, scatologie et cannibalisme dans la caricature française de la Grande Guerre&lt;/title&gt;&lt;secondary-title&gt;Quasimodo&lt;/secondary-title&gt;&lt;short-title&gt;&amp;quot;Bouffer du Boche&amp;quot;&lt;/short-title&gt;&lt;/titles&gt;&lt;periodical&gt;&lt;full-title&gt;Quasimodo&lt;/full-title&gt;&lt;/periodical&gt;&lt;volume&gt;8&lt;/volume&gt;&lt;dates&gt;&lt;year&gt;2006&lt;/year&gt;&lt;/dates&gt;&lt;urls&gt;&lt;/urls&gt;&lt;/record&gt;&lt;/Cite&gt;&lt;/EndNote&gt;</w:instrText>
      </w:r>
      <w:r>
        <w:rPr>
          <w:lang w:val="fr-FR"/>
        </w:rPr>
        <w:fldChar w:fldCharType="separate"/>
      </w:r>
      <w:r>
        <w:rPr>
          <w:noProof/>
          <w:lang w:val="fr-FR"/>
        </w:rPr>
        <w:t xml:space="preserve">Le Naour, </w:t>
      </w:r>
      <w:r w:rsidRPr="00126D56">
        <w:rPr>
          <w:i/>
          <w:noProof/>
          <w:lang w:val="fr-FR"/>
        </w:rPr>
        <w:t>"Bouffer du Boche"</w:t>
      </w:r>
      <w:r>
        <w:rPr>
          <w:lang w:val="fr-FR"/>
        </w:rPr>
        <w:fldChar w:fldCharType="end"/>
      </w:r>
      <w:r>
        <w:rPr>
          <w:lang w:val="fr-FR"/>
        </w:rPr>
        <w:t>pp. 255-261.</w:t>
      </w:r>
    </w:p>
  </w:footnote>
  <w:footnote w:id="1029">
    <w:p w14:paraId="32710289" w14:textId="77777777" w:rsidR="00DE3AC9" w:rsidRPr="00020527" w:rsidRDefault="00DE3AC9" w:rsidP="0048510E">
      <w:pPr>
        <w:pStyle w:val="FootnoteText"/>
      </w:pPr>
      <w:r>
        <w:rPr>
          <w:rStyle w:val="FootnoteReference"/>
        </w:rPr>
        <w:footnoteRef/>
      </w:r>
      <w:r>
        <w:t xml:space="preserve"> </w:t>
      </w:r>
      <w:r>
        <w:rPr>
          <w:lang w:val="fr-FR"/>
        </w:rPr>
        <w:fldChar w:fldCharType="begin"/>
      </w:r>
      <w:r>
        <w:instrText xml:space="preserve"> ADDIN EN.CITE &lt;EndNote&gt;&lt;Cite&gt;&lt;Author&gt;Gay&lt;/Author&gt;&lt;Year&gt;1993&lt;/Year&gt;&lt;RecNum&gt;162&lt;/RecNum&gt;&lt;DisplayText&gt;Gay, &lt;style face="italic"&gt;The cultivation&lt;/style&gt;&lt;/DisplayText&gt;&lt;record&gt;&lt;rec-number&gt;162&lt;/rec-number&gt;&lt;foreign-keys&gt;&lt;key app="EN" db-id="2f5rvwawcsv2woetvw35fzwbdvvswerd0err"&gt;162&lt;/key&gt;&lt;/foreign-keys&gt;&lt;ref-type name="Book"&gt;6&lt;/ref-type&gt;&lt;contributors&gt;&lt;authors&gt;&lt;author&gt;Gay, Peter&lt;/author&gt;&lt;/authors&gt;&lt;/contributors&gt;&lt;titles&gt;&lt;title&gt;The cultivation of hatred&lt;/title&gt;&lt;short-title&gt;The cultivation&lt;/short-title&gt;&lt;/titles&gt;&lt;dates&gt;&lt;year&gt;1993&lt;/year&gt;&lt;/dates&gt;&lt;pub-location&gt;New York&lt;/pub-location&gt;&lt;urls&gt;&lt;/urls&gt;&lt;/record&gt;&lt;/Cite&gt;&lt;/EndNote&gt;</w:instrText>
      </w:r>
      <w:r>
        <w:rPr>
          <w:lang w:val="fr-FR"/>
        </w:rPr>
        <w:fldChar w:fldCharType="separate"/>
      </w:r>
      <w:r w:rsidRPr="00126D56">
        <w:rPr>
          <w:noProof/>
        </w:rPr>
        <w:t xml:space="preserve">Gay, </w:t>
      </w:r>
      <w:r w:rsidRPr="00126D56">
        <w:rPr>
          <w:i/>
          <w:noProof/>
        </w:rPr>
        <w:t>The cultivation</w:t>
      </w:r>
      <w:r>
        <w:rPr>
          <w:lang w:val="fr-FR"/>
        </w:rPr>
        <w:fldChar w:fldCharType="end"/>
      </w:r>
      <w:r w:rsidRPr="000232EA">
        <w:t xml:space="preserve"> and </w:t>
      </w:r>
      <w:r>
        <w:rPr>
          <w:lang w:val="fr-FR"/>
        </w:rPr>
        <w:fldChar w:fldCharType="begin"/>
      </w:r>
      <w:r>
        <w:instrText xml:space="preserve"> ADDIN EN.CITE &lt;EndNote&gt;&lt;Cite&gt;&lt;Author&gt;Winter&lt;/Author&gt;&lt;Year&gt;2003&lt;/Year&gt;&lt;RecNum&gt;161&lt;/RecNum&gt;&lt;DisplayText&gt;Winter, &lt;style face="italic"&gt;America&lt;/style&gt;&lt;/DisplayText&gt;&lt;record&gt;&lt;rec-number&gt;161&lt;/rec-number&gt;&lt;foreign-keys&gt;&lt;key app="EN" db-id="2f5rvwawcsv2woetvw35fzwbdvvswerd0err"&gt;161&lt;/key&gt;&lt;/foreign-keys&gt;&lt;ref-type name="Book"&gt;6&lt;/ref-type&gt;&lt;contributors&gt;&lt;authors&gt;&lt;author&gt;Winter, Jay&lt;/author&gt;&lt;/authors&gt;&lt;secondary-authors&gt;&lt;author&gt;J. Winter&lt;/author&gt;&lt;/secondary-authors&gt;&lt;/contributors&gt;&lt;titles&gt;&lt;title&gt;America and the Armenian genocide of 1915&lt;/title&gt;&lt;short-title&gt;America&lt;/short-title&gt;&lt;/titles&gt;&lt;dates&gt;&lt;year&gt;2003&lt;/year&gt;&lt;/dates&gt;&lt;pub-location&gt;Cambridge&lt;/pub-location&gt;&lt;urls&gt;&lt;/urls&gt;&lt;/record&gt;&lt;/Cite&gt;&lt;/EndNote&gt;</w:instrText>
      </w:r>
      <w:r>
        <w:rPr>
          <w:lang w:val="fr-FR"/>
        </w:rPr>
        <w:fldChar w:fldCharType="separate"/>
      </w:r>
      <w:r w:rsidRPr="00126D56">
        <w:rPr>
          <w:noProof/>
        </w:rPr>
        <w:t xml:space="preserve">Winter, </w:t>
      </w:r>
      <w:r w:rsidRPr="00126D56">
        <w:rPr>
          <w:i/>
          <w:noProof/>
        </w:rPr>
        <w:t>America</w:t>
      </w:r>
      <w:r>
        <w:rPr>
          <w:lang w:val="fr-FR"/>
        </w:rPr>
        <w:fldChar w:fldCharType="end"/>
      </w:r>
      <w:r>
        <w:t>, p. 47</w:t>
      </w:r>
      <w:r w:rsidRPr="006E5180">
        <w:t>.</w:t>
      </w:r>
    </w:p>
  </w:footnote>
  <w:footnote w:id="1030">
    <w:p w14:paraId="347B01C2" w14:textId="77777777" w:rsidR="00DE3AC9" w:rsidRPr="007C3DB8" w:rsidRDefault="00DE3AC9" w:rsidP="0048510E">
      <w:pPr>
        <w:pStyle w:val="FootnoteText"/>
      </w:pPr>
      <w:r>
        <w:rPr>
          <w:rStyle w:val="FootnoteReference"/>
        </w:rPr>
        <w:footnoteRef/>
      </w:r>
      <w:r w:rsidRPr="007C3DB8">
        <w:t xml:space="preserve"> See chapter seven.</w:t>
      </w:r>
    </w:p>
  </w:footnote>
  <w:footnote w:id="1031">
    <w:p w14:paraId="6DFF4DF5" w14:textId="77777777" w:rsidR="00DE3AC9" w:rsidRPr="007C3DB8" w:rsidRDefault="00DE3AC9" w:rsidP="0048510E">
      <w:pPr>
        <w:pStyle w:val="FootnoteText"/>
      </w:pPr>
      <w:r>
        <w:rPr>
          <w:rStyle w:val="FootnoteReference"/>
        </w:rPr>
        <w:footnoteRef/>
      </w:r>
      <w:r w:rsidRPr="007C3DB8">
        <w:t xml:space="preserve"> Idem.</w:t>
      </w:r>
    </w:p>
  </w:footnote>
  <w:footnote w:id="1032">
    <w:p w14:paraId="765EB214" w14:textId="77777777" w:rsidR="00DE3AC9" w:rsidRPr="007C3DB8" w:rsidRDefault="00DE3AC9" w:rsidP="0048510E">
      <w:pPr>
        <w:pStyle w:val="FootnoteText"/>
      </w:pPr>
      <w:r>
        <w:rPr>
          <w:rStyle w:val="FootnoteReference"/>
        </w:rPr>
        <w:footnoteRef/>
      </w:r>
      <w:r w:rsidRPr="007C3DB8">
        <w:t xml:space="preserve"> </w:t>
      </w:r>
      <w:r>
        <w:rPr>
          <w:lang w:val="fr-FR"/>
        </w:rPr>
        <w:fldChar w:fldCharType="begin"/>
      </w:r>
      <w:r w:rsidRPr="007C3DB8">
        <w:instrText xml:space="preserve"> ADDIN EN.CITE &lt;EndNote&gt;&lt;Cite&gt;&lt;Author&gt;Bosc&lt;/Author&gt;&lt;Year&gt;1919&lt;/Year&gt;&lt;RecNum&gt;226&lt;/RecNum&gt;&lt;DisplayText&gt;Bosc, &lt;style face="italic"&gt;Les Allemands&lt;/style&gt;&lt;/DisplayText&gt;&lt;record&gt;&lt;rec-number&gt;226&lt;/rec-number&gt;&lt;foreign-keys&gt;&lt;key app="EN" db-id="2f5rvwawcsv2woetvw35fzwbdvvswerd0err"&gt;226&lt;/key&gt;&lt;/foreign-keys&gt;&lt;ref-type name="Book"&gt;6&lt;/ref-type&gt;&lt;contributors&gt;&lt;authors&gt;&lt;author&gt;Bosc, Pierre&lt;/author&gt;&lt;/authors&gt;&lt;/contributors&gt;&lt;titles&gt;&lt;title&gt;Les Allemands à Lille&lt;/title&gt;&lt;short-title&gt;Les Allemands&lt;/short-title&gt;&lt;/titles&gt;&lt;dates&gt;&lt;year&gt;1919&lt;/year&gt;&lt;/dates&gt;&lt;pub-location&gt;Lille&lt;/pub-location&gt;&lt;urls&gt;&lt;/urls&gt;&lt;/record&gt;&lt;/Cite&gt;&lt;/EndNote&gt;</w:instrText>
      </w:r>
      <w:r>
        <w:rPr>
          <w:lang w:val="fr-FR"/>
        </w:rPr>
        <w:fldChar w:fldCharType="separate"/>
      </w:r>
      <w:r w:rsidRPr="007C3DB8">
        <w:rPr>
          <w:noProof/>
        </w:rPr>
        <w:t xml:space="preserve">Bosc, </w:t>
      </w:r>
      <w:r w:rsidRPr="007C3DB8">
        <w:rPr>
          <w:i/>
          <w:noProof/>
        </w:rPr>
        <w:t>Les Allemands</w:t>
      </w:r>
      <w:r>
        <w:rPr>
          <w:lang w:val="fr-FR"/>
        </w:rPr>
        <w:fldChar w:fldCharType="end"/>
      </w:r>
      <w:r w:rsidRPr="007C3DB8">
        <w:t>, pp. 36-37.</w:t>
      </w:r>
    </w:p>
  </w:footnote>
  <w:footnote w:id="1033">
    <w:p w14:paraId="29E28FB2" w14:textId="77777777" w:rsidR="00DE3AC9" w:rsidRPr="00DF7D2D" w:rsidRDefault="00DE3AC9" w:rsidP="0048510E">
      <w:pPr>
        <w:pStyle w:val="FootnoteText"/>
      </w:pPr>
      <w:r>
        <w:rPr>
          <w:rStyle w:val="FootnoteReference"/>
        </w:rPr>
        <w:footnoteRef/>
      </w:r>
      <w:r>
        <w:t xml:space="preserve"> </w:t>
      </w:r>
      <w:r w:rsidRPr="00F061F7">
        <w:t>ADHS: 4 M 513. Report 588 about repatriated. 24 January 1917.</w:t>
      </w:r>
    </w:p>
  </w:footnote>
  <w:footnote w:id="1034">
    <w:p w14:paraId="73AF5ED3" w14:textId="77777777" w:rsidR="00DE3AC9" w:rsidRPr="00A85A5B" w:rsidRDefault="00DE3AC9" w:rsidP="0048510E">
      <w:pPr>
        <w:pStyle w:val="FootnoteText"/>
      </w:pPr>
      <w:r>
        <w:rPr>
          <w:rStyle w:val="FootnoteReference"/>
        </w:rPr>
        <w:footnoteRef/>
      </w:r>
      <w:r w:rsidRPr="00D5389B">
        <w:t xml:space="preserve"> AGR: I. 538. Fonds Corneille Gram. </w:t>
      </w:r>
      <w:r w:rsidRPr="00F57585">
        <w:t>Aerial leaflets and reproductions from 1918</w:t>
      </w:r>
      <w:r>
        <w:t>.</w:t>
      </w:r>
    </w:p>
  </w:footnote>
  <w:footnote w:id="1035">
    <w:p w14:paraId="29D5C994" w14:textId="77777777" w:rsidR="00DE3AC9" w:rsidRPr="00D26C0B" w:rsidRDefault="00DE3AC9" w:rsidP="0048510E">
      <w:pPr>
        <w:pStyle w:val="FootnoteText"/>
        <w:rPr>
          <w:lang w:val="fr-FR"/>
        </w:rPr>
      </w:pPr>
      <w:r>
        <w:rPr>
          <w:rStyle w:val="FootnoteReference"/>
        </w:rPr>
        <w:footnoteRef/>
      </w:r>
      <w:r w:rsidRPr="00D26C0B">
        <w:rPr>
          <w:lang w:val="fr-FR"/>
        </w:rPr>
        <w:t xml:space="preserve"> </w:t>
      </w:r>
      <w:r>
        <w:rPr>
          <w:lang w:val="fr-FR"/>
        </w:rPr>
        <w:fldChar w:fldCharType="begin"/>
      </w:r>
      <w:r>
        <w:rPr>
          <w:lang w:val="fr-FR"/>
        </w:rPr>
        <w:instrText xml:space="preserve"> ADDIN EN.CITE &lt;EndNote&gt;&lt;Cite&gt;&lt;Author&gt;Arnoux&lt;/Author&gt;&lt;Year&gt;1919&lt;/Year&gt;&lt;RecNum&gt;66&lt;/RecNum&gt;&lt;DisplayText&gt;Arnoux, &lt;style face="italic"&gt;Bombardement&lt;/style&gt;&lt;/DisplayText&gt;&lt;record&gt;&lt;rec-number&gt;66&lt;/rec-number&gt;&lt;foreign-keys&gt;&lt;key app="EN" db-id="2f5rvwawcsv2woetvw35fzwbdvvswerd0err"&gt;66&lt;/key&gt;&lt;/foreign-keys&gt;&lt;ref-type name="Book"&gt;6&lt;/ref-type&gt;&lt;contributors&gt;&lt;authors&gt;&lt;author&gt;Arnoux, Just&lt;/author&gt;&lt;/authors&gt;&lt;/contributors&gt;&lt;titles&gt;&lt;title&gt;Bombardement et occupation de la ville de Lille par les Allemands 1914-1918 &lt;/title&gt;&lt;short-title&gt;Bombardement&lt;/short-title&gt;&lt;/titles&gt;&lt;dates&gt;&lt;year&gt;1919&lt;/year&gt;&lt;/dates&gt;&lt;pub-location&gt;Lille&lt;/pub-location&gt;&lt;urls&gt;&lt;/urls&gt;&lt;/record&gt;&lt;/Cite&gt;&lt;/EndNote&gt;</w:instrText>
      </w:r>
      <w:r>
        <w:rPr>
          <w:lang w:val="fr-FR"/>
        </w:rPr>
        <w:fldChar w:fldCharType="separate"/>
      </w:r>
      <w:r>
        <w:rPr>
          <w:noProof/>
          <w:lang w:val="fr-FR"/>
        </w:rPr>
        <w:t xml:space="preserve">Arnoux, </w:t>
      </w:r>
      <w:r w:rsidRPr="00126D56">
        <w:rPr>
          <w:i/>
          <w:noProof/>
          <w:lang w:val="fr-FR"/>
        </w:rPr>
        <w:t>Bombardement</w:t>
      </w:r>
      <w:r>
        <w:rPr>
          <w:lang w:val="fr-FR"/>
        </w:rPr>
        <w:fldChar w:fldCharType="end"/>
      </w:r>
      <w:r w:rsidRPr="00D26C0B">
        <w:rPr>
          <w:lang w:val="fr-FR"/>
        </w:rPr>
        <w:t xml:space="preserve">, p. 207 ; </w:t>
      </w:r>
      <w:r>
        <w:rPr>
          <w:lang w:val="fr-FR"/>
        </w:rPr>
        <w:fldChar w:fldCharType="begin"/>
      </w:r>
      <w:r>
        <w:rPr>
          <w:lang w:val="fr-FR"/>
        </w:rPr>
        <w:instrText xml:space="preserve"> ADDIN EN.CITE &lt;EndNote&gt;&lt;Cite&gt;&lt;Author&gt;Domelier&lt;/Author&gt;&lt;Year&gt;1919&lt;/Year&gt;&lt;RecNum&gt;39&lt;/RecNum&gt;&lt;DisplayText&gt;Domelier, &lt;style face="italic"&gt;Au GQG&lt;/style&gt;&lt;/DisplayText&gt;&lt;record&gt;&lt;rec-number&gt;39&lt;/rec-number&gt;&lt;foreign-keys&gt;&lt;key app="EN" db-id="2f5rvwawcsv2woetvw35fzwbdvvswerd0err"&gt;39&lt;/key&gt;&lt;/foreign-keys&gt;&lt;ref-type name="Book"&gt;6&lt;/ref-type&gt;&lt;contributors&gt;&lt;authors&gt;&lt;author&gt;Domelier, Henri&lt;/author&gt;&lt;/authors&gt;&lt;/contributors&gt;&lt;titles&gt;&lt;title&gt;Au G.Q.G allemand&lt;/title&gt;&lt;short-title&gt;Au GQG&lt;/short-title&gt;&lt;/titles&gt;&lt;dates&gt;&lt;year&gt;1919&lt;/year&gt;&lt;/dates&gt;&lt;pub-location&gt;Paris&lt;/pub-location&gt;&lt;urls&gt;&lt;/urls&gt;&lt;/record&gt;&lt;/Cite&gt;&lt;/EndNote&gt;</w:instrText>
      </w:r>
      <w:r>
        <w:rPr>
          <w:lang w:val="fr-FR"/>
        </w:rPr>
        <w:fldChar w:fldCharType="separate"/>
      </w:r>
      <w:r>
        <w:rPr>
          <w:noProof/>
          <w:lang w:val="fr-FR"/>
        </w:rPr>
        <w:t xml:space="preserve">Domelier, </w:t>
      </w:r>
      <w:r w:rsidRPr="00126D56">
        <w:rPr>
          <w:i/>
          <w:noProof/>
          <w:lang w:val="fr-FR"/>
        </w:rPr>
        <w:t>Au GQG</w:t>
      </w:r>
      <w:r>
        <w:rPr>
          <w:lang w:val="fr-FR"/>
        </w:rPr>
        <w:fldChar w:fldCharType="end"/>
      </w:r>
      <w:r w:rsidRPr="00D26C0B">
        <w:rPr>
          <w:lang w:val="fr-FR"/>
        </w:rPr>
        <w:t>, p. 196.</w:t>
      </w:r>
    </w:p>
  </w:footnote>
  <w:footnote w:id="1036">
    <w:p w14:paraId="09A2EF3D" w14:textId="77777777" w:rsidR="00DE3AC9" w:rsidRPr="00126D56" w:rsidRDefault="00DE3AC9" w:rsidP="0048510E">
      <w:pPr>
        <w:pStyle w:val="FootnoteText"/>
        <w:rPr>
          <w:lang w:val="it-IT"/>
        </w:rPr>
      </w:pPr>
      <w:r>
        <w:rPr>
          <w:rStyle w:val="FootnoteReference"/>
        </w:rPr>
        <w:footnoteRef/>
      </w:r>
      <w:r w:rsidRPr="00126D56">
        <w:rPr>
          <w:lang w:val="it-IT"/>
        </w:rPr>
        <w:t xml:space="preserve"> </w:t>
      </w:r>
      <w:r>
        <w:fldChar w:fldCharType="begin"/>
      </w:r>
      <w:r w:rsidRPr="00126D56">
        <w:rPr>
          <w:lang w:val="it-IT"/>
        </w:rPr>
        <w:instrText xml:space="preserve"> ADDIN EN.CITE &lt;EndNote&gt;&lt;Cite&gt;&lt;Author&gt;Laska&lt;/Author&gt;&lt;Year&gt;2003&lt;/Year&gt;&lt;RecNum&gt;36&lt;/RecNum&gt;&lt;DisplayText&gt;Laska, &lt;style face="italic"&gt;Presse&lt;/style&gt;&lt;/DisplayText&gt;&lt;record&gt;&lt;rec-number&gt;36&lt;/rec-number&gt;&lt;foreign-keys&gt;&lt;key app="EN" db-id="2f5rvwawcsv2woetvw35fzwbdvvswerd0err"&gt;36&lt;/key&gt;&lt;/foreign-keys&gt;&lt;ref-type name="Book"&gt;6&lt;/ref-type&gt;&lt;contributors&gt;&lt;authors&gt;&lt;author&gt;Laska, Andreas&lt;/author&gt;&lt;/authors&gt;&lt;/contributors&gt;&lt;titles&gt;&lt;title&gt;Presse et propagande allemande en France occupée: des moniteurs officiels (1870-1871) à la Gazette des Ardennes (1914-1918) et à la Pariser Zeitung (1940-1944)&lt;/title&gt;&lt;short-title&gt;Presse&lt;/short-title&gt;&lt;/titles&gt;&lt;dates&gt;&lt;year&gt;2003&lt;/year&gt;&lt;/dates&gt;&lt;pub-location&gt;Munich&lt;/pub-location&gt;&lt;urls&gt;&lt;/urls&gt;&lt;/record&gt;&lt;/Cite&gt;&lt;/EndNote&gt;</w:instrText>
      </w:r>
      <w:r>
        <w:fldChar w:fldCharType="separate"/>
      </w:r>
      <w:r w:rsidRPr="00126D56">
        <w:rPr>
          <w:noProof/>
          <w:lang w:val="it-IT"/>
        </w:rPr>
        <w:t xml:space="preserve">Laska, </w:t>
      </w:r>
      <w:r w:rsidRPr="00126D56">
        <w:rPr>
          <w:i/>
          <w:noProof/>
          <w:lang w:val="it-IT"/>
        </w:rPr>
        <w:t>Presse</w:t>
      </w:r>
      <w:r>
        <w:fldChar w:fldCharType="end"/>
      </w:r>
      <w:r w:rsidRPr="00126D56">
        <w:rPr>
          <w:lang w:val="it-IT"/>
        </w:rPr>
        <w:t>, p. 198.</w:t>
      </w:r>
    </w:p>
  </w:footnote>
  <w:footnote w:id="1037">
    <w:p w14:paraId="4AC09AAD" w14:textId="77777777" w:rsidR="00DE3AC9" w:rsidRPr="00126D56" w:rsidRDefault="00DE3AC9" w:rsidP="0048510E">
      <w:pPr>
        <w:pStyle w:val="FootnoteText"/>
        <w:rPr>
          <w:lang w:val="it-IT"/>
        </w:rPr>
      </w:pPr>
      <w:r>
        <w:rPr>
          <w:rStyle w:val="FootnoteReference"/>
        </w:rPr>
        <w:footnoteRef/>
      </w:r>
      <w:r w:rsidRPr="00126D56">
        <w:rPr>
          <w:lang w:val="it-IT"/>
        </w:rPr>
        <w:t xml:space="preserve"> </w:t>
      </w:r>
      <w:r>
        <w:fldChar w:fldCharType="begin"/>
      </w:r>
      <w:r w:rsidRPr="00126D56">
        <w:rPr>
          <w:lang w:val="it-IT"/>
        </w:rPr>
        <w:instrText xml:space="preserve"> ADDIN EN.CITE &lt;EndNote&gt;&lt;Cite&gt;&lt;Author&gt;Nicolai&lt;/Author&gt;&lt;Year&gt;1924&lt;/Year&gt;&lt;RecNum&gt;98&lt;/RecNum&gt;&lt;DisplayText&gt;Nicolai, &lt;style face="italic"&gt;The German&lt;/style&gt;&lt;/DisplayText&gt;&lt;record&gt;&lt;rec-number&gt;98&lt;/rec-number&gt;&lt;foreign-keys&gt;&lt;key app="EN" db-id="2f5rvwawcsv2woetvw35fzwbdvvswerd0err"&gt;98&lt;/key&gt;&lt;/foreign-keys&gt;&lt;ref-type name="Book"&gt;6&lt;/ref-type&gt;&lt;contributors&gt;&lt;authors&gt;&lt;author&gt;Nicolai, Walter&lt;/author&gt;&lt;/authors&gt;&lt;/contributors&gt;&lt;titles&gt;&lt;title&gt;The German secret service&lt;/title&gt;&lt;short-title&gt;The German&lt;/short-title&gt;&lt;/titles&gt;&lt;dates&gt;&lt;year&gt;1924&lt;/year&gt;&lt;/dates&gt;&lt;pub-location&gt;London&lt;/pub-location&gt;&lt;urls&gt;&lt;/urls&gt;&lt;/record&gt;&lt;/Cite&gt;&lt;/EndNote&gt;</w:instrText>
      </w:r>
      <w:r>
        <w:fldChar w:fldCharType="separate"/>
      </w:r>
      <w:r w:rsidRPr="00126D56">
        <w:rPr>
          <w:noProof/>
          <w:lang w:val="it-IT"/>
        </w:rPr>
        <w:t xml:space="preserve">Nicolai, </w:t>
      </w:r>
      <w:r w:rsidRPr="00126D56">
        <w:rPr>
          <w:i/>
          <w:noProof/>
          <w:lang w:val="it-IT"/>
        </w:rPr>
        <w:t>The German</w:t>
      </w:r>
      <w:r>
        <w:fldChar w:fldCharType="end"/>
      </w:r>
      <w:r w:rsidRPr="00126D56">
        <w:rPr>
          <w:lang w:val="it-IT"/>
        </w:rPr>
        <w:t>, p. 160.</w:t>
      </w:r>
    </w:p>
  </w:footnote>
  <w:footnote w:id="1038">
    <w:p w14:paraId="59FABC6F" w14:textId="77777777" w:rsidR="00DE3AC9" w:rsidRPr="004F0A24" w:rsidRDefault="00DE3AC9" w:rsidP="0048510E">
      <w:pPr>
        <w:pStyle w:val="FootnoteText"/>
      </w:pPr>
      <w:r>
        <w:rPr>
          <w:rStyle w:val="FootnoteReference"/>
        </w:rPr>
        <w:footnoteRef/>
      </w:r>
      <w:r w:rsidRPr="004F0A24">
        <w:t xml:space="preserve"> See for example </w:t>
      </w:r>
      <w:r w:rsidRPr="004F0A24">
        <w:rPr>
          <w:i/>
          <w:iCs/>
        </w:rPr>
        <w:t>Kölnische Volkszeitung</w:t>
      </w:r>
      <w:r w:rsidRPr="004F0A24">
        <w:t xml:space="preserve">, 28 December 1915 and </w:t>
      </w:r>
      <w:r w:rsidRPr="004F0A24">
        <w:rPr>
          <w:i/>
          <w:iCs/>
        </w:rPr>
        <w:t>Kölnische Volkszeitung</w:t>
      </w:r>
      <w:r w:rsidRPr="004F0A24">
        <w:t>, 5 January 1916 and 5 March 1916.</w:t>
      </w:r>
    </w:p>
  </w:footnote>
  <w:footnote w:id="1039">
    <w:p w14:paraId="031BC326" w14:textId="77777777" w:rsidR="00DE3AC9" w:rsidRPr="00437D40" w:rsidRDefault="00DE3AC9" w:rsidP="0048510E">
      <w:pPr>
        <w:pStyle w:val="FootnoteText"/>
      </w:pPr>
      <w:r>
        <w:rPr>
          <w:rStyle w:val="FootnoteReference"/>
        </w:rPr>
        <w:footnoteRef/>
      </w:r>
      <w:r w:rsidRPr="004F0A24">
        <w:t xml:space="preserve"> NA: AIR 1/1155/204/5/2424. </w:t>
      </w:r>
      <w:r>
        <w:t>Report about aerial distribution. 10 November 1918.</w:t>
      </w:r>
    </w:p>
  </w:footnote>
  <w:footnote w:id="1040">
    <w:p w14:paraId="5B1A2D98" w14:textId="77777777" w:rsidR="00DE3AC9" w:rsidRPr="00463854" w:rsidRDefault="00DE3AC9" w:rsidP="0048510E">
      <w:pPr>
        <w:pStyle w:val="FootnoteText"/>
      </w:pPr>
      <w:r>
        <w:rPr>
          <w:rStyle w:val="FootnoteReference"/>
        </w:rPr>
        <w:footnoteRef/>
      </w:r>
      <w:r>
        <w:t xml:space="preserve"> See chapter one.</w:t>
      </w:r>
    </w:p>
  </w:footnote>
  <w:footnote w:id="1041">
    <w:p w14:paraId="1654012E" w14:textId="77777777" w:rsidR="00DE3AC9" w:rsidRPr="00A33005" w:rsidRDefault="00DE3AC9" w:rsidP="0048510E">
      <w:pPr>
        <w:pStyle w:val="FootnoteText"/>
      </w:pPr>
      <w:r>
        <w:rPr>
          <w:rStyle w:val="FootnoteReference"/>
        </w:rPr>
        <w:footnoteRef/>
      </w:r>
      <w:r>
        <w:t xml:space="preserve"> NA: AIR 1/678. Report by Captain Morris on aerial distribution during the Great War. 1920.</w:t>
      </w:r>
    </w:p>
  </w:footnote>
  <w:footnote w:id="1042">
    <w:p w14:paraId="2FBE0DD7" w14:textId="77777777" w:rsidR="00DE3AC9" w:rsidRPr="00E475C1" w:rsidRDefault="00DE3AC9" w:rsidP="0048510E">
      <w:pPr>
        <w:pStyle w:val="FootnoteText"/>
      </w:pPr>
      <w:r>
        <w:rPr>
          <w:rStyle w:val="FootnoteReference"/>
        </w:rPr>
        <w:footnoteRef/>
      </w:r>
      <w:r>
        <w:t xml:space="preserve"> </w:t>
      </w:r>
      <w:r>
        <w:fldChar w:fldCharType="begin"/>
      </w:r>
      <w:r>
        <w:instrText xml:space="preserve"> ADDIN EN.CITE &lt;EndNote&gt;&lt;Cite&gt;&lt;Author&gt;Colby&lt;/Author&gt;&lt;Year&gt;1925&lt;/Year&gt;&lt;RecNum&gt;286&lt;/RecNum&gt;&lt;DisplayText&gt;Elbridge Colby, &amp;apos;Aerial law and war targets&amp;apos;, in: &lt;style face="italic"&gt;American Journal of International Law, &lt;/style&gt;19 (1925), &lt;/DisplayText&gt;&lt;record&gt;&lt;rec-number&gt;286&lt;/rec-number&gt;&lt;foreign-keys&gt;&lt;key app="EN" db-id="2f5rvwawcsv2woetvw35fzwbdvvswerd0err"&gt;286&lt;/key&gt;&lt;/foreign-keys&gt;&lt;ref-type name="Journal Article"&gt;17&lt;/ref-type&gt;&lt;contributors&gt;&lt;authors&gt;&lt;author&gt;Colby, Elbridge&lt;/author&gt;&lt;/authors&gt;&lt;/contributors&gt;&lt;titles&gt;&lt;title&gt;Aerial law and war targets&lt;/title&gt;&lt;secondary-title&gt;American Journal of International Law&lt;/secondary-title&gt;&lt;short-title&gt;Aerial law&lt;/short-title&gt;&lt;/titles&gt;&lt;periodical&gt;&lt;full-title&gt;American Journal of International Law&lt;/full-title&gt;&lt;/periodical&gt;&lt;volume&gt;19&lt;/volume&gt;&lt;dates&gt;&lt;year&gt;1925&lt;/year&gt;&lt;/dates&gt;&lt;urls&gt;&lt;/urls&gt;&lt;/record&gt;&lt;/Cite&gt;&lt;/EndNote&gt;</w:instrText>
      </w:r>
      <w:r>
        <w:fldChar w:fldCharType="separate"/>
      </w:r>
      <w:r>
        <w:rPr>
          <w:noProof/>
        </w:rPr>
        <w:t xml:space="preserve">Elbridge Colby, 'Aerial law and war targets', in: </w:t>
      </w:r>
      <w:r w:rsidRPr="00E475C1">
        <w:rPr>
          <w:i/>
          <w:noProof/>
        </w:rPr>
        <w:t xml:space="preserve">American Journal of International Law, </w:t>
      </w:r>
      <w:r>
        <w:rPr>
          <w:noProof/>
        </w:rPr>
        <w:t xml:space="preserve">19 (1925), </w:t>
      </w:r>
      <w:r>
        <w:fldChar w:fldCharType="end"/>
      </w:r>
      <w:r>
        <w:t>pp. 709-711.</w:t>
      </w:r>
    </w:p>
  </w:footnote>
  <w:footnote w:id="1043">
    <w:p w14:paraId="2925B990" w14:textId="77777777" w:rsidR="00DE3AC9" w:rsidRPr="00126D56" w:rsidRDefault="00DE3AC9" w:rsidP="0048510E">
      <w:pPr>
        <w:pStyle w:val="FootnoteText"/>
        <w:rPr>
          <w:lang w:val="fr-FR"/>
        </w:rPr>
      </w:pPr>
      <w:r>
        <w:rPr>
          <w:rStyle w:val="FootnoteReference"/>
        </w:rPr>
        <w:footnoteRef/>
      </w:r>
      <w:r w:rsidRPr="00126D56">
        <w:rPr>
          <w:lang w:val="fr-FR"/>
        </w:rPr>
        <w:t xml:space="preserve"> </w:t>
      </w:r>
      <w:r>
        <w:fldChar w:fldCharType="begin"/>
      </w:r>
      <w:r>
        <w:rPr>
          <w:lang w:val="fr-FR"/>
        </w:rPr>
        <w:instrText xml:space="preserve"> ADDIN EN.CITE &lt;EndNote&gt;&lt;Cite&gt;&lt;Author&gt;Brooks&lt;/Author&gt;&lt;Year&gt;2007&lt;/Year&gt;&lt;RecNum&gt;21&lt;/RecNum&gt;&lt;DisplayText&gt;Brooks, &lt;style face="italic"&gt;British propaganda&lt;/style&gt;&lt;/DisplayText&gt;&lt;record&gt;&lt;rec-number&gt;21&lt;/rec-number&gt;&lt;foreign-keys&gt;&lt;key app="EN" db-id="2f5rvwawcsv2woetvw35fzwbdvvswerd0err"&gt;21&lt;/key&gt;&lt;/foreign-keys&gt;&lt;ref-type name="Book"&gt;6&lt;/ref-type&gt;&lt;contributors&gt;&lt;authors&gt;&lt;author&gt;Brooks, Tim&lt;/author&gt;&lt;/authors&gt;&lt;/contributors&gt;&lt;titles&gt;&lt;title&gt;British propaganda to France, 1940-1944: machinery, method and message&lt;/title&gt;&lt;short-title&gt;British propaganda&lt;/short-title&gt;&lt;/titles&gt;&lt;dates&gt;&lt;year&gt;2007&lt;/year&gt;&lt;/dates&gt;&lt;pub-location&gt;Edingburgh&lt;/pub-location&gt;&lt;publisher&gt;Edingburgh University Press&lt;/publisher&gt;&lt;urls&gt;&lt;/urls&gt;&lt;/record&gt;&lt;/Cite&gt;&lt;/EndNote&gt;</w:instrText>
      </w:r>
      <w:r>
        <w:fldChar w:fldCharType="separate"/>
      </w:r>
      <w:r w:rsidRPr="00126D56">
        <w:rPr>
          <w:noProof/>
          <w:lang w:val="fr-FR"/>
        </w:rPr>
        <w:t xml:space="preserve">Brooks, </w:t>
      </w:r>
      <w:r w:rsidRPr="00126D56">
        <w:rPr>
          <w:i/>
          <w:noProof/>
          <w:lang w:val="fr-FR"/>
        </w:rPr>
        <w:t>British propaganda</w:t>
      </w:r>
      <w:r>
        <w:fldChar w:fldCharType="end"/>
      </w:r>
      <w:r w:rsidRPr="00126D56">
        <w:rPr>
          <w:lang w:val="fr-FR"/>
        </w:rPr>
        <w:t xml:space="preserve">, p. 10 and </w:t>
      </w:r>
      <w:r>
        <w:fldChar w:fldCharType="begin"/>
      </w:r>
      <w:r>
        <w:rPr>
          <w:lang w:val="fr-FR"/>
        </w:rPr>
        <w:instrText xml:space="preserve"> ADDIN EN.CITE &lt;EndNote&gt;&lt;Cite&gt;&lt;Author&gt;Fagot&lt;/Author&gt;&lt;Year&gt;2013&lt;/Year&gt;&lt;RecNum&gt;256&lt;/RecNum&gt;&lt;DisplayText&gt;Fagot, &lt;style face="italic"&gt;La &amp;quot;drôle de guerre&amp;quot;&lt;/style&gt;&lt;/DisplayText&gt;&lt;record&gt;&lt;rec-number&gt;256&lt;/rec-number&gt;&lt;foreign-keys&gt;&lt;key app="EN" db-id="2f5rvwawcsv2woetvw35fzwbdvvswerd0err"&gt;256&lt;/key&gt;&lt;/foreign-keys&gt;&lt;ref-type name="Thesis"&gt;32&lt;/ref-type&gt;&lt;contributors&gt;&lt;authors&gt;&lt;author&gt;Fagot, Maude&lt;/author&gt;&lt;/authors&gt;&lt;/contributors&gt;&lt;titles&gt;&lt;title&gt;La &amp;quot;drôle de guerre&amp;quot;: une guerre d&amp;apos;influence&lt;/title&gt;&lt;short-title&gt;La &amp;quot;drôle de guerre&amp;quot;&lt;/short-title&gt;&lt;/titles&gt;&lt;dates&gt;&lt;year&gt;2013&lt;/year&gt;&lt;/dates&gt;&lt;publisher&gt;Université Lumière Lyon 2 / Universität Freiburg&lt;/publisher&gt;&lt;work-type&gt;Masters thesis&lt;/work-type&gt;&lt;urls&gt;&lt;/urls&gt;&lt;/record&gt;&lt;/Cite&gt;&lt;/EndNote&gt;</w:instrText>
      </w:r>
      <w:r>
        <w:fldChar w:fldCharType="separate"/>
      </w:r>
      <w:r w:rsidRPr="00126D56">
        <w:rPr>
          <w:noProof/>
          <w:lang w:val="fr-FR"/>
        </w:rPr>
        <w:t xml:space="preserve">Fagot, </w:t>
      </w:r>
      <w:r w:rsidRPr="00126D56">
        <w:rPr>
          <w:i/>
          <w:noProof/>
          <w:lang w:val="fr-FR"/>
        </w:rPr>
        <w:t>La "drôle de guerre"</w:t>
      </w:r>
      <w:r>
        <w:fldChar w:fldCharType="end"/>
      </w:r>
      <w:r w:rsidRPr="00126D56">
        <w:rPr>
          <w:lang w:val="fr-FR"/>
        </w:rPr>
        <w:t>pp. 88-137.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10D108E2" w14:textId="77777777">
      <w:trPr>
        <w:trHeight w:val="288"/>
      </w:trPr>
      <w:tc>
        <w:tcPr>
          <w:tcW w:w="7765" w:type="dxa"/>
        </w:tcPr>
        <w:p w14:paraId="24B2034F" w14:textId="77777777"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Introduction</w:t>
          </w:r>
        </w:p>
      </w:tc>
      <w:tc>
        <w:tcPr>
          <w:tcW w:w="1105" w:type="dxa"/>
        </w:tcPr>
        <w:p w14:paraId="5C35A392"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3E4E8EB5" w14:textId="77777777" w:rsidR="00DE3AC9" w:rsidRPr="003B5ECC" w:rsidRDefault="00DE3AC9">
    <w:pPr>
      <w:pStyle w:val="Header"/>
      <w:rPr>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121D7920" w14:textId="77777777">
      <w:trPr>
        <w:trHeight w:val="288"/>
      </w:trPr>
      <w:tc>
        <w:tcPr>
          <w:tcW w:w="7765" w:type="dxa"/>
        </w:tcPr>
        <w:p w14:paraId="552764D0" w14:textId="77777777"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Conclusion</w:t>
          </w:r>
        </w:p>
      </w:tc>
      <w:tc>
        <w:tcPr>
          <w:tcW w:w="1105" w:type="dxa"/>
        </w:tcPr>
        <w:p w14:paraId="63536A2F"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0FBC7142" w14:textId="77777777" w:rsidR="00DE3AC9" w:rsidRPr="003B5ECC" w:rsidRDefault="00DE3AC9">
    <w:pPr>
      <w:pStyle w:val="Header"/>
      <w:rPr>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5867BA10" w14:textId="77777777">
      <w:trPr>
        <w:trHeight w:val="288"/>
      </w:trPr>
      <w:tc>
        <w:tcPr>
          <w:tcW w:w="7765" w:type="dxa"/>
        </w:tcPr>
        <w:p w14:paraId="71C2DD6C" w14:textId="4ACA83D7"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Bibliography</w:t>
          </w:r>
        </w:p>
      </w:tc>
      <w:tc>
        <w:tcPr>
          <w:tcW w:w="1105" w:type="dxa"/>
        </w:tcPr>
        <w:p w14:paraId="5BB5616F"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1E59D061" w14:textId="77777777" w:rsidR="00DE3AC9" w:rsidRPr="003B5ECC" w:rsidRDefault="00DE3AC9">
    <w:pPr>
      <w:pStyle w:val="Header"/>
      <w:rPr>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174DF1EF" w14:textId="77777777">
      <w:trPr>
        <w:trHeight w:val="288"/>
      </w:trPr>
      <w:tc>
        <w:tcPr>
          <w:tcW w:w="7765" w:type="dxa"/>
        </w:tcPr>
        <w:p w14:paraId="08038881" w14:textId="77777777"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Bibliography</w:t>
          </w:r>
        </w:p>
      </w:tc>
      <w:tc>
        <w:tcPr>
          <w:tcW w:w="1105" w:type="dxa"/>
        </w:tcPr>
        <w:p w14:paraId="0A987F07"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24470EC1" w14:textId="77777777" w:rsidR="00DE3AC9" w:rsidRPr="003B5ECC" w:rsidRDefault="00DE3AC9">
    <w:pPr>
      <w:pStyle w:val="Header"/>
      <w:rPr>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16364D6B" w14:textId="77777777">
      <w:trPr>
        <w:trHeight w:val="288"/>
      </w:trPr>
      <w:tc>
        <w:tcPr>
          <w:tcW w:w="7765" w:type="dxa"/>
        </w:tcPr>
        <w:p w14:paraId="3B24B455" w14:textId="724576ED"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Appendix</w:t>
          </w:r>
        </w:p>
      </w:tc>
      <w:tc>
        <w:tcPr>
          <w:tcW w:w="1105" w:type="dxa"/>
        </w:tcPr>
        <w:p w14:paraId="0A2706A3"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3C44D02C" w14:textId="77777777" w:rsidR="00DE3AC9" w:rsidRPr="003B5ECC" w:rsidRDefault="00DE3AC9">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2B1EC130" w14:textId="77777777">
      <w:trPr>
        <w:trHeight w:val="288"/>
      </w:trPr>
      <w:tc>
        <w:tcPr>
          <w:tcW w:w="7765" w:type="dxa"/>
        </w:tcPr>
        <w:p w14:paraId="5C4215DB" w14:textId="3E30B6AB" w:rsidR="00DE3AC9" w:rsidRPr="003B5ECC" w:rsidRDefault="00DE3AC9" w:rsidP="009E65AA">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II: Distribution, international laws and internal tensions</w:t>
          </w:r>
        </w:p>
      </w:tc>
      <w:tc>
        <w:tcPr>
          <w:tcW w:w="1105" w:type="dxa"/>
        </w:tcPr>
        <w:p w14:paraId="6E4D6B6A"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55E615B1" w14:textId="77777777" w:rsidR="00DE3AC9" w:rsidRPr="003B5ECC" w:rsidRDefault="00DE3AC9">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757E6713" w14:textId="77777777">
      <w:trPr>
        <w:trHeight w:val="288"/>
      </w:trPr>
      <w:tc>
        <w:tcPr>
          <w:tcW w:w="7765" w:type="dxa"/>
        </w:tcPr>
        <w:p w14:paraId="4CF0C0E8" w14:textId="39C04360" w:rsidR="00DE3AC9" w:rsidRPr="003B5ECC" w:rsidRDefault="00DE3AC9" w:rsidP="00E35CCD">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 German occupation and the making of propaganda behind the lines</w:t>
          </w:r>
        </w:p>
      </w:tc>
      <w:tc>
        <w:tcPr>
          <w:tcW w:w="1105" w:type="dxa"/>
        </w:tcPr>
        <w:p w14:paraId="4B256AC8"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0D453DBD" w14:textId="77777777" w:rsidR="00DE3AC9" w:rsidRPr="003B5ECC" w:rsidRDefault="00DE3AC9">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4FFD4DF6" w14:textId="77777777">
      <w:trPr>
        <w:trHeight w:val="288"/>
      </w:trPr>
      <w:tc>
        <w:tcPr>
          <w:tcW w:w="7765" w:type="dxa"/>
        </w:tcPr>
        <w:p w14:paraId="20378EA6" w14:textId="3F2C98F9" w:rsidR="00DE3AC9" w:rsidRPr="003B5ECC" w:rsidRDefault="00DE3AC9" w:rsidP="00E35CCD">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II: Distribution, international laws and internal tensions</w:t>
          </w:r>
        </w:p>
      </w:tc>
      <w:tc>
        <w:tcPr>
          <w:tcW w:w="1105" w:type="dxa"/>
        </w:tcPr>
        <w:p w14:paraId="0E683D1E"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43A4BAB2" w14:textId="77777777" w:rsidR="00DE3AC9" w:rsidRPr="003B5ECC" w:rsidRDefault="00DE3AC9">
    <w:pPr>
      <w:pStyle w:val="Header"/>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39D99051" w14:textId="77777777">
      <w:trPr>
        <w:trHeight w:val="288"/>
      </w:trPr>
      <w:tc>
        <w:tcPr>
          <w:tcW w:w="7765" w:type="dxa"/>
        </w:tcPr>
        <w:p w14:paraId="5EAFA4B2" w14:textId="34D3CCF3"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III</w:t>
          </w:r>
          <w:r w:rsidRPr="00BF4137">
            <w:rPr>
              <w:rFonts w:asciiTheme="majorHAnsi" w:eastAsiaTheme="majorEastAsia" w:hAnsiTheme="majorHAnsi" w:cstheme="majorBidi"/>
              <w:color w:val="4F81BD" w:themeColor="accent1"/>
              <w:sz w:val="24"/>
              <w:szCs w:val="24"/>
            </w:rPr>
            <w:t xml:space="preserve">: </w:t>
          </w:r>
          <w:r>
            <w:rPr>
              <w:rFonts w:asciiTheme="majorHAnsi" w:eastAsiaTheme="majorEastAsia" w:hAnsiTheme="majorHAnsi" w:cstheme="majorBidi"/>
              <w:color w:val="4F81BD" w:themeColor="accent1"/>
              <w:sz w:val="24"/>
              <w:szCs w:val="24"/>
            </w:rPr>
            <w:t>Tools of communication</w:t>
          </w:r>
        </w:p>
      </w:tc>
      <w:tc>
        <w:tcPr>
          <w:tcW w:w="1105" w:type="dxa"/>
        </w:tcPr>
        <w:p w14:paraId="134E31CF"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6A823D27" w14:textId="77777777" w:rsidR="00DE3AC9" w:rsidRPr="003B5ECC" w:rsidRDefault="00DE3AC9">
    <w:pPr>
      <w:pStyle w:val="Heade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52CADE92" w14:textId="77777777">
      <w:trPr>
        <w:trHeight w:val="288"/>
      </w:trPr>
      <w:tc>
        <w:tcPr>
          <w:tcW w:w="7765" w:type="dxa"/>
        </w:tcPr>
        <w:p w14:paraId="2F8985AE" w14:textId="683652A5" w:rsidR="00DE3AC9" w:rsidRPr="003B5ECC" w:rsidRDefault="00DE3AC9" w:rsidP="00E35CCD">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IV: Legitimising the war</w:t>
          </w:r>
        </w:p>
      </w:tc>
      <w:tc>
        <w:tcPr>
          <w:tcW w:w="1105" w:type="dxa"/>
        </w:tcPr>
        <w:p w14:paraId="49DA325C"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4BC95723" w14:textId="77777777" w:rsidR="00DE3AC9" w:rsidRPr="003B5ECC" w:rsidRDefault="00DE3AC9">
    <w:pPr>
      <w:pStyle w:val="Header"/>
      <w:rPr>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57551583" w14:textId="77777777">
      <w:trPr>
        <w:trHeight w:val="288"/>
      </w:trPr>
      <w:tc>
        <w:tcPr>
          <w:tcW w:w="7765" w:type="dxa"/>
        </w:tcPr>
        <w:p w14:paraId="450B420B" w14:textId="54F8FA0B" w:rsidR="00DE3AC9" w:rsidRPr="003B5ECC" w:rsidRDefault="00DE3AC9" w:rsidP="00E35CCD">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V: Military news: the backbone of propaganda</w:t>
          </w:r>
        </w:p>
      </w:tc>
      <w:tc>
        <w:tcPr>
          <w:tcW w:w="1105" w:type="dxa"/>
        </w:tcPr>
        <w:p w14:paraId="5BF168FA"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7627227F" w14:textId="77777777" w:rsidR="00DE3AC9" w:rsidRPr="003B5ECC" w:rsidRDefault="00DE3AC9">
    <w:pPr>
      <w:pStyle w:val="Header"/>
      <w:rPr>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334F8A1B" w14:textId="77777777">
      <w:trPr>
        <w:trHeight w:val="288"/>
      </w:trPr>
      <w:tc>
        <w:tcPr>
          <w:tcW w:w="7765" w:type="dxa"/>
        </w:tcPr>
        <w:p w14:paraId="0E835D05" w14:textId="77777777"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VI</w:t>
          </w:r>
          <w:r w:rsidRPr="00BF4137">
            <w:rPr>
              <w:rFonts w:asciiTheme="majorHAnsi" w:eastAsiaTheme="majorEastAsia" w:hAnsiTheme="majorHAnsi" w:cstheme="majorBidi"/>
              <w:color w:val="4F81BD" w:themeColor="accent1"/>
              <w:sz w:val="24"/>
              <w:szCs w:val="24"/>
            </w:rPr>
            <w:t xml:space="preserve">: </w:t>
          </w:r>
          <w:r>
            <w:rPr>
              <w:rFonts w:asciiTheme="majorHAnsi" w:eastAsiaTheme="majorEastAsia" w:hAnsiTheme="majorHAnsi" w:cstheme="majorBidi"/>
              <w:color w:val="4F81BD" w:themeColor="accent1"/>
              <w:sz w:val="24"/>
              <w:szCs w:val="24"/>
            </w:rPr>
            <w:t>The radicalisation of propaganda</w:t>
          </w:r>
        </w:p>
      </w:tc>
      <w:tc>
        <w:tcPr>
          <w:tcW w:w="1105" w:type="dxa"/>
        </w:tcPr>
        <w:p w14:paraId="60944608"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0D72088D" w14:textId="77777777" w:rsidR="00DE3AC9" w:rsidRPr="003B5ECC" w:rsidRDefault="00DE3AC9">
    <w:pPr>
      <w:pStyle w:val="Header"/>
      <w:rPr>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4"/>
      <w:gridCol w:w="1153"/>
    </w:tblGrid>
    <w:tr w:rsidR="00DE3AC9" w:rsidRPr="003B5ECC" w14:paraId="520CDBB4" w14:textId="77777777">
      <w:trPr>
        <w:trHeight w:val="288"/>
      </w:trPr>
      <w:tc>
        <w:tcPr>
          <w:tcW w:w="7765" w:type="dxa"/>
        </w:tcPr>
        <w:p w14:paraId="0025A32C" w14:textId="0772ED02" w:rsidR="00DE3AC9" w:rsidRPr="003B5ECC" w:rsidRDefault="00DE3AC9" w:rsidP="0048510E">
          <w:pPr>
            <w:pStyle w:val="Header"/>
            <w:jc w:val="right"/>
            <w:rPr>
              <w:rFonts w:asciiTheme="majorHAnsi" w:eastAsiaTheme="majorEastAsia" w:hAnsiTheme="majorHAnsi" w:cstheme="majorBidi"/>
              <w:sz w:val="24"/>
              <w:szCs w:val="24"/>
            </w:rPr>
          </w:pPr>
          <w:r>
            <w:rPr>
              <w:rFonts w:asciiTheme="majorHAnsi" w:eastAsiaTheme="majorEastAsia" w:hAnsiTheme="majorHAnsi" w:cstheme="majorBidi"/>
              <w:color w:val="4F81BD" w:themeColor="accent1"/>
              <w:sz w:val="24"/>
              <w:szCs w:val="24"/>
            </w:rPr>
            <w:t>VII</w:t>
          </w:r>
          <w:r w:rsidRPr="00BF4137">
            <w:rPr>
              <w:rFonts w:asciiTheme="majorHAnsi" w:eastAsiaTheme="majorEastAsia" w:hAnsiTheme="majorHAnsi" w:cstheme="majorBidi"/>
              <w:color w:val="4F81BD" w:themeColor="accent1"/>
              <w:sz w:val="24"/>
              <w:szCs w:val="24"/>
            </w:rPr>
            <w:t xml:space="preserve">: </w:t>
          </w:r>
          <w:r>
            <w:rPr>
              <w:rFonts w:asciiTheme="majorHAnsi" w:eastAsiaTheme="majorEastAsia" w:hAnsiTheme="majorHAnsi" w:cstheme="majorBidi"/>
              <w:color w:val="4F81BD" w:themeColor="accent1"/>
              <w:sz w:val="24"/>
              <w:szCs w:val="24"/>
            </w:rPr>
            <w:t>The effectiveness of allied propaganda aimed at the occupied territories</w:t>
          </w:r>
        </w:p>
      </w:tc>
      <w:tc>
        <w:tcPr>
          <w:tcW w:w="1105" w:type="dxa"/>
        </w:tcPr>
        <w:p w14:paraId="3EF181C9" w14:textId="77777777" w:rsidR="00DE3AC9" w:rsidRPr="003B5ECC" w:rsidRDefault="00DE3AC9" w:rsidP="0048510E">
          <w:pPr>
            <w:pStyle w:val="Header"/>
            <w:rPr>
              <w:rFonts w:asciiTheme="majorHAnsi" w:eastAsiaTheme="majorEastAsia" w:hAnsiTheme="majorHAnsi" w:cstheme="majorBidi"/>
              <w:b/>
              <w:bCs/>
              <w:color w:val="4F81BD" w:themeColor="accent1"/>
              <w:sz w:val="24"/>
              <w:szCs w:val="24"/>
              <w14:numForm w14:val="oldStyle"/>
            </w:rPr>
          </w:pPr>
        </w:p>
      </w:tc>
    </w:tr>
  </w:tbl>
  <w:p w14:paraId="52556EE4" w14:textId="77777777" w:rsidR="00DE3AC9" w:rsidRPr="003B5ECC" w:rsidRDefault="00DE3AC9">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6AB9"/>
    <w:multiLevelType w:val="hybridMultilevel"/>
    <w:tmpl w:val="23E20A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2094" w:hanging="360"/>
      </w:pPr>
      <w:rPr>
        <w:rFonts w:ascii="Courier New" w:hAnsi="Courier New" w:cs="Courier New" w:hint="default"/>
      </w:rPr>
    </w:lvl>
    <w:lvl w:ilvl="2" w:tplc="08090005" w:tentative="1">
      <w:start w:val="1"/>
      <w:numFmt w:val="bullet"/>
      <w:lvlText w:val=""/>
      <w:lvlJc w:val="left"/>
      <w:pPr>
        <w:ind w:left="2814" w:hanging="360"/>
      </w:pPr>
      <w:rPr>
        <w:rFonts w:ascii="Wingdings" w:hAnsi="Wingdings" w:hint="default"/>
      </w:rPr>
    </w:lvl>
    <w:lvl w:ilvl="3" w:tplc="08090001" w:tentative="1">
      <w:start w:val="1"/>
      <w:numFmt w:val="bullet"/>
      <w:lvlText w:val=""/>
      <w:lvlJc w:val="left"/>
      <w:pPr>
        <w:ind w:left="3534" w:hanging="360"/>
      </w:pPr>
      <w:rPr>
        <w:rFonts w:ascii="Symbol" w:hAnsi="Symbol" w:hint="default"/>
      </w:rPr>
    </w:lvl>
    <w:lvl w:ilvl="4" w:tplc="08090003" w:tentative="1">
      <w:start w:val="1"/>
      <w:numFmt w:val="bullet"/>
      <w:lvlText w:val="o"/>
      <w:lvlJc w:val="left"/>
      <w:pPr>
        <w:ind w:left="4254" w:hanging="360"/>
      </w:pPr>
      <w:rPr>
        <w:rFonts w:ascii="Courier New" w:hAnsi="Courier New" w:cs="Courier New" w:hint="default"/>
      </w:rPr>
    </w:lvl>
    <w:lvl w:ilvl="5" w:tplc="08090005" w:tentative="1">
      <w:start w:val="1"/>
      <w:numFmt w:val="bullet"/>
      <w:lvlText w:val=""/>
      <w:lvlJc w:val="left"/>
      <w:pPr>
        <w:ind w:left="4974" w:hanging="360"/>
      </w:pPr>
      <w:rPr>
        <w:rFonts w:ascii="Wingdings" w:hAnsi="Wingdings" w:hint="default"/>
      </w:rPr>
    </w:lvl>
    <w:lvl w:ilvl="6" w:tplc="08090001" w:tentative="1">
      <w:start w:val="1"/>
      <w:numFmt w:val="bullet"/>
      <w:lvlText w:val=""/>
      <w:lvlJc w:val="left"/>
      <w:pPr>
        <w:ind w:left="5694" w:hanging="360"/>
      </w:pPr>
      <w:rPr>
        <w:rFonts w:ascii="Symbol" w:hAnsi="Symbol" w:hint="default"/>
      </w:rPr>
    </w:lvl>
    <w:lvl w:ilvl="7" w:tplc="08090003" w:tentative="1">
      <w:start w:val="1"/>
      <w:numFmt w:val="bullet"/>
      <w:lvlText w:val="o"/>
      <w:lvlJc w:val="left"/>
      <w:pPr>
        <w:ind w:left="6414" w:hanging="360"/>
      </w:pPr>
      <w:rPr>
        <w:rFonts w:ascii="Courier New" w:hAnsi="Courier New" w:cs="Courier New" w:hint="default"/>
      </w:rPr>
    </w:lvl>
    <w:lvl w:ilvl="8" w:tplc="08090005" w:tentative="1">
      <w:start w:val="1"/>
      <w:numFmt w:val="bullet"/>
      <w:lvlText w:val=""/>
      <w:lvlJc w:val="left"/>
      <w:pPr>
        <w:ind w:left="7134" w:hanging="360"/>
      </w:pPr>
      <w:rPr>
        <w:rFonts w:ascii="Wingdings" w:hAnsi="Wingdings" w:hint="default"/>
      </w:rPr>
    </w:lvl>
  </w:abstractNum>
  <w:abstractNum w:abstractNumId="1">
    <w:nsid w:val="0B294253"/>
    <w:multiLevelType w:val="hybridMultilevel"/>
    <w:tmpl w:val="3878BA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256876"/>
    <w:multiLevelType w:val="hybridMultilevel"/>
    <w:tmpl w:val="798C6C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40D7C14"/>
    <w:multiLevelType w:val="hybridMultilevel"/>
    <w:tmpl w:val="18909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EB0CDA"/>
    <w:multiLevelType w:val="hybridMultilevel"/>
    <w:tmpl w:val="70666A4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EC441D"/>
    <w:multiLevelType w:val="hybridMultilevel"/>
    <w:tmpl w:val="72A45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D41175"/>
    <w:multiLevelType w:val="hybridMultilevel"/>
    <w:tmpl w:val="CE88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2F12E3"/>
    <w:multiLevelType w:val="hybridMultilevel"/>
    <w:tmpl w:val="EA2AE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211EF"/>
    <w:multiLevelType w:val="hybridMultilevel"/>
    <w:tmpl w:val="6BAA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FB47F3"/>
    <w:multiLevelType w:val="hybridMultilevel"/>
    <w:tmpl w:val="CE6A4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B14590"/>
    <w:multiLevelType w:val="hybridMultilevel"/>
    <w:tmpl w:val="AB0ED25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9FC1887"/>
    <w:multiLevelType w:val="hybridMultilevel"/>
    <w:tmpl w:val="579A21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8609F"/>
    <w:multiLevelType w:val="hybridMultilevel"/>
    <w:tmpl w:val="D2BAB90E"/>
    <w:lvl w:ilvl="0" w:tplc="F43E9CF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2F26BB"/>
    <w:multiLevelType w:val="hybridMultilevel"/>
    <w:tmpl w:val="150024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1"/>
  </w:num>
  <w:num w:numId="5">
    <w:abstractNumId w:val="4"/>
  </w:num>
  <w:num w:numId="6">
    <w:abstractNumId w:val="1"/>
  </w:num>
  <w:num w:numId="7">
    <w:abstractNumId w:val="13"/>
  </w:num>
  <w:num w:numId="8">
    <w:abstractNumId w:val="8"/>
  </w:num>
  <w:num w:numId="9">
    <w:abstractNumId w:val="0"/>
  </w:num>
  <w:num w:numId="10">
    <w:abstractNumId w:val="6"/>
  </w:num>
  <w:num w:numId="11">
    <w:abstractNumId w:val="9"/>
  </w:num>
  <w:num w:numId="12">
    <w:abstractNumId w:val="1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HR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13656"/>
    <w:rsid w:val="000059FE"/>
    <w:rsid w:val="000070CB"/>
    <w:rsid w:val="00012EA3"/>
    <w:rsid w:val="00013F31"/>
    <w:rsid w:val="0002353F"/>
    <w:rsid w:val="00023759"/>
    <w:rsid w:val="00027F3F"/>
    <w:rsid w:val="00035C0E"/>
    <w:rsid w:val="0005443C"/>
    <w:rsid w:val="0005580F"/>
    <w:rsid w:val="000562E2"/>
    <w:rsid w:val="00070302"/>
    <w:rsid w:val="00070E51"/>
    <w:rsid w:val="00071534"/>
    <w:rsid w:val="000732A0"/>
    <w:rsid w:val="00080F90"/>
    <w:rsid w:val="000921F2"/>
    <w:rsid w:val="00093FD8"/>
    <w:rsid w:val="0009479B"/>
    <w:rsid w:val="000A1102"/>
    <w:rsid w:val="000A4EAD"/>
    <w:rsid w:val="000A59BE"/>
    <w:rsid w:val="000B6B12"/>
    <w:rsid w:val="000C6981"/>
    <w:rsid w:val="000D0B41"/>
    <w:rsid w:val="000D542F"/>
    <w:rsid w:val="000D544A"/>
    <w:rsid w:val="000E3A5F"/>
    <w:rsid w:val="000E462F"/>
    <w:rsid w:val="000E48B9"/>
    <w:rsid w:val="000E6015"/>
    <w:rsid w:val="000F00D5"/>
    <w:rsid w:val="000F4DE3"/>
    <w:rsid w:val="000F5527"/>
    <w:rsid w:val="000F69AC"/>
    <w:rsid w:val="00106D6B"/>
    <w:rsid w:val="0012021F"/>
    <w:rsid w:val="00121726"/>
    <w:rsid w:val="00122BB7"/>
    <w:rsid w:val="00123DD6"/>
    <w:rsid w:val="00125D0C"/>
    <w:rsid w:val="001263F1"/>
    <w:rsid w:val="00130BFA"/>
    <w:rsid w:val="00131ACA"/>
    <w:rsid w:val="00132392"/>
    <w:rsid w:val="00132AD9"/>
    <w:rsid w:val="0014699B"/>
    <w:rsid w:val="00150513"/>
    <w:rsid w:val="001534CA"/>
    <w:rsid w:val="0015733F"/>
    <w:rsid w:val="00163B67"/>
    <w:rsid w:val="00164B93"/>
    <w:rsid w:val="001933B6"/>
    <w:rsid w:val="001A000F"/>
    <w:rsid w:val="001A7A3F"/>
    <w:rsid w:val="001A7E1F"/>
    <w:rsid w:val="001B2D99"/>
    <w:rsid w:val="001B3457"/>
    <w:rsid w:val="001B3FFB"/>
    <w:rsid w:val="001C5604"/>
    <w:rsid w:val="001D3AFA"/>
    <w:rsid w:val="001D62CE"/>
    <w:rsid w:val="001D6CA7"/>
    <w:rsid w:val="001D7A9F"/>
    <w:rsid w:val="001E1B13"/>
    <w:rsid w:val="001E4661"/>
    <w:rsid w:val="001E5BAC"/>
    <w:rsid w:val="001F1BFC"/>
    <w:rsid w:val="001F56D4"/>
    <w:rsid w:val="001F57F7"/>
    <w:rsid w:val="002068A7"/>
    <w:rsid w:val="002200E1"/>
    <w:rsid w:val="00222356"/>
    <w:rsid w:val="00224CE9"/>
    <w:rsid w:val="002257A1"/>
    <w:rsid w:val="00232F8A"/>
    <w:rsid w:val="002331D6"/>
    <w:rsid w:val="00233496"/>
    <w:rsid w:val="00233FE1"/>
    <w:rsid w:val="0023634D"/>
    <w:rsid w:val="002416D3"/>
    <w:rsid w:val="00241D39"/>
    <w:rsid w:val="0024769A"/>
    <w:rsid w:val="00254A28"/>
    <w:rsid w:val="00256527"/>
    <w:rsid w:val="00257614"/>
    <w:rsid w:val="00260761"/>
    <w:rsid w:val="00266872"/>
    <w:rsid w:val="00284A70"/>
    <w:rsid w:val="00293D33"/>
    <w:rsid w:val="00295B1A"/>
    <w:rsid w:val="00295C4A"/>
    <w:rsid w:val="002A1150"/>
    <w:rsid w:val="002A79D5"/>
    <w:rsid w:val="002B4090"/>
    <w:rsid w:val="002C0F9C"/>
    <w:rsid w:val="002C178A"/>
    <w:rsid w:val="002C522C"/>
    <w:rsid w:val="002C5A83"/>
    <w:rsid w:val="002D72FE"/>
    <w:rsid w:val="002E275F"/>
    <w:rsid w:val="002F0F06"/>
    <w:rsid w:val="002F42A2"/>
    <w:rsid w:val="002F4652"/>
    <w:rsid w:val="002F62A7"/>
    <w:rsid w:val="00302E34"/>
    <w:rsid w:val="00307811"/>
    <w:rsid w:val="00313D55"/>
    <w:rsid w:val="00314C53"/>
    <w:rsid w:val="00316269"/>
    <w:rsid w:val="00316518"/>
    <w:rsid w:val="00321605"/>
    <w:rsid w:val="00330AD1"/>
    <w:rsid w:val="0033227E"/>
    <w:rsid w:val="003324C0"/>
    <w:rsid w:val="00336C47"/>
    <w:rsid w:val="00341BB1"/>
    <w:rsid w:val="00347BD9"/>
    <w:rsid w:val="00351F04"/>
    <w:rsid w:val="00354CC4"/>
    <w:rsid w:val="00362C97"/>
    <w:rsid w:val="00364086"/>
    <w:rsid w:val="00371217"/>
    <w:rsid w:val="00373AD7"/>
    <w:rsid w:val="00373F96"/>
    <w:rsid w:val="00374CF4"/>
    <w:rsid w:val="003757EA"/>
    <w:rsid w:val="00376BB4"/>
    <w:rsid w:val="003815E7"/>
    <w:rsid w:val="003872E6"/>
    <w:rsid w:val="00387E30"/>
    <w:rsid w:val="00390CB0"/>
    <w:rsid w:val="003918F7"/>
    <w:rsid w:val="003A2F08"/>
    <w:rsid w:val="003A39E9"/>
    <w:rsid w:val="003B138A"/>
    <w:rsid w:val="003B229C"/>
    <w:rsid w:val="003B3201"/>
    <w:rsid w:val="003B43D2"/>
    <w:rsid w:val="003C10E9"/>
    <w:rsid w:val="003C28AB"/>
    <w:rsid w:val="003C3A3F"/>
    <w:rsid w:val="003C55FC"/>
    <w:rsid w:val="003D5F1A"/>
    <w:rsid w:val="003D6448"/>
    <w:rsid w:val="003D6973"/>
    <w:rsid w:val="003D7E23"/>
    <w:rsid w:val="003E647F"/>
    <w:rsid w:val="003F0C5A"/>
    <w:rsid w:val="003F3504"/>
    <w:rsid w:val="003F44C2"/>
    <w:rsid w:val="003F560E"/>
    <w:rsid w:val="0040784B"/>
    <w:rsid w:val="00415A32"/>
    <w:rsid w:val="00434573"/>
    <w:rsid w:val="004349D8"/>
    <w:rsid w:val="004379BC"/>
    <w:rsid w:val="00441EAD"/>
    <w:rsid w:val="00445893"/>
    <w:rsid w:val="00447820"/>
    <w:rsid w:val="00466620"/>
    <w:rsid w:val="00472978"/>
    <w:rsid w:val="00473C5B"/>
    <w:rsid w:val="00476BEA"/>
    <w:rsid w:val="004819A0"/>
    <w:rsid w:val="0048510E"/>
    <w:rsid w:val="004876A1"/>
    <w:rsid w:val="00487A25"/>
    <w:rsid w:val="004967A3"/>
    <w:rsid w:val="004977C3"/>
    <w:rsid w:val="004A5E3F"/>
    <w:rsid w:val="004A6635"/>
    <w:rsid w:val="004A7BFA"/>
    <w:rsid w:val="004B3C94"/>
    <w:rsid w:val="004B3F64"/>
    <w:rsid w:val="004B484B"/>
    <w:rsid w:val="004B643E"/>
    <w:rsid w:val="004B6B09"/>
    <w:rsid w:val="004C0B3B"/>
    <w:rsid w:val="004C1FE4"/>
    <w:rsid w:val="004C2552"/>
    <w:rsid w:val="004D1933"/>
    <w:rsid w:val="004D290B"/>
    <w:rsid w:val="004D783C"/>
    <w:rsid w:val="004E2524"/>
    <w:rsid w:val="004E4613"/>
    <w:rsid w:val="004F0A24"/>
    <w:rsid w:val="004F165F"/>
    <w:rsid w:val="00507BDC"/>
    <w:rsid w:val="00512422"/>
    <w:rsid w:val="00512CB4"/>
    <w:rsid w:val="00515E87"/>
    <w:rsid w:val="005201E5"/>
    <w:rsid w:val="00522B64"/>
    <w:rsid w:val="00530DC5"/>
    <w:rsid w:val="00533D0B"/>
    <w:rsid w:val="00540570"/>
    <w:rsid w:val="00544F32"/>
    <w:rsid w:val="005512D0"/>
    <w:rsid w:val="005529EF"/>
    <w:rsid w:val="00556B31"/>
    <w:rsid w:val="00557CAA"/>
    <w:rsid w:val="00565E09"/>
    <w:rsid w:val="00570D9C"/>
    <w:rsid w:val="005737DD"/>
    <w:rsid w:val="005747B8"/>
    <w:rsid w:val="005762EE"/>
    <w:rsid w:val="005861D9"/>
    <w:rsid w:val="00591955"/>
    <w:rsid w:val="005A3840"/>
    <w:rsid w:val="005A51D9"/>
    <w:rsid w:val="005A7C6F"/>
    <w:rsid w:val="005B0F61"/>
    <w:rsid w:val="005C133D"/>
    <w:rsid w:val="005C1899"/>
    <w:rsid w:val="005C6924"/>
    <w:rsid w:val="005C6EB1"/>
    <w:rsid w:val="005C7BEE"/>
    <w:rsid w:val="005D00AB"/>
    <w:rsid w:val="005D5535"/>
    <w:rsid w:val="005D7054"/>
    <w:rsid w:val="005E2B1C"/>
    <w:rsid w:val="005E3F61"/>
    <w:rsid w:val="005F36EF"/>
    <w:rsid w:val="005F6730"/>
    <w:rsid w:val="006000D5"/>
    <w:rsid w:val="00600B69"/>
    <w:rsid w:val="00604160"/>
    <w:rsid w:val="00605DB1"/>
    <w:rsid w:val="0060796C"/>
    <w:rsid w:val="006120F1"/>
    <w:rsid w:val="0062090F"/>
    <w:rsid w:val="00637259"/>
    <w:rsid w:val="006433E6"/>
    <w:rsid w:val="00644560"/>
    <w:rsid w:val="00645170"/>
    <w:rsid w:val="00645739"/>
    <w:rsid w:val="00652D42"/>
    <w:rsid w:val="00657B6E"/>
    <w:rsid w:val="00660480"/>
    <w:rsid w:val="006659A0"/>
    <w:rsid w:val="006678D9"/>
    <w:rsid w:val="00667A0B"/>
    <w:rsid w:val="006702F0"/>
    <w:rsid w:val="00675229"/>
    <w:rsid w:val="00675F3A"/>
    <w:rsid w:val="006800AD"/>
    <w:rsid w:val="00680B9F"/>
    <w:rsid w:val="00683D14"/>
    <w:rsid w:val="006901A9"/>
    <w:rsid w:val="006935E2"/>
    <w:rsid w:val="006B0B31"/>
    <w:rsid w:val="006D57F2"/>
    <w:rsid w:val="006E7DD2"/>
    <w:rsid w:val="006F00D3"/>
    <w:rsid w:val="006F0A7A"/>
    <w:rsid w:val="006F55FC"/>
    <w:rsid w:val="006F6552"/>
    <w:rsid w:val="006F76B9"/>
    <w:rsid w:val="006F7D48"/>
    <w:rsid w:val="0070440A"/>
    <w:rsid w:val="00706C50"/>
    <w:rsid w:val="00710D30"/>
    <w:rsid w:val="00711F9E"/>
    <w:rsid w:val="00724AD9"/>
    <w:rsid w:val="00733B61"/>
    <w:rsid w:val="00733B73"/>
    <w:rsid w:val="00742966"/>
    <w:rsid w:val="00746EBA"/>
    <w:rsid w:val="00752C51"/>
    <w:rsid w:val="00765025"/>
    <w:rsid w:val="007650C1"/>
    <w:rsid w:val="007655CE"/>
    <w:rsid w:val="00766EC6"/>
    <w:rsid w:val="007701E9"/>
    <w:rsid w:val="00771F92"/>
    <w:rsid w:val="00775AE7"/>
    <w:rsid w:val="007815D2"/>
    <w:rsid w:val="00787003"/>
    <w:rsid w:val="00787FCC"/>
    <w:rsid w:val="007915D4"/>
    <w:rsid w:val="007942DC"/>
    <w:rsid w:val="00797172"/>
    <w:rsid w:val="00797BDA"/>
    <w:rsid w:val="007A4B3B"/>
    <w:rsid w:val="007A5728"/>
    <w:rsid w:val="007B65E0"/>
    <w:rsid w:val="007C09CC"/>
    <w:rsid w:val="007C221F"/>
    <w:rsid w:val="007C594F"/>
    <w:rsid w:val="007C5DA3"/>
    <w:rsid w:val="007C6707"/>
    <w:rsid w:val="007D3F79"/>
    <w:rsid w:val="007D5EBA"/>
    <w:rsid w:val="007D6D69"/>
    <w:rsid w:val="007D6EA4"/>
    <w:rsid w:val="007E65AF"/>
    <w:rsid w:val="007F7E73"/>
    <w:rsid w:val="00801061"/>
    <w:rsid w:val="00802994"/>
    <w:rsid w:val="0080547C"/>
    <w:rsid w:val="008136DD"/>
    <w:rsid w:val="00817BD9"/>
    <w:rsid w:val="00820ADB"/>
    <w:rsid w:val="00825BA4"/>
    <w:rsid w:val="008324DC"/>
    <w:rsid w:val="00833E56"/>
    <w:rsid w:val="008344E1"/>
    <w:rsid w:val="00840ED9"/>
    <w:rsid w:val="00843A73"/>
    <w:rsid w:val="00844189"/>
    <w:rsid w:val="00847398"/>
    <w:rsid w:val="00864D41"/>
    <w:rsid w:val="00865079"/>
    <w:rsid w:val="008708EE"/>
    <w:rsid w:val="0087315A"/>
    <w:rsid w:val="0088753A"/>
    <w:rsid w:val="008907E3"/>
    <w:rsid w:val="008A0693"/>
    <w:rsid w:val="008A4775"/>
    <w:rsid w:val="008A61F4"/>
    <w:rsid w:val="008B03BA"/>
    <w:rsid w:val="008B1AD5"/>
    <w:rsid w:val="008B331D"/>
    <w:rsid w:val="008B3B5C"/>
    <w:rsid w:val="008C6A86"/>
    <w:rsid w:val="008D4BBF"/>
    <w:rsid w:val="008D6370"/>
    <w:rsid w:val="008E1FB4"/>
    <w:rsid w:val="008E7899"/>
    <w:rsid w:val="008F12F2"/>
    <w:rsid w:val="008F57C0"/>
    <w:rsid w:val="0090011D"/>
    <w:rsid w:val="00901210"/>
    <w:rsid w:val="0090266B"/>
    <w:rsid w:val="00904A42"/>
    <w:rsid w:val="00905B4F"/>
    <w:rsid w:val="00913FF1"/>
    <w:rsid w:val="009161C4"/>
    <w:rsid w:val="009167F9"/>
    <w:rsid w:val="00922A4B"/>
    <w:rsid w:val="00924A6B"/>
    <w:rsid w:val="009258C0"/>
    <w:rsid w:val="00931237"/>
    <w:rsid w:val="00931C5D"/>
    <w:rsid w:val="00936D71"/>
    <w:rsid w:val="00941D2E"/>
    <w:rsid w:val="00942589"/>
    <w:rsid w:val="009450C1"/>
    <w:rsid w:val="00947BAC"/>
    <w:rsid w:val="00961BE5"/>
    <w:rsid w:val="00972DAB"/>
    <w:rsid w:val="00975419"/>
    <w:rsid w:val="00976C35"/>
    <w:rsid w:val="00981931"/>
    <w:rsid w:val="0098688A"/>
    <w:rsid w:val="00991D7C"/>
    <w:rsid w:val="009B1455"/>
    <w:rsid w:val="009B63FF"/>
    <w:rsid w:val="009B6582"/>
    <w:rsid w:val="009C4797"/>
    <w:rsid w:val="009C76D5"/>
    <w:rsid w:val="009C7FC7"/>
    <w:rsid w:val="009E63B0"/>
    <w:rsid w:val="009E65AA"/>
    <w:rsid w:val="009E77B3"/>
    <w:rsid w:val="009F0169"/>
    <w:rsid w:val="009F327E"/>
    <w:rsid w:val="009F59E4"/>
    <w:rsid w:val="009F5AB0"/>
    <w:rsid w:val="00A06FA2"/>
    <w:rsid w:val="00A17C1C"/>
    <w:rsid w:val="00A20833"/>
    <w:rsid w:val="00A30EEF"/>
    <w:rsid w:val="00A346DC"/>
    <w:rsid w:val="00A37D91"/>
    <w:rsid w:val="00A44944"/>
    <w:rsid w:val="00A53017"/>
    <w:rsid w:val="00A66071"/>
    <w:rsid w:val="00A71ED6"/>
    <w:rsid w:val="00A83F9A"/>
    <w:rsid w:val="00A86B6F"/>
    <w:rsid w:val="00A915E4"/>
    <w:rsid w:val="00A918CF"/>
    <w:rsid w:val="00AA2EA1"/>
    <w:rsid w:val="00AA5A17"/>
    <w:rsid w:val="00AA5F18"/>
    <w:rsid w:val="00AA6089"/>
    <w:rsid w:val="00AC44E7"/>
    <w:rsid w:val="00AC5770"/>
    <w:rsid w:val="00AD182A"/>
    <w:rsid w:val="00AD35FA"/>
    <w:rsid w:val="00AD60A4"/>
    <w:rsid w:val="00AD6EB7"/>
    <w:rsid w:val="00AE69AE"/>
    <w:rsid w:val="00AF3830"/>
    <w:rsid w:val="00AF5A30"/>
    <w:rsid w:val="00AF7147"/>
    <w:rsid w:val="00AF7174"/>
    <w:rsid w:val="00B04C7C"/>
    <w:rsid w:val="00B0691F"/>
    <w:rsid w:val="00B077EF"/>
    <w:rsid w:val="00B11F48"/>
    <w:rsid w:val="00B20F60"/>
    <w:rsid w:val="00B22D66"/>
    <w:rsid w:val="00B3502D"/>
    <w:rsid w:val="00B35ECC"/>
    <w:rsid w:val="00B36346"/>
    <w:rsid w:val="00B43700"/>
    <w:rsid w:val="00B51595"/>
    <w:rsid w:val="00B51E64"/>
    <w:rsid w:val="00B53969"/>
    <w:rsid w:val="00B54A2B"/>
    <w:rsid w:val="00B60051"/>
    <w:rsid w:val="00B6436B"/>
    <w:rsid w:val="00B66A18"/>
    <w:rsid w:val="00B82D3C"/>
    <w:rsid w:val="00B95E32"/>
    <w:rsid w:val="00BA5CBE"/>
    <w:rsid w:val="00BB0F85"/>
    <w:rsid w:val="00BB3444"/>
    <w:rsid w:val="00BB5F16"/>
    <w:rsid w:val="00BC11B2"/>
    <w:rsid w:val="00BC3DB2"/>
    <w:rsid w:val="00BC7F91"/>
    <w:rsid w:val="00BD0CA2"/>
    <w:rsid w:val="00BD35BF"/>
    <w:rsid w:val="00BD5D40"/>
    <w:rsid w:val="00BE1A31"/>
    <w:rsid w:val="00BE3007"/>
    <w:rsid w:val="00BE4198"/>
    <w:rsid w:val="00BF4F37"/>
    <w:rsid w:val="00BF50E4"/>
    <w:rsid w:val="00C02BF2"/>
    <w:rsid w:val="00C03E79"/>
    <w:rsid w:val="00C0521A"/>
    <w:rsid w:val="00C10DB6"/>
    <w:rsid w:val="00C1583F"/>
    <w:rsid w:val="00C20CB4"/>
    <w:rsid w:val="00C3709D"/>
    <w:rsid w:val="00C41C6F"/>
    <w:rsid w:val="00C45EBC"/>
    <w:rsid w:val="00C479C7"/>
    <w:rsid w:val="00C63CED"/>
    <w:rsid w:val="00C6701D"/>
    <w:rsid w:val="00C70216"/>
    <w:rsid w:val="00C73288"/>
    <w:rsid w:val="00C763D2"/>
    <w:rsid w:val="00C846BB"/>
    <w:rsid w:val="00C85EF1"/>
    <w:rsid w:val="00C87350"/>
    <w:rsid w:val="00C90013"/>
    <w:rsid w:val="00C91E8E"/>
    <w:rsid w:val="00C92872"/>
    <w:rsid w:val="00C95759"/>
    <w:rsid w:val="00CA5B30"/>
    <w:rsid w:val="00CA68DC"/>
    <w:rsid w:val="00CA6AC9"/>
    <w:rsid w:val="00CA739E"/>
    <w:rsid w:val="00CB0368"/>
    <w:rsid w:val="00CB0445"/>
    <w:rsid w:val="00CB248F"/>
    <w:rsid w:val="00CB25E0"/>
    <w:rsid w:val="00CC4E6B"/>
    <w:rsid w:val="00CC5661"/>
    <w:rsid w:val="00CD1FE0"/>
    <w:rsid w:val="00CD2C6F"/>
    <w:rsid w:val="00CD4C7B"/>
    <w:rsid w:val="00CE40EA"/>
    <w:rsid w:val="00CE7408"/>
    <w:rsid w:val="00D0273B"/>
    <w:rsid w:val="00D06D0C"/>
    <w:rsid w:val="00D06F57"/>
    <w:rsid w:val="00D11C84"/>
    <w:rsid w:val="00D16887"/>
    <w:rsid w:val="00D36789"/>
    <w:rsid w:val="00D36822"/>
    <w:rsid w:val="00D4151B"/>
    <w:rsid w:val="00D45B6F"/>
    <w:rsid w:val="00D530BD"/>
    <w:rsid w:val="00D5389B"/>
    <w:rsid w:val="00D54682"/>
    <w:rsid w:val="00D547FA"/>
    <w:rsid w:val="00D60109"/>
    <w:rsid w:val="00D6436F"/>
    <w:rsid w:val="00D717C9"/>
    <w:rsid w:val="00D72542"/>
    <w:rsid w:val="00D752EC"/>
    <w:rsid w:val="00D7599E"/>
    <w:rsid w:val="00D774B3"/>
    <w:rsid w:val="00D77990"/>
    <w:rsid w:val="00D905FA"/>
    <w:rsid w:val="00D9300C"/>
    <w:rsid w:val="00DA1452"/>
    <w:rsid w:val="00DA1713"/>
    <w:rsid w:val="00DA256A"/>
    <w:rsid w:val="00DA58CA"/>
    <w:rsid w:val="00DA684D"/>
    <w:rsid w:val="00DC12EB"/>
    <w:rsid w:val="00DC5E72"/>
    <w:rsid w:val="00DC771F"/>
    <w:rsid w:val="00DD047D"/>
    <w:rsid w:val="00DD2897"/>
    <w:rsid w:val="00DE3AC9"/>
    <w:rsid w:val="00DE47E4"/>
    <w:rsid w:val="00DF3D6B"/>
    <w:rsid w:val="00DF70F7"/>
    <w:rsid w:val="00E01F72"/>
    <w:rsid w:val="00E10168"/>
    <w:rsid w:val="00E13656"/>
    <w:rsid w:val="00E14772"/>
    <w:rsid w:val="00E16DA4"/>
    <w:rsid w:val="00E21D97"/>
    <w:rsid w:val="00E22910"/>
    <w:rsid w:val="00E24909"/>
    <w:rsid w:val="00E250FA"/>
    <w:rsid w:val="00E33192"/>
    <w:rsid w:val="00E35CCD"/>
    <w:rsid w:val="00E40AB2"/>
    <w:rsid w:val="00E43109"/>
    <w:rsid w:val="00E43192"/>
    <w:rsid w:val="00E4458B"/>
    <w:rsid w:val="00E47640"/>
    <w:rsid w:val="00E541A8"/>
    <w:rsid w:val="00E55B1D"/>
    <w:rsid w:val="00E55E42"/>
    <w:rsid w:val="00E57E65"/>
    <w:rsid w:val="00E60E54"/>
    <w:rsid w:val="00E623B5"/>
    <w:rsid w:val="00E70118"/>
    <w:rsid w:val="00E71DA2"/>
    <w:rsid w:val="00E84C65"/>
    <w:rsid w:val="00E916DA"/>
    <w:rsid w:val="00E94B24"/>
    <w:rsid w:val="00E9559A"/>
    <w:rsid w:val="00E961D3"/>
    <w:rsid w:val="00EA3296"/>
    <w:rsid w:val="00EA6B42"/>
    <w:rsid w:val="00EB3069"/>
    <w:rsid w:val="00EC0D73"/>
    <w:rsid w:val="00EC1AD6"/>
    <w:rsid w:val="00EC3E3B"/>
    <w:rsid w:val="00ED08EF"/>
    <w:rsid w:val="00ED26E5"/>
    <w:rsid w:val="00ED5984"/>
    <w:rsid w:val="00EE5B98"/>
    <w:rsid w:val="00EE695A"/>
    <w:rsid w:val="00EF1534"/>
    <w:rsid w:val="00EF3C04"/>
    <w:rsid w:val="00F0666C"/>
    <w:rsid w:val="00F0759A"/>
    <w:rsid w:val="00F10510"/>
    <w:rsid w:val="00F17C0A"/>
    <w:rsid w:val="00F21295"/>
    <w:rsid w:val="00F3161C"/>
    <w:rsid w:val="00F322AF"/>
    <w:rsid w:val="00F32C5A"/>
    <w:rsid w:val="00F41323"/>
    <w:rsid w:val="00F4344C"/>
    <w:rsid w:val="00F51E28"/>
    <w:rsid w:val="00F61693"/>
    <w:rsid w:val="00F66EAB"/>
    <w:rsid w:val="00F67388"/>
    <w:rsid w:val="00F705DD"/>
    <w:rsid w:val="00F73C88"/>
    <w:rsid w:val="00F76047"/>
    <w:rsid w:val="00F76A41"/>
    <w:rsid w:val="00F80695"/>
    <w:rsid w:val="00F84173"/>
    <w:rsid w:val="00F9119E"/>
    <w:rsid w:val="00F919BA"/>
    <w:rsid w:val="00F95AB5"/>
    <w:rsid w:val="00FB1D92"/>
    <w:rsid w:val="00FB6BDC"/>
    <w:rsid w:val="00FB7059"/>
    <w:rsid w:val="00FC17F9"/>
    <w:rsid w:val="00FC7FFC"/>
    <w:rsid w:val="00FD02BF"/>
    <w:rsid w:val="00FD233D"/>
    <w:rsid w:val="00FF37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79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10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130BFA"/>
    <w:pPr>
      <w:keepNext/>
      <w:keepLines/>
      <w:spacing w:before="320" w:after="120"/>
      <w:outlineLvl w:val="1"/>
    </w:pPr>
    <w:rPr>
      <w:rFonts w:eastAsiaTheme="majorEastAsia" w:cstheme="majorBidi"/>
      <w:b/>
      <w:bCs/>
      <w:sz w:val="28"/>
      <w:szCs w:val="26"/>
      <w:lang w:eastAsia="en-US"/>
    </w:rPr>
  </w:style>
  <w:style w:type="paragraph" w:styleId="Heading3">
    <w:name w:val="heading 3"/>
    <w:basedOn w:val="Normal"/>
    <w:next w:val="Normal"/>
    <w:link w:val="Heading3Char"/>
    <w:uiPriority w:val="9"/>
    <w:unhideWhenUsed/>
    <w:qFormat/>
    <w:rsid w:val="00130BFA"/>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B11F4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11F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3656"/>
    <w:pPr>
      <w:spacing w:after="0" w:line="240" w:lineRule="auto"/>
    </w:pPr>
    <w:rPr>
      <w:lang w:val="en-US" w:eastAsia="ja-JP"/>
    </w:rPr>
  </w:style>
  <w:style w:type="character" w:customStyle="1" w:styleId="NoSpacingChar">
    <w:name w:val="No Spacing Char"/>
    <w:basedOn w:val="DefaultParagraphFont"/>
    <w:link w:val="NoSpacing"/>
    <w:uiPriority w:val="1"/>
    <w:rsid w:val="00E13656"/>
    <w:rPr>
      <w:lang w:val="en-US" w:eastAsia="ja-JP"/>
    </w:rPr>
  </w:style>
  <w:style w:type="paragraph" w:styleId="BalloonText">
    <w:name w:val="Balloon Text"/>
    <w:basedOn w:val="Normal"/>
    <w:link w:val="BalloonTextChar"/>
    <w:uiPriority w:val="99"/>
    <w:semiHidden/>
    <w:unhideWhenUsed/>
    <w:rsid w:val="00E13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656"/>
    <w:rPr>
      <w:rFonts w:ascii="Tahoma" w:hAnsi="Tahoma" w:cs="Tahoma"/>
      <w:sz w:val="16"/>
      <w:szCs w:val="16"/>
    </w:rPr>
  </w:style>
  <w:style w:type="character" w:customStyle="1" w:styleId="Heading1Char">
    <w:name w:val="Heading 1 Char"/>
    <w:basedOn w:val="DefaultParagraphFont"/>
    <w:link w:val="Heading1"/>
    <w:uiPriority w:val="9"/>
    <w:rsid w:val="0048510E"/>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30BFA"/>
    <w:rPr>
      <w:rFonts w:eastAsiaTheme="majorEastAsia" w:cstheme="majorBidi"/>
      <w:b/>
      <w:bCs/>
      <w:sz w:val="28"/>
      <w:szCs w:val="26"/>
      <w:lang w:eastAsia="en-US"/>
    </w:rPr>
  </w:style>
  <w:style w:type="character" w:customStyle="1" w:styleId="Heading3Char">
    <w:name w:val="Heading 3 Char"/>
    <w:basedOn w:val="DefaultParagraphFont"/>
    <w:link w:val="Heading3"/>
    <w:uiPriority w:val="9"/>
    <w:rsid w:val="00130BFA"/>
    <w:rPr>
      <w:rFonts w:eastAsiaTheme="majorEastAsia" w:cstheme="majorBidi"/>
      <w:b/>
      <w:bCs/>
      <w:sz w:val="24"/>
    </w:rPr>
  </w:style>
  <w:style w:type="paragraph" w:styleId="Title">
    <w:name w:val="Title"/>
    <w:basedOn w:val="Normal"/>
    <w:next w:val="Normal"/>
    <w:link w:val="TitleChar"/>
    <w:uiPriority w:val="10"/>
    <w:qFormat/>
    <w:rsid w:val="00130BFA"/>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eastAsia="en-US"/>
    </w:rPr>
  </w:style>
  <w:style w:type="character" w:customStyle="1" w:styleId="TitleChar">
    <w:name w:val="Title Char"/>
    <w:basedOn w:val="DefaultParagraphFont"/>
    <w:link w:val="Title"/>
    <w:uiPriority w:val="10"/>
    <w:rsid w:val="00130BFA"/>
    <w:rPr>
      <w:rFonts w:asciiTheme="majorHAnsi" w:eastAsiaTheme="majorEastAsia" w:hAnsiTheme="majorHAnsi" w:cstheme="majorBidi"/>
      <w:spacing w:val="5"/>
      <w:kern w:val="28"/>
      <w:sz w:val="52"/>
      <w:szCs w:val="52"/>
      <w:lang w:eastAsia="en-US"/>
    </w:rPr>
  </w:style>
  <w:style w:type="paragraph" w:styleId="Subtitle">
    <w:name w:val="Subtitle"/>
    <w:basedOn w:val="Normal"/>
    <w:next w:val="Normal"/>
    <w:link w:val="SubtitleChar"/>
    <w:uiPriority w:val="11"/>
    <w:qFormat/>
    <w:rsid w:val="0048510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48510E"/>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48510E"/>
    <w:rPr>
      <w:i/>
      <w:iCs/>
      <w:color w:val="808080" w:themeColor="text1" w:themeTint="7F"/>
    </w:rPr>
  </w:style>
  <w:style w:type="paragraph" w:styleId="FootnoteText">
    <w:name w:val="footnote text"/>
    <w:basedOn w:val="Normal"/>
    <w:link w:val="FootnoteTextChar"/>
    <w:uiPriority w:val="99"/>
    <w:unhideWhenUsed/>
    <w:rsid w:val="0048510E"/>
    <w:pPr>
      <w:spacing w:after="0" w:line="240" w:lineRule="auto"/>
    </w:pPr>
    <w:rPr>
      <w:sz w:val="20"/>
      <w:szCs w:val="20"/>
    </w:rPr>
  </w:style>
  <w:style w:type="character" w:customStyle="1" w:styleId="FootnoteTextChar">
    <w:name w:val="Footnote Text Char"/>
    <w:basedOn w:val="DefaultParagraphFont"/>
    <w:link w:val="FootnoteText"/>
    <w:uiPriority w:val="99"/>
    <w:rsid w:val="0048510E"/>
    <w:rPr>
      <w:sz w:val="20"/>
      <w:szCs w:val="20"/>
    </w:rPr>
  </w:style>
  <w:style w:type="character" w:styleId="FootnoteReference">
    <w:name w:val="footnote reference"/>
    <w:basedOn w:val="DefaultParagraphFont"/>
    <w:uiPriority w:val="99"/>
    <w:semiHidden/>
    <w:unhideWhenUsed/>
    <w:rsid w:val="0048510E"/>
    <w:rPr>
      <w:vertAlign w:val="superscript"/>
    </w:rPr>
  </w:style>
  <w:style w:type="character" w:styleId="Hyperlink">
    <w:name w:val="Hyperlink"/>
    <w:basedOn w:val="DefaultParagraphFont"/>
    <w:uiPriority w:val="99"/>
    <w:unhideWhenUsed/>
    <w:rsid w:val="0048510E"/>
    <w:rPr>
      <w:color w:val="0000FF" w:themeColor="hyperlink"/>
      <w:u w:val="single"/>
    </w:rPr>
  </w:style>
  <w:style w:type="paragraph" w:styleId="Header">
    <w:name w:val="header"/>
    <w:basedOn w:val="Normal"/>
    <w:link w:val="HeaderChar"/>
    <w:uiPriority w:val="99"/>
    <w:unhideWhenUsed/>
    <w:rsid w:val="0048510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8510E"/>
    <w:rPr>
      <w:rFonts w:eastAsiaTheme="minorHAnsi"/>
      <w:lang w:eastAsia="en-US"/>
    </w:rPr>
  </w:style>
  <w:style w:type="paragraph" w:styleId="Footer">
    <w:name w:val="footer"/>
    <w:basedOn w:val="Normal"/>
    <w:link w:val="FooterChar"/>
    <w:uiPriority w:val="99"/>
    <w:unhideWhenUsed/>
    <w:rsid w:val="0048510E"/>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8510E"/>
    <w:rPr>
      <w:rFonts w:eastAsiaTheme="minorHAnsi"/>
      <w:lang w:eastAsia="en-US"/>
    </w:rPr>
  </w:style>
  <w:style w:type="paragraph" w:styleId="Caption">
    <w:name w:val="caption"/>
    <w:basedOn w:val="Normal"/>
    <w:next w:val="Normal"/>
    <w:uiPriority w:val="35"/>
    <w:unhideWhenUsed/>
    <w:qFormat/>
    <w:rsid w:val="0048510E"/>
    <w:pPr>
      <w:spacing w:line="240" w:lineRule="auto"/>
    </w:pPr>
    <w:rPr>
      <w:rFonts w:eastAsiaTheme="minorHAnsi"/>
      <w:b/>
      <w:bCs/>
      <w:color w:val="4F81BD" w:themeColor="accent1"/>
      <w:sz w:val="18"/>
      <w:szCs w:val="18"/>
      <w:lang w:eastAsia="en-US"/>
    </w:rPr>
  </w:style>
  <w:style w:type="paragraph" w:styleId="ListParagraph">
    <w:name w:val="List Paragraph"/>
    <w:basedOn w:val="Normal"/>
    <w:uiPriority w:val="34"/>
    <w:qFormat/>
    <w:rsid w:val="0048510E"/>
    <w:pPr>
      <w:ind w:left="720"/>
      <w:contextualSpacing/>
    </w:pPr>
  </w:style>
  <w:style w:type="paragraph" w:styleId="TOCHeading">
    <w:name w:val="TOC Heading"/>
    <w:basedOn w:val="Heading1"/>
    <w:next w:val="Normal"/>
    <w:uiPriority w:val="39"/>
    <w:unhideWhenUsed/>
    <w:qFormat/>
    <w:rsid w:val="0048510E"/>
    <w:pPr>
      <w:outlineLvl w:val="9"/>
    </w:pPr>
    <w:rPr>
      <w:lang w:val="en-US" w:eastAsia="ja-JP"/>
    </w:rPr>
  </w:style>
  <w:style w:type="paragraph" w:styleId="TOC1">
    <w:name w:val="toc 1"/>
    <w:basedOn w:val="Normal"/>
    <w:next w:val="Normal"/>
    <w:autoRedefine/>
    <w:uiPriority w:val="39"/>
    <w:unhideWhenUsed/>
    <w:rsid w:val="003D5F1A"/>
    <w:pPr>
      <w:tabs>
        <w:tab w:val="left" w:pos="440"/>
        <w:tab w:val="right" w:leader="dot" w:pos="9016"/>
      </w:tabs>
      <w:spacing w:after="100"/>
    </w:pPr>
    <w:rPr>
      <w:rFonts w:eastAsiaTheme="minorHAnsi"/>
      <w:noProof/>
      <w:lang w:eastAsia="en-US"/>
    </w:rPr>
  </w:style>
  <w:style w:type="paragraph" w:styleId="TOC2">
    <w:name w:val="toc 2"/>
    <w:basedOn w:val="Normal"/>
    <w:next w:val="Normal"/>
    <w:autoRedefine/>
    <w:uiPriority w:val="39"/>
    <w:unhideWhenUsed/>
    <w:rsid w:val="0048510E"/>
    <w:pPr>
      <w:spacing w:after="100"/>
      <w:ind w:left="220"/>
    </w:pPr>
    <w:rPr>
      <w:rFonts w:eastAsiaTheme="minorHAnsi"/>
      <w:lang w:eastAsia="en-US"/>
    </w:rPr>
  </w:style>
  <w:style w:type="character" w:customStyle="1" w:styleId="citation">
    <w:name w:val="citation"/>
    <w:basedOn w:val="DefaultParagraphFont"/>
    <w:rsid w:val="0048510E"/>
  </w:style>
  <w:style w:type="character" w:styleId="CommentReference">
    <w:name w:val="annotation reference"/>
    <w:basedOn w:val="DefaultParagraphFont"/>
    <w:uiPriority w:val="99"/>
    <w:semiHidden/>
    <w:unhideWhenUsed/>
    <w:rsid w:val="0048510E"/>
    <w:rPr>
      <w:sz w:val="16"/>
      <w:szCs w:val="16"/>
    </w:rPr>
  </w:style>
  <w:style w:type="paragraph" w:styleId="CommentText">
    <w:name w:val="annotation text"/>
    <w:basedOn w:val="Normal"/>
    <w:link w:val="CommentTextChar"/>
    <w:uiPriority w:val="99"/>
    <w:semiHidden/>
    <w:unhideWhenUsed/>
    <w:rsid w:val="0048510E"/>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48510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48510E"/>
    <w:rPr>
      <w:b/>
      <w:bCs/>
    </w:rPr>
  </w:style>
  <w:style w:type="character" w:customStyle="1" w:styleId="CommentSubjectChar">
    <w:name w:val="Comment Subject Char"/>
    <w:basedOn w:val="CommentTextChar"/>
    <w:link w:val="CommentSubject"/>
    <w:uiPriority w:val="99"/>
    <w:semiHidden/>
    <w:rsid w:val="0048510E"/>
    <w:rPr>
      <w:rFonts w:eastAsiaTheme="minorHAnsi"/>
      <w:b/>
      <w:bCs/>
      <w:sz w:val="20"/>
      <w:szCs w:val="20"/>
      <w:lang w:eastAsia="en-US"/>
    </w:rPr>
  </w:style>
  <w:style w:type="paragraph" w:styleId="EndnoteText">
    <w:name w:val="endnote text"/>
    <w:basedOn w:val="Normal"/>
    <w:link w:val="EndnoteTextChar"/>
    <w:uiPriority w:val="99"/>
    <w:semiHidden/>
    <w:unhideWhenUsed/>
    <w:rsid w:val="0048510E"/>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48510E"/>
    <w:rPr>
      <w:rFonts w:eastAsiaTheme="minorHAnsi"/>
      <w:sz w:val="20"/>
      <w:szCs w:val="20"/>
      <w:lang w:eastAsia="en-US"/>
    </w:rPr>
  </w:style>
  <w:style w:type="character" w:styleId="EndnoteReference">
    <w:name w:val="endnote reference"/>
    <w:basedOn w:val="DefaultParagraphFont"/>
    <w:uiPriority w:val="99"/>
    <w:semiHidden/>
    <w:unhideWhenUsed/>
    <w:rsid w:val="0048510E"/>
    <w:rPr>
      <w:vertAlign w:val="superscript"/>
    </w:rPr>
  </w:style>
  <w:style w:type="character" w:customStyle="1" w:styleId="Heading4Char">
    <w:name w:val="Heading 4 Char"/>
    <w:basedOn w:val="DefaultParagraphFont"/>
    <w:link w:val="Heading4"/>
    <w:uiPriority w:val="9"/>
    <w:rsid w:val="00B11F4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11F48"/>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2F62A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F62A7"/>
    <w:rPr>
      <w:rFonts w:ascii="Calibri" w:hAnsi="Calibri"/>
      <w:noProof/>
    </w:rPr>
  </w:style>
  <w:style w:type="paragraph" w:customStyle="1" w:styleId="EndNoteBibliography">
    <w:name w:val="EndNote Bibliography"/>
    <w:basedOn w:val="Normal"/>
    <w:link w:val="EndNoteBibliographyChar"/>
    <w:rsid w:val="002F62A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F62A7"/>
    <w:rPr>
      <w:rFonts w:ascii="Calibri" w:hAnsi="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510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130BFA"/>
    <w:pPr>
      <w:keepNext/>
      <w:keepLines/>
      <w:spacing w:before="320" w:after="120"/>
      <w:outlineLvl w:val="1"/>
    </w:pPr>
    <w:rPr>
      <w:rFonts w:eastAsiaTheme="majorEastAsia" w:cstheme="majorBidi"/>
      <w:b/>
      <w:bCs/>
      <w:sz w:val="28"/>
      <w:szCs w:val="26"/>
      <w:lang w:eastAsia="en-US"/>
    </w:rPr>
  </w:style>
  <w:style w:type="paragraph" w:styleId="Heading3">
    <w:name w:val="heading 3"/>
    <w:basedOn w:val="Normal"/>
    <w:next w:val="Normal"/>
    <w:link w:val="Heading3Char"/>
    <w:uiPriority w:val="9"/>
    <w:unhideWhenUsed/>
    <w:qFormat/>
    <w:rsid w:val="00130BFA"/>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B11F4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11F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3656"/>
    <w:pPr>
      <w:spacing w:after="0" w:line="240" w:lineRule="auto"/>
    </w:pPr>
    <w:rPr>
      <w:lang w:val="en-US" w:eastAsia="ja-JP"/>
    </w:rPr>
  </w:style>
  <w:style w:type="character" w:customStyle="1" w:styleId="NoSpacingChar">
    <w:name w:val="No Spacing Char"/>
    <w:basedOn w:val="DefaultParagraphFont"/>
    <w:link w:val="NoSpacing"/>
    <w:uiPriority w:val="1"/>
    <w:rsid w:val="00E13656"/>
    <w:rPr>
      <w:lang w:val="en-US" w:eastAsia="ja-JP"/>
    </w:rPr>
  </w:style>
  <w:style w:type="paragraph" w:styleId="BalloonText">
    <w:name w:val="Balloon Text"/>
    <w:basedOn w:val="Normal"/>
    <w:link w:val="BalloonTextChar"/>
    <w:uiPriority w:val="99"/>
    <w:semiHidden/>
    <w:unhideWhenUsed/>
    <w:rsid w:val="00E13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656"/>
    <w:rPr>
      <w:rFonts w:ascii="Tahoma" w:hAnsi="Tahoma" w:cs="Tahoma"/>
      <w:sz w:val="16"/>
      <w:szCs w:val="16"/>
    </w:rPr>
  </w:style>
  <w:style w:type="character" w:customStyle="1" w:styleId="Heading1Char">
    <w:name w:val="Heading 1 Char"/>
    <w:basedOn w:val="DefaultParagraphFont"/>
    <w:link w:val="Heading1"/>
    <w:uiPriority w:val="9"/>
    <w:rsid w:val="0048510E"/>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130BFA"/>
    <w:rPr>
      <w:rFonts w:eastAsiaTheme="majorEastAsia" w:cstheme="majorBidi"/>
      <w:b/>
      <w:bCs/>
      <w:sz w:val="28"/>
      <w:szCs w:val="26"/>
      <w:lang w:eastAsia="en-US"/>
    </w:rPr>
  </w:style>
  <w:style w:type="character" w:customStyle="1" w:styleId="Heading3Char">
    <w:name w:val="Heading 3 Char"/>
    <w:basedOn w:val="DefaultParagraphFont"/>
    <w:link w:val="Heading3"/>
    <w:uiPriority w:val="9"/>
    <w:rsid w:val="00130BFA"/>
    <w:rPr>
      <w:rFonts w:eastAsiaTheme="majorEastAsia" w:cstheme="majorBidi"/>
      <w:b/>
      <w:bCs/>
      <w:sz w:val="24"/>
    </w:rPr>
  </w:style>
  <w:style w:type="paragraph" w:styleId="Title">
    <w:name w:val="Title"/>
    <w:basedOn w:val="Normal"/>
    <w:next w:val="Normal"/>
    <w:link w:val="TitleChar"/>
    <w:uiPriority w:val="10"/>
    <w:qFormat/>
    <w:rsid w:val="00130BFA"/>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lang w:eastAsia="en-US"/>
    </w:rPr>
  </w:style>
  <w:style w:type="character" w:customStyle="1" w:styleId="TitleChar">
    <w:name w:val="Title Char"/>
    <w:basedOn w:val="DefaultParagraphFont"/>
    <w:link w:val="Title"/>
    <w:uiPriority w:val="10"/>
    <w:rsid w:val="00130BFA"/>
    <w:rPr>
      <w:rFonts w:asciiTheme="majorHAnsi" w:eastAsiaTheme="majorEastAsia" w:hAnsiTheme="majorHAnsi" w:cstheme="majorBidi"/>
      <w:spacing w:val="5"/>
      <w:kern w:val="28"/>
      <w:sz w:val="52"/>
      <w:szCs w:val="52"/>
      <w:lang w:eastAsia="en-US"/>
    </w:rPr>
  </w:style>
  <w:style w:type="paragraph" w:styleId="Subtitle">
    <w:name w:val="Subtitle"/>
    <w:basedOn w:val="Normal"/>
    <w:next w:val="Normal"/>
    <w:link w:val="SubtitleChar"/>
    <w:uiPriority w:val="11"/>
    <w:qFormat/>
    <w:rsid w:val="0048510E"/>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48510E"/>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qFormat/>
    <w:rsid w:val="0048510E"/>
    <w:rPr>
      <w:i/>
      <w:iCs/>
      <w:color w:val="808080" w:themeColor="text1" w:themeTint="7F"/>
    </w:rPr>
  </w:style>
  <w:style w:type="paragraph" w:styleId="FootnoteText">
    <w:name w:val="footnote text"/>
    <w:basedOn w:val="Normal"/>
    <w:link w:val="FootnoteTextChar"/>
    <w:uiPriority w:val="99"/>
    <w:unhideWhenUsed/>
    <w:rsid w:val="0048510E"/>
    <w:pPr>
      <w:spacing w:after="0" w:line="240" w:lineRule="auto"/>
    </w:pPr>
    <w:rPr>
      <w:sz w:val="20"/>
      <w:szCs w:val="20"/>
    </w:rPr>
  </w:style>
  <w:style w:type="character" w:customStyle="1" w:styleId="FootnoteTextChar">
    <w:name w:val="Footnote Text Char"/>
    <w:basedOn w:val="DefaultParagraphFont"/>
    <w:link w:val="FootnoteText"/>
    <w:uiPriority w:val="99"/>
    <w:rsid w:val="0048510E"/>
    <w:rPr>
      <w:sz w:val="20"/>
      <w:szCs w:val="20"/>
    </w:rPr>
  </w:style>
  <w:style w:type="character" w:styleId="FootnoteReference">
    <w:name w:val="footnote reference"/>
    <w:basedOn w:val="DefaultParagraphFont"/>
    <w:uiPriority w:val="99"/>
    <w:semiHidden/>
    <w:unhideWhenUsed/>
    <w:rsid w:val="0048510E"/>
    <w:rPr>
      <w:vertAlign w:val="superscript"/>
    </w:rPr>
  </w:style>
  <w:style w:type="character" w:styleId="Hyperlink">
    <w:name w:val="Hyperlink"/>
    <w:basedOn w:val="DefaultParagraphFont"/>
    <w:uiPriority w:val="99"/>
    <w:unhideWhenUsed/>
    <w:rsid w:val="0048510E"/>
    <w:rPr>
      <w:color w:val="0000FF" w:themeColor="hyperlink"/>
      <w:u w:val="single"/>
    </w:rPr>
  </w:style>
  <w:style w:type="paragraph" w:styleId="Header">
    <w:name w:val="header"/>
    <w:basedOn w:val="Normal"/>
    <w:link w:val="HeaderChar"/>
    <w:uiPriority w:val="99"/>
    <w:unhideWhenUsed/>
    <w:rsid w:val="0048510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48510E"/>
    <w:rPr>
      <w:rFonts w:eastAsiaTheme="minorHAnsi"/>
      <w:lang w:eastAsia="en-US"/>
    </w:rPr>
  </w:style>
  <w:style w:type="paragraph" w:styleId="Footer">
    <w:name w:val="footer"/>
    <w:basedOn w:val="Normal"/>
    <w:link w:val="FooterChar"/>
    <w:uiPriority w:val="99"/>
    <w:unhideWhenUsed/>
    <w:rsid w:val="0048510E"/>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48510E"/>
    <w:rPr>
      <w:rFonts w:eastAsiaTheme="minorHAnsi"/>
      <w:lang w:eastAsia="en-US"/>
    </w:rPr>
  </w:style>
  <w:style w:type="paragraph" w:styleId="Caption">
    <w:name w:val="caption"/>
    <w:basedOn w:val="Normal"/>
    <w:next w:val="Normal"/>
    <w:uiPriority w:val="35"/>
    <w:unhideWhenUsed/>
    <w:qFormat/>
    <w:rsid w:val="0048510E"/>
    <w:pPr>
      <w:spacing w:line="240" w:lineRule="auto"/>
    </w:pPr>
    <w:rPr>
      <w:rFonts w:eastAsiaTheme="minorHAnsi"/>
      <w:b/>
      <w:bCs/>
      <w:color w:val="4F81BD" w:themeColor="accent1"/>
      <w:sz w:val="18"/>
      <w:szCs w:val="18"/>
      <w:lang w:eastAsia="en-US"/>
    </w:rPr>
  </w:style>
  <w:style w:type="paragraph" w:styleId="ListParagraph">
    <w:name w:val="List Paragraph"/>
    <w:basedOn w:val="Normal"/>
    <w:uiPriority w:val="34"/>
    <w:qFormat/>
    <w:rsid w:val="0048510E"/>
    <w:pPr>
      <w:ind w:left="720"/>
      <w:contextualSpacing/>
    </w:pPr>
  </w:style>
  <w:style w:type="paragraph" w:styleId="TOCHeading">
    <w:name w:val="TOC Heading"/>
    <w:basedOn w:val="Heading1"/>
    <w:next w:val="Normal"/>
    <w:uiPriority w:val="39"/>
    <w:unhideWhenUsed/>
    <w:qFormat/>
    <w:rsid w:val="0048510E"/>
    <w:pPr>
      <w:outlineLvl w:val="9"/>
    </w:pPr>
    <w:rPr>
      <w:lang w:val="en-US" w:eastAsia="ja-JP"/>
    </w:rPr>
  </w:style>
  <w:style w:type="paragraph" w:styleId="TOC1">
    <w:name w:val="toc 1"/>
    <w:basedOn w:val="Normal"/>
    <w:next w:val="Normal"/>
    <w:autoRedefine/>
    <w:uiPriority w:val="39"/>
    <w:unhideWhenUsed/>
    <w:rsid w:val="003D5F1A"/>
    <w:pPr>
      <w:tabs>
        <w:tab w:val="left" w:pos="440"/>
        <w:tab w:val="right" w:leader="dot" w:pos="9016"/>
      </w:tabs>
      <w:spacing w:after="100"/>
    </w:pPr>
    <w:rPr>
      <w:rFonts w:eastAsiaTheme="minorHAnsi"/>
      <w:noProof/>
      <w:lang w:eastAsia="en-US"/>
    </w:rPr>
  </w:style>
  <w:style w:type="paragraph" w:styleId="TOC2">
    <w:name w:val="toc 2"/>
    <w:basedOn w:val="Normal"/>
    <w:next w:val="Normal"/>
    <w:autoRedefine/>
    <w:uiPriority w:val="39"/>
    <w:unhideWhenUsed/>
    <w:rsid w:val="0048510E"/>
    <w:pPr>
      <w:spacing w:after="100"/>
      <w:ind w:left="220"/>
    </w:pPr>
    <w:rPr>
      <w:rFonts w:eastAsiaTheme="minorHAnsi"/>
      <w:lang w:eastAsia="en-US"/>
    </w:rPr>
  </w:style>
  <w:style w:type="character" w:customStyle="1" w:styleId="citation">
    <w:name w:val="citation"/>
    <w:basedOn w:val="DefaultParagraphFont"/>
    <w:rsid w:val="0048510E"/>
  </w:style>
  <w:style w:type="character" w:styleId="CommentReference">
    <w:name w:val="annotation reference"/>
    <w:basedOn w:val="DefaultParagraphFont"/>
    <w:uiPriority w:val="99"/>
    <w:semiHidden/>
    <w:unhideWhenUsed/>
    <w:rsid w:val="0048510E"/>
    <w:rPr>
      <w:sz w:val="16"/>
      <w:szCs w:val="16"/>
    </w:rPr>
  </w:style>
  <w:style w:type="paragraph" w:styleId="CommentText">
    <w:name w:val="annotation text"/>
    <w:basedOn w:val="Normal"/>
    <w:link w:val="CommentTextChar"/>
    <w:uiPriority w:val="99"/>
    <w:semiHidden/>
    <w:unhideWhenUsed/>
    <w:rsid w:val="0048510E"/>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48510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48510E"/>
    <w:rPr>
      <w:b/>
      <w:bCs/>
    </w:rPr>
  </w:style>
  <w:style w:type="character" w:customStyle="1" w:styleId="CommentSubjectChar">
    <w:name w:val="Comment Subject Char"/>
    <w:basedOn w:val="CommentTextChar"/>
    <w:link w:val="CommentSubject"/>
    <w:uiPriority w:val="99"/>
    <w:semiHidden/>
    <w:rsid w:val="0048510E"/>
    <w:rPr>
      <w:rFonts w:eastAsiaTheme="minorHAnsi"/>
      <w:b/>
      <w:bCs/>
      <w:sz w:val="20"/>
      <w:szCs w:val="20"/>
      <w:lang w:eastAsia="en-US"/>
    </w:rPr>
  </w:style>
  <w:style w:type="paragraph" w:styleId="EndnoteText">
    <w:name w:val="endnote text"/>
    <w:basedOn w:val="Normal"/>
    <w:link w:val="EndnoteTextChar"/>
    <w:uiPriority w:val="99"/>
    <w:semiHidden/>
    <w:unhideWhenUsed/>
    <w:rsid w:val="0048510E"/>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48510E"/>
    <w:rPr>
      <w:rFonts w:eastAsiaTheme="minorHAnsi"/>
      <w:sz w:val="20"/>
      <w:szCs w:val="20"/>
      <w:lang w:eastAsia="en-US"/>
    </w:rPr>
  </w:style>
  <w:style w:type="character" w:styleId="EndnoteReference">
    <w:name w:val="endnote reference"/>
    <w:basedOn w:val="DefaultParagraphFont"/>
    <w:uiPriority w:val="99"/>
    <w:semiHidden/>
    <w:unhideWhenUsed/>
    <w:rsid w:val="0048510E"/>
    <w:rPr>
      <w:vertAlign w:val="superscript"/>
    </w:rPr>
  </w:style>
  <w:style w:type="character" w:customStyle="1" w:styleId="Heading4Char">
    <w:name w:val="Heading 4 Char"/>
    <w:basedOn w:val="DefaultParagraphFont"/>
    <w:link w:val="Heading4"/>
    <w:uiPriority w:val="9"/>
    <w:rsid w:val="00B11F4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11F48"/>
    <w:rPr>
      <w:rFonts w:asciiTheme="majorHAnsi" w:eastAsiaTheme="majorEastAsia" w:hAnsiTheme="majorHAnsi" w:cstheme="majorBidi"/>
      <w:color w:val="243F60" w:themeColor="accent1" w:themeShade="7F"/>
    </w:rPr>
  </w:style>
  <w:style w:type="paragraph" w:customStyle="1" w:styleId="EndNoteBibliographyTitle">
    <w:name w:val="EndNote Bibliography Title"/>
    <w:basedOn w:val="Normal"/>
    <w:link w:val="EndNoteBibliographyTitleChar"/>
    <w:rsid w:val="002F62A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2F62A7"/>
    <w:rPr>
      <w:rFonts w:ascii="Calibri" w:hAnsi="Calibri"/>
      <w:noProof/>
    </w:rPr>
  </w:style>
  <w:style w:type="paragraph" w:customStyle="1" w:styleId="EndNoteBibliography">
    <w:name w:val="EndNote Bibliography"/>
    <w:basedOn w:val="Normal"/>
    <w:link w:val="EndNoteBibliographyChar"/>
    <w:rsid w:val="002F62A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2F62A7"/>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eader" Target="header6.xml"/><Relationship Id="rId21" Type="http://schemas.openxmlformats.org/officeDocument/2006/relationships/diagramColors" Target="diagrams/colors1.xml"/><Relationship Id="rId34" Type="http://schemas.openxmlformats.org/officeDocument/2006/relationships/chart" Target="charts/chart1.xml"/><Relationship Id="rId42" Type="http://schemas.openxmlformats.org/officeDocument/2006/relationships/header" Target="header8.xml"/><Relationship Id="rId47" Type="http://schemas.openxmlformats.org/officeDocument/2006/relationships/hyperlink" Target="http://www.loc.gov/pictures/resource/cph.3g10775/" TargetMode="External"/><Relationship Id="rId50" Type="http://schemas.openxmlformats.org/officeDocument/2006/relationships/header" Target="header12.xml"/><Relationship Id="rId55" Type="http://schemas.openxmlformats.org/officeDocument/2006/relationships/image" Target="media/image8.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image" Target="media/image3.jpg"/><Relationship Id="rId54" Type="http://schemas.openxmlformats.org/officeDocument/2006/relationships/image" Target="media/image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header" Target="header10.xml"/><Relationship Id="rId53" Type="http://schemas.openxmlformats.org/officeDocument/2006/relationships/image" Target="media/image6.jpeg"/><Relationship Id="rId58" Type="http://schemas.openxmlformats.org/officeDocument/2006/relationships/image" Target="media/image11.jpeg"/><Relationship Id="rId5" Type="http://schemas.microsoft.com/office/2007/relationships/stylesWithEffects" Target="stylesWithEffects.xml"/><Relationship Id="rId15" Type="http://schemas.openxmlformats.org/officeDocument/2006/relationships/hyperlink" Target="http://www.dva.gov.au/aboutDVA/publications/commemorative/awf/Pages/map.aspx"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eader" Target="header4.xml"/><Relationship Id="rId49" Type="http://schemas.openxmlformats.org/officeDocument/2006/relationships/hyperlink" Target="http://www.crid1418.org/bibli/?p=147" TargetMode="External"/><Relationship Id="rId57" Type="http://schemas.openxmlformats.org/officeDocument/2006/relationships/image" Target="media/image10.jpeg"/><Relationship Id="rId61"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footer" Target="footer5.xml"/><Relationship Id="rId52" Type="http://schemas.openxmlformats.org/officeDocument/2006/relationships/image" Target="media/image5.jpeg"/><Relationship Id="rId60"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chart" Target="charts/chart2.xml"/><Relationship Id="rId43" Type="http://schemas.openxmlformats.org/officeDocument/2006/relationships/header" Target="header9.xml"/><Relationship Id="rId48" Type="http://schemas.openxmlformats.org/officeDocument/2006/relationships/hyperlink" Target="http://www.dva.gov.au/aboutDVA/publications/commemorative/awf/Pages/map.aspx" TargetMode="External"/><Relationship Id="rId56" Type="http://schemas.openxmlformats.org/officeDocument/2006/relationships/image" Target="media/image9.jpe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2.xml"/><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eader" Target="header11.xml"/><Relationship Id="rId59"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www.loc.gov/pictures/resource/cph.3g10775/" TargetMode="External"/><Relationship Id="rId2" Type="http://schemas.openxmlformats.org/officeDocument/2006/relationships/hyperlink" Target="http://www.crid1418.org/bibli/?p=147" TargetMode="External"/><Relationship Id="rId1" Type="http://schemas.openxmlformats.org/officeDocument/2006/relationships/hyperlink" Target="http://www.dva.gov.au/aboutDVA/publications/commemorative/awf/Pages/map.aspx" TargetMode="External"/><Relationship Id="rId5" Type="http://schemas.openxmlformats.org/officeDocument/2006/relationships/hyperlink" Target="http://avalon.law.yale.edu/20th_century/hague04.asp" TargetMode="External"/><Relationship Id="rId4" Type="http://schemas.openxmlformats.org/officeDocument/2006/relationships/hyperlink" Target="http://lisa.revues.org/198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Sheet1!$B$1</c:f>
              <c:strCache>
                <c:ptCount val="1"/>
                <c:pt idx="0">
                  <c:v>Voix du Pays</c:v>
                </c:pt>
              </c:strCache>
            </c:strRef>
          </c:tx>
          <c:marker>
            <c:symbol val="none"/>
          </c:marker>
          <c:cat>
            <c:numRef>
              <c:f>Sheet1!$A$2:$A$14</c:f>
              <c:numCache>
                <c:formatCode>mmm\-yy</c:formatCode>
                <c:ptCount val="13"/>
                <c:pt idx="0">
                  <c:v>6058</c:v>
                </c:pt>
                <c:pt idx="1">
                  <c:v>6089</c:v>
                </c:pt>
                <c:pt idx="2">
                  <c:v>6119</c:v>
                </c:pt>
                <c:pt idx="3">
                  <c:v>6150</c:v>
                </c:pt>
                <c:pt idx="4">
                  <c:v>6180</c:v>
                </c:pt>
                <c:pt idx="5">
                  <c:v>6211</c:v>
                </c:pt>
                <c:pt idx="6">
                  <c:v>6242</c:v>
                </c:pt>
                <c:pt idx="7">
                  <c:v>6270</c:v>
                </c:pt>
                <c:pt idx="8">
                  <c:v>6301</c:v>
                </c:pt>
                <c:pt idx="9">
                  <c:v>6331</c:v>
                </c:pt>
                <c:pt idx="10">
                  <c:v>6362</c:v>
                </c:pt>
                <c:pt idx="11">
                  <c:v>6392</c:v>
                </c:pt>
                <c:pt idx="12">
                  <c:v>6423</c:v>
                </c:pt>
              </c:numCache>
            </c:numRef>
          </c:cat>
          <c:val>
            <c:numRef>
              <c:f>Sheet1!$B$2:$B$14</c:f>
              <c:numCache>
                <c:formatCode>#,##0</c:formatCode>
                <c:ptCount val="13"/>
                <c:pt idx="0">
                  <c:v>4000</c:v>
                </c:pt>
                <c:pt idx="1">
                  <c:v>4000</c:v>
                </c:pt>
                <c:pt idx="2">
                  <c:v>4000</c:v>
                </c:pt>
                <c:pt idx="3">
                  <c:v>4000</c:v>
                </c:pt>
                <c:pt idx="4">
                  <c:v>5000</c:v>
                </c:pt>
                <c:pt idx="5">
                  <c:v>5000</c:v>
                </c:pt>
                <c:pt idx="6">
                  <c:v>10000</c:v>
                </c:pt>
                <c:pt idx="7">
                  <c:v>10000</c:v>
                </c:pt>
                <c:pt idx="8">
                  <c:v>10000</c:v>
                </c:pt>
                <c:pt idx="9">
                  <c:v>10000</c:v>
                </c:pt>
                <c:pt idx="10">
                  <c:v>10000</c:v>
                </c:pt>
                <c:pt idx="11">
                  <c:v>10000</c:v>
                </c:pt>
                <c:pt idx="12">
                  <c:v>10000</c:v>
                </c:pt>
              </c:numCache>
            </c:numRef>
          </c:val>
          <c:smooth val="0"/>
        </c:ser>
        <c:ser>
          <c:idx val="1"/>
          <c:order val="1"/>
          <c:tx>
            <c:strRef>
              <c:f>Sheet1!$C$1</c:f>
              <c:strCache>
                <c:ptCount val="1"/>
                <c:pt idx="0">
                  <c:v>Daily Press</c:v>
                </c:pt>
              </c:strCache>
            </c:strRef>
          </c:tx>
          <c:marker>
            <c:symbol val="none"/>
          </c:marker>
          <c:cat>
            <c:numRef>
              <c:f>Sheet1!$A$2:$A$14</c:f>
              <c:numCache>
                <c:formatCode>mmm\-yy</c:formatCode>
                <c:ptCount val="13"/>
                <c:pt idx="0">
                  <c:v>6058</c:v>
                </c:pt>
                <c:pt idx="1">
                  <c:v>6089</c:v>
                </c:pt>
                <c:pt idx="2">
                  <c:v>6119</c:v>
                </c:pt>
                <c:pt idx="3">
                  <c:v>6150</c:v>
                </c:pt>
                <c:pt idx="4">
                  <c:v>6180</c:v>
                </c:pt>
                <c:pt idx="5">
                  <c:v>6211</c:v>
                </c:pt>
                <c:pt idx="6">
                  <c:v>6242</c:v>
                </c:pt>
                <c:pt idx="7">
                  <c:v>6270</c:v>
                </c:pt>
                <c:pt idx="8">
                  <c:v>6301</c:v>
                </c:pt>
                <c:pt idx="9">
                  <c:v>6331</c:v>
                </c:pt>
                <c:pt idx="10">
                  <c:v>6362</c:v>
                </c:pt>
                <c:pt idx="11">
                  <c:v>6392</c:v>
                </c:pt>
                <c:pt idx="12">
                  <c:v>6423</c:v>
                </c:pt>
              </c:numCache>
            </c:numRef>
          </c:cat>
          <c:val>
            <c:numRef>
              <c:f>Sheet1!$C$2:$C$14</c:f>
              <c:numCache>
                <c:formatCode>#,##0</c:formatCode>
                <c:ptCount val="13"/>
                <c:pt idx="0">
                  <c:v>6000</c:v>
                </c:pt>
                <c:pt idx="1">
                  <c:v>6000</c:v>
                </c:pt>
                <c:pt idx="2">
                  <c:v>6000</c:v>
                </c:pt>
                <c:pt idx="3">
                  <c:v>6000</c:v>
                </c:pt>
                <c:pt idx="4">
                  <c:v>9000</c:v>
                </c:pt>
                <c:pt idx="5">
                  <c:v>9000</c:v>
                </c:pt>
                <c:pt idx="6">
                  <c:v>9000</c:v>
                </c:pt>
                <c:pt idx="7">
                  <c:v>9000</c:v>
                </c:pt>
                <c:pt idx="8">
                  <c:v>9000</c:v>
                </c:pt>
                <c:pt idx="9">
                  <c:v>9000</c:v>
                </c:pt>
                <c:pt idx="10">
                  <c:v>9000</c:v>
                </c:pt>
                <c:pt idx="11">
                  <c:v>9000</c:v>
                </c:pt>
                <c:pt idx="12">
                  <c:v>9000</c:v>
                </c:pt>
              </c:numCache>
            </c:numRef>
          </c:val>
          <c:smooth val="0"/>
        </c:ser>
        <c:dLbls>
          <c:showLegendKey val="0"/>
          <c:showVal val="0"/>
          <c:showCatName val="0"/>
          <c:showSerName val="0"/>
          <c:showPercent val="0"/>
          <c:showBubbleSize val="0"/>
        </c:dLbls>
        <c:marker val="1"/>
        <c:smooth val="0"/>
        <c:axId val="74039296"/>
        <c:axId val="83845888"/>
      </c:lineChart>
      <c:dateAx>
        <c:axId val="74039296"/>
        <c:scaling>
          <c:orientation val="minMax"/>
        </c:scaling>
        <c:delete val="0"/>
        <c:axPos val="b"/>
        <c:title>
          <c:tx>
            <c:rich>
              <a:bodyPr/>
              <a:lstStyle/>
              <a:p>
                <a:pPr>
                  <a:defRPr/>
                </a:pPr>
                <a:r>
                  <a:rPr lang="en-GB"/>
                  <a:t>Date</a:t>
                </a:r>
              </a:p>
            </c:rich>
          </c:tx>
          <c:layout/>
          <c:overlay val="0"/>
        </c:title>
        <c:numFmt formatCode="mmm\-yy" sourceLinked="1"/>
        <c:majorTickMark val="out"/>
        <c:minorTickMark val="none"/>
        <c:tickLblPos val="nextTo"/>
        <c:crossAx val="83845888"/>
        <c:crosses val="autoZero"/>
        <c:auto val="1"/>
        <c:lblOffset val="100"/>
        <c:baseTimeUnit val="months"/>
      </c:dateAx>
      <c:valAx>
        <c:axId val="83845888"/>
        <c:scaling>
          <c:orientation val="minMax"/>
        </c:scaling>
        <c:delete val="0"/>
        <c:axPos val="l"/>
        <c:majorGridlines/>
        <c:title>
          <c:tx>
            <c:rich>
              <a:bodyPr/>
              <a:lstStyle/>
              <a:p>
                <a:pPr>
                  <a:defRPr/>
                </a:pPr>
                <a:r>
                  <a:rPr lang="en-GB"/>
                  <a:t>Quantity</a:t>
                </a:r>
              </a:p>
            </c:rich>
          </c:tx>
          <c:layout/>
          <c:overlay val="0"/>
        </c:title>
        <c:numFmt formatCode="#,##0" sourceLinked="1"/>
        <c:majorTickMark val="out"/>
        <c:minorTickMark val="none"/>
        <c:tickLblPos val="nextTo"/>
        <c:crossAx val="74039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Sheet1!$B$1</c:f>
              <c:strCache>
                <c:ptCount val="1"/>
                <c:pt idx="0">
                  <c:v>Propaganda for French territories</c:v>
                </c:pt>
              </c:strCache>
            </c:strRef>
          </c:tx>
          <c:invertIfNegative val="0"/>
          <c:cat>
            <c:numRef>
              <c:f>Sheet1!$A$2:$A$3</c:f>
              <c:numCache>
                <c:formatCode>General</c:formatCode>
                <c:ptCount val="2"/>
                <c:pt idx="0">
                  <c:v>1917</c:v>
                </c:pt>
                <c:pt idx="1">
                  <c:v>1918</c:v>
                </c:pt>
              </c:numCache>
            </c:numRef>
          </c:cat>
          <c:val>
            <c:numRef>
              <c:f>Sheet1!$B$2:$B$3</c:f>
              <c:numCache>
                <c:formatCode>#,##0</c:formatCode>
                <c:ptCount val="2"/>
                <c:pt idx="0">
                  <c:v>246865</c:v>
                </c:pt>
                <c:pt idx="1">
                  <c:v>775810</c:v>
                </c:pt>
              </c:numCache>
            </c:numRef>
          </c:val>
        </c:ser>
        <c:ser>
          <c:idx val="1"/>
          <c:order val="1"/>
          <c:tx>
            <c:strRef>
              <c:f>Sheet1!$C$1</c:f>
              <c:strCache>
                <c:ptCount val="1"/>
                <c:pt idx="0">
                  <c:v>Propaganda for Belgian territories</c:v>
                </c:pt>
              </c:strCache>
            </c:strRef>
          </c:tx>
          <c:invertIfNegative val="0"/>
          <c:cat>
            <c:numRef>
              <c:f>Sheet1!$A$2:$A$3</c:f>
              <c:numCache>
                <c:formatCode>General</c:formatCode>
                <c:ptCount val="2"/>
                <c:pt idx="0">
                  <c:v>1917</c:v>
                </c:pt>
                <c:pt idx="1">
                  <c:v>1918</c:v>
                </c:pt>
              </c:numCache>
            </c:numRef>
          </c:cat>
          <c:val>
            <c:numRef>
              <c:f>Sheet1!$C$2:$C$3</c:f>
              <c:numCache>
                <c:formatCode>#,##0</c:formatCode>
                <c:ptCount val="2"/>
                <c:pt idx="0">
                  <c:v>25375</c:v>
                </c:pt>
                <c:pt idx="1">
                  <c:v>608787</c:v>
                </c:pt>
              </c:numCache>
            </c:numRef>
          </c:val>
        </c:ser>
        <c:dLbls>
          <c:showLegendKey val="0"/>
          <c:showVal val="0"/>
          <c:showCatName val="0"/>
          <c:showSerName val="0"/>
          <c:showPercent val="0"/>
          <c:showBubbleSize val="0"/>
        </c:dLbls>
        <c:gapWidth val="150"/>
        <c:overlap val="100"/>
        <c:axId val="29589504"/>
        <c:axId val="29591424"/>
      </c:barChart>
      <c:catAx>
        <c:axId val="29589504"/>
        <c:scaling>
          <c:orientation val="minMax"/>
        </c:scaling>
        <c:delete val="0"/>
        <c:axPos val="b"/>
        <c:title>
          <c:tx>
            <c:rich>
              <a:bodyPr/>
              <a:lstStyle/>
              <a:p>
                <a:pPr>
                  <a:defRPr/>
                </a:pPr>
                <a:r>
                  <a:rPr lang="en-GB"/>
                  <a:t>Year</a:t>
                </a:r>
              </a:p>
            </c:rich>
          </c:tx>
          <c:layout/>
          <c:overlay val="0"/>
        </c:title>
        <c:numFmt formatCode="General" sourceLinked="1"/>
        <c:majorTickMark val="out"/>
        <c:minorTickMark val="none"/>
        <c:tickLblPos val="nextTo"/>
        <c:crossAx val="29591424"/>
        <c:crosses val="autoZero"/>
        <c:auto val="1"/>
        <c:lblAlgn val="ctr"/>
        <c:lblOffset val="100"/>
        <c:noMultiLvlLbl val="0"/>
      </c:catAx>
      <c:valAx>
        <c:axId val="29591424"/>
        <c:scaling>
          <c:orientation val="minMax"/>
        </c:scaling>
        <c:delete val="0"/>
        <c:axPos val="l"/>
        <c:majorGridlines/>
        <c:title>
          <c:tx>
            <c:rich>
              <a:bodyPr/>
              <a:lstStyle/>
              <a:p>
                <a:pPr>
                  <a:defRPr/>
                </a:pPr>
                <a:r>
                  <a:rPr lang="en-GB"/>
                  <a:t>Total number of propaganda leaflets and newspapers distributed</a:t>
                </a:r>
              </a:p>
            </c:rich>
          </c:tx>
          <c:layout/>
          <c:overlay val="0"/>
        </c:title>
        <c:numFmt formatCode="#,##0" sourceLinked="1"/>
        <c:majorTickMark val="out"/>
        <c:minorTickMark val="none"/>
        <c:tickLblPos val="nextTo"/>
        <c:crossAx val="29589504"/>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540853-8924-4526-B597-B631458C05AC}"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GB"/>
        </a:p>
      </dgm:t>
    </dgm:pt>
    <dgm:pt modelId="{654DEB5B-8FAB-4A68-B6E1-0397D9D68EE6}">
      <dgm:prSet phldrT="[Text]" custT="1"/>
      <dgm:spPr/>
      <dgm:t>
        <a:bodyPr/>
        <a:lstStyle/>
        <a:p>
          <a:r>
            <a:rPr lang="en-GB" sz="900" b="1"/>
            <a:t>Ministère de la guerre</a:t>
          </a:r>
        </a:p>
        <a:p>
          <a:r>
            <a:rPr lang="en-GB" sz="800"/>
            <a:t>War Minister</a:t>
          </a:r>
        </a:p>
      </dgm:t>
    </dgm:pt>
    <dgm:pt modelId="{169F289B-5EE3-4389-8D67-19079AB114B8}" type="parTrans" cxnId="{B317FDC4-AD21-4661-A1B3-B88F5C820FE2}">
      <dgm:prSet/>
      <dgm:spPr/>
      <dgm:t>
        <a:bodyPr/>
        <a:lstStyle/>
        <a:p>
          <a:endParaRPr lang="en-GB"/>
        </a:p>
      </dgm:t>
    </dgm:pt>
    <dgm:pt modelId="{715B5D70-0C86-443B-9205-BF9B065F9C72}" type="sibTrans" cxnId="{B317FDC4-AD21-4661-A1B3-B88F5C820FE2}">
      <dgm:prSet/>
      <dgm:spPr/>
      <dgm:t>
        <a:bodyPr/>
        <a:lstStyle/>
        <a:p>
          <a:endParaRPr lang="en-GB"/>
        </a:p>
      </dgm:t>
    </dgm:pt>
    <dgm:pt modelId="{39E956C6-153E-4E39-A3B9-C0A726A03DEE}">
      <dgm:prSet phldrT="[Text]" custT="1"/>
      <dgm:spPr/>
      <dgm:t>
        <a:bodyPr/>
        <a:lstStyle/>
        <a:p>
          <a:pPr>
            <a:spcAft>
              <a:spcPct val="35000"/>
            </a:spcAft>
          </a:pPr>
          <a:r>
            <a:rPr lang="en-GB" sz="900" b="1"/>
            <a:t>5e Bureau</a:t>
          </a:r>
        </a:p>
        <a:p>
          <a:pPr>
            <a:spcAft>
              <a:spcPts val="100"/>
            </a:spcAft>
          </a:pPr>
          <a:r>
            <a:rPr lang="en-GB" sz="800" b="0"/>
            <a:t>Information et </a:t>
          </a:r>
        </a:p>
        <a:p>
          <a:pPr>
            <a:spcAft>
              <a:spcPts val="100"/>
            </a:spcAft>
          </a:pPr>
          <a:r>
            <a:rPr lang="en-GB" sz="800" b="0"/>
            <a:t>propagande</a:t>
          </a:r>
        </a:p>
      </dgm:t>
    </dgm:pt>
    <dgm:pt modelId="{9667A208-D605-4C62-86CA-6E6568E71DC4}" type="parTrans" cxnId="{40F5CBFA-0095-4BC9-9391-41371B097E8A}">
      <dgm:prSet/>
      <dgm:spPr/>
      <dgm:t>
        <a:bodyPr/>
        <a:lstStyle/>
        <a:p>
          <a:endParaRPr lang="en-GB"/>
        </a:p>
      </dgm:t>
    </dgm:pt>
    <dgm:pt modelId="{A5E48DC7-E3F5-48C6-8C0A-EF8974C7DAC9}" type="sibTrans" cxnId="{40F5CBFA-0095-4BC9-9391-41371B097E8A}">
      <dgm:prSet/>
      <dgm:spPr/>
      <dgm:t>
        <a:bodyPr/>
        <a:lstStyle/>
        <a:p>
          <a:endParaRPr lang="en-GB"/>
        </a:p>
      </dgm:t>
    </dgm:pt>
    <dgm:pt modelId="{7E56E25E-52C5-41F5-9F9D-CBFC6C478D64}">
      <dgm:prSet phldrT="[Text]" custT="1"/>
      <dgm:spPr/>
      <dgm:t>
        <a:bodyPr/>
        <a:lstStyle/>
        <a:p>
          <a:r>
            <a:rPr lang="en-GB" sz="900" b="1"/>
            <a:t>4e Section</a:t>
          </a:r>
        </a:p>
        <a:p>
          <a:r>
            <a:rPr lang="en-GB" sz="900" b="0"/>
            <a:t>Bureau interallié</a:t>
          </a:r>
        </a:p>
      </dgm:t>
    </dgm:pt>
    <dgm:pt modelId="{32687E5C-5407-4B20-A9C0-9E3599BE744C}" type="parTrans" cxnId="{CC088E35-5D55-4AF4-A214-2B3CCDCEEDA7}">
      <dgm:prSet/>
      <dgm:spPr/>
      <dgm:t>
        <a:bodyPr/>
        <a:lstStyle/>
        <a:p>
          <a:endParaRPr lang="en-GB"/>
        </a:p>
      </dgm:t>
    </dgm:pt>
    <dgm:pt modelId="{E4C49C26-238C-4D78-BE9E-3DC71BDFADFB}" type="sibTrans" cxnId="{CC088E35-5D55-4AF4-A214-2B3CCDCEEDA7}">
      <dgm:prSet/>
      <dgm:spPr/>
      <dgm:t>
        <a:bodyPr/>
        <a:lstStyle/>
        <a:p>
          <a:endParaRPr lang="en-GB"/>
        </a:p>
      </dgm:t>
    </dgm:pt>
    <dgm:pt modelId="{1F65F6A6-E0D5-430A-BA20-992370204FE5}">
      <dgm:prSet phldrT="[Text]" custT="1"/>
      <dgm:spPr/>
      <dgm:t>
        <a:bodyPr/>
        <a:lstStyle/>
        <a:p>
          <a:r>
            <a:rPr lang="en-GB" sz="900" b="1"/>
            <a:t>EMA (Staff)</a:t>
          </a:r>
        </a:p>
        <a:p>
          <a:r>
            <a:rPr lang="en-GB" sz="800"/>
            <a:t>Chief of Staff</a:t>
          </a:r>
        </a:p>
      </dgm:t>
    </dgm:pt>
    <dgm:pt modelId="{46A1024C-D6CB-4F03-8A5C-1A9364F7D6D2}" type="sibTrans" cxnId="{1AEDD9D7-160B-4967-9978-21BB737C892B}">
      <dgm:prSet/>
      <dgm:spPr/>
      <dgm:t>
        <a:bodyPr/>
        <a:lstStyle/>
        <a:p>
          <a:endParaRPr lang="en-GB"/>
        </a:p>
      </dgm:t>
    </dgm:pt>
    <dgm:pt modelId="{2302DAF6-EAC1-4FAF-BFD6-AC5322334460}" type="parTrans" cxnId="{1AEDD9D7-160B-4967-9978-21BB737C892B}">
      <dgm:prSet/>
      <dgm:spPr/>
      <dgm:t>
        <a:bodyPr/>
        <a:lstStyle/>
        <a:p>
          <a:endParaRPr lang="en-GB"/>
        </a:p>
      </dgm:t>
    </dgm:pt>
    <dgm:pt modelId="{2F0878AD-9B2E-4665-8FA7-129CC21071BD}">
      <dgm:prSet phldrT="[Text]" custT="1"/>
      <dgm:spPr/>
      <dgm:t>
        <a:bodyPr/>
        <a:lstStyle/>
        <a:p>
          <a:pPr>
            <a:spcAft>
              <a:spcPct val="35000"/>
            </a:spcAft>
          </a:pPr>
          <a:r>
            <a:rPr lang="en-GB" sz="900" b="1"/>
            <a:t>1e Bureau</a:t>
          </a:r>
        </a:p>
        <a:p>
          <a:pPr>
            <a:spcAft>
              <a:spcPts val="100"/>
            </a:spcAft>
          </a:pPr>
          <a:r>
            <a:rPr lang="en-GB" sz="800"/>
            <a:t>Organisation et</a:t>
          </a:r>
        </a:p>
        <a:p>
          <a:pPr>
            <a:spcAft>
              <a:spcPts val="100"/>
            </a:spcAft>
          </a:pPr>
          <a:r>
            <a:rPr lang="en-GB" sz="800"/>
            <a:t>mobilisation </a:t>
          </a:r>
        </a:p>
      </dgm:t>
    </dgm:pt>
    <dgm:pt modelId="{9E5B8356-258D-4CF0-8646-923AD5819B7A}" type="parTrans" cxnId="{45DC5F63-EDAC-487D-B38E-0AB027A96CBA}">
      <dgm:prSet/>
      <dgm:spPr/>
      <dgm:t>
        <a:bodyPr/>
        <a:lstStyle/>
        <a:p>
          <a:endParaRPr lang="en-GB"/>
        </a:p>
      </dgm:t>
    </dgm:pt>
    <dgm:pt modelId="{94E464C7-D522-47C9-9B16-74FF51E9C22E}" type="sibTrans" cxnId="{45DC5F63-EDAC-487D-B38E-0AB027A96CBA}">
      <dgm:prSet/>
      <dgm:spPr/>
      <dgm:t>
        <a:bodyPr/>
        <a:lstStyle/>
        <a:p>
          <a:endParaRPr lang="en-GB"/>
        </a:p>
      </dgm:t>
    </dgm:pt>
    <dgm:pt modelId="{8869C4C2-14AF-4E3B-AAE4-89EC1BF70217}">
      <dgm:prSet phldrT="[Text]" custT="1"/>
      <dgm:spPr/>
      <dgm:t>
        <a:bodyPr/>
        <a:lstStyle/>
        <a:p>
          <a:r>
            <a:rPr lang="en-GB" sz="900" b="1"/>
            <a:t>2e Bureau</a:t>
          </a:r>
        </a:p>
        <a:p>
          <a:r>
            <a:rPr lang="en-GB" sz="800"/>
            <a:t>Renseignements</a:t>
          </a:r>
        </a:p>
      </dgm:t>
    </dgm:pt>
    <dgm:pt modelId="{C028CBE7-6D1E-4FF7-938A-F2588CD290E4}" type="parTrans" cxnId="{45CB1B0C-B844-4801-B715-C03236B35CEA}">
      <dgm:prSet/>
      <dgm:spPr/>
      <dgm:t>
        <a:bodyPr/>
        <a:lstStyle/>
        <a:p>
          <a:endParaRPr lang="en-GB"/>
        </a:p>
      </dgm:t>
    </dgm:pt>
    <dgm:pt modelId="{0320F070-4644-4349-8FCE-66AA2DA0D095}" type="sibTrans" cxnId="{45CB1B0C-B844-4801-B715-C03236B35CEA}">
      <dgm:prSet/>
      <dgm:spPr/>
      <dgm:t>
        <a:bodyPr/>
        <a:lstStyle/>
        <a:p>
          <a:endParaRPr lang="en-GB"/>
        </a:p>
      </dgm:t>
    </dgm:pt>
    <dgm:pt modelId="{7BE79D3B-748D-4BD0-AE17-7CE5500F1B22}">
      <dgm:prSet phldrT="[Text]" custT="1"/>
      <dgm:spPr/>
      <dgm:t>
        <a:bodyPr/>
        <a:lstStyle/>
        <a:p>
          <a:r>
            <a:rPr lang="en-GB" sz="900" b="1"/>
            <a:t>3e Bureau</a:t>
          </a:r>
        </a:p>
        <a:p>
          <a:r>
            <a:rPr lang="en-GB" sz="800"/>
            <a:t>Opérations  militaires</a:t>
          </a:r>
        </a:p>
      </dgm:t>
    </dgm:pt>
    <dgm:pt modelId="{31C388A5-2D29-41F3-88DA-B2628A3FF254}" type="parTrans" cxnId="{B178410C-D462-471D-9ACE-0C2123E76EDA}">
      <dgm:prSet/>
      <dgm:spPr/>
      <dgm:t>
        <a:bodyPr/>
        <a:lstStyle/>
        <a:p>
          <a:endParaRPr lang="en-GB"/>
        </a:p>
      </dgm:t>
    </dgm:pt>
    <dgm:pt modelId="{B53995AB-C9AB-43B3-948B-89342C5A093E}" type="sibTrans" cxnId="{B178410C-D462-471D-9ACE-0C2123E76EDA}">
      <dgm:prSet/>
      <dgm:spPr/>
      <dgm:t>
        <a:bodyPr/>
        <a:lstStyle/>
        <a:p>
          <a:endParaRPr lang="en-GB"/>
        </a:p>
      </dgm:t>
    </dgm:pt>
    <dgm:pt modelId="{2CC04D19-1ECD-47D4-A194-9744F3902B09}">
      <dgm:prSet phldrT="[Text]" custT="1"/>
      <dgm:spPr/>
      <dgm:t>
        <a:bodyPr/>
        <a:lstStyle/>
        <a:p>
          <a:r>
            <a:rPr lang="en-GB" sz="900" b="1"/>
            <a:t>4e Bureau</a:t>
          </a:r>
        </a:p>
        <a:p>
          <a:r>
            <a:rPr lang="en-GB" sz="800"/>
            <a:t>Transports</a:t>
          </a:r>
        </a:p>
      </dgm:t>
    </dgm:pt>
    <dgm:pt modelId="{481A888F-F0DB-4289-A0FD-0E46D868B0D6}" type="parTrans" cxnId="{AFFF7B6E-85E7-44F7-BDEB-0C6FD6286F5F}">
      <dgm:prSet/>
      <dgm:spPr/>
      <dgm:t>
        <a:bodyPr/>
        <a:lstStyle/>
        <a:p>
          <a:endParaRPr lang="en-GB"/>
        </a:p>
      </dgm:t>
    </dgm:pt>
    <dgm:pt modelId="{2BDD5448-B85C-49E2-A31F-29DBB49A53AE}" type="sibTrans" cxnId="{AFFF7B6E-85E7-44F7-BDEB-0C6FD6286F5F}">
      <dgm:prSet/>
      <dgm:spPr/>
      <dgm:t>
        <a:bodyPr/>
        <a:lstStyle/>
        <a:p>
          <a:endParaRPr lang="en-GB"/>
        </a:p>
      </dgm:t>
    </dgm:pt>
    <dgm:pt modelId="{32527FEE-EB6A-41A4-AB36-56A9EB3B145B}">
      <dgm:prSet phldrT="[Text]" custT="1"/>
      <dgm:spPr/>
      <dgm:t>
        <a:bodyPr/>
        <a:lstStyle/>
        <a:p>
          <a:r>
            <a:rPr lang="en-GB" sz="900" b="1"/>
            <a:t>1e Section</a:t>
          </a:r>
        </a:p>
        <a:p>
          <a:r>
            <a:rPr lang="en-GB" sz="900" b="0"/>
            <a:t>Contrôle télégraphique</a:t>
          </a:r>
        </a:p>
      </dgm:t>
    </dgm:pt>
    <dgm:pt modelId="{82E5408B-574F-49FD-B688-36CA9B491F99}" type="parTrans" cxnId="{FAD12750-CBDD-4A5B-BEA5-E3FA59BE6629}">
      <dgm:prSet/>
      <dgm:spPr/>
      <dgm:t>
        <a:bodyPr/>
        <a:lstStyle/>
        <a:p>
          <a:endParaRPr lang="en-GB"/>
        </a:p>
      </dgm:t>
    </dgm:pt>
    <dgm:pt modelId="{283EB04E-FBE0-40A6-9C81-106270127C63}" type="sibTrans" cxnId="{FAD12750-CBDD-4A5B-BEA5-E3FA59BE6629}">
      <dgm:prSet/>
      <dgm:spPr/>
      <dgm:t>
        <a:bodyPr/>
        <a:lstStyle/>
        <a:p>
          <a:endParaRPr lang="en-GB"/>
        </a:p>
      </dgm:t>
    </dgm:pt>
    <dgm:pt modelId="{B4480909-0393-4241-9794-63EAD9A40DA1}">
      <dgm:prSet phldrT="[Text]" custT="1"/>
      <dgm:spPr/>
      <dgm:t>
        <a:bodyPr/>
        <a:lstStyle/>
        <a:p>
          <a:r>
            <a:rPr lang="en-GB" sz="900" b="1"/>
            <a:t>2e Section</a:t>
          </a:r>
        </a:p>
        <a:p>
          <a:r>
            <a:rPr lang="en-GB" sz="900" b="0"/>
            <a:t>Renseignements</a:t>
          </a:r>
        </a:p>
      </dgm:t>
    </dgm:pt>
    <dgm:pt modelId="{ADA8B5A9-6A0C-4B6B-9DD9-3D92A2B11897}" type="parTrans" cxnId="{4F943AEC-4996-47B9-A04D-1D58E847E376}">
      <dgm:prSet/>
      <dgm:spPr/>
      <dgm:t>
        <a:bodyPr/>
        <a:lstStyle/>
        <a:p>
          <a:endParaRPr lang="en-GB"/>
        </a:p>
      </dgm:t>
    </dgm:pt>
    <dgm:pt modelId="{02C53D82-BC4A-4812-8287-9C17653671FE}" type="sibTrans" cxnId="{4F943AEC-4996-47B9-A04D-1D58E847E376}">
      <dgm:prSet/>
      <dgm:spPr/>
      <dgm:t>
        <a:bodyPr/>
        <a:lstStyle/>
        <a:p>
          <a:endParaRPr lang="en-GB"/>
        </a:p>
      </dgm:t>
    </dgm:pt>
    <dgm:pt modelId="{75771D02-3A99-4321-8234-3A97294D885D}">
      <dgm:prSet phldrT="[Text]" custT="1">
        <dgm:style>
          <a:lnRef idx="2">
            <a:schemeClr val="accent4"/>
          </a:lnRef>
          <a:fillRef idx="1">
            <a:schemeClr val="lt1"/>
          </a:fillRef>
          <a:effectRef idx="0">
            <a:schemeClr val="accent4"/>
          </a:effectRef>
          <a:fontRef idx="minor">
            <a:schemeClr val="dk1"/>
          </a:fontRef>
        </dgm:style>
      </dgm:prSet>
      <dgm:spPr/>
      <dgm:t>
        <a:bodyPr/>
        <a:lstStyle/>
        <a:p>
          <a:r>
            <a:rPr lang="en-GB" sz="900" b="1"/>
            <a:t>3e Section</a:t>
          </a:r>
        </a:p>
        <a:p>
          <a:r>
            <a:rPr lang="en-GB" sz="900" b="0"/>
            <a:t>CR et SPA</a:t>
          </a:r>
        </a:p>
      </dgm:t>
    </dgm:pt>
    <dgm:pt modelId="{80A65618-EB6E-4E10-AAB2-2948E7C85BA0}" type="parTrans" cxnId="{D9AF5406-006A-47AC-A8C7-310373B988B9}">
      <dgm:prSet/>
      <dgm:spPr/>
      <dgm:t>
        <a:bodyPr/>
        <a:lstStyle/>
        <a:p>
          <a:endParaRPr lang="en-GB"/>
        </a:p>
      </dgm:t>
    </dgm:pt>
    <dgm:pt modelId="{4494B322-A8CB-4858-808D-63116F81B264}" type="sibTrans" cxnId="{D9AF5406-006A-47AC-A8C7-310373B988B9}">
      <dgm:prSet/>
      <dgm:spPr/>
      <dgm:t>
        <a:bodyPr/>
        <a:lstStyle/>
        <a:p>
          <a:endParaRPr lang="en-GB"/>
        </a:p>
      </dgm:t>
    </dgm:pt>
    <dgm:pt modelId="{66050B88-D65D-4962-BA23-EF730D3E63D0}" type="pres">
      <dgm:prSet presAssocID="{69540853-8924-4526-B597-B631458C05AC}" presName="Name0" presStyleCnt="0">
        <dgm:presLayoutVars>
          <dgm:chPref val="1"/>
          <dgm:dir/>
          <dgm:animOne val="branch"/>
          <dgm:animLvl val="lvl"/>
          <dgm:resizeHandles val="exact"/>
        </dgm:presLayoutVars>
      </dgm:prSet>
      <dgm:spPr/>
      <dgm:t>
        <a:bodyPr/>
        <a:lstStyle/>
        <a:p>
          <a:endParaRPr lang="en-GB"/>
        </a:p>
      </dgm:t>
    </dgm:pt>
    <dgm:pt modelId="{F0507864-30A5-437D-8839-B7AD96C34D68}" type="pres">
      <dgm:prSet presAssocID="{654DEB5B-8FAB-4A68-B6E1-0397D9D68EE6}" presName="root1" presStyleCnt="0"/>
      <dgm:spPr/>
    </dgm:pt>
    <dgm:pt modelId="{7A93B023-22D5-48A4-9A5A-B31BA3B69F8D}" type="pres">
      <dgm:prSet presAssocID="{654DEB5B-8FAB-4A68-B6E1-0397D9D68EE6}" presName="LevelOneTextNode" presStyleLbl="node0" presStyleIdx="0" presStyleCnt="1">
        <dgm:presLayoutVars>
          <dgm:chPref val="3"/>
        </dgm:presLayoutVars>
      </dgm:prSet>
      <dgm:spPr/>
      <dgm:t>
        <a:bodyPr/>
        <a:lstStyle/>
        <a:p>
          <a:endParaRPr lang="en-GB"/>
        </a:p>
      </dgm:t>
    </dgm:pt>
    <dgm:pt modelId="{168E6612-52DA-4CC0-BACE-1C0A7BEDFF77}" type="pres">
      <dgm:prSet presAssocID="{654DEB5B-8FAB-4A68-B6E1-0397D9D68EE6}" presName="level2hierChild" presStyleCnt="0"/>
      <dgm:spPr/>
    </dgm:pt>
    <dgm:pt modelId="{EC71CE18-5D54-425B-B2E4-0975556C5D3B}" type="pres">
      <dgm:prSet presAssocID="{2302DAF6-EAC1-4FAF-BFD6-AC5322334460}" presName="conn2-1" presStyleLbl="parChTrans1D2" presStyleIdx="0" presStyleCnt="1"/>
      <dgm:spPr/>
      <dgm:t>
        <a:bodyPr/>
        <a:lstStyle/>
        <a:p>
          <a:endParaRPr lang="en-GB"/>
        </a:p>
      </dgm:t>
    </dgm:pt>
    <dgm:pt modelId="{68E704A6-2523-4B65-A46F-8C9A415B3429}" type="pres">
      <dgm:prSet presAssocID="{2302DAF6-EAC1-4FAF-BFD6-AC5322334460}" presName="connTx" presStyleLbl="parChTrans1D2" presStyleIdx="0" presStyleCnt="1"/>
      <dgm:spPr/>
      <dgm:t>
        <a:bodyPr/>
        <a:lstStyle/>
        <a:p>
          <a:endParaRPr lang="en-GB"/>
        </a:p>
      </dgm:t>
    </dgm:pt>
    <dgm:pt modelId="{C3C41DB4-69DF-4AB5-A905-FBEE230689CA}" type="pres">
      <dgm:prSet presAssocID="{1F65F6A6-E0D5-430A-BA20-992370204FE5}" presName="root2" presStyleCnt="0"/>
      <dgm:spPr/>
    </dgm:pt>
    <dgm:pt modelId="{14C3FBB9-8104-4A9E-914F-3F69D48FDDE7}" type="pres">
      <dgm:prSet presAssocID="{1F65F6A6-E0D5-430A-BA20-992370204FE5}" presName="LevelTwoTextNode" presStyleLbl="node2" presStyleIdx="0" presStyleCnt="1" custScaleX="102326" custScaleY="114464">
        <dgm:presLayoutVars>
          <dgm:chPref val="3"/>
        </dgm:presLayoutVars>
      </dgm:prSet>
      <dgm:spPr/>
      <dgm:t>
        <a:bodyPr/>
        <a:lstStyle/>
        <a:p>
          <a:endParaRPr lang="en-GB"/>
        </a:p>
      </dgm:t>
    </dgm:pt>
    <dgm:pt modelId="{A994FFE3-3D23-49AD-832A-D628FBF387DF}" type="pres">
      <dgm:prSet presAssocID="{1F65F6A6-E0D5-430A-BA20-992370204FE5}" presName="level3hierChild" presStyleCnt="0"/>
      <dgm:spPr/>
    </dgm:pt>
    <dgm:pt modelId="{CFF2F03C-C5B9-4CAE-AB26-8B64FA3A681A}" type="pres">
      <dgm:prSet presAssocID="{9E5B8356-258D-4CF0-8646-923AD5819B7A}" presName="conn2-1" presStyleLbl="parChTrans1D3" presStyleIdx="0" presStyleCnt="5"/>
      <dgm:spPr/>
      <dgm:t>
        <a:bodyPr/>
        <a:lstStyle/>
        <a:p>
          <a:endParaRPr lang="en-GB"/>
        </a:p>
      </dgm:t>
    </dgm:pt>
    <dgm:pt modelId="{F65662B4-6DCC-4D4A-A6AF-4591AA95A399}" type="pres">
      <dgm:prSet presAssocID="{9E5B8356-258D-4CF0-8646-923AD5819B7A}" presName="connTx" presStyleLbl="parChTrans1D3" presStyleIdx="0" presStyleCnt="5"/>
      <dgm:spPr/>
      <dgm:t>
        <a:bodyPr/>
        <a:lstStyle/>
        <a:p>
          <a:endParaRPr lang="en-GB"/>
        </a:p>
      </dgm:t>
    </dgm:pt>
    <dgm:pt modelId="{46FA6831-C1BE-435D-B152-3CF6037F3079}" type="pres">
      <dgm:prSet presAssocID="{2F0878AD-9B2E-4665-8FA7-129CC21071BD}" presName="root2" presStyleCnt="0"/>
      <dgm:spPr/>
    </dgm:pt>
    <dgm:pt modelId="{508D4713-4332-4A7D-892B-0275D6EB0A25}" type="pres">
      <dgm:prSet presAssocID="{2F0878AD-9B2E-4665-8FA7-129CC21071BD}" presName="LevelTwoTextNode" presStyleLbl="node3" presStyleIdx="0" presStyleCnt="5" custScaleX="115560" custScaleY="121399">
        <dgm:presLayoutVars>
          <dgm:chPref val="3"/>
        </dgm:presLayoutVars>
      </dgm:prSet>
      <dgm:spPr/>
      <dgm:t>
        <a:bodyPr/>
        <a:lstStyle/>
        <a:p>
          <a:endParaRPr lang="en-GB"/>
        </a:p>
      </dgm:t>
    </dgm:pt>
    <dgm:pt modelId="{E8FB7B80-C5EE-40D5-B421-85FBDB3AB9EB}" type="pres">
      <dgm:prSet presAssocID="{2F0878AD-9B2E-4665-8FA7-129CC21071BD}" presName="level3hierChild" presStyleCnt="0"/>
      <dgm:spPr/>
    </dgm:pt>
    <dgm:pt modelId="{9376092E-49D7-42BA-B2CC-6A2F1814493C}" type="pres">
      <dgm:prSet presAssocID="{C028CBE7-6D1E-4FF7-938A-F2588CD290E4}" presName="conn2-1" presStyleLbl="parChTrans1D3" presStyleIdx="1" presStyleCnt="5"/>
      <dgm:spPr/>
      <dgm:t>
        <a:bodyPr/>
        <a:lstStyle/>
        <a:p>
          <a:endParaRPr lang="en-GB"/>
        </a:p>
      </dgm:t>
    </dgm:pt>
    <dgm:pt modelId="{5AB29E6E-F86E-4150-9D03-AAADB3D0020A}" type="pres">
      <dgm:prSet presAssocID="{C028CBE7-6D1E-4FF7-938A-F2588CD290E4}" presName="connTx" presStyleLbl="parChTrans1D3" presStyleIdx="1" presStyleCnt="5"/>
      <dgm:spPr/>
      <dgm:t>
        <a:bodyPr/>
        <a:lstStyle/>
        <a:p>
          <a:endParaRPr lang="en-GB"/>
        </a:p>
      </dgm:t>
    </dgm:pt>
    <dgm:pt modelId="{6CCC1BF4-DCE4-411E-9D90-65987E94F7C5}" type="pres">
      <dgm:prSet presAssocID="{8869C4C2-14AF-4E3B-AAE4-89EC1BF70217}" presName="root2" presStyleCnt="0"/>
      <dgm:spPr/>
    </dgm:pt>
    <dgm:pt modelId="{6C7A86D9-DAAE-41CA-A5F0-B4193385B947}" type="pres">
      <dgm:prSet presAssocID="{8869C4C2-14AF-4E3B-AAE4-89EC1BF70217}" presName="LevelTwoTextNode" presStyleLbl="node3" presStyleIdx="1" presStyleCnt="5" custScaleX="115560" custScaleY="121399">
        <dgm:presLayoutVars>
          <dgm:chPref val="3"/>
        </dgm:presLayoutVars>
      </dgm:prSet>
      <dgm:spPr/>
      <dgm:t>
        <a:bodyPr/>
        <a:lstStyle/>
        <a:p>
          <a:endParaRPr lang="en-GB"/>
        </a:p>
      </dgm:t>
    </dgm:pt>
    <dgm:pt modelId="{1BB98BE1-7EB4-4E76-BF77-A238D2FE01F8}" type="pres">
      <dgm:prSet presAssocID="{8869C4C2-14AF-4E3B-AAE4-89EC1BF70217}" presName="level3hierChild" presStyleCnt="0"/>
      <dgm:spPr/>
    </dgm:pt>
    <dgm:pt modelId="{4D4F90E4-AB9F-4EB6-A677-EA9BFDE529BE}" type="pres">
      <dgm:prSet presAssocID="{31C388A5-2D29-41F3-88DA-B2628A3FF254}" presName="conn2-1" presStyleLbl="parChTrans1D3" presStyleIdx="2" presStyleCnt="5"/>
      <dgm:spPr/>
      <dgm:t>
        <a:bodyPr/>
        <a:lstStyle/>
        <a:p>
          <a:endParaRPr lang="en-GB"/>
        </a:p>
      </dgm:t>
    </dgm:pt>
    <dgm:pt modelId="{02D93CB6-635C-44E5-BBE0-A05FF93D569D}" type="pres">
      <dgm:prSet presAssocID="{31C388A5-2D29-41F3-88DA-B2628A3FF254}" presName="connTx" presStyleLbl="parChTrans1D3" presStyleIdx="2" presStyleCnt="5"/>
      <dgm:spPr/>
      <dgm:t>
        <a:bodyPr/>
        <a:lstStyle/>
        <a:p>
          <a:endParaRPr lang="en-GB"/>
        </a:p>
      </dgm:t>
    </dgm:pt>
    <dgm:pt modelId="{8C24B19C-867E-47A6-83AC-7930B4963B08}" type="pres">
      <dgm:prSet presAssocID="{7BE79D3B-748D-4BD0-AE17-7CE5500F1B22}" presName="root2" presStyleCnt="0"/>
      <dgm:spPr/>
    </dgm:pt>
    <dgm:pt modelId="{9F7E181A-1E2D-4776-8131-C2FF3735614B}" type="pres">
      <dgm:prSet presAssocID="{7BE79D3B-748D-4BD0-AE17-7CE5500F1B22}" presName="LevelTwoTextNode" presStyleLbl="node3" presStyleIdx="2" presStyleCnt="5" custScaleX="115560" custScaleY="121399">
        <dgm:presLayoutVars>
          <dgm:chPref val="3"/>
        </dgm:presLayoutVars>
      </dgm:prSet>
      <dgm:spPr/>
      <dgm:t>
        <a:bodyPr/>
        <a:lstStyle/>
        <a:p>
          <a:endParaRPr lang="en-GB"/>
        </a:p>
      </dgm:t>
    </dgm:pt>
    <dgm:pt modelId="{2002AF7C-C4CF-4DF5-B7FE-C87DAEB9F058}" type="pres">
      <dgm:prSet presAssocID="{7BE79D3B-748D-4BD0-AE17-7CE5500F1B22}" presName="level3hierChild" presStyleCnt="0"/>
      <dgm:spPr/>
    </dgm:pt>
    <dgm:pt modelId="{16E1CE2F-8DF3-4ACC-AA61-FBEEA7FE1903}" type="pres">
      <dgm:prSet presAssocID="{481A888F-F0DB-4289-A0FD-0E46D868B0D6}" presName="conn2-1" presStyleLbl="parChTrans1D3" presStyleIdx="3" presStyleCnt="5"/>
      <dgm:spPr/>
      <dgm:t>
        <a:bodyPr/>
        <a:lstStyle/>
        <a:p>
          <a:endParaRPr lang="en-GB"/>
        </a:p>
      </dgm:t>
    </dgm:pt>
    <dgm:pt modelId="{A2967534-DDE9-4221-B0C1-278401152CFF}" type="pres">
      <dgm:prSet presAssocID="{481A888F-F0DB-4289-A0FD-0E46D868B0D6}" presName="connTx" presStyleLbl="parChTrans1D3" presStyleIdx="3" presStyleCnt="5"/>
      <dgm:spPr/>
      <dgm:t>
        <a:bodyPr/>
        <a:lstStyle/>
        <a:p>
          <a:endParaRPr lang="en-GB"/>
        </a:p>
      </dgm:t>
    </dgm:pt>
    <dgm:pt modelId="{E0ACD488-639A-4B5C-BCCA-5349BD6C6B88}" type="pres">
      <dgm:prSet presAssocID="{2CC04D19-1ECD-47D4-A194-9744F3902B09}" presName="root2" presStyleCnt="0"/>
      <dgm:spPr/>
    </dgm:pt>
    <dgm:pt modelId="{58E4CA5A-4BD0-4F55-816B-BA2D10D87589}" type="pres">
      <dgm:prSet presAssocID="{2CC04D19-1ECD-47D4-A194-9744F3902B09}" presName="LevelTwoTextNode" presStyleLbl="node3" presStyleIdx="3" presStyleCnt="5" custScaleX="115560" custScaleY="121399">
        <dgm:presLayoutVars>
          <dgm:chPref val="3"/>
        </dgm:presLayoutVars>
      </dgm:prSet>
      <dgm:spPr/>
      <dgm:t>
        <a:bodyPr/>
        <a:lstStyle/>
        <a:p>
          <a:endParaRPr lang="en-GB"/>
        </a:p>
      </dgm:t>
    </dgm:pt>
    <dgm:pt modelId="{9B701C8D-5C5C-403C-80AD-27E750AA1350}" type="pres">
      <dgm:prSet presAssocID="{2CC04D19-1ECD-47D4-A194-9744F3902B09}" presName="level3hierChild" presStyleCnt="0"/>
      <dgm:spPr/>
    </dgm:pt>
    <dgm:pt modelId="{742AAFC4-6D6B-4D34-97B1-CE8939964D68}" type="pres">
      <dgm:prSet presAssocID="{9667A208-D605-4C62-86CA-6E6568E71DC4}" presName="conn2-1" presStyleLbl="parChTrans1D3" presStyleIdx="4" presStyleCnt="5"/>
      <dgm:spPr/>
      <dgm:t>
        <a:bodyPr/>
        <a:lstStyle/>
        <a:p>
          <a:endParaRPr lang="en-GB"/>
        </a:p>
      </dgm:t>
    </dgm:pt>
    <dgm:pt modelId="{5C2D2509-4D15-4B1E-9555-DD0D29BEA8EB}" type="pres">
      <dgm:prSet presAssocID="{9667A208-D605-4C62-86CA-6E6568E71DC4}" presName="connTx" presStyleLbl="parChTrans1D3" presStyleIdx="4" presStyleCnt="5"/>
      <dgm:spPr/>
      <dgm:t>
        <a:bodyPr/>
        <a:lstStyle/>
        <a:p>
          <a:endParaRPr lang="en-GB"/>
        </a:p>
      </dgm:t>
    </dgm:pt>
    <dgm:pt modelId="{3D85CA9E-694F-4D42-8F0D-3082D79C57C7}" type="pres">
      <dgm:prSet presAssocID="{39E956C6-153E-4E39-A3B9-C0A726A03DEE}" presName="root2" presStyleCnt="0"/>
      <dgm:spPr/>
    </dgm:pt>
    <dgm:pt modelId="{4CCC5CA6-5A4C-47C7-807C-A5FA355A76B3}" type="pres">
      <dgm:prSet presAssocID="{39E956C6-153E-4E39-A3B9-C0A726A03DEE}" presName="LevelTwoTextNode" presStyleLbl="node3" presStyleIdx="4" presStyleCnt="5" custScaleX="115560" custScaleY="121399">
        <dgm:presLayoutVars>
          <dgm:chPref val="3"/>
        </dgm:presLayoutVars>
      </dgm:prSet>
      <dgm:spPr/>
      <dgm:t>
        <a:bodyPr/>
        <a:lstStyle/>
        <a:p>
          <a:endParaRPr lang="en-GB"/>
        </a:p>
      </dgm:t>
    </dgm:pt>
    <dgm:pt modelId="{3009FE75-AC2E-45F7-A3BB-5DD75322B610}" type="pres">
      <dgm:prSet presAssocID="{39E956C6-153E-4E39-A3B9-C0A726A03DEE}" presName="level3hierChild" presStyleCnt="0"/>
      <dgm:spPr/>
    </dgm:pt>
    <dgm:pt modelId="{11114B88-95EA-478C-BCD0-6255928B49C0}" type="pres">
      <dgm:prSet presAssocID="{82E5408B-574F-49FD-B688-36CA9B491F99}" presName="conn2-1" presStyleLbl="parChTrans1D4" presStyleIdx="0" presStyleCnt="4"/>
      <dgm:spPr/>
      <dgm:t>
        <a:bodyPr/>
        <a:lstStyle/>
        <a:p>
          <a:endParaRPr lang="en-GB"/>
        </a:p>
      </dgm:t>
    </dgm:pt>
    <dgm:pt modelId="{2C877174-85FF-4CE0-BB0E-FB1E7BBE1FF5}" type="pres">
      <dgm:prSet presAssocID="{82E5408B-574F-49FD-B688-36CA9B491F99}" presName="connTx" presStyleLbl="parChTrans1D4" presStyleIdx="0" presStyleCnt="4"/>
      <dgm:spPr/>
      <dgm:t>
        <a:bodyPr/>
        <a:lstStyle/>
        <a:p>
          <a:endParaRPr lang="en-GB"/>
        </a:p>
      </dgm:t>
    </dgm:pt>
    <dgm:pt modelId="{3FA6DD62-7EDE-46A9-BCAE-9A9C3C92E474}" type="pres">
      <dgm:prSet presAssocID="{32527FEE-EB6A-41A4-AB36-56A9EB3B145B}" presName="root2" presStyleCnt="0"/>
      <dgm:spPr/>
    </dgm:pt>
    <dgm:pt modelId="{9E053398-C8AB-48FE-AAB0-49F020B49D5C}" type="pres">
      <dgm:prSet presAssocID="{32527FEE-EB6A-41A4-AB36-56A9EB3B145B}" presName="LevelTwoTextNode" presStyleLbl="node4" presStyleIdx="0" presStyleCnt="4">
        <dgm:presLayoutVars>
          <dgm:chPref val="3"/>
        </dgm:presLayoutVars>
      </dgm:prSet>
      <dgm:spPr/>
      <dgm:t>
        <a:bodyPr/>
        <a:lstStyle/>
        <a:p>
          <a:endParaRPr lang="en-GB"/>
        </a:p>
      </dgm:t>
    </dgm:pt>
    <dgm:pt modelId="{8E2CB30B-90FC-43B9-B8A7-833BC7BB0364}" type="pres">
      <dgm:prSet presAssocID="{32527FEE-EB6A-41A4-AB36-56A9EB3B145B}" presName="level3hierChild" presStyleCnt="0"/>
      <dgm:spPr/>
    </dgm:pt>
    <dgm:pt modelId="{23207769-73F2-49B4-B76F-8D681484E869}" type="pres">
      <dgm:prSet presAssocID="{ADA8B5A9-6A0C-4B6B-9DD9-3D92A2B11897}" presName="conn2-1" presStyleLbl="parChTrans1D4" presStyleIdx="1" presStyleCnt="4"/>
      <dgm:spPr/>
      <dgm:t>
        <a:bodyPr/>
        <a:lstStyle/>
        <a:p>
          <a:endParaRPr lang="en-GB"/>
        </a:p>
      </dgm:t>
    </dgm:pt>
    <dgm:pt modelId="{64771EC8-2626-40DE-A3B7-F4C5DE39D8C2}" type="pres">
      <dgm:prSet presAssocID="{ADA8B5A9-6A0C-4B6B-9DD9-3D92A2B11897}" presName="connTx" presStyleLbl="parChTrans1D4" presStyleIdx="1" presStyleCnt="4"/>
      <dgm:spPr/>
      <dgm:t>
        <a:bodyPr/>
        <a:lstStyle/>
        <a:p>
          <a:endParaRPr lang="en-GB"/>
        </a:p>
      </dgm:t>
    </dgm:pt>
    <dgm:pt modelId="{9C13D390-135A-4A18-8C6E-E9F1298E69CC}" type="pres">
      <dgm:prSet presAssocID="{B4480909-0393-4241-9794-63EAD9A40DA1}" presName="root2" presStyleCnt="0"/>
      <dgm:spPr/>
    </dgm:pt>
    <dgm:pt modelId="{6DA5F8D7-3898-4FA1-A5FD-FFE73D5FBCCB}" type="pres">
      <dgm:prSet presAssocID="{B4480909-0393-4241-9794-63EAD9A40DA1}" presName="LevelTwoTextNode" presStyleLbl="node4" presStyleIdx="1" presStyleCnt="4">
        <dgm:presLayoutVars>
          <dgm:chPref val="3"/>
        </dgm:presLayoutVars>
      </dgm:prSet>
      <dgm:spPr/>
      <dgm:t>
        <a:bodyPr/>
        <a:lstStyle/>
        <a:p>
          <a:endParaRPr lang="en-GB"/>
        </a:p>
      </dgm:t>
    </dgm:pt>
    <dgm:pt modelId="{0689D73D-6570-4DA8-A108-C3936C27F637}" type="pres">
      <dgm:prSet presAssocID="{B4480909-0393-4241-9794-63EAD9A40DA1}" presName="level3hierChild" presStyleCnt="0"/>
      <dgm:spPr/>
    </dgm:pt>
    <dgm:pt modelId="{F36BB9F4-A69D-4CAF-81BA-32BF7FD83953}" type="pres">
      <dgm:prSet presAssocID="{80A65618-EB6E-4E10-AAB2-2948E7C85BA0}" presName="conn2-1" presStyleLbl="parChTrans1D4" presStyleIdx="2" presStyleCnt="4"/>
      <dgm:spPr/>
      <dgm:t>
        <a:bodyPr/>
        <a:lstStyle/>
        <a:p>
          <a:endParaRPr lang="en-GB"/>
        </a:p>
      </dgm:t>
    </dgm:pt>
    <dgm:pt modelId="{09DF93DA-283B-433C-82F5-BA5595E2EB85}" type="pres">
      <dgm:prSet presAssocID="{80A65618-EB6E-4E10-AAB2-2948E7C85BA0}" presName="connTx" presStyleLbl="parChTrans1D4" presStyleIdx="2" presStyleCnt="4"/>
      <dgm:spPr/>
      <dgm:t>
        <a:bodyPr/>
        <a:lstStyle/>
        <a:p>
          <a:endParaRPr lang="en-GB"/>
        </a:p>
      </dgm:t>
    </dgm:pt>
    <dgm:pt modelId="{25432599-6CE8-4512-8D82-281A3B9900E8}" type="pres">
      <dgm:prSet presAssocID="{75771D02-3A99-4321-8234-3A97294D885D}" presName="root2" presStyleCnt="0"/>
      <dgm:spPr/>
    </dgm:pt>
    <dgm:pt modelId="{904E7D60-3346-4C54-B95D-93A0010F6E33}" type="pres">
      <dgm:prSet presAssocID="{75771D02-3A99-4321-8234-3A97294D885D}" presName="LevelTwoTextNode" presStyleLbl="node4" presStyleIdx="2" presStyleCnt="4">
        <dgm:presLayoutVars>
          <dgm:chPref val="3"/>
        </dgm:presLayoutVars>
      </dgm:prSet>
      <dgm:spPr/>
      <dgm:t>
        <a:bodyPr/>
        <a:lstStyle/>
        <a:p>
          <a:endParaRPr lang="en-GB"/>
        </a:p>
      </dgm:t>
    </dgm:pt>
    <dgm:pt modelId="{44A056F3-78E2-4B5D-BE0D-1A3D8AFF1A0E}" type="pres">
      <dgm:prSet presAssocID="{75771D02-3A99-4321-8234-3A97294D885D}" presName="level3hierChild" presStyleCnt="0"/>
      <dgm:spPr/>
    </dgm:pt>
    <dgm:pt modelId="{4F487665-B5E2-4574-9C74-4BCFC62B5757}" type="pres">
      <dgm:prSet presAssocID="{32687E5C-5407-4B20-A9C0-9E3599BE744C}" presName="conn2-1" presStyleLbl="parChTrans1D4" presStyleIdx="3" presStyleCnt="4"/>
      <dgm:spPr/>
      <dgm:t>
        <a:bodyPr/>
        <a:lstStyle/>
        <a:p>
          <a:endParaRPr lang="en-GB"/>
        </a:p>
      </dgm:t>
    </dgm:pt>
    <dgm:pt modelId="{B654619D-1D7D-4AA3-A279-29996AFE0321}" type="pres">
      <dgm:prSet presAssocID="{32687E5C-5407-4B20-A9C0-9E3599BE744C}" presName="connTx" presStyleLbl="parChTrans1D4" presStyleIdx="3" presStyleCnt="4"/>
      <dgm:spPr/>
      <dgm:t>
        <a:bodyPr/>
        <a:lstStyle/>
        <a:p>
          <a:endParaRPr lang="en-GB"/>
        </a:p>
      </dgm:t>
    </dgm:pt>
    <dgm:pt modelId="{1F953469-1C1C-411B-812B-EEA51A6E8452}" type="pres">
      <dgm:prSet presAssocID="{7E56E25E-52C5-41F5-9F9D-CBFC6C478D64}" presName="root2" presStyleCnt="0"/>
      <dgm:spPr/>
    </dgm:pt>
    <dgm:pt modelId="{CC045C6D-43A7-493D-96DC-CA401E92EC10}" type="pres">
      <dgm:prSet presAssocID="{7E56E25E-52C5-41F5-9F9D-CBFC6C478D64}" presName="LevelTwoTextNode" presStyleLbl="node4" presStyleIdx="3" presStyleCnt="4">
        <dgm:presLayoutVars>
          <dgm:chPref val="3"/>
        </dgm:presLayoutVars>
      </dgm:prSet>
      <dgm:spPr/>
      <dgm:t>
        <a:bodyPr/>
        <a:lstStyle/>
        <a:p>
          <a:endParaRPr lang="en-GB"/>
        </a:p>
      </dgm:t>
    </dgm:pt>
    <dgm:pt modelId="{4EA57E07-6A8C-4282-A507-4969AB50C432}" type="pres">
      <dgm:prSet presAssocID="{7E56E25E-52C5-41F5-9F9D-CBFC6C478D64}" presName="level3hierChild" presStyleCnt="0"/>
      <dgm:spPr/>
    </dgm:pt>
  </dgm:ptLst>
  <dgm:cxnLst>
    <dgm:cxn modelId="{167BDB4B-FB9F-4854-89EA-232C5E36855D}" type="presOf" srcId="{2CC04D19-1ECD-47D4-A194-9744F3902B09}" destId="{58E4CA5A-4BD0-4F55-816B-BA2D10D87589}" srcOrd="0" destOrd="0" presId="urn:microsoft.com/office/officeart/2008/layout/HorizontalMultiLevelHierarchy"/>
    <dgm:cxn modelId="{AFFF7B6E-85E7-44F7-BDEB-0C6FD6286F5F}" srcId="{1F65F6A6-E0D5-430A-BA20-992370204FE5}" destId="{2CC04D19-1ECD-47D4-A194-9744F3902B09}" srcOrd="3" destOrd="0" parTransId="{481A888F-F0DB-4289-A0FD-0E46D868B0D6}" sibTransId="{2BDD5448-B85C-49E2-A31F-29DBB49A53AE}"/>
    <dgm:cxn modelId="{C4B111C0-4C7E-495E-AE1B-6B9518BDAEE3}" type="presOf" srcId="{2302DAF6-EAC1-4FAF-BFD6-AC5322334460}" destId="{68E704A6-2523-4B65-A46F-8C9A415B3429}" srcOrd="1" destOrd="0" presId="urn:microsoft.com/office/officeart/2008/layout/HorizontalMultiLevelHierarchy"/>
    <dgm:cxn modelId="{B178410C-D462-471D-9ACE-0C2123E76EDA}" srcId="{1F65F6A6-E0D5-430A-BA20-992370204FE5}" destId="{7BE79D3B-748D-4BD0-AE17-7CE5500F1B22}" srcOrd="2" destOrd="0" parTransId="{31C388A5-2D29-41F3-88DA-B2628A3FF254}" sibTransId="{B53995AB-C9AB-43B3-948B-89342C5A093E}"/>
    <dgm:cxn modelId="{E636D2D7-6A9A-4D74-BEEC-BE83DB26AD5C}" type="presOf" srcId="{481A888F-F0DB-4289-A0FD-0E46D868B0D6}" destId="{16E1CE2F-8DF3-4ACC-AA61-FBEEA7FE1903}" srcOrd="0" destOrd="0" presId="urn:microsoft.com/office/officeart/2008/layout/HorizontalMultiLevelHierarchy"/>
    <dgm:cxn modelId="{40F5CBFA-0095-4BC9-9391-41371B097E8A}" srcId="{1F65F6A6-E0D5-430A-BA20-992370204FE5}" destId="{39E956C6-153E-4E39-A3B9-C0A726A03DEE}" srcOrd="4" destOrd="0" parTransId="{9667A208-D605-4C62-86CA-6E6568E71DC4}" sibTransId="{A5E48DC7-E3F5-48C6-8C0A-EF8974C7DAC9}"/>
    <dgm:cxn modelId="{1C014CC0-80E4-46BA-9298-639DC50CC834}" type="presOf" srcId="{654DEB5B-8FAB-4A68-B6E1-0397D9D68EE6}" destId="{7A93B023-22D5-48A4-9A5A-B31BA3B69F8D}" srcOrd="0" destOrd="0" presId="urn:microsoft.com/office/officeart/2008/layout/HorizontalMultiLevelHierarchy"/>
    <dgm:cxn modelId="{C1427A91-7D07-462B-9948-61BE9F9D3CC2}" type="presOf" srcId="{8869C4C2-14AF-4E3B-AAE4-89EC1BF70217}" destId="{6C7A86D9-DAAE-41CA-A5F0-B4193385B947}" srcOrd="0" destOrd="0" presId="urn:microsoft.com/office/officeart/2008/layout/HorizontalMultiLevelHierarchy"/>
    <dgm:cxn modelId="{327A6DAC-C6BA-46AE-89E0-0645D16B79CE}" type="presOf" srcId="{9E5B8356-258D-4CF0-8646-923AD5819B7A}" destId="{F65662B4-6DCC-4D4A-A6AF-4591AA95A399}" srcOrd="1" destOrd="0" presId="urn:microsoft.com/office/officeart/2008/layout/HorizontalMultiLevelHierarchy"/>
    <dgm:cxn modelId="{C652E79A-88B5-43DF-AFFA-752018169555}" type="presOf" srcId="{2F0878AD-9B2E-4665-8FA7-129CC21071BD}" destId="{508D4713-4332-4A7D-892B-0275D6EB0A25}" srcOrd="0" destOrd="0" presId="urn:microsoft.com/office/officeart/2008/layout/HorizontalMultiLevelHierarchy"/>
    <dgm:cxn modelId="{FAD12750-CBDD-4A5B-BEA5-E3FA59BE6629}" srcId="{39E956C6-153E-4E39-A3B9-C0A726A03DEE}" destId="{32527FEE-EB6A-41A4-AB36-56A9EB3B145B}" srcOrd="0" destOrd="0" parTransId="{82E5408B-574F-49FD-B688-36CA9B491F99}" sibTransId="{283EB04E-FBE0-40A6-9C81-106270127C63}"/>
    <dgm:cxn modelId="{C0169A6B-8E18-49B2-85DC-65D2FECAFB04}" type="presOf" srcId="{1F65F6A6-E0D5-430A-BA20-992370204FE5}" destId="{14C3FBB9-8104-4A9E-914F-3F69D48FDDE7}" srcOrd="0" destOrd="0" presId="urn:microsoft.com/office/officeart/2008/layout/HorizontalMultiLevelHierarchy"/>
    <dgm:cxn modelId="{1206433F-76B7-43D7-B769-B7B28F6F44E8}" type="presOf" srcId="{31C388A5-2D29-41F3-88DA-B2628A3FF254}" destId="{02D93CB6-635C-44E5-BBE0-A05FF93D569D}" srcOrd="1" destOrd="0" presId="urn:microsoft.com/office/officeart/2008/layout/HorizontalMultiLevelHierarchy"/>
    <dgm:cxn modelId="{84A89F74-182B-4FD5-A3FF-2719896D25F0}" type="presOf" srcId="{481A888F-F0DB-4289-A0FD-0E46D868B0D6}" destId="{A2967534-DDE9-4221-B0C1-278401152CFF}" srcOrd="1" destOrd="0" presId="urn:microsoft.com/office/officeart/2008/layout/HorizontalMultiLevelHierarchy"/>
    <dgm:cxn modelId="{1189F36E-3398-4413-86AE-D4E9416EEFEF}" type="presOf" srcId="{32687E5C-5407-4B20-A9C0-9E3599BE744C}" destId="{4F487665-B5E2-4574-9C74-4BCFC62B5757}" srcOrd="0" destOrd="0" presId="urn:microsoft.com/office/officeart/2008/layout/HorizontalMultiLevelHierarchy"/>
    <dgm:cxn modelId="{495BAD23-0226-41CE-8998-5CAB219D8AB0}" type="presOf" srcId="{39E956C6-153E-4E39-A3B9-C0A726A03DEE}" destId="{4CCC5CA6-5A4C-47C7-807C-A5FA355A76B3}" srcOrd="0" destOrd="0" presId="urn:microsoft.com/office/officeart/2008/layout/HorizontalMultiLevelHierarchy"/>
    <dgm:cxn modelId="{F032FF55-B8A3-4BE3-887B-AD471541D313}" type="presOf" srcId="{C028CBE7-6D1E-4FF7-938A-F2588CD290E4}" destId="{9376092E-49D7-42BA-B2CC-6A2F1814493C}" srcOrd="0" destOrd="0" presId="urn:microsoft.com/office/officeart/2008/layout/HorizontalMultiLevelHierarchy"/>
    <dgm:cxn modelId="{76D5E2C8-EB8E-4FAD-A524-D41C8F4A8ED6}" type="presOf" srcId="{9667A208-D605-4C62-86CA-6E6568E71DC4}" destId="{742AAFC4-6D6B-4D34-97B1-CE8939964D68}" srcOrd="0" destOrd="0" presId="urn:microsoft.com/office/officeart/2008/layout/HorizontalMultiLevelHierarchy"/>
    <dgm:cxn modelId="{8DA10B51-CF9B-4293-A893-5CF10C8F84BC}" type="presOf" srcId="{82E5408B-574F-49FD-B688-36CA9B491F99}" destId="{11114B88-95EA-478C-BCD0-6255928B49C0}" srcOrd="0" destOrd="0" presId="urn:microsoft.com/office/officeart/2008/layout/HorizontalMultiLevelHierarchy"/>
    <dgm:cxn modelId="{B317FDC4-AD21-4661-A1B3-B88F5C820FE2}" srcId="{69540853-8924-4526-B597-B631458C05AC}" destId="{654DEB5B-8FAB-4A68-B6E1-0397D9D68EE6}" srcOrd="0" destOrd="0" parTransId="{169F289B-5EE3-4389-8D67-19079AB114B8}" sibTransId="{715B5D70-0C86-443B-9205-BF9B065F9C72}"/>
    <dgm:cxn modelId="{45CB1B0C-B844-4801-B715-C03236B35CEA}" srcId="{1F65F6A6-E0D5-430A-BA20-992370204FE5}" destId="{8869C4C2-14AF-4E3B-AAE4-89EC1BF70217}" srcOrd="1" destOrd="0" parTransId="{C028CBE7-6D1E-4FF7-938A-F2588CD290E4}" sibTransId="{0320F070-4644-4349-8FCE-66AA2DA0D095}"/>
    <dgm:cxn modelId="{FEF08722-1FFA-4809-9E3A-7407994F763C}" type="presOf" srcId="{7E56E25E-52C5-41F5-9F9D-CBFC6C478D64}" destId="{CC045C6D-43A7-493D-96DC-CA401E92EC10}" srcOrd="0" destOrd="0" presId="urn:microsoft.com/office/officeart/2008/layout/HorizontalMultiLevelHierarchy"/>
    <dgm:cxn modelId="{2D74C413-544B-43F9-993D-F55123F8E79B}" type="presOf" srcId="{80A65618-EB6E-4E10-AAB2-2948E7C85BA0}" destId="{09DF93DA-283B-433C-82F5-BA5595E2EB85}" srcOrd="1" destOrd="0" presId="urn:microsoft.com/office/officeart/2008/layout/HorizontalMultiLevelHierarchy"/>
    <dgm:cxn modelId="{D9AF5406-006A-47AC-A8C7-310373B988B9}" srcId="{39E956C6-153E-4E39-A3B9-C0A726A03DEE}" destId="{75771D02-3A99-4321-8234-3A97294D885D}" srcOrd="2" destOrd="0" parTransId="{80A65618-EB6E-4E10-AAB2-2948E7C85BA0}" sibTransId="{4494B322-A8CB-4858-808D-63116F81B264}"/>
    <dgm:cxn modelId="{90A9278F-6D3D-421A-9C26-A58373FAFA48}" type="presOf" srcId="{7BE79D3B-748D-4BD0-AE17-7CE5500F1B22}" destId="{9F7E181A-1E2D-4776-8131-C2FF3735614B}" srcOrd="0" destOrd="0" presId="urn:microsoft.com/office/officeart/2008/layout/HorizontalMultiLevelHierarchy"/>
    <dgm:cxn modelId="{98ECB22B-CA36-4C46-9483-28DC833ED163}" type="presOf" srcId="{69540853-8924-4526-B597-B631458C05AC}" destId="{66050B88-D65D-4962-BA23-EF730D3E63D0}" srcOrd="0" destOrd="0" presId="urn:microsoft.com/office/officeart/2008/layout/HorizontalMultiLevelHierarchy"/>
    <dgm:cxn modelId="{45DC5F63-EDAC-487D-B38E-0AB027A96CBA}" srcId="{1F65F6A6-E0D5-430A-BA20-992370204FE5}" destId="{2F0878AD-9B2E-4665-8FA7-129CC21071BD}" srcOrd="0" destOrd="0" parTransId="{9E5B8356-258D-4CF0-8646-923AD5819B7A}" sibTransId="{94E464C7-D522-47C9-9B16-74FF51E9C22E}"/>
    <dgm:cxn modelId="{1AEDD9D7-160B-4967-9978-21BB737C892B}" srcId="{654DEB5B-8FAB-4A68-B6E1-0397D9D68EE6}" destId="{1F65F6A6-E0D5-430A-BA20-992370204FE5}" srcOrd="0" destOrd="0" parTransId="{2302DAF6-EAC1-4FAF-BFD6-AC5322334460}" sibTransId="{46A1024C-D6CB-4F03-8A5C-1A9364F7D6D2}"/>
    <dgm:cxn modelId="{B095E986-2553-4F77-9D02-D0CEC986BDC3}" type="presOf" srcId="{B4480909-0393-4241-9794-63EAD9A40DA1}" destId="{6DA5F8D7-3898-4FA1-A5FD-FFE73D5FBCCB}" srcOrd="0" destOrd="0" presId="urn:microsoft.com/office/officeart/2008/layout/HorizontalMultiLevelHierarchy"/>
    <dgm:cxn modelId="{7488E368-9F5A-4B4F-9146-ABDE067BF79C}" type="presOf" srcId="{2302DAF6-EAC1-4FAF-BFD6-AC5322334460}" destId="{EC71CE18-5D54-425B-B2E4-0975556C5D3B}" srcOrd="0" destOrd="0" presId="urn:microsoft.com/office/officeart/2008/layout/HorizontalMultiLevelHierarchy"/>
    <dgm:cxn modelId="{E3EFA0ED-3966-40D9-B4B3-0D70B42B3852}" type="presOf" srcId="{9667A208-D605-4C62-86CA-6E6568E71DC4}" destId="{5C2D2509-4D15-4B1E-9555-DD0D29BEA8EB}" srcOrd="1" destOrd="0" presId="urn:microsoft.com/office/officeart/2008/layout/HorizontalMultiLevelHierarchy"/>
    <dgm:cxn modelId="{4F943AEC-4996-47B9-A04D-1D58E847E376}" srcId="{39E956C6-153E-4E39-A3B9-C0A726A03DEE}" destId="{B4480909-0393-4241-9794-63EAD9A40DA1}" srcOrd="1" destOrd="0" parTransId="{ADA8B5A9-6A0C-4B6B-9DD9-3D92A2B11897}" sibTransId="{02C53D82-BC4A-4812-8287-9C17653671FE}"/>
    <dgm:cxn modelId="{292F4B90-6730-488F-AF0A-BA7FC08DA5C1}" type="presOf" srcId="{ADA8B5A9-6A0C-4B6B-9DD9-3D92A2B11897}" destId="{23207769-73F2-49B4-B76F-8D681484E869}" srcOrd="0" destOrd="0" presId="urn:microsoft.com/office/officeart/2008/layout/HorizontalMultiLevelHierarchy"/>
    <dgm:cxn modelId="{A7CEFBBB-AFF6-4E95-99D3-59DFF5D7FB7D}" type="presOf" srcId="{32687E5C-5407-4B20-A9C0-9E3599BE744C}" destId="{B654619D-1D7D-4AA3-A279-29996AFE0321}" srcOrd="1" destOrd="0" presId="urn:microsoft.com/office/officeart/2008/layout/HorizontalMultiLevelHierarchy"/>
    <dgm:cxn modelId="{F76370A0-F351-4BB4-BA69-E7791B6D021C}" type="presOf" srcId="{C028CBE7-6D1E-4FF7-938A-F2588CD290E4}" destId="{5AB29E6E-F86E-4150-9D03-AAADB3D0020A}" srcOrd="1" destOrd="0" presId="urn:microsoft.com/office/officeart/2008/layout/HorizontalMultiLevelHierarchy"/>
    <dgm:cxn modelId="{E63C6035-E175-4462-A549-11E183F2C1FE}" type="presOf" srcId="{32527FEE-EB6A-41A4-AB36-56A9EB3B145B}" destId="{9E053398-C8AB-48FE-AAB0-49F020B49D5C}" srcOrd="0" destOrd="0" presId="urn:microsoft.com/office/officeart/2008/layout/HorizontalMultiLevelHierarchy"/>
    <dgm:cxn modelId="{C46AED97-B2AE-4A85-941B-7FB83FC58A85}" type="presOf" srcId="{ADA8B5A9-6A0C-4B6B-9DD9-3D92A2B11897}" destId="{64771EC8-2626-40DE-A3B7-F4C5DE39D8C2}" srcOrd="1" destOrd="0" presId="urn:microsoft.com/office/officeart/2008/layout/HorizontalMultiLevelHierarchy"/>
    <dgm:cxn modelId="{E3175B4D-5562-4869-8047-3229B2E344BF}" type="presOf" srcId="{31C388A5-2D29-41F3-88DA-B2628A3FF254}" destId="{4D4F90E4-AB9F-4EB6-A677-EA9BFDE529BE}" srcOrd="0" destOrd="0" presId="urn:microsoft.com/office/officeart/2008/layout/HorizontalMultiLevelHierarchy"/>
    <dgm:cxn modelId="{11B930CB-C4EA-4104-820E-00F47831E7A5}" type="presOf" srcId="{80A65618-EB6E-4E10-AAB2-2948E7C85BA0}" destId="{F36BB9F4-A69D-4CAF-81BA-32BF7FD83953}" srcOrd="0" destOrd="0" presId="urn:microsoft.com/office/officeart/2008/layout/HorizontalMultiLevelHierarchy"/>
    <dgm:cxn modelId="{F8F26A02-792E-4803-A879-FF4986DECFB8}" type="presOf" srcId="{82E5408B-574F-49FD-B688-36CA9B491F99}" destId="{2C877174-85FF-4CE0-BB0E-FB1E7BBE1FF5}" srcOrd="1" destOrd="0" presId="urn:microsoft.com/office/officeart/2008/layout/HorizontalMultiLevelHierarchy"/>
    <dgm:cxn modelId="{E5586F9D-5935-494B-999E-55CA153AF945}" type="presOf" srcId="{9E5B8356-258D-4CF0-8646-923AD5819B7A}" destId="{CFF2F03C-C5B9-4CAE-AB26-8B64FA3A681A}" srcOrd="0" destOrd="0" presId="urn:microsoft.com/office/officeart/2008/layout/HorizontalMultiLevelHierarchy"/>
    <dgm:cxn modelId="{CC088E35-5D55-4AF4-A214-2B3CCDCEEDA7}" srcId="{39E956C6-153E-4E39-A3B9-C0A726A03DEE}" destId="{7E56E25E-52C5-41F5-9F9D-CBFC6C478D64}" srcOrd="3" destOrd="0" parTransId="{32687E5C-5407-4B20-A9C0-9E3599BE744C}" sibTransId="{E4C49C26-238C-4D78-BE9E-3DC71BDFADFB}"/>
    <dgm:cxn modelId="{4A494E7D-941C-40EF-BF4C-B948ADC5B640}" type="presOf" srcId="{75771D02-3A99-4321-8234-3A97294D885D}" destId="{904E7D60-3346-4C54-B95D-93A0010F6E33}" srcOrd="0" destOrd="0" presId="urn:microsoft.com/office/officeart/2008/layout/HorizontalMultiLevelHierarchy"/>
    <dgm:cxn modelId="{8BD0CE43-2EE5-433A-A7F5-DD163987D06A}" type="presParOf" srcId="{66050B88-D65D-4962-BA23-EF730D3E63D0}" destId="{F0507864-30A5-437D-8839-B7AD96C34D68}" srcOrd="0" destOrd="0" presId="urn:microsoft.com/office/officeart/2008/layout/HorizontalMultiLevelHierarchy"/>
    <dgm:cxn modelId="{8333FE4A-1989-4036-8AF1-DDFA53A93284}" type="presParOf" srcId="{F0507864-30A5-437D-8839-B7AD96C34D68}" destId="{7A93B023-22D5-48A4-9A5A-B31BA3B69F8D}" srcOrd="0" destOrd="0" presId="urn:microsoft.com/office/officeart/2008/layout/HorizontalMultiLevelHierarchy"/>
    <dgm:cxn modelId="{842A0333-5C4B-463B-87DF-583532A9AA28}" type="presParOf" srcId="{F0507864-30A5-437D-8839-B7AD96C34D68}" destId="{168E6612-52DA-4CC0-BACE-1C0A7BEDFF77}" srcOrd="1" destOrd="0" presId="urn:microsoft.com/office/officeart/2008/layout/HorizontalMultiLevelHierarchy"/>
    <dgm:cxn modelId="{189FCDCB-EAD7-4BE7-B7FE-7EAFA5A27707}" type="presParOf" srcId="{168E6612-52DA-4CC0-BACE-1C0A7BEDFF77}" destId="{EC71CE18-5D54-425B-B2E4-0975556C5D3B}" srcOrd="0" destOrd="0" presId="urn:microsoft.com/office/officeart/2008/layout/HorizontalMultiLevelHierarchy"/>
    <dgm:cxn modelId="{B8E16701-B593-4E68-966F-54DCC48B0676}" type="presParOf" srcId="{EC71CE18-5D54-425B-B2E4-0975556C5D3B}" destId="{68E704A6-2523-4B65-A46F-8C9A415B3429}" srcOrd="0" destOrd="0" presId="urn:microsoft.com/office/officeart/2008/layout/HorizontalMultiLevelHierarchy"/>
    <dgm:cxn modelId="{B139E364-7CBA-4201-8A8E-74E1A6F61945}" type="presParOf" srcId="{168E6612-52DA-4CC0-BACE-1C0A7BEDFF77}" destId="{C3C41DB4-69DF-4AB5-A905-FBEE230689CA}" srcOrd="1" destOrd="0" presId="urn:microsoft.com/office/officeart/2008/layout/HorizontalMultiLevelHierarchy"/>
    <dgm:cxn modelId="{A8B98443-CD2D-4CD1-B0F1-CC5606330FC1}" type="presParOf" srcId="{C3C41DB4-69DF-4AB5-A905-FBEE230689CA}" destId="{14C3FBB9-8104-4A9E-914F-3F69D48FDDE7}" srcOrd="0" destOrd="0" presId="urn:microsoft.com/office/officeart/2008/layout/HorizontalMultiLevelHierarchy"/>
    <dgm:cxn modelId="{808E24F2-A04A-46B7-8225-2B5EB7554BCA}" type="presParOf" srcId="{C3C41DB4-69DF-4AB5-A905-FBEE230689CA}" destId="{A994FFE3-3D23-49AD-832A-D628FBF387DF}" srcOrd="1" destOrd="0" presId="urn:microsoft.com/office/officeart/2008/layout/HorizontalMultiLevelHierarchy"/>
    <dgm:cxn modelId="{1EA93A5E-606F-48A2-8EB2-5CDDDF30F975}" type="presParOf" srcId="{A994FFE3-3D23-49AD-832A-D628FBF387DF}" destId="{CFF2F03C-C5B9-4CAE-AB26-8B64FA3A681A}" srcOrd="0" destOrd="0" presId="urn:microsoft.com/office/officeart/2008/layout/HorizontalMultiLevelHierarchy"/>
    <dgm:cxn modelId="{63136F96-0CF9-4837-978B-9EB2E1857131}" type="presParOf" srcId="{CFF2F03C-C5B9-4CAE-AB26-8B64FA3A681A}" destId="{F65662B4-6DCC-4D4A-A6AF-4591AA95A399}" srcOrd="0" destOrd="0" presId="urn:microsoft.com/office/officeart/2008/layout/HorizontalMultiLevelHierarchy"/>
    <dgm:cxn modelId="{21905AE8-153B-4BE2-89C9-E96BAD20E2BE}" type="presParOf" srcId="{A994FFE3-3D23-49AD-832A-D628FBF387DF}" destId="{46FA6831-C1BE-435D-B152-3CF6037F3079}" srcOrd="1" destOrd="0" presId="urn:microsoft.com/office/officeart/2008/layout/HorizontalMultiLevelHierarchy"/>
    <dgm:cxn modelId="{7D32C538-9975-402B-BA0A-43CCD47B787D}" type="presParOf" srcId="{46FA6831-C1BE-435D-B152-3CF6037F3079}" destId="{508D4713-4332-4A7D-892B-0275D6EB0A25}" srcOrd="0" destOrd="0" presId="urn:microsoft.com/office/officeart/2008/layout/HorizontalMultiLevelHierarchy"/>
    <dgm:cxn modelId="{3C40752A-3D51-4EE2-A897-0AF2C722AC82}" type="presParOf" srcId="{46FA6831-C1BE-435D-B152-3CF6037F3079}" destId="{E8FB7B80-C5EE-40D5-B421-85FBDB3AB9EB}" srcOrd="1" destOrd="0" presId="urn:microsoft.com/office/officeart/2008/layout/HorizontalMultiLevelHierarchy"/>
    <dgm:cxn modelId="{43A87631-B38E-4E32-9E41-03D2A768DB91}" type="presParOf" srcId="{A994FFE3-3D23-49AD-832A-D628FBF387DF}" destId="{9376092E-49D7-42BA-B2CC-6A2F1814493C}" srcOrd="2" destOrd="0" presId="urn:microsoft.com/office/officeart/2008/layout/HorizontalMultiLevelHierarchy"/>
    <dgm:cxn modelId="{B3D6393B-3226-4107-9737-90815D753389}" type="presParOf" srcId="{9376092E-49D7-42BA-B2CC-6A2F1814493C}" destId="{5AB29E6E-F86E-4150-9D03-AAADB3D0020A}" srcOrd="0" destOrd="0" presId="urn:microsoft.com/office/officeart/2008/layout/HorizontalMultiLevelHierarchy"/>
    <dgm:cxn modelId="{CF758AA3-C01D-4FFA-A25C-43BDBE8DCF19}" type="presParOf" srcId="{A994FFE3-3D23-49AD-832A-D628FBF387DF}" destId="{6CCC1BF4-DCE4-411E-9D90-65987E94F7C5}" srcOrd="3" destOrd="0" presId="urn:microsoft.com/office/officeart/2008/layout/HorizontalMultiLevelHierarchy"/>
    <dgm:cxn modelId="{40759EF9-B19D-4CAC-9F99-2EAB05B177ED}" type="presParOf" srcId="{6CCC1BF4-DCE4-411E-9D90-65987E94F7C5}" destId="{6C7A86D9-DAAE-41CA-A5F0-B4193385B947}" srcOrd="0" destOrd="0" presId="urn:microsoft.com/office/officeart/2008/layout/HorizontalMultiLevelHierarchy"/>
    <dgm:cxn modelId="{17E3C09D-B898-4A15-B6F3-5753C19BDEDE}" type="presParOf" srcId="{6CCC1BF4-DCE4-411E-9D90-65987E94F7C5}" destId="{1BB98BE1-7EB4-4E76-BF77-A238D2FE01F8}" srcOrd="1" destOrd="0" presId="urn:microsoft.com/office/officeart/2008/layout/HorizontalMultiLevelHierarchy"/>
    <dgm:cxn modelId="{44DDDB4C-1D88-414E-9447-7DAC38C437B1}" type="presParOf" srcId="{A994FFE3-3D23-49AD-832A-D628FBF387DF}" destId="{4D4F90E4-AB9F-4EB6-A677-EA9BFDE529BE}" srcOrd="4" destOrd="0" presId="urn:microsoft.com/office/officeart/2008/layout/HorizontalMultiLevelHierarchy"/>
    <dgm:cxn modelId="{B4F58F7D-C957-452F-99A0-CD875BC3CCB9}" type="presParOf" srcId="{4D4F90E4-AB9F-4EB6-A677-EA9BFDE529BE}" destId="{02D93CB6-635C-44E5-BBE0-A05FF93D569D}" srcOrd="0" destOrd="0" presId="urn:microsoft.com/office/officeart/2008/layout/HorizontalMultiLevelHierarchy"/>
    <dgm:cxn modelId="{33B4B399-C6F8-4965-B35C-B41F3F1AB280}" type="presParOf" srcId="{A994FFE3-3D23-49AD-832A-D628FBF387DF}" destId="{8C24B19C-867E-47A6-83AC-7930B4963B08}" srcOrd="5" destOrd="0" presId="urn:microsoft.com/office/officeart/2008/layout/HorizontalMultiLevelHierarchy"/>
    <dgm:cxn modelId="{1D5B444B-7AB4-4053-8BC8-B12801ADD062}" type="presParOf" srcId="{8C24B19C-867E-47A6-83AC-7930B4963B08}" destId="{9F7E181A-1E2D-4776-8131-C2FF3735614B}" srcOrd="0" destOrd="0" presId="urn:microsoft.com/office/officeart/2008/layout/HorizontalMultiLevelHierarchy"/>
    <dgm:cxn modelId="{8EB84B8D-9BE6-45C1-AFCB-8EF20DD437BD}" type="presParOf" srcId="{8C24B19C-867E-47A6-83AC-7930B4963B08}" destId="{2002AF7C-C4CF-4DF5-B7FE-C87DAEB9F058}" srcOrd="1" destOrd="0" presId="urn:microsoft.com/office/officeart/2008/layout/HorizontalMultiLevelHierarchy"/>
    <dgm:cxn modelId="{F8828164-B293-4F80-BA75-1F8D8D6E5C89}" type="presParOf" srcId="{A994FFE3-3D23-49AD-832A-D628FBF387DF}" destId="{16E1CE2F-8DF3-4ACC-AA61-FBEEA7FE1903}" srcOrd="6" destOrd="0" presId="urn:microsoft.com/office/officeart/2008/layout/HorizontalMultiLevelHierarchy"/>
    <dgm:cxn modelId="{F3EB1DF3-4662-4FE9-BC53-A1237D6217A6}" type="presParOf" srcId="{16E1CE2F-8DF3-4ACC-AA61-FBEEA7FE1903}" destId="{A2967534-DDE9-4221-B0C1-278401152CFF}" srcOrd="0" destOrd="0" presId="urn:microsoft.com/office/officeart/2008/layout/HorizontalMultiLevelHierarchy"/>
    <dgm:cxn modelId="{B51933BF-5E00-4DA7-9250-F7AB4973C9B9}" type="presParOf" srcId="{A994FFE3-3D23-49AD-832A-D628FBF387DF}" destId="{E0ACD488-639A-4B5C-BCCA-5349BD6C6B88}" srcOrd="7" destOrd="0" presId="urn:microsoft.com/office/officeart/2008/layout/HorizontalMultiLevelHierarchy"/>
    <dgm:cxn modelId="{1B3A5B53-1E0D-49C3-89D9-91386534CE09}" type="presParOf" srcId="{E0ACD488-639A-4B5C-BCCA-5349BD6C6B88}" destId="{58E4CA5A-4BD0-4F55-816B-BA2D10D87589}" srcOrd="0" destOrd="0" presId="urn:microsoft.com/office/officeart/2008/layout/HorizontalMultiLevelHierarchy"/>
    <dgm:cxn modelId="{61B44FEB-F5A2-44E9-B136-0B80DC16FCA6}" type="presParOf" srcId="{E0ACD488-639A-4B5C-BCCA-5349BD6C6B88}" destId="{9B701C8D-5C5C-403C-80AD-27E750AA1350}" srcOrd="1" destOrd="0" presId="urn:microsoft.com/office/officeart/2008/layout/HorizontalMultiLevelHierarchy"/>
    <dgm:cxn modelId="{036CB48A-4D71-40B7-8498-E3F15CC981A9}" type="presParOf" srcId="{A994FFE3-3D23-49AD-832A-D628FBF387DF}" destId="{742AAFC4-6D6B-4D34-97B1-CE8939964D68}" srcOrd="8" destOrd="0" presId="urn:microsoft.com/office/officeart/2008/layout/HorizontalMultiLevelHierarchy"/>
    <dgm:cxn modelId="{5AAFCC9B-816A-40D4-9640-994F1405C183}" type="presParOf" srcId="{742AAFC4-6D6B-4D34-97B1-CE8939964D68}" destId="{5C2D2509-4D15-4B1E-9555-DD0D29BEA8EB}" srcOrd="0" destOrd="0" presId="urn:microsoft.com/office/officeart/2008/layout/HorizontalMultiLevelHierarchy"/>
    <dgm:cxn modelId="{EF0424E6-59AA-44DD-8894-C39F530E7218}" type="presParOf" srcId="{A994FFE3-3D23-49AD-832A-D628FBF387DF}" destId="{3D85CA9E-694F-4D42-8F0D-3082D79C57C7}" srcOrd="9" destOrd="0" presId="urn:microsoft.com/office/officeart/2008/layout/HorizontalMultiLevelHierarchy"/>
    <dgm:cxn modelId="{3C6C274A-82BC-48F6-A823-F18EBD3BFD32}" type="presParOf" srcId="{3D85CA9E-694F-4D42-8F0D-3082D79C57C7}" destId="{4CCC5CA6-5A4C-47C7-807C-A5FA355A76B3}" srcOrd="0" destOrd="0" presId="urn:microsoft.com/office/officeart/2008/layout/HorizontalMultiLevelHierarchy"/>
    <dgm:cxn modelId="{86AF3C25-6875-41A2-A12F-F740BBAFF909}" type="presParOf" srcId="{3D85CA9E-694F-4D42-8F0D-3082D79C57C7}" destId="{3009FE75-AC2E-45F7-A3BB-5DD75322B610}" srcOrd="1" destOrd="0" presId="urn:microsoft.com/office/officeart/2008/layout/HorizontalMultiLevelHierarchy"/>
    <dgm:cxn modelId="{C4C1556F-967B-4363-9629-AF92348B4FF9}" type="presParOf" srcId="{3009FE75-AC2E-45F7-A3BB-5DD75322B610}" destId="{11114B88-95EA-478C-BCD0-6255928B49C0}" srcOrd="0" destOrd="0" presId="urn:microsoft.com/office/officeart/2008/layout/HorizontalMultiLevelHierarchy"/>
    <dgm:cxn modelId="{37C385C2-66DD-4D3C-81A5-2BF49C253487}" type="presParOf" srcId="{11114B88-95EA-478C-BCD0-6255928B49C0}" destId="{2C877174-85FF-4CE0-BB0E-FB1E7BBE1FF5}" srcOrd="0" destOrd="0" presId="urn:microsoft.com/office/officeart/2008/layout/HorizontalMultiLevelHierarchy"/>
    <dgm:cxn modelId="{A592E090-F0C5-4F2A-B724-2FB90EC85BF8}" type="presParOf" srcId="{3009FE75-AC2E-45F7-A3BB-5DD75322B610}" destId="{3FA6DD62-7EDE-46A9-BCAE-9A9C3C92E474}" srcOrd="1" destOrd="0" presId="urn:microsoft.com/office/officeart/2008/layout/HorizontalMultiLevelHierarchy"/>
    <dgm:cxn modelId="{16ECECBE-34DB-4E99-AD9E-A875B3B58FB6}" type="presParOf" srcId="{3FA6DD62-7EDE-46A9-BCAE-9A9C3C92E474}" destId="{9E053398-C8AB-48FE-AAB0-49F020B49D5C}" srcOrd="0" destOrd="0" presId="urn:microsoft.com/office/officeart/2008/layout/HorizontalMultiLevelHierarchy"/>
    <dgm:cxn modelId="{51CA6864-B0DB-4C44-9807-92C0CD5BB320}" type="presParOf" srcId="{3FA6DD62-7EDE-46A9-BCAE-9A9C3C92E474}" destId="{8E2CB30B-90FC-43B9-B8A7-833BC7BB0364}" srcOrd="1" destOrd="0" presId="urn:microsoft.com/office/officeart/2008/layout/HorizontalMultiLevelHierarchy"/>
    <dgm:cxn modelId="{211FFACA-7D34-48BA-B3E2-7F9012A38967}" type="presParOf" srcId="{3009FE75-AC2E-45F7-A3BB-5DD75322B610}" destId="{23207769-73F2-49B4-B76F-8D681484E869}" srcOrd="2" destOrd="0" presId="urn:microsoft.com/office/officeart/2008/layout/HorizontalMultiLevelHierarchy"/>
    <dgm:cxn modelId="{62D7F6AA-7A62-4D02-971D-B334FD9B7A3F}" type="presParOf" srcId="{23207769-73F2-49B4-B76F-8D681484E869}" destId="{64771EC8-2626-40DE-A3B7-F4C5DE39D8C2}" srcOrd="0" destOrd="0" presId="urn:microsoft.com/office/officeart/2008/layout/HorizontalMultiLevelHierarchy"/>
    <dgm:cxn modelId="{D21AF682-F85F-46C7-858B-7CC9D9E8475F}" type="presParOf" srcId="{3009FE75-AC2E-45F7-A3BB-5DD75322B610}" destId="{9C13D390-135A-4A18-8C6E-E9F1298E69CC}" srcOrd="3" destOrd="0" presId="urn:microsoft.com/office/officeart/2008/layout/HorizontalMultiLevelHierarchy"/>
    <dgm:cxn modelId="{46AF0CB3-A9DB-408D-B179-6156BFE1FADC}" type="presParOf" srcId="{9C13D390-135A-4A18-8C6E-E9F1298E69CC}" destId="{6DA5F8D7-3898-4FA1-A5FD-FFE73D5FBCCB}" srcOrd="0" destOrd="0" presId="urn:microsoft.com/office/officeart/2008/layout/HorizontalMultiLevelHierarchy"/>
    <dgm:cxn modelId="{9BDA2C68-53B8-4215-9D23-4C8C12D67A60}" type="presParOf" srcId="{9C13D390-135A-4A18-8C6E-E9F1298E69CC}" destId="{0689D73D-6570-4DA8-A108-C3936C27F637}" srcOrd="1" destOrd="0" presId="urn:microsoft.com/office/officeart/2008/layout/HorizontalMultiLevelHierarchy"/>
    <dgm:cxn modelId="{49CE5B63-EFEA-4E39-A941-DB02840B9B9A}" type="presParOf" srcId="{3009FE75-AC2E-45F7-A3BB-5DD75322B610}" destId="{F36BB9F4-A69D-4CAF-81BA-32BF7FD83953}" srcOrd="4" destOrd="0" presId="urn:microsoft.com/office/officeart/2008/layout/HorizontalMultiLevelHierarchy"/>
    <dgm:cxn modelId="{5A299590-33B5-4A05-9C59-675524F8B1DC}" type="presParOf" srcId="{F36BB9F4-A69D-4CAF-81BA-32BF7FD83953}" destId="{09DF93DA-283B-433C-82F5-BA5595E2EB85}" srcOrd="0" destOrd="0" presId="urn:microsoft.com/office/officeart/2008/layout/HorizontalMultiLevelHierarchy"/>
    <dgm:cxn modelId="{A728D5CC-1401-406C-9264-A916F1A6CCC3}" type="presParOf" srcId="{3009FE75-AC2E-45F7-A3BB-5DD75322B610}" destId="{25432599-6CE8-4512-8D82-281A3B9900E8}" srcOrd="5" destOrd="0" presId="urn:microsoft.com/office/officeart/2008/layout/HorizontalMultiLevelHierarchy"/>
    <dgm:cxn modelId="{524FD954-D9D2-484D-8EEC-AB6CD0FA08CA}" type="presParOf" srcId="{25432599-6CE8-4512-8D82-281A3B9900E8}" destId="{904E7D60-3346-4C54-B95D-93A0010F6E33}" srcOrd="0" destOrd="0" presId="urn:microsoft.com/office/officeart/2008/layout/HorizontalMultiLevelHierarchy"/>
    <dgm:cxn modelId="{0EAD0E14-4A7D-4C6B-8DF7-E2040BA07957}" type="presParOf" srcId="{25432599-6CE8-4512-8D82-281A3B9900E8}" destId="{44A056F3-78E2-4B5D-BE0D-1A3D8AFF1A0E}" srcOrd="1" destOrd="0" presId="urn:microsoft.com/office/officeart/2008/layout/HorizontalMultiLevelHierarchy"/>
    <dgm:cxn modelId="{E1E6A3B1-50DE-40C3-A347-3A2DF2C53890}" type="presParOf" srcId="{3009FE75-AC2E-45F7-A3BB-5DD75322B610}" destId="{4F487665-B5E2-4574-9C74-4BCFC62B5757}" srcOrd="6" destOrd="0" presId="urn:microsoft.com/office/officeart/2008/layout/HorizontalMultiLevelHierarchy"/>
    <dgm:cxn modelId="{1CB28CDD-6C21-4DAD-B600-61782CF1EA15}" type="presParOf" srcId="{4F487665-B5E2-4574-9C74-4BCFC62B5757}" destId="{B654619D-1D7D-4AA3-A279-29996AFE0321}" srcOrd="0" destOrd="0" presId="urn:microsoft.com/office/officeart/2008/layout/HorizontalMultiLevelHierarchy"/>
    <dgm:cxn modelId="{DFDF9319-5432-4886-BFE5-56EF00408272}" type="presParOf" srcId="{3009FE75-AC2E-45F7-A3BB-5DD75322B610}" destId="{1F953469-1C1C-411B-812B-EEA51A6E8452}" srcOrd="7" destOrd="0" presId="urn:microsoft.com/office/officeart/2008/layout/HorizontalMultiLevelHierarchy"/>
    <dgm:cxn modelId="{31301994-BC88-4B2F-81AA-028F739AF46F}" type="presParOf" srcId="{1F953469-1C1C-411B-812B-EEA51A6E8452}" destId="{CC045C6D-43A7-493D-96DC-CA401E92EC10}" srcOrd="0" destOrd="0" presId="urn:microsoft.com/office/officeart/2008/layout/HorizontalMultiLevelHierarchy"/>
    <dgm:cxn modelId="{90DE9248-74BA-48EC-821B-1E80A9164AFF}" type="presParOf" srcId="{1F953469-1C1C-411B-812B-EEA51A6E8452}" destId="{4EA57E07-6A8C-4282-A507-4969AB50C432}"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1CFE254-3248-42AA-9650-4DE3CC7AB0CE}" type="doc">
      <dgm:prSet loTypeId="urn:microsoft.com/office/officeart/2008/layout/HorizontalMultiLevelHierarchy" loCatId="hierarchy" qsTypeId="urn:microsoft.com/office/officeart/2005/8/quickstyle/simple1" qsCatId="simple" csTypeId="urn:microsoft.com/office/officeart/2005/8/colors/colorful1#2" csCatId="colorful" phldr="1"/>
      <dgm:spPr/>
      <dgm:t>
        <a:bodyPr/>
        <a:lstStyle/>
        <a:p>
          <a:endParaRPr lang="en-GB"/>
        </a:p>
      </dgm:t>
    </dgm:pt>
    <dgm:pt modelId="{C88A41BE-1FFA-46B8-B862-311C83C6F482}">
      <dgm:prSet phldrT="[Text]" custT="1"/>
      <dgm:spPr/>
      <dgm:t>
        <a:bodyPr/>
        <a:lstStyle/>
        <a:p>
          <a:r>
            <a:rPr lang="en-GB" sz="1200"/>
            <a:t>MI7</a:t>
          </a:r>
        </a:p>
      </dgm:t>
    </dgm:pt>
    <dgm:pt modelId="{3A8B4B09-438A-4969-8E9B-A99FED09FA12}" type="parTrans" cxnId="{E800A45A-5BB0-4999-B312-B9805C84F463}">
      <dgm:prSet/>
      <dgm:spPr/>
      <dgm:t>
        <a:bodyPr/>
        <a:lstStyle/>
        <a:p>
          <a:endParaRPr lang="en-GB"/>
        </a:p>
      </dgm:t>
    </dgm:pt>
    <dgm:pt modelId="{5B9BF659-B28D-460E-81DC-41E815591CF0}" type="sibTrans" cxnId="{E800A45A-5BB0-4999-B312-B9805C84F463}">
      <dgm:prSet/>
      <dgm:spPr/>
      <dgm:t>
        <a:bodyPr/>
        <a:lstStyle/>
        <a:p>
          <a:endParaRPr lang="en-GB"/>
        </a:p>
      </dgm:t>
    </dgm:pt>
    <dgm:pt modelId="{1944EF0A-FE86-4887-BC50-BFAACC49E055}">
      <dgm:prSet phldrT="[Text]" custT="1"/>
      <dgm:spPr/>
      <dgm:t>
        <a:bodyPr/>
        <a:lstStyle/>
        <a:p>
          <a:r>
            <a:rPr lang="en-GB" sz="1200"/>
            <a:t>MI7(b)</a:t>
          </a:r>
        </a:p>
        <a:p>
          <a:r>
            <a:rPr lang="en-GB" sz="1000"/>
            <a:t>Propaganda at home and in foreign countries</a:t>
          </a:r>
        </a:p>
      </dgm:t>
    </dgm:pt>
    <dgm:pt modelId="{6BBBE9BC-3A32-431A-9D99-8E93E0E176B4}" type="parTrans" cxnId="{C4552609-7303-455F-9D0A-1B5FE9ED1657}">
      <dgm:prSet/>
      <dgm:spPr/>
      <dgm:t>
        <a:bodyPr/>
        <a:lstStyle/>
        <a:p>
          <a:endParaRPr lang="en-GB"/>
        </a:p>
      </dgm:t>
    </dgm:pt>
    <dgm:pt modelId="{ED21F9D3-0AB0-48E8-A843-4C2645177AB3}" type="sibTrans" cxnId="{C4552609-7303-455F-9D0A-1B5FE9ED1657}">
      <dgm:prSet/>
      <dgm:spPr/>
      <dgm:t>
        <a:bodyPr/>
        <a:lstStyle/>
        <a:p>
          <a:endParaRPr lang="en-GB"/>
        </a:p>
      </dgm:t>
    </dgm:pt>
    <dgm:pt modelId="{E6FA3CC8-ACF5-4D87-AFC0-2ED8402465E1}">
      <dgm:prSet phldrT="[Text]" custT="1"/>
      <dgm:spPr/>
      <dgm:t>
        <a:bodyPr/>
        <a:lstStyle/>
        <a:p>
          <a:r>
            <a:rPr lang="en-GB" sz="1200"/>
            <a:t>MI7(d)</a:t>
          </a:r>
        </a:p>
        <a:p>
          <a:r>
            <a:rPr lang="en-GB" sz="1200"/>
            <a:t> </a:t>
          </a:r>
          <a:r>
            <a:rPr lang="en-GB" sz="1000"/>
            <a:t>Foreign press propaganda review</a:t>
          </a:r>
        </a:p>
      </dgm:t>
    </dgm:pt>
    <dgm:pt modelId="{30C7AF65-3549-48FD-BF5B-BD3FD8BEC89F}" type="parTrans" cxnId="{D601572B-3960-42C0-A285-D6DFD024B60B}">
      <dgm:prSet/>
      <dgm:spPr/>
      <dgm:t>
        <a:bodyPr/>
        <a:lstStyle/>
        <a:p>
          <a:endParaRPr lang="en-GB"/>
        </a:p>
      </dgm:t>
    </dgm:pt>
    <dgm:pt modelId="{A53617F1-7F29-49E4-8BED-6AB06BB4B4F4}" type="sibTrans" cxnId="{D601572B-3960-42C0-A285-D6DFD024B60B}">
      <dgm:prSet/>
      <dgm:spPr/>
      <dgm:t>
        <a:bodyPr/>
        <a:lstStyle/>
        <a:p>
          <a:endParaRPr lang="en-GB"/>
        </a:p>
      </dgm:t>
    </dgm:pt>
    <dgm:pt modelId="{F2B900C4-086B-45CC-9AC9-5A160B868A63}">
      <dgm:prSet phldrT="[Text]" custT="1"/>
      <dgm:spPr/>
      <dgm:t>
        <a:bodyPr/>
        <a:lstStyle/>
        <a:p>
          <a:r>
            <a:rPr lang="en-GB" sz="1200"/>
            <a:t>MI7(c)</a:t>
          </a:r>
        </a:p>
        <a:p>
          <a:r>
            <a:rPr lang="en-GB" sz="1200"/>
            <a:t> </a:t>
          </a:r>
          <a:r>
            <a:rPr lang="en-GB" sz="1000"/>
            <a:t>Translation and foreign visitors</a:t>
          </a:r>
        </a:p>
      </dgm:t>
    </dgm:pt>
    <dgm:pt modelId="{2B19CF11-A2F8-4D0F-89F3-F7D10D918FEB}" type="parTrans" cxnId="{FE0B2431-0723-49B2-BC7E-848D9F76ED73}">
      <dgm:prSet/>
      <dgm:spPr/>
      <dgm:t>
        <a:bodyPr/>
        <a:lstStyle/>
        <a:p>
          <a:endParaRPr lang="en-GB"/>
        </a:p>
      </dgm:t>
    </dgm:pt>
    <dgm:pt modelId="{850AE903-9D50-4680-9687-DF1BF6BB5708}" type="sibTrans" cxnId="{FE0B2431-0723-49B2-BC7E-848D9F76ED73}">
      <dgm:prSet/>
      <dgm:spPr/>
      <dgm:t>
        <a:bodyPr/>
        <a:lstStyle/>
        <a:p>
          <a:endParaRPr lang="en-GB"/>
        </a:p>
      </dgm:t>
    </dgm:pt>
    <dgm:pt modelId="{0974CE55-8CB6-45CF-997C-587A4D8C4CB4}">
      <dgm:prSet phldrT="[Text]" custT="1"/>
      <dgm:spPr/>
      <dgm:t>
        <a:bodyPr/>
        <a:lstStyle/>
        <a:p>
          <a:r>
            <a:rPr lang="en-GB" sz="1100" b="0"/>
            <a:t>MI7(b)1</a:t>
          </a:r>
        </a:p>
        <a:p>
          <a:r>
            <a:rPr lang="en-GB" sz="1100" b="0"/>
            <a:t>General Press Propaganda</a:t>
          </a:r>
        </a:p>
      </dgm:t>
    </dgm:pt>
    <dgm:pt modelId="{EC002582-A43C-4FC7-8DAF-C0BB9D081118}" type="parTrans" cxnId="{2EC96660-0364-4571-84ED-022006F93815}">
      <dgm:prSet/>
      <dgm:spPr/>
      <dgm:t>
        <a:bodyPr/>
        <a:lstStyle/>
        <a:p>
          <a:endParaRPr lang="en-GB"/>
        </a:p>
      </dgm:t>
    </dgm:pt>
    <dgm:pt modelId="{EE9EC173-7E11-47CC-9CBC-53A888965A3F}" type="sibTrans" cxnId="{2EC96660-0364-4571-84ED-022006F93815}">
      <dgm:prSet/>
      <dgm:spPr/>
      <dgm:t>
        <a:bodyPr/>
        <a:lstStyle/>
        <a:p>
          <a:endParaRPr lang="en-GB"/>
        </a:p>
      </dgm:t>
    </dgm:pt>
    <dgm:pt modelId="{D5869275-B2F2-4B17-BFA1-BE22C30E08B8}">
      <dgm:prSet phldrT="[Text]" custT="1"/>
      <dgm:spPr/>
      <dgm:t>
        <a:bodyPr/>
        <a:lstStyle/>
        <a:p>
          <a:pPr>
            <a:spcAft>
              <a:spcPct val="35000"/>
            </a:spcAft>
          </a:pPr>
          <a:r>
            <a:rPr lang="en-GB" sz="1100" b="0"/>
            <a:t>MI7(b)2 </a:t>
          </a:r>
        </a:p>
        <a:p>
          <a:pPr>
            <a:spcAft>
              <a:spcPts val="100"/>
            </a:spcAft>
          </a:pPr>
          <a:r>
            <a:rPr lang="en-GB" sz="1100" b="0"/>
            <a:t>Collection and preparation of technical information</a:t>
          </a:r>
        </a:p>
      </dgm:t>
    </dgm:pt>
    <dgm:pt modelId="{FA75406A-F9EA-4B0D-B705-C9F9F9A1CA42}" type="parTrans" cxnId="{463DFC47-3F1A-4554-AD49-2AA8EF04F980}">
      <dgm:prSet/>
      <dgm:spPr/>
      <dgm:t>
        <a:bodyPr/>
        <a:lstStyle/>
        <a:p>
          <a:endParaRPr lang="en-GB"/>
        </a:p>
      </dgm:t>
    </dgm:pt>
    <dgm:pt modelId="{4CC479E0-506B-426D-A79D-BB203073CDCE}" type="sibTrans" cxnId="{463DFC47-3F1A-4554-AD49-2AA8EF04F980}">
      <dgm:prSet/>
      <dgm:spPr/>
      <dgm:t>
        <a:bodyPr/>
        <a:lstStyle/>
        <a:p>
          <a:endParaRPr lang="en-GB"/>
        </a:p>
      </dgm:t>
    </dgm:pt>
    <dgm:pt modelId="{05EE5DEE-34E9-4022-849B-4DCCDAF4B01C}">
      <dgm:prSet phldrT="[Text]" custT="1"/>
      <dgm:spPr/>
      <dgm:t>
        <a:bodyPr/>
        <a:lstStyle/>
        <a:p>
          <a:pPr>
            <a:spcAft>
              <a:spcPct val="35000"/>
            </a:spcAft>
          </a:pPr>
          <a:r>
            <a:rPr lang="en-GB" sz="1100" b="0"/>
            <a:t>MI7(b)3</a:t>
          </a:r>
        </a:p>
        <a:p>
          <a:pPr>
            <a:spcAft>
              <a:spcPts val="100"/>
            </a:spcAft>
          </a:pPr>
          <a:r>
            <a:rPr lang="en-GB" sz="1100" b="0"/>
            <a:t>Propaganda distribution</a:t>
          </a:r>
        </a:p>
        <a:p>
          <a:pPr>
            <a:spcAft>
              <a:spcPts val="100"/>
            </a:spcAft>
          </a:pPr>
          <a:r>
            <a:rPr lang="en-GB" sz="1100" b="0"/>
            <a:t> in the Dominions and the East</a:t>
          </a:r>
        </a:p>
      </dgm:t>
    </dgm:pt>
    <dgm:pt modelId="{538961DB-2910-49B6-B7CA-E37846181C16}" type="parTrans" cxnId="{7297DF2E-09A3-4624-A271-868CED94BCFE}">
      <dgm:prSet/>
      <dgm:spPr/>
      <dgm:t>
        <a:bodyPr/>
        <a:lstStyle/>
        <a:p>
          <a:endParaRPr lang="en-GB"/>
        </a:p>
      </dgm:t>
    </dgm:pt>
    <dgm:pt modelId="{F43BFF7F-E107-405F-AF42-39D86E2DE1EB}" type="sibTrans" cxnId="{7297DF2E-09A3-4624-A271-868CED94BCFE}">
      <dgm:prSet/>
      <dgm:spPr/>
      <dgm:t>
        <a:bodyPr/>
        <a:lstStyle/>
        <a:p>
          <a:endParaRPr lang="en-GB"/>
        </a:p>
      </dgm:t>
    </dgm:pt>
    <dgm:pt modelId="{37E3D163-553E-4AE9-840D-C135EF0CE4E2}">
      <dgm:prSet phldrT="[Text]" custT="1">
        <dgm:style>
          <a:lnRef idx="2">
            <a:schemeClr val="accent3"/>
          </a:lnRef>
          <a:fillRef idx="1">
            <a:schemeClr val="lt1"/>
          </a:fillRef>
          <a:effectRef idx="0">
            <a:schemeClr val="accent3"/>
          </a:effectRef>
          <a:fontRef idx="minor">
            <a:schemeClr val="dk1"/>
          </a:fontRef>
        </dgm:style>
      </dgm:prSet>
      <dgm:spPr/>
      <dgm:t>
        <a:bodyPr/>
        <a:lstStyle/>
        <a:p>
          <a:pPr>
            <a:spcAft>
              <a:spcPct val="35000"/>
            </a:spcAft>
          </a:pPr>
          <a:r>
            <a:rPr lang="en-GB" sz="1100" b="0"/>
            <a:t>MI7(b)4</a:t>
          </a:r>
        </a:p>
        <a:p>
          <a:pPr>
            <a:spcAft>
              <a:spcPts val="100"/>
            </a:spcAft>
          </a:pPr>
          <a:r>
            <a:rPr lang="en-GB" sz="1100" b="0"/>
            <a:t>Propaganda Library and aerial propaganda over enemy lines</a:t>
          </a:r>
        </a:p>
      </dgm:t>
    </dgm:pt>
    <dgm:pt modelId="{65BFF9E3-D72D-47E2-B7F8-6C5C6FC3199F}" type="parTrans" cxnId="{FC14542F-F8CB-41D5-9DE4-F865493D3825}">
      <dgm:prSet/>
      <dgm:spPr/>
      <dgm:t>
        <a:bodyPr/>
        <a:lstStyle/>
        <a:p>
          <a:endParaRPr lang="en-GB"/>
        </a:p>
      </dgm:t>
    </dgm:pt>
    <dgm:pt modelId="{8443AE6E-6217-4242-98A6-ADD745C09B9D}" type="sibTrans" cxnId="{FC14542F-F8CB-41D5-9DE4-F865493D3825}">
      <dgm:prSet/>
      <dgm:spPr/>
      <dgm:t>
        <a:bodyPr/>
        <a:lstStyle/>
        <a:p>
          <a:endParaRPr lang="en-GB"/>
        </a:p>
      </dgm:t>
    </dgm:pt>
    <dgm:pt modelId="{32BFF1C1-AF93-40E1-ACB3-0D4800A7275E}">
      <dgm:prSet phldrT="[Text]" custT="1"/>
      <dgm:spPr/>
      <dgm:t>
        <a:bodyPr/>
        <a:lstStyle/>
        <a:p>
          <a:r>
            <a:rPr lang="en-GB" sz="1100" b="0"/>
            <a:t>MI7(b)5</a:t>
          </a:r>
        </a:p>
        <a:p>
          <a:r>
            <a:rPr lang="en-GB" sz="1100" b="0"/>
            <a:t>Summaries of Home Press </a:t>
          </a:r>
        </a:p>
      </dgm:t>
    </dgm:pt>
    <dgm:pt modelId="{55717966-F6D9-4E2C-A781-13FD4BFA478E}" type="parTrans" cxnId="{A9DDF8A8-67B7-4401-AA47-68979CA69074}">
      <dgm:prSet/>
      <dgm:spPr/>
      <dgm:t>
        <a:bodyPr/>
        <a:lstStyle/>
        <a:p>
          <a:endParaRPr lang="en-GB"/>
        </a:p>
      </dgm:t>
    </dgm:pt>
    <dgm:pt modelId="{CC5B0677-23B0-4070-8963-9E40B1C12527}" type="sibTrans" cxnId="{A9DDF8A8-67B7-4401-AA47-68979CA69074}">
      <dgm:prSet/>
      <dgm:spPr/>
      <dgm:t>
        <a:bodyPr/>
        <a:lstStyle/>
        <a:p>
          <a:endParaRPr lang="en-GB"/>
        </a:p>
      </dgm:t>
    </dgm:pt>
    <dgm:pt modelId="{1DDCE461-D6EB-4B6C-91C8-1D00F152BFEA}">
      <dgm:prSet phldrT="[Text]" custT="1"/>
      <dgm:spPr/>
      <dgm:t>
        <a:bodyPr/>
        <a:lstStyle/>
        <a:p>
          <a:r>
            <a:rPr lang="en-GB" sz="1100" b="0"/>
            <a:t>MI7(b)6</a:t>
          </a:r>
        </a:p>
        <a:p>
          <a:r>
            <a:rPr lang="en-GB" sz="1100" b="0"/>
            <a:t>Liaison with press </a:t>
          </a:r>
        </a:p>
      </dgm:t>
    </dgm:pt>
    <dgm:pt modelId="{795A5F51-287C-439D-8092-F0236C7D4951}" type="parTrans" cxnId="{1A576D21-710C-4B96-8143-ADFD48802D60}">
      <dgm:prSet/>
      <dgm:spPr/>
      <dgm:t>
        <a:bodyPr/>
        <a:lstStyle/>
        <a:p>
          <a:endParaRPr lang="en-GB"/>
        </a:p>
      </dgm:t>
    </dgm:pt>
    <dgm:pt modelId="{07285468-C912-463A-9D59-D97B269CCFB5}" type="sibTrans" cxnId="{1A576D21-710C-4B96-8143-ADFD48802D60}">
      <dgm:prSet/>
      <dgm:spPr/>
      <dgm:t>
        <a:bodyPr/>
        <a:lstStyle/>
        <a:p>
          <a:endParaRPr lang="en-GB"/>
        </a:p>
      </dgm:t>
    </dgm:pt>
    <dgm:pt modelId="{55BC5296-7A3F-450A-8F67-8A82016AED4B}">
      <dgm:prSet phldrT="[Text]" custT="1"/>
      <dgm:spPr/>
      <dgm:t>
        <a:bodyPr/>
        <a:lstStyle/>
        <a:p>
          <a:r>
            <a:rPr lang="en-GB" sz="1200"/>
            <a:t>MI7(a)</a:t>
          </a:r>
        </a:p>
        <a:p>
          <a:r>
            <a:rPr lang="en-GB" sz="1000"/>
            <a:t>Censorship</a:t>
          </a:r>
          <a:endParaRPr lang="en-GB" sz="1200"/>
        </a:p>
      </dgm:t>
    </dgm:pt>
    <dgm:pt modelId="{B4091433-6AFE-4453-BDC9-0763CE1A0D64}" type="parTrans" cxnId="{E86C8A04-A0C9-474E-B80F-5074E17BF61B}">
      <dgm:prSet/>
      <dgm:spPr/>
      <dgm:t>
        <a:bodyPr/>
        <a:lstStyle/>
        <a:p>
          <a:endParaRPr lang="en-GB"/>
        </a:p>
      </dgm:t>
    </dgm:pt>
    <dgm:pt modelId="{91213083-6E04-4309-8A34-68E135AC872B}" type="sibTrans" cxnId="{E86C8A04-A0C9-474E-B80F-5074E17BF61B}">
      <dgm:prSet/>
      <dgm:spPr/>
      <dgm:t>
        <a:bodyPr/>
        <a:lstStyle/>
        <a:p>
          <a:endParaRPr lang="en-GB"/>
        </a:p>
      </dgm:t>
    </dgm:pt>
    <dgm:pt modelId="{0AE837CE-1EC4-4C82-9B25-127BA64C695F}" type="pres">
      <dgm:prSet presAssocID="{21CFE254-3248-42AA-9650-4DE3CC7AB0CE}" presName="Name0" presStyleCnt="0">
        <dgm:presLayoutVars>
          <dgm:chPref val="1"/>
          <dgm:dir/>
          <dgm:animOne val="branch"/>
          <dgm:animLvl val="lvl"/>
          <dgm:resizeHandles val="exact"/>
        </dgm:presLayoutVars>
      </dgm:prSet>
      <dgm:spPr/>
      <dgm:t>
        <a:bodyPr/>
        <a:lstStyle/>
        <a:p>
          <a:endParaRPr lang="en-GB"/>
        </a:p>
      </dgm:t>
    </dgm:pt>
    <dgm:pt modelId="{A9E9A525-9B87-4BC7-97A4-CE535FEA1CE3}" type="pres">
      <dgm:prSet presAssocID="{C88A41BE-1FFA-46B8-B862-311C83C6F482}" presName="root1" presStyleCnt="0"/>
      <dgm:spPr/>
    </dgm:pt>
    <dgm:pt modelId="{7A5C2F07-B246-4703-9EB4-923FE895AE5A}" type="pres">
      <dgm:prSet presAssocID="{C88A41BE-1FFA-46B8-B862-311C83C6F482}" presName="LevelOneTextNode" presStyleLbl="node0" presStyleIdx="0" presStyleCnt="1">
        <dgm:presLayoutVars>
          <dgm:chPref val="3"/>
        </dgm:presLayoutVars>
      </dgm:prSet>
      <dgm:spPr/>
      <dgm:t>
        <a:bodyPr/>
        <a:lstStyle/>
        <a:p>
          <a:endParaRPr lang="en-GB"/>
        </a:p>
      </dgm:t>
    </dgm:pt>
    <dgm:pt modelId="{6CF2AE25-A03E-4A35-B865-0208B1F5D566}" type="pres">
      <dgm:prSet presAssocID="{C88A41BE-1FFA-46B8-B862-311C83C6F482}" presName="level2hierChild" presStyleCnt="0"/>
      <dgm:spPr/>
    </dgm:pt>
    <dgm:pt modelId="{2464CC43-4D01-4641-A76E-13F0EA26DB3A}" type="pres">
      <dgm:prSet presAssocID="{B4091433-6AFE-4453-BDC9-0763CE1A0D64}" presName="conn2-1" presStyleLbl="parChTrans1D2" presStyleIdx="0" presStyleCnt="4"/>
      <dgm:spPr/>
      <dgm:t>
        <a:bodyPr/>
        <a:lstStyle/>
        <a:p>
          <a:endParaRPr lang="en-GB"/>
        </a:p>
      </dgm:t>
    </dgm:pt>
    <dgm:pt modelId="{6380ED41-0A93-4B5A-84DD-6BD9BE5EB61B}" type="pres">
      <dgm:prSet presAssocID="{B4091433-6AFE-4453-BDC9-0763CE1A0D64}" presName="connTx" presStyleLbl="parChTrans1D2" presStyleIdx="0" presStyleCnt="4"/>
      <dgm:spPr/>
      <dgm:t>
        <a:bodyPr/>
        <a:lstStyle/>
        <a:p>
          <a:endParaRPr lang="en-GB"/>
        </a:p>
      </dgm:t>
    </dgm:pt>
    <dgm:pt modelId="{AA861169-E713-4BC0-9749-FEB75021602B}" type="pres">
      <dgm:prSet presAssocID="{55BC5296-7A3F-450A-8F67-8A82016AED4B}" presName="root2" presStyleCnt="0"/>
      <dgm:spPr/>
    </dgm:pt>
    <dgm:pt modelId="{A8A33F1D-14E9-427C-9987-3E45DE0456A5}" type="pres">
      <dgm:prSet presAssocID="{55BC5296-7A3F-450A-8F67-8A82016AED4B}" presName="LevelTwoTextNode" presStyleLbl="node2" presStyleIdx="0" presStyleCnt="4">
        <dgm:presLayoutVars>
          <dgm:chPref val="3"/>
        </dgm:presLayoutVars>
      </dgm:prSet>
      <dgm:spPr/>
      <dgm:t>
        <a:bodyPr/>
        <a:lstStyle/>
        <a:p>
          <a:endParaRPr lang="en-GB"/>
        </a:p>
      </dgm:t>
    </dgm:pt>
    <dgm:pt modelId="{8B6AD66C-C943-4F50-8B80-0482EBB7087D}" type="pres">
      <dgm:prSet presAssocID="{55BC5296-7A3F-450A-8F67-8A82016AED4B}" presName="level3hierChild" presStyleCnt="0"/>
      <dgm:spPr/>
    </dgm:pt>
    <dgm:pt modelId="{D2985DEE-B61A-4DF3-AE57-8F2E0322BCF3}" type="pres">
      <dgm:prSet presAssocID="{6BBBE9BC-3A32-431A-9D99-8E93E0E176B4}" presName="conn2-1" presStyleLbl="parChTrans1D2" presStyleIdx="1" presStyleCnt="4"/>
      <dgm:spPr/>
      <dgm:t>
        <a:bodyPr/>
        <a:lstStyle/>
        <a:p>
          <a:endParaRPr lang="en-GB"/>
        </a:p>
      </dgm:t>
    </dgm:pt>
    <dgm:pt modelId="{7DB36983-98D3-423F-8F87-6E95F65F8245}" type="pres">
      <dgm:prSet presAssocID="{6BBBE9BC-3A32-431A-9D99-8E93E0E176B4}" presName="connTx" presStyleLbl="parChTrans1D2" presStyleIdx="1" presStyleCnt="4"/>
      <dgm:spPr/>
      <dgm:t>
        <a:bodyPr/>
        <a:lstStyle/>
        <a:p>
          <a:endParaRPr lang="en-GB"/>
        </a:p>
      </dgm:t>
    </dgm:pt>
    <dgm:pt modelId="{3B5EF203-140C-4FA7-B565-8102FCA007DA}" type="pres">
      <dgm:prSet presAssocID="{1944EF0A-FE86-4887-BC50-BFAACC49E055}" presName="root2" presStyleCnt="0"/>
      <dgm:spPr/>
    </dgm:pt>
    <dgm:pt modelId="{807C96EE-0145-4FC7-8F8F-90C940F03D67}" type="pres">
      <dgm:prSet presAssocID="{1944EF0A-FE86-4887-BC50-BFAACC49E055}" presName="LevelTwoTextNode" presStyleLbl="node2" presStyleIdx="1" presStyleCnt="4">
        <dgm:presLayoutVars>
          <dgm:chPref val="3"/>
        </dgm:presLayoutVars>
      </dgm:prSet>
      <dgm:spPr/>
      <dgm:t>
        <a:bodyPr/>
        <a:lstStyle/>
        <a:p>
          <a:endParaRPr lang="en-GB"/>
        </a:p>
      </dgm:t>
    </dgm:pt>
    <dgm:pt modelId="{CF7020CC-070F-410B-A3D6-F728DEBFEA3D}" type="pres">
      <dgm:prSet presAssocID="{1944EF0A-FE86-4887-BC50-BFAACC49E055}" presName="level3hierChild" presStyleCnt="0"/>
      <dgm:spPr/>
    </dgm:pt>
    <dgm:pt modelId="{DAA081EE-1D15-45F2-89D8-C063AD58A557}" type="pres">
      <dgm:prSet presAssocID="{EC002582-A43C-4FC7-8DAF-C0BB9D081118}" presName="conn2-1" presStyleLbl="parChTrans1D3" presStyleIdx="0" presStyleCnt="6"/>
      <dgm:spPr/>
      <dgm:t>
        <a:bodyPr/>
        <a:lstStyle/>
        <a:p>
          <a:endParaRPr lang="en-GB"/>
        </a:p>
      </dgm:t>
    </dgm:pt>
    <dgm:pt modelId="{4F46C24D-D1F2-4648-832F-8305D74B0BC0}" type="pres">
      <dgm:prSet presAssocID="{EC002582-A43C-4FC7-8DAF-C0BB9D081118}" presName="connTx" presStyleLbl="parChTrans1D3" presStyleIdx="0" presStyleCnt="6"/>
      <dgm:spPr/>
      <dgm:t>
        <a:bodyPr/>
        <a:lstStyle/>
        <a:p>
          <a:endParaRPr lang="en-GB"/>
        </a:p>
      </dgm:t>
    </dgm:pt>
    <dgm:pt modelId="{BF82EAD2-E315-40B4-80C2-0BA26D859E26}" type="pres">
      <dgm:prSet presAssocID="{0974CE55-8CB6-45CF-997C-587A4D8C4CB4}" presName="root2" presStyleCnt="0"/>
      <dgm:spPr/>
    </dgm:pt>
    <dgm:pt modelId="{FE3268A6-C0A6-40C5-8316-F3915D0F96E0}" type="pres">
      <dgm:prSet presAssocID="{0974CE55-8CB6-45CF-997C-587A4D8C4CB4}" presName="LevelTwoTextNode" presStyleLbl="node3" presStyleIdx="0" presStyleCnt="6">
        <dgm:presLayoutVars>
          <dgm:chPref val="3"/>
        </dgm:presLayoutVars>
      </dgm:prSet>
      <dgm:spPr/>
      <dgm:t>
        <a:bodyPr/>
        <a:lstStyle/>
        <a:p>
          <a:endParaRPr lang="en-GB"/>
        </a:p>
      </dgm:t>
    </dgm:pt>
    <dgm:pt modelId="{FE11BEA1-FB8A-4DA7-9769-F123C7EF7DC6}" type="pres">
      <dgm:prSet presAssocID="{0974CE55-8CB6-45CF-997C-587A4D8C4CB4}" presName="level3hierChild" presStyleCnt="0"/>
      <dgm:spPr/>
    </dgm:pt>
    <dgm:pt modelId="{118B1E72-63A8-4C18-8CAA-78A2C4669BB0}" type="pres">
      <dgm:prSet presAssocID="{FA75406A-F9EA-4B0D-B705-C9F9F9A1CA42}" presName="conn2-1" presStyleLbl="parChTrans1D3" presStyleIdx="1" presStyleCnt="6"/>
      <dgm:spPr/>
      <dgm:t>
        <a:bodyPr/>
        <a:lstStyle/>
        <a:p>
          <a:endParaRPr lang="en-GB"/>
        </a:p>
      </dgm:t>
    </dgm:pt>
    <dgm:pt modelId="{511BAF2C-7244-4954-8397-1934D46468E3}" type="pres">
      <dgm:prSet presAssocID="{FA75406A-F9EA-4B0D-B705-C9F9F9A1CA42}" presName="connTx" presStyleLbl="parChTrans1D3" presStyleIdx="1" presStyleCnt="6"/>
      <dgm:spPr/>
      <dgm:t>
        <a:bodyPr/>
        <a:lstStyle/>
        <a:p>
          <a:endParaRPr lang="en-GB"/>
        </a:p>
      </dgm:t>
    </dgm:pt>
    <dgm:pt modelId="{30D9595B-0323-4522-80BC-D8AD37D5C7A9}" type="pres">
      <dgm:prSet presAssocID="{D5869275-B2F2-4B17-BFA1-BE22C30E08B8}" presName="root2" presStyleCnt="0"/>
      <dgm:spPr/>
    </dgm:pt>
    <dgm:pt modelId="{8B237F84-CDD4-418C-9645-277AAE2C607C}" type="pres">
      <dgm:prSet presAssocID="{D5869275-B2F2-4B17-BFA1-BE22C30E08B8}" presName="LevelTwoTextNode" presStyleLbl="node3" presStyleIdx="1" presStyleCnt="6">
        <dgm:presLayoutVars>
          <dgm:chPref val="3"/>
        </dgm:presLayoutVars>
      </dgm:prSet>
      <dgm:spPr/>
      <dgm:t>
        <a:bodyPr/>
        <a:lstStyle/>
        <a:p>
          <a:endParaRPr lang="en-GB"/>
        </a:p>
      </dgm:t>
    </dgm:pt>
    <dgm:pt modelId="{5F543974-A4FD-4169-9EFF-561C88BEADD6}" type="pres">
      <dgm:prSet presAssocID="{D5869275-B2F2-4B17-BFA1-BE22C30E08B8}" presName="level3hierChild" presStyleCnt="0"/>
      <dgm:spPr/>
    </dgm:pt>
    <dgm:pt modelId="{F91F0C4B-90F9-4E96-A3FE-6B620180D2E7}" type="pres">
      <dgm:prSet presAssocID="{538961DB-2910-49B6-B7CA-E37846181C16}" presName="conn2-1" presStyleLbl="parChTrans1D3" presStyleIdx="2" presStyleCnt="6"/>
      <dgm:spPr/>
      <dgm:t>
        <a:bodyPr/>
        <a:lstStyle/>
        <a:p>
          <a:endParaRPr lang="en-GB"/>
        </a:p>
      </dgm:t>
    </dgm:pt>
    <dgm:pt modelId="{7010B26F-7B95-4B7A-B885-FF5E3623E6B5}" type="pres">
      <dgm:prSet presAssocID="{538961DB-2910-49B6-B7CA-E37846181C16}" presName="connTx" presStyleLbl="parChTrans1D3" presStyleIdx="2" presStyleCnt="6"/>
      <dgm:spPr/>
      <dgm:t>
        <a:bodyPr/>
        <a:lstStyle/>
        <a:p>
          <a:endParaRPr lang="en-GB"/>
        </a:p>
      </dgm:t>
    </dgm:pt>
    <dgm:pt modelId="{1EE2A50A-4C21-47D5-A79B-D82AED1D2A6C}" type="pres">
      <dgm:prSet presAssocID="{05EE5DEE-34E9-4022-849B-4DCCDAF4B01C}" presName="root2" presStyleCnt="0"/>
      <dgm:spPr/>
    </dgm:pt>
    <dgm:pt modelId="{DA99AD6A-C6CD-42AF-B32B-DE00DFB7F03F}" type="pres">
      <dgm:prSet presAssocID="{05EE5DEE-34E9-4022-849B-4DCCDAF4B01C}" presName="LevelTwoTextNode" presStyleLbl="node3" presStyleIdx="2" presStyleCnt="6">
        <dgm:presLayoutVars>
          <dgm:chPref val="3"/>
        </dgm:presLayoutVars>
      </dgm:prSet>
      <dgm:spPr/>
      <dgm:t>
        <a:bodyPr/>
        <a:lstStyle/>
        <a:p>
          <a:endParaRPr lang="en-GB"/>
        </a:p>
      </dgm:t>
    </dgm:pt>
    <dgm:pt modelId="{7C9E8CC7-1FDC-4A83-8E8F-B6D939D7885E}" type="pres">
      <dgm:prSet presAssocID="{05EE5DEE-34E9-4022-849B-4DCCDAF4B01C}" presName="level3hierChild" presStyleCnt="0"/>
      <dgm:spPr/>
    </dgm:pt>
    <dgm:pt modelId="{8E52B2CE-1C9D-4734-8C9C-8662F45F0EB2}" type="pres">
      <dgm:prSet presAssocID="{65BFF9E3-D72D-47E2-B7F8-6C5C6FC3199F}" presName="conn2-1" presStyleLbl="parChTrans1D3" presStyleIdx="3" presStyleCnt="6"/>
      <dgm:spPr/>
      <dgm:t>
        <a:bodyPr/>
        <a:lstStyle/>
        <a:p>
          <a:endParaRPr lang="en-GB"/>
        </a:p>
      </dgm:t>
    </dgm:pt>
    <dgm:pt modelId="{A72BACB0-4B8F-4FB7-8AF3-1BA35E0D08CB}" type="pres">
      <dgm:prSet presAssocID="{65BFF9E3-D72D-47E2-B7F8-6C5C6FC3199F}" presName="connTx" presStyleLbl="parChTrans1D3" presStyleIdx="3" presStyleCnt="6"/>
      <dgm:spPr/>
      <dgm:t>
        <a:bodyPr/>
        <a:lstStyle/>
        <a:p>
          <a:endParaRPr lang="en-GB"/>
        </a:p>
      </dgm:t>
    </dgm:pt>
    <dgm:pt modelId="{EB7C20D4-94BA-4AAB-A1D9-A29830C0495E}" type="pres">
      <dgm:prSet presAssocID="{37E3D163-553E-4AE9-840D-C135EF0CE4E2}" presName="root2" presStyleCnt="0"/>
      <dgm:spPr/>
    </dgm:pt>
    <dgm:pt modelId="{E3275DC4-935E-4A37-9432-732685AE41FD}" type="pres">
      <dgm:prSet presAssocID="{37E3D163-553E-4AE9-840D-C135EF0CE4E2}" presName="LevelTwoTextNode" presStyleLbl="node3" presStyleIdx="3" presStyleCnt="6">
        <dgm:presLayoutVars>
          <dgm:chPref val="3"/>
        </dgm:presLayoutVars>
      </dgm:prSet>
      <dgm:spPr/>
      <dgm:t>
        <a:bodyPr/>
        <a:lstStyle/>
        <a:p>
          <a:endParaRPr lang="en-GB"/>
        </a:p>
      </dgm:t>
    </dgm:pt>
    <dgm:pt modelId="{40100B1B-D647-442F-98E9-77BC75C2B605}" type="pres">
      <dgm:prSet presAssocID="{37E3D163-553E-4AE9-840D-C135EF0CE4E2}" presName="level3hierChild" presStyleCnt="0"/>
      <dgm:spPr/>
    </dgm:pt>
    <dgm:pt modelId="{3AF86F39-A06C-47F3-B357-CE0FEE0F38DC}" type="pres">
      <dgm:prSet presAssocID="{55717966-F6D9-4E2C-A781-13FD4BFA478E}" presName="conn2-1" presStyleLbl="parChTrans1D3" presStyleIdx="4" presStyleCnt="6"/>
      <dgm:spPr/>
      <dgm:t>
        <a:bodyPr/>
        <a:lstStyle/>
        <a:p>
          <a:endParaRPr lang="en-GB"/>
        </a:p>
      </dgm:t>
    </dgm:pt>
    <dgm:pt modelId="{7D5C5FA5-A97D-472E-A9CD-CAE8F47AF338}" type="pres">
      <dgm:prSet presAssocID="{55717966-F6D9-4E2C-A781-13FD4BFA478E}" presName="connTx" presStyleLbl="parChTrans1D3" presStyleIdx="4" presStyleCnt="6"/>
      <dgm:spPr/>
      <dgm:t>
        <a:bodyPr/>
        <a:lstStyle/>
        <a:p>
          <a:endParaRPr lang="en-GB"/>
        </a:p>
      </dgm:t>
    </dgm:pt>
    <dgm:pt modelId="{237663B9-B4C9-4DB5-B46E-89DE30666CBA}" type="pres">
      <dgm:prSet presAssocID="{32BFF1C1-AF93-40E1-ACB3-0D4800A7275E}" presName="root2" presStyleCnt="0"/>
      <dgm:spPr/>
    </dgm:pt>
    <dgm:pt modelId="{7645AF70-03D4-49E7-884F-784601A5B1D4}" type="pres">
      <dgm:prSet presAssocID="{32BFF1C1-AF93-40E1-ACB3-0D4800A7275E}" presName="LevelTwoTextNode" presStyleLbl="node3" presStyleIdx="4" presStyleCnt="6">
        <dgm:presLayoutVars>
          <dgm:chPref val="3"/>
        </dgm:presLayoutVars>
      </dgm:prSet>
      <dgm:spPr/>
      <dgm:t>
        <a:bodyPr/>
        <a:lstStyle/>
        <a:p>
          <a:endParaRPr lang="en-GB"/>
        </a:p>
      </dgm:t>
    </dgm:pt>
    <dgm:pt modelId="{3DF00DF0-6AA1-4FDB-802D-0BF2E170F17C}" type="pres">
      <dgm:prSet presAssocID="{32BFF1C1-AF93-40E1-ACB3-0D4800A7275E}" presName="level3hierChild" presStyleCnt="0"/>
      <dgm:spPr/>
    </dgm:pt>
    <dgm:pt modelId="{D210DFC6-D58F-49F7-8406-3618A78526B0}" type="pres">
      <dgm:prSet presAssocID="{795A5F51-287C-439D-8092-F0236C7D4951}" presName="conn2-1" presStyleLbl="parChTrans1D3" presStyleIdx="5" presStyleCnt="6"/>
      <dgm:spPr/>
      <dgm:t>
        <a:bodyPr/>
        <a:lstStyle/>
        <a:p>
          <a:endParaRPr lang="en-GB"/>
        </a:p>
      </dgm:t>
    </dgm:pt>
    <dgm:pt modelId="{F4C0AB07-4282-4A4C-B6C9-0A3DBFF74CD2}" type="pres">
      <dgm:prSet presAssocID="{795A5F51-287C-439D-8092-F0236C7D4951}" presName="connTx" presStyleLbl="parChTrans1D3" presStyleIdx="5" presStyleCnt="6"/>
      <dgm:spPr/>
      <dgm:t>
        <a:bodyPr/>
        <a:lstStyle/>
        <a:p>
          <a:endParaRPr lang="en-GB"/>
        </a:p>
      </dgm:t>
    </dgm:pt>
    <dgm:pt modelId="{048B897F-190D-44D9-9BA1-4F0668F30C4C}" type="pres">
      <dgm:prSet presAssocID="{1DDCE461-D6EB-4B6C-91C8-1D00F152BFEA}" presName="root2" presStyleCnt="0"/>
      <dgm:spPr/>
    </dgm:pt>
    <dgm:pt modelId="{E08E9D98-3F5D-4D67-9DC0-9CE05B4CEC5C}" type="pres">
      <dgm:prSet presAssocID="{1DDCE461-D6EB-4B6C-91C8-1D00F152BFEA}" presName="LevelTwoTextNode" presStyleLbl="node3" presStyleIdx="5" presStyleCnt="6">
        <dgm:presLayoutVars>
          <dgm:chPref val="3"/>
        </dgm:presLayoutVars>
      </dgm:prSet>
      <dgm:spPr/>
      <dgm:t>
        <a:bodyPr/>
        <a:lstStyle/>
        <a:p>
          <a:endParaRPr lang="en-GB"/>
        </a:p>
      </dgm:t>
    </dgm:pt>
    <dgm:pt modelId="{6194497B-84A7-4575-BC87-13ED32F8C79E}" type="pres">
      <dgm:prSet presAssocID="{1DDCE461-D6EB-4B6C-91C8-1D00F152BFEA}" presName="level3hierChild" presStyleCnt="0"/>
      <dgm:spPr/>
    </dgm:pt>
    <dgm:pt modelId="{B5C658A0-4A7B-4872-87BB-BAE33C7DE1BF}" type="pres">
      <dgm:prSet presAssocID="{2B19CF11-A2F8-4D0F-89F3-F7D10D918FEB}" presName="conn2-1" presStyleLbl="parChTrans1D2" presStyleIdx="2" presStyleCnt="4"/>
      <dgm:spPr/>
      <dgm:t>
        <a:bodyPr/>
        <a:lstStyle/>
        <a:p>
          <a:endParaRPr lang="en-GB"/>
        </a:p>
      </dgm:t>
    </dgm:pt>
    <dgm:pt modelId="{37D694F7-7EEA-4C36-81A4-B06A000F81F3}" type="pres">
      <dgm:prSet presAssocID="{2B19CF11-A2F8-4D0F-89F3-F7D10D918FEB}" presName="connTx" presStyleLbl="parChTrans1D2" presStyleIdx="2" presStyleCnt="4"/>
      <dgm:spPr/>
      <dgm:t>
        <a:bodyPr/>
        <a:lstStyle/>
        <a:p>
          <a:endParaRPr lang="en-GB"/>
        </a:p>
      </dgm:t>
    </dgm:pt>
    <dgm:pt modelId="{E3044E0C-76D8-430D-A116-B321040228CC}" type="pres">
      <dgm:prSet presAssocID="{F2B900C4-086B-45CC-9AC9-5A160B868A63}" presName="root2" presStyleCnt="0"/>
      <dgm:spPr/>
    </dgm:pt>
    <dgm:pt modelId="{6A7741E7-A265-4761-B10C-6057EA5A5C14}" type="pres">
      <dgm:prSet presAssocID="{F2B900C4-086B-45CC-9AC9-5A160B868A63}" presName="LevelTwoTextNode" presStyleLbl="node2" presStyleIdx="2" presStyleCnt="4">
        <dgm:presLayoutVars>
          <dgm:chPref val="3"/>
        </dgm:presLayoutVars>
      </dgm:prSet>
      <dgm:spPr/>
      <dgm:t>
        <a:bodyPr/>
        <a:lstStyle/>
        <a:p>
          <a:endParaRPr lang="en-GB"/>
        </a:p>
      </dgm:t>
    </dgm:pt>
    <dgm:pt modelId="{16A4E16E-C222-4D79-9174-ED32B4633C3E}" type="pres">
      <dgm:prSet presAssocID="{F2B900C4-086B-45CC-9AC9-5A160B868A63}" presName="level3hierChild" presStyleCnt="0"/>
      <dgm:spPr/>
    </dgm:pt>
    <dgm:pt modelId="{A6FAE0C3-EEDD-415D-9C0B-E5A17C1F375C}" type="pres">
      <dgm:prSet presAssocID="{30C7AF65-3549-48FD-BF5B-BD3FD8BEC89F}" presName="conn2-1" presStyleLbl="parChTrans1D2" presStyleIdx="3" presStyleCnt="4"/>
      <dgm:spPr/>
      <dgm:t>
        <a:bodyPr/>
        <a:lstStyle/>
        <a:p>
          <a:endParaRPr lang="en-GB"/>
        </a:p>
      </dgm:t>
    </dgm:pt>
    <dgm:pt modelId="{336C5686-2729-4803-9E60-3AA9795C2D31}" type="pres">
      <dgm:prSet presAssocID="{30C7AF65-3549-48FD-BF5B-BD3FD8BEC89F}" presName="connTx" presStyleLbl="parChTrans1D2" presStyleIdx="3" presStyleCnt="4"/>
      <dgm:spPr/>
      <dgm:t>
        <a:bodyPr/>
        <a:lstStyle/>
        <a:p>
          <a:endParaRPr lang="en-GB"/>
        </a:p>
      </dgm:t>
    </dgm:pt>
    <dgm:pt modelId="{EAA60A7A-78BE-4427-8246-1378C59FC3FF}" type="pres">
      <dgm:prSet presAssocID="{E6FA3CC8-ACF5-4D87-AFC0-2ED8402465E1}" presName="root2" presStyleCnt="0"/>
      <dgm:spPr/>
    </dgm:pt>
    <dgm:pt modelId="{9A7C376D-8B5B-47C1-A9A6-44BF19064F49}" type="pres">
      <dgm:prSet presAssocID="{E6FA3CC8-ACF5-4D87-AFC0-2ED8402465E1}" presName="LevelTwoTextNode" presStyleLbl="node2" presStyleIdx="3" presStyleCnt="4">
        <dgm:presLayoutVars>
          <dgm:chPref val="3"/>
        </dgm:presLayoutVars>
      </dgm:prSet>
      <dgm:spPr/>
      <dgm:t>
        <a:bodyPr/>
        <a:lstStyle/>
        <a:p>
          <a:endParaRPr lang="en-GB"/>
        </a:p>
      </dgm:t>
    </dgm:pt>
    <dgm:pt modelId="{D0D2C11A-78BA-4813-A16C-E84A37B4532B}" type="pres">
      <dgm:prSet presAssocID="{E6FA3CC8-ACF5-4D87-AFC0-2ED8402465E1}" presName="level3hierChild" presStyleCnt="0"/>
      <dgm:spPr/>
    </dgm:pt>
  </dgm:ptLst>
  <dgm:cxnLst>
    <dgm:cxn modelId="{BF896806-C8FE-4AAD-91D1-500F5C27FED7}" type="presOf" srcId="{D5869275-B2F2-4B17-BFA1-BE22C30E08B8}" destId="{8B237F84-CDD4-418C-9645-277AAE2C607C}" srcOrd="0" destOrd="0" presId="urn:microsoft.com/office/officeart/2008/layout/HorizontalMultiLevelHierarchy"/>
    <dgm:cxn modelId="{463DFC47-3F1A-4554-AD49-2AA8EF04F980}" srcId="{1944EF0A-FE86-4887-BC50-BFAACC49E055}" destId="{D5869275-B2F2-4B17-BFA1-BE22C30E08B8}" srcOrd="1" destOrd="0" parTransId="{FA75406A-F9EA-4B0D-B705-C9F9F9A1CA42}" sibTransId="{4CC479E0-506B-426D-A79D-BB203073CDCE}"/>
    <dgm:cxn modelId="{78AB8813-31C1-4183-8CD5-F8BF5695B2BA}" type="presOf" srcId="{2B19CF11-A2F8-4D0F-89F3-F7D10D918FEB}" destId="{37D694F7-7EEA-4C36-81A4-B06A000F81F3}" srcOrd="1" destOrd="0" presId="urn:microsoft.com/office/officeart/2008/layout/HorizontalMultiLevelHierarchy"/>
    <dgm:cxn modelId="{94BB675A-E3F1-4AAE-8D52-B9427CFF9D25}" type="presOf" srcId="{B4091433-6AFE-4453-BDC9-0763CE1A0D64}" destId="{6380ED41-0A93-4B5A-84DD-6BD9BE5EB61B}" srcOrd="1" destOrd="0" presId="urn:microsoft.com/office/officeart/2008/layout/HorizontalMultiLevelHierarchy"/>
    <dgm:cxn modelId="{D601572B-3960-42C0-A285-D6DFD024B60B}" srcId="{C88A41BE-1FFA-46B8-B862-311C83C6F482}" destId="{E6FA3CC8-ACF5-4D87-AFC0-2ED8402465E1}" srcOrd="3" destOrd="0" parTransId="{30C7AF65-3549-48FD-BF5B-BD3FD8BEC89F}" sibTransId="{A53617F1-7F29-49E4-8BED-6AB06BB4B4F4}"/>
    <dgm:cxn modelId="{1A576D21-710C-4B96-8143-ADFD48802D60}" srcId="{1944EF0A-FE86-4887-BC50-BFAACC49E055}" destId="{1DDCE461-D6EB-4B6C-91C8-1D00F152BFEA}" srcOrd="5" destOrd="0" parTransId="{795A5F51-287C-439D-8092-F0236C7D4951}" sibTransId="{07285468-C912-463A-9D59-D97B269CCFB5}"/>
    <dgm:cxn modelId="{0C8A7653-315A-4A6C-91F3-2869F6AAEE65}" type="presOf" srcId="{FA75406A-F9EA-4B0D-B705-C9F9F9A1CA42}" destId="{511BAF2C-7244-4954-8397-1934D46468E3}" srcOrd="1" destOrd="0" presId="urn:microsoft.com/office/officeart/2008/layout/HorizontalMultiLevelHierarchy"/>
    <dgm:cxn modelId="{E86C8A04-A0C9-474E-B80F-5074E17BF61B}" srcId="{C88A41BE-1FFA-46B8-B862-311C83C6F482}" destId="{55BC5296-7A3F-450A-8F67-8A82016AED4B}" srcOrd="0" destOrd="0" parTransId="{B4091433-6AFE-4453-BDC9-0763CE1A0D64}" sibTransId="{91213083-6E04-4309-8A34-68E135AC872B}"/>
    <dgm:cxn modelId="{C074B33B-8C64-40E2-8A93-F4CA7FC36576}" type="presOf" srcId="{795A5F51-287C-439D-8092-F0236C7D4951}" destId="{D210DFC6-D58F-49F7-8406-3618A78526B0}" srcOrd="0" destOrd="0" presId="urn:microsoft.com/office/officeart/2008/layout/HorizontalMultiLevelHierarchy"/>
    <dgm:cxn modelId="{B438DB66-1051-43B7-AC3C-C4BD54AF3EC2}" type="presOf" srcId="{0974CE55-8CB6-45CF-997C-587A4D8C4CB4}" destId="{FE3268A6-C0A6-40C5-8316-F3915D0F96E0}" srcOrd="0" destOrd="0" presId="urn:microsoft.com/office/officeart/2008/layout/HorizontalMultiLevelHierarchy"/>
    <dgm:cxn modelId="{E5B8C79B-69B4-4075-9186-632A26112906}" type="presOf" srcId="{6BBBE9BC-3A32-431A-9D99-8E93E0E176B4}" destId="{D2985DEE-B61A-4DF3-AE57-8F2E0322BCF3}" srcOrd="0" destOrd="0" presId="urn:microsoft.com/office/officeart/2008/layout/HorizontalMultiLevelHierarchy"/>
    <dgm:cxn modelId="{7297DF2E-09A3-4624-A271-868CED94BCFE}" srcId="{1944EF0A-FE86-4887-BC50-BFAACC49E055}" destId="{05EE5DEE-34E9-4022-849B-4DCCDAF4B01C}" srcOrd="2" destOrd="0" parTransId="{538961DB-2910-49B6-B7CA-E37846181C16}" sibTransId="{F43BFF7F-E107-405F-AF42-39D86E2DE1EB}"/>
    <dgm:cxn modelId="{40BE4C52-5FA2-45AA-804F-AB0C78199401}" type="presOf" srcId="{F2B900C4-086B-45CC-9AC9-5A160B868A63}" destId="{6A7741E7-A265-4761-B10C-6057EA5A5C14}" srcOrd="0" destOrd="0" presId="urn:microsoft.com/office/officeart/2008/layout/HorizontalMultiLevelHierarchy"/>
    <dgm:cxn modelId="{235CBA7E-50D1-468E-820D-C5ECF36A6C39}" type="presOf" srcId="{55717966-F6D9-4E2C-A781-13FD4BFA478E}" destId="{3AF86F39-A06C-47F3-B357-CE0FEE0F38DC}" srcOrd="0" destOrd="0" presId="urn:microsoft.com/office/officeart/2008/layout/HorizontalMultiLevelHierarchy"/>
    <dgm:cxn modelId="{CF65C4EA-9FCB-4E08-B031-0509D6DD9E93}" type="presOf" srcId="{E6FA3CC8-ACF5-4D87-AFC0-2ED8402465E1}" destId="{9A7C376D-8B5B-47C1-A9A6-44BF19064F49}" srcOrd="0" destOrd="0" presId="urn:microsoft.com/office/officeart/2008/layout/HorizontalMultiLevelHierarchy"/>
    <dgm:cxn modelId="{A4832F56-9B88-49A0-9AB7-F553354FB2E2}" type="presOf" srcId="{1944EF0A-FE86-4887-BC50-BFAACC49E055}" destId="{807C96EE-0145-4FC7-8F8F-90C940F03D67}" srcOrd="0" destOrd="0" presId="urn:microsoft.com/office/officeart/2008/layout/HorizontalMultiLevelHierarchy"/>
    <dgm:cxn modelId="{2E2A0004-4519-4117-98DA-A4C7AAF40E67}" type="presOf" srcId="{37E3D163-553E-4AE9-840D-C135EF0CE4E2}" destId="{E3275DC4-935E-4A37-9432-732685AE41FD}" srcOrd="0" destOrd="0" presId="urn:microsoft.com/office/officeart/2008/layout/HorizontalMultiLevelHierarchy"/>
    <dgm:cxn modelId="{FE0B2431-0723-49B2-BC7E-848D9F76ED73}" srcId="{C88A41BE-1FFA-46B8-B862-311C83C6F482}" destId="{F2B900C4-086B-45CC-9AC9-5A160B868A63}" srcOrd="2" destOrd="0" parTransId="{2B19CF11-A2F8-4D0F-89F3-F7D10D918FEB}" sibTransId="{850AE903-9D50-4680-9687-DF1BF6BB5708}"/>
    <dgm:cxn modelId="{140878E8-353F-4CA2-BC96-A8F8F0EBC0C1}" type="presOf" srcId="{2B19CF11-A2F8-4D0F-89F3-F7D10D918FEB}" destId="{B5C658A0-4A7B-4872-87BB-BAE33C7DE1BF}" srcOrd="0" destOrd="0" presId="urn:microsoft.com/office/officeart/2008/layout/HorizontalMultiLevelHierarchy"/>
    <dgm:cxn modelId="{ED90B6A4-28CC-4ADD-B67C-8B03141A8793}" type="presOf" srcId="{30C7AF65-3549-48FD-BF5B-BD3FD8BEC89F}" destId="{336C5686-2729-4803-9E60-3AA9795C2D31}" srcOrd="1" destOrd="0" presId="urn:microsoft.com/office/officeart/2008/layout/HorizontalMultiLevelHierarchy"/>
    <dgm:cxn modelId="{79ABC014-36CB-4ECB-94AC-893DD17C3380}" type="presOf" srcId="{1DDCE461-D6EB-4B6C-91C8-1D00F152BFEA}" destId="{E08E9D98-3F5D-4D67-9DC0-9CE05B4CEC5C}" srcOrd="0" destOrd="0" presId="urn:microsoft.com/office/officeart/2008/layout/HorizontalMultiLevelHierarchy"/>
    <dgm:cxn modelId="{0AB1DC64-ACA7-44EE-8E52-36CBF0870EDE}" type="presOf" srcId="{6BBBE9BC-3A32-431A-9D99-8E93E0E176B4}" destId="{7DB36983-98D3-423F-8F87-6E95F65F8245}" srcOrd="1" destOrd="0" presId="urn:microsoft.com/office/officeart/2008/layout/HorizontalMultiLevelHierarchy"/>
    <dgm:cxn modelId="{663C0D18-BFAE-4CFD-9289-DED038BAF072}" type="presOf" srcId="{65BFF9E3-D72D-47E2-B7F8-6C5C6FC3199F}" destId="{A72BACB0-4B8F-4FB7-8AF3-1BA35E0D08CB}" srcOrd="1" destOrd="0" presId="urn:microsoft.com/office/officeart/2008/layout/HorizontalMultiLevelHierarchy"/>
    <dgm:cxn modelId="{74D17F24-3679-4C6A-BB21-B5C70EAF65A3}" type="presOf" srcId="{65BFF9E3-D72D-47E2-B7F8-6C5C6FC3199F}" destId="{8E52B2CE-1C9D-4734-8C9C-8662F45F0EB2}" srcOrd="0" destOrd="0" presId="urn:microsoft.com/office/officeart/2008/layout/HorizontalMultiLevelHierarchy"/>
    <dgm:cxn modelId="{D987C3DE-7CFC-42A0-AF81-9A1C0ECF0A91}" type="presOf" srcId="{55717966-F6D9-4E2C-A781-13FD4BFA478E}" destId="{7D5C5FA5-A97D-472E-A9CD-CAE8F47AF338}" srcOrd="1" destOrd="0" presId="urn:microsoft.com/office/officeart/2008/layout/HorizontalMultiLevelHierarchy"/>
    <dgm:cxn modelId="{099AC253-A75D-46C0-B74D-499A036710BD}" type="presOf" srcId="{C88A41BE-1FFA-46B8-B862-311C83C6F482}" destId="{7A5C2F07-B246-4703-9EB4-923FE895AE5A}" srcOrd="0" destOrd="0" presId="urn:microsoft.com/office/officeart/2008/layout/HorizontalMultiLevelHierarchy"/>
    <dgm:cxn modelId="{25DCE7B6-E660-410E-B404-B924EF892720}" type="presOf" srcId="{EC002582-A43C-4FC7-8DAF-C0BB9D081118}" destId="{DAA081EE-1D15-45F2-89D8-C063AD58A557}" srcOrd="0" destOrd="0" presId="urn:microsoft.com/office/officeart/2008/layout/HorizontalMultiLevelHierarchy"/>
    <dgm:cxn modelId="{2EC96660-0364-4571-84ED-022006F93815}" srcId="{1944EF0A-FE86-4887-BC50-BFAACC49E055}" destId="{0974CE55-8CB6-45CF-997C-587A4D8C4CB4}" srcOrd="0" destOrd="0" parTransId="{EC002582-A43C-4FC7-8DAF-C0BB9D081118}" sibTransId="{EE9EC173-7E11-47CC-9CBC-53A888965A3F}"/>
    <dgm:cxn modelId="{691CF040-43FB-4E54-8071-6F6A8CF058AD}" type="presOf" srcId="{21CFE254-3248-42AA-9650-4DE3CC7AB0CE}" destId="{0AE837CE-1EC4-4C82-9B25-127BA64C695F}" srcOrd="0" destOrd="0" presId="urn:microsoft.com/office/officeart/2008/layout/HorizontalMultiLevelHierarchy"/>
    <dgm:cxn modelId="{F990D5AC-7568-48F9-AAAB-599F6E0E5A33}" type="presOf" srcId="{FA75406A-F9EA-4B0D-B705-C9F9F9A1CA42}" destId="{118B1E72-63A8-4C18-8CAA-78A2C4669BB0}" srcOrd="0" destOrd="0" presId="urn:microsoft.com/office/officeart/2008/layout/HorizontalMultiLevelHierarchy"/>
    <dgm:cxn modelId="{4467FE5F-E837-40CC-9683-C7718A38761E}" type="presOf" srcId="{55BC5296-7A3F-450A-8F67-8A82016AED4B}" destId="{A8A33F1D-14E9-427C-9987-3E45DE0456A5}" srcOrd="0" destOrd="0" presId="urn:microsoft.com/office/officeart/2008/layout/HorizontalMultiLevelHierarchy"/>
    <dgm:cxn modelId="{E800A45A-5BB0-4999-B312-B9805C84F463}" srcId="{21CFE254-3248-42AA-9650-4DE3CC7AB0CE}" destId="{C88A41BE-1FFA-46B8-B862-311C83C6F482}" srcOrd="0" destOrd="0" parTransId="{3A8B4B09-438A-4969-8E9B-A99FED09FA12}" sibTransId="{5B9BF659-B28D-460E-81DC-41E815591CF0}"/>
    <dgm:cxn modelId="{F57196DE-5CEF-459D-BA5A-E195772CC9A7}" type="presOf" srcId="{B4091433-6AFE-4453-BDC9-0763CE1A0D64}" destId="{2464CC43-4D01-4641-A76E-13F0EA26DB3A}" srcOrd="0" destOrd="0" presId="urn:microsoft.com/office/officeart/2008/layout/HorizontalMultiLevelHierarchy"/>
    <dgm:cxn modelId="{D79D3F80-989E-49B5-B32A-419CC5C99990}" type="presOf" srcId="{05EE5DEE-34E9-4022-849B-4DCCDAF4B01C}" destId="{DA99AD6A-C6CD-42AF-B32B-DE00DFB7F03F}" srcOrd="0" destOrd="0" presId="urn:microsoft.com/office/officeart/2008/layout/HorizontalMultiLevelHierarchy"/>
    <dgm:cxn modelId="{895D9D36-FE0B-47E1-9759-C23571EB9607}" type="presOf" srcId="{795A5F51-287C-439D-8092-F0236C7D4951}" destId="{F4C0AB07-4282-4A4C-B6C9-0A3DBFF74CD2}" srcOrd="1" destOrd="0" presId="urn:microsoft.com/office/officeart/2008/layout/HorizontalMultiLevelHierarchy"/>
    <dgm:cxn modelId="{1ACE0C7F-C792-43C9-AE8F-DA960E7B5329}" type="presOf" srcId="{30C7AF65-3549-48FD-BF5B-BD3FD8BEC89F}" destId="{A6FAE0C3-EEDD-415D-9C0B-E5A17C1F375C}" srcOrd="0" destOrd="0" presId="urn:microsoft.com/office/officeart/2008/layout/HorizontalMultiLevelHierarchy"/>
    <dgm:cxn modelId="{FC14542F-F8CB-41D5-9DE4-F865493D3825}" srcId="{1944EF0A-FE86-4887-BC50-BFAACC49E055}" destId="{37E3D163-553E-4AE9-840D-C135EF0CE4E2}" srcOrd="3" destOrd="0" parTransId="{65BFF9E3-D72D-47E2-B7F8-6C5C6FC3199F}" sibTransId="{8443AE6E-6217-4242-98A6-ADD745C09B9D}"/>
    <dgm:cxn modelId="{FDBF799A-5941-4A6F-995D-F60D2F81345D}" type="presOf" srcId="{538961DB-2910-49B6-B7CA-E37846181C16}" destId="{F91F0C4B-90F9-4E96-A3FE-6B620180D2E7}" srcOrd="0" destOrd="0" presId="urn:microsoft.com/office/officeart/2008/layout/HorizontalMultiLevelHierarchy"/>
    <dgm:cxn modelId="{A9DDF8A8-67B7-4401-AA47-68979CA69074}" srcId="{1944EF0A-FE86-4887-BC50-BFAACC49E055}" destId="{32BFF1C1-AF93-40E1-ACB3-0D4800A7275E}" srcOrd="4" destOrd="0" parTransId="{55717966-F6D9-4E2C-A781-13FD4BFA478E}" sibTransId="{CC5B0677-23B0-4070-8963-9E40B1C12527}"/>
    <dgm:cxn modelId="{C4552609-7303-455F-9D0A-1B5FE9ED1657}" srcId="{C88A41BE-1FFA-46B8-B862-311C83C6F482}" destId="{1944EF0A-FE86-4887-BC50-BFAACC49E055}" srcOrd="1" destOrd="0" parTransId="{6BBBE9BC-3A32-431A-9D99-8E93E0E176B4}" sibTransId="{ED21F9D3-0AB0-48E8-A843-4C2645177AB3}"/>
    <dgm:cxn modelId="{44E7083C-88B7-43F1-804B-841674317A42}" type="presOf" srcId="{538961DB-2910-49B6-B7CA-E37846181C16}" destId="{7010B26F-7B95-4B7A-B885-FF5E3623E6B5}" srcOrd="1" destOrd="0" presId="urn:microsoft.com/office/officeart/2008/layout/HorizontalMultiLevelHierarchy"/>
    <dgm:cxn modelId="{6F2ADFFD-1070-4275-B544-637C787C11D0}" type="presOf" srcId="{32BFF1C1-AF93-40E1-ACB3-0D4800A7275E}" destId="{7645AF70-03D4-49E7-884F-784601A5B1D4}" srcOrd="0" destOrd="0" presId="urn:microsoft.com/office/officeart/2008/layout/HorizontalMultiLevelHierarchy"/>
    <dgm:cxn modelId="{7E14DDB5-1BFF-43CD-9805-B59440E0BAFD}" type="presOf" srcId="{EC002582-A43C-4FC7-8DAF-C0BB9D081118}" destId="{4F46C24D-D1F2-4648-832F-8305D74B0BC0}" srcOrd="1" destOrd="0" presId="urn:microsoft.com/office/officeart/2008/layout/HorizontalMultiLevelHierarchy"/>
    <dgm:cxn modelId="{5852994C-BF6B-4D91-BC1F-9C05AEB68E5A}" type="presParOf" srcId="{0AE837CE-1EC4-4C82-9B25-127BA64C695F}" destId="{A9E9A525-9B87-4BC7-97A4-CE535FEA1CE3}" srcOrd="0" destOrd="0" presId="urn:microsoft.com/office/officeart/2008/layout/HorizontalMultiLevelHierarchy"/>
    <dgm:cxn modelId="{6332A695-58EB-41C1-B0A5-F990858DF9B9}" type="presParOf" srcId="{A9E9A525-9B87-4BC7-97A4-CE535FEA1CE3}" destId="{7A5C2F07-B246-4703-9EB4-923FE895AE5A}" srcOrd="0" destOrd="0" presId="urn:microsoft.com/office/officeart/2008/layout/HorizontalMultiLevelHierarchy"/>
    <dgm:cxn modelId="{C4C8A059-BB89-4F79-BB89-197EE9021E5B}" type="presParOf" srcId="{A9E9A525-9B87-4BC7-97A4-CE535FEA1CE3}" destId="{6CF2AE25-A03E-4A35-B865-0208B1F5D566}" srcOrd="1" destOrd="0" presId="urn:microsoft.com/office/officeart/2008/layout/HorizontalMultiLevelHierarchy"/>
    <dgm:cxn modelId="{7AF761D3-AC95-4AF1-B8C1-B8F55A2A7D48}" type="presParOf" srcId="{6CF2AE25-A03E-4A35-B865-0208B1F5D566}" destId="{2464CC43-4D01-4641-A76E-13F0EA26DB3A}" srcOrd="0" destOrd="0" presId="urn:microsoft.com/office/officeart/2008/layout/HorizontalMultiLevelHierarchy"/>
    <dgm:cxn modelId="{6EFC4040-7ABE-4C7B-B836-EFCBE1944F35}" type="presParOf" srcId="{2464CC43-4D01-4641-A76E-13F0EA26DB3A}" destId="{6380ED41-0A93-4B5A-84DD-6BD9BE5EB61B}" srcOrd="0" destOrd="0" presId="urn:microsoft.com/office/officeart/2008/layout/HorizontalMultiLevelHierarchy"/>
    <dgm:cxn modelId="{1077FC98-E5BF-4E76-B809-500B34B2070D}" type="presParOf" srcId="{6CF2AE25-A03E-4A35-B865-0208B1F5D566}" destId="{AA861169-E713-4BC0-9749-FEB75021602B}" srcOrd="1" destOrd="0" presId="urn:microsoft.com/office/officeart/2008/layout/HorizontalMultiLevelHierarchy"/>
    <dgm:cxn modelId="{B7203DD6-323D-4A58-89E3-D595E60A2023}" type="presParOf" srcId="{AA861169-E713-4BC0-9749-FEB75021602B}" destId="{A8A33F1D-14E9-427C-9987-3E45DE0456A5}" srcOrd="0" destOrd="0" presId="urn:microsoft.com/office/officeart/2008/layout/HorizontalMultiLevelHierarchy"/>
    <dgm:cxn modelId="{9C0E8A6F-8805-452A-88F4-3C2128A34709}" type="presParOf" srcId="{AA861169-E713-4BC0-9749-FEB75021602B}" destId="{8B6AD66C-C943-4F50-8B80-0482EBB7087D}" srcOrd="1" destOrd="0" presId="urn:microsoft.com/office/officeart/2008/layout/HorizontalMultiLevelHierarchy"/>
    <dgm:cxn modelId="{6BE1D717-29C5-4162-9A4C-0051560A932F}" type="presParOf" srcId="{6CF2AE25-A03E-4A35-B865-0208B1F5D566}" destId="{D2985DEE-B61A-4DF3-AE57-8F2E0322BCF3}" srcOrd="2" destOrd="0" presId="urn:microsoft.com/office/officeart/2008/layout/HorizontalMultiLevelHierarchy"/>
    <dgm:cxn modelId="{4A19D8B1-AFE4-43B1-8D1A-D35FD0387605}" type="presParOf" srcId="{D2985DEE-B61A-4DF3-AE57-8F2E0322BCF3}" destId="{7DB36983-98D3-423F-8F87-6E95F65F8245}" srcOrd="0" destOrd="0" presId="urn:microsoft.com/office/officeart/2008/layout/HorizontalMultiLevelHierarchy"/>
    <dgm:cxn modelId="{3C9FC290-B01F-4BDE-99FE-8263BEBB2E57}" type="presParOf" srcId="{6CF2AE25-A03E-4A35-B865-0208B1F5D566}" destId="{3B5EF203-140C-4FA7-B565-8102FCA007DA}" srcOrd="3" destOrd="0" presId="urn:microsoft.com/office/officeart/2008/layout/HorizontalMultiLevelHierarchy"/>
    <dgm:cxn modelId="{EA68B4CD-7DDD-4A3E-B4B6-ACBB966868FB}" type="presParOf" srcId="{3B5EF203-140C-4FA7-B565-8102FCA007DA}" destId="{807C96EE-0145-4FC7-8F8F-90C940F03D67}" srcOrd="0" destOrd="0" presId="urn:microsoft.com/office/officeart/2008/layout/HorizontalMultiLevelHierarchy"/>
    <dgm:cxn modelId="{38A03BC4-946F-448C-BFD4-B73CE8546522}" type="presParOf" srcId="{3B5EF203-140C-4FA7-B565-8102FCA007DA}" destId="{CF7020CC-070F-410B-A3D6-F728DEBFEA3D}" srcOrd="1" destOrd="0" presId="urn:microsoft.com/office/officeart/2008/layout/HorizontalMultiLevelHierarchy"/>
    <dgm:cxn modelId="{3DF0DC05-F035-4CED-98AE-395D1C49D427}" type="presParOf" srcId="{CF7020CC-070F-410B-A3D6-F728DEBFEA3D}" destId="{DAA081EE-1D15-45F2-89D8-C063AD58A557}" srcOrd="0" destOrd="0" presId="urn:microsoft.com/office/officeart/2008/layout/HorizontalMultiLevelHierarchy"/>
    <dgm:cxn modelId="{38F0D141-BA67-4837-8511-02D6B9EAAF9C}" type="presParOf" srcId="{DAA081EE-1D15-45F2-89D8-C063AD58A557}" destId="{4F46C24D-D1F2-4648-832F-8305D74B0BC0}" srcOrd="0" destOrd="0" presId="urn:microsoft.com/office/officeart/2008/layout/HorizontalMultiLevelHierarchy"/>
    <dgm:cxn modelId="{6CE920C6-C20E-416B-8B8D-EE7A8F32B7F1}" type="presParOf" srcId="{CF7020CC-070F-410B-A3D6-F728DEBFEA3D}" destId="{BF82EAD2-E315-40B4-80C2-0BA26D859E26}" srcOrd="1" destOrd="0" presId="urn:microsoft.com/office/officeart/2008/layout/HorizontalMultiLevelHierarchy"/>
    <dgm:cxn modelId="{E7FD4C66-001D-431F-87FD-DF8A6BE30FC4}" type="presParOf" srcId="{BF82EAD2-E315-40B4-80C2-0BA26D859E26}" destId="{FE3268A6-C0A6-40C5-8316-F3915D0F96E0}" srcOrd="0" destOrd="0" presId="urn:microsoft.com/office/officeart/2008/layout/HorizontalMultiLevelHierarchy"/>
    <dgm:cxn modelId="{C009A84B-EAFE-498A-ABD3-A51C87DF183A}" type="presParOf" srcId="{BF82EAD2-E315-40B4-80C2-0BA26D859E26}" destId="{FE11BEA1-FB8A-4DA7-9769-F123C7EF7DC6}" srcOrd="1" destOrd="0" presId="urn:microsoft.com/office/officeart/2008/layout/HorizontalMultiLevelHierarchy"/>
    <dgm:cxn modelId="{177E752C-F8AB-4A29-998C-2C7C2D4F5686}" type="presParOf" srcId="{CF7020CC-070F-410B-A3D6-F728DEBFEA3D}" destId="{118B1E72-63A8-4C18-8CAA-78A2C4669BB0}" srcOrd="2" destOrd="0" presId="urn:microsoft.com/office/officeart/2008/layout/HorizontalMultiLevelHierarchy"/>
    <dgm:cxn modelId="{79EBD594-0081-489F-A388-B7C47A5C80F1}" type="presParOf" srcId="{118B1E72-63A8-4C18-8CAA-78A2C4669BB0}" destId="{511BAF2C-7244-4954-8397-1934D46468E3}" srcOrd="0" destOrd="0" presId="urn:microsoft.com/office/officeart/2008/layout/HorizontalMultiLevelHierarchy"/>
    <dgm:cxn modelId="{6A29EF02-A7B0-409D-A93C-304B9D13EEFD}" type="presParOf" srcId="{CF7020CC-070F-410B-A3D6-F728DEBFEA3D}" destId="{30D9595B-0323-4522-80BC-D8AD37D5C7A9}" srcOrd="3" destOrd="0" presId="urn:microsoft.com/office/officeart/2008/layout/HorizontalMultiLevelHierarchy"/>
    <dgm:cxn modelId="{B4CD93E2-7779-4BA1-9ACF-032BE2F9540C}" type="presParOf" srcId="{30D9595B-0323-4522-80BC-D8AD37D5C7A9}" destId="{8B237F84-CDD4-418C-9645-277AAE2C607C}" srcOrd="0" destOrd="0" presId="urn:microsoft.com/office/officeart/2008/layout/HorizontalMultiLevelHierarchy"/>
    <dgm:cxn modelId="{48AE02FF-14A0-4D14-A9FD-93597E5020C1}" type="presParOf" srcId="{30D9595B-0323-4522-80BC-D8AD37D5C7A9}" destId="{5F543974-A4FD-4169-9EFF-561C88BEADD6}" srcOrd="1" destOrd="0" presId="urn:microsoft.com/office/officeart/2008/layout/HorizontalMultiLevelHierarchy"/>
    <dgm:cxn modelId="{0D83D46B-6523-4C82-AB89-695D171BEBFB}" type="presParOf" srcId="{CF7020CC-070F-410B-A3D6-F728DEBFEA3D}" destId="{F91F0C4B-90F9-4E96-A3FE-6B620180D2E7}" srcOrd="4" destOrd="0" presId="urn:microsoft.com/office/officeart/2008/layout/HorizontalMultiLevelHierarchy"/>
    <dgm:cxn modelId="{D7369F8B-DC5A-4CBC-B723-FA3C28CD5058}" type="presParOf" srcId="{F91F0C4B-90F9-4E96-A3FE-6B620180D2E7}" destId="{7010B26F-7B95-4B7A-B885-FF5E3623E6B5}" srcOrd="0" destOrd="0" presId="urn:microsoft.com/office/officeart/2008/layout/HorizontalMultiLevelHierarchy"/>
    <dgm:cxn modelId="{DE288888-B733-452F-B912-4BBF25D06140}" type="presParOf" srcId="{CF7020CC-070F-410B-A3D6-F728DEBFEA3D}" destId="{1EE2A50A-4C21-47D5-A79B-D82AED1D2A6C}" srcOrd="5" destOrd="0" presId="urn:microsoft.com/office/officeart/2008/layout/HorizontalMultiLevelHierarchy"/>
    <dgm:cxn modelId="{A99FD712-0183-403D-836E-E203CEF0F66A}" type="presParOf" srcId="{1EE2A50A-4C21-47D5-A79B-D82AED1D2A6C}" destId="{DA99AD6A-C6CD-42AF-B32B-DE00DFB7F03F}" srcOrd="0" destOrd="0" presId="urn:microsoft.com/office/officeart/2008/layout/HorizontalMultiLevelHierarchy"/>
    <dgm:cxn modelId="{D40FE23D-2200-4D69-8A93-17E12A91A0F7}" type="presParOf" srcId="{1EE2A50A-4C21-47D5-A79B-D82AED1D2A6C}" destId="{7C9E8CC7-1FDC-4A83-8E8F-B6D939D7885E}" srcOrd="1" destOrd="0" presId="urn:microsoft.com/office/officeart/2008/layout/HorizontalMultiLevelHierarchy"/>
    <dgm:cxn modelId="{3E4BA426-F0FA-4D37-8149-D98D3CF78B20}" type="presParOf" srcId="{CF7020CC-070F-410B-A3D6-F728DEBFEA3D}" destId="{8E52B2CE-1C9D-4734-8C9C-8662F45F0EB2}" srcOrd="6" destOrd="0" presId="urn:microsoft.com/office/officeart/2008/layout/HorizontalMultiLevelHierarchy"/>
    <dgm:cxn modelId="{16B75708-E894-488E-B735-9F218ED2EAE0}" type="presParOf" srcId="{8E52B2CE-1C9D-4734-8C9C-8662F45F0EB2}" destId="{A72BACB0-4B8F-4FB7-8AF3-1BA35E0D08CB}" srcOrd="0" destOrd="0" presId="urn:microsoft.com/office/officeart/2008/layout/HorizontalMultiLevelHierarchy"/>
    <dgm:cxn modelId="{3091E693-2381-4D3E-A39B-C19F01CB47C1}" type="presParOf" srcId="{CF7020CC-070F-410B-A3D6-F728DEBFEA3D}" destId="{EB7C20D4-94BA-4AAB-A1D9-A29830C0495E}" srcOrd="7" destOrd="0" presId="urn:microsoft.com/office/officeart/2008/layout/HorizontalMultiLevelHierarchy"/>
    <dgm:cxn modelId="{3FA01078-747C-46DD-BA81-80515149697A}" type="presParOf" srcId="{EB7C20D4-94BA-4AAB-A1D9-A29830C0495E}" destId="{E3275DC4-935E-4A37-9432-732685AE41FD}" srcOrd="0" destOrd="0" presId="urn:microsoft.com/office/officeart/2008/layout/HorizontalMultiLevelHierarchy"/>
    <dgm:cxn modelId="{F7E92EA3-6BC1-45BA-BF9F-2E91BFC4B4C9}" type="presParOf" srcId="{EB7C20D4-94BA-4AAB-A1D9-A29830C0495E}" destId="{40100B1B-D647-442F-98E9-77BC75C2B605}" srcOrd="1" destOrd="0" presId="urn:microsoft.com/office/officeart/2008/layout/HorizontalMultiLevelHierarchy"/>
    <dgm:cxn modelId="{B93FDC18-DD94-4373-841D-C8D5E1B02220}" type="presParOf" srcId="{CF7020CC-070F-410B-A3D6-F728DEBFEA3D}" destId="{3AF86F39-A06C-47F3-B357-CE0FEE0F38DC}" srcOrd="8" destOrd="0" presId="urn:microsoft.com/office/officeart/2008/layout/HorizontalMultiLevelHierarchy"/>
    <dgm:cxn modelId="{D39371AD-40A9-414A-A67F-B90A99CAFE14}" type="presParOf" srcId="{3AF86F39-A06C-47F3-B357-CE0FEE0F38DC}" destId="{7D5C5FA5-A97D-472E-A9CD-CAE8F47AF338}" srcOrd="0" destOrd="0" presId="urn:microsoft.com/office/officeart/2008/layout/HorizontalMultiLevelHierarchy"/>
    <dgm:cxn modelId="{F461D944-A6D9-44A3-86A7-71609365AADE}" type="presParOf" srcId="{CF7020CC-070F-410B-A3D6-F728DEBFEA3D}" destId="{237663B9-B4C9-4DB5-B46E-89DE30666CBA}" srcOrd="9" destOrd="0" presId="urn:microsoft.com/office/officeart/2008/layout/HorizontalMultiLevelHierarchy"/>
    <dgm:cxn modelId="{A74F8FA0-D54B-477F-9DA2-50A5D5189729}" type="presParOf" srcId="{237663B9-B4C9-4DB5-B46E-89DE30666CBA}" destId="{7645AF70-03D4-49E7-884F-784601A5B1D4}" srcOrd="0" destOrd="0" presId="urn:microsoft.com/office/officeart/2008/layout/HorizontalMultiLevelHierarchy"/>
    <dgm:cxn modelId="{E3B23DA3-BE84-4035-86DE-493B1E109467}" type="presParOf" srcId="{237663B9-B4C9-4DB5-B46E-89DE30666CBA}" destId="{3DF00DF0-6AA1-4FDB-802D-0BF2E170F17C}" srcOrd="1" destOrd="0" presId="urn:microsoft.com/office/officeart/2008/layout/HorizontalMultiLevelHierarchy"/>
    <dgm:cxn modelId="{AB530864-097B-45AA-8511-B00D6E68B723}" type="presParOf" srcId="{CF7020CC-070F-410B-A3D6-F728DEBFEA3D}" destId="{D210DFC6-D58F-49F7-8406-3618A78526B0}" srcOrd="10" destOrd="0" presId="urn:microsoft.com/office/officeart/2008/layout/HorizontalMultiLevelHierarchy"/>
    <dgm:cxn modelId="{C369324C-FC4F-40F2-A661-C679D9720237}" type="presParOf" srcId="{D210DFC6-D58F-49F7-8406-3618A78526B0}" destId="{F4C0AB07-4282-4A4C-B6C9-0A3DBFF74CD2}" srcOrd="0" destOrd="0" presId="urn:microsoft.com/office/officeart/2008/layout/HorizontalMultiLevelHierarchy"/>
    <dgm:cxn modelId="{0A1430B6-D8F1-46BA-A962-1047D5D5DDA5}" type="presParOf" srcId="{CF7020CC-070F-410B-A3D6-F728DEBFEA3D}" destId="{048B897F-190D-44D9-9BA1-4F0668F30C4C}" srcOrd="11" destOrd="0" presId="urn:microsoft.com/office/officeart/2008/layout/HorizontalMultiLevelHierarchy"/>
    <dgm:cxn modelId="{36F52857-7A4E-4677-A159-8D42CA9E47C2}" type="presParOf" srcId="{048B897F-190D-44D9-9BA1-4F0668F30C4C}" destId="{E08E9D98-3F5D-4D67-9DC0-9CE05B4CEC5C}" srcOrd="0" destOrd="0" presId="urn:microsoft.com/office/officeart/2008/layout/HorizontalMultiLevelHierarchy"/>
    <dgm:cxn modelId="{3CEF97EF-989A-41F7-A600-03F64AC929D0}" type="presParOf" srcId="{048B897F-190D-44D9-9BA1-4F0668F30C4C}" destId="{6194497B-84A7-4575-BC87-13ED32F8C79E}" srcOrd="1" destOrd="0" presId="urn:microsoft.com/office/officeart/2008/layout/HorizontalMultiLevelHierarchy"/>
    <dgm:cxn modelId="{EA250EC5-A3A8-4767-9209-0BD4C2863CE8}" type="presParOf" srcId="{6CF2AE25-A03E-4A35-B865-0208B1F5D566}" destId="{B5C658A0-4A7B-4872-87BB-BAE33C7DE1BF}" srcOrd="4" destOrd="0" presId="urn:microsoft.com/office/officeart/2008/layout/HorizontalMultiLevelHierarchy"/>
    <dgm:cxn modelId="{0C9D283A-D327-4783-A72C-B508AF890C90}" type="presParOf" srcId="{B5C658A0-4A7B-4872-87BB-BAE33C7DE1BF}" destId="{37D694F7-7EEA-4C36-81A4-B06A000F81F3}" srcOrd="0" destOrd="0" presId="urn:microsoft.com/office/officeart/2008/layout/HorizontalMultiLevelHierarchy"/>
    <dgm:cxn modelId="{2A41EBB2-81A2-4D1B-98D8-D757C0CD339D}" type="presParOf" srcId="{6CF2AE25-A03E-4A35-B865-0208B1F5D566}" destId="{E3044E0C-76D8-430D-A116-B321040228CC}" srcOrd="5" destOrd="0" presId="urn:microsoft.com/office/officeart/2008/layout/HorizontalMultiLevelHierarchy"/>
    <dgm:cxn modelId="{6538D222-C79D-451E-82D8-6846235CA7C5}" type="presParOf" srcId="{E3044E0C-76D8-430D-A116-B321040228CC}" destId="{6A7741E7-A265-4761-B10C-6057EA5A5C14}" srcOrd="0" destOrd="0" presId="urn:microsoft.com/office/officeart/2008/layout/HorizontalMultiLevelHierarchy"/>
    <dgm:cxn modelId="{FC6ABC20-3F33-4165-976E-917F6C87CE1B}" type="presParOf" srcId="{E3044E0C-76D8-430D-A116-B321040228CC}" destId="{16A4E16E-C222-4D79-9174-ED32B4633C3E}" srcOrd="1" destOrd="0" presId="urn:microsoft.com/office/officeart/2008/layout/HorizontalMultiLevelHierarchy"/>
    <dgm:cxn modelId="{7CFB0CD3-4189-4A83-8ED4-728239D583FB}" type="presParOf" srcId="{6CF2AE25-A03E-4A35-B865-0208B1F5D566}" destId="{A6FAE0C3-EEDD-415D-9C0B-E5A17C1F375C}" srcOrd="6" destOrd="0" presId="urn:microsoft.com/office/officeart/2008/layout/HorizontalMultiLevelHierarchy"/>
    <dgm:cxn modelId="{C3768543-8A95-4ACD-BA12-78B0E63C3851}" type="presParOf" srcId="{A6FAE0C3-EEDD-415D-9C0B-E5A17C1F375C}" destId="{336C5686-2729-4803-9E60-3AA9795C2D31}" srcOrd="0" destOrd="0" presId="urn:microsoft.com/office/officeart/2008/layout/HorizontalMultiLevelHierarchy"/>
    <dgm:cxn modelId="{3AB8A2FE-990F-48BF-9145-0AF6880C522B}" type="presParOf" srcId="{6CF2AE25-A03E-4A35-B865-0208B1F5D566}" destId="{EAA60A7A-78BE-4427-8246-1378C59FC3FF}" srcOrd="7" destOrd="0" presId="urn:microsoft.com/office/officeart/2008/layout/HorizontalMultiLevelHierarchy"/>
    <dgm:cxn modelId="{D843B34D-5F41-44B9-BA2C-53EDEE4D2221}" type="presParOf" srcId="{EAA60A7A-78BE-4427-8246-1378C59FC3FF}" destId="{9A7C376D-8B5B-47C1-A9A6-44BF19064F49}" srcOrd="0" destOrd="0" presId="urn:microsoft.com/office/officeart/2008/layout/HorizontalMultiLevelHierarchy"/>
    <dgm:cxn modelId="{845AB979-6CDD-4954-8AE6-677049B31C13}" type="presParOf" srcId="{EAA60A7A-78BE-4427-8246-1378C59FC3FF}" destId="{D0D2C11A-78BA-4813-A16C-E84A37B4532B}" srcOrd="1" destOrd="0" presId="urn:microsoft.com/office/officeart/2008/layout/HorizontalMultiLevelHierarchy"/>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866F99-7DFE-47EC-A87F-9E9D49BDC736}" type="doc">
      <dgm:prSet loTypeId="urn:microsoft.com/office/officeart/2008/layout/HorizontalMultiLevelHierarchy" loCatId="hierarchy" qsTypeId="urn:microsoft.com/office/officeart/2005/8/quickstyle/simple1" qsCatId="simple" csTypeId="urn:microsoft.com/office/officeart/2005/8/colors/colorful1#2" csCatId="colorful" phldr="1"/>
      <dgm:spPr/>
      <dgm:t>
        <a:bodyPr/>
        <a:lstStyle/>
        <a:p>
          <a:endParaRPr lang="en-GB"/>
        </a:p>
      </dgm:t>
    </dgm:pt>
    <dgm:pt modelId="{6D732548-8CF7-4E8B-AE8E-27CE3503BBAA}">
      <dgm:prSet phldrT="[Text]" custT="1"/>
      <dgm:spPr/>
      <dgm:t>
        <a:bodyPr/>
        <a:lstStyle/>
        <a:p>
          <a:r>
            <a:rPr lang="en-GB" sz="1000" b="1"/>
            <a:t>EMA</a:t>
          </a:r>
        </a:p>
      </dgm:t>
    </dgm:pt>
    <dgm:pt modelId="{51205996-53D5-4DD5-9356-EECF09667EEF}" type="parTrans" cxnId="{E27137A7-E6A1-42BE-BBD0-285C8CFE4A60}">
      <dgm:prSet/>
      <dgm:spPr/>
      <dgm:t>
        <a:bodyPr/>
        <a:lstStyle/>
        <a:p>
          <a:endParaRPr lang="en-GB"/>
        </a:p>
      </dgm:t>
    </dgm:pt>
    <dgm:pt modelId="{1D19F972-325E-440C-8734-2DC8F9A79DAD}" type="sibTrans" cxnId="{E27137A7-E6A1-42BE-BBD0-285C8CFE4A60}">
      <dgm:prSet/>
      <dgm:spPr/>
      <dgm:t>
        <a:bodyPr/>
        <a:lstStyle/>
        <a:p>
          <a:endParaRPr lang="en-GB"/>
        </a:p>
      </dgm:t>
    </dgm:pt>
    <dgm:pt modelId="{FEA6C18F-2FD1-4E2B-9934-78A03850C5DB}">
      <dgm:prSet phldrT="[Text]" custT="1"/>
      <dgm:spPr/>
      <dgm:t>
        <a:bodyPr/>
        <a:lstStyle/>
        <a:p>
          <a:r>
            <a:rPr lang="fr-FR" sz="1000" b="1"/>
            <a:t>2e Bureau</a:t>
          </a:r>
          <a:endParaRPr lang="en-GB" sz="1000" b="1"/>
        </a:p>
      </dgm:t>
    </dgm:pt>
    <dgm:pt modelId="{B1D96B5B-4808-41A5-81A6-B25EF54AE57B}" type="parTrans" cxnId="{EB91401A-E226-4644-92E1-BF010D83B2A3}">
      <dgm:prSet/>
      <dgm:spPr/>
      <dgm:t>
        <a:bodyPr/>
        <a:lstStyle/>
        <a:p>
          <a:endParaRPr lang="en-GB"/>
        </a:p>
      </dgm:t>
    </dgm:pt>
    <dgm:pt modelId="{214136C0-DA3E-4C56-8F4C-7B53870F7949}" type="sibTrans" cxnId="{EB91401A-E226-4644-92E1-BF010D83B2A3}">
      <dgm:prSet/>
      <dgm:spPr/>
      <dgm:t>
        <a:bodyPr/>
        <a:lstStyle/>
        <a:p>
          <a:endParaRPr lang="en-GB"/>
        </a:p>
      </dgm:t>
    </dgm:pt>
    <dgm:pt modelId="{FAA5F5DB-8854-4DD3-8032-9FA3DE89FA5F}">
      <dgm:prSet phldrT="[Text]" custT="1"/>
      <dgm:spPr/>
      <dgm:t>
        <a:bodyPr/>
        <a:lstStyle/>
        <a:p>
          <a:r>
            <a:rPr lang="fr-FR" sz="1000" b="1"/>
            <a:t>CAPCE</a:t>
          </a:r>
          <a:endParaRPr lang="en-GB" sz="1000" b="1"/>
        </a:p>
      </dgm:t>
    </dgm:pt>
    <dgm:pt modelId="{41705673-97CD-4B97-9B4A-26582D6B2856}" type="parTrans" cxnId="{A1D8896E-AB55-4F37-B1B8-3FC432AD68CF}">
      <dgm:prSet/>
      <dgm:spPr/>
      <dgm:t>
        <a:bodyPr/>
        <a:lstStyle/>
        <a:p>
          <a:endParaRPr lang="en-GB"/>
        </a:p>
      </dgm:t>
    </dgm:pt>
    <dgm:pt modelId="{FD91AF15-07DB-4DD0-8FF3-20814923B7F0}" type="sibTrans" cxnId="{A1D8896E-AB55-4F37-B1B8-3FC432AD68CF}">
      <dgm:prSet/>
      <dgm:spPr/>
      <dgm:t>
        <a:bodyPr/>
        <a:lstStyle/>
        <a:p>
          <a:endParaRPr lang="en-GB"/>
        </a:p>
      </dgm:t>
    </dgm:pt>
    <dgm:pt modelId="{C661611C-C6C0-4137-A9C0-E00AEFAE410C}">
      <dgm:prSet phldrT="[Text]"/>
      <dgm:spPr/>
      <dgm:t>
        <a:bodyPr/>
        <a:lstStyle/>
        <a:p>
          <a:r>
            <a:rPr lang="fr-FR"/>
            <a:t>Diffusion documentation</a:t>
          </a:r>
          <a:endParaRPr lang="en-GB"/>
        </a:p>
      </dgm:t>
    </dgm:pt>
    <dgm:pt modelId="{DAE0CFB9-849C-4F2B-A003-0049404BA9F6}" type="parTrans" cxnId="{49E0CF58-D83B-4922-AC7D-E7E88A16AA51}">
      <dgm:prSet/>
      <dgm:spPr/>
      <dgm:t>
        <a:bodyPr/>
        <a:lstStyle/>
        <a:p>
          <a:endParaRPr lang="en-GB"/>
        </a:p>
      </dgm:t>
    </dgm:pt>
    <dgm:pt modelId="{7F5D6C30-B890-4675-BC1C-786C0425B046}" type="sibTrans" cxnId="{49E0CF58-D83B-4922-AC7D-E7E88A16AA51}">
      <dgm:prSet/>
      <dgm:spPr/>
      <dgm:t>
        <a:bodyPr/>
        <a:lstStyle/>
        <a:p>
          <a:endParaRPr lang="en-GB"/>
        </a:p>
      </dgm:t>
    </dgm:pt>
    <dgm:pt modelId="{7A5CD481-A151-4EF5-BD14-0868206E8AA7}">
      <dgm:prSet phldrT="[Text]"/>
      <dgm:spPr/>
      <dgm:t>
        <a:bodyPr/>
        <a:lstStyle/>
        <a:p>
          <a:r>
            <a:rPr lang="fr-FR"/>
            <a:t>Personnel</a:t>
          </a:r>
          <a:endParaRPr lang="en-GB"/>
        </a:p>
      </dgm:t>
    </dgm:pt>
    <dgm:pt modelId="{01116C33-69A3-4A9A-B143-067AFCCA5657}" type="parTrans" cxnId="{76CB6292-C665-43CE-8224-C484146A6328}">
      <dgm:prSet/>
      <dgm:spPr/>
      <dgm:t>
        <a:bodyPr/>
        <a:lstStyle/>
        <a:p>
          <a:endParaRPr lang="en-GB"/>
        </a:p>
      </dgm:t>
    </dgm:pt>
    <dgm:pt modelId="{9240F606-7C2A-4B44-B677-3449229E46BE}" type="sibTrans" cxnId="{76CB6292-C665-43CE-8224-C484146A6328}">
      <dgm:prSet/>
      <dgm:spPr/>
      <dgm:t>
        <a:bodyPr/>
        <a:lstStyle/>
        <a:p>
          <a:endParaRPr lang="en-GB"/>
        </a:p>
      </dgm:t>
    </dgm:pt>
    <dgm:pt modelId="{E2F13D5B-8C73-4DCB-BB9E-A1EE9F016845}">
      <dgm:prSet phldrT="[Text]"/>
      <dgm:spPr/>
      <dgm:t>
        <a:bodyPr/>
        <a:lstStyle/>
        <a:p>
          <a:r>
            <a:rPr lang="fr-FR"/>
            <a:t>Courrier</a:t>
          </a:r>
          <a:endParaRPr lang="en-GB"/>
        </a:p>
      </dgm:t>
    </dgm:pt>
    <dgm:pt modelId="{B4B90E09-D130-49D0-8D92-D223B5B3BFAD}" type="parTrans" cxnId="{D045DFB0-90DB-4CC8-BB39-86A183A8CA36}">
      <dgm:prSet/>
      <dgm:spPr/>
      <dgm:t>
        <a:bodyPr/>
        <a:lstStyle/>
        <a:p>
          <a:endParaRPr lang="en-GB"/>
        </a:p>
      </dgm:t>
    </dgm:pt>
    <dgm:pt modelId="{2FE733C5-CE34-4A3A-8DCE-9E6A2C42DDC0}" type="sibTrans" cxnId="{D045DFB0-90DB-4CC8-BB39-86A183A8CA36}">
      <dgm:prSet/>
      <dgm:spPr/>
      <dgm:t>
        <a:bodyPr/>
        <a:lstStyle/>
        <a:p>
          <a:endParaRPr lang="en-GB"/>
        </a:p>
      </dgm:t>
    </dgm:pt>
    <dgm:pt modelId="{8F7DB443-CC86-4C56-BC34-F6F3FFAAF3E1}">
      <dgm:prSet phldrT="[Text]"/>
      <dgm:spPr/>
      <dgm:t>
        <a:bodyPr/>
        <a:lstStyle/>
        <a:p>
          <a:r>
            <a:rPr lang="fr-FR"/>
            <a:t>Information, redaction, études</a:t>
          </a:r>
          <a:endParaRPr lang="en-GB"/>
        </a:p>
      </dgm:t>
    </dgm:pt>
    <dgm:pt modelId="{360623F8-EEA1-432B-9DA4-95AABA4A8950}" type="parTrans" cxnId="{E550473C-4972-4A0F-89BE-70A318E0194B}">
      <dgm:prSet/>
      <dgm:spPr/>
      <dgm:t>
        <a:bodyPr/>
        <a:lstStyle/>
        <a:p>
          <a:endParaRPr lang="en-GB"/>
        </a:p>
      </dgm:t>
    </dgm:pt>
    <dgm:pt modelId="{F2468C6B-F5DB-4CED-B8A6-989C999347E8}" type="sibTrans" cxnId="{E550473C-4972-4A0F-89BE-70A318E0194B}">
      <dgm:prSet/>
      <dgm:spPr/>
      <dgm:t>
        <a:bodyPr/>
        <a:lstStyle/>
        <a:p>
          <a:endParaRPr lang="en-GB"/>
        </a:p>
      </dgm:t>
    </dgm:pt>
    <dgm:pt modelId="{B1E62EB6-4C4D-4B7E-A678-65708E7A9ABB}">
      <dgm:prSet phldrT="[Text]">
        <dgm:style>
          <a:lnRef idx="2">
            <a:schemeClr val="accent4"/>
          </a:lnRef>
          <a:fillRef idx="1">
            <a:schemeClr val="lt1"/>
          </a:fillRef>
          <a:effectRef idx="0">
            <a:schemeClr val="accent4"/>
          </a:effectRef>
          <a:fontRef idx="minor">
            <a:schemeClr val="dk1"/>
          </a:fontRef>
        </dgm:style>
      </dgm:prSet>
      <dgm:spPr/>
      <dgm:t>
        <a:bodyPr/>
        <a:lstStyle/>
        <a:p>
          <a:r>
            <a:rPr lang="fr-FR"/>
            <a:t>Propagande aérienne</a:t>
          </a:r>
          <a:endParaRPr lang="en-GB"/>
        </a:p>
      </dgm:t>
    </dgm:pt>
    <dgm:pt modelId="{C51010AF-1F50-4228-B92C-A0D5A5277FAF}" type="parTrans" cxnId="{1F7D1489-2C6A-4DF5-A711-DDCD183112EF}">
      <dgm:prSet/>
      <dgm:spPr/>
      <dgm:t>
        <a:bodyPr/>
        <a:lstStyle/>
        <a:p>
          <a:endParaRPr lang="en-GB"/>
        </a:p>
      </dgm:t>
    </dgm:pt>
    <dgm:pt modelId="{887F84DB-8676-418C-B482-5E5C833F79BB}" type="sibTrans" cxnId="{1F7D1489-2C6A-4DF5-A711-DDCD183112EF}">
      <dgm:prSet/>
      <dgm:spPr/>
      <dgm:t>
        <a:bodyPr/>
        <a:lstStyle/>
        <a:p>
          <a:endParaRPr lang="en-GB"/>
        </a:p>
      </dgm:t>
    </dgm:pt>
    <dgm:pt modelId="{0673FE3E-FC69-4750-9F8F-D3CD12ED5DA8}">
      <dgm:prSet phldrT="[Text]"/>
      <dgm:spPr/>
      <dgm:t>
        <a:bodyPr/>
        <a:lstStyle/>
        <a:p>
          <a:r>
            <a:rPr lang="fr-FR"/>
            <a:t>Fabrication</a:t>
          </a:r>
          <a:endParaRPr lang="en-GB"/>
        </a:p>
      </dgm:t>
    </dgm:pt>
    <dgm:pt modelId="{C147D485-8124-4080-89E1-FD805F9D5AEF}" type="parTrans" cxnId="{463015CF-6780-41C2-9D7B-A07F44EDA209}">
      <dgm:prSet/>
      <dgm:spPr/>
      <dgm:t>
        <a:bodyPr/>
        <a:lstStyle/>
        <a:p>
          <a:endParaRPr lang="en-GB"/>
        </a:p>
      </dgm:t>
    </dgm:pt>
    <dgm:pt modelId="{EC9F73BC-E237-49F4-9050-E3B5A6862955}" type="sibTrans" cxnId="{463015CF-6780-41C2-9D7B-A07F44EDA209}">
      <dgm:prSet/>
      <dgm:spPr/>
      <dgm:t>
        <a:bodyPr/>
        <a:lstStyle/>
        <a:p>
          <a:endParaRPr lang="en-GB"/>
        </a:p>
      </dgm:t>
    </dgm:pt>
    <dgm:pt modelId="{A59E8421-0F47-40F6-B926-FA047E964FE1}">
      <dgm:prSet phldrT="[Text]"/>
      <dgm:spPr/>
      <dgm:t>
        <a:bodyPr/>
        <a:lstStyle/>
        <a:p>
          <a:r>
            <a:rPr lang="fr-FR"/>
            <a:t>Conférences et rapports EM alliés</a:t>
          </a:r>
          <a:endParaRPr lang="en-GB"/>
        </a:p>
      </dgm:t>
    </dgm:pt>
    <dgm:pt modelId="{802E62F7-DC1D-41ED-83B0-8B200C06FC29}" type="parTrans" cxnId="{F38C1524-17CF-4DB6-A4E2-8BFAB4C2C9A4}">
      <dgm:prSet/>
      <dgm:spPr/>
      <dgm:t>
        <a:bodyPr/>
        <a:lstStyle/>
        <a:p>
          <a:endParaRPr lang="en-GB"/>
        </a:p>
      </dgm:t>
    </dgm:pt>
    <dgm:pt modelId="{B956B8B9-9544-4846-A537-71C2317EE189}" type="sibTrans" cxnId="{F38C1524-17CF-4DB6-A4E2-8BFAB4C2C9A4}">
      <dgm:prSet/>
      <dgm:spPr/>
      <dgm:t>
        <a:bodyPr/>
        <a:lstStyle/>
        <a:p>
          <a:endParaRPr lang="en-GB"/>
        </a:p>
      </dgm:t>
    </dgm:pt>
    <dgm:pt modelId="{41BB7616-DA34-4ED6-BE4A-70C6814C6424}">
      <dgm:prSet phldrT="[Text]"/>
      <dgm:spPr/>
      <dgm:t>
        <a:bodyPr/>
        <a:lstStyle/>
        <a:p>
          <a:r>
            <a:rPr lang="fr-FR"/>
            <a:t>Finances</a:t>
          </a:r>
          <a:endParaRPr lang="en-GB"/>
        </a:p>
      </dgm:t>
    </dgm:pt>
    <dgm:pt modelId="{1212D247-1EAF-4C83-9723-FA200BC76FEA}" type="parTrans" cxnId="{A7AF9E4B-14F3-49DE-B46C-BF97B4EC025F}">
      <dgm:prSet/>
      <dgm:spPr/>
      <dgm:t>
        <a:bodyPr/>
        <a:lstStyle/>
        <a:p>
          <a:endParaRPr lang="en-GB"/>
        </a:p>
      </dgm:t>
    </dgm:pt>
    <dgm:pt modelId="{1243A7BC-A7C7-4910-95C5-C9CBBE97CEE7}" type="sibTrans" cxnId="{A7AF9E4B-14F3-49DE-B46C-BF97B4EC025F}">
      <dgm:prSet/>
      <dgm:spPr/>
      <dgm:t>
        <a:bodyPr/>
        <a:lstStyle/>
        <a:p>
          <a:endParaRPr lang="en-GB"/>
        </a:p>
      </dgm:t>
    </dgm:pt>
    <dgm:pt modelId="{433DB2D0-FD6F-49A4-8E20-E34D48311484}">
      <dgm:prSet phldrT="[Text]"/>
      <dgm:spPr/>
      <dgm:t>
        <a:bodyPr/>
        <a:lstStyle/>
        <a:p>
          <a:r>
            <a:rPr lang="fr-FR"/>
            <a:t>Propagande intérieure</a:t>
          </a:r>
          <a:endParaRPr lang="en-GB"/>
        </a:p>
      </dgm:t>
    </dgm:pt>
    <dgm:pt modelId="{4ECD9F8C-E622-4758-8646-F580C7E5BA42}" type="parTrans" cxnId="{302BB21B-E0F9-4F47-84AF-6978E4AA1B34}">
      <dgm:prSet/>
      <dgm:spPr/>
      <dgm:t>
        <a:bodyPr/>
        <a:lstStyle/>
        <a:p>
          <a:endParaRPr lang="en-GB"/>
        </a:p>
      </dgm:t>
    </dgm:pt>
    <dgm:pt modelId="{E097AB5F-4A38-4615-87E4-97B973831566}" type="sibTrans" cxnId="{302BB21B-E0F9-4F47-84AF-6978E4AA1B34}">
      <dgm:prSet/>
      <dgm:spPr/>
      <dgm:t>
        <a:bodyPr/>
        <a:lstStyle/>
        <a:p>
          <a:endParaRPr lang="en-GB"/>
        </a:p>
      </dgm:t>
    </dgm:pt>
    <dgm:pt modelId="{B65653EC-B3E2-4904-8E54-77966F8A7E6A}">
      <dgm:prSet phldrT="[Text]"/>
      <dgm:spPr/>
      <dgm:t>
        <a:bodyPr/>
        <a:lstStyle/>
        <a:p>
          <a:r>
            <a:rPr lang="fr-FR"/>
            <a:t>Cinéma et photos</a:t>
          </a:r>
          <a:endParaRPr lang="en-GB"/>
        </a:p>
      </dgm:t>
    </dgm:pt>
    <dgm:pt modelId="{B1BF8B6B-6AD1-42E7-8678-E2F4FB2A675F}" type="parTrans" cxnId="{87E04703-EC54-4EC5-BF03-FE562E3117F2}">
      <dgm:prSet/>
      <dgm:spPr/>
      <dgm:t>
        <a:bodyPr/>
        <a:lstStyle/>
        <a:p>
          <a:endParaRPr lang="en-GB"/>
        </a:p>
      </dgm:t>
    </dgm:pt>
    <dgm:pt modelId="{5064CF01-EBAB-4EB3-94C1-598F6044AF2F}" type="sibTrans" cxnId="{87E04703-EC54-4EC5-BF03-FE562E3117F2}">
      <dgm:prSet/>
      <dgm:spPr/>
      <dgm:t>
        <a:bodyPr/>
        <a:lstStyle/>
        <a:p>
          <a:endParaRPr lang="en-GB"/>
        </a:p>
      </dgm:t>
    </dgm:pt>
    <dgm:pt modelId="{E74D5F00-8823-4EC4-A1F8-28492569523D}">
      <dgm:prSet phldrT="[Text]"/>
      <dgm:spPr/>
      <dgm:t>
        <a:bodyPr/>
        <a:lstStyle/>
        <a:p>
          <a:r>
            <a:rPr lang="fr-FR"/>
            <a:t>Conférences</a:t>
          </a:r>
          <a:endParaRPr lang="en-GB"/>
        </a:p>
      </dgm:t>
    </dgm:pt>
    <dgm:pt modelId="{956C74B2-4DC7-41D5-8230-77138466B5A3}" type="parTrans" cxnId="{6B297D87-83E9-4AF0-9CA8-D747D94F187D}">
      <dgm:prSet/>
      <dgm:spPr/>
      <dgm:t>
        <a:bodyPr/>
        <a:lstStyle/>
        <a:p>
          <a:endParaRPr lang="en-GB"/>
        </a:p>
      </dgm:t>
    </dgm:pt>
    <dgm:pt modelId="{7D4F0FB9-9ED4-43C2-8633-C8EA741CD1B6}" type="sibTrans" cxnId="{6B297D87-83E9-4AF0-9CA8-D747D94F187D}">
      <dgm:prSet/>
      <dgm:spPr/>
      <dgm:t>
        <a:bodyPr/>
        <a:lstStyle/>
        <a:p>
          <a:endParaRPr lang="en-GB"/>
        </a:p>
      </dgm:t>
    </dgm:pt>
    <dgm:pt modelId="{4E6443A1-4B36-4EFD-B189-2CA8278D2C8B}">
      <dgm:prSet phldrT="[Text]"/>
      <dgm:spPr/>
      <dgm:t>
        <a:bodyPr/>
        <a:lstStyle/>
        <a:p>
          <a:r>
            <a:rPr lang="fr-FR"/>
            <a:t>Objets de distribution</a:t>
          </a:r>
          <a:endParaRPr lang="en-GB"/>
        </a:p>
      </dgm:t>
    </dgm:pt>
    <dgm:pt modelId="{E936C397-EFFF-436E-AEBB-D86090425BB1}" type="parTrans" cxnId="{7A447498-0B64-4579-8870-C7B73A7AB489}">
      <dgm:prSet/>
      <dgm:spPr/>
      <dgm:t>
        <a:bodyPr/>
        <a:lstStyle/>
        <a:p>
          <a:endParaRPr lang="en-GB"/>
        </a:p>
      </dgm:t>
    </dgm:pt>
    <dgm:pt modelId="{FBFCB518-1DE0-4808-BBFA-307C4335AA77}" type="sibTrans" cxnId="{7A447498-0B64-4579-8870-C7B73A7AB489}">
      <dgm:prSet/>
      <dgm:spPr/>
      <dgm:t>
        <a:bodyPr/>
        <a:lstStyle/>
        <a:p>
          <a:endParaRPr lang="en-GB"/>
        </a:p>
      </dgm:t>
    </dgm:pt>
    <dgm:pt modelId="{DDC8B03E-FBE2-4788-9BF9-26627B287EB2}" type="pres">
      <dgm:prSet presAssocID="{57866F99-7DFE-47EC-A87F-9E9D49BDC736}" presName="Name0" presStyleCnt="0">
        <dgm:presLayoutVars>
          <dgm:chPref val="1"/>
          <dgm:dir/>
          <dgm:animOne val="branch"/>
          <dgm:animLvl val="lvl"/>
          <dgm:resizeHandles val="exact"/>
        </dgm:presLayoutVars>
      </dgm:prSet>
      <dgm:spPr/>
      <dgm:t>
        <a:bodyPr/>
        <a:lstStyle/>
        <a:p>
          <a:endParaRPr lang="en-GB"/>
        </a:p>
      </dgm:t>
    </dgm:pt>
    <dgm:pt modelId="{18EF3839-9DE5-4310-95D3-FE2977F3E065}" type="pres">
      <dgm:prSet presAssocID="{6D732548-8CF7-4E8B-AE8E-27CE3503BBAA}" presName="root1" presStyleCnt="0"/>
      <dgm:spPr/>
    </dgm:pt>
    <dgm:pt modelId="{4F950265-EB66-4129-AF00-538A73D1495D}" type="pres">
      <dgm:prSet presAssocID="{6D732548-8CF7-4E8B-AE8E-27CE3503BBAA}" presName="LevelOneTextNode" presStyleLbl="node0" presStyleIdx="0" presStyleCnt="1">
        <dgm:presLayoutVars>
          <dgm:chPref val="3"/>
        </dgm:presLayoutVars>
      </dgm:prSet>
      <dgm:spPr/>
      <dgm:t>
        <a:bodyPr/>
        <a:lstStyle/>
        <a:p>
          <a:endParaRPr lang="en-GB"/>
        </a:p>
      </dgm:t>
    </dgm:pt>
    <dgm:pt modelId="{2B23AB5A-8BB7-476E-AE19-9B3167FEF624}" type="pres">
      <dgm:prSet presAssocID="{6D732548-8CF7-4E8B-AE8E-27CE3503BBAA}" presName="level2hierChild" presStyleCnt="0"/>
      <dgm:spPr/>
    </dgm:pt>
    <dgm:pt modelId="{68777D2D-B7C5-444A-AF5C-600B3D3C8D0C}" type="pres">
      <dgm:prSet presAssocID="{B1D96B5B-4808-41A5-81A6-B25EF54AE57B}" presName="conn2-1" presStyleLbl="parChTrans1D2" presStyleIdx="0" presStyleCnt="1"/>
      <dgm:spPr/>
      <dgm:t>
        <a:bodyPr/>
        <a:lstStyle/>
        <a:p>
          <a:endParaRPr lang="en-GB"/>
        </a:p>
      </dgm:t>
    </dgm:pt>
    <dgm:pt modelId="{468F214D-D01E-420E-8150-D23776889288}" type="pres">
      <dgm:prSet presAssocID="{B1D96B5B-4808-41A5-81A6-B25EF54AE57B}" presName="connTx" presStyleLbl="parChTrans1D2" presStyleIdx="0" presStyleCnt="1"/>
      <dgm:spPr/>
      <dgm:t>
        <a:bodyPr/>
        <a:lstStyle/>
        <a:p>
          <a:endParaRPr lang="en-GB"/>
        </a:p>
      </dgm:t>
    </dgm:pt>
    <dgm:pt modelId="{CA5024D5-BD01-4089-818F-7B97258C2C30}" type="pres">
      <dgm:prSet presAssocID="{FEA6C18F-2FD1-4E2B-9934-78A03850C5DB}" presName="root2" presStyleCnt="0"/>
      <dgm:spPr/>
    </dgm:pt>
    <dgm:pt modelId="{71EA7977-0AC7-45CD-BE65-3458DB8B4712}" type="pres">
      <dgm:prSet presAssocID="{FEA6C18F-2FD1-4E2B-9934-78A03850C5DB}" presName="LevelTwoTextNode" presStyleLbl="node2" presStyleIdx="0" presStyleCnt="1">
        <dgm:presLayoutVars>
          <dgm:chPref val="3"/>
        </dgm:presLayoutVars>
      </dgm:prSet>
      <dgm:spPr/>
      <dgm:t>
        <a:bodyPr/>
        <a:lstStyle/>
        <a:p>
          <a:endParaRPr lang="en-GB"/>
        </a:p>
      </dgm:t>
    </dgm:pt>
    <dgm:pt modelId="{872A4FD4-AE65-4123-9BE7-68B5AB4A6A93}" type="pres">
      <dgm:prSet presAssocID="{FEA6C18F-2FD1-4E2B-9934-78A03850C5DB}" presName="level3hierChild" presStyleCnt="0"/>
      <dgm:spPr/>
    </dgm:pt>
    <dgm:pt modelId="{BC0AAF94-FD12-4A85-8837-29FFBA79092D}" type="pres">
      <dgm:prSet presAssocID="{41705673-97CD-4B97-9B4A-26582D6B2856}" presName="conn2-1" presStyleLbl="parChTrans1D3" presStyleIdx="0" presStyleCnt="1"/>
      <dgm:spPr/>
      <dgm:t>
        <a:bodyPr/>
        <a:lstStyle/>
        <a:p>
          <a:endParaRPr lang="en-GB"/>
        </a:p>
      </dgm:t>
    </dgm:pt>
    <dgm:pt modelId="{57492C61-70E8-4EEA-A48E-5EF436BE0353}" type="pres">
      <dgm:prSet presAssocID="{41705673-97CD-4B97-9B4A-26582D6B2856}" presName="connTx" presStyleLbl="parChTrans1D3" presStyleIdx="0" presStyleCnt="1"/>
      <dgm:spPr/>
      <dgm:t>
        <a:bodyPr/>
        <a:lstStyle/>
        <a:p>
          <a:endParaRPr lang="en-GB"/>
        </a:p>
      </dgm:t>
    </dgm:pt>
    <dgm:pt modelId="{A46F3D69-D8F8-4115-8815-F1882002393F}" type="pres">
      <dgm:prSet presAssocID="{FAA5F5DB-8854-4DD3-8032-9FA3DE89FA5F}" presName="root2" presStyleCnt="0"/>
      <dgm:spPr/>
    </dgm:pt>
    <dgm:pt modelId="{9ED0218C-8317-4BAD-BE14-172B5379F334}" type="pres">
      <dgm:prSet presAssocID="{FAA5F5DB-8854-4DD3-8032-9FA3DE89FA5F}" presName="LevelTwoTextNode" presStyleLbl="node3" presStyleIdx="0" presStyleCnt="1">
        <dgm:presLayoutVars>
          <dgm:chPref val="3"/>
        </dgm:presLayoutVars>
      </dgm:prSet>
      <dgm:spPr/>
      <dgm:t>
        <a:bodyPr/>
        <a:lstStyle/>
        <a:p>
          <a:endParaRPr lang="en-GB"/>
        </a:p>
      </dgm:t>
    </dgm:pt>
    <dgm:pt modelId="{FAA45DA5-BE67-4863-9214-49DBBBD01F01}" type="pres">
      <dgm:prSet presAssocID="{FAA5F5DB-8854-4DD3-8032-9FA3DE89FA5F}" presName="level3hierChild" presStyleCnt="0"/>
      <dgm:spPr/>
    </dgm:pt>
    <dgm:pt modelId="{4FF7DA00-5C66-47F9-A52C-44424F2686FD}" type="pres">
      <dgm:prSet presAssocID="{01116C33-69A3-4A9A-B143-067AFCCA5657}" presName="conn2-1" presStyleLbl="parChTrans1D4" presStyleIdx="0" presStyleCnt="12"/>
      <dgm:spPr/>
      <dgm:t>
        <a:bodyPr/>
        <a:lstStyle/>
        <a:p>
          <a:endParaRPr lang="en-GB"/>
        </a:p>
      </dgm:t>
    </dgm:pt>
    <dgm:pt modelId="{19C22B37-3DCD-4BB0-8819-1F8CFCC1642C}" type="pres">
      <dgm:prSet presAssocID="{01116C33-69A3-4A9A-B143-067AFCCA5657}" presName="connTx" presStyleLbl="parChTrans1D4" presStyleIdx="0" presStyleCnt="12"/>
      <dgm:spPr/>
      <dgm:t>
        <a:bodyPr/>
        <a:lstStyle/>
        <a:p>
          <a:endParaRPr lang="en-GB"/>
        </a:p>
      </dgm:t>
    </dgm:pt>
    <dgm:pt modelId="{2371C1C5-C3A2-4A61-B308-62EFB496AA8B}" type="pres">
      <dgm:prSet presAssocID="{7A5CD481-A151-4EF5-BD14-0868206E8AA7}" presName="root2" presStyleCnt="0"/>
      <dgm:spPr/>
    </dgm:pt>
    <dgm:pt modelId="{1136DE16-822F-41A3-802D-02AA6DC3E78C}" type="pres">
      <dgm:prSet presAssocID="{7A5CD481-A151-4EF5-BD14-0868206E8AA7}" presName="LevelTwoTextNode" presStyleLbl="node4" presStyleIdx="0" presStyleCnt="12">
        <dgm:presLayoutVars>
          <dgm:chPref val="3"/>
        </dgm:presLayoutVars>
      </dgm:prSet>
      <dgm:spPr/>
      <dgm:t>
        <a:bodyPr/>
        <a:lstStyle/>
        <a:p>
          <a:endParaRPr lang="en-GB"/>
        </a:p>
      </dgm:t>
    </dgm:pt>
    <dgm:pt modelId="{F803D164-DE3C-4444-9B12-FC662EDD639C}" type="pres">
      <dgm:prSet presAssocID="{7A5CD481-A151-4EF5-BD14-0868206E8AA7}" presName="level3hierChild" presStyleCnt="0"/>
      <dgm:spPr/>
    </dgm:pt>
    <dgm:pt modelId="{5266896F-578F-41BB-88AF-4F8D59F782E7}" type="pres">
      <dgm:prSet presAssocID="{B4B90E09-D130-49D0-8D92-D223B5B3BFAD}" presName="conn2-1" presStyleLbl="parChTrans1D4" presStyleIdx="1" presStyleCnt="12"/>
      <dgm:spPr/>
      <dgm:t>
        <a:bodyPr/>
        <a:lstStyle/>
        <a:p>
          <a:endParaRPr lang="en-GB"/>
        </a:p>
      </dgm:t>
    </dgm:pt>
    <dgm:pt modelId="{34687D62-0E7B-421C-A14F-D971ACD6B138}" type="pres">
      <dgm:prSet presAssocID="{B4B90E09-D130-49D0-8D92-D223B5B3BFAD}" presName="connTx" presStyleLbl="parChTrans1D4" presStyleIdx="1" presStyleCnt="12"/>
      <dgm:spPr/>
      <dgm:t>
        <a:bodyPr/>
        <a:lstStyle/>
        <a:p>
          <a:endParaRPr lang="en-GB"/>
        </a:p>
      </dgm:t>
    </dgm:pt>
    <dgm:pt modelId="{C5CDD94C-4E02-4EF4-ABD2-0597360224A2}" type="pres">
      <dgm:prSet presAssocID="{E2F13D5B-8C73-4DCB-BB9E-A1EE9F016845}" presName="root2" presStyleCnt="0"/>
      <dgm:spPr/>
    </dgm:pt>
    <dgm:pt modelId="{CD1A2BA5-FC3E-4B42-B85F-1CF6945511DE}" type="pres">
      <dgm:prSet presAssocID="{E2F13D5B-8C73-4DCB-BB9E-A1EE9F016845}" presName="LevelTwoTextNode" presStyleLbl="node4" presStyleIdx="1" presStyleCnt="12">
        <dgm:presLayoutVars>
          <dgm:chPref val="3"/>
        </dgm:presLayoutVars>
      </dgm:prSet>
      <dgm:spPr/>
      <dgm:t>
        <a:bodyPr/>
        <a:lstStyle/>
        <a:p>
          <a:endParaRPr lang="en-GB"/>
        </a:p>
      </dgm:t>
    </dgm:pt>
    <dgm:pt modelId="{895BFB9A-9106-41FE-B814-69B1036398C0}" type="pres">
      <dgm:prSet presAssocID="{E2F13D5B-8C73-4DCB-BB9E-A1EE9F016845}" presName="level3hierChild" presStyleCnt="0"/>
      <dgm:spPr/>
    </dgm:pt>
    <dgm:pt modelId="{666EA5B0-9845-4E8F-B56A-257E63D77A9F}" type="pres">
      <dgm:prSet presAssocID="{360623F8-EEA1-432B-9DA4-95AABA4A8950}" presName="conn2-1" presStyleLbl="parChTrans1D4" presStyleIdx="2" presStyleCnt="12"/>
      <dgm:spPr/>
      <dgm:t>
        <a:bodyPr/>
        <a:lstStyle/>
        <a:p>
          <a:endParaRPr lang="en-GB"/>
        </a:p>
      </dgm:t>
    </dgm:pt>
    <dgm:pt modelId="{42923F93-E30E-4116-B520-9FA4E29F6512}" type="pres">
      <dgm:prSet presAssocID="{360623F8-EEA1-432B-9DA4-95AABA4A8950}" presName="connTx" presStyleLbl="parChTrans1D4" presStyleIdx="2" presStyleCnt="12"/>
      <dgm:spPr/>
      <dgm:t>
        <a:bodyPr/>
        <a:lstStyle/>
        <a:p>
          <a:endParaRPr lang="en-GB"/>
        </a:p>
      </dgm:t>
    </dgm:pt>
    <dgm:pt modelId="{F8A87FFB-7C86-4ABE-8B97-36F934C89AE0}" type="pres">
      <dgm:prSet presAssocID="{8F7DB443-CC86-4C56-BC34-F6F3FFAAF3E1}" presName="root2" presStyleCnt="0"/>
      <dgm:spPr/>
    </dgm:pt>
    <dgm:pt modelId="{C79D9C9E-0ED5-455E-9DBD-896C47340616}" type="pres">
      <dgm:prSet presAssocID="{8F7DB443-CC86-4C56-BC34-F6F3FFAAF3E1}" presName="LevelTwoTextNode" presStyleLbl="node4" presStyleIdx="2" presStyleCnt="12" custLinFactNeighborX="-956">
        <dgm:presLayoutVars>
          <dgm:chPref val="3"/>
        </dgm:presLayoutVars>
      </dgm:prSet>
      <dgm:spPr/>
      <dgm:t>
        <a:bodyPr/>
        <a:lstStyle/>
        <a:p>
          <a:endParaRPr lang="en-GB"/>
        </a:p>
      </dgm:t>
    </dgm:pt>
    <dgm:pt modelId="{26A2AE3A-F936-40CD-8CC5-092BE4005C60}" type="pres">
      <dgm:prSet presAssocID="{8F7DB443-CC86-4C56-BC34-F6F3FFAAF3E1}" presName="level3hierChild" presStyleCnt="0"/>
      <dgm:spPr/>
    </dgm:pt>
    <dgm:pt modelId="{E93A2392-0731-4AE0-AC40-35AB3DDA56AE}" type="pres">
      <dgm:prSet presAssocID="{C51010AF-1F50-4228-B92C-A0D5A5277FAF}" presName="conn2-1" presStyleLbl="parChTrans1D4" presStyleIdx="3" presStyleCnt="12"/>
      <dgm:spPr/>
      <dgm:t>
        <a:bodyPr/>
        <a:lstStyle/>
        <a:p>
          <a:endParaRPr lang="en-GB"/>
        </a:p>
      </dgm:t>
    </dgm:pt>
    <dgm:pt modelId="{A969FFC5-457B-4B51-9AAD-0E9B92F4C9F6}" type="pres">
      <dgm:prSet presAssocID="{C51010AF-1F50-4228-B92C-A0D5A5277FAF}" presName="connTx" presStyleLbl="parChTrans1D4" presStyleIdx="3" presStyleCnt="12"/>
      <dgm:spPr/>
      <dgm:t>
        <a:bodyPr/>
        <a:lstStyle/>
        <a:p>
          <a:endParaRPr lang="en-GB"/>
        </a:p>
      </dgm:t>
    </dgm:pt>
    <dgm:pt modelId="{911991F2-09BE-48B3-8F79-9F0AE53D5B71}" type="pres">
      <dgm:prSet presAssocID="{B1E62EB6-4C4D-4B7E-A678-65708E7A9ABB}" presName="root2" presStyleCnt="0"/>
      <dgm:spPr/>
    </dgm:pt>
    <dgm:pt modelId="{AFDF2FC4-781C-4C85-8426-5A1FCA1AA475}" type="pres">
      <dgm:prSet presAssocID="{B1E62EB6-4C4D-4B7E-A678-65708E7A9ABB}" presName="LevelTwoTextNode" presStyleLbl="node4" presStyleIdx="3" presStyleCnt="12">
        <dgm:presLayoutVars>
          <dgm:chPref val="3"/>
        </dgm:presLayoutVars>
      </dgm:prSet>
      <dgm:spPr/>
      <dgm:t>
        <a:bodyPr/>
        <a:lstStyle/>
        <a:p>
          <a:endParaRPr lang="en-GB"/>
        </a:p>
      </dgm:t>
    </dgm:pt>
    <dgm:pt modelId="{25D5DB36-E243-4069-B4D3-38E8A11AADDE}" type="pres">
      <dgm:prSet presAssocID="{B1E62EB6-4C4D-4B7E-A678-65708E7A9ABB}" presName="level3hierChild" presStyleCnt="0"/>
      <dgm:spPr/>
    </dgm:pt>
    <dgm:pt modelId="{C56D541C-3B97-45FB-A341-8E6DCDE834D6}" type="pres">
      <dgm:prSet presAssocID="{C147D485-8124-4080-89E1-FD805F9D5AEF}" presName="conn2-1" presStyleLbl="parChTrans1D4" presStyleIdx="4" presStyleCnt="12"/>
      <dgm:spPr/>
      <dgm:t>
        <a:bodyPr/>
        <a:lstStyle/>
        <a:p>
          <a:endParaRPr lang="en-GB"/>
        </a:p>
      </dgm:t>
    </dgm:pt>
    <dgm:pt modelId="{A897BED2-163B-4121-A346-08D9AA32319E}" type="pres">
      <dgm:prSet presAssocID="{C147D485-8124-4080-89E1-FD805F9D5AEF}" presName="connTx" presStyleLbl="parChTrans1D4" presStyleIdx="4" presStyleCnt="12"/>
      <dgm:spPr/>
      <dgm:t>
        <a:bodyPr/>
        <a:lstStyle/>
        <a:p>
          <a:endParaRPr lang="en-GB"/>
        </a:p>
      </dgm:t>
    </dgm:pt>
    <dgm:pt modelId="{AEAF3B85-7A4E-410A-B236-82739757E143}" type="pres">
      <dgm:prSet presAssocID="{0673FE3E-FC69-4750-9F8F-D3CD12ED5DA8}" presName="root2" presStyleCnt="0"/>
      <dgm:spPr/>
    </dgm:pt>
    <dgm:pt modelId="{0B04EC98-9270-40C3-8A2D-5165EAD5A433}" type="pres">
      <dgm:prSet presAssocID="{0673FE3E-FC69-4750-9F8F-D3CD12ED5DA8}" presName="LevelTwoTextNode" presStyleLbl="node4" presStyleIdx="4" presStyleCnt="12">
        <dgm:presLayoutVars>
          <dgm:chPref val="3"/>
        </dgm:presLayoutVars>
      </dgm:prSet>
      <dgm:spPr/>
      <dgm:t>
        <a:bodyPr/>
        <a:lstStyle/>
        <a:p>
          <a:endParaRPr lang="en-GB"/>
        </a:p>
      </dgm:t>
    </dgm:pt>
    <dgm:pt modelId="{760D3FAF-17C6-410A-B109-C6AA12582248}" type="pres">
      <dgm:prSet presAssocID="{0673FE3E-FC69-4750-9F8F-D3CD12ED5DA8}" presName="level3hierChild" presStyleCnt="0"/>
      <dgm:spPr/>
    </dgm:pt>
    <dgm:pt modelId="{20D7F09E-C229-4A1F-8A53-C8A905B4F606}" type="pres">
      <dgm:prSet presAssocID="{802E62F7-DC1D-41ED-83B0-8B200C06FC29}" presName="conn2-1" presStyleLbl="parChTrans1D4" presStyleIdx="5" presStyleCnt="12"/>
      <dgm:spPr/>
      <dgm:t>
        <a:bodyPr/>
        <a:lstStyle/>
        <a:p>
          <a:endParaRPr lang="en-GB"/>
        </a:p>
      </dgm:t>
    </dgm:pt>
    <dgm:pt modelId="{DEF68629-20C8-4B3F-8279-029556FCD32C}" type="pres">
      <dgm:prSet presAssocID="{802E62F7-DC1D-41ED-83B0-8B200C06FC29}" presName="connTx" presStyleLbl="parChTrans1D4" presStyleIdx="5" presStyleCnt="12"/>
      <dgm:spPr/>
      <dgm:t>
        <a:bodyPr/>
        <a:lstStyle/>
        <a:p>
          <a:endParaRPr lang="en-GB"/>
        </a:p>
      </dgm:t>
    </dgm:pt>
    <dgm:pt modelId="{5B4A6582-0D06-4FAB-AA2F-E9F12DE62F4A}" type="pres">
      <dgm:prSet presAssocID="{A59E8421-0F47-40F6-B926-FA047E964FE1}" presName="root2" presStyleCnt="0"/>
      <dgm:spPr/>
    </dgm:pt>
    <dgm:pt modelId="{B10BF937-E972-47C0-A1FA-02B2A0018F41}" type="pres">
      <dgm:prSet presAssocID="{A59E8421-0F47-40F6-B926-FA047E964FE1}" presName="LevelTwoTextNode" presStyleLbl="node4" presStyleIdx="5" presStyleCnt="12">
        <dgm:presLayoutVars>
          <dgm:chPref val="3"/>
        </dgm:presLayoutVars>
      </dgm:prSet>
      <dgm:spPr/>
      <dgm:t>
        <a:bodyPr/>
        <a:lstStyle/>
        <a:p>
          <a:endParaRPr lang="en-GB"/>
        </a:p>
      </dgm:t>
    </dgm:pt>
    <dgm:pt modelId="{4012F646-392E-40A3-ABFC-7A1FB2116A52}" type="pres">
      <dgm:prSet presAssocID="{A59E8421-0F47-40F6-B926-FA047E964FE1}" presName="level3hierChild" presStyleCnt="0"/>
      <dgm:spPr/>
    </dgm:pt>
    <dgm:pt modelId="{80CDEF7B-A2AD-4039-9EB2-437416B1D468}" type="pres">
      <dgm:prSet presAssocID="{1212D247-1EAF-4C83-9723-FA200BC76FEA}" presName="conn2-1" presStyleLbl="parChTrans1D4" presStyleIdx="6" presStyleCnt="12"/>
      <dgm:spPr/>
      <dgm:t>
        <a:bodyPr/>
        <a:lstStyle/>
        <a:p>
          <a:endParaRPr lang="en-GB"/>
        </a:p>
      </dgm:t>
    </dgm:pt>
    <dgm:pt modelId="{8C795BEC-F516-4FAE-8681-C8B005A07217}" type="pres">
      <dgm:prSet presAssocID="{1212D247-1EAF-4C83-9723-FA200BC76FEA}" presName="connTx" presStyleLbl="parChTrans1D4" presStyleIdx="6" presStyleCnt="12"/>
      <dgm:spPr/>
      <dgm:t>
        <a:bodyPr/>
        <a:lstStyle/>
        <a:p>
          <a:endParaRPr lang="en-GB"/>
        </a:p>
      </dgm:t>
    </dgm:pt>
    <dgm:pt modelId="{FD3301FE-64D3-4E02-AAAA-B7E19637E43E}" type="pres">
      <dgm:prSet presAssocID="{41BB7616-DA34-4ED6-BE4A-70C6814C6424}" presName="root2" presStyleCnt="0"/>
      <dgm:spPr/>
    </dgm:pt>
    <dgm:pt modelId="{D1909069-142C-4A27-A6C1-06724EACA112}" type="pres">
      <dgm:prSet presAssocID="{41BB7616-DA34-4ED6-BE4A-70C6814C6424}" presName="LevelTwoTextNode" presStyleLbl="node4" presStyleIdx="6" presStyleCnt="12">
        <dgm:presLayoutVars>
          <dgm:chPref val="3"/>
        </dgm:presLayoutVars>
      </dgm:prSet>
      <dgm:spPr/>
      <dgm:t>
        <a:bodyPr/>
        <a:lstStyle/>
        <a:p>
          <a:endParaRPr lang="en-GB"/>
        </a:p>
      </dgm:t>
    </dgm:pt>
    <dgm:pt modelId="{98D6B021-CFDC-4EDE-B88A-F741E1068DC2}" type="pres">
      <dgm:prSet presAssocID="{41BB7616-DA34-4ED6-BE4A-70C6814C6424}" presName="level3hierChild" presStyleCnt="0"/>
      <dgm:spPr/>
    </dgm:pt>
    <dgm:pt modelId="{B1C8104B-BF13-4EFF-9F01-0DD39A6C0CAF}" type="pres">
      <dgm:prSet presAssocID="{4ECD9F8C-E622-4758-8646-F580C7E5BA42}" presName="conn2-1" presStyleLbl="parChTrans1D4" presStyleIdx="7" presStyleCnt="12"/>
      <dgm:spPr/>
      <dgm:t>
        <a:bodyPr/>
        <a:lstStyle/>
        <a:p>
          <a:endParaRPr lang="en-GB"/>
        </a:p>
      </dgm:t>
    </dgm:pt>
    <dgm:pt modelId="{B55EFC92-B2DF-420A-B600-DAD2E3107CBB}" type="pres">
      <dgm:prSet presAssocID="{4ECD9F8C-E622-4758-8646-F580C7E5BA42}" presName="connTx" presStyleLbl="parChTrans1D4" presStyleIdx="7" presStyleCnt="12"/>
      <dgm:spPr/>
      <dgm:t>
        <a:bodyPr/>
        <a:lstStyle/>
        <a:p>
          <a:endParaRPr lang="en-GB"/>
        </a:p>
      </dgm:t>
    </dgm:pt>
    <dgm:pt modelId="{D1BFA344-89BE-4348-B52D-D6DFDCF27A95}" type="pres">
      <dgm:prSet presAssocID="{433DB2D0-FD6F-49A4-8E20-E34D48311484}" presName="root2" presStyleCnt="0"/>
      <dgm:spPr/>
    </dgm:pt>
    <dgm:pt modelId="{02F1D62F-45DD-4369-90A4-0DEA640AD261}" type="pres">
      <dgm:prSet presAssocID="{433DB2D0-FD6F-49A4-8E20-E34D48311484}" presName="LevelTwoTextNode" presStyleLbl="node4" presStyleIdx="7" presStyleCnt="12">
        <dgm:presLayoutVars>
          <dgm:chPref val="3"/>
        </dgm:presLayoutVars>
      </dgm:prSet>
      <dgm:spPr/>
      <dgm:t>
        <a:bodyPr/>
        <a:lstStyle/>
        <a:p>
          <a:endParaRPr lang="en-GB"/>
        </a:p>
      </dgm:t>
    </dgm:pt>
    <dgm:pt modelId="{7854B54B-FFA8-43CD-A108-1CD231ABB685}" type="pres">
      <dgm:prSet presAssocID="{433DB2D0-FD6F-49A4-8E20-E34D48311484}" presName="level3hierChild" presStyleCnt="0"/>
      <dgm:spPr/>
    </dgm:pt>
    <dgm:pt modelId="{B44ADADB-D6DD-4E88-A170-3A7B82F0B635}" type="pres">
      <dgm:prSet presAssocID="{DAE0CFB9-849C-4F2B-A003-0049404BA9F6}" presName="conn2-1" presStyleLbl="parChTrans1D4" presStyleIdx="8" presStyleCnt="12"/>
      <dgm:spPr/>
      <dgm:t>
        <a:bodyPr/>
        <a:lstStyle/>
        <a:p>
          <a:endParaRPr lang="en-GB"/>
        </a:p>
      </dgm:t>
    </dgm:pt>
    <dgm:pt modelId="{47B06759-1B3E-4966-A8A8-5342155C536B}" type="pres">
      <dgm:prSet presAssocID="{DAE0CFB9-849C-4F2B-A003-0049404BA9F6}" presName="connTx" presStyleLbl="parChTrans1D4" presStyleIdx="8" presStyleCnt="12"/>
      <dgm:spPr/>
      <dgm:t>
        <a:bodyPr/>
        <a:lstStyle/>
        <a:p>
          <a:endParaRPr lang="en-GB"/>
        </a:p>
      </dgm:t>
    </dgm:pt>
    <dgm:pt modelId="{7422AB60-9CFE-4558-8FDD-03D4999EC9B1}" type="pres">
      <dgm:prSet presAssocID="{C661611C-C6C0-4137-A9C0-E00AEFAE410C}" presName="root2" presStyleCnt="0"/>
      <dgm:spPr/>
    </dgm:pt>
    <dgm:pt modelId="{E653BA53-9CC6-40A0-BB5E-C39C0115A8C8}" type="pres">
      <dgm:prSet presAssocID="{C661611C-C6C0-4137-A9C0-E00AEFAE410C}" presName="LevelTwoTextNode" presStyleLbl="node4" presStyleIdx="8" presStyleCnt="12">
        <dgm:presLayoutVars>
          <dgm:chPref val="3"/>
        </dgm:presLayoutVars>
      </dgm:prSet>
      <dgm:spPr/>
      <dgm:t>
        <a:bodyPr/>
        <a:lstStyle/>
        <a:p>
          <a:endParaRPr lang="en-GB"/>
        </a:p>
      </dgm:t>
    </dgm:pt>
    <dgm:pt modelId="{E3FC52E5-532D-4FAC-BC92-E8AA1ADF83E1}" type="pres">
      <dgm:prSet presAssocID="{C661611C-C6C0-4137-A9C0-E00AEFAE410C}" presName="level3hierChild" presStyleCnt="0"/>
      <dgm:spPr/>
    </dgm:pt>
    <dgm:pt modelId="{092DD9AF-0E48-4DBD-96AE-4B074D548A18}" type="pres">
      <dgm:prSet presAssocID="{956C74B2-4DC7-41D5-8230-77138466B5A3}" presName="conn2-1" presStyleLbl="parChTrans1D4" presStyleIdx="9" presStyleCnt="12"/>
      <dgm:spPr/>
      <dgm:t>
        <a:bodyPr/>
        <a:lstStyle/>
        <a:p>
          <a:endParaRPr lang="en-GB"/>
        </a:p>
      </dgm:t>
    </dgm:pt>
    <dgm:pt modelId="{DADCE503-205C-4C0C-B8F2-E0DCA7B685BC}" type="pres">
      <dgm:prSet presAssocID="{956C74B2-4DC7-41D5-8230-77138466B5A3}" presName="connTx" presStyleLbl="parChTrans1D4" presStyleIdx="9" presStyleCnt="12"/>
      <dgm:spPr/>
      <dgm:t>
        <a:bodyPr/>
        <a:lstStyle/>
        <a:p>
          <a:endParaRPr lang="en-GB"/>
        </a:p>
      </dgm:t>
    </dgm:pt>
    <dgm:pt modelId="{A331F906-DC94-4E9A-BD40-193E55738771}" type="pres">
      <dgm:prSet presAssocID="{E74D5F00-8823-4EC4-A1F8-28492569523D}" presName="root2" presStyleCnt="0"/>
      <dgm:spPr/>
    </dgm:pt>
    <dgm:pt modelId="{0D70EF54-6B4B-4E3F-8410-26E63CE2C7AB}" type="pres">
      <dgm:prSet presAssocID="{E74D5F00-8823-4EC4-A1F8-28492569523D}" presName="LevelTwoTextNode" presStyleLbl="node4" presStyleIdx="9" presStyleCnt="12">
        <dgm:presLayoutVars>
          <dgm:chPref val="3"/>
        </dgm:presLayoutVars>
      </dgm:prSet>
      <dgm:spPr/>
      <dgm:t>
        <a:bodyPr/>
        <a:lstStyle/>
        <a:p>
          <a:endParaRPr lang="en-GB"/>
        </a:p>
      </dgm:t>
    </dgm:pt>
    <dgm:pt modelId="{8A2582FF-6CA5-4884-846E-EAC1FC881F8C}" type="pres">
      <dgm:prSet presAssocID="{E74D5F00-8823-4EC4-A1F8-28492569523D}" presName="level3hierChild" presStyleCnt="0"/>
      <dgm:spPr/>
    </dgm:pt>
    <dgm:pt modelId="{7FB0B8CF-D03A-48BB-9BF8-9780661A6722}" type="pres">
      <dgm:prSet presAssocID="{E936C397-EFFF-436E-AEBB-D86090425BB1}" presName="conn2-1" presStyleLbl="parChTrans1D4" presStyleIdx="10" presStyleCnt="12"/>
      <dgm:spPr/>
      <dgm:t>
        <a:bodyPr/>
        <a:lstStyle/>
        <a:p>
          <a:endParaRPr lang="en-GB"/>
        </a:p>
      </dgm:t>
    </dgm:pt>
    <dgm:pt modelId="{F74C4848-B9D2-4937-9769-E26A3F17A7B6}" type="pres">
      <dgm:prSet presAssocID="{E936C397-EFFF-436E-AEBB-D86090425BB1}" presName="connTx" presStyleLbl="parChTrans1D4" presStyleIdx="10" presStyleCnt="12"/>
      <dgm:spPr/>
      <dgm:t>
        <a:bodyPr/>
        <a:lstStyle/>
        <a:p>
          <a:endParaRPr lang="en-GB"/>
        </a:p>
      </dgm:t>
    </dgm:pt>
    <dgm:pt modelId="{4C1E4F5E-AC88-47ED-B1BF-D1048AA420B5}" type="pres">
      <dgm:prSet presAssocID="{4E6443A1-4B36-4EFD-B189-2CA8278D2C8B}" presName="root2" presStyleCnt="0"/>
      <dgm:spPr/>
    </dgm:pt>
    <dgm:pt modelId="{1BB8B0C5-849A-491A-B885-5EF844D08FF7}" type="pres">
      <dgm:prSet presAssocID="{4E6443A1-4B36-4EFD-B189-2CA8278D2C8B}" presName="LevelTwoTextNode" presStyleLbl="node4" presStyleIdx="10" presStyleCnt="12">
        <dgm:presLayoutVars>
          <dgm:chPref val="3"/>
        </dgm:presLayoutVars>
      </dgm:prSet>
      <dgm:spPr/>
      <dgm:t>
        <a:bodyPr/>
        <a:lstStyle/>
        <a:p>
          <a:endParaRPr lang="en-GB"/>
        </a:p>
      </dgm:t>
    </dgm:pt>
    <dgm:pt modelId="{96EFC48B-F41F-4060-B7E9-4CD0A5BF338B}" type="pres">
      <dgm:prSet presAssocID="{4E6443A1-4B36-4EFD-B189-2CA8278D2C8B}" presName="level3hierChild" presStyleCnt="0"/>
      <dgm:spPr/>
    </dgm:pt>
    <dgm:pt modelId="{8566DEF1-7F1E-43CF-8C8E-93439AC17295}" type="pres">
      <dgm:prSet presAssocID="{B1BF8B6B-6AD1-42E7-8678-E2F4FB2A675F}" presName="conn2-1" presStyleLbl="parChTrans1D4" presStyleIdx="11" presStyleCnt="12"/>
      <dgm:spPr/>
      <dgm:t>
        <a:bodyPr/>
        <a:lstStyle/>
        <a:p>
          <a:endParaRPr lang="en-GB"/>
        </a:p>
      </dgm:t>
    </dgm:pt>
    <dgm:pt modelId="{A6CB7DA1-CC18-42C5-BC7D-6635CCCA2973}" type="pres">
      <dgm:prSet presAssocID="{B1BF8B6B-6AD1-42E7-8678-E2F4FB2A675F}" presName="connTx" presStyleLbl="parChTrans1D4" presStyleIdx="11" presStyleCnt="12"/>
      <dgm:spPr/>
      <dgm:t>
        <a:bodyPr/>
        <a:lstStyle/>
        <a:p>
          <a:endParaRPr lang="en-GB"/>
        </a:p>
      </dgm:t>
    </dgm:pt>
    <dgm:pt modelId="{C67911A3-B021-40AD-A49E-F0B3EDD851EB}" type="pres">
      <dgm:prSet presAssocID="{B65653EC-B3E2-4904-8E54-77966F8A7E6A}" presName="root2" presStyleCnt="0"/>
      <dgm:spPr/>
    </dgm:pt>
    <dgm:pt modelId="{F9CB6C9E-A335-482F-997B-82095A69BF4B}" type="pres">
      <dgm:prSet presAssocID="{B65653EC-B3E2-4904-8E54-77966F8A7E6A}" presName="LevelTwoTextNode" presStyleLbl="node4" presStyleIdx="11" presStyleCnt="12">
        <dgm:presLayoutVars>
          <dgm:chPref val="3"/>
        </dgm:presLayoutVars>
      </dgm:prSet>
      <dgm:spPr/>
      <dgm:t>
        <a:bodyPr/>
        <a:lstStyle/>
        <a:p>
          <a:endParaRPr lang="en-GB"/>
        </a:p>
      </dgm:t>
    </dgm:pt>
    <dgm:pt modelId="{082CC935-0B27-42F0-9D68-F0896B5EC0CF}" type="pres">
      <dgm:prSet presAssocID="{B65653EC-B3E2-4904-8E54-77966F8A7E6A}" presName="level3hierChild" presStyleCnt="0"/>
      <dgm:spPr/>
    </dgm:pt>
  </dgm:ptLst>
  <dgm:cxnLst>
    <dgm:cxn modelId="{566BFE8A-96F3-46C4-B9B7-0B6FE363C59D}" type="presOf" srcId="{C147D485-8124-4080-89E1-FD805F9D5AEF}" destId="{A897BED2-163B-4121-A346-08D9AA32319E}" srcOrd="1" destOrd="0" presId="urn:microsoft.com/office/officeart/2008/layout/HorizontalMultiLevelHierarchy"/>
    <dgm:cxn modelId="{EA5371E0-A398-445A-B9E4-8BB14391CFE3}" type="presOf" srcId="{B1BF8B6B-6AD1-42E7-8678-E2F4FB2A675F}" destId="{A6CB7DA1-CC18-42C5-BC7D-6635CCCA2973}" srcOrd="1" destOrd="0" presId="urn:microsoft.com/office/officeart/2008/layout/HorizontalMultiLevelHierarchy"/>
    <dgm:cxn modelId="{CF0CA989-C4E7-48E1-B2EF-A51B831C99E2}" type="presOf" srcId="{802E62F7-DC1D-41ED-83B0-8B200C06FC29}" destId="{DEF68629-20C8-4B3F-8279-029556FCD32C}" srcOrd="1" destOrd="0" presId="urn:microsoft.com/office/officeart/2008/layout/HorizontalMultiLevelHierarchy"/>
    <dgm:cxn modelId="{DF42E506-2AC6-4E27-9756-32F9C7599BD8}" type="presOf" srcId="{1212D247-1EAF-4C83-9723-FA200BC76FEA}" destId="{8C795BEC-F516-4FAE-8681-C8B005A07217}" srcOrd="1" destOrd="0" presId="urn:microsoft.com/office/officeart/2008/layout/HorizontalMultiLevelHierarchy"/>
    <dgm:cxn modelId="{1594C10A-BBDC-4FEE-A27D-6834DCAAA07F}" type="presOf" srcId="{C51010AF-1F50-4228-B92C-A0D5A5277FAF}" destId="{A969FFC5-457B-4B51-9AAD-0E9B92F4C9F6}" srcOrd="1" destOrd="0" presId="urn:microsoft.com/office/officeart/2008/layout/HorizontalMultiLevelHierarchy"/>
    <dgm:cxn modelId="{9079E170-9602-41D5-B907-3BD450A9CD8D}" type="presOf" srcId="{B1D96B5B-4808-41A5-81A6-B25EF54AE57B}" destId="{68777D2D-B7C5-444A-AF5C-600B3D3C8D0C}" srcOrd="0" destOrd="0" presId="urn:microsoft.com/office/officeart/2008/layout/HorizontalMultiLevelHierarchy"/>
    <dgm:cxn modelId="{30FAA6C6-952A-497A-8BAC-DFDDF6214D8F}" type="presOf" srcId="{DAE0CFB9-849C-4F2B-A003-0049404BA9F6}" destId="{47B06759-1B3E-4966-A8A8-5342155C536B}" srcOrd="1" destOrd="0" presId="urn:microsoft.com/office/officeart/2008/layout/HorizontalMultiLevelHierarchy"/>
    <dgm:cxn modelId="{65D1B76A-930D-4C29-9DEA-F19161D8AECD}" type="presOf" srcId="{360623F8-EEA1-432B-9DA4-95AABA4A8950}" destId="{666EA5B0-9845-4E8F-B56A-257E63D77A9F}" srcOrd="0" destOrd="0" presId="urn:microsoft.com/office/officeart/2008/layout/HorizontalMultiLevelHierarchy"/>
    <dgm:cxn modelId="{6B297D87-83E9-4AF0-9CA8-D747D94F187D}" srcId="{C661611C-C6C0-4137-A9C0-E00AEFAE410C}" destId="{E74D5F00-8823-4EC4-A1F8-28492569523D}" srcOrd="0" destOrd="0" parTransId="{956C74B2-4DC7-41D5-8230-77138466B5A3}" sibTransId="{7D4F0FB9-9ED4-43C2-8633-C8EA741CD1B6}"/>
    <dgm:cxn modelId="{A7AF9E4B-14F3-49DE-B46C-BF97B4EC025F}" srcId="{FAA5F5DB-8854-4DD3-8032-9FA3DE89FA5F}" destId="{41BB7616-DA34-4ED6-BE4A-70C6814C6424}" srcOrd="6" destOrd="0" parTransId="{1212D247-1EAF-4C83-9723-FA200BC76FEA}" sibTransId="{1243A7BC-A7C7-4910-95C5-C9CBBE97CEE7}"/>
    <dgm:cxn modelId="{302BB21B-E0F9-4F47-84AF-6978E4AA1B34}" srcId="{FAA5F5DB-8854-4DD3-8032-9FA3DE89FA5F}" destId="{433DB2D0-FD6F-49A4-8E20-E34D48311484}" srcOrd="7" destOrd="0" parTransId="{4ECD9F8C-E622-4758-8646-F580C7E5BA42}" sibTransId="{E097AB5F-4A38-4615-87E4-97B973831566}"/>
    <dgm:cxn modelId="{F38C1524-17CF-4DB6-A4E2-8BFAB4C2C9A4}" srcId="{FAA5F5DB-8854-4DD3-8032-9FA3DE89FA5F}" destId="{A59E8421-0F47-40F6-B926-FA047E964FE1}" srcOrd="5" destOrd="0" parTransId="{802E62F7-DC1D-41ED-83B0-8B200C06FC29}" sibTransId="{B956B8B9-9544-4846-A537-71C2317EE189}"/>
    <dgm:cxn modelId="{E72BC00E-4C95-4D67-BF84-250A5A055530}" type="presOf" srcId="{41705673-97CD-4B97-9B4A-26582D6B2856}" destId="{57492C61-70E8-4EEA-A48E-5EF436BE0353}" srcOrd="1" destOrd="0" presId="urn:microsoft.com/office/officeart/2008/layout/HorizontalMultiLevelHierarchy"/>
    <dgm:cxn modelId="{5875D179-E176-42CC-ACD5-FBDC0B1DBDF0}" type="presOf" srcId="{01116C33-69A3-4A9A-B143-067AFCCA5657}" destId="{19C22B37-3DCD-4BB0-8819-1F8CFCC1642C}" srcOrd="1" destOrd="0" presId="urn:microsoft.com/office/officeart/2008/layout/HorizontalMultiLevelHierarchy"/>
    <dgm:cxn modelId="{BB3587AB-D39E-4C15-BD83-05B3AB51F246}" type="presOf" srcId="{B4B90E09-D130-49D0-8D92-D223B5B3BFAD}" destId="{34687D62-0E7B-421C-A14F-D971ACD6B138}" srcOrd="1" destOrd="0" presId="urn:microsoft.com/office/officeart/2008/layout/HorizontalMultiLevelHierarchy"/>
    <dgm:cxn modelId="{CB7A3CD9-2F60-4C14-9D55-67F072AE1C19}" type="presOf" srcId="{4ECD9F8C-E622-4758-8646-F580C7E5BA42}" destId="{B55EFC92-B2DF-420A-B600-DAD2E3107CBB}" srcOrd="1" destOrd="0" presId="urn:microsoft.com/office/officeart/2008/layout/HorizontalMultiLevelHierarchy"/>
    <dgm:cxn modelId="{EBAC4C5F-6612-45B4-9156-579E3C4FA385}" type="presOf" srcId="{41705673-97CD-4B97-9B4A-26582D6B2856}" destId="{BC0AAF94-FD12-4A85-8837-29FFBA79092D}" srcOrd="0" destOrd="0" presId="urn:microsoft.com/office/officeart/2008/layout/HorizontalMultiLevelHierarchy"/>
    <dgm:cxn modelId="{D045DFB0-90DB-4CC8-BB39-86A183A8CA36}" srcId="{FAA5F5DB-8854-4DD3-8032-9FA3DE89FA5F}" destId="{E2F13D5B-8C73-4DCB-BB9E-A1EE9F016845}" srcOrd="1" destOrd="0" parTransId="{B4B90E09-D130-49D0-8D92-D223B5B3BFAD}" sibTransId="{2FE733C5-CE34-4A3A-8DCE-9E6A2C42DDC0}"/>
    <dgm:cxn modelId="{E550473C-4972-4A0F-89BE-70A318E0194B}" srcId="{FAA5F5DB-8854-4DD3-8032-9FA3DE89FA5F}" destId="{8F7DB443-CC86-4C56-BC34-F6F3FFAAF3E1}" srcOrd="2" destOrd="0" parTransId="{360623F8-EEA1-432B-9DA4-95AABA4A8950}" sibTransId="{F2468C6B-F5DB-4CED-B8A6-989C999347E8}"/>
    <dgm:cxn modelId="{7A447498-0B64-4579-8870-C7B73A7AB489}" srcId="{C661611C-C6C0-4137-A9C0-E00AEFAE410C}" destId="{4E6443A1-4B36-4EFD-B189-2CA8278D2C8B}" srcOrd="1" destOrd="0" parTransId="{E936C397-EFFF-436E-AEBB-D86090425BB1}" sibTransId="{FBFCB518-1DE0-4808-BBFA-307C4335AA77}"/>
    <dgm:cxn modelId="{EB91401A-E226-4644-92E1-BF010D83B2A3}" srcId="{6D732548-8CF7-4E8B-AE8E-27CE3503BBAA}" destId="{FEA6C18F-2FD1-4E2B-9934-78A03850C5DB}" srcOrd="0" destOrd="0" parTransId="{B1D96B5B-4808-41A5-81A6-B25EF54AE57B}" sibTransId="{214136C0-DA3E-4C56-8F4C-7B53870F7949}"/>
    <dgm:cxn modelId="{6BD9DB66-3FC5-46CB-A234-52C0C48333EB}" type="presOf" srcId="{DAE0CFB9-849C-4F2B-A003-0049404BA9F6}" destId="{B44ADADB-D6DD-4E88-A170-3A7B82F0B635}" srcOrd="0" destOrd="0" presId="urn:microsoft.com/office/officeart/2008/layout/HorizontalMultiLevelHierarchy"/>
    <dgm:cxn modelId="{FEB64B26-9ACB-40AD-840F-1246E9F3346D}" type="presOf" srcId="{E2F13D5B-8C73-4DCB-BB9E-A1EE9F016845}" destId="{CD1A2BA5-FC3E-4B42-B85F-1CF6945511DE}" srcOrd="0" destOrd="0" presId="urn:microsoft.com/office/officeart/2008/layout/HorizontalMultiLevelHierarchy"/>
    <dgm:cxn modelId="{07161F44-B145-4AE4-9D56-26DCA60F7AC8}" type="presOf" srcId="{E936C397-EFFF-436E-AEBB-D86090425BB1}" destId="{F74C4848-B9D2-4937-9769-E26A3F17A7B6}" srcOrd="1" destOrd="0" presId="urn:microsoft.com/office/officeart/2008/layout/HorizontalMultiLevelHierarchy"/>
    <dgm:cxn modelId="{21BBA7E2-0404-4F2A-B18D-752E101587E1}" type="presOf" srcId="{FAA5F5DB-8854-4DD3-8032-9FA3DE89FA5F}" destId="{9ED0218C-8317-4BAD-BE14-172B5379F334}" srcOrd="0" destOrd="0" presId="urn:microsoft.com/office/officeart/2008/layout/HorizontalMultiLevelHierarchy"/>
    <dgm:cxn modelId="{2833C8A5-53A9-4CA2-AB5C-CB2FB7B298CE}" type="presOf" srcId="{B1E62EB6-4C4D-4B7E-A678-65708E7A9ABB}" destId="{AFDF2FC4-781C-4C85-8426-5A1FCA1AA475}" srcOrd="0" destOrd="0" presId="urn:microsoft.com/office/officeart/2008/layout/HorizontalMultiLevelHierarchy"/>
    <dgm:cxn modelId="{F8FF61FB-8904-4EAE-9C58-900DE9CB1E99}" type="presOf" srcId="{7A5CD481-A151-4EF5-BD14-0868206E8AA7}" destId="{1136DE16-822F-41A3-802D-02AA6DC3E78C}" srcOrd="0" destOrd="0" presId="urn:microsoft.com/office/officeart/2008/layout/HorizontalMultiLevelHierarchy"/>
    <dgm:cxn modelId="{CFF57EFC-05B4-4AD1-84F8-0BCD5F3A9B0B}" type="presOf" srcId="{8F7DB443-CC86-4C56-BC34-F6F3FFAAF3E1}" destId="{C79D9C9E-0ED5-455E-9DBD-896C47340616}" srcOrd="0" destOrd="0" presId="urn:microsoft.com/office/officeart/2008/layout/HorizontalMultiLevelHierarchy"/>
    <dgm:cxn modelId="{87E04703-EC54-4EC5-BF03-FE562E3117F2}" srcId="{C661611C-C6C0-4137-A9C0-E00AEFAE410C}" destId="{B65653EC-B3E2-4904-8E54-77966F8A7E6A}" srcOrd="2" destOrd="0" parTransId="{B1BF8B6B-6AD1-42E7-8678-E2F4FB2A675F}" sibTransId="{5064CF01-EBAB-4EB3-94C1-598F6044AF2F}"/>
    <dgm:cxn modelId="{76CB6292-C665-43CE-8224-C484146A6328}" srcId="{FAA5F5DB-8854-4DD3-8032-9FA3DE89FA5F}" destId="{7A5CD481-A151-4EF5-BD14-0868206E8AA7}" srcOrd="0" destOrd="0" parTransId="{01116C33-69A3-4A9A-B143-067AFCCA5657}" sibTransId="{9240F606-7C2A-4B44-B677-3449229E46BE}"/>
    <dgm:cxn modelId="{EC88919A-DD02-496A-804C-55DFE63688C7}" type="presOf" srcId="{41BB7616-DA34-4ED6-BE4A-70C6814C6424}" destId="{D1909069-142C-4A27-A6C1-06724EACA112}" srcOrd="0" destOrd="0" presId="urn:microsoft.com/office/officeart/2008/layout/HorizontalMultiLevelHierarchy"/>
    <dgm:cxn modelId="{41FCA13B-E8F4-44FF-8D62-2F65A701F939}" type="presOf" srcId="{B1BF8B6B-6AD1-42E7-8678-E2F4FB2A675F}" destId="{8566DEF1-7F1E-43CF-8C8E-93439AC17295}" srcOrd="0" destOrd="0" presId="urn:microsoft.com/office/officeart/2008/layout/HorizontalMultiLevelHierarchy"/>
    <dgm:cxn modelId="{463015CF-6780-41C2-9D7B-A07F44EDA209}" srcId="{FAA5F5DB-8854-4DD3-8032-9FA3DE89FA5F}" destId="{0673FE3E-FC69-4750-9F8F-D3CD12ED5DA8}" srcOrd="4" destOrd="0" parTransId="{C147D485-8124-4080-89E1-FD805F9D5AEF}" sibTransId="{EC9F73BC-E237-49F4-9050-E3B5A6862955}"/>
    <dgm:cxn modelId="{0DDFDE0D-FB9E-4E87-BB1D-4B82CE164126}" type="presOf" srcId="{956C74B2-4DC7-41D5-8230-77138466B5A3}" destId="{DADCE503-205C-4C0C-B8F2-E0DCA7B685BC}" srcOrd="1" destOrd="0" presId="urn:microsoft.com/office/officeart/2008/layout/HorizontalMultiLevelHierarchy"/>
    <dgm:cxn modelId="{EBC1C6A8-D1AE-43BE-B1CD-131CD902C63C}" type="presOf" srcId="{802E62F7-DC1D-41ED-83B0-8B200C06FC29}" destId="{20D7F09E-C229-4A1F-8A53-C8A905B4F606}" srcOrd="0" destOrd="0" presId="urn:microsoft.com/office/officeart/2008/layout/HorizontalMultiLevelHierarchy"/>
    <dgm:cxn modelId="{58B06EA3-71F9-47DB-AC59-174FB59D44D5}" type="presOf" srcId="{B1D96B5B-4808-41A5-81A6-B25EF54AE57B}" destId="{468F214D-D01E-420E-8150-D23776889288}" srcOrd="1" destOrd="0" presId="urn:microsoft.com/office/officeart/2008/layout/HorizontalMultiLevelHierarchy"/>
    <dgm:cxn modelId="{6C10CACA-AC99-4A97-889C-722B50DAD516}" type="presOf" srcId="{A59E8421-0F47-40F6-B926-FA047E964FE1}" destId="{B10BF937-E972-47C0-A1FA-02B2A0018F41}" srcOrd="0" destOrd="0" presId="urn:microsoft.com/office/officeart/2008/layout/HorizontalMultiLevelHierarchy"/>
    <dgm:cxn modelId="{CEA138F5-874A-47FD-9593-4E2674DCA0EF}" type="presOf" srcId="{E74D5F00-8823-4EC4-A1F8-28492569523D}" destId="{0D70EF54-6B4B-4E3F-8410-26E63CE2C7AB}" srcOrd="0" destOrd="0" presId="urn:microsoft.com/office/officeart/2008/layout/HorizontalMultiLevelHierarchy"/>
    <dgm:cxn modelId="{A1D8896E-AB55-4F37-B1B8-3FC432AD68CF}" srcId="{FEA6C18F-2FD1-4E2B-9934-78A03850C5DB}" destId="{FAA5F5DB-8854-4DD3-8032-9FA3DE89FA5F}" srcOrd="0" destOrd="0" parTransId="{41705673-97CD-4B97-9B4A-26582D6B2856}" sibTransId="{FD91AF15-07DB-4DD0-8FF3-20814923B7F0}"/>
    <dgm:cxn modelId="{6D318DE3-5BB3-4B16-9F31-94D4659E55E8}" type="presOf" srcId="{4E6443A1-4B36-4EFD-B189-2CA8278D2C8B}" destId="{1BB8B0C5-849A-491A-B885-5EF844D08FF7}" srcOrd="0" destOrd="0" presId="urn:microsoft.com/office/officeart/2008/layout/HorizontalMultiLevelHierarchy"/>
    <dgm:cxn modelId="{E22F347B-21C0-4BE0-8822-BA4617F2EA97}" type="presOf" srcId="{01116C33-69A3-4A9A-B143-067AFCCA5657}" destId="{4FF7DA00-5C66-47F9-A52C-44424F2686FD}" srcOrd="0" destOrd="0" presId="urn:microsoft.com/office/officeart/2008/layout/HorizontalMultiLevelHierarchy"/>
    <dgm:cxn modelId="{CFAF7B85-6A8A-441F-846A-33BA21637EA4}" type="presOf" srcId="{B65653EC-B3E2-4904-8E54-77966F8A7E6A}" destId="{F9CB6C9E-A335-482F-997B-82095A69BF4B}" srcOrd="0" destOrd="0" presId="urn:microsoft.com/office/officeart/2008/layout/HorizontalMultiLevelHierarchy"/>
    <dgm:cxn modelId="{31FDA042-D3E9-4D80-B56A-BA1840151253}" type="presOf" srcId="{57866F99-7DFE-47EC-A87F-9E9D49BDC736}" destId="{DDC8B03E-FBE2-4788-9BF9-26627B287EB2}" srcOrd="0" destOrd="0" presId="urn:microsoft.com/office/officeart/2008/layout/HorizontalMultiLevelHierarchy"/>
    <dgm:cxn modelId="{E27137A7-E6A1-42BE-BBD0-285C8CFE4A60}" srcId="{57866F99-7DFE-47EC-A87F-9E9D49BDC736}" destId="{6D732548-8CF7-4E8B-AE8E-27CE3503BBAA}" srcOrd="0" destOrd="0" parTransId="{51205996-53D5-4DD5-9356-EECF09667EEF}" sibTransId="{1D19F972-325E-440C-8734-2DC8F9A79DAD}"/>
    <dgm:cxn modelId="{1F7D1489-2C6A-4DF5-A711-DDCD183112EF}" srcId="{FAA5F5DB-8854-4DD3-8032-9FA3DE89FA5F}" destId="{B1E62EB6-4C4D-4B7E-A678-65708E7A9ABB}" srcOrd="3" destOrd="0" parTransId="{C51010AF-1F50-4228-B92C-A0D5A5277FAF}" sibTransId="{887F84DB-8676-418C-B482-5E5C833F79BB}"/>
    <dgm:cxn modelId="{C1ABD4C7-9CA9-40A7-A167-768A36BEA5A0}" type="presOf" srcId="{360623F8-EEA1-432B-9DA4-95AABA4A8950}" destId="{42923F93-E30E-4116-B520-9FA4E29F6512}" srcOrd="1" destOrd="0" presId="urn:microsoft.com/office/officeart/2008/layout/HorizontalMultiLevelHierarchy"/>
    <dgm:cxn modelId="{E8E34D31-8527-48E3-A715-BEF74D55610F}" type="presOf" srcId="{1212D247-1EAF-4C83-9723-FA200BC76FEA}" destId="{80CDEF7B-A2AD-4039-9EB2-437416B1D468}" srcOrd="0" destOrd="0" presId="urn:microsoft.com/office/officeart/2008/layout/HorizontalMultiLevelHierarchy"/>
    <dgm:cxn modelId="{0C65B6DF-79C1-441B-9218-DF03F14618BE}" type="presOf" srcId="{0673FE3E-FC69-4750-9F8F-D3CD12ED5DA8}" destId="{0B04EC98-9270-40C3-8A2D-5165EAD5A433}" srcOrd="0" destOrd="0" presId="urn:microsoft.com/office/officeart/2008/layout/HorizontalMultiLevelHierarchy"/>
    <dgm:cxn modelId="{F3C2B9A0-5764-4BAC-A1AE-67FB00A5BA0C}" type="presOf" srcId="{6D732548-8CF7-4E8B-AE8E-27CE3503BBAA}" destId="{4F950265-EB66-4129-AF00-538A73D1495D}" srcOrd="0" destOrd="0" presId="urn:microsoft.com/office/officeart/2008/layout/HorizontalMultiLevelHierarchy"/>
    <dgm:cxn modelId="{49E0CF58-D83B-4922-AC7D-E7E88A16AA51}" srcId="{FAA5F5DB-8854-4DD3-8032-9FA3DE89FA5F}" destId="{C661611C-C6C0-4137-A9C0-E00AEFAE410C}" srcOrd="8" destOrd="0" parTransId="{DAE0CFB9-849C-4F2B-A003-0049404BA9F6}" sibTransId="{7F5D6C30-B890-4675-BC1C-786C0425B046}"/>
    <dgm:cxn modelId="{37015F8A-2791-49C1-9A0B-CAA64CA07350}" type="presOf" srcId="{956C74B2-4DC7-41D5-8230-77138466B5A3}" destId="{092DD9AF-0E48-4DBD-96AE-4B074D548A18}" srcOrd="0" destOrd="0" presId="urn:microsoft.com/office/officeart/2008/layout/HorizontalMultiLevelHierarchy"/>
    <dgm:cxn modelId="{60595CCB-F21A-47E8-8EF5-5ADC9B317439}" type="presOf" srcId="{C147D485-8124-4080-89E1-FD805F9D5AEF}" destId="{C56D541C-3B97-45FB-A341-8E6DCDE834D6}" srcOrd="0" destOrd="0" presId="urn:microsoft.com/office/officeart/2008/layout/HorizontalMultiLevelHierarchy"/>
    <dgm:cxn modelId="{C6C33090-207F-4353-8FDB-598F75E6D250}" type="presOf" srcId="{C661611C-C6C0-4137-A9C0-E00AEFAE410C}" destId="{E653BA53-9CC6-40A0-BB5E-C39C0115A8C8}" srcOrd="0" destOrd="0" presId="urn:microsoft.com/office/officeart/2008/layout/HorizontalMultiLevelHierarchy"/>
    <dgm:cxn modelId="{7E6CAF5C-C51C-4E9E-8AE4-ED6CD4207F8C}" type="presOf" srcId="{C51010AF-1F50-4228-B92C-A0D5A5277FAF}" destId="{E93A2392-0731-4AE0-AC40-35AB3DDA56AE}" srcOrd="0" destOrd="0" presId="urn:microsoft.com/office/officeart/2008/layout/HorizontalMultiLevelHierarchy"/>
    <dgm:cxn modelId="{BDC707E3-A9CF-4081-ACE6-63FD4D8C51AF}" type="presOf" srcId="{433DB2D0-FD6F-49A4-8E20-E34D48311484}" destId="{02F1D62F-45DD-4369-90A4-0DEA640AD261}" srcOrd="0" destOrd="0" presId="urn:microsoft.com/office/officeart/2008/layout/HorizontalMultiLevelHierarchy"/>
    <dgm:cxn modelId="{D51FF087-93BA-48B9-91E0-EF3374659597}" type="presOf" srcId="{E936C397-EFFF-436E-AEBB-D86090425BB1}" destId="{7FB0B8CF-D03A-48BB-9BF8-9780661A6722}" srcOrd="0" destOrd="0" presId="urn:microsoft.com/office/officeart/2008/layout/HorizontalMultiLevelHierarchy"/>
    <dgm:cxn modelId="{4FA650E3-6B73-4577-82E8-18668F41DCC5}" type="presOf" srcId="{B4B90E09-D130-49D0-8D92-D223B5B3BFAD}" destId="{5266896F-578F-41BB-88AF-4F8D59F782E7}" srcOrd="0" destOrd="0" presId="urn:microsoft.com/office/officeart/2008/layout/HorizontalMultiLevelHierarchy"/>
    <dgm:cxn modelId="{FE4E5F7D-E28F-4BC2-B501-8C0510723FB2}" type="presOf" srcId="{4ECD9F8C-E622-4758-8646-F580C7E5BA42}" destId="{B1C8104B-BF13-4EFF-9F01-0DD39A6C0CAF}" srcOrd="0" destOrd="0" presId="urn:microsoft.com/office/officeart/2008/layout/HorizontalMultiLevelHierarchy"/>
    <dgm:cxn modelId="{5CB90075-5EBE-4E8C-A9EE-F1F1705263AE}" type="presOf" srcId="{FEA6C18F-2FD1-4E2B-9934-78A03850C5DB}" destId="{71EA7977-0AC7-45CD-BE65-3458DB8B4712}" srcOrd="0" destOrd="0" presId="urn:microsoft.com/office/officeart/2008/layout/HorizontalMultiLevelHierarchy"/>
    <dgm:cxn modelId="{C518BD2D-070B-4300-ABD3-56543C100E94}" type="presParOf" srcId="{DDC8B03E-FBE2-4788-9BF9-26627B287EB2}" destId="{18EF3839-9DE5-4310-95D3-FE2977F3E065}" srcOrd="0" destOrd="0" presId="urn:microsoft.com/office/officeart/2008/layout/HorizontalMultiLevelHierarchy"/>
    <dgm:cxn modelId="{FFB742C9-86DD-4EA6-9431-6E9C9710A26A}" type="presParOf" srcId="{18EF3839-9DE5-4310-95D3-FE2977F3E065}" destId="{4F950265-EB66-4129-AF00-538A73D1495D}" srcOrd="0" destOrd="0" presId="urn:microsoft.com/office/officeart/2008/layout/HorizontalMultiLevelHierarchy"/>
    <dgm:cxn modelId="{2B602B79-476B-4169-A581-BD5950C5525C}" type="presParOf" srcId="{18EF3839-9DE5-4310-95D3-FE2977F3E065}" destId="{2B23AB5A-8BB7-476E-AE19-9B3167FEF624}" srcOrd="1" destOrd="0" presId="urn:microsoft.com/office/officeart/2008/layout/HorizontalMultiLevelHierarchy"/>
    <dgm:cxn modelId="{1E6178FD-A265-4B98-9CDB-E0460FE44F61}" type="presParOf" srcId="{2B23AB5A-8BB7-476E-AE19-9B3167FEF624}" destId="{68777D2D-B7C5-444A-AF5C-600B3D3C8D0C}" srcOrd="0" destOrd="0" presId="urn:microsoft.com/office/officeart/2008/layout/HorizontalMultiLevelHierarchy"/>
    <dgm:cxn modelId="{155ADA66-610D-43DB-8F08-1804A69C55E6}" type="presParOf" srcId="{68777D2D-B7C5-444A-AF5C-600B3D3C8D0C}" destId="{468F214D-D01E-420E-8150-D23776889288}" srcOrd="0" destOrd="0" presId="urn:microsoft.com/office/officeart/2008/layout/HorizontalMultiLevelHierarchy"/>
    <dgm:cxn modelId="{7D71CC7F-0136-405D-91E0-590E43EFD737}" type="presParOf" srcId="{2B23AB5A-8BB7-476E-AE19-9B3167FEF624}" destId="{CA5024D5-BD01-4089-818F-7B97258C2C30}" srcOrd="1" destOrd="0" presId="urn:microsoft.com/office/officeart/2008/layout/HorizontalMultiLevelHierarchy"/>
    <dgm:cxn modelId="{096AFA93-D119-4C90-B31A-835BAE7FC2BF}" type="presParOf" srcId="{CA5024D5-BD01-4089-818F-7B97258C2C30}" destId="{71EA7977-0AC7-45CD-BE65-3458DB8B4712}" srcOrd="0" destOrd="0" presId="urn:microsoft.com/office/officeart/2008/layout/HorizontalMultiLevelHierarchy"/>
    <dgm:cxn modelId="{3B8CD751-7B28-4C21-90BC-47113954901A}" type="presParOf" srcId="{CA5024D5-BD01-4089-818F-7B97258C2C30}" destId="{872A4FD4-AE65-4123-9BE7-68B5AB4A6A93}" srcOrd="1" destOrd="0" presId="urn:microsoft.com/office/officeart/2008/layout/HorizontalMultiLevelHierarchy"/>
    <dgm:cxn modelId="{8A3FE9C7-9086-4AD6-A935-921959D8A81A}" type="presParOf" srcId="{872A4FD4-AE65-4123-9BE7-68B5AB4A6A93}" destId="{BC0AAF94-FD12-4A85-8837-29FFBA79092D}" srcOrd="0" destOrd="0" presId="urn:microsoft.com/office/officeart/2008/layout/HorizontalMultiLevelHierarchy"/>
    <dgm:cxn modelId="{58703380-9771-414B-9F13-282D07A84CFC}" type="presParOf" srcId="{BC0AAF94-FD12-4A85-8837-29FFBA79092D}" destId="{57492C61-70E8-4EEA-A48E-5EF436BE0353}" srcOrd="0" destOrd="0" presId="urn:microsoft.com/office/officeart/2008/layout/HorizontalMultiLevelHierarchy"/>
    <dgm:cxn modelId="{9B63CB12-A519-467D-9650-8E6FE381693C}" type="presParOf" srcId="{872A4FD4-AE65-4123-9BE7-68B5AB4A6A93}" destId="{A46F3D69-D8F8-4115-8815-F1882002393F}" srcOrd="1" destOrd="0" presId="urn:microsoft.com/office/officeart/2008/layout/HorizontalMultiLevelHierarchy"/>
    <dgm:cxn modelId="{BC570258-79CD-497C-A7BF-D8C39740A7F7}" type="presParOf" srcId="{A46F3D69-D8F8-4115-8815-F1882002393F}" destId="{9ED0218C-8317-4BAD-BE14-172B5379F334}" srcOrd="0" destOrd="0" presId="urn:microsoft.com/office/officeart/2008/layout/HorizontalMultiLevelHierarchy"/>
    <dgm:cxn modelId="{5446008C-4381-4CE9-8328-933D359A187A}" type="presParOf" srcId="{A46F3D69-D8F8-4115-8815-F1882002393F}" destId="{FAA45DA5-BE67-4863-9214-49DBBBD01F01}" srcOrd="1" destOrd="0" presId="urn:microsoft.com/office/officeart/2008/layout/HorizontalMultiLevelHierarchy"/>
    <dgm:cxn modelId="{48AF66DA-2055-4F85-B3D3-1222D8A141F6}" type="presParOf" srcId="{FAA45DA5-BE67-4863-9214-49DBBBD01F01}" destId="{4FF7DA00-5C66-47F9-A52C-44424F2686FD}" srcOrd="0" destOrd="0" presId="urn:microsoft.com/office/officeart/2008/layout/HorizontalMultiLevelHierarchy"/>
    <dgm:cxn modelId="{60005B07-63DE-4A41-B711-321ADCD389E3}" type="presParOf" srcId="{4FF7DA00-5C66-47F9-A52C-44424F2686FD}" destId="{19C22B37-3DCD-4BB0-8819-1F8CFCC1642C}" srcOrd="0" destOrd="0" presId="urn:microsoft.com/office/officeart/2008/layout/HorizontalMultiLevelHierarchy"/>
    <dgm:cxn modelId="{886E91B9-B2FB-4E4D-B680-44AD568D9475}" type="presParOf" srcId="{FAA45DA5-BE67-4863-9214-49DBBBD01F01}" destId="{2371C1C5-C3A2-4A61-B308-62EFB496AA8B}" srcOrd="1" destOrd="0" presId="urn:microsoft.com/office/officeart/2008/layout/HorizontalMultiLevelHierarchy"/>
    <dgm:cxn modelId="{4CB04A78-6B26-47D1-B62F-E8DB4A7CE605}" type="presParOf" srcId="{2371C1C5-C3A2-4A61-B308-62EFB496AA8B}" destId="{1136DE16-822F-41A3-802D-02AA6DC3E78C}" srcOrd="0" destOrd="0" presId="urn:microsoft.com/office/officeart/2008/layout/HorizontalMultiLevelHierarchy"/>
    <dgm:cxn modelId="{B59E2157-C3F2-43C5-90C2-2F516759F7C4}" type="presParOf" srcId="{2371C1C5-C3A2-4A61-B308-62EFB496AA8B}" destId="{F803D164-DE3C-4444-9B12-FC662EDD639C}" srcOrd="1" destOrd="0" presId="urn:microsoft.com/office/officeart/2008/layout/HorizontalMultiLevelHierarchy"/>
    <dgm:cxn modelId="{F53FDA50-BC7D-4B0E-BCB3-A7E004458AC3}" type="presParOf" srcId="{FAA45DA5-BE67-4863-9214-49DBBBD01F01}" destId="{5266896F-578F-41BB-88AF-4F8D59F782E7}" srcOrd="2" destOrd="0" presId="urn:microsoft.com/office/officeart/2008/layout/HorizontalMultiLevelHierarchy"/>
    <dgm:cxn modelId="{3D54648C-BEFE-4126-B2F8-12660B3AAD82}" type="presParOf" srcId="{5266896F-578F-41BB-88AF-4F8D59F782E7}" destId="{34687D62-0E7B-421C-A14F-D971ACD6B138}" srcOrd="0" destOrd="0" presId="urn:microsoft.com/office/officeart/2008/layout/HorizontalMultiLevelHierarchy"/>
    <dgm:cxn modelId="{A9FA31FE-20A6-4739-83BB-66249186D0AA}" type="presParOf" srcId="{FAA45DA5-BE67-4863-9214-49DBBBD01F01}" destId="{C5CDD94C-4E02-4EF4-ABD2-0597360224A2}" srcOrd="3" destOrd="0" presId="urn:microsoft.com/office/officeart/2008/layout/HorizontalMultiLevelHierarchy"/>
    <dgm:cxn modelId="{08F19DAC-D865-4372-A1EE-FB932587082A}" type="presParOf" srcId="{C5CDD94C-4E02-4EF4-ABD2-0597360224A2}" destId="{CD1A2BA5-FC3E-4B42-B85F-1CF6945511DE}" srcOrd="0" destOrd="0" presId="urn:microsoft.com/office/officeart/2008/layout/HorizontalMultiLevelHierarchy"/>
    <dgm:cxn modelId="{B393A14F-32EE-4F04-AA4C-DF781D2F7AE3}" type="presParOf" srcId="{C5CDD94C-4E02-4EF4-ABD2-0597360224A2}" destId="{895BFB9A-9106-41FE-B814-69B1036398C0}" srcOrd="1" destOrd="0" presId="urn:microsoft.com/office/officeart/2008/layout/HorizontalMultiLevelHierarchy"/>
    <dgm:cxn modelId="{E76CD9BB-B7B0-4B6B-96E3-F64325E0B38F}" type="presParOf" srcId="{FAA45DA5-BE67-4863-9214-49DBBBD01F01}" destId="{666EA5B0-9845-4E8F-B56A-257E63D77A9F}" srcOrd="4" destOrd="0" presId="urn:microsoft.com/office/officeart/2008/layout/HorizontalMultiLevelHierarchy"/>
    <dgm:cxn modelId="{6562010A-A1EB-40FA-90B5-2A1E0D4FF214}" type="presParOf" srcId="{666EA5B0-9845-4E8F-B56A-257E63D77A9F}" destId="{42923F93-E30E-4116-B520-9FA4E29F6512}" srcOrd="0" destOrd="0" presId="urn:microsoft.com/office/officeart/2008/layout/HorizontalMultiLevelHierarchy"/>
    <dgm:cxn modelId="{E9B0441B-FED5-4E9C-BCB6-25789B94CE8F}" type="presParOf" srcId="{FAA45DA5-BE67-4863-9214-49DBBBD01F01}" destId="{F8A87FFB-7C86-4ABE-8B97-36F934C89AE0}" srcOrd="5" destOrd="0" presId="urn:microsoft.com/office/officeart/2008/layout/HorizontalMultiLevelHierarchy"/>
    <dgm:cxn modelId="{A7128E31-62C2-4921-9D1A-77180CD87697}" type="presParOf" srcId="{F8A87FFB-7C86-4ABE-8B97-36F934C89AE0}" destId="{C79D9C9E-0ED5-455E-9DBD-896C47340616}" srcOrd="0" destOrd="0" presId="urn:microsoft.com/office/officeart/2008/layout/HorizontalMultiLevelHierarchy"/>
    <dgm:cxn modelId="{64ACA5E4-1C1F-483E-9575-6CE567B82FCA}" type="presParOf" srcId="{F8A87FFB-7C86-4ABE-8B97-36F934C89AE0}" destId="{26A2AE3A-F936-40CD-8CC5-092BE4005C60}" srcOrd="1" destOrd="0" presId="urn:microsoft.com/office/officeart/2008/layout/HorizontalMultiLevelHierarchy"/>
    <dgm:cxn modelId="{A098B7BC-F429-4D82-BE39-7E30A0C89C60}" type="presParOf" srcId="{FAA45DA5-BE67-4863-9214-49DBBBD01F01}" destId="{E93A2392-0731-4AE0-AC40-35AB3DDA56AE}" srcOrd="6" destOrd="0" presId="urn:microsoft.com/office/officeart/2008/layout/HorizontalMultiLevelHierarchy"/>
    <dgm:cxn modelId="{189334C3-65BC-4EBF-AC5F-8128AC8FDCF5}" type="presParOf" srcId="{E93A2392-0731-4AE0-AC40-35AB3DDA56AE}" destId="{A969FFC5-457B-4B51-9AAD-0E9B92F4C9F6}" srcOrd="0" destOrd="0" presId="urn:microsoft.com/office/officeart/2008/layout/HorizontalMultiLevelHierarchy"/>
    <dgm:cxn modelId="{A89042CD-ED09-4E01-BA9F-16676A4C3DD9}" type="presParOf" srcId="{FAA45DA5-BE67-4863-9214-49DBBBD01F01}" destId="{911991F2-09BE-48B3-8F79-9F0AE53D5B71}" srcOrd="7" destOrd="0" presId="urn:microsoft.com/office/officeart/2008/layout/HorizontalMultiLevelHierarchy"/>
    <dgm:cxn modelId="{541839DA-C7F0-4C1C-B2A8-A42CA12E12FC}" type="presParOf" srcId="{911991F2-09BE-48B3-8F79-9F0AE53D5B71}" destId="{AFDF2FC4-781C-4C85-8426-5A1FCA1AA475}" srcOrd="0" destOrd="0" presId="urn:microsoft.com/office/officeart/2008/layout/HorizontalMultiLevelHierarchy"/>
    <dgm:cxn modelId="{769F99D1-4EA6-4B7A-89AB-DB5E3658361E}" type="presParOf" srcId="{911991F2-09BE-48B3-8F79-9F0AE53D5B71}" destId="{25D5DB36-E243-4069-B4D3-38E8A11AADDE}" srcOrd="1" destOrd="0" presId="urn:microsoft.com/office/officeart/2008/layout/HorizontalMultiLevelHierarchy"/>
    <dgm:cxn modelId="{46842578-C421-4F4D-930D-266272EBD434}" type="presParOf" srcId="{FAA45DA5-BE67-4863-9214-49DBBBD01F01}" destId="{C56D541C-3B97-45FB-A341-8E6DCDE834D6}" srcOrd="8" destOrd="0" presId="urn:microsoft.com/office/officeart/2008/layout/HorizontalMultiLevelHierarchy"/>
    <dgm:cxn modelId="{97DD8DEE-7019-441E-AA68-4CF0EA800F6A}" type="presParOf" srcId="{C56D541C-3B97-45FB-A341-8E6DCDE834D6}" destId="{A897BED2-163B-4121-A346-08D9AA32319E}" srcOrd="0" destOrd="0" presId="urn:microsoft.com/office/officeart/2008/layout/HorizontalMultiLevelHierarchy"/>
    <dgm:cxn modelId="{EE319DFD-4CCB-405E-93F4-5EDE398687EF}" type="presParOf" srcId="{FAA45DA5-BE67-4863-9214-49DBBBD01F01}" destId="{AEAF3B85-7A4E-410A-B236-82739757E143}" srcOrd="9" destOrd="0" presId="urn:microsoft.com/office/officeart/2008/layout/HorizontalMultiLevelHierarchy"/>
    <dgm:cxn modelId="{EC27C722-3861-445C-9281-DC79AF7C72FC}" type="presParOf" srcId="{AEAF3B85-7A4E-410A-B236-82739757E143}" destId="{0B04EC98-9270-40C3-8A2D-5165EAD5A433}" srcOrd="0" destOrd="0" presId="urn:microsoft.com/office/officeart/2008/layout/HorizontalMultiLevelHierarchy"/>
    <dgm:cxn modelId="{EA47EB9B-0B9B-48D9-B65F-5C0932F62D3E}" type="presParOf" srcId="{AEAF3B85-7A4E-410A-B236-82739757E143}" destId="{760D3FAF-17C6-410A-B109-C6AA12582248}" srcOrd="1" destOrd="0" presId="urn:microsoft.com/office/officeart/2008/layout/HorizontalMultiLevelHierarchy"/>
    <dgm:cxn modelId="{B79B00B6-0798-4F4D-AC61-36F819894070}" type="presParOf" srcId="{FAA45DA5-BE67-4863-9214-49DBBBD01F01}" destId="{20D7F09E-C229-4A1F-8A53-C8A905B4F606}" srcOrd="10" destOrd="0" presId="urn:microsoft.com/office/officeart/2008/layout/HorizontalMultiLevelHierarchy"/>
    <dgm:cxn modelId="{48D6490B-EDB9-4C10-B513-FD185FFB4FC4}" type="presParOf" srcId="{20D7F09E-C229-4A1F-8A53-C8A905B4F606}" destId="{DEF68629-20C8-4B3F-8279-029556FCD32C}" srcOrd="0" destOrd="0" presId="urn:microsoft.com/office/officeart/2008/layout/HorizontalMultiLevelHierarchy"/>
    <dgm:cxn modelId="{F427E067-3298-4723-B2DE-53B4326A7E88}" type="presParOf" srcId="{FAA45DA5-BE67-4863-9214-49DBBBD01F01}" destId="{5B4A6582-0D06-4FAB-AA2F-E9F12DE62F4A}" srcOrd="11" destOrd="0" presId="urn:microsoft.com/office/officeart/2008/layout/HorizontalMultiLevelHierarchy"/>
    <dgm:cxn modelId="{C9449B04-5CEF-40C8-ACAF-9DEC3EE31DA6}" type="presParOf" srcId="{5B4A6582-0D06-4FAB-AA2F-E9F12DE62F4A}" destId="{B10BF937-E972-47C0-A1FA-02B2A0018F41}" srcOrd="0" destOrd="0" presId="urn:microsoft.com/office/officeart/2008/layout/HorizontalMultiLevelHierarchy"/>
    <dgm:cxn modelId="{CF0E5998-BCC7-426B-89A1-669F4B44237D}" type="presParOf" srcId="{5B4A6582-0D06-4FAB-AA2F-E9F12DE62F4A}" destId="{4012F646-392E-40A3-ABFC-7A1FB2116A52}" srcOrd="1" destOrd="0" presId="urn:microsoft.com/office/officeart/2008/layout/HorizontalMultiLevelHierarchy"/>
    <dgm:cxn modelId="{A0B5EAE0-4991-4F3E-9C67-4F1B2F0DA587}" type="presParOf" srcId="{FAA45DA5-BE67-4863-9214-49DBBBD01F01}" destId="{80CDEF7B-A2AD-4039-9EB2-437416B1D468}" srcOrd="12" destOrd="0" presId="urn:microsoft.com/office/officeart/2008/layout/HorizontalMultiLevelHierarchy"/>
    <dgm:cxn modelId="{56BD73D7-4BE5-4F01-8560-41B9F83A89F8}" type="presParOf" srcId="{80CDEF7B-A2AD-4039-9EB2-437416B1D468}" destId="{8C795BEC-F516-4FAE-8681-C8B005A07217}" srcOrd="0" destOrd="0" presId="urn:microsoft.com/office/officeart/2008/layout/HorizontalMultiLevelHierarchy"/>
    <dgm:cxn modelId="{14E7AC88-3508-4E0D-9E16-C002129F2E4A}" type="presParOf" srcId="{FAA45DA5-BE67-4863-9214-49DBBBD01F01}" destId="{FD3301FE-64D3-4E02-AAAA-B7E19637E43E}" srcOrd="13" destOrd="0" presId="urn:microsoft.com/office/officeart/2008/layout/HorizontalMultiLevelHierarchy"/>
    <dgm:cxn modelId="{B4E00438-6400-4BBC-AB45-34FB3739A22E}" type="presParOf" srcId="{FD3301FE-64D3-4E02-AAAA-B7E19637E43E}" destId="{D1909069-142C-4A27-A6C1-06724EACA112}" srcOrd="0" destOrd="0" presId="urn:microsoft.com/office/officeart/2008/layout/HorizontalMultiLevelHierarchy"/>
    <dgm:cxn modelId="{65E19FBE-641A-4063-885A-EC20B56E8099}" type="presParOf" srcId="{FD3301FE-64D3-4E02-AAAA-B7E19637E43E}" destId="{98D6B021-CFDC-4EDE-B88A-F741E1068DC2}" srcOrd="1" destOrd="0" presId="urn:microsoft.com/office/officeart/2008/layout/HorizontalMultiLevelHierarchy"/>
    <dgm:cxn modelId="{C2055370-A9EF-4210-B831-346173641A35}" type="presParOf" srcId="{FAA45DA5-BE67-4863-9214-49DBBBD01F01}" destId="{B1C8104B-BF13-4EFF-9F01-0DD39A6C0CAF}" srcOrd="14" destOrd="0" presId="urn:microsoft.com/office/officeart/2008/layout/HorizontalMultiLevelHierarchy"/>
    <dgm:cxn modelId="{76353B6B-F082-472A-A402-DC7E31D0FFB7}" type="presParOf" srcId="{B1C8104B-BF13-4EFF-9F01-0DD39A6C0CAF}" destId="{B55EFC92-B2DF-420A-B600-DAD2E3107CBB}" srcOrd="0" destOrd="0" presId="urn:microsoft.com/office/officeart/2008/layout/HorizontalMultiLevelHierarchy"/>
    <dgm:cxn modelId="{FA375EA8-7635-4563-8F8A-665FF9F1B2A5}" type="presParOf" srcId="{FAA45DA5-BE67-4863-9214-49DBBBD01F01}" destId="{D1BFA344-89BE-4348-B52D-D6DFDCF27A95}" srcOrd="15" destOrd="0" presId="urn:microsoft.com/office/officeart/2008/layout/HorizontalMultiLevelHierarchy"/>
    <dgm:cxn modelId="{B79173B5-EB48-4EBB-9B9B-F3F9A52C8820}" type="presParOf" srcId="{D1BFA344-89BE-4348-B52D-D6DFDCF27A95}" destId="{02F1D62F-45DD-4369-90A4-0DEA640AD261}" srcOrd="0" destOrd="0" presId="urn:microsoft.com/office/officeart/2008/layout/HorizontalMultiLevelHierarchy"/>
    <dgm:cxn modelId="{AA09E978-8DD7-412B-B6FF-7D19A65A6BE0}" type="presParOf" srcId="{D1BFA344-89BE-4348-B52D-D6DFDCF27A95}" destId="{7854B54B-FFA8-43CD-A108-1CD231ABB685}" srcOrd="1" destOrd="0" presId="urn:microsoft.com/office/officeart/2008/layout/HorizontalMultiLevelHierarchy"/>
    <dgm:cxn modelId="{4691F6E0-FA02-47C5-BE9E-C835AD34DA9C}" type="presParOf" srcId="{FAA45DA5-BE67-4863-9214-49DBBBD01F01}" destId="{B44ADADB-D6DD-4E88-A170-3A7B82F0B635}" srcOrd="16" destOrd="0" presId="urn:microsoft.com/office/officeart/2008/layout/HorizontalMultiLevelHierarchy"/>
    <dgm:cxn modelId="{75E80DA4-0448-43D1-B423-0E4C70A55324}" type="presParOf" srcId="{B44ADADB-D6DD-4E88-A170-3A7B82F0B635}" destId="{47B06759-1B3E-4966-A8A8-5342155C536B}" srcOrd="0" destOrd="0" presId="urn:microsoft.com/office/officeart/2008/layout/HorizontalMultiLevelHierarchy"/>
    <dgm:cxn modelId="{D96449D0-CC6A-42EC-B217-C6096C9BCA5B}" type="presParOf" srcId="{FAA45DA5-BE67-4863-9214-49DBBBD01F01}" destId="{7422AB60-9CFE-4558-8FDD-03D4999EC9B1}" srcOrd="17" destOrd="0" presId="urn:microsoft.com/office/officeart/2008/layout/HorizontalMultiLevelHierarchy"/>
    <dgm:cxn modelId="{01A5F132-92DE-42B0-AD91-115E7515BD61}" type="presParOf" srcId="{7422AB60-9CFE-4558-8FDD-03D4999EC9B1}" destId="{E653BA53-9CC6-40A0-BB5E-C39C0115A8C8}" srcOrd="0" destOrd="0" presId="urn:microsoft.com/office/officeart/2008/layout/HorizontalMultiLevelHierarchy"/>
    <dgm:cxn modelId="{C5B284DA-3648-4B51-AE55-C302D0EB12B3}" type="presParOf" srcId="{7422AB60-9CFE-4558-8FDD-03D4999EC9B1}" destId="{E3FC52E5-532D-4FAC-BC92-E8AA1ADF83E1}" srcOrd="1" destOrd="0" presId="urn:microsoft.com/office/officeart/2008/layout/HorizontalMultiLevelHierarchy"/>
    <dgm:cxn modelId="{46B05F9B-8FB4-48CD-B36D-AF12E6B8D7E6}" type="presParOf" srcId="{E3FC52E5-532D-4FAC-BC92-E8AA1ADF83E1}" destId="{092DD9AF-0E48-4DBD-96AE-4B074D548A18}" srcOrd="0" destOrd="0" presId="urn:microsoft.com/office/officeart/2008/layout/HorizontalMultiLevelHierarchy"/>
    <dgm:cxn modelId="{27B70E87-F929-441D-8AC5-954638C6EFAB}" type="presParOf" srcId="{092DD9AF-0E48-4DBD-96AE-4B074D548A18}" destId="{DADCE503-205C-4C0C-B8F2-E0DCA7B685BC}" srcOrd="0" destOrd="0" presId="urn:microsoft.com/office/officeart/2008/layout/HorizontalMultiLevelHierarchy"/>
    <dgm:cxn modelId="{B13504F5-EC37-40E2-8E96-D039CEE6C7EF}" type="presParOf" srcId="{E3FC52E5-532D-4FAC-BC92-E8AA1ADF83E1}" destId="{A331F906-DC94-4E9A-BD40-193E55738771}" srcOrd="1" destOrd="0" presId="urn:microsoft.com/office/officeart/2008/layout/HorizontalMultiLevelHierarchy"/>
    <dgm:cxn modelId="{987F8688-9A32-42CA-8337-8FF20A26F636}" type="presParOf" srcId="{A331F906-DC94-4E9A-BD40-193E55738771}" destId="{0D70EF54-6B4B-4E3F-8410-26E63CE2C7AB}" srcOrd="0" destOrd="0" presId="urn:microsoft.com/office/officeart/2008/layout/HorizontalMultiLevelHierarchy"/>
    <dgm:cxn modelId="{CB2752DA-F629-4545-BA0F-6C5EB0DFDACE}" type="presParOf" srcId="{A331F906-DC94-4E9A-BD40-193E55738771}" destId="{8A2582FF-6CA5-4884-846E-EAC1FC881F8C}" srcOrd="1" destOrd="0" presId="urn:microsoft.com/office/officeart/2008/layout/HorizontalMultiLevelHierarchy"/>
    <dgm:cxn modelId="{0AA06D8A-10B5-4706-810E-A1D241C06878}" type="presParOf" srcId="{E3FC52E5-532D-4FAC-BC92-E8AA1ADF83E1}" destId="{7FB0B8CF-D03A-48BB-9BF8-9780661A6722}" srcOrd="2" destOrd="0" presId="urn:microsoft.com/office/officeart/2008/layout/HorizontalMultiLevelHierarchy"/>
    <dgm:cxn modelId="{7977B75B-FEE2-4A3B-B7C5-F58504C23C98}" type="presParOf" srcId="{7FB0B8CF-D03A-48BB-9BF8-9780661A6722}" destId="{F74C4848-B9D2-4937-9769-E26A3F17A7B6}" srcOrd="0" destOrd="0" presId="urn:microsoft.com/office/officeart/2008/layout/HorizontalMultiLevelHierarchy"/>
    <dgm:cxn modelId="{14744D7A-444B-4F66-857F-B5169577CF89}" type="presParOf" srcId="{E3FC52E5-532D-4FAC-BC92-E8AA1ADF83E1}" destId="{4C1E4F5E-AC88-47ED-B1BF-D1048AA420B5}" srcOrd="3" destOrd="0" presId="urn:microsoft.com/office/officeart/2008/layout/HorizontalMultiLevelHierarchy"/>
    <dgm:cxn modelId="{1553DBBF-1C74-4794-A78F-8C75698F611A}" type="presParOf" srcId="{4C1E4F5E-AC88-47ED-B1BF-D1048AA420B5}" destId="{1BB8B0C5-849A-491A-B885-5EF844D08FF7}" srcOrd="0" destOrd="0" presId="urn:microsoft.com/office/officeart/2008/layout/HorizontalMultiLevelHierarchy"/>
    <dgm:cxn modelId="{616A5D4D-0A5A-46AF-BB9A-79ED96E541A6}" type="presParOf" srcId="{4C1E4F5E-AC88-47ED-B1BF-D1048AA420B5}" destId="{96EFC48B-F41F-4060-B7E9-4CD0A5BF338B}" srcOrd="1" destOrd="0" presId="urn:microsoft.com/office/officeart/2008/layout/HorizontalMultiLevelHierarchy"/>
    <dgm:cxn modelId="{2B0FDADF-9A68-41E3-8306-9759B6378970}" type="presParOf" srcId="{E3FC52E5-532D-4FAC-BC92-E8AA1ADF83E1}" destId="{8566DEF1-7F1E-43CF-8C8E-93439AC17295}" srcOrd="4" destOrd="0" presId="urn:microsoft.com/office/officeart/2008/layout/HorizontalMultiLevelHierarchy"/>
    <dgm:cxn modelId="{1B15EB70-FB6D-41A6-BFC3-832EB8800D4E}" type="presParOf" srcId="{8566DEF1-7F1E-43CF-8C8E-93439AC17295}" destId="{A6CB7DA1-CC18-42C5-BC7D-6635CCCA2973}" srcOrd="0" destOrd="0" presId="urn:microsoft.com/office/officeart/2008/layout/HorizontalMultiLevelHierarchy"/>
    <dgm:cxn modelId="{7835DDA4-AA63-4006-A568-47217C5A75CE}" type="presParOf" srcId="{E3FC52E5-532D-4FAC-BC92-E8AA1ADF83E1}" destId="{C67911A3-B021-40AD-A49E-F0B3EDD851EB}" srcOrd="5" destOrd="0" presId="urn:microsoft.com/office/officeart/2008/layout/HorizontalMultiLevelHierarchy"/>
    <dgm:cxn modelId="{3587C061-F9C2-4946-85E7-E4F9128BD4D3}" type="presParOf" srcId="{C67911A3-B021-40AD-A49E-F0B3EDD851EB}" destId="{F9CB6C9E-A335-482F-997B-82095A69BF4B}" srcOrd="0" destOrd="0" presId="urn:microsoft.com/office/officeart/2008/layout/HorizontalMultiLevelHierarchy"/>
    <dgm:cxn modelId="{D60DA190-C45F-4CBF-B07F-F2676C55ED42}" type="presParOf" srcId="{C67911A3-B021-40AD-A49E-F0B3EDD851EB}" destId="{082CC935-0B27-42F0-9D68-F0896B5EC0CF}"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87665-B5E2-4574-9C74-4BCFC62B5757}">
      <dsp:nvSpPr>
        <dsp:cNvPr id="0" name=""/>
        <dsp:cNvSpPr/>
      </dsp:nvSpPr>
      <dsp:spPr>
        <a:xfrm>
          <a:off x="3791328" y="2457039"/>
          <a:ext cx="249000" cy="711700"/>
        </a:xfrm>
        <a:custGeom>
          <a:avLst/>
          <a:gdLst/>
          <a:ahLst/>
          <a:cxnLst/>
          <a:rect l="0" t="0" r="0" b="0"/>
          <a:pathLst>
            <a:path>
              <a:moveTo>
                <a:pt x="0" y="0"/>
              </a:moveTo>
              <a:lnTo>
                <a:pt x="124500" y="0"/>
              </a:lnTo>
              <a:lnTo>
                <a:pt x="124500" y="711700"/>
              </a:lnTo>
              <a:lnTo>
                <a:pt x="249000" y="71170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96978" y="2794040"/>
        <a:ext cx="37700" cy="37700"/>
      </dsp:txXfrm>
    </dsp:sp>
    <dsp:sp modelId="{F36BB9F4-A69D-4CAF-81BA-32BF7FD83953}">
      <dsp:nvSpPr>
        <dsp:cNvPr id="0" name=""/>
        <dsp:cNvSpPr/>
      </dsp:nvSpPr>
      <dsp:spPr>
        <a:xfrm>
          <a:off x="3791328" y="2457039"/>
          <a:ext cx="249000" cy="237233"/>
        </a:xfrm>
        <a:custGeom>
          <a:avLst/>
          <a:gdLst/>
          <a:ahLst/>
          <a:cxnLst/>
          <a:rect l="0" t="0" r="0" b="0"/>
          <a:pathLst>
            <a:path>
              <a:moveTo>
                <a:pt x="0" y="0"/>
              </a:moveTo>
              <a:lnTo>
                <a:pt x="124500" y="0"/>
              </a:lnTo>
              <a:lnTo>
                <a:pt x="124500" y="237233"/>
              </a:lnTo>
              <a:lnTo>
                <a:pt x="249000" y="2372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907230" y="2567058"/>
        <a:ext cx="17195" cy="17195"/>
      </dsp:txXfrm>
    </dsp:sp>
    <dsp:sp modelId="{23207769-73F2-49B4-B76F-8D681484E869}">
      <dsp:nvSpPr>
        <dsp:cNvPr id="0" name=""/>
        <dsp:cNvSpPr/>
      </dsp:nvSpPr>
      <dsp:spPr>
        <a:xfrm>
          <a:off x="3791328" y="2219806"/>
          <a:ext cx="249000" cy="237233"/>
        </a:xfrm>
        <a:custGeom>
          <a:avLst/>
          <a:gdLst/>
          <a:ahLst/>
          <a:cxnLst/>
          <a:rect l="0" t="0" r="0" b="0"/>
          <a:pathLst>
            <a:path>
              <a:moveTo>
                <a:pt x="0" y="237233"/>
              </a:moveTo>
              <a:lnTo>
                <a:pt x="124500" y="237233"/>
              </a:lnTo>
              <a:lnTo>
                <a:pt x="124500" y="0"/>
              </a:lnTo>
              <a:lnTo>
                <a:pt x="24900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907230" y="2329825"/>
        <a:ext cx="17195" cy="17195"/>
      </dsp:txXfrm>
    </dsp:sp>
    <dsp:sp modelId="{11114B88-95EA-478C-BCD0-6255928B49C0}">
      <dsp:nvSpPr>
        <dsp:cNvPr id="0" name=""/>
        <dsp:cNvSpPr/>
      </dsp:nvSpPr>
      <dsp:spPr>
        <a:xfrm>
          <a:off x="3791328" y="1745339"/>
          <a:ext cx="249000" cy="711700"/>
        </a:xfrm>
        <a:custGeom>
          <a:avLst/>
          <a:gdLst/>
          <a:ahLst/>
          <a:cxnLst/>
          <a:rect l="0" t="0" r="0" b="0"/>
          <a:pathLst>
            <a:path>
              <a:moveTo>
                <a:pt x="0" y="711700"/>
              </a:moveTo>
              <a:lnTo>
                <a:pt x="124500" y="711700"/>
              </a:lnTo>
              <a:lnTo>
                <a:pt x="124500" y="0"/>
              </a:lnTo>
              <a:lnTo>
                <a:pt x="249000"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896978" y="2082339"/>
        <a:ext cx="37700" cy="37700"/>
      </dsp:txXfrm>
    </dsp:sp>
    <dsp:sp modelId="{742AAFC4-6D6B-4D34-97B1-CE8939964D68}">
      <dsp:nvSpPr>
        <dsp:cNvPr id="0" name=""/>
        <dsp:cNvSpPr/>
      </dsp:nvSpPr>
      <dsp:spPr>
        <a:xfrm>
          <a:off x="2103604" y="1345655"/>
          <a:ext cx="249000" cy="1111383"/>
        </a:xfrm>
        <a:custGeom>
          <a:avLst/>
          <a:gdLst/>
          <a:ahLst/>
          <a:cxnLst/>
          <a:rect l="0" t="0" r="0" b="0"/>
          <a:pathLst>
            <a:path>
              <a:moveTo>
                <a:pt x="0" y="0"/>
              </a:moveTo>
              <a:lnTo>
                <a:pt x="124500" y="0"/>
              </a:lnTo>
              <a:lnTo>
                <a:pt x="124500" y="1111383"/>
              </a:lnTo>
              <a:lnTo>
                <a:pt x="249000" y="11113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99630" y="1872874"/>
        <a:ext cx="56946" cy="56946"/>
      </dsp:txXfrm>
    </dsp:sp>
    <dsp:sp modelId="{16E1CE2F-8DF3-4ACC-AA61-FBEEA7FE1903}">
      <dsp:nvSpPr>
        <dsp:cNvPr id="0" name=""/>
        <dsp:cNvSpPr/>
      </dsp:nvSpPr>
      <dsp:spPr>
        <a:xfrm>
          <a:off x="2103604" y="1345655"/>
          <a:ext cx="249000" cy="555691"/>
        </a:xfrm>
        <a:custGeom>
          <a:avLst/>
          <a:gdLst/>
          <a:ahLst/>
          <a:cxnLst/>
          <a:rect l="0" t="0" r="0" b="0"/>
          <a:pathLst>
            <a:path>
              <a:moveTo>
                <a:pt x="0" y="0"/>
              </a:moveTo>
              <a:lnTo>
                <a:pt x="124500" y="0"/>
              </a:lnTo>
              <a:lnTo>
                <a:pt x="124500" y="555691"/>
              </a:lnTo>
              <a:lnTo>
                <a:pt x="249000" y="5556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12881" y="1608278"/>
        <a:ext cx="30446" cy="30446"/>
      </dsp:txXfrm>
    </dsp:sp>
    <dsp:sp modelId="{4D4F90E4-AB9F-4EB6-A677-EA9BFDE529BE}">
      <dsp:nvSpPr>
        <dsp:cNvPr id="0" name=""/>
        <dsp:cNvSpPr/>
      </dsp:nvSpPr>
      <dsp:spPr>
        <a:xfrm>
          <a:off x="2103604" y="1299935"/>
          <a:ext cx="249000" cy="91440"/>
        </a:xfrm>
        <a:custGeom>
          <a:avLst/>
          <a:gdLst/>
          <a:ahLst/>
          <a:cxnLst/>
          <a:rect l="0" t="0" r="0" b="0"/>
          <a:pathLst>
            <a:path>
              <a:moveTo>
                <a:pt x="0" y="45720"/>
              </a:moveTo>
              <a:lnTo>
                <a:pt x="249000" y="457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21879" y="1339430"/>
        <a:ext cx="12450" cy="12450"/>
      </dsp:txXfrm>
    </dsp:sp>
    <dsp:sp modelId="{9376092E-49D7-42BA-B2CC-6A2F1814493C}">
      <dsp:nvSpPr>
        <dsp:cNvPr id="0" name=""/>
        <dsp:cNvSpPr/>
      </dsp:nvSpPr>
      <dsp:spPr>
        <a:xfrm>
          <a:off x="2103604" y="789964"/>
          <a:ext cx="249000" cy="555691"/>
        </a:xfrm>
        <a:custGeom>
          <a:avLst/>
          <a:gdLst/>
          <a:ahLst/>
          <a:cxnLst/>
          <a:rect l="0" t="0" r="0" b="0"/>
          <a:pathLst>
            <a:path>
              <a:moveTo>
                <a:pt x="0" y="555691"/>
              </a:moveTo>
              <a:lnTo>
                <a:pt x="124500" y="555691"/>
              </a:lnTo>
              <a:lnTo>
                <a:pt x="124500" y="0"/>
              </a:lnTo>
              <a:lnTo>
                <a:pt x="249000"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212881" y="1052586"/>
        <a:ext cx="30446" cy="30446"/>
      </dsp:txXfrm>
    </dsp:sp>
    <dsp:sp modelId="{CFF2F03C-C5B9-4CAE-AB26-8B64FA3A681A}">
      <dsp:nvSpPr>
        <dsp:cNvPr id="0" name=""/>
        <dsp:cNvSpPr/>
      </dsp:nvSpPr>
      <dsp:spPr>
        <a:xfrm>
          <a:off x="2103604" y="234272"/>
          <a:ext cx="249000" cy="1111383"/>
        </a:xfrm>
        <a:custGeom>
          <a:avLst/>
          <a:gdLst/>
          <a:ahLst/>
          <a:cxnLst/>
          <a:rect l="0" t="0" r="0" b="0"/>
          <a:pathLst>
            <a:path>
              <a:moveTo>
                <a:pt x="0" y="1111383"/>
              </a:moveTo>
              <a:lnTo>
                <a:pt x="124500" y="1111383"/>
              </a:lnTo>
              <a:lnTo>
                <a:pt x="124500" y="0"/>
              </a:lnTo>
              <a:lnTo>
                <a:pt x="249000"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199630" y="761490"/>
        <a:ext cx="56946" cy="56946"/>
      </dsp:txXfrm>
    </dsp:sp>
    <dsp:sp modelId="{EC71CE18-5D54-425B-B2E4-0975556C5D3B}">
      <dsp:nvSpPr>
        <dsp:cNvPr id="0" name=""/>
        <dsp:cNvSpPr/>
      </dsp:nvSpPr>
      <dsp:spPr>
        <a:xfrm>
          <a:off x="580643" y="1299935"/>
          <a:ext cx="249000" cy="91440"/>
        </a:xfrm>
        <a:custGeom>
          <a:avLst/>
          <a:gdLst/>
          <a:ahLst/>
          <a:cxnLst/>
          <a:rect l="0" t="0" r="0" b="0"/>
          <a:pathLst>
            <a:path>
              <a:moveTo>
                <a:pt x="0" y="45720"/>
              </a:moveTo>
              <a:lnTo>
                <a:pt x="249000" y="4572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698918" y="1339430"/>
        <a:ext cx="12450" cy="12450"/>
      </dsp:txXfrm>
    </dsp:sp>
    <dsp:sp modelId="{7A93B023-22D5-48A4-9A5A-B31BA3B69F8D}">
      <dsp:nvSpPr>
        <dsp:cNvPr id="0" name=""/>
        <dsp:cNvSpPr/>
      </dsp:nvSpPr>
      <dsp:spPr>
        <a:xfrm rot="16200000">
          <a:off x="-608020" y="1155869"/>
          <a:ext cx="1997755" cy="3795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Ministère de la guerre</a:t>
          </a:r>
        </a:p>
        <a:p>
          <a:pPr lvl="0" algn="ctr" defTabSz="400050">
            <a:lnSpc>
              <a:spcPct val="90000"/>
            </a:lnSpc>
            <a:spcBef>
              <a:spcPct val="0"/>
            </a:spcBef>
            <a:spcAft>
              <a:spcPct val="35000"/>
            </a:spcAft>
          </a:pPr>
          <a:r>
            <a:rPr lang="en-GB" sz="800" kern="1200"/>
            <a:t>War Minister</a:t>
          </a:r>
        </a:p>
      </dsp:txBody>
      <dsp:txXfrm>
        <a:off x="-608020" y="1155869"/>
        <a:ext cx="1997755" cy="379573"/>
      </dsp:txXfrm>
    </dsp:sp>
    <dsp:sp modelId="{14C3FBB9-8104-4A9E-914F-3F69D48FDDE7}">
      <dsp:nvSpPr>
        <dsp:cNvPr id="0" name=""/>
        <dsp:cNvSpPr/>
      </dsp:nvSpPr>
      <dsp:spPr>
        <a:xfrm>
          <a:off x="829644" y="1128418"/>
          <a:ext cx="1273960" cy="43447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EMA (Staff)</a:t>
          </a:r>
        </a:p>
        <a:p>
          <a:pPr lvl="0" algn="ctr" defTabSz="400050">
            <a:lnSpc>
              <a:spcPct val="90000"/>
            </a:lnSpc>
            <a:spcBef>
              <a:spcPct val="0"/>
            </a:spcBef>
            <a:spcAft>
              <a:spcPct val="35000"/>
            </a:spcAft>
          </a:pPr>
          <a:r>
            <a:rPr lang="en-GB" sz="800" kern="1200"/>
            <a:t>Chief of Staff</a:t>
          </a:r>
        </a:p>
      </dsp:txBody>
      <dsp:txXfrm>
        <a:off x="829644" y="1128418"/>
        <a:ext cx="1273960" cy="434475"/>
      </dsp:txXfrm>
    </dsp:sp>
    <dsp:sp modelId="{508D4713-4332-4A7D-892B-0275D6EB0A25}">
      <dsp:nvSpPr>
        <dsp:cNvPr id="0" name=""/>
        <dsp:cNvSpPr/>
      </dsp:nvSpPr>
      <dsp:spPr>
        <a:xfrm>
          <a:off x="2352604" y="3872"/>
          <a:ext cx="1438723" cy="46079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1e Bureau</a:t>
          </a:r>
        </a:p>
        <a:p>
          <a:pPr lvl="0" algn="ctr" defTabSz="400050">
            <a:lnSpc>
              <a:spcPct val="90000"/>
            </a:lnSpc>
            <a:spcBef>
              <a:spcPct val="0"/>
            </a:spcBef>
            <a:spcAft>
              <a:spcPts val="100"/>
            </a:spcAft>
          </a:pPr>
          <a:r>
            <a:rPr lang="en-GB" sz="800" kern="1200"/>
            <a:t>Organisation et</a:t>
          </a:r>
        </a:p>
        <a:p>
          <a:pPr lvl="0" algn="ctr" defTabSz="400050">
            <a:lnSpc>
              <a:spcPct val="90000"/>
            </a:lnSpc>
            <a:spcBef>
              <a:spcPct val="0"/>
            </a:spcBef>
            <a:spcAft>
              <a:spcPts val="100"/>
            </a:spcAft>
          </a:pPr>
          <a:r>
            <a:rPr lang="en-GB" sz="800" kern="1200"/>
            <a:t>mobilisation </a:t>
          </a:r>
        </a:p>
      </dsp:txBody>
      <dsp:txXfrm>
        <a:off x="2352604" y="3872"/>
        <a:ext cx="1438723" cy="460798"/>
      </dsp:txXfrm>
    </dsp:sp>
    <dsp:sp modelId="{6C7A86D9-DAAE-41CA-A5F0-B4193385B947}">
      <dsp:nvSpPr>
        <dsp:cNvPr id="0" name=""/>
        <dsp:cNvSpPr/>
      </dsp:nvSpPr>
      <dsp:spPr>
        <a:xfrm>
          <a:off x="2352604" y="559564"/>
          <a:ext cx="1438723" cy="46079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2e Bureau</a:t>
          </a:r>
        </a:p>
        <a:p>
          <a:pPr lvl="0" algn="ctr" defTabSz="400050">
            <a:lnSpc>
              <a:spcPct val="90000"/>
            </a:lnSpc>
            <a:spcBef>
              <a:spcPct val="0"/>
            </a:spcBef>
            <a:spcAft>
              <a:spcPct val="35000"/>
            </a:spcAft>
          </a:pPr>
          <a:r>
            <a:rPr lang="en-GB" sz="800" kern="1200"/>
            <a:t>Renseignements</a:t>
          </a:r>
        </a:p>
      </dsp:txBody>
      <dsp:txXfrm>
        <a:off x="2352604" y="559564"/>
        <a:ext cx="1438723" cy="460798"/>
      </dsp:txXfrm>
    </dsp:sp>
    <dsp:sp modelId="{9F7E181A-1E2D-4776-8131-C2FF3735614B}">
      <dsp:nvSpPr>
        <dsp:cNvPr id="0" name=""/>
        <dsp:cNvSpPr/>
      </dsp:nvSpPr>
      <dsp:spPr>
        <a:xfrm>
          <a:off x="2352604" y="1115256"/>
          <a:ext cx="1438723" cy="46079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3e Bureau</a:t>
          </a:r>
        </a:p>
        <a:p>
          <a:pPr lvl="0" algn="ctr" defTabSz="400050">
            <a:lnSpc>
              <a:spcPct val="90000"/>
            </a:lnSpc>
            <a:spcBef>
              <a:spcPct val="0"/>
            </a:spcBef>
            <a:spcAft>
              <a:spcPct val="35000"/>
            </a:spcAft>
          </a:pPr>
          <a:r>
            <a:rPr lang="en-GB" sz="800" kern="1200"/>
            <a:t>Opérations  militaires</a:t>
          </a:r>
        </a:p>
      </dsp:txBody>
      <dsp:txXfrm>
        <a:off x="2352604" y="1115256"/>
        <a:ext cx="1438723" cy="460798"/>
      </dsp:txXfrm>
    </dsp:sp>
    <dsp:sp modelId="{58E4CA5A-4BD0-4F55-816B-BA2D10D87589}">
      <dsp:nvSpPr>
        <dsp:cNvPr id="0" name=""/>
        <dsp:cNvSpPr/>
      </dsp:nvSpPr>
      <dsp:spPr>
        <a:xfrm>
          <a:off x="2352604" y="1670948"/>
          <a:ext cx="1438723" cy="46079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4e Bureau</a:t>
          </a:r>
        </a:p>
        <a:p>
          <a:pPr lvl="0" algn="ctr" defTabSz="400050">
            <a:lnSpc>
              <a:spcPct val="90000"/>
            </a:lnSpc>
            <a:spcBef>
              <a:spcPct val="0"/>
            </a:spcBef>
            <a:spcAft>
              <a:spcPct val="35000"/>
            </a:spcAft>
          </a:pPr>
          <a:r>
            <a:rPr lang="en-GB" sz="800" kern="1200"/>
            <a:t>Transports</a:t>
          </a:r>
        </a:p>
      </dsp:txBody>
      <dsp:txXfrm>
        <a:off x="2352604" y="1670948"/>
        <a:ext cx="1438723" cy="460798"/>
      </dsp:txXfrm>
    </dsp:sp>
    <dsp:sp modelId="{4CCC5CA6-5A4C-47C7-807C-A5FA355A76B3}">
      <dsp:nvSpPr>
        <dsp:cNvPr id="0" name=""/>
        <dsp:cNvSpPr/>
      </dsp:nvSpPr>
      <dsp:spPr>
        <a:xfrm>
          <a:off x="2352604" y="2226640"/>
          <a:ext cx="1438723" cy="46079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5e Bureau</a:t>
          </a:r>
        </a:p>
        <a:p>
          <a:pPr lvl="0" algn="ctr" defTabSz="400050">
            <a:lnSpc>
              <a:spcPct val="90000"/>
            </a:lnSpc>
            <a:spcBef>
              <a:spcPct val="0"/>
            </a:spcBef>
            <a:spcAft>
              <a:spcPts val="100"/>
            </a:spcAft>
          </a:pPr>
          <a:r>
            <a:rPr lang="en-GB" sz="800" b="0" kern="1200"/>
            <a:t>Information et </a:t>
          </a:r>
        </a:p>
        <a:p>
          <a:pPr lvl="0" algn="ctr" defTabSz="400050">
            <a:lnSpc>
              <a:spcPct val="90000"/>
            </a:lnSpc>
            <a:spcBef>
              <a:spcPct val="0"/>
            </a:spcBef>
            <a:spcAft>
              <a:spcPts val="100"/>
            </a:spcAft>
          </a:pPr>
          <a:r>
            <a:rPr lang="en-GB" sz="800" b="0" kern="1200"/>
            <a:t>propagande</a:t>
          </a:r>
        </a:p>
      </dsp:txBody>
      <dsp:txXfrm>
        <a:off x="2352604" y="2226640"/>
        <a:ext cx="1438723" cy="460798"/>
      </dsp:txXfrm>
    </dsp:sp>
    <dsp:sp modelId="{9E053398-C8AB-48FE-AAB0-49F020B49D5C}">
      <dsp:nvSpPr>
        <dsp:cNvPr id="0" name=""/>
        <dsp:cNvSpPr/>
      </dsp:nvSpPr>
      <dsp:spPr>
        <a:xfrm>
          <a:off x="4040328" y="1555552"/>
          <a:ext cx="1245001" cy="37957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1e Section</a:t>
          </a:r>
        </a:p>
        <a:p>
          <a:pPr lvl="0" algn="ctr" defTabSz="400050">
            <a:lnSpc>
              <a:spcPct val="90000"/>
            </a:lnSpc>
            <a:spcBef>
              <a:spcPct val="0"/>
            </a:spcBef>
            <a:spcAft>
              <a:spcPct val="35000"/>
            </a:spcAft>
          </a:pPr>
          <a:r>
            <a:rPr lang="en-GB" sz="900" b="0" kern="1200"/>
            <a:t>Contrôle télégraphique</a:t>
          </a:r>
        </a:p>
      </dsp:txBody>
      <dsp:txXfrm>
        <a:off x="4040328" y="1555552"/>
        <a:ext cx="1245001" cy="379573"/>
      </dsp:txXfrm>
    </dsp:sp>
    <dsp:sp modelId="{6DA5F8D7-3898-4FA1-A5FD-FFE73D5FBCCB}">
      <dsp:nvSpPr>
        <dsp:cNvPr id="0" name=""/>
        <dsp:cNvSpPr/>
      </dsp:nvSpPr>
      <dsp:spPr>
        <a:xfrm>
          <a:off x="4040328" y="2030019"/>
          <a:ext cx="1245001" cy="37957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2e Section</a:t>
          </a:r>
        </a:p>
        <a:p>
          <a:pPr lvl="0" algn="ctr" defTabSz="400050">
            <a:lnSpc>
              <a:spcPct val="90000"/>
            </a:lnSpc>
            <a:spcBef>
              <a:spcPct val="0"/>
            </a:spcBef>
            <a:spcAft>
              <a:spcPct val="35000"/>
            </a:spcAft>
          </a:pPr>
          <a:r>
            <a:rPr lang="en-GB" sz="900" b="0" kern="1200"/>
            <a:t>Renseignements</a:t>
          </a:r>
        </a:p>
      </dsp:txBody>
      <dsp:txXfrm>
        <a:off x="4040328" y="2030019"/>
        <a:ext cx="1245001" cy="379573"/>
      </dsp:txXfrm>
    </dsp:sp>
    <dsp:sp modelId="{904E7D60-3346-4C54-B95D-93A0010F6E33}">
      <dsp:nvSpPr>
        <dsp:cNvPr id="0" name=""/>
        <dsp:cNvSpPr/>
      </dsp:nvSpPr>
      <dsp:spPr>
        <a:xfrm>
          <a:off x="4040328" y="2504486"/>
          <a:ext cx="1245001" cy="379573"/>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3e Section</a:t>
          </a:r>
        </a:p>
        <a:p>
          <a:pPr lvl="0" algn="ctr" defTabSz="400050">
            <a:lnSpc>
              <a:spcPct val="90000"/>
            </a:lnSpc>
            <a:spcBef>
              <a:spcPct val="0"/>
            </a:spcBef>
            <a:spcAft>
              <a:spcPct val="35000"/>
            </a:spcAft>
          </a:pPr>
          <a:r>
            <a:rPr lang="en-GB" sz="900" b="0" kern="1200"/>
            <a:t>CR et SPA</a:t>
          </a:r>
        </a:p>
      </dsp:txBody>
      <dsp:txXfrm>
        <a:off x="4040328" y="2504486"/>
        <a:ext cx="1245001" cy="379573"/>
      </dsp:txXfrm>
    </dsp:sp>
    <dsp:sp modelId="{CC045C6D-43A7-493D-96DC-CA401E92EC10}">
      <dsp:nvSpPr>
        <dsp:cNvPr id="0" name=""/>
        <dsp:cNvSpPr/>
      </dsp:nvSpPr>
      <dsp:spPr>
        <a:xfrm>
          <a:off x="4040328" y="2978953"/>
          <a:ext cx="1245001" cy="37957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4e Section</a:t>
          </a:r>
        </a:p>
        <a:p>
          <a:pPr lvl="0" algn="ctr" defTabSz="400050">
            <a:lnSpc>
              <a:spcPct val="90000"/>
            </a:lnSpc>
            <a:spcBef>
              <a:spcPct val="0"/>
            </a:spcBef>
            <a:spcAft>
              <a:spcPct val="35000"/>
            </a:spcAft>
          </a:pPr>
          <a:r>
            <a:rPr lang="en-GB" sz="900" b="0" kern="1200"/>
            <a:t>Bureau interallié</a:t>
          </a:r>
        </a:p>
      </dsp:txBody>
      <dsp:txXfrm>
        <a:off x="4040328" y="2978953"/>
        <a:ext cx="1245001" cy="3795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AE0C3-EEDD-415D-9C0B-E5A17C1F375C}">
      <dsp:nvSpPr>
        <dsp:cNvPr id="0" name=""/>
        <dsp:cNvSpPr/>
      </dsp:nvSpPr>
      <dsp:spPr>
        <a:xfrm>
          <a:off x="669723" y="2719021"/>
          <a:ext cx="419507" cy="1199051"/>
        </a:xfrm>
        <a:custGeom>
          <a:avLst/>
          <a:gdLst/>
          <a:ahLst/>
          <a:cxnLst/>
          <a:rect l="0" t="0" r="0" b="0"/>
          <a:pathLst>
            <a:path>
              <a:moveTo>
                <a:pt x="0" y="0"/>
              </a:moveTo>
              <a:lnTo>
                <a:pt x="209753" y="0"/>
              </a:lnTo>
              <a:lnTo>
                <a:pt x="209753" y="1199051"/>
              </a:lnTo>
              <a:lnTo>
                <a:pt x="419507" y="119905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47719" y="3286788"/>
        <a:ext cx="63515" cy="63515"/>
      </dsp:txXfrm>
    </dsp:sp>
    <dsp:sp modelId="{B5C658A0-4A7B-4872-87BB-BAE33C7DE1BF}">
      <dsp:nvSpPr>
        <dsp:cNvPr id="0" name=""/>
        <dsp:cNvSpPr/>
      </dsp:nvSpPr>
      <dsp:spPr>
        <a:xfrm>
          <a:off x="669723" y="2719021"/>
          <a:ext cx="419507" cy="399683"/>
        </a:xfrm>
        <a:custGeom>
          <a:avLst/>
          <a:gdLst/>
          <a:ahLst/>
          <a:cxnLst/>
          <a:rect l="0" t="0" r="0" b="0"/>
          <a:pathLst>
            <a:path>
              <a:moveTo>
                <a:pt x="0" y="0"/>
              </a:moveTo>
              <a:lnTo>
                <a:pt x="209753" y="0"/>
              </a:lnTo>
              <a:lnTo>
                <a:pt x="209753" y="399683"/>
              </a:lnTo>
              <a:lnTo>
                <a:pt x="419507" y="3996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64992" y="2904377"/>
        <a:ext cx="28971" cy="28971"/>
      </dsp:txXfrm>
    </dsp:sp>
    <dsp:sp modelId="{D210DFC6-D58F-49F7-8406-3618A78526B0}">
      <dsp:nvSpPr>
        <dsp:cNvPr id="0" name=""/>
        <dsp:cNvSpPr/>
      </dsp:nvSpPr>
      <dsp:spPr>
        <a:xfrm>
          <a:off x="3186771" y="2319337"/>
          <a:ext cx="419507" cy="1998418"/>
        </a:xfrm>
        <a:custGeom>
          <a:avLst/>
          <a:gdLst/>
          <a:ahLst/>
          <a:cxnLst/>
          <a:rect l="0" t="0" r="0" b="0"/>
          <a:pathLst>
            <a:path>
              <a:moveTo>
                <a:pt x="0" y="0"/>
              </a:moveTo>
              <a:lnTo>
                <a:pt x="209753" y="0"/>
              </a:lnTo>
              <a:lnTo>
                <a:pt x="209753" y="1998418"/>
              </a:lnTo>
              <a:lnTo>
                <a:pt x="419507" y="199841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345476" y="3267497"/>
        <a:ext cx="102098" cy="102098"/>
      </dsp:txXfrm>
    </dsp:sp>
    <dsp:sp modelId="{3AF86F39-A06C-47F3-B357-CE0FEE0F38DC}">
      <dsp:nvSpPr>
        <dsp:cNvPr id="0" name=""/>
        <dsp:cNvSpPr/>
      </dsp:nvSpPr>
      <dsp:spPr>
        <a:xfrm>
          <a:off x="3186771" y="2319337"/>
          <a:ext cx="419507" cy="1199051"/>
        </a:xfrm>
        <a:custGeom>
          <a:avLst/>
          <a:gdLst/>
          <a:ahLst/>
          <a:cxnLst/>
          <a:rect l="0" t="0" r="0" b="0"/>
          <a:pathLst>
            <a:path>
              <a:moveTo>
                <a:pt x="0" y="0"/>
              </a:moveTo>
              <a:lnTo>
                <a:pt x="209753" y="0"/>
              </a:lnTo>
              <a:lnTo>
                <a:pt x="209753" y="1199051"/>
              </a:lnTo>
              <a:lnTo>
                <a:pt x="419507" y="11990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64767" y="2887105"/>
        <a:ext cx="63515" cy="63515"/>
      </dsp:txXfrm>
    </dsp:sp>
    <dsp:sp modelId="{8E52B2CE-1C9D-4734-8C9C-8662F45F0EB2}">
      <dsp:nvSpPr>
        <dsp:cNvPr id="0" name=""/>
        <dsp:cNvSpPr/>
      </dsp:nvSpPr>
      <dsp:spPr>
        <a:xfrm>
          <a:off x="3186771" y="2319337"/>
          <a:ext cx="419507" cy="399683"/>
        </a:xfrm>
        <a:custGeom>
          <a:avLst/>
          <a:gdLst/>
          <a:ahLst/>
          <a:cxnLst/>
          <a:rect l="0" t="0" r="0" b="0"/>
          <a:pathLst>
            <a:path>
              <a:moveTo>
                <a:pt x="0" y="0"/>
              </a:moveTo>
              <a:lnTo>
                <a:pt x="209753" y="0"/>
              </a:lnTo>
              <a:lnTo>
                <a:pt x="209753" y="399683"/>
              </a:lnTo>
              <a:lnTo>
                <a:pt x="419507" y="3996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82040" y="2504693"/>
        <a:ext cx="28971" cy="28971"/>
      </dsp:txXfrm>
    </dsp:sp>
    <dsp:sp modelId="{F91F0C4B-90F9-4E96-A3FE-6B620180D2E7}">
      <dsp:nvSpPr>
        <dsp:cNvPr id="0" name=""/>
        <dsp:cNvSpPr/>
      </dsp:nvSpPr>
      <dsp:spPr>
        <a:xfrm>
          <a:off x="3186771" y="1919653"/>
          <a:ext cx="419507" cy="399683"/>
        </a:xfrm>
        <a:custGeom>
          <a:avLst/>
          <a:gdLst/>
          <a:ahLst/>
          <a:cxnLst/>
          <a:rect l="0" t="0" r="0" b="0"/>
          <a:pathLst>
            <a:path>
              <a:moveTo>
                <a:pt x="0" y="399683"/>
              </a:moveTo>
              <a:lnTo>
                <a:pt x="209753" y="399683"/>
              </a:lnTo>
              <a:lnTo>
                <a:pt x="209753" y="0"/>
              </a:lnTo>
              <a:lnTo>
                <a:pt x="419507"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82040" y="2105010"/>
        <a:ext cx="28971" cy="28971"/>
      </dsp:txXfrm>
    </dsp:sp>
    <dsp:sp modelId="{118B1E72-63A8-4C18-8CAA-78A2C4669BB0}">
      <dsp:nvSpPr>
        <dsp:cNvPr id="0" name=""/>
        <dsp:cNvSpPr/>
      </dsp:nvSpPr>
      <dsp:spPr>
        <a:xfrm>
          <a:off x="3186771" y="1120286"/>
          <a:ext cx="419507" cy="1199051"/>
        </a:xfrm>
        <a:custGeom>
          <a:avLst/>
          <a:gdLst/>
          <a:ahLst/>
          <a:cxnLst/>
          <a:rect l="0" t="0" r="0" b="0"/>
          <a:pathLst>
            <a:path>
              <a:moveTo>
                <a:pt x="0" y="1199051"/>
              </a:moveTo>
              <a:lnTo>
                <a:pt x="209753" y="1199051"/>
              </a:lnTo>
              <a:lnTo>
                <a:pt x="209753" y="0"/>
              </a:lnTo>
              <a:lnTo>
                <a:pt x="419507"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64767" y="1688053"/>
        <a:ext cx="63515" cy="63515"/>
      </dsp:txXfrm>
    </dsp:sp>
    <dsp:sp modelId="{DAA081EE-1D15-45F2-89D8-C063AD58A557}">
      <dsp:nvSpPr>
        <dsp:cNvPr id="0" name=""/>
        <dsp:cNvSpPr/>
      </dsp:nvSpPr>
      <dsp:spPr>
        <a:xfrm>
          <a:off x="3186771" y="320919"/>
          <a:ext cx="419507" cy="1998418"/>
        </a:xfrm>
        <a:custGeom>
          <a:avLst/>
          <a:gdLst/>
          <a:ahLst/>
          <a:cxnLst/>
          <a:rect l="0" t="0" r="0" b="0"/>
          <a:pathLst>
            <a:path>
              <a:moveTo>
                <a:pt x="0" y="1998418"/>
              </a:moveTo>
              <a:lnTo>
                <a:pt x="209753" y="1998418"/>
              </a:lnTo>
              <a:lnTo>
                <a:pt x="209753" y="0"/>
              </a:lnTo>
              <a:lnTo>
                <a:pt x="419507"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GB" sz="700" kern="1200"/>
        </a:p>
      </dsp:txBody>
      <dsp:txXfrm>
        <a:off x="3345476" y="1269078"/>
        <a:ext cx="102098" cy="102098"/>
      </dsp:txXfrm>
    </dsp:sp>
    <dsp:sp modelId="{D2985DEE-B61A-4DF3-AE57-8F2E0322BCF3}">
      <dsp:nvSpPr>
        <dsp:cNvPr id="0" name=""/>
        <dsp:cNvSpPr/>
      </dsp:nvSpPr>
      <dsp:spPr>
        <a:xfrm>
          <a:off x="669723" y="2319337"/>
          <a:ext cx="419507" cy="399683"/>
        </a:xfrm>
        <a:custGeom>
          <a:avLst/>
          <a:gdLst/>
          <a:ahLst/>
          <a:cxnLst/>
          <a:rect l="0" t="0" r="0" b="0"/>
          <a:pathLst>
            <a:path>
              <a:moveTo>
                <a:pt x="0" y="399683"/>
              </a:moveTo>
              <a:lnTo>
                <a:pt x="209753" y="399683"/>
              </a:lnTo>
              <a:lnTo>
                <a:pt x="209753" y="0"/>
              </a:lnTo>
              <a:lnTo>
                <a:pt x="419507"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64992" y="2504693"/>
        <a:ext cx="28971" cy="28971"/>
      </dsp:txXfrm>
    </dsp:sp>
    <dsp:sp modelId="{2464CC43-4D01-4641-A76E-13F0EA26DB3A}">
      <dsp:nvSpPr>
        <dsp:cNvPr id="0" name=""/>
        <dsp:cNvSpPr/>
      </dsp:nvSpPr>
      <dsp:spPr>
        <a:xfrm>
          <a:off x="669723" y="1519970"/>
          <a:ext cx="419507" cy="1199051"/>
        </a:xfrm>
        <a:custGeom>
          <a:avLst/>
          <a:gdLst/>
          <a:ahLst/>
          <a:cxnLst/>
          <a:rect l="0" t="0" r="0" b="0"/>
          <a:pathLst>
            <a:path>
              <a:moveTo>
                <a:pt x="0" y="1199051"/>
              </a:moveTo>
              <a:lnTo>
                <a:pt x="209753" y="1199051"/>
              </a:lnTo>
              <a:lnTo>
                <a:pt x="209753" y="0"/>
              </a:lnTo>
              <a:lnTo>
                <a:pt x="419507" y="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847719" y="2087737"/>
        <a:ext cx="63515" cy="63515"/>
      </dsp:txXfrm>
    </dsp:sp>
    <dsp:sp modelId="{7A5C2F07-B246-4703-9EB4-923FE895AE5A}">
      <dsp:nvSpPr>
        <dsp:cNvPr id="0" name=""/>
        <dsp:cNvSpPr/>
      </dsp:nvSpPr>
      <dsp:spPr>
        <a:xfrm rot="16200000">
          <a:off x="-1332901" y="2399274"/>
          <a:ext cx="3365757" cy="6394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MI7</a:t>
          </a:r>
        </a:p>
      </dsp:txBody>
      <dsp:txXfrm>
        <a:off x="-1332901" y="2399274"/>
        <a:ext cx="3365757" cy="639493"/>
      </dsp:txXfrm>
    </dsp:sp>
    <dsp:sp modelId="{A8A33F1D-14E9-427C-9987-3E45DE0456A5}">
      <dsp:nvSpPr>
        <dsp:cNvPr id="0" name=""/>
        <dsp:cNvSpPr/>
      </dsp:nvSpPr>
      <dsp:spPr>
        <a:xfrm>
          <a:off x="1089231" y="1200223"/>
          <a:ext cx="2097539" cy="6394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MI7(a)</a:t>
          </a:r>
        </a:p>
        <a:p>
          <a:pPr lvl="0" algn="ctr" defTabSz="533400">
            <a:lnSpc>
              <a:spcPct val="90000"/>
            </a:lnSpc>
            <a:spcBef>
              <a:spcPct val="0"/>
            </a:spcBef>
            <a:spcAft>
              <a:spcPct val="35000"/>
            </a:spcAft>
          </a:pPr>
          <a:r>
            <a:rPr lang="en-GB" sz="1000" kern="1200"/>
            <a:t>Censorship</a:t>
          </a:r>
          <a:endParaRPr lang="en-GB" sz="1200" kern="1200"/>
        </a:p>
      </dsp:txBody>
      <dsp:txXfrm>
        <a:off x="1089231" y="1200223"/>
        <a:ext cx="2097539" cy="639493"/>
      </dsp:txXfrm>
    </dsp:sp>
    <dsp:sp modelId="{807C96EE-0145-4FC7-8F8F-90C940F03D67}">
      <dsp:nvSpPr>
        <dsp:cNvPr id="0" name=""/>
        <dsp:cNvSpPr/>
      </dsp:nvSpPr>
      <dsp:spPr>
        <a:xfrm>
          <a:off x="1089231" y="1999590"/>
          <a:ext cx="2097539" cy="6394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MI7(b)</a:t>
          </a:r>
        </a:p>
        <a:p>
          <a:pPr lvl="0" algn="ctr" defTabSz="533400">
            <a:lnSpc>
              <a:spcPct val="90000"/>
            </a:lnSpc>
            <a:spcBef>
              <a:spcPct val="0"/>
            </a:spcBef>
            <a:spcAft>
              <a:spcPct val="35000"/>
            </a:spcAft>
          </a:pPr>
          <a:r>
            <a:rPr lang="en-GB" sz="1000" kern="1200"/>
            <a:t>Propaganda at home and in foreign countries</a:t>
          </a:r>
        </a:p>
      </dsp:txBody>
      <dsp:txXfrm>
        <a:off x="1089231" y="1999590"/>
        <a:ext cx="2097539" cy="639493"/>
      </dsp:txXfrm>
    </dsp:sp>
    <dsp:sp modelId="{FE3268A6-C0A6-40C5-8316-F3915D0F96E0}">
      <dsp:nvSpPr>
        <dsp:cNvPr id="0" name=""/>
        <dsp:cNvSpPr/>
      </dsp:nvSpPr>
      <dsp:spPr>
        <a:xfrm>
          <a:off x="3606279" y="1172"/>
          <a:ext cx="2097539" cy="6394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MI7(b)1</a:t>
          </a:r>
        </a:p>
        <a:p>
          <a:pPr lvl="0" algn="ctr" defTabSz="488950">
            <a:lnSpc>
              <a:spcPct val="90000"/>
            </a:lnSpc>
            <a:spcBef>
              <a:spcPct val="0"/>
            </a:spcBef>
            <a:spcAft>
              <a:spcPct val="35000"/>
            </a:spcAft>
          </a:pPr>
          <a:r>
            <a:rPr lang="en-GB" sz="1100" b="0" kern="1200"/>
            <a:t>General Press Propaganda</a:t>
          </a:r>
        </a:p>
      </dsp:txBody>
      <dsp:txXfrm>
        <a:off x="3606279" y="1172"/>
        <a:ext cx="2097539" cy="639493"/>
      </dsp:txXfrm>
    </dsp:sp>
    <dsp:sp modelId="{8B237F84-CDD4-418C-9645-277AAE2C607C}">
      <dsp:nvSpPr>
        <dsp:cNvPr id="0" name=""/>
        <dsp:cNvSpPr/>
      </dsp:nvSpPr>
      <dsp:spPr>
        <a:xfrm>
          <a:off x="3606279" y="800539"/>
          <a:ext cx="2097539" cy="6394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MI7(b)2 </a:t>
          </a:r>
        </a:p>
        <a:p>
          <a:pPr lvl="0" algn="ctr" defTabSz="488950">
            <a:lnSpc>
              <a:spcPct val="90000"/>
            </a:lnSpc>
            <a:spcBef>
              <a:spcPct val="0"/>
            </a:spcBef>
            <a:spcAft>
              <a:spcPts val="100"/>
            </a:spcAft>
          </a:pPr>
          <a:r>
            <a:rPr lang="en-GB" sz="1100" b="0" kern="1200"/>
            <a:t>Collection and preparation of technical information</a:t>
          </a:r>
        </a:p>
      </dsp:txBody>
      <dsp:txXfrm>
        <a:off x="3606279" y="800539"/>
        <a:ext cx="2097539" cy="639493"/>
      </dsp:txXfrm>
    </dsp:sp>
    <dsp:sp modelId="{DA99AD6A-C6CD-42AF-B32B-DE00DFB7F03F}">
      <dsp:nvSpPr>
        <dsp:cNvPr id="0" name=""/>
        <dsp:cNvSpPr/>
      </dsp:nvSpPr>
      <dsp:spPr>
        <a:xfrm>
          <a:off x="3606279" y="1599906"/>
          <a:ext cx="2097539" cy="6394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MI7(b)3</a:t>
          </a:r>
        </a:p>
        <a:p>
          <a:pPr lvl="0" algn="ctr" defTabSz="488950">
            <a:lnSpc>
              <a:spcPct val="90000"/>
            </a:lnSpc>
            <a:spcBef>
              <a:spcPct val="0"/>
            </a:spcBef>
            <a:spcAft>
              <a:spcPts val="100"/>
            </a:spcAft>
          </a:pPr>
          <a:r>
            <a:rPr lang="en-GB" sz="1100" b="0" kern="1200"/>
            <a:t>Propaganda distribution</a:t>
          </a:r>
        </a:p>
        <a:p>
          <a:pPr lvl="0" algn="ctr" defTabSz="488950">
            <a:lnSpc>
              <a:spcPct val="90000"/>
            </a:lnSpc>
            <a:spcBef>
              <a:spcPct val="0"/>
            </a:spcBef>
            <a:spcAft>
              <a:spcPts val="100"/>
            </a:spcAft>
          </a:pPr>
          <a:r>
            <a:rPr lang="en-GB" sz="1100" b="0" kern="1200"/>
            <a:t> in the Dominions and the East</a:t>
          </a:r>
        </a:p>
      </dsp:txBody>
      <dsp:txXfrm>
        <a:off x="3606279" y="1599906"/>
        <a:ext cx="2097539" cy="639493"/>
      </dsp:txXfrm>
    </dsp:sp>
    <dsp:sp modelId="{E3275DC4-935E-4A37-9432-732685AE41FD}">
      <dsp:nvSpPr>
        <dsp:cNvPr id="0" name=""/>
        <dsp:cNvSpPr/>
      </dsp:nvSpPr>
      <dsp:spPr>
        <a:xfrm>
          <a:off x="3606279" y="2399274"/>
          <a:ext cx="2097539" cy="639493"/>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MI7(b)4</a:t>
          </a:r>
        </a:p>
        <a:p>
          <a:pPr lvl="0" algn="ctr" defTabSz="488950">
            <a:lnSpc>
              <a:spcPct val="90000"/>
            </a:lnSpc>
            <a:spcBef>
              <a:spcPct val="0"/>
            </a:spcBef>
            <a:spcAft>
              <a:spcPts val="100"/>
            </a:spcAft>
          </a:pPr>
          <a:r>
            <a:rPr lang="en-GB" sz="1100" b="0" kern="1200"/>
            <a:t>Propaganda Library and aerial propaganda over enemy lines</a:t>
          </a:r>
        </a:p>
      </dsp:txBody>
      <dsp:txXfrm>
        <a:off x="3606279" y="2399274"/>
        <a:ext cx="2097539" cy="639493"/>
      </dsp:txXfrm>
    </dsp:sp>
    <dsp:sp modelId="{7645AF70-03D4-49E7-884F-784601A5B1D4}">
      <dsp:nvSpPr>
        <dsp:cNvPr id="0" name=""/>
        <dsp:cNvSpPr/>
      </dsp:nvSpPr>
      <dsp:spPr>
        <a:xfrm>
          <a:off x="3606279" y="3198641"/>
          <a:ext cx="2097539" cy="6394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MI7(b)5</a:t>
          </a:r>
        </a:p>
        <a:p>
          <a:pPr lvl="0" algn="ctr" defTabSz="488950">
            <a:lnSpc>
              <a:spcPct val="90000"/>
            </a:lnSpc>
            <a:spcBef>
              <a:spcPct val="0"/>
            </a:spcBef>
            <a:spcAft>
              <a:spcPct val="35000"/>
            </a:spcAft>
          </a:pPr>
          <a:r>
            <a:rPr lang="en-GB" sz="1100" b="0" kern="1200"/>
            <a:t>Summaries of Home Press </a:t>
          </a:r>
        </a:p>
      </dsp:txBody>
      <dsp:txXfrm>
        <a:off x="3606279" y="3198641"/>
        <a:ext cx="2097539" cy="639493"/>
      </dsp:txXfrm>
    </dsp:sp>
    <dsp:sp modelId="{E08E9D98-3F5D-4D67-9DC0-9CE05B4CEC5C}">
      <dsp:nvSpPr>
        <dsp:cNvPr id="0" name=""/>
        <dsp:cNvSpPr/>
      </dsp:nvSpPr>
      <dsp:spPr>
        <a:xfrm>
          <a:off x="3606279" y="3998008"/>
          <a:ext cx="2097539" cy="6394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kern="1200"/>
            <a:t>MI7(b)6</a:t>
          </a:r>
        </a:p>
        <a:p>
          <a:pPr lvl="0" algn="ctr" defTabSz="488950">
            <a:lnSpc>
              <a:spcPct val="90000"/>
            </a:lnSpc>
            <a:spcBef>
              <a:spcPct val="0"/>
            </a:spcBef>
            <a:spcAft>
              <a:spcPct val="35000"/>
            </a:spcAft>
          </a:pPr>
          <a:r>
            <a:rPr lang="en-GB" sz="1100" b="0" kern="1200"/>
            <a:t>Liaison with press </a:t>
          </a:r>
        </a:p>
      </dsp:txBody>
      <dsp:txXfrm>
        <a:off x="3606279" y="3998008"/>
        <a:ext cx="2097539" cy="639493"/>
      </dsp:txXfrm>
    </dsp:sp>
    <dsp:sp modelId="{6A7741E7-A265-4761-B10C-6057EA5A5C14}">
      <dsp:nvSpPr>
        <dsp:cNvPr id="0" name=""/>
        <dsp:cNvSpPr/>
      </dsp:nvSpPr>
      <dsp:spPr>
        <a:xfrm>
          <a:off x="1089231" y="2798957"/>
          <a:ext cx="2097539" cy="6394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MI7(c)</a:t>
          </a:r>
        </a:p>
        <a:p>
          <a:pPr lvl="0" algn="ctr" defTabSz="533400">
            <a:lnSpc>
              <a:spcPct val="90000"/>
            </a:lnSpc>
            <a:spcBef>
              <a:spcPct val="0"/>
            </a:spcBef>
            <a:spcAft>
              <a:spcPct val="35000"/>
            </a:spcAft>
          </a:pPr>
          <a:r>
            <a:rPr lang="en-GB" sz="1200" kern="1200"/>
            <a:t> </a:t>
          </a:r>
          <a:r>
            <a:rPr lang="en-GB" sz="1000" kern="1200"/>
            <a:t>Translation and foreign visitors</a:t>
          </a:r>
        </a:p>
      </dsp:txBody>
      <dsp:txXfrm>
        <a:off x="1089231" y="2798957"/>
        <a:ext cx="2097539" cy="639493"/>
      </dsp:txXfrm>
    </dsp:sp>
    <dsp:sp modelId="{9A7C376D-8B5B-47C1-A9A6-44BF19064F49}">
      <dsp:nvSpPr>
        <dsp:cNvPr id="0" name=""/>
        <dsp:cNvSpPr/>
      </dsp:nvSpPr>
      <dsp:spPr>
        <a:xfrm>
          <a:off x="1089231" y="3598325"/>
          <a:ext cx="2097539" cy="63949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MI7(d)</a:t>
          </a:r>
        </a:p>
        <a:p>
          <a:pPr lvl="0" algn="ctr" defTabSz="533400">
            <a:lnSpc>
              <a:spcPct val="90000"/>
            </a:lnSpc>
            <a:spcBef>
              <a:spcPct val="0"/>
            </a:spcBef>
            <a:spcAft>
              <a:spcPct val="35000"/>
            </a:spcAft>
          </a:pPr>
          <a:r>
            <a:rPr lang="en-GB" sz="1200" kern="1200"/>
            <a:t> </a:t>
          </a:r>
          <a:r>
            <a:rPr lang="en-GB" sz="1000" kern="1200"/>
            <a:t>Foreign press propaganda review</a:t>
          </a:r>
        </a:p>
      </dsp:txBody>
      <dsp:txXfrm>
        <a:off x="1089231" y="3598325"/>
        <a:ext cx="2097539" cy="6394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6DEF1-7F1E-43CF-8C8E-93439AC17295}">
      <dsp:nvSpPr>
        <dsp:cNvPr id="0" name=""/>
        <dsp:cNvSpPr/>
      </dsp:nvSpPr>
      <dsp:spPr>
        <a:xfrm>
          <a:off x="4090442" y="3190853"/>
          <a:ext cx="199231" cy="379633"/>
        </a:xfrm>
        <a:custGeom>
          <a:avLst/>
          <a:gdLst/>
          <a:ahLst/>
          <a:cxnLst/>
          <a:rect l="0" t="0" r="0" b="0"/>
          <a:pathLst>
            <a:path>
              <a:moveTo>
                <a:pt x="0" y="0"/>
              </a:moveTo>
              <a:lnTo>
                <a:pt x="99615" y="0"/>
              </a:lnTo>
              <a:lnTo>
                <a:pt x="99615" y="379633"/>
              </a:lnTo>
              <a:lnTo>
                <a:pt x="199231" y="3796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79339" y="3369952"/>
        <a:ext cx="21436" cy="21436"/>
      </dsp:txXfrm>
    </dsp:sp>
    <dsp:sp modelId="{7FB0B8CF-D03A-48BB-9BF8-9780661A6722}">
      <dsp:nvSpPr>
        <dsp:cNvPr id="0" name=""/>
        <dsp:cNvSpPr/>
      </dsp:nvSpPr>
      <dsp:spPr>
        <a:xfrm>
          <a:off x="4090442" y="3145133"/>
          <a:ext cx="199231" cy="91440"/>
        </a:xfrm>
        <a:custGeom>
          <a:avLst/>
          <a:gdLst/>
          <a:ahLst/>
          <a:cxnLst/>
          <a:rect l="0" t="0" r="0" b="0"/>
          <a:pathLst>
            <a:path>
              <a:moveTo>
                <a:pt x="0" y="45720"/>
              </a:moveTo>
              <a:lnTo>
                <a:pt x="199231"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85077" y="3185873"/>
        <a:ext cx="9961" cy="9961"/>
      </dsp:txXfrm>
    </dsp:sp>
    <dsp:sp modelId="{092DD9AF-0E48-4DBD-96AE-4B074D548A18}">
      <dsp:nvSpPr>
        <dsp:cNvPr id="0" name=""/>
        <dsp:cNvSpPr/>
      </dsp:nvSpPr>
      <dsp:spPr>
        <a:xfrm>
          <a:off x="4090442" y="2811220"/>
          <a:ext cx="199231" cy="379633"/>
        </a:xfrm>
        <a:custGeom>
          <a:avLst/>
          <a:gdLst/>
          <a:ahLst/>
          <a:cxnLst/>
          <a:rect l="0" t="0" r="0" b="0"/>
          <a:pathLst>
            <a:path>
              <a:moveTo>
                <a:pt x="0" y="379633"/>
              </a:moveTo>
              <a:lnTo>
                <a:pt x="99615" y="379633"/>
              </a:lnTo>
              <a:lnTo>
                <a:pt x="99615" y="0"/>
              </a:lnTo>
              <a:lnTo>
                <a:pt x="19923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179339" y="2990318"/>
        <a:ext cx="21436" cy="21436"/>
      </dsp:txXfrm>
    </dsp:sp>
    <dsp:sp modelId="{B44ADADB-D6DD-4E88-A170-3A7B82F0B635}">
      <dsp:nvSpPr>
        <dsp:cNvPr id="0" name=""/>
        <dsp:cNvSpPr/>
      </dsp:nvSpPr>
      <dsp:spPr>
        <a:xfrm>
          <a:off x="2895053" y="1672320"/>
          <a:ext cx="199231" cy="1518533"/>
        </a:xfrm>
        <a:custGeom>
          <a:avLst/>
          <a:gdLst/>
          <a:ahLst/>
          <a:cxnLst/>
          <a:rect l="0" t="0" r="0" b="0"/>
          <a:pathLst>
            <a:path>
              <a:moveTo>
                <a:pt x="0" y="0"/>
              </a:moveTo>
              <a:lnTo>
                <a:pt x="99615" y="0"/>
              </a:lnTo>
              <a:lnTo>
                <a:pt x="99615" y="1518533"/>
              </a:lnTo>
              <a:lnTo>
                <a:pt x="199231" y="15185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56380" y="2393298"/>
        <a:ext cx="76577" cy="76577"/>
      </dsp:txXfrm>
    </dsp:sp>
    <dsp:sp modelId="{B1C8104B-BF13-4EFF-9F01-0DD39A6C0CAF}">
      <dsp:nvSpPr>
        <dsp:cNvPr id="0" name=""/>
        <dsp:cNvSpPr/>
      </dsp:nvSpPr>
      <dsp:spPr>
        <a:xfrm>
          <a:off x="2895053" y="1672320"/>
          <a:ext cx="199231" cy="1138899"/>
        </a:xfrm>
        <a:custGeom>
          <a:avLst/>
          <a:gdLst/>
          <a:ahLst/>
          <a:cxnLst/>
          <a:rect l="0" t="0" r="0" b="0"/>
          <a:pathLst>
            <a:path>
              <a:moveTo>
                <a:pt x="0" y="0"/>
              </a:moveTo>
              <a:lnTo>
                <a:pt x="99615" y="0"/>
              </a:lnTo>
              <a:lnTo>
                <a:pt x="99615" y="1138899"/>
              </a:lnTo>
              <a:lnTo>
                <a:pt x="199231" y="113889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65764" y="2212865"/>
        <a:ext cx="57809" cy="57809"/>
      </dsp:txXfrm>
    </dsp:sp>
    <dsp:sp modelId="{80CDEF7B-A2AD-4039-9EB2-437416B1D468}">
      <dsp:nvSpPr>
        <dsp:cNvPr id="0" name=""/>
        <dsp:cNvSpPr/>
      </dsp:nvSpPr>
      <dsp:spPr>
        <a:xfrm>
          <a:off x="2895053" y="1672320"/>
          <a:ext cx="199231" cy="759266"/>
        </a:xfrm>
        <a:custGeom>
          <a:avLst/>
          <a:gdLst/>
          <a:ahLst/>
          <a:cxnLst/>
          <a:rect l="0" t="0" r="0" b="0"/>
          <a:pathLst>
            <a:path>
              <a:moveTo>
                <a:pt x="0" y="0"/>
              </a:moveTo>
              <a:lnTo>
                <a:pt x="99615" y="0"/>
              </a:lnTo>
              <a:lnTo>
                <a:pt x="99615" y="759266"/>
              </a:lnTo>
              <a:lnTo>
                <a:pt x="199231" y="7592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75044" y="2032329"/>
        <a:ext cx="39248" cy="39248"/>
      </dsp:txXfrm>
    </dsp:sp>
    <dsp:sp modelId="{20D7F09E-C229-4A1F-8A53-C8A905B4F606}">
      <dsp:nvSpPr>
        <dsp:cNvPr id="0" name=""/>
        <dsp:cNvSpPr/>
      </dsp:nvSpPr>
      <dsp:spPr>
        <a:xfrm>
          <a:off x="2895053" y="1672320"/>
          <a:ext cx="199231" cy="379633"/>
        </a:xfrm>
        <a:custGeom>
          <a:avLst/>
          <a:gdLst/>
          <a:ahLst/>
          <a:cxnLst/>
          <a:rect l="0" t="0" r="0" b="0"/>
          <a:pathLst>
            <a:path>
              <a:moveTo>
                <a:pt x="0" y="0"/>
              </a:moveTo>
              <a:lnTo>
                <a:pt x="99615" y="0"/>
              </a:lnTo>
              <a:lnTo>
                <a:pt x="99615" y="379633"/>
              </a:lnTo>
              <a:lnTo>
                <a:pt x="199231" y="37963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83950" y="1851419"/>
        <a:ext cx="21436" cy="21436"/>
      </dsp:txXfrm>
    </dsp:sp>
    <dsp:sp modelId="{C56D541C-3B97-45FB-A341-8E6DCDE834D6}">
      <dsp:nvSpPr>
        <dsp:cNvPr id="0" name=""/>
        <dsp:cNvSpPr/>
      </dsp:nvSpPr>
      <dsp:spPr>
        <a:xfrm>
          <a:off x="2895053" y="1626600"/>
          <a:ext cx="199231" cy="91440"/>
        </a:xfrm>
        <a:custGeom>
          <a:avLst/>
          <a:gdLst/>
          <a:ahLst/>
          <a:cxnLst/>
          <a:rect l="0" t="0" r="0" b="0"/>
          <a:pathLst>
            <a:path>
              <a:moveTo>
                <a:pt x="0" y="45720"/>
              </a:moveTo>
              <a:lnTo>
                <a:pt x="199231" y="457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89688" y="1667340"/>
        <a:ext cx="9961" cy="9961"/>
      </dsp:txXfrm>
    </dsp:sp>
    <dsp:sp modelId="{E93A2392-0731-4AE0-AC40-35AB3DDA56AE}">
      <dsp:nvSpPr>
        <dsp:cNvPr id="0" name=""/>
        <dsp:cNvSpPr/>
      </dsp:nvSpPr>
      <dsp:spPr>
        <a:xfrm>
          <a:off x="2895053" y="1292687"/>
          <a:ext cx="199231" cy="379633"/>
        </a:xfrm>
        <a:custGeom>
          <a:avLst/>
          <a:gdLst/>
          <a:ahLst/>
          <a:cxnLst/>
          <a:rect l="0" t="0" r="0" b="0"/>
          <a:pathLst>
            <a:path>
              <a:moveTo>
                <a:pt x="0" y="379633"/>
              </a:moveTo>
              <a:lnTo>
                <a:pt x="99615" y="379633"/>
              </a:lnTo>
              <a:lnTo>
                <a:pt x="99615" y="0"/>
              </a:lnTo>
              <a:lnTo>
                <a:pt x="19923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83950" y="1471785"/>
        <a:ext cx="21436" cy="21436"/>
      </dsp:txXfrm>
    </dsp:sp>
    <dsp:sp modelId="{666EA5B0-9845-4E8F-B56A-257E63D77A9F}">
      <dsp:nvSpPr>
        <dsp:cNvPr id="0" name=""/>
        <dsp:cNvSpPr/>
      </dsp:nvSpPr>
      <dsp:spPr>
        <a:xfrm>
          <a:off x="2895053" y="913054"/>
          <a:ext cx="189708" cy="759266"/>
        </a:xfrm>
        <a:custGeom>
          <a:avLst/>
          <a:gdLst/>
          <a:ahLst/>
          <a:cxnLst/>
          <a:rect l="0" t="0" r="0" b="0"/>
          <a:pathLst>
            <a:path>
              <a:moveTo>
                <a:pt x="0" y="759266"/>
              </a:moveTo>
              <a:lnTo>
                <a:pt x="94854" y="759266"/>
              </a:lnTo>
              <a:lnTo>
                <a:pt x="94854" y="0"/>
              </a:lnTo>
              <a:lnTo>
                <a:pt x="189708"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70342" y="1273122"/>
        <a:ext cx="39130" cy="39130"/>
      </dsp:txXfrm>
    </dsp:sp>
    <dsp:sp modelId="{5266896F-578F-41BB-88AF-4F8D59F782E7}">
      <dsp:nvSpPr>
        <dsp:cNvPr id="0" name=""/>
        <dsp:cNvSpPr/>
      </dsp:nvSpPr>
      <dsp:spPr>
        <a:xfrm>
          <a:off x="2895053" y="533421"/>
          <a:ext cx="199231" cy="1138899"/>
        </a:xfrm>
        <a:custGeom>
          <a:avLst/>
          <a:gdLst/>
          <a:ahLst/>
          <a:cxnLst/>
          <a:rect l="0" t="0" r="0" b="0"/>
          <a:pathLst>
            <a:path>
              <a:moveTo>
                <a:pt x="0" y="1138899"/>
              </a:moveTo>
              <a:lnTo>
                <a:pt x="99615" y="1138899"/>
              </a:lnTo>
              <a:lnTo>
                <a:pt x="99615" y="0"/>
              </a:lnTo>
              <a:lnTo>
                <a:pt x="19923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65764" y="1073966"/>
        <a:ext cx="57809" cy="57809"/>
      </dsp:txXfrm>
    </dsp:sp>
    <dsp:sp modelId="{4FF7DA00-5C66-47F9-A52C-44424F2686FD}">
      <dsp:nvSpPr>
        <dsp:cNvPr id="0" name=""/>
        <dsp:cNvSpPr/>
      </dsp:nvSpPr>
      <dsp:spPr>
        <a:xfrm>
          <a:off x="2895053" y="153787"/>
          <a:ext cx="199231" cy="1518533"/>
        </a:xfrm>
        <a:custGeom>
          <a:avLst/>
          <a:gdLst/>
          <a:ahLst/>
          <a:cxnLst/>
          <a:rect l="0" t="0" r="0" b="0"/>
          <a:pathLst>
            <a:path>
              <a:moveTo>
                <a:pt x="0" y="1518533"/>
              </a:moveTo>
              <a:lnTo>
                <a:pt x="99615" y="1518533"/>
              </a:lnTo>
              <a:lnTo>
                <a:pt x="99615" y="0"/>
              </a:lnTo>
              <a:lnTo>
                <a:pt x="199231"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56380" y="874765"/>
        <a:ext cx="76577" cy="76577"/>
      </dsp:txXfrm>
    </dsp:sp>
    <dsp:sp modelId="{BC0AAF94-FD12-4A85-8837-29FFBA79092D}">
      <dsp:nvSpPr>
        <dsp:cNvPr id="0" name=""/>
        <dsp:cNvSpPr/>
      </dsp:nvSpPr>
      <dsp:spPr>
        <a:xfrm>
          <a:off x="1699664" y="1626600"/>
          <a:ext cx="199231" cy="91440"/>
        </a:xfrm>
        <a:custGeom>
          <a:avLst/>
          <a:gdLst/>
          <a:ahLst/>
          <a:cxnLst/>
          <a:rect l="0" t="0" r="0" b="0"/>
          <a:pathLst>
            <a:path>
              <a:moveTo>
                <a:pt x="0" y="45720"/>
              </a:moveTo>
              <a:lnTo>
                <a:pt x="199231" y="4572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794299" y="1667340"/>
        <a:ext cx="9961" cy="9961"/>
      </dsp:txXfrm>
    </dsp:sp>
    <dsp:sp modelId="{68777D2D-B7C5-444A-AF5C-600B3D3C8D0C}">
      <dsp:nvSpPr>
        <dsp:cNvPr id="0" name=""/>
        <dsp:cNvSpPr/>
      </dsp:nvSpPr>
      <dsp:spPr>
        <a:xfrm>
          <a:off x="504274" y="1626600"/>
          <a:ext cx="199231" cy="91440"/>
        </a:xfrm>
        <a:custGeom>
          <a:avLst/>
          <a:gdLst/>
          <a:ahLst/>
          <a:cxnLst/>
          <a:rect l="0" t="0" r="0" b="0"/>
          <a:pathLst>
            <a:path>
              <a:moveTo>
                <a:pt x="0" y="45720"/>
              </a:moveTo>
              <a:lnTo>
                <a:pt x="199231" y="45720"/>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598909" y="1667340"/>
        <a:ext cx="9961" cy="9961"/>
      </dsp:txXfrm>
    </dsp:sp>
    <dsp:sp modelId="{4F950265-EB66-4129-AF00-538A73D1495D}">
      <dsp:nvSpPr>
        <dsp:cNvPr id="0" name=""/>
        <dsp:cNvSpPr/>
      </dsp:nvSpPr>
      <dsp:spPr>
        <a:xfrm rot="16200000">
          <a:off x="-446806" y="1520467"/>
          <a:ext cx="1598455" cy="3037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t>EMA</a:t>
          </a:r>
        </a:p>
      </dsp:txBody>
      <dsp:txXfrm>
        <a:off x="-446806" y="1520467"/>
        <a:ext cx="1598455" cy="303706"/>
      </dsp:txXfrm>
    </dsp:sp>
    <dsp:sp modelId="{71EA7977-0AC7-45CD-BE65-3458DB8B4712}">
      <dsp:nvSpPr>
        <dsp:cNvPr id="0" name=""/>
        <dsp:cNvSpPr/>
      </dsp:nvSpPr>
      <dsp:spPr>
        <a:xfrm>
          <a:off x="703506" y="1520467"/>
          <a:ext cx="996157" cy="30370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2e Bureau</a:t>
          </a:r>
          <a:endParaRPr lang="en-GB" sz="1000" b="1" kern="1200"/>
        </a:p>
      </dsp:txBody>
      <dsp:txXfrm>
        <a:off x="703506" y="1520467"/>
        <a:ext cx="996157" cy="303706"/>
      </dsp:txXfrm>
    </dsp:sp>
    <dsp:sp modelId="{9ED0218C-8317-4BAD-BE14-172B5379F334}">
      <dsp:nvSpPr>
        <dsp:cNvPr id="0" name=""/>
        <dsp:cNvSpPr/>
      </dsp:nvSpPr>
      <dsp:spPr>
        <a:xfrm>
          <a:off x="1898895" y="1520467"/>
          <a:ext cx="996157" cy="30370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1" kern="1200"/>
            <a:t>CAPCE</a:t>
          </a:r>
          <a:endParaRPr lang="en-GB" sz="1000" b="1" kern="1200"/>
        </a:p>
      </dsp:txBody>
      <dsp:txXfrm>
        <a:off x="1898895" y="1520467"/>
        <a:ext cx="996157" cy="303706"/>
      </dsp:txXfrm>
    </dsp:sp>
    <dsp:sp modelId="{1136DE16-822F-41A3-802D-02AA6DC3E78C}">
      <dsp:nvSpPr>
        <dsp:cNvPr id="0" name=""/>
        <dsp:cNvSpPr/>
      </dsp:nvSpPr>
      <dsp:spPr>
        <a:xfrm>
          <a:off x="3094284" y="1934"/>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Personnel</a:t>
          </a:r>
          <a:endParaRPr lang="en-GB" sz="1000" kern="1200"/>
        </a:p>
      </dsp:txBody>
      <dsp:txXfrm>
        <a:off x="3094284" y="1934"/>
        <a:ext cx="996157" cy="303706"/>
      </dsp:txXfrm>
    </dsp:sp>
    <dsp:sp modelId="{CD1A2BA5-FC3E-4B42-B85F-1CF6945511DE}">
      <dsp:nvSpPr>
        <dsp:cNvPr id="0" name=""/>
        <dsp:cNvSpPr/>
      </dsp:nvSpPr>
      <dsp:spPr>
        <a:xfrm>
          <a:off x="3094284" y="381567"/>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Courrier</a:t>
          </a:r>
          <a:endParaRPr lang="en-GB" sz="1000" kern="1200"/>
        </a:p>
      </dsp:txBody>
      <dsp:txXfrm>
        <a:off x="3094284" y="381567"/>
        <a:ext cx="996157" cy="303706"/>
      </dsp:txXfrm>
    </dsp:sp>
    <dsp:sp modelId="{C79D9C9E-0ED5-455E-9DBD-896C47340616}">
      <dsp:nvSpPr>
        <dsp:cNvPr id="0" name=""/>
        <dsp:cNvSpPr/>
      </dsp:nvSpPr>
      <dsp:spPr>
        <a:xfrm>
          <a:off x="3084761" y="761200"/>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Information, redaction, études</a:t>
          </a:r>
          <a:endParaRPr lang="en-GB" sz="1000" kern="1200"/>
        </a:p>
      </dsp:txBody>
      <dsp:txXfrm>
        <a:off x="3084761" y="761200"/>
        <a:ext cx="996157" cy="303706"/>
      </dsp:txXfrm>
    </dsp:sp>
    <dsp:sp modelId="{AFDF2FC4-781C-4C85-8426-5A1FCA1AA475}">
      <dsp:nvSpPr>
        <dsp:cNvPr id="0" name=""/>
        <dsp:cNvSpPr/>
      </dsp:nvSpPr>
      <dsp:spPr>
        <a:xfrm>
          <a:off x="3094284" y="1140834"/>
          <a:ext cx="996157" cy="303706"/>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Propagande aérienne</a:t>
          </a:r>
          <a:endParaRPr lang="en-GB" sz="1000" kern="1200"/>
        </a:p>
      </dsp:txBody>
      <dsp:txXfrm>
        <a:off x="3094284" y="1140834"/>
        <a:ext cx="996157" cy="303706"/>
      </dsp:txXfrm>
    </dsp:sp>
    <dsp:sp modelId="{0B04EC98-9270-40C3-8A2D-5165EAD5A433}">
      <dsp:nvSpPr>
        <dsp:cNvPr id="0" name=""/>
        <dsp:cNvSpPr/>
      </dsp:nvSpPr>
      <dsp:spPr>
        <a:xfrm>
          <a:off x="3094284" y="1520467"/>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Fabrication</a:t>
          </a:r>
          <a:endParaRPr lang="en-GB" sz="1000" kern="1200"/>
        </a:p>
      </dsp:txBody>
      <dsp:txXfrm>
        <a:off x="3094284" y="1520467"/>
        <a:ext cx="996157" cy="303706"/>
      </dsp:txXfrm>
    </dsp:sp>
    <dsp:sp modelId="{B10BF937-E972-47C0-A1FA-02B2A0018F41}">
      <dsp:nvSpPr>
        <dsp:cNvPr id="0" name=""/>
        <dsp:cNvSpPr/>
      </dsp:nvSpPr>
      <dsp:spPr>
        <a:xfrm>
          <a:off x="3094284" y="1900100"/>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Conférences et rapports EM alliés</a:t>
          </a:r>
          <a:endParaRPr lang="en-GB" sz="1000" kern="1200"/>
        </a:p>
      </dsp:txBody>
      <dsp:txXfrm>
        <a:off x="3094284" y="1900100"/>
        <a:ext cx="996157" cy="303706"/>
      </dsp:txXfrm>
    </dsp:sp>
    <dsp:sp modelId="{D1909069-142C-4A27-A6C1-06724EACA112}">
      <dsp:nvSpPr>
        <dsp:cNvPr id="0" name=""/>
        <dsp:cNvSpPr/>
      </dsp:nvSpPr>
      <dsp:spPr>
        <a:xfrm>
          <a:off x="3094284" y="2279734"/>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Finances</a:t>
          </a:r>
          <a:endParaRPr lang="en-GB" sz="1000" kern="1200"/>
        </a:p>
      </dsp:txBody>
      <dsp:txXfrm>
        <a:off x="3094284" y="2279734"/>
        <a:ext cx="996157" cy="303706"/>
      </dsp:txXfrm>
    </dsp:sp>
    <dsp:sp modelId="{02F1D62F-45DD-4369-90A4-0DEA640AD261}">
      <dsp:nvSpPr>
        <dsp:cNvPr id="0" name=""/>
        <dsp:cNvSpPr/>
      </dsp:nvSpPr>
      <dsp:spPr>
        <a:xfrm>
          <a:off x="3094284" y="2659367"/>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Propagande intérieure</a:t>
          </a:r>
          <a:endParaRPr lang="en-GB" sz="1000" kern="1200"/>
        </a:p>
      </dsp:txBody>
      <dsp:txXfrm>
        <a:off x="3094284" y="2659367"/>
        <a:ext cx="996157" cy="303706"/>
      </dsp:txXfrm>
    </dsp:sp>
    <dsp:sp modelId="{E653BA53-9CC6-40A0-BB5E-C39C0115A8C8}">
      <dsp:nvSpPr>
        <dsp:cNvPr id="0" name=""/>
        <dsp:cNvSpPr/>
      </dsp:nvSpPr>
      <dsp:spPr>
        <a:xfrm>
          <a:off x="3094284" y="3039000"/>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Diffusion documentation</a:t>
          </a:r>
          <a:endParaRPr lang="en-GB" sz="1000" kern="1200"/>
        </a:p>
      </dsp:txBody>
      <dsp:txXfrm>
        <a:off x="3094284" y="3039000"/>
        <a:ext cx="996157" cy="303706"/>
      </dsp:txXfrm>
    </dsp:sp>
    <dsp:sp modelId="{0D70EF54-6B4B-4E3F-8410-26E63CE2C7AB}">
      <dsp:nvSpPr>
        <dsp:cNvPr id="0" name=""/>
        <dsp:cNvSpPr/>
      </dsp:nvSpPr>
      <dsp:spPr>
        <a:xfrm>
          <a:off x="4289674" y="2659367"/>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Conférences</a:t>
          </a:r>
          <a:endParaRPr lang="en-GB" sz="1000" kern="1200"/>
        </a:p>
      </dsp:txBody>
      <dsp:txXfrm>
        <a:off x="4289674" y="2659367"/>
        <a:ext cx="996157" cy="303706"/>
      </dsp:txXfrm>
    </dsp:sp>
    <dsp:sp modelId="{1BB8B0C5-849A-491A-B885-5EF844D08FF7}">
      <dsp:nvSpPr>
        <dsp:cNvPr id="0" name=""/>
        <dsp:cNvSpPr/>
      </dsp:nvSpPr>
      <dsp:spPr>
        <a:xfrm>
          <a:off x="4289674" y="3039000"/>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Objets de distribution</a:t>
          </a:r>
          <a:endParaRPr lang="en-GB" sz="1000" kern="1200"/>
        </a:p>
      </dsp:txBody>
      <dsp:txXfrm>
        <a:off x="4289674" y="3039000"/>
        <a:ext cx="996157" cy="303706"/>
      </dsp:txXfrm>
    </dsp:sp>
    <dsp:sp modelId="{F9CB6C9E-A335-482F-997B-82095A69BF4B}">
      <dsp:nvSpPr>
        <dsp:cNvPr id="0" name=""/>
        <dsp:cNvSpPr/>
      </dsp:nvSpPr>
      <dsp:spPr>
        <a:xfrm>
          <a:off x="4289674" y="3418633"/>
          <a:ext cx="996157" cy="30370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Cinéma et photos</a:t>
          </a:r>
          <a:endParaRPr lang="en-GB" sz="1000" kern="1200"/>
        </a:p>
      </dsp:txBody>
      <dsp:txXfrm>
        <a:off x="4289674" y="3418633"/>
        <a:ext cx="996157" cy="30370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1/1/204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0FFD2F-ADFF-492F-A2C3-15B27DE34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423DAFBA</Template>
  <TotalTime>159</TotalTime>
  <Pages>205</Pages>
  <Words>77111</Words>
  <Characters>439538</Characters>
  <Application>Microsoft Office Word</Application>
  <DocSecurity>0</DocSecurity>
  <Lines>3662</Lines>
  <Paragraphs>1031</Paragraphs>
  <ScaleCrop>false</ScaleCrop>
  <HeadingPairs>
    <vt:vector size="2" baseType="variant">
      <vt:variant>
        <vt:lpstr>Title</vt:lpstr>
      </vt:variant>
      <vt:variant>
        <vt:i4>1</vt:i4>
      </vt:variant>
    </vt:vector>
  </HeadingPairs>
  <TitlesOfParts>
    <vt:vector size="1" baseType="lpstr">
      <vt:lpstr>Allied propaganda in occupied France and Belgium during the first world war</vt:lpstr>
    </vt:vector>
  </TitlesOfParts>
  <Company>Microsoft</Company>
  <LinksUpToDate>false</LinksUpToDate>
  <CharactersWithSpaces>515618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propaganda in occupied France and Belgium during the first world war</dc:title>
  <dc:subject>Submitted for the degree of Ph.D.</dc:subject>
  <dc:creator>Bernard Albert WILKIN</dc:creator>
  <cp:lastModifiedBy>Bernard Albert WILKIN</cp:lastModifiedBy>
  <cp:revision>19</cp:revision>
  <cp:lastPrinted>2014-09-08T13:55:00Z</cp:lastPrinted>
  <dcterms:created xsi:type="dcterms:W3CDTF">2014-11-11T10:41:00Z</dcterms:created>
  <dcterms:modified xsi:type="dcterms:W3CDTF">2014-11-13T10:13:00Z</dcterms:modified>
</cp:coreProperties>
</file>