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7C4E2" w14:textId="77777777" w:rsidR="00957330" w:rsidRPr="008D0572" w:rsidRDefault="00957330" w:rsidP="00DA2E02">
      <w:pPr>
        <w:pStyle w:val="Title"/>
        <w:rPr>
          <w:rFonts w:eastAsia="MS Mincho"/>
          <w:lang w:eastAsia="ja-JP"/>
        </w:rPr>
      </w:pPr>
      <w:bookmarkStart w:id="0" w:name="_GoBack"/>
      <w:bookmarkEnd w:id="0"/>
    </w:p>
    <w:p w14:paraId="5788EF16" w14:textId="77777777" w:rsidR="003624C0" w:rsidRDefault="00957330" w:rsidP="00DA2E02">
      <w:pPr>
        <w:pStyle w:val="Title"/>
      </w:pPr>
      <w:r>
        <w:rPr>
          <w:noProof/>
          <w:lang w:eastAsia="ja-JP"/>
        </w:rPr>
        <w:drawing>
          <wp:inline distT="0" distB="0" distL="0" distR="0" wp14:anchorId="3E0FE7A3" wp14:editId="03362698">
            <wp:extent cx="2635200" cy="1051200"/>
            <wp:effectExtent l="0" t="0" r="0" b="0"/>
            <wp:docPr id="2" name="Picture 2" descr="E:\Project\Second Submission\tuoslogo_key_bw_v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roject\Second Submission\tuoslogo_key_bw_vh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200" cy="1051200"/>
                    </a:xfrm>
                    <a:prstGeom prst="rect">
                      <a:avLst/>
                    </a:prstGeom>
                    <a:noFill/>
                    <a:ln>
                      <a:noFill/>
                    </a:ln>
                  </pic:spPr>
                </pic:pic>
              </a:graphicData>
            </a:graphic>
          </wp:inline>
        </w:drawing>
      </w:r>
    </w:p>
    <w:p w14:paraId="3B4908CB" w14:textId="77777777" w:rsidR="00EB04F7" w:rsidRDefault="00EB04F7" w:rsidP="00DA2E02">
      <w:pPr>
        <w:pStyle w:val="Title"/>
      </w:pPr>
    </w:p>
    <w:p w14:paraId="7BE31980" w14:textId="77777777" w:rsidR="00EB04F7" w:rsidRDefault="00EB04F7" w:rsidP="00DA2E02">
      <w:pPr>
        <w:pStyle w:val="Title"/>
      </w:pPr>
    </w:p>
    <w:p w14:paraId="525647D3" w14:textId="77777777" w:rsidR="00D36CF7" w:rsidRPr="00D36CF7" w:rsidRDefault="00D36CF7" w:rsidP="00DA2E02">
      <w:pPr>
        <w:pStyle w:val="Title"/>
        <w:rPr>
          <w:lang w:eastAsia="ja-JP"/>
        </w:rPr>
      </w:pPr>
    </w:p>
    <w:p w14:paraId="530E3B19" w14:textId="77777777" w:rsidR="002778E9" w:rsidRPr="002778E9" w:rsidRDefault="002778E9" w:rsidP="00DA2E02">
      <w:pPr>
        <w:pStyle w:val="Title"/>
        <w:rPr>
          <w:lang w:eastAsia="ja-JP"/>
        </w:rPr>
      </w:pPr>
    </w:p>
    <w:p w14:paraId="63FE18EE" w14:textId="77777777" w:rsidR="00EC633F" w:rsidRPr="00EB04F7" w:rsidRDefault="00EC633F" w:rsidP="00DA2E02">
      <w:pPr>
        <w:pStyle w:val="Title"/>
      </w:pPr>
    </w:p>
    <w:p w14:paraId="260F3D0D" w14:textId="77777777" w:rsidR="0022595A" w:rsidRDefault="00FA4056" w:rsidP="00DA2E02">
      <w:pPr>
        <w:pStyle w:val="Title"/>
        <w:jc w:val="center"/>
        <w:rPr>
          <w:rFonts w:eastAsia="MS Mincho"/>
          <w:b/>
          <w:bCs/>
        </w:rPr>
      </w:pPr>
      <w:r w:rsidRPr="00DA2E02">
        <w:rPr>
          <w:b/>
          <w:bCs/>
        </w:rPr>
        <w:t>The Transformation of the Japanese State</w:t>
      </w:r>
      <w:r w:rsidR="00331945" w:rsidRPr="00DA2E02">
        <w:rPr>
          <w:rFonts w:eastAsia="MS Mincho" w:hint="eastAsia"/>
          <w:b/>
          <w:bCs/>
        </w:rPr>
        <w:t xml:space="preserve"> </w:t>
      </w:r>
    </w:p>
    <w:p w14:paraId="31A5E65A" w14:textId="77777777" w:rsidR="00EB04F7" w:rsidRPr="00DA2E02" w:rsidRDefault="00FA4056" w:rsidP="00DA2E02">
      <w:pPr>
        <w:pStyle w:val="Title"/>
        <w:jc w:val="center"/>
        <w:rPr>
          <w:b/>
          <w:bCs/>
        </w:rPr>
      </w:pPr>
      <w:r w:rsidRPr="00DA2E02">
        <w:rPr>
          <w:b/>
          <w:bCs/>
        </w:rPr>
        <w:t>in an Era of Governance:</w:t>
      </w:r>
    </w:p>
    <w:p w14:paraId="4482E13D" w14:textId="77777777" w:rsidR="00FA4056" w:rsidRPr="00DA2E02" w:rsidRDefault="00FA4056" w:rsidP="00DA2E02">
      <w:pPr>
        <w:pStyle w:val="Title"/>
        <w:jc w:val="center"/>
        <w:rPr>
          <w:b/>
          <w:bCs/>
        </w:rPr>
      </w:pPr>
      <w:r w:rsidRPr="00DA2E02">
        <w:rPr>
          <w:b/>
          <w:bCs/>
        </w:rPr>
        <w:t>A Case Study of the Evolving Regulatory Framework</w:t>
      </w:r>
    </w:p>
    <w:p w14:paraId="6C07B321" w14:textId="77777777" w:rsidR="00FA4056" w:rsidRDefault="00FA4056" w:rsidP="00DA2E02">
      <w:pPr>
        <w:pStyle w:val="Title"/>
      </w:pPr>
    </w:p>
    <w:p w14:paraId="7E6FEE3F" w14:textId="77777777" w:rsidR="00634D7E" w:rsidRDefault="00634D7E" w:rsidP="00DA2E02">
      <w:pPr>
        <w:pStyle w:val="Title"/>
      </w:pPr>
    </w:p>
    <w:p w14:paraId="2713F16E" w14:textId="77777777" w:rsidR="00D36CF7" w:rsidRPr="00D36CF7" w:rsidRDefault="00D36CF7" w:rsidP="00DA2E02">
      <w:pPr>
        <w:pStyle w:val="Title"/>
      </w:pPr>
    </w:p>
    <w:p w14:paraId="4321DD41" w14:textId="77777777" w:rsidR="00EC633F" w:rsidRDefault="00EC633F" w:rsidP="00DA2E02">
      <w:pPr>
        <w:pStyle w:val="Title"/>
        <w:rPr>
          <w:rFonts w:eastAsia="MS Mincho"/>
          <w:lang w:eastAsia="ja-JP"/>
        </w:rPr>
      </w:pPr>
    </w:p>
    <w:p w14:paraId="0531EDB8" w14:textId="77777777" w:rsidR="00EB04F7" w:rsidRDefault="00EB04F7" w:rsidP="00DA2E02">
      <w:pPr>
        <w:pStyle w:val="Title"/>
      </w:pPr>
    </w:p>
    <w:p w14:paraId="67795CEB" w14:textId="77777777" w:rsidR="00EB04F7" w:rsidRDefault="00EB04F7" w:rsidP="00DA2E02">
      <w:pPr>
        <w:pStyle w:val="Title"/>
        <w:jc w:val="center"/>
      </w:pPr>
      <w:r>
        <w:t>Masahiro MOGAKI</w:t>
      </w:r>
    </w:p>
    <w:p w14:paraId="35EEA29A" w14:textId="77777777" w:rsidR="00EC633F" w:rsidRDefault="00EC633F" w:rsidP="00DA2E02">
      <w:pPr>
        <w:pStyle w:val="Title"/>
        <w:jc w:val="center"/>
      </w:pPr>
    </w:p>
    <w:p w14:paraId="1EE0B1C2" w14:textId="77777777" w:rsidR="00EB04F7" w:rsidRDefault="00EB04F7" w:rsidP="00DA2E02">
      <w:pPr>
        <w:pStyle w:val="Title"/>
        <w:jc w:val="center"/>
      </w:pPr>
      <w:r>
        <w:t>Department of Politics</w:t>
      </w:r>
    </w:p>
    <w:p w14:paraId="2D1021B7" w14:textId="77777777" w:rsidR="00EB04F7" w:rsidRDefault="00947FBE" w:rsidP="00DA2E02">
      <w:pPr>
        <w:pStyle w:val="Title"/>
        <w:jc w:val="center"/>
      </w:pPr>
      <w:r>
        <w:rPr>
          <w:rFonts w:eastAsia="MS Mincho" w:hint="eastAsia"/>
          <w:lang w:eastAsia="ja-JP"/>
        </w:rPr>
        <w:t xml:space="preserve">The </w:t>
      </w:r>
      <w:r w:rsidR="00EB04F7">
        <w:t>University of Sheffield</w:t>
      </w:r>
    </w:p>
    <w:p w14:paraId="5EEA32D5" w14:textId="77777777" w:rsidR="00EC633F" w:rsidRDefault="00EC633F" w:rsidP="00DA2E02">
      <w:pPr>
        <w:pStyle w:val="Title"/>
        <w:jc w:val="center"/>
      </w:pPr>
    </w:p>
    <w:p w14:paraId="59AD0EE9" w14:textId="77777777" w:rsidR="00EC633F" w:rsidRDefault="00EC633F" w:rsidP="00DA2E02">
      <w:pPr>
        <w:pStyle w:val="Title"/>
        <w:jc w:val="center"/>
      </w:pPr>
    </w:p>
    <w:p w14:paraId="5F21F24F" w14:textId="77777777" w:rsidR="00EB04F7" w:rsidRPr="00EB04F7" w:rsidRDefault="00EB04F7" w:rsidP="00DA2E02">
      <w:pPr>
        <w:pStyle w:val="Title"/>
        <w:jc w:val="center"/>
        <w:rPr>
          <w:sz w:val="32"/>
          <w:szCs w:val="32"/>
        </w:rPr>
      </w:pPr>
      <w:r w:rsidRPr="00EB04F7">
        <w:rPr>
          <w:sz w:val="32"/>
          <w:szCs w:val="32"/>
        </w:rPr>
        <w:t>A Dissertation submitted for the Degree of Doctor of Philosophy</w:t>
      </w:r>
    </w:p>
    <w:p w14:paraId="3459AF98" w14:textId="77777777" w:rsidR="00EB04F7" w:rsidRPr="00EB04F7" w:rsidRDefault="00EF2C0C" w:rsidP="00EF2C0C">
      <w:pPr>
        <w:pStyle w:val="Title"/>
        <w:jc w:val="center"/>
        <w:rPr>
          <w:sz w:val="32"/>
          <w:szCs w:val="32"/>
        </w:rPr>
      </w:pPr>
      <w:r>
        <w:rPr>
          <w:sz w:val="32"/>
          <w:szCs w:val="32"/>
        </w:rPr>
        <w:t>March</w:t>
      </w:r>
      <w:r w:rsidR="00331945">
        <w:rPr>
          <w:rFonts w:eastAsia="MS Mincho" w:hint="eastAsia"/>
          <w:sz w:val="32"/>
          <w:szCs w:val="32"/>
          <w:lang w:eastAsia="ja-JP"/>
        </w:rPr>
        <w:t xml:space="preserve"> 2013</w:t>
      </w:r>
    </w:p>
    <w:p w14:paraId="6FB22D76" w14:textId="77777777" w:rsidR="007C5AED" w:rsidRDefault="007C5AED" w:rsidP="00DA2E02">
      <w:pPr>
        <w:pStyle w:val="Title"/>
        <w:rPr>
          <w:rFonts w:eastAsiaTheme="majorEastAsia"/>
          <w:b/>
        </w:rPr>
      </w:pPr>
      <w:r>
        <w:rPr>
          <w:b/>
        </w:rPr>
        <w:br w:type="page"/>
      </w:r>
    </w:p>
    <w:p w14:paraId="21870081" w14:textId="77777777" w:rsidR="00EC633F" w:rsidRDefault="00EC633F" w:rsidP="00331945">
      <w:pPr>
        <w:pStyle w:val="Title"/>
        <w:jc w:val="center"/>
        <w:rPr>
          <w:b/>
        </w:rPr>
        <w:sectPr w:rsidR="00EC633F" w:rsidSect="005B18BE">
          <w:headerReference w:type="default" r:id="rId9"/>
          <w:footerReference w:type="default" r:id="rId10"/>
          <w:pgSz w:w="11906" w:h="16838" w:code="9"/>
          <w:pgMar w:top="1134" w:right="2268" w:bottom="1134" w:left="1134" w:header="567" w:footer="567" w:gutter="0"/>
          <w:pgNumType w:start="0"/>
          <w:cols w:space="708"/>
          <w:titlePg/>
          <w:docGrid w:type="linesAndChars" w:linePitch="492" w:charSpace="-4931"/>
        </w:sectPr>
      </w:pPr>
    </w:p>
    <w:sdt>
      <w:sdtPr>
        <w:rPr>
          <w:rFonts w:eastAsiaTheme="minorEastAsia" w:cs="Times New Roman"/>
          <w:b w:val="0"/>
          <w:bCs w:val="0"/>
          <w:sz w:val="24"/>
          <w:szCs w:val="24"/>
          <w:lang w:val="en-GB" w:eastAsia="zh-CN"/>
        </w:rPr>
        <w:id w:val="1895509"/>
        <w:docPartObj>
          <w:docPartGallery w:val="Table of Contents"/>
          <w:docPartUnique/>
        </w:docPartObj>
      </w:sdtPr>
      <w:sdtEndPr/>
      <w:sdtContent>
        <w:bookmarkStart w:id="1" w:name="_Toc349741323" w:displacedByCustomXml="prev"/>
        <w:p w14:paraId="532B196C" w14:textId="77777777" w:rsidR="00895939" w:rsidRPr="00895939" w:rsidRDefault="00895939" w:rsidP="00050D4B">
          <w:pPr>
            <w:pStyle w:val="TOCHeading"/>
            <w:outlineLvl w:val="0"/>
          </w:pPr>
          <w:r w:rsidRPr="006B26C4">
            <w:t>Contents</w:t>
          </w:r>
          <w:bookmarkEnd w:id="1"/>
        </w:p>
        <w:p w14:paraId="377B25CB" w14:textId="77777777" w:rsidR="000D3149" w:rsidRDefault="000D3149" w:rsidP="000D3149">
          <w:pPr>
            <w:pStyle w:val="TOC1"/>
            <w:rPr>
              <w:rStyle w:val="Hyperlink"/>
              <w:noProof/>
            </w:rPr>
          </w:pPr>
        </w:p>
        <w:p w14:paraId="0A65A342" w14:textId="77777777" w:rsidR="000D3149" w:rsidRDefault="000D3149" w:rsidP="000D3149">
          <w:pPr>
            <w:pStyle w:val="TOC1"/>
            <w:rPr>
              <w:rStyle w:val="Hyperlink"/>
              <w:noProof/>
            </w:rPr>
          </w:pPr>
        </w:p>
        <w:p w14:paraId="7834CB87" w14:textId="77777777" w:rsidR="00EF2C0C" w:rsidRDefault="00F77E54">
          <w:pPr>
            <w:pStyle w:val="TOC1"/>
            <w:rPr>
              <w:rFonts w:asciiTheme="minorHAnsi" w:hAnsiTheme="minorHAnsi" w:cstheme="minorBidi"/>
              <w:noProof/>
              <w:sz w:val="22"/>
              <w:szCs w:val="22"/>
            </w:rPr>
          </w:pPr>
          <w:r>
            <w:rPr>
              <w:lang w:eastAsia="ja-JP"/>
            </w:rPr>
            <w:fldChar w:fldCharType="begin"/>
          </w:r>
          <w:r w:rsidR="00895939">
            <w:rPr>
              <w:lang w:eastAsia="ja-JP"/>
            </w:rPr>
            <w:instrText xml:space="preserve"> TOC \o "1-3" \h \z \u </w:instrText>
          </w:r>
          <w:r>
            <w:rPr>
              <w:lang w:eastAsia="ja-JP"/>
            </w:rPr>
            <w:fldChar w:fldCharType="separate"/>
          </w:r>
          <w:hyperlink w:anchor="_Toc349741323" w:history="1">
            <w:r w:rsidR="00EF2C0C" w:rsidRPr="001C09DA">
              <w:rPr>
                <w:rStyle w:val="Hyperlink"/>
                <w:noProof/>
              </w:rPr>
              <w:t>Contents</w:t>
            </w:r>
            <w:r w:rsidR="00EF2C0C">
              <w:rPr>
                <w:noProof/>
                <w:webHidden/>
              </w:rPr>
              <w:tab/>
            </w:r>
            <w:r w:rsidR="00EF2C0C">
              <w:rPr>
                <w:noProof/>
                <w:webHidden/>
              </w:rPr>
              <w:tab/>
            </w:r>
            <w:r>
              <w:rPr>
                <w:noProof/>
                <w:webHidden/>
              </w:rPr>
              <w:fldChar w:fldCharType="begin"/>
            </w:r>
            <w:r w:rsidR="00EF2C0C">
              <w:rPr>
                <w:noProof/>
                <w:webHidden/>
              </w:rPr>
              <w:instrText xml:space="preserve"> PAGEREF _Toc349741323 \h </w:instrText>
            </w:r>
            <w:r>
              <w:rPr>
                <w:noProof/>
                <w:webHidden/>
              </w:rPr>
            </w:r>
            <w:r>
              <w:rPr>
                <w:noProof/>
                <w:webHidden/>
              </w:rPr>
              <w:fldChar w:fldCharType="separate"/>
            </w:r>
            <w:r w:rsidR="00D11EA4">
              <w:rPr>
                <w:noProof/>
                <w:webHidden/>
              </w:rPr>
              <w:t>i</w:t>
            </w:r>
            <w:r>
              <w:rPr>
                <w:noProof/>
                <w:webHidden/>
              </w:rPr>
              <w:fldChar w:fldCharType="end"/>
            </w:r>
          </w:hyperlink>
        </w:p>
        <w:p w14:paraId="1C70EEDC" w14:textId="2141BABB" w:rsidR="00EF2C0C" w:rsidRDefault="00050AB3">
          <w:pPr>
            <w:pStyle w:val="TOC1"/>
            <w:rPr>
              <w:rFonts w:asciiTheme="minorHAnsi" w:hAnsiTheme="minorHAnsi" w:cstheme="minorBidi"/>
              <w:noProof/>
              <w:sz w:val="22"/>
              <w:szCs w:val="22"/>
            </w:rPr>
          </w:pPr>
          <w:hyperlink w:anchor="_Toc349741324" w:history="1">
            <w:r w:rsidR="00EF2C0C" w:rsidRPr="001C09DA">
              <w:rPr>
                <w:rStyle w:val="Hyperlink"/>
                <w:noProof/>
                <w:lang w:eastAsia="ja-JP"/>
              </w:rPr>
              <w:t>Acknowledgements</w:t>
            </w:r>
            <w:r w:rsidR="00EF2C0C">
              <w:rPr>
                <w:noProof/>
                <w:webHidden/>
              </w:rPr>
              <w:tab/>
            </w:r>
            <w:r w:rsidR="00F77E54">
              <w:rPr>
                <w:noProof/>
                <w:webHidden/>
              </w:rPr>
              <w:fldChar w:fldCharType="begin"/>
            </w:r>
            <w:r w:rsidR="00EF2C0C">
              <w:rPr>
                <w:noProof/>
                <w:webHidden/>
              </w:rPr>
              <w:instrText xml:space="preserve"> PAGEREF _Toc349741324 \h </w:instrText>
            </w:r>
            <w:r w:rsidR="00F77E54">
              <w:rPr>
                <w:noProof/>
                <w:webHidden/>
              </w:rPr>
            </w:r>
            <w:r w:rsidR="00F77E54">
              <w:rPr>
                <w:noProof/>
                <w:webHidden/>
              </w:rPr>
              <w:fldChar w:fldCharType="separate"/>
            </w:r>
            <w:r w:rsidR="00D11EA4">
              <w:rPr>
                <w:noProof/>
                <w:webHidden/>
              </w:rPr>
              <w:t>iv</w:t>
            </w:r>
            <w:r w:rsidR="00F77E54">
              <w:rPr>
                <w:noProof/>
                <w:webHidden/>
              </w:rPr>
              <w:fldChar w:fldCharType="end"/>
            </w:r>
          </w:hyperlink>
        </w:p>
        <w:p w14:paraId="3388284B" w14:textId="6E841EB8" w:rsidR="00EF2C0C" w:rsidRDefault="00050AB3">
          <w:pPr>
            <w:pStyle w:val="TOC1"/>
            <w:rPr>
              <w:rFonts w:asciiTheme="minorHAnsi" w:hAnsiTheme="minorHAnsi" w:cstheme="minorBidi"/>
              <w:noProof/>
              <w:sz w:val="22"/>
              <w:szCs w:val="22"/>
            </w:rPr>
          </w:pPr>
          <w:hyperlink w:anchor="_Toc349741325" w:history="1">
            <w:r w:rsidR="00EF2C0C" w:rsidRPr="001C09DA">
              <w:rPr>
                <w:rStyle w:val="Hyperlink"/>
                <w:noProof/>
              </w:rPr>
              <w:t>Abstract</w:t>
            </w:r>
            <w:r w:rsidR="00EF2C0C">
              <w:rPr>
                <w:noProof/>
                <w:webHidden/>
              </w:rPr>
              <w:tab/>
            </w:r>
            <w:r w:rsidR="00EF2C0C">
              <w:rPr>
                <w:noProof/>
                <w:webHidden/>
              </w:rPr>
              <w:tab/>
            </w:r>
            <w:r w:rsidR="00F77E54">
              <w:rPr>
                <w:noProof/>
                <w:webHidden/>
              </w:rPr>
              <w:fldChar w:fldCharType="begin"/>
            </w:r>
            <w:r w:rsidR="00EF2C0C">
              <w:rPr>
                <w:noProof/>
                <w:webHidden/>
              </w:rPr>
              <w:instrText xml:space="preserve"> PAGEREF _Toc349741325 \h </w:instrText>
            </w:r>
            <w:r w:rsidR="00F77E54">
              <w:rPr>
                <w:noProof/>
                <w:webHidden/>
              </w:rPr>
            </w:r>
            <w:r w:rsidR="00F77E54">
              <w:rPr>
                <w:noProof/>
                <w:webHidden/>
              </w:rPr>
              <w:fldChar w:fldCharType="separate"/>
            </w:r>
            <w:r w:rsidR="00D11EA4">
              <w:rPr>
                <w:noProof/>
                <w:webHidden/>
              </w:rPr>
              <w:t>v</w:t>
            </w:r>
            <w:r w:rsidR="00F77E54">
              <w:rPr>
                <w:noProof/>
                <w:webHidden/>
              </w:rPr>
              <w:fldChar w:fldCharType="end"/>
            </w:r>
          </w:hyperlink>
        </w:p>
        <w:p w14:paraId="097E8BD5" w14:textId="2C5DC2B3" w:rsidR="00EF2C0C" w:rsidRDefault="00050AB3">
          <w:pPr>
            <w:pStyle w:val="TOC1"/>
            <w:rPr>
              <w:rFonts w:asciiTheme="minorHAnsi" w:hAnsiTheme="minorHAnsi" w:cstheme="minorBidi"/>
              <w:noProof/>
              <w:sz w:val="22"/>
              <w:szCs w:val="22"/>
            </w:rPr>
          </w:pPr>
          <w:hyperlink w:anchor="_Toc349741326" w:history="1">
            <w:r w:rsidR="00EF2C0C" w:rsidRPr="001C09DA">
              <w:rPr>
                <w:rStyle w:val="Hyperlink"/>
                <w:noProof/>
                <w:lang w:eastAsia="ja-JP"/>
              </w:rPr>
              <w:t>Abbreviation</w:t>
            </w:r>
            <w:r w:rsidR="00EF2C0C">
              <w:rPr>
                <w:noProof/>
                <w:webHidden/>
              </w:rPr>
              <w:tab/>
            </w:r>
            <w:r w:rsidR="00EF2C0C">
              <w:rPr>
                <w:noProof/>
                <w:webHidden/>
              </w:rPr>
              <w:tab/>
            </w:r>
            <w:r w:rsidR="00F77E54">
              <w:rPr>
                <w:noProof/>
                <w:webHidden/>
              </w:rPr>
              <w:fldChar w:fldCharType="begin"/>
            </w:r>
            <w:r w:rsidR="00EF2C0C">
              <w:rPr>
                <w:noProof/>
                <w:webHidden/>
              </w:rPr>
              <w:instrText xml:space="preserve"> PAGEREF _Toc349741326 \h </w:instrText>
            </w:r>
            <w:r w:rsidR="00F77E54">
              <w:rPr>
                <w:noProof/>
                <w:webHidden/>
              </w:rPr>
            </w:r>
            <w:r w:rsidR="00F77E54">
              <w:rPr>
                <w:noProof/>
                <w:webHidden/>
              </w:rPr>
              <w:fldChar w:fldCharType="separate"/>
            </w:r>
            <w:r w:rsidR="00D11EA4">
              <w:rPr>
                <w:noProof/>
                <w:webHidden/>
              </w:rPr>
              <w:t>vi</w:t>
            </w:r>
            <w:r w:rsidR="00F77E54">
              <w:rPr>
                <w:noProof/>
                <w:webHidden/>
              </w:rPr>
              <w:fldChar w:fldCharType="end"/>
            </w:r>
          </w:hyperlink>
        </w:p>
        <w:p w14:paraId="56C721E6" w14:textId="77777777" w:rsidR="00EF2C0C" w:rsidRDefault="00EF2C0C" w:rsidP="00EF2C0C">
          <w:pPr>
            <w:pStyle w:val="TOC1"/>
            <w:rPr>
              <w:rStyle w:val="Hyperlink"/>
              <w:noProof/>
            </w:rPr>
          </w:pPr>
        </w:p>
        <w:p w14:paraId="306C6540" w14:textId="77777777" w:rsidR="00EF2C0C" w:rsidRDefault="00EF2C0C">
          <w:pPr>
            <w:pStyle w:val="TOC1"/>
            <w:rPr>
              <w:rStyle w:val="Hyperlink"/>
              <w:noProof/>
            </w:rPr>
          </w:pPr>
        </w:p>
        <w:p w14:paraId="497502EB" w14:textId="77777777" w:rsidR="00EF2C0C" w:rsidRDefault="00050AB3">
          <w:pPr>
            <w:pStyle w:val="TOC1"/>
            <w:rPr>
              <w:rFonts w:asciiTheme="minorHAnsi" w:hAnsiTheme="minorHAnsi" w:cstheme="minorBidi"/>
              <w:noProof/>
              <w:sz w:val="22"/>
              <w:szCs w:val="22"/>
            </w:rPr>
          </w:pPr>
          <w:hyperlink w:anchor="_Toc349741327" w:history="1">
            <w:r w:rsidR="00EF2C0C" w:rsidRPr="001C09DA">
              <w:rPr>
                <w:rStyle w:val="Hyperlink"/>
                <w:noProof/>
                <w:lang w:eastAsia="ja-JP"/>
              </w:rPr>
              <w:t>Chapter 1</w:t>
            </w:r>
            <w:r w:rsidR="00EF2C0C">
              <w:rPr>
                <w:rFonts w:asciiTheme="minorHAnsi" w:hAnsiTheme="minorHAnsi" w:cstheme="minorBidi"/>
                <w:noProof/>
                <w:sz w:val="22"/>
                <w:szCs w:val="22"/>
              </w:rPr>
              <w:tab/>
            </w:r>
            <w:r w:rsidR="00EF2C0C" w:rsidRPr="001C09DA">
              <w:rPr>
                <w:rStyle w:val="Hyperlink"/>
                <w:noProof/>
                <w:lang w:eastAsia="ja-JP"/>
              </w:rPr>
              <w:t>Introduction</w:t>
            </w:r>
            <w:r w:rsidR="00EF2C0C">
              <w:rPr>
                <w:noProof/>
                <w:webHidden/>
              </w:rPr>
              <w:tab/>
            </w:r>
            <w:r w:rsidR="00F77E54">
              <w:rPr>
                <w:noProof/>
                <w:webHidden/>
              </w:rPr>
              <w:fldChar w:fldCharType="begin"/>
            </w:r>
            <w:r w:rsidR="00EF2C0C">
              <w:rPr>
                <w:noProof/>
                <w:webHidden/>
              </w:rPr>
              <w:instrText xml:space="preserve"> PAGEREF _Toc349741327 \h </w:instrText>
            </w:r>
            <w:r w:rsidR="00F77E54">
              <w:rPr>
                <w:noProof/>
                <w:webHidden/>
              </w:rPr>
            </w:r>
            <w:r w:rsidR="00F77E54">
              <w:rPr>
                <w:noProof/>
                <w:webHidden/>
              </w:rPr>
              <w:fldChar w:fldCharType="separate"/>
            </w:r>
            <w:r w:rsidR="00D11EA4">
              <w:rPr>
                <w:noProof/>
                <w:webHidden/>
              </w:rPr>
              <w:t>1</w:t>
            </w:r>
            <w:r w:rsidR="00F77E54">
              <w:rPr>
                <w:noProof/>
                <w:webHidden/>
              </w:rPr>
              <w:fldChar w:fldCharType="end"/>
            </w:r>
          </w:hyperlink>
        </w:p>
        <w:p w14:paraId="28FDD3D4" w14:textId="77777777" w:rsidR="00EF2C0C" w:rsidRDefault="00050AB3">
          <w:pPr>
            <w:pStyle w:val="TOC2"/>
            <w:rPr>
              <w:rFonts w:asciiTheme="minorHAnsi" w:hAnsiTheme="minorHAnsi" w:cstheme="minorBidi"/>
              <w:noProof/>
              <w:sz w:val="22"/>
              <w:szCs w:val="22"/>
            </w:rPr>
          </w:pPr>
          <w:hyperlink w:anchor="_Toc349741328" w:history="1">
            <w:r w:rsidR="00EF2C0C" w:rsidRPr="001C09DA">
              <w:rPr>
                <w:rStyle w:val="Hyperlink"/>
                <w:noProof/>
              </w:rPr>
              <w:t>1.1</w:t>
            </w:r>
            <w:r w:rsidR="00EF2C0C">
              <w:rPr>
                <w:rFonts w:asciiTheme="minorHAnsi" w:hAnsiTheme="minorHAnsi" w:cstheme="minorBidi"/>
                <w:noProof/>
                <w:sz w:val="22"/>
                <w:szCs w:val="22"/>
              </w:rPr>
              <w:tab/>
            </w:r>
            <w:r w:rsidR="00EF2C0C" w:rsidRPr="001C09DA">
              <w:rPr>
                <w:rStyle w:val="Hyperlink"/>
                <w:noProof/>
              </w:rPr>
              <w:t>Interest in the developed state and regulation</w:t>
            </w:r>
            <w:r w:rsidR="00EF2C0C">
              <w:rPr>
                <w:noProof/>
                <w:webHidden/>
              </w:rPr>
              <w:tab/>
            </w:r>
            <w:r w:rsidR="00F77E54">
              <w:rPr>
                <w:noProof/>
                <w:webHidden/>
              </w:rPr>
              <w:fldChar w:fldCharType="begin"/>
            </w:r>
            <w:r w:rsidR="00EF2C0C">
              <w:rPr>
                <w:noProof/>
                <w:webHidden/>
              </w:rPr>
              <w:instrText xml:space="preserve"> PAGEREF _Toc349741328 \h </w:instrText>
            </w:r>
            <w:r w:rsidR="00F77E54">
              <w:rPr>
                <w:noProof/>
                <w:webHidden/>
              </w:rPr>
            </w:r>
            <w:r w:rsidR="00F77E54">
              <w:rPr>
                <w:noProof/>
                <w:webHidden/>
              </w:rPr>
              <w:fldChar w:fldCharType="separate"/>
            </w:r>
            <w:r w:rsidR="00D11EA4">
              <w:rPr>
                <w:noProof/>
                <w:webHidden/>
              </w:rPr>
              <w:t>1</w:t>
            </w:r>
            <w:r w:rsidR="00F77E54">
              <w:rPr>
                <w:noProof/>
                <w:webHidden/>
              </w:rPr>
              <w:fldChar w:fldCharType="end"/>
            </w:r>
          </w:hyperlink>
        </w:p>
        <w:p w14:paraId="2CB4396B" w14:textId="77777777" w:rsidR="00EF2C0C" w:rsidRDefault="00050AB3">
          <w:pPr>
            <w:pStyle w:val="TOC2"/>
            <w:rPr>
              <w:rFonts w:asciiTheme="minorHAnsi" w:hAnsiTheme="minorHAnsi" w:cstheme="minorBidi"/>
              <w:noProof/>
              <w:sz w:val="22"/>
              <w:szCs w:val="22"/>
            </w:rPr>
          </w:pPr>
          <w:hyperlink w:anchor="_Toc349741329" w:history="1">
            <w:r w:rsidR="00EF2C0C" w:rsidRPr="001C09DA">
              <w:rPr>
                <w:rStyle w:val="Hyperlink"/>
                <w:noProof/>
              </w:rPr>
              <w:t>1.2</w:t>
            </w:r>
            <w:r w:rsidR="00EF2C0C">
              <w:rPr>
                <w:rFonts w:asciiTheme="minorHAnsi" w:hAnsiTheme="minorHAnsi" w:cstheme="minorBidi"/>
                <w:noProof/>
                <w:sz w:val="22"/>
                <w:szCs w:val="22"/>
              </w:rPr>
              <w:tab/>
            </w:r>
            <w:r w:rsidR="00EF2C0C" w:rsidRPr="001C09DA">
              <w:rPr>
                <w:rStyle w:val="Hyperlink"/>
                <w:noProof/>
              </w:rPr>
              <w:t>The framework and the core theme</w:t>
            </w:r>
            <w:r w:rsidR="00EF2C0C">
              <w:rPr>
                <w:noProof/>
                <w:webHidden/>
              </w:rPr>
              <w:tab/>
            </w:r>
            <w:r w:rsidR="00F77E54">
              <w:rPr>
                <w:noProof/>
                <w:webHidden/>
              </w:rPr>
              <w:fldChar w:fldCharType="begin"/>
            </w:r>
            <w:r w:rsidR="00EF2C0C">
              <w:rPr>
                <w:noProof/>
                <w:webHidden/>
              </w:rPr>
              <w:instrText xml:space="preserve"> PAGEREF _Toc349741329 \h </w:instrText>
            </w:r>
            <w:r w:rsidR="00F77E54">
              <w:rPr>
                <w:noProof/>
                <w:webHidden/>
              </w:rPr>
            </w:r>
            <w:r w:rsidR="00F77E54">
              <w:rPr>
                <w:noProof/>
                <w:webHidden/>
              </w:rPr>
              <w:fldChar w:fldCharType="separate"/>
            </w:r>
            <w:r w:rsidR="00D11EA4">
              <w:rPr>
                <w:noProof/>
                <w:webHidden/>
              </w:rPr>
              <w:t>2</w:t>
            </w:r>
            <w:r w:rsidR="00F77E54">
              <w:rPr>
                <w:noProof/>
                <w:webHidden/>
              </w:rPr>
              <w:fldChar w:fldCharType="end"/>
            </w:r>
          </w:hyperlink>
        </w:p>
        <w:p w14:paraId="190B89B4" w14:textId="77777777" w:rsidR="00EF2C0C" w:rsidRDefault="00050AB3">
          <w:pPr>
            <w:pStyle w:val="TOC2"/>
            <w:rPr>
              <w:rFonts w:asciiTheme="minorHAnsi" w:hAnsiTheme="minorHAnsi" w:cstheme="minorBidi"/>
              <w:noProof/>
              <w:sz w:val="22"/>
              <w:szCs w:val="22"/>
            </w:rPr>
          </w:pPr>
          <w:hyperlink w:anchor="_Toc349741330" w:history="1">
            <w:r w:rsidR="00EF2C0C" w:rsidRPr="001C09DA">
              <w:rPr>
                <w:rStyle w:val="Hyperlink"/>
                <w:noProof/>
              </w:rPr>
              <w:t>1.3</w:t>
            </w:r>
            <w:r w:rsidR="00EF2C0C">
              <w:rPr>
                <w:rFonts w:asciiTheme="minorHAnsi" w:hAnsiTheme="minorHAnsi" w:cstheme="minorBidi"/>
                <w:noProof/>
                <w:sz w:val="22"/>
                <w:szCs w:val="22"/>
              </w:rPr>
              <w:tab/>
            </w:r>
            <w:r w:rsidR="00EF2C0C" w:rsidRPr="001C09DA">
              <w:rPr>
                <w:rStyle w:val="Hyperlink"/>
                <w:noProof/>
              </w:rPr>
              <w:t>The proposition and research questions</w:t>
            </w:r>
            <w:r w:rsidR="00EF2C0C">
              <w:rPr>
                <w:noProof/>
                <w:webHidden/>
              </w:rPr>
              <w:tab/>
            </w:r>
            <w:r w:rsidR="00F77E54">
              <w:rPr>
                <w:noProof/>
                <w:webHidden/>
              </w:rPr>
              <w:fldChar w:fldCharType="begin"/>
            </w:r>
            <w:r w:rsidR="00EF2C0C">
              <w:rPr>
                <w:noProof/>
                <w:webHidden/>
              </w:rPr>
              <w:instrText xml:space="preserve"> PAGEREF _Toc349741330 \h </w:instrText>
            </w:r>
            <w:r w:rsidR="00F77E54">
              <w:rPr>
                <w:noProof/>
                <w:webHidden/>
              </w:rPr>
            </w:r>
            <w:r w:rsidR="00F77E54">
              <w:rPr>
                <w:noProof/>
                <w:webHidden/>
              </w:rPr>
              <w:fldChar w:fldCharType="separate"/>
            </w:r>
            <w:r w:rsidR="00D11EA4">
              <w:rPr>
                <w:noProof/>
                <w:webHidden/>
              </w:rPr>
              <w:t>8</w:t>
            </w:r>
            <w:r w:rsidR="00F77E54">
              <w:rPr>
                <w:noProof/>
                <w:webHidden/>
              </w:rPr>
              <w:fldChar w:fldCharType="end"/>
            </w:r>
          </w:hyperlink>
        </w:p>
        <w:p w14:paraId="6AAE6AF8" w14:textId="77777777" w:rsidR="00EF2C0C" w:rsidRDefault="00050AB3">
          <w:pPr>
            <w:pStyle w:val="TOC2"/>
            <w:rPr>
              <w:rFonts w:asciiTheme="minorHAnsi" w:hAnsiTheme="minorHAnsi" w:cstheme="minorBidi"/>
              <w:noProof/>
              <w:sz w:val="22"/>
              <w:szCs w:val="22"/>
            </w:rPr>
          </w:pPr>
          <w:hyperlink w:anchor="_Toc349741331" w:history="1">
            <w:r w:rsidR="00EF2C0C" w:rsidRPr="001C09DA">
              <w:rPr>
                <w:rStyle w:val="Hyperlink"/>
                <w:noProof/>
              </w:rPr>
              <w:t>1.4</w:t>
            </w:r>
            <w:r w:rsidR="00EF2C0C">
              <w:rPr>
                <w:rFonts w:asciiTheme="minorHAnsi" w:hAnsiTheme="minorHAnsi" w:cstheme="minorBidi"/>
                <w:noProof/>
                <w:sz w:val="22"/>
                <w:szCs w:val="22"/>
              </w:rPr>
              <w:tab/>
            </w:r>
            <w:r w:rsidR="00EF2C0C" w:rsidRPr="001C09DA">
              <w:rPr>
                <w:rStyle w:val="Hyperlink"/>
                <w:noProof/>
              </w:rPr>
              <w:t>The structure of the thesis</w:t>
            </w:r>
            <w:r w:rsidR="00EF2C0C">
              <w:rPr>
                <w:noProof/>
                <w:webHidden/>
              </w:rPr>
              <w:tab/>
            </w:r>
            <w:r w:rsidR="00F77E54">
              <w:rPr>
                <w:noProof/>
                <w:webHidden/>
              </w:rPr>
              <w:fldChar w:fldCharType="begin"/>
            </w:r>
            <w:r w:rsidR="00EF2C0C">
              <w:rPr>
                <w:noProof/>
                <w:webHidden/>
              </w:rPr>
              <w:instrText xml:space="preserve"> PAGEREF _Toc349741331 \h </w:instrText>
            </w:r>
            <w:r w:rsidR="00F77E54">
              <w:rPr>
                <w:noProof/>
                <w:webHidden/>
              </w:rPr>
            </w:r>
            <w:r w:rsidR="00F77E54">
              <w:rPr>
                <w:noProof/>
                <w:webHidden/>
              </w:rPr>
              <w:fldChar w:fldCharType="separate"/>
            </w:r>
            <w:r w:rsidR="00D11EA4">
              <w:rPr>
                <w:noProof/>
                <w:webHidden/>
              </w:rPr>
              <w:t>10</w:t>
            </w:r>
            <w:r w:rsidR="00F77E54">
              <w:rPr>
                <w:noProof/>
                <w:webHidden/>
              </w:rPr>
              <w:fldChar w:fldCharType="end"/>
            </w:r>
          </w:hyperlink>
        </w:p>
        <w:p w14:paraId="404AAF38" w14:textId="77777777" w:rsidR="00EF2C0C" w:rsidRDefault="00EF2C0C">
          <w:pPr>
            <w:pStyle w:val="TOC1"/>
            <w:rPr>
              <w:rStyle w:val="Hyperlink"/>
              <w:noProof/>
            </w:rPr>
          </w:pPr>
        </w:p>
        <w:p w14:paraId="0C30CC3E" w14:textId="77777777" w:rsidR="00EF2C0C" w:rsidRDefault="00050AB3">
          <w:pPr>
            <w:pStyle w:val="TOC1"/>
            <w:rPr>
              <w:rFonts w:asciiTheme="minorHAnsi" w:hAnsiTheme="minorHAnsi" w:cstheme="minorBidi"/>
              <w:noProof/>
              <w:sz w:val="22"/>
              <w:szCs w:val="22"/>
            </w:rPr>
          </w:pPr>
          <w:hyperlink w:anchor="_Toc349741332" w:history="1">
            <w:r w:rsidR="00EF2C0C" w:rsidRPr="001C09DA">
              <w:rPr>
                <w:rStyle w:val="Hyperlink"/>
                <w:noProof/>
                <w:lang w:eastAsia="ja-JP"/>
              </w:rPr>
              <w:t xml:space="preserve">Chapter 2 </w:t>
            </w:r>
            <w:r w:rsidR="00EF2C0C">
              <w:rPr>
                <w:rFonts w:asciiTheme="minorHAnsi" w:hAnsiTheme="minorHAnsi" w:cstheme="minorBidi"/>
                <w:noProof/>
                <w:sz w:val="22"/>
                <w:szCs w:val="22"/>
              </w:rPr>
              <w:tab/>
            </w:r>
            <w:r w:rsidR="00EF2C0C" w:rsidRPr="001C09DA">
              <w:rPr>
                <w:rStyle w:val="Hyperlink"/>
                <w:noProof/>
                <w:lang w:eastAsia="ja-JP"/>
              </w:rPr>
              <w:t>The Development of the Japanese State</w:t>
            </w:r>
            <w:r w:rsidR="00EF2C0C">
              <w:rPr>
                <w:noProof/>
                <w:webHidden/>
              </w:rPr>
              <w:tab/>
            </w:r>
            <w:r w:rsidR="00F77E54">
              <w:rPr>
                <w:noProof/>
                <w:webHidden/>
              </w:rPr>
              <w:fldChar w:fldCharType="begin"/>
            </w:r>
            <w:r w:rsidR="00EF2C0C">
              <w:rPr>
                <w:noProof/>
                <w:webHidden/>
              </w:rPr>
              <w:instrText xml:space="preserve"> PAGEREF _Toc349741332 \h </w:instrText>
            </w:r>
            <w:r w:rsidR="00F77E54">
              <w:rPr>
                <w:noProof/>
                <w:webHidden/>
              </w:rPr>
            </w:r>
            <w:r w:rsidR="00F77E54">
              <w:rPr>
                <w:noProof/>
                <w:webHidden/>
              </w:rPr>
              <w:fldChar w:fldCharType="separate"/>
            </w:r>
            <w:r w:rsidR="00D11EA4">
              <w:rPr>
                <w:noProof/>
                <w:webHidden/>
              </w:rPr>
              <w:t>13</w:t>
            </w:r>
            <w:r w:rsidR="00F77E54">
              <w:rPr>
                <w:noProof/>
                <w:webHidden/>
              </w:rPr>
              <w:fldChar w:fldCharType="end"/>
            </w:r>
          </w:hyperlink>
        </w:p>
        <w:p w14:paraId="47181248" w14:textId="77777777" w:rsidR="00EF2C0C" w:rsidRDefault="00050AB3">
          <w:pPr>
            <w:pStyle w:val="TOC2"/>
            <w:rPr>
              <w:rFonts w:asciiTheme="minorHAnsi" w:hAnsiTheme="minorHAnsi" w:cstheme="minorBidi"/>
              <w:noProof/>
              <w:sz w:val="22"/>
              <w:szCs w:val="22"/>
            </w:rPr>
          </w:pPr>
          <w:hyperlink w:anchor="_Toc349741333" w:history="1">
            <w:r w:rsidR="00EF2C0C" w:rsidRPr="001C09DA">
              <w:rPr>
                <w:rStyle w:val="Hyperlink"/>
                <w:noProof/>
              </w:rPr>
              <w:t>2.1</w:t>
            </w:r>
            <w:r w:rsidR="00EF2C0C">
              <w:rPr>
                <w:rFonts w:asciiTheme="minorHAnsi" w:hAnsiTheme="minorHAnsi" w:cstheme="minorBidi"/>
                <w:noProof/>
                <w:sz w:val="22"/>
                <w:szCs w:val="22"/>
              </w:rPr>
              <w:tab/>
            </w:r>
            <w:r w:rsidR="00EF2C0C" w:rsidRPr="001C09DA">
              <w:rPr>
                <w:rStyle w:val="Hyperlink"/>
                <w:noProof/>
              </w:rPr>
              <w:t>Introduction</w:t>
            </w:r>
            <w:r w:rsidR="00EF2C0C">
              <w:rPr>
                <w:noProof/>
                <w:webHidden/>
              </w:rPr>
              <w:tab/>
            </w:r>
            <w:r w:rsidR="00F77E54">
              <w:rPr>
                <w:noProof/>
                <w:webHidden/>
              </w:rPr>
              <w:fldChar w:fldCharType="begin"/>
            </w:r>
            <w:r w:rsidR="00EF2C0C">
              <w:rPr>
                <w:noProof/>
                <w:webHidden/>
              </w:rPr>
              <w:instrText xml:space="preserve"> PAGEREF _Toc349741333 \h </w:instrText>
            </w:r>
            <w:r w:rsidR="00F77E54">
              <w:rPr>
                <w:noProof/>
                <w:webHidden/>
              </w:rPr>
            </w:r>
            <w:r w:rsidR="00F77E54">
              <w:rPr>
                <w:noProof/>
                <w:webHidden/>
              </w:rPr>
              <w:fldChar w:fldCharType="separate"/>
            </w:r>
            <w:r w:rsidR="00D11EA4">
              <w:rPr>
                <w:noProof/>
                <w:webHidden/>
              </w:rPr>
              <w:t>13</w:t>
            </w:r>
            <w:r w:rsidR="00F77E54">
              <w:rPr>
                <w:noProof/>
                <w:webHidden/>
              </w:rPr>
              <w:fldChar w:fldCharType="end"/>
            </w:r>
          </w:hyperlink>
        </w:p>
        <w:p w14:paraId="018230FF" w14:textId="77777777" w:rsidR="00EF2C0C" w:rsidRDefault="00050AB3">
          <w:pPr>
            <w:pStyle w:val="TOC2"/>
            <w:rPr>
              <w:rFonts w:asciiTheme="minorHAnsi" w:hAnsiTheme="minorHAnsi" w:cstheme="minorBidi"/>
              <w:noProof/>
              <w:sz w:val="22"/>
              <w:szCs w:val="22"/>
            </w:rPr>
          </w:pPr>
          <w:hyperlink w:anchor="_Toc349741334" w:history="1">
            <w:r w:rsidR="00EF2C0C" w:rsidRPr="001C09DA">
              <w:rPr>
                <w:rStyle w:val="Hyperlink"/>
                <w:noProof/>
              </w:rPr>
              <w:t>2.2</w:t>
            </w:r>
            <w:r w:rsidR="00EF2C0C">
              <w:rPr>
                <w:rFonts w:asciiTheme="minorHAnsi" w:hAnsiTheme="minorHAnsi" w:cstheme="minorBidi"/>
                <w:noProof/>
                <w:sz w:val="22"/>
                <w:szCs w:val="22"/>
              </w:rPr>
              <w:tab/>
            </w:r>
            <w:r w:rsidR="00EF2C0C" w:rsidRPr="001C09DA">
              <w:rPr>
                <w:rStyle w:val="Hyperlink"/>
                <w:noProof/>
              </w:rPr>
              <w:t>The developmental state</w:t>
            </w:r>
            <w:r w:rsidR="00EF2C0C">
              <w:rPr>
                <w:noProof/>
                <w:webHidden/>
              </w:rPr>
              <w:tab/>
            </w:r>
            <w:r w:rsidR="00F77E54">
              <w:rPr>
                <w:noProof/>
                <w:webHidden/>
              </w:rPr>
              <w:fldChar w:fldCharType="begin"/>
            </w:r>
            <w:r w:rsidR="00EF2C0C">
              <w:rPr>
                <w:noProof/>
                <w:webHidden/>
              </w:rPr>
              <w:instrText xml:space="preserve"> PAGEREF _Toc349741334 \h </w:instrText>
            </w:r>
            <w:r w:rsidR="00F77E54">
              <w:rPr>
                <w:noProof/>
                <w:webHidden/>
              </w:rPr>
            </w:r>
            <w:r w:rsidR="00F77E54">
              <w:rPr>
                <w:noProof/>
                <w:webHidden/>
              </w:rPr>
              <w:fldChar w:fldCharType="separate"/>
            </w:r>
            <w:r w:rsidR="00D11EA4">
              <w:rPr>
                <w:noProof/>
                <w:webHidden/>
              </w:rPr>
              <w:t>16</w:t>
            </w:r>
            <w:r w:rsidR="00F77E54">
              <w:rPr>
                <w:noProof/>
                <w:webHidden/>
              </w:rPr>
              <w:fldChar w:fldCharType="end"/>
            </w:r>
          </w:hyperlink>
        </w:p>
        <w:p w14:paraId="7A9E5C22" w14:textId="77777777" w:rsidR="00EF2C0C" w:rsidRDefault="00050AB3">
          <w:pPr>
            <w:pStyle w:val="TOC2"/>
            <w:rPr>
              <w:rFonts w:asciiTheme="minorHAnsi" w:hAnsiTheme="minorHAnsi" w:cstheme="minorBidi"/>
              <w:noProof/>
              <w:sz w:val="22"/>
              <w:szCs w:val="22"/>
            </w:rPr>
          </w:pPr>
          <w:hyperlink w:anchor="_Toc349741335" w:history="1">
            <w:r w:rsidR="00EF2C0C" w:rsidRPr="001C09DA">
              <w:rPr>
                <w:rStyle w:val="Hyperlink"/>
                <w:noProof/>
              </w:rPr>
              <w:t>2.3</w:t>
            </w:r>
            <w:r w:rsidR="00EF2C0C">
              <w:rPr>
                <w:rFonts w:asciiTheme="minorHAnsi" w:hAnsiTheme="minorHAnsi" w:cstheme="minorBidi"/>
                <w:noProof/>
                <w:sz w:val="22"/>
                <w:szCs w:val="22"/>
              </w:rPr>
              <w:tab/>
            </w:r>
            <w:r w:rsidR="00EF2C0C" w:rsidRPr="001C09DA">
              <w:rPr>
                <w:rStyle w:val="Hyperlink"/>
                <w:noProof/>
              </w:rPr>
              <w:t xml:space="preserve">The </w:t>
            </w:r>
            <w:r w:rsidR="00EF2C0C" w:rsidRPr="001C09DA">
              <w:rPr>
                <w:rStyle w:val="Hyperlink"/>
                <w:noProof/>
                <w:lang w:eastAsia="ja-JP"/>
              </w:rPr>
              <w:t>p</w:t>
            </w:r>
            <w:r w:rsidR="00EF2C0C" w:rsidRPr="001C09DA">
              <w:rPr>
                <w:rStyle w:val="Hyperlink"/>
                <w:noProof/>
              </w:rPr>
              <w:t xml:space="preserve">luralist </w:t>
            </w:r>
            <w:r w:rsidR="00EF2C0C" w:rsidRPr="001C09DA">
              <w:rPr>
                <w:rStyle w:val="Hyperlink"/>
                <w:noProof/>
                <w:lang w:eastAsia="ja-JP"/>
              </w:rPr>
              <w:t>a</w:t>
            </w:r>
            <w:r w:rsidR="00EF2C0C" w:rsidRPr="001C09DA">
              <w:rPr>
                <w:rStyle w:val="Hyperlink"/>
                <w:noProof/>
              </w:rPr>
              <w:t>pproach</w:t>
            </w:r>
            <w:r w:rsidR="00EF2C0C">
              <w:rPr>
                <w:noProof/>
                <w:webHidden/>
              </w:rPr>
              <w:tab/>
            </w:r>
            <w:r w:rsidR="00F77E54">
              <w:rPr>
                <w:noProof/>
                <w:webHidden/>
              </w:rPr>
              <w:fldChar w:fldCharType="begin"/>
            </w:r>
            <w:r w:rsidR="00EF2C0C">
              <w:rPr>
                <w:noProof/>
                <w:webHidden/>
              </w:rPr>
              <w:instrText xml:space="preserve"> PAGEREF _Toc349741335 \h </w:instrText>
            </w:r>
            <w:r w:rsidR="00F77E54">
              <w:rPr>
                <w:noProof/>
                <w:webHidden/>
              </w:rPr>
            </w:r>
            <w:r w:rsidR="00F77E54">
              <w:rPr>
                <w:noProof/>
                <w:webHidden/>
              </w:rPr>
              <w:fldChar w:fldCharType="separate"/>
            </w:r>
            <w:r w:rsidR="00D11EA4">
              <w:rPr>
                <w:noProof/>
                <w:webHidden/>
              </w:rPr>
              <w:t>21</w:t>
            </w:r>
            <w:r w:rsidR="00F77E54">
              <w:rPr>
                <w:noProof/>
                <w:webHidden/>
              </w:rPr>
              <w:fldChar w:fldCharType="end"/>
            </w:r>
          </w:hyperlink>
        </w:p>
        <w:p w14:paraId="284178B8" w14:textId="77777777" w:rsidR="00EF2C0C" w:rsidRDefault="00050AB3">
          <w:pPr>
            <w:pStyle w:val="TOC3"/>
            <w:tabs>
              <w:tab w:val="left" w:pos="1680"/>
            </w:tabs>
            <w:rPr>
              <w:rFonts w:asciiTheme="minorHAnsi" w:hAnsiTheme="minorHAnsi"/>
              <w:noProof/>
              <w:lang w:val="en-GB" w:eastAsia="zh-CN"/>
            </w:rPr>
          </w:pPr>
          <w:hyperlink w:anchor="_Toc349741336" w:history="1">
            <w:r w:rsidR="00EF2C0C" w:rsidRPr="001C09DA">
              <w:rPr>
                <w:rStyle w:val="Hyperlink"/>
                <w:noProof/>
              </w:rPr>
              <w:t>2.3.1</w:t>
            </w:r>
            <w:r w:rsidR="00EF2C0C">
              <w:rPr>
                <w:rFonts w:asciiTheme="minorHAnsi" w:hAnsiTheme="minorHAnsi"/>
                <w:noProof/>
                <w:lang w:val="en-GB" w:eastAsia="zh-CN"/>
              </w:rPr>
              <w:tab/>
            </w:r>
            <w:r w:rsidR="00EF2C0C" w:rsidRPr="001C09DA">
              <w:rPr>
                <w:rStyle w:val="Hyperlink"/>
                <w:noProof/>
              </w:rPr>
              <w:t>The role of party politicians</w:t>
            </w:r>
            <w:r w:rsidR="00EF2C0C">
              <w:rPr>
                <w:noProof/>
                <w:webHidden/>
              </w:rPr>
              <w:tab/>
            </w:r>
            <w:r w:rsidR="00F77E54">
              <w:rPr>
                <w:noProof/>
                <w:webHidden/>
              </w:rPr>
              <w:fldChar w:fldCharType="begin"/>
            </w:r>
            <w:r w:rsidR="00EF2C0C">
              <w:rPr>
                <w:noProof/>
                <w:webHidden/>
              </w:rPr>
              <w:instrText xml:space="preserve"> PAGEREF _Toc349741336 \h </w:instrText>
            </w:r>
            <w:r w:rsidR="00F77E54">
              <w:rPr>
                <w:noProof/>
                <w:webHidden/>
              </w:rPr>
            </w:r>
            <w:r w:rsidR="00F77E54">
              <w:rPr>
                <w:noProof/>
                <w:webHidden/>
              </w:rPr>
              <w:fldChar w:fldCharType="separate"/>
            </w:r>
            <w:r w:rsidR="00D11EA4">
              <w:rPr>
                <w:noProof/>
                <w:webHidden/>
              </w:rPr>
              <w:t>21</w:t>
            </w:r>
            <w:r w:rsidR="00F77E54">
              <w:rPr>
                <w:noProof/>
                <w:webHidden/>
              </w:rPr>
              <w:fldChar w:fldCharType="end"/>
            </w:r>
          </w:hyperlink>
        </w:p>
        <w:p w14:paraId="72C0ED4D" w14:textId="77777777" w:rsidR="00EF2C0C" w:rsidRDefault="00050AB3">
          <w:pPr>
            <w:pStyle w:val="TOC3"/>
            <w:tabs>
              <w:tab w:val="left" w:pos="1680"/>
            </w:tabs>
            <w:rPr>
              <w:rFonts w:asciiTheme="minorHAnsi" w:hAnsiTheme="minorHAnsi"/>
              <w:noProof/>
              <w:lang w:val="en-GB" w:eastAsia="zh-CN"/>
            </w:rPr>
          </w:pPr>
          <w:hyperlink w:anchor="_Toc349741337" w:history="1">
            <w:r w:rsidR="00EF2C0C" w:rsidRPr="001C09DA">
              <w:rPr>
                <w:rStyle w:val="Hyperlink"/>
                <w:noProof/>
              </w:rPr>
              <w:t>2.3.2</w:t>
            </w:r>
            <w:r w:rsidR="00EF2C0C">
              <w:rPr>
                <w:rFonts w:asciiTheme="minorHAnsi" w:hAnsiTheme="minorHAnsi"/>
                <w:noProof/>
                <w:lang w:val="en-GB" w:eastAsia="zh-CN"/>
              </w:rPr>
              <w:tab/>
            </w:r>
            <w:r w:rsidR="00EF2C0C" w:rsidRPr="001C09DA">
              <w:rPr>
                <w:rStyle w:val="Hyperlink"/>
                <w:noProof/>
              </w:rPr>
              <w:t>Strong business</w:t>
            </w:r>
            <w:r w:rsidR="00EF2C0C">
              <w:rPr>
                <w:noProof/>
                <w:webHidden/>
              </w:rPr>
              <w:tab/>
            </w:r>
            <w:r w:rsidR="00F77E54">
              <w:rPr>
                <w:noProof/>
                <w:webHidden/>
              </w:rPr>
              <w:fldChar w:fldCharType="begin"/>
            </w:r>
            <w:r w:rsidR="00EF2C0C">
              <w:rPr>
                <w:noProof/>
                <w:webHidden/>
              </w:rPr>
              <w:instrText xml:space="preserve"> PAGEREF _Toc349741337 \h </w:instrText>
            </w:r>
            <w:r w:rsidR="00F77E54">
              <w:rPr>
                <w:noProof/>
                <w:webHidden/>
              </w:rPr>
            </w:r>
            <w:r w:rsidR="00F77E54">
              <w:rPr>
                <w:noProof/>
                <w:webHidden/>
              </w:rPr>
              <w:fldChar w:fldCharType="separate"/>
            </w:r>
            <w:r w:rsidR="00D11EA4">
              <w:rPr>
                <w:noProof/>
                <w:webHidden/>
              </w:rPr>
              <w:t>27</w:t>
            </w:r>
            <w:r w:rsidR="00F77E54">
              <w:rPr>
                <w:noProof/>
                <w:webHidden/>
              </w:rPr>
              <w:fldChar w:fldCharType="end"/>
            </w:r>
          </w:hyperlink>
        </w:p>
        <w:p w14:paraId="6E5CA798" w14:textId="77777777" w:rsidR="00EF2C0C" w:rsidRDefault="00050AB3">
          <w:pPr>
            <w:pStyle w:val="TOC3"/>
            <w:tabs>
              <w:tab w:val="left" w:pos="1680"/>
            </w:tabs>
            <w:rPr>
              <w:rFonts w:asciiTheme="minorHAnsi" w:hAnsiTheme="minorHAnsi"/>
              <w:noProof/>
              <w:lang w:val="en-GB" w:eastAsia="zh-CN"/>
            </w:rPr>
          </w:pPr>
          <w:hyperlink w:anchor="_Toc349741338" w:history="1">
            <w:r w:rsidR="00EF2C0C" w:rsidRPr="001C09DA">
              <w:rPr>
                <w:rStyle w:val="Hyperlink"/>
                <w:noProof/>
              </w:rPr>
              <w:t>2.3.3</w:t>
            </w:r>
            <w:r w:rsidR="00EF2C0C">
              <w:rPr>
                <w:rFonts w:asciiTheme="minorHAnsi" w:hAnsiTheme="minorHAnsi"/>
                <w:noProof/>
                <w:lang w:val="en-GB" w:eastAsia="zh-CN"/>
              </w:rPr>
              <w:tab/>
            </w:r>
            <w:r w:rsidR="00EF2C0C" w:rsidRPr="001C09DA">
              <w:rPr>
                <w:rStyle w:val="Hyperlink"/>
                <w:noProof/>
              </w:rPr>
              <w:t>The regulation dominated by the private sector: self-regulation</w:t>
            </w:r>
            <w:r w:rsidR="00EF2C0C">
              <w:rPr>
                <w:noProof/>
                <w:webHidden/>
              </w:rPr>
              <w:tab/>
            </w:r>
            <w:r w:rsidR="00F77E54">
              <w:rPr>
                <w:noProof/>
                <w:webHidden/>
              </w:rPr>
              <w:fldChar w:fldCharType="begin"/>
            </w:r>
            <w:r w:rsidR="00EF2C0C">
              <w:rPr>
                <w:noProof/>
                <w:webHidden/>
              </w:rPr>
              <w:instrText xml:space="preserve"> PAGEREF _Toc349741338 \h </w:instrText>
            </w:r>
            <w:r w:rsidR="00F77E54">
              <w:rPr>
                <w:noProof/>
                <w:webHidden/>
              </w:rPr>
            </w:r>
            <w:r w:rsidR="00F77E54">
              <w:rPr>
                <w:noProof/>
                <w:webHidden/>
              </w:rPr>
              <w:fldChar w:fldCharType="separate"/>
            </w:r>
            <w:r w:rsidR="00D11EA4">
              <w:rPr>
                <w:noProof/>
                <w:webHidden/>
              </w:rPr>
              <w:t>32</w:t>
            </w:r>
            <w:r w:rsidR="00F77E54">
              <w:rPr>
                <w:noProof/>
                <w:webHidden/>
              </w:rPr>
              <w:fldChar w:fldCharType="end"/>
            </w:r>
          </w:hyperlink>
        </w:p>
        <w:p w14:paraId="73965F89" w14:textId="77777777" w:rsidR="00EF2C0C" w:rsidRDefault="00050AB3">
          <w:pPr>
            <w:pStyle w:val="TOC2"/>
            <w:rPr>
              <w:rFonts w:asciiTheme="minorHAnsi" w:hAnsiTheme="minorHAnsi" w:cstheme="minorBidi"/>
              <w:noProof/>
              <w:sz w:val="22"/>
              <w:szCs w:val="22"/>
            </w:rPr>
          </w:pPr>
          <w:hyperlink w:anchor="_Toc349741339" w:history="1">
            <w:r w:rsidR="00EF2C0C" w:rsidRPr="001C09DA">
              <w:rPr>
                <w:rStyle w:val="Hyperlink"/>
                <w:noProof/>
              </w:rPr>
              <w:t>2.4</w:t>
            </w:r>
            <w:r w:rsidR="00EF2C0C">
              <w:rPr>
                <w:rFonts w:asciiTheme="minorHAnsi" w:hAnsiTheme="minorHAnsi" w:cstheme="minorBidi"/>
                <w:noProof/>
                <w:sz w:val="22"/>
                <w:szCs w:val="22"/>
              </w:rPr>
              <w:tab/>
            </w:r>
            <w:r w:rsidR="00EF2C0C" w:rsidRPr="001C09DA">
              <w:rPr>
                <w:rStyle w:val="Hyperlink"/>
                <w:noProof/>
              </w:rPr>
              <w:t xml:space="preserve">The </w:t>
            </w:r>
            <w:r w:rsidR="00EF2C0C" w:rsidRPr="001C09DA">
              <w:rPr>
                <w:rStyle w:val="Hyperlink"/>
                <w:noProof/>
                <w:lang w:eastAsia="ja-JP"/>
              </w:rPr>
              <w:t>r</w:t>
            </w:r>
            <w:r w:rsidR="00EF2C0C" w:rsidRPr="001C09DA">
              <w:rPr>
                <w:rStyle w:val="Hyperlink"/>
                <w:noProof/>
              </w:rPr>
              <w:t xml:space="preserve">evisited </w:t>
            </w:r>
            <w:r w:rsidR="00EF2C0C" w:rsidRPr="001C09DA">
              <w:rPr>
                <w:rStyle w:val="Hyperlink"/>
                <w:noProof/>
                <w:lang w:eastAsia="ja-JP"/>
              </w:rPr>
              <w:t>s</w:t>
            </w:r>
            <w:r w:rsidR="00EF2C0C" w:rsidRPr="001C09DA">
              <w:rPr>
                <w:rStyle w:val="Hyperlink"/>
                <w:noProof/>
              </w:rPr>
              <w:t xml:space="preserve">trong </w:t>
            </w:r>
            <w:r w:rsidR="00EF2C0C" w:rsidRPr="001C09DA">
              <w:rPr>
                <w:rStyle w:val="Hyperlink"/>
                <w:noProof/>
                <w:lang w:eastAsia="ja-JP"/>
              </w:rPr>
              <w:t>s</w:t>
            </w:r>
            <w:r w:rsidR="00EF2C0C" w:rsidRPr="001C09DA">
              <w:rPr>
                <w:rStyle w:val="Hyperlink"/>
                <w:noProof/>
              </w:rPr>
              <w:t xml:space="preserve">tate </w:t>
            </w:r>
            <w:r w:rsidR="00EF2C0C" w:rsidRPr="001C09DA">
              <w:rPr>
                <w:rStyle w:val="Hyperlink"/>
                <w:noProof/>
                <w:lang w:eastAsia="ja-JP"/>
              </w:rPr>
              <w:t>t</w:t>
            </w:r>
            <w:r w:rsidR="00EF2C0C" w:rsidRPr="001C09DA">
              <w:rPr>
                <w:rStyle w:val="Hyperlink"/>
                <w:noProof/>
              </w:rPr>
              <w:t>hesis</w:t>
            </w:r>
            <w:r w:rsidR="00EF2C0C">
              <w:rPr>
                <w:noProof/>
                <w:webHidden/>
              </w:rPr>
              <w:tab/>
            </w:r>
            <w:r w:rsidR="00F77E54">
              <w:rPr>
                <w:noProof/>
                <w:webHidden/>
              </w:rPr>
              <w:fldChar w:fldCharType="begin"/>
            </w:r>
            <w:r w:rsidR="00EF2C0C">
              <w:rPr>
                <w:noProof/>
                <w:webHidden/>
              </w:rPr>
              <w:instrText xml:space="preserve"> PAGEREF _Toc349741339 \h </w:instrText>
            </w:r>
            <w:r w:rsidR="00F77E54">
              <w:rPr>
                <w:noProof/>
                <w:webHidden/>
              </w:rPr>
            </w:r>
            <w:r w:rsidR="00F77E54">
              <w:rPr>
                <w:noProof/>
                <w:webHidden/>
              </w:rPr>
              <w:fldChar w:fldCharType="separate"/>
            </w:r>
            <w:r w:rsidR="00D11EA4">
              <w:rPr>
                <w:noProof/>
                <w:webHidden/>
              </w:rPr>
              <w:t>34</w:t>
            </w:r>
            <w:r w:rsidR="00F77E54">
              <w:rPr>
                <w:noProof/>
                <w:webHidden/>
              </w:rPr>
              <w:fldChar w:fldCharType="end"/>
            </w:r>
          </w:hyperlink>
        </w:p>
        <w:p w14:paraId="6ADC0B92" w14:textId="77777777" w:rsidR="00EF2C0C" w:rsidRDefault="00050AB3">
          <w:pPr>
            <w:pStyle w:val="TOC2"/>
            <w:rPr>
              <w:rFonts w:asciiTheme="minorHAnsi" w:hAnsiTheme="minorHAnsi" w:cstheme="minorBidi"/>
              <w:noProof/>
              <w:sz w:val="22"/>
              <w:szCs w:val="22"/>
            </w:rPr>
          </w:pPr>
          <w:hyperlink w:anchor="_Toc349741340" w:history="1">
            <w:r w:rsidR="00EF2C0C" w:rsidRPr="001C09DA">
              <w:rPr>
                <w:rStyle w:val="Hyperlink"/>
                <w:noProof/>
              </w:rPr>
              <w:t>2.5</w:t>
            </w:r>
            <w:r w:rsidR="00EF2C0C">
              <w:rPr>
                <w:rFonts w:asciiTheme="minorHAnsi" w:hAnsiTheme="minorHAnsi" w:cstheme="minorBidi"/>
                <w:noProof/>
                <w:sz w:val="22"/>
                <w:szCs w:val="22"/>
              </w:rPr>
              <w:tab/>
            </w:r>
            <w:r w:rsidR="00EF2C0C" w:rsidRPr="001C09DA">
              <w:rPr>
                <w:rStyle w:val="Hyperlink"/>
                <w:noProof/>
              </w:rPr>
              <w:t xml:space="preserve">Rational </w:t>
            </w:r>
            <w:r w:rsidR="00EF2C0C" w:rsidRPr="001C09DA">
              <w:rPr>
                <w:rStyle w:val="Hyperlink"/>
                <w:rFonts w:eastAsia="MS Mincho"/>
                <w:noProof/>
                <w:lang w:eastAsia="ja-JP"/>
              </w:rPr>
              <w:t>c</w:t>
            </w:r>
            <w:r w:rsidR="00EF2C0C" w:rsidRPr="001C09DA">
              <w:rPr>
                <w:rStyle w:val="Hyperlink"/>
                <w:noProof/>
              </w:rPr>
              <w:t>hoice</w:t>
            </w:r>
            <w:r w:rsidR="00EF2C0C">
              <w:rPr>
                <w:noProof/>
                <w:webHidden/>
              </w:rPr>
              <w:tab/>
            </w:r>
            <w:r w:rsidR="00F77E54">
              <w:rPr>
                <w:noProof/>
                <w:webHidden/>
              </w:rPr>
              <w:fldChar w:fldCharType="begin"/>
            </w:r>
            <w:r w:rsidR="00EF2C0C">
              <w:rPr>
                <w:noProof/>
                <w:webHidden/>
              </w:rPr>
              <w:instrText xml:space="preserve"> PAGEREF _Toc349741340 \h </w:instrText>
            </w:r>
            <w:r w:rsidR="00F77E54">
              <w:rPr>
                <w:noProof/>
                <w:webHidden/>
              </w:rPr>
            </w:r>
            <w:r w:rsidR="00F77E54">
              <w:rPr>
                <w:noProof/>
                <w:webHidden/>
              </w:rPr>
              <w:fldChar w:fldCharType="separate"/>
            </w:r>
            <w:r w:rsidR="00D11EA4">
              <w:rPr>
                <w:noProof/>
                <w:webHidden/>
              </w:rPr>
              <w:t>40</w:t>
            </w:r>
            <w:r w:rsidR="00F77E54">
              <w:rPr>
                <w:noProof/>
                <w:webHidden/>
              </w:rPr>
              <w:fldChar w:fldCharType="end"/>
            </w:r>
          </w:hyperlink>
        </w:p>
        <w:p w14:paraId="16B4C32C" w14:textId="77777777" w:rsidR="00EF2C0C" w:rsidRDefault="00050AB3">
          <w:pPr>
            <w:pStyle w:val="TOC2"/>
            <w:rPr>
              <w:rFonts w:asciiTheme="minorHAnsi" w:hAnsiTheme="minorHAnsi" w:cstheme="minorBidi"/>
              <w:noProof/>
              <w:sz w:val="22"/>
              <w:szCs w:val="22"/>
            </w:rPr>
          </w:pPr>
          <w:hyperlink w:anchor="_Toc349741341" w:history="1">
            <w:r w:rsidR="00EF2C0C" w:rsidRPr="001C09DA">
              <w:rPr>
                <w:rStyle w:val="Hyperlink"/>
                <w:noProof/>
              </w:rPr>
              <w:t>2.6</w:t>
            </w:r>
            <w:r w:rsidR="00EF2C0C">
              <w:rPr>
                <w:rFonts w:asciiTheme="minorHAnsi" w:hAnsiTheme="minorHAnsi" w:cstheme="minorBidi"/>
                <w:noProof/>
                <w:sz w:val="22"/>
                <w:szCs w:val="22"/>
              </w:rPr>
              <w:tab/>
            </w:r>
            <w:r w:rsidR="00EF2C0C" w:rsidRPr="001C09DA">
              <w:rPr>
                <w:rStyle w:val="Hyperlink"/>
                <w:noProof/>
              </w:rPr>
              <w:t xml:space="preserve">Challenges to Japan and its </w:t>
            </w:r>
            <w:r w:rsidR="00EF2C0C" w:rsidRPr="001C09DA">
              <w:rPr>
                <w:rStyle w:val="Hyperlink"/>
                <w:rFonts w:eastAsia="MS Mincho"/>
                <w:noProof/>
                <w:lang w:eastAsia="ja-JP"/>
              </w:rPr>
              <w:t>t</w:t>
            </w:r>
            <w:r w:rsidR="00EF2C0C" w:rsidRPr="001C09DA">
              <w:rPr>
                <w:rStyle w:val="Hyperlink"/>
                <w:noProof/>
              </w:rPr>
              <w:t>ransformation</w:t>
            </w:r>
            <w:r w:rsidR="00EF2C0C">
              <w:rPr>
                <w:noProof/>
                <w:webHidden/>
              </w:rPr>
              <w:tab/>
            </w:r>
            <w:r w:rsidR="00F77E54">
              <w:rPr>
                <w:noProof/>
                <w:webHidden/>
              </w:rPr>
              <w:fldChar w:fldCharType="begin"/>
            </w:r>
            <w:r w:rsidR="00EF2C0C">
              <w:rPr>
                <w:noProof/>
                <w:webHidden/>
              </w:rPr>
              <w:instrText xml:space="preserve"> PAGEREF _Toc349741341 \h </w:instrText>
            </w:r>
            <w:r w:rsidR="00F77E54">
              <w:rPr>
                <w:noProof/>
                <w:webHidden/>
              </w:rPr>
            </w:r>
            <w:r w:rsidR="00F77E54">
              <w:rPr>
                <w:noProof/>
                <w:webHidden/>
              </w:rPr>
              <w:fldChar w:fldCharType="separate"/>
            </w:r>
            <w:r w:rsidR="00D11EA4">
              <w:rPr>
                <w:noProof/>
                <w:webHidden/>
              </w:rPr>
              <w:t>46</w:t>
            </w:r>
            <w:r w:rsidR="00F77E54">
              <w:rPr>
                <w:noProof/>
                <w:webHidden/>
              </w:rPr>
              <w:fldChar w:fldCharType="end"/>
            </w:r>
          </w:hyperlink>
        </w:p>
        <w:p w14:paraId="2FB02E73" w14:textId="77777777" w:rsidR="00EF2C0C" w:rsidRDefault="00050AB3">
          <w:pPr>
            <w:pStyle w:val="TOC2"/>
            <w:rPr>
              <w:rFonts w:asciiTheme="minorHAnsi" w:hAnsiTheme="minorHAnsi" w:cstheme="minorBidi"/>
              <w:noProof/>
              <w:sz w:val="22"/>
              <w:szCs w:val="22"/>
            </w:rPr>
          </w:pPr>
          <w:hyperlink w:anchor="_Toc349741342" w:history="1">
            <w:r w:rsidR="00EF2C0C" w:rsidRPr="001C09DA">
              <w:rPr>
                <w:rStyle w:val="Hyperlink"/>
                <w:noProof/>
              </w:rPr>
              <w:t>2.7</w:t>
            </w:r>
            <w:r w:rsidR="00EF2C0C">
              <w:rPr>
                <w:rFonts w:asciiTheme="minorHAnsi" w:hAnsiTheme="minorHAnsi" w:cstheme="minorBidi"/>
                <w:noProof/>
                <w:sz w:val="22"/>
                <w:szCs w:val="22"/>
              </w:rPr>
              <w:tab/>
            </w:r>
            <w:r w:rsidR="00EF2C0C" w:rsidRPr="001C09DA">
              <w:rPr>
                <w:rStyle w:val="Hyperlink"/>
                <w:noProof/>
              </w:rPr>
              <w:t>Conclusion</w:t>
            </w:r>
            <w:r w:rsidR="00EF2C0C">
              <w:rPr>
                <w:noProof/>
                <w:webHidden/>
              </w:rPr>
              <w:tab/>
            </w:r>
            <w:r w:rsidR="00F77E54">
              <w:rPr>
                <w:noProof/>
                <w:webHidden/>
              </w:rPr>
              <w:fldChar w:fldCharType="begin"/>
            </w:r>
            <w:r w:rsidR="00EF2C0C">
              <w:rPr>
                <w:noProof/>
                <w:webHidden/>
              </w:rPr>
              <w:instrText xml:space="preserve"> PAGEREF _Toc349741342 \h </w:instrText>
            </w:r>
            <w:r w:rsidR="00F77E54">
              <w:rPr>
                <w:noProof/>
                <w:webHidden/>
              </w:rPr>
            </w:r>
            <w:r w:rsidR="00F77E54">
              <w:rPr>
                <w:noProof/>
                <w:webHidden/>
              </w:rPr>
              <w:fldChar w:fldCharType="separate"/>
            </w:r>
            <w:r w:rsidR="00D11EA4">
              <w:rPr>
                <w:noProof/>
                <w:webHidden/>
              </w:rPr>
              <w:t>59</w:t>
            </w:r>
            <w:r w:rsidR="00F77E54">
              <w:rPr>
                <w:noProof/>
                <w:webHidden/>
              </w:rPr>
              <w:fldChar w:fldCharType="end"/>
            </w:r>
          </w:hyperlink>
        </w:p>
        <w:p w14:paraId="14F2C5DA" w14:textId="77777777" w:rsidR="00EF2C0C" w:rsidRDefault="00EF2C0C">
          <w:pPr>
            <w:pStyle w:val="TOC1"/>
            <w:rPr>
              <w:rStyle w:val="Hyperlink"/>
              <w:noProof/>
            </w:rPr>
          </w:pPr>
        </w:p>
        <w:p w14:paraId="409CE807" w14:textId="77777777" w:rsidR="00EF2C0C" w:rsidRDefault="00050AB3">
          <w:pPr>
            <w:pStyle w:val="TOC1"/>
            <w:rPr>
              <w:rFonts w:asciiTheme="minorHAnsi" w:hAnsiTheme="minorHAnsi" w:cstheme="minorBidi"/>
              <w:noProof/>
              <w:sz w:val="22"/>
              <w:szCs w:val="22"/>
            </w:rPr>
          </w:pPr>
          <w:hyperlink w:anchor="_Toc349741343" w:history="1">
            <w:r w:rsidR="00EF2C0C" w:rsidRPr="001C09DA">
              <w:rPr>
                <w:rStyle w:val="Hyperlink"/>
                <w:noProof/>
              </w:rPr>
              <w:t>Chapter 3</w:t>
            </w:r>
            <w:r w:rsidR="00EF2C0C">
              <w:rPr>
                <w:rFonts w:asciiTheme="minorHAnsi" w:hAnsiTheme="minorHAnsi" w:cstheme="minorBidi"/>
                <w:noProof/>
                <w:sz w:val="22"/>
                <w:szCs w:val="22"/>
              </w:rPr>
              <w:tab/>
            </w:r>
            <w:r w:rsidR="00EF2C0C" w:rsidRPr="001C09DA">
              <w:rPr>
                <w:rStyle w:val="Hyperlink"/>
                <w:noProof/>
              </w:rPr>
              <w:t>The Change of Governance and Institutions</w:t>
            </w:r>
            <w:r w:rsidR="00EF2C0C">
              <w:rPr>
                <w:noProof/>
                <w:webHidden/>
              </w:rPr>
              <w:tab/>
            </w:r>
            <w:r w:rsidR="00F77E54">
              <w:rPr>
                <w:noProof/>
                <w:webHidden/>
              </w:rPr>
              <w:fldChar w:fldCharType="begin"/>
            </w:r>
            <w:r w:rsidR="00EF2C0C">
              <w:rPr>
                <w:noProof/>
                <w:webHidden/>
              </w:rPr>
              <w:instrText xml:space="preserve"> PAGEREF _Toc349741343 \h </w:instrText>
            </w:r>
            <w:r w:rsidR="00F77E54">
              <w:rPr>
                <w:noProof/>
                <w:webHidden/>
              </w:rPr>
            </w:r>
            <w:r w:rsidR="00F77E54">
              <w:rPr>
                <w:noProof/>
                <w:webHidden/>
              </w:rPr>
              <w:fldChar w:fldCharType="separate"/>
            </w:r>
            <w:r w:rsidR="00D11EA4">
              <w:rPr>
                <w:noProof/>
                <w:webHidden/>
              </w:rPr>
              <w:t>65</w:t>
            </w:r>
            <w:r w:rsidR="00F77E54">
              <w:rPr>
                <w:noProof/>
                <w:webHidden/>
              </w:rPr>
              <w:fldChar w:fldCharType="end"/>
            </w:r>
          </w:hyperlink>
        </w:p>
        <w:p w14:paraId="5E7E3859" w14:textId="77777777" w:rsidR="00EF2C0C" w:rsidRDefault="00050AB3">
          <w:pPr>
            <w:pStyle w:val="TOC2"/>
            <w:rPr>
              <w:rFonts w:asciiTheme="minorHAnsi" w:hAnsiTheme="minorHAnsi" w:cstheme="minorBidi"/>
              <w:noProof/>
              <w:sz w:val="22"/>
              <w:szCs w:val="22"/>
            </w:rPr>
          </w:pPr>
          <w:hyperlink w:anchor="_Toc349741344" w:history="1">
            <w:r w:rsidR="00EF2C0C" w:rsidRPr="001C09DA">
              <w:rPr>
                <w:rStyle w:val="Hyperlink"/>
                <w:noProof/>
              </w:rPr>
              <w:t>3.1</w:t>
            </w:r>
            <w:r w:rsidR="00EF2C0C">
              <w:rPr>
                <w:rFonts w:asciiTheme="minorHAnsi" w:hAnsiTheme="minorHAnsi" w:cstheme="minorBidi"/>
                <w:noProof/>
                <w:sz w:val="22"/>
                <w:szCs w:val="22"/>
              </w:rPr>
              <w:tab/>
            </w:r>
            <w:r w:rsidR="00EF2C0C" w:rsidRPr="001C09DA">
              <w:rPr>
                <w:rStyle w:val="Hyperlink"/>
                <w:noProof/>
              </w:rPr>
              <w:t>Introduction</w:t>
            </w:r>
            <w:r w:rsidR="00EF2C0C">
              <w:rPr>
                <w:noProof/>
                <w:webHidden/>
              </w:rPr>
              <w:tab/>
            </w:r>
            <w:r w:rsidR="00F77E54">
              <w:rPr>
                <w:noProof/>
                <w:webHidden/>
              </w:rPr>
              <w:fldChar w:fldCharType="begin"/>
            </w:r>
            <w:r w:rsidR="00EF2C0C">
              <w:rPr>
                <w:noProof/>
                <w:webHidden/>
              </w:rPr>
              <w:instrText xml:space="preserve"> PAGEREF _Toc349741344 \h </w:instrText>
            </w:r>
            <w:r w:rsidR="00F77E54">
              <w:rPr>
                <w:noProof/>
                <w:webHidden/>
              </w:rPr>
            </w:r>
            <w:r w:rsidR="00F77E54">
              <w:rPr>
                <w:noProof/>
                <w:webHidden/>
              </w:rPr>
              <w:fldChar w:fldCharType="separate"/>
            </w:r>
            <w:r w:rsidR="00D11EA4">
              <w:rPr>
                <w:noProof/>
                <w:webHidden/>
              </w:rPr>
              <w:t>65</w:t>
            </w:r>
            <w:r w:rsidR="00F77E54">
              <w:rPr>
                <w:noProof/>
                <w:webHidden/>
              </w:rPr>
              <w:fldChar w:fldCharType="end"/>
            </w:r>
          </w:hyperlink>
        </w:p>
        <w:p w14:paraId="2B448613" w14:textId="77777777" w:rsidR="00EF2C0C" w:rsidRDefault="00050AB3">
          <w:pPr>
            <w:pStyle w:val="TOC2"/>
            <w:rPr>
              <w:rFonts w:asciiTheme="minorHAnsi" w:hAnsiTheme="minorHAnsi" w:cstheme="minorBidi"/>
              <w:noProof/>
              <w:sz w:val="22"/>
              <w:szCs w:val="22"/>
            </w:rPr>
          </w:pPr>
          <w:hyperlink w:anchor="_Toc349741345" w:history="1">
            <w:r w:rsidR="00EF2C0C" w:rsidRPr="001C09DA">
              <w:rPr>
                <w:rStyle w:val="Hyperlink"/>
                <w:noProof/>
              </w:rPr>
              <w:t>3.2</w:t>
            </w:r>
            <w:r w:rsidR="00EF2C0C">
              <w:rPr>
                <w:rFonts w:asciiTheme="minorHAnsi" w:hAnsiTheme="minorHAnsi" w:cstheme="minorBidi"/>
                <w:noProof/>
                <w:sz w:val="22"/>
                <w:szCs w:val="22"/>
              </w:rPr>
              <w:tab/>
            </w:r>
            <w:r w:rsidR="00EF2C0C" w:rsidRPr="001C09DA">
              <w:rPr>
                <w:rStyle w:val="Hyperlink"/>
                <w:noProof/>
              </w:rPr>
              <w:t>Challenges to the state</w:t>
            </w:r>
            <w:r w:rsidR="00EF2C0C">
              <w:rPr>
                <w:noProof/>
                <w:webHidden/>
              </w:rPr>
              <w:tab/>
            </w:r>
            <w:r w:rsidR="00F77E54">
              <w:rPr>
                <w:noProof/>
                <w:webHidden/>
              </w:rPr>
              <w:fldChar w:fldCharType="begin"/>
            </w:r>
            <w:r w:rsidR="00EF2C0C">
              <w:rPr>
                <w:noProof/>
                <w:webHidden/>
              </w:rPr>
              <w:instrText xml:space="preserve"> PAGEREF _Toc349741345 \h </w:instrText>
            </w:r>
            <w:r w:rsidR="00F77E54">
              <w:rPr>
                <w:noProof/>
                <w:webHidden/>
              </w:rPr>
            </w:r>
            <w:r w:rsidR="00F77E54">
              <w:rPr>
                <w:noProof/>
                <w:webHidden/>
              </w:rPr>
              <w:fldChar w:fldCharType="separate"/>
            </w:r>
            <w:r w:rsidR="00D11EA4">
              <w:rPr>
                <w:noProof/>
                <w:webHidden/>
              </w:rPr>
              <w:t>68</w:t>
            </w:r>
            <w:r w:rsidR="00F77E54">
              <w:rPr>
                <w:noProof/>
                <w:webHidden/>
              </w:rPr>
              <w:fldChar w:fldCharType="end"/>
            </w:r>
          </w:hyperlink>
        </w:p>
        <w:p w14:paraId="7ED85546" w14:textId="77777777" w:rsidR="00EF2C0C" w:rsidRDefault="00050AB3">
          <w:pPr>
            <w:pStyle w:val="TOC2"/>
            <w:rPr>
              <w:rFonts w:asciiTheme="minorHAnsi" w:hAnsiTheme="minorHAnsi" w:cstheme="minorBidi"/>
              <w:noProof/>
              <w:sz w:val="22"/>
              <w:szCs w:val="22"/>
            </w:rPr>
          </w:pPr>
          <w:hyperlink w:anchor="_Toc349741346" w:history="1">
            <w:r w:rsidR="00EF2C0C" w:rsidRPr="001C09DA">
              <w:rPr>
                <w:rStyle w:val="Hyperlink"/>
                <w:noProof/>
              </w:rPr>
              <w:t>3.3</w:t>
            </w:r>
            <w:r w:rsidR="00EF2C0C">
              <w:rPr>
                <w:rFonts w:asciiTheme="minorHAnsi" w:hAnsiTheme="minorHAnsi" w:cstheme="minorBidi"/>
                <w:noProof/>
                <w:sz w:val="22"/>
                <w:szCs w:val="22"/>
              </w:rPr>
              <w:tab/>
            </w:r>
            <w:r w:rsidR="00EF2C0C" w:rsidRPr="001C09DA">
              <w:rPr>
                <w:rStyle w:val="Hyperlink"/>
                <w:noProof/>
              </w:rPr>
              <w:t>The evolution of the governance literature: debating governance</w:t>
            </w:r>
            <w:r w:rsidR="00EF2C0C">
              <w:rPr>
                <w:noProof/>
                <w:webHidden/>
              </w:rPr>
              <w:tab/>
            </w:r>
            <w:r w:rsidR="00F77E54">
              <w:rPr>
                <w:noProof/>
                <w:webHidden/>
              </w:rPr>
              <w:fldChar w:fldCharType="begin"/>
            </w:r>
            <w:r w:rsidR="00EF2C0C">
              <w:rPr>
                <w:noProof/>
                <w:webHidden/>
              </w:rPr>
              <w:instrText xml:space="preserve"> PAGEREF _Toc349741346 \h </w:instrText>
            </w:r>
            <w:r w:rsidR="00F77E54">
              <w:rPr>
                <w:noProof/>
                <w:webHidden/>
              </w:rPr>
            </w:r>
            <w:r w:rsidR="00F77E54">
              <w:rPr>
                <w:noProof/>
                <w:webHidden/>
              </w:rPr>
              <w:fldChar w:fldCharType="separate"/>
            </w:r>
            <w:r w:rsidR="00D11EA4">
              <w:rPr>
                <w:noProof/>
                <w:webHidden/>
              </w:rPr>
              <w:t>74</w:t>
            </w:r>
            <w:r w:rsidR="00F77E54">
              <w:rPr>
                <w:noProof/>
                <w:webHidden/>
              </w:rPr>
              <w:fldChar w:fldCharType="end"/>
            </w:r>
          </w:hyperlink>
        </w:p>
        <w:p w14:paraId="4C4C5E7B" w14:textId="77777777" w:rsidR="00EF2C0C" w:rsidRDefault="00050AB3">
          <w:pPr>
            <w:pStyle w:val="TOC2"/>
            <w:rPr>
              <w:rFonts w:asciiTheme="minorHAnsi" w:hAnsiTheme="minorHAnsi" w:cstheme="minorBidi"/>
              <w:noProof/>
              <w:sz w:val="22"/>
              <w:szCs w:val="22"/>
            </w:rPr>
          </w:pPr>
          <w:hyperlink w:anchor="_Toc349741347" w:history="1">
            <w:r w:rsidR="00EF2C0C" w:rsidRPr="001C09DA">
              <w:rPr>
                <w:rStyle w:val="Hyperlink"/>
                <w:noProof/>
              </w:rPr>
              <w:t>3.4</w:t>
            </w:r>
            <w:r w:rsidR="00EF2C0C">
              <w:rPr>
                <w:rFonts w:asciiTheme="minorHAnsi" w:hAnsiTheme="minorHAnsi" w:cstheme="minorBidi"/>
                <w:noProof/>
                <w:sz w:val="22"/>
                <w:szCs w:val="22"/>
              </w:rPr>
              <w:tab/>
            </w:r>
            <w:r w:rsidR="00EF2C0C" w:rsidRPr="001C09DA">
              <w:rPr>
                <w:rStyle w:val="Hyperlink"/>
                <w:noProof/>
              </w:rPr>
              <w:t>Approaches to governance: the core executive and the regulatory state</w:t>
            </w:r>
            <w:r w:rsidR="00EF2C0C">
              <w:rPr>
                <w:noProof/>
                <w:webHidden/>
              </w:rPr>
              <w:tab/>
            </w:r>
            <w:r w:rsidR="00F77E54">
              <w:rPr>
                <w:noProof/>
                <w:webHidden/>
              </w:rPr>
              <w:fldChar w:fldCharType="begin"/>
            </w:r>
            <w:r w:rsidR="00EF2C0C">
              <w:rPr>
                <w:noProof/>
                <w:webHidden/>
              </w:rPr>
              <w:instrText xml:space="preserve"> PAGEREF _Toc349741347 \h </w:instrText>
            </w:r>
            <w:r w:rsidR="00F77E54">
              <w:rPr>
                <w:noProof/>
                <w:webHidden/>
              </w:rPr>
            </w:r>
            <w:r w:rsidR="00F77E54">
              <w:rPr>
                <w:noProof/>
                <w:webHidden/>
              </w:rPr>
              <w:fldChar w:fldCharType="separate"/>
            </w:r>
            <w:r w:rsidR="00D11EA4">
              <w:rPr>
                <w:noProof/>
                <w:webHidden/>
              </w:rPr>
              <w:t>78</w:t>
            </w:r>
            <w:r w:rsidR="00F77E54">
              <w:rPr>
                <w:noProof/>
                <w:webHidden/>
              </w:rPr>
              <w:fldChar w:fldCharType="end"/>
            </w:r>
          </w:hyperlink>
        </w:p>
        <w:p w14:paraId="28D17EDC" w14:textId="77777777" w:rsidR="00EF2C0C" w:rsidRDefault="00050AB3">
          <w:pPr>
            <w:pStyle w:val="TOC3"/>
            <w:tabs>
              <w:tab w:val="left" w:pos="1680"/>
            </w:tabs>
            <w:rPr>
              <w:rFonts w:asciiTheme="minorHAnsi" w:hAnsiTheme="minorHAnsi"/>
              <w:noProof/>
              <w:lang w:val="en-GB" w:eastAsia="zh-CN"/>
            </w:rPr>
          </w:pPr>
          <w:hyperlink w:anchor="_Toc349741348" w:history="1">
            <w:r w:rsidR="00EF2C0C" w:rsidRPr="001C09DA">
              <w:rPr>
                <w:rStyle w:val="Hyperlink"/>
                <w:noProof/>
              </w:rPr>
              <w:t>3.4.1</w:t>
            </w:r>
            <w:r w:rsidR="00EF2C0C">
              <w:rPr>
                <w:rFonts w:asciiTheme="minorHAnsi" w:hAnsiTheme="minorHAnsi"/>
                <w:noProof/>
                <w:lang w:val="en-GB" w:eastAsia="zh-CN"/>
              </w:rPr>
              <w:tab/>
            </w:r>
            <w:r w:rsidR="00EF2C0C" w:rsidRPr="001C09DA">
              <w:rPr>
                <w:rStyle w:val="Hyperlink"/>
                <w:noProof/>
              </w:rPr>
              <w:t>The core executive</w:t>
            </w:r>
            <w:r w:rsidR="00EF2C0C">
              <w:rPr>
                <w:noProof/>
                <w:webHidden/>
              </w:rPr>
              <w:tab/>
            </w:r>
            <w:r w:rsidR="00F77E54">
              <w:rPr>
                <w:noProof/>
                <w:webHidden/>
              </w:rPr>
              <w:fldChar w:fldCharType="begin"/>
            </w:r>
            <w:r w:rsidR="00EF2C0C">
              <w:rPr>
                <w:noProof/>
                <w:webHidden/>
              </w:rPr>
              <w:instrText xml:space="preserve"> PAGEREF _Toc349741348 \h </w:instrText>
            </w:r>
            <w:r w:rsidR="00F77E54">
              <w:rPr>
                <w:noProof/>
                <w:webHidden/>
              </w:rPr>
            </w:r>
            <w:r w:rsidR="00F77E54">
              <w:rPr>
                <w:noProof/>
                <w:webHidden/>
              </w:rPr>
              <w:fldChar w:fldCharType="separate"/>
            </w:r>
            <w:r w:rsidR="00D11EA4">
              <w:rPr>
                <w:noProof/>
                <w:webHidden/>
              </w:rPr>
              <w:t>78</w:t>
            </w:r>
            <w:r w:rsidR="00F77E54">
              <w:rPr>
                <w:noProof/>
                <w:webHidden/>
              </w:rPr>
              <w:fldChar w:fldCharType="end"/>
            </w:r>
          </w:hyperlink>
        </w:p>
        <w:p w14:paraId="07FC802A" w14:textId="77777777" w:rsidR="00EF2C0C" w:rsidRDefault="00050AB3">
          <w:pPr>
            <w:pStyle w:val="TOC3"/>
            <w:tabs>
              <w:tab w:val="left" w:pos="1680"/>
            </w:tabs>
            <w:rPr>
              <w:rFonts w:asciiTheme="minorHAnsi" w:hAnsiTheme="minorHAnsi"/>
              <w:noProof/>
              <w:lang w:val="en-GB" w:eastAsia="zh-CN"/>
            </w:rPr>
          </w:pPr>
          <w:hyperlink w:anchor="_Toc349741349" w:history="1">
            <w:r w:rsidR="00EF2C0C" w:rsidRPr="001C09DA">
              <w:rPr>
                <w:rStyle w:val="Hyperlink"/>
                <w:noProof/>
              </w:rPr>
              <w:t>3.4.2</w:t>
            </w:r>
            <w:r w:rsidR="00EF2C0C">
              <w:rPr>
                <w:rFonts w:asciiTheme="minorHAnsi" w:hAnsiTheme="minorHAnsi"/>
                <w:noProof/>
                <w:lang w:val="en-GB" w:eastAsia="zh-CN"/>
              </w:rPr>
              <w:tab/>
            </w:r>
            <w:r w:rsidR="00EF2C0C" w:rsidRPr="001C09DA">
              <w:rPr>
                <w:rStyle w:val="Hyperlink"/>
                <w:noProof/>
              </w:rPr>
              <w:t>The regulatory state</w:t>
            </w:r>
            <w:r w:rsidR="00EF2C0C">
              <w:rPr>
                <w:noProof/>
                <w:webHidden/>
              </w:rPr>
              <w:tab/>
            </w:r>
            <w:r w:rsidR="00F77E54">
              <w:rPr>
                <w:noProof/>
                <w:webHidden/>
              </w:rPr>
              <w:fldChar w:fldCharType="begin"/>
            </w:r>
            <w:r w:rsidR="00EF2C0C">
              <w:rPr>
                <w:noProof/>
                <w:webHidden/>
              </w:rPr>
              <w:instrText xml:space="preserve"> PAGEREF _Toc349741349 \h </w:instrText>
            </w:r>
            <w:r w:rsidR="00F77E54">
              <w:rPr>
                <w:noProof/>
                <w:webHidden/>
              </w:rPr>
            </w:r>
            <w:r w:rsidR="00F77E54">
              <w:rPr>
                <w:noProof/>
                <w:webHidden/>
              </w:rPr>
              <w:fldChar w:fldCharType="separate"/>
            </w:r>
            <w:r w:rsidR="00D11EA4">
              <w:rPr>
                <w:noProof/>
                <w:webHidden/>
              </w:rPr>
              <w:t>90</w:t>
            </w:r>
            <w:r w:rsidR="00F77E54">
              <w:rPr>
                <w:noProof/>
                <w:webHidden/>
              </w:rPr>
              <w:fldChar w:fldCharType="end"/>
            </w:r>
          </w:hyperlink>
        </w:p>
        <w:p w14:paraId="7CCD6E3F" w14:textId="77777777" w:rsidR="00EF2C0C" w:rsidRDefault="00050AB3">
          <w:pPr>
            <w:pStyle w:val="TOC3"/>
            <w:tabs>
              <w:tab w:val="left" w:pos="1680"/>
            </w:tabs>
            <w:rPr>
              <w:rFonts w:asciiTheme="minorHAnsi" w:hAnsiTheme="minorHAnsi"/>
              <w:noProof/>
              <w:lang w:val="en-GB" w:eastAsia="zh-CN"/>
            </w:rPr>
          </w:pPr>
          <w:hyperlink w:anchor="_Toc349741350" w:history="1">
            <w:r w:rsidR="00EF2C0C" w:rsidRPr="001C09DA">
              <w:rPr>
                <w:rStyle w:val="Hyperlink"/>
                <w:noProof/>
              </w:rPr>
              <w:t>3.4.3</w:t>
            </w:r>
            <w:r w:rsidR="00EF2C0C">
              <w:rPr>
                <w:rFonts w:asciiTheme="minorHAnsi" w:hAnsiTheme="minorHAnsi"/>
                <w:noProof/>
                <w:lang w:val="en-GB" w:eastAsia="zh-CN"/>
              </w:rPr>
              <w:tab/>
            </w:r>
            <w:r w:rsidR="00EF2C0C" w:rsidRPr="001C09DA">
              <w:rPr>
                <w:rStyle w:val="Hyperlink"/>
                <w:noProof/>
              </w:rPr>
              <w:t>An example of the regulatory state 1: the United Kingdom</w:t>
            </w:r>
            <w:r w:rsidR="00EF2C0C">
              <w:rPr>
                <w:noProof/>
                <w:webHidden/>
              </w:rPr>
              <w:tab/>
            </w:r>
            <w:r w:rsidR="00F77E54">
              <w:rPr>
                <w:noProof/>
                <w:webHidden/>
              </w:rPr>
              <w:fldChar w:fldCharType="begin"/>
            </w:r>
            <w:r w:rsidR="00EF2C0C">
              <w:rPr>
                <w:noProof/>
                <w:webHidden/>
              </w:rPr>
              <w:instrText xml:space="preserve"> PAGEREF _Toc349741350 \h </w:instrText>
            </w:r>
            <w:r w:rsidR="00F77E54">
              <w:rPr>
                <w:noProof/>
                <w:webHidden/>
              </w:rPr>
            </w:r>
            <w:r w:rsidR="00F77E54">
              <w:rPr>
                <w:noProof/>
                <w:webHidden/>
              </w:rPr>
              <w:fldChar w:fldCharType="separate"/>
            </w:r>
            <w:r w:rsidR="00D11EA4">
              <w:rPr>
                <w:noProof/>
                <w:webHidden/>
              </w:rPr>
              <w:t>95</w:t>
            </w:r>
            <w:r w:rsidR="00F77E54">
              <w:rPr>
                <w:noProof/>
                <w:webHidden/>
              </w:rPr>
              <w:fldChar w:fldCharType="end"/>
            </w:r>
          </w:hyperlink>
        </w:p>
        <w:p w14:paraId="700B606B" w14:textId="77777777" w:rsidR="00EF2C0C" w:rsidRDefault="00050AB3">
          <w:pPr>
            <w:pStyle w:val="TOC3"/>
            <w:tabs>
              <w:tab w:val="left" w:pos="1680"/>
            </w:tabs>
            <w:rPr>
              <w:rFonts w:asciiTheme="minorHAnsi" w:hAnsiTheme="minorHAnsi"/>
              <w:noProof/>
              <w:lang w:val="en-GB" w:eastAsia="zh-CN"/>
            </w:rPr>
          </w:pPr>
          <w:hyperlink w:anchor="_Toc349741351" w:history="1">
            <w:r w:rsidR="00EF2C0C" w:rsidRPr="001C09DA">
              <w:rPr>
                <w:rStyle w:val="Hyperlink"/>
                <w:noProof/>
              </w:rPr>
              <w:t>3.4.4</w:t>
            </w:r>
            <w:r w:rsidR="00EF2C0C">
              <w:rPr>
                <w:rFonts w:asciiTheme="minorHAnsi" w:hAnsiTheme="minorHAnsi"/>
                <w:noProof/>
                <w:lang w:val="en-GB" w:eastAsia="zh-CN"/>
              </w:rPr>
              <w:tab/>
            </w:r>
            <w:r w:rsidR="00EF2C0C" w:rsidRPr="001C09DA">
              <w:rPr>
                <w:rStyle w:val="Hyperlink"/>
                <w:noProof/>
              </w:rPr>
              <w:t>An example of the regulatory state 2: New Zealand</w:t>
            </w:r>
            <w:r w:rsidR="00EF2C0C">
              <w:rPr>
                <w:noProof/>
                <w:webHidden/>
              </w:rPr>
              <w:tab/>
            </w:r>
            <w:r w:rsidR="00F77E54">
              <w:rPr>
                <w:noProof/>
                <w:webHidden/>
              </w:rPr>
              <w:fldChar w:fldCharType="begin"/>
            </w:r>
            <w:r w:rsidR="00EF2C0C">
              <w:rPr>
                <w:noProof/>
                <w:webHidden/>
              </w:rPr>
              <w:instrText xml:space="preserve"> PAGEREF _Toc349741351 \h </w:instrText>
            </w:r>
            <w:r w:rsidR="00F77E54">
              <w:rPr>
                <w:noProof/>
                <w:webHidden/>
              </w:rPr>
            </w:r>
            <w:r w:rsidR="00F77E54">
              <w:rPr>
                <w:noProof/>
                <w:webHidden/>
              </w:rPr>
              <w:fldChar w:fldCharType="separate"/>
            </w:r>
            <w:r w:rsidR="00D11EA4">
              <w:rPr>
                <w:noProof/>
                <w:webHidden/>
              </w:rPr>
              <w:t>98</w:t>
            </w:r>
            <w:r w:rsidR="00F77E54">
              <w:rPr>
                <w:noProof/>
                <w:webHidden/>
              </w:rPr>
              <w:fldChar w:fldCharType="end"/>
            </w:r>
          </w:hyperlink>
        </w:p>
        <w:p w14:paraId="7F7EDAAF" w14:textId="77777777" w:rsidR="00EF2C0C" w:rsidRDefault="00050AB3">
          <w:pPr>
            <w:pStyle w:val="TOC3"/>
            <w:tabs>
              <w:tab w:val="left" w:pos="1680"/>
            </w:tabs>
            <w:rPr>
              <w:rFonts w:asciiTheme="minorHAnsi" w:hAnsiTheme="minorHAnsi"/>
              <w:noProof/>
              <w:lang w:val="en-GB" w:eastAsia="zh-CN"/>
            </w:rPr>
          </w:pPr>
          <w:hyperlink w:anchor="_Toc349741352" w:history="1">
            <w:r w:rsidR="00EF2C0C" w:rsidRPr="001C09DA">
              <w:rPr>
                <w:rStyle w:val="Hyperlink"/>
                <w:noProof/>
              </w:rPr>
              <w:t>3.4.5</w:t>
            </w:r>
            <w:r w:rsidR="00EF2C0C">
              <w:rPr>
                <w:rFonts w:asciiTheme="minorHAnsi" w:hAnsiTheme="minorHAnsi"/>
                <w:noProof/>
                <w:lang w:val="en-GB" w:eastAsia="zh-CN"/>
              </w:rPr>
              <w:tab/>
            </w:r>
            <w:r w:rsidR="00EF2C0C" w:rsidRPr="001C09DA">
              <w:rPr>
                <w:rStyle w:val="Hyperlink"/>
                <w:noProof/>
              </w:rPr>
              <w:t>The summary of the two key concepts</w:t>
            </w:r>
            <w:r w:rsidR="00EF2C0C">
              <w:rPr>
                <w:noProof/>
                <w:webHidden/>
              </w:rPr>
              <w:tab/>
            </w:r>
            <w:r w:rsidR="00F77E54">
              <w:rPr>
                <w:noProof/>
                <w:webHidden/>
              </w:rPr>
              <w:fldChar w:fldCharType="begin"/>
            </w:r>
            <w:r w:rsidR="00EF2C0C">
              <w:rPr>
                <w:noProof/>
                <w:webHidden/>
              </w:rPr>
              <w:instrText xml:space="preserve"> PAGEREF _Toc349741352 \h </w:instrText>
            </w:r>
            <w:r w:rsidR="00F77E54">
              <w:rPr>
                <w:noProof/>
                <w:webHidden/>
              </w:rPr>
            </w:r>
            <w:r w:rsidR="00F77E54">
              <w:rPr>
                <w:noProof/>
                <w:webHidden/>
              </w:rPr>
              <w:fldChar w:fldCharType="separate"/>
            </w:r>
            <w:r w:rsidR="00D11EA4">
              <w:rPr>
                <w:noProof/>
                <w:webHidden/>
              </w:rPr>
              <w:t>103</w:t>
            </w:r>
            <w:r w:rsidR="00F77E54">
              <w:rPr>
                <w:noProof/>
                <w:webHidden/>
              </w:rPr>
              <w:fldChar w:fldCharType="end"/>
            </w:r>
          </w:hyperlink>
        </w:p>
        <w:p w14:paraId="4098687B" w14:textId="77777777" w:rsidR="00EF2C0C" w:rsidRDefault="00EF2C0C" w:rsidP="00EF2C0C">
          <w:pPr>
            <w:pStyle w:val="TOC1"/>
            <w:rPr>
              <w:rStyle w:val="Hyperlink"/>
              <w:noProof/>
            </w:rPr>
          </w:pPr>
        </w:p>
        <w:p w14:paraId="31ED08BB" w14:textId="77777777" w:rsidR="00EF2C0C" w:rsidRDefault="00EF2C0C" w:rsidP="00EF2C0C">
          <w:pPr>
            <w:pStyle w:val="TOC1"/>
            <w:rPr>
              <w:rStyle w:val="Hyperlink"/>
              <w:noProof/>
            </w:rPr>
          </w:pPr>
        </w:p>
        <w:p w14:paraId="6D74C3CD" w14:textId="77777777" w:rsidR="00EF2C0C" w:rsidRDefault="00EF2C0C" w:rsidP="00EF2C0C">
          <w:pPr>
            <w:pStyle w:val="TOC1"/>
            <w:rPr>
              <w:rStyle w:val="Hyperlink"/>
              <w:noProof/>
            </w:rPr>
          </w:pPr>
        </w:p>
        <w:p w14:paraId="33886F75" w14:textId="77777777" w:rsidR="00EF2C0C" w:rsidRDefault="00EF2C0C" w:rsidP="00EF2C0C">
          <w:pPr>
            <w:pStyle w:val="TOC1"/>
            <w:rPr>
              <w:rStyle w:val="Hyperlink"/>
              <w:noProof/>
            </w:rPr>
          </w:pPr>
        </w:p>
        <w:p w14:paraId="1428A935" w14:textId="77777777" w:rsidR="00EF2C0C" w:rsidRDefault="00EF2C0C" w:rsidP="00EF2C0C">
          <w:pPr>
            <w:pStyle w:val="TOC1"/>
            <w:rPr>
              <w:rStyle w:val="Hyperlink"/>
              <w:noProof/>
            </w:rPr>
          </w:pPr>
        </w:p>
        <w:p w14:paraId="76F01797" w14:textId="77777777" w:rsidR="00EF2C0C" w:rsidRDefault="00050AB3">
          <w:pPr>
            <w:pStyle w:val="TOC2"/>
            <w:rPr>
              <w:rFonts w:asciiTheme="minorHAnsi" w:hAnsiTheme="minorHAnsi" w:cstheme="minorBidi"/>
              <w:noProof/>
              <w:sz w:val="22"/>
              <w:szCs w:val="22"/>
            </w:rPr>
          </w:pPr>
          <w:hyperlink w:anchor="_Toc349741353" w:history="1">
            <w:r w:rsidR="00EF2C0C" w:rsidRPr="001C09DA">
              <w:rPr>
                <w:rStyle w:val="Hyperlink"/>
                <w:noProof/>
              </w:rPr>
              <w:t>3.5</w:t>
            </w:r>
            <w:r w:rsidR="00EF2C0C">
              <w:rPr>
                <w:rFonts w:asciiTheme="minorHAnsi" w:hAnsiTheme="minorHAnsi" w:cstheme="minorBidi"/>
                <w:noProof/>
                <w:sz w:val="22"/>
                <w:szCs w:val="22"/>
              </w:rPr>
              <w:tab/>
            </w:r>
            <w:r w:rsidR="00EF2C0C" w:rsidRPr="001C09DA">
              <w:rPr>
                <w:rStyle w:val="Hyperlink"/>
                <w:noProof/>
              </w:rPr>
              <w:t>Explaining change: institutional changes and path dependency</w:t>
            </w:r>
            <w:r w:rsidR="00EF2C0C">
              <w:rPr>
                <w:noProof/>
                <w:webHidden/>
              </w:rPr>
              <w:tab/>
            </w:r>
            <w:r w:rsidR="00F77E54">
              <w:rPr>
                <w:noProof/>
                <w:webHidden/>
              </w:rPr>
              <w:fldChar w:fldCharType="begin"/>
            </w:r>
            <w:r w:rsidR="00EF2C0C">
              <w:rPr>
                <w:noProof/>
                <w:webHidden/>
              </w:rPr>
              <w:instrText xml:space="preserve"> PAGEREF _Toc349741353 \h </w:instrText>
            </w:r>
            <w:r w:rsidR="00F77E54">
              <w:rPr>
                <w:noProof/>
                <w:webHidden/>
              </w:rPr>
            </w:r>
            <w:r w:rsidR="00F77E54">
              <w:rPr>
                <w:noProof/>
                <w:webHidden/>
              </w:rPr>
              <w:fldChar w:fldCharType="separate"/>
            </w:r>
            <w:r w:rsidR="00D11EA4">
              <w:rPr>
                <w:noProof/>
                <w:webHidden/>
              </w:rPr>
              <w:t>105</w:t>
            </w:r>
            <w:r w:rsidR="00F77E54">
              <w:rPr>
                <w:noProof/>
                <w:webHidden/>
              </w:rPr>
              <w:fldChar w:fldCharType="end"/>
            </w:r>
          </w:hyperlink>
        </w:p>
        <w:p w14:paraId="73C5E4AD" w14:textId="77777777" w:rsidR="00EF2C0C" w:rsidRDefault="00050AB3">
          <w:pPr>
            <w:pStyle w:val="TOC3"/>
            <w:tabs>
              <w:tab w:val="left" w:pos="1680"/>
            </w:tabs>
            <w:rPr>
              <w:rFonts w:asciiTheme="minorHAnsi" w:hAnsiTheme="minorHAnsi"/>
              <w:noProof/>
              <w:lang w:val="en-GB" w:eastAsia="zh-CN"/>
            </w:rPr>
          </w:pPr>
          <w:hyperlink w:anchor="_Toc349741354" w:history="1">
            <w:r w:rsidR="00EF2C0C" w:rsidRPr="001C09DA">
              <w:rPr>
                <w:rStyle w:val="Hyperlink"/>
                <w:noProof/>
              </w:rPr>
              <w:t>3.5.1</w:t>
            </w:r>
            <w:r w:rsidR="00EF2C0C">
              <w:rPr>
                <w:rFonts w:asciiTheme="minorHAnsi" w:hAnsiTheme="minorHAnsi"/>
                <w:noProof/>
                <w:lang w:val="en-GB" w:eastAsia="zh-CN"/>
              </w:rPr>
              <w:tab/>
            </w:r>
            <w:r w:rsidR="00EF2C0C" w:rsidRPr="001C09DA">
              <w:rPr>
                <w:rStyle w:val="Hyperlink"/>
                <w:noProof/>
              </w:rPr>
              <w:t>Path dependency</w:t>
            </w:r>
            <w:r w:rsidR="00EF2C0C">
              <w:rPr>
                <w:noProof/>
                <w:webHidden/>
              </w:rPr>
              <w:tab/>
            </w:r>
            <w:r w:rsidR="00F77E54">
              <w:rPr>
                <w:noProof/>
                <w:webHidden/>
              </w:rPr>
              <w:fldChar w:fldCharType="begin"/>
            </w:r>
            <w:r w:rsidR="00EF2C0C">
              <w:rPr>
                <w:noProof/>
                <w:webHidden/>
              </w:rPr>
              <w:instrText xml:space="preserve"> PAGEREF _Toc349741354 \h </w:instrText>
            </w:r>
            <w:r w:rsidR="00F77E54">
              <w:rPr>
                <w:noProof/>
                <w:webHidden/>
              </w:rPr>
            </w:r>
            <w:r w:rsidR="00F77E54">
              <w:rPr>
                <w:noProof/>
                <w:webHidden/>
              </w:rPr>
              <w:fldChar w:fldCharType="separate"/>
            </w:r>
            <w:r w:rsidR="00D11EA4">
              <w:rPr>
                <w:noProof/>
                <w:webHidden/>
              </w:rPr>
              <w:t>107</w:t>
            </w:r>
            <w:r w:rsidR="00F77E54">
              <w:rPr>
                <w:noProof/>
                <w:webHidden/>
              </w:rPr>
              <w:fldChar w:fldCharType="end"/>
            </w:r>
          </w:hyperlink>
        </w:p>
        <w:p w14:paraId="09E2C58D" w14:textId="263F181C" w:rsidR="00EF2C0C" w:rsidRDefault="00050AB3">
          <w:pPr>
            <w:pStyle w:val="TOC3"/>
            <w:tabs>
              <w:tab w:val="left" w:pos="1680"/>
            </w:tabs>
            <w:rPr>
              <w:rFonts w:asciiTheme="minorHAnsi" w:hAnsiTheme="minorHAnsi"/>
              <w:noProof/>
              <w:lang w:val="en-GB" w:eastAsia="zh-CN"/>
            </w:rPr>
          </w:pPr>
          <w:hyperlink w:anchor="_Toc349741355" w:history="1">
            <w:r w:rsidR="00EF2C0C" w:rsidRPr="001C09DA">
              <w:rPr>
                <w:rStyle w:val="Hyperlink"/>
                <w:noProof/>
              </w:rPr>
              <w:t>3.5.2</w:t>
            </w:r>
            <w:r w:rsidR="00EF2C0C">
              <w:rPr>
                <w:rFonts w:asciiTheme="minorHAnsi" w:hAnsiTheme="minorHAnsi"/>
                <w:noProof/>
                <w:lang w:val="en-GB" w:eastAsia="zh-CN"/>
              </w:rPr>
              <w:tab/>
            </w:r>
            <w:r w:rsidR="00EF2C0C" w:rsidRPr="001C09DA">
              <w:rPr>
                <w:rStyle w:val="Hyperlink"/>
                <w:noProof/>
              </w:rPr>
              <w:t>The change of institutions: endogenous adaptation</w:t>
            </w:r>
            <w:r w:rsidR="00EF2C0C">
              <w:rPr>
                <w:noProof/>
                <w:webHidden/>
              </w:rPr>
              <w:tab/>
            </w:r>
            <w:r w:rsidR="00F77E54">
              <w:rPr>
                <w:noProof/>
                <w:webHidden/>
              </w:rPr>
              <w:fldChar w:fldCharType="begin"/>
            </w:r>
            <w:r w:rsidR="00EF2C0C">
              <w:rPr>
                <w:noProof/>
                <w:webHidden/>
              </w:rPr>
              <w:instrText xml:space="preserve"> PAGEREF _Toc349741355 \h </w:instrText>
            </w:r>
            <w:r w:rsidR="00F77E54">
              <w:rPr>
                <w:noProof/>
                <w:webHidden/>
              </w:rPr>
            </w:r>
            <w:r w:rsidR="00F77E54">
              <w:rPr>
                <w:noProof/>
                <w:webHidden/>
              </w:rPr>
              <w:fldChar w:fldCharType="separate"/>
            </w:r>
            <w:r w:rsidR="00D11EA4">
              <w:rPr>
                <w:noProof/>
                <w:webHidden/>
              </w:rPr>
              <w:t>112</w:t>
            </w:r>
            <w:r w:rsidR="00F77E54">
              <w:rPr>
                <w:noProof/>
                <w:webHidden/>
              </w:rPr>
              <w:fldChar w:fldCharType="end"/>
            </w:r>
          </w:hyperlink>
        </w:p>
        <w:p w14:paraId="5BC159B5" w14:textId="77777777" w:rsidR="00EF2C0C" w:rsidRDefault="00050AB3">
          <w:pPr>
            <w:pStyle w:val="TOC2"/>
            <w:rPr>
              <w:rFonts w:asciiTheme="minorHAnsi" w:hAnsiTheme="minorHAnsi" w:cstheme="minorBidi"/>
              <w:noProof/>
              <w:sz w:val="22"/>
              <w:szCs w:val="22"/>
            </w:rPr>
          </w:pPr>
          <w:hyperlink w:anchor="_Toc349741356" w:history="1">
            <w:r w:rsidR="00EF2C0C" w:rsidRPr="001C09DA">
              <w:rPr>
                <w:rStyle w:val="Hyperlink"/>
                <w:noProof/>
              </w:rPr>
              <w:t>3.6</w:t>
            </w:r>
            <w:r w:rsidR="00EF2C0C">
              <w:rPr>
                <w:rFonts w:asciiTheme="minorHAnsi" w:hAnsiTheme="minorHAnsi" w:cstheme="minorBidi"/>
                <w:noProof/>
                <w:sz w:val="22"/>
                <w:szCs w:val="22"/>
              </w:rPr>
              <w:tab/>
            </w:r>
            <w:r w:rsidR="00EF2C0C" w:rsidRPr="001C09DA">
              <w:rPr>
                <w:rStyle w:val="Hyperlink"/>
                <w:noProof/>
              </w:rPr>
              <w:t>Conclusion</w:t>
            </w:r>
            <w:r w:rsidR="00EF2C0C">
              <w:rPr>
                <w:noProof/>
                <w:webHidden/>
              </w:rPr>
              <w:tab/>
            </w:r>
            <w:r w:rsidR="00F77E54">
              <w:rPr>
                <w:noProof/>
                <w:webHidden/>
              </w:rPr>
              <w:fldChar w:fldCharType="begin"/>
            </w:r>
            <w:r w:rsidR="00EF2C0C">
              <w:rPr>
                <w:noProof/>
                <w:webHidden/>
              </w:rPr>
              <w:instrText xml:space="preserve"> PAGEREF _Toc349741356 \h </w:instrText>
            </w:r>
            <w:r w:rsidR="00F77E54">
              <w:rPr>
                <w:noProof/>
                <w:webHidden/>
              </w:rPr>
            </w:r>
            <w:r w:rsidR="00F77E54">
              <w:rPr>
                <w:noProof/>
                <w:webHidden/>
              </w:rPr>
              <w:fldChar w:fldCharType="separate"/>
            </w:r>
            <w:r w:rsidR="00D11EA4">
              <w:rPr>
                <w:noProof/>
                <w:webHidden/>
              </w:rPr>
              <w:t>117</w:t>
            </w:r>
            <w:r w:rsidR="00F77E54">
              <w:rPr>
                <w:noProof/>
                <w:webHidden/>
              </w:rPr>
              <w:fldChar w:fldCharType="end"/>
            </w:r>
          </w:hyperlink>
        </w:p>
        <w:p w14:paraId="239B6A65" w14:textId="77777777" w:rsidR="00EF2C0C" w:rsidRDefault="00EF2C0C">
          <w:pPr>
            <w:pStyle w:val="TOC1"/>
            <w:rPr>
              <w:rStyle w:val="Hyperlink"/>
              <w:noProof/>
            </w:rPr>
          </w:pPr>
        </w:p>
        <w:p w14:paraId="1C4D5EEA" w14:textId="77777777" w:rsidR="00EF2C0C" w:rsidRDefault="00050AB3">
          <w:pPr>
            <w:pStyle w:val="TOC1"/>
            <w:rPr>
              <w:rFonts w:asciiTheme="minorHAnsi" w:hAnsiTheme="minorHAnsi" w:cstheme="minorBidi"/>
              <w:noProof/>
              <w:sz w:val="22"/>
              <w:szCs w:val="22"/>
            </w:rPr>
          </w:pPr>
          <w:hyperlink w:anchor="_Toc349741357" w:history="1">
            <w:r w:rsidR="00EF2C0C" w:rsidRPr="001C09DA">
              <w:rPr>
                <w:rStyle w:val="Hyperlink"/>
                <w:noProof/>
              </w:rPr>
              <w:t>Chapter 4</w:t>
            </w:r>
            <w:r w:rsidR="00EF2C0C">
              <w:rPr>
                <w:rFonts w:asciiTheme="minorHAnsi" w:hAnsiTheme="minorHAnsi" w:cstheme="minorBidi"/>
                <w:noProof/>
                <w:sz w:val="22"/>
                <w:szCs w:val="22"/>
              </w:rPr>
              <w:tab/>
            </w:r>
            <w:r w:rsidR="00EF2C0C" w:rsidRPr="001C09DA">
              <w:rPr>
                <w:rStyle w:val="Hyperlink"/>
                <w:noProof/>
              </w:rPr>
              <w:t>Methodology</w:t>
            </w:r>
            <w:r w:rsidR="00EF2C0C">
              <w:rPr>
                <w:noProof/>
                <w:webHidden/>
              </w:rPr>
              <w:tab/>
            </w:r>
            <w:r w:rsidR="00F77E54">
              <w:rPr>
                <w:noProof/>
                <w:webHidden/>
              </w:rPr>
              <w:fldChar w:fldCharType="begin"/>
            </w:r>
            <w:r w:rsidR="00EF2C0C">
              <w:rPr>
                <w:noProof/>
                <w:webHidden/>
              </w:rPr>
              <w:instrText xml:space="preserve"> PAGEREF _Toc349741357 \h </w:instrText>
            </w:r>
            <w:r w:rsidR="00F77E54">
              <w:rPr>
                <w:noProof/>
                <w:webHidden/>
              </w:rPr>
            </w:r>
            <w:r w:rsidR="00F77E54">
              <w:rPr>
                <w:noProof/>
                <w:webHidden/>
              </w:rPr>
              <w:fldChar w:fldCharType="separate"/>
            </w:r>
            <w:r w:rsidR="00D11EA4">
              <w:rPr>
                <w:noProof/>
                <w:webHidden/>
              </w:rPr>
              <w:t>123</w:t>
            </w:r>
            <w:r w:rsidR="00F77E54">
              <w:rPr>
                <w:noProof/>
                <w:webHidden/>
              </w:rPr>
              <w:fldChar w:fldCharType="end"/>
            </w:r>
          </w:hyperlink>
        </w:p>
        <w:p w14:paraId="5F3EEFA7" w14:textId="77777777" w:rsidR="00EF2C0C" w:rsidRDefault="00050AB3">
          <w:pPr>
            <w:pStyle w:val="TOC2"/>
            <w:rPr>
              <w:rFonts w:asciiTheme="minorHAnsi" w:hAnsiTheme="minorHAnsi" w:cstheme="minorBidi"/>
              <w:noProof/>
              <w:sz w:val="22"/>
              <w:szCs w:val="22"/>
            </w:rPr>
          </w:pPr>
          <w:hyperlink w:anchor="_Toc349741358" w:history="1">
            <w:r w:rsidR="00EF2C0C" w:rsidRPr="001C09DA">
              <w:rPr>
                <w:rStyle w:val="Hyperlink"/>
                <w:noProof/>
              </w:rPr>
              <w:t>4.1</w:t>
            </w:r>
            <w:r w:rsidR="00EF2C0C">
              <w:rPr>
                <w:rFonts w:asciiTheme="minorHAnsi" w:hAnsiTheme="minorHAnsi" w:cstheme="minorBidi"/>
                <w:noProof/>
                <w:sz w:val="22"/>
                <w:szCs w:val="22"/>
              </w:rPr>
              <w:tab/>
            </w:r>
            <w:r w:rsidR="00EF2C0C" w:rsidRPr="001C09DA">
              <w:rPr>
                <w:rStyle w:val="Hyperlink"/>
                <w:noProof/>
              </w:rPr>
              <w:t>Introduction</w:t>
            </w:r>
            <w:r w:rsidR="00EF2C0C">
              <w:rPr>
                <w:noProof/>
                <w:webHidden/>
              </w:rPr>
              <w:tab/>
            </w:r>
            <w:r w:rsidR="00F77E54">
              <w:rPr>
                <w:noProof/>
                <w:webHidden/>
              </w:rPr>
              <w:fldChar w:fldCharType="begin"/>
            </w:r>
            <w:r w:rsidR="00EF2C0C">
              <w:rPr>
                <w:noProof/>
                <w:webHidden/>
              </w:rPr>
              <w:instrText xml:space="preserve"> PAGEREF _Toc349741358 \h </w:instrText>
            </w:r>
            <w:r w:rsidR="00F77E54">
              <w:rPr>
                <w:noProof/>
                <w:webHidden/>
              </w:rPr>
            </w:r>
            <w:r w:rsidR="00F77E54">
              <w:rPr>
                <w:noProof/>
                <w:webHidden/>
              </w:rPr>
              <w:fldChar w:fldCharType="separate"/>
            </w:r>
            <w:r w:rsidR="00D11EA4">
              <w:rPr>
                <w:noProof/>
                <w:webHidden/>
              </w:rPr>
              <w:t>123</w:t>
            </w:r>
            <w:r w:rsidR="00F77E54">
              <w:rPr>
                <w:noProof/>
                <w:webHidden/>
              </w:rPr>
              <w:fldChar w:fldCharType="end"/>
            </w:r>
          </w:hyperlink>
        </w:p>
        <w:p w14:paraId="0C7CBFCC" w14:textId="77777777" w:rsidR="00EF2C0C" w:rsidRDefault="00050AB3">
          <w:pPr>
            <w:pStyle w:val="TOC2"/>
            <w:rPr>
              <w:rFonts w:asciiTheme="minorHAnsi" w:hAnsiTheme="minorHAnsi" w:cstheme="minorBidi"/>
              <w:noProof/>
              <w:sz w:val="22"/>
              <w:szCs w:val="22"/>
            </w:rPr>
          </w:pPr>
          <w:hyperlink w:anchor="_Toc349741359" w:history="1">
            <w:r w:rsidR="00EF2C0C" w:rsidRPr="001C09DA">
              <w:rPr>
                <w:rStyle w:val="Hyperlink"/>
                <w:noProof/>
              </w:rPr>
              <w:t>4.2</w:t>
            </w:r>
            <w:r w:rsidR="00EF2C0C">
              <w:rPr>
                <w:rFonts w:asciiTheme="minorHAnsi" w:hAnsiTheme="minorHAnsi" w:cstheme="minorBidi"/>
                <w:noProof/>
                <w:sz w:val="22"/>
                <w:szCs w:val="22"/>
              </w:rPr>
              <w:tab/>
            </w:r>
            <w:r w:rsidR="00EF2C0C" w:rsidRPr="001C09DA">
              <w:rPr>
                <w:rStyle w:val="Hyperlink"/>
                <w:rFonts w:eastAsia="MS Mincho"/>
                <w:noProof/>
                <w:lang w:eastAsia="ja-JP"/>
              </w:rPr>
              <w:t>A c</w:t>
            </w:r>
            <w:r w:rsidR="00EF2C0C" w:rsidRPr="001C09DA">
              <w:rPr>
                <w:rStyle w:val="Hyperlink"/>
                <w:noProof/>
              </w:rPr>
              <w:t>ritical realis</w:t>
            </w:r>
            <w:r w:rsidR="00EF2C0C" w:rsidRPr="001C09DA">
              <w:rPr>
                <w:rStyle w:val="Hyperlink"/>
                <w:rFonts w:eastAsia="MS Mincho"/>
                <w:noProof/>
                <w:lang w:eastAsia="ja-JP"/>
              </w:rPr>
              <w:t>t position</w:t>
            </w:r>
            <w:r w:rsidR="00EF2C0C">
              <w:rPr>
                <w:noProof/>
                <w:webHidden/>
              </w:rPr>
              <w:tab/>
            </w:r>
            <w:r w:rsidR="00F77E54">
              <w:rPr>
                <w:noProof/>
                <w:webHidden/>
              </w:rPr>
              <w:fldChar w:fldCharType="begin"/>
            </w:r>
            <w:r w:rsidR="00EF2C0C">
              <w:rPr>
                <w:noProof/>
                <w:webHidden/>
              </w:rPr>
              <w:instrText xml:space="preserve"> PAGEREF _Toc349741359 \h </w:instrText>
            </w:r>
            <w:r w:rsidR="00F77E54">
              <w:rPr>
                <w:noProof/>
                <w:webHidden/>
              </w:rPr>
            </w:r>
            <w:r w:rsidR="00F77E54">
              <w:rPr>
                <w:noProof/>
                <w:webHidden/>
              </w:rPr>
              <w:fldChar w:fldCharType="separate"/>
            </w:r>
            <w:r w:rsidR="00D11EA4">
              <w:rPr>
                <w:noProof/>
                <w:webHidden/>
              </w:rPr>
              <w:t>124</w:t>
            </w:r>
            <w:r w:rsidR="00F77E54">
              <w:rPr>
                <w:noProof/>
                <w:webHidden/>
              </w:rPr>
              <w:fldChar w:fldCharType="end"/>
            </w:r>
          </w:hyperlink>
        </w:p>
        <w:p w14:paraId="28D6BEB1" w14:textId="77777777" w:rsidR="00EF2C0C" w:rsidRDefault="00050AB3">
          <w:pPr>
            <w:pStyle w:val="TOC2"/>
            <w:rPr>
              <w:rFonts w:asciiTheme="minorHAnsi" w:hAnsiTheme="minorHAnsi" w:cstheme="minorBidi"/>
              <w:noProof/>
              <w:sz w:val="22"/>
              <w:szCs w:val="22"/>
            </w:rPr>
          </w:pPr>
          <w:hyperlink w:anchor="_Toc349741360" w:history="1">
            <w:r w:rsidR="00EF2C0C" w:rsidRPr="001C09DA">
              <w:rPr>
                <w:rStyle w:val="Hyperlink"/>
                <w:noProof/>
              </w:rPr>
              <w:t>4.3</w:t>
            </w:r>
            <w:r w:rsidR="00EF2C0C">
              <w:rPr>
                <w:rFonts w:asciiTheme="minorHAnsi" w:hAnsiTheme="minorHAnsi" w:cstheme="minorBidi"/>
                <w:noProof/>
                <w:sz w:val="22"/>
                <w:szCs w:val="22"/>
              </w:rPr>
              <w:tab/>
            </w:r>
            <w:r w:rsidR="00EF2C0C" w:rsidRPr="001C09DA">
              <w:rPr>
                <w:rStyle w:val="Hyperlink"/>
                <w:noProof/>
              </w:rPr>
              <w:t>Qualitative research methods</w:t>
            </w:r>
            <w:r w:rsidR="00EF2C0C">
              <w:rPr>
                <w:noProof/>
                <w:webHidden/>
              </w:rPr>
              <w:tab/>
            </w:r>
            <w:r w:rsidR="00F77E54">
              <w:rPr>
                <w:noProof/>
                <w:webHidden/>
              </w:rPr>
              <w:fldChar w:fldCharType="begin"/>
            </w:r>
            <w:r w:rsidR="00EF2C0C">
              <w:rPr>
                <w:noProof/>
                <w:webHidden/>
              </w:rPr>
              <w:instrText xml:space="preserve"> PAGEREF _Toc349741360 \h </w:instrText>
            </w:r>
            <w:r w:rsidR="00F77E54">
              <w:rPr>
                <w:noProof/>
                <w:webHidden/>
              </w:rPr>
            </w:r>
            <w:r w:rsidR="00F77E54">
              <w:rPr>
                <w:noProof/>
                <w:webHidden/>
              </w:rPr>
              <w:fldChar w:fldCharType="separate"/>
            </w:r>
            <w:r w:rsidR="00D11EA4">
              <w:rPr>
                <w:noProof/>
                <w:webHidden/>
              </w:rPr>
              <w:t>131</w:t>
            </w:r>
            <w:r w:rsidR="00F77E54">
              <w:rPr>
                <w:noProof/>
                <w:webHidden/>
              </w:rPr>
              <w:fldChar w:fldCharType="end"/>
            </w:r>
          </w:hyperlink>
        </w:p>
        <w:p w14:paraId="515E4E03" w14:textId="77777777" w:rsidR="00EF2C0C" w:rsidRDefault="00050AB3">
          <w:pPr>
            <w:pStyle w:val="TOC2"/>
            <w:rPr>
              <w:rFonts w:asciiTheme="minorHAnsi" w:hAnsiTheme="minorHAnsi" w:cstheme="minorBidi"/>
              <w:noProof/>
              <w:sz w:val="22"/>
              <w:szCs w:val="22"/>
            </w:rPr>
          </w:pPr>
          <w:hyperlink w:anchor="_Toc349741361" w:history="1">
            <w:r w:rsidR="00EF2C0C" w:rsidRPr="001C09DA">
              <w:rPr>
                <w:rStyle w:val="Hyperlink"/>
                <w:noProof/>
              </w:rPr>
              <w:t>4.4</w:t>
            </w:r>
            <w:r w:rsidR="00EF2C0C">
              <w:rPr>
                <w:rFonts w:asciiTheme="minorHAnsi" w:hAnsiTheme="minorHAnsi" w:cstheme="minorBidi"/>
                <w:noProof/>
                <w:sz w:val="22"/>
                <w:szCs w:val="22"/>
              </w:rPr>
              <w:tab/>
            </w:r>
            <w:r w:rsidR="00EF2C0C" w:rsidRPr="001C09DA">
              <w:rPr>
                <w:rStyle w:val="Hyperlink"/>
                <w:noProof/>
              </w:rPr>
              <w:t>The strategy and the quality of the research</w:t>
            </w:r>
            <w:r w:rsidR="00EF2C0C">
              <w:rPr>
                <w:noProof/>
                <w:webHidden/>
              </w:rPr>
              <w:tab/>
            </w:r>
            <w:r w:rsidR="00F77E54">
              <w:rPr>
                <w:noProof/>
                <w:webHidden/>
              </w:rPr>
              <w:fldChar w:fldCharType="begin"/>
            </w:r>
            <w:r w:rsidR="00EF2C0C">
              <w:rPr>
                <w:noProof/>
                <w:webHidden/>
              </w:rPr>
              <w:instrText xml:space="preserve"> PAGEREF _Toc349741361 \h </w:instrText>
            </w:r>
            <w:r w:rsidR="00F77E54">
              <w:rPr>
                <w:noProof/>
                <w:webHidden/>
              </w:rPr>
            </w:r>
            <w:r w:rsidR="00F77E54">
              <w:rPr>
                <w:noProof/>
                <w:webHidden/>
              </w:rPr>
              <w:fldChar w:fldCharType="separate"/>
            </w:r>
            <w:r w:rsidR="00D11EA4">
              <w:rPr>
                <w:noProof/>
                <w:webHidden/>
              </w:rPr>
              <w:t>137</w:t>
            </w:r>
            <w:r w:rsidR="00F77E54">
              <w:rPr>
                <w:noProof/>
                <w:webHidden/>
              </w:rPr>
              <w:fldChar w:fldCharType="end"/>
            </w:r>
          </w:hyperlink>
        </w:p>
        <w:p w14:paraId="29E3AE65" w14:textId="77777777" w:rsidR="00EF2C0C" w:rsidRDefault="00050AB3">
          <w:pPr>
            <w:pStyle w:val="TOC2"/>
            <w:rPr>
              <w:rFonts w:asciiTheme="minorHAnsi" w:hAnsiTheme="minorHAnsi" w:cstheme="minorBidi"/>
              <w:noProof/>
              <w:sz w:val="22"/>
              <w:szCs w:val="22"/>
            </w:rPr>
          </w:pPr>
          <w:hyperlink w:anchor="_Toc349741362" w:history="1">
            <w:r w:rsidR="00EF2C0C" w:rsidRPr="001C09DA">
              <w:rPr>
                <w:rStyle w:val="Hyperlink"/>
                <w:noProof/>
              </w:rPr>
              <w:t>4.5</w:t>
            </w:r>
            <w:r w:rsidR="00EF2C0C">
              <w:rPr>
                <w:rFonts w:asciiTheme="minorHAnsi" w:hAnsiTheme="minorHAnsi" w:cstheme="minorBidi"/>
                <w:noProof/>
                <w:sz w:val="22"/>
                <w:szCs w:val="22"/>
              </w:rPr>
              <w:tab/>
            </w:r>
            <w:r w:rsidR="00EF2C0C" w:rsidRPr="001C09DA">
              <w:rPr>
                <w:rStyle w:val="Hyperlink"/>
                <w:noProof/>
              </w:rPr>
              <w:t>Case</w:t>
            </w:r>
            <w:r w:rsidR="00EF2C0C" w:rsidRPr="001C09DA">
              <w:rPr>
                <w:rStyle w:val="Hyperlink"/>
                <w:noProof/>
                <w:lang w:eastAsia="ja-JP"/>
              </w:rPr>
              <w:t xml:space="preserve"> </w:t>
            </w:r>
            <w:r w:rsidR="00EF2C0C" w:rsidRPr="001C09DA">
              <w:rPr>
                <w:rStyle w:val="Hyperlink"/>
                <w:noProof/>
              </w:rPr>
              <w:t>study selection</w:t>
            </w:r>
            <w:r w:rsidR="00EF2C0C">
              <w:rPr>
                <w:noProof/>
                <w:webHidden/>
              </w:rPr>
              <w:tab/>
            </w:r>
            <w:r w:rsidR="00F77E54">
              <w:rPr>
                <w:noProof/>
                <w:webHidden/>
              </w:rPr>
              <w:fldChar w:fldCharType="begin"/>
            </w:r>
            <w:r w:rsidR="00EF2C0C">
              <w:rPr>
                <w:noProof/>
                <w:webHidden/>
              </w:rPr>
              <w:instrText xml:space="preserve"> PAGEREF _Toc349741362 \h </w:instrText>
            </w:r>
            <w:r w:rsidR="00F77E54">
              <w:rPr>
                <w:noProof/>
                <w:webHidden/>
              </w:rPr>
            </w:r>
            <w:r w:rsidR="00F77E54">
              <w:rPr>
                <w:noProof/>
                <w:webHidden/>
              </w:rPr>
              <w:fldChar w:fldCharType="separate"/>
            </w:r>
            <w:r w:rsidR="00D11EA4">
              <w:rPr>
                <w:noProof/>
                <w:webHidden/>
              </w:rPr>
              <w:t>140</w:t>
            </w:r>
            <w:r w:rsidR="00F77E54">
              <w:rPr>
                <w:noProof/>
                <w:webHidden/>
              </w:rPr>
              <w:fldChar w:fldCharType="end"/>
            </w:r>
          </w:hyperlink>
        </w:p>
        <w:p w14:paraId="1EA62259" w14:textId="77777777" w:rsidR="00EF2C0C" w:rsidRDefault="00050AB3">
          <w:pPr>
            <w:pStyle w:val="TOC2"/>
            <w:rPr>
              <w:rFonts w:asciiTheme="minorHAnsi" w:hAnsiTheme="minorHAnsi" w:cstheme="minorBidi"/>
              <w:noProof/>
              <w:sz w:val="22"/>
              <w:szCs w:val="22"/>
            </w:rPr>
          </w:pPr>
          <w:hyperlink w:anchor="_Toc349741363" w:history="1">
            <w:r w:rsidR="00EF2C0C" w:rsidRPr="001C09DA">
              <w:rPr>
                <w:rStyle w:val="Hyperlink"/>
                <w:noProof/>
              </w:rPr>
              <w:t>4.6</w:t>
            </w:r>
            <w:r w:rsidR="00EF2C0C">
              <w:rPr>
                <w:rFonts w:asciiTheme="minorHAnsi" w:hAnsiTheme="minorHAnsi" w:cstheme="minorBidi"/>
                <w:noProof/>
                <w:sz w:val="22"/>
                <w:szCs w:val="22"/>
              </w:rPr>
              <w:tab/>
            </w:r>
            <w:r w:rsidR="00EF2C0C" w:rsidRPr="001C09DA">
              <w:rPr>
                <w:rStyle w:val="Hyperlink"/>
                <w:noProof/>
              </w:rPr>
              <w:t>Operationalisation</w:t>
            </w:r>
            <w:r w:rsidR="00EF2C0C">
              <w:rPr>
                <w:noProof/>
                <w:webHidden/>
              </w:rPr>
              <w:tab/>
            </w:r>
            <w:r w:rsidR="00F77E54">
              <w:rPr>
                <w:noProof/>
                <w:webHidden/>
              </w:rPr>
              <w:fldChar w:fldCharType="begin"/>
            </w:r>
            <w:r w:rsidR="00EF2C0C">
              <w:rPr>
                <w:noProof/>
                <w:webHidden/>
              </w:rPr>
              <w:instrText xml:space="preserve"> PAGEREF _Toc349741363 \h </w:instrText>
            </w:r>
            <w:r w:rsidR="00F77E54">
              <w:rPr>
                <w:noProof/>
                <w:webHidden/>
              </w:rPr>
            </w:r>
            <w:r w:rsidR="00F77E54">
              <w:rPr>
                <w:noProof/>
                <w:webHidden/>
              </w:rPr>
              <w:fldChar w:fldCharType="separate"/>
            </w:r>
            <w:r w:rsidR="00D11EA4">
              <w:rPr>
                <w:noProof/>
                <w:webHidden/>
              </w:rPr>
              <w:t>144</w:t>
            </w:r>
            <w:r w:rsidR="00F77E54">
              <w:rPr>
                <w:noProof/>
                <w:webHidden/>
              </w:rPr>
              <w:fldChar w:fldCharType="end"/>
            </w:r>
          </w:hyperlink>
        </w:p>
        <w:p w14:paraId="66807903" w14:textId="77777777" w:rsidR="00EF2C0C" w:rsidRDefault="00050AB3">
          <w:pPr>
            <w:pStyle w:val="TOC3"/>
            <w:tabs>
              <w:tab w:val="left" w:pos="1680"/>
            </w:tabs>
            <w:rPr>
              <w:rFonts w:asciiTheme="minorHAnsi" w:hAnsiTheme="minorHAnsi"/>
              <w:noProof/>
              <w:lang w:val="en-GB" w:eastAsia="zh-CN"/>
            </w:rPr>
          </w:pPr>
          <w:hyperlink w:anchor="_Toc349741364" w:history="1">
            <w:r w:rsidR="00EF2C0C" w:rsidRPr="001C09DA">
              <w:rPr>
                <w:rStyle w:val="Hyperlink"/>
                <w:noProof/>
              </w:rPr>
              <w:t>4.6.1</w:t>
            </w:r>
            <w:r w:rsidR="00EF2C0C">
              <w:rPr>
                <w:rFonts w:asciiTheme="minorHAnsi" w:hAnsiTheme="minorHAnsi"/>
                <w:noProof/>
                <w:lang w:val="en-GB" w:eastAsia="zh-CN"/>
              </w:rPr>
              <w:tab/>
            </w:r>
            <w:r w:rsidR="00EF2C0C" w:rsidRPr="001C09DA">
              <w:rPr>
                <w:rStyle w:val="Hyperlink"/>
                <w:noProof/>
              </w:rPr>
              <w:t>Elite interviewing</w:t>
            </w:r>
            <w:r w:rsidR="00EF2C0C">
              <w:rPr>
                <w:noProof/>
                <w:webHidden/>
              </w:rPr>
              <w:tab/>
            </w:r>
            <w:r w:rsidR="00F77E54">
              <w:rPr>
                <w:noProof/>
                <w:webHidden/>
              </w:rPr>
              <w:fldChar w:fldCharType="begin"/>
            </w:r>
            <w:r w:rsidR="00EF2C0C">
              <w:rPr>
                <w:noProof/>
                <w:webHidden/>
              </w:rPr>
              <w:instrText xml:space="preserve"> PAGEREF _Toc349741364 \h </w:instrText>
            </w:r>
            <w:r w:rsidR="00F77E54">
              <w:rPr>
                <w:noProof/>
                <w:webHidden/>
              </w:rPr>
            </w:r>
            <w:r w:rsidR="00F77E54">
              <w:rPr>
                <w:noProof/>
                <w:webHidden/>
              </w:rPr>
              <w:fldChar w:fldCharType="separate"/>
            </w:r>
            <w:r w:rsidR="00D11EA4">
              <w:rPr>
                <w:noProof/>
                <w:webHidden/>
              </w:rPr>
              <w:t>145</w:t>
            </w:r>
            <w:r w:rsidR="00F77E54">
              <w:rPr>
                <w:noProof/>
                <w:webHidden/>
              </w:rPr>
              <w:fldChar w:fldCharType="end"/>
            </w:r>
          </w:hyperlink>
        </w:p>
        <w:p w14:paraId="69AF4945" w14:textId="77777777" w:rsidR="00EF2C0C" w:rsidRDefault="00050AB3">
          <w:pPr>
            <w:pStyle w:val="TOC3"/>
            <w:tabs>
              <w:tab w:val="left" w:pos="1680"/>
            </w:tabs>
            <w:rPr>
              <w:rFonts w:asciiTheme="minorHAnsi" w:hAnsiTheme="minorHAnsi"/>
              <w:noProof/>
              <w:lang w:val="en-GB" w:eastAsia="zh-CN"/>
            </w:rPr>
          </w:pPr>
          <w:hyperlink w:anchor="_Toc349741365" w:history="1">
            <w:r w:rsidR="00EF2C0C" w:rsidRPr="001C09DA">
              <w:rPr>
                <w:rStyle w:val="Hyperlink"/>
                <w:noProof/>
              </w:rPr>
              <w:t>4.6.2</w:t>
            </w:r>
            <w:r w:rsidR="00EF2C0C">
              <w:rPr>
                <w:rFonts w:asciiTheme="minorHAnsi" w:hAnsiTheme="minorHAnsi"/>
                <w:noProof/>
                <w:lang w:val="en-GB" w:eastAsia="zh-CN"/>
              </w:rPr>
              <w:tab/>
            </w:r>
            <w:r w:rsidR="00EF2C0C" w:rsidRPr="001C09DA">
              <w:rPr>
                <w:rStyle w:val="Hyperlink"/>
                <w:noProof/>
              </w:rPr>
              <w:t>Document Analysis</w:t>
            </w:r>
            <w:r w:rsidR="00EF2C0C">
              <w:rPr>
                <w:noProof/>
                <w:webHidden/>
              </w:rPr>
              <w:tab/>
            </w:r>
            <w:r w:rsidR="00F77E54">
              <w:rPr>
                <w:noProof/>
                <w:webHidden/>
              </w:rPr>
              <w:fldChar w:fldCharType="begin"/>
            </w:r>
            <w:r w:rsidR="00EF2C0C">
              <w:rPr>
                <w:noProof/>
                <w:webHidden/>
              </w:rPr>
              <w:instrText xml:space="preserve"> PAGEREF _Toc349741365 \h </w:instrText>
            </w:r>
            <w:r w:rsidR="00F77E54">
              <w:rPr>
                <w:noProof/>
                <w:webHidden/>
              </w:rPr>
            </w:r>
            <w:r w:rsidR="00F77E54">
              <w:rPr>
                <w:noProof/>
                <w:webHidden/>
              </w:rPr>
              <w:fldChar w:fldCharType="separate"/>
            </w:r>
            <w:r w:rsidR="00D11EA4">
              <w:rPr>
                <w:noProof/>
                <w:webHidden/>
              </w:rPr>
              <w:t>148</w:t>
            </w:r>
            <w:r w:rsidR="00F77E54">
              <w:rPr>
                <w:noProof/>
                <w:webHidden/>
              </w:rPr>
              <w:fldChar w:fldCharType="end"/>
            </w:r>
          </w:hyperlink>
        </w:p>
        <w:p w14:paraId="049ACC76" w14:textId="77777777" w:rsidR="00EF2C0C" w:rsidRDefault="00050AB3">
          <w:pPr>
            <w:pStyle w:val="TOC2"/>
            <w:rPr>
              <w:rFonts w:asciiTheme="minorHAnsi" w:hAnsiTheme="minorHAnsi" w:cstheme="minorBidi"/>
              <w:noProof/>
              <w:sz w:val="22"/>
              <w:szCs w:val="22"/>
            </w:rPr>
          </w:pPr>
          <w:hyperlink w:anchor="_Toc349741366" w:history="1">
            <w:r w:rsidR="00EF2C0C" w:rsidRPr="001C09DA">
              <w:rPr>
                <w:rStyle w:val="Hyperlink"/>
                <w:noProof/>
              </w:rPr>
              <w:t>4.7</w:t>
            </w:r>
            <w:r w:rsidR="00EF2C0C">
              <w:rPr>
                <w:rFonts w:asciiTheme="minorHAnsi" w:hAnsiTheme="minorHAnsi" w:cstheme="minorBidi"/>
                <w:noProof/>
                <w:sz w:val="22"/>
                <w:szCs w:val="22"/>
              </w:rPr>
              <w:tab/>
            </w:r>
            <w:r w:rsidR="00EF2C0C" w:rsidRPr="001C09DA">
              <w:rPr>
                <w:rStyle w:val="Hyperlink"/>
                <w:noProof/>
              </w:rPr>
              <w:t>The limitation of this thesis’ methodology</w:t>
            </w:r>
            <w:r w:rsidR="00EF2C0C">
              <w:rPr>
                <w:noProof/>
                <w:webHidden/>
              </w:rPr>
              <w:tab/>
            </w:r>
            <w:r w:rsidR="00F77E54">
              <w:rPr>
                <w:noProof/>
                <w:webHidden/>
              </w:rPr>
              <w:fldChar w:fldCharType="begin"/>
            </w:r>
            <w:r w:rsidR="00EF2C0C">
              <w:rPr>
                <w:noProof/>
                <w:webHidden/>
              </w:rPr>
              <w:instrText xml:space="preserve"> PAGEREF _Toc349741366 \h </w:instrText>
            </w:r>
            <w:r w:rsidR="00F77E54">
              <w:rPr>
                <w:noProof/>
                <w:webHidden/>
              </w:rPr>
            </w:r>
            <w:r w:rsidR="00F77E54">
              <w:rPr>
                <w:noProof/>
                <w:webHidden/>
              </w:rPr>
              <w:fldChar w:fldCharType="separate"/>
            </w:r>
            <w:r w:rsidR="00D11EA4">
              <w:rPr>
                <w:noProof/>
                <w:webHidden/>
              </w:rPr>
              <w:t>150</w:t>
            </w:r>
            <w:r w:rsidR="00F77E54">
              <w:rPr>
                <w:noProof/>
                <w:webHidden/>
              </w:rPr>
              <w:fldChar w:fldCharType="end"/>
            </w:r>
          </w:hyperlink>
        </w:p>
        <w:p w14:paraId="41A29007" w14:textId="77777777" w:rsidR="00EF2C0C" w:rsidRDefault="00050AB3">
          <w:pPr>
            <w:pStyle w:val="TOC3"/>
            <w:tabs>
              <w:tab w:val="left" w:pos="1680"/>
            </w:tabs>
            <w:rPr>
              <w:rFonts w:asciiTheme="minorHAnsi" w:hAnsiTheme="minorHAnsi"/>
              <w:noProof/>
              <w:lang w:val="en-GB" w:eastAsia="zh-CN"/>
            </w:rPr>
          </w:pPr>
          <w:hyperlink w:anchor="_Toc349741367" w:history="1">
            <w:r w:rsidR="00EF2C0C" w:rsidRPr="001C09DA">
              <w:rPr>
                <w:rStyle w:val="Hyperlink"/>
                <w:noProof/>
              </w:rPr>
              <w:t>4.7.1</w:t>
            </w:r>
            <w:r w:rsidR="00EF2C0C">
              <w:rPr>
                <w:rFonts w:asciiTheme="minorHAnsi" w:hAnsiTheme="minorHAnsi"/>
                <w:noProof/>
                <w:lang w:val="en-GB" w:eastAsia="zh-CN"/>
              </w:rPr>
              <w:tab/>
            </w:r>
            <w:r w:rsidR="00EF2C0C" w:rsidRPr="001C09DA">
              <w:rPr>
                <w:rStyle w:val="Hyperlink"/>
                <w:noProof/>
              </w:rPr>
              <w:t>The theoretical challenges</w:t>
            </w:r>
            <w:r w:rsidR="00EF2C0C">
              <w:rPr>
                <w:noProof/>
                <w:webHidden/>
              </w:rPr>
              <w:tab/>
            </w:r>
            <w:r w:rsidR="00F77E54">
              <w:rPr>
                <w:noProof/>
                <w:webHidden/>
              </w:rPr>
              <w:fldChar w:fldCharType="begin"/>
            </w:r>
            <w:r w:rsidR="00EF2C0C">
              <w:rPr>
                <w:noProof/>
                <w:webHidden/>
              </w:rPr>
              <w:instrText xml:space="preserve"> PAGEREF _Toc349741367 \h </w:instrText>
            </w:r>
            <w:r w:rsidR="00F77E54">
              <w:rPr>
                <w:noProof/>
                <w:webHidden/>
              </w:rPr>
            </w:r>
            <w:r w:rsidR="00F77E54">
              <w:rPr>
                <w:noProof/>
                <w:webHidden/>
              </w:rPr>
              <w:fldChar w:fldCharType="separate"/>
            </w:r>
            <w:r w:rsidR="00D11EA4">
              <w:rPr>
                <w:noProof/>
                <w:webHidden/>
              </w:rPr>
              <w:t>150</w:t>
            </w:r>
            <w:r w:rsidR="00F77E54">
              <w:rPr>
                <w:noProof/>
                <w:webHidden/>
              </w:rPr>
              <w:fldChar w:fldCharType="end"/>
            </w:r>
          </w:hyperlink>
        </w:p>
        <w:p w14:paraId="147C291F" w14:textId="77777777" w:rsidR="00EF2C0C" w:rsidRDefault="00050AB3">
          <w:pPr>
            <w:pStyle w:val="TOC3"/>
            <w:tabs>
              <w:tab w:val="left" w:pos="1680"/>
            </w:tabs>
            <w:rPr>
              <w:rFonts w:asciiTheme="minorHAnsi" w:hAnsiTheme="minorHAnsi"/>
              <w:noProof/>
              <w:lang w:val="en-GB" w:eastAsia="zh-CN"/>
            </w:rPr>
          </w:pPr>
          <w:hyperlink w:anchor="_Toc349741368" w:history="1">
            <w:r w:rsidR="00EF2C0C" w:rsidRPr="001C09DA">
              <w:rPr>
                <w:rStyle w:val="Hyperlink"/>
                <w:noProof/>
              </w:rPr>
              <w:t>4.7.2</w:t>
            </w:r>
            <w:r w:rsidR="00EF2C0C">
              <w:rPr>
                <w:rFonts w:asciiTheme="minorHAnsi" w:hAnsiTheme="minorHAnsi"/>
                <w:noProof/>
                <w:lang w:val="en-GB" w:eastAsia="zh-CN"/>
              </w:rPr>
              <w:tab/>
            </w:r>
            <w:r w:rsidR="00EF2C0C" w:rsidRPr="001C09DA">
              <w:rPr>
                <w:rStyle w:val="Hyperlink"/>
                <w:noProof/>
              </w:rPr>
              <w:t>The practical challenges</w:t>
            </w:r>
            <w:r w:rsidR="00EF2C0C">
              <w:rPr>
                <w:noProof/>
                <w:webHidden/>
              </w:rPr>
              <w:tab/>
            </w:r>
            <w:r w:rsidR="00F77E54">
              <w:rPr>
                <w:noProof/>
                <w:webHidden/>
              </w:rPr>
              <w:fldChar w:fldCharType="begin"/>
            </w:r>
            <w:r w:rsidR="00EF2C0C">
              <w:rPr>
                <w:noProof/>
                <w:webHidden/>
              </w:rPr>
              <w:instrText xml:space="preserve"> PAGEREF _Toc349741368 \h </w:instrText>
            </w:r>
            <w:r w:rsidR="00F77E54">
              <w:rPr>
                <w:noProof/>
                <w:webHidden/>
              </w:rPr>
            </w:r>
            <w:r w:rsidR="00F77E54">
              <w:rPr>
                <w:noProof/>
                <w:webHidden/>
              </w:rPr>
              <w:fldChar w:fldCharType="separate"/>
            </w:r>
            <w:r w:rsidR="00D11EA4">
              <w:rPr>
                <w:noProof/>
                <w:webHidden/>
              </w:rPr>
              <w:t>151</w:t>
            </w:r>
            <w:r w:rsidR="00F77E54">
              <w:rPr>
                <w:noProof/>
                <w:webHidden/>
              </w:rPr>
              <w:fldChar w:fldCharType="end"/>
            </w:r>
          </w:hyperlink>
        </w:p>
        <w:p w14:paraId="7A425629" w14:textId="77777777" w:rsidR="00EF2C0C" w:rsidRDefault="00050AB3">
          <w:pPr>
            <w:pStyle w:val="TOC2"/>
            <w:rPr>
              <w:rFonts w:asciiTheme="minorHAnsi" w:hAnsiTheme="minorHAnsi" w:cstheme="minorBidi"/>
              <w:noProof/>
              <w:sz w:val="22"/>
              <w:szCs w:val="22"/>
            </w:rPr>
          </w:pPr>
          <w:hyperlink w:anchor="_Toc349741369" w:history="1">
            <w:r w:rsidR="00EF2C0C" w:rsidRPr="001C09DA">
              <w:rPr>
                <w:rStyle w:val="Hyperlink"/>
                <w:noProof/>
              </w:rPr>
              <w:t>4.8</w:t>
            </w:r>
            <w:r w:rsidR="00EF2C0C">
              <w:rPr>
                <w:rFonts w:asciiTheme="minorHAnsi" w:hAnsiTheme="minorHAnsi" w:cstheme="minorBidi"/>
                <w:noProof/>
                <w:sz w:val="22"/>
                <w:szCs w:val="22"/>
              </w:rPr>
              <w:tab/>
            </w:r>
            <w:r w:rsidR="00EF2C0C" w:rsidRPr="001C09DA">
              <w:rPr>
                <w:rStyle w:val="Hyperlink"/>
                <w:noProof/>
              </w:rPr>
              <w:t>Conclusion</w:t>
            </w:r>
            <w:r w:rsidR="00EF2C0C">
              <w:rPr>
                <w:noProof/>
                <w:webHidden/>
              </w:rPr>
              <w:tab/>
            </w:r>
            <w:r w:rsidR="00F77E54">
              <w:rPr>
                <w:noProof/>
                <w:webHidden/>
              </w:rPr>
              <w:fldChar w:fldCharType="begin"/>
            </w:r>
            <w:r w:rsidR="00EF2C0C">
              <w:rPr>
                <w:noProof/>
                <w:webHidden/>
              </w:rPr>
              <w:instrText xml:space="preserve"> PAGEREF _Toc349741369 \h </w:instrText>
            </w:r>
            <w:r w:rsidR="00F77E54">
              <w:rPr>
                <w:noProof/>
                <w:webHidden/>
              </w:rPr>
            </w:r>
            <w:r w:rsidR="00F77E54">
              <w:rPr>
                <w:noProof/>
                <w:webHidden/>
              </w:rPr>
              <w:fldChar w:fldCharType="separate"/>
            </w:r>
            <w:r w:rsidR="00D11EA4">
              <w:rPr>
                <w:noProof/>
                <w:webHidden/>
              </w:rPr>
              <w:t>154</w:t>
            </w:r>
            <w:r w:rsidR="00F77E54">
              <w:rPr>
                <w:noProof/>
                <w:webHidden/>
              </w:rPr>
              <w:fldChar w:fldCharType="end"/>
            </w:r>
          </w:hyperlink>
        </w:p>
        <w:p w14:paraId="5DF0632C" w14:textId="77777777" w:rsidR="00EF2C0C" w:rsidRDefault="00EF2C0C">
          <w:pPr>
            <w:pStyle w:val="TOC1"/>
            <w:rPr>
              <w:rStyle w:val="Hyperlink"/>
              <w:noProof/>
            </w:rPr>
          </w:pPr>
        </w:p>
        <w:p w14:paraId="6A19679F" w14:textId="77777777" w:rsidR="00EF2C0C" w:rsidRDefault="00050AB3">
          <w:pPr>
            <w:pStyle w:val="TOC1"/>
            <w:rPr>
              <w:rFonts w:asciiTheme="minorHAnsi" w:hAnsiTheme="minorHAnsi" w:cstheme="minorBidi"/>
              <w:noProof/>
              <w:sz w:val="22"/>
              <w:szCs w:val="22"/>
            </w:rPr>
          </w:pPr>
          <w:hyperlink w:anchor="_Toc349741370" w:history="1">
            <w:r w:rsidR="00EF2C0C" w:rsidRPr="001C09DA">
              <w:rPr>
                <w:rStyle w:val="Hyperlink"/>
                <w:noProof/>
              </w:rPr>
              <w:t xml:space="preserve">Chapter 5 </w:t>
            </w:r>
            <w:r w:rsidR="00EF2C0C">
              <w:rPr>
                <w:rFonts w:asciiTheme="minorHAnsi" w:hAnsiTheme="minorHAnsi" w:cstheme="minorBidi"/>
                <w:noProof/>
                <w:sz w:val="22"/>
                <w:szCs w:val="22"/>
              </w:rPr>
              <w:tab/>
            </w:r>
            <w:r w:rsidR="00EF2C0C" w:rsidRPr="001C09DA">
              <w:rPr>
                <w:rStyle w:val="Hyperlink"/>
                <w:noProof/>
              </w:rPr>
              <w:t>The Evolving ICT Sector and the Transformed State</w:t>
            </w:r>
            <w:r w:rsidR="00EF2C0C">
              <w:rPr>
                <w:noProof/>
                <w:webHidden/>
              </w:rPr>
              <w:tab/>
            </w:r>
            <w:r w:rsidR="00F77E54">
              <w:rPr>
                <w:noProof/>
                <w:webHidden/>
              </w:rPr>
              <w:fldChar w:fldCharType="begin"/>
            </w:r>
            <w:r w:rsidR="00EF2C0C">
              <w:rPr>
                <w:noProof/>
                <w:webHidden/>
              </w:rPr>
              <w:instrText xml:space="preserve"> PAGEREF _Toc349741370 \h </w:instrText>
            </w:r>
            <w:r w:rsidR="00F77E54">
              <w:rPr>
                <w:noProof/>
                <w:webHidden/>
              </w:rPr>
            </w:r>
            <w:r w:rsidR="00F77E54">
              <w:rPr>
                <w:noProof/>
                <w:webHidden/>
              </w:rPr>
              <w:fldChar w:fldCharType="separate"/>
            </w:r>
            <w:r w:rsidR="00D11EA4">
              <w:rPr>
                <w:noProof/>
                <w:webHidden/>
              </w:rPr>
              <w:t>156</w:t>
            </w:r>
            <w:r w:rsidR="00F77E54">
              <w:rPr>
                <w:noProof/>
                <w:webHidden/>
              </w:rPr>
              <w:fldChar w:fldCharType="end"/>
            </w:r>
          </w:hyperlink>
        </w:p>
        <w:p w14:paraId="6BA93A64" w14:textId="77777777" w:rsidR="00EF2C0C" w:rsidRDefault="00050AB3">
          <w:pPr>
            <w:pStyle w:val="TOC2"/>
            <w:rPr>
              <w:rFonts w:asciiTheme="minorHAnsi" w:hAnsiTheme="minorHAnsi" w:cstheme="minorBidi"/>
              <w:noProof/>
              <w:sz w:val="22"/>
              <w:szCs w:val="22"/>
            </w:rPr>
          </w:pPr>
          <w:hyperlink w:anchor="_Toc349741371" w:history="1">
            <w:r w:rsidR="00EF2C0C" w:rsidRPr="001C09DA">
              <w:rPr>
                <w:rStyle w:val="Hyperlink"/>
                <w:noProof/>
              </w:rPr>
              <w:t>5.1</w:t>
            </w:r>
            <w:r w:rsidR="00EF2C0C">
              <w:rPr>
                <w:rFonts w:asciiTheme="minorHAnsi" w:hAnsiTheme="minorHAnsi" w:cstheme="minorBidi"/>
                <w:noProof/>
                <w:sz w:val="22"/>
                <w:szCs w:val="22"/>
              </w:rPr>
              <w:tab/>
            </w:r>
            <w:r w:rsidR="00EF2C0C" w:rsidRPr="001C09DA">
              <w:rPr>
                <w:rStyle w:val="Hyperlink"/>
                <w:noProof/>
              </w:rPr>
              <w:t>Introduction</w:t>
            </w:r>
            <w:r w:rsidR="00EF2C0C">
              <w:rPr>
                <w:noProof/>
                <w:webHidden/>
              </w:rPr>
              <w:tab/>
            </w:r>
            <w:r w:rsidR="00F77E54">
              <w:rPr>
                <w:noProof/>
                <w:webHidden/>
              </w:rPr>
              <w:fldChar w:fldCharType="begin"/>
            </w:r>
            <w:r w:rsidR="00EF2C0C">
              <w:rPr>
                <w:noProof/>
                <w:webHidden/>
              </w:rPr>
              <w:instrText xml:space="preserve"> PAGEREF _Toc349741371 \h </w:instrText>
            </w:r>
            <w:r w:rsidR="00F77E54">
              <w:rPr>
                <w:noProof/>
                <w:webHidden/>
              </w:rPr>
            </w:r>
            <w:r w:rsidR="00F77E54">
              <w:rPr>
                <w:noProof/>
                <w:webHidden/>
              </w:rPr>
              <w:fldChar w:fldCharType="separate"/>
            </w:r>
            <w:r w:rsidR="00D11EA4">
              <w:rPr>
                <w:noProof/>
                <w:webHidden/>
              </w:rPr>
              <w:t>156</w:t>
            </w:r>
            <w:r w:rsidR="00F77E54">
              <w:rPr>
                <w:noProof/>
                <w:webHidden/>
              </w:rPr>
              <w:fldChar w:fldCharType="end"/>
            </w:r>
          </w:hyperlink>
        </w:p>
        <w:p w14:paraId="5632034A" w14:textId="77777777" w:rsidR="00EF2C0C" w:rsidRDefault="00050AB3">
          <w:pPr>
            <w:pStyle w:val="TOC2"/>
            <w:rPr>
              <w:rFonts w:asciiTheme="minorHAnsi" w:hAnsiTheme="minorHAnsi" w:cstheme="minorBidi"/>
              <w:noProof/>
              <w:sz w:val="22"/>
              <w:szCs w:val="22"/>
            </w:rPr>
          </w:pPr>
          <w:hyperlink w:anchor="_Toc349741372" w:history="1">
            <w:r w:rsidR="00EF2C0C" w:rsidRPr="001C09DA">
              <w:rPr>
                <w:rStyle w:val="Hyperlink"/>
                <w:noProof/>
              </w:rPr>
              <w:t>5.2</w:t>
            </w:r>
            <w:r w:rsidR="00EF2C0C">
              <w:rPr>
                <w:rFonts w:asciiTheme="minorHAnsi" w:hAnsiTheme="minorHAnsi" w:cstheme="minorBidi"/>
                <w:noProof/>
                <w:sz w:val="22"/>
                <w:szCs w:val="22"/>
              </w:rPr>
              <w:tab/>
            </w:r>
            <w:r w:rsidR="00EF2C0C" w:rsidRPr="001C09DA">
              <w:rPr>
                <w:rStyle w:val="Hyperlink"/>
                <w:noProof/>
              </w:rPr>
              <w:t xml:space="preserve">The </w:t>
            </w:r>
            <w:r w:rsidR="00EF2C0C" w:rsidRPr="001C09DA">
              <w:rPr>
                <w:rStyle w:val="Hyperlink"/>
                <w:noProof/>
                <w:lang w:eastAsia="ja-JP"/>
              </w:rPr>
              <w:t>d</w:t>
            </w:r>
            <w:r w:rsidR="00EF2C0C" w:rsidRPr="001C09DA">
              <w:rPr>
                <w:rStyle w:val="Hyperlink"/>
                <w:noProof/>
              </w:rPr>
              <w:t xml:space="preserve">evelopment of Japan’s ICT </w:t>
            </w:r>
            <w:r w:rsidR="00EF2C0C" w:rsidRPr="001C09DA">
              <w:rPr>
                <w:rStyle w:val="Hyperlink"/>
                <w:noProof/>
                <w:lang w:eastAsia="ja-JP"/>
              </w:rPr>
              <w:t>s</w:t>
            </w:r>
            <w:r w:rsidR="00EF2C0C" w:rsidRPr="001C09DA">
              <w:rPr>
                <w:rStyle w:val="Hyperlink"/>
                <w:noProof/>
              </w:rPr>
              <w:t xml:space="preserve">ector and the </w:t>
            </w:r>
            <w:r w:rsidR="00EF2C0C" w:rsidRPr="001C09DA">
              <w:rPr>
                <w:rStyle w:val="Hyperlink"/>
                <w:noProof/>
                <w:lang w:eastAsia="ja-JP"/>
              </w:rPr>
              <w:t>i</w:t>
            </w:r>
            <w:r w:rsidR="00EF2C0C" w:rsidRPr="001C09DA">
              <w:rPr>
                <w:rStyle w:val="Hyperlink"/>
                <w:noProof/>
              </w:rPr>
              <w:t xml:space="preserve">nvolvement of the </w:t>
            </w:r>
            <w:r w:rsidR="00EF2C0C" w:rsidRPr="001C09DA">
              <w:rPr>
                <w:rStyle w:val="Hyperlink"/>
                <w:noProof/>
                <w:lang w:eastAsia="ja-JP"/>
              </w:rPr>
              <w:t>c</w:t>
            </w:r>
            <w:r w:rsidR="00EF2C0C" w:rsidRPr="001C09DA">
              <w:rPr>
                <w:rStyle w:val="Hyperlink"/>
                <w:noProof/>
              </w:rPr>
              <w:t xml:space="preserve">ore </w:t>
            </w:r>
            <w:r w:rsidR="00EF2C0C" w:rsidRPr="001C09DA">
              <w:rPr>
                <w:rStyle w:val="Hyperlink"/>
                <w:noProof/>
                <w:lang w:eastAsia="ja-JP"/>
              </w:rPr>
              <w:t>e</w:t>
            </w:r>
            <w:r w:rsidR="00EF2C0C" w:rsidRPr="001C09DA">
              <w:rPr>
                <w:rStyle w:val="Hyperlink"/>
                <w:noProof/>
              </w:rPr>
              <w:t>xecutive</w:t>
            </w:r>
            <w:r w:rsidR="00EF2C0C">
              <w:rPr>
                <w:noProof/>
                <w:webHidden/>
              </w:rPr>
              <w:tab/>
            </w:r>
            <w:r w:rsidR="00F77E54">
              <w:rPr>
                <w:noProof/>
                <w:webHidden/>
              </w:rPr>
              <w:fldChar w:fldCharType="begin"/>
            </w:r>
            <w:r w:rsidR="00EF2C0C">
              <w:rPr>
                <w:noProof/>
                <w:webHidden/>
              </w:rPr>
              <w:instrText xml:space="preserve"> PAGEREF _Toc349741372 \h </w:instrText>
            </w:r>
            <w:r w:rsidR="00F77E54">
              <w:rPr>
                <w:noProof/>
                <w:webHidden/>
              </w:rPr>
            </w:r>
            <w:r w:rsidR="00F77E54">
              <w:rPr>
                <w:noProof/>
                <w:webHidden/>
              </w:rPr>
              <w:fldChar w:fldCharType="separate"/>
            </w:r>
            <w:r w:rsidR="00D11EA4">
              <w:rPr>
                <w:noProof/>
                <w:webHidden/>
              </w:rPr>
              <w:t>160</w:t>
            </w:r>
            <w:r w:rsidR="00F77E54">
              <w:rPr>
                <w:noProof/>
                <w:webHidden/>
              </w:rPr>
              <w:fldChar w:fldCharType="end"/>
            </w:r>
          </w:hyperlink>
        </w:p>
        <w:p w14:paraId="57B51C8D" w14:textId="78F87EE9" w:rsidR="00EF2C0C" w:rsidRDefault="00050AB3">
          <w:pPr>
            <w:pStyle w:val="TOC2"/>
            <w:rPr>
              <w:rFonts w:asciiTheme="minorHAnsi" w:hAnsiTheme="minorHAnsi" w:cstheme="minorBidi"/>
              <w:noProof/>
              <w:sz w:val="22"/>
              <w:szCs w:val="22"/>
            </w:rPr>
          </w:pPr>
          <w:hyperlink w:anchor="_Toc349741373" w:history="1">
            <w:r w:rsidR="00EF2C0C" w:rsidRPr="001C09DA">
              <w:rPr>
                <w:rStyle w:val="Hyperlink"/>
                <w:noProof/>
              </w:rPr>
              <w:t>5.3</w:t>
            </w:r>
            <w:r w:rsidR="00EF2C0C">
              <w:rPr>
                <w:rFonts w:asciiTheme="minorHAnsi" w:hAnsiTheme="minorHAnsi" w:cstheme="minorBidi"/>
                <w:noProof/>
                <w:sz w:val="22"/>
                <w:szCs w:val="22"/>
              </w:rPr>
              <w:tab/>
            </w:r>
            <w:r w:rsidR="00EF2C0C" w:rsidRPr="001C09DA">
              <w:rPr>
                <w:rStyle w:val="Hyperlink"/>
                <w:noProof/>
              </w:rPr>
              <w:t xml:space="preserve">Inside the </w:t>
            </w:r>
            <w:r w:rsidR="00EF2C0C" w:rsidRPr="001C09DA">
              <w:rPr>
                <w:rStyle w:val="Hyperlink"/>
                <w:noProof/>
                <w:lang w:eastAsia="ja-JP"/>
              </w:rPr>
              <w:t>c</w:t>
            </w:r>
            <w:r w:rsidR="00EF2C0C" w:rsidRPr="001C09DA">
              <w:rPr>
                <w:rStyle w:val="Hyperlink"/>
                <w:noProof/>
              </w:rPr>
              <w:t xml:space="preserve">ore </w:t>
            </w:r>
            <w:r w:rsidR="00EF2C0C" w:rsidRPr="001C09DA">
              <w:rPr>
                <w:rStyle w:val="Hyperlink"/>
                <w:noProof/>
                <w:lang w:eastAsia="ja-JP"/>
              </w:rPr>
              <w:t>e</w:t>
            </w:r>
            <w:r w:rsidR="00EF2C0C" w:rsidRPr="001C09DA">
              <w:rPr>
                <w:rStyle w:val="Hyperlink"/>
                <w:noProof/>
              </w:rPr>
              <w:t xml:space="preserve">xecutive: the </w:t>
            </w:r>
            <w:r w:rsidR="00EF2C0C" w:rsidRPr="001C09DA">
              <w:rPr>
                <w:rStyle w:val="Hyperlink"/>
                <w:noProof/>
                <w:lang w:eastAsia="ja-JP"/>
              </w:rPr>
              <w:t>r</w:t>
            </w:r>
            <w:r w:rsidR="00EF2C0C" w:rsidRPr="001C09DA">
              <w:rPr>
                <w:rStyle w:val="Hyperlink"/>
                <w:noProof/>
              </w:rPr>
              <w:t xml:space="preserve">elationship between </w:t>
            </w:r>
            <w:r w:rsidR="00EF2C0C" w:rsidRPr="001C09DA">
              <w:rPr>
                <w:rStyle w:val="Hyperlink"/>
                <w:noProof/>
                <w:lang w:eastAsia="ja-JP"/>
              </w:rPr>
              <w:t>p</w:t>
            </w:r>
            <w:r w:rsidR="00EF2C0C" w:rsidRPr="001C09DA">
              <w:rPr>
                <w:rStyle w:val="Hyperlink"/>
                <w:noProof/>
              </w:rPr>
              <w:t xml:space="preserve">arty </w:t>
            </w:r>
            <w:r w:rsidR="00EF2C0C" w:rsidRPr="001C09DA">
              <w:rPr>
                <w:rStyle w:val="Hyperlink"/>
                <w:noProof/>
                <w:lang w:eastAsia="ja-JP"/>
              </w:rPr>
              <w:t>p</w:t>
            </w:r>
            <w:r w:rsidR="00EF2C0C" w:rsidRPr="001C09DA">
              <w:rPr>
                <w:rStyle w:val="Hyperlink"/>
                <w:noProof/>
              </w:rPr>
              <w:t xml:space="preserve">oliticians and </w:t>
            </w:r>
            <w:r w:rsidR="00EF2C0C" w:rsidRPr="001C09DA">
              <w:rPr>
                <w:rStyle w:val="Hyperlink"/>
                <w:noProof/>
                <w:lang w:eastAsia="ja-JP"/>
              </w:rPr>
              <w:t>c</w:t>
            </w:r>
            <w:r w:rsidR="00EF2C0C" w:rsidRPr="001C09DA">
              <w:rPr>
                <w:rStyle w:val="Hyperlink"/>
                <w:noProof/>
              </w:rPr>
              <w:t xml:space="preserve">ivil </w:t>
            </w:r>
            <w:r w:rsidR="00EF2C0C" w:rsidRPr="001C09DA">
              <w:rPr>
                <w:rStyle w:val="Hyperlink"/>
                <w:noProof/>
                <w:lang w:eastAsia="ja-JP"/>
              </w:rPr>
              <w:t>s</w:t>
            </w:r>
            <w:r w:rsidR="00EF2C0C" w:rsidRPr="001C09DA">
              <w:rPr>
                <w:rStyle w:val="Hyperlink"/>
                <w:noProof/>
              </w:rPr>
              <w:t>ervants</w:t>
            </w:r>
            <w:r w:rsidR="00EF2C0C">
              <w:rPr>
                <w:noProof/>
                <w:webHidden/>
              </w:rPr>
              <w:tab/>
            </w:r>
            <w:r w:rsidR="00F77E54">
              <w:rPr>
                <w:noProof/>
                <w:webHidden/>
              </w:rPr>
              <w:fldChar w:fldCharType="begin"/>
            </w:r>
            <w:r w:rsidR="00EF2C0C">
              <w:rPr>
                <w:noProof/>
                <w:webHidden/>
              </w:rPr>
              <w:instrText xml:space="preserve"> PAGEREF _Toc349741373 \h </w:instrText>
            </w:r>
            <w:r w:rsidR="00F77E54">
              <w:rPr>
                <w:noProof/>
                <w:webHidden/>
              </w:rPr>
            </w:r>
            <w:r w:rsidR="00F77E54">
              <w:rPr>
                <w:noProof/>
                <w:webHidden/>
              </w:rPr>
              <w:fldChar w:fldCharType="separate"/>
            </w:r>
            <w:r w:rsidR="00D11EA4">
              <w:rPr>
                <w:noProof/>
                <w:webHidden/>
              </w:rPr>
              <w:t>178</w:t>
            </w:r>
            <w:r w:rsidR="00F77E54">
              <w:rPr>
                <w:noProof/>
                <w:webHidden/>
              </w:rPr>
              <w:fldChar w:fldCharType="end"/>
            </w:r>
          </w:hyperlink>
        </w:p>
        <w:p w14:paraId="5A1531ED" w14:textId="0897FBFF" w:rsidR="00EF2C0C" w:rsidRDefault="00050AB3">
          <w:pPr>
            <w:pStyle w:val="TOC2"/>
            <w:rPr>
              <w:rFonts w:asciiTheme="minorHAnsi" w:hAnsiTheme="minorHAnsi" w:cstheme="minorBidi"/>
              <w:noProof/>
              <w:sz w:val="22"/>
              <w:szCs w:val="22"/>
            </w:rPr>
          </w:pPr>
          <w:hyperlink w:anchor="_Toc349741374" w:history="1">
            <w:r w:rsidR="00EF2C0C" w:rsidRPr="001C09DA">
              <w:rPr>
                <w:rStyle w:val="Hyperlink"/>
                <w:noProof/>
              </w:rPr>
              <w:t>5.4</w:t>
            </w:r>
            <w:r w:rsidR="00EF2C0C">
              <w:rPr>
                <w:rFonts w:asciiTheme="minorHAnsi" w:hAnsiTheme="minorHAnsi" w:cstheme="minorBidi"/>
                <w:noProof/>
                <w:sz w:val="22"/>
                <w:szCs w:val="22"/>
              </w:rPr>
              <w:tab/>
            </w:r>
            <w:r w:rsidR="00EF2C0C" w:rsidRPr="001C09DA">
              <w:rPr>
                <w:rStyle w:val="Hyperlink"/>
                <w:noProof/>
              </w:rPr>
              <w:t xml:space="preserve">The </w:t>
            </w:r>
            <w:r w:rsidR="00EF2C0C" w:rsidRPr="001C09DA">
              <w:rPr>
                <w:rStyle w:val="Hyperlink"/>
                <w:noProof/>
                <w:lang w:eastAsia="ja-JP"/>
              </w:rPr>
              <w:t>e</w:t>
            </w:r>
            <w:r w:rsidR="00EF2C0C" w:rsidRPr="001C09DA">
              <w:rPr>
                <w:rStyle w:val="Hyperlink"/>
                <w:noProof/>
              </w:rPr>
              <w:t xml:space="preserve">mbeddedness of the </w:t>
            </w:r>
            <w:r w:rsidR="00EF2C0C" w:rsidRPr="001C09DA">
              <w:rPr>
                <w:rStyle w:val="Hyperlink"/>
                <w:noProof/>
                <w:lang w:eastAsia="ja-JP"/>
              </w:rPr>
              <w:t>i</w:t>
            </w:r>
            <w:r w:rsidR="00EF2C0C" w:rsidRPr="001C09DA">
              <w:rPr>
                <w:rStyle w:val="Hyperlink"/>
                <w:noProof/>
              </w:rPr>
              <w:t xml:space="preserve">ndependent </w:t>
            </w:r>
            <w:r w:rsidR="00EF2C0C" w:rsidRPr="001C09DA">
              <w:rPr>
                <w:rStyle w:val="Hyperlink"/>
                <w:noProof/>
                <w:lang w:eastAsia="ja-JP"/>
              </w:rPr>
              <w:t>r</w:t>
            </w:r>
            <w:r w:rsidR="00EF2C0C" w:rsidRPr="001C09DA">
              <w:rPr>
                <w:rStyle w:val="Hyperlink"/>
                <w:noProof/>
              </w:rPr>
              <w:t xml:space="preserve">egulator and the </w:t>
            </w:r>
            <w:r w:rsidR="00EF2C0C" w:rsidRPr="001C09DA">
              <w:rPr>
                <w:rStyle w:val="Hyperlink"/>
                <w:noProof/>
                <w:lang w:eastAsia="ja-JP"/>
              </w:rPr>
              <w:t>e</w:t>
            </w:r>
            <w:r w:rsidR="00EF2C0C" w:rsidRPr="001C09DA">
              <w:rPr>
                <w:rStyle w:val="Hyperlink"/>
                <w:noProof/>
              </w:rPr>
              <w:t xml:space="preserve">volution of </w:t>
            </w:r>
            <w:r w:rsidR="00EF2C0C" w:rsidRPr="001C09DA">
              <w:rPr>
                <w:rStyle w:val="Hyperlink"/>
                <w:noProof/>
                <w:lang w:eastAsia="ja-JP"/>
              </w:rPr>
              <w:t>r</w:t>
            </w:r>
            <w:r w:rsidR="00EF2C0C" w:rsidRPr="001C09DA">
              <w:rPr>
                <w:rStyle w:val="Hyperlink"/>
                <w:noProof/>
              </w:rPr>
              <w:t>egulation</w:t>
            </w:r>
            <w:r w:rsidR="00EF2C0C">
              <w:rPr>
                <w:noProof/>
                <w:webHidden/>
              </w:rPr>
              <w:tab/>
            </w:r>
            <w:r w:rsidR="00F77E54">
              <w:rPr>
                <w:noProof/>
                <w:webHidden/>
              </w:rPr>
              <w:fldChar w:fldCharType="begin"/>
            </w:r>
            <w:r w:rsidR="00EF2C0C">
              <w:rPr>
                <w:noProof/>
                <w:webHidden/>
              </w:rPr>
              <w:instrText xml:space="preserve"> PAGEREF _Toc349741374 \h </w:instrText>
            </w:r>
            <w:r w:rsidR="00F77E54">
              <w:rPr>
                <w:noProof/>
                <w:webHidden/>
              </w:rPr>
            </w:r>
            <w:r w:rsidR="00F77E54">
              <w:rPr>
                <w:noProof/>
                <w:webHidden/>
              </w:rPr>
              <w:fldChar w:fldCharType="separate"/>
            </w:r>
            <w:r w:rsidR="00D11EA4">
              <w:rPr>
                <w:noProof/>
                <w:webHidden/>
              </w:rPr>
              <w:t>198</w:t>
            </w:r>
            <w:r w:rsidR="00F77E54">
              <w:rPr>
                <w:noProof/>
                <w:webHidden/>
              </w:rPr>
              <w:fldChar w:fldCharType="end"/>
            </w:r>
          </w:hyperlink>
        </w:p>
        <w:p w14:paraId="7A292FBB" w14:textId="44623A09" w:rsidR="00EF2C0C" w:rsidRDefault="00050AB3">
          <w:pPr>
            <w:pStyle w:val="TOC2"/>
            <w:rPr>
              <w:rFonts w:asciiTheme="minorHAnsi" w:hAnsiTheme="minorHAnsi" w:cstheme="minorBidi"/>
              <w:noProof/>
              <w:sz w:val="22"/>
              <w:szCs w:val="22"/>
            </w:rPr>
          </w:pPr>
          <w:hyperlink w:anchor="_Toc349741375" w:history="1">
            <w:r w:rsidR="00EF2C0C" w:rsidRPr="001C09DA">
              <w:rPr>
                <w:rStyle w:val="Hyperlink"/>
                <w:noProof/>
              </w:rPr>
              <w:t>5.5</w:t>
            </w:r>
            <w:r w:rsidR="00EF2C0C">
              <w:rPr>
                <w:rFonts w:asciiTheme="minorHAnsi" w:hAnsiTheme="minorHAnsi" w:cstheme="minorBidi"/>
                <w:noProof/>
                <w:sz w:val="22"/>
                <w:szCs w:val="22"/>
              </w:rPr>
              <w:tab/>
            </w:r>
            <w:r w:rsidR="00EF2C0C" w:rsidRPr="001C09DA">
              <w:rPr>
                <w:rStyle w:val="Hyperlink"/>
                <w:noProof/>
              </w:rPr>
              <w:t xml:space="preserve">Hollowing out or </w:t>
            </w:r>
            <w:r w:rsidR="00EF2C0C" w:rsidRPr="001C09DA">
              <w:rPr>
                <w:rStyle w:val="Hyperlink"/>
                <w:noProof/>
                <w:lang w:eastAsia="ja-JP"/>
              </w:rPr>
              <w:t>r</w:t>
            </w:r>
            <w:r w:rsidR="00EF2C0C" w:rsidRPr="001C09DA">
              <w:rPr>
                <w:rStyle w:val="Hyperlink"/>
                <w:noProof/>
              </w:rPr>
              <w:t xml:space="preserve">econstituted? The </w:t>
            </w:r>
            <w:r w:rsidR="00EF2C0C" w:rsidRPr="001C09DA">
              <w:rPr>
                <w:rStyle w:val="Hyperlink"/>
                <w:noProof/>
                <w:lang w:eastAsia="ja-JP"/>
              </w:rPr>
              <w:t>c</w:t>
            </w:r>
            <w:r w:rsidR="00EF2C0C" w:rsidRPr="001C09DA">
              <w:rPr>
                <w:rStyle w:val="Hyperlink"/>
                <w:noProof/>
              </w:rPr>
              <w:t xml:space="preserve">apacity of the </w:t>
            </w:r>
            <w:r w:rsidR="00EF2C0C" w:rsidRPr="001C09DA">
              <w:rPr>
                <w:rStyle w:val="Hyperlink"/>
                <w:noProof/>
                <w:lang w:eastAsia="ja-JP"/>
              </w:rPr>
              <w:t>c</w:t>
            </w:r>
            <w:r w:rsidR="00EF2C0C" w:rsidRPr="001C09DA">
              <w:rPr>
                <w:rStyle w:val="Hyperlink"/>
                <w:noProof/>
              </w:rPr>
              <w:t xml:space="preserve">ore </w:t>
            </w:r>
            <w:r w:rsidR="00EF2C0C" w:rsidRPr="001C09DA">
              <w:rPr>
                <w:rStyle w:val="Hyperlink"/>
                <w:noProof/>
                <w:lang w:eastAsia="ja-JP"/>
              </w:rPr>
              <w:t>e</w:t>
            </w:r>
            <w:r w:rsidR="00EF2C0C" w:rsidRPr="001C09DA">
              <w:rPr>
                <w:rStyle w:val="Hyperlink"/>
                <w:noProof/>
              </w:rPr>
              <w:t>xecutive</w:t>
            </w:r>
            <w:r w:rsidR="00EF2C0C">
              <w:rPr>
                <w:noProof/>
                <w:webHidden/>
              </w:rPr>
              <w:tab/>
            </w:r>
            <w:r w:rsidR="00F77E54">
              <w:rPr>
                <w:noProof/>
                <w:webHidden/>
              </w:rPr>
              <w:fldChar w:fldCharType="begin"/>
            </w:r>
            <w:r w:rsidR="00EF2C0C">
              <w:rPr>
                <w:noProof/>
                <w:webHidden/>
              </w:rPr>
              <w:instrText xml:space="preserve"> PAGEREF _Toc349741375 \h </w:instrText>
            </w:r>
            <w:r w:rsidR="00F77E54">
              <w:rPr>
                <w:noProof/>
                <w:webHidden/>
              </w:rPr>
            </w:r>
            <w:r w:rsidR="00F77E54">
              <w:rPr>
                <w:noProof/>
                <w:webHidden/>
              </w:rPr>
              <w:fldChar w:fldCharType="separate"/>
            </w:r>
            <w:r w:rsidR="00D11EA4">
              <w:rPr>
                <w:noProof/>
                <w:webHidden/>
              </w:rPr>
              <w:t>213</w:t>
            </w:r>
            <w:r w:rsidR="00F77E54">
              <w:rPr>
                <w:noProof/>
                <w:webHidden/>
              </w:rPr>
              <w:fldChar w:fldCharType="end"/>
            </w:r>
          </w:hyperlink>
        </w:p>
        <w:p w14:paraId="19190296" w14:textId="04F6E948" w:rsidR="00EF2C0C" w:rsidRDefault="00050AB3">
          <w:pPr>
            <w:pStyle w:val="TOC2"/>
            <w:rPr>
              <w:rFonts w:asciiTheme="minorHAnsi" w:hAnsiTheme="minorHAnsi" w:cstheme="minorBidi"/>
              <w:noProof/>
              <w:sz w:val="22"/>
              <w:szCs w:val="22"/>
            </w:rPr>
          </w:pPr>
          <w:hyperlink w:anchor="_Toc349741376" w:history="1">
            <w:r w:rsidR="00EF2C0C" w:rsidRPr="001C09DA">
              <w:rPr>
                <w:rStyle w:val="Hyperlink"/>
                <w:noProof/>
              </w:rPr>
              <w:t>5.6</w:t>
            </w:r>
            <w:r w:rsidR="00EF2C0C">
              <w:rPr>
                <w:rFonts w:asciiTheme="minorHAnsi" w:hAnsiTheme="minorHAnsi" w:cstheme="minorBidi"/>
                <w:noProof/>
                <w:sz w:val="22"/>
                <w:szCs w:val="22"/>
              </w:rPr>
              <w:tab/>
            </w:r>
            <w:r w:rsidR="00EF2C0C" w:rsidRPr="001C09DA">
              <w:rPr>
                <w:rStyle w:val="Hyperlink"/>
                <w:noProof/>
              </w:rPr>
              <w:t>Conclusion</w:t>
            </w:r>
            <w:r w:rsidR="00EF2C0C">
              <w:rPr>
                <w:noProof/>
                <w:webHidden/>
              </w:rPr>
              <w:tab/>
            </w:r>
            <w:r w:rsidR="00F77E54">
              <w:rPr>
                <w:noProof/>
                <w:webHidden/>
              </w:rPr>
              <w:fldChar w:fldCharType="begin"/>
            </w:r>
            <w:r w:rsidR="00EF2C0C">
              <w:rPr>
                <w:noProof/>
                <w:webHidden/>
              </w:rPr>
              <w:instrText xml:space="preserve"> PAGEREF _Toc349741376 \h </w:instrText>
            </w:r>
            <w:r w:rsidR="00F77E54">
              <w:rPr>
                <w:noProof/>
                <w:webHidden/>
              </w:rPr>
            </w:r>
            <w:r w:rsidR="00F77E54">
              <w:rPr>
                <w:noProof/>
                <w:webHidden/>
              </w:rPr>
              <w:fldChar w:fldCharType="separate"/>
            </w:r>
            <w:r w:rsidR="00D11EA4">
              <w:rPr>
                <w:noProof/>
                <w:webHidden/>
              </w:rPr>
              <w:t>219</w:t>
            </w:r>
            <w:r w:rsidR="00F77E54">
              <w:rPr>
                <w:noProof/>
                <w:webHidden/>
              </w:rPr>
              <w:fldChar w:fldCharType="end"/>
            </w:r>
          </w:hyperlink>
        </w:p>
        <w:p w14:paraId="6F84EC76" w14:textId="77777777" w:rsidR="00EF2C0C" w:rsidRDefault="00EF2C0C">
          <w:pPr>
            <w:pStyle w:val="TOC1"/>
            <w:rPr>
              <w:rStyle w:val="Hyperlink"/>
              <w:noProof/>
            </w:rPr>
          </w:pPr>
        </w:p>
        <w:p w14:paraId="59705F01" w14:textId="75E3F51B" w:rsidR="00EF2C0C" w:rsidRDefault="00050AB3">
          <w:pPr>
            <w:pStyle w:val="TOC1"/>
            <w:rPr>
              <w:rFonts w:asciiTheme="minorHAnsi" w:hAnsiTheme="minorHAnsi" w:cstheme="minorBidi"/>
              <w:noProof/>
              <w:sz w:val="22"/>
              <w:szCs w:val="22"/>
            </w:rPr>
          </w:pPr>
          <w:hyperlink w:anchor="_Toc349741377" w:history="1">
            <w:r w:rsidR="00EF2C0C" w:rsidRPr="001C09DA">
              <w:rPr>
                <w:rStyle w:val="Hyperlink"/>
                <w:noProof/>
              </w:rPr>
              <w:t>Chapter 6</w:t>
            </w:r>
            <w:r w:rsidR="00EF2C0C">
              <w:rPr>
                <w:rFonts w:asciiTheme="minorHAnsi" w:hAnsiTheme="minorHAnsi" w:cstheme="minorBidi"/>
                <w:noProof/>
                <w:sz w:val="22"/>
                <w:szCs w:val="22"/>
              </w:rPr>
              <w:tab/>
            </w:r>
            <w:r w:rsidR="00EF2C0C" w:rsidRPr="001C09DA">
              <w:rPr>
                <w:rStyle w:val="Hyperlink"/>
                <w:noProof/>
              </w:rPr>
              <w:t>The Development of Antimonopoly Regulation and State Transformation</w:t>
            </w:r>
            <w:r w:rsidR="00EF2C0C">
              <w:rPr>
                <w:noProof/>
                <w:webHidden/>
              </w:rPr>
              <w:tab/>
            </w:r>
            <w:r w:rsidR="00F77E54">
              <w:rPr>
                <w:noProof/>
                <w:webHidden/>
              </w:rPr>
              <w:fldChar w:fldCharType="begin"/>
            </w:r>
            <w:r w:rsidR="00EF2C0C">
              <w:rPr>
                <w:noProof/>
                <w:webHidden/>
              </w:rPr>
              <w:instrText xml:space="preserve"> PAGEREF _Toc349741377 \h </w:instrText>
            </w:r>
            <w:r w:rsidR="00F77E54">
              <w:rPr>
                <w:noProof/>
                <w:webHidden/>
              </w:rPr>
            </w:r>
            <w:r w:rsidR="00F77E54">
              <w:rPr>
                <w:noProof/>
                <w:webHidden/>
              </w:rPr>
              <w:fldChar w:fldCharType="separate"/>
            </w:r>
            <w:r w:rsidR="00D11EA4">
              <w:rPr>
                <w:noProof/>
                <w:webHidden/>
              </w:rPr>
              <w:t>234</w:t>
            </w:r>
            <w:r w:rsidR="00F77E54">
              <w:rPr>
                <w:noProof/>
                <w:webHidden/>
              </w:rPr>
              <w:fldChar w:fldCharType="end"/>
            </w:r>
          </w:hyperlink>
        </w:p>
        <w:p w14:paraId="46F9982F" w14:textId="1FAC34C9" w:rsidR="00EF2C0C" w:rsidRDefault="00050AB3">
          <w:pPr>
            <w:pStyle w:val="TOC2"/>
            <w:rPr>
              <w:rFonts w:asciiTheme="minorHAnsi" w:hAnsiTheme="minorHAnsi" w:cstheme="minorBidi"/>
              <w:noProof/>
              <w:sz w:val="22"/>
              <w:szCs w:val="22"/>
            </w:rPr>
          </w:pPr>
          <w:hyperlink w:anchor="_Toc349741378" w:history="1">
            <w:r w:rsidR="00EF2C0C" w:rsidRPr="001C09DA">
              <w:rPr>
                <w:rStyle w:val="Hyperlink"/>
                <w:noProof/>
              </w:rPr>
              <w:t>6.1</w:t>
            </w:r>
            <w:r w:rsidR="00EF2C0C">
              <w:rPr>
                <w:rFonts w:asciiTheme="minorHAnsi" w:hAnsiTheme="minorHAnsi" w:cstheme="minorBidi"/>
                <w:noProof/>
                <w:sz w:val="22"/>
                <w:szCs w:val="22"/>
              </w:rPr>
              <w:tab/>
            </w:r>
            <w:r w:rsidR="00EF2C0C" w:rsidRPr="001C09DA">
              <w:rPr>
                <w:rStyle w:val="Hyperlink"/>
                <w:noProof/>
              </w:rPr>
              <w:t>Introduction</w:t>
            </w:r>
            <w:r w:rsidR="00EF2C0C">
              <w:rPr>
                <w:noProof/>
                <w:webHidden/>
              </w:rPr>
              <w:tab/>
            </w:r>
            <w:r w:rsidR="00F77E54">
              <w:rPr>
                <w:noProof/>
                <w:webHidden/>
              </w:rPr>
              <w:fldChar w:fldCharType="begin"/>
            </w:r>
            <w:r w:rsidR="00EF2C0C">
              <w:rPr>
                <w:noProof/>
                <w:webHidden/>
              </w:rPr>
              <w:instrText xml:space="preserve"> PAGEREF _Toc349741378 \h </w:instrText>
            </w:r>
            <w:r w:rsidR="00F77E54">
              <w:rPr>
                <w:noProof/>
                <w:webHidden/>
              </w:rPr>
            </w:r>
            <w:r w:rsidR="00F77E54">
              <w:rPr>
                <w:noProof/>
                <w:webHidden/>
              </w:rPr>
              <w:fldChar w:fldCharType="separate"/>
            </w:r>
            <w:r w:rsidR="00D11EA4">
              <w:rPr>
                <w:noProof/>
                <w:webHidden/>
              </w:rPr>
              <w:t>234</w:t>
            </w:r>
            <w:r w:rsidR="00F77E54">
              <w:rPr>
                <w:noProof/>
                <w:webHidden/>
              </w:rPr>
              <w:fldChar w:fldCharType="end"/>
            </w:r>
          </w:hyperlink>
        </w:p>
        <w:p w14:paraId="70500F59" w14:textId="25302CBF" w:rsidR="00EF2C0C" w:rsidRDefault="00050AB3">
          <w:pPr>
            <w:pStyle w:val="TOC2"/>
            <w:rPr>
              <w:rFonts w:asciiTheme="minorHAnsi" w:hAnsiTheme="minorHAnsi" w:cstheme="minorBidi"/>
              <w:noProof/>
              <w:sz w:val="22"/>
              <w:szCs w:val="22"/>
            </w:rPr>
          </w:pPr>
          <w:hyperlink w:anchor="_Toc349741379" w:history="1">
            <w:r w:rsidR="00EF2C0C" w:rsidRPr="001C09DA">
              <w:rPr>
                <w:rStyle w:val="Hyperlink"/>
                <w:noProof/>
              </w:rPr>
              <w:t>6.2</w:t>
            </w:r>
            <w:r w:rsidR="00EF2C0C">
              <w:rPr>
                <w:rFonts w:asciiTheme="minorHAnsi" w:hAnsiTheme="minorHAnsi" w:cstheme="minorBidi"/>
                <w:noProof/>
                <w:sz w:val="22"/>
                <w:szCs w:val="22"/>
              </w:rPr>
              <w:tab/>
            </w:r>
            <w:r w:rsidR="00EF2C0C" w:rsidRPr="001C09DA">
              <w:rPr>
                <w:rStyle w:val="Hyperlink"/>
                <w:noProof/>
              </w:rPr>
              <w:t>The emergence and development of Japan’s antimonopoly regulation</w:t>
            </w:r>
            <w:r w:rsidR="00EF2C0C">
              <w:rPr>
                <w:noProof/>
                <w:webHidden/>
              </w:rPr>
              <w:tab/>
            </w:r>
            <w:r w:rsidR="00F77E54">
              <w:rPr>
                <w:noProof/>
                <w:webHidden/>
              </w:rPr>
              <w:fldChar w:fldCharType="begin"/>
            </w:r>
            <w:r w:rsidR="00EF2C0C">
              <w:rPr>
                <w:noProof/>
                <w:webHidden/>
              </w:rPr>
              <w:instrText xml:space="preserve"> PAGEREF _Toc349741379 \h </w:instrText>
            </w:r>
            <w:r w:rsidR="00F77E54">
              <w:rPr>
                <w:noProof/>
                <w:webHidden/>
              </w:rPr>
            </w:r>
            <w:r w:rsidR="00F77E54">
              <w:rPr>
                <w:noProof/>
                <w:webHidden/>
              </w:rPr>
              <w:fldChar w:fldCharType="separate"/>
            </w:r>
            <w:r w:rsidR="00D11EA4">
              <w:rPr>
                <w:noProof/>
                <w:webHidden/>
              </w:rPr>
              <w:t>238</w:t>
            </w:r>
            <w:r w:rsidR="00F77E54">
              <w:rPr>
                <w:noProof/>
                <w:webHidden/>
              </w:rPr>
              <w:fldChar w:fldCharType="end"/>
            </w:r>
          </w:hyperlink>
        </w:p>
        <w:p w14:paraId="4A69C616" w14:textId="33EA579A" w:rsidR="00EF2C0C" w:rsidRDefault="00050AB3">
          <w:pPr>
            <w:pStyle w:val="TOC2"/>
            <w:rPr>
              <w:rFonts w:asciiTheme="minorHAnsi" w:hAnsiTheme="minorHAnsi" w:cstheme="minorBidi"/>
              <w:noProof/>
              <w:sz w:val="22"/>
              <w:szCs w:val="22"/>
            </w:rPr>
          </w:pPr>
          <w:hyperlink w:anchor="_Toc349741380" w:history="1">
            <w:r w:rsidR="00EF2C0C" w:rsidRPr="001C09DA">
              <w:rPr>
                <w:rStyle w:val="Hyperlink"/>
                <w:noProof/>
              </w:rPr>
              <w:t>6.3</w:t>
            </w:r>
            <w:r w:rsidR="00EF2C0C">
              <w:rPr>
                <w:rFonts w:asciiTheme="minorHAnsi" w:hAnsiTheme="minorHAnsi" w:cstheme="minorBidi"/>
                <w:noProof/>
                <w:sz w:val="22"/>
                <w:szCs w:val="22"/>
              </w:rPr>
              <w:tab/>
            </w:r>
            <w:r w:rsidR="00EF2C0C" w:rsidRPr="001C09DA">
              <w:rPr>
                <w:rStyle w:val="Hyperlink"/>
                <w:noProof/>
              </w:rPr>
              <w:t>Independence and political control: the relationship within the core executive</w:t>
            </w:r>
            <w:r w:rsidR="00EF2C0C">
              <w:rPr>
                <w:noProof/>
                <w:webHidden/>
              </w:rPr>
              <w:tab/>
            </w:r>
            <w:r w:rsidR="00F77E54">
              <w:rPr>
                <w:noProof/>
                <w:webHidden/>
              </w:rPr>
              <w:fldChar w:fldCharType="begin"/>
            </w:r>
            <w:r w:rsidR="00EF2C0C">
              <w:rPr>
                <w:noProof/>
                <w:webHidden/>
              </w:rPr>
              <w:instrText xml:space="preserve"> PAGEREF _Toc349741380 \h </w:instrText>
            </w:r>
            <w:r w:rsidR="00F77E54">
              <w:rPr>
                <w:noProof/>
                <w:webHidden/>
              </w:rPr>
            </w:r>
            <w:r w:rsidR="00F77E54">
              <w:rPr>
                <w:noProof/>
                <w:webHidden/>
              </w:rPr>
              <w:fldChar w:fldCharType="separate"/>
            </w:r>
            <w:r w:rsidR="00D11EA4">
              <w:rPr>
                <w:noProof/>
                <w:webHidden/>
              </w:rPr>
              <w:t>259</w:t>
            </w:r>
            <w:r w:rsidR="00F77E54">
              <w:rPr>
                <w:noProof/>
                <w:webHidden/>
              </w:rPr>
              <w:fldChar w:fldCharType="end"/>
            </w:r>
          </w:hyperlink>
        </w:p>
        <w:p w14:paraId="56E12477" w14:textId="7AFE346C" w:rsidR="00EF2C0C" w:rsidRDefault="00050AB3">
          <w:pPr>
            <w:pStyle w:val="TOC2"/>
            <w:rPr>
              <w:rFonts w:asciiTheme="minorHAnsi" w:hAnsiTheme="minorHAnsi" w:cstheme="minorBidi"/>
              <w:noProof/>
              <w:sz w:val="22"/>
              <w:szCs w:val="22"/>
            </w:rPr>
          </w:pPr>
          <w:hyperlink w:anchor="_Toc349741381" w:history="1">
            <w:r w:rsidR="00EF2C0C" w:rsidRPr="001C09DA">
              <w:rPr>
                <w:rStyle w:val="Hyperlink"/>
                <w:noProof/>
              </w:rPr>
              <w:t>6.4</w:t>
            </w:r>
            <w:r w:rsidR="00EF2C0C">
              <w:rPr>
                <w:rFonts w:asciiTheme="minorHAnsi" w:hAnsiTheme="minorHAnsi" w:cstheme="minorBidi"/>
                <w:noProof/>
                <w:sz w:val="22"/>
                <w:szCs w:val="22"/>
              </w:rPr>
              <w:tab/>
            </w:r>
            <w:r w:rsidR="00EF2C0C" w:rsidRPr="001C09DA">
              <w:rPr>
                <w:rStyle w:val="Hyperlink"/>
                <w:noProof/>
              </w:rPr>
              <w:t>The embeddedness of the independent antimonopoly regulator</w:t>
            </w:r>
            <w:r w:rsidR="00EF2C0C">
              <w:rPr>
                <w:noProof/>
                <w:webHidden/>
              </w:rPr>
              <w:tab/>
            </w:r>
            <w:r w:rsidR="00F77E54">
              <w:rPr>
                <w:noProof/>
                <w:webHidden/>
              </w:rPr>
              <w:fldChar w:fldCharType="begin"/>
            </w:r>
            <w:r w:rsidR="00EF2C0C">
              <w:rPr>
                <w:noProof/>
                <w:webHidden/>
              </w:rPr>
              <w:instrText xml:space="preserve"> PAGEREF _Toc349741381 \h </w:instrText>
            </w:r>
            <w:r w:rsidR="00F77E54">
              <w:rPr>
                <w:noProof/>
                <w:webHidden/>
              </w:rPr>
            </w:r>
            <w:r w:rsidR="00F77E54">
              <w:rPr>
                <w:noProof/>
                <w:webHidden/>
              </w:rPr>
              <w:fldChar w:fldCharType="separate"/>
            </w:r>
            <w:r w:rsidR="00D11EA4">
              <w:rPr>
                <w:noProof/>
                <w:webHidden/>
              </w:rPr>
              <w:t>279</w:t>
            </w:r>
            <w:r w:rsidR="00F77E54">
              <w:rPr>
                <w:noProof/>
                <w:webHidden/>
              </w:rPr>
              <w:fldChar w:fldCharType="end"/>
            </w:r>
          </w:hyperlink>
        </w:p>
        <w:p w14:paraId="1640C758" w14:textId="5079465E" w:rsidR="00EF2C0C" w:rsidRDefault="00050AB3">
          <w:pPr>
            <w:pStyle w:val="TOC2"/>
            <w:rPr>
              <w:rFonts w:asciiTheme="minorHAnsi" w:hAnsiTheme="minorHAnsi" w:cstheme="minorBidi"/>
              <w:noProof/>
              <w:sz w:val="22"/>
              <w:szCs w:val="22"/>
            </w:rPr>
          </w:pPr>
          <w:hyperlink w:anchor="_Toc349741382" w:history="1">
            <w:r w:rsidR="00EF2C0C" w:rsidRPr="001C09DA">
              <w:rPr>
                <w:rStyle w:val="Hyperlink"/>
                <w:noProof/>
              </w:rPr>
              <w:t>6.5</w:t>
            </w:r>
            <w:r w:rsidR="00EF2C0C">
              <w:rPr>
                <w:rFonts w:asciiTheme="minorHAnsi" w:hAnsiTheme="minorHAnsi" w:cstheme="minorBidi"/>
                <w:noProof/>
                <w:sz w:val="22"/>
                <w:szCs w:val="22"/>
              </w:rPr>
              <w:tab/>
            </w:r>
            <w:r w:rsidR="00EF2C0C" w:rsidRPr="001C09DA">
              <w:rPr>
                <w:rStyle w:val="Hyperlink"/>
                <w:noProof/>
              </w:rPr>
              <w:t xml:space="preserve">A </w:t>
            </w:r>
            <w:r w:rsidR="00EF2C0C" w:rsidRPr="001C09DA">
              <w:rPr>
                <w:rStyle w:val="Hyperlink"/>
                <w:noProof/>
                <w:lang w:eastAsia="ja-JP"/>
              </w:rPr>
              <w:t>g</w:t>
            </w:r>
            <w:r w:rsidR="00EF2C0C" w:rsidRPr="001C09DA">
              <w:rPr>
                <w:rStyle w:val="Hyperlink"/>
                <w:noProof/>
              </w:rPr>
              <w:t xml:space="preserve">rowing </w:t>
            </w:r>
            <w:r w:rsidR="00EF2C0C" w:rsidRPr="001C09DA">
              <w:rPr>
                <w:rStyle w:val="Hyperlink"/>
                <w:noProof/>
                <w:lang w:eastAsia="ja-JP"/>
              </w:rPr>
              <w:t>a</w:t>
            </w:r>
            <w:r w:rsidR="00EF2C0C" w:rsidRPr="001C09DA">
              <w:rPr>
                <w:rStyle w:val="Hyperlink"/>
                <w:noProof/>
              </w:rPr>
              <w:t xml:space="preserve">ntimonopoly </w:t>
            </w:r>
            <w:r w:rsidR="00EF2C0C" w:rsidRPr="001C09DA">
              <w:rPr>
                <w:rStyle w:val="Hyperlink"/>
                <w:noProof/>
                <w:lang w:eastAsia="ja-JP"/>
              </w:rPr>
              <w:t>w</w:t>
            </w:r>
            <w:r w:rsidR="00EF2C0C" w:rsidRPr="001C09DA">
              <w:rPr>
                <w:rStyle w:val="Hyperlink"/>
                <w:noProof/>
              </w:rPr>
              <w:t xml:space="preserve">atchdog? </w:t>
            </w:r>
            <w:r w:rsidR="00EF2C0C" w:rsidRPr="001C09DA">
              <w:rPr>
                <w:rStyle w:val="Hyperlink"/>
                <w:noProof/>
                <w:lang w:eastAsia="ja-JP"/>
              </w:rPr>
              <w:t>The c</w:t>
            </w:r>
            <w:r w:rsidR="00EF2C0C" w:rsidRPr="001C09DA">
              <w:rPr>
                <w:rStyle w:val="Hyperlink"/>
                <w:noProof/>
              </w:rPr>
              <w:t xml:space="preserve">apacity of the </w:t>
            </w:r>
            <w:r w:rsidR="00EF2C0C" w:rsidRPr="001C09DA">
              <w:rPr>
                <w:rStyle w:val="Hyperlink"/>
                <w:noProof/>
                <w:lang w:eastAsia="ja-JP"/>
              </w:rPr>
              <w:t>c</w:t>
            </w:r>
            <w:r w:rsidR="00EF2C0C" w:rsidRPr="001C09DA">
              <w:rPr>
                <w:rStyle w:val="Hyperlink"/>
                <w:noProof/>
              </w:rPr>
              <w:t xml:space="preserve">ore </w:t>
            </w:r>
            <w:r w:rsidR="00EF2C0C" w:rsidRPr="001C09DA">
              <w:rPr>
                <w:rStyle w:val="Hyperlink"/>
                <w:noProof/>
                <w:lang w:eastAsia="ja-JP"/>
              </w:rPr>
              <w:t>e</w:t>
            </w:r>
            <w:r w:rsidR="00EF2C0C" w:rsidRPr="001C09DA">
              <w:rPr>
                <w:rStyle w:val="Hyperlink"/>
                <w:noProof/>
              </w:rPr>
              <w:t>xecutive</w:t>
            </w:r>
            <w:r w:rsidR="00EF2C0C">
              <w:rPr>
                <w:noProof/>
                <w:webHidden/>
              </w:rPr>
              <w:tab/>
            </w:r>
            <w:r w:rsidR="00F77E54">
              <w:rPr>
                <w:noProof/>
                <w:webHidden/>
              </w:rPr>
              <w:fldChar w:fldCharType="begin"/>
            </w:r>
            <w:r w:rsidR="00EF2C0C">
              <w:rPr>
                <w:noProof/>
                <w:webHidden/>
              </w:rPr>
              <w:instrText xml:space="preserve"> PAGEREF _Toc349741382 \h </w:instrText>
            </w:r>
            <w:r w:rsidR="00F77E54">
              <w:rPr>
                <w:noProof/>
                <w:webHidden/>
              </w:rPr>
            </w:r>
            <w:r w:rsidR="00F77E54">
              <w:rPr>
                <w:noProof/>
                <w:webHidden/>
              </w:rPr>
              <w:fldChar w:fldCharType="separate"/>
            </w:r>
            <w:r w:rsidR="00D11EA4">
              <w:rPr>
                <w:noProof/>
                <w:webHidden/>
              </w:rPr>
              <w:t>290</w:t>
            </w:r>
            <w:r w:rsidR="00F77E54">
              <w:rPr>
                <w:noProof/>
                <w:webHidden/>
              </w:rPr>
              <w:fldChar w:fldCharType="end"/>
            </w:r>
          </w:hyperlink>
        </w:p>
        <w:p w14:paraId="4E2C33D7" w14:textId="652AA6C7" w:rsidR="00EF2C0C" w:rsidRDefault="00050AB3">
          <w:pPr>
            <w:pStyle w:val="TOC2"/>
            <w:rPr>
              <w:rFonts w:asciiTheme="minorHAnsi" w:hAnsiTheme="minorHAnsi" w:cstheme="minorBidi"/>
              <w:noProof/>
              <w:sz w:val="22"/>
              <w:szCs w:val="22"/>
            </w:rPr>
          </w:pPr>
          <w:hyperlink w:anchor="_Toc349741383" w:history="1">
            <w:r w:rsidR="00EF2C0C" w:rsidRPr="001C09DA">
              <w:rPr>
                <w:rStyle w:val="Hyperlink"/>
                <w:noProof/>
              </w:rPr>
              <w:t>6.6</w:t>
            </w:r>
            <w:r w:rsidR="00EF2C0C">
              <w:rPr>
                <w:rFonts w:asciiTheme="minorHAnsi" w:hAnsiTheme="minorHAnsi" w:cstheme="minorBidi"/>
                <w:noProof/>
                <w:sz w:val="22"/>
                <w:szCs w:val="22"/>
              </w:rPr>
              <w:tab/>
            </w:r>
            <w:r w:rsidR="00EF2C0C" w:rsidRPr="001C09DA">
              <w:rPr>
                <w:rStyle w:val="Hyperlink"/>
                <w:noProof/>
              </w:rPr>
              <w:t>Conclusion</w:t>
            </w:r>
            <w:r w:rsidR="00EF2C0C">
              <w:rPr>
                <w:noProof/>
                <w:webHidden/>
              </w:rPr>
              <w:tab/>
            </w:r>
            <w:r w:rsidR="00F77E54">
              <w:rPr>
                <w:noProof/>
                <w:webHidden/>
              </w:rPr>
              <w:fldChar w:fldCharType="begin"/>
            </w:r>
            <w:r w:rsidR="00EF2C0C">
              <w:rPr>
                <w:noProof/>
                <w:webHidden/>
              </w:rPr>
              <w:instrText xml:space="preserve"> PAGEREF _Toc349741383 \h </w:instrText>
            </w:r>
            <w:r w:rsidR="00F77E54">
              <w:rPr>
                <w:noProof/>
                <w:webHidden/>
              </w:rPr>
            </w:r>
            <w:r w:rsidR="00F77E54">
              <w:rPr>
                <w:noProof/>
                <w:webHidden/>
              </w:rPr>
              <w:fldChar w:fldCharType="separate"/>
            </w:r>
            <w:r w:rsidR="00D11EA4">
              <w:rPr>
                <w:noProof/>
                <w:webHidden/>
              </w:rPr>
              <w:t>296</w:t>
            </w:r>
            <w:r w:rsidR="00F77E54">
              <w:rPr>
                <w:noProof/>
                <w:webHidden/>
              </w:rPr>
              <w:fldChar w:fldCharType="end"/>
            </w:r>
          </w:hyperlink>
        </w:p>
        <w:p w14:paraId="10CD93C7" w14:textId="77777777" w:rsidR="00EF2C0C" w:rsidRDefault="00EF2C0C" w:rsidP="00EF2C0C">
          <w:pPr>
            <w:pStyle w:val="TOC1"/>
            <w:rPr>
              <w:rStyle w:val="Hyperlink"/>
              <w:noProof/>
            </w:rPr>
          </w:pPr>
        </w:p>
        <w:p w14:paraId="39AAF683" w14:textId="77777777" w:rsidR="00EF2C0C" w:rsidRDefault="00EF2C0C">
          <w:pPr>
            <w:pStyle w:val="TOC1"/>
            <w:rPr>
              <w:rStyle w:val="Hyperlink"/>
              <w:noProof/>
            </w:rPr>
          </w:pPr>
        </w:p>
        <w:p w14:paraId="6EBFC26C" w14:textId="18D36619" w:rsidR="00EF2C0C" w:rsidRDefault="00050AB3">
          <w:pPr>
            <w:pStyle w:val="TOC1"/>
            <w:rPr>
              <w:rFonts w:asciiTheme="minorHAnsi" w:hAnsiTheme="minorHAnsi" w:cstheme="minorBidi"/>
              <w:noProof/>
              <w:sz w:val="22"/>
              <w:szCs w:val="22"/>
            </w:rPr>
          </w:pPr>
          <w:hyperlink w:anchor="_Toc349741384" w:history="1">
            <w:r w:rsidR="00EF2C0C" w:rsidRPr="001C09DA">
              <w:rPr>
                <w:rStyle w:val="Hyperlink"/>
                <w:noProof/>
              </w:rPr>
              <w:t>Chapter 7</w:t>
            </w:r>
            <w:r w:rsidR="00EF2C0C">
              <w:rPr>
                <w:rFonts w:asciiTheme="minorHAnsi" w:hAnsiTheme="minorHAnsi" w:cstheme="minorBidi"/>
                <w:noProof/>
                <w:sz w:val="22"/>
                <w:szCs w:val="22"/>
              </w:rPr>
              <w:tab/>
            </w:r>
            <w:r w:rsidR="00EF2C0C" w:rsidRPr="001C09DA">
              <w:rPr>
                <w:rStyle w:val="Hyperlink"/>
                <w:noProof/>
              </w:rPr>
              <w:t>Conclusion</w:t>
            </w:r>
            <w:r w:rsidR="00EF2C0C">
              <w:rPr>
                <w:noProof/>
                <w:webHidden/>
              </w:rPr>
              <w:tab/>
            </w:r>
            <w:r w:rsidR="00F77E54">
              <w:rPr>
                <w:noProof/>
                <w:webHidden/>
              </w:rPr>
              <w:fldChar w:fldCharType="begin"/>
            </w:r>
            <w:r w:rsidR="00EF2C0C">
              <w:rPr>
                <w:noProof/>
                <w:webHidden/>
              </w:rPr>
              <w:instrText xml:space="preserve"> PAGEREF _Toc349741384 \h </w:instrText>
            </w:r>
            <w:r w:rsidR="00F77E54">
              <w:rPr>
                <w:noProof/>
                <w:webHidden/>
              </w:rPr>
            </w:r>
            <w:r w:rsidR="00F77E54">
              <w:rPr>
                <w:noProof/>
                <w:webHidden/>
              </w:rPr>
              <w:fldChar w:fldCharType="separate"/>
            </w:r>
            <w:r w:rsidR="00D11EA4">
              <w:rPr>
                <w:noProof/>
                <w:webHidden/>
              </w:rPr>
              <w:t>306</w:t>
            </w:r>
            <w:r w:rsidR="00F77E54">
              <w:rPr>
                <w:noProof/>
                <w:webHidden/>
              </w:rPr>
              <w:fldChar w:fldCharType="end"/>
            </w:r>
          </w:hyperlink>
        </w:p>
        <w:p w14:paraId="4D92AA56" w14:textId="0C6D52D2" w:rsidR="00EF2C0C" w:rsidRDefault="00050AB3">
          <w:pPr>
            <w:pStyle w:val="TOC2"/>
            <w:rPr>
              <w:rFonts w:asciiTheme="minorHAnsi" w:hAnsiTheme="minorHAnsi" w:cstheme="minorBidi"/>
              <w:noProof/>
              <w:sz w:val="22"/>
              <w:szCs w:val="22"/>
            </w:rPr>
          </w:pPr>
          <w:hyperlink w:anchor="_Toc349741385" w:history="1">
            <w:r w:rsidR="00EF2C0C" w:rsidRPr="001C09DA">
              <w:rPr>
                <w:rStyle w:val="Hyperlink"/>
                <w:noProof/>
              </w:rPr>
              <w:t>7.1</w:t>
            </w:r>
            <w:r w:rsidR="00EF2C0C">
              <w:rPr>
                <w:rFonts w:asciiTheme="minorHAnsi" w:hAnsiTheme="minorHAnsi" w:cstheme="minorBidi"/>
                <w:noProof/>
                <w:sz w:val="22"/>
                <w:szCs w:val="22"/>
              </w:rPr>
              <w:tab/>
            </w:r>
            <w:r w:rsidR="00EF2C0C" w:rsidRPr="001C09DA">
              <w:rPr>
                <w:rStyle w:val="Hyperlink"/>
                <w:noProof/>
              </w:rPr>
              <w:t>Introduction</w:t>
            </w:r>
            <w:r w:rsidR="00EF2C0C">
              <w:rPr>
                <w:noProof/>
                <w:webHidden/>
              </w:rPr>
              <w:tab/>
            </w:r>
            <w:r w:rsidR="00F77E54">
              <w:rPr>
                <w:noProof/>
                <w:webHidden/>
              </w:rPr>
              <w:fldChar w:fldCharType="begin"/>
            </w:r>
            <w:r w:rsidR="00EF2C0C">
              <w:rPr>
                <w:noProof/>
                <w:webHidden/>
              </w:rPr>
              <w:instrText xml:space="preserve"> PAGEREF _Toc349741385 \h </w:instrText>
            </w:r>
            <w:r w:rsidR="00F77E54">
              <w:rPr>
                <w:noProof/>
                <w:webHidden/>
              </w:rPr>
            </w:r>
            <w:r w:rsidR="00F77E54">
              <w:rPr>
                <w:noProof/>
                <w:webHidden/>
              </w:rPr>
              <w:fldChar w:fldCharType="separate"/>
            </w:r>
            <w:r w:rsidR="00D11EA4">
              <w:rPr>
                <w:noProof/>
                <w:webHidden/>
              </w:rPr>
              <w:t>306</w:t>
            </w:r>
            <w:r w:rsidR="00F77E54">
              <w:rPr>
                <w:noProof/>
                <w:webHidden/>
              </w:rPr>
              <w:fldChar w:fldCharType="end"/>
            </w:r>
          </w:hyperlink>
        </w:p>
        <w:p w14:paraId="0E9D7DE3" w14:textId="2FFF85F8" w:rsidR="00EF2C0C" w:rsidRDefault="00050AB3">
          <w:pPr>
            <w:pStyle w:val="TOC2"/>
            <w:rPr>
              <w:rFonts w:asciiTheme="minorHAnsi" w:hAnsiTheme="minorHAnsi" w:cstheme="minorBidi"/>
              <w:noProof/>
              <w:sz w:val="22"/>
              <w:szCs w:val="22"/>
            </w:rPr>
          </w:pPr>
          <w:hyperlink w:anchor="_Toc349741386" w:history="1">
            <w:r w:rsidR="00EF2C0C" w:rsidRPr="001C09DA">
              <w:rPr>
                <w:rStyle w:val="Hyperlink"/>
                <w:noProof/>
              </w:rPr>
              <w:t>7.2</w:t>
            </w:r>
            <w:r w:rsidR="00EF2C0C">
              <w:rPr>
                <w:rFonts w:asciiTheme="minorHAnsi" w:hAnsiTheme="minorHAnsi" w:cstheme="minorBidi"/>
                <w:noProof/>
                <w:sz w:val="22"/>
                <w:szCs w:val="22"/>
              </w:rPr>
              <w:tab/>
            </w:r>
            <w:r w:rsidR="00EF2C0C" w:rsidRPr="001C09DA">
              <w:rPr>
                <w:rStyle w:val="Hyperlink"/>
                <w:noProof/>
              </w:rPr>
              <w:t xml:space="preserve">The </w:t>
            </w:r>
            <w:r w:rsidR="00EF2C0C" w:rsidRPr="001C09DA">
              <w:rPr>
                <w:rStyle w:val="Hyperlink"/>
                <w:noProof/>
                <w:lang w:eastAsia="ja-JP"/>
              </w:rPr>
              <w:t>regulatory t</w:t>
            </w:r>
            <w:r w:rsidR="00EF2C0C" w:rsidRPr="001C09DA">
              <w:rPr>
                <w:rStyle w:val="Hyperlink"/>
                <w:noProof/>
              </w:rPr>
              <w:t xml:space="preserve">ransformation </w:t>
            </w:r>
            <w:r w:rsidR="00EF2C0C" w:rsidRPr="001C09DA">
              <w:rPr>
                <w:rStyle w:val="Hyperlink"/>
                <w:noProof/>
                <w:lang w:eastAsia="ja-JP"/>
              </w:rPr>
              <w:t>and the core executive</w:t>
            </w:r>
            <w:r w:rsidR="00EF2C0C">
              <w:rPr>
                <w:noProof/>
                <w:webHidden/>
              </w:rPr>
              <w:tab/>
            </w:r>
            <w:r w:rsidR="00F77E54">
              <w:rPr>
                <w:noProof/>
                <w:webHidden/>
              </w:rPr>
              <w:fldChar w:fldCharType="begin"/>
            </w:r>
            <w:r w:rsidR="00EF2C0C">
              <w:rPr>
                <w:noProof/>
                <w:webHidden/>
              </w:rPr>
              <w:instrText xml:space="preserve"> PAGEREF _Toc349741386 \h </w:instrText>
            </w:r>
            <w:r w:rsidR="00F77E54">
              <w:rPr>
                <w:noProof/>
                <w:webHidden/>
              </w:rPr>
            </w:r>
            <w:r w:rsidR="00F77E54">
              <w:rPr>
                <w:noProof/>
                <w:webHidden/>
              </w:rPr>
              <w:fldChar w:fldCharType="separate"/>
            </w:r>
            <w:r w:rsidR="00D11EA4">
              <w:rPr>
                <w:noProof/>
                <w:webHidden/>
              </w:rPr>
              <w:t>307</w:t>
            </w:r>
            <w:r w:rsidR="00F77E54">
              <w:rPr>
                <w:noProof/>
                <w:webHidden/>
              </w:rPr>
              <w:fldChar w:fldCharType="end"/>
            </w:r>
          </w:hyperlink>
        </w:p>
        <w:p w14:paraId="4AF31C5F" w14:textId="7833CB47" w:rsidR="00EF2C0C" w:rsidRDefault="00050AB3">
          <w:pPr>
            <w:pStyle w:val="TOC3"/>
            <w:tabs>
              <w:tab w:val="left" w:pos="1680"/>
            </w:tabs>
            <w:rPr>
              <w:rFonts w:asciiTheme="minorHAnsi" w:hAnsiTheme="minorHAnsi"/>
              <w:noProof/>
              <w:lang w:val="en-GB" w:eastAsia="zh-CN"/>
            </w:rPr>
          </w:pPr>
          <w:hyperlink w:anchor="_Toc349741387" w:history="1">
            <w:r w:rsidR="00EF2C0C" w:rsidRPr="001C09DA">
              <w:rPr>
                <w:rStyle w:val="Hyperlink"/>
                <w:noProof/>
              </w:rPr>
              <w:t>7.2.1</w:t>
            </w:r>
            <w:r w:rsidR="00EF2C0C">
              <w:rPr>
                <w:rFonts w:asciiTheme="minorHAnsi" w:hAnsiTheme="minorHAnsi"/>
                <w:noProof/>
                <w:lang w:val="en-GB" w:eastAsia="zh-CN"/>
              </w:rPr>
              <w:tab/>
            </w:r>
            <w:r w:rsidR="00EF2C0C" w:rsidRPr="001C09DA">
              <w:rPr>
                <w:rStyle w:val="Hyperlink"/>
                <w:noProof/>
              </w:rPr>
              <w:t>How has Japan’s regulatory framework evolved over the last three decades?</w:t>
            </w:r>
            <w:r w:rsidR="00EF2C0C">
              <w:rPr>
                <w:noProof/>
                <w:webHidden/>
              </w:rPr>
              <w:tab/>
            </w:r>
            <w:r w:rsidR="00F77E54">
              <w:rPr>
                <w:noProof/>
                <w:webHidden/>
              </w:rPr>
              <w:fldChar w:fldCharType="begin"/>
            </w:r>
            <w:r w:rsidR="00EF2C0C">
              <w:rPr>
                <w:noProof/>
                <w:webHidden/>
              </w:rPr>
              <w:instrText xml:space="preserve"> PAGEREF _Toc349741387 \h </w:instrText>
            </w:r>
            <w:r w:rsidR="00F77E54">
              <w:rPr>
                <w:noProof/>
                <w:webHidden/>
              </w:rPr>
            </w:r>
            <w:r w:rsidR="00F77E54">
              <w:rPr>
                <w:noProof/>
                <w:webHidden/>
              </w:rPr>
              <w:fldChar w:fldCharType="separate"/>
            </w:r>
            <w:r w:rsidR="00D11EA4">
              <w:rPr>
                <w:noProof/>
                <w:webHidden/>
              </w:rPr>
              <w:t>307</w:t>
            </w:r>
            <w:r w:rsidR="00F77E54">
              <w:rPr>
                <w:noProof/>
                <w:webHidden/>
              </w:rPr>
              <w:fldChar w:fldCharType="end"/>
            </w:r>
          </w:hyperlink>
        </w:p>
        <w:p w14:paraId="6B94371C" w14:textId="0750E4B7" w:rsidR="00EF2C0C" w:rsidRDefault="00050AB3">
          <w:pPr>
            <w:pStyle w:val="TOC3"/>
            <w:tabs>
              <w:tab w:val="left" w:pos="1680"/>
            </w:tabs>
            <w:rPr>
              <w:rFonts w:asciiTheme="minorHAnsi" w:hAnsiTheme="minorHAnsi"/>
              <w:noProof/>
              <w:lang w:val="en-GB" w:eastAsia="zh-CN"/>
            </w:rPr>
          </w:pPr>
          <w:hyperlink w:anchor="_Toc349741388" w:history="1">
            <w:r w:rsidR="00EF2C0C" w:rsidRPr="001C09DA">
              <w:rPr>
                <w:rStyle w:val="Hyperlink"/>
                <w:noProof/>
              </w:rPr>
              <w:t>7.2.2</w:t>
            </w:r>
            <w:r w:rsidR="00EF2C0C">
              <w:rPr>
                <w:rFonts w:asciiTheme="minorHAnsi" w:hAnsiTheme="minorHAnsi"/>
                <w:noProof/>
                <w:lang w:val="en-GB" w:eastAsia="zh-CN"/>
              </w:rPr>
              <w:tab/>
            </w:r>
            <w:r w:rsidR="00EF2C0C" w:rsidRPr="001C09DA">
              <w:rPr>
                <w:rStyle w:val="Hyperlink"/>
                <w:noProof/>
              </w:rPr>
              <w:t>How has the core executive been successful in imposing its will on regulation?</w:t>
            </w:r>
            <w:r w:rsidR="00EF2C0C">
              <w:rPr>
                <w:noProof/>
                <w:webHidden/>
              </w:rPr>
              <w:tab/>
            </w:r>
            <w:r w:rsidR="00F77E54">
              <w:rPr>
                <w:noProof/>
                <w:webHidden/>
              </w:rPr>
              <w:fldChar w:fldCharType="begin"/>
            </w:r>
            <w:r w:rsidR="00EF2C0C">
              <w:rPr>
                <w:noProof/>
                <w:webHidden/>
              </w:rPr>
              <w:instrText xml:space="preserve"> PAGEREF _Toc349741388 \h </w:instrText>
            </w:r>
            <w:r w:rsidR="00F77E54">
              <w:rPr>
                <w:noProof/>
                <w:webHidden/>
              </w:rPr>
            </w:r>
            <w:r w:rsidR="00F77E54">
              <w:rPr>
                <w:noProof/>
                <w:webHidden/>
              </w:rPr>
              <w:fldChar w:fldCharType="separate"/>
            </w:r>
            <w:r w:rsidR="00D11EA4">
              <w:rPr>
                <w:noProof/>
                <w:webHidden/>
              </w:rPr>
              <w:t>310</w:t>
            </w:r>
            <w:r w:rsidR="00F77E54">
              <w:rPr>
                <w:noProof/>
                <w:webHidden/>
              </w:rPr>
              <w:fldChar w:fldCharType="end"/>
            </w:r>
          </w:hyperlink>
        </w:p>
        <w:p w14:paraId="30131BC4" w14:textId="00D108B2" w:rsidR="00EF2C0C" w:rsidRDefault="00050AB3">
          <w:pPr>
            <w:pStyle w:val="TOC3"/>
            <w:tabs>
              <w:tab w:val="left" w:pos="1680"/>
            </w:tabs>
            <w:rPr>
              <w:rFonts w:asciiTheme="minorHAnsi" w:hAnsiTheme="minorHAnsi"/>
              <w:noProof/>
              <w:lang w:val="en-GB" w:eastAsia="zh-CN"/>
            </w:rPr>
          </w:pPr>
          <w:hyperlink w:anchor="_Toc349741389" w:history="1">
            <w:r w:rsidR="00EF2C0C" w:rsidRPr="001C09DA">
              <w:rPr>
                <w:rStyle w:val="Hyperlink"/>
                <w:noProof/>
              </w:rPr>
              <w:t>7.2.3</w:t>
            </w:r>
            <w:r w:rsidR="00EF2C0C">
              <w:rPr>
                <w:rFonts w:asciiTheme="minorHAnsi" w:hAnsiTheme="minorHAnsi"/>
                <w:noProof/>
                <w:lang w:val="en-GB" w:eastAsia="zh-CN"/>
              </w:rPr>
              <w:tab/>
            </w:r>
            <w:r w:rsidR="00EF2C0C" w:rsidRPr="001C09DA">
              <w:rPr>
                <w:rStyle w:val="Hyperlink"/>
                <w:noProof/>
              </w:rPr>
              <w:t>How have Japan’s ministries shaped the organisational design of regulatory functions?</w:t>
            </w:r>
            <w:r w:rsidR="00EF2C0C">
              <w:rPr>
                <w:noProof/>
                <w:webHidden/>
              </w:rPr>
              <w:tab/>
            </w:r>
            <w:r w:rsidR="00F77E54">
              <w:rPr>
                <w:noProof/>
                <w:webHidden/>
              </w:rPr>
              <w:fldChar w:fldCharType="begin"/>
            </w:r>
            <w:r w:rsidR="00EF2C0C">
              <w:rPr>
                <w:noProof/>
                <w:webHidden/>
              </w:rPr>
              <w:instrText xml:space="preserve"> PAGEREF _Toc349741389 \h </w:instrText>
            </w:r>
            <w:r w:rsidR="00F77E54">
              <w:rPr>
                <w:noProof/>
                <w:webHidden/>
              </w:rPr>
            </w:r>
            <w:r w:rsidR="00F77E54">
              <w:rPr>
                <w:noProof/>
                <w:webHidden/>
              </w:rPr>
              <w:fldChar w:fldCharType="separate"/>
            </w:r>
            <w:r w:rsidR="00D11EA4">
              <w:rPr>
                <w:noProof/>
                <w:webHidden/>
              </w:rPr>
              <w:t>313</w:t>
            </w:r>
            <w:r w:rsidR="00F77E54">
              <w:rPr>
                <w:noProof/>
                <w:webHidden/>
              </w:rPr>
              <w:fldChar w:fldCharType="end"/>
            </w:r>
          </w:hyperlink>
        </w:p>
        <w:p w14:paraId="681D0BF0" w14:textId="40BB5256" w:rsidR="00EF2C0C" w:rsidRDefault="00050AB3">
          <w:pPr>
            <w:pStyle w:val="TOC3"/>
            <w:tabs>
              <w:tab w:val="left" w:pos="1680"/>
            </w:tabs>
            <w:rPr>
              <w:rFonts w:asciiTheme="minorHAnsi" w:hAnsiTheme="minorHAnsi"/>
              <w:noProof/>
              <w:lang w:val="en-GB" w:eastAsia="zh-CN"/>
            </w:rPr>
          </w:pPr>
          <w:hyperlink w:anchor="_Toc349741390" w:history="1">
            <w:r w:rsidR="00EF2C0C" w:rsidRPr="001C09DA">
              <w:rPr>
                <w:rStyle w:val="Hyperlink"/>
                <w:noProof/>
              </w:rPr>
              <w:t>7.2.4</w:t>
            </w:r>
            <w:r w:rsidR="00EF2C0C">
              <w:rPr>
                <w:rFonts w:asciiTheme="minorHAnsi" w:hAnsiTheme="minorHAnsi"/>
                <w:noProof/>
                <w:lang w:val="en-GB" w:eastAsia="zh-CN"/>
              </w:rPr>
              <w:tab/>
            </w:r>
            <w:r w:rsidR="00EF2C0C" w:rsidRPr="001C09DA">
              <w:rPr>
                <w:rStyle w:val="Hyperlink"/>
                <w:noProof/>
              </w:rPr>
              <w:t>How has the state’s regulatory capacity changed?</w:t>
            </w:r>
            <w:r w:rsidR="00EF2C0C">
              <w:rPr>
                <w:noProof/>
                <w:webHidden/>
              </w:rPr>
              <w:tab/>
            </w:r>
            <w:r w:rsidR="00F77E54">
              <w:rPr>
                <w:noProof/>
                <w:webHidden/>
              </w:rPr>
              <w:fldChar w:fldCharType="begin"/>
            </w:r>
            <w:r w:rsidR="00EF2C0C">
              <w:rPr>
                <w:noProof/>
                <w:webHidden/>
              </w:rPr>
              <w:instrText xml:space="preserve"> PAGEREF _Toc349741390 \h </w:instrText>
            </w:r>
            <w:r w:rsidR="00F77E54">
              <w:rPr>
                <w:noProof/>
                <w:webHidden/>
              </w:rPr>
            </w:r>
            <w:r w:rsidR="00F77E54">
              <w:rPr>
                <w:noProof/>
                <w:webHidden/>
              </w:rPr>
              <w:fldChar w:fldCharType="separate"/>
            </w:r>
            <w:r w:rsidR="00D11EA4">
              <w:rPr>
                <w:noProof/>
                <w:webHidden/>
              </w:rPr>
              <w:t>315</w:t>
            </w:r>
            <w:r w:rsidR="00F77E54">
              <w:rPr>
                <w:noProof/>
                <w:webHidden/>
              </w:rPr>
              <w:fldChar w:fldCharType="end"/>
            </w:r>
          </w:hyperlink>
        </w:p>
        <w:p w14:paraId="3D5FD8F2" w14:textId="11F283DB" w:rsidR="00EF2C0C" w:rsidRDefault="00050AB3">
          <w:pPr>
            <w:pStyle w:val="TOC3"/>
            <w:tabs>
              <w:tab w:val="left" w:pos="1680"/>
            </w:tabs>
            <w:rPr>
              <w:rFonts w:asciiTheme="minorHAnsi" w:hAnsiTheme="minorHAnsi"/>
              <w:noProof/>
              <w:lang w:val="en-GB" w:eastAsia="zh-CN"/>
            </w:rPr>
          </w:pPr>
          <w:hyperlink w:anchor="_Toc349741391" w:history="1">
            <w:r w:rsidR="00EF2C0C" w:rsidRPr="001C09DA">
              <w:rPr>
                <w:rStyle w:val="Hyperlink"/>
                <w:noProof/>
              </w:rPr>
              <w:t>7.2.5</w:t>
            </w:r>
            <w:r w:rsidR="00EF2C0C">
              <w:rPr>
                <w:rFonts w:asciiTheme="minorHAnsi" w:hAnsiTheme="minorHAnsi"/>
                <w:noProof/>
                <w:lang w:val="en-GB" w:eastAsia="zh-CN"/>
              </w:rPr>
              <w:tab/>
            </w:r>
            <w:r w:rsidR="00EF2C0C" w:rsidRPr="001C09DA">
              <w:rPr>
                <w:rStyle w:val="Hyperlink"/>
                <w:noProof/>
              </w:rPr>
              <w:t xml:space="preserve"> Why have the present power relations been constructed in the chosen regulatory fields?</w:t>
            </w:r>
            <w:r w:rsidR="00EF2C0C">
              <w:rPr>
                <w:noProof/>
                <w:webHidden/>
              </w:rPr>
              <w:tab/>
            </w:r>
            <w:r w:rsidR="00F77E54">
              <w:rPr>
                <w:noProof/>
                <w:webHidden/>
              </w:rPr>
              <w:fldChar w:fldCharType="begin"/>
            </w:r>
            <w:r w:rsidR="00EF2C0C">
              <w:rPr>
                <w:noProof/>
                <w:webHidden/>
              </w:rPr>
              <w:instrText xml:space="preserve"> PAGEREF _Toc349741391 \h </w:instrText>
            </w:r>
            <w:r w:rsidR="00F77E54">
              <w:rPr>
                <w:noProof/>
                <w:webHidden/>
              </w:rPr>
            </w:r>
            <w:r w:rsidR="00F77E54">
              <w:rPr>
                <w:noProof/>
                <w:webHidden/>
              </w:rPr>
              <w:fldChar w:fldCharType="separate"/>
            </w:r>
            <w:r w:rsidR="00D11EA4">
              <w:rPr>
                <w:noProof/>
                <w:webHidden/>
              </w:rPr>
              <w:t>317</w:t>
            </w:r>
            <w:r w:rsidR="00F77E54">
              <w:rPr>
                <w:noProof/>
                <w:webHidden/>
              </w:rPr>
              <w:fldChar w:fldCharType="end"/>
            </w:r>
          </w:hyperlink>
        </w:p>
        <w:p w14:paraId="21127ED4" w14:textId="1D134452" w:rsidR="00EF2C0C" w:rsidRDefault="00050AB3">
          <w:pPr>
            <w:pStyle w:val="TOC2"/>
            <w:rPr>
              <w:rFonts w:asciiTheme="minorHAnsi" w:hAnsiTheme="minorHAnsi" w:cstheme="minorBidi"/>
              <w:noProof/>
              <w:sz w:val="22"/>
              <w:szCs w:val="22"/>
            </w:rPr>
          </w:pPr>
          <w:hyperlink w:anchor="_Toc349741392" w:history="1">
            <w:r w:rsidR="00EF2C0C" w:rsidRPr="001C09DA">
              <w:rPr>
                <w:rStyle w:val="Hyperlink"/>
                <w:noProof/>
                <w:lang w:eastAsia="ja-JP"/>
              </w:rPr>
              <w:t>7.3</w:t>
            </w:r>
            <w:r w:rsidR="00EF2C0C">
              <w:rPr>
                <w:rFonts w:asciiTheme="minorHAnsi" w:hAnsiTheme="minorHAnsi" w:cstheme="minorBidi"/>
                <w:noProof/>
                <w:sz w:val="22"/>
                <w:szCs w:val="22"/>
              </w:rPr>
              <w:tab/>
            </w:r>
            <w:r w:rsidR="00EF2C0C" w:rsidRPr="001C09DA">
              <w:rPr>
                <w:rStyle w:val="Hyperlink"/>
                <w:noProof/>
                <w:lang w:eastAsia="ja-JP"/>
              </w:rPr>
              <w:t>Corroborating the proposition: asymmetric dominance of Japan’s core executive in two regulatory cases</w:t>
            </w:r>
            <w:r w:rsidR="00EF2C0C">
              <w:rPr>
                <w:noProof/>
                <w:webHidden/>
              </w:rPr>
              <w:tab/>
            </w:r>
            <w:r w:rsidR="00F77E54">
              <w:rPr>
                <w:noProof/>
                <w:webHidden/>
              </w:rPr>
              <w:fldChar w:fldCharType="begin"/>
            </w:r>
            <w:r w:rsidR="00EF2C0C">
              <w:rPr>
                <w:noProof/>
                <w:webHidden/>
              </w:rPr>
              <w:instrText xml:space="preserve"> PAGEREF _Toc349741392 \h </w:instrText>
            </w:r>
            <w:r w:rsidR="00F77E54">
              <w:rPr>
                <w:noProof/>
                <w:webHidden/>
              </w:rPr>
            </w:r>
            <w:r w:rsidR="00F77E54">
              <w:rPr>
                <w:noProof/>
                <w:webHidden/>
              </w:rPr>
              <w:fldChar w:fldCharType="separate"/>
            </w:r>
            <w:r w:rsidR="00D11EA4">
              <w:rPr>
                <w:noProof/>
                <w:webHidden/>
              </w:rPr>
              <w:t>318</w:t>
            </w:r>
            <w:r w:rsidR="00F77E54">
              <w:rPr>
                <w:noProof/>
                <w:webHidden/>
              </w:rPr>
              <w:fldChar w:fldCharType="end"/>
            </w:r>
          </w:hyperlink>
        </w:p>
        <w:p w14:paraId="5D98465B" w14:textId="7509ECF9" w:rsidR="00EF2C0C" w:rsidRDefault="00050AB3">
          <w:pPr>
            <w:pStyle w:val="TOC2"/>
            <w:rPr>
              <w:rFonts w:asciiTheme="minorHAnsi" w:hAnsiTheme="minorHAnsi" w:cstheme="minorBidi"/>
              <w:noProof/>
              <w:sz w:val="22"/>
              <w:szCs w:val="22"/>
            </w:rPr>
          </w:pPr>
          <w:hyperlink w:anchor="_Toc349741393" w:history="1">
            <w:r w:rsidR="00EF2C0C" w:rsidRPr="001C09DA">
              <w:rPr>
                <w:rStyle w:val="Hyperlink"/>
                <w:noProof/>
              </w:rPr>
              <w:t>7.4</w:t>
            </w:r>
            <w:r w:rsidR="00EF2C0C">
              <w:rPr>
                <w:rFonts w:asciiTheme="minorHAnsi" w:hAnsiTheme="minorHAnsi" w:cstheme="minorBidi"/>
                <w:noProof/>
                <w:sz w:val="22"/>
                <w:szCs w:val="22"/>
              </w:rPr>
              <w:tab/>
            </w:r>
            <w:r w:rsidR="00EF2C0C" w:rsidRPr="001C09DA">
              <w:rPr>
                <w:rStyle w:val="Hyperlink"/>
                <w:noProof/>
              </w:rPr>
              <w:t>The implication of this research</w:t>
            </w:r>
            <w:r w:rsidR="00EF2C0C">
              <w:rPr>
                <w:noProof/>
                <w:webHidden/>
              </w:rPr>
              <w:tab/>
            </w:r>
            <w:r w:rsidR="00F77E54">
              <w:rPr>
                <w:noProof/>
                <w:webHidden/>
              </w:rPr>
              <w:fldChar w:fldCharType="begin"/>
            </w:r>
            <w:r w:rsidR="00EF2C0C">
              <w:rPr>
                <w:noProof/>
                <w:webHidden/>
              </w:rPr>
              <w:instrText xml:space="preserve"> PAGEREF _Toc349741393 \h </w:instrText>
            </w:r>
            <w:r w:rsidR="00F77E54">
              <w:rPr>
                <w:noProof/>
                <w:webHidden/>
              </w:rPr>
            </w:r>
            <w:r w:rsidR="00F77E54">
              <w:rPr>
                <w:noProof/>
                <w:webHidden/>
              </w:rPr>
              <w:fldChar w:fldCharType="separate"/>
            </w:r>
            <w:r w:rsidR="00D11EA4">
              <w:rPr>
                <w:noProof/>
                <w:webHidden/>
              </w:rPr>
              <w:t>322</w:t>
            </w:r>
            <w:r w:rsidR="00F77E54">
              <w:rPr>
                <w:noProof/>
                <w:webHidden/>
              </w:rPr>
              <w:fldChar w:fldCharType="end"/>
            </w:r>
          </w:hyperlink>
        </w:p>
        <w:p w14:paraId="35D00BDE" w14:textId="3CF527F1" w:rsidR="00EF2C0C" w:rsidRDefault="00050AB3">
          <w:pPr>
            <w:pStyle w:val="TOC3"/>
            <w:tabs>
              <w:tab w:val="left" w:pos="1680"/>
            </w:tabs>
            <w:rPr>
              <w:rFonts w:asciiTheme="minorHAnsi" w:hAnsiTheme="minorHAnsi"/>
              <w:noProof/>
              <w:lang w:val="en-GB" w:eastAsia="zh-CN"/>
            </w:rPr>
          </w:pPr>
          <w:hyperlink w:anchor="_Toc349741394" w:history="1">
            <w:r w:rsidR="00EF2C0C" w:rsidRPr="001C09DA">
              <w:rPr>
                <w:rStyle w:val="Hyperlink"/>
                <w:noProof/>
              </w:rPr>
              <w:t>7.4.1</w:t>
            </w:r>
            <w:r w:rsidR="00EF2C0C">
              <w:rPr>
                <w:rFonts w:asciiTheme="minorHAnsi" w:hAnsiTheme="minorHAnsi"/>
                <w:noProof/>
                <w:lang w:val="en-GB" w:eastAsia="zh-CN"/>
              </w:rPr>
              <w:tab/>
            </w:r>
            <w:r w:rsidR="00EF2C0C" w:rsidRPr="001C09DA">
              <w:rPr>
                <w:rStyle w:val="Hyperlink"/>
                <w:noProof/>
              </w:rPr>
              <w:t>The reconstituted Japanese state after the 1980s</w:t>
            </w:r>
            <w:r w:rsidR="00EF2C0C">
              <w:rPr>
                <w:noProof/>
                <w:webHidden/>
              </w:rPr>
              <w:tab/>
            </w:r>
            <w:r w:rsidR="00F77E54">
              <w:rPr>
                <w:noProof/>
                <w:webHidden/>
              </w:rPr>
              <w:fldChar w:fldCharType="begin"/>
            </w:r>
            <w:r w:rsidR="00EF2C0C">
              <w:rPr>
                <w:noProof/>
                <w:webHidden/>
              </w:rPr>
              <w:instrText xml:space="preserve"> PAGEREF _Toc349741394 \h </w:instrText>
            </w:r>
            <w:r w:rsidR="00F77E54">
              <w:rPr>
                <w:noProof/>
                <w:webHidden/>
              </w:rPr>
            </w:r>
            <w:r w:rsidR="00F77E54">
              <w:rPr>
                <w:noProof/>
                <w:webHidden/>
              </w:rPr>
              <w:fldChar w:fldCharType="separate"/>
            </w:r>
            <w:r w:rsidR="00D11EA4">
              <w:rPr>
                <w:noProof/>
                <w:webHidden/>
              </w:rPr>
              <w:t>325</w:t>
            </w:r>
            <w:r w:rsidR="00F77E54">
              <w:rPr>
                <w:noProof/>
                <w:webHidden/>
              </w:rPr>
              <w:fldChar w:fldCharType="end"/>
            </w:r>
          </w:hyperlink>
        </w:p>
        <w:p w14:paraId="09641254" w14:textId="305DEFF7" w:rsidR="00EF2C0C" w:rsidRDefault="00050AB3">
          <w:pPr>
            <w:pStyle w:val="TOC3"/>
            <w:tabs>
              <w:tab w:val="left" w:pos="1680"/>
            </w:tabs>
            <w:rPr>
              <w:rFonts w:asciiTheme="minorHAnsi" w:hAnsiTheme="minorHAnsi"/>
              <w:noProof/>
              <w:lang w:val="en-GB" w:eastAsia="zh-CN"/>
            </w:rPr>
          </w:pPr>
          <w:hyperlink w:anchor="_Toc349741395" w:history="1">
            <w:r w:rsidR="00EF2C0C" w:rsidRPr="001C09DA">
              <w:rPr>
                <w:rStyle w:val="Hyperlink"/>
                <w:noProof/>
              </w:rPr>
              <w:t>7.4.2</w:t>
            </w:r>
            <w:r w:rsidR="00EF2C0C">
              <w:rPr>
                <w:rFonts w:asciiTheme="minorHAnsi" w:hAnsiTheme="minorHAnsi"/>
                <w:noProof/>
                <w:lang w:val="en-GB" w:eastAsia="zh-CN"/>
              </w:rPr>
              <w:tab/>
            </w:r>
            <w:r w:rsidR="00EF2C0C" w:rsidRPr="001C09DA">
              <w:rPr>
                <w:rStyle w:val="Hyperlink"/>
                <w:noProof/>
              </w:rPr>
              <w:t>The nature of the Japanese regulatory state</w:t>
            </w:r>
            <w:r w:rsidR="00EF2C0C">
              <w:rPr>
                <w:noProof/>
                <w:webHidden/>
              </w:rPr>
              <w:tab/>
            </w:r>
            <w:r w:rsidR="00F77E54">
              <w:rPr>
                <w:noProof/>
                <w:webHidden/>
              </w:rPr>
              <w:fldChar w:fldCharType="begin"/>
            </w:r>
            <w:r w:rsidR="00EF2C0C">
              <w:rPr>
                <w:noProof/>
                <w:webHidden/>
              </w:rPr>
              <w:instrText xml:space="preserve"> PAGEREF _Toc349741395 \h </w:instrText>
            </w:r>
            <w:r w:rsidR="00F77E54">
              <w:rPr>
                <w:noProof/>
                <w:webHidden/>
              </w:rPr>
            </w:r>
            <w:r w:rsidR="00F77E54">
              <w:rPr>
                <w:noProof/>
                <w:webHidden/>
              </w:rPr>
              <w:fldChar w:fldCharType="separate"/>
            </w:r>
            <w:r w:rsidR="00D11EA4">
              <w:rPr>
                <w:noProof/>
                <w:webHidden/>
              </w:rPr>
              <w:t>329</w:t>
            </w:r>
            <w:r w:rsidR="00F77E54">
              <w:rPr>
                <w:noProof/>
                <w:webHidden/>
              </w:rPr>
              <w:fldChar w:fldCharType="end"/>
            </w:r>
          </w:hyperlink>
        </w:p>
        <w:p w14:paraId="5F1FC95A" w14:textId="028D38E7" w:rsidR="00EF2C0C" w:rsidRDefault="00050AB3">
          <w:pPr>
            <w:pStyle w:val="TOC3"/>
            <w:tabs>
              <w:tab w:val="left" w:pos="1680"/>
            </w:tabs>
            <w:rPr>
              <w:rFonts w:asciiTheme="minorHAnsi" w:hAnsiTheme="minorHAnsi"/>
              <w:noProof/>
              <w:lang w:val="en-GB" w:eastAsia="zh-CN"/>
            </w:rPr>
          </w:pPr>
          <w:hyperlink w:anchor="_Toc349741396" w:history="1">
            <w:r w:rsidR="00EF2C0C" w:rsidRPr="001C09DA">
              <w:rPr>
                <w:rStyle w:val="Hyperlink"/>
                <w:noProof/>
              </w:rPr>
              <w:t>7.4.3</w:t>
            </w:r>
            <w:r w:rsidR="00EF2C0C">
              <w:rPr>
                <w:rFonts w:asciiTheme="minorHAnsi" w:hAnsiTheme="minorHAnsi"/>
                <w:noProof/>
                <w:lang w:val="en-GB" w:eastAsia="zh-CN"/>
              </w:rPr>
              <w:tab/>
            </w:r>
            <w:r w:rsidR="00EF2C0C" w:rsidRPr="001C09DA">
              <w:rPr>
                <w:rStyle w:val="Hyperlink"/>
                <w:noProof/>
              </w:rPr>
              <w:t>Summary</w:t>
            </w:r>
            <w:r w:rsidR="00EF2C0C">
              <w:rPr>
                <w:noProof/>
                <w:webHidden/>
              </w:rPr>
              <w:tab/>
            </w:r>
            <w:r w:rsidR="00F77E54">
              <w:rPr>
                <w:noProof/>
                <w:webHidden/>
              </w:rPr>
              <w:fldChar w:fldCharType="begin"/>
            </w:r>
            <w:r w:rsidR="00EF2C0C">
              <w:rPr>
                <w:noProof/>
                <w:webHidden/>
              </w:rPr>
              <w:instrText xml:space="preserve"> PAGEREF _Toc349741396 \h </w:instrText>
            </w:r>
            <w:r w:rsidR="00F77E54">
              <w:rPr>
                <w:noProof/>
                <w:webHidden/>
              </w:rPr>
            </w:r>
            <w:r w:rsidR="00F77E54">
              <w:rPr>
                <w:noProof/>
                <w:webHidden/>
              </w:rPr>
              <w:fldChar w:fldCharType="separate"/>
            </w:r>
            <w:r w:rsidR="00D11EA4">
              <w:rPr>
                <w:noProof/>
                <w:webHidden/>
              </w:rPr>
              <w:t>338</w:t>
            </w:r>
            <w:r w:rsidR="00F77E54">
              <w:rPr>
                <w:noProof/>
                <w:webHidden/>
              </w:rPr>
              <w:fldChar w:fldCharType="end"/>
            </w:r>
          </w:hyperlink>
        </w:p>
        <w:p w14:paraId="617C5B4F" w14:textId="0C887980" w:rsidR="00EF2C0C" w:rsidRDefault="00050AB3">
          <w:pPr>
            <w:pStyle w:val="TOC2"/>
            <w:rPr>
              <w:rFonts w:asciiTheme="minorHAnsi" w:hAnsiTheme="minorHAnsi" w:cstheme="minorBidi"/>
              <w:noProof/>
              <w:sz w:val="22"/>
              <w:szCs w:val="22"/>
            </w:rPr>
          </w:pPr>
          <w:hyperlink w:anchor="_Toc349741397" w:history="1">
            <w:r w:rsidR="00EF2C0C" w:rsidRPr="001C09DA">
              <w:rPr>
                <w:rStyle w:val="Hyperlink"/>
                <w:noProof/>
              </w:rPr>
              <w:t>7.</w:t>
            </w:r>
            <w:r w:rsidR="00EF2C0C" w:rsidRPr="001C09DA">
              <w:rPr>
                <w:rStyle w:val="Hyperlink"/>
                <w:noProof/>
                <w:lang w:eastAsia="ja-JP"/>
              </w:rPr>
              <w:t>5</w:t>
            </w:r>
            <w:r w:rsidR="00EF2C0C">
              <w:rPr>
                <w:rFonts w:asciiTheme="minorHAnsi" w:hAnsiTheme="minorHAnsi" w:cstheme="minorBidi"/>
                <w:noProof/>
                <w:sz w:val="22"/>
                <w:szCs w:val="22"/>
              </w:rPr>
              <w:tab/>
            </w:r>
            <w:r w:rsidR="00EF2C0C" w:rsidRPr="001C09DA">
              <w:rPr>
                <w:rStyle w:val="Hyperlink"/>
                <w:noProof/>
                <w:lang w:eastAsia="ja-JP"/>
              </w:rPr>
              <w:t>The future research agenda</w:t>
            </w:r>
            <w:r w:rsidR="00EF2C0C">
              <w:rPr>
                <w:noProof/>
                <w:webHidden/>
              </w:rPr>
              <w:tab/>
            </w:r>
            <w:r w:rsidR="00F77E54">
              <w:rPr>
                <w:noProof/>
                <w:webHidden/>
              </w:rPr>
              <w:fldChar w:fldCharType="begin"/>
            </w:r>
            <w:r w:rsidR="00EF2C0C">
              <w:rPr>
                <w:noProof/>
                <w:webHidden/>
              </w:rPr>
              <w:instrText xml:space="preserve"> PAGEREF _Toc349741397 \h </w:instrText>
            </w:r>
            <w:r w:rsidR="00F77E54">
              <w:rPr>
                <w:noProof/>
                <w:webHidden/>
              </w:rPr>
            </w:r>
            <w:r w:rsidR="00F77E54">
              <w:rPr>
                <w:noProof/>
                <w:webHidden/>
              </w:rPr>
              <w:fldChar w:fldCharType="separate"/>
            </w:r>
            <w:r w:rsidR="00D11EA4">
              <w:rPr>
                <w:noProof/>
                <w:webHidden/>
              </w:rPr>
              <w:t>339</w:t>
            </w:r>
            <w:r w:rsidR="00F77E54">
              <w:rPr>
                <w:noProof/>
                <w:webHidden/>
              </w:rPr>
              <w:fldChar w:fldCharType="end"/>
            </w:r>
          </w:hyperlink>
        </w:p>
        <w:p w14:paraId="7AC7C8D3" w14:textId="77777777" w:rsidR="00EF2C0C" w:rsidRDefault="00EF2C0C" w:rsidP="00EF2C0C">
          <w:pPr>
            <w:pStyle w:val="TOC1"/>
            <w:rPr>
              <w:rStyle w:val="Hyperlink"/>
              <w:noProof/>
            </w:rPr>
          </w:pPr>
        </w:p>
        <w:p w14:paraId="5D7052C4" w14:textId="77777777" w:rsidR="00EF2C0C" w:rsidRDefault="00EF2C0C">
          <w:pPr>
            <w:pStyle w:val="TOC1"/>
            <w:rPr>
              <w:rStyle w:val="Hyperlink"/>
              <w:noProof/>
            </w:rPr>
          </w:pPr>
        </w:p>
        <w:p w14:paraId="39241CD1" w14:textId="0EE89AAC" w:rsidR="00EF2C0C" w:rsidRDefault="00050AB3">
          <w:pPr>
            <w:pStyle w:val="TOC1"/>
            <w:rPr>
              <w:rFonts w:asciiTheme="minorHAnsi" w:hAnsiTheme="minorHAnsi" w:cstheme="minorBidi"/>
              <w:noProof/>
              <w:sz w:val="22"/>
              <w:szCs w:val="22"/>
            </w:rPr>
          </w:pPr>
          <w:hyperlink w:anchor="_Toc349741398" w:history="1">
            <w:r w:rsidR="00EF2C0C" w:rsidRPr="001C09DA">
              <w:rPr>
                <w:rStyle w:val="Hyperlink"/>
                <w:noProof/>
              </w:rPr>
              <w:t xml:space="preserve">Appendix </w:t>
            </w:r>
            <w:r w:rsidR="00EF2C0C" w:rsidRPr="001C09DA">
              <w:rPr>
                <w:rStyle w:val="Hyperlink"/>
                <w:rFonts w:eastAsia="MS Mincho"/>
                <w:noProof/>
                <w:lang w:eastAsia="ja-JP"/>
              </w:rPr>
              <w:t>1</w:t>
            </w:r>
            <w:r w:rsidR="00EF2C0C">
              <w:rPr>
                <w:rFonts w:asciiTheme="minorHAnsi" w:hAnsiTheme="minorHAnsi" w:cstheme="minorBidi"/>
                <w:noProof/>
                <w:sz w:val="22"/>
                <w:szCs w:val="22"/>
              </w:rPr>
              <w:tab/>
            </w:r>
            <w:r w:rsidR="00EF2C0C" w:rsidRPr="001C09DA">
              <w:rPr>
                <w:rStyle w:val="Hyperlink"/>
                <w:noProof/>
              </w:rPr>
              <w:t xml:space="preserve">The </w:t>
            </w:r>
            <w:r w:rsidR="00EF2C0C" w:rsidRPr="001C09DA">
              <w:rPr>
                <w:rStyle w:val="Hyperlink"/>
                <w:rFonts w:eastAsia="MS Mincho"/>
                <w:noProof/>
                <w:lang w:eastAsia="ja-JP"/>
              </w:rPr>
              <w:t>i</w:t>
            </w:r>
            <w:r w:rsidR="00EF2C0C" w:rsidRPr="001C09DA">
              <w:rPr>
                <w:rStyle w:val="Hyperlink"/>
                <w:noProof/>
              </w:rPr>
              <w:t xml:space="preserve">nterviewees </w:t>
            </w:r>
            <w:r w:rsidR="00EF2C0C" w:rsidRPr="001C09DA">
              <w:rPr>
                <w:rStyle w:val="Hyperlink"/>
                <w:rFonts w:eastAsia="MS Mincho"/>
                <w:noProof/>
                <w:lang w:eastAsia="ja-JP"/>
              </w:rPr>
              <w:t>l</w:t>
            </w:r>
            <w:r w:rsidR="00EF2C0C" w:rsidRPr="001C09DA">
              <w:rPr>
                <w:rStyle w:val="Hyperlink"/>
                <w:noProof/>
              </w:rPr>
              <w:t>ist</w:t>
            </w:r>
            <w:r w:rsidR="00EF2C0C">
              <w:rPr>
                <w:noProof/>
                <w:webHidden/>
              </w:rPr>
              <w:tab/>
            </w:r>
            <w:r w:rsidR="00F77E54">
              <w:rPr>
                <w:noProof/>
                <w:webHidden/>
              </w:rPr>
              <w:fldChar w:fldCharType="begin"/>
            </w:r>
            <w:r w:rsidR="00EF2C0C">
              <w:rPr>
                <w:noProof/>
                <w:webHidden/>
              </w:rPr>
              <w:instrText xml:space="preserve"> PAGEREF _Toc349741398 \h </w:instrText>
            </w:r>
            <w:r w:rsidR="00F77E54">
              <w:rPr>
                <w:noProof/>
                <w:webHidden/>
              </w:rPr>
            </w:r>
            <w:r w:rsidR="00F77E54">
              <w:rPr>
                <w:noProof/>
                <w:webHidden/>
              </w:rPr>
              <w:fldChar w:fldCharType="separate"/>
            </w:r>
            <w:r w:rsidR="00D11EA4">
              <w:rPr>
                <w:noProof/>
                <w:webHidden/>
              </w:rPr>
              <w:t>343</w:t>
            </w:r>
            <w:r w:rsidR="00F77E54">
              <w:rPr>
                <w:noProof/>
                <w:webHidden/>
              </w:rPr>
              <w:fldChar w:fldCharType="end"/>
            </w:r>
          </w:hyperlink>
        </w:p>
        <w:p w14:paraId="3972622E" w14:textId="77777777" w:rsidR="00EF2C0C" w:rsidRDefault="00EF2C0C">
          <w:pPr>
            <w:pStyle w:val="TOC1"/>
            <w:rPr>
              <w:rStyle w:val="Hyperlink"/>
              <w:noProof/>
            </w:rPr>
          </w:pPr>
        </w:p>
        <w:p w14:paraId="742D59E5" w14:textId="00FEDEDB" w:rsidR="00EF2C0C" w:rsidRDefault="00050AB3">
          <w:pPr>
            <w:pStyle w:val="TOC1"/>
            <w:rPr>
              <w:rFonts w:asciiTheme="minorHAnsi" w:hAnsiTheme="minorHAnsi" w:cstheme="minorBidi"/>
              <w:noProof/>
              <w:sz w:val="22"/>
              <w:szCs w:val="22"/>
            </w:rPr>
          </w:pPr>
          <w:hyperlink w:anchor="_Toc349741399" w:history="1">
            <w:r w:rsidR="00EF2C0C" w:rsidRPr="001C09DA">
              <w:rPr>
                <w:rStyle w:val="Hyperlink"/>
                <w:rFonts w:eastAsia="MS Mincho"/>
                <w:noProof/>
                <w:lang w:eastAsia="ja-JP"/>
              </w:rPr>
              <w:t>Appendix 2</w:t>
            </w:r>
            <w:r w:rsidR="00EF2C0C">
              <w:rPr>
                <w:rFonts w:asciiTheme="minorHAnsi" w:hAnsiTheme="minorHAnsi" w:cstheme="minorBidi"/>
                <w:noProof/>
                <w:sz w:val="22"/>
                <w:szCs w:val="22"/>
              </w:rPr>
              <w:tab/>
            </w:r>
            <w:r w:rsidR="00EF2C0C" w:rsidRPr="001C09DA">
              <w:rPr>
                <w:rStyle w:val="Hyperlink"/>
                <w:rFonts w:eastAsia="MS Mincho"/>
                <w:noProof/>
                <w:lang w:eastAsia="ja-JP"/>
              </w:rPr>
              <w:t>The sample interview schedule</w:t>
            </w:r>
            <w:r w:rsidR="00EF2C0C">
              <w:rPr>
                <w:noProof/>
                <w:webHidden/>
              </w:rPr>
              <w:tab/>
            </w:r>
            <w:r w:rsidR="00F77E54">
              <w:rPr>
                <w:noProof/>
                <w:webHidden/>
              </w:rPr>
              <w:fldChar w:fldCharType="begin"/>
            </w:r>
            <w:r w:rsidR="00EF2C0C">
              <w:rPr>
                <w:noProof/>
                <w:webHidden/>
              </w:rPr>
              <w:instrText xml:space="preserve"> PAGEREF _Toc349741399 \h </w:instrText>
            </w:r>
            <w:r w:rsidR="00F77E54">
              <w:rPr>
                <w:noProof/>
                <w:webHidden/>
              </w:rPr>
            </w:r>
            <w:r w:rsidR="00F77E54">
              <w:rPr>
                <w:noProof/>
                <w:webHidden/>
              </w:rPr>
              <w:fldChar w:fldCharType="separate"/>
            </w:r>
            <w:r w:rsidR="00D11EA4">
              <w:rPr>
                <w:noProof/>
                <w:webHidden/>
              </w:rPr>
              <w:t>346</w:t>
            </w:r>
            <w:r w:rsidR="00F77E54">
              <w:rPr>
                <w:noProof/>
                <w:webHidden/>
              </w:rPr>
              <w:fldChar w:fldCharType="end"/>
            </w:r>
          </w:hyperlink>
        </w:p>
        <w:p w14:paraId="0ADEA892" w14:textId="77777777" w:rsidR="00EF2C0C" w:rsidRDefault="00EF2C0C">
          <w:pPr>
            <w:pStyle w:val="TOC1"/>
            <w:rPr>
              <w:rStyle w:val="Hyperlink"/>
              <w:noProof/>
            </w:rPr>
          </w:pPr>
        </w:p>
        <w:p w14:paraId="1AF59E9E" w14:textId="5012CD0C" w:rsidR="00EF2C0C" w:rsidRDefault="00050AB3">
          <w:pPr>
            <w:pStyle w:val="TOC1"/>
            <w:rPr>
              <w:rFonts w:asciiTheme="minorHAnsi" w:hAnsiTheme="minorHAnsi" w:cstheme="minorBidi"/>
              <w:noProof/>
              <w:sz w:val="22"/>
              <w:szCs w:val="22"/>
            </w:rPr>
          </w:pPr>
          <w:hyperlink w:anchor="_Toc349741400" w:history="1">
            <w:r w:rsidR="00EF2C0C" w:rsidRPr="001C09DA">
              <w:rPr>
                <w:rStyle w:val="Hyperlink"/>
                <w:noProof/>
              </w:rPr>
              <w:t xml:space="preserve">Appendix </w:t>
            </w:r>
            <w:r w:rsidR="00EF2C0C" w:rsidRPr="001C09DA">
              <w:rPr>
                <w:rStyle w:val="Hyperlink"/>
                <w:rFonts w:eastAsia="MS Mincho"/>
                <w:noProof/>
                <w:lang w:eastAsia="ja-JP"/>
              </w:rPr>
              <w:t>3</w:t>
            </w:r>
            <w:r w:rsidR="00EF2C0C">
              <w:rPr>
                <w:rFonts w:asciiTheme="minorHAnsi" w:hAnsiTheme="minorHAnsi" w:cstheme="minorBidi"/>
                <w:noProof/>
                <w:sz w:val="22"/>
                <w:szCs w:val="22"/>
              </w:rPr>
              <w:tab/>
            </w:r>
            <w:r w:rsidR="00EF2C0C" w:rsidRPr="001C09DA">
              <w:rPr>
                <w:rStyle w:val="Hyperlink"/>
                <w:noProof/>
              </w:rPr>
              <w:t>The List of the Ministers of Posts and Telecommunications (before January 2001)</w:t>
            </w:r>
            <w:r w:rsidR="00EF2C0C" w:rsidRPr="001C09DA">
              <w:rPr>
                <w:rStyle w:val="Hyperlink"/>
                <w:rFonts w:eastAsia="MS Mincho"/>
                <w:noProof/>
                <w:lang w:eastAsia="ja-JP"/>
              </w:rPr>
              <w:t xml:space="preserve"> </w:t>
            </w:r>
            <w:r w:rsidR="00EF2C0C" w:rsidRPr="001C09DA">
              <w:rPr>
                <w:rStyle w:val="Hyperlink"/>
                <w:noProof/>
              </w:rPr>
              <w:t>and the Ministers of Internal Affairs and Communications (after January 2001)</w:t>
            </w:r>
            <w:r w:rsidR="00EF2C0C">
              <w:rPr>
                <w:noProof/>
                <w:webHidden/>
              </w:rPr>
              <w:tab/>
            </w:r>
            <w:r w:rsidR="00F77E54">
              <w:rPr>
                <w:noProof/>
                <w:webHidden/>
              </w:rPr>
              <w:fldChar w:fldCharType="begin"/>
            </w:r>
            <w:r w:rsidR="00EF2C0C">
              <w:rPr>
                <w:noProof/>
                <w:webHidden/>
              </w:rPr>
              <w:instrText xml:space="preserve"> PAGEREF _Toc349741400 \h </w:instrText>
            </w:r>
            <w:r w:rsidR="00F77E54">
              <w:rPr>
                <w:noProof/>
                <w:webHidden/>
              </w:rPr>
            </w:r>
            <w:r w:rsidR="00F77E54">
              <w:rPr>
                <w:noProof/>
                <w:webHidden/>
              </w:rPr>
              <w:fldChar w:fldCharType="separate"/>
            </w:r>
            <w:r w:rsidR="00D11EA4">
              <w:rPr>
                <w:noProof/>
                <w:webHidden/>
              </w:rPr>
              <w:t>350</w:t>
            </w:r>
            <w:r w:rsidR="00F77E54">
              <w:rPr>
                <w:noProof/>
                <w:webHidden/>
              </w:rPr>
              <w:fldChar w:fldCharType="end"/>
            </w:r>
          </w:hyperlink>
        </w:p>
        <w:p w14:paraId="5BD2C201" w14:textId="4E60621F" w:rsidR="00EF2C0C" w:rsidRDefault="00050AB3">
          <w:pPr>
            <w:pStyle w:val="TOC2"/>
            <w:rPr>
              <w:rFonts w:asciiTheme="minorHAnsi" w:hAnsiTheme="minorHAnsi" w:cstheme="minorBidi"/>
              <w:noProof/>
              <w:sz w:val="22"/>
              <w:szCs w:val="22"/>
            </w:rPr>
          </w:pPr>
          <w:hyperlink w:anchor="_Toc349741401" w:history="1">
            <w:r w:rsidR="00EF2C0C" w:rsidRPr="001C09DA">
              <w:rPr>
                <w:rStyle w:val="Hyperlink"/>
                <w:rFonts w:eastAsia="MS Mincho"/>
                <w:noProof/>
                <w:lang w:eastAsia="ja-JP"/>
              </w:rPr>
              <w:t>1.</w:t>
            </w:r>
            <w:r w:rsidR="00EF2C0C">
              <w:rPr>
                <w:rFonts w:asciiTheme="minorHAnsi" w:hAnsiTheme="minorHAnsi" w:cstheme="minorBidi"/>
                <w:noProof/>
                <w:sz w:val="22"/>
                <w:szCs w:val="22"/>
              </w:rPr>
              <w:tab/>
            </w:r>
            <w:r w:rsidR="00EF2C0C" w:rsidRPr="001C09DA">
              <w:rPr>
                <w:rStyle w:val="Hyperlink"/>
                <w:noProof/>
              </w:rPr>
              <w:t>Minister of Posts and Telecommunications (before January 2001)</w:t>
            </w:r>
            <w:r w:rsidR="00EF2C0C">
              <w:rPr>
                <w:noProof/>
                <w:webHidden/>
              </w:rPr>
              <w:tab/>
            </w:r>
            <w:r w:rsidR="00F77E54">
              <w:rPr>
                <w:noProof/>
                <w:webHidden/>
              </w:rPr>
              <w:fldChar w:fldCharType="begin"/>
            </w:r>
            <w:r w:rsidR="00EF2C0C">
              <w:rPr>
                <w:noProof/>
                <w:webHidden/>
              </w:rPr>
              <w:instrText xml:space="preserve"> PAGEREF _Toc349741401 \h </w:instrText>
            </w:r>
            <w:r w:rsidR="00F77E54">
              <w:rPr>
                <w:noProof/>
                <w:webHidden/>
              </w:rPr>
            </w:r>
            <w:r w:rsidR="00F77E54">
              <w:rPr>
                <w:noProof/>
                <w:webHidden/>
              </w:rPr>
              <w:fldChar w:fldCharType="separate"/>
            </w:r>
            <w:r w:rsidR="00D11EA4">
              <w:rPr>
                <w:noProof/>
                <w:webHidden/>
              </w:rPr>
              <w:t>350</w:t>
            </w:r>
            <w:r w:rsidR="00F77E54">
              <w:rPr>
                <w:noProof/>
                <w:webHidden/>
              </w:rPr>
              <w:fldChar w:fldCharType="end"/>
            </w:r>
          </w:hyperlink>
        </w:p>
        <w:p w14:paraId="3F697974" w14:textId="5B9CF17A" w:rsidR="00EF2C0C" w:rsidRDefault="00050AB3">
          <w:pPr>
            <w:pStyle w:val="TOC3"/>
            <w:rPr>
              <w:rFonts w:asciiTheme="minorHAnsi" w:hAnsiTheme="minorHAnsi"/>
              <w:noProof/>
              <w:lang w:val="en-GB" w:eastAsia="zh-CN"/>
            </w:rPr>
          </w:pPr>
          <w:hyperlink w:anchor="_Toc349741402" w:history="1">
            <w:r w:rsidR="00EF2C0C" w:rsidRPr="001C09DA">
              <w:rPr>
                <w:rStyle w:val="Hyperlink"/>
                <w:rFonts w:eastAsia="MS Mincho"/>
                <w:noProof/>
              </w:rPr>
              <w:t>1.1</w:t>
            </w:r>
            <w:r w:rsidR="00EF2C0C">
              <w:rPr>
                <w:rFonts w:asciiTheme="minorHAnsi" w:hAnsiTheme="minorHAnsi"/>
                <w:noProof/>
                <w:lang w:val="en-GB" w:eastAsia="zh-CN"/>
              </w:rPr>
              <w:tab/>
            </w:r>
            <w:r w:rsidR="00EF2C0C" w:rsidRPr="001C09DA">
              <w:rPr>
                <w:rStyle w:val="Hyperlink"/>
                <w:noProof/>
              </w:rPr>
              <w:t>LDP (Liberal Democratic Party) governments</w:t>
            </w:r>
            <w:r w:rsidR="00EF2C0C">
              <w:rPr>
                <w:noProof/>
                <w:webHidden/>
              </w:rPr>
              <w:tab/>
            </w:r>
            <w:r w:rsidR="00F77E54">
              <w:rPr>
                <w:noProof/>
                <w:webHidden/>
              </w:rPr>
              <w:fldChar w:fldCharType="begin"/>
            </w:r>
            <w:r w:rsidR="00EF2C0C">
              <w:rPr>
                <w:noProof/>
                <w:webHidden/>
              </w:rPr>
              <w:instrText xml:space="preserve"> PAGEREF _Toc349741402 \h </w:instrText>
            </w:r>
            <w:r w:rsidR="00F77E54">
              <w:rPr>
                <w:noProof/>
                <w:webHidden/>
              </w:rPr>
            </w:r>
            <w:r w:rsidR="00F77E54">
              <w:rPr>
                <w:noProof/>
                <w:webHidden/>
              </w:rPr>
              <w:fldChar w:fldCharType="separate"/>
            </w:r>
            <w:r w:rsidR="00D11EA4">
              <w:rPr>
                <w:noProof/>
                <w:webHidden/>
              </w:rPr>
              <w:t>350</w:t>
            </w:r>
            <w:r w:rsidR="00F77E54">
              <w:rPr>
                <w:noProof/>
                <w:webHidden/>
              </w:rPr>
              <w:fldChar w:fldCharType="end"/>
            </w:r>
          </w:hyperlink>
        </w:p>
        <w:p w14:paraId="4C652FDB" w14:textId="2EC592E1" w:rsidR="00EF2C0C" w:rsidRDefault="00050AB3">
          <w:pPr>
            <w:pStyle w:val="TOC3"/>
            <w:rPr>
              <w:rFonts w:asciiTheme="minorHAnsi" w:hAnsiTheme="minorHAnsi"/>
              <w:noProof/>
              <w:lang w:val="en-GB" w:eastAsia="zh-CN"/>
            </w:rPr>
          </w:pPr>
          <w:hyperlink w:anchor="_Toc349741403" w:history="1">
            <w:r w:rsidR="00EF2C0C" w:rsidRPr="001C09DA">
              <w:rPr>
                <w:rStyle w:val="Hyperlink"/>
                <w:rFonts w:eastAsia="MS Mincho"/>
                <w:noProof/>
              </w:rPr>
              <w:t>1.2</w:t>
            </w:r>
            <w:r w:rsidR="00EF2C0C">
              <w:rPr>
                <w:rFonts w:asciiTheme="minorHAnsi" w:hAnsiTheme="minorHAnsi"/>
                <w:noProof/>
                <w:lang w:val="en-GB" w:eastAsia="zh-CN"/>
              </w:rPr>
              <w:tab/>
            </w:r>
            <w:r w:rsidR="00EF2C0C" w:rsidRPr="001C09DA">
              <w:rPr>
                <w:rStyle w:val="Hyperlink"/>
                <w:noProof/>
              </w:rPr>
              <w:t>Non-LDP coalition governments</w:t>
            </w:r>
            <w:r w:rsidR="00EF2C0C">
              <w:rPr>
                <w:noProof/>
                <w:webHidden/>
              </w:rPr>
              <w:tab/>
            </w:r>
            <w:r w:rsidR="00F77E54">
              <w:rPr>
                <w:noProof/>
                <w:webHidden/>
              </w:rPr>
              <w:fldChar w:fldCharType="begin"/>
            </w:r>
            <w:r w:rsidR="00EF2C0C">
              <w:rPr>
                <w:noProof/>
                <w:webHidden/>
              </w:rPr>
              <w:instrText xml:space="preserve"> PAGEREF _Toc349741403 \h </w:instrText>
            </w:r>
            <w:r w:rsidR="00F77E54">
              <w:rPr>
                <w:noProof/>
                <w:webHidden/>
              </w:rPr>
            </w:r>
            <w:r w:rsidR="00F77E54">
              <w:rPr>
                <w:noProof/>
                <w:webHidden/>
              </w:rPr>
              <w:fldChar w:fldCharType="separate"/>
            </w:r>
            <w:r w:rsidR="00D11EA4">
              <w:rPr>
                <w:noProof/>
                <w:webHidden/>
              </w:rPr>
              <w:t>351</w:t>
            </w:r>
            <w:r w:rsidR="00F77E54">
              <w:rPr>
                <w:noProof/>
                <w:webHidden/>
              </w:rPr>
              <w:fldChar w:fldCharType="end"/>
            </w:r>
          </w:hyperlink>
        </w:p>
        <w:p w14:paraId="60E9C0CB" w14:textId="66E520CD" w:rsidR="00EF2C0C" w:rsidRDefault="00050AB3">
          <w:pPr>
            <w:pStyle w:val="TOC3"/>
            <w:rPr>
              <w:rFonts w:asciiTheme="minorHAnsi" w:hAnsiTheme="minorHAnsi"/>
              <w:noProof/>
              <w:lang w:val="en-GB" w:eastAsia="zh-CN"/>
            </w:rPr>
          </w:pPr>
          <w:hyperlink w:anchor="_Toc349741404" w:history="1">
            <w:r w:rsidR="00EF2C0C" w:rsidRPr="001C09DA">
              <w:rPr>
                <w:rStyle w:val="Hyperlink"/>
                <w:rFonts w:eastAsia="MS Mincho"/>
                <w:noProof/>
              </w:rPr>
              <w:t>1.3</w:t>
            </w:r>
            <w:r w:rsidR="00EF2C0C">
              <w:rPr>
                <w:rFonts w:asciiTheme="minorHAnsi" w:hAnsiTheme="minorHAnsi"/>
                <w:noProof/>
                <w:lang w:val="en-GB" w:eastAsia="zh-CN"/>
              </w:rPr>
              <w:tab/>
            </w:r>
            <w:r w:rsidR="00EF2C0C" w:rsidRPr="001C09DA">
              <w:rPr>
                <w:rStyle w:val="Hyperlink"/>
                <w:noProof/>
              </w:rPr>
              <w:t>LDP/LDP led coalition governments</w:t>
            </w:r>
            <w:r w:rsidR="00EF2C0C">
              <w:rPr>
                <w:noProof/>
                <w:webHidden/>
              </w:rPr>
              <w:tab/>
            </w:r>
            <w:r w:rsidR="00F77E54">
              <w:rPr>
                <w:noProof/>
                <w:webHidden/>
              </w:rPr>
              <w:fldChar w:fldCharType="begin"/>
            </w:r>
            <w:r w:rsidR="00EF2C0C">
              <w:rPr>
                <w:noProof/>
                <w:webHidden/>
              </w:rPr>
              <w:instrText xml:space="preserve"> PAGEREF _Toc349741404 \h </w:instrText>
            </w:r>
            <w:r w:rsidR="00F77E54">
              <w:rPr>
                <w:noProof/>
                <w:webHidden/>
              </w:rPr>
            </w:r>
            <w:r w:rsidR="00F77E54">
              <w:rPr>
                <w:noProof/>
                <w:webHidden/>
              </w:rPr>
              <w:fldChar w:fldCharType="separate"/>
            </w:r>
            <w:r w:rsidR="00D11EA4">
              <w:rPr>
                <w:noProof/>
                <w:webHidden/>
              </w:rPr>
              <w:t>351</w:t>
            </w:r>
            <w:r w:rsidR="00F77E54">
              <w:rPr>
                <w:noProof/>
                <w:webHidden/>
              </w:rPr>
              <w:fldChar w:fldCharType="end"/>
            </w:r>
          </w:hyperlink>
        </w:p>
        <w:p w14:paraId="02961C98" w14:textId="458368B3" w:rsidR="00EF2C0C" w:rsidRDefault="00050AB3">
          <w:pPr>
            <w:pStyle w:val="TOC2"/>
            <w:rPr>
              <w:rFonts w:asciiTheme="minorHAnsi" w:hAnsiTheme="minorHAnsi" w:cstheme="minorBidi"/>
              <w:noProof/>
              <w:sz w:val="22"/>
              <w:szCs w:val="22"/>
            </w:rPr>
          </w:pPr>
          <w:hyperlink w:anchor="_Toc349741405" w:history="1">
            <w:r w:rsidR="00EF2C0C" w:rsidRPr="001C09DA">
              <w:rPr>
                <w:rStyle w:val="Hyperlink"/>
                <w:rFonts w:eastAsia="MS Mincho"/>
                <w:noProof/>
                <w:lang w:eastAsia="ja-JP"/>
              </w:rPr>
              <w:t>2.</w:t>
            </w:r>
            <w:r w:rsidR="00EF2C0C">
              <w:rPr>
                <w:rFonts w:asciiTheme="minorHAnsi" w:hAnsiTheme="minorHAnsi" w:cstheme="minorBidi"/>
                <w:noProof/>
                <w:sz w:val="22"/>
                <w:szCs w:val="22"/>
              </w:rPr>
              <w:tab/>
            </w:r>
            <w:r w:rsidR="00EF2C0C" w:rsidRPr="001C09DA">
              <w:rPr>
                <w:rStyle w:val="Hyperlink"/>
                <w:noProof/>
              </w:rPr>
              <w:t>Minister of Internal Affairs and Communications (after January 2001)</w:t>
            </w:r>
            <w:r w:rsidR="00EF2C0C">
              <w:rPr>
                <w:noProof/>
                <w:webHidden/>
              </w:rPr>
              <w:tab/>
            </w:r>
            <w:r w:rsidR="00F77E54">
              <w:rPr>
                <w:noProof/>
                <w:webHidden/>
              </w:rPr>
              <w:fldChar w:fldCharType="begin"/>
            </w:r>
            <w:r w:rsidR="00EF2C0C">
              <w:rPr>
                <w:noProof/>
                <w:webHidden/>
              </w:rPr>
              <w:instrText xml:space="preserve"> PAGEREF _Toc349741405 \h </w:instrText>
            </w:r>
            <w:r w:rsidR="00F77E54">
              <w:rPr>
                <w:noProof/>
                <w:webHidden/>
              </w:rPr>
            </w:r>
            <w:r w:rsidR="00F77E54">
              <w:rPr>
                <w:noProof/>
                <w:webHidden/>
              </w:rPr>
              <w:fldChar w:fldCharType="separate"/>
            </w:r>
            <w:r w:rsidR="00D11EA4">
              <w:rPr>
                <w:noProof/>
                <w:webHidden/>
              </w:rPr>
              <w:t>352</w:t>
            </w:r>
            <w:r w:rsidR="00F77E54">
              <w:rPr>
                <w:noProof/>
                <w:webHidden/>
              </w:rPr>
              <w:fldChar w:fldCharType="end"/>
            </w:r>
          </w:hyperlink>
        </w:p>
        <w:p w14:paraId="53D39576" w14:textId="0A31500D" w:rsidR="00EF2C0C" w:rsidRDefault="00050AB3">
          <w:pPr>
            <w:pStyle w:val="TOC3"/>
            <w:rPr>
              <w:rFonts w:asciiTheme="minorHAnsi" w:hAnsiTheme="minorHAnsi"/>
              <w:noProof/>
              <w:lang w:val="en-GB" w:eastAsia="zh-CN"/>
            </w:rPr>
          </w:pPr>
          <w:hyperlink w:anchor="_Toc349741406" w:history="1">
            <w:r w:rsidR="00EF2C0C" w:rsidRPr="001C09DA">
              <w:rPr>
                <w:rStyle w:val="Hyperlink"/>
                <w:rFonts w:eastAsia="MS Mincho"/>
                <w:noProof/>
              </w:rPr>
              <w:t>2.1</w:t>
            </w:r>
            <w:r w:rsidR="00EF2C0C">
              <w:rPr>
                <w:rFonts w:asciiTheme="minorHAnsi" w:hAnsiTheme="minorHAnsi"/>
                <w:noProof/>
                <w:lang w:val="en-GB" w:eastAsia="zh-CN"/>
              </w:rPr>
              <w:tab/>
            </w:r>
            <w:r w:rsidR="00EF2C0C" w:rsidRPr="001C09DA">
              <w:rPr>
                <w:rStyle w:val="Hyperlink"/>
                <w:noProof/>
              </w:rPr>
              <w:t>LDP led coalition governments</w:t>
            </w:r>
            <w:r w:rsidR="00EF2C0C">
              <w:rPr>
                <w:noProof/>
                <w:webHidden/>
              </w:rPr>
              <w:tab/>
            </w:r>
            <w:r w:rsidR="00F77E54">
              <w:rPr>
                <w:noProof/>
                <w:webHidden/>
              </w:rPr>
              <w:fldChar w:fldCharType="begin"/>
            </w:r>
            <w:r w:rsidR="00EF2C0C">
              <w:rPr>
                <w:noProof/>
                <w:webHidden/>
              </w:rPr>
              <w:instrText xml:space="preserve"> PAGEREF _Toc349741406 \h </w:instrText>
            </w:r>
            <w:r w:rsidR="00F77E54">
              <w:rPr>
                <w:noProof/>
                <w:webHidden/>
              </w:rPr>
            </w:r>
            <w:r w:rsidR="00F77E54">
              <w:rPr>
                <w:noProof/>
                <w:webHidden/>
              </w:rPr>
              <w:fldChar w:fldCharType="separate"/>
            </w:r>
            <w:r w:rsidR="00D11EA4">
              <w:rPr>
                <w:noProof/>
                <w:webHidden/>
              </w:rPr>
              <w:t>352</w:t>
            </w:r>
            <w:r w:rsidR="00F77E54">
              <w:rPr>
                <w:noProof/>
                <w:webHidden/>
              </w:rPr>
              <w:fldChar w:fldCharType="end"/>
            </w:r>
          </w:hyperlink>
        </w:p>
        <w:p w14:paraId="7719AA15" w14:textId="350651DF" w:rsidR="00EF2C0C" w:rsidRDefault="00050AB3">
          <w:pPr>
            <w:pStyle w:val="TOC3"/>
            <w:rPr>
              <w:rFonts w:asciiTheme="minorHAnsi" w:hAnsiTheme="minorHAnsi"/>
              <w:noProof/>
              <w:lang w:val="en-GB" w:eastAsia="zh-CN"/>
            </w:rPr>
          </w:pPr>
          <w:hyperlink w:anchor="_Toc349741407" w:history="1">
            <w:r w:rsidR="00EF2C0C" w:rsidRPr="001C09DA">
              <w:rPr>
                <w:rStyle w:val="Hyperlink"/>
                <w:rFonts w:eastAsia="MS Mincho"/>
                <w:noProof/>
              </w:rPr>
              <w:t>2.2</w:t>
            </w:r>
            <w:r w:rsidR="00EF2C0C">
              <w:rPr>
                <w:rFonts w:asciiTheme="minorHAnsi" w:hAnsiTheme="minorHAnsi"/>
                <w:noProof/>
                <w:lang w:val="en-GB" w:eastAsia="zh-CN"/>
              </w:rPr>
              <w:tab/>
            </w:r>
            <w:r w:rsidR="00EF2C0C" w:rsidRPr="001C09DA">
              <w:rPr>
                <w:rStyle w:val="Hyperlink"/>
                <w:noProof/>
              </w:rPr>
              <w:t>DPJ (Democratic Party of Japan) governments</w:t>
            </w:r>
            <w:r w:rsidR="00EF2C0C">
              <w:rPr>
                <w:noProof/>
                <w:webHidden/>
              </w:rPr>
              <w:tab/>
            </w:r>
            <w:r w:rsidR="00F77E54">
              <w:rPr>
                <w:noProof/>
                <w:webHidden/>
              </w:rPr>
              <w:fldChar w:fldCharType="begin"/>
            </w:r>
            <w:r w:rsidR="00EF2C0C">
              <w:rPr>
                <w:noProof/>
                <w:webHidden/>
              </w:rPr>
              <w:instrText xml:space="preserve"> PAGEREF _Toc349741407 \h </w:instrText>
            </w:r>
            <w:r w:rsidR="00F77E54">
              <w:rPr>
                <w:noProof/>
                <w:webHidden/>
              </w:rPr>
            </w:r>
            <w:r w:rsidR="00F77E54">
              <w:rPr>
                <w:noProof/>
                <w:webHidden/>
              </w:rPr>
              <w:fldChar w:fldCharType="separate"/>
            </w:r>
            <w:r w:rsidR="00D11EA4">
              <w:rPr>
                <w:noProof/>
                <w:webHidden/>
              </w:rPr>
              <w:t>352</w:t>
            </w:r>
            <w:r w:rsidR="00F77E54">
              <w:rPr>
                <w:noProof/>
                <w:webHidden/>
              </w:rPr>
              <w:fldChar w:fldCharType="end"/>
            </w:r>
          </w:hyperlink>
        </w:p>
        <w:p w14:paraId="2E9ECCC9" w14:textId="77777777" w:rsidR="00EF2C0C" w:rsidRDefault="00EF2C0C">
          <w:pPr>
            <w:pStyle w:val="TOC1"/>
            <w:rPr>
              <w:rStyle w:val="Hyperlink"/>
              <w:noProof/>
            </w:rPr>
          </w:pPr>
        </w:p>
        <w:p w14:paraId="1D22F6E4" w14:textId="14274640" w:rsidR="00EF2C0C" w:rsidRDefault="00050AB3">
          <w:pPr>
            <w:pStyle w:val="TOC1"/>
            <w:rPr>
              <w:rFonts w:asciiTheme="minorHAnsi" w:hAnsiTheme="minorHAnsi" w:cstheme="minorBidi"/>
              <w:noProof/>
              <w:sz w:val="22"/>
              <w:szCs w:val="22"/>
            </w:rPr>
          </w:pPr>
          <w:hyperlink w:anchor="_Toc349741408" w:history="1">
            <w:r w:rsidR="00EF2C0C" w:rsidRPr="001C09DA">
              <w:rPr>
                <w:rStyle w:val="Hyperlink"/>
                <w:noProof/>
              </w:rPr>
              <w:t xml:space="preserve">Appendix </w:t>
            </w:r>
            <w:r w:rsidR="00EF2C0C" w:rsidRPr="001C09DA">
              <w:rPr>
                <w:rStyle w:val="Hyperlink"/>
                <w:rFonts w:eastAsia="MS Mincho"/>
                <w:noProof/>
                <w:lang w:eastAsia="ja-JP"/>
              </w:rPr>
              <w:t>4</w:t>
            </w:r>
            <w:r w:rsidR="00EF2C0C">
              <w:rPr>
                <w:rFonts w:asciiTheme="minorHAnsi" w:hAnsiTheme="minorHAnsi" w:cstheme="minorBidi"/>
                <w:noProof/>
                <w:sz w:val="22"/>
                <w:szCs w:val="22"/>
              </w:rPr>
              <w:tab/>
            </w:r>
            <w:r w:rsidR="00EF2C0C" w:rsidRPr="001C09DA">
              <w:rPr>
                <w:rStyle w:val="Hyperlink"/>
                <w:noProof/>
              </w:rPr>
              <w:t xml:space="preserve">The </w:t>
            </w:r>
            <w:r w:rsidR="00EF2C0C" w:rsidRPr="001C09DA">
              <w:rPr>
                <w:rStyle w:val="Hyperlink"/>
                <w:rFonts w:eastAsia="MS Mincho"/>
                <w:noProof/>
                <w:lang w:eastAsia="ja-JP"/>
              </w:rPr>
              <w:t>s</w:t>
            </w:r>
            <w:r w:rsidR="00EF2C0C" w:rsidRPr="001C09DA">
              <w:rPr>
                <w:rStyle w:val="Hyperlink"/>
                <w:noProof/>
              </w:rPr>
              <w:t xml:space="preserve">taff and </w:t>
            </w:r>
            <w:r w:rsidR="00EF2C0C" w:rsidRPr="001C09DA">
              <w:rPr>
                <w:rStyle w:val="Hyperlink"/>
                <w:rFonts w:eastAsia="MS Mincho"/>
                <w:noProof/>
                <w:lang w:eastAsia="ja-JP"/>
              </w:rPr>
              <w:t>b</w:t>
            </w:r>
            <w:r w:rsidR="00EF2C0C" w:rsidRPr="001C09DA">
              <w:rPr>
                <w:rStyle w:val="Hyperlink"/>
                <w:noProof/>
              </w:rPr>
              <w:t>udget of the Fair Trade Commission</w:t>
            </w:r>
            <w:r w:rsidR="00EF2C0C" w:rsidRPr="001C09DA">
              <w:rPr>
                <w:rStyle w:val="Hyperlink"/>
                <w:rFonts w:eastAsia="MS Mincho"/>
                <w:noProof/>
                <w:lang w:eastAsia="ja-JP"/>
              </w:rPr>
              <w:t>, Japan</w:t>
            </w:r>
            <w:r w:rsidR="00EF2C0C" w:rsidRPr="001C09DA">
              <w:rPr>
                <w:rStyle w:val="Hyperlink"/>
                <w:noProof/>
              </w:rPr>
              <w:t xml:space="preserve"> (JFTC)</w:t>
            </w:r>
            <w:r w:rsidR="00EF2C0C">
              <w:rPr>
                <w:noProof/>
                <w:webHidden/>
              </w:rPr>
              <w:tab/>
            </w:r>
            <w:r w:rsidR="00F77E54">
              <w:rPr>
                <w:noProof/>
                <w:webHidden/>
              </w:rPr>
              <w:fldChar w:fldCharType="begin"/>
            </w:r>
            <w:r w:rsidR="00EF2C0C">
              <w:rPr>
                <w:noProof/>
                <w:webHidden/>
              </w:rPr>
              <w:instrText xml:space="preserve"> PAGEREF _Toc349741408 \h </w:instrText>
            </w:r>
            <w:r w:rsidR="00F77E54">
              <w:rPr>
                <w:noProof/>
                <w:webHidden/>
              </w:rPr>
            </w:r>
            <w:r w:rsidR="00F77E54">
              <w:rPr>
                <w:noProof/>
                <w:webHidden/>
              </w:rPr>
              <w:fldChar w:fldCharType="separate"/>
            </w:r>
            <w:r w:rsidR="00D11EA4">
              <w:rPr>
                <w:noProof/>
                <w:webHidden/>
              </w:rPr>
              <w:t>353</w:t>
            </w:r>
            <w:r w:rsidR="00F77E54">
              <w:rPr>
                <w:noProof/>
                <w:webHidden/>
              </w:rPr>
              <w:fldChar w:fldCharType="end"/>
            </w:r>
          </w:hyperlink>
        </w:p>
        <w:p w14:paraId="61664153" w14:textId="77777777" w:rsidR="00EF2C0C" w:rsidRDefault="00EF2C0C">
          <w:pPr>
            <w:pStyle w:val="TOC1"/>
            <w:rPr>
              <w:rStyle w:val="Hyperlink"/>
              <w:noProof/>
            </w:rPr>
          </w:pPr>
        </w:p>
        <w:p w14:paraId="2AE4E558" w14:textId="4CA4CA89" w:rsidR="00EF2C0C" w:rsidRDefault="00050AB3">
          <w:pPr>
            <w:pStyle w:val="TOC1"/>
            <w:rPr>
              <w:rFonts w:asciiTheme="minorHAnsi" w:hAnsiTheme="minorHAnsi" w:cstheme="minorBidi"/>
              <w:noProof/>
              <w:sz w:val="22"/>
              <w:szCs w:val="22"/>
            </w:rPr>
          </w:pPr>
          <w:hyperlink w:anchor="_Toc349741409" w:history="1">
            <w:r w:rsidR="00EF2C0C" w:rsidRPr="001C09DA">
              <w:rPr>
                <w:rStyle w:val="Hyperlink"/>
                <w:noProof/>
              </w:rPr>
              <w:t xml:space="preserve">Appendix </w:t>
            </w:r>
            <w:r w:rsidR="00EF2C0C" w:rsidRPr="001C09DA">
              <w:rPr>
                <w:rStyle w:val="Hyperlink"/>
                <w:rFonts w:eastAsia="MS Mincho"/>
                <w:noProof/>
                <w:lang w:eastAsia="ja-JP"/>
              </w:rPr>
              <w:t>5</w:t>
            </w:r>
            <w:r w:rsidR="00EF2C0C">
              <w:rPr>
                <w:rFonts w:asciiTheme="minorHAnsi" w:hAnsiTheme="minorHAnsi" w:cstheme="minorBidi"/>
                <w:noProof/>
                <w:sz w:val="22"/>
                <w:szCs w:val="22"/>
              </w:rPr>
              <w:tab/>
            </w:r>
            <w:r w:rsidR="00EF2C0C" w:rsidRPr="001C09DA">
              <w:rPr>
                <w:rStyle w:val="Hyperlink"/>
                <w:noProof/>
              </w:rPr>
              <w:t xml:space="preserve">The </w:t>
            </w:r>
            <w:r w:rsidR="00EF2C0C" w:rsidRPr="001C09DA">
              <w:rPr>
                <w:rStyle w:val="Hyperlink"/>
                <w:rFonts w:eastAsia="MS Mincho"/>
                <w:noProof/>
                <w:lang w:eastAsia="ja-JP"/>
              </w:rPr>
              <w:t>f</w:t>
            </w:r>
            <w:r w:rsidR="00EF2C0C" w:rsidRPr="001C09DA">
              <w:rPr>
                <w:rStyle w:val="Hyperlink"/>
                <w:noProof/>
              </w:rPr>
              <w:t xml:space="preserve">low of the </w:t>
            </w:r>
            <w:r w:rsidR="00EF2C0C" w:rsidRPr="001C09DA">
              <w:rPr>
                <w:rStyle w:val="Hyperlink"/>
                <w:rFonts w:eastAsia="MS Mincho"/>
                <w:noProof/>
                <w:lang w:eastAsia="ja-JP"/>
              </w:rPr>
              <w:t>a</w:t>
            </w:r>
            <w:r w:rsidR="00EF2C0C" w:rsidRPr="001C09DA">
              <w:rPr>
                <w:rStyle w:val="Hyperlink"/>
                <w:noProof/>
              </w:rPr>
              <w:t xml:space="preserve">ntimonopoly </w:t>
            </w:r>
            <w:r w:rsidR="00EF2C0C" w:rsidRPr="001C09DA">
              <w:rPr>
                <w:rStyle w:val="Hyperlink"/>
                <w:rFonts w:eastAsia="MS Mincho"/>
                <w:noProof/>
                <w:lang w:eastAsia="ja-JP"/>
              </w:rPr>
              <w:t>c</w:t>
            </w:r>
            <w:r w:rsidR="00EF2C0C" w:rsidRPr="001C09DA">
              <w:rPr>
                <w:rStyle w:val="Hyperlink"/>
                <w:noProof/>
              </w:rPr>
              <w:t xml:space="preserve">ase </w:t>
            </w:r>
            <w:r w:rsidR="00EF2C0C" w:rsidRPr="001C09DA">
              <w:rPr>
                <w:rStyle w:val="Hyperlink"/>
                <w:rFonts w:eastAsia="MS Mincho"/>
                <w:noProof/>
                <w:lang w:eastAsia="ja-JP"/>
              </w:rPr>
              <w:t>p</w:t>
            </w:r>
            <w:r w:rsidR="00EF2C0C" w:rsidRPr="001C09DA">
              <w:rPr>
                <w:rStyle w:val="Hyperlink"/>
                <w:noProof/>
              </w:rPr>
              <w:t>roceeding</w:t>
            </w:r>
            <w:r w:rsidR="00EF2C0C">
              <w:rPr>
                <w:noProof/>
                <w:webHidden/>
              </w:rPr>
              <w:tab/>
            </w:r>
            <w:r w:rsidR="00F77E54">
              <w:rPr>
                <w:noProof/>
                <w:webHidden/>
              </w:rPr>
              <w:fldChar w:fldCharType="begin"/>
            </w:r>
            <w:r w:rsidR="00EF2C0C">
              <w:rPr>
                <w:noProof/>
                <w:webHidden/>
              </w:rPr>
              <w:instrText xml:space="preserve"> PAGEREF _Toc349741409 \h </w:instrText>
            </w:r>
            <w:r w:rsidR="00F77E54">
              <w:rPr>
                <w:noProof/>
                <w:webHidden/>
              </w:rPr>
            </w:r>
            <w:r w:rsidR="00F77E54">
              <w:rPr>
                <w:noProof/>
                <w:webHidden/>
              </w:rPr>
              <w:fldChar w:fldCharType="separate"/>
            </w:r>
            <w:r w:rsidR="00D11EA4">
              <w:rPr>
                <w:noProof/>
                <w:webHidden/>
              </w:rPr>
              <w:t>355</w:t>
            </w:r>
            <w:r w:rsidR="00F77E54">
              <w:rPr>
                <w:noProof/>
                <w:webHidden/>
              </w:rPr>
              <w:fldChar w:fldCharType="end"/>
            </w:r>
          </w:hyperlink>
        </w:p>
        <w:p w14:paraId="2A3F32CB" w14:textId="778B0534" w:rsidR="00EF2C0C" w:rsidRDefault="00050AB3">
          <w:pPr>
            <w:pStyle w:val="TOC2"/>
            <w:rPr>
              <w:rFonts w:asciiTheme="minorHAnsi" w:hAnsiTheme="minorHAnsi" w:cstheme="minorBidi"/>
              <w:noProof/>
              <w:sz w:val="22"/>
              <w:szCs w:val="22"/>
            </w:rPr>
          </w:pPr>
          <w:hyperlink w:anchor="_Toc349741410" w:history="1">
            <w:r w:rsidR="00EF2C0C" w:rsidRPr="001C09DA">
              <w:rPr>
                <w:rStyle w:val="Hyperlink"/>
                <w:rFonts w:eastAsia="MS Mincho"/>
                <w:noProof/>
                <w:lang w:eastAsia="ja-JP"/>
              </w:rPr>
              <w:t>1.</w:t>
            </w:r>
            <w:r w:rsidR="00EF2C0C">
              <w:rPr>
                <w:rFonts w:asciiTheme="minorHAnsi" w:hAnsiTheme="minorHAnsi" w:cstheme="minorBidi"/>
                <w:noProof/>
                <w:sz w:val="22"/>
                <w:szCs w:val="22"/>
              </w:rPr>
              <w:tab/>
            </w:r>
            <w:r w:rsidR="00EF2C0C" w:rsidRPr="001C09DA">
              <w:rPr>
                <w:rStyle w:val="Hyperlink"/>
                <w:noProof/>
              </w:rPr>
              <w:t>Before January 2006 (based on Schaede 2000 p.114)</w:t>
            </w:r>
            <w:r w:rsidR="00EF2C0C">
              <w:rPr>
                <w:noProof/>
                <w:webHidden/>
              </w:rPr>
              <w:tab/>
            </w:r>
            <w:r w:rsidR="00F77E54">
              <w:rPr>
                <w:noProof/>
                <w:webHidden/>
              </w:rPr>
              <w:fldChar w:fldCharType="begin"/>
            </w:r>
            <w:r w:rsidR="00EF2C0C">
              <w:rPr>
                <w:noProof/>
                <w:webHidden/>
              </w:rPr>
              <w:instrText xml:space="preserve"> PAGEREF _Toc349741410 \h </w:instrText>
            </w:r>
            <w:r w:rsidR="00F77E54">
              <w:rPr>
                <w:noProof/>
                <w:webHidden/>
              </w:rPr>
            </w:r>
            <w:r w:rsidR="00F77E54">
              <w:rPr>
                <w:noProof/>
                <w:webHidden/>
              </w:rPr>
              <w:fldChar w:fldCharType="separate"/>
            </w:r>
            <w:r w:rsidR="00D11EA4">
              <w:rPr>
                <w:noProof/>
                <w:webHidden/>
              </w:rPr>
              <w:t>355</w:t>
            </w:r>
            <w:r w:rsidR="00F77E54">
              <w:rPr>
                <w:noProof/>
                <w:webHidden/>
              </w:rPr>
              <w:fldChar w:fldCharType="end"/>
            </w:r>
          </w:hyperlink>
        </w:p>
        <w:p w14:paraId="558C56B5" w14:textId="3F02F436" w:rsidR="00EF2C0C" w:rsidRDefault="00050AB3">
          <w:pPr>
            <w:pStyle w:val="TOC2"/>
            <w:rPr>
              <w:rFonts w:asciiTheme="minorHAnsi" w:hAnsiTheme="minorHAnsi" w:cstheme="minorBidi"/>
              <w:noProof/>
              <w:sz w:val="22"/>
              <w:szCs w:val="22"/>
            </w:rPr>
          </w:pPr>
          <w:hyperlink w:anchor="_Toc349741411" w:history="1">
            <w:r w:rsidR="00EF2C0C" w:rsidRPr="001C09DA">
              <w:rPr>
                <w:rStyle w:val="Hyperlink"/>
                <w:rFonts w:eastAsia="MS Mincho"/>
                <w:noProof/>
                <w:lang w:eastAsia="ja-JP"/>
              </w:rPr>
              <w:t xml:space="preserve">2. </w:t>
            </w:r>
            <w:r w:rsidR="00EF2C0C">
              <w:rPr>
                <w:rFonts w:asciiTheme="minorHAnsi" w:hAnsiTheme="minorHAnsi" w:cstheme="minorBidi"/>
                <w:noProof/>
                <w:sz w:val="22"/>
                <w:szCs w:val="22"/>
              </w:rPr>
              <w:tab/>
            </w:r>
            <w:r w:rsidR="00EF2C0C" w:rsidRPr="001C09DA">
              <w:rPr>
                <w:rStyle w:val="Hyperlink"/>
                <w:noProof/>
              </w:rPr>
              <w:t>After January 2006 (when the 2005 AMA amendment was enacted)</w:t>
            </w:r>
            <w:r w:rsidR="00EF2C0C">
              <w:rPr>
                <w:noProof/>
                <w:webHidden/>
              </w:rPr>
              <w:tab/>
            </w:r>
            <w:r w:rsidR="00F77E54">
              <w:rPr>
                <w:noProof/>
                <w:webHidden/>
              </w:rPr>
              <w:fldChar w:fldCharType="begin"/>
            </w:r>
            <w:r w:rsidR="00EF2C0C">
              <w:rPr>
                <w:noProof/>
                <w:webHidden/>
              </w:rPr>
              <w:instrText xml:space="preserve"> PAGEREF _Toc349741411 \h </w:instrText>
            </w:r>
            <w:r w:rsidR="00F77E54">
              <w:rPr>
                <w:noProof/>
                <w:webHidden/>
              </w:rPr>
            </w:r>
            <w:r w:rsidR="00F77E54">
              <w:rPr>
                <w:noProof/>
                <w:webHidden/>
              </w:rPr>
              <w:fldChar w:fldCharType="separate"/>
            </w:r>
            <w:r w:rsidR="00D11EA4">
              <w:rPr>
                <w:noProof/>
                <w:webHidden/>
              </w:rPr>
              <w:t>356</w:t>
            </w:r>
            <w:r w:rsidR="00F77E54">
              <w:rPr>
                <w:noProof/>
                <w:webHidden/>
              </w:rPr>
              <w:fldChar w:fldCharType="end"/>
            </w:r>
          </w:hyperlink>
        </w:p>
        <w:p w14:paraId="03E74A1B" w14:textId="77777777" w:rsidR="00EF2C0C" w:rsidRDefault="00EF2C0C">
          <w:pPr>
            <w:pStyle w:val="TOC1"/>
            <w:rPr>
              <w:rStyle w:val="Hyperlink"/>
              <w:noProof/>
            </w:rPr>
          </w:pPr>
        </w:p>
        <w:p w14:paraId="5B1293F2" w14:textId="40406353" w:rsidR="00EF2C0C" w:rsidRDefault="00050AB3">
          <w:pPr>
            <w:pStyle w:val="TOC1"/>
            <w:rPr>
              <w:rFonts w:asciiTheme="minorHAnsi" w:hAnsiTheme="minorHAnsi" w:cstheme="minorBidi"/>
              <w:noProof/>
              <w:sz w:val="22"/>
              <w:szCs w:val="22"/>
            </w:rPr>
          </w:pPr>
          <w:hyperlink w:anchor="_Toc349741412" w:history="1">
            <w:r w:rsidR="00EF2C0C" w:rsidRPr="001C09DA">
              <w:rPr>
                <w:rStyle w:val="Hyperlink"/>
                <w:noProof/>
              </w:rPr>
              <w:t>Bibliography</w:t>
            </w:r>
            <w:r w:rsidR="00EF2C0C">
              <w:rPr>
                <w:noProof/>
                <w:webHidden/>
              </w:rPr>
              <w:tab/>
            </w:r>
            <w:r w:rsidR="00EF2C0C">
              <w:rPr>
                <w:noProof/>
                <w:webHidden/>
              </w:rPr>
              <w:tab/>
            </w:r>
            <w:r w:rsidR="00F77E54">
              <w:rPr>
                <w:noProof/>
                <w:webHidden/>
              </w:rPr>
              <w:fldChar w:fldCharType="begin"/>
            </w:r>
            <w:r w:rsidR="00EF2C0C">
              <w:rPr>
                <w:noProof/>
                <w:webHidden/>
              </w:rPr>
              <w:instrText xml:space="preserve"> PAGEREF _Toc349741412 \h </w:instrText>
            </w:r>
            <w:r w:rsidR="00F77E54">
              <w:rPr>
                <w:noProof/>
                <w:webHidden/>
              </w:rPr>
            </w:r>
            <w:r w:rsidR="00F77E54">
              <w:rPr>
                <w:noProof/>
                <w:webHidden/>
              </w:rPr>
              <w:fldChar w:fldCharType="separate"/>
            </w:r>
            <w:r w:rsidR="00D11EA4">
              <w:rPr>
                <w:noProof/>
                <w:webHidden/>
              </w:rPr>
              <w:t>357</w:t>
            </w:r>
            <w:r w:rsidR="00F77E54">
              <w:rPr>
                <w:noProof/>
                <w:webHidden/>
              </w:rPr>
              <w:fldChar w:fldCharType="end"/>
            </w:r>
          </w:hyperlink>
        </w:p>
        <w:p w14:paraId="72C29635" w14:textId="77777777" w:rsidR="00895939" w:rsidRDefault="00F77E54" w:rsidP="00895939">
          <w:pPr>
            <w:spacing w:line="240" w:lineRule="auto"/>
            <w:rPr>
              <w:lang w:eastAsia="ja-JP"/>
            </w:rPr>
          </w:pPr>
          <w:r>
            <w:rPr>
              <w:lang w:eastAsia="ja-JP"/>
            </w:rPr>
            <w:fldChar w:fldCharType="end"/>
          </w:r>
        </w:p>
      </w:sdtContent>
    </w:sdt>
    <w:p w14:paraId="2E0973A7" w14:textId="77777777" w:rsidR="00A12777" w:rsidRPr="00A6157B" w:rsidRDefault="00A12777" w:rsidP="002778E9">
      <w:pPr>
        <w:pStyle w:val="NoSpacing"/>
        <w:rPr>
          <w:rFonts w:eastAsia="MS Mincho"/>
          <w:bCs/>
          <w:lang w:eastAsia="ja-JP"/>
        </w:rPr>
      </w:pPr>
      <w:r w:rsidRPr="00A6157B">
        <w:rPr>
          <w:rFonts w:eastAsia="MS Mincho"/>
          <w:bCs/>
          <w:lang w:eastAsia="ja-JP"/>
        </w:rPr>
        <w:br w:type="page"/>
      </w:r>
    </w:p>
    <w:p w14:paraId="3BA6A602" w14:textId="77777777" w:rsidR="00A12777" w:rsidRPr="00F11B1D" w:rsidRDefault="00A12777" w:rsidP="00050D4B">
      <w:pPr>
        <w:pStyle w:val="Heading1"/>
        <w:jc w:val="center"/>
        <w:rPr>
          <w:sz w:val="36"/>
          <w:szCs w:val="36"/>
          <w:u w:val="none"/>
          <w:lang w:eastAsia="ja-JP"/>
        </w:rPr>
      </w:pPr>
      <w:bookmarkStart w:id="2" w:name="_Toc349741324"/>
      <w:r w:rsidRPr="00F11B1D">
        <w:rPr>
          <w:rFonts w:hint="eastAsia"/>
          <w:sz w:val="36"/>
          <w:szCs w:val="36"/>
          <w:u w:val="none"/>
          <w:lang w:eastAsia="ja-JP"/>
        </w:rPr>
        <w:t>Acknowledgement</w:t>
      </w:r>
      <w:r w:rsidR="007E4B07" w:rsidRPr="00F11B1D">
        <w:rPr>
          <w:sz w:val="36"/>
          <w:szCs w:val="36"/>
          <w:u w:val="none"/>
          <w:lang w:eastAsia="ja-JP"/>
        </w:rPr>
        <w:t>s</w:t>
      </w:r>
      <w:bookmarkEnd w:id="2"/>
    </w:p>
    <w:p w14:paraId="033B7A7D" w14:textId="77777777" w:rsidR="00A12777" w:rsidRDefault="00A12777" w:rsidP="004051E6">
      <w:pPr>
        <w:pStyle w:val="NoSpacing"/>
        <w:rPr>
          <w:lang w:eastAsia="ja-JP"/>
        </w:rPr>
      </w:pPr>
    </w:p>
    <w:p w14:paraId="1BD6C622" w14:textId="77777777" w:rsidR="00A12777" w:rsidRDefault="00A12777" w:rsidP="004051E6">
      <w:pPr>
        <w:pStyle w:val="NoSpacing"/>
        <w:rPr>
          <w:lang w:eastAsia="ja-JP"/>
        </w:rPr>
      </w:pPr>
    </w:p>
    <w:p w14:paraId="197BCD17" w14:textId="77777777" w:rsidR="00A23AC4" w:rsidRDefault="007E4B07" w:rsidP="00FA1024">
      <w:pPr>
        <w:pStyle w:val="NoSpacing"/>
        <w:rPr>
          <w:lang w:eastAsia="ja-JP"/>
        </w:rPr>
      </w:pPr>
      <w:r>
        <w:rPr>
          <w:lang w:eastAsia="ja-JP"/>
        </w:rPr>
        <w:t>T</w:t>
      </w:r>
      <w:r w:rsidR="00053FD0">
        <w:rPr>
          <w:lang w:eastAsia="ja-JP"/>
        </w:rPr>
        <w:t xml:space="preserve">he </w:t>
      </w:r>
      <w:r w:rsidR="00A23AC4">
        <w:rPr>
          <w:lang w:eastAsia="ja-JP"/>
        </w:rPr>
        <w:t>assistance and unde</w:t>
      </w:r>
      <w:r>
        <w:rPr>
          <w:lang w:eastAsia="ja-JP"/>
        </w:rPr>
        <w:t xml:space="preserve">rstanding of </w:t>
      </w:r>
      <w:r w:rsidR="00F64E6D">
        <w:rPr>
          <w:lang w:eastAsia="ja-JP"/>
        </w:rPr>
        <w:t xml:space="preserve">the </w:t>
      </w:r>
      <w:r>
        <w:rPr>
          <w:lang w:eastAsia="ja-JP"/>
        </w:rPr>
        <w:t xml:space="preserve">people </w:t>
      </w:r>
      <w:r w:rsidR="00F64E6D">
        <w:rPr>
          <w:lang w:eastAsia="ja-JP"/>
        </w:rPr>
        <w:t xml:space="preserve">surrounding me </w:t>
      </w:r>
      <w:r>
        <w:rPr>
          <w:lang w:eastAsia="ja-JP"/>
        </w:rPr>
        <w:t xml:space="preserve">were vital for completing </w:t>
      </w:r>
      <w:r w:rsidR="00A23AC4">
        <w:rPr>
          <w:lang w:eastAsia="ja-JP"/>
        </w:rPr>
        <w:t>this thesis.</w:t>
      </w:r>
    </w:p>
    <w:p w14:paraId="3D77A174" w14:textId="77777777" w:rsidR="00A23AC4" w:rsidRDefault="007E4B07" w:rsidP="00FA1024">
      <w:pPr>
        <w:pStyle w:val="NoSpacing"/>
        <w:ind w:firstLine="284"/>
        <w:rPr>
          <w:lang w:eastAsia="ja-JP"/>
        </w:rPr>
      </w:pPr>
      <w:r>
        <w:rPr>
          <w:lang w:eastAsia="ja-JP"/>
        </w:rPr>
        <w:t>My f</w:t>
      </w:r>
      <w:r w:rsidR="00A23AC4">
        <w:rPr>
          <w:lang w:eastAsia="ja-JP"/>
        </w:rPr>
        <w:t xml:space="preserve">irst and foremost </w:t>
      </w:r>
      <w:r>
        <w:rPr>
          <w:lang w:eastAsia="ja-JP"/>
        </w:rPr>
        <w:t>grati</w:t>
      </w:r>
      <w:r w:rsidR="003659DB">
        <w:rPr>
          <w:lang w:eastAsia="ja-JP"/>
        </w:rPr>
        <w:t>tude</w:t>
      </w:r>
      <w:r>
        <w:rPr>
          <w:lang w:eastAsia="ja-JP"/>
        </w:rPr>
        <w:t xml:space="preserve"> goes to</w:t>
      </w:r>
      <w:r w:rsidR="00A23AC4">
        <w:rPr>
          <w:lang w:eastAsia="ja-JP"/>
        </w:rPr>
        <w:t xml:space="preserve"> my first supervisor, Dave Richards. His </w:t>
      </w:r>
      <w:r>
        <w:rPr>
          <w:lang w:eastAsia="ja-JP"/>
        </w:rPr>
        <w:t xml:space="preserve">enthusiastic and </w:t>
      </w:r>
      <w:r w:rsidR="00A23AC4">
        <w:rPr>
          <w:lang w:eastAsia="ja-JP"/>
        </w:rPr>
        <w:t xml:space="preserve">detailed comments </w:t>
      </w:r>
      <w:r w:rsidR="00F64E6D">
        <w:rPr>
          <w:lang w:eastAsia="ja-JP"/>
        </w:rPr>
        <w:t xml:space="preserve">and feedback </w:t>
      </w:r>
      <w:r w:rsidR="00A23AC4">
        <w:rPr>
          <w:lang w:eastAsia="ja-JP"/>
        </w:rPr>
        <w:t xml:space="preserve">on my </w:t>
      </w:r>
      <w:r>
        <w:rPr>
          <w:lang w:eastAsia="ja-JP"/>
        </w:rPr>
        <w:t xml:space="preserve">every </w:t>
      </w:r>
      <w:r w:rsidR="00A23AC4">
        <w:rPr>
          <w:lang w:eastAsia="ja-JP"/>
        </w:rPr>
        <w:t xml:space="preserve">draft have been indispensable for </w:t>
      </w:r>
      <w:r>
        <w:rPr>
          <w:lang w:eastAsia="ja-JP"/>
        </w:rPr>
        <w:t xml:space="preserve">developing </w:t>
      </w:r>
      <w:r w:rsidR="00A23AC4">
        <w:rPr>
          <w:lang w:eastAsia="ja-JP"/>
        </w:rPr>
        <w:t xml:space="preserve">my PhD. My second supervisors, Martin J. Smith and Matt Flinders, also gave me stimulating comments on my drafts. I should also </w:t>
      </w:r>
      <w:r w:rsidR="00297C44">
        <w:rPr>
          <w:lang w:eastAsia="ja-JP"/>
        </w:rPr>
        <w:t xml:space="preserve">mention </w:t>
      </w:r>
      <w:r w:rsidR="00A23AC4">
        <w:rPr>
          <w:lang w:eastAsia="ja-JP"/>
        </w:rPr>
        <w:t xml:space="preserve">the </w:t>
      </w:r>
      <w:r w:rsidR="002A48CF">
        <w:rPr>
          <w:lang w:eastAsia="ja-JP"/>
        </w:rPr>
        <w:t>fruitful</w:t>
      </w:r>
      <w:r w:rsidR="00F440CC">
        <w:rPr>
          <w:lang w:eastAsia="ja-JP"/>
        </w:rPr>
        <w:t xml:space="preserve"> comments to part</w:t>
      </w:r>
      <w:r w:rsidR="003659DB">
        <w:rPr>
          <w:lang w:eastAsia="ja-JP"/>
        </w:rPr>
        <w:t>s</w:t>
      </w:r>
      <w:r w:rsidR="00F440CC">
        <w:rPr>
          <w:lang w:eastAsia="ja-JP"/>
        </w:rPr>
        <w:t xml:space="preserve"> of </w:t>
      </w:r>
      <w:r w:rsidR="00297C44">
        <w:rPr>
          <w:lang w:eastAsia="ja-JP"/>
        </w:rPr>
        <w:t>the</w:t>
      </w:r>
      <w:r w:rsidR="00F440CC">
        <w:rPr>
          <w:lang w:eastAsia="ja-JP"/>
        </w:rPr>
        <w:t xml:space="preserve"> thesis by </w:t>
      </w:r>
      <w:r w:rsidR="00297C44">
        <w:rPr>
          <w:lang w:eastAsia="ja-JP"/>
        </w:rPr>
        <w:t>a number of experienced researchers, including</w:t>
      </w:r>
      <w:r w:rsidR="003D6B27">
        <w:rPr>
          <w:rFonts w:eastAsia="MS Mincho" w:hint="eastAsia"/>
          <w:lang w:eastAsia="ja-JP"/>
        </w:rPr>
        <w:t xml:space="preserve"> </w:t>
      </w:r>
      <w:r w:rsidR="00617792">
        <w:rPr>
          <w:rFonts w:eastAsia="MS Mincho" w:hint="eastAsia"/>
          <w:lang w:eastAsia="ja-JP"/>
        </w:rPr>
        <w:t xml:space="preserve">Colin Hay, </w:t>
      </w:r>
      <w:r w:rsidR="00A23AC4">
        <w:rPr>
          <w:lang w:eastAsia="ja-JP"/>
        </w:rPr>
        <w:t xml:space="preserve">David Levi-Faur, Robert Durant, </w:t>
      </w:r>
      <w:r w:rsidR="007F6F04">
        <w:rPr>
          <w:lang w:eastAsia="ja-JP"/>
        </w:rPr>
        <w:t xml:space="preserve">and </w:t>
      </w:r>
      <w:r w:rsidR="00A23AC4" w:rsidRPr="00A23AC4">
        <w:rPr>
          <w:lang w:eastAsia="ja-JP"/>
        </w:rPr>
        <w:t>Anne Meredith Khademian</w:t>
      </w:r>
      <w:r w:rsidR="004A1C90">
        <w:rPr>
          <w:lang w:eastAsia="ja-JP"/>
        </w:rPr>
        <w:t>, whose</w:t>
      </w:r>
      <w:r w:rsidR="00182115">
        <w:rPr>
          <w:lang w:eastAsia="ja-JP"/>
        </w:rPr>
        <w:t xml:space="preserve"> </w:t>
      </w:r>
      <w:r w:rsidR="00AB39A2">
        <w:rPr>
          <w:rFonts w:hint="eastAsia"/>
          <w:lang w:eastAsia="ja-JP"/>
        </w:rPr>
        <w:t>feedback</w:t>
      </w:r>
      <w:r w:rsidR="00182115">
        <w:rPr>
          <w:lang w:eastAsia="ja-JP"/>
        </w:rPr>
        <w:t xml:space="preserve"> based on their remarkable academic experience and knowledge gave me </w:t>
      </w:r>
      <w:r w:rsidR="00D12E17">
        <w:rPr>
          <w:rFonts w:hint="eastAsia"/>
          <w:lang w:eastAsia="ja-JP"/>
        </w:rPr>
        <w:t xml:space="preserve">new and </w:t>
      </w:r>
      <w:r w:rsidR="00182115">
        <w:rPr>
          <w:lang w:eastAsia="ja-JP"/>
        </w:rPr>
        <w:t>important insights.</w:t>
      </w:r>
    </w:p>
    <w:p w14:paraId="3179BE87" w14:textId="77777777" w:rsidR="00297C44" w:rsidRDefault="00182115" w:rsidP="00FA1024">
      <w:pPr>
        <w:pStyle w:val="NoSpacing"/>
        <w:ind w:firstLine="284"/>
        <w:rPr>
          <w:lang w:eastAsia="ja-JP"/>
        </w:rPr>
      </w:pPr>
      <w:r>
        <w:rPr>
          <w:lang w:eastAsia="ja-JP"/>
        </w:rPr>
        <w:t xml:space="preserve">Akira Kaneko and Katsutoshi Ishioka advised </w:t>
      </w:r>
      <w:r w:rsidR="00E94674">
        <w:rPr>
          <w:lang w:eastAsia="ja-JP"/>
        </w:rPr>
        <w:t xml:space="preserve">me </w:t>
      </w:r>
      <w:r w:rsidR="00CB19A9">
        <w:rPr>
          <w:lang w:eastAsia="ja-JP"/>
        </w:rPr>
        <w:t xml:space="preserve">on </w:t>
      </w:r>
      <w:r>
        <w:rPr>
          <w:lang w:eastAsia="ja-JP"/>
        </w:rPr>
        <w:t xml:space="preserve">a number of points for developing </w:t>
      </w:r>
      <w:r w:rsidR="00E94674">
        <w:rPr>
          <w:lang w:eastAsia="ja-JP"/>
        </w:rPr>
        <w:t xml:space="preserve">the </w:t>
      </w:r>
      <w:r>
        <w:rPr>
          <w:lang w:eastAsia="ja-JP"/>
        </w:rPr>
        <w:t xml:space="preserve">field work strategy. </w:t>
      </w:r>
      <w:r w:rsidR="00297C44">
        <w:rPr>
          <w:lang w:eastAsia="ja-JP"/>
        </w:rPr>
        <w:t xml:space="preserve">Hugo Dobson has kindly responded to my consultation, which was vital for formulating my research strategy. Jin Matsubara and his staff also offered invaluable substantial assistance for undertaking the field research. The kindness of accepting my interview offers by the interviewees in the Diet, government ministries, the Fair Trade Commission, the business community, consumer groups, and professional communities was also indispensable. Although I am unable to name each of </w:t>
      </w:r>
      <w:r w:rsidR="00CB19A9">
        <w:rPr>
          <w:lang w:eastAsia="ja-JP"/>
        </w:rPr>
        <w:t xml:space="preserve">the </w:t>
      </w:r>
      <w:r w:rsidR="00297C44">
        <w:rPr>
          <w:lang w:eastAsia="ja-JP"/>
        </w:rPr>
        <w:t>interviewees here in order t</w:t>
      </w:r>
      <w:r w:rsidR="00CB19A9">
        <w:rPr>
          <w:lang w:eastAsia="ja-JP"/>
        </w:rPr>
        <w:t>o</w:t>
      </w:r>
      <w:r w:rsidR="00297C44">
        <w:rPr>
          <w:lang w:eastAsia="ja-JP"/>
        </w:rPr>
        <w:t xml:space="preserve"> protect their confidentiality, I have no word to </w:t>
      </w:r>
      <w:r w:rsidR="00CB19A9">
        <w:rPr>
          <w:lang w:eastAsia="ja-JP"/>
        </w:rPr>
        <w:t xml:space="preserve">show my </w:t>
      </w:r>
      <w:r w:rsidR="00297C44">
        <w:rPr>
          <w:lang w:eastAsia="ja-JP"/>
        </w:rPr>
        <w:t>appreciat</w:t>
      </w:r>
      <w:r w:rsidR="00CB19A9">
        <w:rPr>
          <w:lang w:eastAsia="ja-JP"/>
        </w:rPr>
        <w:t>ion of</w:t>
      </w:r>
      <w:r w:rsidR="00297C44">
        <w:rPr>
          <w:lang w:eastAsia="ja-JP"/>
        </w:rPr>
        <w:t xml:space="preserve"> their kindness and contribution.</w:t>
      </w:r>
    </w:p>
    <w:p w14:paraId="268EFD4A" w14:textId="77777777" w:rsidR="00F440CC" w:rsidRDefault="00F440CC" w:rsidP="00FA1024">
      <w:pPr>
        <w:pStyle w:val="NoSpacing"/>
        <w:ind w:firstLine="284"/>
        <w:rPr>
          <w:lang w:eastAsia="ja-JP"/>
        </w:rPr>
      </w:pPr>
      <w:r>
        <w:rPr>
          <w:lang w:eastAsia="ja-JP"/>
        </w:rPr>
        <w:t>Also, I should not fail to express my grati</w:t>
      </w:r>
      <w:r w:rsidR="00CB19A9">
        <w:rPr>
          <w:lang w:eastAsia="ja-JP"/>
        </w:rPr>
        <w:t>tude</w:t>
      </w:r>
      <w:r>
        <w:rPr>
          <w:lang w:eastAsia="ja-JP"/>
        </w:rPr>
        <w:t xml:space="preserve"> to the staff of the Department of Politics, including of course, Sarah Cooke, whose kind and </w:t>
      </w:r>
      <w:r w:rsidR="009B7819">
        <w:rPr>
          <w:lang w:eastAsia="ja-JP"/>
        </w:rPr>
        <w:t>patient responses to my thoughtless enquiries have</w:t>
      </w:r>
      <w:r>
        <w:rPr>
          <w:lang w:eastAsia="ja-JP"/>
        </w:rPr>
        <w:t xml:space="preserve"> been </w:t>
      </w:r>
      <w:r w:rsidR="003C1092">
        <w:rPr>
          <w:lang w:eastAsia="ja-JP"/>
        </w:rPr>
        <w:t>the most helpful</w:t>
      </w:r>
      <w:r>
        <w:rPr>
          <w:lang w:eastAsia="ja-JP"/>
        </w:rPr>
        <w:t xml:space="preserve">. </w:t>
      </w:r>
      <w:r w:rsidR="00492923">
        <w:rPr>
          <w:lang w:eastAsia="ja-JP"/>
        </w:rPr>
        <w:t>The assistance by her and other</w:t>
      </w:r>
      <w:r w:rsidR="003C1092">
        <w:rPr>
          <w:lang w:eastAsia="ja-JP"/>
        </w:rPr>
        <w:t>s</w:t>
      </w:r>
      <w:r w:rsidR="00492923">
        <w:rPr>
          <w:lang w:eastAsia="ja-JP"/>
        </w:rPr>
        <w:t xml:space="preserve"> such as </w:t>
      </w:r>
      <w:r w:rsidR="00492923" w:rsidRPr="00492923">
        <w:rPr>
          <w:lang w:eastAsia="ja-JP"/>
        </w:rPr>
        <w:t>Matthew Wainwright</w:t>
      </w:r>
      <w:r w:rsidR="00492923">
        <w:rPr>
          <w:lang w:eastAsia="ja-JP"/>
        </w:rPr>
        <w:t xml:space="preserve">, </w:t>
      </w:r>
      <w:r w:rsidR="00E94674">
        <w:rPr>
          <w:lang w:eastAsia="ja-JP"/>
        </w:rPr>
        <w:t xml:space="preserve">Rob Collins, </w:t>
      </w:r>
      <w:r w:rsidR="00492923">
        <w:rPr>
          <w:lang w:eastAsia="ja-JP"/>
        </w:rPr>
        <w:t xml:space="preserve">Angela Hill, </w:t>
      </w:r>
      <w:r w:rsidR="003C1092">
        <w:rPr>
          <w:lang w:eastAsia="ja-JP"/>
        </w:rPr>
        <w:t xml:space="preserve">and </w:t>
      </w:r>
      <w:r w:rsidR="00492923">
        <w:rPr>
          <w:lang w:eastAsia="ja-JP"/>
        </w:rPr>
        <w:t xml:space="preserve">Gemma Bennett greatly helped me undertake my project. The </w:t>
      </w:r>
      <w:r w:rsidR="00E23A4A">
        <w:rPr>
          <w:lang w:eastAsia="ja-JP"/>
        </w:rPr>
        <w:t>staff of the Graduate Research Centre including Katie Carhill and Gavin Boyce has</w:t>
      </w:r>
      <w:r w:rsidR="00492923">
        <w:rPr>
          <w:lang w:eastAsia="ja-JP"/>
        </w:rPr>
        <w:t xml:space="preserve"> also shown the willingness to assist with my work</w:t>
      </w:r>
      <w:r w:rsidR="003C1092">
        <w:rPr>
          <w:lang w:eastAsia="ja-JP"/>
        </w:rPr>
        <w:t xml:space="preserve"> in the Graduate Research Centre, where I could enjoy </w:t>
      </w:r>
      <w:r w:rsidR="00F57642">
        <w:rPr>
          <w:lang w:eastAsia="ja-JP"/>
        </w:rPr>
        <w:t xml:space="preserve">a </w:t>
      </w:r>
      <w:r w:rsidR="003C1092">
        <w:rPr>
          <w:lang w:eastAsia="ja-JP"/>
        </w:rPr>
        <w:t>comfortable working environment</w:t>
      </w:r>
      <w:r w:rsidR="00492923">
        <w:rPr>
          <w:lang w:eastAsia="ja-JP"/>
        </w:rPr>
        <w:t>.</w:t>
      </w:r>
    </w:p>
    <w:p w14:paraId="5697B4DB" w14:textId="77777777" w:rsidR="00492923" w:rsidRDefault="00492923" w:rsidP="00FA1024">
      <w:pPr>
        <w:pStyle w:val="NoSpacing"/>
        <w:ind w:firstLine="284"/>
        <w:rPr>
          <w:lang w:eastAsia="ja-JP"/>
        </w:rPr>
      </w:pPr>
      <w:r>
        <w:rPr>
          <w:lang w:eastAsia="ja-JP"/>
        </w:rPr>
        <w:t xml:space="preserve">Lastly, I would like to express my </w:t>
      </w:r>
      <w:r w:rsidR="007F6F04">
        <w:rPr>
          <w:lang w:eastAsia="ja-JP"/>
        </w:rPr>
        <w:t xml:space="preserve">sincere </w:t>
      </w:r>
      <w:r>
        <w:rPr>
          <w:lang w:eastAsia="ja-JP"/>
        </w:rPr>
        <w:t>appreciation to my parents and friends in both Sheffield and Tokyo</w:t>
      </w:r>
      <w:r w:rsidR="003C1092">
        <w:rPr>
          <w:lang w:eastAsia="ja-JP"/>
        </w:rPr>
        <w:t xml:space="preserve">, </w:t>
      </w:r>
      <w:r w:rsidR="00A6157B">
        <w:rPr>
          <w:rFonts w:eastAsia="MS Mincho" w:hint="eastAsia"/>
          <w:lang w:eastAsia="ja-JP"/>
        </w:rPr>
        <w:t xml:space="preserve">including </w:t>
      </w:r>
      <w:r w:rsidR="00110A7E" w:rsidRPr="00110A7E">
        <w:rPr>
          <w:rFonts w:eastAsia="MS Mincho"/>
          <w:lang w:eastAsia="ja-JP"/>
        </w:rPr>
        <w:t>Darlington C. Ashamole</w:t>
      </w:r>
      <w:r w:rsidR="00110A7E">
        <w:rPr>
          <w:rFonts w:eastAsia="MS Mincho" w:hint="eastAsia"/>
          <w:lang w:eastAsia="ja-JP"/>
        </w:rPr>
        <w:t xml:space="preserve">, </w:t>
      </w:r>
      <w:r w:rsidR="00A6157B">
        <w:rPr>
          <w:rFonts w:eastAsia="MS Mincho" w:hint="eastAsia"/>
          <w:lang w:eastAsia="ja-JP"/>
        </w:rPr>
        <w:t xml:space="preserve">Asa Cusack, </w:t>
      </w:r>
      <w:r w:rsidR="00A6157B" w:rsidRPr="00A6157B">
        <w:rPr>
          <w:rFonts w:eastAsia="MS Mincho"/>
          <w:lang w:eastAsia="ja-JP"/>
        </w:rPr>
        <w:t>Ali Onur Ozcelik</w:t>
      </w:r>
      <w:r w:rsidR="00A6157B">
        <w:rPr>
          <w:rFonts w:eastAsia="MS Mincho" w:hint="eastAsia"/>
          <w:lang w:eastAsia="ja-JP"/>
        </w:rPr>
        <w:t xml:space="preserve">, Hanno Terao, and </w:t>
      </w:r>
      <w:r w:rsidR="00A6157B" w:rsidRPr="00A6157B">
        <w:rPr>
          <w:rFonts w:eastAsia="MS Mincho"/>
          <w:lang w:eastAsia="ja-JP"/>
        </w:rPr>
        <w:t>Michal Tudorowski</w:t>
      </w:r>
      <w:r w:rsidR="00A6157B">
        <w:rPr>
          <w:rFonts w:eastAsia="MS Mincho" w:hint="eastAsia"/>
          <w:lang w:eastAsia="ja-JP"/>
        </w:rPr>
        <w:t xml:space="preserve">, </w:t>
      </w:r>
      <w:r>
        <w:rPr>
          <w:lang w:eastAsia="ja-JP"/>
        </w:rPr>
        <w:t>who have been willing to assist me mentally and substantially during my days of research.</w:t>
      </w:r>
    </w:p>
    <w:p w14:paraId="15021F83" w14:textId="77777777" w:rsidR="00A23AC4" w:rsidRDefault="00A23AC4" w:rsidP="004051E6">
      <w:pPr>
        <w:pStyle w:val="NoSpacing"/>
        <w:rPr>
          <w:lang w:eastAsia="ja-JP"/>
        </w:rPr>
      </w:pPr>
    </w:p>
    <w:p w14:paraId="0D7F91ED" w14:textId="77777777" w:rsidR="00A12777" w:rsidRDefault="00A12777" w:rsidP="004051E6">
      <w:pPr>
        <w:pStyle w:val="NoSpacing"/>
        <w:rPr>
          <w:lang w:eastAsia="ja-JP"/>
        </w:rPr>
      </w:pPr>
      <w:r>
        <w:rPr>
          <w:lang w:eastAsia="ja-JP"/>
        </w:rPr>
        <w:br w:type="page"/>
      </w:r>
    </w:p>
    <w:p w14:paraId="720DE073" w14:textId="77777777" w:rsidR="00A12777" w:rsidRPr="00F11B1D" w:rsidRDefault="00A12777" w:rsidP="00050D4B">
      <w:pPr>
        <w:pStyle w:val="Heading1"/>
        <w:jc w:val="center"/>
        <w:rPr>
          <w:sz w:val="36"/>
          <w:szCs w:val="36"/>
          <w:u w:val="none"/>
        </w:rPr>
      </w:pPr>
      <w:bookmarkStart w:id="3" w:name="_Toc349741325"/>
      <w:r w:rsidRPr="00F11B1D">
        <w:rPr>
          <w:sz w:val="36"/>
          <w:szCs w:val="36"/>
          <w:u w:val="none"/>
        </w:rPr>
        <w:t>Abstract</w:t>
      </w:r>
      <w:bookmarkEnd w:id="3"/>
    </w:p>
    <w:p w14:paraId="19689431" w14:textId="77777777" w:rsidR="00A12777" w:rsidRDefault="00A12777" w:rsidP="002778E9">
      <w:pPr>
        <w:pStyle w:val="NoSpacing"/>
      </w:pPr>
    </w:p>
    <w:p w14:paraId="5C09CB61" w14:textId="77777777" w:rsidR="00A12777" w:rsidRDefault="00A12777" w:rsidP="002778E9">
      <w:pPr>
        <w:pStyle w:val="NoSpacing"/>
      </w:pPr>
    </w:p>
    <w:p w14:paraId="7ECC2F30" w14:textId="77777777" w:rsidR="00A12777" w:rsidRPr="00014B57" w:rsidRDefault="00A12777" w:rsidP="00AE654A">
      <w:pPr>
        <w:pStyle w:val="NoSpacing"/>
      </w:pPr>
      <w:r w:rsidRPr="00B44F2A">
        <w:t xml:space="preserve">This </w:t>
      </w:r>
      <w:r>
        <w:rPr>
          <w:rFonts w:eastAsia="MS Mincho" w:hint="eastAsia"/>
          <w:lang w:eastAsia="ja-JP"/>
        </w:rPr>
        <w:t>thesis</w:t>
      </w:r>
      <w:r w:rsidRPr="00B44F2A">
        <w:t xml:space="preserve"> explores the </w:t>
      </w:r>
      <w:r>
        <w:rPr>
          <w:rFonts w:eastAsia="MS Mincho" w:hint="eastAsia"/>
          <w:lang w:eastAsia="ja-JP"/>
        </w:rPr>
        <w:t xml:space="preserve">transformation of the Japanese state </w:t>
      </w:r>
      <w:r w:rsidR="00D2550C">
        <w:rPr>
          <w:rFonts w:eastAsia="MS Mincho"/>
          <w:lang w:eastAsia="ja-JP"/>
        </w:rPr>
        <w:t xml:space="preserve">in response to a variety of challenges </w:t>
      </w:r>
      <w:r w:rsidRPr="00B44F2A">
        <w:t xml:space="preserve">by </w:t>
      </w:r>
      <w:r>
        <w:rPr>
          <w:rFonts w:eastAsia="MS Mincho" w:hint="eastAsia"/>
          <w:lang w:eastAsia="ja-JP"/>
        </w:rPr>
        <w:t>focusing on two case studies: ICT regulation and antimonopoly regulation between the 1980s and 2000s.</w:t>
      </w:r>
      <w:r w:rsidRPr="00B44F2A">
        <w:t xml:space="preserve"> It sets out</w:t>
      </w:r>
      <w:r w:rsidR="00B80B1C">
        <w:t xml:space="preserve"> to </w:t>
      </w:r>
      <w:r w:rsidRPr="00B44F2A">
        <w:t xml:space="preserve">challenge </w:t>
      </w:r>
      <w:r>
        <w:rPr>
          <w:rFonts w:eastAsia="MS Mincho" w:hint="eastAsia"/>
          <w:lang w:eastAsia="ja-JP"/>
        </w:rPr>
        <w:t xml:space="preserve">the </w:t>
      </w:r>
      <w:r w:rsidRPr="00B44F2A">
        <w:t xml:space="preserve">dominance of </w:t>
      </w:r>
      <w:r>
        <w:rPr>
          <w:rFonts w:eastAsia="MS Mincho" w:hint="eastAsia"/>
          <w:lang w:eastAsia="ja-JP"/>
        </w:rPr>
        <w:t xml:space="preserve">the </w:t>
      </w:r>
      <w:r w:rsidRPr="00B44F2A">
        <w:t xml:space="preserve">pluralist </w:t>
      </w:r>
      <w:r>
        <w:rPr>
          <w:rFonts w:eastAsia="MS Mincho" w:hint="eastAsia"/>
          <w:lang w:eastAsia="ja-JP"/>
        </w:rPr>
        <w:t xml:space="preserve">and rational choice literature in </w:t>
      </w:r>
      <w:r w:rsidR="00D2550C">
        <w:t xml:space="preserve">Japan’s political science. </w:t>
      </w:r>
      <w:r>
        <w:rPr>
          <w:rFonts w:eastAsia="MS Mincho" w:hint="eastAsia"/>
          <w:lang w:eastAsia="ja-JP"/>
        </w:rPr>
        <w:t>T</w:t>
      </w:r>
      <w:r>
        <w:rPr>
          <w:rFonts w:eastAsia="MS Mincho"/>
          <w:lang w:eastAsia="ja-JP"/>
        </w:rPr>
        <w:t>h</w:t>
      </w:r>
      <w:r>
        <w:rPr>
          <w:rFonts w:eastAsia="MS Mincho" w:hint="eastAsia"/>
          <w:lang w:eastAsia="ja-JP"/>
        </w:rPr>
        <w:t>e analytical framework of this thesis d</w:t>
      </w:r>
      <w:r w:rsidR="00B80B1C">
        <w:rPr>
          <w:rFonts w:eastAsia="MS Mincho"/>
          <w:lang w:eastAsia="ja-JP"/>
        </w:rPr>
        <w:t>raws</w:t>
      </w:r>
      <w:r>
        <w:rPr>
          <w:rFonts w:eastAsia="MS Mincho" w:hint="eastAsia"/>
          <w:lang w:eastAsia="ja-JP"/>
        </w:rPr>
        <w:t xml:space="preserve"> on key theories </w:t>
      </w:r>
      <w:r w:rsidR="00B80B1C">
        <w:rPr>
          <w:rFonts w:eastAsia="MS Mincho"/>
          <w:lang w:eastAsia="ja-JP"/>
        </w:rPr>
        <w:t>from both</w:t>
      </w:r>
      <w:r>
        <w:rPr>
          <w:rFonts w:eastAsia="MS Mincho" w:hint="eastAsia"/>
          <w:lang w:eastAsia="ja-JP"/>
        </w:rPr>
        <w:t xml:space="preserve"> governance and state</w:t>
      </w:r>
      <w:r w:rsidR="00B80B1C">
        <w:rPr>
          <w:rFonts w:eastAsia="MS Mincho"/>
          <w:lang w:eastAsia="ja-JP"/>
        </w:rPr>
        <w:t xml:space="preserve"> theory literature, in particular,</w:t>
      </w:r>
      <w:r>
        <w:rPr>
          <w:rFonts w:eastAsia="MS Mincho" w:hint="eastAsia"/>
          <w:lang w:eastAsia="ja-JP"/>
        </w:rPr>
        <w:t xml:space="preserve"> the core executive and the regulatory state. </w:t>
      </w:r>
      <w:r w:rsidR="00B80B1C">
        <w:rPr>
          <w:rFonts w:eastAsia="MS Mincho"/>
          <w:lang w:eastAsia="ja-JP"/>
        </w:rPr>
        <w:t>The thes</w:t>
      </w:r>
      <w:r w:rsidR="00AE654A">
        <w:rPr>
          <w:rFonts w:eastAsia="MS Mincho"/>
          <w:lang w:eastAsia="ja-JP"/>
        </w:rPr>
        <w:t>i</w:t>
      </w:r>
      <w:r w:rsidR="00B80B1C">
        <w:rPr>
          <w:rFonts w:eastAsia="MS Mincho"/>
          <w:lang w:eastAsia="ja-JP"/>
        </w:rPr>
        <w:t>s explore</w:t>
      </w:r>
      <w:r w:rsidR="00AE654A">
        <w:rPr>
          <w:rFonts w:eastAsia="MS Mincho"/>
          <w:lang w:eastAsia="ja-JP"/>
        </w:rPr>
        <w:t>s</w:t>
      </w:r>
      <w:r w:rsidR="00B80B1C">
        <w:rPr>
          <w:rFonts w:eastAsia="MS Mincho"/>
          <w:lang w:eastAsia="ja-JP"/>
        </w:rPr>
        <w:t xml:space="preserve"> the extent to which there is</w:t>
      </w:r>
      <w:r>
        <w:rPr>
          <w:rFonts w:eastAsia="MS Mincho" w:hint="eastAsia"/>
          <w:lang w:eastAsia="ja-JP"/>
        </w:rPr>
        <w:t xml:space="preserve"> </w:t>
      </w:r>
      <w:r>
        <w:rPr>
          <w:rFonts w:eastAsia="MS Mincho"/>
          <w:lang w:eastAsia="ja-JP"/>
        </w:rPr>
        <w:t>asymmetric</w:t>
      </w:r>
      <w:r w:rsidR="00031DAA">
        <w:rPr>
          <w:rFonts w:eastAsia="MS Mincho" w:hint="eastAsia"/>
          <w:lang w:eastAsia="ja-JP"/>
        </w:rPr>
        <w:t xml:space="preserve"> </w:t>
      </w:r>
      <w:r>
        <w:rPr>
          <w:rFonts w:eastAsia="MS Mincho" w:hint="eastAsia"/>
          <w:lang w:eastAsia="ja-JP"/>
        </w:rPr>
        <w:t>dominance</w:t>
      </w:r>
      <w:r w:rsidR="00B80B1C">
        <w:rPr>
          <w:rFonts w:eastAsia="MS Mincho"/>
          <w:lang w:eastAsia="ja-JP"/>
        </w:rPr>
        <w:t xml:space="preserve"> on the part of</w:t>
      </w:r>
      <w:r>
        <w:rPr>
          <w:rFonts w:eastAsia="MS Mincho" w:hint="eastAsia"/>
          <w:lang w:eastAsia="ja-JP"/>
        </w:rPr>
        <w:t xml:space="preserve"> Japan</w:t>
      </w:r>
      <w:r>
        <w:rPr>
          <w:rFonts w:eastAsia="MS Mincho"/>
          <w:lang w:eastAsia="ja-JP"/>
        </w:rPr>
        <w:t>’</w:t>
      </w:r>
      <w:r>
        <w:rPr>
          <w:rFonts w:eastAsia="MS Mincho" w:hint="eastAsia"/>
          <w:lang w:eastAsia="ja-JP"/>
        </w:rPr>
        <w:t>s core executive</w:t>
      </w:r>
      <w:r w:rsidR="0004014F">
        <w:rPr>
          <w:rFonts w:eastAsia="MS Mincho"/>
          <w:lang w:eastAsia="ja-JP"/>
        </w:rPr>
        <w:t xml:space="preserve"> through an examination of recent </w:t>
      </w:r>
      <w:r>
        <w:rPr>
          <w:rFonts w:eastAsia="MS Mincho" w:hint="eastAsia"/>
          <w:lang w:eastAsia="ja-JP"/>
        </w:rPr>
        <w:t>development</w:t>
      </w:r>
      <w:r w:rsidR="00DF6C15">
        <w:rPr>
          <w:rFonts w:eastAsia="MS Mincho"/>
          <w:lang w:eastAsia="ja-JP"/>
        </w:rPr>
        <w:t>s</w:t>
      </w:r>
      <w:r>
        <w:rPr>
          <w:rFonts w:eastAsia="MS Mincho" w:hint="eastAsia"/>
          <w:lang w:eastAsia="ja-JP"/>
        </w:rPr>
        <w:t xml:space="preserve"> </w:t>
      </w:r>
      <w:r w:rsidR="0004014F">
        <w:rPr>
          <w:rFonts w:eastAsia="MS Mincho"/>
          <w:lang w:eastAsia="ja-JP"/>
        </w:rPr>
        <w:t>in the</w:t>
      </w:r>
      <w:r>
        <w:rPr>
          <w:rFonts w:eastAsia="MS Mincho" w:hint="eastAsia"/>
          <w:lang w:eastAsia="ja-JP"/>
        </w:rPr>
        <w:t xml:space="preserve"> Japanese regulatory </w:t>
      </w:r>
      <w:r w:rsidR="0004014F">
        <w:rPr>
          <w:rFonts w:eastAsia="MS Mincho"/>
          <w:lang w:eastAsia="ja-JP"/>
        </w:rPr>
        <w:t>tradition</w:t>
      </w:r>
      <w:r w:rsidR="00031DAA">
        <w:rPr>
          <w:rFonts w:eastAsia="MS Mincho" w:hint="eastAsia"/>
          <w:lang w:eastAsia="ja-JP"/>
        </w:rPr>
        <w:t xml:space="preserve"> between the 1980s and 2000s</w:t>
      </w:r>
      <w:r w:rsidR="0004014F">
        <w:rPr>
          <w:rFonts w:eastAsia="MS Mincho"/>
          <w:lang w:eastAsia="ja-JP"/>
        </w:rPr>
        <w:t xml:space="preserve">. </w:t>
      </w:r>
      <w:r w:rsidRPr="00B44F2A">
        <w:t xml:space="preserve">With its </w:t>
      </w:r>
      <w:r w:rsidR="0004014F">
        <w:t>particular</w:t>
      </w:r>
      <w:r w:rsidR="00F97815">
        <w:rPr>
          <w:rFonts w:hint="eastAsia"/>
          <w:lang w:eastAsia="ja-JP"/>
        </w:rPr>
        <w:t xml:space="preserve"> </w:t>
      </w:r>
      <w:r>
        <w:rPr>
          <w:rFonts w:eastAsia="MS Mincho" w:hint="eastAsia"/>
          <w:lang w:eastAsia="ja-JP"/>
        </w:rPr>
        <w:t xml:space="preserve">approach employing a </w:t>
      </w:r>
      <w:r w:rsidRPr="00B44F2A">
        <w:t xml:space="preserve">government ministry </w:t>
      </w:r>
      <w:r>
        <w:rPr>
          <w:rFonts w:eastAsia="MS Mincho" w:hint="eastAsia"/>
          <w:lang w:eastAsia="ja-JP"/>
        </w:rPr>
        <w:t>as the regulator</w:t>
      </w:r>
      <w:r w:rsidRPr="00B44F2A">
        <w:t xml:space="preserve">, </w:t>
      </w:r>
      <w:r>
        <w:rPr>
          <w:rFonts w:eastAsia="MS Mincho" w:hint="eastAsia"/>
          <w:lang w:eastAsia="ja-JP"/>
        </w:rPr>
        <w:t xml:space="preserve">the </w:t>
      </w:r>
      <w:r w:rsidRPr="00B44F2A">
        <w:t>analysi</w:t>
      </w:r>
      <w:r>
        <w:rPr>
          <w:rFonts w:eastAsia="MS Mincho" w:hint="eastAsia"/>
          <w:lang w:eastAsia="ja-JP"/>
        </w:rPr>
        <w:t xml:space="preserve">s of </w:t>
      </w:r>
      <w:r w:rsidRPr="00B44F2A">
        <w:t xml:space="preserve">ICT regulation </w:t>
      </w:r>
      <w:r>
        <w:rPr>
          <w:rFonts w:eastAsia="MS Mincho" w:hint="eastAsia"/>
          <w:lang w:eastAsia="ja-JP"/>
        </w:rPr>
        <w:t>reveals how the Japanese state has been transformed in response to its specific challenges under its political tradition.</w:t>
      </w:r>
      <w:r w:rsidR="00D2550C">
        <w:rPr>
          <w:rFonts w:eastAsia="MS Mincho"/>
          <w:lang w:eastAsia="ja-JP"/>
        </w:rPr>
        <w:t xml:space="preserve"> </w:t>
      </w:r>
      <w:r w:rsidR="00AE654A">
        <w:rPr>
          <w:rFonts w:eastAsia="MS Mincho"/>
          <w:lang w:eastAsia="ja-JP"/>
        </w:rPr>
        <w:t>A</w:t>
      </w:r>
      <w:r>
        <w:rPr>
          <w:rFonts w:eastAsia="MS Mincho" w:hint="eastAsia"/>
          <w:lang w:eastAsia="ja-JP"/>
        </w:rPr>
        <w:t>ntimonopoly regula</w:t>
      </w:r>
      <w:r w:rsidR="00AE654A">
        <w:rPr>
          <w:rFonts w:eastAsia="MS Mincho" w:hint="eastAsia"/>
          <w:lang w:eastAsia="ja-JP"/>
        </w:rPr>
        <w:t>tion</w:t>
      </w:r>
      <w:r>
        <w:rPr>
          <w:rFonts w:eastAsia="MS Mincho" w:hint="eastAsia"/>
          <w:lang w:eastAsia="ja-JP"/>
        </w:rPr>
        <w:t xml:space="preserve"> offers another example of state transformation, with </w:t>
      </w:r>
      <w:r w:rsidR="00AE654A">
        <w:rPr>
          <w:rFonts w:eastAsia="MS Mincho"/>
          <w:lang w:eastAsia="ja-JP"/>
        </w:rPr>
        <w:t>an independent administrative commission as the regulator</w:t>
      </w:r>
      <w:r w:rsidRPr="00B44F2A">
        <w:t xml:space="preserve"> </w:t>
      </w:r>
      <w:r>
        <w:rPr>
          <w:rFonts w:eastAsia="MS Mincho" w:hint="eastAsia"/>
          <w:lang w:eastAsia="ja-JP"/>
        </w:rPr>
        <w:t xml:space="preserve">in contrast to </w:t>
      </w:r>
      <w:r w:rsidRPr="00B44F2A">
        <w:t>the ministerial ICT regulat</w:t>
      </w:r>
      <w:r>
        <w:rPr>
          <w:rFonts w:eastAsia="MS Mincho" w:hint="eastAsia"/>
          <w:lang w:eastAsia="ja-JP"/>
        </w:rPr>
        <w:t>or</w:t>
      </w:r>
      <w:r w:rsidRPr="00B44F2A">
        <w:t>.</w:t>
      </w:r>
      <w:r w:rsidR="007450C7">
        <w:rPr>
          <w:rFonts w:hint="eastAsia"/>
          <w:lang w:eastAsia="ja-JP"/>
        </w:rPr>
        <w:t xml:space="preserve"> The exploration of this set of empirical c</w:t>
      </w:r>
      <w:r w:rsidR="00AE654A">
        <w:rPr>
          <w:lang w:eastAsia="ja-JP"/>
        </w:rPr>
        <w:t>ases</w:t>
      </w:r>
      <w:r w:rsidR="007450C7">
        <w:rPr>
          <w:rFonts w:hint="eastAsia"/>
          <w:lang w:eastAsia="ja-JP"/>
        </w:rPr>
        <w:t xml:space="preserve"> is drawn mainly from elite interviewing.</w:t>
      </w:r>
      <w:r w:rsidR="00D2550C">
        <w:rPr>
          <w:lang w:eastAsia="ja-JP"/>
        </w:rPr>
        <w:t xml:space="preserve"> </w:t>
      </w:r>
      <w:r w:rsidR="00D66208">
        <w:rPr>
          <w:rFonts w:eastAsia="MS Mincho" w:hint="eastAsia"/>
          <w:lang w:eastAsia="ja-JP"/>
        </w:rPr>
        <w:t>T</w:t>
      </w:r>
      <w:r>
        <w:rPr>
          <w:rFonts w:eastAsia="MS Mincho" w:hint="eastAsia"/>
          <w:lang w:eastAsia="ja-JP"/>
        </w:rPr>
        <w:t>his thesis concludes that the transformation of the Japanese state in these two cases can be characterised as the development of the Japanese regulatory state</w:t>
      </w:r>
      <w:r w:rsidR="00993BA1">
        <w:rPr>
          <w:rFonts w:eastAsia="MS Mincho" w:hint="eastAsia"/>
          <w:lang w:eastAsia="ja-JP"/>
        </w:rPr>
        <w:t>, employing the state as the key locus of the political events</w:t>
      </w:r>
      <w:r>
        <w:rPr>
          <w:rFonts w:eastAsia="MS Mincho" w:hint="eastAsia"/>
          <w:lang w:eastAsia="ja-JP"/>
        </w:rPr>
        <w:t xml:space="preserve">. </w:t>
      </w:r>
      <w:r w:rsidR="000D7B39">
        <w:rPr>
          <w:rFonts w:eastAsia="MS Mincho" w:hint="eastAsia"/>
          <w:lang w:eastAsia="ja-JP"/>
        </w:rPr>
        <w:t xml:space="preserve">By </w:t>
      </w:r>
      <w:r w:rsidR="00604E6C">
        <w:rPr>
          <w:rFonts w:eastAsia="MS Mincho" w:hint="eastAsia"/>
          <w:lang w:eastAsia="ja-JP"/>
        </w:rPr>
        <w:t xml:space="preserve">proposing </w:t>
      </w:r>
      <w:r w:rsidR="000D7B39">
        <w:rPr>
          <w:rFonts w:eastAsia="MS Mincho" w:hint="eastAsia"/>
          <w:lang w:eastAsia="ja-JP"/>
        </w:rPr>
        <w:t xml:space="preserve">an account based on </w:t>
      </w:r>
      <w:r w:rsidR="0070224C">
        <w:rPr>
          <w:rFonts w:eastAsia="MS Mincho" w:hint="eastAsia"/>
          <w:lang w:eastAsia="ja-JP"/>
        </w:rPr>
        <w:t xml:space="preserve">an </w:t>
      </w:r>
      <w:r w:rsidR="000D7B39">
        <w:rPr>
          <w:rFonts w:eastAsia="MS Mincho" w:hint="eastAsia"/>
          <w:lang w:eastAsia="ja-JP"/>
        </w:rPr>
        <w:t>elitist p</w:t>
      </w:r>
      <w:r w:rsidR="002475EA">
        <w:rPr>
          <w:rFonts w:eastAsia="MS Mincho" w:hint="eastAsia"/>
          <w:lang w:eastAsia="ja-JP"/>
        </w:rPr>
        <w:t>erspective</w:t>
      </w:r>
      <w:r w:rsidR="000D7B39">
        <w:rPr>
          <w:rFonts w:eastAsia="MS Mincho" w:hint="eastAsia"/>
          <w:lang w:eastAsia="ja-JP"/>
        </w:rPr>
        <w:t xml:space="preserve"> </w:t>
      </w:r>
      <w:r w:rsidR="002475EA">
        <w:rPr>
          <w:rFonts w:eastAsia="MS Mincho" w:hint="eastAsia"/>
          <w:lang w:eastAsia="ja-JP"/>
        </w:rPr>
        <w:t>t</w:t>
      </w:r>
      <w:r w:rsidR="00F67CC5">
        <w:rPr>
          <w:rFonts w:eastAsia="MS Mincho" w:hint="eastAsia"/>
          <w:lang w:eastAsia="ja-JP"/>
        </w:rPr>
        <w:t xml:space="preserve">his thesis </w:t>
      </w:r>
      <w:r w:rsidR="000D7B39">
        <w:rPr>
          <w:rFonts w:eastAsia="MS Mincho" w:hint="eastAsia"/>
          <w:lang w:eastAsia="ja-JP"/>
        </w:rPr>
        <w:t xml:space="preserve">sets out </w:t>
      </w:r>
      <w:r w:rsidR="00F67CC5">
        <w:rPr>
          <w:rFonts w:eastAsia="MS Mincho" w:hint="eastAsia"/>
          <w:lang w:eastAsia="ja-JP"/>
        </w:rPr>
        <w:t>a challenge to the dominance of pluralist and rational choice positions in the literature on Japan</w:t>
      </w:r>
      <w:r w:rsidR="002475EA">
        <w:rPr>
          <w:rFonts w:eastAsia="MS Mincho" w:hint="eastAsia"/>
          <w:lang w:eastAsia="ja-JP"/>
        </w:rPr>
        <w:t>.</w:t>
      </w:r>
    </w:p>
    <w:p w14:paraId="7A3B344D" w14:textId="77777777" w:rsidR="00A12777" w:rsidRDefault="00A12777" w:rsidP="002778E9">
      <w:pPr>
        <w:pStyle w:val="NoSpacing"/>
        <w:rPr>
          <w:rFonts w:eastAsia="MS Mincho"/>
          <w:bCs/>
          <w:lang w:eastAsia="ja-JP"/>
        </w:rPr>
      </w:pPr>
      <w:r>
        <w:rPr>
          <w:rFonts w:eastAsia="MS Mincho"/>
          <w:bCs/>
          <w:lang w:eastAsia="ja-JP"/>
        </w:rPr>
        <w:br w:type="page"/>
      </w:r>
    </w:p>
    <w:p w14:paraId="4C527584" w14:textId="77777777" w:rsidR="00A12777" w:rsidRPr="0001797C" w:rsidRDefault="00A12777" w:rsidP="00050D4B">
      <w:pPr>
        <w:pStyle w:val="Heading1"/>
        <w:jc w:val="center"/>
        <w:rPr>
          <w:sz w:val="36"/>
          <w:szCs w:val="36"/>
          <w:u w:val="none"/>
          <w:lang w:eastAsia="ja-JP"/>
        </w:rPr>
      </w:pPr>
      <w:bookmarkStart w:id="4" w:name="_Toc349741326"/>
      <w:r w:rsidRPr="0001797C">
        <w:rPr>
          <w:rFonts w:hint="eastAsia"/>
          <w:sz w:val="36"/>
          <w:szCs w:val="36"/>
          <w:u w:val="none"/>
          <w:lang w:eastAsia="ja-JP"/>
        </w:rPr>
        <w:t>Abbreviation</w:t>
      </w:r>
      <w:bookmarkEnd w:id="4"/>
    </w:p>
    <w:p w14:paraId="1273396C" w14:textId="77777777" w:rsidR="0019603E" w:rsidRDefault="0019603E" w:rsidP="002778E9">
      <w:pPr>
        <w:pStyle w:val="NoSpacing"/>
        <w:tabs>
          <w:tab w:val="left" w:pos="1134"/>
          <w:tab w:val="left" w:pos="6237"/>
        </w:tabs>
        <w:rPr>
          <w:rFonts w:eastAsia="MS Mincho"/>
          <w:lang w:eastAsia="ja-JP"/>
        </w:rPr>
      </w:pPr>
    </w:p>
    <w:p w14:paraId="696EB05C" w14:textId="77777777" w:rsidR="002778E9" w:rsidRPr="002778E9" w:rsidRDefault="002778E9" w:rsidP="002778E9">
      <w:pPr>
        <w:pStyle w:val="NoSpacing"/>
        <w:tabs>
          <w:tab w:val="left" w:pos="1134"/>
          <w:tab w:val="left" w:pos="6237"/>
        </w:tabs>
        <w:rPr>
          <w:rFonts w:eastAsia="MS Mincho"/>
          <w:lang w:eastAsia="ja-JP"/>
        </w:rPr>
      </w:pPr>
    </w:p>
    <w:p w14:paraId="5670A83D" w14:textId="77777777" w:rsidR="00495655" w:rsidRDefault="00D53C4A" w:rsidP="005B18BE">
      <w:pPr>
        <w:pStyle w:val="NoSpacing"/>
        <w:tabs>
          <w:tab w:val="left" w:pos="993"/>
          <w:tab w:val="left" w:pos="6237"/>
        </w:tabs>
        <w:rPr>
          <w:lang w:eastAsia="ja-JP"/>
        </w:rPr>
      </w:pPr>
      <w:r>
        <w:rPr>
          <w:rFonts w:hint="eastAsia"/>
          <w:lang w:eastAsia="ja-JP"/>
        </w:rPr>
        <w:t>AMA</w:t>
      </w:r>
      <w:r>
        <w:rPr>
          <w:rFonts w:hint="eastAsia"/>
          <w:lang w:eastAsia="ja-JP"/>
        </w:rPr>
        <w:tab/>
        <w:t>Antimonopoly Act, Japan</w:t>
      </w:r>
      <w:r w:rsidR="005907DF">
        <w:rPr>
          <w:rFonts w:hint="eastAsia"/>
          <w:lang w:eastAsia="ja-JP"/>
        </w:rPr>
        <w:t xml:space="preserve"> (</w:t>
      </w:r>
      <w:r w:rsidR="005907DF" w:rsidRPr="00164E91">
        <w:rPr>
          <w:rFonts w:hint="eastAsia"/>
          <w:i/>
        </w:rPr>
        <w:t>Dokusen Kinshih</w:t>
      </w:r>
      <w:r w:rsidR="005907DF">
        <w:rPr>
          <w:rFonts w:hint="eastAsia"/>
          <w:i/>
        </w:rPr>
        <w:t>ou</w:t>
      </w:r>
      <w:r w:rsidR="005907DF">
        <w:rPr>
          <w:rFonts w:hint="eastAsia"/>
          <w:lang w:eastAsia="ja-JP"/>
        </w:rPr>
        <w:t>)</w:t>
      </w:r>
    </w:p>
    <w:p w14:paraId="3AF31ECD" w14:textId="77777777" w:rsidR="00B37866" w:rsidRDefault="00B37866" w:rsidP="001D4235">
      <w:pPr>
        <w:pStyle w:val="NoSpacing"/>
        <w:tabs>
          <w:tab w:val="left" w:pos="993"/>
          <w:tab w:val="left" w:pos="1134"/>
          <w:tab w:val="left" w:pos="6237"/>
        </w:tabs>
        <w:rPr>
          <w:lang w:eastAsia="ja-JP"/>
        </w:rPr>
      </w:pPr>
      <w:r>
        <w:rPr>
          <w:rFonts w:hint="eastAsia"/>
          <w:lang w:eastAsia="ja-JP"/>
        </w:rPr>
        <w:t>BOJ</w:t>
      </w:r>
      <w:r>
        <w:rPr>
          <w:rFonts w:hint="eastAsia"/>
          <w:lang w:eastAsia="ja-JP"/>
        </w:rPr>
        <w:tab/>
        <w:t>Bank of Japan</w:t>
      </w:r>
    </w:p>
    <w:p w14:paraId="1BF174DE" w14:textId="77777777" w:rsidR="00D53C4A" w:rsidRDefault="00D53C4A" w:rsidP="001D4235">
      <w:pPr>
        <w:pStyle w:val="NoSpacing"/>
        <w:tabs>
          <w:tab w:val="left" w:pos="993"/>
          <w:tab w:val="left" w:pos="1134"/>
          <w:tab w:val="left" w:pos="6237"/>
        </w:tabs>
        <w:rPr>
          <w:lang w:eastAsia="ja-JP"/>
        </w:rPr>
      </w:pPr>
      <w:r>
        <w:rPr>
          <w:rFonts w:hint="eastAsia"/>
          <w:lang w:eastAsia="ja-JP"/>
        </w:rPr>
        <w:t>BT</w:t>
      </w:r>
      <w:r>
        <w:rPr>
          <w:rFonts w:hint="eastAsia"/>
          <w:lang w:eastAsia="ja-JP"/>
        </w:rPr>
        <w:tab/>
        <w:t>British Telecommunications plc. (British Telecom)</w:t>
      </w:r>
    </w:p>
    <w:p w14:paraId="191D2CB0" w14:textId="77777777" w:rsidR="00A12777" w:rsidRPr="00A12777" w:rsidRDefault="00A12777" w:rsidP="001D4235">
      <w:pPr>
        <w:pStyle w:val="NoSpacing"/>
        <w:tabs>
          <w:tab w:val="left" w:pos="993"/>
          <w:tab w:val="left" w:pos="1134"/>
          <w:tab w:val="left" w:pos="6237"/>
        </w:tabs>
        <w:rPr>
          <w:lang w:eastAsia="ja-JP"/>
        </w:rPr>
      </w:pPr>
      <w:r w:rsidRPr="00A12777">
        <w:rPr>
          <w:lang w:eastAsia="ja-JP"/>
        </w:rPr>
        <w:t>CEO</w:t>
      </w:r>
      <w:r w:rsidRPr="00A12777">
        <w:rPr>
          <w:lang w:eastAsia="ja-JP"/>
        </w:rPr>
        <w:tab/>
        <w:t>Chief Executive Officer</w:t>
      </w:r>
    </w:p>
    <w:p w14:paraId="0F480CB8" w14:textId="77777777" w:rsidR="00A12777" w:rsidRPr="00A12777" w:rsidRDefault="00A12777" w:rsidP="001D4235">
      <w:pPr>
        <w:pStyle w:val="NoSpacing"/>
        <w:tabs>
          <w:tab w:val="left" w:pos="993"/>
          <w:tab w:val="left" w:pos="1134"/>
          <w:tab w:val="left" w:pos="6237"/>
        </w:tabs>
        <w:rPr>
          <w:lang w:eastAsia="ja-JP"/>
        </w:rPr>
      </w:pPr>
      <w:r w:rsidRPr="00A12777">
        <w:rPr>
          <w:lang w:eastAsia="ja-JP"/>
        </w:rPr>
        <w:t xml:space="preserve">CTO </w:t>
      </w:r>
      <w:r w:rsidRPr="00A12777">
        <w:rPr>
          <w:lang w:eastAsia="ja-JP"/>
        </w:rPr>
        <w:tab/>
        <w:t>Chief Technology Officer</w:t>
      </w:r>
    </w:p>
    <w:p w14:paraId="5A1CABD6" w14:textId="77777777" w:rsidR="00A12777" w:rsidRPr="00A12777" w:rsidRDefault="00A12777" w:rsidP="001D4235">
      <w:pPr>
        <w:pStyle w:val="NoSpacing"/>
        <w:tabs>
          <w:tab w:val="left" w:pos="993"/>
          <w:tab w:val="left" w:pos="1134"/>
          <w:tab w:val="left" w:pos="6237"/>
        </w:tabs>
        <w:rPr>
          <w:lang w:eastAsia="ja-JP"/>
        </w:rPr>
      </w:pPr>
      <w:r w:rsidRPr="00A12777">
        <w:rPr>
          <w:lang w:eastAsia="ja-JP"/>
        </w:rPr>
        <w:t>DPJ</w:t>
      </w:r>
      <w:r w:rsidRPr="00A12777">
        <w:rPr>
          <w:lang w:eastAsia="ja-JP"/>
        </w:rPr>
        <w:tab/>
        <w:t>Democratic Party of Japan</w:t>
      </w:r>
    </w:p>
    <w:p w14:paraId="18F9050A" w14:textId="77777777" w:rsidR="00F4316E" w:rsidRPr="005F4931" w:rsidRDefault="00F4316E" w:rsidP="001D4235">
      <w:pPr>
        <w:pStyle w:val="NoSpacing"/>
        <w:tabs>
          <w:tab w:val="left" w:pos="993"/>
          <w:tab w:val="left" w:pos="1134"/>
          <w:tab w:val="left" w:pos="6237"/>
        </w:tabs>
        <w:rPr>
          <w:lang w:eastAsia="ja-JP"/>
        </w:rPr>
      </w:pPr>
      <w:r>
        <w:rPr>
          <w:rFonts w:hint="eastAsia"/>
          <w:lang w:eastAsia="ja-JP"/>
        </w:rPr>
        <w:t>DTI</w:t>
      </w:r>
      <w:r>
        <w:rPr>
          <w:rFonts w:hint="eastAsia"/>
          <w:lang w:eastAsia="ja-JP"/>
        </w:rPr>
        <w:tab/>
      </w:r>
      <w:r>
        <w:rPr>
          <w:rFonts w:hint="eastAsia"/>
        </w:rPr>
        <w:t>Department of Trade and Industry</w:t>
      </w:r>
      <w:r w:rsidR="005F4931">
        <w:rPr>
          <w:rFonts w:hint="eastAsia"/>
          <w:lang w:eastAsia="ja-JP"/>
        </w:rPr>
        <w:t>, UK</w:t>
      </w:r>
    </w:p>
    <w:p w14:paraId="2443115F" w14:textId="77777777" w:rsidR="00AB3F5A" w:rsidRDefault="00AB3F5A" w:rsidP="001D4235">
      <w:pPr>
        <w:pStyle w:val="NoSpacing"/>
        <w:tabs>
          <w:tab w:val="left" w:pos="993"/>
          <w:tab w:val="left" w:pos="1134"/>
          <w:tab w:val="left" w:pos="6237"/>
        </w:tabs>
        <w:rPr>
          <w:lang w:eastAsia="ja-JP"/>
        </w:rPr>
      </w:pPr>
      <w:r>
        <w:rPr>
          <w:rFonts w:hint="eastAsia"/>
          <w:lang w:eastAsia="ja-JP"/>
        </w:rPr>
        <w:t>FCC</w:t>
      </w:r>
      <w:r>
        <w:rPr>
          <w:rFonts w:hint="eastAsia"/>
          <w:lang w:eastAsia="ja-JP"/>
        </w:rPr>
        <w:tab/>
        <w:t>Federal Communications Commission, US</w:t>
      </w:r>
    </w:p>
    <w:p w14:paraId="3BFE40F4" w14:textId="77777777" w:rsidR="00F4316E" w:rsidRDefault="00F4316E" w:rsidP="001D4235">
      <w:pPr>
        <w:pStyle w:val="NoSpacing"/>
        <w:tabs>
          <w:tab w:val="left" w:pos="993"/>
          <w:tab w:val="left" w:pos="1134"/>
          <w:tab w:val="left" w:pos="6237"/>
        </w:tabs>
        <w:rPr>
          <w:lang w:eastAsia="ja-JP"/>
        </w:rPr>
      </w:pPr>
      <w:r>
        <w:rPr>
          <w:rFonts w:hint="eastAsia"/>
          <w:lang w:eastAsia="ja-JP"/>
        </w:rPr>
        <w:t>FIPL</w:t>
      </w:r>
      <w:r>
        <w:rPr>
          <w:rFonts w:hint="eastAsia"/>
          <w:lang w:eastAsia="ja-JP"/>
        </w:rPr>
        <w:tab/>
      </w:r>
      <w:r>
        <w:t>Fiscal Investment Loan Programme</w:t>
      </w:r>
      <w:r w:rsidR="00F24582">
        <w:t>, Japan</w:t>
      </w:r>
    </w:p>
    <w:p w14:paraId="240EA982" w14:textId="77777777" w:rsidR="00A12777" w:rsidRPr="00A12777" w:rsidRDefault="00A12777" w:rsidP="001D4235">
      <w:pPr>
        <w:pStyle w:val="NoSpacing"/>
        <w:tabs>
          <w:tab w:val="left" w:pos="993"/>
          <w:tab w:val="left" w:pos="1134"/>
          <w:tab w:val="left" w:pos="6237"/>
        </w:tabs>
        <w:rPr>
          <w:lang w:eastAsia="ja-JP"/>
        </w:rPr>
      </w:pPr>
      <w:r w:rsidRPr="00A12777">
        <w:rPr>
          <w:lang w:eastAsia="ja-JP"/>
        </w:rPr>
        <w:t>HOC</w:t>
      </w:r>
      <w:r w:rsidRPr="00A12777">
        <w:rPr>
          <w:lang w:eastAsia="ja-JP"/>
        </w:rPr>
        <w:tab/>
        <w:t>House of Councillors</w:t>
      </w:r>
      <w:r w:rsidR="00D53C4A">
        <w:rPr>
          <w:rFonts w:hint="eastAsia"/>
          <w:lang w:eastAsia="ja-JP"/>
        </w:rPr>
        <w:t>, Japan</w:t>
      </w:r>
    </w:p>
    <w:p w14:paraId="6189A409" w14:textId="77777777" w:rsidR="00A12777" w:rsidRPr="00A12777" w:rsidRDefault="00A12777" w:rsidP="001D4235">
      <w:pPr>
        <w:pStyle w:val="NoSpacing"/>
        <w:tabs>
          <w:tab w:val="left" w:pos="993"/>
          <w:tab w:val="left" w:pos="1134"/>
          <w:tab w:val="left" w:pos="6237"/>
        </w:tabs>
        <w:rPr>
          <w:lang w:eastAsia="ja-JP"/>
        </w:rPr>
      </w:pPr>
      <w:r w:rsidRPr="00A12777">
        <w:rPr>
          <w:lang w:eastAsia="ja-JP"/>
        </w:rPr>
        <w:t>HOR</w:t>
      </w:r>
      <w:r w:rsidRPr="00A12777">
        <w:rPr>
          <w:lang w:eastAsia="ja-JP"/>
        </w:rPr>
        <w:tab/>
        <w:t>House of Representatives</w:t>
      </w:r>
      <w:r w:rsidR="00D53C4A">
        <w:rPr>
          <w:rFonts w:hint="eastAsia"/>
          <w:lang w:eastAsia="ja-JP"/>
        </w:rPr>
        <w:t>, Japan</w:t>
      </w:r>
    </w:p>
    <w:p w14:paraId="7866D5DE" w14:textId="77777777" w:rsidR="00A41AE9" w:rsidRDefault="00A41AE9" w:rsidP="001D4235">
      <w:pPr>
        <w:pStyle w:val="NoSpacing"/>
        <w:tabs>
          <w:tab w:val="left" w:pos="993"/>
          <w:tab w:val="left" w:pos="1134"/>
          <w:tab w:val="left" w:pos="6237"/>
        </w:tabs>
        <w:rPr>
          <w:lang w:eastAsia="ja-JP"/>
        </w:rPr>
      </w:pPr>
      <w:r>
        <w:rPr>
          <w:rFonts w:hint="eastAsia"/>
          <w:lang w:eastAsia="ja-JP"/>
        </w:rPr>
        <w:t>IBJ</w:t>
      </w:r>
      <w:r>
        <w:rPr>
          <w:rFonts w:hint="eastAsia"/>
          <w:lang w:eastAsia="ja-JP"/>
        </w:rPr>
        <w:tab/>
        <w:t>Industrial Bank of Japan</w:t>
      </w:r>
    </w:p>
    <w:p w14:paraId="1C27955E" w14:textId="77777777" w:rsidR="00D53C4A" w:rsidRDefault="00D53C4A" w:rsidP="001D4235">
      <w:pPr>
        <w:pStyle w:val="NoSpacing"/>
        <w:tabs>
          <w:tab w:val="left" w:pos="993"/>
          <w:tab w:val="left" w:pos="1134"/>
          <w:tab w:val="left" w:pos="6237"/>
        </w:tabs>
        <w:rPr>
          <w:lang w:eastAsia="ja-JP"/>
        </w:rPr>
      </w:pPr>
      <w:r>
        <w:rPr>
          <w:rFonts w:hint="eastAsia"/>
          <w:lang w:eastAsia="ja-JP"/>
        </w:rPr>
        <w:t>ICT</w:t>
      </w:r>
      <w:r>
        <w:rPr>
          <w:rFonts w:hint="eastAsia"/>
          <w:lang w:eastAsia="ja-JP"/>
        </w:rPr>
        <w:tab/>
        <w:t>Information and Communication Technologies</w:t>
      </w:r>
    </w:p>
    <w:p w14:paraId="359A0A65" w14:textId="77777777" w:rsidR="00A12777" w:rsidRPr="00A12777" w:rsidRDefault="00A12777" w:rsidP="001D4235">
      <w:pPr>
        <w:pStyle w:val="NoSpacing"/>
        <w:tabs>
          <w:tab w:val="left" w:pos="993"/>
          <w:tab w:val="left" w:pos="1134"/>
          <w:tab w:val="left" w:pos="6237"/>
        </w:tabs>
        <w:rPr>
          <w:lang w:eastAsia="ja-JP"/>
        </w:rPr>
      </w:pPr>
      <w:r w:rsidRPr="00A12777">
        <w:rPr>
          <w:lang w:eastAsia="ja-JP"/>
        </w:rPr>
        <w:t>JFTC</w:t>
      </w:r>
      <w:r w:rsidRPr="00A12777">
        <w:rPr>
          <w:lang w:eastAsia="ja-JP"/>
        </w:rPr>
        <w:tab/>
        <w:t>Fair Trade Commission</w:t>
      </w:r>
      <w:r>
        <w:rPr>
          <w:rFonts w:hint="eastAsia"/>
          <w:lang w:eastAsia="ja-JP"/>
        </w:rPr>
        <w:t>, Japan</w:t>
      </w:r>
    </w:p>
    <w:p w14:paraId="718D96F6" w14:textId="77777777" w:rsidR="0062148D" w:rsidRPr="0062148D" w:rsidRDefault="0062148D" w:rsidP="001D4235">
      <w:pPr>
        <w:pStyle w:val="NoSpacing"/>
        <w:tabs>
          <w:tab w:val="left" w:pos="993"/>
          <w:tab w:val="left" w:pos="1134"/>
          <w:tab w:val="left" w:pos="6237"/>
        </w:tabs>
        <w:rPr>
          <w:lang w:eastAsia="ja-JP"/>
        </w:rPr>
      </w:pPr>
      <w:r w:rsidRPr="0062148D">
        <w:rPr>
          <w:rFonts w:hint="eastAsia"/>
          <w:i/>
          <w:lang w:eastAsia="ja-JP"/>
        </w:rPr>
        <w:t>Keidanren</w:t>
      </w:r>
      <w:r w:rsidRPr="0062148D">
        <w:rPr>
          <w:rFonts w:hint="eastAsia"/>
          <w:lang w:eastAsia="ja-JP"/>
        </w:rPr>
        <w:tab/>
        <w:t>Japan Business Federation (</w:t>
      </w:r>
      <w:r w:rsidRPr="0062148D">
        <w:rPr>
          <w:i/>
          <w:lang w:eastAsia="ja-JP"/>
        </w:rPr>
        <w:t>Nippon Keizai-dantai Rengōkai</w:t>
      </w:r>
      <w:r w:rsidRPr="0062148D">
        <w:rPr>
          <w:rFonts w:hint="eastAsia"/>
          <w:lang w:eastAsia="ja-JP"/>
        </w:rPr>
        <w:t>)</w:t>
      </w:r>
    </w:p>
    <w:p w14:paraId="5FE54623" w14:textId="77777777" w:rsidR="00A12777" w:rsidRPr="00A12777" w:rsidRDefault="00A12777" w:rsidP="001D4235">
      <w:pPr>
        <w:pStyle w:val="NoSpacing"/>
        <w:tabs>
          <w:tab w:val="left" w:pos="993"/>
          <w:tab w:val="left" w:pos="1134"/>
          <w:tab w:val="left" w:pos="6237"/>
        </w:tabs>
        <w:rPr>
          <w:lang w:eastAsia="ja-JP"/>
        </w:rPr>
      </w:pPr>
      <w:r w:rsidRPr="00A12777">
        <w:rPr>
          <w:lang w:eastAsia="ja-JP"/>
        </w:rPr>
        <w:t>LDP</w:t>
      </w:r>
      <w:r w:rsidRPr="00A12777">
        <w:rPr>
          <w:lang w:eastAsia="ja-JP"/>
        </w:rPr>
        <w:tab/>
        <w:t>Liberal Democratic Party</w:t>
      </w:r>
      <w:r>
        <w:rPr>
          <w:rFonts w:hint="eastAsia"/>
          <w:lang w:eastAsia="ja-JP"/>
        </w:rPr>
        <w:t>, Japan</w:t>
      </w:r>
    </w:p>
    <w:p w14:paraId="79C0A6C5" w14:textId="77777777" w:rsidR="00A12777" w:rsidRPr="00A12777" w:rsidRDefault="00A12777" w:rsidP="001D4235">
      <w:pPr>
        <w:pStyle w:val="NoSpacing"/>
        <w:tabs>
          <w:tab w:val="left" w:pos="993"/>
          <w:tab w:val="left" w:pos="1134"/>
          <w:tab w:val="left" w:pos="5954"/>
        </w:tabs>
        <w:rPr>
          <w:lang w:eastAsia="ja-JP"/>
        </w:rPr>
      </w:pPr>
      <w:r w:rsidRPr="00A12777">
        <w:rPr>
          <w:lang w:eastAsia="ja-JP"/>
        </w:rPr>
        <w:t>METI</w:t>
      </w:r>
      <w:r w:rsidRPr="00A12777">
        <w:rPr>
          <w:lang w:eastAsia="ja-JP"/>
        </w:rPr>
        <w:tab/>
        <w:t>Ministry of Economy, Trade and Industry</w:t>
      </w:r>
      <w:r w:rsidR="00D53C4A">
        <w:rPr>
          <w:rFonts w:hint="eastAsia"/>
          <w:lang w:eastAsia="ja-JP"/>
        </w:rPr>
        <w:t>, Japan</w:t>
      </w:r>
      <w:r w:rsidR="00B257A5">
        <w:rPr>
          <w:rFonts w:hint="eastAsia"/>
          <w:lang w:eastAsia="ja-JP"/>
        </w:rPr>
        <w:tab/>
      </w:r>
      <w:r>
        <w:rPr>
          <w:rFonts w:hint="eastAsia"/>
          <w:lang w:eastAsia="ja-JP"/>
        </w:rPr>
        <w:t>(after 2001)</w:t>
      </w:r>
    </w:p>
    <w:p w14:paraId="6ECACFA5" w14:textId="77777777" w:rsidR="00A12777" w:rsidRPr="00A12777" w:rsidRDefault="00A12777" w:rsidP="001D4235">
      <w:pPr>
        <w:pStyle w:val="NoSpacing"/>
        <w:tabs>
          <w:tab w:val="left" w:pos="993"/>
          <w:tab w:val="left" w:pos="1134"/>
          <w:tab w:val="left" w:pos="5954"/>
        </w:tabs>
        <w:rPr>
          <w:lang w:eastAsia="ja-JP"/>
        </w:rPr>
      </w:pPr>
      <w:r w:rsidRPr="00A12777">
        <w:rPr>
          <w:lang w:eastAsia="ja-JP"/>
        </w:rPr>
        <w:t>MIC</w:t>
      </w:r>
      <w:r w:rsidRPr="00A12777">
        <w:rPr>
          <w:lang w:eastAsia="ja-JP"/>
        </w:rPr>
        <w:tab/>
        <w:t>Ministry of Internal Affairs and Communications</w:t>
      </w:r>
      <w:r w:rsidR="00D53C4A">
        <w:rPr>
          <w:rFonts w:hint="eastAsia"/>
          <w:lang w:eastAsia="ja-JP"/>
        </w:rPr>
        <w:t xml:space="preserve">, Japan </w:t>
      </w:r>
      <w:r w:rsidR="00B257A5">
        <w:rPr>
          <w:rFonts w:hint="eastAsia"/>
          <w:lang w:eastAsia="ja-JP"/>
        </w:rPr>
        <w:tab/>
      </w:r>
      <w:r>
        <w:rPr>
          <w:rFonts w:hint="eastAsia"/>
          <w:lang w:eastAsia="ja-JP"/>
        </w:rPr>
        <w:t>(after 2001)</w:t>
      </w:r>
    </w:p>
    <w:p w14:paraId="758CE559" w14:textId="77777777" w:rsidR="00A12777" w:rsidRPr="00A12777" w:rsidRDefault="00A12777" w:rsidP="001D4235">
      <w:pPr>
        <w:pStyle w:val="NoSpacing"/>
        <w:tabs>
          <w:tab w:val="left" w:pos="993"/>
          <w:tab w:val="left" w:pos="1134"/>
          <w:tab w:val="left" w:pos="5954"/>
        </w:tabs>
        <w:rPr>
          <w:lang w:eastAsia="ja-JP"/>
        </w:rPr>
      </w:pPr>
      <w:r w:rsidRPr="00A12777">
        <w:rPr>
          <w:lang w:eastAsia="ja-JP"/>
        </w:rPr>
        <w:t>MITI</w:t>
      </w:r>
      <w:r w:rsidRPr="00A12777">
        <w:rPr>
          <w:lang w:eastAsia="ja-JP"/>
        </w:rPr>
        <w:tab/>
        <w:t>Ministry of International Trade and Industry</w:t>
      </w:r>
      <w:r w:rsidR="00D53C4A">
        <w:rPr>
          <w:rFonts w:hint="eastAsia"/>
          <w:lang w:eastAsia="ja-JP"/>
        </w:rPr>
        <w:t>, Japan</w:t>
      </w:r>
      <w:r w:rsidR="00B257A5">
        <w:rPr>
          <w:rFonts w:hint="eastAsia"/>
          <w:lang w:eastAsia="ja-JP"/>
        </w:rPr>
        <w:tab/>
      </w:r>
      <w:r>
        <w:rPr>
          <w:rFonts w:hint="eastAsia"/>
          <w:lang w:eastAsia="ja-JP"/>
        </w:rPr>
        <w:t>(before 2001)</w:t>
      </w:r>
    </w:p>
    <w:p w14:paraId="394783A4" w14:textId="77777777" w:rsidR="00A12777" w:rsidRDefault="00A12777" w:rsidP="001D4235">
      <w:pPr>
        <w:pStyle w:val="NoSpacing"/>
        <w:tabs>
          <w:tab w:val="left" w:pos="993"/>
          <w:tab w:val="left" w:pos="1134"/>
          <w:tab w:val="left" w:pos="5954"/>
        </w:tabs>
        <w:rPr>
          <w:lang w:eastAsia="ja-JP"/>
        </w:rPr>
      </w:pPr>
      <w:r>
        <w:rPr>
          <w:rFonts w:hint="eastAsia"/>
          <w:lang w:eastAsia="ja-JP"/>
        </w:rPr>
        <w:t>MMC</w:t>
      </w:r>
      <w:r>
        <w:rPr>
          <w:rFonts w:hint="eastAsia"/>
          <w:lang w:eastAsia="ja-JP"/>
        </w:rPr>
        <w:tab/>
        <w:t xml:space="preserve">Monopolies and Mergers </w:t>
      </w:r>
      <w:r>
        <w:rPr>
          <w:lang w:eastAsia="ja-JP"/>
        </w:rPr>
        <w:t>Commission</w:t>
      </w:r>
      <w:r w:rsidR="00D53C4A">
        <w:rPr>
          <w:rFonts w:hint="eastAsia"/>
          <w:lang w:eastAsia="ja-JP"/>
        </w:rPr>
        <w:t>, UK</w:t>
      </w:r>
    </w:p>
    <w:p w14:paraId="0791EB3F" w14:textId="77777777" w:rsidR="00292EAC" w:rsidRDefault="00292EAC" w:rsidP="001D4235">
      <w:pPr>
        <w:pStyle w:val="NoSpacing"/>
        <w:tabs>
          <w:tab w:val="left" w:pos="993"/>
          <w:tab w:val="left" w:pos="1134"/>
          <w:tab w:val="left" w:pos="5954"/>
        </w:tabs>
        <w:rPr>
          <w:lang w:eastAsia="ja-JP"/>
        </w:rPr>
      </w:pPr>
      <w:r>
        <w:rPr>
          <w:rFonts w:hint="eastAsia"/>
          <w:lang w:eastAsia="ja-JP"/>
        </w:rPr>
        <w:t>MMM</w:t>
      </w:r>
      <w:r>
        <w:rPr>
          <w:rFonts w:hint="eastAsia"/>
          <w:lang w:eastAsia="ja-JP"/>
        </w:rPr>
        <w:tab/>
      </w:r>
      <w:r>
        <w:t>Mixed-Member Majoritarian</w:t>
      </w:r>
    </w:p>
    <w:p w14:paraId="03FA7A00" w14:textId="77777777" w:rsidR="00D53C4A" w:rsidRDefault="00D53C4A" w:rsidP="001D4235">
      <w:pPr>
        <w:pStyle w:val="NoSpacing"/>
        <w:tabs>
          <w:tab w:val="left" w:pos="993"/>
          <w:tab w:val="left" w:pos="1134"/>
          <w:tab w:val="left" w:pos="5954"/>
        </w:tabs>
        <w:rPr>
          <w:lang w:eastAsia="ja-JP"/>
        </w:rPr>
      </w:pPr>
      <w:r>
        <w:rPr>
          <w:rFonts w:hint="eastAsia"/>
          <w:lang w:eastAsia="ja-JP"/>
        </w:rPr>
        <w:t>MOF</w:t>
      </w:r>
      <w:r>
        <w:rPr>
          <w:rFonts w:hint="eastAsia"/>
          <w:lang w:eastAsia="ja-JP"/>
        </w:rPr>
        <w:tab/>
        <w:t>Ministry of Finance, Japan</w:t>
      </w:r>
    </w:p>
    <w:p w14:paraId="3B2708A0" w14:textId="77777777" w:rsidR="00A12777" w:rsidRPr="00A12777" w:rsidRDefault="00A12777" w:rsidP="001D4235">
      <w:pPr>
        <w:pStyle w:val="NoSpacing"/>
        <w:tabs>
          <w:tab w:val="left" w:pos="993"/>
          <w:tab w:val="left" w:pos="1134"/>
          <w:tab w:val="left" w:pos="5954"/>
        </w:tabs>
        <w:rPr>
          <w:lang w:eastAsia="ja-JP"/>
        </w:rPr>
      </w:pPr>
      <w:r w:rsidRPr="00A12777">
        <w:rPr>
          <w:lang w:eastAsia="ja-JP"/>
        </w:rPr>
        <w:t>MPT</w:t>
      </w:r>
      <w:r w:rsidRPr="00A12777">
        <w:rPr>
          <w:lang w:eastAsia="ja-JP"/>
        </w:rPr>
        <w:tab/>
        <w:t>Ministry of Posts and Telecommunications</w:t>
      </w:r>
      <w:r w:rsidR="00F24582">
        <w:rPr>
          <w:lang w:eastAsia="ja-JP"/>
        </w:rPr>
        <w:t>, Japan</w:t>
      </w:r>
      <w:r w:rsidR="00B257A5">
        <w:rPr>
          <w:rFonts w:hint="eastAsia"/>
          <w:lang w:eastAsia="ja-JP"/>
        </w:rPr>
        <w:tab/>
      </w:r>
      <w:r>
        <w:rPr>
          <w:rFonts w:hint="eastAsia"/>
          <w:lang w:eastAsia="ja-JP"/>
        </w:rPr>
        <w:t>(before 2001)</w:t>
      </w:r>
    </w:p>
    <w:p w14:paraId="6382A58F" w14:textId="77777777" w:rsidR="0062148D" w:rsidRDefault="0062148D" w:rsidP="001D4235">
      <w:pPr>
        <w:pStyle w:val="NoSpacing"/>
        <w:tabs>
          <w:tab w:val="left" w:pos="993"/>
          <w:tab w:val="left" w:pos="1134"/>
          <w:tab w:val="left" w:pos="5954"/>
        </w:tabs>
        <w:rPr>
          <w:lang w:eastAsia="ja-JP"/>
        </w:rPr>
      </w:pPr>
      <w:r>
        <w:rPr>
          <w:rFonts w:hint="eastAsia"/>
          <w:lang w:eastAsia="ja-JP"/>
        </w:rPr>
        <w:t>NCC</w:t>
      </w:r>
      <w:r>
        <w:rPr>
          <w:rFonts w:hint="eastAsia"/>
          <w:lang w:eastAsia="ja-JP"/>
        </w:rPr>
        <w:tab/>
        <w:t>New Common Carrier</w:t>
      </w:r>
    </w:p>
    <w:p w14:paraId="26164B13" w14:textId="77777777" w:rsidR="008E4515" w:rsidRDefault="008E4515" w:rsidP="001D4235">
      <w:pPr>
        <w:pStyle w:val="NoSpacing"/>
        <w:tabs>
          <w:tab w:val="left" w:pos="993"/>
          <w:tab w:val="left" w:pos="1134"/>
          <w:tab w:val="left" w:pos="5954"/>
        </w:tabs>
        <w:rPr>
          <w:lang w:eastAsia="ja-JP"/>
        </w:rPr>
      </w:pPr>
      <w:r>
        <w:rPr>
          <w:rFonts w:hint="eastAsia"/>
          <w:lang w:eastAsia="ja-JP"/>
        </w:rPr>
        <w:t>NHS</w:t>
      </w:r>
      <w:r>
        <w:rPr>
          <w:rFonts w:hint="eastAsia"/>
          <w:lang w:eastAsia="ja-JP"/>
        </w:rPr>
        <w:tab/>
        <w:t>National Health Service, UK</w:t>
      </w:r>
    </w:p>
    <w:p w14:paraId="404ACF80" w14:textId="77777777" w:rsidR="00AD0581" w:rsidRDefault="00AD0581" w:rsidP="001D4235">
      <w:pPr>
        <w:pStyle w:val="NoSpacing"/>
        <w:tabs>
          <w:tab w:val="left" w:pos="993"/>
          <w:tab w:val="left" w:pos="1134"/>
          <w:tab w:val="left" w:pos="5954"/>
        </w:tabs>
        <w:rPr>
          <w:lang w:eastAsia="ja-JP"/>
        </w:rPr>
      </w:pPr>
      <w:r>
        <w:rPr>
          <w:rFonts w:hint="eastAsia"/>
          <w:lang w:eastAsia="ja-JP"/>
        </w:rPr>
        <w:t>NPM</w:t>
      </w:r>
      <w:r>
        <w:rPr>
          <w:rFonts w:hint="eastAsia"/>
          <w:lang w:eastAsia="ja-JP"/>
        </w:rPr>
        <w:tab/>
        <w:t>New Public Management</w:t>
      </w:r>
    </w:p>
    <w:p w14:paraId="110732CD" w14:textId="77777777" w:rsidR="00A12777" w:rsidRDefault="00A12777" w:rsidP="001D4235">
      <w:pPr>
        <w:pStyle w:val="NoSpacing"/>
        <w:tabs>
          <w:tab w:val="left" w:pos="993"/>
          <w:tab w:val="left" w:pos="1134"/>
          <w:tab w:val="left" w:pos="5954"/>
        </w:tabs>
        <w:rPr>
          <w:lang w:eastAsia="ja-JP"/>
        </w:rPr>
      </w:pPr>
      <w:r w:rsidRPr="00A12777">
        <w:rPr>
          <w:lang w:eastAsia="ja-JP"/>
        </w:rPr>
        <w:t>NTT</w:t>
      </w:r>
      <w:r w:rsidRPr="00A12777">
        <w:rPr>
          <w:lang w:eastAsia="ja-JP"/>
        </w:rPr>
        <w:tab/>
        <w:t xml:space="preserve">Nippon Telegraph and Telephone </w:t>
      </w:r>
      <w:r>
        <w:rPr>
          <w:rFonts w:hint="eastAsia"/>
          <w:lang w:eastAsia="ja-JP"/>
        </w:rPr>
        <w:t xml:space="preserve">Public </w:t>
      </w:r>
      <w:r w:rsidRPr="00A12777">
        <w:rPr>
          <w:lang w:eastAsia="ja-JP"/>
        </w:rPr>
        <w:t>Co.</w:t>
      </w:r>
      <w:r>
        <w:rPr>
          <w:rFonts w:hint="eastAsia"/>
          <w:lang w:eastAsia="ja-JP"/>
        </w:rPr>
        <w:tab/>
        <w:t xml:space="preserve">(before privatisation in 1985) </w:t>
      </w:r>
    </w:p>
    <w:p w14:paraId="5C349905" w14:textId="77777777" w:rsidR="00A12777" w:rsidRDefault="00A12777" w:rsidP="001D4235">
      <w:pPr>
        <w:pStyle w:val="NoSpacing"/>
        <w:tabs>
          <w:tab w:val="left" w:pos="993"/>
          <w:tab w:val="left" w:pos="1134"/>
          <w:tab w:val="left" w:pos="5954"/>
        </w:tabs>
        <w:rPr>
          <w:lang w:eastAsia="ja-JP"/>
        </w:rPr>
      </w:pPr>
      <w:r>
        <w:rPr>
          <w:rFonts w:hint="eastAsia"/>
          <w:lang w:eastAsia="ja-JP"/>
        </w:rPr>
        <w:tab/>
        <w:t>/Nippon Telegraph and Telephone Co.</w:t>
      </w:r>
      <w:r>
        <w:rPr>
          <w:rFonts w:hint="eastAsia"/>
          <w:lang w:eastAsia="ja-JP"/>
        </w:rPr>
        <w:tab/>
        <w:t>(after privatisation in 1985)</w:t>
      </w:r>
    </w:p>
    <w:p w14:paraId="68DF37A5" w14:textId="77777777" w:rsidR="00692AE2" w:rsidRDefault="00692AE2" w:rsidP="001D4235">
      <w:pPr>
        <w:pStyle w:val="NoSpacing"/>
        <w:tabs>
          <w:tab w:val="left" w:pos="993"/>
          <w:tab w:val="left" w:pos="1134"/>
          <w:tab w:val="left" w:pos="6237"/>
        </w:tabs>
        <w:rPr>
          <w:lang w:eastAsia="ja-JP"/>
        </w:rPr>
      </w:pPr>
      <w:r>
        <w:rPr>
          <w:rFonts w:hint="eastAsia"/>
          <w:lang w:eastAsia="ja-JP"/>
        </w:rPr>
        <w:t>OA</w:t>
      </w:r>
      <w:r>
        <w:rPr>
          <w:rFonts w:hint="eastAsia"/>
          <w:lang w:eastAsia="ja-JP"/>
        </w:rPr>
        <w:tab/>
      </w:r>
      <w:r>
        <w:rPr>
          <w:rFonts w:hint="eastAsia"/>
        </w:rPr>
        <w:t xml:space="preserve">Office Automation </w:t>
      </w:r>
      <w:r>
        <w:t>facilities</w:t>
      </w:r>
    </w:p>
    <w:p w14:paraId="5666A52F" w14:textId="77777777" w:rsidR="00D91DE7" w:rsidRDefault="00D91DE7" w:rsidP="001D4235">
      <w:pPr>
        <w:pStyle w:val="NoSpacing"/>
        <w:tabs>
          <w:tab w:val="left" w:pos="993"/>
          <w:tab w:val="left" w:pos="1134"/>
          <w:tab w:val="left" w:pos="6237"/>
        </w:tabs>
        <w:rPr>
          <w:lang w:eastAsia="ja-JP"/>
        </w:rPr>
      </w:pPr>
      <w:r>
        <w:rPr>
          <w:rFonts w:hint="eastAsia"/>
          <w:lang w:eastAsia="ja-JP"/>
        </w:rPr>
        <w:t>OECD</w:t>
      </w:r>
      <w:r>
        <w:rPr>
          <w:rFonts w:hint="eastAsia"/>
          <w:lang w:eastAsia="ja-JP"/>
        </w:rPr>
        <w:tab/>
        <w:t>Organisation for Economic Co-operation and Development</w:t>
      </w:r>
    </w:p>
    <w:p w14:paraId="3ADBD9A9" w14:textId="77777777" w:rsidR="00B257A5" w:rsidRDefault="00B257A5" w:rsidP="001D4235">
      <w:pPr>
        <w:pStyle w:val="NoSpacing"/>
        <w:tabs>
          <w:tab w:val="left" w:pos="993"/>
          <w:tab w:val="left" w:pos="1134"/>
          <w:tab w:val="left" w:pos="6237"/>
        </w:tabs>
        <w:rPr>
          <w:lang w:eastAsia="ja-JP"/>
        </w:rPr>
      </w:pPr>
      <w:r>
        <w:rPr>
          <w:rFonts w:hint="eastAsia"/>
          <w:lang w:eastAsia="ja-JP"/>
        </w:rPr>
        <w:t>OFT</w:t>
      </w:r>
      <w:r>
        <w:rPr>
          <w:rFonts w:hint="eastAsia"/>
          <w:lang w:eastAsia="ja-JP"/>
        </w:rPr>
        <w:tab/>
        <w:t>Office of Fair Trading</w:t>
      </w:r>
      <w:r w:rsidR="00F24582">
        <w:rPr>
          <w:lang w:eastAsia="ja-JP"/>
        </w:rPr>
        <w:t>, UK</w:t>
      </w:r>
    </w:p>
    <w:p w14:paraId="1F39FD37" w14:textId="77777777" w:rsidR="00A12777" w:rsidRDefault="00A12777" w:rsidP="001D4235">
      <w:pPr>
        <w:pStyle w:val="NoSpacing"/>
        <w:tabs>
          <w:tab w:val="left" w:pos="993"/>
          <w:tab w:val="left" w:pos="1134"/>
          <w:tab w:val="left" w:pos="6237"/>
        </w:tabs>
        <w:rPr>
          <w:lang w:eastAsia="ja-JP"/>
        </w:rPr>
      </w:pPr>
      <w:r>
        <w:rPr>
          <w:rFonts w:hint="eastAsia"/>
          <w:lang w:eastAsia="ja-JP"/>
        </w:rPr>
        <w:t>Oftel</w:t>
      </w:r>
      <w:r>
        <w:rPr>
          <w:rFonts w:hint="eastAsia"/>
          <w:lang w:eastAsia="ja-JP"/>
        </w:rPr>
        <w:tab/>
        <w:t>Office of Telecommunications</w:t>
      </w:r>
      <w:r w:rsidR="00F24582">
        <w:rPr>
          <w:lang w:eastAsia="ja-JP"/>
        </w:rPr>
        <w:t>, UK</w:t>
      </w:r>
      <w:r w:rsidR="00B257A5">
        <w:rPr>
          <w:rFonts w:hint="eastAsia"/>
          <w:lang w:eastAsia="ja-JP"/>
        </w:rPr>
        <w:tab/>
      </w:r>
      <w:r>
        <w:rPr>
          <w:rFonts w:hint="eastAsia"/>
          <w:lang w:eastAsia="ja-JP"/>
        </w:rPr>
        <w:t>(before 2003)</w:t>
      </w:r>
    </w:p>
    <w:p w14:paraId="0EB3F223" w14:textId="77777777" w:rsidR="0034444C" w:rsidRDefault="0034444C" w:rsidP="001D4235">
      <w:pPr>
        <w:pStyle w:val="NoSpacing"/>
        <w:tabs>
          <w:tab w:val="left" w:pos="993"/>
          <w:tab w:val="left" w:pos="1134"/>
          <w:tab w:val="left" w:pos="6237"/>
        </w:tabs>
        <w:rPr>
          <w:lang w:eastAsia="ja-JP"/>
        </w:rPr>
      </w:pPr>
      <w:r>
        <w:rPr>
          <w:lang w:eastAsia="ja-JP"/>
        </w:rPr>
        <w:t>PARC</w:t>
      </w:r>
      <w:r>
        <w:rPr>
          <w:lang w:eastAsia="ja-JP"/>
        </w:rPr>
        <w:tab/>
        <w:t>Policy Affairs Research Council, LDP, Japan</w:t>
      </w:r>
      <w:r w:rsidR="007F02B3">
        <w:rPr>
          <w:lang w:eastAsia="ja-JP"/>
        </w:rPr>
        <w:t xml:space="preserve"> (</w:t>
      </w:r>
      <w:r w:rsidR="007F02B3" w:rsidRPr="007F02B3">
        <w:rPr>
          <w:i/>
          <w:iCs/>
          <w:lang w:eastAsia="ja-JP"/>
        </w:rPr>
        <w:t>Seicho</w:t>
      </w:r>
      <w:r w:rsidR="007F02B3">
        <w:rPr>
          <w:lang w:eastAsia="ja-JP"/>
        </w:rPr>
        <w:t>)</w:t>
      </w:r>
    </w:p>
    <w:p w14:paraId="285CE34F" w14:textId="77777777" w:rsidR="001D4235" w:rsidRDefault="003D3CD6" w:rsidP="001D4235">
      <w:pPr>
        <w:pStyle w:val="NoSpacing"/>
        <w:tabs>
          <w:tab w:val="left" w:pos="993"/>
          <w:tab w:val="left" w:pos="1134"/>
          <w:tab w:val="left" w:pos="6237"/>
        </w:tabs>
        <w:rPr>
          <w:lang w:eastAsia="ja-JP"/>
        </w:rPr>
      </w:pPr>
      <w:r w:rsidRPr="00155FA3">
        <w:rPr>
          <w:rFonts w:hint="eastAsia"/>
          <w:i/>
          <w:lang w:eastAsia="ja-JP"/>
        </w:rPr>
        <w:t>Rincho</w:t>
      </w:r>
      <w:r>
        <w:rPr>
          <w:rFonts w:hint="eastAsia"/>
          <w:lang w:eastAsia="ja-JP"/>
        </w:rPr>
        <w:tab/>
      </w:r>
      <w:r w:rsidRPr="00001D70">
        <w:t>Second Provisional Commission on Administrative Reform (</w:t>
      </w:r>
      <w:r w:rsidRPr="00263395">
        <w:rPr>
          <w:i/>
        </w:rPr>
        <w:t>Rinji Gyosei Chosakai</w:t>
      </w:r>
      <w:r w:rsidRPr="00155FA3">
        <w:rPr>
          <w:rFonts w:hint="eastAsia"/>
          <w:lang w:eastAsia="ja-JP"/>
        </w:rPr>
        <w:t>)</w:t>
      </w:r>
      <w:r w:rsidR="00EF4604">
        <w:rPr>
          <w:lang w:eastAsia="ja-JP"/>
        </w:rPr>
        <w:t>,</w:t>
      </w:r>
    </w:p>
    <w:p w14:paraId="0E892931" w14:textId="6229BDF8" w:rsidR="003D3CD6" w:rsidRPr="00155FA3" w:rsidRDefault="001D4235" w:rsidP="001D4235">
      <w:pPr>
        <w:pStyle w:val="NoSpacing"/>
        <w:tabs>
          <w:tab w:val="left" w:pos="993"/>
          <w:tab w:val="left" w:pos="1134"/>
          <w:tab w:val="left" w:pos="6237"/>
        </w:tabs>
        <w:rPr>
          <w:lang w:eastAsia="ja-JP"/>
        </w:rPr>
      </w:pPr>
      <w:r>
        <w:rPr>
          <w:lang w:eastAsia="ja-JP"/>
        </w:rPr>
        <w:tab/>
      </w:r>
      <w:r w:rsidR="00EF4604">
        <w:rPr>
          <w:lang w:eastAsia="ja-JP"/>
        </w:rPr>
        <w:t>Japan</w:t>
      </w:r>
    </w:p>
    <w:p w14:paraId="3EFDE7F6" w14:textId="77777777" w:rsidR="004418D2" w:rsidRDefault="004418D2" w:rsidP="001D4235">
      <w:pPr>
        <w:pStyle w:val="NoSpacing"/>
        <w:tabs>
          <w:tab w:val="left" w:pos="993"/>
          <w:tab w:val="left" w:pos="1134"/>
          <w:tab w:val="left" w:pos="6237"/>
        </w:tabs>
        <w:rPr>
          <w:lang w:eastAsia="ja-JP"/>
        </w:rPr>
      </w:pPr>
      <w:r>
        <w:rPr>
          <w:rFonts w:hint="eastAsia"/>
          <w:lang w:eastAsia="ja-JP"/>
        </w:rPr>
        <w:t>RPI</w:t>
      </w:r>
      <w:r>
        <w:rPr>
          <w:rFonts w:hint="eastAsia"/>
          <w:lang w:eastAsia="ja-JP"/>
        </w:rPr>
        <w:tab/>
        <w:t>Retail Prices Index</w:t>
      </w:r>
    </w:p>
    <w:p w14:paraId="2DB893D2" w14:textId="77777777" w:rsidR="00A41AE9" w:rsidRDefault="00A41AE9" w:rsidP="001D4235">
      <w:pPr>
        <w:pStyle w:val="NoSpacing"/>
        <w:tabs>
          <w:tab w:val="left" w:pos="993"/>
          <w:tab w:val="left" w:pos="1134"/>
          <w:tab w:val="left" w:pos="6237"/>
        </w:tabs>
        <w:rPr>
          <w:lang w:eastAsia="ja-JP"/>
        </w:rPr>
      </w:pPr>
      <w:r>
        <w:rPr>
          <w:rFonts w:hint="eastAsia"/>
          <w:lang w:eastAsia="ja-JP"/>
        </w:rPr>
        <w:t>SCAP</w:t>
      </w:r>
      <w:r>
        <w:rPr>
          <w:rFonts w:hint="eastAsia"/>
          <w:lang w:eastAsia="ja-JP"/>
        </w:rPr>
        <w:tab/>
      </w:r>
      <w:r w:rsidRPr="00891C91">
        <w:t>Supreme Commander for the Allied Power</w:t>
      </w:r>
    </w:p>
    <w:p w14:paraId="1D0BB5C2" w14:textId="77777777" w:rsidR="004044ED" w:rsidRDefault="004044ED" w:rsidP="001D4235">
      <w:pPr>
        <w:pStyle w:val="NoSpacing"/>
        <w:tabs>
          <w:tab w:val="left" w:pos="993"/>
          <w:tab w:val="left" w:pos="1134"/>
          <w:tab w:val="left" w:pos="6237"/>
        </w:tabs>
        <w:rPr>
          <w:lang w:eastAsia="ja-JP"/>
        </w:rPr>
      </w:pPr>
      <w:r>
        <w:rPr>
          <w:rFonts w:hint="eastAsia"/>
          <w:lang w:eastAsia="ja-JP"/>
        </w:rPr>
        <w:t>SDPJ</w:t>
      </w:r>
      <w:r>
        <w:rPr>
          <w:rFonts w:hint="eastAsia"/>
          <w:lang w:eastAsia="ja-JP"/>
        </w:rPr>
        <w:tab/>
      </w:r>
      <w:r>
        <w:t>Social Democratic Party of Japan</w:t>
      </w:r>
    </w:p>
    <w:p w14:paraId="65489E7A" w14:textId="77777777" w:rsidR="005907DF" w:rsidRDefault="005907DF" w:rsidP="001D4235">
      <w:pPr>
        <w:pStyle w:val="NoSpacing"/>
        <w:tabs>
          <w:tab w:val="left" w:pos="993"/>
          <w:tab w:val="left" w:pos="1134"/>
          <w:tab w:val="left" w:pos="6237"/>
        </w:tabs>
        <w:rPr>
          <w:lang w:eastAsia="ja-JP"/>
        </w:rPr>
      </w:pPr>
      <w:r>
        <w:rPr>
          <w:rFonts w:hint="eastAsia"/>
          <w:lang w:eastAsia="ja-JP"/>
        </w:rPr>
        <w:t>SII</w:t>
      </w:r>
      <w:r>
        <w:rPr>
          <w:rFonts w:hint="eastAsia"/>
          <w:lang w:eastAsia="ja-JP"/>
        </w:rPr>
        <w:tab/>
      </w:r>
      <w:r>
        <w:rPr>
          <w:rFonts w:hint="eastAsia"/>
        </w:rPr>
        <w:t>Structural Impediments Initiative</w:t>
      </w:r>
    </w:p>
    <w:p w14:paraId="2DF4A7B5" w14:textId="77777777" w:rsidR="00292EAC" w:rsidRDefault="00292EAC" w:rsidP="001D4235">
      <w:pPr>
        <w:pStyle w:val="NoSpacing"/>
        <w:tabs>
          <w:tab w:val="left" w:pos="993"/>
          <w:tab w:val="left" w:pos="1134"/>
          <w:tab w:val="left" w:pos="6237"/>
        </w:tabs>
        <w:rPr>
          <w:lang w:eastAsia="ja-JP"/>
        </w:rPr>
      </w:pPr>
      <w:r>
        <w:rPr>
          <w:rFonts w:hint="eastAsia"/>
          <w:lang w:eastAsia="ja-JP"/>
        </w:rPr>
        <w:t>SMD</w:t>
      </w:r>
      <w:r>
        <w:rPr>
          <w:rFonts w:hint="eastAsia"/>
          <w:lang w:eastAsia="ja-JP"/>
        </w:rPr>
        <w:tab/>
        <w:t>S</w:t>
      </w:r>
      <w:r>
        <w:rPr>
          <w:rFonts w:hint="eastAsia"/>
        </w:rPr>
        <w:t xml:space="preserve">ingle </w:t>
      </w:r>
      <w:r>
        <w:rPr>
          <w:rFonts w:hint="eastAsia"/>
          <w:lang w:eastAsia="ja-JP"/>
        </w:rPr>
        <w:t>M</w:t>
      </w:r>
      <w:r>
        <w:rPr>
          <w:rFonts w:hint="eastAsia"/>
        </w:rPr>
        <w:t xml:space="preserve">ember </w:t>
      </w:r>
      <w:r>
        <w:rPr>
          <w:rFonts w:hint="eastAsia"/>
          <w:lang w:eastAsia="ja-JP"/>
        </w:rPr>
        <w:t>D</w:t>
      </w:r>
      <w:r>
        <w:rPr>
          <w:rFonts w:hint="eastAsia"/>
        </w:rPr>
        <w:t>istrict</w:t>
      </w:r>
    </w:p>
    <w:p w14:paraId="1DD2881F" w14:textId="77777777" w:rsidR="00F4316E" w:rsidRDefault="00F4316E" w:rsidP="001D4235">
      <w:pPr>
        <w:pStyle w:val="NoSpacing"/>
        <w:tabs>
          <w:tab w:val="left" w:pos="993"/>
          <w:tab w:val="left" w:pos="1134"/>
          <w:tab w:val="left" w:pos="6237"/>
        </w:tabs>
        <w:rPr>
          <w:lang w:eastAsia="ja-JP"/>
        </w:rPr>
      </w:pPr>
      <w:r>
        <w:rPr>
          <w:rFonts w:hint="eastAsia"/>
          <w:lang w:eastAsia="ja-JP"/>
        </w:rPr>
        <w:t>SNTV</w:t>
      </w:r>
      <w:r>
        <w:rPr>
          <w:rFonts w:hint="eastAsia"/>
          <w:lang w:eastAsia="ja-JP"/>
        </w:rPr>
        <w:tab/>
      </w:r>
      <w:r>
        <w:t>Single Non-Transferable Vote</w:t>
      </w:r>
    </w:p>
    <w:p w14:paraId="30BCDE09" w14:textId="77777777" w:rsidR="0062148D" w:rsidRPr="0062148D" w:rsidRDefault="0062148D" w:rsidP="001D4235">
      <w:pPr>
        <w:pStyle w:val="NoSpacing"/>
        <w:tabs>
          <w:tab w:val="left" w:pos="993"/>
          <w:tab w:val="left" w:pos="1134"/>
          <w:tab w:val="left" w:pos="6237"/>
        </w:tabs>
        <w:rPr>
          <w:lang w:eastAsia="ja-JP"/>
        </w:rPr>
      </w:pPr>
      <w:r>
        <w:rPr>
          <w:rFonts w:hint="eastAsia"/>
          <w:lang w:eastAsia="ja-JP"/>
        </w:rPr>
        <w:t>TDSC</w:t>
      </w:r>
      <w:r>
        <w:rPr>
          <w:rFonts w:hint="eastAsia"/>
          <w:lang w:eastAsia="ja-JP"/>
        </w:rPr>
        <w:tab/>
      </w:r>
      <w:r>
        <w:t>Telecommunications Dispute Settlement Commission</w:t>
      </w:r>
      <w:r>
        <w:rPr>
          <w:rFonts w:hint="eastAsia"/>
          <w:lang w:eastAsia="ja-JP"/>
        </w:rPr>
        <w:t>, Japan</w:t>
      </w:r>
    </w:p>
    <w:p w14:paraId="589ED1C4" w14:textId="77777777" w:rsidR="00A12777" w:rsidRDefault="00A12777" w:rsidP="001D4235">
      <w:pPr>
        <w:pStyle w:val="NoSpacing"/>
        <w:tabs>
          <w:tab w:val="left" w:pos="993"/>
          <w:tab w:val="left" w:pos="1134"/>
          <w:tab w:val="left" w:pos="6237"/>
        </w:tabs>
        <w:rPr>
          <w:lang w:eastAsia="ja-JP"/>
        </w:rPr>
      </w:pPr>
      <w:r>
        <w:rPr>
          <w:rFonts w:hint="eastAsia"/>
          <w:lang w:eastAsia="ja-JP"/>
        </w:rPr>
        <w:t>Telecom</w:t>
      </w:r>
      <w:r>
        <w:rPr>
          <w:rFonts w:hint="eastAsia"/>
          <w:lang w:eastAsia="ja-JP"/>
        </w:rPr>
        <w:tab/>
        <w:t>Telecom Corporation of New Zealand</w:t>
      </w:r>
    </w:p>
    <w:p w14:paraId="5FE22584" w14:textId="77777777" w:rsidR="00731AA4" w:rsidRDefault="00731AA4" w:rsidP="001D4235">
      <w:pPr>
        <w:pStyle w:val="NoSpacing"/>
        <w:tabs>
          <w:tab w:val="left" w:pos="993"/>
          <w:tab w:val="left" w:pos="1134"/>
          <w:tab w:val="left" w:pos="6237"/>
        </w:tabs>
        <w:rPr>
          <w:lang w:eastAsia="ja-JP"/>
        </w:rPr>
      </w:pPr>
      <w:r>
        <w:rPr>
          <w:rFonts w:hint="eastAsia"/>
          <w:lang w:eastAsia="ja-JP"/>
        </w:rPr>
        <w:t>VAN</w:t>
      </w:r>
      <w:r>
        <w:rPr>
          <w:rFonts w:hint="eastAsia"/>
          <w:lang w:eastAsia="ja-JP"/>
        </w:rPr>
        <w:tab/>
        <w:t xml:space="preserve">Value-Added Network </w:t>
      </w:r>
    </w:p>
    <w:p w14:paraId="01C62694" w14:textId="77777777" w:rsidR="00692AE2" w:rsidRDefault="00692AE2" w:rsidP="001D4235">
      <w:pPr>
        <w:pStyle w:val="NoSpacing"/>
        <w:tabs>
          <w:tab w:val="left" w:pos="993"/>
          <w:tab w:val="left" w:pos="1134"/>
          <w:tab w:val="left" w:pos="6237"/>
        </w:tabs>
        <w:rPr>
          <w:lang w:eastAsia="ja-JP"/>
        </w:rPr>
      </w:pPr>
      <w:r>
        <w:rPr>
          <w:rFonts w:hint="eastAsia"/>
          <w:lang w:eastAsia="ja-JP"/>
        </w:rPr>
        <w:t>VPN</w:t>
      </w:r>
      <w:r>
        <w:rPr>
          <w:rFonts w:hint="eastAsia"/>
          <w:lang w:eastAsia="ja-JP"/>
        </w:rPr>
        <w:tab/>
      </w:r>
      <w:r w:rsidRPr="00F3320D">
        <w:t>Virtual Private Network</w:t>
      </w:r>
    </w:p>
    <w:p w14:paraId="29C2A547" w14:textId="77777777" w:rsidR="002778E9" w:rsidRDefault="002778E9" w:rsidP="002778E9">
      <w:pPr>
        <w:pStyle w:val="NoSpacing"/>
        <w:tabs>
          <w:tab w:val="left" w:pos="1134"/>
          <w:tab w:val="left" w:pos="6237"/>
        </w:tabs>
        <w:rPr>
          <w:lang w:eastAsia="ja-JP"/>
        </w:rPr>
      </w:pPr>
      <w:r>
        <w:rPr>
          <w:lang w:eastAsia="ja-JP"/>
        </w:rPr>
        <w:br w:type="page"/>
      </w:r>
    </w:p>
    <w:p w14:paraId="2B4B6066" w14:textId="64688B6D" w:rsidR="00AC34E6" w:rsidRDefault="00AC34E6" w:rsidP="00050D4B">
      <w:pPr>
        <w:pStyle w:val="Heading1"/>
        <w:rPr>
          <w:lang w:eastAsia="ja-JP"/>
        </w:rPr>
      </w:pPr>
    </w:p>
    <w:p w14:paraId="19B9C0B9" w14:textId="77777777" w:rsidR="00AC34E6" w:rsidRDefault="00AC34E6">
      <w:pPr>
        <w:spacing w:line="240" w:lineRule="auto"/>
        <w:rPr>
          <w:rFonts w:eastAsia="Times New Roman" w:cstheme="majorBidi"/>
          <w:b/>
          <w:bCs/>
          <w:szCs w:val="28"/>
          <w:u w:val="single"/>
          <w:lang w:eastAsia="ja-JP"/>
        </w:rPr>
      </w:pPr>
      <w:r>
        <w:rPr>
          <w:lang w:eastAsia="ja-JP"/>
        </w:rPr>
        <w:br w:type="page"/>
      </w:r>
    </w:p>
    <w:p w14:paraId="10BAAC16" w14:textId="77777777" w:rsidR="007C5AED" w:rsidRDefault="007C5AED" w:rsidP="00050D4B">
      <w:pPr>
        <w:pStyle w:val="Heading1"/>
        <w:rPr>
          <w:lang w:eastAsia="ja-JP"/>
        </w:rPr>
        <w:sectPr w:rsidR="007C5AED" w:rsidSect="00AC34E6">
          <w:type w:val="continuous"/>
          <w:pgSz w:w="11906" w:h="16838" w:code="9"/>
          <w:pgMar w:top="1418" w:right="1134" w:bottom="1134" w:left="2268" w:header="709" w:footer="567" w:gutter="0"/>
          <w:pgNumType w:fmt="lowerRoman" w:start="1"/>
          <w:cols w:space="708"/>
          <w:docGrid w:type="linesAndChars" w:linePitch="357" w:charSpace="-2714"/>
        </w:sectPr>
      </w:pPr>
    </w:p>
    <w:p w14:paraId="05BDFE1A" w14:textId="77777777" w:rsidR="002778E9" w:rsidRPr="003C2AE3" w:rsidRDefault="002778E9" w:rsidP="002778E9">
      <w:pPr>
        <w:pStyle w:val="Heading1"/>
      </w:pPr>
      <w:bookmarkStart w:id="5" w:name="_Toc349741327"/>
      <w:r>
        <w:rPr>
          <w:lang w:eastAsia="ja-JP"/>
        </w:rPr>
        <w:t>Chapter 1</w:t>
      </w:r>
      <w:r>
        <w:rPr>
          <w:lang w:eastAsia="ja-JP"/>
        </w:rPr>
        <w:tab/>
        <w:t>Introduction</w:t>
      </w:r>
      <w:bookmarkEnd w:id="5"/>
    </w:p>
    <w:p w14:paraId="64C9E523" w14:textId="77777777" w:rsidR="002778E9" w:rsidRPr="002746A8" w:rsidRDefault="002778E9" w:rsidP="002778E9"/>
    <w:p w14:paraId="30686AAC" w14:textId="77777777" w:rsidR="002778E9" w:rsidRPr="006C1D60" w:rsidRDefault="002778E9" w:rsidP="002778E9"/>
    <w:p w14:paraId="30D12519" w14:textId="77777777" w:rsidR="002778E9" w:rsidRPr="00F829BB" w:rsidRDefault="002778E9" w:rsidP="00050D4B">
      <w:pPr>
        <w:pStyle w:val="Heading2"/>
      </w:pPr>
      <w:bookmarkStart w:id="6" w:name="_Toc349741328"/>
      <w:r w:rsidRPr="00F829BB">
        <w:t>1.1</w:t>
      </w:r>
      <w:r w:rsidRPr="00F829BB">
        <w:tab/>
        <w:t>Interest in the developed state and regulation</w:t>
      </w:r>
      <w:bookmarkEnd w:id="6"/>
    </w:p>
    <w:p w14:paraId="6288F70A" w14:textId="77777777" w:rsidR="002778E9" w:rsidRDefault="00780BE6" w:rsidP="002778E9">
      <w:pPr>
        <w:rPr>
          <w:lang w:eastAsia="ja-JP"/>
        </w:rPr>
      </w:pPr>
      <w:r>
        <w:rPr>
          <w:lang w:eastAsia="ja-JP"/>
        </w:rPr>
        <w:t>Traditionally, t</w:t>
      </w:r>
      <w:r w:rsidR="002778E9">
        <w:rPr>
          <w:rFonts w:hint="eastAsia"/>
          <w:lang w:eastAsia="ja-JP"/>
        </w:rPr>
        <w:t>he state</w:t>
      </w:r>
      <w:r>
        <w:rPr>
          <w:lang w:eastAsia="ja-JP"/>
        </w:rPr>
        <w:t xml:space="preserve"> has been commonly recognised as one of the core units of analysis within</w:t>
      </w:r>
      <w:r w:rsidR="002778E9">
        <w:rPr>
          <w:rFonts w:hint="eastAsia"/>
          <w:lang w:eastAsia="ja-JP"/>
        </w:rPr>
        <w:t xml:space="preserve"> political science (Hay and Lister 2006). However, </w:t>
      </w:r>
      <w:r>
        <w:rPr>
          <w:lang w:eastAsia="ja-JP"/>
        </w:rPr>
        <w:t>in the recent era, studies that locate the state at the centre of their analysis have become less frequent. Studies on Japan are no different, with approaches more commonly drawing on behaviouralist, p</w:t>
      </w:r>
      <w:r w:rsidR="002778E9">
        <w:rPr>
          <w:rFonts w:hint="eastAsia"/>
          <w:lang w:eastAsia="ja-JP"/>
        </w:rPr>
        <w:t xml:space="preserve">luralist </w:t>
      </w:r>
      <w:r>
        <w:rPr>
          <w:lang w:eastAsia="ja-JP"/>
        </w:rPr>
        <w:t>or</w:t>
      </w:r>
      <w:r w:rsidR="007B4A7F">
        <w:rPr>
          <w:rFonts w:eastAsia="MS Mincho" w:hint="eastAsia"/>
          <w:lang w:eastAsia="ja-JP"/>
        </w:rPr>
        <w:t xml:space="preserve"> </w:t>
      </w:r>
      <w:r w:rsidR="002778E9">
        <w:rPr>
          <w:rFonts w:hint="eastAsia"/>
          <w:lang w:eastAsia="ja-JP"/>
        </w:rPr>
        <w:t xml:space="preserve">rational choice </w:t>
      </w:r>
      <w:r>
        <w:rPr>
          <w:lang w:eastAsia="ja-JP"/>
        </w:rPr>
        <w:t>frameworks.</w:t>
      </w:r>
    </w:p>
    <w:p w14:paraId="3B7A14FF" w14:textId="77777777" w:rsidR="00780BE6" w:rsidRDefault="00780BE6" w:rsidP="002778E9">
      <w:pPr>
        <w:ind w:firstLine="284"/>
      </w:pPr>
      <w:r>
        <w:rPr>
          <w:lang w:eastAsia="ja-JP"/>
        </w:rPr>
        <w:t>Nevertheless, within</w:t>
      </w:r>
      <w:r w:rsidR="002778E9">
        <w:rPr>
          <w:rFonts w:hint="eastAsia"/>
          <w:lang w:eastAsia="ja-JP"/>
        </w:rPr>
        <w:t xml:space="preserve"> the political science literature </w:t>
      </w:r>
      <w:r>
        <w:rPr>
          <w:lang w:eastAsia="ja-JP"/>
        </w:rPr>
        <w:t>focusing on</w:t>
      </w:r>
      <w:r w:rsidR="0070224C">
        <w:rPr>
          <w:rFonts w:hint="eastAsia"/>
          <w:lang w:eastAsia="ja-JP"/>
        </w:rPr>
        <w:t xml:space="preserve"> </w:t>
      </w:r>
      <w:r w:rsidR="002778E9">
        <w:rPr>
          <w:rFonts w:hint="eastAsia"/>
          <w:lang w:eastAsia="ja-JP"/>
        </w:rPr>
        <w:t xml:space="preserve">Japan and </w:t>
      </w:r>
      <w:r>
        <w:rPr>
          <w:lang w:eastAsia="ja-JP"/>
        </w:rPr>
        <w:t>the</w:t>
      </w:r>
      <w:r w:rsidR="002778E9">
        <w:rPr>
          <w:rFonts w:hint="eastAsia"/>
          <w:lang w:eastAsia="ja-JP"/>
        </w:rPr>
        <w:t xml:space="preserve"> state after the 1980s, the developmental state thesis proposed by Johnson (1982) </w:t>
      </w:r>
      <w:r>
        <w:rPr>
          <w:lang w:eastAsia="ja-JP"/>
        </w:rPr>
        <w:t xml:space="preserve">has </w:t>
      </w:r>
      <w:r w:rsidR="002778E9">
        <w:rPr>
          <w:rFonts w:hint="eastAsia"/>
          <w:lang w:eastAsia="ja-JP"/>
        </w:rPr>
        <w:t>had a</w:t>
      </w:r>
      <w:r>
        <w:rPr>
          <w:lang w:eastAsia="ja-JP"/>
        </w:rPr>
        <w:t xml:space="preserve"> notable </w:t>
      </w:r>
      <w:r w:rsidR="002778E9">
        <w:rPr>
          <w:rFonts w:hint="eastAsia"/>
          <w:lang w:eastAsia="ja-JP"/>
        </w:rPr>
        <w:t xml:space="preserve">impact. </w:t>
      </w:r>
      <w:r w:rsidR="00335D88">
        <w:rPr>
          <w:rFonts w:hint="eastAsia"/>
          <w:lang w:eastAsia="ja-JP"/>
        </w:rPr>
        <w:t xml:space="preserve">Its </w:t>
      </w:r>
      <w:r w:rsidR="002778E9">
        <w:t xml:space="preserve">perspective </w:t>
      </w:r>
      <w:r w:rsidR="00335D88">
        <w:rPr>
          <w:rFonts w:hint="eastAsia"/>
          <w:lang w:eastAsia="ja-JP"/>
        </w:rPr>
        <w:t xml:space="preserve">is state centric, focusing </w:t>
      </w:r>
      <w:r w:rsidR="000431F3">
        <w:rPr>
          <w:rFonts w:eastAsia="MS Mincho" w:hint="eastAsia"/>
          <w:lang w:eastAsia="ja-JP"/>
        </w:rPr>
        <w:t xml:space="preserve">on the </w:t>
      </w:r>
      <w:r w:rsidR="000431F3">
        <w:rPr>
          <w:rFonts w:eastAsia="MS Mincho"/>
          <w:lang w:eastAsia="ja-JP"/>
        </w:rPr>
        <w:t>developmentally</w:t>
      </w:r>
      <w:r w:rsidR="000431F3">
        <w:rPr>
          <w:rFonts w:eastAsia="MS Mincho" w:hint="eastAsia"/>
          <w:lang w:eastAsia="ja-JP"/>
        </w:rPr>
        <w:t xml:space="preserve"> oriented aspect of the Japanese state</w:t>
      </w:r>
      <w:r w:rsidR="00EE2F89">
        <w:rPr>
          <w:rFonts w:eastAsia="MS Mincho" w:hint="eastAsia"/>
          <w:lang w:eastAsia="ja-JP"/>
        </w:rPr>
        <w:t xml:space="preserve"> and its power, </w:t>
      </w:r>
      <w:r w:rsidR="00EE2F89">
        <w:rPr>
          <w:rFonts w:hint="eastAsia"/>
          <w:lang w:eastAsia="ja-JP"/>
        </w:rPr>
        <w:t>r</w:t>
      </w:r>
      <w:r w:rsidR="00EE2F89">
        <w:t>egarding state intervention to the economy as key (Schaede 2000 p.2, Johnson 1982 pp.17-9).</w:t>
      </w:r>
    </w:p>
    <w:p w14:paraId="558456B9" w14:textId="77777777" w:rsidR="00530BC4" w:rsidRDefault="002778E9" w:rsidP="002778E9">
      <w:pPr>
        <w:ind w:firstLine="284"/>
        <w:rPr>
          <w:rFonts w:eastAsia="MS Mincho"/>
          <w:lang w:eastAsia="ja-JP"/>
        </w:rPr>
      </w:pPr>
      <w:r>
        <w:t>The dominance of the developmental state perspective was countered by the emergence of pluralist literature. This school highlighted the significance of party politicians, in particular L</w:t>
      </w:r>
      <w:r>
        <w:rPr>
          <w:rFonts w:hint="eastAsia"/>
          <w:lang w:eastAsia="ja-JP"/>
        </w:rPr>
        <w:t xml:space="preserve">iberal </w:t>
      </w:r>
      <w:r>
        <w:t>D</w:t>
      </w:r>
      <w:r>
        <w:rPr>
          <w:rFonts w:hint="eastAsia"/>
          <w:lang w:eastAsia="ja-JP"/>
        </w:rPr>
        <w:t>emocrats</w:t>
      </w:r>
      <w:r>
        <w:t xml:space="preserve"> (Muramatsu and Krauss 1987) and societal actors such as long term credit banks (Calder 1993) in the 1980s. This was followed by </w:t>
      </w:r>
      <w:r>
        <w:rPr>
          <w:rFonts w:hint="eastAsia"/>
          <w:lang w:eastAsia="ja-JP"/>
        </w:rPr>
        <w:t xml:space="preserve">the emergence of </w:t>
      </w:r>
      <w:r>
        <w:t xml:space="preserve">the rational choice literature (e.g. </w:t>
      </w:r>
      <w:r>
        <w:rPr>
          <w:rFonts w:hint="eastAsia"/>
        </w:rPr>
        <w:t>Ramseyer and Rosenbluth 1993</w:t>
      </w:r>
      <w:r>
        <w:t xml:space="preserve">, Kato </w:t>
      </w:r>
      <w:r w:rsidRPr="00F02A13">
        <w:t xml:space="preserve">1994) </w:t>
      </w:r>
      <w:r w:rsidRPr="00F02A13">
        <w:rPr>
          <w:rFonts w:hint="eastAsia"/>
          <w:lang w:eastAsia="ja-JP"/>
        </w:rPr>
        <w:t xml:space="preserve">highlighting </w:t>
      </w:r>
      <w:r w:rsidRPr="00F02A13">
        <w:t>actors</w:t>
      </w:r>
      <w:r>
        <w:rPr>
          <w:rFonts w:hint="eastAsia"/>
          <w:lang w:eastAsia="ja-JP"/>
        </w:rPr>
        <w:t>, in particular Liberal Democrats (Wright 1999 p.939)</w:t>
      </w:r>
      <w:r w:rsidRPr="00F02A13">
        <w:t xml:space="preserve">. </w:t>
      </w:r>
      <w:r>
        <w:t xml:space="preserve">These groups of literature do not view </w:t>
      </w:r>
      <w:r w:rsidRPr="00F02A13">
        <w:t xml:space="preserve">the state </w:t>
      </w:r>
      <w:r>
        <w:rPr>
          <w:rFonts w:hint="eastAsia"/>
          <w:lang w:eastAsia="ja-JP"/>
        </w:rPr>
        <w:t xml:space="preserve">as a </w:t>
      </w:r>
      <w:r w:rsidRPr="00F02A13">
        <w:t>significant</w:t>
      </w:r>
      <w:r>
        <w:rPr>
          <w:rFonts w:hint="eastAsia"/>
          <w:lang w:eastAsia="ja-JP"/>
        </w:rPr>
        <w:t xml:space="preserve"> concept</w:t>
      </w:r>
      <w:r w:rsidRPr="00F02A13">
        <w:t>; the former</w:t>
      </w:r>
      <w:r>
        <w:t xml:space="preserve"> regards the state as a theatre of pluralist bargaining processes (</w:t>
      </w:r>
      <w:r w:rsidR="00530BC4">
        <w:rPr>
          <w:rFonts w:eastAsia="MS Mincho" w:hint="eastAsia"/>
          <w:lang w:eastAsia="ja-JP"/>
        </w:rPr>
        <w:t xml:space="preserve">Calder 1993, </w:t>
      </w:r>
      <w:r>
        <w:t>Smith 2006) and the latter illuminate</w:t>
      </w:r>
      <w:r>
        <w:rPr>
          <w:rFonts w:hint="eastAsia"/>
          <w:lang w:eastAsia="ja-JP"/>
        </w:rPr>
        <w:t>s</w:t>
      </w:r>
      <w:r>
        <w:t xml:space="preserve"> actors rather than the state at a macro level.</w:t>
      </w:r>
    </w:p>
    <w:p w14:paraId="50FFDA1D" w14:textId="77777777" w:rsidR="002778E9" w:rsidRDefault="002778E9" w:rsidP="0024471C">
      <w:pPr>
        <w:ind w:firstLineChars="122" w:firstLine="277"/>
        <w:rPr>
          <w:lang w:eastAsia="ja-JP"/>
        </w:rPr>
      </w:pPr>
      <w:r>
        <w:rPr>
          <w:rFonts w:hint="eastAsia"/>
          <w:lang w:eastAsia="ja-JP"/>
        </w:rPr>
        <w:t>The dominance of pluralist and rational choice perspective</w:t>
      </w:r>
      <w:r w:rsidR="00530BC4">
        <w:rPr>
          <w:rFonts w:eastAsia="MS Mincho" w:hint="eastAsia"/>
          <w:lang w:eastAsia="ja-JP"/>
        </w:rPr>
        <w:t>s</w:t>
      </w:r>
      <w:r>
        <w:rPr>
          <w:rFonts w:hint="eastAsia"/>
          <w:lang w:eastAsia="ja-JP"/>
        </w:rPr>
        <w:t xml:space="preserve"> can be regarded as a key characteristic of the literature about Japan and its state, leaving the exploration of the Japanese state at a macro level </w:t>
      </w:r>
      <w:r w:rsidR="00CA37DC">
        <w:rPr>
          <w:lang w:eastAsia="ja-JP"/>
        </w:rPr>
        <w:t>largely overlooked</w:t>
      </w:r>
      <w:r>
        <w:rPr>
          <w:rFonts w:hint="eastAsia"/>
          <w:lang w:eastAsia="ja-JP"/>
        </w:rPr>
        <w:t xml:space="preserve">. This is </w:t>
      </w:r>
      <w:r>
        <w:rPr>
          <w:lang w:eastAsia="ja-JP"/>
        </w:rPr>
        <w:t>the</w:t>
      </w:r>
      <w:r>
        <w:rPr>
          <w:rFonts w:hint="eastAsia"/>
          <w:lang w:eastAsia="ja-JP"/>
        </w:rPr>
        <w:t xml:space="preserve"> lacuna that this thesis intends to address</w:t>
      </w:r>
      <w:r>
        <w:t>.</w:t>
      </w:r>
      <w:r>
        <w:rPr>
          <w:rFonts w:hint="eastAsia"/>
          <w:lang w:eastAsia="ja-JP"/>
        </w:rPr>
        <w:t xml:space="preserve"> </w:t>
      </w:r>
      <w:r w:rsidR="00CA37DC">
        <w:t>It</w:t>
      </w:r>
      <w:r w:rsidR="00530BC4">
        <w:t xml:space="preserve"> set</w:t>
      </w:r>
      <w:r w:rsidR="00530BC4">
        <w:rPr>
          <w:rFonts w:eastAsia="MS Mincho" w:hint="eastAsia"/>
          <w:lang w:eastAsia="ja-JP"/>
        </w:rPr>
        <w:t>s</w:t>
      </w:r>
      <w:r w:rsidR="00530BC4">
        <w:t xml:space="preserve"> out </w:t>
      </w:r>
      <w:r w:rsidR="00CA37DC">
        <w:t>to</w:t>
      </w:r>
      <w:r w:rsidR="00530BC4">
        <w:t xml:space="preserve"> challenge </w:t>
      </w:r>
      <w:r w:rsidR="00530BC4">
        <w:rPr>
          <w:rFonts w:hint="eastAsia"/>
          <w:lang w:eastAsia="ja-JP"/>
        </w:rPr>
        <w:t>these dominant perspectives</w:t>
      </w:r>
      <w:r w:rsidR="00CA37DC">
        <w:rPr>
          <w:lang w:eastAsia="ja-JP"/>
        </w:rPr>
        <w:t xml:space="preserve"> by </w:t>
      </w:r>
      <w:r w:rsidR="002475EA">
        <w:rPr>
          <w:lang w:eastAsia="ja-JP"/>
        </w:rPr>
        <w:t>offering</w:t>
      </w:r>
      <w:r w:rsidR="00CA37DC">
        <w:rPr>
          <w:lang w:eastAsia="ja-JP"/>
        </w:rPr>
        <w:t xml:space="preserve"> an analysis of </w:t>
      </w:r>
      <w:r w:rsidR="00530BC4">
        <w:t xml:space="preserve">the Japanese state </w:t>
      </w:r>
      <w:r w:rsidR="00CA37DC">
        <w:t xml:space="preserve">predominantly cast </w:t>
      </w:r>
      <w:r w:rsidR="00530BC4">
        <w:t xml:space="preserve">at </w:t>
      </w:r>
      <w:r w:rsidR="00CA37DC">
        <w:t>the</w:t>
      </w:r>
      <w:r w:rsidR="00530BC4">
        <w:t xml:space="preserve"> macro level.</w:t>
      </w:r>
      <w:r w:rsidR="00530BC4">
        <w:rPr>
          <w:rFonts w:eastAsia="MS Mincho" w:hint="eastAsia"/>
          <w:lang w:eastAsia="ja-JP"/>
        </w:rPr>
        <w:t xml:space="preserve"> </w:t>
      </w:r>
      <w:r>
        <w:rPr>
          <w:rFonts w:hint="eastAsia"/>
          <w:lang w:eastAsia="ja-JP"/>
        </w:rPr>
        <w:t>T</w:t>
      </w:r>
      <w:r>
        <w:rPr>
          <w:lang w:eastAsia="ja-JP"/>
        </w:rPr>
        <w:t>h</w:t>
      </w:r>
      <w:r>
        <w:rPr>
          <w:rFonts w:hint="eastAsia"/>
          <w:lang w:eastAsia="ja-JP"/>
        </w:rPr>
        <w:t xml:space="preserve">e next section </w:t>
      </w:r>
      <w:r w:rsidR="004B02EB">
        <w:rPr>
          <w:rFonts w:eastAsia="MS Mincho" w:hint="eastAsia"/>
          <w:lang w:eastAsia="ja-JP"/>
        </w:rPr>
        <w:t>elaborates</w:t>
      </w:r>
      <w:r>
        <w:rPr>
          <w:rFonts w:hint="eastAsia"/>
          <w:lang w:eastAsia="ja-JP"/>
        </w:rPr>
        <w:t xml:space="preserve"> the analytical framework of this thesis to achieve its goal.</w:t>
      </w:r>
    </w:p>
    <w:p w14:paraId="025F5B63" w14:textId="77777777" w:rsidR="002778E9" w:rsidRDefault="002778E9" w:rsidP="002778E9">
      <w:pPr>
        <w:ind w:firstLine="284"/>
        <w:rPr>
          <w:lang w:eastAsia="ja-JP"/>
        </w:rPr>
      </w:pPr>
    </w:p>
    <w:p w14:paraId="1F419811" w14:textId="77777777" w:rsidR="00EE2F89" w:rsidRDefault="00EE2F89" w:rsidP="002778E9">
      <w:pPr>
        <w:ind w:firstLine="284"/>
        <w:rPr>
          <w:lang w:eastAsia="ja-JP"/>
        </w:rPr>
      </w:pPr>
    </w:p>
    <w:p w14:paraId="3273995F" w14:textId="77777777" w:rsidR="002778E9" w:rsidRPr="002B4285" w:rsidRDefault="002778E9" w:rsidP="00050D4B">
      <w:pPr>
        <w:pStyle w:val="Heading2"/>
      </w:pPr>
      <w:bookmarkStart w:id="7" w:name="_Toc349741329"/>
      <w:r w:rsidRPr="002B4285">
        <w:t>1.2</w:t>
      </w:r>
      <w:r w:rsidRPr="002B4285">
        <w:tab/>
        <w:t xml:space="preserve">The </w:t>
      </w:r>
      <w:r w:rsidRPr="002B4285">
        <w:rPr>
          <w:rFonts w:hint="eastAsia"/>
        </w:rPr>
        <w:t xml:space="preserve">framework and the </w:t>
      </w:r>
      <w:r w:rsidRPr="002B4285">
        <w:t>core theme</w:t>
      </w:r>
      <w:bookmarkEnd w:id="7"/>
    </w:p>
    <w:p w14:paraId="17CFB026" w14:textId="77777777" w:rsidR="002778E9" w:rsidRDefault="002778E9" w:rsidP="00E40A1D">
      <w:r>
        <w:t xml:space="preserve">The approach of this thesis </w:t>
      </w:r>
      <w:r w:rsidR="00CA37DC">
        <w:t xml:space="preserve">sets out to adopt an </w:t>
      </w:r>
      <w:r>
        <w:t xml:space="preserve">elitist </w:t>
      </w:r>
      <w:r w:rsidR="00CA37DC">
        <w:t>account</w:t>
      </w:r>
      <w:r>
        <w:t>, locating power within the</w:t>
      </w:r>
      <w:r w:rsidR="00CA37DC">
        <w:t xml:space="preserve"> centre of the</w:t>
      </w:r>
      <w:r>
        <w:t xml:space="preserve"> state</w:t>
      </w:r>
      <w:r>
        <w:rPr>
          <w:rFonts w:hint="eastAsia"/>
        </w:rPr>
        <w:t xml:space="preserve"> (Smith 2009)</w:t>
      </w:r>
      <w:r>
        <w:t xml:space="preserve">. Its view is that </w:t>
      </w:r>
      <w:r w:rsidR="00FA6AB8">
        <w:rPr>
          <w:rFonts w:eastAsia="MS Mincho" w:hint="eastAsia"/>
          <w:lang w:eastAsia="ja-JP"/>
        </w:rPr>
        <w:t>the</w:t>
      </w:r>
      <w:r w:rsidR="00CA37DC">
        <w:rPr>
          <w:rFonts w:eastAsia="MS Mincho"/>
          <w:lang w:eastAsia="ja-JP"/>
        </w:rPr>
        <w:t xml:space="preserve"> central </w:t>
      </w:r>
      <w:r>
        <w:t>state is the</w:t>
      </w:r>
      <w:r w:rsidR="00CA37DC">
        <w:t xml:space="preserve"> key loc</w:t>
      </w:r>
      <w:r w:rsidR="00B9576D">
        <w:rPr>
          <w:rFonts w:hint="eastAsia"/>
          <w:lang w:eastAsia="ja-JP"/>
        </w:rPr>
        <w:t>us</w:t>
      </w:r>
      <w:r w:rsidR="00CA37DC">
        <w:t xml:space="preserve"> that is afforded particular and </w:t>
      </w:r>
      <w:r w:rsidR="00B9576D">
        <w:t>asymmetric</w:t>
      </w:r>
      <w:r w:rsidR="00CA37DC">
        <w:t xml:space="preserve"> resources that allow it to act as the dominant actor </w:t>
      </w:r>
      <w:r>
        <w:t>influenc</w:t>
      </w:r>
      <w:r w:rsidR="00CA37DC">
        <w:t>ing</w:t>
      </w:r>
      <w:r>
        <w:t xml:space="preserve"> and steer</w:t>
      </w:r>
      <w:r w:rsidR="00CA37DC">
        <w:t>ing</w:t>
      </w:r>
      <w:r>
        <w:t xml:space="preserve"> society. </w:t>
      </w:r>
      <w:r w:rsidR="00CA37DC">
        <w:t xml:space="preserve">Such an </w:t>
      </w:r>
      <w:r>
        <w:t>approach</w:t>
      </w:r>
      <w:r w:rsidR="00B9576D">
        <w:rPr>
          <w:rFonts w:hint="eastAsia"/>
          <w:lang w:eastAsia="ja-JP"/>
        </w:rPr>
        <w:t xml:space="preserve"> </w:t>
      </w:r>
      <w:r w:rsidR="00CA37DC">
        <w:t>challenges</w:t>
      </w:r>
      <w:r>
        <w:t xml:space="preserve"> the </w:t>
      </w:r>
      <w:r w:rsidR="00FA6AB8">
        <w:rPr>
          <w:rFonts w:eastAsia="MS Mincho" w:hint="eastAsia"/>
          <w:lang w:eastAsia="ja-JP"/>
        </w:rPr>
        <w:t xml:space="preserve">dominant views </w:t>
      </w:r>
      <w:r>
        <w:t>on Japan</w:t>
      </w:r>
      <w:r w:rsidR="00CA37DC">
        <w:t xml:space="preserve"> offer</w:t>
      </w:r>
      <w:r w:rsidR="00411860">
        <w:rPr>
          <w:rFonts w:hint="eastAsia"/>
          <w:lang w:eastAsia="ja-JP"/>
        </w:rPr>
        <w:t>e</w:t>
      </w:r>
      <w:r w:rsidR="00CA37DC">
        <w:t>d</w:t>
      </w:r>
      <w:r>
        <w:t xml:space="preserve"> by pluralist and rational choice </w:t>
      </w:r>
      <w:r w:rsidR="00CA37DC">
        <w:t>accounts</w:t>
      </w:r>
      <w:r>
        <w:t xml:space="preserve">. Their perspectives reveal the detail of how Japan has been transformed, but fail to explain how the Japanese state at a macro </w:t>
      </w:r>
      <w:r w:rsidR="00A87A29">
        <w:rPr>
          <w:rFonts w:hint="eastAsia"/>
          <w:lang w:eastAsia="ja-JP"/>
        </w:rPr>
        <w:t xml:space="preserve">level </w:t>
      </w:r>
      <w:r>
        <w:t xml:space="preserve">has been transformed. </w:t>
      </w:r>
      <w:r w:rsidR="00CA37DC">
        <w:t>This thesis then</w:t>
      </w:r>
      <w:r>
        <w:t xml:space="preserve"> sets out to critique the existing dominance of pluralism by offering an elitist account of state power and power relations in Japan.</w:t>
      </w:r>
    </w:p>
    <w:p w14:paraId="15A56518" w14:textId="77777777" w:rsidR="002778E9" w:rsidRDefault="002778E9" w:rsidP="002778E9">
      <w:pPr>
        <w:ind w:firstLine="284"/>
      </w:pPr>
      <w:r>
        <w:t>The challenges to the state after the 1970s have prompted the debate on governance and the state (Pierre 2000, Richards 2008). Although the response of the state after the 1980s has been a major topic of debate in Europe</w:t>
      </w:r>
      <w:r w:rsidR="00CA37DC">
        <w:t>an political science</w:t>
      </w:r>
      <w:r>
        <w:t>, the dominance of pluralis</w:t>
      </w:r>
      <w:r w:rsidR="00FA6AB8">
        <w:rPr>
          <w:rFonts w:eastAsia="MS Mincho" w:hint="eastAsia"/>
          <w:lang w:eastAsia="ja-JP"/>
        </w:rPr>
        <w:t>t</w:t>
      </w:r>
      <w:r>
        <w:t xml:space="preserve"> and rational choice </w:t>
      </w:r>
      <w:r w:rsidR="00FA6AB8">
        <w:rPr>
          <w:rFonts w:eastAsia="MS Mincho" w:hint="eastAsia"/>
          <w:lang w:eastAsia="ja-JP"/>
        </w:rPr>
        <w:t xml:space="preserve">schools </w:t>
      </w:r>
      <w:r>
        <w:t>in Japan has left the Japanese state’s response to its challenges untouched. This is the core theme of this thesis: the transformation of the Japanese state between the 1980s and 2000s.</w:t>
      </w:r>
    </w:p>
    <w:p w14:paraId="0524018B" w14:textId="77777777" w:rsidR="002778E9" w:rsidRDefault="002778E9" w:rsidP="002778E9">
      <w:pPr>
        <w:ind w:firstLine="284"/>
      </w:pPr>
      <w:r>
        <w:t xml:space="preserve">The analytical framework of this thesis is based on the </w:t>
      </w:r>
      <w:r w:rsidR="00FA6AB8">
        <w:rPr>
          <w:rFonts w:eastAsia="MS Mincho" w:hint="eastAsia"/>
          <w:lang w:eastAsia="ja-JP"/>
        </w:rPr>
        <w:t>view</w:t>
      </w:r>
      <w:r>
        <w:t xml:space="preserve"> that the state has been reconstituted to respond to </w:t>
      </w:r>
      <w:r w:rsidR="00CA37DC">
        <w:t xml:space="preserve">the recent </w:t>
      </w:r>
      <w:r>
        <w:t>challenges</w:t>
      </w:r>
      <w:r w:rsidR="00CA37DC">
        <w:t xml:space="preserve"> of an emergent era of governance</w:t>
      </w:r>
      <w:r>
        <w:t xml:space="preserve">; the ‘reconstituted-state’ thesis </w:t>
      </w:r>
      <w:r w:rsidR="00CA37DC">
        <w:t>suggests a process of adaptation has taken place on the part of</w:t>
      </w:r>
      <w:r>
        <w:t xml:space="preserve"> the core executive</w:t>
      </w:r>
      <w:r w:rsidR="00CA37DC">
        <w:t xml:space="preserve"> </w:t>
      </w:r>
      <w:r w:rsidR="003354E7">
        <w:t xml:space="preserve">(see 3.4.1) </w:t>
      </w:r>
      <w:r w:rsidR="00CA37DC">
        <w:t>in r</w:t>
      </w:r>
      <w:r w:rsidR="0055586C">
        <w:rPr>
          <w:rFonts w:hint="eastAsia"/>
          <w:lang w:eastAsia="ja-JP"/>
        </w:rPr>
        <w:t>e</w:t>
      </w:r>
      <w:r w:rsidR="00CA37DC">
        <w:t>lation to both</w:t>
      </w:r>
      <w:r>
        <w:t xml:space="preserve"> resources and strategic-leaning capabilities to reshape its existing capacities and develop new forms of intervention to sustain its position as the dominant actor in the policy-making arena (Richards 2008 pp.96-8). </w:t>
      </w:r>
    </w:p>
    <w:p w14:paraId="515BF156" w14:textId="77777777" w:rsidR="002778E9" w:rsidRDefault="002778E9" w:rsidP="002778E9">
      <w:pPr>
        <w:ind w:firstLine="284"/>
      </w:pPr>
      <w:r>
        <w:t xml:space="preserve">The </w:t>
      </w:r>
      <w:r w:rsidR="00DF176B">
        <w:t>study</w:t>
      </w:r>
      <w:r w:rsidR="00386AE2">
        <w:t xml:space="preserve"> of the </w:t>
      </w:r>
      <w:r>
        <w:t>core executive</w:t>
      </w:r>
      <w:r w:rsidR="00386AE2">
        <w:t xml:space="preserve"> and the way it has adapted</w:t>
      </w:r>
      <w:r>
        <w:t xml:space="preserve"> is</w:t>
      </w:r>
      <w:r w:rsidR="00386AE2">
        <w:t xml:space="preserve"> at the heart of the </w:t>
      </w:r>
      <w:r>
        <w:t xml:space="preserve">analytical framework of this thesis. </w:t>
      </w:r>
      <w:r w:rsidR="00386AE2">
        <w:t>The thesis draws on the principle of concept travelling (Sartori</w:t>
      </w:r>
      <w:r w:rsidR="00DF176B" w:rsidRPr="00DF176B">
        <w:rPr>
          <w:lang w:eastAsia="ja-JP"/>
        </w:rPr>
        <w:t xml:space="preserve"> </w:t>
      </w:r>
      <w:r w:rsidR="00DF176B">
        <w:rPr>
          <w:lang w:eastAsia="ja-JP"/>
        </w:rPr>
        <w:t>1970</w:t>
      </w:r>
      <w:r w:rsidR="00386AE2">
        <w:t>)</w:t>
      </w:r>
      <w:r>
        <w:t xml:space="preserve">, </w:t>
      </w:r>
      <w:r w:rsidR="00386AE2">
        <w:t>employing</w:t>
      </w:r>
      <w:r>
        <w:t xml:space="preserve"> the core executive </w:t>
      </w:r>
      <w:r w:rsidR="00386AE2">
        <w:t xml:space="preserve">approach originating from British political science. It </w:t>
      </w:r>
      <w:r>
        <w:t>offer</w:t>
      </w:r>
      <w:r w:rsidR="00386AE2">
        <w:t>s</w:t>
      </w:r>
      <w:r>
        <w:t xml:space="preserve"> </w:t>
      </w:r>
      <w:r w:rsidR="00DF176B">
        <w:rPr>
          <w:rFonts w:hint="eastAsia"/>
          <w:lang w:eastAsia="ja-JP"/>
        </w:rPr>
        <w:t xml:space="preserve">a </w:t>
      </w:r>
      <w:r w:rsidR="00386AE2">
        <w:t>framework</w:t>
      </w:r>
      <w:r>
        <w:t xml:space="preserve"> </w:t>
      </w:r>
      <w:r w:rsidR="00386AE2">
        <w:t>depicting</w:t>
      </w:r>
      <w:r>
        <w:t xml:space="preserve"> the </w:t>
      </w:r>
      <w:r w:rsidR="00386AE2">
        <w:t xml:space="preserve">specific resources, alongside the </w:t>
      </w:r>
      <w:r>
        <w:t xml:space="preserve">fluid and changeable </w:t>
      </w:r>
      <w:r w:rsidR="00386AE2">
        <w:t xml:space="preserve">nature of </w:t>
      </w:r>
      <w:r>
        <w:t xml:space="preserve">power within the core executive based on the interdependent relationships between </w:t>
      </w:r>
      <w:r w:rsidR="00386AE2">
        <w:t>key central</w:t>
      </w:r>
      <w:r>
        <w:t xml:space="preserve"> actors</w:t>
      </w:r>
      <w:r w:rsidR="00386AE2">
        <w:t>, that</w:t>
      </w:r>
      <w:r w:rsidR="00A03A29">
        <w:rPr>
          <w:rFonts w:hint="eastAsia"/>
          <w:lang w:eastAsia="ja-JP"/>
        </w:rPr>
        <w:t xml:space="preserve"> </w:t>
      </w:r>
      <w:r w:rsidR="00386AE2">
        <w:t xml:space="preserve">allows </w:t>
      </w:r>
      <w:r w:rsidR="00A03A29">
        <w:rPr>
          <w:rFonts w:hint="eastAsia"/>
          <w:lang w:eastAsia="ja-JP"/>
        </w:rPr>
        <w:t>the core executive</w:t>
      </w:r>
      <w:r w:rsidR="00386AE2">
        <w:t xml:space="preserve"> collectively to establish</w:t>
      </w:r>
      <w:r>
        <w:t xml:space="preserve"> </w:t>
      </w:r>
      <w:r w:rsidR="00386AE2">
        <w:t xml:space="preserve">an </w:t>
      </w:r>
      <w:r>
        <w:t>asymmetric po</w:t>
      </w:r>
      <w:r w:rsidR="00386AE2">
        <w:t>sition of dominance over other actors in the policymaking arena</w:t>
      </w:r>
      <w:r>
        <w:t xml:space="preserve"> (Smith 1999).</w:t>
      </w:r>
    </w:p>
    <w:p w14:paraId="4F4640CA" w14:textId="77777777" w:rsidR="002D33E2" w:rsidRDefault="002778E9" w:rsidP="002778E9">
      <w:pPr>
        <w:ind w:firstLine="284"/>
        <w:rPr>
          <w:lang w:eastAsia="ja-JP"/>
        </w:rPr>
      </w:pPr>
      <w:r>
        <w:t>Another key analytical framework this thesis</w:t>
      </w:r>
      <w:r w:rsidR="00386AE2">
        <w:t xml:space="preserve"> employs</w:t>
      </w:r>
      <w:r>
        <w:t xml:space="preserve"> is the concept of the regulatory state. Regulation is a crucial field in which the governance of  key sectors have significantly transformed from a regime focusing on direct service provision by the state or </w:t>
      </w:r>
      <w:r w:rsidR="00B3420A">
        <w:rPr>
          <w:rFonts w:eastAsia="MS Mincho" w:hint="eastAsia"/>
          <w:lang w:eastAsia="ja-JP"/>
        </w:rPr>
        <w:t xml:space="preserve">public </w:t>
      </w:r>
      <w:r>
        <w:t>organisation</w:t>
      </w:r>
      <w:r w:rsidR="00B3420A">
        <w:rPr>
          <w:rFonts w:eastAsia="MS Mincho" w:hint="eastAsia"/>
          <w:lang w:eastAsia="ja-JP"/>
        </w:rPr>
        <w:t>s</w:t>
      </w:r>
      <w:r>
        <w:t xml:space="preserve"> (e.g. a public corporation) to that focusing on principal-agent regulation. This transformation </w:t>
      </w:r>
      <w:r w:rsidR="00785C42">
        <w:rPr>
          <w:rFonts w:hint="eastAsia"/>
          <w:lang w:eastAsia="ja-JP"/>
        </w:rPr>
        <w:t xml:space="preserve">observed after the 1980s </w:t>
      </w:r>
      <w:r>
        <w:t>has prompted the emergence of the state focusing more on rule making, monitoring and enforcement either directly or indirectly (Levi-Faur 2012</w:t>
      </w:r>
      <w:r w:rsidR="001E636C">
        <w:rPr>
          <w:rFonts w:hint="eastAsia"/>
          <w:lang w:eastAsia="ja-JP"/>
        </w:rPr>
        <w:t xml:space="preserve"> pp.19-20</w:t>
      </w:r>
      <w:r>
        <w:t xml:space="preserve">). </w:t>
      </w:r>
      <w:r w:rsidR="00DC608A">
        <w:rPr>
          <w:rFonts w:eastAsia="MS Mincho"/>
          <w:lang w:eastAsia="ja-JP"/>
        </w:rPr>
        <w:t>Referred to as</w:t>
      </w:r>
      <w:r w:rsidR="00DC608A">
        <w:rPr>
          <w:rFonts w:eastAsia="MS Mincho" w:hint="eastAsia"/>
          <w:lang w:eastAsia="ja-JP"/>
        </w:rPr>
        <w:t xml:space="preserve"> </w:t>
      </w:r>
      <w:r w:rsidR="00B3420A">
        <w:rPr>
          <w:rFonts w:eastAsia="MS Mincho"/>
          <w:lang w:eastAsia="ja-JP"/>
        </w:rPr>
        <w:t>‘</w:t>
      </w:r>
      <w:r w:rsidR="00B3420A">
        <w:rPr>
          <w:rFonts w:eastAsia="MS Mincho" w:hint="eastAsia"/>
          <w:lang w:eastAsia="ja-JP"/>
        </w:rPr>
        <w:t>the regulatory state</w:t>
      </w:r>
      <w:r w:rsidR="00B3420A">
        <w:rPr>
          <w:rFonts w:eastAsia="MS Mincho"/>
          <w:lang w:eastAsia="ja-JP"/>
        </w:rPr>
        <w:t>’</w:t>
      </w:r>
      <w:r w:rsidR="00DC608A">
        <w:rPr>
          <w:rFonts w:eastAsia="MS Mincho"/>
          <w:lang w:eastAsia="ja-JP"/>
        </w:rPr>
        <w:t xml:space="preserve"> approach</w:t>
      </w:r>
      <w:r w:rsidR="00B3420A">
        <w:rPr>
          <w:rFonts w:eastAsia="MS Mincho" w:hint="eastAsia"/>
          <w:lang w:eastAsia="ja-JP"/>
        </w:rPr>
        <w:t xml:space="preserve">, this form of the state is employed for analysing the issues related to regulation and governance. </w:t>
      </w:r>
      <w:r>
        <w:t>Th</w:t>
      </w:r>
      <w:r w:rsidR="008D7673">
        <w:rPr>
          <w:rFonts w:hint="eastAsia"/>
          <w:lang w:eastAsia="ja-JP"/>
        </w:rPr>
        <w:t xml:space="preserve">e concept of the regulatory state </w:t>
      </w:r>
      <w:r>
        <w:t xml:space="preserve">offers </w:t>
      </w:r>
      <w:r w:rsidR="00692B4E">
        <w:rPr>
          <w:rFonts w:eastAsia="MS Mincho" w:hint="eastAsia"/>
          <w:lang w:eastAsia="ja-JP"/>
        </w:rPr>
        <w:t xml:space="preserve">this thesis </w:t>
      </w:r>
      <w:r>
        <w:t>a basis on which</w:t>
      </w:r>
      <w:r w:rsidR="00DC608A">
        <w:t xml:space="preserve"> to </w:t>
      </w:r>
      <w:r w:rsidR="002D33E2">
        <w:t>analyse</w:t>
      </w:r>
      <w:r>
        <w:t xml:space="preserve"> how the Japanese state </w:t>
      </w:r>
      <w:r w:rsidR="00692B4E">
        <w:rPr>
          <w:rFonts w:eastAsia="MS Mincho" w:hint="eastAsia"/>
          <w:lang w:eastAsia="ja-JP"/>
        </w:rPr>
        <w:t xml:space="preserve">in key regulatory sectors </w:t>
      </w:r>
      <w:r>
        <w:t>has been transformed</w:t>
      </w:r>
      <w:r w:rsidR="00DC608A">
        <w:t>.</w:t>
      </w:r>
    </w:p>
    <w:p w14:paraId="55306956" w14:textId="77777777" w:rsidR="002778E9" w:rsidRDefault="00500350" w:rsidP="002778E9">
      <w:pPr>
        <w:ind w:firstLine="284"/>
        <w:rPr>
          <w:lang w:eastAsia="ja-JP"/>
        </w:rPr>
      </w:pPr>
      <w:r>
        <w:rPr>
          <w:lang w:eastAsia="ja-JP"/>
        </w:rPr>
        <w:t>How</w:t>
      </w:r>
      <w:r w:rsidR="001D7CF7">
        <w:rPr>
          <w:rFonts w:hint="eastAsia"/>
          <w:lang w:eastAsia="ja-JP"/>
        </w:rPr>
        <w:t xml:space="preserve"> the state has been transformed</w:t>
      </w:r>
      <w:r w:rsidRPr="00500350">
        <w:rPr>
          <w:rFonts w:hint="eastAsia"/>
          <w:lang w:eastAsia="ja-JP"/>
        </w:rPr>
        <w:t xml:space="preserve"> </w:t>
      </w:r>
      <w:r>
        <w:rPr>
          <w:rFonts w:hint="eastAsia"/>
          <w:lang w:eastAsia="ja-JP"/>
        </w:rPr>
        <w:t>is addressed by another set of theories employed by this thesis: the theories of path dependency and institutional change</w:t>
      </w:r>
      <w:r w:rsidR="001D7CF7">
        <w:rPr>
          <w:rFonts w:hint="eastAsia"/>
          <w:lang w:eastAsia="ja-JP"/>
        </w:rPr>
        <w:t xml:space="preserve">. </w:t>
      </w:r>
      <w:r w:rsidR="004077A0">
        <w:t>The theory of path dependency explains the impact of a major disjuncture</w:t>
      </w:r>
      <w:r w:rsidR="004077A0">
        <w:rPr>
          <w:rFonts w:hint="eastAsia"/>
          <w:lang w:eastAsia="ja-JP"/>
        </w:rPr>
        <w:t xml:space="preserve"> by highlighting change sequences starting from contingent initial events</w:t>
      </w:r>
      <w:r w:rsidR="004077A0">
        <w:t xml:space="preserve">. This indicates that </w:t>
      </w:r>
      <w:r w:rsidR="002940F3">
        <w:rPr>
          <w:rFonts w:hint="eastAsia"/>
          <w:lang w:eastAsia="ja-JP"/>
        </w:rPr>
        <w:t>it</w:t>
      </w:r>
      <w:r w:rsidR="004077A0">
        <w:t xml:space="preserve"> address</w:t>
      </w:r>
      <w:r w:rsidR="002940F3">
        <w:rPr>
          <w:rFonts w:hint="eastAsia"/>
          <w:lang w:eastAsia="ja-JP"/>
        </w:rPr>
        <w:t>es</w:t>
      </w:r>
      <w:r w:rsidR="004077A0">
        <w:t xml:space="preserve"> the impact of the exogenous change to the even</w:t>
      </w:r>
      <w:r w:rsidR="004077A0">
        <w:rPr>
          <w:rFonts w:hint="eastAsia"/>
          <w:lang w:eastAsia="ja-JP"/>
        </w:rPr>
        <w:t>t</w:t>
      </w:r>
      <w:r w:rsidR="004077A0">
        <w:t xml:space="preserve">s. </w:t>
      </w:r>
      <w:r w:rsidR="00F04418">
        <w:rPr>
          <w:rFonts w:hint="eastAsia"/>
          <w:lang w:eastAsia="ja-JP"/>
        </w:rPr>
        <w:t>T</w:t>
      </w:r>
      <w:r w:rsidR="00E058B8">
        <w:rPr>
          <w:rFonts w:hint="eastAsia"/>
          <w:lang w:eastAsia="ja-JP"/>
        </w:rPr>
        <w:t xml:space="preserve">he theory of institutional change illuminates </w:t>
      </w:r>
      <w:r w:rsidR="00F76539">
        <w:rPr>
          <w:rFonts w:hint="eastAsia"/>
          <w:lang w:eastAsia="ja-JP"/>
        </w:rPr>
        <w:t xml:space="preserve">institutional evolution, conceptualising </w:t>
      </w:r>
      <w:r w:rsidR="00E058B8">
        <w:rPr>
          <w:rFonts w:hint="eastAsia"/>
          <w:lang w:eastAsia="ja-JP"/>
        </w:rPr>
        <w:t xml:space="preserve">changes mobilised by endogenous </w:t>
      </w:r>
      <w:r w:rsidR="00F76539">
        <w:rPr>
          <w:rFonts w:hint="eastAsia"/>
          <w:lang w:eastAsia="ja-JP"/>
        </w:rPr>
        <w:t>factors</w:t>
      </w:r>
      <w:r w:rsidR="00857FBA">
        <w:t xml:space="preserve">. </w:t>
      </w:r>
      <w:r w:rsidR="00F04418">
        <w:rPr>
          <w:rFonts w:hint="eastAsia"/>
          <w:lang w:eastAsia="ja-JP"/>
        </w:rPr>
        <w:t>Employed by historical institution</w:t>
      </w:r>
      <w:r w:rsidR="00021A98">
        <w:rPr>
          <w:lang w:eastAsia="ja-JP"/>
        </w:rPr>
        <w:t>a</w:t>
      </w:r>
      <w:r w:rsidR="00F04418">
        <w:rPr>
          <w:rFonts w:hint="eastAsia"/>
          <w:lang w:eastAsia="ja-JP"/>
        </w:rPr>
        <w:t xml:space="preserve">lists, this set of theories offers a framework </w:t>
      </w:r>
      <w:r w:rsidR="00AE1A22">
        <w:rPr>
          <w:lang w:eastAsia="ja-JP"/>
        </w:rPr>
        <w:t>for</w:t>
      </w:r>
      <w:r w:rsidR="00F04418">
        <w:rPr>
          <w:rFonts w:hint="eastAsia"/>
          <w:lang w:eastAsia="ja-JP"/>
        </w:rPr>
        <w:t xml:space="preserve"> how political </w:t>
      </w:r>
      <w:r w:rsidR="001064EB">
        <w:rPr>
          <w:rFonts w:hint="eastAsia"/>
          <w:lang w:eastAsia="ja-JP"/>
        </w:rPr>
        <w:t>transformation is shaped.</w:t>
      </w:r>
    </w:p>
    <w:p w14:paraId="3D45EDEC" w14:textId="77777777" w:rsidR="0070056F" w:rsidRDefault="00FD3417" w:rsidP="002778E9">
      <w:pPr>
        <w:ind w:firstLine="284"/>
        <w:rPr>
          <w:rFonts w:eastAsia="MS Mincho"/>
          <w:lang w:eastAsia="ja-JP"/>
        </w:rPr>
      </w:pPr>
      <w:r w:rsidRPr="0047621A">
        <w:t>This thesis empl</w:t>
      </w:r>
      <w:r w:rsidRPr="0047621A">
        <w:rPr>
          <w:lang w:eastAsia="ja-JP"/>
        </w:rPr>
        <w:t>o</w:t>
      </w:r>
      <w:r w:rsidRPr="0047621A">
        <w:t>ys these frameworks to explore two particular case</w:t>
      </w:r>
      <w:r w:rsidRPr="0047621A">
        <w:rPr>
          <w:lang w:eastAsia="ja-JP"/>
        </w:rPr>
        <w:t xml:space="preserve"> </w:t>
      </w:r>
      <w:r w:rsidRPr="0047621A">
        <w:t>studies: the case of ICT (Information</w:t>
      </w:r>
      <w:r w:rsidR="002778E9">
        <w:t xml:space="preserve"> and Communication Technologies) </w:t>
      </w:r>
      <w:r w:rsidR="002778E9">
        <w:rPr>
          <w:rFonts w:hint="eastAsia"/>
        </w:rPr>
        <w:t>regulation and that of antimonopoly regulation between the 1980s and 2000s</w:t>
      </w:r>
      <w:r w:rsidR="002778E9">
        <w:t xml:space="preserve">. </w:t>
      </w:r>
      <w:r w:rsidR="00396FE6">
        <w:rPr>
          <w:rFonts w:eastAsia="MS Mincho" w:hint="eastAsia"/>
          <w:lang w:eastAsia="ja-JP"/>
        </w:rPr>
        <w:t>Th</w:t>
      </w:r>
      <w:r w:rsidR="00F61F61">
        <w:rPr>
          <w:rFonts w:eastAsia="MS Mincho" w:hint="eastAsia"/>
          <w:lang w:eastAsia="ja-JP"/>
        </w:rPr>
        <w:t>is set of</w:t>
      </w:r>
      <w:r w:rsidR="00396FE6">
        <w:rPr>
          <w:rFonts w:eastAsia="MS Mincho" w:hint="eastAsia"/>
          <w:lang w:eastAsia="ja-JP"/>
        </w:rPr>
        <w:t xml:space="preserve"> two case studies </w:t>
      </w:r>
      <w:r w:rsidR="00C74F3D">
        <w:rPr>
          <w:rFonts w:eastAsia="MS Mincho" w:hint="eastAsia"/>
          <w:lang w:eastAsia="ja-JP"/>
        </w:rPr>
        <w:t>is located</w:t>
      </w:r>
      <w:r w:rsidR="001E0784">
        <w:rPr>
          <w:rFonts w:eastAsia="MS Mincho" w:hint="eastAsia"/>
          <w:lang w:eastAsia="ja-JP"/>
        </w:rPr>
        <w:t xml:space="preserve"> within a broader theme of regulation</w:t>
      </w:r>
      <w:r w:rsidR="00904294">
        <w:rPr>
          <w:rFonts w:eastAsia="MS Mincho" w:hint="eastAsia"/>
          <w:lang w:eastAsia="ja-JP"/>
        </w:rPr>
        <w:t>. It is</w:t>
      </w:r>
      <w:r w:rsidR="001E0784">
        <w:rPr>
          <w:rFonts w:eastAsia="MS Mincho" w:hint="eastAsia"/>
          <w:lang w:eastAsia="ja-JP"/>
        </w:rPr>
        <w:t xml:space="preserve"> </w:t>
      </w:r>
      <w:r w:rsidR="00904294">
        <w:rPr>
          <w:rFonts w:eastAsia="MS Mincho" w:hint="eastAsia"/>
          <w:lang w:eastAsia="ja-JP"/>
        </w:rPr>
        <w:t xml:space="preserve">examined </w:t>
      </w:r>
      <w:r w:rsidR="006C5907">
        <w:rPr>
          <w:rFonts w:eastAsia="MS Mincho" w:hint="eastAsia"/>
          <w:lang w:eastAsia="ja-JP"/>
        </w:rPr>
        <w:t>by</w:t>
      </w:r>
      <w:r w:rsidR="00904294">
        <w:rPr>
          <w:rFonts w:eastAsia="MS Mincho" w:hint="eastAsia"/>
          <w:lang w:eastAsia="ja-JP"/>
        </w:rPr>
        <w:t xml:space="preserve"> this thesis </w:t>
      </w:r>
      <w:r w:rsidR="001E0784">
        <w:rPr>
          <w:rFonts w:eastAsia="MS Mincho" w:hint="eastAsia"/>
          <w:lang w:eastAsia="ja-JP"/>
        </w:rPr>
        <w:t xml:space="preserve">because </w:t>
      </w:r>
      <w:r w:rsidR="0070056F">
        <w:rPr>
          <w:rFonts w:eastAsia="MS Mincho" w:hint="eastAsia"/>
          <w:lang w:eastAsia="ja-JP"/>
        </w:rPr>
        <w:t xml:space="preserve">of its </w:t>
      </w:r>
      <w:r w:rsidR="00904294">
        <w:rPr>
          <w:rFonts w:eastAsia="MS Mincho" w:hint="eastAsia"/>
          <w:lang w:eastAsia="ja-JP"/>
        </w:rPr>
        <w:t xml:space="preserve">role </w:t>
      </w:r>
      <w:r w:rsidR="0070056F">
        <w:rPr>
          <w:rFonts w:eastAsia="MS Mincho" w:hint="eastAsia"/>
          <w:lang w:eastAsia="ja-JP"/>
        </w:rPr>
        <w:t xml:space="preserve">as a key tool for the transformed state to impose </w:t>
      </w:r>
      <w:r w:rsidR="001E0784">
        <w:rPr>
          <w:rFonts w:eastAsia="MS Mincho" w:hint="eastAsia"/>
          <w:lang w:eastAsia="ja-JP"/>
        </w:rPr>
        <w:t>i</w:t>
      </w:r>
      <w:r w:rsidR="0070056F">
        <w:rPr>
          <w:rFonts w:eastAsia="MS Mincho" w:hint="eastAsia"/>
          <w:lang w:eastAsia="ja-JP"/>
        </w:rPr>
        <w:t>ts will on society.</w:t>
      </w:r>
    </w:p>
    <w:p w14:paraId="3EC53CDE" w14:textId="77777777" w:rsidR="0070056F" w:rsidRDefault="0070056F" w:rsidP="002778E9">
      <w:pPr>
        <w:ind w:firstLine="284"/>
        <w:rPr>
          <w:rFonts w:eastAsia="MS Mincho"/>
          <w:lang w:eastAsia="ja-JP"/>
        </w:rPr>
      </w:pPr>
      <w:r>
        <w:rPr>
          <w:rFonts w:eastAsia="MS Mincho" w:hint="eastAsia"/>
          <w:lang w:eastAsia="ja-JP"/>
        </w:rPr>
        <w:t>T</w:t>
      </w:r>
      <w:r w:rsidR="00F65866" w:rsidRPr="00396FE6">
        <w:t xml:space="preserve">he state has </w:t>
      </w:r>
      <w:r>
        <w:rPr>
          <w:rFonts w:eastAsia="MS Mincho" w:hint="eastAsia"/>
          <w:lang w:eastAsia="ja-JP"/>
        </w:rPr>
        <w:t xml:space="preserve">increasingly used regulation as a new tool </w:t>
      </w:r>
      <w:r w:rsidR="00F65866" w:rsidRPr="00396FE6">
        <w:t>in addition to its traditional meth</w:t>
      </w:r>
      <w:r w:rsidR="00F65866" w:rsidRPr="00396FE6">
        <w:rPr>
          <w:rFonts w:hint="eastAsia"/>
        </w:rPr>
        <w:t>ods of authority, bureaucracy and force</w:t>
      </w:r>
      <w:r w:rsidR="00F65866">
        <w:rPr>
          <w:rFonts w:eastAsia="MS Mincho" w:hint="eastAsia"/>
          <w:lang w:eastAsia="ja-JP"/>
        </w:rPr>
        <w:t xml:space="preserve"> (Smith 2009 p.1). </w:t>
      </w:r>
      <w:r w:rsidR="00F54DE6">
        <w:rPr>
          <w:rFonts w:eastAsia="MS Mincho" w:hint="eastAsia"/>
          <w:lang w:eastAsia="ja-JP"/>
        </w:rPr>
        <w:t>The emergence of r</w:t>
      </w:r>
      <w:r>
        <w:rPr>
          <w:rFonts w:eastAsia="MS Mincho" w:hint="eastAsia"/>
          <w:lang w:eastAsia="ja-JP"/>
        </w:rPr>
        <w:t xml:space="preserve">egulation </w:t>
      </w:r>
      <w:r w:rsidR="006C5907">
        <w:rPr>
          <w:rFonts w:eastAsia="MS Mincho" w:hint="eastAsia"/>
          <w:lang w:eastAsia="ja-JP"/>
        </w:rPr>
        <w:t xml:space="preserve">as an administrative tool </w:t>
      </w:r>
      <w:r w:rsidR="00DC608A">
        <w:rPr>
          <w:rFonts w:eastAsia="MS Mincho"/>
          <w:lang w:eastAsia="ja-JP"/>
        </w:rPr>
        <w:t xml:space="preserve">stemmed </w:t>
      </w:r>
      <w:r w:rsidR="00F54DE6">
        <w:rPr>
          <w:rFonts w:eastAsia="MS Mincho" w:hint="eastAsia"/>
          <w:lang w:eastAsia="ja-JP"/>
        </w:rPr>
        <w:t xml:space="preserve">from </w:t>
      </w:r>
      <w:r w:rsidR="00DC608A">
        <w:rPr>
          <w:rFonts w:eastAsia="MS Mincho"/>
          <w:lang w:eastAsia="ja-JP"/>
        </w:rPr>
        <w:t>perceived inadequacies within the existing</w:t>
      </w:r>
      <w:r>
        <w:rPr>
          <w:rFonts w:eastAsia="MS Mincho" w:hint="eastAsia"/>
          <w:lang w:eastAsia="ja-JP"/>
        </w:rPr>
        <w:t xml:space="preserve"> bureaucra</w:t>
      </w:r>
      <w:r w:rsidR="00DC608A">
        <w:rPr>
          <w:rFonts w:eastAsia="MS Mincho"/>
          <w:lang w:eastAsia="ja-JP"/>
        </w:rPr>
        <w:t>tic tool kit</w:t>
      </w:r>
      <w:r>
        <w:rPr>
          <w:rFonts w:eastAsia="MS Mincho" w:hint="eastAsia"/>
          <w:lang w:eastAsia="ja-JP"/>
        </w:rPr>
        <w:t xml:space="preserve"> </w:t>
      </w:r>
      <w:r w:rsidR="00523618">
        <w:rPr>
          <w:rFonts w:eastAsia="MS Mincho" w:hint="eastAsia"/>
          <w:lang w:eastAsia="ja-JP"/>
        </w:rPr>
        <w:t xml:space="preserve">such as </w:t>
      </w:r>
      <w:r w:rsidR="006C5907">
        <w:rPr>
          <w:rFonts w:eastAsia="MS Mincho" w:hint="eastAsia"/>
          <w:lang w:eastAsia="ja-JP"/>
        </w:rPr>
        <w:t>(</w:t>
      </w:r>
      <w:r w:rsidR="00F54DE6">
        <w:rPr>
          <w:rFonts w:eastAsia="MS Mincho" w:hint="eastAsia"/>
          <w:lang w:eastAsia="ja-JP"/>
        </w:rPr>
        <w:t>Smith 2009 p.115, p.156):</w:t>
      </w:r>
    </w:p>
    <w:p w14:paraId="2FBCEB17" w14:textId="77777777" w:rsidR="00F54DE6" w:rsidRPr="00F54DE6" w:rsidRDefault="00523618" w:rsidP="00055D80">
      <w:pPr>
        <w:pStyle w:val="ListParagraph"/>
        <w:numPr>
          <w:ilvl w:val="0"/>
          <w:numId w:val="15"/>
        </w:numPr>
        <w:ind w:left="284" w:hanging="284"/>
        <w:rPr>
          <w:rFonts w:eastAsia="MS Mincho"/>
        </w:rPr>
      </w:pPr>
      <w:r>
        <w:rPr>
          <w:rFonts w:eastAsia="MS Mincho" w:hint="eastAsia"/>
        </w:rPr>
        <w:t>t</w:t>
      </w:r>
      <w:r w:rsidR="00F54DE6">
        <w:rPr>
          <w:rFonts w:eastAsia="MS Mincho"/>
        </w:rPr>
        <w:t>he</w:t>
      </w:r>
      <w:r w:rsidR="00F54DE6">
        <w:rPr>
          <w:rFonts w:eastAsia="MS Mincho" w:hint="eastAsia"/>
        </w:rPr>
        <w:t xml:space="preserve"> substantial distance between the top and the bottom within bureaucracy and considerable </w:t>
      </w:r>
      <w:r w:rsidR="00F30236">
        <w:rPr>
          <w:rFonts w:eastAsia="MS Mincho" w:hint="eastAsia"/>
        </w:rPr>
        <w:t xml:space="preserve">coordination required by </w:t>
      </w:r>
      <w:r w:rsidR="006A082B">
        <w:rPr>
          <w:rFonts w:eastAsia="MS Mincho"/>
        </w:rPr>
        <w:t xml:space="preserve">the </w:t>
      </w:r>
      <w:r w:rsidR="00F30236">
        <w:rPr>
          <w:rFonts w:eastAsia="MS Mincho" w:hint="eastAsia"/>
        </w:rPr>
        <w:t>bureaucratic machine to have</w:t>
      </w:r>
      <w:r w:rsidR="00F54DE6">
        <w:rPr>
          <w:rFonts w:eastAsia="MS Mincho" w:hint="eastAsia"/>
        </w:rPr>
        <w:t xml:space="preserve"> top</w:t>
      </w:r>
      <w:r w:rsidR="00F54DE6">
        <w:rPr>
          <w:rFonts w:eastAsia="MS Mincho"/>
        </w:rPr>
        <w:t>’</w:t>
      </w:r>
      <w:r w:rsidR="00F54DE6">
        <w:rPr>
          <w:rFonts w:eastAsia="MS Mincho" w:hint="eastAsia"/>
        </w:rPr>
        <w:t xml:space="preserve">s decisions </w:t>
      </w:r>
      <w:r w:rsidR="00396FE6" w:rsidRPr="00396FE6">
        <w:rPr>
          <w:rFonts w:hint="eastAsia"/>
        </w:rPr>
        <w:t xml:space="preserve">go through </w:t>
      </w:r>
      <w:r w:rsidR="00F30236">
        <w:rPr>
          <w:rFonts w:hint="eastAsia"/>
        </w:rPr>
        <w:t>bureaucratic</w:t>
      </w:r>
      <w:r w:rsidR="00396FE6" w:rsidRPr="00396FE6">
        <w:rPr>
          <w:rFonts w:hint="eastAsia"/>
        </w:rPr>
        <w:t xml:space="preserve"> chains make it difficult for decision makers to control implementers</w:t>
      </w:r>
      <w:r w:rsidR="00F54DE6">
        <w:rPr>
          <w:rFonts w:eastAsia="MS Mincho" w:hint="eastAsia"/>
        </w:rPr>
        <w:t xml:space="preserve">; and </w:t>
      </w:r>
    </w:p>
    <w:p w14:paraId="7D938E0B" w14:textId="77777777" w:rsidR="00F54DE6" w:rsidRPr="00F54DE6" w:rsidRDefault="00523618" w:rsidP="00055D80">
      <w:pPr>
        <w:pStyle w:val="ListParagraph"/>
        <w:numPr>
          <w:ilvl w:val="0"/>
          <w:numId w:val="15"/>
        </w:numPr>
        <w:ind w:left="284" w:hanging="284"/>
        <w:rPr>
          <w:rFonts w:eastAsia="MS Mincho"/>
        </w:rPr>
      </w:pPr>
      <w:r>
        <w:rPr>
          <w:rFonts w:eastAsia="MS Mincho" w:hint="eastAsia"/>
        </w:rPr>
        <w:t>i</w:t>
      </w:r>
      <w:r w:rsidR="00F54DE6">
        <w:rPr>
          <w:rFonts w:eastAsia="MS Mincho" w:hint="eastAsia"/>
        </w:rPr>
        <w:t xml:space="preserve">mplementers can subvert </w:t>
      </w:r>
      <w:r w:rsidR="00396FE6" w:rsidRPr="00396FE6">
        <w:rPr>
          <w:rFonts w:hint="eastAsia"/>
        </w:rPr>
        <w:t>decisions</w:t>
      </w:r>
      <w:r w:rsidR="00396FE6" w:rsidRPr="00396FE6">
        <w:t>.</w:t>
      </w:r>
    </w:p>
    <w:p w14:paraId="20BD4125" w14:textId="77777777" w:rsidR="00523618" w:rsidRDefault="00523618" w:rsidP="00F54DE6">
      <w:pPr>
        <w:rPr>
          <w:rFonts w:eastAsia="MS Mincho"/>
          <w:lang w:eastAsia="ja-JP"/>
        </w:rPr>
      </w:pPr>
    </w:p>
    <w:p w14:paraId="1778F9BE" w14:textId="77777777" w:rsidR="00E6156F" w:rsidRDefault="00F54DE6" w:rsidP="00F54DE6">
      <w:pPr>
        <w:rPr>
          <w:rFonts w:eastAsia="MS Mincho"/>
          <w:lang w:eastAsia="ja-JP"/>
        </w:rPr>
      </w:pPr>
      <w:r>
        <w:rPr>
          <w:rFonts w:eastAsia="MS Mincho" w:hint="eastAsia"/>
          <w:lang w:eastAsia="ja-JP"/>
        </w:rPr>
        <w:t>T</w:t>
      </w:r>
      <w:r w:rsidR="00396FE6" w:rsidRPr="00396FE6">
        <w:t>he approaches of rationality and regulation</w:t>
      </w:r>
      <w:r>
        <w:rPr>
          <w:rFonts w:eastAsia="MS Mincho" w:hint="eastAsia"/>
          <w:lang w:eastAsia="ja-JP"/>
        </w:rPr>
        <w:t>:</w:t>
      </w:r>
      <w:r w:rsidR="00396FE6" w:rsidRPr="00396FE6">
        <w:t xml:space="preserve"> ‘</w:t>
      </w:r>
      <w:r w:rsidR="00B65A9B">
        <w:t>...</w:t>
      </w:r>
      <w:r w:rsidR="00396FE6" w:rsidRPr="00396FE6">
        <w:t xml:space="preserve">try to establish more effective indirect controls that operate through </w:t>
      </w:r>
      <w:r w:rsidR="00FE46BD">
        <w:t xml:space="preserve">a </w:t>
      </w:r>
      <w:r w:rsidR="00396FE6" w:rsidRPr="00396FE6">
        <w:t>market-like mechanism’ (</w:t>
      </w:r>
      <w:r>
        <w:rPr>
          <w:rFonts w:eastAsia="MS Mincho" w:hint="eastAsia"/>
          <w:lang w:eastAsia="ja-JP"/>
        </w:rPr>
        <w:t>Smith 2009 p.156</w:t>
      </w:r>
      <w:r w:rsidR="00396FE6" w:rsidRPr="00396FE6">
        <w:t xml:space="preserve">). </w:t>
      </w:r>
      <w:r w:rsidR="004B3C73">
        <w:rPr>
          <w:rFonts w:eastAsia="MS Mincho" w:hint="eastAsia"/>
          <w:lang w:eastAsia="ja-JP"/>
        </w:rPr>
        <w:t xml:space="preserve">The increasing </w:t>
      </w:r>
      <w:r w:rsidR="00B65A9B">
        <w:rPr>
          <w:rFonts w:eastAsia="MS Mincho"/>
          <w:lang w:eastAsia="ja-JP"/>
        </w:rPr>
        <w:t>use</w:t>
      </w:r>
      <w:r w:rsidR="004B3C73">
        <w:rPr>
          <w:rFonts w:eastAsia="MS Mincho" w:hint="eastAsia"/>
          <w:lang w:eastAsia="ja-JP"/>
        </w:rPr>
        <w:t xml:space="preserve"> of this set of approaches</w:t>
      </w:r>
      <w:r>
        <w:rPr>
          <w:rFonts w:eastAsia="MS Mincho" w:hint="eastAsia"/>
          <w:lang w:eastAsia="ja-JP"/>
        </w:rPr>
        <w:t xml:space="preserve"> can be understood as </w:t>
      </w:r>
      <w:r w:rsidR="00396FE6" w:rsidRPr="00396FE6">
        <w:t xml:space="preserve">an example of the transformation of state power (Smith 2009 p.171). </w:t>
      </w:r>
      <w:r>
        <w:rPr>
          <w:rFonts w:eastAsia="MS Mincho" w:hint="eastAsia"/>
          <w:lang w:eastAsia="ja-JP"/>
        </w:rPr>
        <w:t>According to Smith</w:t>
      </w:r>
      <w:r w:rsidR="00396FE6" w:rsidRPr="00396FE6">
        <w:t xml:space="preserve"> (2009</w:t>
      </w:r>
      <w:r w:rsidR="00E6156F">
        <w:rPr>
          <w:rFonts w:eastAsia="MS Mincho" w:hint="eastAsia"/>
          <w:lang w:eastAsia="ja-JP"/>
        </w:rPr>
        <w:t xml:space="preserve"> p.171</w:t>
      </w:r>
      <w:r w:rsidR="00396FE6" w:rsidRPr="00396FE6">
        <w:t>)</w:t>
      </w:r>
      <w:r>
        <w:rPr>
          <w:rFonts w:eastAsia="MS Mincho" w:hint="eastAsia"/>
          <w:lang w:eastAsia="ja-JP"/>
        </w:rPr>
        <w:t>:</w:t>
      </w:r>
    </w:p>
    <w:p w14:paraId="1711A493" w14:textId="77777777" w:rsidR="00E6156F" w:rsidRDefault="00E6156F" w:rsidP="00F54DE6">
      <w:pPr>
        <w:rPr>
          <w:rFonts w:eastAsia="MS Mincho"/>
          <w:lang w:eastAsia="ja-JP"/>
        </w:rPr>
      </w:pPr>
    </w:p>
    <w:p w14:paraId="1AE357DF" w14:textId="77777777" w:rsidR="00495655" w:rsidRDefault="00721AF4" w:rsidP="005B18BE">
      <w:pPr>
        <w:pStyle w:val="Quote"/>
        <w:rPr>
          <w:rFonts w:eastAsia="MS Mincho"/>
          <w:lang w:eastAsia="ja-JP"/>
        </w:rPr>
      </w:pPr>
      <w:r>
        <w:rPr>
          <w:rFonts w:eastAsia="MS Mincho" w:hint="eastAsia"/>
          <w:lang w:eastAsia="ja-JP"/>
        </w:rPr>
        <w:t>T</w:t>
      </w:r>
      <w:r w:rsidR="00396FE6" w:rsidRPr="00396FE6">
        <w:t xml:space="preserve">he state retreats from an area either by delegation to an agency or privatization. Nevertheless, states are dependent both on ensuring that services are delivered, and on public support, and therefore state actors are rarely prepared to leave public services to actors they do not control. Consequently, the process of privatization and </w:t>
      </w:r>
      <w:r w:rsidR="00842E5E">
        <w:rPr>
          <w:rFonts w:eastAsia="MS Mincho"/>
          <w:lang w:eastAsia="ja-JP"/>
        </w:rPr>
        <w:t>‘</w:t>
      </w:r>
      <w:r w:rsidR="00396FE6" w:rsidRPr="00396FE6">
        <w:t>agencification</w:t>
      </w:r>
      <w:r w:rsidR="00842E5E">
        <w:rPr>
          <w:rFonts w:eastAsia="MS Mincho"/>
          <w:lang w:eastAsia="ja-JP"/>
        </w:rPr>
        <w:t>’</w:t>
      </w:r>
      <w:r w:rsidR="00396FE6" w:rsidRPr="00396FE6">
        <w:t xml:space="preserve"> is followed by a process of regulation. The state relinquishes one mechanism of power – bureaucracy based on legitimacy – and replaces it with another – regulation based on principal-agent arrangements</w:t>
      </w:r>
      <w:r w:rsidR="0023763F">
        <w:rPr>
          <w:rFonts w:eastAsia="MS Mincho" w:hint="eastAsia"/>
          <w:lang w:eastAsia="ja-JP"/>
        </w:rPr>
        <w:t>.</w:t>
      </w:r>
    </w:p>
    <w:p w14:paraId="1EAECFE5" w14:textId="77777777" w:rsidR="00E6156F" w:rsidRDefault="00E6156F" w:rsidP="00F54DE6">
      <w:pPr>
        <w:rPr>
          <w:rFonts w:eastAsia="MS Mincho"/>
          <w:lang w:eastAsia="ja-JP"/>
        </w:rPr>
      </w:pPr>
    </w:p>
    <w:p w14:paraId="336A3B6A" w14:textId="77777777" w:rsidR="002778E9" w:rsidRPr="0023763F" w:rsidRDefault="0023763F" w:rsidP="00F54DE6">
      <w:pPr>
        <w:rPr>
          <w:rFonts w:eastAsia="MS Mincho"/>
          <w:lang w:eastAsia="ja-JP"/>
        </w:rPr>
      </w:pPr>
      <w:r>
        <w:rPr>
          <w:rFonts w:eastAsia="MS Mincho" w:hint="eastAsia"/>
          <w:lang w:eastAsia="ja-JP"/>
        </w:rPr>
        <w:t xml:space="preserve">This thesis </w:t>
      </w:r>
      <w:r w:rsidR="00B65A9B">
        <w:rPr>
          <w:rFonts w:eastAsia="MS Mincho"/>
          <w:lang w:eastAsia="ja-JP"/>
        </w:rPr>
        <w:t>focuses on</w:t>
      </w:r>
      <w:r w:rsidR="00B65A9B">
        <w:rPr>
          <w:rFonts w:eastAsia="MS Mincho" w:hint="eastAsia"/>
          <w:lang w:eastAsia="ja-JP"/>
        </w:rPr>
        <w:t xml:space="preserve"> </w:t>
      </w:r>
      <w:r>
        <w:rPr>
          <w:rFonts w:eastAsia="MS Mincho" w:hint="eastAsia"/>
          <w:lang w:eastAsia="ja-JP"/>
        </w:rPr>
        <w:t>regulation because of its significance in</w:t>
      </w:r>
      <w:r w:rsidR="00B65A9B">
        <w:rPr>
          <w:rFonts w:eastAsia="MS Mincho"/>
          <w:lang w:eastAsia="ja-JP"/>
        </w:rPr>
        <w:t xml:space="preserve"> relation to contemporary</w:t>
      </w:r>
      <w:r>
        <w:rPr>
          <w:rFonts w:eastAsia="MS Mincho" w:hint="eastAsia"/>
          <w:lang w:eastAsia="ja-JP"/>
        </w:rPr>
        <w:t xml:space="preserve"> state transformation.</w:t>
      </w:r>
    </w:p>
    <w:p w14:paraId="0D762654" w14:textId="77777777" w:rsidR="002778E9" w:rsidRDefault="002778E9" w:rsidP="0024471C">
      <w:pPr>
        <w:ind w:firstLineChars="122" w:firstLine="277"/>
      </w:pPr>
      <w:r>
        <w:t xml:space="preserve">ICT </w:t>
      </w:r>
      <w:r>
        <w:rPr>
          <w:rFonts w:hint="eastAsia"/>
        </w:rPr>
        <w:t>saw a significant disjuncture through the</w:t>
      </w:r>
      <w:r>
        <w:t xml:space="preserve"> </w:t>
      </w:r>
      <w:r>
        <w:rPr>
          <w:rFonts w:hint="eastAsia"/>
        </w:rPr>
        <w:t>regulatory reform</w:t>
      </w:r>
      <w:r w:rsidR="00FC7128">
        <w:rPr>
          <w:rStyle w:val="FootnoteReference"/>
        </w:rPr>
        <w:footnoteReference w:id="1"/>
      </w:r>
      <w:r>
        <w:rPr>
          <w:rFonts w:hint="eastAsia"/>
        </w:rPr>
        <w:t xml:space="preserve"> in </w:t>
      </w:r>
      <w:r>
        <w:t xml:space="preserve">telecommunications in </w:t>
      </w:r>
      <w:r>
        <w:rPr>
          <w:rFonts w:hint="eastAsia"/>
        </w:rPr>
        <w:t xml:space="preserve">1985, in which the state </w:t>
      </w:r>
      <w:r>
        <w:t>incumbent</w:t>
      </w:r>
      <w:r>
        <w:rPr>
          <w:rFonts w:hint="eastAsia"/>
        </w:rPr>
        <w:t xml:space="preserve"> company (NTT: Nippon Telegraph and Telephone) was privatised and the market was liberalised. </w:t>
      </w:r>
      <w:r>
        <w:t xml:space="preserve">This disjuncture has dismantled </w:t>
      </w:r>
      <w:r w:rsidR="00C122A7">
        <w:rPr>
          <w:rFonts w:eastAsia="MS Mincho" w:hint="eastAsia"/>
          <w:lang w:eastAsia="ja-JP"/>
        </w:rPr>
        <w:t xml:space="preserve">the </w:t>
      </w:r>
      <w:r>
        <w:t xml:space="preserve">traditional regulatory approach to the sector and </w:t>
      </w:r>
      <w:r>
        <w:rPr>
          <w:rFonts w:hint="eastAsia"/>
          <w:lang w:eastAsia="ja-JP"/>
        </w:rPr>
        <w:t xml:space="preserve">prompted the emergence of </w:t>
      </w:r>
      <w:r w:rsidR="00B65A9B">
        <w:rPr>
          <w:lang w:eastAsia="ja-JP"/>
        </w:rPr>
        <w:t xml:space="preserve">a </w:t>
      </w:r>
      <w:r>
        <w:rPr>
          <w:rFonts w:hint="eastAsia"/>
          <w:lang w:eastAsia="ja-JP"/>
        </w:rPr>
        <w:t>new regulator (</w:t>
      </w:r>
      <w:r w:rsidR="004A67C3">
        <w:rPr>
          <w:rFonts w:hint="eastAsia"/>
          <w:lang w:eastAsia="ja-JP"/>
        </w:rPr>
        <w:t xml:space="preserve">MPT: </w:t>
      </w:r>
      <w:r>
        <w:rPr>
          <w:rFonts w:hint="eastAsia"/>
          <w:lang w:eastAsia="ja-JP"/>
        </w:rPr>
        <w:t>Ministry of Posts and Telecommunications)</w:t>
      </w:r>
      <w:r>
        <w:t xml:space="preserve">. </w:t>
      </w:r>
      <w:r w:rsidRPr="00967D91">
        <w:t>How a newly established regulatory regime in the</w:t>
      </w:r>
      <w:r>
        <w:t xml:space="preserve"> ICT sector has been transformed offers an example of the Japanese state’s adaption process to its circumstan</w:t>
      </w:r>
      <w:r>
        <w:rPr>
          <w:rFonts w:hint="eastAsia"/>
          <w:lang w:eastAsia="ja-JP"/>
        </w:rPr>
        <w:t xml:space="preserve">tial changes </w:t>
      </w:r>
      <w:r>
        <w:t>in regulation.</w:t>
      </w:r>
    </w:p>
    <w:p w14:paraId="08A92FAC" w14:textId="77777777" w:rsidR="002778E9" w:rsidRDefault="002778E9" w:rsidP="002778E9">
      <w:pPr>
        <w:ind w:firstLine="284"/>
        <w:rPr>
          <w:lang w:eastAsia="ja-JP"/>
        </w:rPr>
      </w:pPr>
      <w:r>
        <w:t>Antimonopoly regulation is chosen as another case for research. This is a field where a significant policy development can be observed in the period between the 1980s and 2000s (Freyer 2006 p.243, Schaede 2008 pp.42-4).</w:t>
      </w:r>
      <w:r w:rsidRPr="0011746D">
        <w:t xml:space="preserve"> </w:t>
      </w:r>
      <w:r>
        <w:t>A turning point facilitat</w:t>
      </w:r>
      <w:r w:rsidR="00FE46BD">
        <w:t>ing</w:t>
      </w:r>
      <w:r>
        <w:t xml:space="preserve"> this development was the economic negotiation with the US called the SII (Structural Impediment Initiative) in 1989-90. The fact that antimonopoly regulation is also administered by a rare independent regulator (JFTC: Fair Trade Commission, Japan) offers a contrast to other regulated fields including ICT, where regulation has been implemented by government ministries. The relationship between the regulator and party politicians is also different. Traditionally, the JFTC has </w:t>
      </w:r>
      <w:r>
        <w:rPr>
          <w:rFonts w:hint="eastAsia"/>
        </w:rPr>
        <w:t xml:space="preserve">meant to fend off </w:t>
      </w:r>
      <w:r>
        <w:t>the influence from politics</w:t>
      </w:r>
      <w:r>
        <w:rPr>
          <w:rFonts w:hint="eastAsia"/>
        </w:rPr>
        <w:t>; the relationship between party politicians and civil servants has been an important factor in the ICT sector</w:t>
      </w:r>
      <w:r>
        <w:t xml:space="preserve">. Elsewhere, there are </w:t>
      </w:r>
      <w:r>
        <w:rPr>
          <w:rFonts w:hint="eastAsia"/>
        </w:rPr>
        <w:t>other</w:t>
      </w:r>
      <w:r>
        <w:t xml:space="preserve"> similarities. </w:t>
      </w:r>
      <w:r>
        <w:rPr>
          <w:rFonts w:hint="eastAsia"/>
        </w:rPr>
        <w:t xml:space="preserve">Both cases involve </w:t>
      </w:r>
      <w:r>
        <w:t>competition as a key policy tool</w:t>
      </w:r>
      <w:r>
        <w:rPr>
          <w:rFonts w:hint="eastAsia"/>
        </w:rPr>
        <w:t xml:space="preserve"> and had their respective key disjunctures (</w:t>
      </w:r>
      <w:r>
        <w:t>antimonopoly</w:t>
      </w:r>
      <w:r>
        <w:rPr>
          <w:rFonts w:hint="eastAsia"/>
        </w:rPr>
        <w:t>: the SII in 1989-90, ICT:</w:t>
      </w:r>
      <w:r>
        <w:t xml:space="preserve"> the regulatory reform in 1985</w:t>
      </w:r>
      <w:r>
        <w:rPr>
          <w:rFonts w:hint="eastAsia"/>
        </w:rPr>
        <w:t>)</w:t>
      </w:r>
      <w:r>
        <w:t xml:space="preserve">. </w:t>
      </w:r>
      <w:r>
        <w:rPr>
          <w:lang w:eastAsia="ja-JP"/>
        </w:rPr>
        <w:t xml:space="preserve">It is also </w:t>
      </w:r>
      <w:r>
        <w:rPr>
          <w:rFonts w:hint="eastAsia"/>
          <w:lang w:eastAsia="ja-JP"/>
        </w:rPr>
        <w:t>the period when the states in the developed world have adapted to their challenges (Pierre and Peters 2000 p</w:t>
      </w:r>
      <w:r>
        <w:rPr>
          <w:lang w:eastAsia="ja-JP"/>
        </w:rPr>
        <w:t>p</w:t>
      </w:r>
      <w:r>
        <w:rPr>
          <w:rFonts w:hint="eastAsia"/>
          <w:lang w:eastAsia="ja-JP"/>
        </w:rPr>
        <w:t>.</w:t>
      </w:r>
      <w:r>
        <w:rPr>
          <w:lang w:eastAsia="ja-JP"/>
        </w:rPr>
        <w:t>2-3</w:t>
      </w:r>
      <w:r>
        <w:rPr>
          <w:rFonts w:hint="eastAsia"/>
          <w:lang w:eastAsia="ja-JP"/>
        </w:rPr>
        <w:t>, p</w:t>
      </w:r>
      <w:r>
        <w:rPr>
          <w:lang w:eastAsia="ja-JP"/>
        </w:rPr>
        <w:t>p</w:t>
      </w:r>
      <w:r>
        <w:rPr>
          <w:rFonts w:hint="eastAsia"/>
          <w:lang w:eastAsia="ja-JP"/>
        </w:rPr>
        <w:t>.</w:t>
      </w:r>
      <w:r>
        <w:rPr>
          <w:lang w:eastAsia="ja-JP"/>
        </w:rPr>
        <w:t>50-69</w:t>
      </w:r>
      <w:r>
        <w:rPr>
          <w:rFonts w:hint="eastAsia"/>
          <w:lang w:eastAsia="ja-JP"/>
        </w:rPr>
        <w:t>).</w:t>
      </w:r>
    </w:p>
    <w:p w14:paraId="5D969414" w14:textId="77777777" w:rsidR="002778E9" w:rsidRPr="00EB6659" w:rsidRDefault="002778E9" w:rsidP="002778E9">
      <w:pPr>
        <w:ind w:firstLine="284"/>
      </w:pPr>
      <w:r>
        <w:t xml:space="preserve">A key </w:t>
      </w:r>
      <w:r w:rsidR="006C54CF">
        <w:t xml:space="preserve">piece of </w:t>
      </w:r>
      <w:r>
        <w:t xml:space="preserve">literature </w:t>
      </w:r>
      <w:r>
        <w:rPr>
          <w:rFonts w:hint="eastAsia"/>
        </w:rPr>
        <w:t xml:space="preserve">analysing </w:t>
      </w:r>
      <w:r>
        <w:t xml:space="preserve">Japan’s regulation after the 1980s is Vogel (1996), who explores Japan’s ICT regulation and financial regulation focusing on state actors (party politicians, civil servants), comparing </w:t>
      </w:r>
      <w:r w:rsidR="00C122A7">
        <w:rPr>
          <w:rFonts w:eastAsia="MS Mincho" w:hint="eastAsia"/>
          <w:lang w:eastAsia="ja-JP"/>
        </w:rPr>
        <w:t xml:space="preserve">to </w:t>
      </w:r>
      <w:r>
        <w:t xml:space="preserve">the cases of the UK and other developed countries. The result of his analysis reveals the strategically oriented </w:t>
      </w:r>
      <w:r w:rsidRPr="00EB6659">
        <w:t>nature of Japan</w:t>
      </w:r>
      <w:r w:rsidRPr="00EB6659">
        <w:rPr>
          <w:rFonts w:hint="eastAsia"/>
        </w:rPr>
        <w:t>ese</w:t>
      </w:r>
      <w:r w:rsidRPr="00EB6659">
        <w:t xml:space="preserve"> regulation in </w:t>
      </w:r>
      <w:r w:rsidR="006C54CF">
        <w:t xml:space="preserve">the </w:t>
      </w:r>
      <w:r w:rsidRPr="00EB6659">
        <w:t>ICT and financial services</w:t>
      </w:r>
      <w:r w:rsidR="00C122A7">
        <w:rPr>
          <w:rFonts w:eastAsia="MS Mincho" w:hint="eastAsia"/>
          <w:lang w:eastAsia="ja-JP"/>
        </w:rPr>
        <w:t xml:space="preserve"> sectors</w:t>
      </w:r>
      <w:r w:rsidRPr="00EB6659">
        <w:t>. T</w:t>
      </w:r>
      <w:r w:rsidRPr="00EB6659">
        <w:rPr>
          <w:rFonts w:hint="eastAsia"/>
        </w:rPr>
        <w:t>his offers two challenges to this thesis. F</w:t>
      </w:r>
      <w:r w:rsidRPr="00EB6659">
        <w:t>i</w:t>
      </w:r>
      <w:r w:rsidRPr="00EB6659">
        <w:rPr>
          <w:rFonts w:hint="eastAsia"/>
        </w:rPr>
        <w:t xml:space="preserve">rst, there </w:t>
      </w:r>
      <w:r>
        <w:t>emerges</w:t>
      </w:r>
      <w:r w:rsidRPr="00EB6659">
        <w:rPr>
          <w:rFonts w:hint="eastAsia"/>
        </w:rPr>
        <w:t xml:space="preserve"> a gap after V</w:t>
      </w:r>
      <w:r w:rsidRPr="00EB6659">
        <w:t>o</w:t>
      </w:r>
      <w:r w:rsidRPr="00EB6659">
        <w:rPr>
          <w:rFonts w:hint="eastAsia"/>
        </w:rPr>
        <w:t xml:space="preserve">gel (1996); what has </w:t>
      </w:r>
      <w:r w:rsidRPr="00EB6659">
        <w:t>happened</w:t>
      </w:r>
      <w:r w:rsidRPr="00EB6659">
        <w:rPr>
          <w:rFonts w:hint="eastAsia"/>
        </w:rPr>
        <w:t xml:space="preserve"> in ICT regulation after the mid </w:t>
      </w:r>
      <w:r w:rsidR="00AD1759">
        <w:rPr>
          <w:rFonts w:eastAsia="MS Mincho" w:hint="eastAsia"/>
          <w:lang w:eastAsia="ja-JP"/>
        </w:rPr>
        <w:t>1</w:t>
      </w:r>
      <w:r w:rsidRPr="00EB6659">
        <w:rPr>
          <w:rFonts w:hint="eastAsia"/>
        </w:rPr>
        <w:t xml:space="preserve">990s </w:t>
      </w:r>
      <w:r w:rsidR="00C122A7">
        <w:rPr>
          <w:rFonts w:eastAsia="MS Mincho" w:hint="eastAsia"/>
          <w:lang w:eastAsia="ja-JP"/>
        </w:rPr>
        <w:t>is left un</w:t>
      </w:r>
      <w:r w:rsidR="00FF3911">
        <w:rPr>
          <w:rFonts w:eastAsia="MS Mincho"/>
          <w:lang w:eastAsia="ja-JP"/>
        </w:rPr>
        <w:t>explored</w:t>
      </w:r>
      <w:r w:rsidRPr="00EB6659">
        <w:rPr>
          <w:rFonts w:hint="eastAsia"/>
        </w:rPr>
        <w:t xml:space="preserve">. Second, </w:t>
      </w:r>
      <w:r w:rsidRPr="00EB6659">
        <w:t>focusing</w:t>
      </w:r>
      <w:r w:rsidRPr="00EB6659">
        <w:rPr>
          <w:rFonts w:hint="eastAsia"/>
        </w:rPr>
        <w:t xml:space="preserve"> on state actors in V</w:t>
      </w:r>
      <w:r w:rsidRPr="00EB6659">
        <w:t>o</w:t>
      </w:r>
      <w:r w:rsidRPr="00EB6659">
        <w:rPr>
          <w:rFonts w:hint="eastAsia"/>
        </w:rPr>
        <w:t xml:space="preserve">gel (1996) does not mean that he explicitly </w:t>
      </w:r>
      <w:r>
        <w:t>explores</w:t>
      </w:r>
      <w:r w:rsidRPr="00EB6659">
        <w:rPr>
          <w:rFonts w:hint="eastAsia"/>
        </w:rPr>
        <w:t xml:space="preserve"> the transformation of </w:t>
      </w:r>
      <w:r>
        <w:t>t</w:t>
      </w:r>
      <w:r w:rsidRPr="00EB6659">
        <w:rPr>
          <w:rFonts w:hint="eastAsia"/>
        </w:rPr>
        <w:t xml:space="preserve">he Japanese state. </w:t>
      </w:r>
      <w:r>
        <w:t xml:space="preserve">Although </w:t>
      </w:r>
      <w:r w:rsidRPr="00EB6659">
        <w:rPr>
          <w:rFonts w:hint="eastAsia"/>
        </w:rPr>
        <w:t xml:space="preserve">Vogel (1996) </w:t>
      </w:r>
      <w:r>
        <w:t xml:space="preserve">highlights the nature of Japanese regulation, his </w:t>
      </w:r>
      <w:r w:rsidR="00C122A7">
        <w:t xml:space="preserve">approach does not explicitly address </w:t>
      </w:r>
      <w:r>
        <w:t>the nature of the Japanese state</w:t>
      </w:r>
      <w:r w:rsidR="00C122A7">
        <w:rPr>
          <w:rFonts w:eastAsia="MS Mincho" w:hint="eastAsia"/>
          <w:lang w:eastAsia="ja-JP"/>
        </w:rPr>
        <w:t xml:space="preserve"> or </w:t>
      </w:r>
      <w:r w:rsidRPr="00EB6659">
        <w:rPr>
          <w:rFonts w:hint="eastAsia"/>
        </w:rPr>
        <w:t>focus on power.</w:t>
      </w:r>
    </w:p>
    <w:p w14:paraId="74BB9EC0" w14:textId="77777777" w:rsidR="002778E9" w:rsidRDefault="002778E9" w:rsidP="002778E9">
      <w:pPr>
        <w:ind w:firstLine="284"/>
      </w:pPr>
      <w:r w:rsidRPr="00EB6659">
        <w:rPr>
          <w:rFonts w:hint="eastAsia"/>
        </w:rPr>
        <w:t>This thesis addresse</w:t>
      </w:r>
      <w:r w:rsidR="00C122A7">
        <w:rPr>
          <w:rFonts w:eastAsia="MS Mincho" w:hint="eastAsia"/>
          <w:lang w:eastAsia="ja-JP"/>
        </w:rPr>
        <w:t>s</w:t>
      </w:r>
      <w:r w:rsidRPr="00EB6659">
        <w:rPr>
          <w:rFonts w:hint="eastAsia"/>
        </w:rPr>
        <w:t xml:space="preserve"> these challenges. </w:t>
      </w:r>
      <w:r w:rsidR="00C122A7">
        <w:rPr>
          <w:rFonts w:eastAsia="MS Mincho" w:hint="eastAsia"/>
          <w:lang w:eastAsia="ja-JP"/>
        </w:rPr>
        <w:t xml:space="preserve">The </w:t>
      </w:r>
      <w:r w:rsidR="00FF3911">
        <w:rPr>
          <w:rFonts w:eastAsia="MS Mincho"/>
          <w:lang w:eastAsia="ja-JP"/>
        </w:rPr>
        <w:t>focus is on the</w:t>
      </w:r>
      <w:r w:rsidR="00FF3911">
        <w:rPr>
          <w:rFonts w:eastAsia="MS Mincho" w:hint="eastAsia"/>
          <w:lang w:eastAsia="ja-JP"/>
        </w:rPr>
        <w:t xml:space="preserve"> </w:t>
      </w:r>
      <w:r w:rsidRPr="00EB6659">
        <w:rPr>
          <w:rFonts w:hint="eastAsia"/>
        </w:rPr>
        <w:t>period between the 1980s and 2000s</w:t>
      </w:r>
      <w:r>
        <w:t xml:space="preserve"> </w:t>
      </w:r>
      <w:r w:rsidR="00FF3911">
        <w:t>so post-dating</w:t>
      </w:r>
      <w:r>
        <w:t xml:space="preserve"> the</w:t>
      </w:r>
      <w:r w:rsidR="00FF3911">
        <w:t xml:space="preserve"> core </w:t>
      </w:r>
      <w:r>
        <w:t xml:space="preserve">period </w:t>
      </w:r>
      <w:r w:rsidR="00FF3911">
        <w:t>of</w:t>
      </w:r>
      <w:r w:rsidR="00FD4C7E">
        <w:rPr>
          <w:rFonts w:hint="eastAsia"/>
          <w:lang w:eastAsia="ja-JP"/>
        </w:rPr>
        <w:t xml:space="preserve"> </w:t>
      </w:r>
      <w:r>
        <w:t>Vogel</w:t>
      </w:r>
      <w:r w:rsidR="00FD4C7E">
        <w:rPr>
          <w:lang w:eastAsia="ja-JP"/>
        </w:rPr>
        <w:t>’</w:t>
      </w:r>
      <w:r w:rsidR="00FD4C7E">
        <w:rPr>
          <w:rFonts w:hint="eastAsia"/>
          <w:lang w:eastAsia="ja-JP"/>
        </w:rPr>
        <w:t>s</w:t>
      </w:r>
      <w:r w:rsidR="00FF3911">
        <w:t xml:space="preserve"> own study</w:t>
      </w:r>
      <w:r>
        <w:t xml:space="preserve"> (1996)</w:t>
      </w:r>
      <w:r w:rsidRPr="00EB6659">
        <w:rPr>
          <w:rFonts w:hint="eastAsia"/>
        </w:rPr>
        <w:t xml:space="preserve">; </w:t>
      </w:r>
      <w:r w:rsidR="00C122A7">
        <w:rPr>
          <w:rFonts w:eastAsia="MS Mincho" w:hint="eastAsia"/>
          <w:lang w:eastAsia="ja-JP"/>
        </w:rPr>
        <w:t xml:space="preserve">a part of this thesis reveals </w:t>
      </w:r>
      <w:r w:rsidRPr="00EB6659">
        <w:rPr>
          <w:rFonts w:hint="eastAsia"/>
        </w:rPr>
        <w:t>what has happened in ICT regulation after V</w:t>
      </w:r>
      <w:r w:rsidRPr="00EB6659">
        <w:t>o</w:t>
      </w:r>
      <w:r w:rsidRPr="00EB6659">
        <w:rPr>
          <w:rFonts w:hint="eastAsia"/>
        </w:rPr>
        <w:t>gel (1996).</w:t>
      </w:r>
      <w:r>
        <w:t xml:space="preserve"> This thesis also explicitly examines</w:t>
      </w:r>
      <w:r>
        <w:rPr>
          <w:rFonts w:hint="eastAsia"/>
        </w:rPr>
        <w:t xml:space="preserve"> power and the state, employing the concept of the core executive</w:t>
      </w:r>
      <w:r>
        <w:t xml:space="preserve"> as a key analytical </w:t>
      </w:r>
      <w:r w:rsidR="000027FC">
        <w:rPr>
          <w:rFonts w:eastAsia="MS Mincho" w:hint="eastAsia"/>
          <w:lang w:eastAsia="ja-JP"/>
        </w:rPr>
        <w:t>framework</w:t>
      </w:r>
      <w:r>
        <w:rPr>
          <w:rFonts w:hint="eastAsia"/>
        </w:rPr>
        <w:t xml:space="preserve">. </w:t>
      </w:r>
      <w:r>
        <w:t xml:space="preserve">By </w:t>
      </w:r>
      <w:r w:rsidR="000027FC">
        <w:rPr>
          <w:rFonts w:eastAsia="MS Mincho" w:hint="eastAsia"/>
          <w:lang w:eastAsia="ja-JP"/>
        </w:rPr>
        <w:t>analysing</w:t>
      </w:r>
      <w:r>
        <w:t xml:space="preserve"> the evolving power relations between core executive actors</w:t>
      </w:r>
      <w:r>
        <w:rPr>
          <w:rFonts w:hint="eastAsia"/>
        </w:rPr>
        <w:t xml:space="preserve">, </w:t>
      </w:r>
      <w:r>
        <w:t xml:space="preserve">this thesis aims </w:t>
      </w:r>
      <w:r>
        <w:rPr>
          <w:rFonts w:hint="eastAsia"/>
        </w:rPr>
        <w:t xml:space="preserve">to </w:t>
      </w:r>
      <w:r>
        <w:t xml:space="preserve">explore the </w:t>
      </w:r>
      <w:r>
        <w:rPr>
          <w:rFonts w:hint="eastAsia"/>
        </w:rPr>
        <w:t xml:space="preserve">nature of the </w:t>
      </w:r>
      <w:r>
        <w:t>evolving regulatory state in ICT and antimonopoly regulation.</w:t>
      </w:r>
    </w:p>
    <w:p w14:paraId="5CC623A2" w14:textId="77777777" w:rsidR="002778E9" w:rsidRDefault="002778E9" w:rsidP="002778E9">
      <w:pPr>
        <w:ind w:firstLine="284"/>
        <w:rPr>
          <w:lang w:eastAsia="ja-JP"/>
        </w:rPr>
      </w:pPr>
      <w:r>
        <w:rPr>
          <w:rFonts w:hint="eastAsia"/>
          <w:lang w:eastAsia="ja-JP"/>
        </w:rPr>
        <w:t xml:space="preserve">The </w:t>
      </w:r>
      <w:r>
        <w:rPr>
          <w:lang w:eastAsia="ja-JP"/>
        </w:rPr>
        <w:t>core theme of this thesis is to suggest that in the last three decades a reconstitution of the Japanese state has taken place.</w:t>
      </w:r>
    </w:p>
    <w:p w14:paraId="3851EFAB" w14:textId="77777777" w:rsidR="002778E9" w:rsidRDefault="002778E9" w:rsidP="002778E9">
      <w:pPr>
        <w:ind w:firstLine="284"/>
        <w:rPr>
          <w:lang w:eastAsia="ja-JP"/>
        </w:rPr>
      </w:pPr>
    </w:p>
    <w:p w14:paraId="3A644997" w14:textId="77777777" w:rsidR="002778E9" w:rsidRDefault="002778E9" w:rsidP="002778E9">
      <w:pPr>
        <w:ind w:firstLine="284"/>
        <w:rPr>
          <w:lang w:eastAsia="ja-JP"/>
        </w:rPr>
      </w:pPr>
    </w:p>
    <w:p w14:paraId="3467F0DC" w14:textId="77777777" w:rsidR="002778E9" w:rsidRPr="002B4285" w:rsidRDefault="002778E9" w:rsidP="00050D4B">
      <w:pPr>
        <w:pStyle w:val="Heading2"/>
        <w:rPr>
          <w:lang w:eastAsia="ja-JP"/>
        </w:rPr>
      </w:pPr>
      <w:bookmarkStart w:id="8" w:name="_Toc349741330"/>
      <w:r w:rsidRPr="002B4285">
        <w:t>1.</w:t>
      </w:r>
      <w:r>
        <w:t>3</w:t>
      </w:r>
      <w:r w:rsidRPr="002B4285">
        <w:tab/>
        <w:t xml:space="preserve">The </w:t>
      </w:r>
      <w:r>
        <w:t>proposition and research questions</w:t>
      </w:r>
      <w:bookmarkEnd w:id="8"/>
    </w:p>
    <w:p w14:paraId="128FFAF2" w14:textId="77777777" w:rsidR="00B1022C" w:rsidRDefault="00C51D4E" w:rsidP="00153342">
      <w:pPr>
        <w:rPr>
          <w:lang w:eastAsia="ja-JP"/>
        </w:rPr>
      </w:pPr>
      <w:r>
        <w:rPr>
          <w:lang w:eastAsia="ja-JP"/>
        </w:rPr>
        <w:t>If then this thesis is predominantly concerned with analysing the extent to which the Ja</w:t>
      </w:r>
      <w:r w:rsidR="00FD4C7E">
        <w:rPr>
          <w:rFonts w:hint="eastAsia"/>
          <w:lang w:eastAsia="ja-JP"/>
        </w:rPr>
        <w:t>pa</w:t>
      </w:r>
      <w:r>
        <w:rPr>
          <w:lang w:eastAsia="ja-JP"/>
        </w:rPr>
        <w:t>nese state and in particular core executive power has been reconstituted over the</w:t>
      </w:r>
      <w:r>
        <w:rPr>
          <w:rFonts w:hint="eastAsia"/>
          <w:lang w:eastAsia="ja-JP"/>
        </w:rPr>
        <w:t xml:space="preserve"> </w:t>
      </w:r>
      <w:r>
        <w:rPr>
          <w:lang w:eastAsia="ja-JP"/>
        </w:rPr>
        <w:t xml:space="preserve">last three decades </w:t>
      </w:r>
      <w:r w:rsidR="00B1022C">
        <w:rPr>
          <w:lang w:eastAsia="ja-JP"/>
        </w:rPr>
        <w:t>–</w:t>
      </w:r>
      <w:r w:rsidR="00B1022C">
        <w:rPr>
          <w:rFonts w:hint="eastAsia"/>
          <w:lang w:eastAsia="ja-JP"/>
        </w:rPr>
        <w:t xml:space="preserve"> </w:t>
      </w:r>
      <w:r>
        <w:rPr>
          <w:lang w:eastAsia="ja-JP"/>
        </w:rPr>
        <w:t>then its core theme can be specified as:</w:t>
      </w:r>
    </w:p>
    <w:p w14:paraId="389AD348" w14:textId="77777777" w:rsidR="002778E9" w:rsidRDefault="002778E9" w:rsidP="002778E9">
      <w:pPr>
        <w:ind w:firstLine="284"/>
      </w:pPr>
    </w:p>
    <w:p w14:paraId="26A841EE" w14:textId="77777777" w:rsidR="00495655" w:rsidRDefault="00431546" w:rsidP="005B18BE">
      <w:pPr>
        <w:pStyle w:val="Quote"/>
      </w:pPr>
      <w:r w:rsidRPr="00FB6BE4">
        <w:t xml:space="preserve">During the era of </w:t>
      </w:r>
      <w:r w:rsidR="00305C21">
        <w:t xml:space="preserve">the </w:t>
      </w:r>
      <w:r w:rsidRPr="00FB6BE4">
        <w:t xml:space="preserve">Liberal Democratic Party (LDP) </w:t>
      </w:r>
      <w:r>
        <w:rPr>
          <w:rFonts w:hint="eastAsia"/>
        </w:rPr>
        <w:t>g</w:t>
      </w:r>
      <w:r w:rsidRPr="00FB6BE4">
        <w:t xml:space="preserve">overnment, the core executive pursued discretional regulation within inner regulatory policy communities as a strategy to sustain its position of asymmetric dominance over </w:t>
      </w:r>
      <w:r>
        <w:t xml:space="preserve">actors within </w:t>
      </w:r>
      <w:r w:rsidRPr="00FB6BE4">
        <w:t>key policy sectors</w:t>
      </w:r>
      <w:r>
        <w:rPr>
          <w:rFonts w:hint="eastAsia"/>
        </w:rPr>
        <w:t xml:space="preserve">, with their actions shaped by a </w:t>
      </w:r>
      <w:r>
        <w:t>particular</w:t>
      </w:r>
      <w:r>
        <w:rPr>
          <w:rFonts w:hint="eastAsia"/>
        </w:rPr>
        <w:t xml:space="preserve"> set of structures</w:t>
      </w:r>
      <w:r w:rsidRPr="00FB6BE4">
        <w:t>.</w:t>
      </w:r>
    </w:p>
    <w:p w14:paraId="1FF619F6" w14:textId="77777777" w:rsidR="002778E9" w:rsidRDefault="002778E9" w:rsidP="002778E9">
      <w:pPr>
        <w:ind w:firstLine="284"/>
      </w:pPr>
    </w:p>
    <w:p w14:paraId="3F4EA552" w14:textId="77777777" w:rsidR="002778E9" w:rsidRDefault="002778E9" w:rsidP="003354E7">
      <w:pPr>
        <w:ind w:firstLine="284"/>
        <w:rPr>
          <w:lang w:eastAsia="ja-JP"/>
        </w:rPr>
      </w:pPr>
      <w:r>
        <w:t xml:space="preserve">This proposition </w:t>
      </w:r>
      <w:r w:rsidR="00C51D4E">
        <w:rPr>
          <w:lang w:eastAsia="ja-JP"/>
        </w:rPr>
        <w:t>identifies</w:t>
      </w:r>
      <w:r w:rsidR="004833A0">
        <w:rPr>
          <w:rFonts w:hint="eastAsia"/>
          <w:lang w:eastAsia="ja-JP"/>
        </w:rPr>
        <w:t xml:space="preserve"> </w:t>
      </w:r>
      <w:r w:rsidR="00C51D4E">
        <w:t>a perpetuation of</w:t>
      </w:r>
      <w:r>
        <w:t xml:space="preserve"> asymmetric dominance of the</w:t>
      </w:r>
      <w:r w:rsidR="00C51D4E">
        <w:t xml:space="preserve"> central</w:t>
      </w:r>
      <w:r>
        <w:t xml:space="preserve"> state </w:t>
      </w:r>
      <w:r w:rsidR="003B586D">
        <w:t xml:space="preserve">(see 3.3) </w:t>
      </w:r>
      <w:r>
        <w:t xml:space="preserve">through </w:t>
      </w:r>
      <w:r w:rsidR="00C51D4E">
        <w:t>strategic adaptation on the part of</w:t>
      </w:r>
      <w:r w:rsidR="004833A0">
        <w:rPr>
          <w:rFonts w:hint="eastAsia"/>
          <w:lang w:eastAsia="ja-JP"/>
        </w:rPr>
        <w:t xml:space="preserve"> </w:t>
      </w:r>
      <w:r>
        <w:t xml:space="preserve">the core executive. </w:t>
      </w:r>
      <w:r w:rsidR="00C51D4E">
        <w:rPr>
          <w:lang w:eastAsia="ja-JP"/>
        </w:rPr>
        <w:t>To explore this core theme, the research address</w:t>
      </w:r>
      <w:r w:rsidR="009B5706">
        <w:rPr>
          <w:rFonts w:hint="eastAsia"/>
          <w:lang w:eastAsia="ja-JP"/>
        </w:rPr>
        <w:t>es</w:t>
      </w:r>
      <w:r w:rsidR="00C51D4E">
        <w:rPr>
          <w:lang w:eastAsia="ja-JP"/>
        </w:rPr>
        <w:t xml:space="preserve"> a number of overarching questions:</w:t>
      </w:r>
    </w:p>
    <w:p w14:paraId="4729020C" w14:textId="77777777" w:rsidR="002778E9" w:rsidRDefault="0015452E" w:rsidP="002778E9">
      <w:pPr>
        <w:pStyle w:val="ListParagraph"/>
        <w:numPr>
          <w:ilvl w:val="0"/>
          <w:numId w:val="1"/>
        </w:numPr>
        <w:ind w:left="284" w:hanging="284"/>
      </w:pPr>
      <w:r>
        <w:rPr>
          <w:rFonts w:hint="eastAsia"/>
        </w:rPr>
        <w:t>How has Japan</w:t>
      </w:r>
      <w:r>
        <w:t>’</w:t>
      </w:r>
      <w:r>
        <w:rPr>
          <w:rFonts w:hint="eastAsia"/>
        </w:rPr>
        <w:t>s regulatory framework evolved over the last three</w:t>
      </w:r>
      <w:r w:rsidR="003F2665">
        <w:t xml:space="preserve"> decades</w:t>
      </w:r>
      <w:r w:rsidR="002778E9" w:rsidRPr="00EE00E8">
        <w:t>?</w:t>
      </w:r>
    </w:p>
    <w:p w14:paraId="0B40563D" w14:textId="77777777" w:rsidR="002778E9" w:rsidRDefault="002778E9" w:rsidP="002778E9">
      <w:pPr>
        <w:ind w:left="284"/>
        <w:rPr>
          <w:lang w:eastAsia="ja-JP"/>
        </w:rPr>
      </w:pPr>
      <w:r>
        <w:t xml:space="preserve">This research question </w:t>
      </w:r>
      <w:r>
        <w:rPr>
          <w:rFonts w:hint="eastAsia"/>
        </w:rPr>
        <w:t xml:space="preserve">gives an overview of the </w:t>
      </w:r>
      <w:r w:rsidR="009B5706">
        <w:rPr>
          <w:rFonts w:hint="eastAsia"/>
          <w:lang w:eastAsia="ja-JP"/>
        </w:rPr>
        <w:t>cases explored by this thesis</w:t>
      </w:r>
      <w:r>
        <w:t xml:space="preserve">. It </w:t>
      </w:r>
      <w:r w:rsidR="00C51D4E">
        <w:t xml:space="preserve">explores </w:t>
      </w:r>
      <w:r>
        <w:t>how the two</w:t>
      </w:r>
      <w:r w:rsidR="00C51D4E">
        <w:t xml:space="preserve"> case</w:t>
      </w:r>
      <w:r w:rsidR="00F73AC5">
        <w:rPr>
          <w:rFonts w:hint="eastAsia"/>
          <w:lang w:eastAsia="ja-JP"/>
        </w:rPr>
        <w:t xml:space="preserve"> </w:t>
      </w:r>
      <w:r w:rsidR="00C51D4E">
        <w:t>studies</w:t>
      </w:r>
      <w:r>
        <w:t xml:space="preserve"> (ICT regulation, antimonopoly regulation) have evolved between the 1980s and 2000s</w:t>
      </w:r>
      <w:r w:rsidR="00C51D4E">
        <w:t>.</w:t>
      </w:r>
    </w:p>
    <w:p w14:paraId="3E390766" w14:textId="77777777" w:rsidR="00344EDF" w:rsidRDefault="007C0666" w:rsidP="001B6C05">
      <w:pPr>
        <w:pStyle w:val="ListParagraph"/>
        <w:numPr>
          <w:ilvl w:val="0"/>
          <w:numId w:val="66"/>
        </w:numPr>
        <w:ind w:left="284" w:hanging="284"/>
      </w:pPr>
      <w:r w:rsidRPr="007C0666">
        <w:t>How has the core executive been successful in imposing its will on regulation?</w:t>
      </w:r>
    </w:p>
    <w:p w14:paraId="2CDDB876" w14:textId="77777777" w:rsidR="00DA322B" w:rsidRDefault="0024372E" w:rsidP="00D909B0">
      <w:pPr>
        <w:ind w:left="284"/>
        <w:rPr>
          <w:lang w:eastAsia="ja-JP"/>
        </w:rPr>
      </w:pPr>
      <w:r>
        <w:t xml:space="preserve">This question </w:t>
      </w:r>
      <w:r w:rsidR="006C0FE7">
        <w:t>addresses</w:t>
      </w:r>
      <w:r w:rsidR="002778E9">
        <w:rPr>
          <w:rFonts w:hint="eastAsia"/>
        </w:rPr>
        <w:t xml:space="preserve"> </w:t>
      </w:r>
      <w:r w:rsidR="002778E9">
        <w:t xml:space="preserve">the transformation of </w:t>
      </w:r>
      <w:r w:rsidR="002778E9">
        <w:rPr>
          <w:rFonts w:hint="eastAsia"/>
        </w:rPr>
        <w:t xml:space="preserve">the </w:t>
      </w:r>
      <w:r w:rsidR="002778E9">
        <w:t xml:space="preserve">power </w:t>
      </w:r>
      <w:r w:rsidR="002778E9">
        <w:rPr>
          <w:rFonts w:hint="eastAsia"/>
        </w:rPr>
        <w:t xml:space="preserve">relations </w:t>
      </w:r>
      <w:r w:rsidR="002778E9">
        <w:t>within the core executive</w:t>
      </w:r>
      <w:r w:rsidR="003F2CBE">
        <w:t xml:space="preserve">, examining </w:t>
      </w:r>
      <w:r w:rsidR="003F2CBE">
        <w:rPr>
          <w:rFonts w:hint="eastAsia"/>
        </w:rPr>
        <w:t>h</w:t>
      </w:r>
      <w:r w:rsidR="003F2CBE" w:rsidRPr="00EE00E8">
        <w:t xml:space="preserve">ow </w:t>
      </w:r>
      <w:r w:rsidR="003F2CBE">
        <w:t>the core executive</w:t>
      </w:r>
      <w:r w:rsidR="003F2CBE" w:rsidRPr="00EE00E8">
        <w:t xml:space="preserve"> </w:t>
      </w:r>
      <w:r w:rsidR="003F2CBE">
        <w:t xml:space="preserve">has </w:t>
      </w:r>
      <w:r w:rsidR="003F2CBE" w:rsidRPr="00EE00E8">
        <w:t>been successful in</w:t>
      </w:r>
      <w:r w:rsidR="003F2CBE">
        <w:t xml:space="preserve"> shaping the regulatory process as a key tool for sustaining its asymmetric position of dominance</w:t>
      </w:r>
      <w:r w:rsidR="00D909B0">
        <w:t xml:space="preserve"> –the position of steer and control regulation with the </w:t>
      </w:r>
      <w:r w:rsidR="001F0520">
        <w:t>‘</w:t>
      </w:r>
      <w:r w:rsidR="00D909B0">
        <w:t>unique</w:t>
      </w:r>
      <w:r w:rsidR="001F0520">
        <w:t>’</w:t>
      </w:r>
      <w:r w:rsidR="00D909B0">
        <w:t xml:space="preserve"> set of tools exclusively possessed by the government (Marsh et al 2001 p.</w:t>
      </w:r>
      <w:r w:rsidR="00C97F82">
        <w:t>248)</w:t>
      </w:r>
      <w:r w:rsidR="002778E9">
        <w:t xml:space="preserve">. </w:t>
      </w:r>
      <w:r>
        <w:t xml:space="preserve">It employs a conception of power that is </w:t>
      </w:r>
      <w:r w:rsidR="002778E9">
        <w:t xml:space="preserve">fluid within </w:t>
      </w:r>
      <w:r w:rsidR="00601CA8">
        <w:rPr>
          <w:rFonts w:hint="eastAsia"/>
          <w:lang w:eastAsia="ja-JP"/>
        </w:rPr>
        <w:t xml:space="preserve">the </w:t>
      </w:r>
      <w:r w:rsidR="002778E9">
        <w:t>core executive (party politicians, civil servants)</w:t>
      </w:r>
      <w:r>
        <w:t>, based on the notion of inter-dependence among different actors within the core executive. From this perspective, it assesses</w:t>
      </w:r>
      <w:r w:rsidR="002778E9">
        <w:t xml:space="preserve"> the complex set of transformative </w:t>
      </w:r>
      <w:r>
        <w:t>forces and the way in which collective</w:t>
      </w:r>
      <w:r w:rsidR="009C3E97">
        <w:rPr>
          <w:rFonts w:hint="eastAsia"/>
          <w:lang w:eastAsia="ja-JP"/>
        </w:rPr>
        <w:t>ly</w:t>
      </w:r>
      <w:r>
        <w:t xml:space="preserve"> the core executive has responded</w:t>
      </w:r>
      <w:r w:rsidR="002778E9">
        <w:t>.</w:t>
      </w:r>
    </w:p>
    <w:p w14:paraId="50FA49A1" w14:textId="77777777" w:rsidR="00344EDF" w:rsidRDefault="004C7B60" w:rsidP="001B6C05">
      <w:pPr>
        <w:pStyle w:val="ListParagraph"/>
        <w:numPr>
          <w:ilvl w:val="0"/>
          <w:numId w:val="67"/>
        </w:numPr>
        <w:ind w:left="284" w:hanging="284"/>
      </w:pPr>
      <w:r>
        <w:t>How</w:t>
      </w:r>
      <w:r w:rsidR="002778E9" w:rsidRPr="00EE00E8">
        <w:t xml:space="preserve"> have Japan’s ministries shaped </w:t>
      </w:r>
      <w:r w:rsidR="00C344A5">
        <w:t>the</w:t>
      </w:r>
      <w:r w:rsidR="002778E9" w:rsidRPr="00EE00E8">
        <w:t xml:space="preserve"> organisational design of regulatory functions?</w:t>
      </w:r>
    </w:p>
    <w:p w14:paraId="2CE77942" w14:textId="77777777" w:rsidR="002778E9" w:rsidRDefault="002778E9" w:rsidP="002778E9">
      <w:pPr>
        <w:ind w:left="284"/>
      </w:pPr>
      <w:r>
        <w:t xml:space="preserve">This question </w:t>
      </w:r>
      <w:r w:rsidR="005D300B">
        <w:rPr>
          <w:rFonts w:eastAsia="MS Mincho" w:hint="eastAsia"/>
          <w:lang w:eastAsia="ja-JP"/>
        </w:rPr>
        <w:t>focuses on</w:t>
      </w:r>
      <w:r>
        <w:t xml:space="preserve"> an institutional characteristic of Japan’s regulatory regime. Japan is </w:t>
      </w:r>
      <w:r w:rsidR="0024372E">
        <w:t xml:space="preserve">an unusual case, in that </w:t>
      </w:r>
      <w:r>
        <w:t xml:space="preserve">only a limited number of independent regulators exist. It reveals how </w:t>
      </w:r>
      <w:r w:rsidR="0024372E">
        <w:t xml:space="preserve">agents within a particular structured context </w:t>
      </w:r>
      <w:r>
        <w:t>have shape</w:t>
      </w:r>
      <w:r w:rsidR="0024372E">
        <w:t>d</w:t>
      </w:r>
      <w:r>
        <w:t xml:space="preserve"> a particular </w:t>
      </w:r>
      <w:r w:rsidR="0024372E">
        <w:t xml:space="preserve">response to change through an analysis of the </w:t>
      </w:r>
      <w:r>
        <w:t>case of a ministerial regulator (MPT/MIC (Ministry of Internal Affairs and Communications)) together with that of an independent administrative commission (JFTC).</w:t>
      </w:r>
    </w:p>
    <w:p w14:paraId="4723B5AA" w14:textId="77777777" w:rsidR="002778E9" w:rsidRDefault="00D061BF" w:rsidP="002778E9">
      <w:pPr>
        <w:pStyle w:val="ListParagraph"/>
        <w:numPr>
          <w:ilvl w:val="0"/>
          <w:numId w:val="1"/>
        </w:numPr>
        <w:ind w:left="284" w:hanging="284"/>
      </w:pPr>
      <w:r>
        <w:t>How</w:t>
      </w:r>
      <w:r w:rsidR="002778E9" w:rsidRPr="00EE00E8">
        <w:t xml:space="preserve"> has </w:t>
      </w:r>
      <w:r w:rsidR="000B6055">
        <w:rPr>
          <w:rFonts w:hint="eastAsia"/>
        </w:rPr>
        <w:t xml:space="preserve">the </w:t>
      </w:r>
      <w:r w:rsidR="002778E9" w:rsidRPr="00EE00E8">
        <w:t>state’s regulatory capacity changed?</w:t>
      </w:r>
    </w:p>
    <w:p w14:paraId="3FFD08AF" w14:textId="77777777" w:rsidR="002778E9" w:rsidRDefault="004D34AB" w:rsidP="00201610">
      <w:pPr>
        <w:ind w:left="284"/>
      </w:pPr>
      <w:r>
        <w:t xml:space="preserve">This question </w:t>
      </w:r>
      <w:r w:rsidR="000D030D">
        <w:rPr>
          <w:rFonts w:hint="eastAsia"/>
          <w:lang w:eastAsia="ja-JP"/>
        </w:rPr>
        <w:t>explores</w:t>
      </w:r>
      <w:r w:rsidR="0024372E">
        <w:t xml:space="preserve"> the</w:t>
      </w:r>
      <w:r w:rsidR="002778E9">
        <w:t xml:space="preserve"> impact of </w:t>
      </w:r>
      <w:r w:rsidR="000D030D">
        <w:rPr>
          <w:rFonts w:hint="eastAsia"/>
          <w:lang w:eastAsia="ja-JP"/>
        </w:rPr>
        <w:t>the</w:t>
      </w:r>
      <w:r w:rsidR="007F08BC">
        <w:rPr>
          <w:rFonts w:hint="eastAsia"/>
          <w:lang w:eastAsia="ja-JP"/>
        </w:rPr>
        <w:t xml:space="preserve"> </w:t>
      </w:r>
      <w:r w:rsidR="002778E9">
        <w:t>transformation</w:t>
      </w:r>
      <w:r w:rsidR="000D030D">
        <w:rPr>
          <w:rFonts w:hint="eastAsia"/>
          <w:lang w:eastAsia="ja-JP"/>
        </w:rPr>
        <w:t xml:space="preserve"> of state </w:t>
      </w:r>
      <w:r w:rsidR="00473B0C">
        <w:rPr>
          <w:lang w:eastAsia="ja-JP"/>
        </w:rPr>
        <w:t>capacity</w:t>
      </w:r>
      <w:r w:rsidR="000D030D">
        <w:rPr>
          <w:rFonts w:hint="eastAsia"/>
          <w:lang w:eastAsia="ja-JP"/>
        </w:rPr>
        <w:t xml:space="preserve"> </w:t>
      </w:r>
      <w:r w:rsidR="00831F6C">
        <w:rPr>
          <w:lang w:eastAsia="ja-JP"/>
        </w:rPr>
        <w:t>within</w:t>
      </w:r>
      <w:r w:rsidR="000D030D">
        <w:rPr>
          <w:rFonts w:hint="eastAsia"/>
          <w:lang w:eastAsia="ja-JP"/>
        </w:rPr>
        <w:t xml:space="preserve"> ICT regulation and antimonopoly regulation</w:t>
      </w:r>
      <w:r w:rsidR="00D54D3F">
        <w:rPr>
          <w:lang w:eastAsia="ja-JP"/>
        </w:rPr>
        <w:t xml:space="preserve"> by investigating </w:t>
      </w:r>
      <w:r w:rsidR="00D54D3F">
        <w:t xml:space="preserve">how the </w:t>
      </w:r>
      <w:r w:rsidR="00473B0C">
        <w:t xml:space="preserve">regulator’s </w:t>
      </w:r>
      <w:r w:rsidR="00D54D3F">
        <w:t>capacity has changed in the two case studies</w:t>
      </w:r>
      <w:r w:rsidR="002778E9">
        <w:t>.</w:t>
      </w:r>
      <w:r w:rsidR="00831F6C">
        <w:t xml:space="preserve"> The transformation of state capacity within a regulatory sector offers a clue of how the regulatory state has developed within the sector. Also, this question address</w:t>
      </w:r>
      <w:r w:rsidR="00201610">
        <w:t>es</w:t>
      </w:r>
      <w:r w:rsidR="00831F6C">
        <w:t xml:space="preserve"> the relationship between the core executive actors (party politicians, civil servants) and </w:t>
      </w:r>
      <w:r w:rsidR="00201610">
        <w:t xml:space="preserve">the </w:t>
      </w:r>
      <w:r w:rsidR="00831F6C">
        <w:t>state</w:t>
      </w:r>
      <w:r w:rsidR="00201610">
        <w:t>’s</w:t>
      </w:r>
      <w:r w:rsidR="00831F6C">
        <w:t xml:space="preserve"> </w:t>
      </w:r>
      <w:r w:rsidR="00201610">
        <w:t xml:space="preserve">regulatory </w:t>
      </w:r>
      <w:r w:rsidR="00831F6C">
        <w:t xml:space="preserve">capacity in </w:t>
      </w:r>
      <w:r w:rsidR="00201610">
        <w:t>the</w:t>
      </w:r>
      <w:r w:rsidR="00831F6C">
        <w:t xml:space="preserve"> sector.</w:t>
      </w:r>
    </w:p>
    <w:p w14:paraId="6942F7D1" w14:textId="77777777" w:rsidR="002778E9" w:rsidRDefault="00D061BF" w:rsidP="002778E9">
      <w:pPr>
        <w:pStyle w:val="ListParagraph"/>
        <w:numPr>
          <w:ilvl w:val="0"/>
          <w:numId w:val="1"/>
        </w:numPr>
        <w:ind w:left="284" w:hanging="284"/>
      </w:pPr>
      <w:r>
        <w:t>Why</w:t>
      </w:r>
      <w:r w:rsidR="002778E9">
        <w:rPr>
          <w:rFonts w:hint="eastAsia"/>
        </w:rPr>
        <w:t xml:space="preserve"> have the present power relations been constructed in the chosen regulatory fields?</w:t>
      </w:r>
    </w:p>
    <w:p w14:paraId="4929E963" w14:textId="77777777" w:rsidR="002778E9" w:rsidRDefault="0029359C" w:rsidP="002778E9">
      <w:pPr>
        <w:ind w:left="284"/>
        <w:rPr>
          <w:lang w:eastAsia="ja-JP"/>
        </w:rPr>
      </w:pPr>
      <w:r>
        <w:rPr>
          <w:rFonts w:hint="eastAsia"/>
          <w:lang w:eastAsia="ja-JP"/>
        </w:rPr>
        <w:t xml:space="preserve">This question pursues </w:t>
      </w:r>
      <w:r w:rsidR="00C62ED3">
        <w:rPr>
          <w:rFonts w:hint="eastAsia"/>
          <w:lang w:eastAsia="ja-JP"/>
        </w:rPr>
        <w:t xml:space="preserve">explaining the present power relations by employing </w:t>
      </w:r>
      <w:r>
        <w:rPr>
          <w:lang w:eastAsia="ja-JP"/>
        </w:rPr>
        <w:t>‘</w:t>
      </w:r>
      <w:r>
        <w:rPr>
          <w:rFonts w:hint="eastAsia"/>
          <w:lang w:eastAsia="ja-JP"/>
        </w:rPr>
        <w:t>why</w:t>
      </w:r>
      <w:r>
        <w:rPr>
          <w:lang w:eastAsia="ja-JP"/>
        </w:rPr>
        <w:t>’</w:t>
      </w:r>
      <w:r>
        <w:rPr>
          <w:rFonts w:hint="eastAsia"/>
          <w:lang w:eastAsia="ja-JP"/>
        </w:rPr>
        <w:t xml:space="preserve"> rather than </w:t>
      </w:r>
      <w:r>
        <w:rPr>
          <w:lang w:eastAsia="ja-JP"/>
        </w:rPr>
        <w:t>‘</w:t>
      </w:r>
      <w:r>
        <w:rPr>
          <w:rFonts w:hint="eastAsia"/>
          <w:lang w:eastAsia="ja-JP"/>
        </w:rPr>
        <w:t>how</w:t>
      </w:r>
      <w:r>
        <w:rPr>
          <w:lang w:eastAsia="ja-JP"/>
        </w:rPr>
        <w:t>’</w:t>
      </w:r>
      <w:r w:rsidR="00876701">
        <w:rPr>
          <w:rFonts w:hint="eastAsia"/>
          <w:lang w:eastAsia="ja-JP"/>
        </w:rPr>
        <w:t xml:space="preserve">, in contrast </w:t>
      </w:r>
      <w:r w:rsidR="005E5CBD">
        <w:rPr>
          <w:lang w:eastAsia="ja-JP"/>
        </w:rPr>
        <w:t xml:space="preserve">to the </w:t>
      </w:r>
      <w:r w:rsidR="00876701">
        <w:rPr>
          <w:rFonts w:hint="eastAsia"/>
          <w:lang w:eastAsia="ja-JP"/>
        </w:rPr>
        <w:t>previous four questions</w:t>
      </w:r>
      <w:r w:rsidR="00F032BF">
        <w:t xml:space="preserve"> (Grix 2004 p.85</w:t>
      </w:r>
      <w:r w:rsidR="00F032BF" w:rsidRPr="00225CF0">
        <w:t>)</w:t>
      </w:r>
      <w:r w:rsidR="00CA6186">
        <w:rPr>
          <w:rFonts w:hint="eastAsia"/>
          <w:lang w:eastAsia="ja-JP"/>
        </w:rPr>
        <w:t>.</w:t>
      </w:r>
      <w:r w:rsidR="00876701">
        <w:rPr>
          <w:rFonts w:hint="eastAsia"/>
          <w:lang w:eastAsia="ja-JP"/>
        </w:rPr>
        <w:t xml:space="preserve"> </w:t>
      </w:r>
      <w:r w:rsidR="002778E9">
        <w:t xml:space="preserve">It </w:t>
      </w:r>
      <w:r w:rsidR="00F70B4A">
        <w:rPr>
          <w:rFonts w:hint="eastAsia"/>
          <w:lang w:eastAsia="ja-JP"/>
        </w:rPr>
        <w:t>addresses</w:t>
      </w:r>
      <w:r w:rsidR="002778E9">
        <w:rPr>
          <w:rFonts w:hint="eastAsia"/>
        </w:rPr>
        <w:t xml:space="preserve"> the core </w:t>
      </w:r>
      <w:r w:rsidR="00F70B4A">
        <w:rPr>
          <w:rFonts w:hint="eastAsia"/>
          <w:lang w:eastAsia="ja-JP"/>
        </w:rPr>
        <w:t xml:space="preserve">theme </w:t>
      </w:r>
      <w:r w:rsidR="002778E9">
        <w:rPr>
          <w:rFonts w:hint="eastAsia"/>
        </w:rPr>
        <w:t xml:space="preserve">of this research pulling the previous four research questions together, exploring power relations in ICT </w:t>
      </w:r>
      <w:r w:rsidR="002778E9">
        <w:t xml:space="preserve">regulation </w:t>
      </w:r>
      <w:r w:rsidR="002778E9">
        <w:rPr>
          <w:rFonts w:hint="eastAsia"/>
        </w:rPr>
        <w:t>and antimonopoly regulation</w:t>
      </w:r>
      <w:r w:rsidR="00A23A0C">
        <w:rPr>
          <w:rFonts w:hint="eastAsia"/>
          <w:lang w:eastAsia="ja-JP"/>
        </w:rPr>
        <w:t>.</w:t>
      </w:r>
    </w:p>
    <w:p w14:paraId="67EB5A59" w14:textId="77777777" w:rsidR="002778E9" w:rsidRDefault="002778E9" w:rsidP="002778E9">
      <w:pPr>
        <w:ind w:firstLine="284"/>
      </w:pPr>
    </w:p>
    <w:p w14:paraId="4AF5EAF0" w14:textId="77777777" w:rsidR="002778E9" w:rsidRDefault="002778E9" w:rsidP="002778E9">
      <w:pPr>
        <w:ind w:firstLine="284"/>
        <w:rPr>
          <w:lang w:eastAsia="ja-JP"/>
        </w:rPr>
      </w:pPr>
      <w:r>
        <w:t xml:space="preserve">Through the examination of this set of research questions this thesis seeks to reveal the extent to which asymmetric dominance of the Japanese state </w:t>
      </w:r>
      <w:r>
        <w:rPr>
          <w:rFonts w:hint="eastAsia"/>
        </w:rPr>
        <w:t xml:space="preserve">in the </w:t>
      </w:r>
      <w:r>
        <w:t xml:space="preserve">transformative process has </w:t>
      </w:r>
      <w:r w:rsidR="003A0D96">
        <w:rPr>
          <w:rFonts w:hint="eastAsia"/>
          <w:lang w:eastAsia="ja-JP"/>
        </w:rPr>
        <w:t>been sustained.</w:t>
      </w:r>
    </w:p>
    <w:p w14:paraId="5742D486" w14:textId="77777777" w:rsidR="002778E9" w:rsidRDefault="002778E9" w:rsidP="002778E9">
      <w:pPr>
        <w:ind w:firstLine="284"/>
        <w:rPr>
          <w:lang w:eastAsia="ja-JP"/>
        </w:rPr>
      </w:pPr>
    </w:p>
    <w:p w14:paraId="39E002A1" w14:textId="77777777" w:rsidR="003A0D96" w:rsidRDefault="003A0D96" w:rsidP="002778E9">
      <w:pPr>
        <w:ind w:firstLine="284"/>
        <w:rPr>
          <w:lang w:eastAsia="ja-JP"/>
        </w:rPr>
      </w:pPr>
    </w:p>
    <w:p w14:paraId="61D1AE2E" w14:textId="77777777" w:rsidR="002778E9" w:rsidRDefault="002778E9" w:rsidP="00050D4B">
      <w:pPr>
        <w:pStyle w:val="Heading2"/>
      </w:pPr>
      <w:bookmarkStart w:id="9" w:name="_Toc349741331"/>
      <w:r>
        <w:t>1.4</w:t>
      </w:r>
      <w:r>
        <w:tab/>
        <w:t>The structure of the thesis</w:t>
      </w:r>
      <w:bookmarkEnd w:id="9"/>
    </w:p>
    <w:p w14:paraId="441416CB" w14:textId="77777777" w:rsidR="002778E9" w:rsidRDefault="002778E9" w:rsidP="002778E9">
      <w:r>
        <w:t xml:space="preserve">This thesis is composed of </w:t>
      </w:r>
      <w:r>
        <w:rPr>
          <w:rFonts w:hint="eastAsia"/>
        </w:rPr>
        <w:t>seven c</w:t>
      </w:r>
      <w:r>
        <w:t xml:space="preserve">hapters employing two case studies of the Japanese state </w:t>
      </w:r>
      <w:r w:rsidR="00F70B4A">
        <w:rPr>
          <w:lang w:eastAsia="ja-JP"/>
        </w:rPr>
        <w:t>–</w:t>
      </w:r>
      <w:r w:rsidR="00F70B4A">
        <w:rPr>
          <w:rFonts w:hint="eastAsia"/>
          <w:lang w:eastAsia="ja-JP"/>
        </w:rPr>
        <w:t xml:space="preserve"> </w:t>
      </w:r>
      <w:r>
        <w:t>ICT regulation</w:t>
      </w:r>
      <w:r w:rsidR="005D300B">
        <w:rPr>
          <w:rFonts w:eastAsia="MS Mincho" w:hint="eastAsia"/>
          <w:lang w:eastAsia="ja-JP"/>
        </w:rPr>
        <w:t xml:space="preserve"> and </w:t>
      </w:r>
      <w:r>
        <w:t>antimonopoly regulation</w:t>
      </w:r>
      <w:r w:rsidR="005D300B">
        <w:rPr>
          <w:rFonts w:eastAsia="MS Mincho" w:hint="eastAsia"/>
          <w:lang w:eastAsia="ja-JP"/>
        </w:rPr>
        <w:t xml:space="preserve">. </w:t>
      </w:r>
      <w:r>
        <w:t xml:space="preserve">The contents of the structures are </w:t>
      </w:r>
      <w:r>
        <w:rPr>
          <w:rFonts w:hint="eastAsia"/>
        </w:rPr>
        <w:t xml:space="preserve">described </w:t>
      </w:r>
      <w:r>
        <w:t>in the following.</w:t>
      </w:r>
    </w:p>
    <w:p w14:paraId="51BB3BCB" w14:textId="77777777" w:rsidR="002778E9" w:rsidRDefault="002778E9" w:rsidP="002778E9">
      <w:pPr>
        <w:ind w:firstLine="284"/>
        <w:rPr>
          <w:lang w:eastAsia="ja-JP"/>
        </w:rPr>
      </w:pPr>
      <w:r>
        <w:t xml:space="preserve">Chapter 2 </w:t>
      </w:r>
      <w:r w:rsidR="00E163E8">
        <w:t>sets out the existing</w:t>
      </w:r>
      <w:r>
        <w:t xml:space="preserve"> literature </w:t>
      </w:r>
      <w:r w:rsidR="00E163E8">
        <w:t>on appr</w:t>
      </w:r>
      <w:r w:rsidR="003A0D96">
        <w:rPr>
          <w:rFonts w:hint="eastAsia"/>
          <w:lang w:eastAsia="ja-JP"/>
        </w:rPr>
        <w:t>oa</w:t>
      </w:r>
      <w:r w:rsidR="00E163E8">
        <w:t xml:space="preserve">ches to understanding the nature of the </w:t>
      </w:r>
      <w:r>
        <w:t>Japan</w:t>
      </w:r>
      <w:r w:rsidR="00E163E8">
        <w:t>ese</w:t>
      </w:r>
      <w:r>
        <w:t xml:space="preserve"> state. The review of this chapter starts from the emergence of the developmental state perspective by Johnson (1982). The concept of the developmental state is contrasted to that of the regulatory state as the American idea. The </w:t>
      </w:r>
      <w:r w:rsidR="00E163E8">
        <w:t xml:space="preserve">subsequent </w:t>
      </w:r>
      <w:r>
        <w:t xml:space="preserve">emergence of </w:t>
      </w:r>
      <w:r w:rsidR="00E163E8">
        <w:t xml:space="preserve">a more explicitly </w:t>
      </w:r>
      <w:r>
        <w:t xml:space="preserve">pluralist and rational choice literature offered </w:t>
      </w:r>
      <w:r w:rsidR="00E163E8">
        <w:t xml:space="preserve">contrasting </w:t>
      </w:r>
      <w:r>
        <w:t xml:space="preserve">accounts </w:t>
      </w:r>
      <w:r w:rsidR="00E163E8">
        <w:t>of state-group power relations in Japan</w:t>
      </w:r>
      <w:r>
        <w:rPr>
          <w:rFonts w:hint="eastAsia"/>
        </w:rPr>
        <w:t xml:space="preserve">. </w:t>
      </w:r>
      <w:r w:rsidR="00E163E8">
        <w:t xml:space="preserve">In so doing, </w:t>
      </w:r>
      <w:r>
        <w:rPr>
          <w:rFonts w:hint="eastAsia"/>
        </w:rPr>
        <w:t xml:space="preserve">these two schools </w:t>
      </w:r>
      <w:r w:rsidR="00E163E8">
        <w:t xml:space="preserve">rejected approaches </w:t>
      </w:r>
      <w:r w:rsidR="003A0D96">
        <w:t>that</w:t>
      </w:r>
      <w:r w:rsidR="00E163E8">
        <w:t xml:space="preserve"> offered accounts of the nature of the</w:t>
      </w:r>
      <w:r>
        <w:rPr>
          <w:rFonts w:hint="eastAsia"/>
        </w:rPr>
        <w:t xml:space="preserve"> Japanese state at </w:t>
      </w:r>
      <w:r w:rsidR="00E163E8">
        <w:t>the</w:t>
      </w:r>
      <w:r w:rsidR="00E163E8">
        <w:rPr>
          <w:rFonts w:hint="eastAsia"/>
        </w:rPr>
        <w:t xml:space="preserve"> </w:t>
      </w:r>
      <w:r>
        <w:rPr>
          <w:rFonts w:hint="eastAsia"/>
        </w:rPr>
        <w:t>macro level</w:t>
      </w:r>
      <w:r>
        <w:t xml:space="preserve">. </w:t>
      </w:r>
      <w:r w:rsidR="00D20F39">
        <w:rPr>
          <w:rFonts w:hint="eastAsia"/>
          <w:lang w:eastAsia="ja-JP"/>
        </w:rPr>
        <w:t xml:space="preserve">The review of this set of schools exposes a lacuna that an approach </w:t>
      </w:r>
      <w:r w:rsidR="00D20F39">
        <w:rPr>
          <w:lang w:eastAsia="ja-JP"/>
        </w:rPr>
        <w:t>problematizing</w:t>
      </w:r>
      <w:r w:rsidR="00D20F39">
        <w:rPr>
          <w:rFonts w:hint="eastAsia"/>
          <w:lang w:eastAsia="ja-JP"/>
        </w:rPr>
        <w:t xml:space="preserve"> the state as the major locus of research has been missing.</w:t>
      </w:r>
      <w:r w:rsidR="008C78C6">
        <w:rPr>
          <w:rFonts w:hint="eastAsia"/>
          <w:lang w:eastAsia="ja-JP"/>
        </w:rPr>
        <w:t xml:space="preserve"> T</w:t>
      </w:r>
      <w:r w:rsidR="008C78C6">
        <w:rPr>
          <w:lang w:eastAsia="ja-JP"/>
        </w:rPr>
        <w:t>h</w:t>
      </w:r>
      <w:r w:rsidR="008C78C6">
        <w:rPr>
          <w:rFonts w:hint="eastAsia"/>
          <w:lang w:eastAsia="ja-JP"/>
        </w:rPr>
        <w:t>is lacuna is what this thesis intends to fill with its elitist approach focusing on the state at a macro level.</w:t>
      </w:r>
    </w:p>
    <w:p w14:paraId="16F1B09E" w14:textId="04558422" w:rsidR="002778E9" w:rsidRDefault="002778E9" w:rsidP="005812D6">
      <w:pPr>
        <w:ind w:firstLine="284"/>
      </w:pPr>
      <w:r w:rsidRPr="00D10B23">
        <w:t>Chapter 3</w:t>
      </w:r>
      <w:r w:rsidR="00D20F39">
        <w:rPr>
          <w:rFonts w:hint="eastAsia"/>
          <w:lang w:eastAsia="ja-JP"/>
        </w:rPr>
        <w:t xml:space="preserve"> </w:t>
      </w:r>
      <w:r w:rsidR="00C70EDF">
        <w:t>sets out the key analytical framework underpinning this study. It invokes</w:t>
      </w:r>
      <w:r w:rsidR="000C5C96">
        <w:rPr>
          <w:rFonts w:hint="eastAsia"/>
          <w:lang w:eastAsia="ja-JP"/>
        </w:rPr>
        <w:t xml:space="preserve"> </w:t>
      </w:r>
      <w:r w:rsidR="00C70EDF">
        <w:t>t</w:t>
      </w:r>
      <w:r w:rsidRPr="00D10B23">
        <w:t>he concept of the core executive developed within UK studies on the core executive in the 1990s</w:t>
      </w:r>
      <w:r w:rsidRPr="00D10B23">
        <w:rPr>
          <w:rFonts w:hint="eastAsia"/>
        </w:rPr>
        <w:t xml:space="preserve">, in response to the change of governance in </w:t>
      </w:r>
      <w:r w:rsidR="00AB169F">
        <w:t xml:space="preserve">the </w:t>
      </w:r>
      <w:r w:rsidRPr="00D10B23">
        <w:t>political</w:t>
      </w:r>
      <w:r w:rsidRPr="00D10B23">
        <w:rPr>
          <w:rFonts w:hint="eastAsia"/>
        </w:rPr>
        <w:t xml:space="preserve"> arena</w:t>
      </w:r>
      <w:r w:rsidR="00C70EDF">
        <w:t xml:space="preserve"> and</w:t>
      </w:r>
      <w:r w:rsidR="000C5C96">
        <w:rPr>
          <w:rFonts w:hint="eastAsia"/>
          <w:lang w:eastAsia="ja-JP"/>
        </w:rPr>
        <w:t xml:space="preserve"> </w:t>
      </w:r>
      <w:r w:rsidRPr="00D10B23">
        <w:t>applie</w:t>
      </w:r>
      <w:r>
        <w:rPr>
          <w:rFonts w:hint="eastAsia"/>
        </w:rPr>
        <w:t xml:space="preserve">s </w:t>
      </w:r>
      <w:r w:rsidR="00C70EDF">
        <w:t>it</w:t>
      </w:r>
      <w:r>
        <w:rPr>
          <w:rFonts w:hint="eastAsia"/>
        </w:rPr>
        <w:t xml:space="preserve"> </w:t>
      </w:r>
      <w:r w:rsidRPr="00D10B23">
        <w:t>to the Japanese case</w:t>
      </w:r>
      <w:r w:rsidR="00C70EDF">
        <w:t xml:space="preserve">. It then sets out the context of </w:t>
      </w:r>
      <w:r w:rsidRPr="00D10B23">
        <w:rPr>
          <w:rFonts w:hint="eastAsia"/>
        </w:rPr>
        <w:t xml:space="preserve">the transformation of the Japanese state </w:t>
      </w:r>
      <w:r w:rsidR="00C70EDF">
        <w:t xml:space="preserve">through </w:t>
      </w:r>
      <w:r w:rsidRPr="00D10B23">
        <w:rPr>
          <w:rFonts w:hint="eastAsia"/>
        </w:rPr>
        <w:t>governance</w:t>
      </w:r>
      <w:r w:rsidR="00C70EDF">
        <w:t xml:space="preserve"> literature</w:t>
      </w:r>
      <w:r w:rsidRPr="00D10B23">
        <w:t xml:space="preserve">. </w:t>
      </w:r>
      <w:r w:rsidR="00C70EDF" w:rsidRPr="00D10B23">
        <w:t>The</w:t>
      </w:r>
      <w:r w:rsidRPr="00D10B23">
        <w:rPr>
          <w:rFonts w:hint="eastAsia"/>
        </w:rPr>
        <w:t xml:space="preserve"> change</w:t>
      </w:r>
      <w:r w:rsidR="00C70EDF">
        <w:t>d</w:t>
      </w:r>
      <w:r w:rsidRPr="00D10B23">
        <w:rPr>
          <w:rFonts w:hint="eastAsia"/>
        </w:rPr>
        <w:t xml:space="preserve"> </w:t>
      </w:r>
      <w:r w:rsidR="00C70EDF">
        <w:t xml:space="preserve">context </w:t>
      </w:r>
      <w:r w:rsidRPr="00D10B23">
        <w:rPr>
          <w:rFonts w:hint="eastAsia"/>
        </w:rPr>
        <w:t xml:space="preserve">of governance </w:t>
      </w:r>
      <w:r w:rsidR="00C70EDF">
        <w:t xml:space="preserve">can be aligned with a concomitant </w:t>
      </w:r>
      <w:r w:rsidRPr="00D10B23">
        <w:rPr>
          <w:rFonts w:hint="eastAsia"/>
        </w:rPr>
        <w:t xml:space="preserve">emergence of </w:t>
      </w:r>
      <w:r w:rsidR="00C70EDF">
        <w:t>a</w:t>
      </w:r>
      <w:r w:rsidR="002A3266">
        <w:rPr>
          <w:rFonts w:hint="eastAsia"/>
          <w:lang w:eastAsia="ja-JP"/>
        </w:rPr>
        <w:t xml:space="preserve"> </w:t>
      </w:r>
      <w:r w:rsidRPr="00D10B23">
        <w:t xml:space="preserve">regulatory </w:t>
      </w:r>
      <w:r w:rsidR="00C70EDF">
        <w:t>response, a dynamic that has been commonly identified in a number of industrialised economies over the last three decades</w:t>
      </w:r>
      <w:r w:rsidRPr="00D10B23">
        <w:rPr>
          <w:rFonts w:hint="eastAsia"/>
        </w:rPr>
        <w:t xml:space="preserve"> (</w:t>
      </w:r>
      <w:r w:rsidRPr="00D10B23">
        <w:t xml:space="preserve">Majone </w:t>
      </w:r>
      <w:r w:rsidRPr="00D96921">
        <w:t>1991, 1994, 1997, Levi-Faur 2012 p.18</w:t>
      </w:r>
      <w:r w:rsidRPr="00D96921">
        <w:rPr>
          <w:rFonts w:hint="eastAsia"/>
        </w:rPr>
        <w:t>)</w:t>
      </w:r>
      <w:r w:rsidRPr="00D96921">
        <w:t xml:space="preserve">. </w:t>
      </w:r>
      <w:r w:rsidR="00C70EDF">
        <w:t>Here, t</w:t>
      </w:r>
      <w:r w:rsidRPr="00D96921">
        <w:rPr>
          <w:rFonts w:hint="eastAsia"/>
        </w:rPr>
        <w:t xml:space="preserve">he concept of the regulatory state offers a framework in </w:t>
      </w:r>
      <w:r w:rsidRPr="00124788">
        <w:rPr>
          <w:rFonts w:hint="eastAsia"/>
        </w:rPr>
        <w:t xml:space="preserve">which this thesis analyses how the state steers society by regulation. </w:t>
      </w:r>
      <w:r>
        <w:rPr>
          <w:rFonts w:hint="eastAsia"/>
        </w:rPr>
        <w:t xml:space="preserve">The </w:t>
      </w:r>
      <w:r w:rsidRPr="00124788">
        <w:rPr>
          <w:rFonts w:hint="eastAsia"/>
        </w:rPr>
        <w:t xml:space="preserve">chapter </w:t>
      </w:r>
      <w:r w:rsidR="00C70EDF">
        <w:t xml:space="preserve">then outlines </w:t>
      </w:r>
      <w:r w:rsidR="00F66B80">
        <w:t xml:space="preserve">the approach adopted for understanding change - that of historical </w:t>
      </w:r>
      <w:r w:rsidR="005812D6">
        <w:t>institutionalism</w:t>
      </w:r>
      <w:r w:rsidR="00F66B80">
        <w:t>. In so doing it</w:t>
      </w:r>
      <w:r w:rsidR="002A3266">
        <w:rPr>
          <w:rFonts w:hint="eastAsia"/>
          <w:lang w:eastAsia="ja-JP"/>
        </w:rPr>
        <w:t xml:space="preserve"> </w:t>
      </w:r>
      <w:r w:rsidR="00F66B80">
        <w:t xml:space="preserve">presents </w:t>
      </w:r>
      <w:r w:rsidRPr="00FF1814">
        <w:rPr>
          <w:rFonts w:hint="eastAsia"/>
        </w:rPr>
        <w:t xml:space="preserve">a typology of change </w:t>
      </w:r>
      <w:r w:rsidR="00F66B80">
        <w:t>identi</w:t>
      </w:r>
      <w:r w:rsidR="002A3266">
        <w:rPr>
          <w:rFonts w:hint="eastAsia"/>
          <w:lang w:eastAsia="ja-JP"/>
        </w:rPr>
        <w:t>f</w:t>
      </w:r>
      <w:r w:rsidR="00F66B80">
        <w:t>ying</w:t>
      </w:r>
      <w:r w:rsidR="00F66B80" w:rsidRPr="00FF1814">
        <w:rPr>
          <w:rFonts w:hint="eastAsia"/>
        </w:rPr>
        <w:t xml:space="preserve"> </w:t>
      </w:r>
      <w:r w:rsidRPr="00FF1814">
        <w:rPr>
          <w:rFonts w:hint="eastAsia"/>
        </w:rPr>
        <w:t xml:space="preserve">how </w:t>
      </w:r>
      <w:r w:rsidR="00F66B80">
        <w:t xml:space="preserve">various exogenous and </w:t>
      </w:r>
      <w:r w:rsidRPr="00FF1814">
        <w:rPr>
          <w:rFonts w:hint="eastAsia"/>
        </w:rPr>
        <w:t xml:space="preserve">endogenous factors </w:t>
      </w:r>
      <w:r w:rsidR="00F66B80">
        <w:t xml:space="preserve">have </w:t>
      </w:r>
      <w:r w:rsidRPr="00FF1814">
        <w:rPr>
          <w:rFonts w:hint="eastAsia"/>
        </w:rPr>
        <w:t>shape</w:t>
      </w:r>
      <w:r w:rsidR="00F66B80">
        <w:t>d the process</w:t>
      </w:r>
      <w:r w:rsidRPr="00FF1814">
        <w:rPr>
          <w:rFonts w:hint="eastAsia"/>
        </w:rPr>
        <w:t xml:space="preserve">. </w:t>
      </w:r>
      <w:r w:rsidR="000A767F">
        <w:rPr>
          <w:rFonts w:hint="eastAsia"/>
          <w:lang w:eastAsia="ja-JP"/>
        </w:rPr>
        <w:t>B</w:t>
      </w:r>
      <w:r w:rsidR="00F66B80">
        <w:t>y exploring the core executive</w:t>
      </w:r>
      <w:r w:rsidR="006136D6">
        <w:rPr>
          <w:lang w:eastAsia="ja-JP"/>
        </w:rPr>
        <w:t>’</w:t>
      </w:r>
      <w:r w:rsidR="00F66B80">
        <w:t xml:space="preserve">s regulatory response to </w:t>
      </w:r>
      <w:r w:rsidR="006136D6">
        <w:t>gove</w:t>
      </w:r>
      <w:r w:rsidR="006136D6">
        <w:rPr>
          <w:lang w:eastAsia="ja-JP"/>
        </w:rPr>
        <w:t>r</w:t>
      </w:r>
      <w:r w:rsidR="006136D6">
        <w:t>nance</w:t>
      </w:r>
      <w:r w:rsidR="00F66B80">
        <w:t xml:space="preserve"> forces of change through an institutionalist lens, </w:t>
      </w:r>
      <w:r w:rsidR="000A767F">
        <w:rPr>
          <w:rFonts w:hint="eastAsia"/>
          <w:lang w:eastAsia="ja-JP"/>
        </w:rPr>
        <w:t xml:space="preserve">this thesis </w:t>
      </w:r>
      <w:r w:rsidR="00F66B80">
        <w:t>offers a coherent framework in which the two case</w:t>
      </w:r>
      <w:r w:rsidR="006136D6">
        <w:rPr>
          <w:rFonts w:hint="eastAsia"/>
          <w:lang w:eastAsia="ja-JP"/>
        </w:rPr>
        <w:t xml:space="preserve"> </w:t>
      </w:r>
      <w:r w:rsidR="00F66B80">
        <w:t>studies</w:t>
      </w:r>
      <w:r w:rsidR="000A767F">
        <w:rPr>
          <w:rFonts w:hint="eastAsia"/>
          <w:lang w:eastAsia="ja-JP"/>
        </w:rPr>
        <w:t xml:space="preserve"> - </w:t>
      </w:r>
      <w:r w:rsidR="00F66B80">
        <w:t>that</w:t>
      </w:r>
      <w:r w:rsidRPr="00FF1814">
        <w:t xml:space="preserve"> </w:t>
      </w:r>
      <w:r w:rsidRPr="00FF1814">
        <w:rPr>
          <w:rFonts w:hint="eastAsia"/>
        </w:rPr>
        <w:t>of ICT regulation and antimonopoly regulation in Japan</w:t>
      </w:r>
      <w:r w:rsidR="000A767F">
        <w:rPr>
          <w:rFonts w:hint="eastAsia"/>
          <w:lang w:eastAsia="ja-JP"/>
        </w:rPr>
        <w:t xml:space="preserve"> - are analysed</w:t>
      </w:r>
      <w:r w:rsidRPr="00FF1814">
        <w:t>.</w:t>
      </w:r>
    </w:p>
    <w:p w14:paraId="51115705" w14:textId="77777777" w:rsidR="002778E9" w:rsidRDefault="002778E9" w:rsidP="002778E9">
      <w:pPr>
        <w:ind w:firstLine="284"/>
      </w:pPr>
      <w:r>
        <w:t xml:space="preserve">Chapter 4 </w:t>
      </w:r>
      <w:r w:rsidR="00F66B80">
        <w:t xml:space="preserve">sets out </w:t>
      </w:r>
      <w:r>
        <w:t xml:space="preserve">the methodology </w:t>
      </w:r>
      <w:r w:rsidR="00F66B80">
        <w:t>employed by</w:t>
      </w:r>
      <w:r>
        <w:t xml:space="preserve"> this thesis. It </w:t>
      </w:r>
      <w:r w:rsidR="00F66B80">
        <w:t>establishes the</w:t>
      </w:r>
      <w:r>
        <w:t xml:space="preserve"> ontological and epistemological positions of this thesis</w:t>
      </w:r>
      <w:r w:rsidR="00F66B80">
        <w:t xml:space="preserve">, that of </w:t>
      </w:r>
      <w:r>
        <w:t>critical realis</w:t>
      </w:r>
      <w:r w:rsidR="00F66B80">
        <w:t>m</w:t>
      </w:r>
      <w:r>
        <w:t xml:space="preserve">. </w:t>
      </w:r>
      <w:r w:rsidR="003A40F3">
        <w:t>It then explains the rationale for employing a case</w:t>
      </w:r>
      <w:r w:rsidR="002D5B71">
        <w:rPr>
          <w:rFonts w:hint="eastAsia"/>
          <w:lang w:eastAsia="ja-JP"/>
        </w:rPr>
        <w:t xml:space="preserve"> </w:t>
      </w:r>
      <w:r w:rsidR="003A40F3">
        <w:t xml:space="preserve">study approach, before setting out how the research was operartionalised, </w:t>
      </w:r>
      <w:r w:rsidR="00705507">
        <w:t>predominantly</w:t>
      </w:r>
      <w:r w:rsidR="003A40F3">
        <w:t xml:space="preserve"> by an elite interviewing approach.</w:t>
      </w:r>
    </w:p>
    <w:p w14:paraId="21442872" w14:textId="77777777" w:rsidR="002778E9" w:rsidRDefault="002778E9" w:rsidP="002778E9">
      <w:pPr>
        <w:ind w:firstLine="284"/>
      </w:pPr>
      <w:r>
        <w:t xml:space="preserve">The following </w:t>
      </w:r>
      <w:r w:rsidR="00C4775A">
        <w:t>c</w:t>
      </w:r>
      <w:r>
        <w:t xml:space="preserve">hapters </w:t>
      </w:r>
      <w:r w:rsidR="00C4775A">
        <w:t>(</w:t>
      </w:r>
      <w:r>
        <w:t>5 and 6</w:t>
      </w:r>
      <w:r w:rsidR="00C4775A">
        <w:t>)</w:t>
      </w:r>
      <w:r w:rsidR="003A40F3">
        <w:t xml:space="preserve"> are </w:t>
      </w:r>
      <w:r>
        <w:rPr>
          <w:rFonts w:hint="eastAsia"/>
        </w:rPr>
        <w:t>th</w:t>
      </w:r>
      <w:r>
        <w:t xml:space="preserve">e case studies. Chapter 5 explores the case of ICT regulation starting from the </w:t>
      </w:r>
      <w:r>
        <w:rPr>
          <w:rFonts w:hint="eastAsia"/>
        </w:rPr>
        <w:t xml:space="preserve">1985 </w:t>
      </w:r>
      <w:r>
        <w:t xml:space="preserve">regulatory reform. </w:t>
      </w:r>
      <w:r w:rsidR="003A40F3">
        <w:t>It</w:t>
      </w:r>
      <w:r>
        <w:t xml:space="preserve"> </w:t>
      </w:r>
      <w:r w:rsidR="003A40F3">
        <w:t xml:space="preserve">analyses the </w:t>
      </w:r>
      <w:r>
        <w:t xml:space="preserve">power relations within the core executive followed by the examination of the ministerial approach of regulation and </w:t>
      </w:r>
      <w:r>
        <w:rPr>
          <w:rFonts w:hint="eastAsia"/>
        </w:rPr>
        <w:t xml:space="preserve">the </w:t>
      </w:r>
      <w:r>
        <w:t xml:space="preserve">capacity of the regulator. The chapter reveals the </w:t>
      </w:r>
      <w:r w:rsidR="003A40F3">
        <w:t xml:space="preserve">on-going </w:t>
      </w:r>
      <w:r>
        <w:t xml:space="preserve">dominance of the core executive in the sector while the changing power relations significantly prompted the shift of </w:t>
      </w:r>
      <w:r w:rsidR="00C4775A">
        <w:t xml:space="preserve">the </w:t>
      </w:r>
      <w:r>
        <w:t>dominant group among party politicians. Chapter 6 looks into the case of antimonopoly regulation.</w:t>
      </w:r>
      <w:r w:rsidR="003A40F3">
        <w:t xml:space="preserve"> It</w:t>
      </w:r>
      <w:r w:rsidR="00142F3E">
        <w:rPr>
          <w:rFonts w:hint="eastAsia"/>
          <w:lang w:eastAsia="ja-JP"/>
        </w:rPr>
        <w:t xml:space="preserve"> </w:t>
      </w:r>
      <w:r>
        <w:t xml:space="preserve">examines the nature of the JFTC as a rare independent regulator in Japan. The examination of capacity of the regulator in the chapter reveals a different story from its counterpart in ICT regulation with the continuous growth of the antimonopoly regulator (JFTC). </w:t>
      </w:r>
      <w:r w:rsidR="003A40F3">
        <w:t>Yet</w:t>
      </w:r>
      <w:r>
        <w:t xml:space="preserve"> </w:t>
      </w:r>
      <w:r>
        <w:rPr>
          <w:rFonts w:hint="eastAsia"/>
        </w:rPr>
        <w:t>both case studies</w:t>
      </w:r>
      <w:r>
        <w:t xml:space="preserve"> </w:t>
      </w:r>
      <w:r w:rsidR="003A40F3">
        <w:t>reveal</w:t>
      </w:r>
      <w:r>
        <w:t xml:space="preserve"> the </w:t>
      </w:r>
      <w:r w:rsidR="003A40F3">
        <w:t xml:space="preserve">on-going </w:t>
      </w:r>
      <w:r>
        <w:t>dominance of the core executive</w:t>
      </w:r>
      <w:r w:rsidR="003A40F3">
        <w:t xml:space="preserve"> throughout the period studied</w:t>
      </w:r>
      <w:r>
        <w:t>.</w:t>
      </w:r>
    </w:p>
    <w:p w14:paraId="4ED057C8" w14:textId="77777777" w:rsidR="002778E9" w:rsidRDefault="002778E9" w:rsidP="002778E9">
      <w:pPr>
        <w:ind w:firstLine="284"/>
        <w:rPr>
          <w:lang w:eastAsia="ja-JP"/>
        </w:rPr>
      </w:pPr>
      <w:r>
        <w:t>The</w:t>
      </w:r>
      <w:r w:rsidR="000B284D">
        <w:rPr>
          <w:rFonts w:hint="eastAsia"/>
          <w:lang w:eastAsia="ja-JP"/>
        </w:rPr>
        <w:t xml:space="preserve"> </w:t>
      </w:r>
      <w:r w:rsidR="003A40F3">
        <w:t>final</w:t>
      </w:r>
      <w:r>
        <w:t xml:space="preserve"> chapter (Chapter 7) </w:t>
      </w:r>
      <w:r w:rsidR="003A40F3">
        <w:t xml:space="preserve">draws together the </w:t>
      </w:r>
      <w:r>
        <w:t xml:space="preserve">insights offered from the case studies. </w:t>
      </w:r>
      <w:r w:rsidR="003A40F3">
        <w:t>It</w:t>
      </w:r>
      <w:r>
        <w:t xml:space="preserve"> argues for the emergence of the Japanese regulatory state based on the changing power relations within the core executive, responding to the change of governance, highlighting two key characteristics: the asymmetric dominance of the core executive within the Japanese state and the </w:t>
      </w:r>
      <w:r w:rsidR="002D1230">
        <w:rPr>
          <w:rFonts w:hint="eastAsia"/>
          <w:lang w:eastAsia="ja-JP"/>
        </w:rPr>
        <w:t>emergence of a variation of the regulatory state in Japan</w:t>
      </w:r>
      <w:r>
        <w:t>.</w:t>
      </w:r>
      <w:r w:rsidR="003A40F3">
        <w:t xml:space="preserve"> In so doing it challenges the dominant position within existing accounts of Japanese state-society relations - that of pluralism.</w:t>
      </w:r>
    </w:p>
    <w:p w14:paraId="29C4809B" w14:textId="77777777" w:rsidR="000423AB" w:rsidRDefault="000423AB">
      <w:pPr>
        <w:spacing w:line="240" w:lineRule="auto"/>
        <w:rPr>
          <w:rFonts w:eastAsia="MS Mincho"/>
          <w:bCs/>
          <w:lang w:eastAsia="ja-JP"/>
        </w:rPr>
      </w:pPr>
      <w:r>
        <w:rPr>
          <w:rFonts w:eastAsia="MS Mincho"/>
          <w:bCs/>
          <w:lang w:eastAsia="ja-JP"/>
        </w:rPr>
        <w:br w:type="page"/>
      </w:r>
    </w:p>
    <w:p w14:paraId="728671D4" w14:textId="77777777" w:rsidR="000423AB" w:rsidRDefault="000423AB" w:rsidP="000423AB">
      <w:pPr>
        <w:pStyle w:val="Heading1"/>
      </w:pPr>
      <w:bookmarkStart w:id="10" w:name="_Toc349741332"/>
      <w:r>
        <w:rPr>
          <w:lang w:eastAsia="ja-JP"/>
        </w:rPr>
        <w:t xml:space="preserve">Chapter 2 </w:t>
      </w:r>
      <w:r>
        <w:rPr>
          <w:lang w:eastAsia="ja-JP"/>
        </w:rPr>
        <w:tab/>
        <w:t>The Development of the Japanese State</w:t>
      </w:r>
      <w:bookmarkEnd w:id="10"/>
    </w:p>
    <w:p w14:paraId="2AC9C2B6" w14:textId="77777777" w:rsidR="000423AB" w:rsidRDefault="000423AB" w:rsidP="00D36CF7"/>
    <w:p w14:paraId="193F7ACA" w14:textId="77777777" w:rsidR="000423AB" w:rsidRDefault="000423AB" w:rsidP="000423AB"/>
    <w:p w14:paraId="3356537A" w14:textId="77777777" w:rsidR="000423AB" w:rsidRDefault="000423AB" w:rsidP="00050D4B">
      <w:pPr>
        <w:pStyle w:val="Heading2"/>
      </w:pPr>
      <w:bookmarkStart w:id="11" w:name="_Toc349741333"/>
      <w:r>
        <w:t>2.1</w:t>
      </w:r>
      <w:r>
        <w:rPr>
          <w:rFonts w:eastAsiaTheme="minorEastAsia"/>
        </w:rPr>
        <w:tab/>
      </w:r>
      <w:r>
        <w:t>Introduction</w:t>
      </w:r>
      <w:bookmarkEnd w:id="11"/>
    </w:p>
    <w:p w14:paraId="11CD3CB9" w14:textId="1AF09318" w:rsidR="001D0665" w:rsidRDefault="00226251" w:rsidP="0054273B">
      <w:pPr>
        <w:rPr>
          <w:lang w:eastAsia="ja-JP"/>
        </w:rPr>
      </w:pPr>
      <w:r>
        <w:t>State</w:t>
      </w:r>
      <w:r w:rsidR="000423AB">
        <w:t xml:space="preserve"> transformation has become a significant phenomenon</w:t>
      </w:r>
      <w:r w:rsidRPr="00226251">
        <w:t xml:space="preserve"> </w:t>
      </w:r>
      <w:r>
        <w:rPr>
          <w:rFonts w:eastAsia="MS Mincho" w:hint="eastAsia"/>
          <w:lang w:eastAsia="ja-JP"/>
        </w:rPr>
        <w:t>i</w:t>
      </w:r>
      <w:r>
        <w:t>n recent decades</w:t>
      </w:r>
      <w:r w:rsidR="000423AB">
        <w:t>. Japan is no exception to this trend. Indeed, the Japanese state today is significantly different from the Japanese state both in the late 19</w:t>
      </w:r>
      <w:r w:rsidR="00AD32B9">
        <w:t>th</w:t>
      </w:r>
      <w:r w:rsidR="000423AB">
        <w:t xml:space="preserve"> century and more recently the 1960s, when it enjoyed a significant economic growth (Vogel 2006 p.224). Unlike countries such as the UK, where a</w:t>
      </w:r>
      <w:r w:rsidR="00071CF3">
        <w:t xml:space="preserve"> perceived </w:t>
      </w:r>
      <w:r w:rsidR="000423AB">
        <w:t xml:space="preserve">juncture appeared with, for example, the emergence of the Thatcher Government and its neo-liberal rhetoric that has created debate about the nature of the transformation of the British state, the transformation of the Japanese state witnessed after the 1990s has been relatively more gradual and </w:t>
      </w:r>
      <w:r w:rsidR="00E34742">
        <w:t>evolutionary</w:t>
      </w:r>
      <w:r w:rsidR="000423AB">
        <w:t>.</w:t>
      </w:r>
      <w:r w:rsidR="00E23621">
        <w:rPr>
          <w:rFonts w:hint="eastAsia"/>
          <w:lang w:eastAsia="ja-JP"/>
        </w:rPr>
        <w:t xml:space="preserve"> </w:t>
      </w:r>
      <w:r w:rsidR="000423AB">
        <w:t>How the literature address</w:t>
      </w:r>
      <w:r w:rsidR="00AD32B9">
        <w:t>es</w:t>
      </w:r>
      <w:r w:rsidR="000423AB">
        <w:t xml:space="preserve"> the nature of change in regard to the Japanese state forms a key element of this thesis.</w:t>
      </w:r>
      <w:r w:rsidR="001D0665">
        <w:rPr>
          <w:rFonts w:hint="eastAsia"/>
          <w:lang w:eastAsia="ja-JP"/>
        </w:rPr>
        <w:t xml:space="preserve"> </w:t>
      </w:r>
      <w:r w:rsidR="00E23621">
        <w:rPr>
          <w:rFonts w:hint="eastAsia"/>
          <w:lang w:eastAsia="ja-JP"/>
        </w:rPr>
        <w:t xml:space="preserve">The difference between the Japanese case and the British one can imply that the Japanese case is mobilised by different approaches. </w:t>
      </w:r>
      <w:r w:rsidR="00FB5657">
        <w:rPr>
          <w:rFonts w:hint="eastAsia"/>
          <w:lang w:eastAsia="ja-JP"/>
        </w:rPr>
        <w:t xml:space="preserve">An account </w:t>
      </w:r>
      <w:r w:rsidR="0054273B">
        <w:rPr>
          <w:lang w:eastAsia="ja-JP"/>
        </w:rPr>
        <w:t>of</w:t>
      </w:r>
      <w:r w:rsidR="00FB5657">
        <w:rPr>
          <w:rFonts w:hint="eastAsia"/>
          <w:lang w:eastAsia="ja-JP"/>
        </w:rPr>
        <w:t xml:space="preserve"> the difference can be offered by t</w:t>
      </w:r>
      <w:r w:rsidR="001D0665">
        <w:rPr>
          <w:rFonts w:hint="eastAsia"/>
          <w:lang w:eastAsia="ja-JP"/>
        </w:rPr>
        <w:t>he approach of historical institutionalists</w:t>
      </w:r>
      <w:r w:rsidR="002A7C3B">
        <w:rPr>
          <w:rFonts w:hint="eastAsia"/>
          <w:lang w:eastAsia="ja-JP"/>
        </w:rPr>
        <w:t xml:space="preserve"> </w:t>
      </w:r>
      <w:r w:rsidR="001D0665">
        <w:rPr>
          <w:rFonts w:hint="eastAsia"/>
          <w:lang w:eastAsia="ja-JP"/>
        </w:rPr>
        <w:t>as Lowndes</w:t>
      </w:r>
      <w:r w:rsidR="001D0665">
        <w:rPr>
          <w:lang w:eastAsia="ja-JP"/>
        </w:rPr>
        <w:t>’</w:t>
      </w:r>
      <w:r w:rsidR="001D0665">
        <w:rPr>
          <w:rFonts w:hint="eastAsia"/>
          <w:lang w:eastAsia="ja-JP"/>
        </w:rPr>
        <w:t xml:space="preserve"> (2002 p.96) typology indicates</w:t>
      </w:r>
      <w:r w:rsidR="0073672A">
        <w:rPr>
          <w:rFonts w:hint="eastAsia"/>
          <w:lang w:eastAsia="ja-JP"/>
        </w:rPr>
        <w:t xml:space="preserve"> that</w:t>
      </w:r>
      <w:r w:rsidR="001D0665">
        <w:rPr>
          <w:rFonts w:hint="eastAsia"/>
          <w:lang w:eastAsia="ja-JP"/>
        </w:rPr>
        <w:t xml:space="preserve">: </w:t>
      </w:r>
      <w:r w:rsidR="001D0665" w:rsidRPr="007A59CF">
        <w:rPr>
          <w:lang w:eastAsia="ja-JP"/>
        </w:rPr>
        <w:t>‘</w:t>
      </w:r>
      <w:r w:rsidR="001D0665" w:rsidRPr="007A59CF">
        <w:rPr>
          <w:rFonts w:hint="eastAsia"/>
          <w:lang w:eastAsia="ja-JP"/>
        </w:rPr>
        <w:t>Historical institutionalists look a</w:t>
      </w:r>
      <w:r w:rsidR="00700B0D" w:rsidRPr="007A59CF">
        <w:rPr>
          <w:lang w:eastAsia="ja-JP"/>
        </w:rPr>
        <w:t>t</w:t>
      </w:r>
      <w:r w:rsidR="001D0665" w:rsidRPr="007A59CF">
        <w:rPr>
          <w:rFonts w:hint="eastAsia"/>
          <w:lang w:eastAsia="ja-JP"/>
        </w:rPr>
        <w:t xml:space="preserve"> how choices made about the institutional </w:t>
      </w:r>
      <w:r w:rsidR="001D0665" w:rsidRPr="007A59CF">
        <w:rPr>
          <w:lang w:eastAsia="ja-JP"/>
        </w:rPr>
        <w:t>design</w:t>
      </w:r>
      <w:r w:rsidR="001D0665" w:rsidRPr="007A59CF">
        <w:rPr>
          <w:rFonts w:hint="eastAsia"/>
          <w:lang w:eastAsia="ja-JP"/>
        </w:rPr>
        <w:t xml:space="preserve"> of government systems</w:t>
      </w:r>
      <w:r w:rsidR="001D0665">
        <w:rPr>
          <w:rFonts w:hint="eastAsia"/>
          <w:lang w:eastAsia="ja-JP"/>
        </w:rPr>
        <w:t xml:space="preserve"> influence the future decision-making of individuals</w:t>
      </w:r>
      <w:r w:rsidR="001D0665">
        <w:rPr>
          <w:lang w:eastAsia="ja-JP"/>
        </w:rPr>
        <w:t>’</w:t>
      </w:r>
      <w:r w:rsidR="001D0665">
        <w:rPr>
          <w:rFonts w:hint="eastAsia"/>
          <w:lang w:eastAsia="ja-JP"/>
        </w:rPr>
        <w:t>.</w:t>
      </w:r>
    </w:p>
    <w:p w14:paraId="099F510A" w14:textId="77777777" w:rsidR="000423AB" w:rsidRDefault="000423AB" w:rsidP="000423AB">
      <w:pPr>
        <w:ind w:firstLine="284"/>
      </w:pPr>
      <w:r>
        <w:t xml:space="preserve">Three major schools have emerged to account for Japan and the Japanese state in the literature after the 1980s: the state centric, the pluralist, and rational choice. The state centric school sets out the influential ‘developmental state’ thesis proposed by Johnson (1982) (see 2.2). </w:t>
      </w:r>
      <w:r w:rsidR="00071CF3">
        <w:t>It depicts the</w:t>
      </w:r>
      <w:r>
        <w:t xml:space="preserve"> Japanese state as development oriented or strategic under the domination of economic bureaucrats</w:t>
      </w:r>
      <w:r w:rsidR="00F92A51">
        <w:rPr>
          <w:rFonts w:hint="eastAsia"/>
          <w:lang w:eastAsia="ja-JP"/>
        </w:rPr>
        <w:t>;</w:t>
      </w:r>
      <w:r>
        <w:t xml:space="preserve"> this approach describes a state primarily concentrating on the economic development of the country. The state retains a strong authority based on </w:t>
      </w:r>
      <w:r w:rsidR="00B351F9">
        <w:t xml:space="preserve">the </w:t>
      </w:r>
      <w:r>
        <w:t xml:space="preserve">Weberian model of bureaucracy, which is insulated from society and organised to maximise its efficiency. The developmental state thesis </w:t>
      </w:r>
      <w:r w:rsidR="00071CF3">
        <w:t xml:space="preserve">had a sustained and lasting impact shaping the </w:t>
      </w:r>
      <w:r>
        <w:t>successive literature on Japan (Schaede 2000 p.2). As an example</w:t>
      </w:r>
      <w:r w:rsidR="00071CF3">
        <w:t>,</w:t>
      </w:r>
      <w:r>
        <w:t xml:space="preserve"> Vogel (1996)</w:t>
      </w:r>
      <w:r w:rsidR="00071CF3">
        <w:t xml:space="preserve"> adapts Johnson (1982) to</w:t>
      </w:r>
      <w:r>
        <w:t xml:space="preserve"> explore regulatory reforms in Japan and the UK, describing the Japanese approach as managerial oriented (p.59) (see 2.4).</w:t>
      </w:r>
    </w:p>
    <w:p w14:paraId="3FF49937" w14:textId="77777777" w:rsidR="00071CF3" w:rsidRDefault="000423AB" w:rsidP="000423AB">
      <w:pPr>
        <w:ind w:firstLine="284"/>
      </w:pPr>
      <w:r>
        <w:t xml:space="preserve">This dominant paradigm of the developmental state </w:t>
      </w:r>
      <w:r w:rsidR="00071CF3">
        <w:t>was</w:t>
      </w:r>
      <w:r w:rsidR="00196273">
        <w:rPr>
          <w:rFonts w:hint="eastAsia"/>
          <w:lang w:eastAsia="ja-JP"/>
        </w:rPr>
        <w:t>,</w:t>
      </w:r>
      <w:r w:rsidR="00071CF3">
        <w:t xml:space="preserve"> however</w:t>
      </w:r>
      <w:r w:rsidR="00196273">
        <w:rPr>
          <w:rFonts w:hint="eastAsia"/>
          <w:lang w:eastAsia="ja-JP"/>
        </w:rPr>
        <w:t>,</w:t>
      </w:r>
      <w:r w:rsidR="00071CF3">
        <w:t xml:space="preserve"> later </w:t>
      </w:r>
      <w:r>
        <w:t>challenged by the emergenc</w:t>
      </w:r>
      <w:r w:rsidR="00B351F9">
        <w:t>e</w:t>
      </w:r>
      <w:r>
        <w:t xml:space="preserve"> of a pluralist literature</w:t>
      </w:r>
      <w:r w:rsidR="00196273">
        <w:rPr>
          <w:rFonts w:hint="eastAsia"/>
          <w:lang w:eastAsia="ja-JP"/>
        </w:rPr>
        <w:t xml:space="preserve"> (</w:t>
      </w:r>
      <w:r w:rsidR="00071CF3">
        <w:t>for example</w:t>
      </w:r>
      <w:r w:rsidR="00196273">
        <w:rPr>
          <w:rFonts w:hint="eastAsia"/>
          <w:lang w:eastAsia="ja-JP"/>
        </w:rPr>
        <w:t>,</w:t>
      </w:r>
      <w:r w:rsidR="00071CF3">
        <w:t xml:space="preserve"> see</w:t>
      </w:r>
      <w:r>
        <w:t xml:space="preserve"> Muramatsu and Krauss (1987) and Calder (1993) </w:t>
      </w:r>
      <w:r w:rsidR="00196273">
        <w:rPr>
          <w:rFonts w:hint="eastAsia"/>
          <w:lang w:eastAsia="ja-JP"/>
        </w:rPr>
        <w:t xml:space="preserve">in </w:t>
      </w:r>
      <w:r>
        <w:t xml:space="preserve">2.3). The pluralist school points out the importance </w:t>
      </w:r>
      <w:r w:rsidR="00874BE7">
        <w:rPr>
          <w:rFonts w:eastAsia="MS Mincho" w:hint="eastAsia"/>
          <w:lang w:eastAsia="ja-JP"/>
        </w:rPr>
        <w:t xml:space="preserve">of </w:t>
      </w:r>
      <w:r>
        <w:t xml:space="preserve">other actors than </w:t>
      </w:r>
      <w:r w:rsidR="00027D04">
        <w:t xml:space="preserve">just </w:t>
      </w:r>
      <w:r>
        <w:t xml:space="preserve">bureaucrats, such as party politicians (Muramatsu and Krauss 1987) and private sector actors including long term credit banks (Calder 1993). Schaede (2000) extended this trend to the extent that it argues that </w:t>
      </w:r>
      <w:r w:rsidR="00874BE7">
        <w:t>self-regulation</w:t>
      </w:r>
      <w:r>
        <w:t xml:space="preserve"> by Japan’s trade associations dominate its regulatory policy. </w:t>
      </w:r>
    </w:p>
    <w:p w14:paraId="25A6AFBE" w14:textId="77777777" w:rsidR="000423AB" w:rsidRDefault="00071CF3" w:rsidP="000423AB">
      <w:pPr>
        <w:ind w:firstLine="284"/>
      </w:pPr>
      <w:r>
        <w:t>Elsewhere, a</w:t>
      </w:r>
      <w:r w:rsidR="000423AB">
        <w:t>nother school challenging the notion of the developmental state is rational choice (see 2.4). The rational choice literature understands Japan’s politics as a result of the rational choice by actors, particularly party politicians confronting elections. As an example of this school, Ramseyer and Rosenbluth (1993) analyse Japanese politics with the principal-agent theory and conclude that the ruling LDP at the time dominated Japan’s policy making by mobilising bureaucrats (Wright 1999 p.949) (see 2.5).</w:t>
      </w:r>
    </w:p>
    <w:p w14:paraId="06B0E0EC" w14:textId="77777777" w:rsidR="000423AB" w:rsidRDefault="000423AB" w:rsidP="000423AB">
      <w:pPr>
        <w:ind w:firstLine="284"/>
      </w:pPr>
      <w:r>
        <w:t>After the 1990s these schools of pluralist and rational choice started reporting that significant changes were emerging in Japan (</w:t>
      </w:r>
      <w:r w:rsidR="00293CA8">
        <w:rPr>
          <w:rFonts w:hint="eastAsia"/>
          <w:lang w:eastAsia="ja-JP"/>
        </w:rPr>
        <w:t xml:space="preserve">e.g. </w:t>
      </w:r>
      <w:r>
        <w:t xml:space="preserve">Yamamura 1997, Pempel 1998, Schaede 2008, Vogel 2006, Pempel 2010, Rosenbluth/Thies 2010). This group of literature focused on the changes of actors and structures: bureaucracy was losing its traditional approach, developmentally oriented measures, and private firms were taking more responsibility and risks (Sahaede 2008, Vogel 2006. See 2.6). What is missing in these accounts of the literature such as Schaede (2008) and Vogel (2006) is how the Japanese state at a macro level has evolved. </w:t>
      </w:r>
    </w:p>
    <w:p w14:paraId="4AB1697E" w14:textId="77777777" w:rsidR="000423AB" w:rsidRDefault="000423AB" w:rsidP="006D1420">
      <w:pPr>
        <w:ind w:firstLine="284"/>
      </w:pPr>
      <w:r>
        <w:t>The developmental state thesis by Johnson (1982) enjoys an influential position over the successive literature about Japan and its state. The thesis was a watershed in</w:t>
      </w:r>
      <w:r w:rsidR="00071CF3">
        <w:t xml:space="preserve"> the study of</w:t>
      </w:r>
      <w:r>
        <w:t xml:space="preserve"> Japanese </w:t>
      </w:r>
      <w:r w:rsidR="00071CF3">
        <w:t>politics</w:t>
      </w:r>
      <w:r>
        <w:t xml:space="preserve"> and had a significant impact over the Japan</w:t>
      </w:r>
      <w:r w:rsidR="00071CF3">
        <w:t>ese</w:t>
      </w:r>
      <w:r>
        <w:t xml:space="preserve"> political science literature after the 1980s. When the core theme of this thesis – transformation of the Japanese state after the 1980s – is explored, the developmental state thesis offers a </w:t>
      </w:r>
      <w:r w:rsidR="00071CF3">
        <w:t xml:space="preserve">useful </w:t>
      </w:r>
      <w:r>
        <w:t>starting point in terms of its significance in literature and the timing of its emergence. The successive responses by pluralist literature (e.g. Muramatsu and Krauss 1987) and rational choice literature (e.g. Ramseyer and Rosenbluth 1993) have shaped the perspectives on Japan and its state in political science.</w:t>
      </w:r>
    </w:p>
    <w:p w14:paraId="1328E39D" w14:textId="77777777" w:rsidR="000423AB" w:rsidRDefault="000423AB" w:rsidP="000423AB">
      <w:pPr>
        <w:ind w:firstLine="284"/>
      </w:pPr>
      <w:r>
        <w:t>The following section highlights this developmental state thesis by reviewing its most influential contribution, that of Johnson (1982). This is followed by the assessments of the pluralist view, which has come to dominate Japan’s political science literature alongside the rational choice literature, which is: ‘(t)he most provocative and full-blooded attack on the dominant bureaucracy thesis’ (Wright 1999 p.949). The chapter then reflects on criticism of these two approach</w:t>
      </w:r>
      <w:r w:rsidR="00071CF3">
        <w:t>es</w:t>
      </w:r>
      <w:r>
        <w:t xml:space="preserve"> provided by Vogel (1996). Following this, the last section reviews the recent literature assessing the transformation </w:t>
      </w:r>
      <w:r w:rsidR="00F823BF">
        <w:t>that has taken</w:t>
      </w:r>
      <w:r>
        <w:t xml:space="preserve"> place in Japan after the late 1990s</w:t>
      </w:r>
      <w:r w:rsidR="00916402">
        <w:rPr>
          <w:rFonts w:hint="eastAsia"/>
          <w:lang w:eastAsia="ja-JP"/>
        </w:rPr>
        <w:t xml:space="preserve">, when </w:t>
      </w:r>
      <w:r w:rsidR="00502A72">
        <w:rPr>
          <w:rFonts w:hint="eastAsia"/>
          <w:lang w:eastAsia="ja-JP"/>
        </w:rPr>
        <w:t>commentators</w:t>
      </w:r>
      <w:r w:rsidR="00916402">
        <w:rPr>
          <w:rFonts w:hint="eastAsia"/>
          <w:lang w:eastAsia="ja-JP"/>
        </w:rPr>
        <w:t xml:space="preserve"> started</w:t>
      </w:r>
      <w:r w:rsidR="00502A72">
        <w:rPr>
          <w:rFonts w:hint="eastAsia"/>
          <w:lang w:eastAsia="ja-JP"/>
        </w:rPr>
        <w:t xml:space="preserve"> reporting changes in Japan</w:t>
      </w:r>
      <w:r w:rsidR="00502A72">
        <w:rPr>
          <w:lang w:eastAsia="ja-JP"/>
        </w:rPr>
        <w:t>’</w:t>
      </w:r>
      <w:r w:rsidR="00502A72">
        <w:rPr>
          <w:rFonts w:hint="eastAsia"/>
          <w:lang w:eastAsia="ja-JP"/>
        </w:rPr>
        <w:t>s politics and society</w:t>
      </w:r>
      <w:r>
        <w:t>.</w:t>
      </w:r>
    </w:p>
    <w:p w14:paraId="22B0B389" w14:textId="77777777" w:rsidR="000423AB" w:rsidRDefault="000423AB" w:rsidP="000423AB">
      <w:pPr>
        <w:ind w:firstLine="284"/>
        <w:rPr>
          <w:b/>
        </w:rPr>
      </w:pPr>
    </w:p>
    <w:p w14:paraId="6FE45CC4" w14:textId="77777777" w:rsidR="000423AB" w:rsidRDefault="000423AB" w:rsidP="000423AB">
      <w:pPr>
        <w:ind w:firstLine="284"/>
        <w:rPr>
          <w:b/>
        </w:rPr>
      </w:pPr>
    </w:p>
    <w:p w14:paraId="26C7CEC7" w14:textId="77777777" w:rsidR="000423AB" w:rsidRDefault="000423AB" w:rsidP="00050D4B">
      <w:pPr>
        <w:pStyle w:val="Heading2"/>
      </w:pPr>
      <w:bookmarkStart w:id="12" w:name="_Toc349741334"/>
      <w:r>
        <w:t>2.2</w:t>
      </w:r>
      <w:r>
        <w:rPr>
          <w:rFonts w:eastAsiaTheme="minorEastAsia"/>
        </w:rPr>
        <w:tab/>
        <w:t>The d</w:t>
      </w:r>
      <w:r>
        <w:t>evelopmental state</w:t>
      </w:r>
      <w:bookmarkEnd w:id="12"/>
    </w:p>
    <w:p w14:paraId="5A5480A2" w14:textId="77777777" w:rsidR="000423AB" w:rsidRDefault="000423AB" w:rsidP="000423AB">
      <w:r>
        <w:t xml:space="preserve">The notion of the developmental state was the dominant approach to emerge among the literature on Japanese studies during the 1970s and the 1980s (Schaede 2000 p.2). Regarding state intervention to the economy as key, this notion places state power at the centre (Schaede 2000 p.2, Johnson 1982 pp.17-9). The work of Johnson (1982) has been at the forefront of developing this approach, around which numerous other </w:t>
      </w:r>
      <w:r w:rsidR="00D77802">
        <w:t>studies have</w:t>
      </w:r>
      <w:r>
        <w:t xml:space="preserve"> contributed, including Schaede (2000 p.2), Woo-Cumings (1999 p.1), Calder (1993 p.9), I’io (2007 p.73), Gao (1997 p.7), Weiss (1998 p.69, p.217), Wright (1999 p.941).</w:t>
      </w:r>
    </w:p>
    <w:p w14:paraId="76D7A69B" w14:textId="77777777" w:rsidR="000423AB" w:rsidRDefault="000423AB" w:rsidP="000423AB">
      <w:pPr>
        <w:ind w:firstLine="284"/>
      </w:pPr>
      <w:r>
        <w:t>Johnson (1982) contrasts Japan as a developmental state with the US as a regulatory state (p.10). Japan was predominantly development-oriented and its government concerned itself with the structure of the domestic industry and with promoting the structure that enhances its international competitiveness (Johnson 1982 p.19). It focuses on what industries ought to exist and what industries were no longer needed (Johnson 1982 p.19)</w:t>
      </w:r>
      <w:r>
        <w:rPr>
          <w:rStyle w:val="FootnoteReference"/>
        </w:rPr>
        <w:footnoteReference w:id="2"/>
      </w:r>
      <w:r>
        <w:t xml:space="preserve">. Prioritising key industries in the economic strategy of the country, this approach by the MITI </w:t>
      </w:r>
      <w:r w:rsidR="00744688">
        <w:rPr>
          <w:rFonts w:hint="eastAsia"/>
          <w:lang w:eastAsia="ja-JP"/>
        </w:rPr>
        <w:t>(</w:t>
      </w:r>
      <w:r w:rsidR="00744688">
        <w:t>Ministry of International Trade and Industry</w:t>
      </w:r>
      <w:r w:rsidR="00744688">
        <w:rPr>
          <w:rFonts w:hint="eastAsia"/>
          <w:lang w:eastAsia="ja-JP"/>
        </w:rPr>
        <w:t>)</w:t>
      </w:r>
      <w:r w:rsidR="00744688" w:rsidRPr="00744688">
        <w:rPr>
          <w:rStyle w:val="FootnoteReference"/>
        </w:rPr>
        <w:t xml:space="preserve"> </w:t>
      </w:r>
      <w:r w:rsidR="00744688">
        <w:rPr>
          <w:rStyle w:val="FootnoteReference"/>
        </w:rPr>
        <w:footnoteReference w:id="3"/>
      </w:r>
      <w:r w:rsidR="00744688">
        <w:rPr>
          <w:rFonts w:hint="eastAsia"/>
          <w:lang w:eastAsia="ja-JP"/>
        </w:rPr>
        <w:t xml:space="preserve"> </w:t>
      </w:r>
      <w:r>
        <w:t xml:space="preserve">to industries can be understood as strategic, or goal-oriented to </w:t>
      </w:r>
      <w:r w:rsidR="00D77802">
        <w:t xml:space="preserve">the </w:t>
      </w:r>
      <w:r>
        <w:t xml:space="preserve">economy (Johnson 1982 p.19). The importation of technology, one of the central components of post war Japanese industrial policy, was under the control of the MITI before the capital liberalisation of the late 1960s and the 1970s (Johnson 1982 pp.16-7). This leads Johnson (1982) to focus on the role of the </w:t>
      </w:r>
      <w:r w:rsidR="00AF0A06">
        <w:rPr>
          <w:rFonts w:hint="eastAsia"/>
          <w:lang w:eastAsia="ja-JP"/>
        </w:rPr>
        <w:t xml:space="preserve">Japanese </w:t>
      </w:r>
      <w:r>
        <w:t>developmental state</w:t>
      </w:r>
      <w:r w:rsidR="00AF0A06">
        <w:rPr>
          <w:rFonts w:hint="eastAsia"/>
          <w:lang w:eastAsia="ja-JP"/>
        </w:rPr>
        <w:t>, whose key characteristics are in Table 2.1</w:t>
      </w:r>
      <w:r>
        <w:t xml:space="preserve"> (Johnson 1982 pp.16-7).</w:t>
      </w:r>
    </w:p>
    <w:p w14:paraId="4A1F8DC1" w14:textId="77777777" w:rsidR="00AF0A06" w:rsidRDefault="00AF0A06" w:rsidP="000423AB">
      <w:pPr>
        <w:ind w:firstLine="284"/>
        <w:rPr>
          <w:lang w:eastAsia="ja-JP"/>
        </w:rPr>
      </w:pPr>
    </w:p>
    <w:p w14:paraId="378E1249" w14:textId="77777777" w:rsidR="00AF0A06" w:rsidRDefault="00AF0A06" w:rsidP="00DA051E">
      <w:pPr>
        <w:pStyle w:val="Heading4"/>
        <w:rPr>
          <w:lang w:eastAsia="ja-JP"/>
        </w:rPr>
      </w:pPr>
      <w:r>
        <w:rPr>
          <w:rFonts w:hint="eastAsia"/>
          <w:lang w:eastAsia="ja-JP"/>
        </w:rPr>
        <w:t>Table 2.1: The key characteristics of the Japanese developmental state (Johnson 1982 pp.</w:t>
      </w:r>
      <w:r w:rsidR="00DA051E">
        <w:rPr>
          <w:rFonts w:hint="eastAsia"/>
          <w:lang w:eastAsia="ja-JP"/>
        </w:rPr>
        <w:t>265-319)</w:t>
      </w:r>
    </w:p>
    <w:tbl>
      <w:tblPr>
        <w:tblStyle w:val="TableGrid"/>
        <w:tblW w:w="0" w:type="auto"/>
        <w:tblLook w:val="04A0" w:firstRow="1" w:lastRow="0" w:firstColumn="1" w:lastColumn="0" w:noHBand="0" w:noVBand="1"/>
      </w:tblPr>
      <w:tblGrid>
        <w:gridCol w:w="8720"/>
      </w:tblGrid>
      <w:tr w:rsidR="00AF0A06" w14:paraId="5D19A6FD" w14:textId="77777777" w:rsidTr="00AF0A06">
        <w:tc>
          <w:tcPr>
            <w:tcW w:w="9286" w:type="dxa"/>
          </w:tcPr>
          <w:p w14:paraId="606046F2" w14:textId="77777777" w:rsidR="00DA051E" w:rsidRDefault="00DA051E" w:rsidP="00DA051E">
            <w:pPr>
              <w:pStyle w:val="NoSpacing"/>
              <w:ind w:left="284"/>
            </w:pPr>
          </w:p>
          <w:p w14:paraId="688E963E" w14:textId="77777777" w:rsidR="00AF0A06" w:rsidRPr="00DA051E" w:rsidRDefault="00AF0A06" w:rsidP="00DA051E">
            <w:pPr>
              <w:pStyle w:val="NoSpacing"/>
              <w:numPr>
                <w:ilvl w:val="0"/>
                <w:numId w:val="78"/>
              </w:numPr>
              <w:ind w:left="284" w:hanging="284"/>
              <w:rPr>
                <w:b/>
              </w:rPr>
            </w:pPr>
            <w:r w:rsidRPr="00DA051E">
              <w:rPr>
                <w:b/>
              </w:rPr>
              <w:t>A small, ine</w:t>
            </w:r>
            <w:r w:rsidR="00DA051E" w:rsidRPr="00DA051E">
              <w:rPr>
                <w:b/>
              </w:rPr>
              <w:t>xpensive, and elite bureaucracy</w:t>
            </w:r>
          </w:p>
          <w:p w14:paraId="4126AAAE" w14:textId="77777777" w:rsidR="00AF0A06" w:rsidRDefault="00AF0A06" w:rsidP="00DA051E">
            <w:pPr>
              <w:pStyle w:val="NoSpacing"/>
              <w:ind w:left="284"/>
            </w:pPr>
            <w:r>
              <w:t>‘staffed by the best managerial talent available in the system’, the majority of whom were generalists in the formulation and implementation of public policy (Johnson 1982 p.315). The bureaucrats were: ‘not professionals, civil servants, or experts, but managers’ rotated frequently (Johnson 1982 p.315). Many of them were educated in law or economics, but preferably not specialists</w:t>
            </w:r>
            <w:r w:rsidR="00B73AC8">
              <w:rPr>
                <w:rFonts w:hint="eastAsia"/>
                <w:lang w:eastAsia="ja-JP"/>
              </w:rPr>
              <w:t xml:space="preserve"> because</w:t>
            </w:r>
            <w:r>
              <w:t xml:space="preserve"> as a general rule professionals </w:t>
            </w:r>
            <w:r w:rsidR="00B73AC8">
              <w:rPr>
                <w:rFonts w:hint="eastAsia"/>
                <w:lang w:eastAsia="ja-JP"/>
              </w:rPr>
              <w:t>tend to become</w:t>
            </w:r>
            <w:r>
              <w:t xml:space="preserve"> </w:t>
            </w:r>
            <w:r w:rsidR="00B73AC8">
              <w:rPr>
                <w:lang w:eastAsia="ja-JP"/>
              </w:rPr>
              <w:t>‘</w:t>
            </w:r>
            <w:r>
              <w:t>poor organisation men</w:t>
            </w:r>
            <w:r w:rsidR="00B73AC8">
              <w:rPr>
                <w:lang w:eastAsia="ja-JP"/>
              </w:rPr>
              <w:t>’</w:t>
            </w:r>
            <w:r>
              <w:t xml:space="preserve"> (Johnson 1982 p.315). The role of bureaucrats was managing the state: prioritise the industries, formulate developmental policies based on the conditions of the respective industries, and supervise competition. The laws to implement the industrial policies were generalised and the details of industrial policies were not decided by lawyers but managed by bureaucrats by non-statutory tools such as administrative guidance</w:t>
            </w:r>
            <w:r w:rsidR="00DA051E">
              <w:rPr>
                <w:rStyle w:val="FootnoteReference"/>
              </w:rPr>
              <w:footnoteReference w:id="4"/>
            </w:r>
            <w:r w:rsidR="00DA051E">
              <w:rPr>
                <w:rFonts w:hint="eastAsia"/>
                <w:lang w:eastAsia="ja-JP"/>
              </w:rPr>
              <w:t>.</w:t>
            </w:r>
            <w:r>
              <w:t xml:space="preserve"> </w:t>
            </w:r>
          </w:p>
          <w:p w14:paraId="036EAD1B" w14:textId="77777777" w:rsidR="00AF0A06" w:rsidRDefault="00AF0A06" w:rsidP="00DA051E">
            <w:pPr>
              <w:pStyle w:val="NoSpacing"/>
            </w:pPr>
          </w:p>
          <w:p w14:paraId="47F39AC2" w14:textId="77777777" w:rsidR="00AF0A06" w:rsidRPr="00DA051E" w:rsidRDefault="00AF0A06" w:rsidP="00DA051E">
            <w:pPr>
              <w:pStyle w:val="NoSpacing"/>
              <w:numPr>
                <w:ilvl w:val="0"/>
                <w:numId w:val="78"/>
              </w:numPr>
              <w:ind w:left="284" w:hanging="284"/>
              <w:rPr>
                <w:b/>
              </w:rPr>
            </w:pPr>
            <w:r w:rsidRPr="00DA051E">
              <w:rPr>
                <w:b/>
              </w:rPr>
              <w:t>A political system which gives bureaucrats sufficient scope and operability</w:t>
            </w:r>
          </w:p>
          <w:p w14:paraId="6784D5EC" w14:textId="77777777" w:rsidR="00AF0A06" w:rsidRDefault="00AF0A06" w:rsidP="00DA051E">
            <w:pPr>
              <w:pStyle w:val="NoSpacing"/>
              <w:ind w:left="284"/>
            </w:pPr>
            <w:r>
              <w:t>The parliament (Diet) and courts stopped bureaucrats when their policy making activities strayed too far from what the public would tolerate and fended off interest groups in society, who may distort the priority of the developmental state.</w:t>
            </w:r>
          </w:p>
          <w:p w14:paraId="6E0FA994" w14:textId="77777777" w:rsidR="00AF0A06" w:rsidRDefault="00AF0A06" w:rsidP="00DA051E">
            <w:pPr>
              <w:pStyle w:val="NoSpacing"/>
            </w:pPr>
          </w:p>
          <w:p w14:paraId="69E993B7" w14:textId="77777777" w:rsidR="00AF0A06" w:rsidRPr="00DA051E" w:rsidRDefault="00AF0A06" w:rsidP="00DA051E">
            <w:pPr>
              <w:pStyle w:val="NoSpacing"/>
              <w:numPr>
                <w:ilvl w:val="0"/>
                <w:numId w:val="78"/>
              </w:numPr>
              <w:ind w:left="284" w:hanging="284"/>
              <w:rPr>
                <w:b/>
              </w:rPr>
            </w:pPr>
            <w:r w:rsidRPr="00DA051E">
              <w:rPr>
                <w:b/>
              </w:rPr>
              <w:t>The state capacity to intervene in industries through ‘market-conforming m</w:t>
            </w:r>
            <w:r w:rsidR="00DA051E">
              <w:rPr>
                <w:b/>
              </w:rPr>
              <w:t>ethods’</w:t>
            </w:r>
          </w:p>
          <w:p w14:paraId="40D4C48C" w14:textId="77777777" w:rsidR="00AF0A06" w:rsidRDefault="00AF0A06" w:rsidP="00DA051E">
            <w:pPr>
              <w:pStyle w:val="NoSpacing"/>
              <w:ind w:left="284"/>
            </w:pPr>
            <w:r>
              <w:t>The state must preserve competition to the extent that it could coexist with its priorities in implementing industrial policy. This prevented government failure such as the ‘deadening hand of state control’, resultant inefficiency, incentive loss, corruption and bureaucratism (Johnson 1982 p.318). Market-conforming methods were generated through the conflicts between the state and private firms. The co-operative relationship between the state and private firms was key for market-conforming methods, and such a relationship could be established when both parties recognised that they needed each other.</w:t>
            </w:r>
          </w:p>
          <w:p w14:paraId="3D850C5F" w14:textId="77777777" w:rsidR="00DA051E" w:rsidRDefault="00DA051E" w:rsidP="00DA051E">
            <w:pPr>
              <w:pStyle w:val="NoSpacing"/>
              <w:rPr>
                <w:lang w:eastAsia="ja-JP"/>
              </w:rPr>
            </w:pPr>
          </w:p>
          <w:p w14:paraId="3438665D" w14:textId="77777777" w:rsidR="00AF0A06" w:rsidRPr="00DA051E" w:rsidRDefault="00AF0A06" w:rsidP="00DA051E">
            <w:pPr>
              <w:pStyle w:val="NoSpacing"/>
              <w:numPr>
                <w:ilvl w:val="0"/>
                <w:numId w:val="78"/>
              </w:numPr>
              <w:ind w:left="284" w:hanging="284"/>
              <w:rPr>
                <w:b/>
              </w:rPr>
            </w:pPr>
            <w:r w:rsidRPr="00DA051E">
              <w:rPr>
                <w:b/>
              </w:rPr>
              <w:t>The ‘pilot organisation’, which formulates industrial policies and guides industries</w:t>
            </w:r>
          </w:p>
          <w:p w14:paraId="72BBCD0E" w14:textId="2F931652" w:rsidR="00AF0A06" w:rsidRDefault="00AF0A06" w:rsidP="00DA051E">
            <w:pPr>
              <w:pStyle w:val="NoSpacing"/>
              <w:ind w:left="284"/>
            </w:pPr>
            <w:r>
              <w:t>The MITI was an example of th</w:t>
            </w:r>
            <w:r w:rsidR="00DA051E">
              <w:rPr>
                <w:rFonts w:hint="eastAsia"/>
                <w:lang w:eastAsia="ja-JP"/>
              </w:rPr>
              <w:t>e</w:t>
            </w:r>
            <w:r>
              <w:t xml:space="preserve"> pilot organisation.</w:t>
            </w:r>
          </w:p>
          <w:p w14:paraId="29B69909" w14:textId="77777777" w:rsidR="00AF0A06" w:rsidRDefault="00AF0A06" w:rsidP="00DA051E">
            <w:pPr>
              <w:pStyle w:val="NoSpacing"/>
              <w:rPr>
                <w:lang w:eastAsia="ja-JP"/>
              </w:rPr>
            </w:pPr>
          </w:p>
        </w:tc>
      </w:tr>
    </w:tbl>
    <w:p w14:paraId="3C282502" w14:textId="77777777" w:rsidR="00AF0A06" w:rsidRDefault="00AF0A06" w:rsidP="00AF0A06">
      <w:pPr>
        <w:rPr>
          <w:lang w:eastAsia="ja-JP"/>
        </w:rPr>
      </w:pPr>
    </w:p>
    <w:p w14:paraId="6B20832F" w14:textId="77777777" w:rsidR="000423AB" w:rsidRDefault="000423AB" w:rsidP="000423AB">
      <w:pPr>
        <w:ind w:firstLine="284"/>
      </w:pPr>
      <w:r>
        <w:t>Japan’s economic bureaucrats, ‘the officials of the ministries of Finance, International Trade and Industry, Agriculture and Forestry, Construction, and Transportation, plus the Economic Planning Agency’, made most major decisions, drafted virtually all legislation, controlled the national budget, and w</w:t>
      </w:r>
      <w:r w:rsidR="00AD3AC2">
        <w:t>ere</w:t>
      </w:r>
      <w:r w:rsidR="009B01DC">
        <w:rPr>
          <w:rFonts w:hint="eastAsia"/>
          <w:lang w:eastAsia="ja-JP"/>
        </w:rPr>
        <w:t>:</w:t>
      </w:r>
      <w:r>
        <w:t xml:space="preserve"> ‘the source of all major policy innovations in the system’ (Johnson 1982 pp.20-1). Politicians occasionally imposed their will on bureaucracy, but bureaucrats managed to protect their independence (Johnson 1982 p.52-3). To explain the extent of politicians’ </w:t>
      </w:r>
      <w:r w:rsidR="00721951">
        <w:rPr>
          <w:rFonts w:hint="eastAsia"/>
          <w:lang w:eastAsia="ja-JP"/>
        </w:rPr>
        <w:t xml:space="preserve">power to influence over policy making in </w:t>
      </w:r>
      <w:r w:rsidR="009B01DC">
        <w:rPr>
          <w:rFonts w:hint="eastAsia"/>
          <w:lang w:eastAsia="ja-JP"/>
        </w:rPr>
        <w:t>government ministries</w:t>
      </w:r>
      <w:r>
        <w:t>, Johnson (1982) points out the number of politically appointed posts</w:t>
      </w:r>
      <w:r w:rsidR="00751256">
        <w:rPr>
          <w:rFonts w:hint="eastAsia"/>
          <w:lang w:eastAsia="ja-JP"/>
        </w:rPr>
        <w:t>;</w:t>
      </w:r>
      <w:r>
        <w:t xml:space="preserve"> Japan’s bureaucracy created no political appointment below the ministerial level</w:t>
      </w:r>
      <w:r w:rsidR="00751256">
        <w:rPr>
          <w:rFonts w:hint="eastAsia"/>
          <w:lang w:eastAsia="ja-JP"/>
        </w:rPr>
        <w:t xml:space="preserve">. According to him, </w:t>
      </w:r>
      <w:r w:rsidR="00317809">
        <w:rPr>
          <w:rFonts w:hint="eastAsia"/>
          <w:lang w:eastAsia="ja-JP"/>
        </w:rPr>
        <w:t>officials</w:t>
      </w:r>
      <w:r>
        <w:t xml:space="preserve"> believed </w:t>
      </w:r>
      <w:r w:rsidR="00751256">
        <w:rPr>
          <w:rFonts w:hint="eastAsia"/>
          <w:lang w:eastAsia="ja-JP"/>
        </w:rPr>
        <w:t xml:space="preserve">it </w:t>
      </w:r>
      <w:r>
        <w:t>helpful to ‘establish their claim to be above politics and to speak only for the national interest’, and try hard not to be subservient to politicians and the political party (pp.52-3). Johnson (1982) identifies four major characteristics of Japan’s developmental state (p.315).</w:t>
      </w:r>
    </w:p>
    <w:p w14:paraId="59558A86" w14:textId="77777777" w:rsidR="000423AB" w:rsidRDefault="000423AB" w:rsidP="000423AB">
      <w:pPr>
        <w:ind w:firstLine="284"/>
      </w:pPr>
      <w:r>
        <w:t xml:space="preserve">Johnson (1982)’s model focuses on the bureaucracy, the MITI in particular (Wright 1999 p.941). It explains that the dominance of economic bureaucrats </w:t>
      </w:r>
      <w:r w:rsidR="00A146AC">
        <w:t xml:space="preserve">emerged </w:t>
      </w:r>
      <w:r>
        <w:t>when they filled the power vacuum created by the SCAP (Supreme Commander for the Allied Power) (Johnson 1982 p.41). This power vacuum was created when during the occupation period after World War II the SCAP abolished imperial military forces, broke up the traditionally all powerful Ministry of Home Affairs (</w:t>
      </w:r>
      <w:r>
        <w:rPr>
          <w:i/>
          <w:iCs/>
        </w:rPr>
        <w:t>Naimusho</w:t>
      </w:r>
      <w:r>
        <w:t xml:space="preserve">), and transformed and weakened </w:t>
      </w:r>
      <w:r w:rsidR="003D0BF8">
        <w:rPr>
          <w:rFonts w:hint="eastAsia"/>
          <w:i/>
          <w:iCs/>
          <w:lang w:eastAsia="ja-JP"/>
        </w:rPr>
        <w:t>Z</w:t>
      </w:r>
      <w:r>
        <w:rPr>
          <w:i/>
          <w:iCs/>
        </w:rPr>
        <w:t>aibatsu</w:t>
      </w:r>
      <w:r>
        <w:rPr>
          <w:rStyle w:val="FootnoteReference"/>
        </w:rPr>
        <w:footnoteReference w:id="5"/>
      </w:r>
      <w:r>
        <w:t xml:space="preserve"> (Johnson 1982 p.41). Economic ministries also confronted challenges imposed by the SCAP in the form of purge</w:t>
      </w:r>
      <w:r>
        <w:rPr>
          <w:rStyle w:val="FootnoteReference"/>
        </w:rPr>
        <w:footnoteReference w:id="6"/>
      </w:r>
      <w:r>
        <w:t xml:space="preserve"> and civil service reform (Johnson 1982 p.41). However, economic bureaucrats substantially avoided </w:t>
      </w:r>
      <w:r w:rsidR="009D3D8A">
        <w:t xml:space="preserve">being </w:t>
      </w:r>
      <w:r>
        <w:t>purge</w:t>
      </w:r>
      <w:r w:rsidR="009D3D8A">
        <w:t>d</w:t>
      </w:r>
      <w:r>
        <w:t xml:space="preserve"> – 70 percent of </w:t>
      </w:r>
      <w:r w:rsidR="009D3D8A">
        <w:t xml:space="preserve">the </w:t>
      </w:r>
      <w:r>
        <w:t>1,800 purged civil servant</w:t>
      </w:r>
      <w:r w:rsidR="00494F65">
        <w:t>s</w:t>
      </w:r>
      <w:r>
        <w:t xml:space="preserve"> w</w:t>
      </w:r>
      <w:r w:rsidR="009D3D8A">
        <w:t>ere in</w:t>
      </w:r>
      <w:r>
        <w:t xml:space="preserve"> the Ministry of Home Affairs with only 42 persons from the former Ministry of Munitions, the predecessor of the MITI, and 9 from the Ministry of Finance (MOF) –, and emasculated the civil service reform by, for instance, completely rewriting the </w:t>
      </w:r>
      <w:r w:rsidR="001F27D6">
        <w:rPr>
          <w:rFonts w:hint="eastAsia"/>
          <w:lang w:eastAsia="ja-JP"/>
        </w:rPr>
        <w:t xml:space="preserve">civil service </w:t>
      </w:r>
      <w:r>
        <w:t xml:space="preserve">reform bill in favour of bureaucrats and making it a law </w:t>
      </w:r>
      <w:r w:rsidR="001F27D6">
        <w:rPr>
          <w:rFonts w:hint="eastAsia"/>
          <w:lang w:eastAsia="ja-JP"/>
        </w:rPr>
        <w:t xml:space="preserve">in the post World War period </w:t>
      </w:r>
      <w:r>
        <w:t xml:space="preserve">(Johnson 1982 pp.42-3). In this way, officials in economic ministries successfully avoided damages and retained their power. </w:t>
      </w:r>
      <w:r w:rsidR="009D3D8A">
        <w:t>The r</w:t>
      </w:r>
      <w:r>
        <w:t>equirements of economic recovery and politicians’ incompetence to properly administer</w:t>
      </w:r>
      <w:r>
        <w:rPr>
          <w:rStyle w:val="FootnoteReference"/>
        </w:rPr>
        <w:footnoteReference w:id="7"/>
      </w:r>
      <w:r>
        <w:t xml:space="preserve"> enabled bureaucrats to enhance their influence over the economy (Johnson 1982 pp.44-5). The relationships between political parties and interest groups were dominated by particularistic and pork-barrel intentions rather than issues of social policy and</w:t>
      </w:r>
      <w:r w:rsidR="00317559">
        <w:rPr>
          <w:rFonts w:hint="eastAsia"/>
          <w:lang w:eastAsia="ja-JP"/>
        </w:rPr>
        <w:t>:</w:t>
      </w:r>
      <w:r>
        <w:t xml:space="preserve"> ‘there is no theory of pluralism that legitimates their (interest groups’) political activities’ (Johnson 1982 p.49).</w:t>
      </w:r>
    </w:p>
    <w:p w14:paraId="41B0189C" w14:textId="77777777" w:rsidR="000423AB" w:rsidRDefault="000423AB" w:rsidP="000423AB">
      <w:pPr>
        <w:ind w:firstLine="284"/>
      </w:pPr>
      <w:r>
        <w:t>In the post World War II period until 1975, Japan’s politics was dominated by ex-</w:t>
      </w:r>
      <w:r w:rsidR="00F75210">
        <w:rPr>
          <w:rFonts w:hint="eastAsia"/>
          <w:lang w:eastAsia="ja-JP"/>
        </w:rPr>
        <w:t>official</w:t>
      </w:r>
      <w:r>
        <w:t xml:space="preserve"> conservative politicians (Johnson 1982 pp.45-6). The LDP was established in 1955 by the unification of two main conservative parties, successors of </w:t>
      </w:r>
      <w:r>
        <w:rPr>
          <w:i/>
          <w:iCs/>
        </w:rPr>
        <w:t>Seiyukai</w:t>
      </w:r>
      <w:r>
        <w:t xml:space="preserve"> and </w:t>
      </w:r>
      <w:r>
        <w:rPr>
          <w:i/>
          <w:iCs/>
        </w:rPr>
        <w:t>Minseito</w:t>
      </w:r>
      <w:r>
        <w:rPr>
          <w:rStyle w:val="FootnoteReference"/>
        </w:rPr>
        <w:footnoteReference w:id="8"/>
      </w:r>
      <w:r>
        <w:t xml:space="preserve"> of the pre-war period in order to confront the growing opposition of socialists (Johnson 1982 p.46). In the LDP the mainstream ex-bureaucrats faction and the party politicians’ faction competed with each other and the former was usually dominant (Johnson 1982 p.46). From 1957 to 1972 Japan’s politics was dominated by the major LDP politicians who were successful former bureaucrats (Johnson 1982 pp.45-6). The role of politicians was ‘“safety valve” functions’, meaning that politicians oversaw bureaucracy and acted to control it when necessary, such as when bureaucracy acted beyond the scope of popular expectation (Johnson 1982 p.315). At the same time, politicians played a role in fending off interest groups, who could ‘distort the priorities of the developmental state’ (Johnson 1982 p.315).</w:t>
      </w:r>
    </w:p>
    <w:p w14:paraId="1BAD0206" w14:textId="77777777" w:rsidR="000423AB" w:rsidRDefault="000423AB" w:rsidP="000423AB">
      <w:pPr>
        <w:ind w:firstLine="284"/>
      </w:pPr>
      <w:r>
        <w:t xml:space="preserve">Johnson (1982) argues that bureaucrats are at the centre of the system as ‘managers’ while LDP politicians supervise bureaucrats and give them sufficient discretion by gatekeeping against the intervention of interest groups. This model of a dominant state has parallels with the </w:t>
      </w:r>
      <w:r w:rsidR="00A146AC">
        <w:t xml:space="preserve">classical </w:t>
      </w:r>
      <w:r>
        <w:t xml:space="preserve">Weberian state. </w:t>
      </w:r>
      <w:r w:rsidR="00B3028D">
        <w:rPr>
          <w:rFonts w:hint="eastAsia"/>
          <w:lang w:eastAsia="ja-JP"/>
        </w:rPr>
        <w:t>Officials</w:t>
      </w:r>
      <w:r>
        <w:t xml:space="preserve"> formulate policies, manage the policy makers’ arena, and are insulated from interest groups. They are the centre of state power. However, politicians supervise </w:t>
      </w:r>
      <w:r w:rsidR="001243D4">
        <w:rPr>
          <w:rFonts w:hint="eastAsia"/>
          <w:lang w:eastAsia="ja-JP"/>
        </w:rPr>
        <w:t>officials</w:t>
      </w:r>
      <w:r>
        <w:t xml:space="preserve"> and protect them from the influence of society. The role of politicians is key for </w:t>
      </w:r>
      <w:r w:rsidR="001243D4">
        <w:rPr>
          <w:rFonts w:hint="eastAsia"/>
          <w:lang w:eastAsia="ja-JP"/>
        </w:rPr>
        <w:t>officials</w:t>
      </w:r>
      <w:r>
        <w:t xml:space="preserve"> because politicians give them democratic legitimacy and the shelter under which </w:t>
      </w:r>
      <w:r w:rsidR="00E52EEF">
        <w:rPr>
          <w:rFonts w:hint="eastAsia"/>
          <w:lang w:eastAsia="ja-JP"/>
        </w:rPr>
        <w:t>officials</w:t>
      </w:r>
      <w:r>
        <w:t xml:space="preserve"> formulated and implemented their policies. In Johnson’s (1982) model interest groups play no significant role. Power is concentrated at the core of the state machinery such as the MITI. Other state actors such as LDP politicians and courts share the goal of the developmental state and act to achieve this goal. State power as a whole can be regarded as unified.</w:t>
      </w:r>
    </w:p>
    <w:p w14:paraId="5733627D" w14:textId="77777777" w:rsidR="000423AB" w:rsidRDefault="000423AB" w:rsidP="000423AB">
      <w:pPr>
        <w:ind w:firstLine="284"/>
      </w:pPr>
      <w:r>
        <w:t>This state centred paradigm was later challenged by an approach in the literature which questions the effects of industrial policy from the late 1970s (Schaede 2000 p.2). In the view of this approach, the state centred paradigm neglects the analyses of elected politicians’ role</w:t>
      </w:r>
      <w:r w:rsidR="009D3D8A">
        <w:t>s</w:t>
      </w:r>
      <w:r>
        <w:t xml:space="preserve"> in the processes of policy making and implementation and those of industries as independent actors, and emphasises the analyses of bureaucrats too much (Schaede 2000 p.2). This approach formed the basis for the emergence of a literature predicated on a pluralist view </w:t>
      </w:r>
      <w:r w:rsidR="009D3D8A">
        <w:t xml:space="preserve">with </w:t>
      </w:r>
      <w:r>
        <w:t>its basis in the late 1980s and early 1990s.</w:t>
      </w:r>
    </w:p>
    <w:p w14:paraId="69564C18" w14:textId="77777777" w:rsidR="000423AB" w:rsidRDefault="000423AB" w:rsidP="000423AB">
      <w:pPr>
        <w:ind w:firstLine="284"/>
      </w:pPr>
    </w:p>
    <w:p w14:paraId="2EB22A22" w14:textId="77777777" w:rsidR="000423AB" w:rsidRDefault="000423AB" w:rsidP="000423AB">
      <w:pPr>
        <w:ind w:firstLine="284"/>
      </w:pPr>
    </w:p>
    <w:p w14:paraId="04072608" w14:textId="77777777" w:rsidR="000423AB" w:rsidRDefault="000423AB" w:rsidP="00050D4B">
      <w:pPr>
        <w:pStyle w:val="Heading2"/>
      </w:pPr>
      <w:bookmarkStart w:id="13" w:name="_Toc349741335"/>
      <w:r>
        <w:t>2.3</w:t>
      </w:r>
      <w:r>
        <w:rPr>
          <w:rFonts w:eastAsiaTheme="minorEastAsia"/>
        </w:rPr>
        <w:tab/>
      </w:r>
      <w:r>
        <w:t xml:space="preserve">The </w:t>
      </w:r>
      <w:r w:rsidR="00721951">
        <w:rPr>
          <w:rFonts w:hint="eastAsia"/>
          <w:lang w:eastAsia="ja-JP"/>
        </w:rPr>
        <w:t>p</w:t>
      </w:r>
      <w:r>
        <w:t xml:space="preserve">luralist </w:t>
      </w:r>
      <w:r w:rsidR="00721951">
        <w:rPr>
          <w:rFonts w:hint="eastAsia"/>
          <w:lang w:eastAsia="ja-JP"/>
        </w:rPr>
        <w:t>a</w:t>
      </w:r>
      <w:r w:rsidR="00A146AC">
        <w:t>pproach</w:t>
      </w:r>
      <w:bookmarkEnd w:id="13"/>
    </w:p>
    <w:p w14:paraId="214AC5EB" w14:textId="77777777" w:rsidR="000423AB" w:rsidRDefault="000423AB" w:rsidP="000423AB"/>
    <w:p w14:paraId="4C978703" w14:textId="77777777" w:rsidR="000423AB" w:rsidRDefault="000423AB" w:rsidP="00050D4B">
      <w:pPr>
        <w:pStyle w:val="Heading3"/>
      </w:pPr>
      <w:bookmarkStart w:id="14" w:name="_Toc349741336"/>
      <w:r>
        <w:rPr>
          <w:lang w:eastAsia="ja-JP"/>
        </w:rPr>
        <w:t>2.3.1</w:t>
      </w:r>
      <w:r>
        <w:rPr>
          <w:lang w:eastAsia="ja-JP"/>
        </w:rPr>
        <w:tab/>
      </w:r>
      <w:r>
        <w:t>The role of party politicians</w:t>
      </w:r>
      <w:bookmarkEnd w:id="14"/>
    </w:p>
    <w:p w14:paraId="6C23523B" w14:textId="77777777" w:rsidR="000423AB" w:rsidRDefault="000423AB" w:rsidP="000423AB">
      <w:r>
        <w:t xml:space="preserve">In the 1960s and 1970s, </w:t>
      </w:r>
      <w:r w:rsidR="00DC6A84">
        <w:t xml:space="preserve">the adaptation of </w:t>
      </w:r>
      <w:r>
        <w:t xml:space="preserve">pluralism, </w:t>
      </w:r>
      <w:r w:rsidR="00DC6A84">
        <w:t xml:space="preserve">traditionally </w:t>
      </w:r>
      <w:r>
        <w:t xml:space="preserve">one of the most dominant frameworks in political science literature, </w:t>
      </w:r>
      <w:r w:rsidR="00DC6A84">
        <w:t xml:space="preserve">offering a </w:t>
      </w:r>
      <w:r>
        <w:t xml:space="preserve">set </w:t>
      </w:r>
      <w:r w:rsidR="00DC6A84">
        <w:t xml:space="preserve">of </w:t>
      </w:r>
      <w:r>
        <w:t xml:space="preserve">reformed perspectives </w:t>
      </w:r>
      <w:r w:rsidR="00DC6A84">
        <w:t>in the form of</w:t>
      </w:r>
      <w:r>
        <w:t xml:space="preserve"> ‘neo-pluralism’</w:t>
      </w:r>
      <w:r w:rsidR="00DC6A84">
        <w:t xml:space="preserve">(see </w:t>
      </w:r>
      <w:r>
        <w:t xml:space="preserve"> Lindblom 1977 and Dahl 1983), </w:t>
      </w:r>
      <w:r w:rsidR="00DC6A84">
        <w:t xml:space="preserve">identified, in the case for example of the US, </w:t>
      </w:r>
      <w:r>
        <w:t>the dominant role of business interests</w:t>
      </w:r>
      <w:r w:rsidR="00DC6A84">
        <w:t xml:space="preserve"> within</w:t>
      </w:r>
      <w:r>
        <w:t xml:space="preserve"> </w:t>
      </w:r>
      <w:r w:rsidR="00DC6A84">
        <w:t>the</w:t>
      </w:r>
      <w:r>
        <w:t xml:space="preserve"> political arena (Smith 1995 p.223). Lindblom (1977), for instance, stresses the importance of groups and the existence of competitive arenas while it recognises the structural power of business in relation to the government in the form of government’s automatic responses to business (Smith 1995 pp.223-4). </w:t>
      </w:r>
    </w:p>
    <w:p w14:paraId="2216A0F7" w14:textId="77777777" w:rsidR="000423AB" w:rsidRDefault="00DC6A84" w:rsidP="000423AB">
      <w:pPr>
        <w:ind w:firstLine="284"/>
      </w:pPr>
      <w:r>
        <w:t>This</w:t>
      </w:r>
      <w:r w:rsidR="000423AB">
        <w:t xml:space="preserve"> new </w:t>
      </w:r>
      <w:r>
        <w:t xml:space="preserve">wave </w:t>
      </w:r>
      <w:r w:rsidR="000423AB">
        <w:t>in the influential school of American political science could be seen to have an impact on the rise of pluralism elsewhere within the wider political science community (Smith 2006 pp.21-38). From the late 1970s the elements of the literature started defining Japan’s politics as the Japanese style pluralism based on the view that a single ruling group did not exist. Here the influence from US political science can be identified (I’io 2007 p.37). Among such pluralist literature, Muramatsu and Krauss (1987) argue that Johnson</w:t>
      </w:r>
      <w:r w:rsidR="00B944F1">
        <w:rPr>
          <w:rFonts w:eastAsia="MS Mincho"/>
          <w:lang w:eastAsia="ja-JP"/>
        </w:rPr>
        <w:t>’</w:t>
      </w:r>
      <w:r w:rsidR="00B944F1">
        <w:rPr>
          <w:rFonts w:eastAsia="MS Mincho" w:hint="eastAsia"/>
          <w:lang w:eastAsia="ja-JP"/>
        </w:rPr>
        <w:t>s</w:t>
      </w:r>
      <w:r w:rsidR="000423AB">
        <w:t xml:space="preserve"> (1982) model offers ‘a limited view of political economy’ (p.516). </w:t>
      </w:r>
      <w:r w:rsidR="006A7D14">
        <w:rPr>
          <w:rFonts w:hint="eastAsia"/>
          <w:lang w:eastAsia="ja-JP"/>
        </w:rPr>
        <w:t>The pluralist literature</w:t>
      </w:r>
      <w:r w:rsidR="000423AB">
        <w:t xml:space="preserve"> also argue</w:t>
      </w:r>
      <w:r w:rsidR="006A7D14">
        <w:rPr>
          <w:rFonts w:hint="eastAsia"/>
          <w:lang w:eastAsia="ja-JP"/>
        </w:rPr>
        <w:t>d</w:t>
      </w:r>
      <w:r w:rsidR="000423AB">
        <w:t xml:space="preserve"> that Japan formulate</w:t>
      </w:r>
      <w:r w:rsidR="006A7D14">
        <w:rPr>
          <w:rFonts w:hint="eastAsia"/>
          <w:lang w:eastAsia="ja-JP"/>
        </w:rPr>
        <w:t>d</w:t>
      </w:r>
      <w:r w:rsidR="000423AB">
        <w:t xml:space="preserve"> policy through a pluralistic bargaining process within the state apparatus because </w:t>
      </w:r>
      <w:r w:rsidR="006A7D14">
        <w:rPr>
          <w:rFonts w:hint="eastAsia"/>
          <w:lang w:eastAsia="ja-JP"/>
        </w:rPr>
        <w:t>officials</w:t>
      </w:r>
      <w:r w:rsidR="000423AB">
        <w:t xml:space="preserve"> were preeminent but often disunified (Calder 1993 p.9).</w:t>
      </w:r>
    </w:p>
    <w:p w14:paraId="5929DD33" w14:textId="77777777" w:rsidR="000423AB" w:rsidRDefault="000423AB" w:rsidP="000423AB">
      <w:pPr>
        <w:ind w:firstLine="284"/>
      </w:pPr>
      <w:r>
        <w:t xml:space="preserve">The pluralist power centre model offered by Muramatsu and Krauss (1987) </w:t>
      </w:r>
      <w:r w:rsidR="00F52D37">
        <w:t>is</w:t>
      </w:r>
      <w:r>
        <w:t xml:space="preserve"> referred to as ‘patterned pluralism</w:t>
      </w:r>
      <w:r>
        <w:rPr>
          <w:rStyle w:val="FootnoteReference"/>
        </w:rPr>
        <w:footnoteReference w:id="9"/>
      </w:r>
      <w:r>
        <w:t>’</w:t>
      </w:r>
      <w:r w:rsidR="00B15B99">
        <w:t>, whose key characteristic is in Table 2.2</w:t>
      </w:r>
      <w:r>
        <w:t>.  Patterned pluralism ‘is characterized by a strong state with its own autonomous interests and an institutionalized accommodation among elites, interacting with pluralist elements’, a hybrid system found in Japan as well as several European democracies (Muramatsu and Krauss 1987 p.537). Muramatsu and Krauss (1987 p.537) point out the following as evidence of the pluralistic nature of patterned pluralism: that influence is not concentrated but widely distributed</w:t>
      </w:r>
      <w:r w:rsidR="00CE4674">
        <w:rPr>
          <w:rFonts w:hint="eastAsia"/>
          <w:lang w:eastAsia="ja-JP"/>
        </w:rPr>
        <w:t>;</w:t>
      </w:r>
      <w:r>
        <w:t xml:space="preserve"> that ‘interest groups have many points of access to the policymaking process’</w:t>
      </w:r>
      <w:r w:rsidR="00CE4674">
        <w:rPr>
          <w:rFonts w:hint="eastAsia"/>
          <w:lang w:eastAsia="ja-JP"/>
        </w:rPr>
        <w:t>;</w:t>
      </w:r>
      <w:r>
        <w:t xml:space="preserve"> and that interest groups are tied to the government but are autonomous and conflict with the government (Muramatsu and Krauss 1987 p.537). The characteristics of Muramatsu and Krauss’ (1987) patterned pluralism include (pp.537-8):</w:t>
      </w:r>
    </w:p>
    <w:p w14:paraId="3617D395" w14:textId="77777777" w:rsidR="00B15B99" w:rsidRDefault="00B15B99" w:rsidP="000423AB">
      <w:pPr>
        <w:ind w:firstLine="284"/>
      </w:pPr>
    </w:p>
    <w:p w14:paraId="4B1CBDBD" w14:textId="77777777" w:rsidR="00B15B99" w:rsidRDefault="00B15B99" w:rsidP="00460A8B">
      <w:pPr>
        <w:pStyle w:val="Heading4"/>
      </w:pPr>
      <w:r>
        <w:t>Table 2.2</w:t>
      </w:r>
      <w:r w:rsidR="00460A8B">
        <w:t>: The key characteristic</w:t>
      </w:r>
      <w:r w:rsidR="00F52D37">
        <w:t>s</w:t>
      </w:r>
      <w:r w:rsidR="00460A8B">
        <w:t xml:space="preserve"> of patterned pluralism (Muramatsu and Krauss 1987 </w:t>
      </w:r>
      <w:r w:rsidR="00BE042D">
        <w:t xml:space="preserve">p.532, </w:t>
      </w:r>
      <w:r w:rsidR="00460A8B">
        <w:t>pp.537-8)</w:t>
      </w:r>
    </w:p>
    <w:tbl>
      <w:tblPr>
        <w:tblStyle w:val="TableGrid"/>
        <w:tblW w:w="0" w:type="auto"/>
        <w:tblLook w:val="04A0" w:firstRow="1" w:lastRow="0" w:firstColumn="1" w:lastColumn="0" w:noHBand="0" w:noVBand="1"/>
      </w:tblPr>
      <w:tblGrid>
        <w:gridCol w:w="8720"/>
      </w:tblGrid>
      <w:tr w:rsidR="00B15B99" w14:paraId="1C5B4B00" w14:textId="77777777" w:rsidTr="00B15B99">
        <w:tc>
          <w:tcPr>
            <w:tcW w:w="9286" w:type="dxa"/>
          </w:tcPr>
          <w:p w14:paraId="28A7E7DC" w14:textId="77777777" w:rsidR="00460A8B" w:rsidRPr="00460A8B" w:rsidRDefault="00460A8B" w:rsidP="00BE042D">
            <w:pPr>
              <w:pStyle w:val="NoSpacing"/>
            </w:pPr>
          </w:p>
          <w:p w14:paraId="4C76A17D" w14:textId="77777777" w:rsidR="00460A8B" w:rsidRDefault="00460A8B" w:rsidP="00BE042D">
            <w:pPr>
              <w:pStyle w:val="NoSpacing"/>
              <w:numPr>
                <w:ilvl w:val="0"/>
                <w:numId w:val="78"/>
              </w:numPr>
              <w:ind w:left="284" w:hanging="284"/>
            </w:pPr>
            <w:r>
              <w:rPr>
                <w:rFonts w:eastAsia="MS Mincho"/>
                <w:b/>
                <w:bCs/>
              </w:rPr>
              <w:t>S</w:t>
            </w:r>
            <w:r w:rsidRPr="00460A8B">
              <w:rPr>
                <w:b/>
                <w:bCs/>
              </w:rPr>
              <w:t>trong government and bureaucracy penetrated by interest groups and political parties</w:t>
            </w:r>
          </w:p>
          <w:p w14:paraId="7E1E0595" w14:textId="77777777" w:rsidR="00460A8B" w:rsidRDefault="00460A8B" w:rsidP="00BE042D">
            <w:pPr>
              <w:pStyle w:val="NoSpacing"/>
              <w:ind w:left="284"/>
            </w:pPr>
            <w:r>
              <w:t>The boundaries between the state and society are blurred because interest groups are integrated with the government and political parties intermediate between interest groups and the government</w:t>
            </w:r>
            <w:r>
              <w:rPr>
                <w:rFonts w:eastAsia="MS Mincho" w:hint="eastAsia"/>
              </w:rPr>
              <w:t>;</w:t>
            </w:r>
          </w:p>
          <w:p w14:paraId="60C928C7" w14:textId="77777777" w:rsidR="00BE042D" w:rsidRDefault="00BE042D" w:rsidP="00BE042D">
            <w:pPr>
              <w:pStyle w:val="NoSpacing"/>
              <w:rPr>
                <w:rFonts w:eastAsia="MS Mincho"/>
                <w:b/>
                <w:bCs/>
              </w:rPr>
            </w:pPr>
          </w:p>
          <w:p w14:paraId="202E39AE" w14:textId="77777777" w:rsidR="00460A8B" w:rsidRPr="00BE042D" w:rsidRDefault="00460A8B" w:rsidP="00BE042D">
            <w:pPr>
              <w:pStyle w:val="NoSpacing"/>
              <w:numPr>
                <w:ilvl w:val="0"/>
                <w:numId w:val="78"/>
              </w:numPr>
              <w:ind w:left="284" w:hanging="284"/>
              <w:rPr>
                <w:b/>
                <w:bCs/>
              </w:rPr>
            </w:pPr>
            <w:r w:rsidRPr="00BE042D">
              <w:rPr>
                <w:rFonts w:eastAsia="MS Mincho"/>
                <w:b/>
                <w:bCs/>
              </w:rPr>
              <w:t>P</w:t>
            </w:r>
            <w:r w:rsidRPr="00BE042D">
              <w:rPr>
                <w:b/>
                <w:bCs/>
              </w:rPr>
              <w:t>erpetual one party rule</w:t>
            </w:r>
          </w:p>
          <w:p w14:paraId="28678474" w14:textId="77777777" w:rsidR="00460A8B" w:rsidRDefault="00460A8B" w:rsidP="00BE042D">
            <w:pPr>
              <w:pStyle w:val="NoSpacing"/>
              <w:ind w:left="284"/>
            </w:pPr>
            <w:r>
              <w:t>Japan’s LDP has almost continuously been in power from 1955. Muramatsu’s survey in 1980 shows that interest groups of various sectors supported the LDP. Based on this survey Muramatsu and Krauss (1987</w:t>
            </w:r>
            <w:r w:rsidRPr="002D59D3">
              <w:t>) conclude that the LDP</w:t>
            </w:r>
            <w:r>
              <w:t xml:space="preserve"> became a party supported by interest groups in various sectors</w:t>
            </w:r>
            <w:r>
              <w:rPr>
                <w:rFonts w:hint="eastAsia"/>
              </w:rPr>
              <w:t>. They call such a characteristic</w:t>
            </w:r>
            <w:r>
              <w:t xml:space="preserve"> ‘catchall party</w:t>
            </w:r>
            <w:r>
              <w:rPr>
                <w:rStyle w:val="FootnoteReference"/>
              </w:rPr>
              <w:footnoteReference w:id="10"/>
            </w:r>
            <w:r>
              <w:t>’</w:t>
            </w:r>
          </w:p>
          <w:p w14:paraId="2651317B" w14:textId="77777777" w:rsidR="00BE042D" w:rsidRDefault="00BE042D" w:rsidP="00BE042D">
            <w:pPr>
              <w:pStyle w:val="NoSpacing"/>
              <w:ind w:left="284"/>
            </w:pPr>
          </w:p>
          <w:p w14:paraId="13E3FF46" w14:textId="77777777" w:rsidR="00BE042D" w:rsidRPr="00BE042D" w:rsidRDefault="00460A8B" w:rsidP="00BE042D">
            <w:pPr>
              <w:pStyle w:val="NoSpacing"/>
              <w:numPr>
                <w:ilvl w:val="0"/>
                <w:numId w:val="78"/>
              </w:numPr>
              <w:ind w:left="284" w:hanging="284"/>
            </w:pPr>
            <w:r w:rsidRPr="00BE042D">
              <w:rPr>
                <w:rFonts w:eastAsia="MS Mincho"/>
                <w:b/>
                <w:bCs/>
              </w:rPr>
              <w:t>A</w:t>
            </w:r>
            <w:r w:rsidRPr="00BE042D">
              <w:rPr>
                <w:b/>
                <w:bCs/>
              </w:rPr>
              <w:t>n ideological cleavage and an antagonistic relationship between the ruling party of the time (LDP) and its interest group supporters and their opposition party counterparts</w:t>
            </w:r>
          </w:p>
          <w:p w14:paraId="2CC4CDC3" w14:textId="77777777" w:rsidR="00B15B99" w:rsidRDefault="00460A8B" w:rsidP="00BE042D">
            <w:pPr>
              <w:pStyle w:val="NoSpacing"/>
              <w:ind w:left="284"/>
            </w:pPr>
            <w:r>
              <w:t xml:space="preserve">Muramatsu and Krauss (1987 p.538) </w:t>
            </w:r>
            <w:r>
              <w:rPr>
                <w:rFonts w:hint="eastAsia"/>
              </w:rPr>
              <w:t>highlight</w:t>
            </w:r>
            <w:r>
              <w:t xml:space="preserve"> the existence of ideological confrontation between one group composed of the then ruling LDP and its supporter groups such as big business, and the other groups composed of opposition parties and their societal allies. This confrontation fixed the party-interest group alliance.</w:t>
            </w:r>
          </w:p>
          <w:p w14:paraId="15168790" w14:textId="77777777" w:rsidR="00BE042D" w:rsidRDefault="00BE042D" w:rsidP="00BE042D">
            <w:pPr>
              <w:pStyle w:val="NoSpacing"/>
              <w:ind w:left="284"/>
            </w:pPr>
          </w:p>
        </w:tc>
      </w:tr>
    </w:tbl>
    <w:p w14:paraId="7558EE80" w14:textId="77777777" w:rsidR="000423AB" w:rsidRDefault="000423AB" w:rsidP="0024471C">
      <w:pPr>
        <w:pStyle w:val="ListParagraph"/>
        <w:ind w:left="0" w:firstLineChars="122" w:firstLine="277"/>
      </w:pPr>
    </w:p>
    <w:p w14:paraId="6FC2AAD8" w14:textId="77777777" w:rsidR="000423AB" w:rsidRDefault="000423AB" w:rsidP="000423AB">
      <w:pPr>
        <w:ind w:firstLine="284"/>
        <w:rPr>
          <w:rFonts w:cstheme="minorBidi"/>
        </w:rPr>
      </w:pPr>
      <w:r>
        <w:t xml:space="preserve">A survey of bureaucrats in 1977-8 reveals that the power of bureaucrats was gradually waning and LDP politicians gained more power (Muramatsu and Krauss 1987 p.540). This can be </w:t>
      </w:r>
      <w:r w:rsidR="001B7C74">
        <w:rPr>
          <w:rFonts w:eastAsia="MS Mincho" w:hint="eastAsia"/>
          <w:lang w:eastAsia="ja-JP"/>
        </w:rPr>
        <w:t>view</w:t>
      </w:r>
      <w:r>
        <w:t xml:space="preserve">ed </w:t>
      </w:r>
      <w:r w:rsidR="00DC6A84">
        <w:t xml:space="preserve">as </w:t>
      </w:r>
      <w:r>
        <w:t xml:space="preserve">a power shift </w:t>
      </w:r>
      <w:r w:rsidR="001B7C74">
        <w:rPr>
          <w:rFonts w:eastAsia="MS Mincho" w:hint="eastAsia"/>
          <w:lang w:eastAsia="ja-JP"/>
        </w:rPr>
        <w:t>within</w:t>
      </w:r>
      <w:r>
        <w:t xml:space="preserve"> the state. Although bureaucrats were still major and powerful actors in policymaking, they had to ‘share the (policymaking) stage with other influential actors</w:t>
      </w:r>
      <w:r w:rsidR="00285E12">
        <w:rPr>
          <w:lang w:eastAsia="ja-JP"/>
        </w:rPr>
        <w:t>’</w:t>
      </w:r>
      <w:r>
        <w:t>, because bureaucrats (were) losing their control over interest groups by financial and international liberalisation and their ‘most influential methods of financial and administrative persuasion and control’ were declining (Muramatsu and Krauss 1987 p.540).</w:t>
      </w:r>
    </w:p>
    <w:p w14:paraId="1A211489" w14:textId="77777777" w:rsidR="000423AB" w:rsidRDefault="000423AB" w:rsidP="000423AB">
      <w:pPr>
        <w:ind w:firstLine="284"/>
      </w:pPr>
      <w:r>
        <w:t>The LDP enhanced its ties with interest groups and its politicians developed their policy expertise (Muramatsu and Krauss 1987 p.540). Party politicians’ main role has changed from insulating bureaucracy from political pressure (Johnson 1982 pp.315-6) to mediating between interest groups and bureaucracy (Muramatsu and Krauss 1987 p.540). In patterned pluralism, party politicians (LDP politicians) play a key role in policymaking processes while bureaucrats are preeminent. It is a variation of the earlier pluralist model</w:t>
      </w:r>
      <w:r>
        <w:rPr>
          <w:rStyle w:val="FootnoteReference"/>
        </w:rPr>
        <w:footnoteReference w:id="11"/>
      </w:r>
      <w:r>
        <w:t xml:space="preserve"> (I’io 2007 P.38).</w:t>
      </w:r>
    </w:p>
    <w:p w14:paraId="021D8D30" w14:textId="77777777" w:rsidR="000423AB" w:rsidRDefault="000423AB" w:rsidP="000423AB">
      <w:pPr>
        <w:ind w:firstLine="284"/>
      </w:pPr>
      <w:r>
        <w:t>This new pluralist literature identifie</w:t>
      </w:r>
      <w:r w:rsidR="00AB4092">
        <w:rPr>
          <w:rFonts w:hint="eastAsia"/>
          <w:lang w:eastAsia="ja-JP"/>
        </w:rPr>
        <w:t>d</w:t>
      </w:r>
      <w:r>
        <w:t xml:space="preserve"> an internal conflict within the ruling structure, which is composed of the LDP, bureaucracy, and business (e.g. Pempel 1982, Campbell 1984, Samuels 1994). Pempel (1998) also offers a similar account </w:t>
      </w:r>
      <w:r w:rsidR="00AB4092">
        <w:rPr>
          <w:rFonts w:hint="eastAsia"/>
          <w:lang w:eastAsia="ja-JP"/>
        </w:rPr>
        <w:t>to</w:t>
      </w:r>
      <w:r>
        <w:t xml:space="preserve"> Muramatsu and Krauss</w:t>
      </w:r>
      <w:r w:rsidR="00AB4092">
        <w:rPr>
          <w:lang w:eastAsia="ja-JP"/>
        </w:rPr>
        <w:t>’</w:t>
      </w:r>
      <w:r>
        <w:t xml:space="preserve"> (1987) </w:t>
      </w:r>
      <w:r w:rsidR="00AB4092">
        <w:rPr>
          <w:rFonts w:hint="eastAsia"/>
          <w:lang w:eastAsia="ja-JP"/>
        </w:rPr>
        <w:t>on</w:t>
      </w:r>
      <w:r>
        <w:t xml:space="preserve"> the internal structure of the Japanese government, while also </w:t>
      </w:r>
      <w:r w:rsidR="00AB4092">
        <w:rPr>
          <w:rFonts w:hint="eastAsia"/>
          <w:lang w:eastAsia="ja-JP"/>
        </w:rPr>
        <w:t>highlighting</w:t>
      </w:r>
      <w:r>
        <w:t xml:space="preserve"> LDP’s gradual transformation. Here, </w:t>
      </w:r>
      <w:r w:rsidR="00AB4092">
        <w:rPr>
          <w:rFonts w:hint="eastAsia"/>
          <w:lang w:eastAsia="ja-JP"/>
        </w:rPr>
        <w:t>he</w:t>
      </w:r>
      <w:r>
        <w:t xml:space="preserve"> argue</w:t>
      </w:r>
      <w:r w:rsidR="00AB4092">
        <w:rPr>
          <w:rFonts w:hint="eastAsia"/>
          <w:lang w:eastAsia="ja-JP"/>
        </w:rPr>
        <w:t>d</w:t>
      </w:r>
      <w:r>
        <w:t xml:space="preserve"> that to cope with the internal and external challenges emerging from the 1970s to early 1980s, such as the liberalisation of key domestic markets, increased politicisation of the regulatory process, and the mismanagement of the domestic economy, the LDP began to attract urban voters, private sector union members and white collar employees (pp.14-6).</w:t>
      </w:r>
    </w:p>
    <w:p w14:paraId="42BE0D81" w14:textId="77777777" w:rsidR="000423AB" w:rsidRDefault="000423AB" w:rsidP="000423AB">
      <w:pPr>
        <w:ind w:firstLine="284"/>
      </w:pPr>
      <w:r>
        <w:t xml:space="preserve">The relationship between Japan’s party politicians and civil servants under LDP governments </w:t>
      </w:r>
      <w:r w:rsidR="00AB4092">
        <w:rPr>
          <w:rFonts w:hint="eastAsia"/>
          <w:lang w:eastAsia="ja-JP"/>
        </w:rPr>
        <w:t>can</w:t>
      </w:r>
      <w:r>
        <w:t xml:space="preserve"> also </w:t>
      </w:r>
      <w:r w:rsidR="00AB4092">
        <w:rPr>
          <w:rFonts w:hint="eastAsia"/>
          <w:lang w:eastAsia="ja-JP"/>
        </w:rPr>
        <w:t xml:space="preserve">be </w:t>
      </w:r>
      <w:r>
        <w:t xml:space="preserve">explained from the perspective of the government’s institutional structure (I’io 2007). By employing the term ‘bureaucratic </w:t>
      </w:r>
      <w:r>
        <w:rPr>
          <w:lang w:eastAsia="ja-JP"/>
        </w:rPr>
        <w:t>C</w:t>
      </w:r>
      <w:r>
        <w:t>abinet system’ (</w:t>
      </w:r>
      <w:r>
        <w:rPr>
          <w:i/>
        </w:rPr>
        <w:t>Kanryo Naikaku Sei</w:t>
      </w:r>
      <w:r>
        <w:t>)</w:t>
      </w:r>
      <w:r>
        <w:rPr>
          <w:rStyle w:val="FootnoteReference"/>
        </w:rPr>
        <w:footnoteReference w:id="12"/>
      </w:r>
      <w:r>
        <w:t xml:space="preserve">, which is seen as a metaphor for the parliamentary </w:t>
      </w:r>
      <w:r>
        <w:rPr>
          <w:lang w:eastAsia="ja-JP"/>
        </w:rPr>
        <w:t>C</w:t>
      </w:r>
      <w:r>
        <w:t xml:space="preserve">abinet system, I’io (2007) describes Japan’s Cabinet system under LDP governments as </w:t>
      </w:r>
      <w:r w:rsidR="00517CD0">
        <w:rPr>
          <w:rFonts w:hint="eastAsia"/>
          <w:lang w:eastAsia="ja-JP"/>
        </w:rPr>
        <w:t>a</w:t>
      </w:r>
      <w:r>
        <w:t xml:space="preserve"> rigid institution under which the posts of ministers were factional interests of the long ruling LDP rather than the instruments to administer the government machines (I’io 2007 pp.23-5).</w:t>
      </w:r>
    </w:p>
    <w:p w14:paraId="1018E802" w14:textId="77777777" w:rsidR="000423AB" w:rsidRDefault="000423AB" w:rsidP="000423AB">
      <w:pPr>
        <w:ind w:firstLine="284"/>
        <w:rPr>
          <w:lang w:eastAsia="ja-JP"/>
        </w:rPr>
      </w:pPr>
      <w:r>
        <w:t xml:space="preserve">Under </w:t>
      </w:r>
      <w:r w:rsidR="00443AEC">
        <w:t xml:space="preserve">the </w:t>
      </w:r>
      <w:r>
        <w:rPr>
          <w:lang w:eastAsia="ja-JP"/>
        </w:rPr>
        <w:t>bureaucratic Cabinet</w:t>
      </w:r>
      <w:r>
        <w:t xml:space="preserve"> system, Cabinet Ministers act</w:t>
      </w:r>
      <w:r>
        <w:rPr>
          <w:lang w:eastAsia="ja-JP"/>
        </w:rPr>
        <w:t>ed</w:t>
      </w:r>
      <w:r>
        <w:t xml:space="preserve"> as representatives of their respective ministries and their </w:t>
      </w:r>
      <w:r w:rsidR="003B118F">
        <w:rPr>
          <w:rFonts w:hint="eastAsia"/>
          <w:lang w:eastAsia="ja-JP"/>
        </w:rPr>
        <w:t>officials</w:t>
      </w:r>
      <w:r>
        <w:t xml:space="preserve"> (I’io 2007 pp.23-5). The posts of Cabinet Ministers were attractive for members of the Diet and were frequently replaced and reallocated by LDP factions as benefits (I’io 2007 pp.23-5). Cabinet Ministers’ authority is based on the appointment by the Prime Minister</w:t>
      </w:r>
      <w:r>
        <w:rPr>
          <w:lang w:eastAsia="ja-JP"/>
        </w:rPr>
        <w:t>s</w:t>
      </w:r>
      <w:r>
        <w:t xml:space="preserve"> (I’io 2007 p.21, p.23). However, as the LDP has been in power for a long time and its internal factions have allocated the posts of Cabinet Ministers through their negotiations behind </w:t>
      </w:r>
      <w:r w:rsidR="00E168B0">
        <w:t>closed</w:t>
      </w:r>
      <w:r>
        <w:t xml:space="preserve"> door</w:t>
      </w:r>
      <w:r w:rsidR="00E168B0">
        <w:t>s</w:t>
      </w:r>
      <w:r>
        <w:t xml:space="preserve">, </w:t>
      </w:r>
      <w:r w:rsidR="00E168B0">
        <w:t xml:space="preserve">the </w:t>
      </w:r>
      <w:r>
        <w:t>Prime Minister</w:t>
      </w:r>
      <w:r w:rsidR="00E168B0">
        <w:t>’</w:t>
      </w:r>
      <w:r>
        <w:rPr>
          <w:lang w:eastAsia="ja-JP"/>
        </w:rPr>
        <w:t>s authority</w:t>
      </w:r>
      <w:r>
        <w:t xml:space="preserve"> as the appointer of Cabinet Ministers tended to be forgotten (I’io 2007 p.23). This is because too many Cabinet Ministers were frequently appointed and resigned quickly (I’io 2007 p.23).</w:t>
      </w:r>
      <w:r w:rsidR="00D11701">
        <w:rPr>
          <w:rFonts w:hint="eastAsia"/>
          <w:lang w:eastAsia="ja-JP"/>
        </w:rPr>
        <w:t xml:space="preserve"> Appointing too many Cabinet Ministers undermined </w:t>
      </w:r>
      <w:r w:rsidR="008A1284">
        <w:rPr>
          <w:rFonts w:hint="eastAsia"/>
          <w:lang w:eastAsia="ja-JP"/>
        </w:rPr>
        <w:t xml:space="preserve">the impact of </w:t>
      </w:r>
      <w:r w:rsidR="00D07873">
        <w:rPr>
          <w:rFonts w:hint="eastAsia"/>
          <w:lang w:eastAsia="ja-JP"/>
        </w:rPr>
        <w:t xml:space="preserve">offering </w:t>
      </w:r>
      <w:r w:rsidR="00E168B0">
        <w:rPr>
          <w:lang w:eastAsia="ja-JP"/>
        </w:rPr>
        <w:t>the</w:t>
      </w:r>
      <w:r w:rsidR="00D07873">
        <w:rPr>
          <w:rFonts w:hint="eastAsia"/>
          <w:lang w:eastAsia="ja-JP"/>
        </w:rPr>
        <w:t xml:space="preserve"> post of Cabinet Minister.</w:t>
      </w:r>
    </w:p>
    <w:p w14:paraId="26894C8D" w14:textId="77777777" w:rsidR="000423AB" w:rsidRDefault="000423AB" w:rsidP="000423AB">
      <w:pPr>
        <w:ind w:firstLine="284"/>
      </w:pPr>
      <w:r>
        <w:t xml:space="preserve">The tenure of Cabinet Ministers became short because LDP factions created a custom that Cabinets were reshuffled once a year on average so that they could frequently allocate the posts of Cabinet Ministers to their respective faction members (I’io 2007 p.24). This short tenure deprived Cabinet Ministers </w:t>
      </w:r>
      <w:r>
        <w:rPr>
          <w:lang w:eastAsia="ja-JP"/>
        </w:rPr>
        <w:t>of</w:t>
      </w:r>
      <w:r>
        <w:t xml:space="preserve"> the time to obtain specialist knowledge about their respective ministries and experience (I’io 2007 p.24). These circumstances led Cabinet Ministers to act as representatives of their respective ministries with </w:t>
      </w:r>
      <w:r>
        <w:rPr>
          <w:lang w:eastAsia="ja-JP"/>
        </w:rPr>
        <w:t>civil servants</w:t>
      </w:r>
      <w:r>
        <w:t xml:space="preserve">’ assistance rather than members of the Cabinet (I’io 2007 p.24). The short tenure prevented Cabinet Ministers from exercising their initiatives and left them no other option than following their </w:t>
      </w:r>
      <w:r>
        <w:rPr>
          <w:lang w:eastAsia="ja-JP"/>
        </w:rPr>
        <w:t>civil servants</w:t>
      </w:r>
      <w:r>
        <w:t>’ advice (I’io 2007 p.24).</w:t>
      </w:r>
    </w:p>
    <w:p w14:paraId="7C4A7D0F" w14:textId="77777777" w:rsidR="000423AB" w:rsidRDefault="00D07873" w:rsidP="000423AB">
      <w:pPr>
        <w:ind w:firstLine="284"/>
      </w:pPr>
      <w:r>
        <w:rPr>
          <w:rFonts w:hint="eastAsia"/>
          <w:lang w:eastAsia="ja-JP"/>
        </w:rPr>
        <w:t>Societal</w:t>
      </w:r>
      <w:r w:rsidR="000423AB">
        <w:t xml:space="preserve"> groups in Japan</w:t>
      </w:r>
      <w:r w:rsidR="007624CE">
        <w:rPr>
          <w:rFonts w:hint="eastAsia"/>
          <w:lang w:eastAsia="ja-JP"/>
        </w:rPr>
        <w:t xml:space="preserve"> often</w:t>
      </w:r>
      <w:r w:rsidR="000423AB">
        <w:t xml:space="preserve"> regard executive branches as the centre of the Japanese government </w:t>
      </w:r>
      <w:r w:rsidR="007624CE">
        <w:rPr>
          <w:rFonts w:hint="eastAsia"/>
          <w:lang w:eastAsia="ja-JP"/>
        </w:rPr>
        <w:t>and</w:t>
      </w:r>
      <w:r w:rsidR="000423AB">
        <w:t xml:space="preserve"> have direct access to </w:t>
      </w:r>
      <w:r w:rsidR="007624CE">
        <w:rPr>
          <w:rFonts w:hint="eastAsia"/>
          <w:lang w:eastAsia="ja-JP"/>
        </w:rPr>
        <w:t>officials in government ministries</w:t>
      </w:r>
      <w:r w:rsidR="000423AB">
        <w:t xml:space="preserve"> with</w:t>
      </w:r>
      <w:r w:rsidR="007624CE">
        <w:rPr>
          <w:rFonts w:hint="eastAsia"/>
          <w:lang w:eastAsia="ja-JP"/>
        </w:rPr>
        <w:t>out</w:t>
      </w:r>
      <w:r w:rsidR="000423AB">
        <w:t xml:space="preserve"> intermediary of elected </w:t>
      </w:r>
      <w:r w:rsidR="007624CE">
        <w:rPr>
          <w:rFonts w:hint="eastAsia"/>
          <w:lang w:eastAsia="ja-JP"/>
        </w:rPr>
        <w:t>officials</w:t>
      </w:r>
      <w:r w:rsidR="000423AB">
        <w:t xml:space="preserve"> and political parties (I’io 2007 p.74). Divisions (units) of the government ministries represented the industries and corporations for which they were responsible. The bureaucratic Cabinet worked at the top of such a system composed by the government ministries (I’io 2007 pp.74-5).</w:t>
      </w:r>
    </w:p>
    <w:p w14:paraId="50AC9F5C" w14:textId="77777777" w:rsidR="000423AB" w:rsidRDefault="000423AB" w:rsidP="000423AB">
      <w:pPr>
        <w:ind w:firstLine="284"/>
      </w:pPr>
      <w:r>
        <w:t>Another characteristic of Japan’s politics is the relationship between the government and the ruling party. Calling themselves ‘</w:t>
      </w:r>
      <w:r>
        <w:rPr>
          <w:i/>
        </w:rPr>
        <w:t>Yo Toh</w:t>
      </w:r>
      <w:r>
        <w:t xml:space="preserve">’(the participating party), Japan’s ruling parties including the LDP described </w:t>
      </w:r>
      <w:r w:rsidR="00E168B0">
        <w:t>themselves</w:t>
      </w:r>
      <w:r>
        <w:t xml:space="preserve"> as independent from the government headed by their own Prime Ministers (I’io 2007 pp.78-80). During its long reign as the ruling party</w:t>
      </w:r>
      <w:r w:rsidR="008525FF">
        <w:t>,</w:t>
      </w:r>
      <w:r>
        <w:t xml:space="preserve"> the LDP established a custom that all bills needed to pass the LDP’s internal examination before the parliamentary debates (I’io 2007 pp.83-88). This was seen as vital for government’s legislation and briefing party politicians including LDP members was crucial for </w:t>
      </w:r>
      <w:r w:rsidR="00E04D0B">
        <w:rPr>
          <w:rFonts w:hint="eastAsia"/>
          <w:lang w:eastAsia="ja-JP"/>
        </w:rPr>
        <w:t>officials</w:t>
      </w:r>
      <w:r>
        <w:t xml:space="preserve"> to implement their policy planning; Japanese civil servants were permitted to brief party politicians unlike their British counterparts (I’io 2007 p.89-93). The LDP politicians obtained the leverage to control bureaucracy by utilising this relationship (I’io 2007 p.89-93).</w:t>
      </w:r>
    </w:p>
    <w:p w14:paraId="096A7074" w14:textId="77777777" w:rsidR="000423AB" w:rsidRDefault="000423AB" w:rsidP="000423AB">
      <w:pPr>
        <w:ind w:firstLine="284"/>
      </w:pPr>
      <w:r>
        <w:t xml:space="preserve">This perspective illuminates the internal division </w:t>
      </w:r>
      <w:r>
        <w:rPr>
          <w:lang w:eastAsia="ja-JP"/>
        </w:rPr>
        <w:t>within the core executive</w:t>
      </w:r>
      <w:r>
        <w:t xml:space="preserve"> and the growing influence of societal actors. In this perspective, decision making processes are pluralistic and the </w:t>
      </w:r>
      <w:r>
        <w:rPr>
          <w:lang w:eastAsia="ja-JP"/>
        </w:rPr>
        <w:t>focus of analysis</w:t>
      </w:r>
      <w:r>
        <w:t xml:space="preserve"> is individual actors rather than the macro level state. One may regard this perspective as a substantial counterargument to the developmental state </w:t>
      </w:r>
      <w:r>
        <w:rPr>
          <w:lang w:eastAsia="ja-JP"/>
        </w:rPr>
        <w:t>thesis</w:t>
      </w:r>
      <w:r w:rsidR="00AE52DF">
        <w:rPr>
          <w:rFonts w:hint="eastAsia"/>
          <w:lang w:eastAsia="ja-JP"/>
        </w:rPr>
        <w:t xml:space="preserve">, for its approach highlighting societal actors </w:t>
      </w:r>
      <w:r w:rsidR="0035133F">
        <w:rPr>
          <w:rFonts w:hint="eastAsia"/>
          <w:lang w:eastAsia="ja-JP"/>
        </w:rPr>
        <w:t xml:space="preserve">and politicians </w:t>
      </w:r>
      <w:r w:rsidR="00AE52DF">
        <w:rPr>
          <w:rFonts w:hint="eastAsia"/>
          <w:lang w:eastAsia="ja-JP"/>
        </w:rPr>
        <w:t xml:space="preserve">together with </w:t>
      </w:r>
      <w:r w:rsidR="0035133F">
        <w:rPr>
          <w:rFonts w:hint="eastAsia"/>
          <w:lang w:eastAsia="ja-JP"/>
        </w:rPr>
        <w:t xml:space="preserve">government </w:t>
      </w:r>
      <w:r w:rsidR="00AE52DF">
        <w:rPr>
          <w:rFonts w:hint="eastAsia"/>
          <w:lang w:eastAsia="ja-JP"/>
        </w:rPr>
        <w:t xml:space="preserve">officials </w:t>
      </w:r>
      <w:r w:rsidR="005B3120">
        <w:rPr>
          <w:rFonts w:hint="eastAsia"/>
          <w:lang w:eastAsia="ja-JP"/>
        </w:rPr>
        <w:t>offers a significant difference</w:t>
      </w:r>
      <w:r w:rsidR="00AE52DF">
        <w:rPr>
          <w:rFonts w:hint="eastAsia"/>
          <w:lang w:eastAsia="ja-JP"/>
        </w:rPr>
        <w:t xml:space="preserve"> from the developmental </w:t>
      </w:r>
      <w:r w:rsidR="00AE52DF">
        <w:rPr>
          <w:lang w:eastAsia="ja-JP"/>
        </w:rPr>
        <w:t>thesis</w:t>
      </w:r>
      <w:r w:rsidR="00AE52DF">
        <w:rPr>
          <w:rFonts w:hint="eastAsia"/>
          <w:lang w:eastAsia="ja-JP"/>
        </w:rPr>
        <w:t xml:space="preserve">, which mainly focuses on the </w:t>
      </w:r>
      <w:r w:rsidR="0035133F">
        <w:rPr>
          <w:rFonts w:hint="eastAsia"/>
          <w:lang w:eastAsia="ja-JP"/>
        </w:rPr>
        <w:t>MITI</w:t>
      </w:r>
      <w:r>
        <w:t xml:space="preserve">. Elsewhere, a perspective focusing on societal actors offered a distinctive alternative in the literature, focusing on the role of business. </w:t>
      </w:r>
    </w:p>
    <w:p w14:paraId="5368D86C" w14:textId="77777777" w:rsidR="000423AB" w:rsidRDefault="000423AB" w:rsidP="000423AB">
      <w:pPr>
        <w:ind w:firstLine="284"/>
      </w:pPr>
    </w:p>
    <w:p w14:paraId="78438F9B" w14:textId="77777777" w:rsidR="000423AB" w:rsidRPr="00DF6B78" w:rsidRDefault="000423AB" w:rsidP="00050D4B">
      <w:pPr>
        <w:pStyle w:val="Heading3"/>
      </w:pPr>
      <w:bookmarkStart w:id="15" w:name="_Toc349741337"/>
      <w:r w:rsidRPr="00DF6B78">
        <w:t>2.3.2</w:t>
      </w:r>
      <w:r w:rsidRPr="00DF6B78">
        <w:tab/>
        <w:t>Strong business</w:t>
      </w:r>
      <w:bookmarkEnd w:id="15"/>
    </w:p>
    <w:p w14:paraId="52E92E7C" w14:textId="77777777" w:rsidR="000423AB" w:rsidRDefault="000423AB" w:rsidP="000423AB">
      <w:r>
        <w:t>The pluralist literature also argues that based on the negotiations and cooperation between the public and private actors, a ‘strong state’ coexists with a ‘strong business’</w:t>
      </w:r>
      <w:r w:rsidR="008525FF">
        <w:t xml:space="preserve"> tradition</w:t>
      </w:r>
      <w:r>
        <w:t xml:space="preserve"> (Schaede 2000 p.2). The developmental state </w:t>
      </w:r>
      <w:r w:rsidR="005828D4">
        <w:rPr>
          <w:rFonts w:hint="eastAsia"/>
          <w:lang w:eastAsia="ja-JP"/>
        </w:rPr>
        <w:t>thesis</w:t>
      </w:r>
      <w:r>
        <w:t xml:space="preserve"> was adapted by the pluralist literature by viewing industry as an independent actor and questioning</w:t>
      </w:r>
      <w:r w:rsidR="005828D4">
        <w:rPr>
          <w:rFonts w:hint="eastAsia"/>
          <w:lang w:eastAsia="ja-JP"/>
        </w:rPr>
        <w:t>:</w:t>
      </w:r>
      <w:r>
        <w:t xml:space="preserve"> ‘whether Japan’s industrial policy programs had any positive effects on economic growth’ (e.g. Weinstein 1995, Beason and Weinstein 1996, Noble 1988) (Schaede 2000 p.2). As an example, Calder (1993) proposes a pluralist model which recognises industry actors as key (p.16, p.246, p.249).</w:t>
      </w:r>
    </w:p>
    <w:p w14:paraId="56A92A94" w14:textId="77777777" w:rsidR="000423AB" w:rsidRDefault="000423AB" w:rsidP="000423AB">
      <w:pPr>
        <w:ind w:firstLine="284"/>
      </w:pPr>
      <w:r>
        <w:t>Calder’s (1993 p.251) core argument is that Japan’s capitalism is ‘corporate led strategic capitalism’ and ‘neither dominated nor laissez-faire’. From this perspective, the Japanese state, in the aggregate</w:t>
      </w:r>
      <w:r w:rsidR="00D033C2">
        <w:rPr>
          <w:rFonts w:hint="eastAsia"/>
          <w:lang w:eastAsia="ja-JP"/>
        </w:rPr>
        <w:t>:</w:t>
      </w:r>
      <w:r>
        <w:t xml:space="preserve"> ‘was more stability than strategy oriented, despite the more ambitious impulses of certain MITI bureaucrats’. It argues that because the Japanese state is stability oriented</w:t>
      </w:r>
      <w:r w:rsidR="00D033C2">
        <w:rPr>
          <w:rFonts w:hint="eastAsia"/>
          <w:lang w:eastAsia="ja-JP"/>
        </w:rPr>
        <w:t>:</w:t>
      </w:r>
      <w:r>
        <w:t xml:space="preserve"> ‘a symbiotic and lucrative relationship grew up between Japanese bankers and their state, as profitability figures for commercial banks during the 1950s and 1960s attest’ (Calder 1993 p.251).</w:t>
      </w:r>
    </w:p>
    <w:p w14:paraId="32D3604F" w14:textId="77777777" w:rsidR="000423AB" w:rsidRDefault="000423AB" w:rsidP="000423AB">
      <w:pPr>
        <w:ind w:firstLine="284"/>
        <w:rPr>
          <w:rFonts w:cstheme="minorBidi"/>
        </w:rPr>
      </w:pPr>
      <w:r>
        <w:t>Calder (1993) argues that ‘centrifugal pressures, especially a well developed private industrial group structure based on powerful banks and increasingly powerful transnational economic and political forces’ have limited Japan’s state power to manage its economy alone (pp.13-4). It offers a view of the state as a pluralist theatre where actors (industrial groups, bankers’ federation, party politicians, and bureaucrats) have been competing in policy formulation. Japan’s policymaking and policy implementation have been ‘pluralistic bargaining processes in which public and private sector(s) have alternated as catalyst</w:t>
      </w:r>
      <w:r w:rsidR="00DB7B27">
        <w:t>s</w:t>
      </w:r>
      <w:r>
        <w:t xml:space="preserve"> for structural change’ (Calder 1993 p.14).</w:t>
      </w:r>
    </w:p>
    <w:p w14:paraId="722289CB" w14:textId="77777777" w:rsidR="000423AB" w:rsidRDefault="000423AB" w:rsidP="000423AB">
      <w:pPr>
        <w:ind w:firstLine="284"/>
      </w:pPr>
      <w:r>
        <w:t xml:space="preserve">In Calder’s (1993) view, because credit allocation is crucial for Japan’s industrial transformation (p.7), industrial finance is key to understanding the structure of Japan’s capitalism (p.45). It argues that </w:t>
      </w:r>
      <w:r w:rsidR="00773034">
        <w:rPr>
          <w:rFonts w:hint="eastAsia"/>
          <w:i/>
          <w:iCs/>
          <w:lang w:eastAsia="ja-JP"/>
        </w:rPr>
        <w:t>K</w:t>
      </w:r>
      <w:r>
        <w:rPr>
          <w:i/>
          <w:iCs/>
        </w:rPr>
        <w:t>eiretsu</w:t>
      </w:r>
      <w:r>
        <w:rPr>
          <w:rStyle w:val="FootnoteReference"/>
        </w:rPr>
        <w:footnoteReference w:id="13"/>
      </w:r>
      <w:r>
        <w:t xml:space="preserve"> and long term credit banks such as the Industrial Bank of Japan (IBJ) have been crucial to Japan’s economic development because they have financed new sectors with strategic initiatives (e.g. petrochemicals and automobile by the IBJ) (Calder 1993 pp.134-73). State actors have been ‘remarkably cautious and reactive’ to support new industries, while they tended to continue investing a significant amount of money to declining sectors (Calder 1993 p.15, pp.110-1).</w:t>
      </w:r>
    </w:p>
    <w:p w14:paraId="320D1B72" w14:textId="77777777" w:rsidR="000423AB" w:rsidRDefault="000423AB" w:rsidP="000423AB">
      <w:pPr>
        <w:ind w:firstLine="284"/>
      </w:pPr>
      <w:r>
        <w:t xml:space="preserve">Calder (1993) offers three reasons for this. First, public organisations (the MOF and the Bank of Japan (BOJ)) responsible for such investments concerned with stability rather than transforming industries, undermined strategist viewpoints of other state actors such as the MITI (Calder 1993 p.76). Second, the institutional framework of government banks and semi-public financial institutions was so complex that government finance </w:t>
      </w:r>
      <w:r w:rsidR="00F86B15">
        <w:t xml:space="preserve">was too </w:t>
      </w:r>
      <w:r>
        <w:t>‘blunt’ (ineffective) for achieving industrial transformation, ‘even when policymakers have unified behind strategic objectives’ (Calder 1993 p.76). Third, bureaucracy’s risk adversity</w:t>
      </w:r>
      <w:r>
        <w:rPr>
          <w:rStyle w:val="FootnoteReference"/>
        </w:rPr>
        <w:footnoteReference w:id="14"/>
      </w:r>
      <w:r>
        <w:t xml:space="preserve"> contributed to state actors’ distaste for taking necessary risks for strategic decisions (Calder 1993 p.76). Calder (1993) look</w:t>
      </w:r>
      <w:r w:rsidR="00BB1D90">
        <w:rPr>
          <w:rFonts w:hint="eastAsia"/>
          <w:lang w:eastAsia="ja-JP"/>
        </w:rPr>
        <w:t>ed</w:t>
      </w:r>
      <w:r>
        <w:t xml:space="preserve"> into the cases of shipping, mining, agriculture and oil refining as instances of declining industries and point</w:t>
      </w:r>
      <w:r w:rsidR="00BB1D90">
        <w:rPr>
          <w:rFonts w:hint="eastAsia"/>
          <w:lang w:eastAsia="ja-JP"/>
        </w:rPr>
        <w:t>ed</w:t>
      </w:r>
      <w:r>
        <w:t xml:space="preserve"> out the following </w:t>
      </w:r>
      <w:r>
        <w:rPr>
          <w:lang w:eastAsia="ja-JP"/>
        </w:rPr>
        <w:t>characteristics</w:t>
      </w:r>
      <w:r>
        <w:t xml:space="preserve"> (p.111)</w:t>
      </w:r>
      <w:r>
        <w:rPr>
          <w:lang w:eastAsia="ja-JP"/>
        </w:rPr>
        <w:t>:</w:t>
      </w:r>
    </w:p>
    <w:p w14:paraId="3BE2B111" w14:textId="77777777" w:rsidR="000423AB" w:rsidRDefault="000423AB" w:rsidP="000423AB">
      <w:pPr>
        <w:pStyle w:val="ListParagraph"/>
        <w:numPr>
          <w:ilvl w:val="0"/>
          <w:numId w:val="4"/>
        </w:numPr>
        <w:ind w:left="284" w:hanging="284"/>
      </w:pPr>
      <w:r>
        <w:t>these sectors have been highly regulated and sector interest groups had incentives to utilise ‘regulatory capture’</w:t>
      </w:r>
      <w:r w:rsidR="00BB1D90">
        <w:rPr>
          <w:rFonts w:hint="eastAsia"/>
        </w:rPr>
        <w:t>;</w:t>
      </w:r>
    </w:p>
    <w:p w14:paraId="02AFAC0D" w14:textId="77777777" w:rsidR="000423AB" w:rsidRDefault="000423AB" w:rsidP="000423AB">
      <w:pPr>
        <w:pStyle w:val="ListParagraph"/>
        <w:numPr>
          <w:ilvl w:val="0"/>
          <w:numId w:val="4"/>
        </w:numPr>
        <w:ind w:left="284" w:hanging="284"/>
      </w:pPr>
      <w:r>
        <w:t>the sectors had a strong local geographical base and could utilise their influence over local members of the Diet</w:t>
      </w:r>
      <w:r w:rsidR="00BB1D90">
        <w:rPr>
          <w:rFonts w:hint="eastAsia"/>
        </w:rPr>
        <w:t>;</w:t>
      </w:r>
      <w:r>
        <w:t xml:space="preserve"> and</w:t>
      </w:r>
    </w:p>
    <w:p w14:paraId="28681E27" w14:textId="77777777" w:rsidR="000423AB" w:rsidRDefault="000423AB" w:rsidP="000423AB">
      <w:pPr>
        <w:pStyle w:val="ListParagraph"/>
        <w:numPr>
          <w:ilvl w:val="0"/>
          <w:numId w:val="4"/>
        </w:numPr>
        <w:ind w:left="284" w:hanging="284"/>
      </w:pPr>
      <w:r>
        <w:t xml:space="preserve">these sectors accepted many retired officials from government ministries and government banks and could utilise their personal connections. </w:t>
      </w:r>
    </w:p>
    <w:p w14:paraId="3D599730" w14:textId="77777777" w:rsidR="001550FE" w:rsidRDefault="001550FE" w:rsidP="000423AB">
      <w:pPr>
        <w:rPr>
          <w:rFonts w:eastAsia="MS Mincho"/>
          <w:lang w:eastAsia="ja-JP"/>
        </w:rPr>
      </w:pPr>
    </w:p>
    <w:p w14:paraId="3109CED3" w14:textId="77777777" w:rsidR="000423AB" w:rsidRDefault="000423AB" w:rsidP="000423AB">
      <w:pPr>
        <w:rPr>
          <w:rFonts w:cstheme="minorBidi"/>
        </w:rPr>
      </w:pPr>
      <w:r>
        <w:t xml:space="preserve">These factors created ‘clientelism’ leading to the Japanese government facing difficulty in terminating the loan to such sectors (Calder 1993 p.111). </w:t>
      </w:r>
    </w:p>
    <w:p w14:paraId="60504BF1" w14:textId="77777777" w:rsidR="000423AB" w:rsidRDefault="000423AB" w:rsidP="000423AB">
      <w:pPr>
        <w:ind w:firstLine="284"/>
      </w:pPr>
      <w:r>
        <w:rPr>
          <w:lang w:eastAsia="ja-JP"/>
        </w:rPr>
        <w:t xml:space="preserve">Unlike </w:t>
      </w:r>
      <w:r>
        <w:t>Joh</w:t>
      </w:r>
      <w:r>
        <w:rPr>
          <w:lang w:eastAsia="ja-JP"/>
        </w:rPr>
        <w:t>n</w:t>
      </w:r>
      <w:r>
        <w:t xml:space="preserve">son (1982), whose typology of Japan’s government organisations </w:t>
      </w:r>
      <w:r>
        <w:rPr>
          <w:lang w:eastAsia="ja-JP"/>
        </w:rPr>
        <w:t>illuminates</w:t>
      </w:r>
      <w:r>
        <w:t xml:space="preserve"> the role of economic ministries, Calder (1993 pp.45-133) offers a typology of Japan’s public organisations with two major categories: strategist organisations and regulatory organisations. The MITI is regarded as </w:t>
      </w:r>
      <w:r w:rsidR="007271FC">
        <w:rPr>
          <w:rFonts w:eastAsia="MS Mincho" w:hint="eastAsia"/>
          <w:lang w:eastAsia="ja-JP"/>
        </w:rPr>
        <w:t xml:space="preserve">the </w:t>
      </w:r>
      <w:r>
        <w:t xml:space="preserve">‘chief strategist’ in line with Johnson (1982 p.49). However, its political power was not particularly strong and its scope of responsibilities was limited to implement its strategies (pp.51-5). Calder (1993) identifies the following two reasons for </w:t>
      </w:r>
      <w:r w:rsidR="005D547B">
        <w:rPr>
          <w:rFonts w:eastAsia="MS Mincho" w:hint="eastAsia"/>
          <w:lang w:eastAsia="ja-JP"/>
        </w:rPr>
        <w:t xml:space="preserve">the </w:t>
      </w:r>
      <w:r>
        <w:t xml:space="preserve">MITI’s insufficient power. First, the MITI lost much influence over financial-credit flows (Calder 1993 pp.51-5). Second, it had only minority ex-official politicians in the Diet (eight in the 1960s, only 8.6 percent of </w:t>
      </w:r>
      <w:r w:rsidR="00DB7B27">
        <w:t xml:space="preserve">a </w:t>
      </w:r>
      <w:r>
        <w:t>total 116 ex-bureaucrat Diet members), and this limit</w:t>
      </w:r>
      <w:r w:rsidR="00F86B15">
        <w:t>ed</w:t>
      </w:r>
      <w:r>
        <w:t xml:space="preserve"> </w:t>
      </w:r>
      <w:r w:rsidR="005D547B">
        <w:rPr>
          <w:rFonts w:eastAsia="MS Mincho" w:hint="eastAsia"/>
          <w:lang w:eastAsia="ja-JP"/>
        </w:rPr>
        <w:t xml:space="preserve">the </w:t>
      </w:r>
      <w:r>
        <w:t>MITI’s political power (Calder 1993 pp.51-5).</w:t>
      </w:r>
    </w:p>
    <w:p w14:paraId="037E4DD9" w14:textId="77777777" w:rsidR="000423AB" w:rsidRDefault="000423AB" w:rsidP="000423AB">
      <w:pPr>
        <w:ind w:firstLine="284"/>
      </w:pPr>
      <w:r>
        <w:t>Another category that Calder’s (1993 p.74) typology proposes is public organisations preoccupied with regulatory concerns. The primary actors of these regulatory public organisations were the MOF, the BOJ, the Ministry of Agriculture, and the four regulatory ministries: the Ministry of Health and Welfare</w:t>
      </w:r>
      <w:r>
        <w:rPr>
          <w:rStyle w:val="FootnoteReference"/>
        </w:rPr>
        <w:footnoteReference w:id="15"/>
      </w:r>
      <w:r>
        <w:t>, the Ministry of Transport, the Ministry of Construction</w:t>
      </w:r>
      <w:r>
        <w:rPr>
          <w:rStyle w:val="FootnoteReference"/>
        </w:rPr>
        <w:footnoteReference w:id="16"/>
      </w:r>
      <w:r w:rsidR="007271FC">
        <w:rPr>
          <w:rFonts w:eastAsia="MS Mincho" w:hint="eastAsia"/>
          <w:lang w:eastAsia="ja-JP"/>
        </w:rPr>
        <w:t>,</w:t>
      </w:r>
      <w:r>
        <w:t xml:space="preserve"> and the Ministry of Post and Telecommunications (MPT)</w:t>
      </w:r>
      <w:r>
        <w:rPr>
          <w:rStyle w:val="FootnoteReference"/>
        </w:rPr>
        <w:footnoteReference w:id="17"/>
      </w:r>
      <w:r>
        <w:t xml:space="preserve"> (Calder 1993 p.74, p.101). Regulatory ministries had common characteristics: ‘relatively large, nationally dispersed ministerial staff and extensive regulatory controls over the sectors that they administer’ (Calder 1993 p.101). All of them were reorganised on a large scale after 1945 (Calder 1993 p.102).</w:t>
      </w:r>
    </w:p>
    <w:p w14:paraId="1F7D2386" w14:textId="77777777" w:rsidR="000423AB" w:rsidRDefault="000423AB" w:rsidP="000423AB">
      <w:pPr>
        <w:ind w:firstLine="284"/>
      </w:pPr>
      <w:r>
        <w:t>These factors led the regulatory ministries to be deeply clientelised by politicians and the regulated industries (Calder 1993 p.102). None of these regulated industries were internationally competitive and they received substantial government assistance. Calder (1993) comment</w:t>
      </w:r>
      <w:r w:rsidR="009A2801">
        <w:rPr>
          <w:rFonts w:hint="eastAsia"/>
          <w:lang w:eastAsia="ja-JP"/>
        </w:rPr>
        <w:t>s</w:t>
      </w:r>
      <w:r>
        <w:t xml:space="preserve"> that these industries</w:t>
      </w:r>
      <w:r w:rsidR="009A2801">
        <w:rPr>
          <w:rFonts w:hint="eastAsia"/>
          <w:lang w:eastAsia="ja-JP"/>
        </w:rPr>
        <w:t>:</w:t>
      </w:r>
      <w:r>
        <w:t xml:space="preserve"> ‘cannot be readily considered part of any “developmental state”’ (p.102). In these regulatory organisations, bureaucrats ‘have often held a perspective closer to the American regulatory orientation than to </w:t>
      </w:r>
      <w:r w:rsidR="007271FC">
        <w:rPr>
          <w:rFonts w:eastAsia="MS Mincho" w:hint="eastAsia"/>
          <w:lang w:eastAsia="ja-JP"/>
        </w:rPr>
        <w:t xml:space="preserve">the </w:t>
      </w:r>
      <w:r>
        <w:t xml:space="preserve">MITI’s developmental stance’ and preferred stability to strategy (Calder 1993 pp.245-6). </w:t>
      </w:r>
      <w:r w:rsidR="007271FC">
        <w:rPr>
          <w:rFonts w:eastAsia="MS Mincho" w:hint="eastAsia"/>
          <w:lang w:eastAsia="ja-JP"/>
        </w:rPr>
        <w:t xml:space="preserve">The </w:t>
      </w:r>
      <w:r>
        <w:t>JFTC’s (Fair Trade Commission, Japan) steadily increasing influence since the early 1970s was also noted, and Calder (1993) analyses that it was</w:t>
      </w:r>
      <w:r w:rsidR="0026152D">
        <w:rPr>
          <w:rFonts w:eastAsia="MS Mincho" w:hint="eastAsia"/>
          <w:lang w:eastAsia="ja-JP"/>
        </w:rPr>
        <w:t>:</w:t>
      </w:r>
      <w:r>
        <w:t xml:space="preserve"> ‘in </w:t>
      </w:r>
      <w:r w:rsidR="00DB7B27">
        <w:t xml:space="preserve">a </w:t>
      </w:r>
      <w:r>
        <w:t xml:space="preserve">significant part due to the transnational political support it invariably gets (got) from U.S. trade negotiators’ (p.101). </w:t>
      </w:r>
    </w:p>
    <w:p w14:paraId="1EC88D2B" w14:textId="77777777" w:rsidR="000423AB" w:rsidRDefault="000423AB" w:rsidP="000423AB">
      <w:pPr>
        <w:ind w:firstLine="284"/>
      </w:pPr>
      <w:r>
        <w:t xml:space="preserve">Calder (1993)’s pluralist model </w:t>
      </w:r>
      <w:r w:rsidR="009A2801">
        <w:rPr>
          <w:rFonts w:hint="eastAsia"/>
          <w:lang w:eastAsia="ja-JP"/>
        </w:rPr>
        <w:t>wa</w:t>
      </w:r>
      <w:r>
        <w:t>s criticised by Johnson (1999 pp.59-60) who suggest</w:t>
      </w:r>
      <w:r w:rsidR="009A2801">
        <w:rPr>
          <w:rFonts w:hint="eastAsia"/>
          <w:lang w:eastAsia="ja-JP"/>
        </w:rPr>
        <w:t>ed</w:t>
      </w:r>
      <w:r>
        <w:t xml:space="preserve"> that its account </w:t>
      </w:r>
      <w:r w:rsidR="009A2801">
        <w:rPr>
          <w:rFonts w:hint="eastAsia"/>
          <w:lang w:eastAsia="ja-JP"/>
        </w:rPr>
        <w:t>wa</w:t>
      </w:r>
      <w:r>
        <w:t>s based on ‘parochialism and ideology’ and trie</w:t>
      </w:r>
      <w:r w:rsidR="009A2801">
        <w:rPr>
          <w:rFonts w:hint="eastAsia"/>
          <w:lang w:eastAsia="ja-JP"/>
        </w:rPr>
        <w:t>d</w:t>
      </w:r>
      <w:r>
        <w:t xml:space="preserve"> ‘to force Japan to fit the paradigms of government’ </w:t>
      </w:r>
      <w:r>
        <w:rPr>
          <w:lang w:eastAsia="ja-JP"/>
        </w:rPr>
        <w:t>located within</w:t>
      </w:r>
      <w:r>
        <w:t xml:space="preserve"> American political science. </w:t>
      </w:r>
      <w:r w:rsidR="009A2801">
        <w:rPr>
          <w:rFonts w:hint="eastAsia"/>
          <w:lang w:eastAsia="ja-JP"/>
        </w:rPr>
        <w:t>Johnson (1999)</w:t>
      </w:r>
      <w:r>
        <w:t xml:space="preserve"> also points out the significant state involvement in the field of long term credit banks, which Calder (1993) regards as key players of Japan’s capitalism, and were in fact created by bureaucracy and that the IBJ, the largest of the long term credit banks, was a government organisation and privatised by the order of the SCAP (Johnson 1999 pp.59-60). At the same time Johnson (1999) recognises that the developmental state model is based on the reciprocal partnership between the state and private firms, mentioning that: ‘each side uses the other in a mutually beneficial relationship to achieve developmental goals and enterprise viability’ (p.60).</w:t>
      </w:r>
    </w:p>
    <w:p w14:paraId="0EDC7B06" w14:textId="77777777" w:rsidR="000423AB" w:rsidRDefault="000423AB" w:rsidP="000423AB"/>
    <w:p w14:paraId="3B6844D6" w14:textId="77777777" w:rsidR="000423AB" w:rsidRDefault="000423AB" w:rsidP="00050D4B">
      <w:pPr>
        <w:pStyle w:val="Heading3"/>
      </w:pPr>
      <w:bookmarkStart w:id="16" w:name="_Toc349741338"/>
      <w:r>
        <w:rPr>
          <w:lang w:eastAsia="ja-JP"/>
        </w:rPr>
        <w:t>2.3.3</w:t>
      </w:r>
      <w:r>
        <w:rPr>
          <w:lang w:eastAsia="ja-JP"/>
        </w:rPr>
        <w:tab/>
      </w:r>
      <w:r>
        <w:t>The regulation dominated by the private sector: self-regulation</w:t>
      </w:r>
      <w:bookmarkEnd w:id="16"/>
    </w:p>
    <w:p w14:paraId="2A258D4D" w14:textId="77777777" w:rsidR="000423AB" w:rsidRDefault="000423AB" w:rsidP="000423AB">
      <w:r>
        <w:t>As Johnson’s (1999) remark shows, the debate between the developmental state school and the pluralist school shaped a consensus that Japan’s societal actors have played a significant role in the development of Japan’s economy. This perspective can be developed to the extent that the role of the state actor can be marginalised. For instance, McKean (1993) argues that the Japanese state is not strong and it</w:t>
      </w:r>
      <w:r w:rsidR="0026152D">
        <w:rPr>
          <w:rFonts w:eastAsia="MS Mincho" w:hint="eastAsia"/>
          <w:lang w:eastAsia="ja-JP"/>
        </w:rPr>
        <w:t>:</w:t>
      </w:r>
      <w:r>
        <w:t xml:space="preserve"> ‘follows when it can, co-ordinates when it must, and de-regulates when it cannot co-ordinate’ (pp.72-104). The view of Schaede (2000) is similar, arguing that self-regulation by trade associations has filled the regulatory void created by deregulation with Japan’s private sector playing a key role (Schaede 2000 pp.1-29, pp.258-75). Although trade associations have been researched in political science and sociology typically as a part of corporatism studies, their role in Japan’s regulation has not specifically been addressed by the previous literature (Schaede 2000 p.4, p.22).</w:t>
      </w:r>
    </w:p>
    <w:p w14:paraId="7DAA885A" w14:textId="77777777" w:rsidR="000423AB" w:rsidRDefault="000423AB" w:rsidP="000423AB">
      <w:pPr>
        <w:ind w:firstLine="284"/>
      </w:pPr>
      <w:r>
        <w:t xml:space="preserve">Japan’s self-regulation is different from 1970s Germany’s ‘Private Interest Governments’ (PIG) (Schaede 2000 pp.22-3). The PIG concept is based on the view that the interest groups such as labour unions and trade associations are delegated by the state in order to take over the state’s tasks (Schaede 2000 pp.22-3). Self-regulation in Japan means that trade associations take over regulatory functions and powers beyond or regardless of </w:t>
      </w:r>
      <w:r w:rsidR="00C2116C">
        <w:t xml:space="preserve">the </w:t>
      </w:r>
      <w:r>
        <w:t xml:space="preserve">state’s delegation (Schaede 2000 pp.22-3). Schaede (2000)’s arguments are founded on the observation that Japan’s government ministries have lost the traditional control of the private sector. At the same time it argues that establishing competent independent regulators by state bureaucracy (which needs about twenty five years, since this is the period in which such organisations can acquire their competency by growing in house staff officials) is </w:t>
      </w:r>
      <w:r>
        <w:rPr>
          <w:lang w:eastAsia="ja-JP"/>
        </w:rPr>
        <w:t>crucial</w:t>
      </w:r>
      <w:r>
        <w:t xml:space="preserve"> to addressing self-regulation (p.267). This means that self-regulation can exist because state bureaucracy allows it. This tends to lead to the conclusion that the power of Schaede’s (2000) self-regulation is ironically based on the power of the state or the lack of it, in particular that of state bureaucracy.</w:t>
      </w:r>
    </w:p>
    <w:p w14:paraId="123DEC8B" w14:textId="77777777" w:rsidR="000423AB" w:rsidRDefault="000423AB" w:rsidP="000423AB">
      <w:pPr>
        <w:ind w:firstLine="284"/>
      </w:pPr>
      <w:r>
        <w:t xml:space="preserve">Schaede’s (2000) account </w:t>
      </w:r>
      <w:r w:rsidR="00F86B15">
        <w:t>can be seen as a</w:t>
      </w:r>
      <w:r>
        <w:t xml:space="preserve"> variation of the pluralist literature about Japan with a radical view of marginalised state actors. It describes regulation, in which the state can be regarded as an actor imposing it</w:t>
      </w:r>
      <w:r w:rsidR="00493A0D">
        <w:t>s</w:t>
      </w:r>
      <w:r>
        <w:t xml:space="preserve"> will on society through coercion (Smith 2009 p.163), as an arena dominated </w:t>
      </w:r>
      <w:r w:rsidR="00493A0D">
        <w:t xml:space="preserve">by </w:t>
      </w:r>
      <w:r>
        <w:t xml:space="preserve">societal actors such as trade associations. In other words, in Schaede (2000) strong business actors dominated Japan’s regulation while state actors are marginalised. What appears is the model of Schaede (2000), in which the regulation by the private actors dominates </w:t>
      </w:r>
      <w:r w:rsidR="00493A0D">
        <w:t xml:space="preserve">the </w:t>
      </w:r>
      <w:r>
        <w:t>economy.</w:t>
      </w:r>
    </w:p>
    <w:p w14:paraId="6CA8501C" w14:textId="77777777" w:rsidR="000423AB" w:rsidRDefault="000423AB" w:rsidP="007E4BC3">
      <w:pPr>
        <w:ind w:firstLine="284"/>
      </w:pPr>
      <w:r>
        <w:t xml:space="preserve">The development of the pluralist view drew attention to the role of Japan’s actors other than bureaucrats, both state and societal. Inside the state, party politicians appeared to gain more power over bureaucrats than before; interest groups appear to infiltrate state organisations; and state organisations appeared to be divided. Overall, the pluralist literature </w:t>
      </w:r>
      <w:r>
        <w:rPr>
          <w:lang w:eastAsia="ja-JP"/>
        </w:rPr>
        <w:t>on</w:t>
      </w:r>
      <w:r>
        <w:t xml:space="preserve"> Japan </w:t>
      </w:r>
      <w:r w:rsidR="00486A72">
        <w:rPr>
          <w:rFonts w:hint="eastAsia"/>
          <w:lang w:eastAsia="ja-JP"/>
        </w:rPr>
        <w:t>analyses</w:t>
      </w:r>
      <w:r>
        <w:rPr>
          <w:lang w:eastAsia="ja-JP"/>
        </w:rPr>
        <w:t xml:space="preserve"> societal actors </w:t>
      </w:r>
      <w:r w:rsidR="00486A72">
        <w:rPr>
          <w:rFonts w:hint="eastAsia"/>
          <w:lang w:eastAsia="ja-JP"/>
        </w:rPr>
        <w:t>as significant issues of analysis together with state actors</w:t>
      </w:r>
      <w:r>
        <w:rPr>
          <w:lang w:eastAsia="ja-JP"/>
        </w:rPr>
        <w:t>. This approach results in creating a problem; the pluralist literature</w:t>
      </w:r>
      <w:r>
        <w:t xml:space="preserve"> does not analyse the state at </w:t>
      </w:r>
      <w:r w:rsidR="007E4BC3">
        <w:t>a</w:t>
      </w:r>
      <w:r>
        <w:t xml:space="preserve"> macro level, regarding the Japanese state </w:t>
      </w:r>
      <w:r w:rsidR="00493A0D">
        <w:t xml:space="preserve">as </w:t>
      </w:r>
      <w:r>
        <w:t xml:space="preserve">divided or weak. In </w:t>
      </w:r>
      <w:r w:rsidR="00F86B15">
        <w:t xml:space="preserve">the </w:t>
      </w:r>
      <w:r>
        <w:t>case of Schaede (2000), the Japanese state is marginalised while the private sector actor (trade associations) dominates regulation.</w:t>
      </w:r>
    </w:p>
    <w:p w14:paraId="1016242E" w14:textId="77777777" w:rsidR="000423AB" w:rsidRDefault="000423AB" w:rsidP="000423AB">
      <w:pPr>
        <w:ind w:firstLine="284"/>
      </w:pPr>
      <w:r>
        <w:t xml:space="preserve">By contrast to this dominance of the pluralist literature, Vogel (1996) reinstated the perspective of the influential state actors. Regarded as ‘a compelling re-statement of the thesis of bureaucratic dominance’ by some (Wright 1999 p.947), the role of the state actors is refocused by this literature, which is reviewed in the next section. </w:t>
      </w:r>
    </w:p>
    <w:p w14:paraId="3C76C2AA" w14:textId="77777777" w:rsidR="000423AB" w:rsidRDefault="000423AB" w:rsidP="000423AB">
      <w:pPr>
        <w:ind w:firstLine="284"/>
        <w:rPr>
          <w:lang w:eastAsia="ja-JP"/>
        </w:rPr>
      </w:pPr>
    </w:p>
    <w:p w14:paraId="3316D850" w14:textId="77777777" w:rsidR="005B3120" w:rsidRDefault="005B3120" w:rsidP="000423AB">
      <w:pPr>
        <w:ind w:firstLine="284"/>
        <w:rPr>
          <w:lang w:eastAsia="ja-JP"/>
        </w:rPr>
      </w:pPr>
    </w:p>
    <w:p w14:paraId="0E7545C3" w14:textId="77777777" w:rsidR="000423AB" w:rsidRDefault="000423AB" w:rsidP="00050D4B">
      <w:pPr>
        <w:pStyle w:val="Heading2"/>
        <w:rPr>
          <w:rFonts w:eastAsiaTheme="minorEastAsia"/>
        </w:rPr>
      </w:pPr>
      <w:bookmarkStart w:id="17" w:name="_Toc349741339"/>
      <w:r>
        <w:t>2.4</w:t>
      </w:r>
      <w:r>
        <w:rPr>
          <w:rFonts w:eastAsiaTheme="minorEastAsia"/>
        </w:rPr>
        <w:tab/>
      </w:r>
      <w:r>
        <w:t xml:space="preserve">The </w:t>
      </w:r>
      <w:r>
        <w:rPr>
          <w:lang w:eastAsia="ja-JP"/>
        </w:rPr>
        <w:t>r</w:t>
      </w:r>
      <w:r>
        <w:t xml:space="preserve">evisited </w:t>
      </w:r>
      <w:r>
        <w:rPr>
          <w:lang w:eastAsia="ja-JP"/>
        </w:rPr>
        <w:t>s</w:t>
      </w:r>
      <w:r>
        <w:t xml:space="preserve">trong </w:t>
      </w:r>
      <w:r>
        <w:rPr>
          <w:lang w:eastAsia="ja-JP"/>
        </w:rPr>
        <w:t>s</w:t>
      </w:r>
      <w:r>
        <w:t>tate</w:t>
      </w:r>
      <w:r>
        <w:rPr>
          <w:rFonts w:eastAsiaTheme="minorEastAsia"/>
        </w:rPr>
        <w:t xml:space="preserve"> </w:t>
      </w:r>
      <w:r>
        <w:rPr>
          <w:rFonts w:eastAsiaTheme="minorEastAsia"/>
          <w:lang w:eastAsia="ja-JP"/>
        </w:rPr>
        <w:t>t</w:t>
      </w:r>
      <w:r>
        <w:rPr>
          <w:rFonts w:eastAsiaTheme="minorEastAsia"/>
        </w:rPr>
        <w:t>hesis</w:t>
      </w:r>
      <w:bookmarkEnd w:id="17"/>
    </w:p>
    <w:p w14:paraId="4402155E" w14:textId="77777777" w:rsidR="000423AB" w:rsidRDefault="000423AB" w:rsidP="000423AB">
      <w:r>
        <w:t xml:space="preserve">In response to the pluralist literature, a counter argument emerged in the work of Vogel (1996) who viewed the regulatory reforms in the 1980s by the Japanese and British governments as a centrepiece to examine the transforming relationship between governments and markets in advanced industrialised countries. Here, Vogel (1996) implicitly draws from Johnson’s (1982) earlier analytical framework. For instance, Vogel (1996) regards the Japanese state as managerial while the British state as regulatory, which is in parallel with Johnson’s (1982) comparison of Japan’s developmental state to </w:t>
      </w:r>
      <w:r w:rsidR="006F63D9">
        <w:t xml:space="preserve">the </w:t>
      </w:r>
      <w:r>
        <w:t>US regulatory state (p.45, p.51). Vogel (1996</w:t>
      </w:r>
      <w:r w:rsidR="007E4BC3">
        <w:t xml:space="preserve"> pp.18-9</w:t>
      </w:r>
      <w:r>
        <w:t>) regards the state as the key actor and focuses on state institutions because this approach ‘explains national variations in regulatory reform better than any other’</w:t>
      </w:r>
      <w:r w:rsidR="006F63D9">
        <w:t>.</w:t>
      </w:r>
      <w:r>
        <w:t xml:space="preserve"> </w:t>
      </w:r>
      <w:r w:rsidR="006F63D9">
        <w:t>W</w:t>
      </w:r>
      <w:r>
        <w:t>ith the advantage of a parsimonious research framework, state actors are typically closer to the final decision process, and their involvements in policy outcomes are easier to be identified (</w:t>
      </w:r>
      <w:r w:rsidR="007E4BC3">
        <w:t xml:space="preserve">Vogel 1996 </w:t>
      </w:r>
      <w:r>
        <w:t>pp.18-9). Yet elsewhere, he argues that focusing on interest groups presents difficulties in obtaining explanatory power because a large number of interest groups compete and ‘it becomes very difficult to demonstrate which groups influenced the outcome’ (Vogel 1996 p.19).</w:t>
      </w:r>
    </w:p>
    <w:p w14:paraId="1EFA9496" w14:textId="77777777" w:rsidR="000423AB" w:rsidRDefault="000423AB" w:rsidP="000423AB">
      <w:pPr>
        <w:ind w:firstLine="284"/>
      </w:pPr>
      <w:r>
        <w:t>Vogel’s (1996) main case studies are those of the telecommunications sector and the financial services sector of Japan and the UK, but examples drawn from other sectors (broadcasting, transport, and the public utilities) and countries (the US, France and Germany) are also examined briefly. While the literature on Japanese studies tends to compare Japan with the US, Vogel (1996) uses the cases of Japan and the UK for the following reasons (p.4, p.43):</w:t>
      </w:r>
    </w:p>
    <w:p w14:paraId="0E230561" w14:textId="77777777" w:rsidR="000423AB" w:rsidRDefault="000423AB" w:rsidP="000423AB">
      <w:pPr>
        <w:pStyle w:val="ListParagraph"/>
        <w:numPr>
          <w:ilvl w:val="0"/>
          <w:numId w:val="5"/>
        </w:numPr>
        <w:ind w:left="284" w:hanging="284"/>
      </w:pPr>
      <w:r>
        <w:t>The UK and Japan began their regulatory reform programmes at the same time and under similar circumstances, and extended their programmes to a similar range of sectors.</w:t>
      </w:r>
    </w:p>
    <w:p w14:paraId="70920744" w14:textId="77777777" w:rsidR="000423AB" w:rsidRDefault="000423AB" w:rsidP="000423AB">
      <w:pPr>
        <w:pStyle w:val="ListParagraph"/>
        <w:numPr>
          <w:ilvl w:val="0"/>
          <w:numId w:val="5"/>
        </w:numPr>
        <w:ind w:left="284" w:hanging="284"/>
      </w:pPr>
      <w:r>
        <w:t>They were similarly influenced by the US deregulation movement and faced common international market pressures.</w:t>
      </w:r>
    </w:p>
    <w:p w14:paraId="2D2DC247" w14:textId="77777777" w:rsidR="000423AB" w:rsidRDefault="000423AB" w:rsidP="000423AB">
      <w:pPr>
        <w:pStyle w:val="ListParagraph"/>
        <w:numPr>
          <w:ilvl w:val="0"/>
          <w:numId w:val="5"/>
        </w:numPr>
        <w:ind w:left="284" w:hanging="284"/>
      </w:pPr>
      <w:r>
        <w:t>The above two points provide a good comparative fit: any differences in reform outcomes are likely to reflect differences in domestic politics.</w:t>
      </w:r>
    </w:p>
    <w:p w14:paraId="4F82D9F6" w14:textId="77777777" w:rsidR="000423AB" w:rsidRDefault="000423AB" w:rsidP="000423AB">
      <w:pPr>
        <w:ind w:firstLine="284"/>
        <w:rPr>
          <w:rFonts w:cstheme="minorBidi"/>
        </w:rPr>
      </w:pPr>
    </w:p>
    <w:p w14:paraId="69F086BC" w14:textId="77777777" w:rsidR="000423AB" w:rsidRDefault="000423AB" w:rsidP="000423AB">
      <w:pPr>
        <w:ind w:firstLine="284"/>
      </w:pPr>
      <w:r>
        <w:t>Vogel (1996) argues that the regulatory reforms are reregulation rather than deregulation in nature. Deregulation is a negative action and moves toward convergence (Vogel 1996 p.269). Reregulation is a creative process and displays national characteristics (Vogel 1996 p.269). Since this creative process directly relates to the core functions of the state, it is natural for state actors such as government officials to try to influence regulatory reforms (Vogel 1996 p.269).</w:t>
      </w:r>
    </w:p>
    <w:p w14:paraId="4B6DC85E" w14:textId="77777777" w:rsidR="000423AB" w:rsidRDefault="000423AB" w:rsidP="000423AB">
      <w:pPr>
        <w:ind w:firstLine="284"/>
      </w:pPr>
      <w:r>
        <w:t xml:space="preserve">A core argument of Vogel (1996) is that Japan’s regulatory reforms in telecommunications and financial services were strikingly different from </w:t>
      </w:r>
      <w:r w:rsidR="00AC450D">
        <w:t>their</w:t>
      </w:r>
      <w:r>
        <w:t xml:space="preserve"> British equivalent (p.4). This is because Japanese bureaucrats had a strong preference for the interventionist approach:</w:t>
      </w:r>
    </w:p>
    <w:p w14:paraId="4DAC9178" w14:textId="77777777" w:rsidR="000423AB" w:rsidRDefault="000423AB" w:rsidP="000423AB"/>
    <w:p w14:paraId="705581D5" w14:textId="77777777" w:rsidR="00495655" w:rsidRDefault="000423AB" w:rsidP="005B18BE">
      <w:pPr>
        <w:pStyle w:val="Quote"/>
      </w:pPr>
      <w:r>
        <w:t>Japanese officials viewed government intervention in industrial affairs as a natural component of economic policy. They believed that the government should actively shape and restructure markets as well as regulate industry. Although the government owned very little of Japanese industry, it used a wide range of policy tools to control the allocation of capital to industry, to manage the terms of competition within specific industries, and to facilitate cooperation between firms. Japanese ministries practiced “market-conforming intervention</w:t>
      </w:r>
      <w:r w:rsidR="00FF142A">
        <w:rPr>
          <w:rFonts w:eastAsia="MS Mincho"/>
          <w:lang w:eastAsia="ja-JP"/>
        </w:rPr>
        <w:t>”</w:t>
      </w:r>
      <w:r>
        <w:t>. This meant that they supported industry without obliterating market signals, and they managed the economic adjustment process without halting it altogether (Vogel 1996 p.51)</w:t>
      </w:r>
      <w:r w:rsidR="00AC450D">
        <w:t>.</w:t>
      </w:r>
    </w:p>
    <w:p w14:paraId="1B62AF09" w14:textId="77777777" w:rsidR="000423AB" w:rsidRDefault="000423AB" w:rsidP="000423AB"/>
    <w:p w14:paraId="33E19A0D" w14:textId="77777777" w:rsidR="000423AB" w:rsidRDefault="000423AB" w:rsidP="000423AB">
      <w:pPr>
        <w:ind w:firstLine="284"/>
      </w:pPr>
      <w:r>
        <w:t>Japan’s government ministries integrated the function of regulation into a policy of industrial sponsorship rather than separated the function by establishing independent regulatory agencies (Vogel 1996 p.52). ‘The same ministry typically undertook both tasks and often used the leverage inherent in this duality of function to pursue its goals’ (e.g. price regulation can be used to increase profitability) (Vogel 1996 p.52). This approach, which is called ‘strategic’, was possible because ‘Japanese policy networks were tightly integrated with a single ‘lead ministry’ at the center’ (Vogel 1996 pp.52-3). Government ministries enjoyed their respective jurisdiction with less interference from party politicians, regulatory agencies and the courts, and tend to protect or augment their power (Vogel 1996 pp.52-3). ‘Compared to British government departments, Japanese ministries had much stronger links with industry’ (Vogel 1996 pp.52-3). The communications between government ministries and private firms typically took place through ‘officially sanctioned industry associations’ (Vogel 1996 pp.52-3). Through such networks government ministries could guide industry and implement a state-led industrial strategy (Vogel 1996 pp.52-3).</w:t>
      </w:r>
    </w:p>
    <w:p w14:paraId="70DFBDE2" w14:textId="77777777" w:rsidR="000423AB" w:rsidRDefault="000423AB" w:rsidP="000423AB">
      <w:pPr>
        <w:ind w:firstLine="284"/>
        <w:rPr>
          <w:lang w:eastAsia="ja-JP"/>
        </w:rPr>
      </w:pPr>
      <w:r>
        <w:t>These strong ties between government ministries and industry can be understood as channels through which the government ministries were influenced by industry. However, Vogel (1996) argues that Japan’s bureaucracy was relatively insulated from interest group demands and ruling party interference compared with their US and UK counterparts (p.53). While recognising that the literature often stresses ‘the bureaucracy’s ultimate accountability to the ruling Liberal Democratic Party’, Vogel (1996) argues that</w:t>
      </w:r>
      <w:r w:rsidR="00317DD1">
        <w:rPr>
          <w:rFonts w:eastAsia="MS Mincho" w:hint="eastAsia"/>
          <w:lang w:eastAsia="ja-JP"/>
        </w:rPr>
        <w:t>:</w:t>
      </w:r>
      <w:r>
        <w:t xml:space="preserve"> ‘bureaucracy remained relatively autonomous in many areas of economic policy despite the potential for LDP intervention’ (p.54).</w:t>
      </w:r>
    </w:p>
    <w:p w14:paraId="52848D26" w14:textId="77777777" w:rsidR="000423AB" w:rsidRDefault="000423AB" w:rsidP="00B87FA3">
      <w:pPr>
        <w:ind w:firstLine="284"/>
      </w:pPr>
      <w:r>
        <w:t>This bureaucra</w:t>
      </w:r>
      <w:r w:rsidR="00200D81">
        <w:t>tically</w:t>
      </w:r>
      <w:r>
        <w:t xml:space="preserve"> dominant state can be observed throughout the post World War II period. </w:t>
      </w:r>
      <w:r w:rsidR="009A364C">
        <w:t>Although</w:t>
      </w:r>
      <w:r>
        <w:t xml:space="preserve"> the SCAP tried reforms to reorient government regulation and to restructure industry</w:t>
      </w:r>
      <w:r w:rsidR="00B87FA3">
        <w:t xml:space="preserve">: ‘those reforms aimed at reorienting government regulation and restructuring industry failed to take hold in the absence of a </w:t>
      </w:r>
      <w:r w:rsidR="00B87FA3" w:rsidRPr="00B87FA3">
        <w:t>complementary economic ideology’</w:t>
      </w:r>
      <w:r w:rsidRPr="00B87FA3">
        <w:t xml:space="preserve"> </w:t>
      </w:r>
      <w:r w:rsidR="00AF66D7" w:rsidRPr="00B87FA3">
        <w:t>(Vogel 1996 p.54). The SCAP established ‘five independent regulatory commissions on the model of U.S.</w:t>
      </w:r>
      <w:r w:rsidRPr="00B87FA3">
        <w:t xml:space="preserve"> agencies’ and all but the JFCT were absorbed by the government</w:t>
      </w:r>
      <w:r>
        <w:t xml:space="preserve"> ministries after the SCAP departed (Vogel 1996 p.54). Japan’s neo-liberal reforms in the 1970s and the 1980s were also constrained by its rigid structure (Vogel 1996 p.54). This permanent structure has affected individual policies and contributed to shape the characteristics of Japan’s regulatory reform.</w:t>
      </w:r>
    </w:p>
    <w:p w14:paraId="4227C2FF" w14:textId="77777777" w:rsidR="000423AB" w:rsidRDefault="000423AB" w:rsidP="000423AB">
      <w:pPr>
        <w:ind w:firstLine="284"/>
        <w:rPr>
          <w:lang w:eastAsia="ja-JP"/>
        </w:rPr>
      </w:pPr>
      <w:r>
        <w:t>Vogel (1996) argues that the outcome of Japan’s regulatory reform was ‘strategic reinforcement’. ‘(A) managerial orientation’ and close relationships between the state (government ministries) and industry led the Japanese government</w:t>
      </w:r>
      <w:r>
        <w:rPr>
          <w:lang w:eastAsia="ja-JP"/>
        </w:rPr>
        <w:t>:</w:t>
      </w:r>
      <w:r>
        <w:t xml:space="preserve"> ‘toward </w:t>
      </w:r>
      <w:r>
        <w:rPr>
          <w:i/>
        </w:rPr>
        <w:t>strategic reinforcement</w:t>
      </w:r>
      <w:r>
        <w:t>: it managed the liberalization process, resisted any devolution of regulatory power, protected ministerial discretion, and enacted change in a smooth and coordinated fashion. The government reinforced critical mechanisms of control in order to maintain its ability to guide or promote industry’ (Vogel 1996 p.59</w:t>
      </w:r>
      <w:r>
        <w:rPr>
          <w:lang w:eastAsia="ja-JP"/>
        </w:rPr>
        <w:t>:</w:t>
      </w:r>
      <w:r>
        <w:t xml:space="preserve"> </w:t>
      </w:r>
      <w:r>
        <w:rPr>
          <w:i/>
        </w:rPr>
        <w:t>Italic</w:t>
      </w:r>
      <w:r>
        <w:t xml:space="preserve"> in original)</w:t>
      </w:r>
      <w:r>
        <w:rPr>
          <w:lang w:eastAsia="ja-JP"/>
        </w:rPr>
        <w:t>.</w:t>
      </w:r>
    </w:p>
    <w:p w14:paraId="0A708276" w14:textId="77777777" w:rsidR="00413FEE" w:rsidRDefault="000423AB" w:rsidP="00413FEE">
      <w:pPr>
        <w:ind w:firstLine="284"/>
      </w:pPr>
      <w:r>
        <w:t>This characteristic offers a useful contrast to</w:t>
      </w:r>
      <w:r w:rsidR="00200D81">
        <w:t xml:space="preserve">, for example, </w:t>
      </w:r>
      <w:r>
        <w:t>the British case. Both Britain and Japan have combined liberalisation with reregulation (Vogel 1996 p.59).  In Vogel’s (1996</w:t>
      </w:r>
      <w:r w:rsidR="00413FEE">
        <w:t xml:space="preserve"> pp.59-60</w:t>
      </w:r>
      <w:r>
        <w:t>) view</w:t>
      </w:r>
      <w:r w:rsidR="00413FEE">
        <w:t>:</w:t>
      </w:r>
    </w:p>
    <w:p w14:paraId="1949A9D5" w14:textId="77777777" w:rsidR="00413FEE" w:rsidRDefault="00413FEE" w:rsidP="00413FEE">
      <w:pPr>
        <w:ind w:firstLine="284"/>
      </w:pPr>
    </w:p>
    <w:p w14:paraId="3A05165D" w14:textId="77777777" w:rsidR="00495655" w:rsidRDefault="00413FEE" w:rsidP="005B18BE">
      <w:pPr>
        <w:pStyle w:val="Quote"/>
      </w:pPr>
      <w:r w:rsidRPr="00413FEE">
        <w:t xml:space="preserve">Although both the United Kingdom and Japan have combined liberalization with reregulation, the British government has been inclined toward those types of reregulation (pro-competitive and juridical) which undermine its capacity to guide industry whereas the Japanese government has been biased toward those </w:t>
      </w:r>
      <w:r w:rsidR="001D332C" w:rsidRPr="00413FEE">
        <w:t>types</w:t>
      </w:r>
      <w:r w:rsidRPr="00413FEE">
        <w:t xml:space="preserve"> of reregulation (strategic and expansionary) which reinforce this capacity.</w:t>
      </w:r>
    </w:p>
    <w:p w14:paraId="7037BA49" w14:textId="77777777" w:rsidR="00413FEE" w:rsidRDefault="00413FEE" w:rsidP="00413FEE">
      <w:pPr>
        <w:ind w:firstLine="284"/>
      </w:pPr>
    </w:p>
    <w:p w14:paraId="24F26DD2" w14:textId="77777777" w:rsidR="00413FEE" w:rsidRDefault="000423AB" w:rsidP="00413FEE">
      <w:r>
        <w:t>This difference stems from ‘both ideological and institutional differences’ of these two countries (Vogel 1996 p.60).</w:t>
      </w:r>
    </w:p>
    <w:p w14:paraId="036BC8F7" w14:textId="77777777" w:rsidR="000423AB" w:rsidRDefault="000423AB" w:rsidP="00413FEE">
      <w:pPr>
        <w:ind w:firstLine="284"/>
        <w:rPr>
          <w:lang w:eastAsia="ja-JP"/>
        </w:rPr>
      </w:pPr>
      <w:r>
        <w:t xml:space="preserve">Whether or not Britain has become a regulatory state remains a contested debate. </w:t>
      </w:r>
      <w:r>
        <w:rPr>
          <w:lang w:eastAsia="ja-JP"/>
        </w:rPr>
        <w:t xml:space="preserve">For example, Moran (2003 p.120) reveals </w:t>
      </w:r>
      <w:r w:rsidR="00200D81">
        <w:rPr>
          <w:lang w:eastAsia="ja-JP"/>
        </w:rPr>
        <w:t xml:space="preserve">the complex </w:t>
      </w:r>
      <w:r>
        <w:rPr>
          <w:lang w:eastAsia="ja-JP"/>
        </w:rPr>
        <w:t xml:space="preserve">nature of the UK’s regulatory mode during the privatisation period in the 1980s, highlighting the following two key characteristics: </w:t>
      </w:r>
      <w:r>
        <w:t>‘a distinctly modernist attempt by Littlechild to create an open, transparent world of non-discretionary regulatory decision guided by fixed rules; and the very different attempt by the official creators in Whitehall to replicate as much as possible of the old discretionary and informal world that had privileged insiders in the club system’.</w:t>
      </w:r>
    </w:p>
    <w:p w14:paraId="59095DA2" w14:textId="77777777" w:rsidR="000423AB" w:rsidRDefault="000423AB" w:rsidP="00A12740">
      <w:pPr>
        <w:ind w:firstLine="284"/>
      </w:pPr>
      <w:r>
        <w:t xml:space="preserve">With respect to the Japanese state, both Vogel (1996) and Johnson (1982) </w:t>
      </w:r>
      <w:r w:rsidR="00200D81">
        <w:t>identify a managerialist approach on the part of the state and a process of imbrication with the existing bureaucratic settlement</w:t>
      </w:r>
      <w:r>
        <w:t xml:space="preserve">, i.e. insulated bureaucracy from interest group pressures (p.266). Although Vogel (1996) rarely utilises the term ‘developmental’, </w:t>
      </w:r>
      <w:r w:rsidR="009A364C">
        <w:t>his</w:t>
      </w:r>
      <w:r>
        <w:t xml:space="preserve"> model of the Japanese state has a striking similarity </w:t>
      </w:r>
      <w:r w:rsidR="00317DD1">
        <w:rPr>
          <w:rFonts w:eastAsia="MS Mincho" w:hint="eastAsia"/>
          <w:lang w:eastAsia="ja-JP"/>
        </w:rPr>
        <w:t>to</w:t>
      </w:r>
      <w:r>
        <w:t xml:space="preserve"> Johnson’s (1982). Vogel’s (1996 </w:t>
      </w:r>
      <w:r w:rsidRPr="00A12740">
        <w:t xml:space="preserve">p.20) perspective on the state is clear; </w:t>
      </w:r>
      <w:r w:rsidR="009A364C">
        <w:t>he</w:t>
      </w:r>
      <w:r w:rsidRPr="00A12740">
        <w:t xml:space="preserve"> sets out that one can view the state as a single coherent structure </w:t>
      </w:r>
      <w:r w:rsidR="004B5950" w:rsidRPr="00A12740">
        <w:t xml:space="preserve">without insisting that it is a unitary actor. </w:t>
      </w:r>
      <w:r w:rsidR="009A364C">
        <w:t>The</w:t>
      </w:r>
      <w:r w:rsidR="004B5950" w:rsidRPr="00A12740">
        <w:t xml:space="preserve"> approach shows the executive branch composed of party</w:t>
      </w:r>
      <w:r>
        <w:t xml:space="preserve"> politicians and bureaucrats collectively exercis</w:t>
      </w:r>
      <w:r w:rsidR="009A364C">
        <w:t>ing</w:t>
      </w:r>
      <w:r>
        <w:t xml:space="preserve"> its power to realise regulatory reforms. While bureaucracy plays a significant role, the key decision making power is allocated to political elites (e.g. Yasuhiro Nakasone, Keith Joseph, Margaret Thatcher) rather than bureaucrats (e.g. Vogel 1996 pp.56-7, pp.72-7).</w:t>
      </w:r>
    </w:p>
    <w:p w14:paraId="5759E8A4" w14:textId="77777777" w:rsidR="000423AB" w:rsidRDefault="000423AB" w:rsidP="000423AB">
      <w:pPr>
        <w:ind w:firstLine="284"/>
      </w:pPr>
      <w:r w:rsidRPr="00953758">
        <w:t xml:space="preserve">Elsewhere, some authors regard Vogel (1996) as an example of the </w:t>
      </w:r>
      <w:r w:rsidR="00953758">
        <w:rPr>
          <w:lang w:eastAsia="ja-JP"/>
        </w:rPr>
        <w:t>‘</w:t>
      </w:r>
      <w:r w:rsidR="00200D81" w:rsidRPr="00953758">
        <w:t>bureaucractic-</w:t>
      </w:r>
      <w:r w:rsidRPr="00953758">
        <w:t>dominan</w:t>
      </w:r>
      <w:r w:rsidR="00200D81" w:rsidRPr="00953758">
        <w:t>ce</w:t>
      </w:r>
      <w:r w:rsidR="00953758">
        <w:rPr>
          <w:lang w:eastAsia="ja-JP"/>
        </w:rPr>
        <w:t>’</w:t>
      </w:r>
      <w:r>
        <w:t xml:space="preserve"> </w:t>
      </w:r>
      <w:r w:rsidR="00200D81">
        <w:t xml:space="preserve">perspective </w:t>
      </w:r>
      <w:r>
        <w:t>(e.g. Wright 1999 p.947). Here, Vogel (1996)’s view can be understood as the co-</w:t>
      </w:r>
      <w:r w:rsidR="00200D81">
        <w:t>existence</w:t>
      </w:r>
      <w:r>
        <w:t xml:space="preserve"> of strong party politicians and strong bureaucrats. This understanding aligns Vogel (1996) with that of the pluralist literature such as Muramatsu and Krauss (1987). Vogel (1996 p.20) shows a collective Japanese state model as a structure, but relationships between the state actors are more complicated. Wright (1999 p.494) argues that the pluralist literature places less emphasis on the role of party politicians, although elsewhere Muramatsu and Krauss (1987) reveal that the influence of party politicians vis-à-vis bureaucrats </w:t>
      </w:r>
      <w:r w:rsidR="009A364C">
        <w:t xml:space="preserve">has </w:t>
      </w:r>
      <w:r>
        <w:t>increased since the early 1970s. Elsewhere, arguments for the leading role of party politicians and critiques to the bureaucratic dominance perspective were provided by an emerging rational choice literature.</w:t>
      </w:r>
    </w:p>
    <w:p w14:paraId="2F3EBEC9" w14:textId="77777777" w:rsidR="000423AB" w:rsidRDefault="000423AB" w:rsidP="000423AB">
      <w:pPr>
        <w:ind w:firstLine="284"/>
        <w:rPr>
          <w:lang w:eastAsia="ja-JP"/>
        </w:rPr>
      </w:pPr>
    </w:p>
    <w:p w14:paraId="1529EB61" w14:textId="77777777" w:rsidR="00953758" w:rsidRDefault="00953758" w:rsidP="000423AB">
      <w:pPr>
        <w:ind w:firstLine="284"/>
        <w:rPr>
          <w:lang w:eastAsia="ja-JP"/>
        </w:rPr>
      </w:pPr>
    </w:p>
    <w:p w14:paraId="0437B139" w14:textId="77777777" w:rsidR="000423AB" w:rsidRDefault="000423AB" w:rsidP="00050D4B">
      <w:pPr>
        <w:pStyle w:val="Heading2"/>
      </w:pPr>
      <w:bookmarkStart w:id="18" w:name="_Toc349741340"/>
      <w:r>
        <w:t>2.5</w:t>
      </w:r>
      <w:r>
        <w:rPr>
          <w:rFonts w:eastAsiaTheme="minorEastAsia"/>
        </w:rPr>
        <w:tab/>
      </w:r>
      <w:r>
        <w:t xml:space="preserve">Rational </w:t>
      </w:r>
      <w:r w:rsidR="00E20CF4">
        <w:rPr>
          <w:rFonts w:eastAsia="MS Mincho" w:hint="eastAsia"/>
          <w:lang w:eastAsia="ja-JP"/>
        </w:rPr>
        <w:t>c</w:t>
      </w:r>
      <w:r>
        <w:t>hoice</w:t>
      </w:r>
      <w:bookmarkEnd w:id="18"/>
    </w:p>
    <w:p w14:paraId="67968809" w14:textId="77777777" w:rsidR="000423AB" w:rsidRDefault="000423AB" w:rsidP="00E616C4">
      <w:r>
        <w:t xml:space="preserve">An approach within the literature drawn from a rational choice perspective offers an alternative </w:t>
      </w:r>
      <w:r w:rsidR="00053A7E">
        <w:t xml:space="preserve">analysis. </w:t>
      </w:r>
      <w:r w:rsidR="00200D81">
        <w:t>The approach o</w:t>
      </w:r>
      <w:r>
        <w:t xml:space="preserve">riginated </w:t>
      </w:r>
      <w:r>
        <w:rPr>
          <w:lang w:eastAsia="ja-JP"/>
        </w:rPr>
        <w:t xml:space="preserve">as </w:t>
      </w:r>
      <w:r>
        <w:t>a part of the behavioural revolution in American political science of the 1950s and 1960s which focuses on how individuals behave but draw</w:t>
      </w:r>
      <w:r w:rsidR="00171455">
        <w:t>s</w:t>
      </w:r>
      <w:r>
        <w:t xml:space="preserve"> on the methodology of economics in contrast to behaviouralists who drew on sociology or psychology</w:t>
      </w:r>
      <w:r w:rsidR="00171455">
        <w:t>;</w:t>
      </w:r>
      <w:r>
        <w:t xml:space="preserve"> this body of literature (e.g. Niskanen 1971, Tullock 1989) emerged most notably in the 1980s onwards and became a dominant approach to political science in the US (Ward 2002 p.65, Hay 2002 p.38). In ‘American Political Science Review’, fewer than 10 percent of all articles were based on the rational choice approach in 1962, w</w:t>
      </w:r>
      <w:r w:rsidR="00171455">
        <w:t>ith</w:t>
      </w:r>
      <w:r>
        <w:t xml:space="preserve"> 20 percent in 1982 and 37 percent in 1992 (Gownder and Pekkanen 1996 p.364). This growing dominance of the rational choice literature influenced political science debates about Japan. Authors such as Ramseyer and Rosenbluth (1993) and Kato (1994) drawing from a rational choice approach propose</w:t>
      </w:r>
      <w:r w:rsidR="00200D81">
        <w:t>d</w:t>
      </w:r>
      <w:r>
        <w:t xml:space="preserve"> a new interpretation about Japan (Gownder and Pekkanen 1996 p.369, p.373-4)</w:t>
      </w:r>
      <w:r w:rsidR="00A24E22">
        <w:rPr>
          <w:rFonts w:eastAsia="MS Mincho" w:hint="eastAsia"/>
          <w:lang w:eastAsia="ja-JP"/>
        </w:rPr>
        <w:t>.</w:t>
      </w:r>
      <w:r>
        <w:t xml:space="preserve"> This set of literature can be characterised by its critical attitude to the bureaucracy dominant perspective, often associated with Johnson (1982) (Gownder and Pekkanen 1996 p.373). ‘The most provocative and full-blooded attack on the dominant bureaucracy thesis has come from those schooled in rational choice approaches’ (Wright 1999 p.949).</w:t>
      </w:r>
    </w:p>
    <w:p w14:paraId="14EDA12E" w14:textId="77777777" w:rsidR="000423AB" w:rsidRDefault="000423AB" w:rsidP="00E363B9">
      <w:pPr>
        <w:ind w:firstLine="284"/>
      </w:pPr>
      <w:r>
        <w:t>Employing the principal-agent theory, Ramseyer and Rosenbluth (1993) place the electoral system and the bargaining there as the centrepiece of Japanese politics (the major principal-agent relationships in Ramseyer and Rosenbluth (1993) are shown in Table 2.</w:t>
      </w:r>
      <w:r w:rsidR="00E363B9">
        <w:t>3</w:t>
      </w:r>
      <w:r>
        <w:t xml:space="preserve">). Its core argument </w:t>
      </w:r>
      <w:r w:rsidR="00A06472">
        <w:rPr>
          <w:rFonts w:hint="eastAsia"/>
          <w:lang w:eastAsia="ja-JP"/>
        </w:rPr>
        <w:t>i</w:t>
      </w:r>
      <w:r w:rsidR="0001334E">
        <w:t xml:space="preserve">s </w:t>
      </w:r>
      <w:r>
        <w:t xml:space="preserve">that the ruling LDP has dominated Japan’s policy making by utilising bureaucrats based on principal-agent theory (Wright 1999 p.949). It </w:t>
      </w:r>
      <w:r w:rsidR="0001334E">
        <w:t xml:space="preserve">argued </w:t>
      </w:r>
      <w:r>
        <w:t>that the LDP acted to maximise its electoral results based on the Single Non-Transferable Vote (SNTV)</w:t>
      </w:r>
      <w:r>
        <w:rPr>
          <w:rStyle w:val="FootnoteReference"/>
        </w:rPr>
        <w:t xml:space="preserve"> </w:t>
      </w:r>
      <w:r>
        <w:rPr>
          <w:rStyle w:val="FootnoteReference"/>
        </w:rPr>
        <w:footnoteReference w:id="18"/>
      </w:r>
      <w:r>
        <w:t xml:space="preserve"> electoral system (Ramseyer and Rosenbluth 1993 pp.8-10). In the SNTV system, candidates need</w:t>
      </w:r>
      <w:r w:rsidR="00CC5402">
        <w:rPr>
          <w:rFonts w:hint="eastAsia"/>
          <w:lang w:eastAsia="ja-JP"/>
        </w:rPr>
        <w:t>ed</w:t>
      </w:r>
      <w:r>
        <w:t xml:space="preserve"> to establish their respective personal networks so that they can be elected. The LDP has utilised its control over government to create such networks through supplying government dispensed ‘pork’ cash, in-kind gifts, and bureaucratic interventions (Ramseyer and Rosenbluth 1993 pp.8-10). It c</w:t>
      </w:r>
      <w:r w:rsidR="00CC5402">
        <w:rPr>
          <w:rFonts w:hint="eastAsia"/>
          <w:lang w:eastAsia="ja-JP"/>
        </w:rPr>
        <w:t>ould</w:t>
      </w:r>
      <w:r>
        <w:t xml:space="preserve"> also extract financial contributions from business and redistribute to other supporters (Ramseyer and Rosenbluth 1993 pp.8-10). Business could get useful regulatory protection from government in return as the LDP places pressure upon bureaucrats to formulate such a policy (Ramseyer and Rosenbluth 1993 pp.8-10). This system enable</w:t>
      </w:r>
      <w:r w:rsidR="00A06472">
        <w:rPr>
          <w:rFonts w:hint="eastAsia"/>
          <w:lang w:eastAsia="ja-JP"/>
        </w:rPr>
        <w:t>d</w:t>
      </w:r>
      <w:r>
        <w:t xml:space="preserve"> the LDP to collect loyal supporters, including those in the rural areas.</w:t>
      </w:r>
    </w:p>
    <w:p w14:paraId="7B4D285D" w14:textId="77777777" w:rsidR="000423AB" w:rsidRDefault="000423AB" w:rsidP="000423AB">
      <w:pPr>
        <w:ind w:firstLine="284"/>
      </w:pPr>
    </w:p>
    <w:p w14:paraId="5A128300" w14:textId="77777777" w:rsidR="000423AB" w:rsidRPr="00DA2E02" w:rsidRDefault="000423AB" w:rsidP="00E363B9">
      <w:pPr>
        <w:pStyle w:val="Heading4"/>
        <w:rPr>
          <w:rFonts w:cstheme="minorBidi"/>
        </w:rPr>
      </w:pPr>
      <w:r w:rsidRPr="00DA2E02">
        <w:t>Table 2.</w:t>
      </w:r>
      <w:r w:rsidR="00E363B9">
        <w:t>3</w:t>
      </w:r>
      <w:r w:rsidRPr="00DA2E02">
        <w:t>: Major principal-agent relationships in Ramseyer and Rosenbluth (1993)</w:t>
      </w:r>
    </w:p>
    <w:p w14:paraId="133883B9" w14:textId="77777777" w:rsidR="000423AB" w:rsidRDefault="000423AB" w:rsidP="000423AB">
      <w:pPr>
        <w:pStyle w:val="NoSpacing"/>
      </w:pPr>
    </w:p>
    <w:tbl>
      <w:tblPr>
        <w:tblStyle w:val="TableGrid"/>
        <w:tblW w:w="0" w:type="auto"/>
        <w:tblInd w:w="1242" w:type="dxa"/>
        <w:tblLook w:val="04A0" w:firstRow="1" w:lastRow="0" w:firstColumn="1" w:lastColumn="0" w:noHBand="0" w:noVBand="1"/>
      </w:tblPr>
      <w:tblGrid>
        <w:gridCol w:w="2977"/>
        <w:gridCol w:w="3544"/>
      </w:tblGrid>
      <w:tr w:rsidR="000423AB" w14:paraId="3B85D015" w14:textId="77777777" w:rsidTr="000423AB">
        <w:tc>
          <w:tcPr>
            <w:tcW w:w="2977"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pct15" w:color="auto" w:fill="auto"/>
          </w:tcPr>
          <w:p w14:paraId="7A22192F" w14:textId="77777777" w:rsidR="000423AB" w:rsidRDefault="000423AB">
            <w:pPr>
              <w:pStyle w:val="NoSpacing"/>
              <w:jc w:val="center"/>
              <w:rPr>
                <w:rFonts w:cstheme="minorBidi"/>
              </w:rPr>
            </w:pPr>
            <w:r>
              <w:t>Principal</w:t>
            </w:r>
          </w:p>
          <w:p w14:paraId="092D1D22" w14:textId="77777777" w:rsidR="000423AB" w:rsidRDefault="000423AB">
            <w:pPr>
              <w:pStyle w:val="NoSpacing"/>
              <w:jc w:val="center"/>
            </w:pPr>
          </w:p>
        </w:tc>
        <w:tc>
          <w:tcPr>
            <w:tcW w:w="3544"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pct15" w:color="auto" w:fill="auto"/>
            <w:hideMark/>
          </w:tcPr>
          <w:p w14:paraId="22C35AF9" w14:textId="77777777" w:rsidR="000423AB" w:rsidRDefault="000423AB">
            <w:pPr>
              <w:pStyle w:val="NoSpacing"/>
              <w:jc w:val="center"/>
            </w:pPr>
            <w:r>
              <w:t>Agent</w:t>
            </w:r>
          </w:p>
        </w:tc>
      </w:tr>
      <w:tr w:rsidR="000423AB" w14:paraId="1CF2D809" w14:textId="77777777" w:rsidTr="000423AB">
        <w:tc>
          <w:tcPr>
            <w:tcW w:w="2977"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178C965D" w14:textId="77777777" w:rsidR="000423AB" w:rsidRDefault="000423AB">
            <w:pPr>
              <w:pStyle w:val="NoSpacing"/>
              <w:ind w:left="318"/>
            </w:pPr>
            <w:r>
              <w:t>LDP Backbenchers</w:t>
            </w:r>
          </w:p>
        </w:tc>
        <w:tc>
          <w:tcPr>
            <w:tcW w:w="3544"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0771345F" w14:textId="77777777" w:rsidR="000423AB" w:rsidRDefault="000423AB">
            <w:pPr>
              <w:pStyle w:val="NoSpacing"/>
              <w:ind w:left="317"/>
            </w:pPr>
            <w:r>
              <w:t>LDP Party Leaders</w:t>
            </w:r>
          </w:p>
        </w:tc>
      </w:tr>
      <w:tr w:rsidR="000423AB" w14:paraId="6428F27D" w14:textId="77777777" w:rsidTr="000423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69B9A" w14:textId="77777777" w:rsidR="000423AB" w:rsidRDefault="000423AB">
            <w:pPr>
              <w:pStyle w:val="NoSpacing"/>
              <w:ind w:left="318"/>
            </w:pPr>
            <w:r>
              <w:t>LDP</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C1D9D" w14:textId="77777777" w:rsidR="000423AB" w:rsidRDefault="000423AB">
            <w:pPr>
              <w:pStyle w:val="NoSpacing"/>
              <w:ind w:left="317"/>
            </w:pPr>
            <w:r>
              <w:t>Bureaucrats</w:t>
            </w:r>
          </w:p>
        </w:tc>
      </w:tr>
      <w:tr w:rsidR="000423AB" w14:paraId="0098D44C" w14:textId="77777777" w:rsidTr="000423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B992D" w14:textId="77777777" w:rsidR="000423AB" w:rsidRDefault="000423AB">
            <w:pPr>
              <w:pStyle w:val="NoSpacing"/>
              <w:ind w:left="318"/>
            </w:pPr>
            <w:r>
              <w:t>LDP</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01F2E" w14:textId="77777777" w:rsidR="000423AB" w:rsidRDefault="000423AB">
            <w:pPr>
              <w:pStyle w:val="NoSpacing"/>
              <w:ind w:left="317"/>
            </w:pPr>
            <w:r>
              <w:t>Courts (judges)</w:t>
            </w:r>
          </w:p>
        </w:tc>
      </w:tr>
    </w:tbl>
    <w:p w14:paraId="02151E03" w14:textId="77777777" w:rsidR="000423AB" w:rsidRDefault="000423AB" w:rsidP="000423AB">
      <w:pPr>
        <w:ind w:firstLine="284"/>
        <w:rPr>
          <w:rFonts w:cstheme="minorBidi"/>
          <w:lang w:eastAsia="ja-JP"/>
        </w:rPr>
      </w:pPr>
    </w:p>
    <w:p w14:paraId="7F2D079E" w14:textId="77777777" w:rsidR="000423AB" w:rsidRDefault="000423AB" w:rsidP="000423AB">
      <w:pPr>
        <w:ind w:firstLine="284"/>
      </w:pPr>
      <w:r>
        <w:t xml:space="preserve">The LDP’s capacity to allocate the ‘pork’ through manoeuvring the government machine is key for Ramseyer and Rosenbluth (1993) to understand Japan’s political mechanism. Holding the position as the government party </w:t>
      </w:r>
      <w:r w:rsidR="00A06472">
        <w:rPr>
          <w:rFonts w:hint="eastAsia"/>
          <w:lang w:eastAsia="ja-JP"/>
        </w:rPr>
        <w:t>wa</w:t>
      </w:r>
      <w:r>
        <w:t>s crucial for this capacity, because it enabled the LDP to retain its</w:t>
      </w:r>
      <w:r w:rsidR="0001334E">
        <w:t xml:space="preserve"> </w:t>
      </w:r>
      <w:r w:rsidR="007174FD">
        <w:t>majority</w:t>
      </w:r>
      <w:r>
        <w:t xml:space="preserve"> position in the parliament by utilising government resources such as funds and new laws. LDP backbenchers entrust</w:t>
      </w:r>
      <w:r w:rsidR="00A06472">
        <w:rPr>
          <w:rFonts w:hint="eastAsia"/>
          <w:lang w:eastAsia="ja-JP"/>
        </w:rPr>
        <w:t>ed</w:t>
      </w:r>
      <w:r>
        <w:t xml:space="preserve"> a group of party leaders, who had the longest careers as legislators, to coordinate collective party interests and equip it with sufficient powers to enforce its decisions (Ramseyer and Rosenbluth 1993 p.94). LDP leaders utilised bureaucrats to conceive and draft programmes so that they could formulate policies without having their own staff (Ramseyer and Rosenbluth 1993 p.13). This system, under which LDP leaders could monopolise bureaucracy as the only policy making apparatus, significantly limited the policy making capacity of LDP backbenchers and opposition parties, because these two groups had neither access to an alternative policy making apparatus nor sufficient fund</w:t>
      </w:r>
      <w:r w:rsidR="0001334E">
        <w:t>s</w:t>
      </w:r>
      <w:r>
        <w:t xml:space="preserve"> to hire their own political staff – they were given only </w:t>
      </w:r>
      <w:r w:rsidR="00B07C15">
        <w:t>a</w:t>
      </w:r>
      <w:r>
        <w:t xml:space="preserve"> limited amount of fund</w:t>
      </w:r>
      <w:r w:rsidR="00B07C15">
        <w:t>s</w:t>
      </w:r>
      <w:r>
        <w:t xml:space="preserve"> from the government to employ such staff (Ramseyer and Rosenbluth 1993 p.13). The LDP leaders could control bureaucrats through retaining vetoes over important policy projects and the power to prevent the promotion of disloyal bureaucrats (Ramseyer and Rosenbluth 1993 p.13).</w:t>
      </w:r>
    </w:p>
    <w:p w14:paraId="7D8A3C61" w14:textId="77777777" w:rsidR="000423AB" w:rsidRDefault="000423AB" w:rsidP="00F33991">
      <w:pPr>
        <w:ind w:firstLine="284"/>
      </w:pPr>
      <w:r>
        <w:t xml:space="preserve">Ramseyer and Rosenbluth’s (1993) model draws heavily from the principal-agent theory. This method </w:t>
      </w:r>
      <w:r>
        <w:rPr>
          <w:lang w:eastAsia="ja-JP"/>
        </w:rPr>
        <w:t xml:space="preserve">has parallels </w:t>
      </w:r>
      <w:r w:rsidR="00A24E22">
        <w:rPr>
          <w:rFonts w:eastAsia="MS Mincho" w:hint="eastAsia"/>
          <w:lang w:eastAsia="ja-JP"/>
        </w:rPr>
        <w:t>to</w:t>
      </w:r>
      <w:r>
        <w:rPr>
          <w:lang w:eastAsia="ja-JP"/>
        </w:rPr>
        <w:t xml:space="preserve"> </w:t>
      </w:r>
      <w:r>
        <w:t xml:space="preserve">the same </w:t>
      </w:r>
      <w:r>
        <w:rPr>
          <w:lang w:eastAsia="ja-JP"/>
        </w:rPr>
        <w:t>approach</w:t>
      </w:r>
      <w:r>
        <w:t xml:space="preserve"> </w:t>
      </w:r>
      <w:r w:rsidR="00B07C15">
        <w:t>in</w:t>
      </w:r>
      <w:r>
        <w:t xml:space="preserve"> US Congressional politics, which argues for the existence of a ‘dominant legislature’ (Wright 1999 p.950). This particular literature is confronted by critiques such as Moe (1987), </w:t>
      </w:r>
      <w:r w:rsidR="00F33991">
        <w:t>who highlights the</w:t>
      </w:r>
      <w:r>
        <w:t xml:space="preserve"> shortcomings in the US Congress politics literature</w:t>
      </w:r>
      <w:r w:rsidR="00F33991">
        <w:t xml:space="preserve"> in Table 2.4</w:t>
      </w:r>
      <w:r>
        <w:t xml:space="preserve"> (Gownder and Pekkanen 1996 pp.372-3):</w:t>
      </w:r>
    </w:p>
    <w:p w14:paraId="3B3B5032" w14:textId="77777777" w:rsidR="00B543AE" w:rsidRDefault="00B543AE" w:rsidP="00F33991">
      <w:pPr>
        <w:ind w:firstLine="284"/>
      </w:pPr>
    </w:p>
    <w:p w14:paraId="6D806AD9" w14:textId="77777777" w:rsidR="00F33991" w:rsidRDefault="00F33991" w:rsidP="00F33991">
      <w:pPr>
        <w:pStyle w:val="Heading4"/>
      </w:pPr>
      <w:r>
        <w:t>Table 2.4: The shortcomings of the US Congress politics literature highlighted by Moe (1987) (Gownder and Pekkanen 1996 pp.372-3):</w:t>
      </w:r>
    </w:p>
    <w:tbl>
      <w:tblPr>
        <w:tblStyle w:val="TableGrid"/>
        <w:tblW w:w="0" w:type="auto"/>
        <w:tblLook w:val="04A0" w:firstRow="1" w:lastRow="0" w:firstColumn="1" w:lastColumn="0" w:noHBand="0" w:noVBand="1"/>
      </w:tblPr>
      <w:tblGrid>
        <w:gridCol w:w="8720"/>
      </w:tblGrid>
      <w:tr w:rsidR="00F33991" w14:paraId="3D4DC967" w14:textId="77777777" w:rsidTr="00F33991">
        <w:tc>
          <w:tcPr>
            <w:tcW w:w="9286" w:type="dxa"/>
          </w:tcPr>
          <w:p w14:paraId="728FFB1E" w14:textId="77777777" w:rsidR="00F33991" w:rsidRDefault="00F33991" w:rsidP="00F33991">
            <w:pPr>
              <w:pStyle w:val="NoSpacing"/>
              <w:ind w:left="284"/>
            </w:pPr>
          </w:p>
          <w:p w14:paraId="18A1AA82" w14:textId="77777777" w:rsidR="00F33991" w:rsidRDefault="00F33991" w:rsidP="00F33991">
            <w:pPr>
              <w:pStyle w:val="NoSpacing"/>
              <w:numPr>
                <w:ilvl w:val="0"/>
                <w:numId w:val="79"/>
              </w:numPr>
              <w:ind w:left="284" w:hanging="284"/>
            </w:pPr>
            <w:r>
              <w:t>neglecting to provide a theory of agency, which would identify and explain the preferences of the bureaucrats themselves.</w:t>
            </w:r>
          </w:p>
          <w:p w14:paraId="0D16F367" w14:textId="77777777" w:rsidR="00F33991" w:rsidRDefault="00F33991" w:rsidP="00F33991">
            <w:pPr>
              <w:pStyle w:val="NoSpacing"/>
              <w:ind w:left="284"/>
            </w:pPr>
          </w:p>
          <w:p w14:paraId="44847668" w14:textId="77777777" w:rsidR="00F33991" w:rsidRDefault="00F33991" w:rsidP="00F33991">
            <w:pPr>
              <w:pStyle w:val="NoSpacing"/>
              <w:numPr>
                <w:ilvl w:val="0"/>
                <w:numId w:val="79"/>
              </w:numPr>
              <w:ind w:left="284" w:hanging="284"/>
            </w:pPr>
            <w:r>
              <w:t>overestimating the power of the mechanisms of control used by legislatures.</w:t>
            </w:r>
          </w:p>
          <w:p w14:paraId="28BF5244" w14:textId="77777777" w:rsidR="00F33991" w:rsidRDefault="00F33991" w:rsidP="00F33991">
            <w:pPr>
              <w:pStyle w:val="NoSpacing"/>
              <w:ind w:left="284"/>
            </w:pPr>
          </w:p>
          <w:p w14:paraId="4EC3D66A" w14:textId="77777777" w:rsidR="00F33991" w:rsidRDefault="00F33991" w:rsidP="00F33991">
            <w:pPr>
              <w:pStyle w:val="NoSpacing"/>
              <w:numPr>
                <w:ilvl w:val="0"/>
                <w:numId w:val="79"/>
              </w:numPr>
              <w:ind w:left="284" w:hanging="284"/>
            </w:pPr>
            <w:r>
              <w:t>ignoring the problem of multiple principals (e.g. two houses of Congress, the president).</w:t>
            </w:r>
          </w:p>
          <w:p w14:paraId="4A0586EF" w14:textId="77777777" w:rsidR="00F33991" w:rsidRDefault="00F33991" w:rsidP="00F33991">
            <w:pPr>
              <w:pStyle w:val="NoSpacing"/>
              <w:ind w:left="284"/>
            </w:pPr>
          </w:p>
          <w:p w14:paraId="51166447" w14:textId="77777777" w:rsidR="00F33991" w:rsidRDefault="00F33991" w:rsidP="00F33991">
            <w:pPr>
              <w:pStyle w:val="NoSpacing"/>
              <w:numPr>
                <w:ilvl w:val="0"/>
                <w:numId w:val="79"/>
              </w:numPr>
              <w:ind w:left="284" w:hanging="284"/>
            </w:pPr>
            <w:r>
              <w:t>partly because of the above three points, seriously underestimating the amount of agency slack present for bureaucrats (e.g. in implementation of policies)</w:t>
            </w:r>
          </w:p>
          <w:p w14:paraId="6311CF62" w14:textId="77777777" w:rsidR="00F33991" w:rsidRDefault="00F33991" w:rsidP="00F33991">
            <w:pPr>
              <w:pStyle w:val="NoSpacing"/>
              <w:ind w:left="284"/>
            </w:pPr>
          </w:p>
        </w:tc>
      </w:tr>
    </w:tbl>
    <w:p w14:paraId="6C345659" w14:textId="77777777" w:rsidR="000423AB" w:rsidRDefault="000423AB" w:rsidP="000423AB">
      <w:pPr>
        <w:ind w:firstLine="284"/>
        <w:rPr>
          <w:rFonts w:cstheme="minorBidi"/>
        </w:rPr>
      </w:pPr>
    </w:p>
    <w:p w14:paraId="2EE17DAF" w14:textId="77777777" w:rsidR="000423AB" w:rsidRDefault="000423AB" w:rsidP="000423AB">
      <w:pPr>
        <w:ind w:firstLine="284"/>
      </w:pPr>
      <w:r>
        <w:t xml:space="preserve">These defects pointed out by Moe (1987) are shared by Ramseyer and Rosenbluth (1993), because they employ the same analytical method with the US Congressional politics literature (Wright 1999 p.950, Gownder and Pekkanen 1996 p.375). Wright (1999 pp.950-1) further </w:t>
      </w:r>
      <w:r w:rsidR="005F1209">
        <w:rPr>
          <w:rFonts w:hint="eastAsia"/>
          <w:lang w:eastAsia="ja-JP"/>
        </w:rPr>
        <w:t>highlights</w:t>
      </w:r>
      <w:r>
        <w:t xml:space="preserve"> the oversimplification by Ramseyer and Rosenblith (1993). They collectively deal with policy </w:t>
      </w:r>
      <w:r w:rsidR="00EF5675">
        <w:t>making</w:t>
      </w:r>
      <w:r w:rsidR="00EF5675">
        <w:rPr>
          <w:lang w:eastAsia="ja-JP"/>
        </w:rPr>
        <w:t>, a</w:t>
      </w:r>
      <w:r w:rsidR="00EF5675">
        <w:t>lthough</w:t>
      </w:r>
      <w:r>
        <w:t xml:space="preserve"> policy making actually involves various activities (e.g. initiation, legitimation, and implementation) with the interaction between different mixes of public and private organisations and players in different arenas. Also, it is argued, policy making is simplified as the relationship between the LDP and bureaucracy, although actual policy making involves wider actors, including private sector actors, intermediary structures, quasi-governmental bodies (Wright  1999 pp.950-1).</w:t>
      </w:r>
    </w:p>
    <w:p w14:paraId="1B9F650A" w14:textId="77777777" w:rsidR="000423AB" w:rsidRDefault="000423AB" w:rsidP="000423AB">
      <w:pPr>
        <w:ind w:firstLine="284"/>
      </w:pPr>
      <w:r>
        <w:t xml:space="preserve">Another approach within the rational choice literature is offered by McCubbins and Noble (1995). By applying rational choice theory to budgeting in Japan and the US, it concludes that the MOF is a crucial player and that it self-evidently wins some battles with only delegated authority (Wright 1999 p.952). The shortcoming of  McCubbins and Noble (1995) is that </w:t>
      </w:r>
      <w:r w:rsidR="006D5AB6">
        <w:t>they</w:t>
      </w:r>
      <w:r>
        <w:t xml:space="preserve"> only focus on part of Japan’s whole budget, the general accounts of the Government of Japan (GoJ), neglecting the supplementary budgets and the Fiscal Investment Loan Programme (FILP)</w:t>
      </w:r>
      <w:r>
        <w:rPr>
          <w:rStyle w:val="FootnoteReference"/>
        </w:rPr>
        <w:footnoteReference w:id="19"/>
      </w:r>
      <w:r>
        <w:t xml:space="preserve"> (Wright 1999 p.952).</w:t>
      </w:r>
    </w:p>
    <w:p w14:paraId="4CF3E887" w14:textId="1A47C6C1" w:rsidR="000423AB" w:rsidRDefault="000423AB" w:rsidP="00021C97">
      <w:pPr>
        <w:ind w:firstLine="284"/>
      </w:pPr>
      <w:r>
        <w:t xml:space="preserve">The rational choice theory literature has made a significant contribution to knowledge. It </w:t>
      </w:r>
      <w:r>
        <w:rPr>
          <w:lang w:eastAsia="ja-JP"/>
        </w:rPr>
        <w:t xml:space="preserve">seeks to </w:t>
      </w:r>
      <w:r>
        <w:t xml:space="preserve">explain the relationship between internal actors. Ramseyer and Rosenbluth (1993) </w:t>
      </w:r>
      <w:r w:rsidR="00F32339">
        <w:rPr>
          <w:rFonts w:eastAsia="MS Mincho" w:hint="eastAsia"/>
          <w:lang w:eastAsia="ja-JP"/>
        </w:rPr>
        <w:t>offer</w:t>
      </w:r>
      <w:r>
        <w:t xml:space="preserve"> one of the fiercest challenges to Johnson (1982) because </w:t>
      </w:r>
      <w:r w:rsidR="006D5AB6">
        <w:t>they</w:t>
      </w:r>
      <w:r>
        <w:t xml:space="preserve"> contest the notion of the dominance of Japan’s bureaucracy with the argument which heavily relies on the theoretical tools of rational choice </w:t>
      </w:r>
      <w:r w:rsidR="00F32339">
        <w:rPr>
          <w:rFonts w:eastAsia="MS Mincho" w:hint="eastAsia"/>
          <w:lang w:eastAsia="ja-JP"/>
        </w:rPr>
        <w:t>rather t</w:t>
      </w:r>
      <w:r>
        <w:rPr>
          <w:lang w:eastAsia="ja-JP"/>
        </w:rPr>
        <w:t>han</w:t>
      </w:r>
      <w:r>
        <w:t xml:space="preserve"> the previous literature of this field, such as Johnson (1982) (Gownder and Pekkanen 199</w:t>
      </w:r>
      <w:r w:rsidR="00021C97">
        <w:t>6</w:t>
      </w:r>
      <w:r>
        <w:t xml:space="preserve"> pp.373-4). Th</w:t>
      </w:r>
      <w:r w:rsidR="007F58E6">
        <w:rPr>
          <w:rFonts w:hint="eastAsia"/>
          <w:lang w:eastAsia="ja-JP"/>
        </w:rPr>
        <w:t>e</w:t>
      </w:r>
      <w:r>
        <w:t xml:space="preserve"> approach of Ramseyer and Rosenbluth (1993) fuelled counterarguments including Johnson and Keehn (1994), wh</w:t>
      </w:r>
      <w:r w:rsidR="00F32339">
        <w:rPr>
          <w:rFonts w:eastAsia="MS Mincho" w:hint="eastAsia"/>
          <w:lang w:eastAsia="ja-JP"/>
        </w:rPr>
        <w:t>o</w:t>
      </w:r>
      <w:r>
        <w:t xml:space="preserve"> argue that the legislative dominance in Japan is ‘an absurd notion’ based on an </w:t>
      </w:r>
      <w:r w:rsidR="00872325" w:rsidRPr="003E02C7">
        <w:t>ahistorical</w:t>
      </w:r>
      <w:r>
        <w:t xml:space="preserve"> understanding of Japan (Gownder and Pekkanen 199</w:t>
      </w:r>
      <w:r w:rsidR="00021C97">
        <w:t>6</w:t>
      </w:r>
      <w:r>
        <w:t xml:space="preserve"> pp.373-4).</w:t>
      </w:r>
    </w:p>
    <w:p w14:paraId="442C7037" w14:textId="4EA09515" w:rsidR="000423AB" w:rsidRDefault="006D5AB6" w:rsidP="00872325">
      <w:pPr>
        <w:ind w:firstLine="284"/>
        <w:rPr>
          <w:lang w:eastAsia="ja-JP"/>
        </w:rPr>
      </w:pPr>
      <w:r>
        <w:t>Yet the</w:t>
      </w:r>
      <w:r w:rsidR="000423AB">
        <w:t xml:space="preserve"> rational choice </w:t>
      </w:r>
      <w:r w:rsidR="0001334E">
        <w:t xml:space="preserve">literature </w:t>
      </w:r>
      <w:r w:rsidR="000423AB">
        <w:t xml:space="preserve">has the same problem </w:t>
      </w:r>
      <w:r w:rsidR="00872325">
        <w:t>as</w:t>
      </w:r>
      <w:r w:rsidR="000423AB">
        <w:t xml:space="preserve"> the pluralist literature. Indeed, the rational choice theory literature does not supply a remedy for th</w:t>
      </w:r>
      <w:r w:rsidR="000423AB">
        <w:rPr>
          <w:lang w:eastAsia="ja-JP"/>
        </w:rPr>
        <w:t>e</w:t>
      </w:r>
      <w:r w:rsidR="000423AB">
        <w:t xml:space="preserve"> </w:t>
      </w:r>
      <w:r w:rsidR="000423AB">
        <w:rPr>
          <w:lang w:eastAsia="ja-JP"/>
        </w:rPr>
        <w:t>weakness</w:t>
      </w:r>
      <w:r w:rsidR="000423AB">
        <w:t xml:space="preserve"> of the pluralist literature, because it focuses on the choices of actors ‘when they face with several courses of action’ and offers analysis based on the actors (Elster (1989 p.22) in Ward (2002 p.65)). It ‘help(s) illuminate how structures arise and are transformed’, but it ‘introduce(s) some premises about social structure from outside’ (Ward 2002 p.88). Its methodological individualism and fully deductive explanations </w:t>
      </w:r>
      <w:r w:rsidR="000423AB">
        <w:rPr>
          <w:lang w:eastAsia="ja-JP"/>
        </w:rPr>
        <w:t>can be seen as weakness</w:t>
      </w:r>
      <w:r>
        <w:rPr>
          <w:lang w:eastAsia="ja-JP"/>
        </w:rPr>
        <w:t>es</w:t>
      </w:r>
      <w:r w:rsidR="000423AB">
        <w:t xml:space="preserve">, regarded as ‘impractical’ by Ward (2002 p.88). This approach suits the analysis of certain issues and does not offer frameworks applicable to all the topics emerging in the political sphere (Ward 2002 p.88). In addition to this, the rational choice literature indifferently deals with all actors, both state actors and societal actors. Although the literature of the rational choice theory with a </w:t>
      </w:r>
      <w:r w:rsidR="000423AB">
        <w:rPr>
          <w:lang w:eastAsia="ja-JP"/>
        </w:rPr>
        <w:t>robust</w:t>
      </w:r>
      <w:r w:rsidR="000423AB">
        <w:t xml:space="preserve"> research basis as social science research (e.g. the internal logic, whether contending hypotheses have been refuted, and the use of empirical evidence) has the potential to supply useful knowledge as Gownder and Pekkanen (199</w:t>
      </w:r>
      <w:r w:rsidR="00021C97">
        <w:t>6</w:t>
      </w:r>
      <w:r w:rsidR="000423AB">
        <w:t xml:space="preserve"> p.364) argue, such a characteristic </w:t>
      </w:r>
      <w:r w:rsidR="000423AB">
        <w:rPr>
          <w:lang w:eastAsia="ja-JP"/>
        </w:rPr>
        <w:t xml:space="preserve">struggles to account for </w:t>
      </w:r>
      <w:r w:rsidR="000423AB">
        <w:t xml:space="preserve">state transformation </w:t>
      </w:r>
      <w:r w:rsidR="000423AB">
        <w:rPr>
          <w:lang w:eastAsia="ja-JP"/>
        </w:rPr>
        <w:t xml:space="preserve">at a </w:t>
      </w:r>
      <w:r w:rsidR="000423AB">
        <w:t xml:space="preserve">macro level, because it offers the same approach </w:t>
      </w:r>
      <w:r w:rsidR="006D2508">
        <w:t>as</w:t>
      </w:r>
      <w:r w:rsidR="000423AB">
        <w:t xml:space="preserve"> the pluralist literature: aggregating the micro level enquiries.</w:t>
      </w:r>
      <w:r w:rsidR="006828C8">
        <w:rPr>
          <w:rFonts w:hint="eastAsia"/>
          <w:lang w:eastAsia="ja-JP"/>
        </w:rPr>
        <w:t xml:space="preserve"> This critique is applicable to the rational choice literature on Japan such as </w:t>
      </w:r>
      <w:r w:rsidR="006828C8">
        <w:t>Ramseyer and Rosenbluth (1993)</w:t>
      </w:r>
      <w:r w:rsidR="006828C8">
        <w:rPr>
          <w:rFonts w:hint="eastAsia"/>
          <w:lang w:eastAsia="ja-JP"/>
        </w:rPr>
        <w:t>;</w:t>
      </w:r>
      <w:r w:rsidR="006828C8">
        <w:t xml:space="preserve"> </w:t>
      </w:r>
      <w:r w:rsidR="006828C8">
        <w:rPr>
          <w:rFonts w:hint="eastAsia"/>
          <w:lang w:eastAsia="ja-JP"/>
        </w:rPr>
        <w:t>the problem of the pluralist literature such as Muramatsu and Krauss (1987) can also be observed in documents based on a rational choice perspective such as Ramseyer and Rosenbluth (1993).</w:t>
      </w:r>
    </w:p>
    <w:p w14:paraId="77D9BA67" w14:textId="77777777" w:rsidR="000423AB" w:rsidRDefault="000423AB" w:rsidP="000423AB">
      <w:pPr>
        <w:ind w:firstLine="284"/>
      </w:pPr>
    </w:p>
    <w:p w14:paraId="76D10C1B" w14:textId="77777777" w:rsidR="000423AB" w:rsidRDefault="000423AB" w:rsidP="000423AB">
      <w:pPr>
        <w:ind w:firstLine="284"/>
      </w:pPr>
    </w:p>
    <w:p w14:paraId="4CCA7067" w14:textId="77777777" w:rsidR="000423AB" w:rsidRDefault="000423AB" w:rsidP="00050D4B">
      <w:pPr>
        <w:pStyle w:val="Heading2"/>
      </w:pPr>
      <w:bookmarkStart w:id="19" w:name="_Toc349741341"/>
      <w:r>
        <w:t>2.6</w:t>
      </w:r>
      <w:r>
        <w:rPr>
          <w:rFonts w:eastAsiaTheme="minorEastAsia"/>
        </w:rPr>
        <w:tab/>
      </w:r>
      <w:r>
        <w:t xml:space="preserve">Challenges to Japan and its </w:t>
      </w:r>
      <w:r w:rsidR="00E20CF4">
        <w:rPr>
          <w:rFonts w:eastAsia="MS Mincho" w:hint="eastAsia"/>
          <w:lang w:eastAsia="ja-JP"/>
        </w:rPr>
        <w:t>t</w:t>
      </w:r>
      <w:r>
        <w:t>ransformation</w:t>
      </w:r>
      <w:bookmarkEnd w:id="19"/>
    </w:p>
    <w:p w14:paraId="0D46FE5B" w14:textId="77777777" w:rsidR="000423AB" w:rsidRDefault="000423AB" w:rsidP="000423AB">
      <w:r>
        <w:t xml:space="preserve">The literature outlined above, each in different ways, offers only a limited understanding of the notion of state transformation. Indeed, the literature began to </w:t>
      </w:r>
      <w:r w:rsidR="002242E4">
        <w:rPr>
          <w:rFonts w:hint="eastAsia"/>
          <w:lang w:eastAsia="ja-JP"/>
        </w:rPr>
        <w:t>report</w:t>
      </w:r>
      <w:r>
        <w:t xml:space="preserve"> the transformation of Japan in the late 1990s. The reported change took place about </w:t>
      </w:r>
      <w:r w:rsidR="0001334E">
        <w:t>a decade</w:t>
      </w:r>
      <w:r>
        <w:t xml:space="preserve"> after neo-liberal discourse became distinctive in the UK and the US, because the neo-liberal discourse had only a limited impact on Japan’s political arena.</w:t>
      </w:r>
    </w:p>
    <w:p w14:paraId="7798A1DA" w14:textId="77777777" w:rsidR="000423AB" w:rsidRDefault="000423AB" w:rsidP="000423AB">
      <w:pPr>
        <w:ind w:firstLine="284"/>
        <w:rPr>
          <w:bCs/>
        </w:rPr>
      </w:pPr>
      <w:r>
        <w:rPr>
          <w:bCs/>
        </w:rPr>
        <w:t>In terms of neo-liberal reforms, the Yasuhiro Nakasone Government (1982-7) privatised the three major state corporations (Japan National Railways, Nippon Telegraph and Telephone Public Co.</w:t>
      </w:r>
      <w:r w:rsidR="00151BB5">
        <w:rPr>
          <w:rFonts w:hint="eastAsia"/>
          <w:bCs/>
          <w:lang w:eastAsia="ja-JP"/>
        </w:rPr>
        <w:t xml:space="preserve"> (NTT)</w:t>
      </w:r>
      <w:r>
        <w:rPr>
          <w:bCs/>
        </w:rPr>
        <w:t xml:space="preserve">, and Japan Tobacco) in 1985. The Nakasone Government is sometimes compared to the Thatcher Government and the Reagan Administration, as it embarked on a reform programme during the 1980s using neo-liberal rhetoric. (Hiwatari 1998 p.603, Shibata 2008 p.99). Ozawa (1994: Original Japanese version was published in 1993), a key LDP politician of the day and a significant figure in </w:t>
      </w:r>
      <w:r w:rsidR="006440D6">
        <w:rPr>
          <w:rFonts w:eastAsia="MS Mincho" w:hint="eastAsia"/>
          <w:bCs/>
          <w:lang w:eastAsia="ja-JP"/>
        </w:rPr>
        <w:t>Japanese politics so far</w:t>
      </w:r>
      <w:r>
        <w:rPr>
          <w:bCs/>
        </w:rPr>
        <w:t>, argued that ‘management-type regulation’ needed to be replaced by ‘rule-based policies’ (Ozawa 1994 pp.200-1)</w:t>
      </w:r>
      <w:r>
        <w:rPr>
          <w:rStyle w:val="FootnoteReference"/>
          <w:bCs/>
        </w:rPr>
        <w:footnoteReference w:id="20"/>
      </w:r>
      <w:r>
        <w:rPr>
          <w:bCs/>
        </w:rPr>
        <w:t>.</w:t>
      </w:r>
    </w:p>
    <w:p w14:paraId="35861C43" w14:textId="77777777" w:rsidR="000423AB" w:rsidRDefault="000423AB" w:rsidP="000423AB">
      <w:pPr>
        <w:ind w:firstLine="284"/>
      </w:pPr>
      <w:r>
        <w:t xml:space="preserve">However, Japan’s reform policies in this period were based on industry-centred co-ordination and the autonomy of the state bureaucrats in devising reform packages (Hiwatari 1998 pp.610-1, Shibata 2008 p.99). Hiwatari (1998) mentions the following examples of the policy coordination about the health care insurance reform, which arranged the cross-subsidisation between different health care insurance systems, by </w:t>
      </w:r>
      <w:r w:rsidR="0031543E">
        <w:rPr>
          <w:rFonts w:hint="eastAsia"/>
          <w:lang w:eastAsia="ja-JP"/>
        </w:rPr>
        <w:t>officials</w:t>
      </w:r>
      <w:r>
        <w:t xml:space="preserve"> (pp.610-1):</w:t>
      </w:r>
    </w:p>
    <w:p w14:paraId="74F6F7C0" w14:textId="77777777" w:rsidR="000423AB" w:rsidRDefault="000423AB" w:rsidP="000423AB">
      <w:pPr>
        <w:ind w:firstLine="284"/>
      </w:pPr>
    </w:p>
    <w:p w14:paraId="418B708B" w14:textId="01841E99" w:rsidR="00495655" w:rsidRDefault="000423AB" w:rsidP="005B18BE">
      <w:pPr>
        <w:pStyle w:val="Quote"/>
      </w:pPr>
      <w:r>
        <w:t xml:space="preserve">it was the bureaucracy that packaged the reforms that bridged the conflicting interests of the oligopolistic and fragmented industries. Plans to combine welfare retrenchment with cross-subsidization or a new tax with income tax cuts were deliberated, concretized, and announced by government advisory committees prior to the involvement of political parties. Despite the fact that the political parties, including the LDP, defeated government bills to retrench welfare and install a sales tax in the late 1970s, the parties provided no viable plans of their own until those presented by the advisory committees. Furthermore, it was the bureaucracy that persuaded the oligopolistic industries and their unions, whose representatives sat on these advisory committees, to support government packages. In the committees, the large firms and their unions were reminded that failure to make significant changes would result in exorbitant welfare burdens and government deficits. As the oligopolistic firms and their unions changed their attitudes, the moderate opposition parties also modified their earlier absolute opposition to the reforms. </w:t>
      </w:r>
    </w:p>
    <w:p w14:paraId="1D695EA3" w14:textId="77777777" w:rsidR="000423AB" w:rsidRDefault="000423AB" w:rsidP="000423AB">
      <w:pPr>
        <w:ind w:firstLine="284"/>
      </w:pPr>
    </w:p>
    <w:p w14:paraId="6E605A65" w14:textId="77777777" w:rsidR="000423AB" w:rsidRDefault="000423AB" w:rsidP="000423AB">
      <w:r>
        <w:t xml:space="preserve">Deregulation and privatisation were employed in strategically selected sectors and neo-liberal policies were implemented through bureaucracy (Hiwatari 1998 pp.610-1).  Policy processes were based on bureaucratic co-ordination and industry adjustment (Noguchi 1995 p.156). In addition, the high performance of Japanese firms in the 1980s contributed to sustain the traditional structure (Noguchi 1995 p.156). As a result, Japan’s neo-liberal reform in the 1970s and the 1980s seems to have been emasculated by its traditional structure (Vogel 1996 p.54). Japan has sometimes partially evoked policies based on </w:t>
      </w:r>
      <w:r w:rsidR="00482D61">
        <w:t xml:space="preserve">a </w:t>
      </w:r>
      <w:r>
        <w:t>market oriented philosophy, but it has been reluctant to thoroughly embrace them (Pierre and Peters 2000 p.3) so that it could protect its embedded structure.</w:t>
      </w:r>
    </w:p>
    <w:p w14:paraId="0178C3F7" w14:textId="77777777" w:rsidR="002E1B37" w:rsidRDefault="000423AB" w:rsidP="002E1B37">
      <w:pPr>
        <w:ind w:firstLine="284"/>
      </w:pPr>
      <w:r>
        <w:t xml:space="preserve">The challenges to Japan have been observed explicitly </w:t>
      </w:r>
      <w:r w:rsidR="00482D61">
        <w:t>since</w:t>
      </w:r>
      <w:r>
        <w:t xml:space="preserve"> the late 1990s (Yamamura 1997 pp.291-4, Pempel 1998,Weiss 1998 p.65, Schaede 2000 p.4, Amyx and Drysdale 2003 p.3)</w:t>
      </w:r>
      <w:r w:rsidR="002E1B37">
        <w:t xml:space="preserve">, whose </w:t>
      </w:r>
      <w:r>
        <w:t xml:space="preserve">major </w:t>
      </w:r>
      <w:r w:rsidR="002E1B37">
        <w:t xml:space="preserve">characteristics can be summarised by Table 2.5 </w:t>
      </w:r>
    </w:p>
    <w:p w14:paraId="1102842B" w14:textId="77777777" w:rsidR="002E1B37" w:rsidRDefault="002E1B37" w:rsidP="002E1B37">
      <w:pPr>
        <w:ind w:firstLine="284"/>
      </w:pPr>
    </w:p>
    <w:p w14:paraId="28952A42" w14:textId="77777777" w:rsidR="000423AB" w:rsidRDefault="002E1B37" w:rsidP="00EC3F36">
      <w:pPr>
        <w:pStyle w:val="Heading4"/>
      </w:pPr>
      <w:r>
        <w:t xml:space="preserve">Table 2.5: The </w:t>
      </w:r>
      <w:r w:rsidR="000423AB">
        <w:t xml:space="preserve">characterisation of the challenges </w:t>
      </w:r>
      <w:r w:rsidR="00EC3F36">
        <w:t>to Japan observed after the late 1990s</w:t>
      </w:r>
      <w:r w:rsidR="000423AB">
        <w:t xml:space="preserve"> (Vogel 2006 pp.10-1</w:t>
      </w:r>
      <w:r w:rsidR="00EE0E5F">
        <w:t>, p.26</w:t>
      </w:r>
      <w:r w:rsidR="000423AB">
        <w:t>, Schaede 2008 pp.21-33):</w:t>
      </w:r>
    </w:p>
    <w:tbl>
      <w:tblPr>
        <w:tblStyle w:val="TableGrid"/>
        <w:tblW w:w="0" w:type="auto"/>
        <w:tblLook w:val="04A0" w:firstRow="1" w:lastRow="0" w:firstColumn="1" w:lastColumn="0" w:noHBand="0" w:noVBand="1"/>
      </w:tblPr>
      <w:tblGrid>
        <w:gridCol w:w="8720"/>
      </w:tblGrid>
      <w:tr w:rsidR="00EC3F36" w14:paraId="35F1B529" w14:textId="77777777" w:rsidTr="00EC3F36">
        <w:tc>
          <w:tcPr>
            <w:tcW w:w="9286" w:type="dxa"/>
          </w:tcPr>
          <w:p w14:paraId="7D82F3A3" w14:textId="77777777" w:rsidR="00EC3F36" w:rsidRDefault="00EC3F36" w:rsidP="00EC3F36">
            <w:pPr>
              <w:pStyle w:val="NoSpacing"/>
              <w:ind w:left="284"/>
            </w:pPr>
          </w:p>
          <w:p w14:paraId="23C9AB9D" w14:textId="77777777" w:rsidR="009E3199" w:rsidRPr="009E3199" w:rsidRDefault="00F64678" w:rsidP="00F64678">
            <w:pPr>
              <w:pStyle w:val="NoSpacing"/>
              <w:numPr>
                <w:ilvl w:val="0"/>
                <w:numId w:val="80"/>
              </w:numPr>
              <w:ind w:left="284" w:hanging="284"/>
              <w:rPr>
                <w:b/>
                <w:bCs/>
              </w:rPr>
            </w:pPr>
            <w:r w:rsidRPr="009E3199">
              <w:rPr>
                <w:b/>
                <w:bCs/>
              </w:rPr>
              <w:t>T</w:t>
            </w:r>
            <w:r w:rsidR="00EC3F36" w:rsidRPr="009E3199">
              <w:rPr>
                <w:b/>
                <w:bCs/>
              </w:rPr>
              <w:t>he economic slump in the 1990s</w:t>
            </w:r>
          </w:p>
          <w:p w14:paraId="0AC97DC8" w14:textId="77777777" w:rsidR="00EC3F36" w:rsidRDefault="009E3199" w:rsidP="009E3199">
            <w:pPr>
              <w:pStyle w:val="NoSpacing"/>
              <w:ind w:left="284"/>
            </w:pPr>
            <w:r>
              <w:rPr>
                <w:rFonts w:eastAsia="MS Mincho"/>
              </w:rPr>
              <w:t>A</w:t>
            </w:r>
            <w:r w:rsidR="00EC3F36">
              <w:t>fter the burst of the bubble economy of 1987-91, Japan fell into a decade of stagnation and recession (Schaede 2008 p.21). This generated economic and political pressures for change and undermined the Japanese model</w:t>
            </w:r>
            <w:r>
              <w:t>.</w:t>
            </w:r>
          </w:p>
          <w:p w14:paraId="6EEB09AA" w14:textId="77777777" w:rsidR="009E3199" w:rsidRDefault="009E3199" w:rsidP="009E3199">
            <w:pPr>
              <w:pStyle w:val="NoSpacing"/>
              <w:ind w:left="284"/>
            </w:pPr>
          </w:p>
          <w:p w14:paraId="49DEBECF" w14:textId="77777777" w:rsidR="00EE0E5F" w:rsidRPr="00EE0E5F" w:rsidRDefault="00EE0E5F" w:rsidP="00EC3F36">
            <w:pPr>
              <w:pStyle w:val="NoSpacing"/>
              <w:numPr>
                <w:ilvl w:val="0"/>
                <w:numId w:val="80"/>
              </w:numPr>
              <w:ind w:left="284" w:hanging="284"/>
              <w:rPr>
                <w:b/>
                <w:bCs/>
              </w:rPr>
            </w:pPr>
            <w:r w:rsidRPr="00EE0E5F">
              <w:rPr>
                <w:b/>
                <w:bCs/>
              </w:rPr>
              <w:t>Enormous</w:t>
            </w:r>
            <w:r w:rsidR="00EC3F36" w:rsidRPr="00EE0E5F">
              <w:rPr>
                <w:b/>
                <w:bCs/>
              </w:rPr>
              <w:t xml:space="preserve"> bad loans in the private sector and banking sector crisis</w:t>
            </w:r>
          </w:p>
          <w:p w14:paraId="014AF560" w14:textId="77777777" w:rsidR="00EC3F36" w:rsidRDefault="00EE0E5F" w:rsidP="00EE0E5F">
            <w:pPr>
              <w:pStyle w:val="NoSpacing"/>
              <w:ind w:left="284"/>
            </w:pPr>
            <w:r>
              <w:rPr>
                <w:rFonts w:eastAsia="MS Mincho"/>
              </w:rPr>
              <w:t>Because</w:t>
            </w:r>
            <w:r w:rsidR="00EC3F36">
              <w:t xml:space="preserve"> many firms used real estate as collateral for their loans</w:t>
            </w:r>
            <w:r w:rsidR="00EC3F36">
              <w:rPr>
                <w:rFonts w:hint="eastAsia"/>
              </w:rPr>
              <w:t>, t</w:t>
            </w:r>
            <w:r w:rsidR="00EC3F36">
              <w:t>he burst of the bubble economy had a significant impact over their solvency. This resulted in a</w:t>
            </w:r>
            <w:r w:rsidR="00EC3F36">
              <w:rPr>
                <w:rFonts w:hint="eastAsia"/>
              </w:rPr>
              <w:t xml:space="preserve"> </w:t>
            </w:r>
            <w:r w:rsidR="00EC3F36">
              <w:t xml:space="preserve">substantial growth in bad loans in the private sector. This exposure of the banks to real estate loans turned into </w:t>
            </w:r>
            <w:r w:rsidR="00482D61">
              <w:t xml:space="preserve">a </w:t>
            </w:r>
            <w:r w:rsidR="00EC3F36">
              <w:t>crisis in 1997. A subsequent banking sector crisis was so severe that the Japanese government infused 9.3 trillion yen (about $ 90 billion) into the largest banks</w:t>
            </w:r>
            <w:r w:rsidR="00EC3F36">
              <w:rPr>
                <w:rFonts w:hint="eastAsia"/>
              </w:rPr>
              <w:t xml:space="preserve"> </w:t>
            </w:r>
            <w:r w:rsidR="00EC3F36">
              <w:t>inducing fierce controversy in the media</w:t>
            </w:r>
            <w:r>
              <w:t>.</w:t>
            </w:r>
          </w:p>
          <w:p w14:paraId="33B4261D" w14:textId="77777777" w:rsidR="00EE0E5F" w:rsidRDefault="00EE0E5F" w:rsidP="00EE0E5F">
            <w:pPr>
              <w:pStyle w:val="NoSpacing"/>
              <w:ind w:left="284"/>
            </w:pPr>
          </w:p>
          <w:p w14:paraId="2126EFE5" w14:textId="77777777" w:rsidR="00344E74" w:rsidRPr="00344E74" w:rsidRDefault="00344E74" w:rsidP="00344E74">
            <w:pPr>
              <w:pStyle w:val="NoSpacing"/>
              <w:numPr>
                <w:ilvl w:val="0"/>
                <w:numId w:val="80"/>
              </w:numPr>
              <w:ind w:left="284" w:hanging="284"/>
              <w:rPr>
                <w:rFonts w:eastAsia="MS Mincho"/>
                <w:b/>
                <w:bCs/>
              </w:rPr>
            </w:pPr>
            <w:r w:rsidRPr="00344E74">
              <w:rPr>
                <w:b/>
                <w:bCs/>
              </w:rPr>
              <w:t>The</w:t>
            </w:r>
            <w:r w:rsidR="00EC3F36" w:rsidRPr="00344E74">
              <w:rPr>
                <w:b/>
                <w:bCs/>
              </w:rPr>
              <w:t xml:space="preserve"> shift from a catching up (developing) </w:t>
            </w:r>
            <w:r w:rsidRPr="00344E74">
              <w:rPr>
                <w:b/>
                <w:bCs/>
              </w:rPr>
              <w:t>economy to an advanced economy</w:t>
            </w:r>
          </w:p>
          <w:p w14:paraId="6DCDDC7F" w14:textId="77777777" w:rsidR="00EC3F36" w:rsidRPr="00344E74" w:rsidRDefault="00344E74" w:rsidP="00344E74">
            <w:pPr>
              <w:pStyle w:val="NoSpacing"/>
              <w:ind w:left="284"/>
              <w:rPr>
                <w:rFonts w:eastAsia="MS Mincho"/>
              </w:rPr>
            </w:pPr>
            <w:r>
              <w:rPr>
                <w:rFonts w:eastAsia="MS Mincho"/>
              </w:rPr>
              <w:t>As</w:t>
            </w:r>
            <w:r w:rsidR="00EC3F36">
              <w:t xml:space="preserve"> the Japanese economy matured, its conditions and requirements changed from those of a developing economy to those of a developed economy. For instance, its technological challenge shifted from catching up other developed countries to leading development, and private firms moved</w:t>
            </w:r>
            <w:r w:rsidR="00EC3F36">
              <w:rPr>
                <w:rFonts w:eastAsia="MS Mincho" w:hint="eastAsia"/>
              </w:rPr>
              <w:t>:</w:t>
            </w:r>
            <w:r w:rsidR="00EC3F36">
              <w:t xml:space="preserve"> ‘from competing for scarce capital to leveraging the benefits of abundant capital, and from capitalizing on low-cost labor to investing in high-skill labor’ (Vogel 2006 p.10)</w:t>
            </w:r>
            <w:r>
              <w:t>.</w:t>
            </w:r>
          </w:p>
          <w:p w14:paraId="0D90F474" w14:textId="77777777" w:rsidR="00344E74" w:rsidRDefault="00344E74" w:rsidP="00344E74">
            <w:pPr>
              <w:pStyle w:val="NoSpacing"/>
              <w:ind w:left="284"/>
              <w:rPr>
                <w:rFonts w:eastAsia="MS Mincho"/>
              </w:rPr>
            </w:pPr>
          </w:p>
          <w:p w14:paraId="0CFECF33" w14:textId="77777777" w:rsidR="00344E74" w:rsidRPr="00344E74" w:rsidRDefault="00344E74" w:rsidP="00EC3F36">
            <w:pPr>
              <w:pStyle w:val="NoSpacing"/>
              <w:numPr>
                <w:ilvl w:val="0"/>
                <w:numId w:val="80"/>
              </w:numPr>
              <w:ind w:left="284" w:hanging="284"/>
              <w:rPr>
                <w:b/>
                <w:bCs/>
              </w:rPr>
            </w:pPr>
            <w:r w:rsidRPr="00344E74">
              <w:rPr>
                <w:b/>
                <w:bCs/>
              </w:rPr>
              <w:t>G</w:t>
            </w:r>
            <w:r w:rsidR="00EC3F36" w:rsidRPr="00344E74">
              <w:rPr>
                <w:b/>
                <w:bCs/>
              </w:rPr>
              <w:t>lobalisation</w:t>
            </w:r>
          </w:p>
          <w:p w14:paraId="265F8ED4" w14:textId="77777777" w:rsidR="00EC3F36" w:rsidRDefault="00344E74" w:rsidP="00344E74">
            <w:pPr>
              <w:pStyle w:val="NoSpacing"/>
              <w:ind w:left="284"/>
            </w:pPr>
            <w:r>
              <w:rPr>
                <w:rFonts w:eastAsia="MS Mincho"/>
              </w:rPr>
              <w:t>As</w:t>
            </w:r>
            <w:r w:rsidR="00EC3F36">
              <w:t xml:space="preserve"> the capital and corporate activity grows, Japan became integrated into the global economy. The Japanese government lost the traditional control over its domestic economy and the private firms became exposed more to competition with foreign counterparts</w:t>
            </w:r>
            <w:r>
              <w:t>.</w:t>
            </w:r>
          </w:p>
          <w:p w14:paraId="3AF71071" w14:textId="77777777" w:rsidR="00344E74" w:rsidRDefault="00344E74" w:rsidP="00344E74">
            <w:pPr>
              <w:pStyle w:val="NoSpacing"/>
              <w:ind w:left="284"/>
            </w:pPr>
          </w:p>
          <w:p w14:paraId="333E8615" w14:textId="77777777" w:rsidR="00344E74" w:rsidRPr="00344E74" w:rsidRDefault="00EC3F36" w:rsidP="00EC3F36">
            <w:pPr>
              <w:pStyle w:val="NoSpacing"/>
              <w:numPr>
                <w:ilvl w:val="0"/>
                <w:numId w:val="80"/>
              </w:numPr>
              <w:ind w:left="284" w:hanging="284"/>
              <w:rPr>
                <w:b/>
                <w:bCs/>
              </w:rPr>
            </w:pPr>
            <w:r w:rsidRPr="00344E74">
              <w:rPr>
                <w:b/>
                <w:bCs/>
              </w:rPr>
              <w:t>Japan’s social crisis (e.g. growing inequity and inequality, rising u</w:t>
            </w:r>
            <w:r w:rsidR="00344E74">
              <w:rPr>
                <w:b/>
                <w:bCs/>
              </w:rPr>
              <w:t>nemployment rate)</w:t>
            </w:r>
          </w:p>
          <w:p w14:paraId="00AAB4F7" w14:textId="77777777" w:rsidR="00EC3F36" w:rsidRDefault="00344E74" w:rsidP="00344E74">
            <w:pPr>
              <w:pStyle w:val="NoSpacing"/>
              <w:ind w:left="284"/>
            </w:pPr>
            <w:r>
              <w:rPr>
                <w:rFonts w:eastAsia="MS Mincho"/>
              </w:rPr>
              <w:t>B</w:t>
            </w:r>
            <w:r w:rsidR="00EC3F36">
              <w:t xml:space="preserve">y the late 1990s, indicators of social distress such as unemployment, bankruptcies by small firms, homelessness, crime, divorce rates, child abuse, and suicides </w:t>
            </w:r>
            <w:r w:rsidR="00482D61">
              <w:t>were at a</w:t>
            </w:r>
            <w:r w:rsidR="00EC3F36">
              <w:t xml:space="preserve"> record high. Schaede </w:t>
            </w:r>
            <w:r w:rsidR="00EC3F36">
              <w:rPr>
                <w:rFonts w:hint="eastAsia"/>
              </w:rPr>
              <w:t>(</w:t>
            </w:r>
            <w:r w:rsidR="00EC3F36">
              <w:t>2008 p.22</w:t>
            </w:r>
            <w:r w:rsidR="00EC3F36">
              <w:rPr>
                <w:rFonts w:hint="eastAsia"/>
              </w:rPr>
              <w:t>)</w:t>
            </w:r>
            <w:r w:rsidR="00EC3F36">
              <w:t xml:space="preserve"> argues </w:t>
            </w:r>
            <w:r w:rsidR="00EC3F36">
              <w:rPr>
                <w:rFonts w:hint="eastAsia"/>
              </w:rPr>
              <w:t xml:space="preserve">that </w:t>
            </w:r>
            <w:r w:rsidR="00EC3F36">
              <w:t>this highlights the failure of the postwar policy tools.</w:t>
            </w:r>
          </w:p>
          <w:p w14:paraId="2FED1956" w14:textId="77777777" w:rsidR="00EC3F36" w:rsidRDefault="00EC3F36" w:rsidP="00EC3F36">
            <w:pPr>
              <w:pStyle w:val="NoSpacing"/>
              <w:ind w:left="284"/>
            </w:pPr>
          </w:p>
        </w:tc>
      </w:tr>
    </w:tbl>
    <w:p w14:paraId="14BFBEBA" w14:textId="77777777" w:rsidR="000423AB" w:rsidRDefault="000423AB" w:rsidP="000423AB">
      <w:pPr>
        <w:rPr>
          <w:rFonts w:cstheme="minorBidi"/>
        </w:rPr>
      </w:pPr>
    </w:p>
    <w:p w14:paraId="1B0492AE" w14:textId="77777777" w:rsidR="000423AB" w:rsidRDefault="000423AB" w:rsidP="000423AB">
      <w:r>
        <w:t xml:space="preserve">The response to such challenges has been gradual and continuous rather than ad hoc (Vogel 2006 p.10-1). ‘(Japan’s) model in 2005 fundamentally differs from the model in 1960. But we cannot identify a breaking point at which one model transformed into the other’ (Vogel 2006 p.224). Schaede (2008) argues that Japan had the ‘strategic inflection point’ between 1998 and 2006 (p.1, p.21). </w:t>
      </w:r>
    </w:p>
    <w:p w14:paraId="197BDE07" w14:textId="77777777" w:rsidR="000423AB" w:rsidRDefault="000423AB" w:rsidP="00A54D8E">
      <w:pPr>
        <w:ind w:firstLine="284"/>
        <w:rPr>
          <w:lang w:eastAsia="ja-JP"/>
        </w:rPr>
      </w:pPr>
      <w:r>
        <w:t>To explain this gradual transformation of Japan, Vogel (2006) proposes a model of policy and society change based on new institutional economics and studies on capitalism (pp.11-21). This model has two layers: micro level (firms) and macro level (the government) (p.15). These two levels interact with each other (Vogel 2006 p.18). Macro constraints (e.g. laws and regulations) affect micro constraints (e.g. long-term relationship between firms, between firms and banks and between firms and unions) (Vogel 2006 p.15</w:t>
      </w:r>
      <w:r w:rsidR="00345008">
        <w:rPr>
          <w:rFonts w:hint="eastAsia"/>
          <w:lang w:eastAsia="ja-JP"/>
        </w:rPr>
        <w:t>;</w:t>
      </w:r>
      <w:r>
        <w:t xml:space="preserve"> See Figure 2.1). For example, laws and regulations can shape private firms’ strategies and policies towards trade partners (Vogel 2006 p.16). Micro constraints also affect macro constraints and could change them by policy reforms (Vogel 2006 p.17</w:t>
      </w:r>
      <w:r w:rsidR="00345008">
        <w:rPr>
          <w:rFonts w:hint="eastAsia"/>
          <w:lang w:eastAsia="ja-JP"/>
        </w:rPr>
        <w:t>;</w:t>
      </w:r>
      <w:r>
        <w:t xml:space="preserve"> See Figure 2.2). Private firms’ adjustment strategies to their respective circumstances such as the strategies on hiring the staff can shape the policies of the government such as the policies on labour markets and induce policy reforms through private firms’ support to such policies/reforms (Vogel 2006 p.17). Such reforms can also affect firms and lead to corporate adjustments</w:t>
      </w:r>
      <w:r>
        <w:rPr>
          <w:lang w:eastAsia="ja-JP"/>
        </w:rPr>
        <w:t>, which in turn can lead to further policy reforms</w:t>
      </w:r>
      <w:r>
        <w:t xml:space="preserve"> (Vogel 2006 p.18). Vogel (2006 p.20) argues that this model can be further enhanced by employing sociological perspectives </w:t>
      </w:r>
      <w:r w:rsidR="00482D61">
        <w:t>where</w:t>
      </w:r>
      <w:r w:rsidR="000E7363">
        <w:rPr>
          <w:rFonts w:eastAsia="MS Mincho" w:hint="eastAsia"/>
          <w:lang w:eastAsia="ja-JP"/>
        </w:rPr>
        <w:t>:</w:t>
      </w:r>
      <w:r>
        <w:t xml:space="preserve"> ‘actors facing new circumstances do not rationally calculate costs and benefits so much as fall back on existing norms, beliefs and routines’.</w:t>
      </w:r>
    </w:p>
    <w:p w14:paraId="40016A97" w14:textId="77777777" w:rsidR="002242E4" w:rsidRDefault="002242E4" w:rsidP="000423AB">
      <w:pPr>
        <w:rPr>
          <w:lang w:eastAsia="ja-JP"/>
        </w:rPr>
      </w:pPr>
    </w:p>
    <w:p w14:paraId="1162F79A" w14:textId="77777777" w:rsidR="000423AB" w:rsidRDefault="000423AB" w:rsidP="00DA2E02">
      <w:pPr>
        <w:pStyle w:val="Heading4"/>
      </w:pPr>
      <w:r>
        <w:t xml:space="preserve">Figure 2.1: Micro </w:t>
      </w:r>
      <w:r w:rsidR="000E7363">
        <w:rPr>
          <w:rFonts w:eastAsia="MS Mincho" w:hint="eastAsia"/>
          <w:lang w:eastAsia="ja-JP"/>
        </w:rPr>
        <w:t>l</w:t>
      </w:r>
      <w:r>
        <w:t xml:space="preserve">evel: </w:t>
      </w:r>
      <w:r w:rsidR="000E7363">
        <w:rPr>
          <w:rFonts w:eastAsia="MS Mincho" w:hint="eastAsia"/>
          <w:lang w:eastAsia="ja-JP"/>
        </w:rPr>
        <w:t>f</w:t>
      </w:r>
      <w:r>
        <w:t xml:space="preserve">actors </w:t>
      </w:r>
      <w:r w:rsidR="000E7363">
        <w:rPr>
          <w:rFonts w:eastAsia="MS Mincho" w:hint="eastAsia"/>
          <w:lang w:eastAsia="ja-JP"/>
        </w:rPr>
        <w:t>s</w:t>
      </w:r>
      <w:r>
        <w:t xml:space="preserve">haping </w:t>
      </w:r>
      <w:r w:rsidR="000E7363">
        <w:rPr>
          <w:rFonts w:eastAsia="MS Mincho" w:hint="eastAsia"/>
          <w:lang w:eastAsia="ja-JP"/>
        </w:rPr>
        <w:t>p</w:t>
      </w:r>
      <w:r>
        <w:t xml:space="preserve">atterns of </w:t>
      </w:r>
      <w:r w:rsidR="000E7363">
        <w:rPr>
          <w:rFonts w:eastAsia="MS Mincho" w:hint="eastAsia"/>
          <w:lang w:eastAsia="ja-JP"/>
        </w:rPr>
        <w:t>c</w:t>
      </w:r>
      <w:r>
        <w:t xml:space="preserve">orporate </w:t>
      </w:r>
      <w:r w:rsidR="000E7363">
        <w:rPr>
          <w:rFonts w:eastAsia="MS Mincho" w:hint="eastAsia"/>
          <w:lang w:eastAsia="ja-JP"/>
        </w:rPr>
        <w:t>a</w:t>
      </w:r>
      <w:r>
        <w:t>djustment (Vogel 2006 p.16)</w:t>
      </w:r>
    </w:p>
    <w:p w14:paraId="1CC19322" w14:textId="77777777" w:rsidR="000423AB" w:rsidRDefault="000423AB" w:rsidP="000423AB">
      <w:pPr>
        <w:pStyle w:val="NoSpacing"/>
      </w:pPr>
    </w:p>
    <w:p w14:paraId="49363E11" w14:textId="77777777" w:rsidR="000423AB" w:rsidRDefault="002172E5" w:rsidP="000423AB">
      <w:pPr>
        <w:pStyle w:val="NoSpacing"/>
      </w:pPr>
      <w:r>
        <w:rPr>
          <w:noProof/>
          <w:lang w:eastAsia="ja-JP"/>
        </w:rPr>
        <mc:AlternateContent>
          <mc:Choice Requires="wps">
            <w:drawing>
              <wp:anchor distT="0" distB="0" distL="114300" distR="114300" simplePos="0" relativeHeight="251653120" behindDoc="0" locked="0" layoutInCell="1" allowOverlap="1" wp14:anchorId="4F73488B" wp14:editId="14B2E69A">
                <wp:simplePos x="0" y="0"/>
                <wp:positionH relativeFrom="column">
                  <wp:posOffset>2145665</wp:posOffset>
                </wp:positionH>
                <wp:positionV relativeFrom="paragraph">
                  <wp:posOffset>30480</wp:posOffset>
                </wp:positionV>
                <wp:extent cx="1492250" cy="1606550"/>
                <wp:effectExtent l="0" t="0" r="12700" b="12700"/>
                <wp:wrapNone/>
                <wp:docPr id="20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606550"/>
                        </a:xfrm>
                        <a:prstGeom prst="rect">
                          <a:avLst/>
                        </a:prstGeom>
                        <a:solidFill>
                          <a:srgbClr val="FFFFFF"/>
                        </a:solidFill>
                        <a:ln w="9525">
                          <a:solidFill>
                            <a:srgbClr val="000000"/>
                          </a:solidFill>
                          <a:miter lim="800000"/>
                          <a:headEnd/>
                          <a:tailEnd/>
                        </a:ln>
                      </wps:spPr>
                      <wps:txbx>
                        <w:txbxContent>
                          <w:p w14:paraId="493CB00D" w14:textId="77777777" w:rsidR="00AC34E6" w:rsidRDefault="00AC34E6" w:rsidP="000423AB">
                            <w:pPr>
                              <w:spacing w:line="240" w:lineRule="exact"/>
                              <w:rPr>
                                <w:b/>
                                <w:bCs/>
                                <w:sz w:val="21"/>
                                <w:szCs w:val="21"/>
                                <w:lang w:eastAsia="ja-JP"/>
                              </w:rPr>
                            </w:pPr>
                          </w:p>
                          <w:p w14:paraId="383AB106" w14:textId="77777777" w:rsidR="00AC34E6" w:rsidRDefault="00AC34E6" w:rsidP="000423AB">
                            <w:pPr>
                              <w:spacing w:line="240" w:lineRule="exact"/>
                              <w:rPr>
                                <w:b/>
                                <w:bCs/>
                                <w:sz w:val="21"/>
                                <w:szCs w:val="21"/>
                              </w:rPr>
                            </w:pPr>
                            <w:r>
                              <w:rPr>
                                <w:b/>
                                <w:bCs/>
                                <w:sz w:val="21"/>
                                <w:szCs w:val="21"/>
                              </w:rPr>
                              <w:t>Micro Constraints</w:t>
                            </w:r>
                          </w:p>
                          <w:p w14:paraId="3EA605E7" w14:textId="77777777" w:rsidR="00AC34E6" w:rsidRDefault="00AC34E6" w:rsidP="000423AB">
                            <w:pPr>
                              <w:spacing w:line="240" w:lineRule="exact"/>
                              <w:rPr>
                                <w:sz w:val="21"/>
                                <w:szCs w:val="21"/>
                                <w:lang w:eastAsia="ja-JP"/>
                              </w:rPr>
                            </w:pPr>
                          </w:p>
                          <w:p w14:paraId="023D36C7" w14:textId="77777777" w:rsidR="00AC34E6" w:rsidRDefault="00AC34E6" w:rsidP="000423AB">
                            <w:pPr>
                              <w:spacing w:line="240" w:lineRule="exact"/>
                              <w:rPr>
                                <w:sz w:val="21"/>
                                <w:szCs w:val="21"/>
                              </w:rPr>
                            </w:pPr>
                            <w:r>
                              <w:rPr>
                                <w:sz w:val="21"/>
                                <w:szCs w:val="21"/>
                              </w:rPr>
                              <w:t>Long-term relations with banks, unions, and other companies shape firms’ preferred adjustment strategies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168.95pt;margin-top:2.4pt;width:117.5pt;height:1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">
                <v:textbox inset="5.85pt,.7pt,5.85pt,.7pt">
                  <w:txbxContent>
                    <w:p w14:paraId="493CB00D" w14:textId="77777777" w:rsidR="00AC34E6" w:rsidRDefault="00AC34E6" w:rsidP="000423AB">
                      <w:pPr>
                        <w:spacing w:line="240" w:lineRule="exact"/>
                        <w:rPr>
                          <w:b/>
                          <w:bCs/>
                          <w:sz w:val="21"/>
                          <w:szCs w:val="21"/>
                          <w:lang w:eastAsia="ja-JP"/>
                        </w:rPr>
                      </w:pPr>
                    </w:p>
                    <w:p w14:paraId="383AB106" w14:textId="77777777" w:rsidR="00AC34E6" w:rsidRDefault="00AC34E6" w:rsidP="000423AB">
                      <w:pPr>
                        <w:spacing w:line="240" w:lineRule="exact"/>
                        <w:rPr>
                          <w:b/>
                          <w:bCs/>
                          <w:sz w:val="21"/>
                          <w:szCs w:val="21"/>
                        </w:rPr>
                      </w:pPr>
                      <w:r>
                        <w:rPr>
                          <w:b/>
                          <w:bCs/>
                          <w:sz w:val="21"/>
                          <w:szCs w:val="21"/>
                        </w:rPr>
                        <w:t>Micro Constraints</w:t>
                      </w:r>
                    </w:p>
                    <w:p w14:paraId="3EA605E7" w14:textId="77777777" w:rsidR="00AC34E6" w:rsidRDefault="00AC34E6" w:rsidP="000423AB">
                      <w:pPr>
                        <w:spacing w:line="240" w:lineRule="exact"/>
                        <w:rPr>
                          <w:sz w:val="21"/>
                          <w:szCs w:val="21"/>
                          <w:lang w:eastAsia="ja-JP"/>
                        </w:rPr>
                      </w:pPr>
                    </w:p>
                    <w:p w14:paraId="023D36C7" w14:textId="77777777" w:rsidR="00AC34E6" w:rsidRDefault="00AC34E6" w:rsidP="000423AB">
                      <w:pPr>
                        <w:spacing w:line="240" w:lineRule="exact"/>
                        <w:rPr>
                          <w:sz w:val="21"/>
                          <w:szCs w:val="21"/>
                        </w:rPr>
                      </w:pPr>
                      <w:r>
                        <w:rPr>
                          <w:sz w:val="21"/>
                          <w:szCs w:val="21"/>
                        </w:rPr>
                        <w:t>Long-term relations with banks, unions, and other companies shape firms’ preferred adjustment strategies</w:t>
                      </w:r>
                    </w:p>
                  </w:txbxContent>
                </v:textbox>
              </v:shape>
            </w:pict>
          </mc:Fallback>
        </mc:AlternateContent>
      </w:r>
      <w:r>
        <w:rPr>
          <w:noProof/>
          <w:lang w:eastAsia="ja-JP"/>
        </w:rPr>
        <mc:AlternateContent>
          <mc:Choice Requires="wps">
            <w:drawing>
              <wp:anchor distT="0" distB="0" distL="114300" distR="114300" simplePos="0" relativeHeight="251654144" behindDoc="0" locked="0" layoutInCell="1" allowOverlap="1" wp14:anchorId="2E454DDB" wp14:editId="33C88EF8">
                <wp:simplePos x="0" y="0"/>
                <wp:positionH relativeFrom="column">
                  <wp:posOffset>187960</wp:posOffset>
                </wp:positionH>
                <wp:positionV relativeFrom="paragraph">
                  <wp:posOffset>30480</wp:posOffset>
                </wp:positionV>
                <wp:extent cx="1294765" cy="1606550"/>
                <wp:effectExtent l="0" t="0" r="19685" b="12700"/>
                <wp:wrapNone/>
                <wp:docPr id="20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606550"/>
                        </a:xfrm>
                        <a:prstGeom prst="rect">
                          <a:avLst/>
                        </a:prstGeom>
                        <a:solidFill>
                          <a:srgbClr val="FFFFFF"/>
                        </a:solidFill>
                        <a:ln w="9525">
                          <a:solidFill>
                            <a:srgbClr val="000000"/>
                          </a:solidFill>
                          <a:miter lim="800000"/>
                          <a:headEnd/>
                          <a:tailEnd/>
                        </a:ln>
                      </wps:spPr>
                      <wps:txbx>
                        <w:txbxContent>
                          <w:p w14:paraId="0764A171" w14:textId="77777777" w:rsidR="00AC34E6" w:rsidRDefault="00AC34E6" w:rsidP="000423AB">
                            <w:pPr>
                              <w:spacing w:line="240" w:lineRule="exact"/>
                              <w:rPr>
                                <w:b/>
                                <w:bCs/>
                                <w:sz w:val="21"/>
                                <w:szCs w:val="21"/>
                                <w:lang w:eastAsia="ja-JP"/>
                              </w:rPr>
                            </w:pPr>
                          </w:p>
                          <w:p w14:paraId="3A921DB9" w14:textId="77777777" w:rsidR="00AC34E6" w:rsidRDefault="00AC34E6" w:rsidP="000423AB">
                            <w:pPr>
                              <w:spacing w:line="240" w:lineRule="exact"/>
                              <w:rPr>
                                <w:b/>
                                <w:bCs/>
                                <w:sz w:val="21"/>
                                <w:szCs w:val="21"/>
                              </w:rPr>
                            </w:pPr>
                            <w:r>
                              <w:rPr>
                                <w:b/>
                                <w:bCs/>
                                <w:sz w:val="21"/>
                                <w:szCs w:val="21"/>
                              </w:rPr>
                              <w:t>Macro Constraints</w:t>
                            </w:r>
                          </w:p>
                          <w:p w14:paraId="128B1955" w14:textId="77777777" w:rsidR="00AC34E6" w:rsidRDefault="00AC34E6" w:rsidP="000423AB">
                            <w:pPr>
                              <w:spacing w:line="240" w:lineRule="exact"/>
                              <w:rPr>
                                <w:sz w:val="21"/>
                                <w:szCs w:val="21"/>
                                <w:lang w:eastAsia="ja-JP"/>
                              </w:rPr>
                            </w:pPr>
                          </w:p>
                          <w:p w14:paraId="7D5796BC" w14:textId="77777777" w:rsidR="00AC34E6" w:rsidRDefault="00AC34E6" w:rsidP="000423AB">
                            <w:pPr>
                              <w:spacing w:line="240" w:lineRule="exact"/>
                              <w:rPr>
                                <w:sz w:val="21"/>
                                <w:szCs w:val="21"/>
                              </w:rPr>
                            </w:pPr>
                            <w:r>
                              <w:rPr>
                                <w:sz w:val="21"/>
                                <w:szCs w:val="21"/>
                              </w:rPr>
                              <w:t>Laws and regulations limit firms’ possible adjustment strategies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14.8pt;margin-top:2.4pt;width:101.95pt;height:1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">
                <v:textbox inset="5.85pt,.7pt,5.85pt,.7pt">
                  <w:txbxContent>
                    <w:p w14:paraId="0764A171" w14:textId="77777777" w:rsidR="00AC34E6" w:rsidRDefault="00AC34E6" w:rsidP="000423AB">
                      <w:pPr>
                        <w:spacing w:line="240" w:lineRule="exact"/>
                        <w:rPr>
                          <w:b/>
                          <w:bCs/>
                          <w:sz w:val="21"/>
                          <w:szCs w:val="21"/>
                          <w:lang w:eastAsia="ja-JP"/>
                        </w:rPr>
                      </w:pPr>
                    </w:p>
                    <w:p w14:paraId="3A921DB9" w14:textId="77777777" w:rsidR="00AC34E6" w:rsidRDefault="00AC34E6" w:rsidP="000423AB">
                      <w:pPr>
                        <w:spacing w:line="240" w:lineRule="exact"/>
                        <w:rPr>
                          <w:b/>
                          <w:bCs/>
                          <w:sz w:val="21"/>
                          <w:szCs w:val="21"/>
                        </w:rPr>
                      </w:pPr>
                      <w:r>
                        <w:rPr>
                          <w:b/>
                          <w:bCs/>
                          <w:sz w:val="21"/>
                          <w:szCs w:val="21"/>
                        </w:rPr>
                        <w:t>Macro Constraints</w:t>
                      </w:r>
                    </w:p>
                    <w:p w14:paraId="128B1955" w14:textId="77777777" w:rsidR="00AC34E6" w:rsidRDefault="00AC34E6" w:rsidP="000423AB">
                      <w:pPr>
                        <w:spacing w:line="240" w:lineRule="exact"/>
                        <w:rPr>
                          <w:sz w:val="21"/>
                          <w:szCs w:val="21"/>
                          <w:lang w:eastAsia="ja-JP"/>
                        </w:rPr>
                      </w:pPr>
                    </w:p>
                    <w:p w14:paraId="7D5796BC" w14:textId="77777777" w:rsidR="00AC34E6" w:rsidRDefault="00AC34E6" w:rsidP="000423AB">
                      <w:pPr>
                        <w:spacing w:line="240" w:lineRule="exact"/>
                        <w:rPr>
                          <w:sz w:val="21"/>
                          <w:szCs w:val="21"/>
                        </w:rPr>
                      </w:pPr>
                      <w:r>
                        <w:rPr>
                          <w:sz w:val="21"/>
                          <w:szCs w:val="21"/>
                        </w:rPr>
                        <w:t>Laws and regulations limit firms’ possible adjustment strategies</w:t>
                      </w:r>
                    </w:p>
                  </w:txbxContent>
                </v:textbox>
              </v:shape>
            </w:pict>
          </mc:Fallback>
        </mc:AlternateContent>
      </w:r>
      <w:r>
        <w:rPr>
          <w:noProof/>
          <w:lang w:eastAsia="ja-JP"/>
        </w:rPr>
        <mc:AlternateContent>
          <mc:Choice Requires="wps">
            <w:drawing>
              <wp:anchor distT="0" distB="0" distL="114300" distR="114300" simplePos="0" relativeHeight="251655168" behindDoc="0" locked="0" layoutInCell="1" allowOverlap="1" wp14:anchorId="302193B7" wp14:editId="132CA23C">
                <wp:simplePos x="0" y="0"/>
                <wp:positionH relativeFrom="column">
                  <wp:posOffset>1620520</wp:posOffset>
                </wp:positionH>
                <wp:positionV relativeFrom="paragraph">
                  <wp:posOffset>438150</wp:posOffset>
                </wp:positionV>
                <wp:extent cx="396875" cy="671195"/>
                <wp:effectExtent l="0" t="38100" r="41275" b="52705"/>
                <wp:wrapNone/>
                <wp:docPr id="20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67119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730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0" o:spid="_x0000_s1026" type="#_x0000_t13" style="position:absolute;margin-left:127.6pt;margin-top:34.5pt;width:31.25pt;height:5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">
                <v:textbox inset="5.85pt,.7pt,5.85pt,.7pt"/>
              </v:shape>
            </w:pict>
          </mc:Fallback>
        </mc:AlternateContent>
      </w:r>
      <w:r>
        <w:rPr>
          <w:noProof/>
          <w:lang w:eastAsia="ja-JP"/>
        </w:rPr>
        <mc:AlternateContent>
          <mc:Choice Requires="wps">
            <w:drawing>
              <wp:anchor distT="0" distB="0" distL="114300" distR="114300" simplePos="0" relativeHeight="251656192" behindDoc="0" locked="0" layoutInCell="1" allowOverlap="1" wp14:anchorId="3258879A" wp14:editId="0956F471">
                <wp:simplePos x="0" y="0"/>
                <wp:positionH relativeFrom="column">
                  <wp:posOffset>3728720</wp:posOffset>
                </wp:positionH>
                <wp:positionV relativeFrom="paragraph">
                  <wp:posOffset>438150</wp:posOffset>
                </wp:positionV>
                <wp:extent cx="396875" cy="671195"/>
                <wp:effectExtent l="0" t="38100" r="41275" b="52705"/>
                <wp:wrapNone/>
                <wp:docPr id="20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67119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C0F68" id="AutoShape 31" o:spid="_x0000_s1026" type="#_x0000_t13" style="position:absolute;margin-left:293.6pt;margin-top:34.5pt;width:31.25pt;height:5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">
                <v:textbox inset="5.85pt,.7pt,5.85pt,.7pt"/>
              </v:shape>
            </w:pict>
          </mc:Fallback>
        </mc:AlternateContent>
      </w:r>
      <w:r>
        <w:rPr>
          <w:noProof/>
          <w:lang w:eastAsia="ja-JP"/>
        </w:rPr>
        <mc:AlternateContent>
          <mc:Choice Requires="wps">
            <w:drawing>
              <wp:anchor distT="0" distB="0" distL="114300" distR="114300" simplePos="0" relativeHeight="251657216" behindDoc="0" locked="0" layoutInCell="1" allowOverlap="1" wp14:anchorId="67EC5031" wp14:editId="6FCD4A07">
                <wp:simplePos x="0" y="0"/>
                <wp:positionH relativeFrom="column">
                  <wp:posOffset>4253865</wp:posOffset>
                </wp:positionH>
                <wp:positionV relativeFrom="paragraph">
                  <wp:posOffset>30480</wp:posOffset>
                </wp:positionV>
                <wp:extent cx="1241425" cy="1606550"/>
                <wp:effectExtent l="0" t="0" r="15875" b="12700"/>
                <wp:wrapNone/>
                <wp:docPr id="20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606550"/>
                        </a:xfrm>
                        <a:prstGeom prst="rect">
                          <a:avLst/>
                        </a:prstGeom>
                        <a:solidFill>
                          <a:srgbClr val="FFFFFF"/>
                        </a:solidFill>
                        <a:ln w="9525">
                          <a:solidFill>
                            <a:srgbClr val="000000"/>
                          </a:solidFill>
                          <a:miter lim="800000"/>
                          <a:headEnd/>
                          <a:tailEnd/>
                        </a:ln>
                      </wps:spPr>
                      <wps:txbx>
                        <w:txbxContent>
                          <w:p w14:paraId="12B5671C" w14:textId="77777777" w:rsidR="00AC34E6" w:rsidRDefault="00AC34E6" w:rsidP="000423AB">
                            <w:pPr>
                              <w:spacing w:line="240" w:lineRule="exact"/>
                              <w:rPr>
                                <w:b/>
                                <w:bCs/>
                                <w:sz w:val="21"/>
                                <w:szCs w:val="21"/>
                                <w:lang w:eastAsia="ja-JP"/>
                              </w:rPr>
                            </w:pPr>
                          </w:p>
                          <w:p w14:paraId="54415D29" w14:textId="77777777" w:rsidR="00AC34E6" w:rsidRDefault="00AC34E6" w:rsidP="000423AB">
                            <w:pPr>
                              <w:spacing w:line="240" w:lineRule="exact"/>
                              <w:rPr>
                                <w:b/>
                                <w:bCs/>
                                <w:sz w:val="21"/>
                                <w:szCs w:val="21"/>
                              </w:rPr>
                            </w:pPr>
                            <w:r>
                              <w:rPr>
                                <w:b/>
                                <w:bCs/>
                                <w:sz w:val="21"/>
                                <w:szCs w:val="21"/>
                              </w:rPr>
                              <w:t>Micro Constraints</w:t>
                            </w:r>
                          </w:p>
                          <w:p w14:paraId="6A9FCC60" w14:textId="77777777" w:rsidR="00AC34E6" w:rsidRDefault="00AC34E6" w:rsidP="000423AB">
                            <w:pPr>
                              <w:spacing w:line="240" w:lineRule="exact"/>
                              <w:rPr>
                                <w:sz w:val="21"/>
                                <w:szCs w:val="21"/>
                                <w:lang w:eastAsia="ja-JP"/>
                              </w:rPr>
                            </w:pPr>
                          </w:p>
                          <w:p w14:paraId="0F7080F4" w14:textId="77777777" w:rsidR="00AC34E6" w:rsidRDefault="00AC34E6" w:rsidP="000423AB">
                            <w:pPr>
                              <w:spacing w:line="240" w:lineRule="exact"/>
                              <w:rPr>
                                <w:sz w:val="21"/>
                                <w:szCs w:val="21"/>
                              </w:rPr>
                            </w:pPr>
                            <w:r>
                              <w:rPr>
                                <w:sz w:val="21"/>
                                <w:szCs w:val="21"/>
                              </w:rPr>
                              <w:t>Patterns of corporate adjustment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34.95pt;margin-top:2.4pt;width:97.75pt;height: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">
                <v:textbox inset="5.85pt,.7pt,5.85pt,.7pt">
                  <w:txbxContent>
                    <w:p w14:paraId="12B5671C" w14:textId="77777777" w:rsidR="00AC34E6" w:rsidRDefault="00AC34E6" w:rsidP="000423AB">
                      <w:pPr>
                        <w:spacing w:line="240" w:lineRule="exact"/>
                        <w:rPr>
                          <w:b/>
                          <w:bCs/>
                          <w:sz w:val="21"/>
                          <w:szCs w:val="21"/>
                          <w:lang w:eastAsia="ja-JP"/>
                        </w:rPr>
                      </w:pPr>
                    </w:p>
                    <w:p w14:paraId="54415D29" w14:textId="77777777" w:rsidR="00AC34E6" w:rsidRDefault="00AC34E6" w:rsidP="000423AB">
                      <w:pPr>
                        <w:spacing w:line="240" w:lineRule="exact"/>
                        <w:rPr>
                          <w:b/>
                          <w:bCs/>
                          <w:sz w:val="21"/>
                          <w:szCs w:val="21"/>
                        </w:rPr>
                      </w:pPr>
                      <w:r>
                        <w:rPr>
                          <w:b/>
                          <w:bCs/>
                          <w:sz w:val="21"/>
                          <w:szCs w:val="21"/>
                        </w:rPr>
                        <w:t>Micro Constraints</w:t>
                      </w:r>
                    </w:p>
                    <w:p w14:paraId="6A9FCC60" w14:textId="77777777" w:rsidR="00AC34E6" w:rsidRDefault="00AC34E6" w:rsidP="000423AB">
                      <w:pPr>
                        <w:spacing w:line="240" w:lineRule="exact"/>
                        <w:rPr>
                          <w:sz w:val="21"/>
                          <w:szCs w:val="21"/>
                          <w:lang w:eastAsia="ja-JP"/>
                        </w:rPr>
                      </w:pPr>
                    </w:p>
                    <w:p w14:paraId="0F7080F4" w14:textId="77777777" w:rsidR="00AC34E6" w:rsidRDefault="00AC34E6" w:rsidP="000423AB">
                      <w:pPr>
                        <w:spacing w:line="240" w:lineRule="exact"/>
                        <w:rPr>
                          <w:sz w:val="21"/>
                          <w:szCs w:val="21"/>
                        </w:rPr>
                      </w:pPr>
                      <w:r>
                        <w:rPr>
                          <w:sz w:val="21"/>
                          <w:szCs w:val="21"/>
                        </w:rPr>
                        <w:t>Patterns of corporate adjustment</w:t>
                      </w:r>
                    </w:p>
                  </w:txbxContent>
                </v:textbox>
              </v:shape>
            </w:pict>
          </mc:Fallback>
        </mc:AlternateContent>
      </w:r>
    </w:p>
    <w:p w14:paraId="40F7ED4A" w14:textId="77777777" w:rsidR="000423AB" w:rsidRDefault="000423AB" w:rsidP="000423AB">
      <w:pPr>
        <w:pStyle w:val="NoSpacing"/>
      </w:pPr>
    </w:p>
    <w:p w14:paraId="025704EE" w14:textId="77777777" w:rsidR="000423AB" w:rsidRDefault="000423AB" w:rsidP="000423AB">
      <w:pPr>
        <w:pStyle w:val="NoSpacing"/>
      </w:pPr>
    </w:p>
    <w:p w14:paraId="5F64D827" w14:textId="77777777" w:rsidR="000423AB" w:rsidRDefault="000423AB" w:rsidP="000423AB">
      <w:pPr>
        <w:pStyle w:val="NoSpacing"/>
      </w:pPr>
    </w:p>
    <w:p w14:paraId="3AC54B21" w14:textId="77777777" w:rsidR="000423AB" w:rsidRDefault="000423AB" w:rsidP="000423AB">
      <w:pPr>
        <w:pStyle w:val="NoSpacing"/>
      </w:pPr>
    </w:p>
    <w:p w14:paraId="3DDFFE3D" w14:textId="77777777" w:rsidR="000423AB" w:rsidRDefault="000423AB" w:rsidP="000423AB">
      <w:pPr>
        <w:pStyle w:val="NoSpacing"/>
      </w:pPr>
    </w:p>
    <w:p w14:paraId="55294E6A" w14:textId="77777777" w:rsidR="000423AB" w:rsidRDefault="000423AB" w:rsidP="000423AB">
      <w:pPr>
        <w:pStyle w:val="NoSpacing"/>
      </w:pPr>
    </w:p>
    <w:p w14:paraId="2CB213B2" w14:textId="77777777" w:rsidR="000423AB" w:rsidRDefault="000423AB" w:rsidP="000423AB">
      <w:pPr>
        <w:pStyle w:val="NoSpacing"/>
      </w:pPr>
    </w:p>
    <w:p w14:paraId="46AA6FAD" w14:textId="77777777" w:rsidR="000423AB" w:rsidRDefault="000423AB" w:rsidP="000423AB">
      <w:pPr>
        <w:pStyle w:val="NoSpacing"/>
        <w:rPr>
          <w:lang w:eastAsia="ja-JP"/>
        </w:rPr>
      </w:pPr>
    </w:p>
    <w:p w14:paraId="138B1BCA" w14:textId="77777777" w:rsidR="000423AB" w:rsidRDefault="000423AB" w:rsidP="00DA2E02">
      <w:pPr>
        <w:pStyle w:val="Heading4"/>
      </w:pPr>
      <w:r>
        <w:t xml:space="preserve">Figure 2.2: Macro </w:t>
      </w:r>
      <w:r w:rsidR="000E7363">
        <w:rPr>
          <w:rFonts w:eastAsia="MS Mincho" w:hint="eastAsia"/>
          <w:lang w:eastAsia="ja-JP"/>
        </w:rPr>
        <w:t>l</w:t>
      </w:r>
      <w:r>
        <w:t xml:space="preserve">evel: factors shaping </w:t>
      </w:r>
      <w:r w:rsidR="000E7363">
        <w:rPr>
          <w:rFonts w:eastAsia="MS Mincho" w:hint="eastAsia"/>
          <w:lang w:eastAsia="ja-JP"/>
        </w:rPr>
        <w:t>p</w:t>
      </w:r>
      <w:r>
        <w:t xml:space="preserve">atterns of </w:t>
      </w:r>
      <w:r w:rsidR="000E7363">
        <w:rPr>
          <w:rFonts w:eastAsia="MS Mincho" w:hint="eastAsia"/>
          <w:lang w:eastAsia="ja-JP"/>
        </w:rPr>
        <w:t>p</w:t>
      </w:r>
      <w:r>
        <w:t xml:space="preserve">olicy </w:t>
      </w:r>
      <w:r w:rsidR="000E7363">
        <w:rPr>
          <w:rFonts w:eastAsia="MS Mincho" w:hint="eastAsia"/>
          <w:lang w:eastAsia="ja-JP"/>
        </w:rPr>
        <w:t>r</w:t>
      </w:r>
      <w:r>
        <w:t>eforms (Vogel 2006 p.17)</w:t>
      </w:r>
    </w:p>
    <w:p w14:paraId="5AB5C2FD" w14:textId="77777777" w:rsidR="000423AB" w:rsidRDefault="000423AB" w:rsidP="000423AB">
      <w:pPr>
        <w:pStyle w:val="NoSpacing"/>
      </w:pPr>
    </w:p>
    <w:p w14:paraId="0A063D01" w14:textId="77777777" w:rsidR="000423AB" w:rsidRDefault="002172E5" w:rsidP="000423AB">
      <w:pPr>
        <w:pStyle w:val="NoSpacing"/>
      </w:pPr>
      <w:r>
        <w:rPr>
          <w:noProof/>
          <w:lang w:eastAsia="ja-JP"/>
        </w:rPr>
        <mc:AlternateContent>
          <mc:Choice Requires="wps">
            <w:drawing>
              <wp:anchor distT="0" distB="0" distL="114300" distR="114300" simplePos="0" relativeHeight="251658240" behindDoc="0" locked="0" layoutInCell="1" allowOverlap="1" wp14:anchorId="319DF3C4" wp14:editId="139D7E8C">
                <wp:simplePos x="0" y="0"/>
                <wp:positionH relativeFrom="column">
                  <wp:posOffset>4253865</wp:posOffset>
                </wp:positionH>
                <wp:positionV relativeFrom="paragraph">
                  <wp:posOffset>39370</wp:posOffset>
                </wp:positionV>
                <wp:extent cx="1241425" cy="1606550"/>
                <wp:effectExtent l="0" t="0" r="15875" b="12700"/>
                <wp:wrapNone/>
                <wp:docPr id="20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606550"/>
                        </a:xfrm>
                        <a:prstGeom prst="rect">
                          <a:avLst/>
                        </a:prstGeom>
                        <a:solidFill>
                          <a:srgbClr val="FFFFFF"/>
                        </a:solidFill>
                        <a:ln w="9525">
                          <a:solidFill>
                            <a:srgbClr val="000000"/>
                          </a:solidFill>
                          <a:miter lim="800000"/>
                          <a:headEnd/>
                          <a:tailEnd/>
                        </a:ln>
                      </wps:spPr>
                      <wps:txbx>
                        <w:txbxContent>
                          <w:p w14:paraId="7BC66ED7" w14:textId="77777777" w:rsidR="00AC34E6" w:rsidRDefault="00AC34E6" w:rsidP="000423AB">
                            <w:pPr>
                              <w:spacing w:line="240" w:lineRule="exact"/>
                              <w:rPr>
                                <w:b/>
                                <w:bCs/>
                                <w:sz w:val="21"/>
                                <w:szCs w:val="21"/>
                                <w:lang w:eastAsia="ja-JP"/>
                              </w:rPr>
                            </w:pPr>
                          </w:p>
                          <w:p w14:paraId="06972C10" w14:textId="77777777" w:rsidR="00AC34E6" w:rsidRDefault="00AC34E6" w:rsidP="000423AB">
                            <w:pPr>
                              <w:spacing w:line="240" w:lineRule="exact"/>
                              <w:rPr>
                                <w:b/>
                                <w:bCs/>
                                <w:sz w:val="21"/>
                                <w:szCs w:val="21"/>
                              </w:rPr>
                            </w:pPr>
                            <w:r>
                              <w:rPr>
                                <w:b/>
                                <w:bCs/>
                                <w:sz w:val="21"/>
                                <w:szCs w:val="21"/>
                              </w:rPr>
                              <w:t>Macro Constraints</w:t>
                            </w:r>
                          </w:p>
                          <w:p w14:paraId="70822253" w14:textId="77777777" w:rsidR="00AC34E6" w:rsidRDefault="00AC34E6" w:rsidP="000423AB">
                            <w:pPr>
                              <w:spacing w:line="240" w:lineRule="exact"/>
                              <w:rPr>
                                <w:sz w:val="21"/>
                                <w:szCs w:val="21"/>
                                <w:lang w:eastAsia="ja-JP"/>
                              </w:rPr>
                            </w:pPr>
                          </w:p>
                          <w:p w14:paraId="4B6BB30D" w14:textId="77777777" w:rsidR="00AC34E6" w:rsidRDefault="00AC34E6" w:rsidP="000423AB">
                            <w:pPr>
                              <w:spacing w:line="240" w:lineRule="exact"/>
                              <w:rPr>
                                <w:sz w:val="21"/>
                                <w:szCs w:val="21"/>
                              </w:rPr>
                            </w:pPr>
                            <w:r>
                              <w:rPr>
                                <w:sz w:val="21"/>
                                <w:szCs w:val="21"/>
                              </w:rPr>
                              <w:t>Patterns of policy reform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334.95pt;margin-top:3.1pt;width:97.75pt;height: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">
                <v:textbox inset="5.85pt,.7pt,5.85pt,.7pt">
                  <w:txbxContent>
                    <w:p w14:paraId="7BC66ED7" w14:textId="77777777" w:rsidR="00AC34E6" w:rsidRDefault="00AC34E6" w:rsidP="000423AB">
                      <w:pPr>
                        <w:spacing w:line="240" w:lineRule="exact"/>
                        <w:rPr>
                          <w:b/>
                          <w:bCs/>
                          <w:sz w:val="21"/>
                          <w:szCs w:val="21"/>
                          <w:lang w:eastAsia="ja-JP"/>
                        </w:rPr>
                      </w:pPr>
                    </w:p>
                    <w:p w14:paraId="06972C10" w14:textId="77777777" w:rsidR="00AC34E6" w:rsidRDefault="00AC34E6" w:rsidP="000423AB">
                      <w:pPr>
                        <w:spacing w:line="240" w:lineRule="exact"/>
                        <w:rPr>
                          <w:b/>
                          <w:bCs/>
                          <w:sz w:val="21"/>
                          <w:szCs w:val="21"/>
                        </w:rPr>
                      </w:pPr>
                      <w:r>
                        <w:rPr>
                          <w:b/>
                          <w:bCs/>
                          <w:sz w:val="21"/>
                          <w:szCs w:val="21"/>
                        </w:rPr>
                        <w:t>Macro Constraints</w:t>
                      </w:r>
                    </w:p>
                    <w:p w14:paraId="70822253" w14:textId="77777777" w:rsidR="00AC34E6" w:rsidRDefault="00AC34E6" w:rsidP="000423AB">
                      <w:pPr>
                        <w:spacing w:line="240" w:lineRule="exact"/>
                        <w:rPr>
                          <w:sz w:val="21"/>
                          <w:szCs w:val="21"/>
                          <w:lang w:eastAsia="ja-JP"/>
                        </w:rPr>
                      </w:pPr>
                    </w:p>
                    <w:p w14:paraId="4B6BB30D" w14:textId="77777777" w:rsidR="00AC34E6" w:rsidRDefault="00AC34E6" w:rsidP="000423AB">
                      <w:pPr>
                        <w:spacing w:line="240" w:lineRule="exact"/>
                        <w:rPr>
                          <w:sz w:val="21"/>
                          <w:szCs w:val="21"/>
                        </w:rPr>
                      </w:pPr>
                      <w:r>
                        <w:rPr>
                          <w:sz w:val="21"/>
                          <w:szCs w:val="21"/>
                        </w:rPr>
                        <w:t>Patterns of policy reform</w:t>
                      </w:r>
                    </w:p>
                  </w:txbxContent>
                </v:textbox>
              </v:shape>
            </w:pict>
          </mc:Fallback>
        </mc:AlternateContent>
      </w:r>
      <w:r>
        <w:rPr>
          <w:noProof/>
          <w:lang w:eastAsia="ja-JP"/>
        </w:rPr>
        <mc:AlternateContent>
          <mc:Choice Requires="wps">
            <w:drawing>
              <wp:anchor distT="0" distB="0" distL="114300" distR="114300" simplePos="0" relativeHeight="251659264" behindDoc="0" locked="0" layoutInCell="1" allowOverlap="1" wp14:anchorId="1C0C7A42" wp14:editId="25BAEEB3">
                <wp:simplePos x="0" y="0"/>
                <wp:positionH relativeFrom="column">
                  <wp:posOffset>2101850</wp:posOffset>
                </wp:positionH>
                <wp:positionV relativeFrom="paragraph">
                  <wp:posOffset>39370</wp:posOffset>
                </wp:positionV>
                <wp:extent cx="1739265" cy="1606550"/>
                <wp:effectExtent l="0" t="0" r="13335" b="12700"/>
                <wp:wrapNone/>
                <wp:docPr id="19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1606550"/>
                        </a:xfrm>
                        <a:prstGeom prst="rect">
                          <a:avLst/>
                        </a:prstGeom>
                        <a:solidFill>
                          <a:srgbClr val="FFFFFF"/>
                        </a:solidFill>
                        <a:ln w="9525">
                          <a:solidFill>
                            <a:srgbClr val="000000"/>
                          </a:solidFill>
                          <a:miter lim="800000"/>
                          <a:headEnd/>
                          <a:tailEnd/>
                        </a:ln>
                      </wps:spPr>
                      <wps:txbx>
                        <w:txbxContent>
                          <w:p w14:paraId="6B35F953" w14:textId="77777777" w:rsidR="00AC34E6" w:rsidRDefault="00AC34E6" w:rsidP="000423AB">
                            <w:pPr>
                              <w:spacing w:line="240" w:lineRule="exact"/>
                              <w:rPr>
                                <w:b/>
                                <w:bCs/>
                                <w:sz w:val="21"/>
                                <w:szCs w:val="21"/>
                                <w:lang w:eastAsia="ja-JP"/>
                              </w:rPr>
                            </w:pPr>
                          </w:p>
                          <w:p w14:paraId="10AAD878" w14:textId="77777777" w:rsidR="00AC34E6" w:rsidRDefault="00AC34E6" w:rsidP="000423AB">
                            <w:pPr>
                              <w:spacing w:line="240" w:lineRule="exact"/>
                              <w:rPr>
                                <w:b/>
                                <w:bCs/>
                                <w:sz w:val="21"/>
                                <w:szCs w:val="21"/>
                              </w:rPr>
                            </w:pPr>
                            <w:r>
                              <w:rPr>
                                <w:b/>
                                <w:bCs/>
                                <w:sz w:val="21"/>
                                <w:szCs w:val="21"/>
                              </w:rPr>
                              <w:t>Macro Constraints</w:t>
                            </w:r>
                          </w:p>
                          <w:p w14:paraId="053F3C0E" w14:textId="77777777" w:rsidR="00AC34E6" w:rsidRDefault="00AC34E6" w:rsidP="000423AB">
                            <w:pPr>
                              <w:spacing w:line="240" w:lineRule="exact"/>
                              <w:rPr>
                                <w:sz w:val="21"/>
                                <w:szCs w:val="21"/>
                                <w:lang w:eastAsia="ja-JP"/>
                              </w:rPr>
                            </w:pPr>
                          </w:p>
                          <w:p w14:paraId="65EF8AFF" w14:textId="77777777" w:rsidR="00AC34E6" w:rsidRDefault="00AC34E6" w:rsidP="000423AB">
                            <w:pPr>
                              <w:spacing w:line="240" w:lineRule="exact"/>
                              <w:rPr>
                                <w:sz w:val="21"/>
                                <w:szCs w:val="21"/>
                              </w:rPr>
                            </w:pPr>
                            <w:r>
                              <w:rPr>
                                <w:sz w:val="21"/>
                                <w:szCs w:val="21"/>
                              </w:rPr>
                              <w:t>Societal policy preferences mediated through political institutions, such as industry associations and political parties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165.5pt;margin-top:3.1pt;width:136.9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">
                <v:textbox inset="5.85pt,.7pt,5.85pt,.7pt">
                  <w:txbxContent>
                    <w:p w14:paraId="6B35F953" w14:textId="77777777" w:rsidR="00AC34E6" w:rsidRDefault="00AC34E6" w:rsidP="000423AB">
                      <w:pPr>
                        <w:spacing w:line="240" w:lineRule="exact"/>
                        <w:rPr>
                          <w:b/>
                          <w:bCs/>
                          <w:sz w:val="21"/>
                          <w:szCs w:val="21"/>
                          <w:lang w:eastAsia="ja-JP"/>
                        </w:rPr>
                      </w:pPr>
                    </w:p>
                    <w:p w14:paraId="10AAD878" w14:textId="77777777" w:rsidR="00AC34E6" w:rsidRDefault="00AC34E6" w:rsidP="000423AB">
                      <w:pPr>
                        <w:spacing w:line="240" w:lineRule="exact"/>
                        <w:rPr>
                          <w:b/>
                          <w:bCs/>
                          <w:sz w:val="21"/>
                          <w:szCs w:val="21"/>
                        </w:rPr>
                      </w:pPr>
                      <w:r>
                        <w:rPr>
                          <w:b/>
                          <w:bCs/>
                          <w:sz w:val="21"/>
                          <w:szCs w:val="21"/>
                        </w:rPr>
                        <w:t>Macro Constraints</w:t>
                      </w:r>
                    </w:p>
                    <w:p w14:paraId="053F3C0E" w14:textId="77777777" w:rsidR="00AC34E6" w:rsidRDefault="00AC34E6" w:rsidP="000423AB">
                      <w:pPr>
                        <w:spacing w:line="240" w:lineRule="exact"/>
                        <w:rPr>
                          <w:sz w:val="21"/>
                          <w:szCs w:val="21"/>
                          <w:lang w:eastAsia="ja-JP"/>
                        </w:rPr>
                      </w:pPr>
                    </w:p>
                    <w:p w14:paraId="65EF8AFF" w14:textId="77777777" w:rsidR="00AC34E6" w:rsidRDefault="00AC34E6" w:rsidP="000423AB">
                      <w:pPr>
                        <w:spacing w:line="240" w:lineRule="exact"/>
                        <w:rPr>
                          <w:sz w:val="21"/>
                          <w:szCs w:val="21"/>
                        </w:rPr>
                      </w:pPr>
                      <w:r>
                        <w:rPr>
                          <w:sz w:val="21"/>
                          <w:szCs w:val="21"/>
                        </w:rPr>
                        <w:t>Societal policy preferences mediated through political institutions, such as industry associations and political parties</w:t>
                      </w:r>
                    </w:p>
                  </w:txbxContent>
                </v:textbox>
              </v:shape>
            </w:pict>
          </mc:Fallback>
        </mc:AlternateContent>
      </w:r>
      <w:r>
        <w:rPr>
          <w:noProof/>
          <w:lang w:eastAsia="ja-JP"/>
        </w:rPr>
        <mc:AlternateContent>
          <mc:Choice Requires="wps">
            <w:drawing>
              <wp:anchor distT="0" distB="0" distL="114300" distR="114300" simplePos="0" relativeHeight="251660288" behindDoc="0" locked="0" layoutInCell="1" allowOverlap="1" wp14:anchorId="0F640FC3" wp14:editId="0CBD714D">
                <wp:simplePos x="0" y="0"/>
                <wp:positionH relativeFrom="column">
                  <wp:posOffset>1748790</wp:posOffset>
                </wp:positionH>
                <wp:positionV relativeFrom="paragraph">
                  <wp:posOffset>470535</wp:posOffset>
                </wp:positionV>
                <wp:extent cx="310515" cy="671195"/>
                <wp:effectExtent l="0" t="38100" r="32385" b="52705"/>
                <wp:wrapNone/>
                <wp:docPr id="19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67119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51207" id="AutoShape 35" o:spid="_x0000_s1026" type="#_x0000_t13" style="position:absolute;margin-left:137.7pt;margin-top:37.05pt;width:24.4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">
                <v:textbox inset="5.85pt,.7pt,5.85pt,.7pt"/>
              </v:shape>
            </w:pict>
          </mc:Fallback>
        </mc:AlternateContent>
      </w:r>
      <w:r>
        <w:rPr>
          <w:noProof/>
          <w:lang w:eastAsia="ja-JP"/>
        </w:rPr>
        <mc:AlternateContent>
          <mc:Choice Requires="wps">
            <w:drawing>
              <wp:anchor distT="0" distB="0" distL="114300" distR="114300" simplePos="0" relativeHeight="251661312" behindDoc="0" locked="0" layoutInCell="1" allowOverlap="1" wp14:anchorId="5AB0590F" wp14:editId="3A55763B">
                <wp:simplePos x="0" y="0"/>
                <wp:positionH relativeFrom="column">
                  <wp:posOffset>3888740</wp:posOffset>
                </wp:positionH>
                <wp:positionV relativeFrom="paragraph">
                  <wp:posOffset>470535</wp:posOffset>
                </wp:positionV>
                <wp:extent cx="310515" cy="671195"/>
                <wp:effectExtent l="0" t="38100" r="32385" b="52705"/>
                <wp:wrapNone/>
                <wp:docPr id="19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67119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E1E8" id="AutoShape 36" o:spid="_x0000_s1026" type="#_x0000_t13" style="position:absolute;margin-left:306.2pt;margin-top:37.05pt;width:24.45pt;height:5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">
                <v:textbox inset="5.85pt,.7pt,5.85pt,.7pt"/>
              </v:shape>
            </w:pict>
          </mc:Fallback>
        </mc:AlternateContent>
      </w:r>
      <w:r>
        <w:rPr>
          <w:noProof/>
          <w:lang w:eastAsia="ja-JP"/>
        </w:rPr>
        <mc:AlternateContent>
          <mc:Choice Requires="wps">
            <w:drawing>
              <wp:anchor distT="0" distB="0" distL="114300" distR="114300" simplePos="0" relativeHeight="251662336" behindDoc="0" locked="0" layoutInCell="1" allowOverlap="1" wp14:anchorId="7BA590D8" wp14:editId="19B29F63">
                <wp:simplePos x="0" y="0"/>
                <wp:positionH relativeFrom="column">
                  <wp:posOffset>187960</wp:posOffset>
                </wp:positionH>
                <wp:positionV relativeFrom="paragraph">
                  <wp:posOffset>39370</wp:posOffset>
                </wp:positionV>
                <wp:extent cx="1492250" cy="1606550"/>
                <wp:effectExtent l="0" t="0" r="12700" b="12700"/>
                <wp:wrapNone/>
                <wp:docPr id="19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606550"/>
                        </a:xfrm>
                        <a:prstGeom prst="rect">
                          <a:avLst/>
                        </a:prstGeom>
                        <a:solidFill>
                          <a:srgbClr val="FFFFFF"/>
                        </a:solidFill>
                        <a:ln w="9525">
                          <a:solidFill>
                            <a:srgbClr val="000000"/>
                          </a:solidFill>
                          <a:miter lim="800000"/>
                          <a:headEnd/>
                          <a:tailEnd/>
                        </a:ln>
                      </wps:spPr>
                      <wps:txbx>
                        <w:txbxContent>
                          <w:p w14:paraId="6E3CC7B9" w14:textId="77777777" w:rsidR="00AC34E6" w:rsidRDefault="00AC34E6" w:rsidP="000423AB">
                            <w:pPr>
                              <w:spacing w:line="240" w:lineRule="exact"/>
                              <w:rPr>
                                <w:b/>
                                <w:bCs/>
                                <w:sz w:val="21"/>
                                <w:szCs w:val="21"/>
                                <w:lang w:eastAsia="ja-JP"/>
                              </w:rPr>
                            </w:pPr>
                          </w:p>
                          <w:p w14:paraId="2CC701B7" w14:textId="77777777" w:rsidR="00AC34E6" w:rsidRDefault="00AC34E6" w:rsidP="000423AB">
                            <w:pPr>
                              <w:spacing w:line="240" w:lineRule="exact"/>
                              <w:rPr>
                                <w:b/>
                                <w:bCs/>
                                <w:sz w:val="21"/>
                                <w:szCs w:val="21"/>
                              </w:rPr>
                            </w:pPr>
                            <w:r>
                              <w:rPr>
                                <w:b/>
                                <w:bCs/>
                                <w:sz w:val="21"/>
                                <w:szCs w:val="21"/>
                              </w:rPr>
                              <w:t>Micro Constraints</w:t>
                            </w:r>
                          </w:p>
                          <w:p w14:paraId="6999868B" w14:textId="77777777" w:rsidR="00AC34E6" w:rsidRDefault="00AC34E6" w:rsidP="000423AB">
                            <w:pPr>
                              <w:spacing w:line="240" w:lineRule="exact"/>
                              <w:rPr>
                                <w:sz w:val="21"/>
                                <w:szCs w:val="21"/>
                                <w:lang w:eastAsia="ja-JP"/>
                              </w:rPr>
                            </w:pPr>
                          </w:p>
                          <w:p w14:paraId="41CB841F" w14:textId="77777777" w:rsidR="00AC34E6" w:rsidRDefault="00AC34E6" w:rsidP="000423AB">
                            <w:pPr>
                              <w:spacing w:line="240" w:lineRule="exact"/>
                              <w:rPr>
                                <w:sz w:val="21"/>
                                <w:szCs w:val="21"/>
                              </w:rPr>
                            </w:pPr>
                            <w:r>
                              <w:rPr>
                                <w:sz w:val="21"/>
                                <w:szCs w:val="21"/>
                              </w:rPr>
                              <w:t>Long-term relations with banks, unions, and other companies shape firms’ preferred adjustment strategies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14.8pt;margin-top:3.1pt;width:117.5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">
                <v:textbox inset="5.85pt,.7pt,5.85pt,.7pt">
                  <w:txbxContent>
                    <w:p w14:paraId="6E3CC7B9" w14:textId="77777777" w:rsidR="00AC34E6" w:rsidRDefault="00AC34E6" w:rsidP="000423AB">
                      <w:pPr>
                        <w:spacing w:line="240" w:lineRule="exact"/>
                        <w:rPr>
                          <w:b/>
                          <w:bCs/>
                          <w:sz w:val="21"/>
                          <w:szCs w:val="21"/>
                          <w:lang w:eastAsia="ja-JP"/>
                        </w:rPr>
                      </w:pPr>
                    </w:p>
                    <w:p w14:paraId="2CC701B7" w14:textId="77777777" w:rsidR="00AC34E6" w:rsidRDefault="00AC34E6" w:rsidP="000423AB">
                      <w:pPr>
                        <w:spacing w:line="240" w:lineRule="exact"/>
                        <w:rPr>
                          <w:b/>
                          <w:bCs/>
                          <w:sz w:val="21"/>
                          <w:szCs w:val="21"/>
                        </w:rPr>
                      </w:pPr>
                      <w:r>
                        <w:rPr>
                          <w:b/>
                          <w:bCs/>
                          <w:sz w:val="21"/>
                          <w:szCs w:val="21"/>
                        </w:rPr>
                        <w:t>Micro Constraints</w:t>
                      </w:r>
                    </w:p>
                    <w:p w14:paraId="6999868B" w14:textId="77777777" w:rsidR="00AC34E6" w:rsidRDefault="00AC34E6" w:rsidP="000423AB">
                      <w:pPr>
                        <w:spacing w:line="240" w:lineRule="exact"/>
                        <w:rPr>
                          <w:sz w:val="21"/>
                          <w:szCs w:val="21"/>
                          <w:lang w:eastAsia="ja-JP"/>
                        </w:rPr>
                      </w:pPr>
                    </w:p>
                    <w:p w14:paraId="41CB841F" w14:textId="77777777" w:rsidR="00AC34E6" w:rsidRDefault="00AC34E6" w:rsidP="000423AB">
                      <w:pPr>
                        <w:spacing w:line="240" w:lineRule="exact"/>
                        <w:rPr>
                          <w:sz w:val="21"/>
                          <w:szCs w:val="21"/>
                        </w:rPr>
                      </w:pPr>
                      <w:r>
                        <w:rPr>
                          <w:sz w:val="21"/>
                          <w:szCs w:val="21"/>
                        </w:rPr>
                        <w:t>Long-term relations with banks, unions, and other companies shape firms’ preferred adjustment strategies</w:t>
                      </w:r>
                    </w:p>
                  </w:txbxContent>
                </v:textbox>
              </v:shape>
            </w:pict>
          </mc:Fallback>
        </mc:AlternateContent>
      </w:r>
    </w:p>
    <w:p w14:paraId="2C5F01B7" w14:textId="77777777" w:rsidR="000423AB" w:rsidRDefault="000423AB" w:rsidP="000423AB">
      <w:pPr>
        <w:pStyle w:val="NoSpacing"/>
      </w:pPr>
    </w:p>
    <w:p w14:paraId="53D1A5B7" w14:textId="77777777" w:rsidR="000423AB" w:rsidRDefault="000423AB" w:rsidP="000423AB">
      <w:pPr>
        <w:pStyle w:val="NoSpacing"/>
      </w:pPr>
    </w:p>
    <w:p w14:paraId="2CCF4E53" w14:textId="77777777" w:rsidR="000423AB" w:rsidRDefault="000423AB" w:rsidP="000423AB">
      <w:pPr>
        <w:pStyle w:val="NoSpacing"/>
      </w:pPr>
    </w:p>
    <w:p w14:paraId="27FC8EC2" w14:textId="77777777" w:rsidR="000423AB" w:rsidRDefault="000423AB" w:rsidP="000423AB">
      <w:pPr>
        <w:pStyle w:val="NoSpacing"/>
      </w:pPr>
    </w:p>
    <w:p w14:paraId="1EFD82B1" w14:textId="77777777" w:rsidR="000423AB" w:rsidRDefault="000423AB" w:rsidP="000423AB">
      <w:pPr>
        <w:pStyle w:val="NoSpacing"/>
      </w:pPr>
    </w:p>
    <w:p w14:paraId="7E8B8E73" w14:textId="77777777" w:rsidR="000423AB" w:rsidRDefault="000423AB" w:rsidP="000423AB">
      <w:pPr>
        <w:pStyle w:val="NoSpacing"/>
      </w:pPr>
    </w:p>
    <w:p w14:paraId="4AE4BCED" w14:textId="77777777" w:rsidR="000423AB" w:rsidRDefault="000423AB" w:rsidP="000423AB">
      <w:pPr>
        <w:ind w:firstLine="284"/>
        <w:rPr>
          <w:rFonts w:cstheme="minorBidi"/>
        </w:rPr>
      </w:pPr>
    </w:p>
    <w:p w14:paraId="4430A059" w14:textId="77777777" w:rsidR="000423AB" w:rsidRDefault="000423AB" w:rsidP="000423AB">
      <w:pPr>
        <w:ind w:firstLine="284"/>
      </w:pPr>
      <w:r>
        <w:t>This model, which offers simple cost benefit cycles to actors, is Vogel</w:t>
      </w:r>
      <w:r w:rsidR="00495E0F">
        <w:rPr>
          <w:lang w:eastAsia="ja-JP"/>
        </w:rPr>
        <w:t>’</w:t>
      </w:r>
      <w:r w:rsidR="00495E0F">
        <w:rPr>
          <w:rFonts w:hint="eastAsia"/>
          <w:lang w:eastAsia="ja-JP"/>
        </w:rPr>
        <w:t>s</w:t>
      </w:r>
      <w:r>
        <w:t xml:space="preserve"> (2006) explanatory vehicle to address Japan’s trajectory of institutional change (p.19). Vogel (2006) adds that other elements also affect the decision making processes of actors (p.19). For instance</w:t>
      </w:r>
      <w:r w:rsidR="00E922FE">
        <w:rPr>
          <w:rFonts w:eastAsia="MS Mincho" w:hint="eastAsia"/>
          <w:lang w:eastAsia="ja-JP"/>
        </w:rPr>
        <w:t>:</w:t>
      </w:r>
      <w:r>
        <w:t xml:space="preserve"> ‘</w:t>
      </w:r>
      <w:r w:rsidR="008235B2">
        <w:rPr>
          <w:rFonts w:hint="eastAsia"/>
          <w:lang w:eastAsia="ja-JP"/>
        </w:rPr>
        <w:t>E</w:t>
      </w:r>
      <w:r>
        <w:t>fficiency concerns and normative commitments can complement each other, but they may also conflict. For example, firm managers sometimes have to make a stark choice among maximising profits, enhancing their comparative institutional advantage, and honouring social obligations’ (Vogel 2006 pp.19-20). These three elements sometimes conflict. Firm managers can hesitate to make a decision which increases profits but jeopardises beliefs and social ties with business partners – e.g. switching stable suppliers (Vogel 2006 p.20).</w:t>
      </w:r>
    </w:p>
    <w:p w14:paraId="18843E6A" w14:textId="77777777" w:rsidR="000423AB" w:rsidRDefault="000423AB" w:rsidP="000423AB">
      <w:pPr>
        <w:ind w:firstLine="284"/>
      </w:pPr>
      <w:r>
        <w:t>Based on this analytical framework, Vogel (2006 pp.219-20) concludes that the transformation in Japan is seen as incremental rather than sweeping, and within this context, state transformation likewise has been an incremental process:</w:t>
      </w:r>
    </w:p>
    <w:p w14:paraId="245B384F" w14:textId="77777777" w:rsidR="000423AB" w:rsidRDefault="000423AB" w:rsidP="000423AB">
      <w:pPr>
        <w:ind w:firstLine="284"/>
      </w:pPr>
    </w:p>
    <w:p w14:paraId="5A8BF355" w14:textId="5F324BD3" w:rsidR="00495655" w:rsidRDefault="008235B2" w:rsidP="005B18BE">
      <w:pPr>
        <w:pStyle w:val="Quote"/>
      </w:pPr>
      <w:r>
        <w:rPr>
          <w:rFonts w:hint="eastAsia"/>
          <w:lang w:eastAsia="ja-JP"/>
        </w:rPr>
        <w:t>g</w:t>
      </w:r>
      <w:r w:rsidR="000423AB">
        <w:t xml:space="preserve">overnment officials have lost legitimacy in the eyes of the Japanese people, they have lost confidence in their own ability to steer the economy, and they have become more ambivalent in their policy goals. In practice, they (government </w:t>
      </w:r>
      <w:r>
        <w:rPr>
          <w:rFonts w:hint="eastAsia"/>
          <w:lang w:eastAsia="ja-JP"/>
        </w:rPr>
        <w:t>official</w:t>
      </w:r>
      <w:r w:rsidR="000423AB">
        <w:t xml:space="preserve">s) have combined liberalization with efforts to reassert control over industry and markets in new ways. … </w:t>
      </w:r>
      <w:r w:rsidR="00C010D3">
        <w:rPr>
          <w:rFonts w:hint="eastAsia"/>
          <w:lang w:eastAsia="ja-JP"/>
        </w:rPr>
        <w:t>t</w:t>
      </w:r>
      <w:r w:rsidR="000423AB">
        <w:t>hey have enacted pro-competitive regulatory reforms yet still tried to manage the terms of competition after reform; they have abandoned old-style industrial policy yet experimented with new variations; and they have enhanced foreign firms’ ability to invest in Japan and yet backtracked in several instances. The government has not truly embraced the liberal model, but it has made substantial progress in areas critical for foreign corporations seeking access to the Japanese market. Although U.S. and Japanese capitalism will continue to differ, bilateral friction over differences in the two systems is not likely to return to 1985-95 levels.</w:t>
      </w:r>
    </w:p>
    <w:p w14:paraId="4602EC67" w14:textId="77777777" w:rsidR="000423AB" w:rsidRDefault="000423AB" w:rsidP="000423AB">
      <w:pPr>
        <w:ind w:firstLine="284"/>
      </w:pPr>
    </w:p>
    <w:p w14:paraId="7934142A" w14:textId="77777777" w:rsidR="000423AB" w:rsidRDefault="000423AB" w:rsidP="000423AB">
      <w:pPr>
        <w:ind w:firstLine="284"/>
      </w:pPr>
      <w:r>
        <w:t xml:space="preserve">The state has gradually stopped utilising industrial policy and embraced market oriented methods (Vogel 2006 pp.219-20). </w:t>
      </w:r>
      <w:r w:rsidR="00E41C8C">
        <w:rPr>
          <w:rFonts w:hint="eastAsia"/>
          <w:lang w:eastAsia="ja-JP"/>
        </w:rPr>
        <w:t>In his analysis of this gradual change, Vogel (1996) highlights the role of societal actors rather than that of state actors</w:t>
      </w:r>
      <w:r>
        <w:t>. Although the LDP under the leadership of Jun’ichiro Koizumi (2001-2006) enjoyed its popularity, its liberal economic reforms beyond post</w:t>
      </w:r>
      <w:r>
        <w:rPr>
          <w:lang w:eastAsia="ja-JP"/>
        </w:rPr>
        <w:t xml:space="preserve"> office</w:t>
      </w:r>
      <w:r>
        <w:t xml:space="preserve"> privatisation were not substantially implemented because the public was ambivalent about such reforms and not all LDP members were true liberal reformers (Vogel 2006 pp.58-60). In contrast to the US, where consumer groups such as Nader’s Raiders were the significant promoter of deregulation in the 1970s, Japan’s consumers and consumer groups have been supportive to producers and small businesses, who are often inefficient because they were heavily protected and not exposed to competition (Vogel 2006 p</w:t>
      </w:r>
      <w:r w:rsidR="007875D9">
        <w:rPr>
          <w:rFonts w:hint="eastAsia"/>
          <w:lang w:eastAsia="ja-JP"/>
        </w:rPr>
        <w:t>p</w:t>
      </w:r>
      <w:r>
        <w:t>.53-6). The largest opposition party, the DPJ</w:t>
      </w:r>
      <w:r w:rsidR="006440D6">
        <w:rPr>
          <w:rFonts w:eastAsia="MS Mincho" w:hint="eastAsia"/>
          <w:lang w:eastAsia="ja-JP"/>
        </w:rPr>
        <w:t xml:space="preserve"> (Democratic Party of Japan)</w:t>
      </w:r>
      <w:r>
        <w:t>, differentiated itself from the LDP</w:t>
      </w:r>
      <w:r w:rsidR="004660A4">
        <w:rPr>
          <w:rFonts w:hint="eastAsia"/>
          <w:lang w:eastAsia="ja-JP"/>
        </w:rPr>
        <w:t>:</w:t>
      </w:r>
      <w:r>
        <w:t xml:space="preserve"> ‘not by pushing for bolder liberalization but by advocating government intervention to ease economic adjustment’ (Vogel 2006 pp.60-1).</w:t>
      </w:r>
    </w:p>
    <w:p w14:paraId="5DF68CE9" w14:textId="77777777" w:rsidR="00DE228B" w:rsidRDefault="006B4308" w:rsidP="000423AB">
      <w:pPr>
        <w:ind w:firstLine="284"/>
        <w:rPr>
          <w:lang w:eastAsia="ja-JP"/>
        </w:rPr>
      </w:pPr>
      <w:r>
        <w:rPr>
          <w:rFonts w:hint="eastAsia"/>
          <w:lang w:eastAsia="ja-JP"/>
        </w:rPr>
        <w:t xml:space="preserve">Vogel (2006 p.211) analyses the </w:t>
      </w:r>
      <w:r w:rsidR="000423AB">
        <w:t xml:space="preserve">change </w:t>
      </w:r>
      <w:r>
        <w:rPr>
          <w:rFonts w:hint="eastAsia"/>
          <w:lang w:eastAsia="ja-JP"/>
        </w:rPr>
        <w:t xml:space="preserve">as not the response to clear evidence linked with reform proposals for better </w:t>
      </w:r>
      <w:r>
        <w:rPr>
          <w:lang w:eastAsia="ja-JP"/>
        </w:rPr>
        <w:t>economic</w:t>
      </w:r>
      <w:r>
        <w:rPr>
          <w:rFonts w:hint="eastAsia"/>
          <w:lang w:eastAsia="ja-JP"/>
        </w:rPr>
        <w:t xml:space="preserve"> performance but the result of ideological </w:t>
      </w:r>
      <w:r w:rsidR="001B4D52">
        <w:rPr>
          <w:rFonts w:hint="eastAsia"/>
          <w:lang w:eastAsia="ja-JP"/>
        </w:rPr>
        <w:t>shifts</w:t>
      </w:r>
      <w:r w:rsidR="000423AB">
        <w:t xml:space="preserve">. </w:t>
      </w:r>
      <w:r w:rsidR="00DE228B">
        <w:rPr>
          <w:rFonts w:hint="eastAsia"/>
          <w:lang w:eastAsia="ja-JP"/>
        </w:rPr>
        <w:t>His analysis</w:t>
      </w:r>
      <w:r w:rsidR="000423AB">
        <w:t xml:space="preserve"> is underpinned by a set of evidence</w:t>
      </w:r>
      <w:r w:rsidR="00E922FE">
        <w:rPr>
          <w:rFonts w:eastAsia="MS Mincho" w:hint="eastAsia"/>
          <w:lang w:eastAsia="ja-JP"/>
        </w:rPr>
        <w:t>.</w:t>
      </w:r>
    </w:p>
    <w:p w14:paraId="5688B803" w14:textId="2793D457" w:rsidR="000A5CF8" w:rsidRDefault="000423AB" w:rsidP="00872325">
      <w:pPr>
        <w:ind w:firstLine="284"/>
        <w:rPr>
          <w:lang w:eastAsia="ja-JP"/>
        </w:rPr>
      </w:pPr>
      <w:r>
        <w:t>First</w:t>
      </w:r>
      <w:r w:rsidR="004660A4">
        <w:rPr>
          <w:rFonts w:hint="eastAsia"/>
          <w:lang w:eastAsia="ja-JP"/>
        </w:rPr>
        <w:t>:</w:t>
      </w:r>
      <w:r>
        <w:t xml:space="preserve"> ‘economic benefits from liberalization are greater and less ambiguous in some sectors, such as telecommunications, than in other sectors, such as energy’ (Vogel 2006 p.212). However, the government has not given priority to regulatory reforms </w:t>
      </w:r>
      <w:r w:rsidR="00872325">
        <w:t>in</w:t>
      </w:r>
      <w:r>
        <w:t xml:space="preserve"> the sectors where benefits are clear (Vogel 2006 p.212).</w:t>
      </w:r>
    </w:p>
    <w:p w14:paraId="56081E1C" w14:textId="77777777" w:rsidR="000423AB" w:rsidRDefault="000423AB" w:rsidP="000423AB">
      <w:pPr>
        <w:ind w:firstLine="284"/>
      </w:pPr>
      <w:r>
        <w:t>Second, financial deregulation before prudential regulation is especially liable to financial crises (Posen 2002). In the US</w:t>
      </w:r>
      <w:r w:rsidR="00DC226D">
        <w:t>,</w:t>
      </w:r>
      <w:r>
        <w:t xml:space="preserve"> savings and loan institutions (S&amp;Ls) were required to invest only in long-term housing loans, and therefore were limited in their risk taking and profit making, but received the right to offer a little more to their depositor in recompense (Posen 2002 p.202).  Deregulation in 1983, however, opened S&amp;Ls’ mortgage market, while allowing S&amp;Ls to engage in commercial and consumer lending (Posen 2002 p.202). This deregulation promoted the rapid development of the financial sector and resulted in the collapse of the real estate market in the mid 1980s (Posen 2002 p.202).  According to Posen (2002 pp.202-3):</w:t>
      </w:r>
    </w:p>
    <w:p w14:paraId="1077FBE8" w14:textId="77777777" w:rsidR="000423AB" w:rsidRDefault="000423AB" w:rsidP="000423AB"/>
    <w:p w14:paraId="66079DB0" w14:textId="77777777" w:rsidR="00495655" w:rsidRDefault="000423AB" w:rsidP="005B18BE">
      <w:pPr>
        <w:pStyle w:val="Quote"/>
      </w:pPr>
      <w:r>
        <w:t xml:space="preserve">The affected banks and S&amp;Ls behaved just as economic theory would predict. Until supervisors enforced matters, the banks and S&amp;Ls invested in higher risk, high return projects in hopes of restoring their capital, they rolled over outstanding bad loans to avoid writing them down, and they stopped lending to high quality borrowers with safe low returns. These financial firms also rapidly escalated deposit interest rates, figuring that any losses would be covered by deposit insurance. </w:t>
      </w:r>
    </w:p>
    <w:p w14:paraId="4D3961CC" w14:textId="77777777" w:rsidR="000423AB" w:rsidRDefault="000423AB" w:rsidP="000423AB"/>
    <w:p w14:paraId="2D69A86D" w14:textId="77777777" w:rsidR="000423AB" w:rsidRDefault="000423AB" w:rsidP="000423AB">
      <w:r>
        <w:t>This is followed by the failure of the regulator:</w:t>
      </w:r>
    </w:p>
    <w:p w14:paraId="496F24DB" w14:textId="77777777" w:rsidR="000423AB" w:rsidRDefault="000423AB" w:rsidP="000423AB"/>
    <w:p w14:paraId="47E5B56F" w14:textId="77777777" w:rsidR="00495655" w:rsidRDefault="000423AB" w:rsidP="005B18BE">
      <w:pPr>
        <w:pStyle w:val="Quote"/>
      </w:pPr>
      <w:r>
        <w:t>U.S. supervisors unfortunately did some gambling of resurrection on their own, waiting to shut down banks and S&amp;Ls with insufficient capital in hopes that better economic time would allow them to recoup their losses. This only allowed the problem to grow until it was necessary for large-scale government action to consolidate, recapitalize, and close failed institutions, and to begin selling of</w:t>
      </w:r>
      <w:r w:rsidR="00826390">
        <w:t>f</w:t>
      </w:r>
      <w:r>
        <w:t xml:space="preserve"> foreclosed real estate assets. (Posen 2002 pp.202-3)</w:t>
      </w:r>
    </w:p>
    <w:p w14:paraId="526E2EED" w14:textId="77777777" w:rsidR="000423AB" w:rsidRDefault="000423AB" w:rsidP="000423AB"/>
    <w:p w14:paraId="680B1E80" w14:textId="77777777" w:rsidR="000423AB" w:rsidRDefault="000423AB" w:rsidP="000423AB">
      <w:r>
        <w:t xml:space="preserve">Nevertheless, Japan also made a similar mistake when it deregulated its financial services in the 1990s (Posen 2002 pp.214-5). ‘Given that U.S. regulators already had been taken to task for the S&amp;L crisis in a litany of congressional hearings, central bank sponsored conferences, and published policy analyses by 1992, it is impossible to claim that Japanese regulators and politicians were not warned against repeating American mistakes’ (Posen 2002 pp.214-5). Vogel (2006) argues that this is because Japan ignored these policy mistakes, the lessons, and the information of the US during its financial regulation reform in the 1990s (p.212). These two examples </w:t>
      </w:r>
      <w:r w:rsidR="00DC226D">
        <w:t>suggest</w:t>
      </w:r>
      <w:r>
        <w:t xml:space="preserve"> Japanese authorities neglect</w:t>
      </w:r>
      <w:r w:rsidR="00DC226D">
        <w:t>ed</w:t>
      </w:r>
      <w:r>
        <w:t xml:space="preserve"> useful information about their policy reforms, and that their policy reforms were motivated by the political or sociological reason rather than the economically rational contemplation (Vogel 2006 p.212).</w:t>
      </w:r>
    </w:p>
    <w:p w14:paraId="0D9DFDA1" w14:textId="77777777" w:rsidR="000423AB" w:rsidRDefault="000423AB" w:rsidP="000423AB">
      <w:pPr>
        <w:ind w:firstLine="284"/>
        <w:rPr>
          <w:rFonts w:cstheme="minorBidi"/>
        </w:rPr>
      </w:pPr>
      <w:r>
        <w:t xml:space="preserve">The change of policies by the state mobilised corporate transformation. Schaede (2008) argues that Japan’s private firms are increasingly required to be responsible for their own business activities while it is getting more difficult to access the traditional government support, because </w:t>
      </w:r>
      <w:r w:rsidR="00826390">
        <w:t xml:space="preserve">the </w:t>
      </w:r>
      <w:r>
        <w:t xml:space="preserve">government’s approach to industry has become more market oriented (Schaede 2008 pp.30-1). Business decisions are now left to firms and they </w:t>
      </w:r>
      <w:r w:rsidR="001935C0">
        <w:t>cannot</w:t>
      </w:r>
      <w:r>
        <w:t xml:space="preserve"> expect the support from government ministries when their projects fail (Schaede 2008 pp.30-1). </w:t>
      </w:r>
      <w:r w:rsidR="00826390">
        <w:t>A f</w:t>
      </w:r>
      <w:r>
        <w:t xml:space="preserve">irm’s traditional pre-consultation to the government ministries about their newly launching business projects has diminished (Schaede 2008 pp.30-1). At the same time, firms have come to act on </w:t>
      </w:r>
      <w:r w:rsidR="00826390">
        <w:t>a</w:t>
      </w:r>
      <w:r>
        <w:t xml:space="preserve"> performance and profitability basis rather than </w:t>
      </w:r>
      <w:r w:rsidR="00826390">
        <w:t>a</w:t>
      </w:r>
      <w:r>
        <w:t xml:space="preserve"> longevity and long term relationship basis (Schaede 2008 pp.107-8)</w:t>
      </w:r>
      <w:r>
        <w:rPr>
          <w:rStyle w:val="FootnoteReference"/>
        </w:rPr>
        <w:footnoteReference w:id="21"/>
      </w:r>
      <w:r>
        <w:t>. Vogel (2006) describes this remodelling of private firms as:</w:t>
      </w:r>
    </w:p>
    <w:p w14:paraId="0117B6E6" w14:textId="77777777" w:rsidR="000423AB" w:rsidRDefault="000423AB" w:rsidP="000423AB"/>
    <w:p w14:paraId="05D04BE2" w14:textId="6D45DCA7" w:rsidR="00495655" w:rsidRDefault="001935C0" w:rsidP="005B18BE">
      <w:pPr>
        <w:pStyle w:val="Quote"/>
      </w:pPr>
      <w:r>
        <w:rPr>
          <w:rFonts w:hint="eastAsia"/>
          <w:lang w:eastAsia="ja-JP"/>
        </w:rPr>
        <w:t>t</w:t>
      </w:r>
      <w:r w:rsidR="000423AB">
        <w:t>he remodeled Japan differs from the earlier version in at least three important ways. It is more selective: … (companies) have reeva</w:t>
      </w:r>
      <w:r w:rsidR="00826390">
        <w:t>l</w:t>
      </w:r>
      <w:r w:rsidR="000423AB">
        <w:t>uated their long-term relationships with works, banks and other firms, and they have loosened some and tightened others… It is more differentiated: companies have become more variable in their practices. There never was a uniform Japanese model that applied equally to all sector</w:t>
      </w:r>
      <w:r w:rsidR="00826390">
        <w:t>s</w:t>
      </w:r>
      <w:r w:rsidR="000423AB">
        <w:t xml:space="preserve"> and all companies, but the model has fragmented further. And it is more open: Japanese corporations have more foreign owners, managers, and business partners than ever before, and these foreign actors bring with them different practices and norms. Each of these trends has been driven not simply by companies freely choosing from a blank slate but through the interactive process of government reform and corporate adjustment… (p.220)</w:t>
      </w:r>
      <w:r w:rsidR="00826390">
        <w:t>.</w:t>
      </w:r>
    </w:p>
    <w:p w14:paraId="22FBC4AB" w14:textId="77777777" w:rsidR="000423AB" w:rsidRDefault="000423AB" w:rsidP="000423AB"/>
    <w:p w14:paraId="2FB48F80" w14:textId="77777777" w:rsidR="000423AB" w:rsidRDefault="000423AB" w:rsidP="000423AB">
      <w:pPr>
        <w:ind w:firstLine="284"/>
        <w:rPr>
          <w:rFonts w:cstheme="minorBidi"/>
        </w:rPr>
      </w:pPr>
      <w:r>
        <w:t xml:space="preserve">This transformation has been mobilised by the change of </w:t>
      </w:r>
      <w:r w:rsidR="006139D7">
        <w:rPr>
          <w:rFonts w:hint="eastAsia"/>
          <w:lang w:eastAsia="ja-JP"/>
        </w:rPr>
        <w:t>Japan</w:t>
      </w:r>
      <w:r w:rsidR="006139D7">
        <w:rPr>
          <w:lang w:eastAsia="ja-JP"/>
        </w:rPr>
        <w:t>’</w:t>
      </w:r>
      <w:r w:rsidR="006139D7">
        <w:rPr>
          <w:rFonts w:hint="eastAsia"/>
          <w:lang w:eastAsia="ja-JP"/>
        </w:rPr>
        <w:t>s political</w:t>
      </w:r>
      <w:r>
        <w:t xml:space="preserve"> structure, including the change of government policy </w:t>
      </w:r>
      <w:r>
        <w:rPr>
          <w:lang w:eastAsia="ja-JP"/>
        </w:rPr>
        <w:t>under</w:t>
      </w:r>
      <w:r>
        <w:t xml:space="preserve"> Jun’ichiro Koizumi to </w:t>
      </w:r>
      <w:r w:rsidR="00826390">
        <w:t xml:space="preserve">a </w:t>
      </w:r>
      <w:r>
        <w:t>more market oriented one, the change of the corporate laws, regulatory reforms such as those in financial services</w:t>
      </w:r>
      <w:r w:rsidR="006B0B15">
        <w:rPr>
          <w:rFonts w:hint="eastAsia"/>
          <w:lang w:eastAsia="ja-JP"/>
        </w:rPr>
        <w:t xml:space="preserve"> and</w:t>
      </w:r>
      <w:r>
        <w:t xml:space="preserve"> </w:t>
      </w:r>
      <w:r w:rsidR="006B0B15">
        <w:rPr>
          <w:rFonts w:hint="eastAsia"/>
          <w:lang w:eastAsia="ja-JP"/>
        </w:rPr>
        <w:t>antitrust</w:t>
      </w:r>
      <w:r>
        <w:t xml:space="preserve"> enforcement (Vogel 2006 pp.30-46). For instance, financial regulation shifted its focus away from the actor (an industry or company) to transactions and markets (Vogel 2006 p.31). ‘The postwar-period informal regulatory processes, based on the fact that a ministry in charge of nurturing an industry was also tasked with its regulation, was undermined by a shift to legal processes and a turn to the courts’ (Vogel 2006 p.31). </w:t>
      </w:r>
    </w:p>
    <w:p w14:paraId="3CF1DE9B" w14:textId="1E08DF47" w:rsidR="000423AB" w:rsidRDefault="000423AB" w:rsidP="00716D67">
      <w:pPr>
        <w:ind w:firstLine="284"/>
      </w:pPr>
      <w:r>
        <w:t xml:space="preserve">This change in the 1990s is drawn from the perspective of ‘regime’ by Pempel (1998 p.14). For Pempel (1998), a regime is about a middle level of cohesion in the political economy of a nation state (p.20). </w:t>
      </w:r>
      <w:r w:rsidR="001C58D7">
        <w:rPr>
          <w:rFonts w:hint="eastAsia"/>
          <w:lang w:eastAsia="ja-JP"/>
        </w:rPr>
        <w:t xml:space="preserve">According to </w:t>
      </w:r>
      <w:r w:rsidR="00716D67">
        <w:t>him</w:t>
      </w:r>
      <w:r>
        <w:t xml:space="preserve"> (Pempel 1998 p.20):</w:t>
      </w:r>
    </w:p>
    <w:p w14:paraId="25F5ABE0" w14:textId="77777777" w:rsidR="000423AB" w:rsidRDefault="000423AB" w:rsidP="000423AB">
      <w:pPr>
        <w:ind w:firstLine="284"/>
      </w:pPr>
    </w:p>
    <w:p w14:paraId="28E00CFB" w14:textId="6CEC87C7" w:rsidR="00F62EA6" w:rsidRDefault="004A47AA" w:rsidP="004A47AA">
      <w:pPr>
        <w:pStyle w:val="Quote"/>
      </w:pPr>
      <w:r>
        <w:t>A</w:t>
      </w:r>
      <w:r w:rsidR="000423AB" w:rsidRPr="00205F43">
        <w:t xml:space="preserve"> regime is composed of three essential elements: socioeconomic alliances, political-economic institutions, and a public policy profile. These three overlap and reinforce one another; they resemble the three legs of a tripod that collapses when any one is removed. They interact in complex ways, developing and responding to a discret</w:t>
      </w:r>
    </w:p>
    <w:p w14:paraId="5CCF7E26" w14:textId="365EB221" w:rsidR="000423AB" w:rsidRPr="00205F43" w:rsidRDefault="000423AB" w:rsidP="00205F43">
      <w:pPr>
        <w:pStyle w:val="Quote"/>
      </w:pPr>
      <w:r w:rsidRPr="00205F43">
        <w:t>e internal logic. In many countries the three elements are in unstable tension, coalitions and alliances come and go; institutions are born and swiftly die; policy directions shift like the wind. Regimes thus may have little or no enduring stability; they lack equilibrium.</w:t>
      </w:r>
    </w:p>
    <w:p w14:paraId="1F27667A" w14:textId="77777777" w:rsidR="000423AB" w:rsidRDefault="000423AB" w:rsidP="000423AB"/>
    <w:p w14:paraId="459314A9" w14:textId="77777777" w:rsidR="00520FAF" w:rsidRDefault="000423AB" w:rsidP="003D4610">
      <w:pPr>
        <w:ind w:firstLine="284"/>
      </w:pPr>
      <w:r>
        <w:t>Pempel (1998) argue</w:t>
      </w:r>
      <w:r w:rsidR="00DC226D">
        <w:t>d</w:t>
      </w:r>
      <w:r>
        <w:t xml:space="preserve"> that Japan’s new regime w</w:t>
      </w:r>
      <w:r w:rsidR="006139D7">
        <w:rPr>
          <w:rFonts w:hint="eastAsia"/>
          <w:lang w:eastAsia="ja-JP"/>
        </w:rPr>
        <w:t>ould</w:t>
      </w:r>
      <w:r>
        <w:t xml:space="preserve"> be different, becoming increasingly influenced by external forces such as international finance and manufacturing</w:t>
      </w:r>
      <w:r w:rsidR="003D4610">
        <w:t xml:space="preserve">, referring to significant challenges emerging </w:t>
      </w:r>
      <w:r w:rsidR="00520FAF">
        <w:t xml:space="preserve">in the political economic institutions and policy profiles </w:t>
      </w:r>
      <w:r w:rsidR="003D4610">
        <w:t>by the end of the 1990s</w:t>
      </w:r>
      <w:r w:rsidR="00520FAF">
        <w:t>, whose major points are in Table 2.6</w:t>
      </w:r>
      <w:r>
        <w:t xml:space="preserve"> (pp.211-9).</w:t>
      </w:r>
    </w:p>
    <w:p w14:paraId="368C7608" w14:textId="77777777" w:rsidR="00520FAF" w:rsidRDefault="00520FAF" w:rsidP="003D4610">
      <w:pPr>
        <w:ind w:firstLine="284"/>
      </w:pPr>
    </w:p>
    <w:p w14:paraId="4598D431" w14:textId="77777777" w:rsidR="000423AB" w:rsidRDefault="00520FAF" w:rsidP="00FF6C79">
      <w:pPr>
        <w:pStyle w:val="Heading4"/>
      </w:pPr>
      <w:r>
        <w:t xml:space="preserve">Table 2.6: </w:t>
      </w:r>
      <w:r w:rsidR="00FF6C79">
        <w:t>The</w:t>
      </w:r>
      <w:r w:rsidR="000423AB">
        <w:t xml:space="preserve"> changes in the political economic institutions and policy profiles </w:t>
      </w:r>
      <w:r>
        <w:t xml:space="preserve">by the end of the 1990s highlighted by </w:t>
      </w:r>
      <w:r w:rsidR="000423AB">
        <w:t xml:space="preserve">Pempel </w:t>
      </w:r>
      <w:r>
        <w:t>(</w:t>
      </w:r>
      <w:r w:rsidR="000423AB">
        <w:t>1998 pp.</w:t>
      </w:r>
      <w:r>
        <w:t>146-65, p.</w:t>
      </w:r>
      <w:r w:rsidR="000423AB">
        <w:t xml:space="preserve">211-9): </w:t>
      </w:r>
    </w:p>
    <w:p w14:paraId="131139FD" w14:textId="77777777" w:rsidR="00520FAF" w:rsidRDefault="00520FAF" w:rsidP="00520FAF"/>
    <w:tbl>
      <w:tblPr>
        <w:tblStyle w:val="TableGrid"/>
        <w:tblW w:w="0" w:type="auto"/>
        <w:tblLook w:val="04A0" w:firstRow="1" w:lastRow="0" w:firstColumn="1" w:lastColumn="0" w:noHBand="0" w:noVBand="1"/>
      </w:tblPr>
      <w:tblGrid>
        <w:gridCol w:w="8720"/>
      </w:tblGrid>
      <w:tr w:rsidR="00520FAF" w14:paraId="74822D82" w14:textId="77777777" w:rsidTr="00520FAF">
        <w:tc>
          <w:tcPr>
            <w:tcW w:w="9286" w:type="dxa"/>
          </w:tcPr>
          <w:p w14:paraId="16EA5EC0" w14:textId="77777777" w:rsidR="00CD7C14" w:rsidRDefault="00CD7C14" w:rsidP="00CD7C14">
            <w:pPr>
              <w:pStyle w:val="NoSpacing"/>
              <w:ind w:left="284"/>
            </w:pPr>
          </w:p>
          <w:p w14:paraId="3841BC4C" w14:textId="77777777" w:rsidR="00520FAF" w:rsidRPr="00CD7C14" w:rsidRDefault="00CD7C14" w:rsidP="00CD7C14">
            <w:pPr>
              <w:pStyle w:val="NoSpacing"/>
              <w:numPr>
                <w:ilvl w:val="0"/>
                <w:numId w:val="80"/>
              </w:numPr>
              <w:ind w:left="284" w:hanging="284"/>
              <w:rPr>
                <w:b/>
                <w:bCs/>
              </w:rPr>
            </w:pPr>
            <w:r w:rsidRPr="00CD7C14">
              <w:rPr>
                <w:b/>
                <w:bCs/>
              </w:rPr>
              <w:t>T</w:t>
            </w:r>
            <w:r w:rsidR="00520FAF" w:rsidRPr="00CD7C14">
              <w:rPr>
                <w:b/>
                <w:bCs/>
              </w:rPr>
              <w:t>he new electoral system</w:t>
            </w:r>
          </w:p>
          <w:p w14:paraId="4CE19390" w14:textId="77777777" w:rsidR="00520FAF" w:rsidRDefault="00520FAF" w:rsidP="00CD7C14">
            <w:pPr>
              <w:pStyle w:val="NoSpacing"/>
              <w:ind w:left="284"/>
            </w:pPr>
            <w:r>
              <w:t>New electoral system authorised by the legislature in 1994 is regarded by commentators as an important factor of change.</w:t>
            </w:r>
          </w:p>
          <w:p w14:paraId="04E6E0FE" w14:textId="77777777" w:rsidR="00CD7C14" w:rsidRDefault="00CD7C14" w:rsidP="00CD7C14">
            <w:pPr>
              <w:pStyle w:val="NoSpacing"/>
              <w:ind w:left="284"/>
              <w:rPr>
                <w:rFonts w:cstheme="minorBidi"/>
              </w:rPr>
            </w:pPr>
          </w:p>
          <w:p w14:paraId="28523668" w14:textId="77777777" w:rsidR="00520FAF" w:rsidRPr="00CD7C14" w:rsidRDefault="00CD7C14" w:rsidP="00CD7C14">
            <w:pPr>
              <w:pStyle w:val="NoSpacing"/>
              <w:numPr>
                <w:ilvl w:val="0"/>
                <w:numId w:val="80"/>
              </w:numPr>
              <w:ind w:left="284" w:hanging="284"/>
              <w:rPr>
                <w:b/>
                <w:bCs/>
              </w:rPr>
            </w:pPr>
            <w:r>
              <w:rPr>
                <w:b/>
                <w:bCs/>
              </w:rPr>
              <w:t>W</w:t>
            </w:r>
            <w:r w:rsidR="00520FAF" w:rsidRPr="00CD7C14">
              <w:rPr>
                <w:b/>
                <w:bCs/>
              </w:rPr>
              <w:t xml:space="preserve">eakening </w:t>
            </w:r>
            <w:r w:rsidR="00520FAF" w:rsidRPr="00CD7C14">
              <w:rPr>
                <w:rFonts w:hint="eastAsia"/>
                <w:b/>
                <w:bCs/>
                <w:i/>
                <w:iCs/>
              </w:rPr>
              <w:t>K</w:t>
            </w:r>
            <w:r w:rsidR="00520FAF" w:rsidRPr="00CD7C14">
              <w:rPr>
                <w:b/>
                <w:bCs/>
                <w:i/>
                <w:iCs/>
              </w:rPr>
              <w:t>eiretsu</w:t>
            </w:r>
            <w:r w:rsidR="00520FAF" w:rsidRPr="00CD7C14">
              <w:rPr>
                <w:b/>
                <w:bCs/>
              </w:rPr>
              <w:t xml:space="preserve"> and increasingly powerful foreign owned firms</w:t>
            </w:r>
          </w:p>
          <w:p w14:paraId="74FE0E37" w14:textId="77777777" w:rsidR="00520FAF" w:rsidRDefault="00520FAF" w:rsidP="00CD7C14">
            <w:pPr>
              <w:pStyle w:val="NoSpacing"/>
              <w:ind w:left="284"/>
            </w:pPr>
            <w:r>
              <w:t>‘As larger numbers of Japanese firms, including many of their subcontractors, became more truly multinational, many also entered into strategic alliances with foreign owned firms’ and the traditional Japanese business relationships between firms have been undermined (Pempel 1998 p.161).</w:t>
            </w:r>
          </w:p>
          <w:p w14:paraId="51745D66" w14:textId="77777777" w:rsidR="00CD7C14" w:rsidRDefault="00CD7C14" w:rsidP="00CD7C14">
            <w:pPr>
              <w:pStyle w:val="NoSpacing"/>
              <w:ind w:left="284"/>
              <w:rPr>
                <w:rFonts w:cstheme="minorBidi"/>
              </w:rPr>
            </w:pPr>
          </w:p>
          <w:p w14:paraId="782FF0FC" w14:textId="77777777" w:rsidR="00520FAF" w:rsidRPr="00CD7C14" w:rsidRDefault="00CD7C14" w:rsidP="00CD7C14">
            <w:pPr>
              <w:pStyle w:val="NoSpacing"/>
              <w:numPr>
                <w:ilvl w:val="0"/>
                <w:numId w:val="80"/>
              </w:numPr>
              <w:ind w:left="284" w:hanging="284"/>
              <w:rPr>
                <w:b/>
                <w:bCs/>
              </w:rPr>
            </w:pPr>
            <w:r w:rsidRPr="00CD7C14">
              <w:rPr>
                <w:b/>
                <w:bCs/>
              </w:rPr>
              <w:t>A</w:t>
            </w:r>
            <w:r w:rsidR="00520FAF" w:rsidRPr="00CD7C14">
              <w:rPr>
                <w:b/>
                <w:bCs/>
              </w:rPr>
              <w:t xml:space="preserve"> substantial reduction in the number and power of the policy tools available to economic bureaucrats</w:t>
            </w:r>
          </w:p>
          <w:p w14:paraId="623CF911" w14:textId="77777777" w:rsidR="00520FAF" w:rsidRDefault="00520FAF" w:rsidP="00CD7C14">
            <w:pPr>
              <w:pStyle w:val="NoSpacing"/>
              <w:ind w:left="284"/>
            </w:pPr>
            <w:r>
              <w:t>In the post war period, Japan has pursued developmentalist policies such as protection of domestic manufacturing, financial institutions and agriculture and limits on foreign penetration of Japa</w:t>
            </w:r>
            <w:r w:rsidR="00CD7C14">
              <w:t>nese markets</w:t>
            </w:r>
            <w:r>
              <w:t>. In doing so, it employed policy tools such as high tariffs and restrictive quotas on most manufactured imports, tight controls over domestic consumption, restrictions on capital and technology flows into and out of Japan, a very restricted corporate bond market, and a strong reliance on foreign technology purchases. However, by the 1990s, Japan became integrated into the world market, its financial market has been liberalised and formal trade barriers and limits on foreign direct investment have been eliminated.</w:t>
            </w:r>
          </w:p>
          <w:p w14:paraId="582BF563" w14:textId="77777777" w:rsidR="00CD7C14" w:rsidRDefault="00CD7C14" w:rsidP="00CD7C14">
            <w:pPr>
              <w:pStyle w:val="NoSpacing"/>
            </w:pPr>
          </w:p>
          <w:p w14:paraId="2971CC9B" w14:textId="77777777" w:rsidR="00520FAF" w:rsidRPr="00CD7C14" w:rsidRDefault="00CD7C14" w:rsidP="00CD7C14">
            <w:pPr>
              <w:pStyle w:val="NoSpacing"/>
              <w:numPr>
                <w:ilvl w:val="0"/>
                <w:numId w:val="80"/>
              </w:numPr>
              <w:ind w:left="284" w:hanging="284"/>
              <w:rPr>
                <w:b/>
                <w:bCs/>
              </w:rPr>
            </w:pPr>
            <w:r>
              <w:rPr>
                <w:b/>
                <w:bCs/>
              </w:rPr>
              <w:t>A</w:t>
            </w:r>
            <w:r w:rsidR="00520FAF" w:rsidRPr="00CD7C14">
              <w:rPr>
                <w:b/>
                <w:bCs/>
              </w:rPr>
              <w:t>ppeased and emasculated radical labour and leftist organisations</w:t>
            </w:r>
          </w:p>
          <w:p w14:paraId="0DC31088" w14:textId="77777777" w:rsidR="00520FAF" w:rsidRDefault="00520FAF" w:rsidP="00B96AEC">
            <w:pPr>
              <w:pStyle w:val="NoSpacing"/>
              <w:ind w:left="284"/>
            </w:pPr>
            <w:r>
              <w:t>By the 1990s organised labour abandoned its hostile attitudes toward the conservatives and stood uniformly and automatically outside the regime, while the radical left elements within it were marginalised.</w:t>
            </w:r>
          </w:p>
          <w:p w14:paraId="0F5DEA0E" w14:textId="77777777" w:rsidR="00CD7C14" w:rsidRDefault="00CD7C14" w:rsidP="00CD7C14">
            <w:pPr>
              <w:pStyle w:val="NoSpacing"/>
              <w:ind w:left="284"/>
              <w:rPr>
                <w:rFonts w:cstheme="minorBidi"/>
              </w:rPr>
            </w:pPr>
          </w:p>
          <w:p w14:paraId="20E8DADA" w14:textId="77777777" w:rsidR="00520FAF" w:rsidRPr="000E59B4" w:rsidRDefault="000E59B4" w:rsidP="000E59B4">
            <w:pPr>
              <w:pStyle w:val="NoSpacing"/>
              <w:numPr>
                <w:ilvl w:val="0"/>
                <w:numId w:val="80"/>
              </w:numPr>
              <w:ind w:left="284" w:hanging="284"/>
              <w:rPr>
                <w:b/>
                <w:bCs/>
              </w:rPr>
            </w:pPr>
            <w:r w:rsidRPr="000E59B4">
              <w:rPr>
                <w:b/>
                <w:bCs/>
              </w:rPr>
              <w:t>T</w:t>
            </w:r>
            <w:r w:rsidR="00520FAF" w:rsidRPr="000E59B4">
              <w:rPr>
                <w:b/>
                <w:bCs/>
              </w:rPr>
              <w:t>he political marginalisation of organised agriculture</w:t>
            </w:r>
          </w:p>
          <w:p w14:paraId="2020A6C7" w14:textId="77777777" w:rsidR="00520FAF" w:rsidRDefault="00520FAF" w:rsidP="000E59B4">
            <w:pPr>
              <w:pStyle w:val="NoSpacing"/>
              <w:ind w:left="284"/>
              <w:rPr>
                <w:rFonts w:cstheme="minorBidi"/>
              </w:rPr>
            </w:pPr>
            <w:r>
              <w:t xml:space="preserve">Farmers and small businesses, which have been traditional LDP supporters, have shrunk in size, in economic significance and </w:t>
            </w:r>
            <w:r w:rsidR="007C2786">
              <w:t>their</w:t>
            </w:r>
            <w:r>
              <w:t xml:space="preserve"> electoral support.</w:t>
            </w:r>
          </w:p>
          <w:p w14:paraId="1FAAE202" w14:textId="77777777" w:rsidR="000E59B4" w:rsidRDefault="000E59B4" w:rsidP="000E59B4">
            <w:pPr>
              <w:pStyle w:val="NoSpacing"/>
            </w:pPr>
          </w:p>
          <w:p w14:paraId="79AD25AA" w14:textId="77777777" w:rsidR="00520FAF" w:rsidRPr="000E59B4" w:rsidRDefault="000E59B4" w:rsidP="000E59B4">
            <w:pPr>
              <w:pStyle w:val="NoSpacing"/>
              <w:numPr>
                <w:ilvl w:val="0"/>
                <w:numId w:val="80"/>
              </w:numPr>
              <w:ind w:left="284" w:hanging="284"/>
              <w:rPr>
                <w:b/>
                <w:bCs/>
              </w:rPr>
            </w:pPr>
            <w:r w:rsidRPr="000E59B4">
              <w:rPr>
                <w:b/>
                <w:bCs/>
              </w:rPr>
              <w:t>An</w:t>
            </w:r>
            <w:r w:rsidR="00520FAF" w:rsidRPr="000E59B4">
              <w:rPr>
                <w:b/>
                <w:bCs/>
              </w:rPr>
              <w:t xml:space="preserve"> aging society.</w:t>
            </w:r>
          </w:p>
          <w:p w14:paraId="028ADAC8" w14:textId="77777777" w:rsidR="00520FAF" w:rsidRDefault="00520FAF" w:rsidP="009620CE">
            <w:pPr>
              <w:pStyle w:val="NoSpacing"/>
              <w:ind w:left="284"/>
            </w:pPr>
            <w:r>
              <w:t xml:space="preserve">‘Demographic data shows that Japan would undergo substantial demand for retirement and health benefits by the early decades of </w:t>
            </w:r>
            <w:r w:rsidR="007C2786">
              <w:t xml:space="preserve">the </w:t>
            </w:r>
            <w:r>
              <w:t xml:space="preserve">twenty-first century’ (Pempel 1998 p.151). While Japan has had ‘a broad governmental bias against the creation of a European-style social welfare system’, it could not also simply rely on individual citizens or their families and companies (Pempel 1998 p.151). Japan needed to reconsider its traditional approach to </w:t>
            </w:r>
            <w:r w:rsidR="009620CE">
              <w:t>cope with</w:t>
            </w:r>
            <w:r>
              <w:t xml:space="preserve"> this emerging problem.</w:t>
            </w:r>
          </w:p>
          <w:p w14:paraId="23F7CD0D" w14:textId="77777777" w:rsidR="009620CE" w:rsidRPr="00E95A90" w:rsidRDefault="009620CE" w:rsidP="009620CE">
            <w:pPr>
              <w:pStyle w:val="NoSpacing"/>
              <w:rPr>
                <w:rFonts w:cstheme="minorBidi"/>
              </w:rPr>
            </w:pPr>
          </w:p>
        </w:tc>
      </w:tr>
    </w:tbl>
    <w:p w14:paraId="4118D780" w14:textId="77777777" w:rsidR="000423AB" w:rsidRDefault="000423AB" w:rsidP="000423AB"/>
    <w:p w14:paraId="71102C54" w14:textId="77777777" w:rsidR="000423AB" w:rsidRDefault="000423AB" w:rsidP="000423AB">
      <w:pPr>
        <w:ind w:firstLine="284"/>
      </w:pPr>
      <w:r>
        <w:t xml:space="preserve">Based on this </w:t>
      </w:r>
      <w:r w:rsidR="00E922FE">
        <w:rPr>
          <w:rFonts w:eastAsia="MS Mincho" w:hint="eastAsia"/>
          <w:lang w:eastAsia="ja-JP"/>
        </w:rPr>
        <w:t xml:space="preserve">set of </w:t>
      </w:r>
      <w:r>
        <w:t>observation</w:t>
      </w:r>
      <w:r w:rsidR="007C2786">
        <w:t>s</w:t>
      </w:r>
      <w:r>
        <w:t xml:space="preserve">, Pempel (2010) highlights the significance of the political change, such as the change of the electoral system and internal structural change of the LDP, as the force to change Japan’s structure. The government change in the 2009 Lower House general election can be an instance by which </w:t>
      </w:r>
      <w:r w:rsidR="00E922FE">
        <w:rPr>
          <w:rFonts w:eastAsia="MS Mincho" w:hint="eastAsia"/>
          <w:lang w:eastAsia="ja-JP"/>
        </w:rPr>
        <w:t xml:space="preserve">the </w:t>
      </w:r>
      <w:r>
        <w:t>LDP’s traditional internal structure could seem to have been exhausted (Pempel 2010 p.227-54). Pempel (2010) argue</w:t>
      </w:r>
      <w:r w:rsidR="00F12EC3">
        <w:rPr>
          <w:rFonts w:hint="eastAsia"/>
          <w:lang w:eastAsia="ja-JP"/>
        </w:rPr>
        <w:t>d</w:t>
      </w:r>
      <w:r>
        <w:t xml:space="preserve"> that </w:t>
      </w:r>
      <w:r w:rsidR="007C2786">
        <w:t xml:space="preserve">the </w:t>
      </w:r>
      <w:r>
        <w:t>two LDP factions, ‘productivity’ faction emphasising the economic growth and productivity (e.g. Ikeda Hayato, Kishi Nobusuke, Fukuda Takeo, Sato Eisaku) and ‘pork’ faction focusing on classic pork barrel politics and Keynesian spending (e.g. Kono Ichiro, Ohno Banboku, Tanaka Kakuei), conflict</w:t>
      </w:r>
      <w:r w:rsidR="005B02AD">
        <w:rPr>
          <w:rFonts w:hint="eastAsia"/>
          <w:lang w:eastAsia="ja-JP"/>
        </w:rPr>
        <w:t>ed</w:t>
      </w:r>
      <w:r>
        <w:t xml:space="preserve"> with each other and this division culminated in </w:t>
      </w:r>
      <w:r w:rsidR="00E922FE">
        <w:rPr>
          <w:rFonts w:eastAsia="MS Mincho" w:hint="eastAsia"/>
          <w:lang w:eastAsia="ja-JP"/>
        </w:rPr>
        <w:t xml:space="preserve">the </w:t>
      </w:r>
      <w:r>
        <w:t>LDP’s 2009 election defeat (Pempel 2010 p.252). Another perspective by Rosenbluth and Thies (2010) explains this election result as a conclusion of the Lower House electoral system change in 1994 from the SNTV electoral system to the Mixed-Member Majoritarian electoral system (MMM)</w:t>
      </w:r>
      <w:r>
        <w:rPr>
          <w:rStyle w:val="FootnoteReference"/>
        </w:rPr>
        <w:t xml:space="preserve"> </w:t>
      </w:r>
      <w:r>
        <w:rPr>
          <w:rStyle w:val="FootnoteReference"/>
        </w:rPr>
        <w:footnoteReference w:id="22"/>
      </w:r>
      <w:r>
        <w:t>. Under the MMM many single member district (SMD) seats</w:t>
      </w:r>
      <w:r>
        <w:rPr>
          <w:rFonts w:asciiTheme="majorBidi" w:hAnsiTheme="majorBidi" w:cstheme="majorBidi"/>
        </w:rPr>
        <w:t>, those in urban districts in particular, are volatile and swing (</w:t>
      </w:r>
      <w:r>
        <w:t xml:space="preserve">Rosenbluth and Thies 2010 p.187). Of the 100 most urban districts, the LDP beat the DPJ </w:t>
      </w:r>
      <w:r w:rsidR="007C2786">
        <w:t xml:space="preserve"> </w:t>
      </w:r>
      <w:r>
        <w:t xml:space="preserve">74 to 16 in 2005, but in 2009 the DPJ obtained 84 to 10 in return (Rosenbluth and Thies 2010 p.188). Because the voting results by the MMM </w:t>
      </w:r>
      <w:r w:rsidR="007C2786">
        <w:t>are</w:t>
      </w:r>
      <w:r>
        <w:t xml:space="preserve"> more volatile than by the previous SNTV electoral system, the majority party is more likely to significantly lose its seats in the next election (Rosenbluth and Thies 2010 p.187).  These accounts try to address a significant political event (2009 Lower House general election and the resulting government change) by focusing on the structure of the political party system.</w:t>
      </w:r>
    </w:p>
    <w:p w14:paraId="148182C3" w14:textId="77777777" w:rsidR="000423AB" w:rsidRDefault="000423AB" w:rsidP="000423AB">
      <w:pPr>
        <w:ind w:firstLine="284"/>
      </w:pPr>
      <w:r>
        <w:t xml:space="preserve">By pulling the above accounts together, it is possible to highlight the degree to which the structure and the power of key actors have been transformed in Japan. Vogel (1996) and Schaede (2000) highlight the decline of the bureaucracy as a traditional pilot actor with significant power. The change in the political arena, such as the electoral reform, has substantially affected the nature of the electoral contest. As Rosenbluth and Thies </w:t>
      </w:r>
      <w:r w:rsidR="00E922FE">
        <w:rPr>
          <w:rFonts w:eastAsia="MS Mincho" w:hint="eastAsia"/>
          <w:lang w:eastAsia="ja-JP"/>
        </w:rPr>
        <w:t>(</w:t>
      </w:r>
      <w:r>
        <w:t>2010) argue</w:t>
      </w:r>
      <w:r w:rsidR="00F12EC3">
        <w:rPr>
          <w:rFonts w:hint="eastAsia"/>
          <w:lang w:eastAsia="ja-JP"/>
        </w:rPr>
        <w:t>d</w:t>
      </w:r>
      <w:r>
        <w:t>, the government change in 2009 can be interpreted as the result of this electoral reform. The private sector actors, such as private firms, have obtained more freedom in management and responsibility (Vogel 2006). These changes embraced by actors have come with the transformation of structure. The relationships between actors changed, as well as the norm shared by actors. For example, private firms can no longer expect the support from bureaucracy when their project</w:t>
      </w:r>
      <w:r w:rsidR="00DC226D">
        <w:t>s</w:t>
      </w:r>
      <w:r>
        <w:t xml:space="preserve"> fail (Schaede 2008 p.30-1). This is a significant behavioural change of private firms, for they used to discuss their new projects with their relevant ministries with the expectation that those ministries would support the firms when the projects failed (Schaede 2008 p</w:t>
      </w:r>
      <w:r w:rsidR="00E32284">
        <w:rPr>
          <w:rFonts w:hint="eastAsia"/>
          <w:lang w:eastAsia="ja-JP"/>
        </w:rPr>
        <w:t>p</w:t>
      </w:r>
      <w:r>
        <w:t xml:space="preserve">.30-1). Now private firms must make a decision </w:t>
      </w:r>
      <w:r w:rsidR="00E922FE">
        <w:rPr>
          <w:rFonts w:eastAsia="MS Mincho" w:hint="eastAsia"/>
          <w:lang w:eastAsia="ja-JP"/>
        </w:rPr>
        <w:t>on</w:t>
      </w:r>
      <w:r>
        <w:t xml:space="preserve"> their project at their own risk. Such a behavioural change leads to the change of the relationship between ministries and private firms.</w:t>
      </w:r>
    </w:p>
    <w:p w14:paraId="47822A36" w14:textId="77777777" w:rsidR="000423AB" w:rsidRDefault="000423AB" w:rsidP="000423AB">
      <w:pPr>
        <w:ind w:firstLine="284"/>
      </w:pPr>
      <w:r>
        <w:t>What is missing here is the substantial exploration of state transformation</w:t>
      </w:r>
      <w:r w:rsidR="003E7F92">
        <w:rPr>
          <w:rFonts w:hint="eastAsia"/>
          <w:lang w:eastAsia="ja-JP"/>
        </w:rPr>
        <w:t xml:space="preserve"> at a macro level</w:t>
      </w:r>
      <w:r>
        <w:t xml:space="preserve">. </w:t>
      </w:r>
      <w:r>
        <w:rPr>
          <w:lang w:eastAsia="ja-JP"/>
        </w:rPr>
        <w:t>The</w:t>
      </w:r>
      <w:r>
        <w:t xml:space="preserve"> literature reviewed in this section focuses on micro events in the state and society</w:t>
      </w:r>
      <w:r>
        <w:rPr>
          <w:lang w:eastAsia="ja-JP"/>
        </w:rPr>
        <w:t>; in so doing</w:t>
      </w:r>
      <w:r>
        <w:t xml:space="preserve"> it has failed to capture the transforming state of Japan </w:t>
      </w:r>
      <w:r>
        <w:rPr>
          <w:lang w:eastAsia="ja-JP"/>
        </w:rPr>
        <w:t xml:space="preserve">at a </w:t>
      </w:r>
      <w:r>
        <w:t xml:space="preserve">macro level. </w:t>
      </w:r>
      <w:r>
        <w:rPr>
          <w:lang w:eastAsia="ja-JP"/>
        </w:rPr>
        <w:t>It is this lacuna in the literature that this thesis seeks to address</w:t>
      </w:r>
      <w:r>
        <w:t>.</w:t>
      </w:r>
    </w:p>
    <w:p w14:paraId="679A3C5F" w14:textId="77777777" w:rsidR="000423AB" w:rsidRDefault="000423AB" w:rsidP="000423AB"/>
    <w:p w14:paraId="230AF1CA" w14:textId="77777777" w:rsidR="000423AB" w:rsidRDefault="000423AB" w:rsidP="000423AB"/>
    <w:p w14:paraId="75EA8DB9" w14:textId="77777777" w:rsidR="000423AB" w:rsidRDefault="000423AB" w:rsidP="00050D4B">
      <w:pPr>
        <w:pStyle w:val="Heading2"/>
      </w:pPr>
      <w:bookmarkStart w:id="20" w:name="_Toc349741342"/>
      <w:r>
        <w:t>2.7</w:t>
      </w:r>
      <w:r>
        <w:tab/>
        <w:t>Conclusion</w:t>
      </w:r>
      <w:bookmarkEnd w:id="20"/>
    </w:p>
    <w:p w14:paraId="424BED04" w14:textId="77777777" w:rsidR="000423AB" w:rsidRDefault="000423AB" w:rsidP="00A329DE">
      <w:r>
        <w:t>What emerges from this review of the literature on the Japanese state is the extent to which Johnson’s (1982) model has shaped the account of all the different perspectives outlined above. The model of</w:t>
      </w:r>
      <w:r w:rsidR="00C015DA">
        <w:t xml:space="preserve"> the</w:t>
      </w:r>
      <w:r>
        <w:t xml:space="preserve"> developmental state has illuminated the strategic policy making of the Japanese state (see Table 2.</w:t>
      </w:r>
      <w:r w:rsidR="00A329DE">
        <w:t>7</w:t>
      </w:r>
      <w:r>
        <w:t xml:space="preserve">). One of the frequent criticisms (e.g. Calder 1993) is that Johnson (1982) overly focuses on the MITI. As Johnson (1982) along with others (e.g. Weiss 1998 pp.14-40) argues, the MITI has had a significant capacity and performed well in the field of industrial policy. However, the MITI is not part of the central apparatus of the Japanese state because its responsibilities (industrial policy making and implementation) do not contain the core function of state steering. Structurally powerful government ministries such as the MOF are not sufficiently addressed. In addition, Johnson’s (1982) original approach was outlined in 1982 and much has changed since then. Parallels </w:t>
      </w:r>
      <w:r w:rsidR="00E64B46">
        <w:rPr>
          <w:rFonts w:eastAsia="MS Mincho" w:hint="eastAsia"/>
          <w:lang w:eastAsia="ja-JP"/>
        </w:rPr>
        <w:t>to</w:t>
      </w:r>
      <w:r>
        <w:t xml:space="preserve"> Johnson (1982) can be identified in Vogel (1996), wh</w:t>
      </w:r>
      <w:r w:rsidR="00E64B46">
        <w:rPr>
          <w:rFonts w:eastAsia="MS Mincho" w:hint="eastAsia"/>
          <w:lang w:eastAsia="ja-JP"/>
        </w:rPr>
        <w:t>o</w:t>
      </w:r>
      <w:r>
        <w:t xml:space="preserve"> </w:t>
      </w:r>
      <w:r w:rsidR="00E64B46">
        <w:rPr>
          <w:rFonts w:eastAsia="MS Mincho" w:hint="eastAsia"/>
          <w:lang w:eastAsia="ja-JP"/>
        </w:rPr>
        <w:t>employs</w:t>
      </w:r>
      <w:r>
        <w:t xml:space="preserve"> an approach focusing on the state</w:t>
      </w:r>
      <w:r w:rsidR="00E64B46">
        <w:rPr>
          <w:rFonts w:eastAsia="MS Mincho" w:hint="eastAsia"/>
          <w:lang w:eastAsia="ja-JP"/>
        </w:rPr>
        <w:t xml:space="preserve"> actors and</w:t>
      </w:r>
      <w:r>
        <w:t xml:space="preserve"> regulatory reforms showing how the Japanese state inserted its will on the targeted industries such as telecommunications and financial services.</w:t>
      </w:r>
    </w:p>
    <w:p w14:paraId="75D08133" w14:textId="77777777" w:rsidR="000423AB" w:rsidRDefault="000423AB" w:rsidP="000423AB">
      <w:pPr>
        <w:ind w:firstLine="284"/>
      </w:pPr>
      <w:r>
        <w:t xml:space="preserve">Muramatsu and Krauss (1987) offer a detailed account of the relationship between party politicians and bureaucrats and regard the power of society (interest groups) more significantly. Their approach is located within a pluralist perspective and describes the increasing power of party (LDP) politicians. I’io (2007) offers a clearer </w:t>
      </w:r>
      <w:r w:rsidR="00BA328F">
        <w:rPr>
          <w:rFonts w:hint="eastAsia"/>
          <w:lang w:eastAsia="ja-JP"/>
        </w:rPr>
        <w:t xml:space="preserve">explanation on the </w:t>
      </w:r>
      <w:r>
        <w:t xml:space="preserve">relationship between LDP politicians and bureaucrats. </w:t>
      </w:r>
    </w:p>
    <w:p w14:paraId="5AF97E0F" w14:textId="77777777" w:rsidR="000423AB" w:rsidRDefault="000423AB" w:rsidP="000423AB">
      <w:pPr>
        <w:ind w:firstLine="284"/>
      </w:pPr>
      <w:r>
        <w:t xml:space="preserve">If one accounts for the fact that all three long term credit banks have either been sold and/or transformed to </w:t>
      </w:r>
      <w:r>
        <w:rPr>
          <w:lang w:eastAsia="ja-JP"/>
        </w:rPr>
        <w:t>standard</w:t>
      </w:r>
      <w:r>
        <w:t xml:space="preserve"> commercial banks</w:t>
      </w:r>
      <w:r>
        <w:rPr>
          <w:rStyle w:val="FootnoteReference"/>
        </w:rPr>
        <w:footnoteReference w:id="23"/>
      </w:r>
      <w:r>
        <w:t xml:space="preserve">, the main argument of Calder (1993) has had only </w:t>
      </w:r>
      <w:r w:rsidR="00C93C1F">
        <w:t xml:space="preserve">a </w:t>
      </w:r>
      <w:r>
        <w:t>limited impact on mainstream accounts of the Japanese economy. Nevertheless, its pluralist model offers a wider explanation about Japan’s government ministries.</w:t>
      </w:r>
    </w:p>
    <w:p w14:paraId="3065DB18" w14:textId="77777777" w:rsidR="000423AB" w:rsidRDefault="000423AB" w:rsidP="000423AB">
      <w:pPr>
        <w:ind w:firstLine="284"/>
      </w:pPr>
      <w:r>
        <w:t>Vogel (2006) and Schaede (2008) reflect on the recent changes that have taken place in Japan, focusing on the changes within the industry and corporate sectors. The government and the public sector are not their major focus and state transformation is partially described.</w:t>
      </w:r>
    </w:p>
    <w:p w14:paraId="4E92F2CC" w14:textId="77777777" w:rsidR="000423AB" w:rsidRDefault="000423AB" w:rsidP="000423AB">
      <w:pPr>
        <w:ind w:firstLine="284"/>
      </w:pPr>
    </w:p>
    <w:p w14:paraId="76795618" w14:textId="77777777" w:rsidR="000423AB" w:rsidRDefault="00A329DE" w:rsidP="00DA2E02">
      <w:pPr>
        <w:pStyle w:val="Heading4"/>
      </w:pPr>
      <w:r>
        <w:t>Table 2.7</w:t>
      </w:r>
      <w:r w:rsidR="000423AB">
        <w:t xml:space="preserve">: </w:t>
      </w:r>
      <w:r w:rsidR="00C015DA">
        <w:t xml:space="preserve">Summary </w:t>
      </w:r>
      <w:r w:rsidR="000423AB">
        <w:t>of the state and state transformation literature</w:t>
      </w:r>
    </w:p>
    <w:p w14:paraId="27E8DCB1" w14:textId="77777777" w:rsidR="000423AB" w:rsidRDefault="000423AB" w:rsidP="000423AB">
      <w:pPr>
        <w:pStyle w:val="NoSpacing"/>
      </w:pPr>
    </w:p>
    <w:tbl>
      <w:tblPr>
        <w:tblStyle w:val="TableGrid"/>
        <w:tblW w:w="9178" w:type="dxa"/>
        <w:tblInd w:w="108" w:type="dxa"/>
        <w:tblLayout w:type="fixed"/>
        <w:tblLook w:val="04A0" w:firstRow="1" w:lastRow="0" w:firstColumn="1" w:lastColumn="0" w:noHBand="0" w:noVBand="1"/>
      </w:tblPr>
      <w:tblGrid>
        <w:gridCol w:w="1276"/>
        <w:gridCol w:w="1418"/>
        <w:gridCol w:w="2976"/>
        <w:gridCol w:w="3508"/>
      </w:tblGrid>
      <w:tr w:rsidR="000423AB" w14:paraId="14EA5D4A" w14:textId="77777777" w:rsidTr="00A87F13">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pct15" w:color="auto" w:fill="auto"/>
            <w:hideMark/>
          </w:tcPr>
          <w:p w14:paraId="2B674373" w14:textId="77777777" w:rsidR="000423AB" w:rsidRDefault="000423AB">
            <w:pPr>
              <w:pStyle w:val="NoSpacing"/>
            </w:pPr>
            <w:r>
              <w:t>Literature</w:t>
            </w:r>
          </w:p>
        </w:tc>
        <w:tc>
          <w:tcPr>
            <w:tcW w:w="1418"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pct15" w:color="auto" w:fill="auto"/>
            <w:hideMark/>
          </w:tcPr>
          <w:p w14:paraId="339361C1" w14:textId="77777777" w:rsidR="000423AB" w:rsidRDefault="00C015DA">
            <w:pPr>
              <w:pStyle w:val="NoSpacing"/>
            </w:pPr>
            <w:r>
              <w:t>Approach</w:t>
            </w:r>
          </w:p>
        </w:tc>
        <w:tc>
          <w:tcPr>
            <w:tcW w:w="29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pct15" w:color="auto" w:fill="auto"/>
            <w:hideMark/>
          </w:tcPr>
          <w:p w14:paraId="3819EDD3" w14:textId="77777777" w:rsidR="000423AB" w:rsidRDefault="000423AB">
            <w:pPr>
              <w:pStyle w:val="NoSpacing"/>
            </w:pPr>
            <w:r>
              <w:t>Description of the state</w:t>
            </w:r>
          </w:p>
        </w:tc>
        <w:tc>
          <w:tcPr>
            <w:tcW w:w="3508"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pct15" w:color="auto" w:fill="auto"/>
            <w:hideMark/>
          </w:tcPr>
          <w:p w14:paraId="55C580C8" w14:textId="77777777" w:rsidR="000423AB" w:rsidRDefault="000423AB">
            <w:pPr>
              <w:pStyle w:val="NoSpacing"/>
            </w:pPr>
            <w:r>
              <w:t>State transformation</w:t>
            </w:r>
          </w:p>
        </w:tc>
      </w:tr>
      <w:tr w:rsidR="000423AB" w14:paraId="47FDA4FF" w14:textId="77777777" w:rsidTr="00A87F13">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7E09912F" w14:textId="77777777" w:rsidR="000423AB" w:rsidRDefault="000423AB">
            <w:pPr>
              <w:pStyle w:val="NoSpacing"/>
            </w:pPr>
            <w:r>
              <w:t>Johnson 1982</w:t>
            </w:r>
          </w:p>
        </w:tc>
        <w:tc>
          <w:tcPr>
            <w:tcW w:w="1418"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5013A5D8" w14:textId="77777777" w:rsidR="000423AB" w:rsidRDefault="000423AB">
            <w:pPr>
              <w:pStyle w:val="NoSpacing"/>
            </w:pPr>
            <w:r>
              <w:t>State centric</w:t>
            </w:r>
          </w:p>
        </w:tc>
        <w:tc>
          <w:tcPr>
            <w:tcW w:w="2976"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1CCE2D5B" w14:textId="6FD8CF69" w:rsidR="000423AB" w:rsidRDefault="000423AB" w:rsidP="00F62EA6">
            <w:pPr>
              <w:pStyle w:val="NoSpacing"/>
            </w:pPr>
            <w:r>
              <w:t>The state led by the MITI with the ‘</w:t>
            </w:r>
            <w:r w:rsidR="00F62EA6">
              <w:t>safety</w:t>
            </w:r>
            <w:r>
              <w:t xml:space="preserve"> valve’ of politicians. Interest groups are insignificant</w:t>
            </w:r>
          </w:p>
        </w:tc>
        <w:tc>
          <w:tcPr>
            <w:tcW w:w="3508"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2CAEC664" w14:textId="77777777" w:rsidR="000423AB" w:rsidRDefault="000423AB">
            <w:pPr>
              <w:pStyle w:val="NoSpacing"/>
            </w:pPr>
            <w:r>
              <w:t>Transformed to the MITI led developmental state</w:t>
            </w:r>
          </w:p>
        </w:tc>
      </w:tr>
      <w:tr w:rsidR="000423AB" w14:paraId="0F9CE032" w14:textId="77777777" w:rsidTr="00A87F1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FAD17" w14:textId="77777777" w:rsidR="000423AB" w:rsidRDefault="000423AB">
            <w:pPr>
              <w:pStyle w:val="NoSpacing"/>
              <w:rPr>
                <w:rFonts w:cstheme="minorBidi"/>
              </w:rPr>
            </w:pPr>
            <w:r>
              <w:t>Muramatsu/Krauss</w:t>
            </w:r>
          </w:p>
          <w:p w14:paraId="36903F1F" w14:textId="77777777" w:rsidR="000423AB" w:rsidRDefault="000423AB">
            <w:pPr>
              <w:pStyle w:val="NoSpacing"/>
            </w:pPr>
            <w:r>
              <w:t>1987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25417" w14:textId="77777777" w:rsidR="000423AB" w:rsidRDefault="000423AB">
            <w:pPr>
              <w:pStyle w:val="NoSpacing"/>
            </w:pPr>
            <w:r>
              <w:t>Pluralist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0C94D" w14:textId="77777777" w:rsidR="000423AB" w:rsidRDefault="000423AB">
            <w:pPr>
              <w:pStyle w:val="NoSpacing"/>
            </w:pPr>
            <w:r>
              <w:t xml:space="preserve">The state is penetrated by interest groups. </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76BBB" w14:textId="77777777" w:rsidR="000423AB" w:rsidRDefault="000423AB">
            <w:pPr>
              <w:pStyle w:val="NoSpacing"/>
            </w:pPr>
            <w:r>
              <w:t>Inside the state LDP’s power is growing. Bureaucrats are gradually losing influence.</w:t>
            </w:r>
          </w:p>
        </w:tc>
      </w:tr>
      <w:tr w:rsidR="000423AB" w14:paraId="288D9161" w14:textId="77777777" w:rsidTr="00A87F1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18A00" w14:textId="77777777" w:rsidR="000423AB" w:rsidRDefault="000423AB">
            <w:pPr>
              <w:pStyle w:val="NoSpacing"/>
              <w:rPr>
                <w:rFonts w:cstheme="minorBidi"/>
              </w:rPr>
            </w:pPr>
            <w:r>
              <w:t xml:space="preserve">Calder </w:t>
            </w:r>
          </w:p>
          <w:p w14:paraId="2327DF71" w14:textId="77777777" w:rsidR="000423AB" w:rsidRDefault="000423AB">
            <w:pPr>
              <w:pStyle w:val="NoSpacing"/>
            </w:pPr>
            <w:r>
              <w:t>1993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3C9CB" w14:textId="77777777" w:rsidR="000423AB" w:rsidRDefault="000423AB">
            <w:pPr>
              <w:pStyle w:val="NoSpacing"/>
            </w:pPr>
            <w:r>
              <w:t>Pluralist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13F1F" w14:textId="77777777" w:rsidR="000423AB" w:rsidRDefault="000423AB">
            <w:pPr>
              <w:pStyle w:val="NoSpacing"/>
            </w:pPr>
            <w:r>
              <w:t>The state is a pluralist theatre where actors struggle to formulate policies. LTCBs are key for the development.</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F61F4" w14:textId="77777777" w:rsidR="000423AB" w:rsidRDefault="000423AB">
            <w:pPr>
              <w:pStyle w:val="NoSpacing"/>
              <w:rPr>
                <w:rFonts w:eastAsia="MS Mincho"/>
                <w:lang w:eastAsia="ja-JP"/>
              </w:rPr>
            </w:pPr>
          </w:p>
        </w:tc>
      </w:tr>
      <w:tr w:rsidR="000423AB" w14:paraId="12413C7B" w14:textId="77777777" w:rsidTr="00A87F1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EF181" w14:textId="77777777" w:rsidR="000423AB" w:rsidRDefault="000423AB">
            <w:pPr>
              <w:pStyle w:val="NoSpacing"/>
            </w:pPr>
            <w:r>
              <w:t>Ramseyer /Rosenbluth 1993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3D5B5" w14:textId="77777777" w:rsidR="000423AB" w:rsidRDefault="000423AB">
            <w:pPr>
              <w:pStyle w:val="NoSpacing"/>
              <w:rPr>
                <w:rFonts w:eastAsia="MS Mincho"/>
                <w:lang w:eastAsia="ja-JP"/>
              </w:rPr>
            </w:pPr>
            <w:r>
              <w:rPr>
                <w:rFonts w:eastAsia="MS Mincho"/>
                <w:lang w:eastAsia="ja-JP"/>
              </w:rPr>
              <w:t>Rational Choice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A2D30" w14:textId="77777777" w:rsidR="000423AB" w:rsidRDefault="000423AB">
            <w:pPr>
              <w:pStyle w:val="NoSpacing"/>
            </w:pPr>
            <w:r>
              <w:t>LDP as the principal utilises bureaucrats as the agent.</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45943" w14:textId="77777777" w:rsidR="000423AB" w:rsidRDefault="000423AB" w:rsidP="003E7B31">
            <w:pPr>
              <w:pStyle w:val="NoSpacing"/>
              <w:rPr>
                <w:rFonts w:eastAsia="MS Mincho"/>
                <w:lang w:eastAsia="ja-JP"/>
              </w:rPr>
            </w:pPr>
            <w:r>
              <w:rPr>
                <w:rFonts w:eastAsia="MS Mincho"/>
                <w:lang w:eastAsia="ja-JP"/>
              </w:rPr>
              <w:t xml:space="preserve">The </w:t>
            </w:r>
            <w:r w:rsidR="003E7B31">
              <w:rPr>
                <w:rFonts w:eastAsia="MS Mincho" w:hint="eastAsia"/>
                <w:lang w:eastAsia="ja-JP"/>
              </w:rPr>
              <w:t xml:space="preserve">electoral system </w:t>
            </w:r>
            <w:r>
              <w:rPr>
                <w:rFonts w:eastAsia="MS Mincho"/>
                <w:lang w:eastAsia="ja-JP"/>
              </w:rPr>
              <w:t>change</w:t>
            </w:r>
            <w:r w:rsidR="003E7B31">
              <w:rPr>
                <w:rFonts w:eastAsia="MS Mincho" w:hint="eastAsia"/>
                <w:lang w:eastAsia="ja-JP"/>
              </w:rPr>
              <w:t>d</w:t>
            </w:r>
            <w:r>
              <w:rPr>
                <w:rFonts w:eastAsia="MS Mincho"/>
                <w:lang w:eastAsia="ja-JP"/>
              </w:rPr>
              <w:t xml:space="preserve"> to cope with emerging urban voters. </w:t>
            </w:r>
            <w:r w:rsidR="003E7B31">
              <w:rPr>
                <w:rFonts w:eastAsia="MS Mincho" w:hint="eastAsia"/>
                <w:lang w:eastAsia="ja-JP"/>
              </w:rPr>
              <w:t>T</w:t>
            </w:r>
            <w:r>
              <w:rPr>
                <w:rFonts w:eastAsia="MS Mincho"/>
                <w:lang w:eastAsia="ja-JP"/>
              </w:rPr>
              <w:t>raditional interest groups</w:t>
            </w:r>
            <w:r w:rsidR="003E7B31">
              <w:rPr>
                <w:rFonts w:eastAsia="MS Mincho" w:hint="eastAsia"/>
                <w:lang w:eastAsia="ja-JP"/>
              </w:rPr>
              <w:t xml:space="preserve"> declined</w:t>
            </w:r>
            <w:r>
              <w:rPr>
                <w:rFonts w:eastAsia="MS Mincho"/>
                <w:lang w:eastAsia="ja-JP"/>
              </w:rPr>
              <w:t>.</w:t>
            </w:r>
          </w:p>
        </w:tc>
      </w:tr>
      <w:tr w:rsidR="000423AB" w14:paraId="14D9965E" w14:textId="77777777" w:rsidTr="00A87F1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9E5B1" w14:textId="77777777" w:rsidR="000423AB" w:rsidRDefault="000423AB">
            <w:pPr>
              <w:pStyle w:val="NoSpacing"/>
            </w:pPr>
            <w:r>
              <w:t>Pempel 1998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D9B2E" w14:textId="77777777" w:rsidR="000423AB" w:rsidRDefault="000423AB">
            <w:pPr>
              <w:pStyle w:val="NoSpacing"/>
              <w:rPr>
                <w:rFonts w:eastAsia="MS Mincho"/>
                <w:lang w:eastAsia="ja-JP"/>
              </w:rPr>
            </w:pPr>
            <w:r>
              <w:rPr>
                <w:lang w:eastAsia="ja-JP"/>
              </w:rPr>
              <w:t>Comparative Politics /Pluralist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71280" w14:textId="77777777" w:rsidR="000423AB" w:rsidRDefault="000423AB" w:rsidP="00B83D6F">
            <w:pPr>
              <w:pStyle w:val="NoSpacing"/>
            </w:pPr>
            <w:r>
              <w:t>A group of actors including the LDP and bureaucrats</w:t>
            </w:r>
            <w:r w:rsidR="00B83D6F">
              <w:rPr>
                <w:rFonts w:hint="eastAsia"/>
                <w:lang w:eastAsia="ja-JP"/>
              </w:rPr>
              <w:t>; it</w:t>
            </w:r>
            <w:r>
              <w:t xml:space="preserve"> ha</w:t>
            </w:r>
            <w:r w:rsidR="00B83D6F">
              <w:rPr>
                <w:rFonts w:hint="eastAsia"/>
                <w:lang w:eastAsia="ja-JP"/>
              </w:rPr>
              <w:t>s</w:t>
            </w:r>
            <w:r>
              <w:t xml:space="preserve"> </w:t>
            </w:r>
            <w:r w:rsidR="00870EBB">
              <w:t xml:space="preserve">a </w:t>
            </w:r>
            <w:r>
              <w:t>complicated relationship with societal actors such as interest groups.</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D635B" w14:textId="77777777" w:rsidR="000423AB" w:rsidRDefault="000423AB">
            <w:pPr>
              <w:pStyle w:val="NoSpacing"/>
              <w:rPr>
                <w:lang w:eastAsia="ja-JP"/>
              </w:rPr>
            </w:pPr>
            <w:r>
              <w:rPr>
                <w:lang w:eastAsia="ja-JP"/>
              </w:rPr>
              <w:t xml:space="preserve">Japan’s regime has shifted from </w:t>
            </w:r>
            <w:r w:rsidR="00870EBB">
              <w:rPr>
                <w:lang w:eastAsia="ja-JP"/>
              </w:rPr>
              <w:t>one</w:t>
            </w:r>
            <w:r>
              <w:rPr>
                <w:lang w:eastAsia="ja-JP"/>
              </w:rPr>
              <w:t xml:space="preserve"> based on agriculture and small businesses to </w:t>
            </w:r>
            <w:r w:rsidR="00870EBB">
              <w:rPr>
                <w:lang w:eastAsia="ja-JP"/>
              </w:rPr>
              <w:t>one</w:t>
            </w:r>
            <w:r>
              <w:rPr>
                <w:lang w:eastAsia="ja-JP"/>
              </w:rPr>
              <w:t xml:space="preserve"> reliant on urban voters</w:t>
            </w:r>
            <w:r w:rsidR="00B83D6F">
              <w:rPr>
                <w:rFonts w:hint="eastAsia"/>
                <w:lang w:eastAsia="ja-JP"/>
              </w:rPr>
              <w:t>.</w:t>
            </w:r>
          </w:p>
        </w:tc>
      </w:tr>
      <w:tr w:rsidR="000423AB" w14:paraId="7BAC940B" w14:textId="77777777" w:rsidTr="00A87F1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A6332" w14:textId="77777777" w:rsidR="000423AB" w:rsidRDefault="000423AB">
            <w:pPr>
              <w:pStyle w:val="NoSpacing"/>
            </w:pPr>
            <w:r>
              <w:t>Vogel 1996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C6734" w14:textId="77777777" w:rsidR="000423AB" w:rsidRDefault="000423AB">
            <w:pPr>
              <w:pStyle w:val="NoSpacing"/>
              <w:rPr>
                <w:rFonts w:eastAsia="MS Mincho"/>
                <w:lang w:eastAsia="ja-JP"/>
              </w:rPr>
            </w:pPr>
            <w:r>
              <w:rPr>
                <w:rFonts w:eastAsia="MS Mincho"/>
                <w:lang w:eastAsia="ja-JP"/>
              </w:rPr>
              <w:t>State centric</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02169" w14:textId="77777777" w:rsidR="000423AB" w:rsidRDefault="000423AB">
            <w:pPr>
              <w:pStyle w:val="NoSpacing"/>
            </w:pPr>
            <w:r>
              <w:t>Party politicians and bureaucrats collectively worked to realise regulatory reforms.</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EAC17" w14:textId="77777777" w:rsidR="000423AB" w:rsidRDefault="000423AB">
            <w:pPr>
              <w:pStyle w:val="NoSpacing"/>
              <w:rPr>
                <w:rFonts w:eastAsia="MS Mincho"/>
                <w:lang w:eastAsia="ja-JP"/>
              </w:rPr>
            </w:pPr>
            <w:r>
              <w:rPr>
                <w:rFonts w:eastAsia="MS Mincho"/>
                <w:lang w:eastAsia="ja-JP"/>
              </w:rPr>
              <w:t>The state has inserted its initiative through its regulatory policy instruments.</w:t>
            </w:r>
          </w:p>
        </w:tc>
      </w:tr>
      <w:tr w:rsidR="000423AB" w14:paraId="33E4BCD1" w14:textId="77777777" w:rsidTr="00A87F1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851D9" w14:textId="77777777" w:rsidR="000423AB" w:rsidRDefault="000423AB">
            <w:pPr>
              <w:pStyle w:val="NoSpacing"/>
            </w:pPr>
            <w:r>
              <w:t>Schaede 2000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8C262" w14:textId="77777777" w:rsidR="000423AB" w:rsidRDefault="000423AB">
            <w:pPr>
              <w:pStyle w:val="NoSpacing"/>
              <w:rPr>
                <w:rFonts w:eastAsia="MS Mincho"/>
                <w:lang w:eastAsia="ja-JP"/>
              </w:rPr>
            </w:pPr>
            <w:r>
              <w:rPr>
                <w:rFonts w:eastAsia="MS Mincho"/>
                <w:lang w:eastAsia="ja-JP"/>
              </w:rPr>
              <w:t>Pluralist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5E732" w14:textId="77777777" w:rsidR="000423AB" w:rsidRDefault="000423AB">
            <w:pPr>
              <w:pStyle w:val="NoSpacing"/>
            </w:pPr>
            <w:r>
              <w:t>The state has gradually lost its control over industries.</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3287B" w14:textId="77777777" w:rsidR="000423AB" w:rsidRDefault="000423AB">
            <w:pPr>
              <w:pStyle w:val="NoSpacing"/>
              <w:rPr>
                <w:rFonts w:eastAsia="MS Mincho"/>
                <w:lang w:eastAsia="ja-JP"/>
              </w:rPr>
            </w:pPr>
            <w:r>
              <w:rPr>
                <w:rFonts w:eastAsia="MS Mincho"/>
                <w:lang w:eastAsia="ja-JP"/>
              </w:rPr>
              <w:t>The state is losing it traditional grip. This power void is exploited by self-regulation.</w:t>
            </w:r>
          </w:p>
        </w:tc>
      </w:tr>
      <w:tr w:rsidR="000423AB" w14:paraId="5158ACAA" w14:textId="77777777" w:rsidTr="00A87F1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C785D" w14:textId="77777777" w:rsidR="000423AB" w:rsidRDefault="000423AB">
            <w:pPr>
              <w:pStyle w:val="NoSpacing"/>
            </w:pPr>
            <w:r>
              <w:t>Vogel 2006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26AD7" w14:textId="77777777" w:rsidR="000423AB" w:rsidRDefault="000423AB">
            <w:pPr>
              <w:pStyle w:val="NoSpacing"/>
            </w:pPr>
            <w:r>
              <w:t>Institutional economics (private firms focused)</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998E3" w14:textId="77777777" w:rsidR="000423AB" w:rsidRDefault="000423AB" w:rsidP="00384254">
            <w:pPr>
              <w:pStyle w:val="NoSpacing"/>
            </w:pPr>
            <w:r>
              <w:t xml:space="preserve">Partial. The state is described as an element of reform processes and is not </w:t>
            </w:r>
            <w:r w:rsidR="00384254">
              <w:rPr>
                <w:rFonts w:hint="eastAsia"/>
                <w:lang w:eastAsia="ja-JP"/>
              </w:rPr>
              <w:t>addressed</w:t>
            </w:r>
            <w:r>
              <w:t xml:space="preserve"> as a core theme.</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B340D" w14:textId="77777777" w:rsidR="000423AB" w:rsidRDefault="000423AB">
            <w:pPr>
              <w:pStyle w:val="NoSpacing"/>
            </w:pPr>
            <w:r>
              <w:t xml:space="preserve">The state is losing its authority in </w:t>
            </w:r>
            <w:r w:rsidR="00870EBB">
              <w:t xml:space="preserve">the </w:t>
            </w:r>
            <w:r>
              <w:t>economy. It has gradually abandoned industrial policy and embraced liberal reforms.</w:t>
            </w:r>
          </w:p>
        </w:tc>
      </w:tr>
      <w:tr w:rsidR="000423AB" w14:paraId="2B3B932F" w14:textId="77777777" w:rsidTr="00A87F1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4DCB5" w14:textId="77777777" w:rsidR="000423AB" w:rsidRDefault="000423AB">
            <w:pPr>
              <w:pStyle w:val="NoSpacing"/>
            </w:pPr>
            <w:r>
              <w:t>I’io 2007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3FB9F" w14:textId="77777777" w:rsidR="000423AB" w:rsidRDefault="000423AB">
            <w:pPr>
              <w:pStyle w:val="NoSpacing"/>
            </w:pPr>
            <w:r>
              <w:t>Leaning to pluralist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8E3DE" w14:textId="77777777" w:rsidR="000423AB" w:rsidRDefault="000423AB">
            <w:pPr>
              <w:pStyle w:val="NoSpacing"/>
            </w:pPr>
            <w:r>
              <w:t>Politicians act as a representative of government ministries (bureaucrats)</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AA513" w14:textId="77777777" w:rsidR="000423AB" w:rsidRDefault="00870EBB">
            <w:pPr>
              <w:pStyle w:val="NoSpacing"/>
            </w:pPr>
            <w:r>
              <w:t xml:space="preserve">The </w:t>
            </w:r>
            <w:r w:rsidR="000423AB">
              <w:t xml:space="preserve">Prime Minister has strengthened </w:t>
            </w:r>
            <w:r>
              <w:t>their</w:t>
            </w:r>
            <w:r w:rsidR="000423AB">
              <w:t xml:space="preserve"> power and responsibility. </w:t>
            </w:r>
          </w:p>
        </w:tc>
      </w:tr>
      <w:tr w:rsidR="000423AB" w14:paraId="00C2ED8F" w14:textId="77777777" w:rsidTr="00A87F1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A3E47" w14:textId="77777777" w:rsidR="000423AB" w:rsidRDefault="000423AB">
            <w:pPr>
              <w:pStyle w:val="NoSpacing"/>
              <w:rPr>
                <w:rFonts w:cstheme="minorBidi"/>
              </w:rPr>
            </w:pPr>
            <w:r>
              <w:t>Schaede</w:t>
            </w:r>
          </w:p>
          <w:p w14:paraId="7D83F937" w14:textId="77777777" w:rsidR="000423AB" w:rsidRDefault="000423AB">
            <w:pPr>
              <w:pStyle w:val="NoSpacing"/>
            </w:pPr>
            <w:r>
              <w:t>2008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CA180" w14:textId="77777777" w:rsidR="000423AB" w:rsidRDefault="000423AB">
            <w:pPr>
              <w:pStyle w:val="NoSpacing"/>
            </w:pPr>
            <w:r>
              <w:t>Pluralist (Not clearly mentioned. private firms focused)</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C8257" w14:textId="77777777" w:rsidR="000423AB" w:rsidRDefault="000423AB">
            <w:pPr>
              <w:pStyle w:val="NoSpacing"/>
            </w:pPr>
            <w:r>
              <w:t>Partial. The state is described as an actor behind the transformation of private firms.</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13173" w14:textId="77777777" w:rsidR="000423AB" w:rsidRDefault="000423AB">
            <w:pPr>
              <w:pStyle w:val="NoSpacing"/>
            </w:pPr>
            <w:r>
              <w:t>The state is losing its traditional authority over the industry. Drastic regulatory reforms are implemented.</w:t>
            </w:r>
          </w:p>
        </w:tc>
      </w:tr>
      <w:tr w:rsidR="000423AB" w14:paraId="07FF3AE5" w14:textId="77777777" w:rsidTr="00A87F1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04630" w14:textId="77777777" w:rsidR="000423AB" w:rsidRDefault="000423AB">
            <w:pPr>
              <w:pStyle w:val="NoSpacing"/>
            </w:pPr>
            <w:r>
              <w:t>Rosenbluth/Thies 2010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184F7" w14:textId="77777777" w:rsidR="000423AB" w:rsidRDefault="000423AB">
            <w:pPr>
              <w:pStyle w:val="NoSpacing"/>
            </w:pPr>
            <w:r>
              <w:t>Rational Choice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6E1C1" w14:textId="77777777" w:rsidR="000423AB" w:rsidRDefault="000423AB">
            <w:pPr>
              <w:pStyle w:val="NoSpacing"/>
            </w:pPr>
            <w:r>
              <w:t>The LDP controls the state machinery. The state acted so that the LDP election machine could generate the maximum electoral results.</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F83C6" w14:textId="77777777" w:rsidR="000423AB" w:rsidRDefault="000423AB" w:rsidP="00A217C9">
            <w:pPr>
              <w:pStyle w:val="NoSpacing"/>
            </w:pPr>
            <w:r>
              <w:t xml:space="preserve">The </w:t>
            </w:r>
            <w:r w:rsidR="00A217C9">
              <w:rPr>
                <w:rFonts w:hint="eastAsia"/>
                <w:lang w:eastAsia="ja-JP"/>
              </w:rPr>
              <w:t xml:space="preserve">1994 </w:t>
            </w:r>
            <w:r>
              <w:t>electoral reforms changed the Diet and the state. The LDP has been switching its support basis to more productive industries and urban voter</w:t>
            </w:r>
            <w:r w:rsidR="00870EBB">
              <w:t>s</w:t>
            </w:r>
            <w:r>
              <w:t xml:space="preserve"> from obsolete industries and interest groups.</w:t>
            </w:r>
          </w:p>
        </w:tc>
      </w:tr>
    </w:tbl>
    <w:p w14:paraId="65830F3F" w14:textId="77777777" w:rsidR="000423AB" w:rsidRDefault="000423AB" w:rsidP="000423AB">
      <w:pPr>
        <w:pStyle w:val="NoSpacing"/>
        <w:rPr>
          <w:rFonts w:cstheme="minorBidi"/>
        </w:rPr>
      </w:pPr>
    </w:p>
    <w:p w14:paraId="6CD7A4F5" w14:textId="77777777" w:rsidR="000423AB" w:rsidRDefault="000423AB" w:rsidP="000423AB">
      <w:pPr>
        <w:ind w:firstLine="284"/>
      </w:pPr>
      <w:r>
        <w:t>Most of the literature about Japan reviewed here tends to focus on actors in the political arena, eschewing accounts that seek to analyse the relationship between the state and society. In Johnson’s (1982) developmental state model, the key actor is Japan’s economic bureaucrats, in particular the MITI. Although Muramatsu and Krauss (1987) recognise the increasing importance of party politicians (in particular those of the LDP), bureaucracy continues to be identified as the dominant actor. This literature seeks to highlight the transformation of the Japanese state in terms of a gradual shift in power from bureaucrats to party politicians. In so doing, it challenges the notion of bureaucratic domination (I’io 2007 p.37). The pluralist literature illuminates the role of other state actors such as party politicians (Muramatsu and Krauss 1987) and societal actors such as major financial institutions (long term credit banks: Calder 1993), interest groups (Pempel 1998), and trade associations (Schaede 2000).</w:t>
      </w:r>
    </w:p>
    <w:p w14:paraId="27E04105" w14:textId="77777777" w:rsidR="000423AB" w:rsidRDefault="000423AB" w:rsidP="000423AB">
      <w:pPr>
        <w:ind w:firstLine="284"/>
      </w:pPr>
      <w:r>
        <w:t>Th</w:t>
      </w:r>
      <w:r w:rsidR="00B72896">
        <w:rPr>
          <w:rFonts w:hint="eastAsia"/>
          <w:lang w:eastAsia="ja-JP"/>
        </w:rPr>
        <w:t>e</w:t>
      </w:r>
      <w:r>
        <w:t xml:space="preserve"> pluralist literature has dominated accounts from within Japa</w:t>
      </w:r>
      <w:r w:rsidR="00C015DA">
        <w:t>nese</w:t>
      </w:r>
      <w:r>
        <w:t xml:space="preserve"> political science since the late 1970s as the major approach to explain Japan’s democracy (I’io 2007 p.37-8). A pluralist approach to explore the political change is not free from the criticism of the pluralist literature in general (Smith 2006</w:t>
      </w:r>
      <w:r>
        <w:rPr>
          <w:bCs/>
        </w:rPr>
        <w:t xml:space="preserve"> pp.36-7)</w:t>
      </w:r>
      <w:r>
        <w:t xml:space="preserve">; it fails to </w:t>
      </w:r>
      <w:r w:rsidR="00EF23A0">
        <w:rPr>
          <w:rFonts w:hint="eastAsia"/>
          <w:lang w:eastAsia="ja-JP"/>
        </w:rPr>
        <w:t xml:space="preserve">problematise and </w:t>
      </w:r>
      <w:r>
        <w:t xml:space="preserve">analyse the Japanese state at the macro level. </w:t>
      </w:r>
      <w:r>
        <w:rPr>
          <w:bCs/>
        </w:rPr>
        <w:t xml:space="preserve">Because the pluralist literature focuses on groups and implicitly assumes that ‘the state is a neutral arena for groups’, it struggles to </w:t>
      </w:r>
      <w:r w:rsidR="00EF23A0">
        <w:rPr>
          <w:rFonts w:hint="eastAsia"/>
          <w:bCs/>
          <w:lang w:eastAsia="ja-JP"/>
        </w:rPr>
        <w:t>address</w:t>
      </w:r>
      <w:r>
        <w:rPr>
          <w:bCs/>
        </w:rPr>
        <w:t xml:space="preserve"> the state and state power at </w:t>
      </w:r>
      <w:r w:rsidR="00BB2BBA">
        <w:rPr>
          <w:rFonts w:eastAsia="MS Mincho" w:hint="eastAsia"/>
          <w:bCs/>
          <w:lang w:eastAsia="ja-JP"/>
        </w:rPr>
        <w:t xml:space="preserve">a </w:t>
      </w:r>
      <w:r>
        <w:rPr>
          <w:bCs/>
        </w:rPr>
        <w:t>macro level (Smith 2006 p. 37).</w:t>
      </w:r>
      <w:r w:rsidR="00870EBB">
        <w:rPr>
          <w:bCs/>
        </w:rPr>
        <w:t xml:space="preserve"> </w:t>
      </w:r>
      <w:r>
        <w:t>The change is explained as the collection of the micro level events of both state and societal actors and structure. The description and analyses of the state and societal actors are conflated as Pempel’s (1998) regime model shows. The change of the state is not deliberately drawn. In other words, the pluralist literature does not regard the transformation of the state as key because transformation takes place in what Calder (1993 p.14) described as ‘a pluralist theatre’. As noted above, the rational choice theory literature does not offer a remedy for this shortcoming of the pluralist literature, because its analytical focus is on the actors (Elster (1989 p.22) in Ward (2002 p.65)). The rational choice literature requires exogenous premises to illuminate the change of structure (Ward 2002 p.88). Also, its methodological individualism and deductive explanations do not cope with accounts exploring state transformation at the macro level, because like the pluralist literature it does not explore macro level subjects such as the transformation of the state. What it generates is the aggregation drawn at micro level enquiries.</w:t>
      </w:r>
    </w:p>
    <w:p w14:paraId="612B1396" w14:textId="77777777" w:rsidR="000423AB" w:rsidRDefault="000423AB" w:rsidP="000423AB">
      <w:pPr>
        <w:ind w:firstLine="284"/>
      </w:pPr>
      <w:r>
        <w:t xml:space="preserve">Given the explanation within the pluralist literature on group behaviour, it has struggled to capture the way the Japanese state has been developed after the end of the developmental state. Instead its focus has been predominantly on how </w:t>
      </w:r>
      <w:r w:rsidR="00F96FB9">
        <w:rPr>
          <w:rFonts w:hint="eastAsia"/>
          <w:lang w:eastAsia="ja-JP"/>
        </w:rPr>
        <w:t>actors</w:t>
      </w:r>
      <w:r w:rsidR="00F96FB9">
        <w:rPr>
          <w:lang w:eastAsia="ja-JP"/>
        </w:rPr>
        <w:t>’</w:t>
      </w:r>
      <w:r>
        <w:t xml:space="preserve"> power and relationships with other actors have changed.</w:t>
      </w:r>
    </w:p>
    <w:p w14:paraId="4C9B593A" w14:textId="77777777" w:rsidR="000423AB" w:rsidRDefault="000423AB" w:rsidP="000423AB">
      <w:pPr>
        <w:ind w:firstLine="284"/>
      </w:pPr>
      <w:r>
        <w:t xml:space="preserve">The shortcoming of the pluralist perspective reveals that the mainstream pluralist literature </w:t>
      </w:r>
      <w:r w:rsidR="00B55AF1">
        <w:rPr>
          <w:rFonts w:hint="eastAsia"/>
          <w:lang w:eastAsia="ja-JP"/>
        </w:rPr>
        <w:t>on</w:t>
      </w:r>
      <w:r>
        <w:t xml:space="preserve"> Japan has not offered an account effectively exploring the transformation of the Japanese state. The emergence of rational choice accounts has not filled this lacuna, because they also fail to analyse the state at the macro level. This thesis seeks to fill this lacuna by analysing the transformation of the Japanese state at a broader, aggregate level, drawing </w:t>
      </w:r>
      <w:r w:rsidR="001A6906">
        <w:t xml:space="preserve">on </w:t>
      </w:r>
      <w:r>
        <w:t xml:space="preserve">the recent development </w:t>
      </w:r>
      <w:r w:rsidR="001368B0">
        <w:rPr>
          <w:rFonts w:hint="eastAsia"/>
          <w:lang w:eastAsia="ja-JP"/>
        </w:rPr>
        <w:t>of the theory of the state</w:t>
      </w:r>
      <w:r>
        <w:t>.</w:t>
      </w:r>
    </w:p>
    <w:p w14:paraId="7EBAE9F2" w14:textId="77777777" w:rsidR="000423AB" w:rsidRDefault="000423AB" w:rsidP="000423AB">
      <w:pPr>
        <w:ind w:firstLine="284"/>
      </w:pPr>
      <w:r>
        <w:t xml:space="preserve">The approach adopted in this thesis seeks to challenge those dominant approaches, which primarily focus on the topics </w:t>
      </w:r>
      <w:r w:rsidR="00BB2BBA">
        <w:rPr>
          <w:rFonts w:eastAsia="MS Mincho" w:hint="eastAsia"/>
          <w:lang w:eastAsia="ja-JP"/>
        </w:rPr>
        <w:t xml:space="preserve">at a </w:t>
      </w:r>
      <w:r>
        <w:t>micro level, and offer</w:t>
      </w:r>
      <w:r w:rsidR="001A6906">
        <w:t>s</w:t>
      </w:r>
      <w:r>
        <w:t xml:space="preserve"> a new perspective which sets out how a developed state of non-European tradition has been transformed through exploring the cases of regulat</w:t>
      </w:r>
      <w:r w:rsidR="002D02A6">
        <w:rPr>
          <w:rFonts w:hint="eastAsia"/>
          <w:lang w:eastAsia="ja-JP"/>
        </w:rPr>
        <w:t>ion</w:t>
      </w:r>
      <w:r>
        <w:t>. In addition, the approach of this thesis seeks to go beyond accounts that offer little more than parsimonious description about a national pattern of policy (Vogel 1996 p.19). This thesis seeks to offer insights, which capture the dynamics of contemporary state – society relations.</w:t>
      </w:r>
    </w:p>
    <w:p w14:paraId="63ADEDFC" w14:textId="77777777" w:rsidR="00864652" w:rsidRDefault="000423AB" w:rsidP="000423AB">
      <w:pPr>
        <w:ind w:firstLine="284"/>
        <w:rPr>
          <w:rFonts w:eastAsia="MS Mincho"/>
          <w:lang w:eastAsia="ja-JP"/>
        </w:rPr>
      </w:pPr>
      <w:r>
        <w:t xml:space="preserve">The key focus then is the state at </w:t>
      </w:r>
      <w:r w:rsidR="0073223C">
        <w:rPr>
          <w:rFonts w:hint="eastAsia"/>
          <w:lang w:eastAsia="ja-JP"/>
        </w:rPr>
        <w:t xml:space="preserve">a macro </w:t>
      </w:r>
      <w:r>
        <w:t>level</w:t>
      </w:r>
      <w:r w:rsidR="0073223C">
        <w:rPr>
          <w:rFonts w:hint="eastAsia"/>
          <w:lang w:eastAsia="ja-JP"/>
        </w:rPr>
        <w:t>; the theory of the state</w:t>
      </w:r>
      <w:r>
        <w:t xml:space="preserve"> has been central to political discourse and political analysis (Hay and Lister 2006 p.1). </w:t>
      </w:r>
      <w:r w:rsidR="00BB2BBA">
        <w:rPr>
          <w:rFonts w:eastAsia="MS Mincho" w:hint="eastAsia"/>
          <w:lang w:eastAsia="ja-JP"/>
        </w:rPr>
        <w:t>It</w:t>
      </w:r>
      <w:r>
        <w:t xml:space="preserve"> is crucial to develop an insight of state transformation in Japan, because the debate </w:t>
      </w:r>
      <w:r w:rsidR="00BB2BBA">
        <w:rPr>
          <w:rFonts w:eastAsia="MS Mincho" w:hint="eastAsia"/>
          <w:lang w:eastAsia="ja-JP"/>
        </w:rPr>
        <w:t>on</w:t>
      </w:r>
      <w:r>
        <w:t xml:space="preserve"> the state has shaped the foundation of the </w:t>
      </w:r>
      <w:r w:rsidR="00D74C77">
        <w:rPr>
          <w:rFonts w:hint="eastAsia"/>
          <w:lang w:eastAsia="ja-JP"/>
        </w:rPr>
        <w:t xml:space="preserve">conceptualisation </w:t>
      </w:r>
      <w:r>
        <w:t xml:space="preserve">of state transformation (Sorensen 2004 pp.1-22). The next chapter </w:t>
      </w:r>
      <w:r w:rsidR="00BB2BBA">
        <w:rPr>
          <w:rFonts w:eastAsia="MS Mincho" w:hint="eastAsia"/>
          <w:lang w:eastAsia="ja-JP"/>
        </w:rPr>
        <w:t xml:space="preserve">starts </w:t>
      </w:r>
      <w:r w:rsidR="00C015DA">
        <w:rPr>
          <w:rFonts w:eastAsia="MS Mincho"/>
          <w:lang w:eastAsia="ja-JP"/>
        </w:rPr>
        <w:t>by</w:t>
      </w:r>
      <w:r w:rsidR="00C015DA">
        <w:rPr>
          <w:rFonts w:eastAsia="MS Mincho" w:hint="eastAsia"/>
          <w:lang w:eastAsia="ja-JP"/>
        </w:rPr>
        <w:t xml:space="preserve"> </w:t>
      </w:r>
      <w:r>
        <w:t>review</w:t>
      </w:r>
      <w:r w:rsidR="00BB2BBA">
        <w:rPr>
          <w:rFonts w:eastAsia="MS Mincho" w:hint="eastAsia"/>
          <w:lang w:eastAsia="ja-JP"/>
        </w:rPr>
        <w:t>ing</w:t>
      </w:r>
      <w:r>
        <w:t xml:space="preserve"> how the theory of the state has been developed in the literature, and in doing so offers a framework for exploring the Japanese case</w:t>
      </w:r>
      <w:r w:rsidR="00D74C77">
        <w:rPr>
          <w:rFonts w:hint="eastAsia"/>
          <w:lang w:eastAsia="ja-JP"/>
        </w:rPr>
        <w:t>s</w:t>
      </w:r>
      <w:r>
        <w:t>.</w:t>
      </w:r>
    </w:p>
    <w:p w14:paraId="228FCD2B" w14:textId="77777777" w:rsidR="007D1693" w:rsidRDefault="007D1693">
      <w:pPr>
        <w:spacing w:line="240" w:lineRule="auto"/>
        <w:rPr>
          <w:rFonts w:eastAsia="Times New Roman" w:cstheme="majorBidi"/>
          <w:b/>
          <w:bCs/>
          <w:szCs w:val="28"/>
          <w:u w:val="single"/>
        </w:rPr>
      </w:pPr>
      <w:r>
        <w:br w:type="page"/>
      </w:r>
    </w:p>
    <w:p w14:paraId="01BE9E53" w14:textId="77777777" w:rsidR="00864652" w:rsidRDefault="00864652" w:rsidP="00864652">
      <w:pPr>
        <w:pStyle w:val="Heading1"/>
      </w:pPr>
      <w:bookmarkStart w:id="21" w:name="_Toc349741343"/>
      <w:r>
        <w:t>Chapter 3</w:t>
      </w:r>
      <w:r>
        <w:tab/>
        <w:t>The Change of Governance and Institutions</w:t>
      </w:r>
      <w:bookmarkEnd w:id="21"/>
    </w:p>
    <w:p w14:paraId="08CC965F" w14:textId="77777777" w:rsidR="00864652" w:rsidRDefault="00864652" w:rsidP="00864652"/>
    <w:p w14:paraId="2BB1612E" w14:textId="77777777" w:rsidR="00864652" w:rsidRDefault="00864652" w:rsidP="00864652"/>
    <w:p w14:paraId="4EE9E1B1" w14:textId="77777777" w:rsidR="00864652" w:rsidRDefault="00864652" w:rsidP="00050D4B">
      <w:pPr>
        <w:pStyle w:val="Heading2"/>
      </w:pPr>
      <w:bookmarkStart w:id="22" w:name="_Toc349741344"/>
      <w:r>
        <w:t>3</w:t>
      </w:r>
      <w:r>
        <w:rPr>
          <w:rFonts w:eastAsiaTheme="minorEastAsia"/>
        </w:rPr>
        <w:t>.1</w:t>
      </w:r>
      <w:r>
        <w:rPr>
          <w:rFonts w:eastAsiaTheme="minorEastAsia"/>
        </w:rPr>
        <w:tab/>
      </w:r>
      <w:r>
        <w:t>Introduction</w:t>
      </w:r>
      <w:bookmarkEnd w:id="22"/>
    </w:p>
    <w:p w14:paraId="7D841289" w14:textId="77777777" w:rsidR="00864652" w:rsidRDefault="00864652" w:rsidP="008B4567">
      <w:r>
        <w:t xml:space="preserve">In the past thirty years there has been a significant growth in the literature on governance within political science. It has emerged in part as a response to the decline of the state’s traditional role and capacity in the developed world. The governance literature </w:t>
      </w:r>
      <w:r w:rsidR="0091644F">
        <w:t>seeks to offer new forms of analysing</w:t>
      </w:r>
      <w:r>
        <w:t xml:space="preserve"> the governing system under emergent political conditions after the 1980s and 1990s. </w:t>
      </w:r>
      <w:r w:rsidR="008B4567">
        <w:t>T</w:t>
      </w:r>
      <w:r>
        <w:t xml:space="preserve">his new wave in political science literature </w:t>
      </w:r>
      <w:r w:rsidR="008B4567">
        <w:t xml:space="preserve">has prompted </w:t>
      </w:r>
      <w:r>
        <w:t xml:space="preserve">the debate </w:t>
      </w:r>
      <w:r w:rsidR="008B4567">
        <w:t>on</w:t>
      </w:r>
      <w:r>
        <w:t xml:space="preserve"> the state</w:t>
      </w:r>
      <w:r w:rsidR="008B4567">
        <w:t>.</w:t>
      </w:r>
    </w:p>
    <w:p w14:paraId="4EC80203" w14:textId="77777777" w:rsidR="00864652" w:rsidRDefault="00864652" w:rsidP="00864652">
      <w:pPr>
        <w:ind w:firstLine="284"/>
      </w:pPr>
      <w:r>
        <w:t xml:space="preserve">The concept of the state is clearly not new to political science; as Hay and Lister (2006 p.1) argue, it has been a core topic. In spite of its importance, the state in contemporary political science has not always been a </w:t>
      </w:r>
      <w:r w:rsidR="0091644F">
        <w:t xml:space="preserve">central </w:t>
      </w:r>
      <w:r>
        <w:t>topic of research (Smith 2009 p.1). According to Levi-Faur (2012 p.21): ‘(t)he state in general is somewhat, and unfortunately, marginalized as a social science concept’.</w:t>
      </w:r>
    </w:p>
    <w:p w14:paraId="6A020AD3" w14:textId="77777777" w:rsidR="00864652" w:rsidRDefault="00864652" w:rsidP="00864652">
      <w:pPr>
        <w:ind w:firstLine="284"/>
      </w:pPr>
      <w:r>
        <w:t>The debate on governance has helped bring the state back in to the political science literature. The state and governance have been a major topic of debate within political science literature in Europe; for example one school of literature has proposed a hollow</w:t>
      </w:r>
      <w:r w:rsidR="0091644F">
        <w:t>ing</w:t>
      </w:r>
      <w:r>
        <w:t xml:space="preserve"> out of the state (e.g. Rhodes 1997), while others have argued for the transformation or reconstitution of the state (e.g. Marsh et al 2001, Sorensen 2004). Crucially though, the debate </w:t>
      </w:r>
      <w:r w:rsidR="00B04975">
        <w:rPr>
          <w:rFonts w:hint="eastAsia"/>
          <w:lang w:eastAsia="ja-JP"/>
        </w:rPr>
        <w:t>on</w:t>
      </w:r>
      <w:r>
        <w:t xml:space="preserve"> the state and governance has not significantly been addressed in the literature on Japan, where the tradition of pluralist and rational choice literature has continued to dominate. A key theme of this thesis is to address the existing lacuna in the literature about Japan.</w:t>
      </w:r>
    </w:p>
    <w:p w14:paraId="6B662368" w14:textId="77777777" w:rsidR="00864652" w:rsidRDefault="00864652" w:rsidP="00864652">
      <w:pPr>
        <w:ind w:firstLine="284"/>
      </w:pPr>
      <w:r>
        <w:t>Placing the core theme – transformation of the Japanese state between the 1980s and 2000s – in a broader context of the change of governance, this thesis explores the utility of the reconstituted state thesis when applied to Japan</w:t>
      </w:r>
      <w:r>
        <w:rPr>
          <w:lang w:eastAsia="ja-JP"/>
        </w:rPr>
        <w:t>; the</w:t>
      </w:r>
      <w:r w:rsidR="0091644F">
        <w:rPr>
          <w:lang w:eastAsia="ja-JP"/>
        </w:rPr>
        <w:t xml:space="preserve"> approach adopted here is to explore the extent to which the</w:t>
      </w:r>
      <w:r>
        <w:rPr>
          <w:lang w:eastAsia="ja-JP"/>
        </w:rPr>
        <w:t xml:space="preserve"> Japanese state has reconstituted itself rather than</w:t>
      </w:r>
      <w:r w:rsidR="0091644F">
        <w:rPr>
          <w:lang w:eastAsia="ja-JP"/>
        </w:rPr>
        <w:t xml:space="preserve"> been</w:t>
      </w:r>
      <w:r>
        <w:rPr>
          <w:lang w:eastAsia="ja-JP"/>
        </w:rPr>
        <w:t xml:space="preserve"> hollowed out, in response to </w:t>
      </w:r>
      <w:r w:rsidR="0091644F">
        <w:rPr>
          <w:lang w:eastAsia="ja-JP"/>
        </w:rPr>
        <w:t xml:space="preserve">transformational forces in the last three </w:t>
      </w:r>
      <w:r w:rsidR="000A3379">
        <w:rPr>
          <w:lang w:eastAsia="ja-JP"/>
        </w:rPr>
        <w:t>decades</w:t>
      </w:r>
      <w:r>
        <w:rPr>
          <w:lang w:eastAsia="ja-JP"/>
        </w:rPr>
        <w:t xml:space="preserve">. </w:t>
      </w:r>
      <w:r>
        <w:t>This position is elaborated in the research through employing two key concepts as analytical tools: the concepts of the core executive and the regulatory state</w:t>
      </w:r>
      <w:r w:rsidR="000A3379">
        <w:rPr>
          <w:rFonts w:hint="eastAsia"/>
          <w:lang w:eastAsia="ja-JP"/>
        </w:rPr>
        <w:t>, together with an analytical framework on governance</w:t>
      </w:r>
      <w:r>
        <w:t>.</w:t>
      </w:r>
    </w:p>
    <w:p w14:paraId="4869360E" w14:textId="77777777" w:rsidR="00864652" w:rsidRDefault="00864652" w:rsidP="00864652">
      <w:pPr>
        <w:ind w:firstLine="284"/>
      </w:pPr>
      <w:r>
        <w:t xml:space="preserve">This thesis explores the transformation of the Japanese state in ICT and antimonopoly regulation by observing how the core executive has </w:t>
      </w:r>
      <w:r w:rsidR="0091644F">
        <w:t>adapted to change</w:t>
      </w:r>
      <w:r>
        <w:t xml:space="preserve"> and how the regulatory state has developed. The notion of the core executive, which emerged in the debate within </w:t>
      </w:r>
      <w:r w:rsidR="00FD080B">
        <w:t xml:space="preserve">the </w:t>
      </w:r>
      <w:r>
        <w:t>Anglo</w:t>
      </w:r>
      <w:r w:rsidR="00113980">
        <w:rPr>
          <w:rFonts w:hint="eastAsia"/>
          <w:lang w:eastAsia="ja-JP"/>
        </w:rPr>
        <w:t>-G</w:t>
      </w:r>
      <w:r>
        <w:t>overnance school</w:t>
      </w:r>
      <w:r>
        <w:rPr>
          <w:rStyle w:val="FootnoteReference"/>
          <w:bCs/>
        </w:rPr>
        <w:footnoteReference w:id="24"/>
      </w:r>
      <w:r>
        <w:t xml:space="preserve">, captures the core mechanism of the state based on its ontological view of power that is fluid and relational within the core executive. The ontological view on power employed by this thesis refers to Smith’s (1999) framework rather than Rhodes’ (1995b); in other words this thesis </w:t>
      </w:r>
      <w:r w:rsidR="0091644F">
        <w:t xml:space="preserve">takes </w:t>
      </w:r>
      <w:r>
        <w:rPr>
          <w:lang w:eastAsia="ja-JP"/>
        </w:rPr>
        <w:t xml:space="preserve">seriously </w:t>
      </w:r>
      <w:r w:rsidR="0091644F">
        <w:rPr>
          <w:lang w:eastAsia="ja-JP"/>
        </w:rPr>
        <w:t>the</w:t>
      </w:r>
      <w:r>
        <w:t xml:space="preserve"> structur</w:t>
      </w:r>
      <w:r>
        <w:rPr>
          <w:lang w:eastAsia="ja-JP"/>
        </w:rPr>
        <w:t>al context</w:t>
      </w:r>
      <w:r>
        <w:t xml:space="preserve"> as a key factor in shaping the power of the core executive</w:t>
      </w:r>
      <w:r>
        <w:rPr>
          <w:lang w:eastAsia="ja-JP"/>
        </w:rPr>
        <w:t xml:space="preserve"> (Elgie 2011 p.68)</w:t>
      </w:r>
      <w:r>
        <w:rPr>
          <w:rStyle w:val="FootnoteReference"/>
          <w:lang w:eastAsia="ja-JP"/>
        </w:rPr>
        <w:footnoteReference w:id="25"/>
      </w:r>
      <w:r>
        <w:t>. The regulatory state is another analytical tool which examines the state-society relationship through analysing regulat</w:t>
      </w:r>
      <w:r w:rsidR="0091644F">
        <w:t xml:space="preserve">ory </w:t>
      </w:r>
      <w:r w:rsidR="007F7A0F">
        <w:t>traditions</w:t>
      </w:r>
      <w:r>
        <w:t>. The concept of the regulatory state enables this thesis to observe how the Japanese state has changed its scope and power vis-à-vis society (regulated private firms).</w:t>
      </w:r>
    </w:p>
    <w:p w14:paraId="074B98DF" w14:textId="77777777" w:rsidR="00864652" w:rsidRDefault="00864652" w:rsidP="005D1ABF">
      <w:pPr>
        <w:ind w:firstLine="284"/>
      </w:pPr>
      <w:r>
        <w:t xml:space="preserve">This chapter then turns to explaining transformation at a micro level by discussing the theories of </w:t>
      </w:r>
      <w:r w:rsidR="007F7A0F">
        <w:rPr>
          <w:rFonts w:hint="eastAsia"/>
          <w:lang w:eastAsia="ja-JP"/>
        </w:rPr>
        <w:t>historical institutionalists</w:t>
      </w:r>
      <w:r>
        <w:t xml:space="preserve">. The theory of path dependency focuses on the contingent events and the sequences following them. This framework is employed to analyse the issues in which exogenous events played a significant role </w:t>
      </w:r>
      <w:r w:rsidR="0091644F">
        <w:t xml:space="preserve">in shaping the </w:t>
      </w:r>
      <w:r>
        <w:t xml:space="preserve">cases (ICT regulation, antimonopoly regulation) such as the ministerial regulatory approach in ICT. Another analytical instrument is the theory of institutional change based on historical institutionalism, which conceptualises the evolution of structure such as institutions. The chapter </w:t>
      </w:r>
      <w:r w:rsidR="0091644F">
        <w:t xml:space="preserve">seeks to set out </w:t>
      </w:r>
      <w:r>
        <w:t>the framework for analysing the</w:t>
      </w:r>
      <w:r w:rsidR="0091644F">
        <w:t xml:space="preserve"> subsequent</w:t>
      </w:r>
      <w:r>
        <w:t xml:space="preserve"> cases of ICT regulation and antimonopoly regulation</w:t>
      </w:r>
      <w:r w:rsidR="0091644F">
        <w:t xml:space="preserve"> and in so doing address the key themes identified in Chapter </w:t>
      </w:r>
      <w:r w:rsidR="0010784D">
        <w:rPr>
          <w:rFonts w:hint="eastAsia"/>
          <w:lang w:eastAsia="ja-JP"/>
        </w:rPr>
        <w:t>1</w:t>
      </w:r>
      <w:r>
        <w:t>.</w:t>
      </w:r>
    </w:p>
    <w:p w14:paraId="7A34580F" w14:textId="77777777" w:rsidR="00864652" w:rsidRDefault="00864652" w:rsidP="00864652">
      <w:pPr>
        <w:ind w:firstLine="284"/>
      </w:pPr>
      <w:r>
        <w:t>This chapter first illuminates the development of the concept of the modern state and challenges for states emerging after the 1970s</w:t>
      </w:r>
      <w:r w:rsidR="00D27286">
        <w:rPr>
          <w:rFonts w:hint="eastAsia"/>
          <w:lang w:eastAsia="ja-JP"/>
        </w:rPr>
        <w:t>, which prompted the interest in governance instead of government</w:t>
      </w:r>
      <w:r w:rsidR="00A30BDE">
        <w:rPr>
          <w:rFonts w:hint="eastAsia"/>
          <w:lang w:eastAsia="ja-JP"/>
        </w:rPr>
        <w:t xml:space="preserve"> among political scientists</w:t>
      </w:r>
      <w:r>
        <w:t>. It is followed by</w:t>
      </w:r>
      <w:r w:rsidR="00ED6BE5">
        <w:rPr>
          <w:rFonts w:hint="eastAsia"/>
          <w:lang w:eastAsia="ja-JP"/>
        </w:rPr>
        <w:t xml:space="preserve"> </w:t>
      </w:r>
      <w:r>
        <w:t xml:space="preserve">exploring the concept of the core executive as a key notion to </w:t>
      </w:r>
      <w:r w:rsidR="00A30BDE">
        <w:rPr>
          <w:rFonts w:hint="eastAsia"/>
          <w:lang w:eastAsia="ja-JP"/>
        </w:rPr>
        <w:t xml:space="preserve">explain the system of governance and </w:t>
      </w:r>
      <w:r w:rsidR="00FD0704">
        <w:rPr>
          <w:rFonts w:hint="eastAsia"/>
          <w:lang w:eastAsia="ja-JP"/>
        </w:rPr>
        <w:t xml:space="preserve">analyse the </w:t>
      </w:r>
      <w:r>
        <w:t>transformation of the Japanese state. The chapter then focuses on the concept of the regulatory state</w:t>
      </w:r>
      <w:r w:rsidR="00A30BDE">
        <w:rPr>
          <w:rFonts w:hint="eastAsia"/>
          <w:lang w:eastAsia="ja-JP"/>
        </w:rPr>
        <w:t xml:space="preserve"> and governance</w:t>
      </w:r>
      <w:r>
        <w:t>, offering a framework for analysing the relationship between the state and society (regulator</w:t>
      </w:r>
      <w:r w:rsidR="00ED6BE5">
        <w:rPr>
          <w:rFonts w:hint="eastAsia"/>
          <w:lang w:eastAsia="ja-JP"/>
        </w:rPr>
        <w:t>-</w:t>
      </w:r>
      <w:r>
        <w:t>private firms). The following sections review the theor</w:t>
      </w:r>
      <w:r w:rsidR="00D64A85">
        <w:rPr>
          <w:rFonts w:hint="eastAsia"/>
          <w:lang w:eastAsia="ja-JP"/>
        </w:rPr>
        <w:t>ies</w:t>
      </w:r>
      <w:r>
        <w:t xml:space="preserve"> of </w:t>
      </w:r>
      <w:r w:rsidR="00FD0704">
        <w:rPr>
          <w:rFonts w:hint="eastAsia"/>
          <w:lang w:eastAsia="ja-JP"/>
        </w:rPr>
        <w:t xml:space="preserve">historical institutionalists: </w:t>
      </w:r>
      <w:r>
        <w:t>path dependency and institutional change.</w:t>
      </w:r>
    </w:p>
    <w:p w14:paraId="4523285E" w14:textId="77777777" w:rsidR="00864652" w:rsidRDefault="00864652" w:rsidP="00864652">
      <w:pPr>
        <w:ind w:firstLine="284"/>
      </w:pPr>
      <w:r>
        <w:t xml:space="preserve">Throughout this chapter, this thesis reviews how the literature has offered analytical frameworks by which the change of governance and institutions is explained in relation to the transformation of the state. This set of analytical frameworks </w:t>
      </w:r>
      <w:r>
        <w:rPr>
          <w:lang w:eastAsia="ja-JP"/>
        </w:rPr>
        <w:t>aims at</w:t>
      </w:r>
      <w:r>
        <w:t xml:space="preserve"> the evolving nature of the state developing new approaches to adapt to its new environment after </w:t>
      </w:r>
      <w:r w:rsidR="007A234B">
        <w:t xml:space="preserve">the </w:t>
      </w:r>
      <w:r>
        <w:t>1970s</w:t>
      </w:r>
      <w:r>
        <w:rPr>
          <w:lang w:eastAsia="ja-JP"/>
        </w:rPr>
        <w:t xml:space="preserve">, exploring the extent to which </w:t>
      </w:r>
      <w:r>
        <w:t xml:space="preserve">the </w:t>
      </w:r>
      <w:r>
        <w:rPr>
          <w:lang w:eastAsia="ja-JP"/>
        </w:rPr>
        <w:t xml:space="preserve">state has been reconstituted through the </w:t>
      </w:r>
      <w:r>
        <w:t>core executive</w:t>
      </w:r>
      <w:r>
        <w:rPr>
          <w:lang w:eastAsia="ja-JP"/>
        </w:rPr>
        <w:t>’s skilful</w:t>
      </w:r>
      <w:r>
        <w:t xml:space="preserve"> govern</w:t>
      </w:r>
      <w:r>
        <w:rPr>
          <w:lang w:eastAsia="ja-JP"/>
        </w:rPr>
        <w:t>ing</w:t>
      </w:r>
      <w:r>
        <w:t xml:space="preserve"> in response to circumstantial changes. </w:t>
      </w:r>
      <w:r>
        <w:rPr>
          <w:lang w:eastAsia="ja-JP"/>
        </w:rPr>
        <w:t xml:space="preserve">Indeed, a core theme of this thesis is the </w:t>
      </w:r>
      <w:r w:rsidR="004C4903">
        <w:rPr>
          <w:lang w:eastAsia="ja-JP"/>
        </w:rPr>
        <w:t xml:space="preserve">persistence of </w:t>
      </w:r>
      <w:r>
        <w:rPr>
          <w:lang w:eastAsia="ja-JP"/>
        </w:rPr>
        <w:t xml:space="preserve">asymmetric dominance of the core executive in the state’s reconstituting process, in </w:t>
      </w:r>
      <w:r w:rsidR="004C4903">
        <w:rPr>
          <w:lang w:eastAsia="ja-JP"/>
        </w:rPr>
        <w:t>the context of an approach to</w:t>
      </w:r>
      <w:r>
        <w:rPr>
          <w:lang w:eastAsia="ja-JP"/>
        </w:rPr>
        <w:t xml:space="preserve"> power</w:t>
      </w:r>
      <w:r w:rsidR="004C4903">
        <w:rPr>
          <w:lang w:eastAsia="ja-JP"/>
        </w:rPr>
        <w:t xml:space="preserve"> which</w:t>
      </w:r>
      <w:r>
        <w:rPr>
          <w:lang w:eastAsia="ja-JP"/>
        </w:rPr>
        <w:t xml:space="preserve"> is</w:t>
      </w:r>
      <w:r>
        <w:t xml:space="preserve"> </w:t>
      </w:r>
      <w:r w:rsidR="004C4903">
        <w:t xml:space="preserve">both </w:t>
      </w:r>
      <w:r>
        <w:t xml:space="preserve">fluid and relational. </w:t>
      </w:r>
      <w:r>
        <w:rPr>
          <w:lang w:eastAsia="ja-JP"/>
        </w:rPr>
        <w:t>This thesis explores how the core executive has governed the two regulatory sectors based on fluid and relational powe</w:t>
      </w:r>
      <w:r w:rsidR="005A36A8">
        <w:rPr>
          <w:rFonts w:hint="eastAsia"/>
          <w:lang w:eastAsia="ja-JP"/>
        </w:rPr>
        <w:t>r</w:t>
      </w:r>
      <w:r>
        <w:rPr>
          <w:lang w:eastAsia="ja-JP"/>
        </w:rPr>
        <w:t xml:space="preserve"> </w:t>
      </w:r>
      <w:r w:rsidR="005A36A8">
        <w:rPr>
          <w:rFonts w:hint="eastAsia"/>
          <w:lang w:eastAsia="ja-JP"/>
        </w:rPr>
        <w:t xml:space="preserve">relations </w:t>
      </w:r>
      <w:r>
        <w:rPr>
          <w:lang w:eastAsia="ja-JP"/>
        </w:rPr>
        <w:t xml:space="preserve">within </w:t>
      </w:r>
      <w:r w:rsidR="0021560B">
        <w:rPr>
          <w:lang w:eastAsia="ja-JP"/>
        </w:rPr>
        <w:t>it</w:t>
      </w:r>
      <w:r>
        <w:rPr>
          <w:lang w:eastAsia="ja-JP"/>
        </w:rPr>
        <w:t xml:space="preserve"> responding to challenges in the sectors; th</w:t>
      </w:r>
      <w:r w:rsidR="00820E50">
        <w:rPr>
          <w:rFonts w:hint="eastAsia"/>
          <w:lang w:eastAsia="ja-JP"/>
        </w:rPr>
        <w:t>e</w:t>
      </w:r>
      <w:r>
        <w:rPr>
          <w:lang w:eastAsia="ja-JP"/>
        </w:rPr>
        <w:t xml:space="preserve"> process can be viewed as the reconstituting process of the </w:t>
      </w:r>
      <w:r w:rsidR="00820E50">
        <w:rPr>
          <w:rFonts w:hint="eastAsia"/>
          <w:lang w:eastAsia="ja-JP"/>
        </w:rPr>
        <w:t xml:space="preserve">Japanese </w:t>
      </w:r>
      <w:r>
        <w:rPr>
          <w:lang w:eastAsia="ja-JP"/>
        </w:rPr>
        <w:t>state</w:t>
      </w:r>
      <w:r w:rsidR="00820E50">
        <w:rPr>
          <w:rFonts w:hint="eastAsia"/>
          <w:lang w:eastAsia="ja-JP"/>
        </w:rPr>
        <w:t xml:space="preserve"> in the sectors. This thesis </w:t>
      </w:r>
      <w:r w:rsidR="00685D73">
        <w:rPr>
          <w:rFonts w:hint="eastAsia"/>
          <w:lang w:eastAsia="ja-JP"/>
        </w:rPr>
        <w:t xml:space="preserve">sets out a framework in which it </w:t>
      </w:r>
      <w:r w:rsidR="0021560B">
        <w:rPr>
          <w:lang w:eastAsia="ja-JP"/>
        </w:rPr>
        <w:t>conceptualises</w:t>
      </w:r>
      <w:r w:rsidR="00820E50">
        <w:rPr>
          <w:rFonts w:hint="eastAsia"/>
          <w:lang w:eastAsia="ja-JP"/>
        </w:rPr>
        <w:t xml:space="preserve"> the transformation as the emergence of a variation of the regulatory state.</w:t>
      </w:r>
    </w:p>
    <w:p w14:paraId="70D06DCB" w14:textId="77777777" w:rsidR="00864652" w:rsidRDefault="00864652" w:rsidP="00864652">
      <w:pPr>
        <w:ind w:firstLine="284"/>
      </w:pPr>
      <w:r>
        <w:t xml:space="preserve">The next section starts from the review of the concept of the modern state and its challenges after the 1970s. The scope of the debates introduced here </w:t>
      </w:r>
      <w:r w:rsidR="0062235B">
        <w:t>centres</w:t>
      </w:r>
      <w:r w:rsidR="004C4903">
        <w:t xml:space="preserve"> on</w:t>
      </w:r>
      <w:r>
        <w:t xml:space="preserve"> states in the developed world, including </w:t>
      </w:r>
      <w:r w:rsidR="004C4903">
        <w:t>Japan</w:t>
      </w:r>
      <w:r>
        <w:t>.</w:t>
      </w:r>
    </w:p>
    <w:p w14:paraId="0711082D" w14:textId="77777777" w:rsidR="00864652" w:rsidRDefault="00864652" w:rsidP="00864652">
      <w:pPr>
        <w:ind w:firstLine="284"/>
      </w:pPr>
    </w:p>
    <w:p w14:paraId="33734A8A" w14:textId="77777777" w:rsidR="00864652" w:rsidRDefault="00864652" w:rsidP="00864652">
      <w:pPr>
        <w:ind w:firstLine="284"/>
        <w:rPr>
          <w:b/>
          <w:u w:val="single"/>
        </w:rPr>
      </w:pPr>
    </w:p>
    <w:p w14:paraId="68FF5FB4" w14:textId="77777777" w:rsidR="00864652" w:rsidRDefault="00864652" w:rsidP="00050D4B">
      <w:pPr>
        <w:pStyle w:val="Heading2"/>
      </w:pPr>
      <w:bookmarkStart w:id="23" w:name="_Toc349741345"/>
      <w:r>
        <w:t>3.2</w:t>
      </w:r>
      <w:r>
        <w:tab/>
        <w:t>Challenges to the state</w:t>
      </w:r>
      <w:bookmarkEnd w:id="23"/>
    </w:p>
    <w:p w14:paraId="280778D9" w14:textId="77777777" w:rsidR="00864652" w:rsidRDefault="00864652" w:rsidP="00864652">
      <w:pPr>
        <w:rPr>
          <w:lang w:eastAsia="ja-JP"/>
        </w:rPr>
      </w:pPr>
      <w:r>
        <w:t>Much of the literature on the modern state is rooted in the contribution of Max Weber (1978 (1925)) (Hay and Lister 2006 p.8, Pierson 2004 pp.5-6). His (p.78) definition of the state focuses on the state’s organisation and the deployment of the means of coercion and physical force with the following two major characteristics: it is a set of institutions with dedicated personnel; and it monopolises authoritative rule-making within abounded territory (Hay and Lister 2006 p.8). In a similar vein</w:t>
      </w:r>
      <w:r w:rsidR="001E77B6">
        <w:t>,</w:t>
      </w:r>
      <w:r>
        <w:t xml:space="preserve"> Skocpol (1979) concisely defines the state as an actual organisation: ‘controlling (or attempting to control) territories and people’ (p.31, also Smith 2009 p.61). Her perspective on the state </w:t>
      </w:r>
      <w:r>
        <w:rPr>
          <w:lang w:eastAsia="ja-JP"/>
        </w:rPr>
        <w:t>counters</w:t>
      </w:r>
      <w:r>
        <w:t xml:space="preserve"> the dominance of pluralist and structure-functionalist literature in the US in the previous period (pp.4-5)</w:t>
      </w:r>
      <w:r>
        <w:rPr>
          <w:lang w:eastAsia="ja-JP"/>
        </w:rPr>
        <w:t>.</w:t>
      </w:r>
      <w:r>
        <w:t xml:space="preserve"> Skocpol (1985) explores the concept of the state highlighting state autonomy and state capacity. She described state autonomy as fluid and changing:</w:t>
      </w:r>
    </w:p>
    <w:p w14:paraId="41B3EB5B" w14:textId="77777777" w:rsidR="00737216" w:rsidRDefault="00737216" w:rsidP="00864652">
      <w:pPr>
        <w:rPr>
          <w:lang w:eastAsia="ja-JP"/>
        </w:rPr>
      </w:pPr>
    </w:p>
    <w:p w14:paraId="2E58E9B0" w14:textId="77777777" w:rsidR="00495655" w:rsidRDefault="004C4903" w:rsidP="005B18BE">
      <w:pPr>
        <w:pStyle w:val="Quote"/>
      </w:pPr>
      <w:r>
        <w:t>...</w:t>
      </w:r>
      <w:r w:rsidR="00737216">
        <w:rPr>
          <w:lang w:eastAsia="ja-JP"/>
        </w:rPr>
        <w:t>‘</w:t>
      </w:r>
      <w:r w:rsidR="00737216">
        <w:rPr>
          <w:rFonts w:hint="eastAsia"/>
          <w:lang w:eastAsia="ja-JP"/>
        </w:rPr>
        <w:t xml:space="preserve">state </w:t>
      </w:r>
      <w:r w:rsidR="00864652">
        <w:t>autonomy</w:t>
      </w:r>
      <w:r w:rsidR="00737216">
        <w:rPr>
          <w:lang w:eastAsia="ja-JP"/>
        </w:rPr>
        <w:t>’</w:t>
      </w:r>
      <w:r w:rsidR="00864652">
        <w:t xml:space="preserve"> is not a fixed structural feature of any government system. It can come and go. </w:t>
      </w:r>
      <w:r w:rsidR="00737216">
        <w:rPr>
          <w:rFonts w:hint="eastAsia"/>
          <w:lang w:eastAsia="ja-JP"/>
        </w:rPr>
        <w:t>...</w:t>
      </w:r>
      <w:r w:rsidR="00864652">
        <w:t xml:space="preserve">the very structural potentials for autonomous state actions change over time, as the organizations of coercion and administration undergo transformations, both internally and in their relations to societal groups and to representative parts of government. …the full potential of this concept (state autonomy) can be realized only in truly historical studies that are sensitive to structural variations and conjunctural changes within given polities (Skocpol 1985 p.14). </w:t>
      </w:r>
    </w:p>
    <w:p w14:paraId="2409C06F" w14:textId="77777777" w:rsidR="00864652" w:rsidRDefault="00864652" w:rsidP="00864652"/>
    <w:p w14:paraId="25281E58" w14:textId="77777777" w:rsidR="00864652" w:rsidRDefault="00864652" w:rsidP="00864652">
      <w:pPr>
        <w:rPr>
          <w:bCs/>
        </w:rPr>
      </w:pPr>
      <w:r>
        <w:t xml:space="preserve">In relation to state capacity Skocpol (1985) offers a perspective focusing on the strength of state bureaucracy in line with </w:t>
      </w:r>
      <w:r>
        <w:rPr>
          <w:bCs/>
        </w:rPr>
        <w:t xml:space="preserve">Weber (1978 (1925)). </w:t>
      </w:r>
      <w:r>
        <w:rPr>
          <w:bCs/>
          <w:lang w:eastAsia="ja-JP"/>
        </w:rPr>
        <w:t>She argues</w:t>
      </w:r>
      <w:r>
        <w:rPr>
          <w:bCs/>
        </w:rPr>
        <w:t xml:space="preserve"> </w:t>
      </w:r>
      <w:r>
        <w:rPr>
          <w:bCs/>
          <w:lang w:eastAsia="ja-JP"/>
        </w:rPr>
        <w:t xml:space="preserve">that </w:t>
      </w:r>
      <w:r>
        <w:rPr>
          <w:bCs/>
        </w:rPr>
        <w:t>the key points of state capacity are:</w:t>
      </w:r>
    </w:p>
    <w:p w14:paraId="0F20DC68" w14:textId="77777777" w:rsidR="00864652" w:rsidRDefault="00864652" w:rsidP="00055D80">
      <w:pPr>
        <w:pStyle w:val="ListParagraph"/>
        <w:numPr>
          <w:ilvl w:val="0"/>
          <w:numId w:val="16"/>
        </w:numPr>
        <w:ind w:left="284" w:hanging="284"/>
      </w:pPr>
      <w:r>
        <w:t>sovereign integrity and the stable administrative-military control of a given territory as preconditions for any state’s ability to implement policies; and</w:t>
      </w:r>
    </w:p>
    <w:p w14:paraId="7AB42B5D" w14:textId="77777777" w:rsidR="00864652" w:rsidRDefault="00864652" w:rsidP="00055D80">
      <w:pPr>
        <w:pStyle w:val="ListParagraph"/>
        <w:numPr>
          <w:ilvl w:val="0"/>
          <w:numId w:val="16"/>
        </w:numPr>
        <w:ind w:left="284" w:hanging="284"/>
      </w:pPr>
      <w:r>
        <w:t>loyal and skilled officials and plentiful financial resources as the basi</w:t>
      </w:r>
      <w:r w:rsidR="007A1B94">
        <w:t>s</w:t>
      </w:r>
      <w:r>
        <w:t xml:space="preserve"> </w:t>
      </w:r>
      <w:r w:rsidR="007A1B94">
        <w:t>for</w:t>
      </w:r>
      <w:r>
        <w:t xml:space="preserve"> state effectiveness in attaining all sorts of goals. Some of them depend on institutional relationships that are slow to change and relatively impervious to short-term manipulations (p.16).</w:t>
      </w:r>
    </w:p>
    <w:p w14:paraId="6CF087B8" w14:textId="77777777" w:rsidR="00864652" w:rsidRDefault="00864652" w:rsidP="00864652"/>
    <w:p w14:paraId="62937E46" w14:textId="77777777" w:rsidR="00864652" w:rsidRDefault="00864652" w:rsidP="00864652">
      <w:r>
        <w:t>Elsewhere, Mann (1993 p.55) rather than offering a functional definition instead adopts an institutional approach:</w:t>
      </w:r>
    </w:p>
    <w:p w14:paraId="4F603AF1" w14:textId="77777777" w:rsidR="00376BDA" w:rsidRDefault="00376BDA" w:rsidP="00376BDA">
      <w:pPr>
        <w:ind w:left="284"/>
      </w:pPr>
    </w:p>
    <w:p w14:paraId="39C1FE87" w14:textId="77777777" w:rsidR="00495655" w:rsidRDefault="00864652" w:rsidP="005B18BE">
      <w:pPr>
        <w:pStyle w:val="Quote"/>
      </w:pPr>
      <w:r>
        <w:t>The state is a differentiated set of institutions and personnel</w:t>
      </w:r>
      <w:r w:rsidR="00376BDA">
        <w:t xml:space="preserve"> </w:t>
      </w:r>
      <w:r>
        <w:t>embodying centrality, in the sense that political relations radiate to and from a center, to cover a</w:t>
      </w:r>
      <w:r w:rsidR="00376BDA">
        <w:t xml:space="preserve"> </w:t>
      </w:r>
      <w:r>
        <w:t>territorially demarcated area over which it exercises</w:t>
      </w:r>
      <w:r w:rsidR="00376BDA">
        <w:t xml:space="preserve"> </w:t>
      </w:r>
      <w:r>
        <w:t>some degree of authoritative, binding rules making, backed up by some organized physical force.</w:t>
      </w:r>
    </w:p>
    <w:p w14:paraId="624E45C0" w14:textId="77777777" w:rsidR="00864652" w:rsidRDefault="00864652" w:rsidP="00864652">
      <w:pPr>
        <w:rPr>
          <w:rFonts w:cstheme="minorBidi"/>
        </w:rPr>
      </w:pPr>
    </w:p>
    <w:p w14:paraId="6FD6C63E" w14:textId="77777777" w:rsidR="00864652" w:rsidRDefault="00864652" w:rsidP="00864652">
      <w:r>
        <w:t xml:space="preserve">Weber (1978 (1925)) highlights the function of the law and administrative staff of the developed state by proposing the notion of the modern state as the next stage </w:t>
      </w:r>
      <w:r w:rsidR="004C4903">
        <w:t>in the evolution</w:t>
      </w:r>
      <w:r>
        <w:t xml:space="preserve"> of the state. He suggests </w:t>
      </w:r>
      <w:r>
        <w:rPr>
          <w:lang w:eastAsia="ja-JP"/>
        </w:rPr>
        <w:t xml:space="preserve">that </w:t>
      </w:r>
      <w:r>
        <w:t>the modern state:</w:t>
      </w:r>
    </w:p>
    <w:p w14:paraId="1D801D28" w14:textId="77777777" w:rsidR="00864652" w:rsidRDefault="00864652" w:rsidP="00864652"/>
    <w:p w14:paraId="56EB38E8" w14:textId="56B4E169" w:rsidR="00495655" w:rsidRDefault="00864652" w:rsidP="005B18BE">
      <w:pPr>
        <w:pStyle w:val="Quote"/>
      </w:pPr>
      <w:r>
        <w:t>…possess an administrative and legal order subject to change by legislation, to which the organized activities of the administrative staff, which are also controlled by regulations, are oriented. This system of orders claims binding authority, not only over the members of the state, the citizens, but also to a very large extent over all action taking place in the area of its jurisdiction. It is thus a compulsory organization with a territorial basis. (Weber 1978 (1925) in Mann 1993 p.56)</w:t>
      </w:r>
    </w:p>
    <w:p w14:paraId="18F31106" w14:textId="77777777" w:rsidR="00864652" w:rsidRDefault="00864652" w:rsidP="00864652"/>
    <w:p w14:paraId="3FE0C682" w14:textId="77777777" w:rsidR="00864652" w:rsidRDefault="00864652" w:rsidP="00864652">
      <w:r>
        <w:t>In this notion, he focuses on the routine, formalised, rationalised institution of wider scope over citizens and territories (Mann 1993 p.56).</w:t>
      </w:r>
    </w:p>
    <w:p w14:paraId="2D2C2CF7" w14:textId="77777777" w:rsidR="00864652" w:rsidRDefault="00864652" w:rsidP="00BB7CD7">
      <w:pPr>
        <w:ind w:firstLine="284"/>
      </w:pPr>
      <w:r>
        <w:t xml:space="preserve">This body of literature views the state as an entity insulated from private interests, composed of dedicated staff, and imposing its will through its monopolised coercive tools within its demarcated territory. </w:t>
      </w:r>
      <w:r w:rsidR="00BB7CD7">
        <w:t>This is also the definition of the state employed by this thesis. Within this thesis the state is regarded as an entity insulated from private interests, composed of established state organisations such as government ministries</w:t>
      </w:r>
      <w:r w:rsidR="00B51711">
        <w:t xml:space="preserve"> and other organisations similar to ministries</w:t>
      </w:r>
      <w:r w:rsidR="00BB7CD7">
        <w:t xml:space="preserve">, and monopolising coercive tools within its territorial boundaries. </w:t>
      </w:r>
      <w:r>
        <w:t>Over</w:t>
      </w:r>
      <w:r w:rsidR="008F2E00">
        <w:t xml:space="preserve"> </w:t>
      </w:r>
      <w:r>
        <w:t>time, the state’s central organisation has been enhanced and its control on society has become more developed.</w:t>
      </w:r>
    </w:p>
    <w:p w14:paraId="12C5BB00" w14:textId="77777777" w:rsidR="00864652" w:rsidRDefault="00864652" w:rsidP="00864652">
      <w:pPr>
        <w:ind w:firstLine="284"/>
        <w:rPr>
          <w:lang w:eastAsia="ja-JP"/>
        </w:rPr>
      </w:pPr>
      <w:r>
        <w:t>This tendency bec</w:t>
      </w:r>
      <w:r w:rsidR="008F2E00">
        <w:t>a</w:t>
      </w:r>
      <w:r>
        <w:t xml:space="preserve">me evident after </w:t>
      </w:r>
      <w:r w:rsidR="004C4903">
        <w:t>1945</w:t>
      </w:r>
      <w:r>
        <w:t xml:space="preserve">. The post World War II period saw </w:t>
      </w:r>
      <w:r w:rsidR="004C4903">
        <w:t xml:space="preserve">an </w:t>
      </w:r>
      <w:r w:rsidR="00F7286B">
        <w:t>unprecedented</w:t>
      </w:r>
      <w:r w:rsidR="004C4903">
        <w:t xml:space="preserve"> </w:t>
      </w:r>
      <w:r>
        <w:t>expan</w:t>
      </w:r>
      <w:r w:rsidR="004C4903">
        <w:t>sion by</w:t>
      </w:r>
      <w:r>
        <w:t xml:space="preserve"> governments in terms of their size and scope with the emergence of the welfare state</w:t>
      </w:r>
      <w:r>
        <w:rPr>
          <w:rStyle w:val="FootnoteReference"/>
        </w:rPr>
        <w:footnoteReference w:id="26"/>
      </w:r>
      <w:r>
        <w:t xml:space="preserve"> (Hay and Lister 2006 p.6). As the background of this growth of the state, Chang and Rowthorn (1995 p.3) argue that the left’s significant contribution to the war efforts against Fascism and the widespread belief that the Great Depression facilitated the rise of Fascism made full employment and social welfare the top priority of </w:t>
      </w:r>
      <w:r w:rsidR="008F2E00">
        <w:t xml:space="preserve">the </w:t>
      </w:r>
      <w:r w:rsidR="007E0100" w:rsidRPr="007E0100">
        <w:t>political agenda.</w:t>
      </w:r>
      <w:r w:rsidR="00500DA4" w:rsidRPr="00500DA4">
        <w:rPr>
          <w:rFonts w:hint="eastAsia"/>
          <w:lang w:eastAsia="ja-JP"/>
        </w:rPr>
        <w:t xml:space="preserve"> </w:t>
      </w:r>
      <w:r w:rsidR="007E0100">
        <w:rPr>
          <w:lang w:eastAsia="ja-JP"/>
        </w:rPr>
        <w:t xml:space="preserve">It can also be noted that key industrial countries in West Europe and East Asia </w:t>
      </w:r>
      <w:r w:rsidR="00992AB0">
        <w:rPr>
          <w:rFonts w:hint="eastAsia"/>
          <w:lang w:eastAsia="ja-JP"/>
        </w:rPr>
        <w:t>w</w:t>
      </w:r>
      <w:r w:rsidR="008F2E00">
        <w:rPr>
          <w:lang w:eastAsia="ja-JP"/>
        </w:rPr>
        <w:t>ere</w:t>
      </w:r>
      <w:r w:rsidR="00992AB0">
        <w:rPr>
          <w:rFonts w:hint="eastAsia"/>
          <w:lang w:eastAsia="ja-JP"/>
        </w:rPr>
        <w:t xml:space="preserve"> </w:t>
      </w:r>
      <w:r w:rsidR="00992AB0">
        <w:rPr>
          <w:lang w:eastAsia="ja-JP"/>
        </w:rPr>
        <w:t>rebuilding</w:t>
      </w:r>
      <w:r w:rsidR="00500DA4">
        <w:rPr>
          <w:rFonts w:hint="eastAsia"/>
          <w:lang w:eastAsia="ja-JP"/>
        </w:rPr>
        <w:t xml:space="preserve"> their societ</w:t>
      </w:r>
      <w:r w:rsidR="008F2E00">
        <w:rPr>
          <w:lang w:eastAsia="ja-JP"/>
        </w:rPr>
        <w:t>ies</w:t>
      </w:r>
      <w:r w:rsidR="00500DA4">
        <w:rPr>
          <w:rFonts w:hint="eastAsia"/>
          <w:lang w:eastAsia="ja-JP"/>
        </w:rPr>
        <w:t xml:space="preserve"> after World War II (Korean War in </w:t>
      </w:r>
      <w:r w:rsidR="008F2E00">
        <w:rPr>
          <w:lang w:eastAsia="ja-JP"/>
        </w:rPr>
        <w:t xml:space="preserve">the </w:t>
      </w:r>
      <w:r w:rsidR="00500DA4">
        <w:rPr>
          <w:rFonts w:hint="eastAsia"/>
          <w:lang w:eastAsia="ja-JP"/>
        </w:rPr>
        <w:t>case of Korea).</w:t>
      </w:r>
    </w:p>
    <w:p w14:paraId="46A3BC7A" w14:textId="77777777" w:rsidR="00864652" w:rsidRDefault="00864652" w:rsidP="00864652">
      <w:pPr>
        <w:ind w:firstLine="284"/>
        <w:rPr>
          <w:bCs/>
        </w:rPr>
      </w:pPr>
      <w:r>
        <w:t xml:space="preserve">The key features of the governments in the developed world in this period were increasing government expenditure, expanding government projects, and growing political intervention in the market, the extent of which varied (Pierre and Peters 2000 p.2). The impact on the financial aspect of the state was particularly significant. The states in </w:t>
      </w:r>
      <w:r w:rsidR="008F2E00">
        <w:t xml:space="preserve">the </w:t>
      </w:r>
      <w:r>
        <w:t>developed world expanded both their expenditures and revenues in this period; for example expenditure in the 1990s was double that in the 1930s (</w:t>
      </w:r>
      <w:r>
        <w:rPr>
          <w:bCs/>
        </w:rPr>
        <w:t>Hay and Lister 2006 pp.2-3).</w:t>
      </w:r>
    </w:p>
    <w:p w14:paraId="1282671F" w14:textId="77777777" w:rsidR="00864652" w:rsidRDefault="00864652" w:rsidP="00864652">
      <w:pPr>
        <w:ind w:firstLine="284"/>
      </w:pPr>
      <w:r>
        <w:t>The political projects engaged in by the governments of this period include regulation, economic redistribution, and more generally, an expansion of the political sphere of society (Maier 1987 pp.1-24). According to Maier (1987 p.4) in the 1950s and early 1960s social scientists tended to predict that: ‘under conditions of long-term economic growth, political issues would be transformed into administrative and non</w:t>
      </w:r>
      <w:r w:rsidR="004C4903">
        <w:t>-</w:t>
      </w:r>
      <w:r>
        <w:t>controver</w:t>
      </w:r>
      <w:r w:rsidR="004C4903">
        <w:t>s</w:t>
      </w:r>
      <w:r>
        <w:t xml:space="preserve">ial routines’. Pierre and Peters (2000 p.2) describe the government of this period as: ‘the appropriate, legitimate and unchallenged vehicle for social change, equality and the economic development’. An example of the developed world governments in the 1950s and early 1960s can be the state model called the Keynesian Welfare State (KWS) drawn from the British state (e.g. Pierson 2004 p.99, Jessop 1993 p.1). Its core theme was the management of </w:t>
      </w:r>
      <w:r w:rsidR="008F2E00">
        <w:t xml:space="preserve">the </w:t>
      </w:r>
      <w:r>
        <w:t>economy and society by the state. Under this model the state was supposed to address market failure and be responsible for developing and managing welfare programmes (Sorensen 2004 p.32, Jessop 2002 pp.60-1).</w:t>
      </w:r>
    </w:p>
    <w:p w14:paraId="2FBAB8B9" w14:textId="77777777" w:rsidR="00864652" w:rsidRDefault="00864652" w:rsidP="006D72DD">
      <w:pPr>
        <w:ind w:firstLine="284"/>
      </w:pPr>
      <w:r>
        <w:t xml:space="preserve">As the state in the developed world expanded its scope and activities, it began facing significant challenges, </w:t>
      </w:r>
      <w:r w:rsidR="00C31A26">
        <w:t xml:space="preserve">the key points of which </w:t>
      </w:r>
      <w:r w:rsidR="006D72DD">
        <w:t>are</w:t>
      </w:r>
      <w:r w:rsidR="00C31A26">
        <w:t xml:space="preserve"> described in Table 3.1 </w:t>
      </w:r>
      <w:r w:rsidR="0025552A" w:rsidRPr="0025552A">
        <w:rPr>
          <w:lang w:eastAsia="ja-JP"/>
        </w:rPr>
        <w:t>(Pierre and Peters 2000 pp.52-67)</w:t>
      </w:r>
      <w:r w:rsidR="00C31A26">
        <w:rPr>
          <w:lang w:eastAsia="ja-JP"/>
        </w:rPr>
        <w:t xml:space="preserve">. </w:t>
      </w:r>
      <w:r>
        <w:t xml:space="preserve">The impact of the challenges facilitated the rise of the school of </w:t>
      </w:r>
      <w:r w:rsidR="008F2E00">
        <w:t xml:space="preserve">the </w:t>
      </w:r>
      <w:r>
        <w:t xml:space="preserve">New Right arguing for solutions to the challenges (Pierson 2004 pp.63-7). </w:t>
      </w:r>
    </w:p>
    <w:p w14:paraId="294D6E58" w14:textId="77777777" w:rsidR="00864652" w:rsidRDefault="00864652" w:rsidP="00864652">
      <w:pPr>
        <w:ind w:firstLine="284"/>
        <w:rPr>
          <w:lang w:eastAsia="ja-JP"/>
        </w:rPr>
      </w:pPr>
    </w:p>
    <w:p w14:paraId="1A8EF758" w14:textId="77777777" w:rsidR="00864652" w:rsidRDefault="009A2799" w:rsidP="00DA2E02">
      <w:pPr>
        <w:pStyle w:val="Heading4"/>
        <w:rPr>
          <w:lang w:eastAsia="ja-JP"/>
        </w:rPr>
      </w:pPr>
      <w:r>
        <w:rPr>
          <w:lang w:eastAsia="ja-JP"/>
        </w:rPr>
        <w:t>Table 3.1</w:t>
      </w:r>
      <w:r w:rsidR="00864652">
        <w:rPr>
          <w:lang w:eastAsia="ja-JP"/>
        </w:rPr>
        <w:t xml:space="preserve">: </w:t>
      </w:r>
      <w:r w:rsidR="006A50A2">
        <w:rPr>
          <w:lang w:eastAsia="ja-JP"/>
        </w:rPr>
        <w:t>K</w:t>
      </w:r>
      <w:r w:rsidR="00864652">
        <w:rPr>
          <w:lang w:eastAsia="ja-JP"/>
        </w:rPr>
        <w:t>ey challenges to the modern state (based on Pierre and Peters 2000 pp.52-67)</w:t>
      </w:r>
    </w:p>
    <w:p w14:paraId="79B3A87B" w14:textId="77777777" w:rsidR="00864652" w:rsidRDefault="00864652" w:rsidP="00864652">
      <w:pPr>
        <w:pStyle w:val="NoSpacing"/>
        <w:rPr>
          <w:lang w:eastAsia="ja-JP"/>
        </w:rPr>
      </w:pPr>
    </w:p>
    <w:tbl>
      <w:tblPr>
        <w:tblStyle w:val="TableGrid"/>
        <w:tblW w:w="0" w:type="auto"/>
        <w:tblLook w:val="04A0" w:firstRow="1" w:lastRow="0" w:firstColumn="1" w:lastColumn="0" w:noHBand="0" w:noVBand="1"/>
      </w:tblPr>
      <w:tblGrid>
        <w:gridCol w:w="1902"/>
        <w:gridCol w:w="6818"/>
      </w:tblGrid>
      <w:tr w:rsidR="00864652" w14:paraId="702C2315" w14:textId="77777777" w:rsidTr="00864652">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7C537BC1" w14:textId="77777777" w:rsidR="00864652" w:rsidRDefault="00864652" w:rsidP="00864652">
            <w:pPr>
              <w:pStyle w:val="NoSpacing"/>
              <w:rPr>
                <w:rFonts w:cstheme="minorBidi"/>
                <w:szCs w:val="22"/>
                <w:lang w:eastAsia="ja-JP"/>
              </w:rPr>
            </w:pPr>
            <w:r>
              <w:rPr>
                <w:lang w:eastAsia="ja-JP"/>
              </w:rPr>
              <w:t>Financial</w:t>
            </w:r>
          </w:p>
          <w:p w14:paraId="29BF8BBB" w14:textId="77777777" w:rsidR="00864652" w:rsidRDefault="0045309F" w:rsidP="00864652">
            <w:pPr>
              <w:pStyle w:val="NoSpacing"/>
              <w:rPr>
                <w:lang w:eastAsia="ja-JP"/>
              </w:rPr>
            </w:pPr>
            <w:r>
              <w:rPr>
                <w:lang w:eastAsia="ja-JP"/>
              </w:rPr>
              <w:t>C</w:t>
            </w:r>
            <w:r w:rsidR="00864652">
              <w:rPr>
                <w:lang w:eastAsia="ja-JP"/>
              </w:rPr>
              <w:t>risis</w:t>
            </w:r>
          </w:p>
        </w:tc>
        <w:tc>
          <w:tcPr>
            <w:tcW w:w="7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05F13" w14:textId="77777777" w:rsidR="00864652" w:rsidRDefault="00864652" w:rsidP="00864652">
            <w:pPr>
              <w:pStyle w:val="NoSpacing"/>
              <w:rPr>
                <w:lang w:eastAsia="ja-JP"/>
              </w:rPr>
            </w:pPr>
            <w:r>
              <w:rPr>
                <w:lang w:eastAsia="ja-JP"/>
              </w:rPr>
              <w:t>The state confronted its increasing expenditure and difficult prospect to increase tax revenue.</w:t>
            </w:r>
          </w:p>
        </w:tc>
      </w:tr>
      <w:tr w:rsidR="00864652" w14:paraId="0ABA7A68" w14:textId="77777777" w:rsidTr="00864652">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684ACBE5" w14:textId="77777777" w:rsidR="00864652" w:rsidRDefault="00864652" w:rsidP="00864652">
            <w:pPr>
              <w:pStyle w:val="NoSpacing"/>
              <w:rPr>
                <w:rFonts w:cstheme="minorBidi"/>
                <w:szCs w:val="22"/>
                <w:lang w:eastAsia="ja-JP"/>
              </w:rPr>
            </w:pPr>
          </w:p>
          <w:p w14:paraId="187D065B" w14:textId="77777777" w:rsidR="00864652" w:rsidRDefault="00864652" w:rsidP="00864652">
            <w:pPr>
              <w:pStyle w:val="NoSpacing"/>
              <w:rPr>
                <w:lang w:eastAsia="ja-JP"/>
              </w:rPr>
            </w:pPr>
            <w:r>
              <w:rPr>
                <w:lang w:eastAsia="ja-JP"/>
              </w:rPr>
              <w:t xml:space="preserve">The rise of </w:t>
            </w:r>
          </w:p>
          <w:p w14:paraId="0F6995B2" w14:textId="77777777" w:rsidR="00864652" w:rsidRDefault="00864652" w:rsidP="00864652">
            <w:pPr>
              <w:pStyle w:val="NoSpacing"/>
              <w:rPr>
                <w:lang w:eastAsia="ja-JP"/>
              </w:rPr>
            </w:pPr>
            <w:r>
              <w:rPr>
                <w:lang w:eastAsia="ja-JP"/>
              </w:rPr>
              <w:t>the new right</w:t>
            </w:r>
          </w:p>
        </w:tc>
        <w:tc>
          <w:tcPr>
            <w:tcW w:w="7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08FD3" w14:textId="77777777" w:rsidR="00864652" w:rsidRDefault="00864652" w:rsidP="00864652">
            <w:pPr>
              <w:pStyle w:val="NoSpacing"/>
              <w:rPr>
                <w:lang w:eastAsia="ja-JP"/>
              </w:rPr>
            </w:pPr>
            <w:r>
              <w:t xml:space="preserve">The manifestation of </w:t>
            </w:r>
            <w:r>
              <w:rPr>
                <w:lang w:eastAsia="ja-JP"/>
              </w:rPr>
              <w:t xml:space="preserve">neo-liberal ideology </w:t>
            </w:r>
            <w:r>
              <w:t xml:space="preserve">emerged in the governments </w:t>
            </w:r>
            <w:r>
              <w:rPr>
                <w:lang w:eastAsia="ja-JP"/>
              </w:rPr>
              <w:t>in</w:t>
            </w:r>
            <w:r>
              <w:t xml:space="preserve"> </w:t>
            </w:r>
            <w:r>
              <w:rPr>
                <w:lang w:eastAsia="ja-JP"/>
              </w:rPr>
              <w:t>a number of developed countries. They</w:t>
            </w:r>
            <w:r>
              <w:t xml:space="preserve"> employed monetarist economic policy together with deregulation, privatisation, drastic reductions in the civil service, the introduction of ‘managerialism’ in the public sector, and institutional restructuring of the state creating semi-autonomous public organisations to typically replace government organisations</w:t>
            </w:r>
            <w:r>
              <w:rPr>
                <w:lang w:eastAsia="ja-JP"/>
              </w:rPr>
              <w:t>.</w:t>
            </w:r>
          </w:p>
        </w:tc>
      </w:tr>
      <w:tr w:rsidR="00864652" w14:paraId="098D2D00" w14:textId="77777777" w:rsidTr="00864652">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2EF698B6" w14:textId="77777777" w:rsidR="00864652" w:rsidRDefault="00864652" w:rsidP="00864652">
            <w:pPr>
              <w:pStyle w:val="NoSpacing"/>
              <w:rPr>
                <w:rFonts w:cstheme="minorBidi"/>
                <w:szCs w:val="22"/>
                <w:lang w:eastAsia="ja-JP"/>
              </w:rPr>
            </w:pPr>
          </w:p>
          <w:p w14:paraId="454D490C" w14:textId="77777777" w:rsidR="00864652" w:rsidRDefault="00864652" w:rsidP="00864652">
            <w:pPr>
              <w:pStyle w:val="NoSpacing"/>
              <w:rPr>
                <w:lang w:eastAsia="ja-JP"/>
              </w:rPr>
            </w:pPr>
            <w:r>
              <w:rPr>
                <w:lang w:eastAsia="ja-JP"/>
              </w:rPr>
              <w:t>Globalisation</w:t>
            </w:r>
          </w:p>
        </w:tc>
        <w:tc>
          <w:tcPr>
            <w:tcW w:w="7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81D69" w14:textId="77777777" w:rsidR="00864652" w:rsidRDefault="00864652" w:rsidP="00864652">
            <w:pPr>
              <w:pStyle w:val="NoSpacing"/>
              <w:rPr>
                <w:lang w:eastAsia="ja-JP"/>
              </w:rPr>
            </w:pPr>
            <w:r>
              <w:rPr>
                <w:lang w:eastAsia="ja-JP"/>
              </w:rPr>
              <w:t>Globalisation</w:t>
            </w:r>
            <w:r>
              <w:t xml:space="preserve"> has partially stripped the traditional authority of the state but offered new opportunities to exercise influence through regional and international organisations and through international institutional coordination such as transnational harmonisation of regulation</w:t>
            </w:r>
            <w:r>
              <w:rPr>
                <w:lang w:eastAsia="ja-JP"/>
              </w:rPr>
              <w:t xml:space="preserve">. It </w:t>
            </w:r>
            <w:r>
              <w:t>has contributed to the transformation of the state’s traditional approach to private firms</w:t>
            </w:r>
            <w:r>
              <w:rPr>
                <w:lang w:eastAsia="ja-JP"/>
              </w:rPr>
              <w:t>. T</w:t>
            </w:r>
            <w:r>
              <w:t xml:space="preserve">he effectiveness of </w:t>
            </w:r>
            <w:r w:rsidR="00554620">
              <w:t xml:space="preserve">the </w:t>
            </w:r>
            <w:r>
              <w:t>state’s traditional approach to its economy and private firms has waned.</w:t>
            </w:r>
          </w:p>
        </w:tc>
      </w:tr>
      <w:tr w:rsidR="00864652" w14:paraId="08964C71" w14:textId="77777777" w:rsidTr="00864652">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0804030A" w14:textId="77777777" w:rsidR="00864652" w:rsidRDefault="00864652" w:rsidP="00864652">
            <w:pPr>
              <w:pStyle w:val="NoSpacing"/>
              <w:rPr>
                <w:lang w:eastAsia="ja-JP"/>
              </w:rPr>
            </w:pPr>
            <w:r>
              <w:rPr>
                <w:lang w:eastAsia="ja-JP"/>
              </w:rPr>
              <w:t>Failure of the state</w:t>
            </w:r>
          </w:p>
        </w:tc>
        <w:tc>
          <w:tcPr>
            <w:tcW w:w="7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5464A" w14:textId="77777777" w:rsidR="00864652" w:rsidRDefault="00864652" w:rsidP="00864652">
            <w:pPr>
              <w:pStyle w:val="NoSpacing"/>
              <w:rPr>
                <w:lang w:eastAsia="ja-JP"/>
              </w:rPr>
            </w:pPr>
            <w:r>
              <w:t xml:space="preserve">The expectation </w:t>
            </w:r>
            <w:r w:rsidR="00554620">
              <w:t>for</w:t>
            </w:r>
            <w:r>
              <w:t xml:space="preserve"> the governments to address societal problems in developed countries exceeded the actual capacity of the governments</w:t>
            </w:r>
            <w:r>
              <w:rPr>
                <w:lang w:eastAsia="ja-JP"/>
              </w:rPr>
              <w:t>.</w:t>
            </w:r>
          </w:p>
        </w:tc>
      </w:tr>
      <w:tr w:rsidR="00864652" w14:paraId="5D86CCB2" w14:textId="77777777" w:rsidTr="00864652">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08FF5070" w14:textId="77777777" w:rsidR="00864652" w:rsidRDefault="00864652" w:rsidP="00864652">
            <w:pPr>
              <w:pStyle w:val="NoSpacing"/>
              <w:rPr>
                <w:rFonts w:cstheme="minorBidi"/>
                <w:szCs w:val="22"/>
                <w:lang w:eastAsia="ja-JP"/>
              </w:rPr>
            </w:pPr>
          </w:p>
          <w:p w14:paraId="45BD93CE" w14:textId="77777777" w:rsidR="00864652" w:rsidRDefault="00864652" w:rsidP="00864652">
            <w:pPr>
              <w:pStyle w:val="NoSpacing"/>
              <w:rPr>
                <w:lang w:eastAsia="ja-JP"/>
              </w:rPr>
            </w:pPr>
            <w:r>
              <w:rPr>
                <w:lang w:eastAsia="ja-JP"/>
              </w:rPr>
              <w:t>NPM</w:t>
            </w:r>
            <w:r w:rsidR="003F5AFA">
              <w:rPr>
                <w:lang w:eastAsia="ja-JP"/>
              </w:rPr>
              <w:t xml:space="preserve"> (New Public Management)</w:t>
            </w:r>
          </w:p>
        </w:tc>
        <w:tc>
          <w:tcPr>
            <w:tcW w:w="7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C2BBE" w14:textId="77777777" w:rsidR="00864652" w:rsidRDefault="00864652" w:rsidP="00864652">
            <w:pPr>
              <w:pStyle w:val="NoSpacing"/>
              <w:rPr>
                <w:lang w:eastAsia="ja-JP"/>
              </w:rPr>
            </w:pPr>
            <w:r>
              <w:t>The rise of NPM challenged the traditional approaches of the state in the developed world</w:t>
            </w:r>
            <w:r>
              <w:rPr>
                <w:lang w:eastAsia="ja-JP"/>
              </w:rPr>
              <w:t xml:space="preserve"> and brought a shift from </w:t>
            </w:r>
            <w:r>
              <w:t>government based on direct service provision with top-down bureaucracy to government with fragmented segmentation providing the services through private sector supplier</w:t>
            </w:r>
            <w:r w:rsidR="007F03EA">
              <w:rPr>
                <w:rFonts w:eastAsia="MS Mincho" w:hint="eastAsia"/>
                <w:lang w:eastAsia="ja-JP"/>
              </w:rPr>
              <w:t>s</w:t>
            </w:r>
            <w:r>
              <w:t xml:space="preserve"> by contracting and privatisation</w:t>
            </w:r>
            <w:r>
              <w:rPr>
                <w:lang w:eastAsia="ja-JP"/>
              </w:rPr>
              <w:t>.</w:t>
            </w:r>
          </w:p>
        </w:tc>
      </w:tr>
      <w:tr w:rsidR="00864652" w14:paraId="68103858" w14:textId="77777777" w:rsidTr="00864652">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1767BD1B" w14:textId="77777777" w:rsidR="00864652" w:rsidRDefault="00EF342D" w:rsidP="00EF342D">
            <w:pPr>
              <w:pStyle w:val="NoSpacing"/>
              <w:rPr>
                <w:lang w:eastAsia="ja-JP"/>
              </w:rPr>
            </w:pPr>
            <w:r>
              <w:rPr>
                <w:rFonts w:hint="eastAsia"/>
                <w:lang w:eastAsia="ja-JP"/>
              </w:rPr>
              <w:t>S</w:t>
            </w:r>
            <w:r w:rsidR="00864652">
              <w:rPr>
                <w:lang w:eastAsia="ja-JP"/>
              </w:rPr>
              <w:t>ocial change,  increasing complexities, new source of governance, and legacy of traditional political accountability</w:t>
            </w:r>
          </w:p>
        </w:tc>
        <w:tc>
          <w:tcPr>
            <w:tcW w:w="7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E72A1" w14:textId="77777777" w:rsidR="00864652" w:rsidRDefault="00864652" w:rsidP="00864652">
            <w:pPr>
              <w:pStyle w:val="NoSpacing"/>
              <w:rPr>
                <w:lang w:eastAsia="ja-JP"/>
              </w:rPr>
            </w:pPr>
            <w:r>
              <w:t>The more complicated nature of society, such as blurring the public-private sector boundaries, rendered the policy making process to seek alternative</w:t>
            </w:r>
            <w:r w:rsidR="00554620">
              <w:t>s</w:t>
            </w:r>
            <w:r>
              <w:t xml:space="preserve"> to the previous approach.</w:t>
            </w:r>
            <w:r>
              <w:rPr>
                <w:lang w:eastAsia="ja-JP"/>
              </w:rPr>
              <w:t xml:space="preserve"> </w:t>
            </w:r>
            <w:r>
              <w:t>The complexities are contributed by the emergence of new public actors such as enhanced local governments and regional organisations such as the European Union.</w:t>
            </w:r>
            <w:r>
              <w:rPr>
                <w:lang w:eastAsia="ja-JP"/>
              </w:rPr>
              <w:t xml:space="preserve"> The emergence of new societal actors such as the NGOs </w:t>
            </w:r>
            <w:r>
              <w:t>brought a challenge to the traditional chain of accountability through democratically elected officials; th</w:t>
            </w:r>
            <w:r>
              <w:rPr>
                <w:lang w:eastAsia="ja-JP"/>
              </w:rPr>
              <w:t>ey</w:t>
            </w:r>
            <w:r>
              <w:t xml:space="preserve"> struggle to be represented through the traditional chain of accountability designed for the traditional societal actors</w:t>
            </w:r>
            <w:r>
              <w:rPr>
                <w:lang w:eastAsia="ja-JP"/>
              </w:rPr>
              <w:t>.</w:t>
            </w:r>
          </w:p>
        </w:tc>
      </w:tr>
    </w:tbl>
    <w:p w14:paraId="514E681A" w14:textId="77777777" w:rsidR="00864652" w:rsidRDefault="00864652" w:rsidP="00864652">
      <w:pPr>
        <w:ind w:firstLine="284"/>
        <w:rPr>
          <w:lang w:eastAsia="ja-JP"/>
        </w:rPr>
      </w:pPr>
    </w:p>
    <w:p w14:paraId="47FCA003" w14:textId="77777777" w:rsidR="00C31A26" w:rsidRDefault="00C31A26" w:rsidP="00CF6636">
      <w:pPr>
        <w:ind w:firstLine="284"/>
      </w:pPr>
      <w:r>
        <w:t>This set of challenges to the state</w:t>
      </w:r>
      <w:r>
        <w:rPr>
          <w:lang w:eastAsia="ja-JP"/>
        </w:rPr>
        <w:t xml:space="preserve"> </w:t>
      </w:r>
      <w:r>
        <w:t xml:space="preserve">led the state to adapt to its new environment and change to the state’s internal and external power relations with key actors. </w:t>
      </w:r>
      <w:r>
        <w:rPr>
          <w:rFonts w:hint="eastAsia"/>
          <w:lang w:eastAsia="ja-JP"/>
        </w:rPr>
        <w:t xml:space="preserve">The adaptation has undermined the previous mode under which the governing system was </w:t>
      </w:r>
      <w:r>
        <w:rPr>
          <w:lang w:eastAsia="ja-JP"/>
        </w:rPr>
        <w:t>controlled</w:t>
      </w:r>
      <w:r>
        <w:rPr>
          <w:rFonts w:hint="eastAsia"/>
          <w:lang w:eastAsia="ja-JP"/>
        </w:rPr>
        <w:t xml:space="preserve"> by government and prompted the new governing system in which networks of relevant actors play a major role in policy making. </w:t>
      </w:r>
      <w:r>
        <w:t>Th</w:t>
      </w:r>
      <w:r w:rsidR="00CF6636">
        <w:t>e</w:t>
      </w:r>
      <w:r>
        <w:t xml:space="preserve"> changes also prompted the political science literature to re-examine the governing system, employing the term ‘governance’ </w:t>
      </w:r>
      <w:r>
        <w:rPr>
          <w:rFonts w:hint="eastAsia"/>
          <w:lang w:eastAsia="ja-JP"/>
        </w:rPr>
        <w:t xml:space="preserve">instead of </w:t>
      </w:r>
      <w:r>
        <w:t>the previous focus on ‘government’.</w:t>
      </w:r>
    </w:p>
    <w:p w14:paraId="41936284" w14:textId="77777777" w:rsidR="00C31A26" w:rsidRDefault="00C31A26" w:rsidP="00864652">
      <w:pPr>
        <w:ind w:firstLine="284"/>
      </w:pPr>
    </w:p>
    <w:p w14:paraId="4E372A1C" w14:textId="77777777" w:rsidR="00C31A26" w:rsidRDefault="00C31A26" w:rsidP="00864652">
      <w:pPr>
        <w:ind w:firstLine="284"/>
      </w:pPr>
    </w:p>
    <w:p w14:paraId="35574AF1" w14:textId="77777777" w:rsidR="00864652" w:rsidRDefault="00864652" w:rsidP="00050D4B">
      <w:pPr>
        <w:pStyle w:val="Heading2"/>
      </w:pPr>
      <w:bookmarkStart w:id="24" w:name="_Toc349741346"/>
      <w:r>
        <w:t>3.3</w:t>
      </w:r>
      <w:r>
        <w:tab/>
        <w:t>The evolution of the governance literature: debating governance</w:t>
      </w:r>
      <w:bookmarkEnd w:id="24"/>
    </w:p>
    <w:p w14:paraId="70E2C010" w14:textId="77777777" w:rsidR="00B37DA2" w:rsidRDefault="00864652" w:rsidP="00864652">
      <w:r>
        <w:t>The dominance of the state in the period before the 1970s brought the government to the centre of the debate as a key concept</w:t>
      </w:r>
      <w:r w:rsidR="00B37DA2">
        <w:t>;</w:t>
      </w:r>
      <w:r>
        <w:t xml:space="preserve"> it was the government which was supposed to govern and solve societal issues with the government’s expanding projects and budget rather than the system of governance. The decline of the government’s traditional approach from the 1970s brought back ‘governance’, whose origin was an old French word ‘</w:t>
      </w:r>
      <w:r>
        <w:rPr>
          <w:i/>
        </w:rPr>
        <w:t>gouvernance</w:t>
      </w:r>
      <w:r>
        <w:t>’ in the fourteenth century, in the focus of interest to explain the state’s adaptation in response to the challenges</w:t>
      </w:r>
      <w:r w:rsidR="00B37DA2">
        <w:t xml:space="preserve"> outlined above</w:t>
      </w:r>
      <w:r>
        <w:t xml:space="preserve"> (Pierre and Peters 2000 p.1, p.18). </w:t>
      </w:r>
    </w:p>
    <w:p w14:paraId="45EF0EB6" w14:textId="77777777" w:rsidR="00864652" w:rsidRDefault="00864652" w:rsidP="00BB474B">
      <w:pPr>
        <w:ind w:firstLine="284"/>
      </w:pPr>
      <w:r>
        <w:t xml:space="preserve">The concept of governance emerged as a new vehicle to address the changing politics and society. It has been debated by a wide range of literature; for instance, Hirst (2000 pp.14-9) introduces five versions of governance literature: the group related to development economics (e.g. World Bank 1997), that related to international institutions and regimes such as those about governance through international organisations (e.g. Rosenau and Czempiel 1992, Krasner 1983, Strange 1996), the literature about corporate governance (e.g. Roe 1994, Archer 1995, Dahl 1985), that about NPM (e.g. Osborne and Gaebler 1992), and the literature related to the new practices of coordinating activities through networks, partnerships, and deliberative forums, which </w:t>
      </w:r>
      <w:r w:rsidR="002A4248">
        <w:t>took</w:t>
      </w:r>
      <w:r>
        <w:t xml:space="preserve"> over the role of the state until the 1970s (</w:t>
      </w:r>
      <w:r w:rsidR="00286FDC">
        <w:rPr>
          <w:rFonts w:hint="eastAsia"/>
          <w:lang w:eastAsia="ja-JP"/>
        </w:rPr>
        <w:t xml:space="preserve">e.g. </w:t>
      </w:r>
      <w:r>
        <w:t>Rhodes 1997).</w:t>
      </w:r>
    </w:p>
    <w:p w14:paraId="7F144157" w14:textId="77777777" w:rsidR="00864652" w:rsidRDefault="00864652" w:rsidP="00864652">
      <w:pPr>
        <w:ind w:firstLine="284"/>
      </w:pPr>
      <w:r>
        <w:t>Elsewhere, another typology is proposed based on the focus of research frameworks: state centric (‘old’ governance) or society centric (‘new’ governance) (Peters 2000 p.36, Pierre 2000 p.3, Richards 2008 pp.96-8):</w:t>
      </w:r>
    </w:p>
    <w:p w14:paraId="471BB605" w14:textId="77777777" w:rsidR="00864652" w:rsidRDefault="00864652" w:rsidP="001B6C05">
      <w:pPr>
        <w:pStyle w:val="ListParagraph"/>
        <w:numPr>
          <w:ilvl w:val="0"/>
          <w:numId w:val="21"/>
        </w:numPr>
        <w:ind w:left="284" w:hanging="284"/>
      </w:pPr>
      <w:r>
        <w:t>what extent the state has the political and institutional capacity to steer and how the role of the state relates to the interests of other influential actors (state centric or ‘old’ governance) (e.g.  Rose 1978, Boven 1990)</w:t>
      </w:r>
      <w:r w:rsidR="00751379">
        <w:rPr>
          <w:rFonts w:hint="eastAsia"/>
        </w:rPr>
        <w:t>. This perspective focuses on the responses of the state to its challenges</w:t>
      </w:r>
      <w:r>
        <w:t>; and</w:t>
      </w:r>
    </w:p>
    <w:p w14:paraId="0D22AAC5" w14:textId="77777777" w:rsidR="00864652" w:rsidRDefault="00864652" w:rsidP="001B6C05">
      <w:pPr>
        <w:pStyle w:val="ListParagraph"/>
        <w:numPr>
          <w:ilvl w:val="0"/>
          <w:numId w:val="21"/>
        </w:numPr>
        <w:ind w:left="284" w:hanging="284"/>
      </w:pPr>
      <w:r>
        <w:t>the coordination and various forms of formal or informal public-private interaction, such as policy networks (society centric or ‘new’ governance) (e.g. Kooiman 1993, Rhodes 1997)</w:t>
      </w:r>
      <w:r w:rsidR="00751379">
        <w:rPr>
          <w:rFonts w:hint="eastAsia"/>
        </w:rPr>
        <w:t xml:space="preserve">. This perspective </w:t>
      </w:r>
      <w:r w:rsidR="0060584D">
        <w:rPr>
          <w:rFonts w:hint="eastAsia"/>
        </w:rPr>
        <w:t>focuses on the network of actors to formulate policies</w:t>
      </w:r>
      <w:r w:rsidR="005D7C67">
        <w:rPr>
          <w:rFonts w:hint="eastAsia"/>
        </w:rPr>
        <w:t xml:space="preserve"> responding to the challenges described by the above.</w:t>
      </w:r>
    </w:p>
    <w:p w14:paraId="05FE0FF3" w14:textId="77777777" w:rsidR="00864652" w:rsidRDefault="00864652" w:rsidP="00864652">
      <w:pPr>
        <w:ind w:firstLine="284"/>
        <w:rPr>
          <w:rFonts w:cstheme="minorBidi"/>
        </w:rPr>
      </w:pPr>
    </w:p>
    <w:p w14:paraId="7EB6A295" w14:textId="77777777" w:rsidR="00864652" w:rsidRDefault="00864652" w:rsidP="00864652">
      <w:pPr>
        <w:ind w:firstLine="284"/>
      </w:pPr>
      <w:r>
        <w:t>Among the literature based on this approach</w:t>
      </w:r>
      <w:r w:rsidR="00B37DA2">
        <w:t>,</w:t>
      </w:r>
      <w:r>
        <w:t xml:space="preserve"> Richards (2008 p.96) proposes a framework to analyse the British state’s reconstituting process under New Labour, the summary of which is in </w:t>
      </w:r>
      <w:r w:rsidR="009A2799">
        <w:t>Table 3.2</w:t>
      </w:r>
      <w:r>
        <w:t>. Similar to Peters’ (2000) and Pierre’s (2000), he categorises two dominant approaches within the literature of the ‘hollowed-out state’ thesis and the ‘reconstituted-state’ thesis (pp.97-8):</w:t>
      </w:r>
    </w:p>
    <w:p w14:paraId="3F882F02" w14:textId="77777777" w:rsidR="00864652" w:rsidRDefault="00864652" w:rsidP="001B6C05">
      <w:pPr>
        <w:pStyle w:val="ListParagraph"/>
        <w:numPr>
          <w:ilvl w:val="0"/>
          <w:numId w:val="22"/>
        </w:numPr>
        <w:ind w:left="284" w:hanging="284"/>
      </w:pPr>
      <w:r>
        <w:t>the ‘hollowed-out state’ thesis which avers that the nature of state transformation is best understood as a transition from a Weberian, hierarchical model to a complex mix of markets, networks, and hierarchies. Whitehall has seen its power eroded through a process of hollowing-out, so undermining its capacity to impose control on policy.</w:t>
      </w:r>
    </w:p>
    <w:p w14:paraId="66802363" w14:textId="77777777" w:rsidR="00864652" w:rsidRDefault="00864652" w:rsidP="00931243">
      <w:pPr>
        <w:pStyle w:val="ListParagraph"/>
        <w:numPr>
          <w:ilvl w:val="0"/>
          <w:numId w:val="22"/>
        </w:numPr>
        <w:ind w:left="284" w:hanging="284"/>
      </w:pPr>
      <w:r>
        <w:t>the ‘reconstituted-state’ thesis also accepts that forces such as globalisation, marketisation</w:t>
      </w:r>
      <w:r w:rsidR="006D6123">
        <w:t>,</w:t>
      </w:r>
      <w:r>
        <w:t xml:space="preserve"> and NPM have transformed the nature of the state, but argues that the asymmetrical, structural position of the core executive, relative to other actors in the policy process, ensures it is strongly placed to respond to these forces. State transformation has not merely constrained the core executive, but has also presented opportunities. The relationship between state change and the response of the core executive is understood as contingent and interactive. The core executive possesses both the resources and strategic-lea</w:t>
      </w:r>
      <w:r w:rsidR="00EE6942">
        <w:t>r</w:t>
      </w:r>
      <w:r>
        <w:t>ning capabilities to reshape its existing capacities and develop new forms of intervention to sustain its position as the dominant actor in the policy-making arena. (Richards 2008 pp.97-8</w:t>
      </w:r>
      <w:r w:rsidR="00B37DA2">
        <w:t>, see also Marsh et al 2001, 2003</w:t>
      </w:r>
      <w:r>
        <w:t>)</w:t>
      </w:r>
      <w:r w:rsidR="00931243">
        <w:t>. This school sets out the asymmetric power model, in which the core executive has asymmetric power in relation to other societal actors based on the fact that the government has a unique set of resources – force, legitimacy, state bureaucracy tax-raising powers and legislation – which are unavailable to other actors (Marsh et al 2003 p.248).</w:t>
      </w:r>
    </w:p>
    <w:p w14:paraId="5CDA67A0" w14:textId="77777777" w:rsidR="00864652" w:rsidRDefault="00864652" w:rsidP="00864652">
      <w:pPr>
        <w:rPr>
          <w:rFonts w:cstheme="minorBidi"/>
        </w:rPr>
      </w:pPr>
    </w:p>
    <w:p w14:paraId="41C65D16" w14:textId="77777777" w:rsidR="00864652" w:rsidRDefault="009A2799" w:rsidP="00DA2E02">
      <w:pPr>
        <w:pStyle w:val="Heading4"/>
        <w:rPr>
          <w:lang w:eastAsia="ja-JP"/>
        </w:rPr>
      </w:pPr>
      <w:r>
        <w:t>Table 3.2</w:t>
      </w:r>
      <w:r w:rsidR="00864652">
        <w:t>: Competing narratives of governance (based on Richards 2008 p.96)</w:t>
      </w:r>
    </w:p>
    <w:p w14:paraId="71EDE769" w14:textId="77777777" w:rsidR="00864652" w:rsidRDefault="00864652" w:rsidP="00864652">
      <w:pPr>
        <w:pStyle w:val="NoSpacing"/>
        <w:rPr>
          <w:u w:val="single"/>
          <w:lang w:eastAsia="ja-JP"/>
        </w:rPr>
      </w:pPr>
    </w:p>
    <w:tbl>
      <w:tblPr>
        <w:tblStyle w:val="TableGrid"/>
        <w:tblW w:w="0" w:type="auto"/>
        <w:tblLook w:val="04A0" w:firstRow="1" w:lastRow="0" w:firstColumn="1" w:lastColumn="0" w:noHBand="0" w:noVBand="1"/>
      </w:tblPr>
      <w:tblGrid>
        <w:gridCol w:w="2259"/>
        <w:gridCol w:w="3184"/>
        <w:gridCol w:w="3277"/>
      </w:tblGrid>
      <w:tr w:rsidR="00864652" w14:paraId="69B98F8E" w14:textId="77777777" w:rsidTr="00864652">
        <w:tc>
          <w:tcPr>
            <w:tcW w:w="2376"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pct20" w:color="auto" w:fill="auto"/>
          </w:tcPr>
          <w:p w14:paraId="4ED39FDA" w14:textId="77777777" w:rsidR="00864652" w:rsidRDefault="00864652">
            <w:pPr>
              <w:pStyle w:val="NoSpacing"/>
              <w:jc w:val="center"/>
            </w:pPr>
          </w:p>
        </w:tc>
        <w:tc>
          <w:tcPr>
            <w:tcW w:w="3402"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pct20" w:color="auto" w:fill="auto"/>
          </w:tcPr>
          <w:p w14:paraId="27A86003" w14:textId="77777777" w:rsidR="00864652" w:rsidRDefault="00864652">
            <w:pPr>
              <w:pStyle w:val="NoSpacing"/>
              <w:jc w:val="center"/>
              <w:rPr>
                <w:rFonts w:cstheme="minorBidi"/>
              </w:rPr>
            </w:pPr>
            <w:r>
              <w:t>Governance narrative 1</w:t>
            </w:r>
          </w:p>
          <w:p w14:paraId="01782990" w14:textId="77777777" w:rsidR="00864652" w:rsidRDefault="00864652">
            <w:pPr>
              <w:pStyle w:val="NoSpacing"/>
              <w:jc w:val="center"/>
              <w:rPr>
                <w:lang w:eastAsia="ja-JP"/>
              </w:rPr>
            </w:pPr>
            <w:r>
              <w:t>the ‘hollowed-out’ state thesis</w:t>
            </w:r>
          </w:p>
          <w:p w14:paraId="79DF1DF3" w14:textId="77777777" w:rsidR="00864652" w:rsidRDefault="00864652">
            <w:pPr>
              <w:pStyle w:val="NoSpacing"/>
              <w:jc w:val="center"/>
              <w:rPr>
                <w:lang w:eastAsia="ja-JP"/>
              </w:rPr>
            </w:pP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7F8CECA9" w14:textId="77777777" w:rsidR="00864652" w:rsidRDefault="00864652">
            <w:pPr>
              <w:pStyle w:val="NoSpacing"/>
              <w:jc w:val="center"/>
              <w:rPr>
                <w:rFonts w:cstheme="minorBidi"/>
              </w:rPr>
            </w:pPr>
            <w:r>
              <w:t>Governance narrative 2</w:t>
            </w:r>
          </w:p>
          <w:p w14:paraId="5C5FFEA9" w14:textId="77777777" w:rsidR="00864652" w:rsidRDefault="00864652">
            <w:pPr>
              <w:pStyle w:val="NoSpacing"/>
              <w:jc w:val="center"/>
            </w:pPr>
            <w:r>
              <w:t>the reconstituted-state thesis</w:t>
            </w:r>
          </w:p>
        </w:tc>
      </w:tr>
      <w:tr w:rsidR="00864652" w14:paraId="1762A370" w14:textId="77777777" w:rsidTr="00864652">
        <w:tc>
          <w:tcPr>
            <w:tcW w:w="2376"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EC52596" w14:textId="77777777" w:rsidR="00864652" w:rsidRDefault="00864652">
            <w:pPr>
              <w:pStyle w:val="NoSpacing"/>
            </w:pPr>
            <w:r>
              <w:t>Literature</w:t>
            </w:r>
          </w:p>
        </w:tc>
        <w:tc>
          <w:tcPr>
            <w:tcW w:w="340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C3FADA8" w14:textId="0B82DAE1" w:rsidR="00864652" w:rsidRDefault="008123EC" w:rsidP="008123EC">
            <w:pPr>
              <w:pStyle w:val="NoSpacing"/>
              <w:rPr>
                <w:rFonts w:cstheme="minorBidi"/>
              </w:rPr>
            </w:pPr>
            <w:r>
              <w:t>Hollowed Out</w:t>
            </w:r>
            <w:r w:rsidR="00864652">
              <w:t xml:space="preserve"> State (Rhodes 1996, 1997; Rhodes et al 2003) </w:t>
            </w:r>
          </w:p>
          <w:p w14:paraId="71F5C86A" w14:textId="77777777" w:rsidR="00864652" w:rsidRDefault="00864652">
            <w:pPr>
              <w:pStyle w:val="NoSpacing"/>
            </w:pPr>
            <w:r>
              <w:t>‘Modern Governance’ Approach (see Peters 2000)</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8829" w14:textId="77777777" w:rsidR="00864652" w:rsidRDefault="00864652">
            <w:pPr>
              <w:pStyle w:val="NoSpacing"/>
              <w:rPr>
                <w:rFonts w:cstheme="minorBidi"/>
              </w:rPr>
            </w:pPr>
            <w:r>
              <w:t>‘Re-constituted State’ (Marsh</w:t>
            </w:r>
            <w:r w:rsidR="0004277A">
              <w:rPr>
                <w:rFonts w:hint="eastAsia"/>
                <w:lang w:eastAsia="ja-JP"/>
              </w:rPr>
              <w:t xml:space="preserve"> et al</w:t>
            </w:r>
            <w:r>
              <w:t xml:space="preserve"> 2001, 2003; Richards and Smith 2002) </w:t>
            </w:r>
          </w:p>
          <w:p w14:paraId="64727E42" w14:textId="77777777" w:rsidR="00864652" w:rsidRDefault="00864652">
            <w:pPr>
              <w:pStyle w:val="NoSpacing"/>
            </w:pPr>
            <w:r>
              <w:t>‘State-Centric’ Approach (see Peters 2000)</w:t>
            </w:r>
          </w:p>
        </w:tc>
      </w:tr>
      <w:tr w:rsidR="00864652" w:rsidRPr="00D11EA4" w14:paraId="428E090B" w14:textId="77777777" w:rsidTr="00864652">
        <w:tc>
          <w:tcPr>
            <w:tcW w:w="2376"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E24C406" w14:textId="77777777" w:rsidR="00864652" w:rsidRDefault="00864652">
            <w:pPr>
              <w:pStyle w:val="NoSpacing"/>
            </w:pPr>
            <w:r>
              <w:t>Forces of governance</w:t>
            </w:r>
          </w:p>
        </w:tc>
        <w:tc>
          <w:tcPr>
            <w:tcW w:w="340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2380E6D5" w14:textId="77777777" w:rsidR="00864652" w:rsidRDefault="00864652">
            <w:pPr>
              <w:pStyle w:val="NoSpacing"/>
              <w:rPr>
                <w:lang w:val="fr-FR"/>
              </w:rPr>
            </w:pPr>
            <w:r>
              <w:rPr>
                <w:lang w:val="fr-FR"/>
              </w:rPr>
              <w:t>Globalisation, internationalisation, NPM, Neo-liberal reforms, Devolution etc.</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44C40" w14:textId="77777777" w:rsidR="00864652" w:rsidRDefault="00864652">
            <w:pPr>
              <w:pStyle w:val="NoSpacing"/>
              <w:rPr>
                <w:lang w:val="fr-FR"/>
              </w:rPr>
            </w:pPr>
            <w:r>
              <w:rPr>
                <w:lang w:val="fr-FR"/>
              </w:rPr>
              <w:t>Globalisation, Internationalisation, NPM, Neo-liberal reforms, Devolution etc.</w:t>
            </w:r>
          </w:p>
        </w:tc>
      </w:tr>
      <w:tr w:rsidR="00864652" w14:paraId="0E03D1B4" w14:textId="77777777" w:rsidTr="00864652">
        <w:tc>
          <w:tcPr>
            <w:tcW w:w="2376"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DFDC402" w14:textId="77777777" w:rsidR="00864652" w:rsidRDefault="00864652">
            <w:pPr>
              <w:pStyle w:val="NoSpacing"/>
            </w:pPr>
            <w:r>
              <w:t>Nature of policy-making arena</w:t>
            </w:r>
          </w:p>
        </w:tc>
        <w:tc>
          <w:tcPr>
            <w:tcW w:w="340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6B5578D6" w14:textId="77777777" w:rsidR="00864652" w:rsidRDefault="00864652">
            <w:pPr>
              <w:pStyle w:val="NoSpacing"/>
            </w:pPr>
            <w:r>
              <w:t>Multiple actors across a variety of terrains</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98A1A" w14:textId="77777777" w:rsidR="00864652" w:rsidRDefault="00864652">
            <w:pPr>
              <w:pStyle w:val="NoSpacing"/>
            </w:pPr>
            <w:r>
              <w:t>Multiple actors across a variety of terrains</w:t>
            </w:r>
          </w:p>
        </w:tc>
      </w:tr>
      <w:tr w:rsidR="00864652" w14:paraId="64149D8B" w14:textId="77777777" w:rsidTr="00864652">
        <w:tc>
          <w:tcPr>
            <w:tcW w:w="2376"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3909A17" w14:textId="77777777" w:rsidR="00864652" w:rsidRDefault="00864652">
            <w:pPr>
              <w:pStyle w:val="NoSpacing"/>
            </w:pPr>
            <w:r>
              <w:t>Nature of policy implementation</w:t>
            </w:r>
          </w:p>
        </w:tc>
        <w:tc>
          <w:tcPr>
            <w:tcW w:w="340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1D744AEF" w14:textId="77777777" w:rsidR="00864652" w:rsidRDefault="00864652">
            <w:pPr>
              <w:pStyle w:val="NoSpacing"/>
            </w:pPr>
            <w:r>
              <w:t>Multiple service delivery</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B7FDB" w14:textId="77777777" w:rsidR="00864652" w:rsidRDefault="00864652">
            <w:pPr>
              <w:pStyle w:val="NoSpacing"/>
            </w:pPr>
            <w:r>
              <w:t>Multiple service delivery</w:t>
            </w:r>
          </w:p>
        </w:tc>
      </w:tr>
      <w:tr w:rsidR="00864652" w14:paraId="62775562" w14:textId="77777777" w:rsidTr="00864652">
        <w:tc>
          <w:tcPr>
            <w:tcW w:w="2376"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5ECC50D" w14:textId="77777777" w:rsidR="00864652" w:rsidRDefault="00864652">
            <w:pPr>
              <w:pStyle w:val="NoSpacing"/>
            </w:pPr>
            <w:r>
              <w:t>Organising perspective of the political system</w:t>
            </w:r>
          </w:p>
        </w:tc>
        <w:tc>
          <w:tcPr>
            <w:tcW w:w="340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6750383F" w14:textId="77777777" w:rsidR="00864652" w:rsidRDefault="00864652">
            <w:pPr>
              <w:pStyle w:val="NoSpacing"/>
            </w:pPr>
            <w:r>
              <w:t>Differentiated polity (Rhodes 1997)</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AAF64" w14:textId="77777777" w:rsidR="00864652" w:rsidRDefault="00864652" w:rsidP="0024144B">
            <w:pPr>
              <w:pStyle w:val="NoSpacing"/>
            </w:pPr>
            <w:r>
              <w:t>Asymmetric polity (</w:t>
            </w:r>
            <w:r>
              <w:rPr>
                <w:noProof/>
              </w:rPr>
              <w:t>Marsh</w:t>
            </w:r>
            <w:r w:rsidR="0024144B">
              <w:rPr>
                <w:noProof/>
              </w:rPr>
              <w:t xml:space="preserve"> et al</w:t>
            </w:r>
            <w:r>
              <w:t xml:space="preserve"> 2003)</w:t>
            </w:r>
          </w:p>
        </w:tc>
      </w:tr>
      <w:tr w:rsidR="00864652" w14:paraId="7C235E63" w14:textId="77777777" w:rsidTr="00864652">
        <w:tc>
          <w:tcPr>
            <w:tcW w:w="2376"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7138A70" w14:textId="77777777" w:rsidR="00864652" w:rsidRDefault="00864652">
            <w:pPr>
              <w:pStyle w:val="NoSpacing"/>
            </w:pPr>
            <w:r>
              <w:t>Impact on state power</w:t>
            </w:r>
          </w:p>
        </w:tc>
        <w:tc>
          <w:tcPr>
            <w:tcW w:w="340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63B2AB80" w14:textId="77777777" w:rsidR="00864652" w:rsidRDefault="00864652">
            <w:pPr>
              <w:pStyle w:val="NoSpacing"/>
            </w:pPr>
            <w:r>
              <w:t xml:space="preserve">Oligopoly of the political market place </w:t>
            </w:r>
            <w:r>
              <w:rPr>
                <w:lang w:eastAsia="ja-JP"/>
              </w:rPr>
              <w:t xml:space="preserve"> - neo-pluralist</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A2BE9" w14:textId="6E124D1D" w:rsidR="00864652" w:rsidRDefault="00864652">
            <w:pPr>
              <w:pStyle w:val="NoSpacing"/>
              <w:rPr>
                <w:lang w:eastAsia="ja-JP"/>
              </w:rPr>
            </w:pPr>
            <w:r>
              <w:t xml:space="preserve">Concentrated </w:t>
            </w:r>
            <w:r>
              <w:rPr>
                <w:lang w:eastAsia="ja-JP"/>
              </w:rPr>
              <w:t xml:space="preserve"> - elitist</w:t>
            </w:r>
          </w:p>
        </w:tc>
      </w:tr>
      <w:tr w:rsidR="00864652" w14:paraId="1D95E97F" w14:textId="77777777" w:rsidTr="00864652">
        <w:tc>
          <w:tcPr>
            <w:tcW w:w="2376"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3E8E683" w14:textId="77777777" w:rsidR="00864652" w:rsidRDefault="00864652">
            <w:pPr>
              <w:pStyle w:val="NoSpacing"/>
            </w:pPr>
            <w:r>
              <w:t>Impact of change on the core executive</w:t>
            </w:r>
          </w:p>
        </w:tc>
        <w:tc>
          <w:tcPr>
            <w:tcW w:w="340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48E014D1" w14:textId="77777777" w:rsidR="00864652" w:rsidRDefault="00864652">
            <w:pPr>
              <w:pStyle w:val="NoSpacing"/>
            </w:pPr>
            <w:r>
              <w:t>Core executive power eroded by state transformation</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B7F0D" w14:textId="77777777" w:rsidR="00864652" w:rsidRDefault="00864652">
            <w:pPr>
              <w:pStyle w:val="NoSpacing"/>
            </w:pPr>
            <w:r>
              <w:t>Core executive power sustained by strategic response to state transformation</w:t>
            </w:r>
          </w:p>
        </w:tc>
      </w:tr>
      <w:tr w:rsidR="00864652" w14:paraId="3C3BAE5F" w14:textId="77777777" w:rsidTr="00864652">
        <w:tc>
          <w:tcPr>
            <w:tcW w:w="2376"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B2B6376" w14:textId="77777777" w:rsidR="00864652" w:rsidRDefault="00864652">
            <w:pPr>
              <w:pStyle w:val="NoSpacing"/>
            </w:pPr>
            <w:r>
              <w:t>Reform of Whitehall under New Labour</w:t>
            </w:r>
          </w:p>
        </w:tc>
        <w:tc>
          <w:tcPr>
            <w:tcW w:w="340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6A9373CA" w14:textId="77777777" w:rsidR="00864652" w:rsidRDefault="00864652">
            <w:pPr>
              <w:pStyle w:val="NoSpacing"/>
            </w:pPr>
            <w:r>
              <w:t>Elite failure to recognise extent of differentiation – reforms therefore premised on a misconceived diagnosis.</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E08FD" w14:textId="77777777" w:rsidR="00864652" w:rsidRDefault="00864652">
            <w:pPr>
              <w:pStyle w:val="NoSpacing"/>
            </w:pPr>
            <w:r>
              <w:t>Attempts to reinvigorate the Westminster model (WM2) while enhancing autonomy for policy delivery agents (NPM2)</w:t>
            </w:r>
          </w:p>
        </w:tc>
      </w:tr>
    </w:tbl>
    <w:p w14:paraId="589D51E5" w14:textId="77777777" w:rsidR="00864652" w:rsidRDefault="00864652" w:rsidP="00864652">
      <w:pPr>
        <w:ind w:firstLine="284"/>
        <w:rPr>
          <w:rFonts w:cstheme="minorBidi"/>
        </w:rPr>
      </w:pPr>
    </w:p>
    <w:p w14:paraId="265BA0CD" w14:textId="77777777" w:rsidR="00864652" w:rsidRDefault="00864652" w:rsidP="00DF1E87">
      <w:pPr>
        <w:ind w:firstLine="284"/>
      </w:pPr>
      <w:r>
        <w:t xml:space="preserve">The approach of the reconstituted state thesis offers a </w:t>
      </w:r>
      <w:r w:rsidR="00B37DA2">
        <w:t>potentially insightful</w:t>
      </w:r>
      <w:r>
        <w:t xml:space="preserve"> analytical framework for this thesis. Exploring the transformation of the Japanese state in regulation directly relates to the state’s political and institutional capacity to steer and the role of the state vis-à-vis the interests of other influential actors. This thesis has clear parallel</w:t>
      </w:r>
      <w:r w:rsidR="00B37DA2">
        <w:t>s</w:t>
      </w:r>
      <w:r>
        <w:t xml:space="preserve"> with Vogel (1996) in which key state actors in the UK and Japan pursued a range of regulatory reforms. This position draws from the view that state actors are in an asymmetrically advantageous position through the fact that the state makes its decisions within the close circle of core state actors (the core executive) (Vogel 1996 pp.18-9). Together with a common political characteristic shared by Japan and the UK as parliamentary democracies, this asymmetric nature of the core executive in these two countries offers a justification for this thesis drawing its analytical framework from </w:t>
      </w:r>
      <w:r w:rsidR="006B755F">
        <w:rPr>
          <w:rFonts w:hint="eastAsia"/>
          <w:lang w:eastAsia="ja-JP"/>
        </w:rPr>
        <w:t xml:space="preserve">Richards (2008) and </w:t>
      </w:r>
      <w:r w:rsidR="00B37DA2">
        <w:t>Marsh et al (2003).</w:t>
      </w:r>
      <w:r w:rsidR="00C2244E">
        <w:t xml:space="preserve"> Therefore, </w:t>
      </w:r>
      <w:r w:rsidR="00DF1E87">
        <w:t xml:space="preserve">referring to the specific political conditions of Japan and the UK presented above, </w:t>
      </w:r>
      <w:r w:rsidR="00C2244E">
        <w:t xml:space="preserve">this thesis </w:t>
      </w:r>
      <w:r w:rsidR="00311670">
        <w:t xml:space="preserve">transfers and </w:t>
      </w:r>
      <w:r w:rsidR="00F265C5">
        <w:t>employs</w:t>
      </w:r>
      <w:r w:rsidR="00C2244E">
        <w:t xml:space="preserve"> </w:t>
      </w:r>
      <w:r w:rsidR="00F265C5">
        <w:t>the framework proposed by Richards (2008) and Marsh et al (2003) as the basis of its exploration.</w:t>
      </w:r>
    </w:p>
    <w:p w14:paraId="24348D73" w14:textId="77777777" w:rsidR="00864652" w:rsidRDefault="00864652" w:rsidP="00864652">
      <w:pPr>
        <w:ind w:firstLine="284"/>
      </w:pPr>
      <w:r>
        <w:t xml:space="preserve">Within this broad analytical framework emerge the following two concepts as key for the theme of this thesis: the core executive and the regulatory state. The concept of the core executive captures the central government and its broader policy making context by widening the focus of central government studies and applying a range of conceptual and theoretical approaches to the core executive (Smith 1999 p.4). As </w:t>
      </w:r>
      <w:r w:rsidR="009A2799">
        <w:t>Table 3.</w:t>
      </w:r>
      <w:r w:rsidR="00FD4B39">
        <w:rPr>
          <w:rFonts w:hint="eastAsia"/>
          <w:lang w:eastAsia="ja-JP"/>
        </w:rPr>
        <w:t>2</w:t>
      </w:r>
      <w:r>
        <w:t xml:space="preserve"> reveals</w:t>
      </w:r>
      <w:r w:rsidR="00E81CBF">
        <w:t>,</w:t>
      </w:r>
      <w:r>
        <w:t xml:space="preserve"> the concept of the core executive is a vehicle to capture the fluid and relational nature of power through observing how </w:t>
      </w:r>
      <w:r w:rsidR="008E310A">
        <w:t xml:space="preserve">the </w:t>
      </w:r>
      <w:r>
        <w:t>power of actors has changed in the transformative process of the state. Another analytical tool for this thesis is the concept of the regulatory</w:t>
      </w:r>
      <w:r>
        <w:rPr>
          <w:lang w:eastAsia="ja-JP"/>
        </w:rPr>
        <w:t xml:space="preserve"> state</w:t>
      </w:r>
      <w:r>
        <w:t xml:space="preserve">, which is key for exploring regulation and governance (Jordana and Levi-Faur 2004). Regulation has played a significant role in the transformative process of the state vis-à-vis market; the reconstituted state has employed it as a key tool to steer the market and society (Peters 1996 p.6, Sorensen 2004 pp.31-9, Richards 2008 pp.121-2, Vogel 1996). </w:t>
      </w:r>
      <w:r>
        <w:rPr>
          <w:lang w:eastAsia="ja-JP"/>
        </w:rPr>
        <w:t>The increasing usage of regulation is a core characteristic of the reconstituted state in relation to society (Smith 2009 p.171); exploring the development of regulation in specific cases offer</w:t>
      </w:r>
      <w:r w:rsidR="00807AEE">
        <w:rPr>
          <w:rFonts w:hint="eastAsia"/>
          <w:lang w:eastAsia="ja-JP"/>
        </w:rPr>
        <w:t>s</w:t>
      </w:r>
      <w:r>
        <w:rPr>
          <w:lang w:eastAsia="ja-JP"/>
        </w:rPr>
        <w:t xml:space="preserve"> an </w:t>
      </w:r>
      <w:r w:rsidR="008E310A">
        <w:rPr>
          <w:lang w:eastAsia="ja-JP"/>
        </w:rPr>
        <w:t xml:space="preserve">approach that can </w:t>
      </w:r>
      <w:r>
        <w:rPr>
          <w:lang w:eastAsia="ja-JP"/>
        </w:rPr>
        <w:t>explain the key characteristics of the reconstituted state</w:t>
      </w:r>
      <w:r w:rsidR="0004277A">
        <w:rPr>
          <w:rFonts w:hint="eastAsia"/>
          <w:lang w:eastAsia="ja-JP"/>
        </w:rPr>
        <w:t>.</w:t>
      </w:r>
      <w:r w:rsidR="008E310A">
        <w:t xml:space="preserve"> A</w:t>
      </w:r>
      <w:r w:rsidR="00E559E7">
        <w:rPr>
          <w:rFonts w:hint="eastAsia"/>
          <w:lang w:eastAsia="ja-JP"/>
        </w:rPr>
        <w:t>s</w:t>
      </w:r>
      <w:r w:rsidR="008E310A">
        <w:t xml:space="preserve"> such, the</w:t>
      </w:r>
      <w:r>
        <w:t xml:space="preserve"> next section </w:t>
      </w:r>
      <w:r w:rsidR="008E310A">
        <w:t>provides an overview of</w:t>
      </w:r>
      <w:r w:rsidR="0004277A">
        <w:rPr>
          <w:rFonts w:hint="eastAsia"/>
          <w:lang w:eastAsia="ja-JP"/>
        </w:rPr>
        <w:t xml:space="preserve"> </w:t>
      </w:r>
      <w:r>
        <w:t>these two key concep</w:t>
      </w:r>
      <w:r w:rsidR="0004277A">
        <w:rPr>
          <w:rFonts w:hint="eastAsia"/>
          <w:lang w:eastAsia="ja-JP"/>
        </w:rPr>
        <w:t>ts</w:t>
      </w:r>
      <w:r w:rsidR="008E310A">
        <w:t xml:space="preserve">. </w:t>
      </w:r>
    </w:p>
    <w:p w14:paraId="0F23385E" w14:textId="77777777" w:rsidR="00864652" w:rsidRDefault="00864652" w:rsidP="00864652">
      <w:pPr>
        <w:ind w:firstLine="284"/>
      </w:pPr>
    </w:p>
    <w:p w14:paraId="55361B7B" w14:textId="77777777" w:rsidR="00A57228" w:rsidRDefault="00A57228" w:rsidP="00864652">
      <w:pPr>
        <w:ind w:firstLine="284"/>
      </w:pPr>
    </w:p>
    <w:p w14:paraId="17C91368" w14:textId="77777777" w:rsidR="00864652" w:rsidRDefault="00864652" w:rsidP="00050D4B">
      <w:pPr>
        <w:pStyle w:val="Heading2"/>
      </w:pPr>
      <w:bookmarkStart w:id="25" w:name="_Toc349741347"/>
      <w:r>
        <w:t>3</w:t>
      </w:r>
      <w:r>
        <w:rPr>
          <w:rFonts w:eastAsiaTheme="minorEastAsia"/>
        </w:rPr>
        <w:t>.4</w:t>
      </w:r>
      <w:r>
        <w:rPr>
          <w:rFonts w:eastAsiaTheme="minorEastAsia"/>
        </w:rPr>
        <w:tab/>
      </w:r>
      <w:r w:rsidR="008E310A">
        <w:t>A</w:t>
      </w:r>
      <w:r>
        <w:t>pproaches to governance: the core executive and the regulatory state</w:t>
      </w:r>
      <w:bookmarkEnd w:id="25"/>
    </w:p>
    <w:p w14:paraId="17FA2878" w14:textId="77777777" w:rsidR="00864652" w:rsidRDefault="00864652" w:rsidP="00864652"/>
    <w:p w14:paraId="72EF3318" w14:textId="77777777" w:rsidR="00864652" w:rsidRDefault="00864652" w:rsidP="00050D4B">
      <w:pPr>
        <w:pStyle w:val="Heading3"/>
      </w:pPr>
      <w:bookmarkStart w:id="26" w:name="_Toc349741348"/>
      <w:r>
        <w:t>3.4.1</w:t>
      </w:r>
      <w:r>
        <w:tab/>
        <w:t>The core executive</w:t>
      </w:r>
      <w:bookmarkEnd w:id="26"/>
    </w:p>
    <w:p w14:paraId="5D882610" w14:textId="77777777" w:rsidR="00864652" w:rsidRDefault="00864652" w:rsidP="00864652">
      <w:r>
        <w:t>The concept of the core executive emerged in the critiques of the Westminster model</w:t>
      </w:r>
      <w:r w:rsidR="008E310A">
        <w:t xml:space="preserve"> with</w:t>
      </w:r>
      <w:r>
        <w:t xml:space="preserve">in the British political science literature (Smith 1999). An early conceptualisation aiming at the core of the state machinery includes Madgwick (1991), who employs ‘the Central Executive Territory’ as </w:t>
      </w:r>
      <w:r w:rsidR="0069009D">
        <w:t>a</w:t>
      </w:r>
      <w:r>
        <w:t xml:space="preserve"> term referring to ‘the complex of Prime Minister, Cabinet, committees, Cabinet Office, Prime Minister’s Office, with attendant ministers, advisers and officials’ in the UK (p.5). </w:t>
      </w:r>
      <w:r w:rsidR="008E310A">
        <w:t xml:space="preserve">Similarly, </w:t>
      </w:r>
      <w:r>
        <w:t>Dunleavy and Rhodes (1990 p.4) propose the term ‘the core executive’ as a modernised conceptualisation of the central policy coordinating machinery in the British government, referring to it as: ‘functionally to include all those organizations and structures which primarily serve to pull together and integrate central government policies, or act as final arbiters within the executive of conflicts between different elements of the government machine’. This functional definition is further developed by Rhodes (1995b), who defines the core executive as: ‘all those organisations and procedures which coordinate central government policies, and act as final arbiters of conflict between different parts of the government machine’ (p.12).  Rhodes’ (1995b) characterisation avers (p.12):</w:t>
      </w:r>
    </w:p>
    <w:p w14:paraId="4B2927E0" w14:textId="77777777" w:rsidR="00864652" w:rsidRDefault="00864652" w:rsidP="00864652"/>
    <w:p w14:paraId="04EBA414" w14:textId="77777777" w:rsidR="00495655" w:rsidRDefault="00864652" w:rsidP="005B18BE">
      <w:pPr>
        <w:pStyle w:val="Quote"/>
      </w:pPr>
      <w:r>
        <w:t>In brief, the ‘core executive’ is the heart of the machine, covering the complex web of institutions, networks and practices surrounding the prime minister, cabinet, cabinet committees and their official counterparts, less formalised ministerial ‘clubs’ or meetings, bilateral negotiations and interdepartmental committees. It also includes coordinating departments, chiefly the Cabinet Office, the Treasury, the Foreign Office, the law officers and the security and intelligence services.</w:t>
      </w:r>
    </w:p>
    <w:p w14:paraId="5F0255BA" w14:textId="77777777" w:rsidR="00864652" w:rsidRDefault="00864652" w:rsidP="00864652"/>
    <w:p w14:paraId="779F9ED4" w14:textId="77777777" w:rsidR="00864652" w:rsidRDefault="00864652" w:rsidP="00864652">
      <w:r>
        <w:t xml:space="preserve">The scope of the core executive is </w:t>
      </w:r>
      <w:r w:rsidR="008E310A">
        <w:t xml:space="preserve">outlined </w:t>
      </w:r>
      <w:r>
        <w:t>by Smith (1999 p.5), who adds departments in the core executive for the following two reasons: ‘they are the core policy-making units within central government; and they are headed by ministers who are key actors within the institutions of the core executive’.</w:t>
      </w:r>
    </w:p>
    <w:p w14:paraId="419D1830" w14:textId="77777777" w:rsidR="00864652" w:rsidRDefault="00864652" w:rsidP="00EE6942">
      <w:pPr>
        <w:ind w:firstLine="284"/>
      </w:pPr>
      <w:r>
        <w:t xml:space="preserve">The analysis of the core executive started from the critique to the previous approach focusing on relative power of the key positions such as the </w:t>
      </w:r>
      <w:r w:rsidR="00EE6942">
        <w:t>P</w:t>
      </w:r>
      <w:r>
        <w:t xml:space="preserve">rime </w:t>
      </w:r>
      <w:r w:rsidR="00EE6942">
        <w:t>M</w:t>
      </w:r>
      <w:r>
        <w:t xml:space="preserve">inisters and </w:t>
      </w:r>
      <w:r w:rsidR="00EE6942">
        <w:t>C</w:t>
      </w:r>
      <w:r>
        <w:t>abinet and their incumbents in the studies of the British executive (Rhodes 2007 p.1247).  Smith (1999 p.11) argues that the characteristics of the previous model (Westminster model) is institutional, behavioural, and constitutional, which views power as observable. In the Westminster model power belongs to a particular actor or institution such as in the cabinet or the Prime Minister or the civil service (Smith 1999 p.13). This point is criticised by Smith (1999 p.13) in the following:</w:t>
      </w:r>
    </w:p>
    <w:p w14:paraId="42B5B5F0" w14:textId="77777777" w:rsidR="00864652" w:rsidRDefault="00864652" w:rsidP="00864652">
      <w:pPr>
        <w:ind w:firstLine="284"/>
      </w:pPr>
    </w:p>
    <w:p w14:paraId="5011A37C" w14:textId="77777777" w:rsidR="00495655" w:rsidRDefault="00864652" w:rsidP="005B18BE">
      <w:pPr>
        <w:pStyle w:val="Quote"/>
      </w:pPr>
      <w:r>
        <w:t>While providing important empirical material, their analysis remains within the framework of the constitution and they fail to explicate their definition of power. Consequently, the conception of power is both crude and static. Power is ascribed to an institution or person and fixed to that person regardless of the issue or the context. Power may move from the Prime Minister to the cabinet over time, but it is not seen as fluid within a particular situation. Moreover, there is almost no consideration of how actors relate to their structural situation or how relationships vary across time.</w:t>
      </w:r>
    </w:p>
    <w:p w14:paraId="4FB9AA15" w14:textId="77777777" w:rsidR="00864652" w:rsidRDefault="00864652" w:rsidP="00864652">
      <w:pPr>
        <w:ind w:left="284"/>
      </w:pPr>
    </w:p>
    <w:p w14:paraId="20BEBFE6" w14:textId="77777777" w:rsidR="00864652" w:rsidRDefault="00864652" w:rsidP="00864652">
      <w:pPr>
        <w:ind w:firstLine="284"/>
      </w:pPr>
      <w:r>
        <w:t>Smith (1999 p.13) also highlights as another problem the previous model’s primary emphasis on actors’ personality and individual volition. Because too much attention is placed on key figures and their dependency, other important issues such as institutions are left behind (Smith 1999 p.14).</w:t>
      </w:r>
    </w:p>
    <w:p w14:paraId="50D48CFB" w14:textId="77777777" w:rsidR="00864652" w:rsidRDefault="00864652" w:rsidP="00864652">
      <w:pPr>
        <w:ind w:firstLine="284"/>
        <w:rPr>
          <w:lang w:eastAsia="ja-JP"/>
        </w:rPr>
      </w:pPr>
      <w:r>
        <w:rPr>
          <w:lang w:eastAsia="ja-JP"/>
        </w:rPr>
        <w:t xml:space="preserve">The analysis of power based on the Westminster model in British political science literature has a parallel to that of the previous literature on Japan. For example, Johnson (1982) presumes that power is located within key state actors such as the MITI </w:t>
      </w:r>
      <w:r>
        <w:t xml:space="preserve">(Ministry of International Trade and Industry) </w:t>
      </w:r>
      <w:r>
        <w:rPr>
          <w:lang w:eastAsia="ja-JP"/>
        </w:rPr>
        <w:t>and LDP (Liberal Democratic Party) politicians. The counter theses to Johnson (1982) such as the pluralist literature (e.g. Muramatsu and Krauss 1987) and the rational choice literature (e.g. Ramseyer and Rosenbluth 1993) do not challenge on this point. Their analysis focuses on bargaining processes (pluralist) or rational choices and preferences (rational choice). This group of literature highlights observable power with the evident foundation such as formal and informal institutions, political contexts, and personality. Their analysis of power is static rather than fluid; for example, I’io (2007) proposes his bureaucratic Cabinet system by analysing the power relations between civil servants and party politicians based on the LDP’s established internal rules under the LDP governments, leaving interdependent relationships between civil servants and party politicians untouched. Although this approach reveals the persistent strength of civil servants within the core executive, it fails to highlight the interdependent nature of the relationship between civil servants and party politicians within the core executive.</w:t>
      </w:r>
    </w:p>
    <w:p w14:paraId="05315C64" w14:textId="77777777" w:rsidR="00864652" w:rsidRDefault="00864652" w:rsidP="00864652">
      <w:pPr>
        <w:ind w:firstLine="284"/>
      </w:pPr>
      <w:r>
        <w:t>The concept of the core executive emerged as an alternative to the Westminster model and its criticism</w:t>
      </w:r>
      <w:r w:rsidR="008E310A">
        <w:t>s</w:t>
      </w:r>
      <w:r>
        <w:t xml:space="preserve"> (Smith 1999). Behind this concept are a different perspective to power and an intention</w:t>
      </w:r>
      <w:r w:rsidR="008E310A">
        <w:t xml:space="preserve"> of</w:t>
      </w:r>
      <w:r>
        <w:t xml:space="preserve"> bringing institutions back in the debate (Rhodes 2007 p.1247).</w:t>
      </w:r>
    </w:p>
    <w:p w14:paraId="51B22EAF" w14:textId="77777777" w:rsidR="00864652" w:rsidRDefault="00864652" w:rsidP="00864652">
      <w:pPr>
        <w:ind w:firstLine="284"/>
      </w:pPr>
      <w:r>
        <w:t>The former is clearly set out by Smith (1999 p.14): ‘(p)ower has to be seen as fluid and relational, not static. In that sense, power does not lie anywhere within the system because it is everywhere – all actors have resources, and the outcomes need to be negotiated’. Power under this concept is based on resource dependency; any actor in the core executive needs others’ resources to achieve its goal because none of them monopolises resources (Smith 1999 p.35). This view on power implicates that power is relational between actors, fluid, and unpredictable; power is determined through negotiations within the complex nexus of the core executive, in which many causes and interactions will affect outcomes (Smith 1999 pp.35-6).</w:t>
      </w:r>
    </w:p>
    <w:p w14:paraId="3BB5DEEB" w14:textId="77777777" w:rsidR="00864652" w:rsidRDefault="00864652" w:rsidP="00864652">
      <w:pPr>
        <w:ind w:firstLine="284"/>
      </w:pPr>
      <w:r>
        <w:t>This view on power about the core executive actors contrasts with power between the core executive actors and societal actors. The key to understand</w:t>
      </w:r>
      <w:r w:rsidR="00B946E1">
        <w:t>ing</w:t>
      </w:r>
      <w:r>
        <w:t xml:space="preserve"> the difference is the concept of networks within the system of governance. The core executive after the 1980s has operated through networks within and between various elements of the state and civil society rather than formal institutions (Smith 1999 p.251). The nature of networks between the core executive and society is different from that within the core executive (Smith 1999 p.251):</w:t>
      </w:r>
    </w:p>
    <w:p w14:paraId="4B35B410" w14:textId="77777777" w:rsidR="00864652" w:rsidRDefault="00864652" w:rsidP="00864652">
      <w:pPr>
        <w:ind w:left="284"/>
      </w:pPr>
    </w:p>
    <w:p w14:paraId="6649A9B8" w14:textId="77777777" w:rsidR="00495655" w:rsidRDefault="00864652" w:rsidP="005B18BE">
      <w:pPr>
        <w:pStyle w:val="Quote"/>
      </w:pPr>
      <w:r>
        <w:t>When we are analysing a closed policy community between a department and a pressure group, we are often looking at a particular power relationship. This type of network is a mechanism for excluding certain groups and defining policy issues in a particular way. Therefore, the policy community is constituting a particular power relationship and the nature of the relationship can explain policy outcomes.</w:t>
      </w:r>
    </w:p>
    <w:p w14:paraId="3300E4DE" w14:textId="77777777" w:rsidR="00864652" w:rsidRDefault="00864652" w:rsidP="00864652">
      <w:pPr>
        <w:ind w:left="284"/>
      </w:pPr>
    </w:p>
    <w:p w14:paraId="4458D724" w14:textId="77777777" w:rsidR="00864652" w:rsidRDefault="00864652" w:rsidP="00864652">
      <w:pPr>
        <w:rPr>
          <w:rFonts w:cstheme="minorBidi"/>
        </w:rPr>
      </w:pPr>
      <w:r>
        <w:t xml:space="preserve">Elsewhere, </w:t>
      </w:r>
      <w:r w:rsidR="0085033E">
        <w:rPr>
          <w:rFonts w:hint="eastAsia"/>
          <w:lang w:eastAsia="ja-JP"/>
        </w:rPr>
        <w:t xml:space="preserve">because the core executive actors do not walk away from </w:t>
      </w:r>
      <w:r w:rsidR="00B946E1">
        <w:rPr>
          <w:lang w:eastAsia="ja-JP"/>
        </w:rPr>
        <w:t>their</w:t>
      </w:r>
      <w:r w:rsidR="0085033E">
        <w:rPr>
          <w:rFonts w:hint="eastAsia"/>
          <w:lang w:eastAsia="ja-JP"/>
        </w:rPr>
        <w:t xml:space="preserve"> own network, the nature of power and </w:t>
      </w:r>
      <w:r w:rsidR="0085033E">
        <w:rPr>
          <w:lang w:eastAsia="ja-JP"/>
        </w:rPr>
        <w:t>resource</w:t>
      </w:r>
      <w:r w:rsidR="0085033E">
        <w:rPr>
          <w:rFonts w:hint="eastAsia"/>
          <w:lang w:eastAsia="ja-JP"/>
        </w:rPr>
        <w:t xml:space="preserve"> dependency within the core executive i</w:t>
      </w:r>
      <w:r w:rsidR="000336D5">
        <w:rPr>
          <w:rFonts w:hint="eastAsia"/>
          <w:lang w:eastAsia="ja-JP"/>
        </w:rPr>
        <w:t>s</w:t>
      </w:r>
      <w:r w:rsidR="0085033E">
        <w:rPr>
          <w:rFonts w:hint="eastAsia"/>
          <w:lang w:eastAsia="ja-JP"/>
        </w:rPr>
        <w:t xml:space="preserve"> different</w:t>
      </w:r>
      <w:r>
        <w:t xml:space="preserve"> (Smith 1999 p.251):</w:t>
      </w:r>
    </w:p>
    <w:p w14:paraId="1F42464A" w14:textId="77777777" w:rsidR="00864652" w:rsidRDefault="00864652" w:rsidP="00864652">
      <w:r>
        <w:t xml:space="preserve"> </w:t>
      </w:r>
    </w:p>
    <w:p w14:paraId="4C8F3FED" w14:textId="77777777" w:rsidR="00495655" w:rsidRDefault="00864652" w:rsidP="005B18BE">
      <w:pPr>
        <w:pStyle w:val="Quote"/>
      </w:pPr>
      <w:r>
        <w:t>They (networks within the core executive) describe the relationships of dependency that exist between various actors and institutions within the central state. Because the actors within the core are playing by certain rules of the game, they cannot, within this universe, be excluded from the network. Therefore, the networks are less often about power relationships. In these circumstances, the nature of power is analysed not through the network but through the degree of resource dependency between actors, because in most cases actors cannot be removed from networks.</w:t>
      </w:r>
    </w:p>
    <w:p w14:paraId="2E944608" w14:textId="77777777" w:rsidR="00864652" w:rsidRDefault="00864652" w:rsidP="00864652"/>
    <w:p w14:paraId="094F8012" w14:textId="77777777" w:rsidR="00864652" w:rsidRDefault="00864652" w:rsidP="00864652">
      <w:r>
        <w:t xml:space="preserve">Smith (1999 p.251) concludes that what is important is not being a member of networks within the core executive but what the nature of the dependency </w:t>
      </w:r>
      <w:r w:rsidR="00B946E1">
        <w:t xml:space="preserve">is </w:t>
      </w:r>
      <w:r>
        <w:t>between actors within the networks; this makes networks within the core executive fluid. This framework offers a view that the core executive has asymmetric relationships with society based on power relations, while the relationship within is fluid and resource dependent. It is dominant in relation to societal actors, and resource dependent within itself.</w:t>
      </w:r>
    </w:p>
    <w:p w14:paraId="49F0D9E0" w14:textId="77777777" w:rsidR="00864652" w:rsidRDefault="00864652" w:rsidP="00864652">
      <w:pPr>
        <w:ind w:firstLine="284"/>
      </w:pPr>
      <w:r>
        <w:t>The latter is understood as analysing the core executive in terms of structure and agency. The flux nature of structure and agency enables researchers to capture the fluid nature of the state (Smith 1999 p.30). In Rhodes’ (2007 p.1247) words:</w:t>
      </w:r>
    </w:p>
    <w:p w14:paraId="37E34E14" w14:textId="77777777" w:rsidR="00864652" w:rsidRDefault="00864652" w:rsidP="00864652">
      <w:pPr>
        <w:ind w:firstLine="284"/>
      </w:pPr>
    </w:p>
    <w:p w14:paraId="263717BB" w14:textId="77777777" w:rsidR="00495655" w:rsidRDefault="00864652" w:rsidP="005B18BE">
      <w:pPr>
        <w:pStyle w:val="Quote"/>
      </w:pPr>
      <w:r>
        <w:t xml:space="preserve">Instead of such a positional approach, the executive can be defined in functional terms. So, instead of asking which position is important, we can ask which functions define the innermost part or heart of British government? The core functions of the British executive are to pull together and integrate central government policies and to act as final arbiters of conflicts between different elements of the government machine. These functions can be carried out by institutions other than </w:t>
      </w:r>
      <w:r w:rsidR="00B946E1">
        <w:t xml:space="preserve">the </w:t>
      </w:r>
      <w:r>
        <w:t>prime minister and cabinet; for example, the Treasury and the Cabinet Office. By defining the core executive in functional terms, the key question becomes: ‘Who does what?’ (Rhodes 1995b).</w:t>
      </w:r>
    </w:p>
    <w:p w14:paraId="2A9618D5" w14:textId="77777777" w:rsidR="00864652" w:rsidRDefault="00864652" w:rsidP="00864652">
      <w:pPr>
        <w:ind w:left="284"/>
      </w:pPr>
    </w:p>
    <w:p w14:paraId="5B436A2F" w14:textId="77777777" w:rsidR="00864652" w:rsidRDefault="00864652" w:rsidP="00864652">
      <w:pPr>
        <w:ind w:firstLine="284"/>
      </w:pPr>
      <w:r>
        <w:t xml:space="preserve">The core executive model by Smith (1999) is based on the framework in which actors are analysed within their structural contexts exploring the terrain actors operate </w:t>
      </w:r>
      <w:r w:rsidR="00B946E1">
        <w:t xml:space="preserve">in </w:t>
      </w:r>
      <w:r>
        <w:t xml:space="preserve">and the choices they make (Smith 1999 p.244). To clarify his analytical framework, Smith (1999) highlights his key actors’ respective resources, terrains, and constraints, the points of which are summarised in </w:t>
      </w:r>
      <w:r w:rsidR="009A2799">
        <w:t>Table 3.3</w:t>
      </w:r>
      <w:r>
        <w:t>. Within Smith’s (1999) analytical framework a dialectic relationship can be observed between structure and agency</w:t>
      </w:r>
      <w:r w:rsidR="00335A40">
        <w:t xml:space="preserve">; </w:t>
      </w:r>
      <w:r>
        <w:t xml:space="preserve">actors reproduce structures, whereas the structures are created by agency. Actors in Smith (1999) are dependent on each other rather than compete. They aim at achieving their respective goals through the process of acquiring necessary resources from others. This process depends on the contest and the choices of strategies and tactics of the actors within the limitation of </w:t>
      </w:r>
      <w:r w:rsidR="009A37C4">
        <w:t xml:space="preserve">the </w:t>
      </w:r>
      <w:r>
        <w:t>external politico-economic context (Smith 1999 p.246).</w:t>
      </w:r>
    </w:p>
    <w:p w14:paraId="444D7FDD" w14:textId="77777777" w:rsidR="00864652" w:rsidRDefault="00864652" w:rsidP="00864652">
      <w:pPr>
        <w:ind w:firstLine="284"/>
      </w:pPr>
    </w:p>
    <w:p w14:paraId="6C2F259D" w14:textId="77777777" w:rsidR="00864652" w:rsidRDefault="009A2799" w:rsidP="00DA2E02">
      <w:pPr>
        <w:pStyle w:val="Heading4"/>
        <w:rPr>
          <w:lang w:eastAsia="ja-JP"/>
        </w:rPr>
      </w:pPr>
      <w:r>
        <w:t>Table 3.3</w:t>
      </w:r>
      <w:r w:rsidR="00864652">
        <w:t>: The structural terrains of the core executive actors (based on Smith 1999 p.32, pp.244-6)</w:t>
      </w:r>
    </w:p>
    <w:p w14:paraId="67C2DA30" w14:textId="77777777" w:rsidR="00864652" w:rsidRDefault="00864652" w:rsidP="00864652">
      <w:pPr>
        <w:pStyle w:val="NoSpacing"/>
        <w:rPr>
          <w:lang w:eastAsia="ja-JP"/>
        </w:rPr>
      </w:pPr>
    </w:p>
    <w:tbl>
      <w:tblPr>
        <w:tblStyle w:val="TableGrid"/>
        <w:tblW w:w="0" w:type="auto"/>
        <w:tblLook w:val="04A0" w:firstRow="1" w:lastRow="0" w:firstColumn="1" w:lastColumn="0" w:noHBand="0" w:noVBand="1"/>
      </w:tblPr>
      <w:tblGrid>
        <w:gridCol w:w="1231"/>
        <w:gridCol w:w="2430"/>
        <w:gridCol w:w="2617"/>
        <w:gridCol w:w="2442"/>
      </w:tblGrid>
      <w:tr w:rsidR="00864652" w14:paraId="108B5E15" w14:textId="77777777" w:rsidTr="0086465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393961D8" w14:textId="77777777" w:rsidR="00864652" w:rsidRDefault="00864652" w:rsidP="00864652">
            <w:pPr>
              <w:pStyle w:val="NoSpacing"/>
              <w:jc w:val="cente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696B5F5A" w14:textId="77777777" w:rsidR="00864652" w:rsidRDefault="00864652" w:rsidP="00864652">
            <w:pPr>
              <w:pStyle w:val="NoSpacing"/>
              <w:jc w:val="center"/>
              <w:rPr>
                <w:rFonts w:cstheme="minorBidi"/>
                <w:szCs w:val="22"/>
                <w:lang w:eastAsia="ja-JP"/>
              </w:rPr>
            </w:pPr>
            <w:r>
              <w:t>Prime Ministers (PMs)</w:t>
            </w:r>
          </w:p>
          <w:p w14:paraId="5735EF43" w14:textId="77777777" w:rsidR="00864652" w:rsidRDefault="00864652" w:rsidP="00864652">
            <w:pPr>
              <w:pStyle w:val="NoSpacing"/>
              <w:jc w:val="center"/>
              <w:rPr>
                <w:lang w:eastAsia="ja-JP"/>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4B28C8F0" w14:textId="77777777" w:rsidR="00864652" w:rsidRDefault="00864652" w:rsidP="00864652">
            <w:pPr>
              <w:pStyle w:val="NoSpacing"/>
              <w:jc w:val="center"/>
            </w:pPr>
            <w:r>
              <w:t>Cabinet Ministers (CMs)</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76B172BB" w14:textId="77777777" w:rsidR="00864652" w:rsidRDefault="00864652" w:rsidP="00864652">
            <w:pPr>
              <w:pStyle w:val="NoSpacing"/>
              <w:jc w:val="center"/>
            </w:pPr>
            <w:r>
              <w:t>Civil servants</w:t>
            </w:r>
          </w:p>
        </w:tc>
      </w:tr>
      <w:tr w:rsidR="00864652" w14:paraId="04C648C2" w14:textId="77777777" w:rsidTr="0086465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4FFB4" w14:textId="77777777" w:rsidR="00864652" w:rsidRDefault="00864652">
            <w:pPr>
              <w:pStyle w:val="NoSpacing"/>
            </w:pPr>
            <w:r>
              <w:t>Resources</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27F72" w14:textId="77777777" w:rsidR="00864652" w:rsidRDefault="00864652">
            <w:pPr>
              <w:pStyle w:val="NoSpacing"/>
              <w:rPr>
                <w:rFonts w:cstheme="minorBidi"/>
                <w:szCs w:val="22"/>
              </w:rPr>
            </w:pPr>
            <w:r>
              <w:t>Patronage</w:t>
            </w:r>
          </w:p>
          <w:p w14:paraId="6B101732" w14:textId="77777777" w:rsidR="00864652" w:rsidRDefault="00864652">
            <w:pPr>
              <w:pStyle w:val="NoSpacing"/>
            </w:pPr>
            <w:r>
              <w:t>Authority</w:t>
            </w:r>
          </w:p>
          <w:p w14:paraId="6356D0BF" w14:textId="77777777" w:rsidR="00864652" w:rsidRDefault="00864652">
            <w:pPr>
              <w:pStyle w:val="NoSpacing"/>
            </w:pPr>
            <w:r>
              <w:t>Political support/party</w:t>
            </w:r>
          </w:p>
          <w:p w14:paraId="14932BB2" w14:textId="77777777" w:rsidR="00864652" w:rsidRDefault="00864652">
            <w:pPr>
              <w:pStyle w:val="NoSpacing"/>
            </w:pPr>
            <w:r>
              <w:t>Political support/electorate</w:t>
            </w:r>
          </w:p>
          <w:p w14:paraId="6D000C40" w14:textId="77777777" w:rsidR="00864652" w:rsidRDefault="00864652">
            <w:pPr>
              <w:pStyle w:val="NoSpacing"/>
            </w:pPr>
            <w:r>
              <w:t>PM’s Office</w:t>
            </w:r>
          </w:p>
          <w:p w14:paraId="35E2E31E" w14:textId="77777777" w:rsidR="00864652" w:rsidRDefault="00864652">
            <w:pPr>
              <w:pStyle w:val="NoSpacing"/>
            </w:pPr>
            <w:r>
              <w:t>Bilateral policy-making</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FD714" w14:textId="77777777" w:rsidR="00864652" w:rsidRDefault="00864652">
            <w:pPr>
              <w:pStyle w:val="NoSpacing"/>
              <w:rPr>
                <w:rFonts w:cstheme="minorBidi"/>
                <w:szCs w:val="22"/>
              </w:rPr>
            </w:pPr>
            <w:r>
              <w:t>Political support</w:t>
            </w:r>
          </w:p>
          <w:p w14:paraId="325B0AA9" w14:textId="77777777" w:rsidR="00864652" w:rsidRDefault="00864652">
            <w:pPr>
              <w:pStyle w:val="NoSpacing"/>
            </w:pPr>
            <w:r>
              <w:t>Authority</w:t>
            </w:r>
          </w:p>
          <w:p w14:paraId="69B4BA8D" w14:textId="77777777" w:rsidR="00864652" w:rsidRDefault="00864652">
            <w:pPr>
              <w:pStyle w:val="NoSpacing"/>
            </w:pPr>
            <w:r>
              <w:t>Department</w:t>
            </w:r>
          </w:p>
          <w:p w14:paraId="5565A629" w14:textId="77777777" w:rsidR="00864652" w:rsidRDefault="00864652">
            <w:pPr>
              <w:pStyle w:val="NoSpacing"/>
            </w:pPr>
            <w:r>
              <w:t>Knowledge</w:t>
            </w:r>
          </w:p>
          <w:p w14:paraId="37A46529" w14:textId="77777777" w:rsidR="00864652" w:rsidRDefault="00864652">
            <w:pPr>
              <w:pStyle w:val="NoSpacing"/>
            </w:pPr>
            <w:r>
              <w:t>Policy networks</w:t>
            </w:r>
          </w:p>
          <w:p w14:paraId="38C9AFCF" w14:textId="77777777" w:rsidR="00864652" w:rsidRDefault="00864652">
            <w:pPr>
              <w:pStyle w:val="NoSpacing"/>
            </w:pPr>
            <w:r>
              <w:t>Policy success</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A70D7" w14:textId="77777777" w:rsidR="00864652" w:rsidRDefault="00864652">
            <w:pPr>
              <w:pStyle w:val="NoSpacing"/>
              <w:rPr>
                <w:rFonts w:cstheme="minorBidi"/>
                <w:szCs w:val="22"/>
              </w:rPr>
            </w:pPr>
            <w:r>
              <w:t>Permanence</w:t>
            </w:r>
          </w:p>
          <w:p w14:paraId="0A77BD61" w14:textId="77777777" w:rsidR="00864652" w:rsidRDefault="00864652">
            <w:pPr>
              <w:pStyle w:val="NoSpacing"/>
            </w:pPr>
            <w:r>
              <w:t>Knowledge</w:t>
            </w:r>
          </w:p>
          <w:p w14:paraId="2EA8DA7A" w14:textId="77777777" w:rsidR="00864652" w:rsidRDefault="00864652">
            <w:pPr>
              <w:pStyle w:val="NoSpacing"/>
            </w:pPr>
            <w:r>
              <w:t>Time</w:t>
            </w:r>
          </w:p>
          <w:p w14:paraId="1ED2428E" w14:textId="77777777" w:rsidR="00864652" w:rsidRDefault="00864652">
            <w:pPr>
              <w:pStyle w:val="NoSpacing"/>
            </w:pPr>
            <w:r>
              <w:t>Whitehall network</w:t>
            </w:r>
          </w:p>
          <w:p w14:paraId="034FF8F6" w14:textId="77777777" w:rsidR="00864652" w:rsidRDefault="00864652">
            <w:pPr>
              <w:pStyle w:val="NoSpacing"/>
            </w:pPr>
            <w:r>
              <w:t>Control over information</w:t>
            </w:r>
          </w:p>
          <w:p w14:paraId="2E0EB1C3" w14:textId="77777777" w:rsidR="00864652" w:rsidRDefault="00864652">
            <w:pPr>
              <w:pStyle w:val="NoSpacing"/>
            </w:pPr>
            <w:r>
              <w:t>Keepers of the constitution</w:t>
            </w:r>
          </w:p>
        </w:tc>
      </w:tr>
      <w:tr w:rsidR="00864652" w14:paraId="16309E01" w14:textId="77777777" w:rsidTr="0086465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1E676" w14:textId="77777777" w:rsidR="00864652" w:rsidRDefault="00864652">
            <w:pPr>
              <w:pStyle w:val="NoSpacing"/>
            </w:pPr>
            <w:r>
              <w:t>Terrain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30840" w14:textId="77777777" w:rsidR="00864652" w:rsidRDefault="00864652">
            <w:pPr>
              <w:pStyle w:val="NoSpacing"/>
            </w:pPr>
            <w:r>
              <w:t>the apex of government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02863" w14:textId="77777777" w:rsidR="00864652" w:rsidRDefault="00864652">
            <w:pPr>
              <w:pStyle w:val="NoSpacing"/>
            </w:pPr>
            <w:r>
              <w:t>Department</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A2D16" w14:textId="77777777" w:rsidR="00864652" w:rsidRDefault="00864652">
            <w:pPr>
              <w:pStyle w:val="NoSpacing"/>
            </w:pPr>
            <w:r>
              <w:t>the confines of loyalty to CMs</w:t>
            </w:r>
          </w:p>
        </w:tc>
      </w:tr>
      <w:tr w:rsidR="00864652" w14:paraId="7BF95CA4" w14:textId="77777777" w:rsidTr="0086465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A4D53" w14:textId="77777777" w:rsidR="00864652" w:rsidRDefault="00864652">
            <w:pPr>
              <w:pStyle w:val="NoSpacing"/>
            </w:pPr>
            <w:r>
              <w:t>Constraints</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55581" w14:textId="77777777" w:rsidR="00864652" w:rsidRDefault="00864652">
            <w:pPr>
              <w:pStyle w:val="NoSpacing"/>
            </w:pPr>
            <w:r>
              <w:t>those of cabinet, party and the outside world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DDC00" w14:textId="77777777" w:rsidR="00864652" w:rsidRDefault="00864652">
            <w:pPr>
              <w:pStyle w:val="NoSpacing"/>
            </w:pPr>
            <w:r>
              <w:t>departmental rules/values/ institutions, cabinet colleagues, those imposed by the PMs and the outside world</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DD74C" w14:textId="77777777" w:rsidR="00864652" w:rsidRDefault="00864652">
            <w:pPr>
              <w:pStyle w:val="NoSpacing"/>
            </w:pPr>
            <w:r>
              <w:t>the constitution and its enveloping myths</w:t>
            </w:r>
          </w:p>
        </w:tc>
      </w:tr>
    </w:tbl>
    <w:p w14:paraId="2863FE35" w14:textId="77777777" w:rsidR="00864652" w:rsidRDefault="00864652" w:rsidP="00864652">
      <w:pPr>
        <w:ind w:firstLine="284"/>
        <w:rPr>
          <w:rFonts w:cstheme="minorBidi"/>
        </w:rPr>
      </w:pPr>
    </w:p>
    <w:p w14:paraId="1F1C1032" w14:textId="77777777" w:rsidR="00864652" w:rsidRDefault="00864652" w:rsidP="00864652">
      <w:pPr>
        <w:ind w:firstLine="284"/>
      </w:pPr>
      <w:r>
        <w:t xml:space="preserve">It should be noted that the concept of the core executive is not a synonym for the state, although the </w:t>
      </w:r>
      <w:r w:rsidRPr="004A731C">
        <w:t>specific nature of ICT regulation and antimonopoly regulation makes the scope of the core executive in this thesis similar to that of the state; in both sectors, policies formulation and implementation involve a single regulating organisation together with relevant party politicians, and no non-core state actor exists. The core</w:t>
      </w:r>
      <w:r>
        <w:t xml:space="preserve"> executive is the heart of </w:t>
      </w:r>
      <w:r w:rsidR="009A37C4">
        <w:t xml:space="preserve">the </w:t>
      </w:r>
      <w:r>
        <w:t>machine, where typically, key decisions are formed. Exploring how the core executive has changed reveals how the state has been transformed. However, revealing the change of the core executive does not directly explain the transformation of the state. The core executive is a key analytical concept to explore the state; by exploring the actors and structure within the core executive and the networks involving the core executive actors and their societal counterparts, research can explore how the state has been transformed.</w:t>
      </w:r>
    </w:p>
    <w:p w14:paraId="12A618F2" w14:textId="77777777" w:rsidR="00864652" w:rsidRDefault="00864652" w:rsidP="00512824">
      <w:pPr>
        <w:ind w:firstLine="284"/>
      </w:pPr>
      <w:r>
        <w:t>The concept of the core executive</w:t>
      </w:r>
      <w:r w:rsidR="00335A40">
        <w:t xml:space="preserve">, while originally developed and applied to the British case, </w:t>
      </w:r>
      <w:r>
        <w:t xml:space="preserve">has </w:t>
      </w:r>
      <w:r w:rsidR="00335A40">
        <w:t xml:space="preserve">subsequently </w:t>
      </w:r>
      <w:r>
        <w:t>been applied to the analyses of countries outside the UK (Peters</w:t>
      </w:r>
      <w:r w:rsidR="00EE442C">
        <w:t xml:space="preserve"> et al</w:t>
      </w:r>
      <w:r>
        <w:t xml:space="preserve"> 2000, Elgie 2011 p.64). An example of applying the core executive model to other countries is Itou (2006), who brings this concept in the Japanese case in the 1990s and 2000s. According to him (p.11), the core executive model suits the Japanese case because </w:t>
      </w:r>
      <w:r w:rsidR="009A37C4">
        <w:t xml:space="preserve">the </w:t>
      </w:r>
      <w:r>
        <w:t>Japan</w:t>
      </w:r>
      <w:r w:rsidR="009A37C4">
        <w:t>ese</w:t>
      </w:r>
      <w:r>
        <w:t xml:space="preserve"> government’s decision making system is composed of </w:t>
      </w:r>
      <w:r w:rsidR="009A37C4">
        <w:t xml:space="preserve">two </w:t>
      </w:r>
      <w:r>
        <w:t xml:space="preserve">closely connected arenas (the incumbent party arena and the executive arena), both of which are decentralised and interdependent </w:t>
      </w:r>
      <w:r w:rsidR="009A37C4">
        <w:t xml:space="preserve">from </w:t>
      </w:r>
      <w:r>
        <w:t xml:space="preserve">each other. Analysing LDP governments, what Itou (2006) highlights is the degree of power commanded by the LDP politicians outside the Cabinet together with their counterparts in the Cabinet, and the close interaction between these two groups within the LDP administration. Based on the definitions of Rhodes (1995b) and Smith (1999), Japan’s core executive in his analysis includes Prime Ministers, Cabinet (Cabinet Ministers), and senior civil servants in the government, together with factions, three key positions (Secretaries-General, Chairmen of the General Affairs Council, and Chairmen of the </w:t>
      </w:r>
      <w:r w:rsidR="00E7534D" w:rsidRPr="00E7534D">
        <w:t>Policy Affairs Research Council</w:t>
      </w:r>
      <w:r w:rsidR="00E7534D">
        <w:rPr>
          <w:rFonts w:hint="eastAsia"/>
          <w:lang w:eastAsia="ja-JP"/>
        </w:rPr>
        <w:t xml:space="preserve"> (PARC)</w:t>
      </w:r>
      <w:r>
        <w:t xml:space="preserve">), and </w:t>
      </w:r>
      <w:r>
        <w:rPr>
          <w:i/>
          <w:iCs/>
        </w:rPr>
        <w:t>Zoku Gi’in</w:t>
      </w:r>
      <w:r>
        <w:rPr>
          <w:rStyle w:val="FootnoteReference"/>
          <w:i/>
          <w:iCs/>
        </w:rPr>
        <w:footnoteReference w:id="27"/>
      </w:r>
      <w:r>
        <w:t xml:space="preserve"> of the LDP.</w:t>
      </w:r>
    </w:p>
    <w:p w14:paraId="0917BA09" w14:textId="77777777" w:rsidR="00864652" w:rsidRDefault="00864652" w:rsidP="00864652">
      <w:pPr>
        <w:ind w:firstLine="284"/>
      </w:pPr>
      <w:r>
        <w:t>Elsewhere, Kamikubo (2010) explores the comparative politics of international monetary policy making in Japan and China, based on the analytical framework of Rhodes (1995b) and Smith (1999). His core executive in Japan is Prime Ministers, responsible Cabinet Ministers (the Finance Ministers and the Cabinet Ministers responsible for monetary issues), civil servants (the Ministry of Finance</w:t>
      </w:r>
      <w:r w:rsidR="00FE7591">
        <w:rPr>
          <w:rFonts w:hint="eastAsia"/>
          <w:lang w:eastAsia="ja-JP"/>
        </w:rPr>
        <w:t xml:space="preserve"> (MOF)</w:t>
      </w:r>
      <w:r>
        <w:t>, the Financial Services Agency), the Bank of Japan</w:t>
      </w:r>
      <w:r w:rsidR="00FE7591">
        <w:rPr>
          <w:rFonts w:hint="eastAsia"/>
          <w:lang w:eastAsia="ja-JP"/>
        </w:rPr>
        <w:t xml:space="preserve"> (BOJ)</w:t>
      </w:r>
      <w:r>
        <w:t>, and key LDP figures (pp.5-6). Kamikubo’s (2010) core executive in Japan can be viewed as a variation of Itou’s (2006) specialising in the international monetary sector.</w:t>
      </w:r>
    </w:p>
    <w:p w14:paraId="6E488EA2" w14:textId="77777777" w:rsidR="00864652" w:rsidRDefault="00864652" w:rsidP="00864652">
      <w:pPr>
        <w:ind w:firstLine="284"/>
        <w:rPr>
          <w:lang w:eastAsia="ja-JP"/>
        </w:rPr>
      </w:pPr>
      <w:r>
        <w:rPr>
          <w:lang w:eastAsia="ja-JP"/>
        </w:rPr>
        <w:t xml:space="preserve">The approach by Itou (2006) and Kamikubo (2010) employs the concept of the core executive based on their understanding that the Japanese state actors are decentralised and interdependent </w:t>
      </w:r>
      <w:r w:rsidR="00335A40">
        <w:rPr>
          <w:lang w:eastAsia="ja-JP"/>
        </w:rPr>
        <w:t>o</w:t>
      </w:r>
      <w:r w:rsidR="003547D8">
        <w:rPr>
          <w:rFonts w:hint="eastAsia"/>
          <w:lang w:eastAsia="ja-JP"/>
        </w:rPr>
        <w:t>f</w:t>
      </w:r>
      <w:r w:rsidR="00335A40">
        <w:rPr>
          <w:lang w:eastAsia="ja-JP"/>
        </w:rPr>
        <w:t xml:space="preserve"> one an</w:t>
      </w:r>
      <w:r>
        <w:rPr>
          <w:lang w:eastAsia="ja-JP"/>
        </w:rPr>
        <w:t>other. They do not simply apply the analytical framework in British political science to the Japanese cases without consideration o</w:t>
      </w:r>
      <w:r w:rsidR="00E12704">
        <w:rPr>
          <w:lang w:eastAsia="ja-JP"/>
        </w:rPr>
        <w:t>f</w:t>
      </w:r>
      <w:r>
        <w:rPr>
          <w:lang w:eastAsia="ja-JP"/>
        </w:rPr>
        <w:t xml:space="preserve"> Japan’s specific political contexts –</w:t>
      </w:r>
      <w:r w:rsidR="00335A40">
        <w:rPr>
          <w:lang w:eastAsia="ja-JP"/>
        </w:rPr>
        <w:t xml:space="preserve"> so avoiding accusations of </w:t>
      </w:r>
      <w:r>
        <w:rPr>
          <w:lang w:eastAsia="ja-JP"/>
        </w:rPr>
        <w:t xml:space="preserve"> ‘conceptual stretching’  </w:t>
      </w:r>
      <w:r w:rsidR="00335A40">
        <w:rPr>
          <w:lang w:eastAsia="ja-JP"/>
        </w:rPr>
        <w:t xml:space="preserve">(see </w:t>
      </w:r>
      <w:r>
        <w:rPr>
          <w:lang w:eastAsia="ja-JP"/>
        </w:rPr>
        <w:t xml:space="preserve">Sartori 1970) </w:t>
      </w:r>
      <w:r>
        <w:rPr>
          <w:rStyle w:val="FootnoteReference"/>
          <w:lang w:eastAsia="ja-JP"/>
        </w:rPr>
        <w:footnoteReference w:id="28"/>
      </w:r>
      <w:r>
        <w:rPr>
          <w:lang w:eastAsia="ja-JP"/>
        </w:rPr>
        <w:t xml:space="preserve">; rather, they transfer the concept of the core executive </w:t>
      </w:r>
      <w:r w:rsidR="00E12704">
        <w:rPr>
          <w:lang w:eastAsia="ja-JP"/>
        </w:rPr>
        <w:t xml:space="preserve">that </w:t>
      </w:r>
      <w:r>
        <w:rPr>
          <w:lang w:eastAsia="ja-JP"/>
        </w:rPr>
        <w:t>originated in the UK to the Japanese case based on their analysis of  Japan’s political tradition.</w:t>
      </w:r>
    </w:p>
    <w:p w14:paraId="7094D2DC" w14:textId="77777777" w:rsidR="00864652" w:rsidRDefault="00864652" w:rsidP="00864652">
      <w:pPr>
        <w:ind w:firstLine="284"/>
      </w:pPr>
      <w:r>
        <w:t xml:space="preserve">In pulling the above together, what emerges is the generalisability the concept of the core executive has. Drawing from the British politics studies in the 1980s and 1990s, the concept of the core executive is a useful vehicle to capture the fluid power relations between the actors and the interactions between structure and agency. At the same time, employing this concept needs a consideration </w:t>
      </w:r>
      <w:r w:rsidR="00912BCC">
        <w:rPr>
          <w:rFonts w:hint="eastAsia"/>
          <w:lang w:eastAsia="ja-JP"/>
        </w:rPr>
        <w:t>on</w:t>
      </w:r>
      <w:r>
        <w:t xml:space="preserve"> the specifically suitable scope of the core executive for the case of research. Rhodes (1995b p.12) defines the components of the core executive as the Prime Ministers, Cabinets, Cabinet Committees, and their official counterparts, and coordinating departments such as the Cabinet Office, the Treasury, the Foreign Office, the law officers, and the security and intelligence services. Taking account of the fact that some policies do not involve all the members of the government, this definition is rather crude and inflexible; for instance, the policies related to the NHS (National Health Service), one of the UK’s key domestic policy issues, will barely involve security and intelligence services. Instead, the UK Department of Health is heavily involved in policy making together with the Treasury. Elsewhere, Smith’s (1999) definition allows more flexibility to embrace relevant actors by embracing departments in the core executive.</w:t>
      </w:r>
    </w:p>
    <w:p w14:paraId="186A456C" w14:textId="77777777" w:rsidR="00864652" w:rsidRDefault="00864652" w:rsidP="00864652">
      <w:pPr>
        <w:ind w:firstLine="284"/>
      </w:pPr>
      <w:r>
        <w:t>To respond to this case specific characteristic of the core executive, this thesis argues for recognising the polymorphous nature of the core executive. Some important actors in one field (e.g. intelligence services in counterterrorism) have few roles in other fields (e.g. the UK’s NHS, domestic antimonopoly regulation). An example can be found in Kamikubo (2010), whose core executive includes specialised public organisations (M</w:t>
      </w:r>
      <w:r w:rsidR="00FE7591">
        <w:rPr>
          <w:rFonts w:hint="eastAsia"/>
          <w:lang w:eastAsia="ja-JP"/>
        </w:rPr>
        <w:t>OF</w:t>
      </w:r>
      <w:r>
        <w:t>, B</w:t>
      </w:r>
      <w:r w:rsidR="00FE7591">
        <w:rPr>
          <w:rFonts w:hint="eastAsia"/>
          <w:lang w:eastAsia="ja-JP"/>
        </w:rPr>
        <w:t>OJ</w:t>
      </w:r>
      <w:r>
        <w:t>) together with the core of the core such as the Prime Ministers.</w:t>
      </w:r>
    </w:p>
    <w:p w14:paraId="3FF611AF" w14:textId="77777777" w:rsidR="00864652" w:rsidRDefault="00864652" w:rsidP="009E5037">
      <w:pPr>
        <w:ind w:firstLine="284"/>
      </w:pPr>
      <w:r>
        <w:t xml:space="preserve">Based on the above consideration, this thesis </w:t>
      </w:r>
      <w:r w:rsidR="004D1E4D">
        <w:t>sets out</w:t>
      </w:r>
      <w:r w:rsidR="00E30FBD">
        <w:t xml:space="preserve"> its definition of the core executive referring to </w:t>
      </w:r>
      <w:r w:rsidR="004D1E4D">
        <w:t xml:space="preserve">commentators such as </w:t>
      </w:r>
      <w:r w:rsidR="00E30FBD">
        <w:t>Rhodes (1995b)</w:t>
      </w:r>
      <w:r w:rsidR="004D1E4D">
        <w:t xml:space="preserve">, </w:t>
      </w:r>
      <w:r w:rsidR="00E30FBD">
        <w:t>Smith (1999)</w:t>
      </w:r>
      <w:r w:rsidR="004D1E4D">
        <w:t xml:space="preserve">, Itou (2006) and Kamikubo (2010), </w:t>
      </w:r>
      <w:r w:rsidR="00E30FBD">
        <w:t xml:space="preserve">but adding the points they fail to offer; it is all those organisations and procedures which coordinate central government, and act as final arbiters of conflicts between different parts of </w:t>
      </w:r>
      <w:r w:rsidR="00AA559B">
        <w:t>t</w:t>
      </w:r>
      <w:r w:rsidR="00E30FBD">
        <w:t>he government machine</w:t>
      </w:r>
      <w:r w:rsidR="00AA559B">
        <w:t xml:space="preserve">, the exact scope of which is determined by the </w:t>
      </w:r>
      <w:r w:rsidR="00E50ECA">
        <w:t xml:space="preserve">specific nature of the targeted </w:t>
      </w:r>
      <w:r w:rsidR="00AA559B">
        <w:t xml:space="preserve">sector. </w:t>
      </w:r>
      <w:r w:rsidR="00B12DCC">
        <w:t>T</w:t>
      </w:r>
      <w:r w:rsidR="003502D4">
        <w:t xml:space="preserve">he scope of the core executive </w:t>
      </w:r>
      <w:r w:rsidR="00B12DCC">
        <w:t>includes the core machine of the central government, with its</w:t>
      </w:r>
      <w:r w:rsidR="003502D4">
        <w:t xml:space="preserve"> polymorphous</w:t>
      </w:r>
      <w:r w:rsidR="00B12DCC">
        <w:t xml:space="preserve"> nature</w:t>
      </w:r>
      <w:r w:rsidR="003502D4">
        <w:t xml:space="preserve"> responding to the specific conditions of the focused sector</w:t>
      </w:r>
      <w:r w:rsidR="00D560BD">
        <w:t xml:space="preserve">; if it is explained with a concrete example, Japan’s National Police Agency is a member of the core executive in Japan’s anti-organised crime policy, but is not a core executive member in </w:t>
      </w:r>
      <w:r w:rsidR="00546205">
        <w:t xml:space="preserve">its </w:t>
      </w:r>
      <w:r w:rsidR="00D560BD">
        <w:t>consumption tax policy</w:t>
      </w:r>
      <w:r w:rsidR="003502D4">
        <w:t xml:space="preserve">. </w:t>
      </w:r>
      <w:r w:rsidR="00546205">
        <w:t>This thesis explicitly set</w:t>
      </w:r>
      <w:r w:rsidR="00504FDD">
        <w:t>s</w:t>
      </w:r>
      <w:r w:rsidR="00546205">
        <w:t xml:space="preserve"> out the polymorphous and flexible nature of the core executive within its case study chapters, which is not clearly presented by the previous literature such as Rhodes (1995b), Smith (1999), Itou (2006) and Kamikubo (2010). </w:t>
      </w:r>
      <w:r w:rsidR="004D1E4D">
        <w:t xml:space="preserve">What is actually included </w:t>
      </w:r>
      <w:r w:rsidR="009E5037">
        <w:t>by</w:t>
      </w:r>
      <w:r w:rsidR="004D1E4D">
        <w:t xml:space="preserve"> the core executive in the case study chapters of this thesis is revealed by </w:t>
      </w:r>
      <w:r w:rsidR="009A2799">
        <w:t>Table 3.4</w:t>
      </w:r>
      <w:r>
        <w:t xml:space="preserve">. </w:t>
      </w:r>
    </w:p>
    <w:p w14:paraId="5E112B0F" w14:textId="77777777" w:rsidR="009047C0" w:rsidRDefault="009047C0" w:rsidP="00864652">
      <w:pPr>
        <w:ind w:firstLine="284"/>
      </w:pPr>
    </w:p>
    <w:p w14:paraId="53ADB909" w14:textId="77777777" w:rsidR="00864652" w:rsidRDefault="009A2799" w:rsidP="00DA2E02">
      <w:pPr>
        <w:pStyle w:val="Heading4"/>
      </w:pPr>
      <w:r>
        <w:t>Table 3.4</w:t>
      </w:r>
      <w:r w:rsidR="00864652">
        <w:t>: Member of the core executive in this thesis</w:t>
      </w:r>
    </w:p>
    <w:p w14:paraId="4AA07F43" w14:textId="77777777" w:rsidR="00864652" w:rsidRDefault="00864652" w:rsidP="00864652">
      <w:pPr>
        <w:pStyle w:val="NoSpacing"/>
      </w:pPr>
    </w:p>
    <w:tbl>
      <w:tblPr>
        <w:tblStyle w:val="TableGrid"/>
        <w:tblW w:w="0" w:type="auto"/>
        <w:tblLook w:val="04A0" w:firstRow="1" w:lastRow="0" w:firstColumn="1" w:lastColumn="0" w:noHBand="0" w:noVBand="1"/>
      </w:tblPr>
      <w:tblGrid>
        <w:gridCol w:w="4354"/>
        <w:gridCol w:w="4366"/>
      </w:tblGrid>
      <w:tr w:rsidR="00864652" w14:paraId="36D5F2CD" w14:textId="77777777" w:rsidTr="00864652">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0A3F03E3" w14:textId="77777777" w:rsidR="00864652" w:rsidRDefault="00864652">
            <w:pPr>
              <w:pStyle w:val="NoSpacing"/>
              <w:jc w:val="center"/>
              <w:rPr>
                <w:lang w:eastAsia="ja-JP"/>
              </w:rPr>
            </w:pPr>
            <w:r>
              <w:t>ICT</w:t>
            </w:r>
            <w:r w:rsidR="008053F5">
              <w:t xml:space="preserve"> regulation</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2E84C713" w14:textId="77777777" w:rsidR="00864652" w:rsidRDefault="00864652">
            <w:pPr>
              <w:pStyle w:val="NoSpacing"/>
              <w:jc w:val="center"/>
            </w:pPr>
            <w:r>
              <w:t>Antimonopoly</w:t>
            </w:r>
            <w:r w:rsidR="008053F5">
              <w:t xml:space="preserve"> regulation</w:t>
            </w:r>
          </w:p>
        </w:tc>
      </w:tr>
      <w:tr w:rsidR="00864652" w14:paraId="09F8D466" w14:textId="77777777" w:rsidTr="00864652">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08694" w14:textId="77777777" w:rsidR="00864652" w:rsidRDefault="00864652">
            <w:pPr>
              <w:pStyle w:val="NoSpacing"/>
              <w:rPr>
                <w:rFonts w:cstheme="minorBidi"/>
                <w:szCs w:val="22"/>
              </w:rPr>
            </w:pPr>
          </w:p>
          <w:p w14:paraId="02C7A905" w14:textId="77777777" w:rsidR="00864652" w:rsidRDefault="00864652" w:rsidP="001B6C05">
            <w:pPr>
              <w:pStyle w:val="NoSpacing"/>
              <w:numPr>
                <w:ilvl w:val="0"/>
                <w:numId w:val="23"/>
              </w:numPr>
              <w:ind w:left="284" w:hanging="284"/>
            </w:pPr>
            <w:r>
              <w:t>Prime Ministers</w:t>
            </w:r>
          </w:p>
          <w:p w14:paraId="40ABE2B5" w14:textId="77777777" w:rsidR="00864652" w:rsidRDefault="00864652" w:rsidP="001B6C05">
            <w:pPr>
              <w:pStyle w:val="NoSpacing"/>
              <w:numPr>
                <w:ilvl w:val="0"/>
                <w:numId w:val="23"/>
              </w:numPr>
              <w:ind w:left="284" w:hanging="284"/>
            </w:pPr>
            <w:r>
              <w:t>responsible Cabinet Ministers and other politically appointed officials</w:t>
            </w:r>
          </w:p>
          <w:p w14:paraId="1D2514F2" w14:textId="77777777" w:rsidR="00864652" w:rsidRDefault="00864652">
            <w:pPr>
              <w:pStyle w:val="NoSpacing"/>
              <w:ind w:left="284" w:hanging="284"/>
            </w:pPr>
          </w:p>
          <w:p w14:paraId="32A15491" w14:textId="77777777" w:rsidR="00864652" w:rsidRDefault="00864652" w:rsidP="001B6C05">
            <w:pPr>
              <w:pStyle w:val="NoSpacing"/>
              <w:numPr>
                <w:ilvl w:val="0"/>
                <w:numId w:val="23"/>
              </w:numPr>
              <w:ind w:left="284" w:hanging="284"/>
            </w:pPr>
            <w:r>
              <w:t>civil servants (MPT/MIC</w:t>
            </w:r>
            <w:r>
              <w:rPr>
                <w:rStyle w:val="FootnoteReference"/>
              </w:rPr>
              <w:footnoteReference w:id="29"/>
            </w:r>
            <w:r>
              <w:t>)</w:t>
            </w:r>
          </w:p>
          <w:p w14:paraId="7236118B" w14:textId="77777777" w:rsidR="00864652" w:rsidRDefault="00864652" w:rsidP="001B6C05">
            <w:pPr>
              <w:pStyle w:val="NoSpacing"/>
              <w:numPr>
                <w:ilvl w:val="0"/>
                <w:numId w:val="23"/>
              </w:numPr>
              <w:ind w:left="284" w:hanging="284"/>
            </w:pPr>
            <w:r>
              <w:t xml:space="preserve">key party politicians  (e.g. LDP’s </w:t>
            </w:r>
            <w:r w:rsidRPr="001F28B4">
              <w:rPr>
                <w:i/>
              </w:rPr>
              <w:t>Zoku Gi’in</w:t>
            </w:r>
            <w:r>
              <w:t>)</w:t>
            </w:r>
          </w:p>
          <w:p w14:paraId="1F4BFDA8" w14:textId="77777777" w:rsidR="00864652" w:rsidRDefault="00864652">
            <w:pPr>
              <w:pStyle w:val="NoSpacing"/>
            </w:pP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EC8C2" w14:textId="77777777" w:rsidR="00864652" w:rsidRDefault="00864652">
            <w:pPr>
              <w:pStyle w:val="NoSpacing"/>
              <w:rPr>
                <w:rFonts w:cstheme="minorBidi"/>
                <w:szCs w:val="22"/>
              </w:rPr>
            </w:pPr>
          </w:p>
          <w:p w14:paraId="06789332" w14:textId="77777777" w:rsidR="00864652" w:rsidRDefault="00864652" w:rsidP="001B6C05">
            <w:pPr>
              <w:pStyle w:val="NoSpacing"/>
              <w:numPr>
                <w:ilvl w:val="0"/>
                <w:numId w:val="23"/>
              </w:numPr>
              <w:ind w:left="319" w:hanging="284"/>
            </w:pPr>
            <w:r>
              <w:t>Prime Ministers</w:t>
            </w:r>
          </w:p>
          <w:p w14:paraId="5AB39B09" w14:textId="77777777" w:rsidR="00864652" w:rsidRDefault="00864652" w:rsidP="001B6C05">
            <w:pPr>
              <w:pStyle w:val="NoSpacing"/>
              <w:numPr>
                <w:ilvl w:val="0"/>
                <w:numId w:val="23"/>
              </w:numPr>
              <w:ind w:left="319" w:hanging="284"/>
            </w:pPr>
            <w:r>
              <w:t>responsible Cabinet Ministers and other politically appointed officials</w:t>
            </w:r>
          </w:p>
          <w:p w14:paraId="374F991D" w14:textId="77777777" w:rsidR="00864652" w:rsidRDefault="00864652" w:rsidP="001B6C05">
            <w:pPr>
              <w:pStyle w:val="NoSpacing"/>
              <w:numPr>
                <w:ilvl w:val="0"/>
                <w:numId w:val="23"/>
              </w:numPr>
              <w:ind w:left="319" w:hanging="284"/>
            </w:pPr>
            <w:r>
              <w:t>Chairmen and Commissioners (JFTC</w:t>
            </w:r>
            <w:r>
              <w:rPr>
                <w:rStyle w:val="FootnoteReference"/>
              </w:rPr>
              <w:footnoteReference w:id="30"/>
            </w:r>
            <w:r>
              <w:t>)</w:t>
            </w:r>
          </w:p>
          <w:p w14:paraId="03B1B625" w14:textId="77777777" w:rsidR="00864652" w:rsidRDefault="00864652" w:rsidP="001B6C05">
            <w:pPr>
              <w:pStyle w:val="NoSpacing"/>
              <w:numPr>
                <w:ilvl w:val="0"/>
                <w:numId w:val="23"/>
              </w:numPr>
              <w:ind w:left="319" w:hanging="284"/>
            </w:pPr>
            <w:r>
              <w:t>civil servants (JFTC)</w:t>
            </w:r>
          </w:p>
          <w:p w14:paraId="53A55D4A" w14:textId="77777777" w:rsidR="00864652" w:rsidRDefault="00864652" w:rsidP="001B6C05">
            <w:pPr>
              <w:pStyle w:val="NoSpacing"/>
              <w:numPr>
                <w:ilvl w:val="0"/>
                <w:numId w:val="23"/>
              </w:numPr>
              <w:ind w:left="319" w:hanging="284"/>
            </w:pPr>
            <w:r>
              <w:t>key party politicians</w:t>
            </w:r>
          </w:p>
        </w:tc>
      </w:tr>
    </w:tbl>
    <w:p w14:paraId="29F911D7" w14:textId="77777777" w:rsidR="00864652" w:rsidRDefault="00864652" w:rsidP="00864652">
      <w:pPr>
        <w:ind w:firstLine="284"/>
        <w:rPr>
          <w:rFonts w:cstheme="minorBidi"/>
        </w:rPr>
      </w:pPr>
    </w:p>
    <w:p w14:paraId="532E3534" w14:textId="77777777" w:rsidR="00864652" w:rsidRDefault="00864652" w:rsidP="00864652">
      <w:pPr>
        <w:ind w:firstLine="284"/>
      </w:pPr>
      <w:r>
        <w:t>Politically appointed officials (Prime Ministers, Cabinet Ministers, Parliamentary Vice-Ministers</w:t>
      </w:r>
      <w:r>
        <w:rPr>
          <w:rStyle w:val="FootnoteReference"/>
        </w:rPr>
        <w:footnoteReference w:id="31"/>
      </w:r>
      <w:r>
        <w:t xml:space="preserve">, Senior Vice-Ministers, Parliamentary Secretaries) are in the position to be involved with policy making, although </w:t>
      </w:r>
      <w:r w:rsidR="003D18FF">
        <w:t>to what extent</w:t>
      </w:r>
      <w:r>
        <w:t xml:space="preserve"> is dependent upon the context</w:t>
      </w:r>
      <w:r w:rsidR="003D18FF">
        <w:t>, resources</w:t>
      </w:r>
      <w:r>
        <w:t xml:space="preserve"> and personality. </w:t>
      </w:r>
      <w:r w:rsidR="006F4098">
        <w:rPr>
          <w:rFonts w:hint="eastAsia"/>
          <w:lang w:eastAsia="ja-JP"/>
        </w:rPr>
        <w:t xml:space="preserve">Chairmen and Commissioners of the JFCT are in a similar position to politically </w:t>
      </w:r>
      <w:r w:rsidR="006F4098">
        <w:rPr>
          <w:lang w:eastAsia="ja-JP"/>
        </w:rPr>
        <w:t>appointed</w:t>
      </w:r>
      <w:r w:rsidR="006F4098">
        <w:rPr>
          <w:rFonts w:hint="eastAsia"/>
          <w:lang w:eastAsia="ja-JP"/>
        </w:rPr>
        <w:t xml:space="preserve"> officials. </w:t>
      </w:r>
      <w:r>
        <w:t xml:space="preserve">Civil servants responsible for the fields (ICT regulation, antimonopoly regulation) are key actors involved in policy making and implementation. Other important actors are key party politicians outside the Cabinet. Because </w:t>
      </w:r>
      <w:r w:rsidR="006F4E8A">
        <w:rPr>
          <w:rFonts w:eastAsia="MS Mincho" w:hint="eastAsia"/>
          <w:lang w:eastAsia="ja-JP"/>
        </w:rPr>
        <w:t xml:space="preserve">the </w:t>
      </w:r>
      <w:r>
        <w:t>LDP’s internal examination to important policy issues such as government’s bills was a norm under Japan’s LDP regime, key party politician</w:t>
      </w:r>
      <w:r w:rsidR="00504FDD">
        <w:t>s</w:t>
      </w:r>
      <w:r>
        <w:t>, those in the LDP in particular, obtained a significant influence over policy making. The detail of this mechanism is elaborated in the case study chapters (Chapter</w:t>
      </w:r>
      <w:r w:rsidR="006F4098">
        <w:rPr>
          <w:rFonts w:hint="eastAsia"/>
          <w:lang w:eastAsia="ja-JP"/>
        </w:rPr>
        <w:t>s</w:t>
      </w:r>
      <w:r>
        <w:t xml:space="preserve"> 5 </w:t>
      </w:r>
      <w:r w:rsidR="006F4098">
        <w:rPr>
          <w:rFonts w:hint="eastAsia"/>
          <w:lang w:eastAsia="ja-JP"/>
        </w:rPr>
        <w:t>and</w:t>
      </w:r>
      <w:r>
        <w:t xml:space="preserve"> 6).</w:t>
      </w:r>
    </w:p>
    <w:p w14:paraId="2EBBEC66" w14:textId="77777777" w:rsidR="00864652" w:rsidRDefault="00864652" w:rsidP="00864652">
      <w:pPr>
        <w:ind w:firstLine="284"/>
      </w:pPr>
      <w:r>
        <w:t xml:space="preserve">The next section turns to another key concept for the case studies which focuses </w:t>
      </w:r>
      <w:r w:rsidR="006F4E8A">
        <w:rPr>
          <w:rFonts w:eastAsia="MS Mincho" w:hint="eastAsia"/>
          <w:lang w:eastAsia="ja-JP"/>
        </w:rPr>
        <w:t xml:space="preserve">on </w:t>
      </w:r>
      <w:r>
        <w:t>governance and regulation: the concept of the regulatory state.</w:t>
      </w:r>
    </w:p>
    <w:p w14:paraId="7A68DD18" w14:textId="77777777" w:rsidR="00864652" w:rsidRDefault="00864652" w:rsidP="00864652">
      <w:pPr>
        <w:ind w:firstLine="284"/>
      </w:pPr>
    </w:p>
    <w:p w14:paraId="23F6CBF8" w14:textId="77777777" w:rsidR="00864652" w:rsidRDefault="00864652" w:rsidP="00050D4B">
      <w:pPr>
        <w:pStyle w:val="Heading3"/>
      </w:pPr>
      <w:bookmarkStart w:id="27" w:name="_Toc349741349"/>
      <w:r>
        <w:t>3.4.2</w:t>
      </w:r>
      <w:r>
        <w:tab/>
        <w:t>The regulatory state</w:t>
      </w:r>
      <w:bookmarkEnd w:id="27"/>
    </w:p>
    <w:p w14:paraId="4DFBB273" w14:textId="77777777" w:rsidR="00864652" w:rsidRDefault="00864652" w:rsidP="00864652">
      <w:r>
        <w:t>The ‘regulatory state’ is strongly embedded within the American literature (e.g. Seidman and Gilmour 1986, Sunstein 1990, Rose-Ackerman 1992), as Johnson (1982) demonstrates in Chapter 2. This reflect</w:t>
      </w:r>
      <w:r w:rsidR="00927DEE">
        <w:t>s</w:t>
      </w:r>
      <w:r>
        <w:t xml:space="preserve"> the fact that the regulatory function has been </w:t>
      </w:r>
      <w:r w:rsidR="00927DEE">
        <w:t xml:space="preserve">a </w:t>
      </w:r>
      <w:r>
        <w:t xml:space="preserve">more important key function for the US state than other </w:t>
      </w:r>
      <w:r w:rsidR="00927DEE">
        <w:t>elements such as the</w:t>
      </w:r>
      <w:r>
        <w:t xml:space="preserve"> redistribution function and stabilisation function (Majone 1996 p.55</w:t>
      </w:r>
      <w:r>
        <w:rPr>
          <w:rStyle w:val="FootnoteReference"/>
        </w:rPr>
        <w:footnoteReference w:id="32"/>
      </w:r>
      <w:r>
        <w:t>).</w:t>
      </w:r>
    </w:p>
    <w:p w14:paraId="4BF9B8F3" w14:textId="77777777" w:rsidR="00864652" w:rsidRDefault="00864652" w:rsidP="00864652">
      <w:pPr>
        <w:ind w:firstLine="284"/>
      </w:pPr>
      <w:r>
        <w:t>According to Levi-Faur (2012 p.17), the notion of the regulatory state emerged most visibly in James Anderson’s ‘</w:t>
      </w:r>
      <w:r>
        <w:rPr>
          <w:i/>
          <w:iCs/>
        </w:rPr>
        <w:t>The Emergence of the Modern Regulatory State</w:t>
      </w:r>
      <w:r>
        <w:t xml:space="preserve">’ (1962), although he failed to define or conceptualise the term. By the end of the 1970s the regulatory state was portrayed as a command and control or a hierarchical and progressive state </w:t>
      </w:r>
      <w:r w:rsidR="00927DEE">
        <w:t xml:space="preserve">that </w:t>
      </w:r>
      <w:r>
        <w:t>emerged at the federal level towards the end of the nineteenth</w:t>
      </w:r>
      <w:r w:rsidR="009C5CD4">
        <w:t xml:space="preserve"> century (Levi-Faur 2012 p.17).</w:t>
      </w:r>
    </w:p>
    <w:p w14:paraId="46390D95" w14:textId="77777777" w:rsidR="00864652" w:rsidRDefault="00864652" w:rsidP="00864652">
      <w:pPr>
        <w:ind w:firstLine="284"/>
      </w:pPr>
      <w:r>
        <w:t xml:space="preserve">This trend was </w:t>
      </w:r>
      <w:r w:rsidR="00927DEE">
        <w:t xml:space="preserve">adapted </w:t>
      </w:r>
      <w:r>
        <w:t xml:space="preserve">by Seidman and Gilmour (1986), who describe the regulatory state not as </w:t>
      </w:r>
      <w:r w:rsidR="006C4D1A">
        <w:t>a</w:t>
      </w:r>
      <w:r>
        <w:t xml:space="preserve"> notion related to the expansion of the federal administration in the progressive period nor the result of the social movement against big business but as that closely connected to outsourcing and privatisation (Levi-Faur 2012 pp.17-8). Seidman and Gilmour (1986) utilise the regulatory state as a concept explaining the change brought by the Reagan Administration (Levi-Faur 2012 p.18).</w:t>
      </w:r>
    </w:p>
    <w:p w14:paraId="15CAD5AA" w14:textId="77777777" w:rsidR="00864652" w:rsidRDefault="00864652" w:rsidP="00864652">
      <w:pPr>
        <w:ind w:firstLine="284"/>
      </w:pPr>
      <w:r>
        <w:t xml:space="preserve">Their conceptualisation of the regulatory state as an </w:t>
      </w:r>
      <w:r w:rsidR="00927DEE">
        <w:t>explanation</w:t>
      </w:r>
      <w:r>
        <w:t xml:space="preserve"> of a paradigm change (from a positive state to a regulatory state) was followed by Majone (1991, 1994, 1997). His conceptualisation is similar to Seidman and Gilmour (1986): a regulatory state prioritising administrative and economic efficiency. Majone argues for the emergence of the European regulatory state responding to the limitation of taxing and spending in the European Union (Levi-Faur 2012 p.18). According to Levi-Faur (2012 p.18), Majone’s regulatory state is a neo-liberal state concentrating on correcting market failures.</w:t>
      </w:r>
    </w:p>
    <w:p w14:paraId="217387A4" w14:textId="77777777" w:rsidR="00864652" w:rsidRDefault="00864652" w:rsidP="00864652">
      <w:pPr>
        <w:ind w:firstLine="284"/>
      </w:pPr>
      <w:r>
        <w:t>Indeed, associating the concept of the regulatory state with neo-liberal ideology and policies has become common (Jordana and Levi-Faur 2004 pp.9-10). Jordana and Levi-Faur (2004 p.1) highlight the fact that from the 1980s, when the governments influenced by neo-liberalism were emerging in the developed world, the literature identified the emergence of the regulatory state outside the US. The regulatory state in this perspective is a mode of the modern state which stresses the use of authority rules and standard-setting and partially displacing its previous focus on public ownership, public subsidies, and direct service supply (Jordana and Levi-Faur 2004 pp.8-10).</w:t>
      </w:r>
      <w:r w:rsidR="00517EDE">
        <w:rPr>
          <w:rFonts w:hint="eastAsia"/>
          <w:lang w:eastAsia="ja-JP"/>
        </w:rPr>
        <w:t xml:space="preserve"> </w:t>
      </w:r>
      <w:r>
        <w:t xml:space="preserve">What can be recognised in the emerging regulatory state is the intimate relationships between new (or previously not widely used) and refined regulatory instruments and the development of regulatory institutions that operate them (Jordana and Levi-Faur 2004 pp.8-9). Scott (2004 p.148) argues that the concept of the regulatory state, whose key trends are summarised in </w:t>
      </w:r>
      <w:r w:rsidR="009A2799">
        <w:t>Table 3.5</w:t>
      </w:r>
      <w:r>
        <w:t>, has been developed to distinguish an emerging mode of governance from the practices and institutions of the welfare state.</w:t>
      </w:r>
    </w:p>
    <w:p w14:paraId="682770D9" w14:textId="77777777" w:rsidR="00864652" w:rsidRDefault="00864652" w:rsidP="00864652">
      <w:pPr>
        <w:ind w:firstLine="284"/>
      </w:pPr>
    </w:p>
    <w:p w14:paraId="15280831" w14:textId="77777777" w:rsidR="00122962" w:rsidRDefault="00122962" w:rsidP="00864652">
      <w:pPr>
        <w:ind w:firstLine="284"/>
      </w:pPr>
    </w:p>
    <w:p w14:paraId="4C211F9B" w14:textId="77777777" w:rsidR="00864652" w:rsidRDefault="009A2799" w:rsidP="00DA2E02">
      <w:pPr>
        <w:pStyle w:val="Heading4"/>
      </w:pPr>
      <w:r>
        <w:t>Table 3.5</w:t>
      </w:r>
      <w:r w:rsidR="00864652">
        <w:t>: The key trends of the regulatory state and the welfare state by Scott (2004 p.148)</w:t>
      </w:r>
    </w:p>
    <w:p w14:paraId="2DC650EE" w14:textId="77777777" w:rsidR="00864652" w:rsidRDefault="00864652" w:rsidP="00864652">
      <w:pPr>
        <w:pStyle w:val="ListParagraph"/>
        <w:spacing w:line="240" w:lineRule="auto"/>
        <w:ind w:left="0"/>
      </w:pPr>
    </w:p>
    <w:tbl>
      <w:tblPr>
        <w:tblStyle w:val="TableGrid"/>
        <w:tblW w:w="0" w:type="auto"/>
        <w:tblLook w:val="04A0" w:firstRow="1" w:lastRow="0" w:firstColumn="1" w:lastColumn="0" w:noHBand="0" w:noVBand="1"/>
      </w:tblPr>
      <w:tblGrid>
        <w:gridCol w:w="1234"/>
        <w:gridCol w:w="7486"/>
      </w:tblGrid>
      <w:tr w:rsidR="00864652" w14:paraId="2304FCE8" w14:textId="77777777" w:rsidTr="0086465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2C1B8936" w14:textId="77777777" w:rsidR="00864652" w:rsidRDefault="00864652">
            <w:pPr>
              <w:pStyle w:val="NoSpacing"/>
              <w:rPr>
                <w:rFonts w:cstheme="minorBidi"/>
                <w:szCs w:val="22"/>
              </w:rPr>
            </w:pPr>
          </w:p>
          <w:p w14:paraId="376BB2C9" w14:textId="77777777" w:rsidR="00864652" w:rsidRDefault="00864652">
            <w:pPr>
              <w:pStyle w:val="NoSpacing"/>
            </w:pPr>
            <w:r>
              <w:t>Welfare State</w:t>
            </w:r>
          </w:p>
          <w:p w14:paraId="39B69E83" w14:textId="77777777" w:rsidR="00864652" w:rsidRDefault="00864652">
            <w:pPr>
              <w:pStyle w:val="NoSpacing"/>
            </w:pP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BEB19" w14:textId="77777777" w:rsidR="00864652" w:rsidRDefault="00864652">
            <w:pPr>
              <w:pStyle w:val="NoSpacing"/>
              <w:rPr>
                <w:rFonts w:cstheme="minorBidi"/>
                <w:szCs w:val="22"/>
              </w:rPr>
            </w:pPr>
          </w:p>
          <w:p w14:paraId="4EA6D9F3" w14:textId="77777777" w:rsidR="00864652" w:rsidRDefault="00864652" w:rsidP="001B6C05">
            <w:pPr>
              <w:pStyle w:val="NoSpacing"/>
              <w:numPr>
                <w:ilvl w:val="0"/>
                <w:numId w:val="24"/>
              </w:numPr>
              <w:ind w:left="318" w:hanging="318"/>
            </w:pPr>
            <w:r>
              <w:t>The instruments of public ownership, direct state provision of benefits and services.</w:t>
            </w:r>
          </w:p>
          <w:p w14:paraId="72041E22" w14:textId="77777777" w:rsidR="00864652" w:rsidRDefault="00864652" w:rsidP="001B6C05">
            <w:pPr>
              <w:pStyle w:val="NoSpacing"/>
              <w:numPr>
                <w:ilvl w:val="0"/>
                <w:numId w:val="24"/>
              </w:numPr>
              <w:ind w:left="318" w:hanging="318"/>
            </w:pPr>
            <w:r>
              <w:t>The integration of policy-making and operational functions.</w:t>
            </w:r>
          </w:p>
        </w:tc>
      </w:tr>
      <w:tr w:rsidR="00864652" w14:paraId="3AC6435A" w14:textId="77777777" w:rsidTr="00864652">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1167222E" w14:textId="77777777" w:rsidR="00864652" w:rsidRDefault="00864652">
            <w:pPr>
              <w:pStyle w:val="NoSpacing"/>
              <w:rPr>
                <w:rFonts w:cstheme="minorBidi"/>
                <w:szCs w:val="22"/>
              </w:rPr>
            </w:pPr>
          </w:p>
          <w:p w14:paraId="3C9706A5" w14:textId="77777777" w:rsidR="00864652" w:rsidRDefault="00864652">
            <w:pPr>
              <w:pStyle w:val="NoSpacing"/>
            </w:pPr>
            <w:r>
              <w:t>Regulatory State</w:t>
            </w:r>
          </w:p>
        </w:tc>
        <w:tc>
          <w:tcPr>
            <w:tcW w:w="8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6A9CF" w14:textId="77777777" w:rsidR="00864652" w:rsidRDefault="00864652">
            <w:pPr>
              <w:pStyle w:val="NoSpacing"/>
              <w:rPr>
                <w:rFonts w:cstheme="minorBidi"/>
                <w:szCs w:val="22"/>
              </w:rPr>
            </w:pPr>
          </w:p>
          <w:p w14:paraId="140D10B7" w14:textId="77777777" w:rsidR="00864652" w:rsidRDefault="00864652" w:rsidP="001B6C05">
            <w:pPr>
              <w:pStyle w:val="NoSpacing"/>
              <w:numPr>
                <w:ilvl w:val="0"/>
                <w:numId w:val="25"/>
              </w:numPr>
              <w:ind w:left="318" w:hanging="318"/>
            </w:pPr>
            <w:r>
              <w:t>The separation of operational from regulatory activities in some policy areas (sometimes linked to privatisation).</w:t>
            </w:r>
          </w:p>
          <w:p w14:paraId="5446FDE4" w14:textId="77777777" w:rsidR="00864652" w:rsidRDefault="00864652" w:rsidP="001B6C05">
            <w:pPr>
              <w:pStyle w:val="NoSpacing"/>
              <w:numPr>
                <w:ilvl w:val="0"/>
                <w:numId w:val="25"/>
              </w:numPr>
              <w:ind w:left="318" w:hanging="318"/>
            </w:pPr>
            <w:r>
              <w:t>Separating purchasers and providers of public services (through policies of contracting out and market-testing).</w:t>
            </w:r>
          </w:p>
          <w:p w14:paraId="4287039F" w14:textId="77777777" w:rsidR="00864652" w:rsidRDefault="00864652" w:rsidP="001B6C05">
            <w:pPr>
              <w:pStyle w:val="NoSpacing"/>
              <w:numPr>
                <w:ilvl w:val="0"/>
                <w:numId w:val="25"/>
              </w:numPr>
              <w:ind w:left="318" w:hanging="318"/>
            </w:pPr>
            <w:r>
              <w:t>The separation of operational from policy tasks within government departments</w:t>
            </w:r>
          </w:p>
          <w:p w14:paraId="50A2C4E6" w14:textId="77777777" w:rsidR="00864652" w:rsidRDefault="00864652" w:rsidP="001B6C05">
            <w:pPr>
              <w:pStyle w:val="NoSpacing"/>
              <w:numPr>
                <w:ilvl w:val="0"/>
                <w:numId w:val="25"/>
              </w:numPr>
              <w:ind w:left="318" w:hanging="318"/>
            </w:pPr>
            <w:r>
              <w:t>The creation of executive agencies.</w:t>
            </w:r>
          </w:p>
          <w:p w14:paraId="0F68991A" w14:textId="77777777" w:rsidR="00864652" w:rsidRDefault="00864652">
            <w:pPr>
              <w:pStyle w:val="NoSpacing"/>
            </w:pPr>
          </w:p>
        </w:tc>
      </w:tr>
    </w:tbl>
    <w:p w14:paraId="6312A36B" w14:textId="77777777" w:rsidR="00864652" w:rsidRDefault="00864652" w:rsidP="00864652">
      <w:pPr>
        <w:ind w:firstLine="284"/>
        <w:rPr>
          <w:rFonts w:cstheme="minorBidi"/>
        </w:rPr>
      </w:pPr>
    </w:p>
    <w:p w14:paraId="5D1423E6" w14:textId="77777777" w:rsidR="00864652" w:rsidRDefault="00864652" w:rsidP="00512824">
      <w:pPr>
        <w:ind w:firstLine="284"/>
      </w:pPr>
      <w:r>
        <w:t>The regulatory state remains a contentious notion. It can be referred to at the national level (e.g. Moran 2003 about the British state), and also at the sup</w:t>
      </w:r>
      <w:r w:rsidR="00512824">
        <w:t>ra</w:t>
      </w:r>
      <w:r>
        <w:t xml:space="preserve">national level (e.g. Majone 1996 about the European Commission). It is significantly affected by </w:t>
      </w:r>
      <w:r w:rsidR="006C4D1A">
        <w:t xml:space="preserve">the </w:t>
      </w:r>
      <w:r>
        <w:t xml:space="preserve">structure (e.g. the characteristics of the focused sector, the context of the cases (i.e. multiple mode of regulation can co-exist), existing institutions, and national contexts.) (Jordana and Levi-Farr 2004 p.9). One element of the literature (Scott 2004) regards the regulatory state as the next mode of the state to the welfare state (see </w:t>
      </w:r>
      <w:r w:rsidR="009A2799">
        <w:t>Table 3.5</w:t>
      </w:r>
      <w:r>
        <w:t>), and in so doing proposes regime change models</w:t>
      </w:r>
      <w:r w:rsidR="00927DEE">
        <w:t>. O</w:t>
      </w:r>
      <w:r>
        <w:t>thers offer more complex accounts; for example, Moran (2003) describes the emergence of the British regulatory state as an incomplete reconciling project of modernising the old British state with confrontations to traditional elites (pp.179-80). Braithwaite (2000) tries to solve this complexity by employing the term ‘new regulatory state’. Based on the assumption that the regulatory state already existed before the 1970s, he proposes the notion of a new regulatory state, which focuses on steering based on rules at distance (Levi-Faur 2012 p.19). This new regulatory state is characterised by the decentring of the state, relying on self-regulatory organisation, enforced self-regulation, compliance systems, codes of practice and other responsive techniques that substitute for direct command and control (Levi-Faur 2012 p.19).</w:t>
      </w:r>
    </w:p>
    <w:p w14:paraId="68B21B33" w14:textId="77777777" w:rsidR="00864652" w:rsidRDefault="00864652" w:rsidP="00985E1C">
      <w:pPr>
        <w:ind w:firstLine="284"/>
      </w:pPr>
      <w:r>
        <w:t xml:space="preserve">The contention about the exact nature of the regulatory state may be sustained because many countries in the world </w:t>
      </w:r>
      <w:r w:rsidR="008D5CCC">
        <w:rPr>
          <w:rFonts w:hint="eastAsia"/>
          <w:lang w:eastAsia="ja-JP"/>
        </w:rPr>
        <w:t>have been</w:t>
      </w:r>
      <w:r>
        <w:t xml:space="preserve"> in the process of shaping their respective regulatory states</w:t>
      </w:r>
      <w:r w:rsidR="008D5CCC">
        <w:rPr>
          <w:rFonts w:hint="eastAsia"/>
          <w:lang w:eastAsia="ja-JP"/>
        </w:rPr>
        <w:t xml:space="preserve"> after the 1980s</w:t>
      </w:r>
      <w:r>
        <w:t xml:space="preserve">. What the majority of the literature recognises is the emergence of new state forms which sometimes extend </w:t>
      </w:r>
      <w:r w:rsidR="00062448">
        <w:t>their</w:t>
      </w:r>
      <w:r>
        <w:t xml:space="preserve"> sphere </w:t>
      </w:r>
      <w:r w:rsidR="006C4D1A">
        <w:t xml:space="preserve">of </w:t>
      </w:r>
      <w:r>
        <w:t>influence beyond th</w:t>
      </w:r>
      <w:r w:rsidR="00062448">
        <w:t>ose</w:t>
      </w:r>
      <w:r>
        <w:t xml:space="preserve"> which operated in an area of the modern state. In this way Levi-Faur’s (2012 pp.19-20) simple definition of the regulatory state is useful; he defines the regulatory state as: ‘a state that applies and extends rule making, monitoring and enforcement either directly or indirectly’. This thesis employs the definition of Levi-Faur (2012) because of its generalisability and flexibility for analysing the state’s relationship with society (private firms).</w:t>
      </w:r>
      <w:r w:rsidR="00BC2B13">
        <w:t xml:space="preserve"> At the same time, the group of literature focusing on the regulatory state has failed to offer an account </w:t>
      </w:r>
      <w:r w:rsidR="00062448">
        <w:t>of</w:t>
      </w:r>
      <w:r w:rsidR="00BC2B13">
        <w:t xml:space="preserve"> how the differences of each regulatory state can be explained. This is what this thesis tries to </w:t>
      </w:r>
      <w:r w:rsidR="00985E1C">
        <w:t>offer</w:t>
      </w:r>
      <w:r w:rsidR="00BC2B13">
        <w:t xml:space="preserve"> with its analysis of the case studies.</w:t>
      </w:r>
    </w:p>
    <w:p w14:paraId="13CA5BE8" w14:textId="361398B8" w:rsidR="00864652" w:rsidRDefault="00864652" w:rsidP="001F0520">
      <w:pPr>
        <w:ind w:firstLine="284"/>
        <w:rPr>
          <w:lang w:eastAsia="ja-JP"/>
        </w:rPr>
      </w:pPr>
      <w:r>
        <w:rPr>
          <w:lang w:eastAsia="ja-JP"/>
        </w:rPr>
        <w:t xml:space="preserve">Taking account of the discussion above, the next two sections </w:t>
      </w:r>
      <w:r w:rsidR="00927DEE">
        <w:rPr>
          <w:lang w:eastAsia="ja-JP"/>
        </w:rPr>
        <w:t>sketch the nature of regulation and the</w:t>
      </w:r>
      <w:r>
        <w:rPr>
          <w:lang w:eastAsia="ja-JP"/>
        </w:rPr>
        <w:t xml:space="preserve"> regulatory tradition</w:t>
      </w:r>
      <w:r w:rsidR="00927DEE">
        <w:rPr>
          <w:rFonts w:eastAsia="MS Mincho"/>
          <w:lang w:eastAsia="ja-JP"/>
        </w:rPr>
        <w:t xml:space="preserve">s of </w:t>
      </w:r>
      <w:r>
        <w:rPr>
          <w:lang w:eastAsia="ja-JP"/>
        </w:rPr>
        <w:t>the UK</w:t>
      </w:r>
      <w:r w:rsidR="004628B9">
        <w:rPr>
          <w:rFonts w:eastAsia="MS Mincho" w:hint="eastAsia"/>
          <w:lang w:eastAsia="ja-JP"/>
        </w:rPr>
        <w:t xml:space="preserve"> and</w:t>
      </w:r>
      <w:r>
        <w:rPr>
          <w:lang w:eastAsia="ja-JP"/>
        </w:rPr>
        <w:t xml:space="preserve"> New Zealand. </w:t>
      </w:r>
      <w:r w:rsidR="00927DEE">
        <w:rPr>
          <w:lang w:eastAsia="ja-JP"/>
        </w:rPr>
        <w:t>In so doing,</w:t>
      </w:r>
      <w:r w:rsidR="00E72C3F">
        <w:rPr>
          <w:rFonts w:hint="eastAsia"/>
          <w:lang w:eastAsia="ja-JP"/>
        </w:rPr>
        <w:t xml:space="preserve"> </w:t>
      </w:r>
      <w:r w:rsidR="00927DEE">
        <w:rPr>
          <w:lang w:eastAsia="ja-JP"/>
        </w:rPr>
        <w:t xml:space="preserve">in comparative terms, this offers potential insights in studying the Japanese case, particularly in regards to the perceived exceptionalism associated with the Japanese regulatory tradition. </w:t>
      </w:r>
      <w:r w:rsidR="009879B6">
        <w:rPr>
          <w:lang w:eastAsia="ja-JP"/>
        </w:rPr>
        <w:t xml:space="preserve">Here, </w:t>
      </w:r>
      <w:r w:rsidR="009879B6">
        <w:t>t</w:t>
      </w:r>
      <w:r>
        <w:t>he United Kingdom offers a comparative fit with Japan; both count</w:t>
      </w:r>
      <w:r w:rsidR="00062448">
        <w:t>r</w:t>
      </w:r>
      <w:r>
        <w:t>ies have significant but not dominant size</w:t>
      </w:r>
      <w:r w:rsidR="00062448">
        <w:t>d</w:t>
      </w:r>
      <w:r>
        <w:t xml:space="preserve"> economies and started privatising the ICT sector in the 1980s. Their antimonopoly regulation emerged after </w:t>
      </w:r>
      <w:r w:rsidR="00687B0E">
        <w:rPr>
          <w:rFonts w:eastAsia="MS Mincho" w:hint="eastAsia"/>
          <w:lang w:eastAsia="ja-JP"/>
        </w:rPr>
        <w:t>1945</w:t>
      </w:r>
      <w:r>
        <w:t xml:space="preserve">. These similarities contribute to revealing </w:t>
      </w:r>
      <w:r w:rsidR="009879B6">
        <w:t>potential</w:t>
      </w:r>
      <w:r>
        <w:t xml:space="preserve"> generalisable features </w:t>
      </w:r>
      <w:r w:rsidR="009879B6">
        <w:t xml:space="preserve">alongside the </w:t>
      </w:r>
      <w:r>
        <w:t>different political traditions of these two countries</w:t>
      </w:r>
      <w:r w:rsidR="002D7EB8">
        <w:t>, although importing the British framework to the Japanese case without consideration</w:t>
      </w:r>
      <w:r w:rsidR="004063FB">
        <w:rPr>
          <w:rFonts w:hint="eastAsia"/>
          <w:lang w:eastAsia="ja-JP"/>
        </w:rPr>
        <w:t xml:space="preserve"> such as directly applying a particularistic British approach</w:t>
      </w:r>
      <w:r w:rsidR="002D7EB8">
        <w:t xml:space="preserve"> </w:t>
      </w:r>
      <w:r w:rsidR="004063FB">
        <w:rPr>
          <w:rFonts w:hint="eastAsia"/>
          <w:lang w:eastAsia="ja-JP"/>
        </w:rPr>
        <w:t xml:space="preserve">to the Japanese case </w:t>
      </w:r>
      <w:r w:rsidR="002D7EB8">
        <w:t xml:space="preserve">is problematic; for instance, trying to appraise the nature of the Japanese regulator with a perspective based on the </w:t>
      </w:r>
      <w:r w:rsidR="003704A7">
        <w:t xml:space="preserve">concept of </w:t>
      </w:r>
      <w:r w:rsidR="002D7EB8">
        <w:t xml:space="preserve">the British style </w:t>
      </w:r>
      <w:r w:rsidR="003704A7">
        <w:t xml:space="preserve">independent </w:t>
      </w:r>
      <w:r w:rsidR="002D7EB8">
        <w:t xml:space="preserve">regulator </w:t>
      </w:r>
      <w:r w:rsidR="003704A7">
        <w:t>can fall into the trap of concept stretching</w:t>
      </w:r>
      <w:r w:rsidR="00421F06">
        <w:rPr>
          <w:rFonts w:hint="eastAsia"/>
          <w:lang w:eastAsia="ja-JP"/>
        </w:rPr>
        <w:t xml:space="preserve"> (</w:t>
      </w:r>
      <w:r w:rsidR="00421F06">
        <w:rPr>
          <w:lang w:eastAsia="ja-JP"/>
        </w:rPr>
        <w:t>Sartori 1970</w:t>
      </w:r>
      <w:r w:rsidR="00421F06">
        <w:rPr>
          <w:rFonts w:hint="eastAsia"/>
          <w:lang w:eastAsia="ja-JP"/>
        </w:rPr>
        <w:t>)</w:t>
      </w:r>
      <w:r w:rsidR="003704A7">
        <w:t xml:space="preserve">, because the creation of British style independent regulator resulted from </w:t>
      </w:r>
      <w:r w:rsidR="007D575F">
        <w:t xml:space="preserve">the UK’s </w:t>
      </w:r>
      <w:r w:rsidR="001F0520">
        <w:t>unusual</w:t>
      </w:r>
      <w:r w:rsidR="003704A7">
        <w:t xml:space="preserve"> political </w:t>
      </w:r>
      <w:r w:rsidR="007D575F">
        <w:t xml:space="preserve">conditions </w:t>
      </w:r>
      <w:r w:rsidR="003704A7">
        <w:t>in the 1980s (e,g. the existence of the previous organisational example of the Office of Fair Trading (OFT)</w:t>
      </w:r>
      <w:r w:rsidR="007D575F">
        <w:t>,</w:t>
      </w:r>
      <w:r w:rsidR="003704A7">
        <w:t xml:space="preserve"> the fact that no government organisation</w:t>
      </w:r>
      <w:r w:rsidR="004063FB">
        <w:rPr>
          <w:rFonts w:hint="eastAsia"/>
          <w:lang w:eastAsia="ja-JP"/>
        </w:rPr>
        <w:t>s</w:t>
      </w:r>
      <w:r w:rsidR="003704A7">
        <w:t xml:space="preserve"> including the OFT agreed to accept the role of the Telecommunications regulator </w:t>
      </w:r>
      <w:r w:rsidR="007D575F">
        <w:t xml:space="preserve">during the privatisation of BT </w:t>
      </w:r>
      <w:r w:rsidR="003704A7">
        <w:t>(Vogel 1996 p.82, Moran 2003</w:t>
      </w:r>
      <w:r w:rsidR="007D575F">
        <w:t xml:space="preserve"> p.106</w:t>
      </w:r>
      <w:r w:rsidR="003704A7">
        <w:t>)</w:t>
      </w:r>
      <w:r w:rsidR="007D575F">
        <w:t>)</w:t>
      </w:r>
      <w:r w:rsidR="003704A7">
        <w:t xml:space="preserve"> and </w:t>
      </w:r>
      <w:r w:rsidR="005505B4">
        <w:t xml:space="preserve">importing </w:t>
      </w:r>
      <w:r w:rsidR="007D575F">
        <w:t xml:space="preserve">the model of the British style independent regulator </w:t>
      </w:r>
      <w:r w:rsidR="005505B4">
        <w:t>has not</w:t>
      </w:r>
      <w:r w:rsidR="007D575F">
        <w:t xml:space="preserve"> universally </w:t>
      </w:r>
      <w:r w:rsidR="005505B4">
        <w:t xml:space="preserve">been </w:t>
      </w:r>
      <w:r w:rsidR="007D575F">
        <w:t xml:space="preserve">accepted – for example, transferring the model of British style independent regulator encountered institutional problems such as the difference </w:t>
      </w:r>
      <w:r w:rsidR="00062448">
        <w:t>in</w:t>
      </w:r>
      <w:r w:rsidR="007D575F">
        <w:t xml:space="preserve"> legal tradition in </w:t>
      </w:r>
      <w:r w:rsidR="00062448">
        <w:t xml:space="preserve">the </w:t>
      </w:r>
      <w:r w:rsidR="005505B4">
        <w:t>German telecommunication sector</w:t>
      </w:r>
      <w:r w:rsidR="007D575F">
        <w:t xml:space="preserve"> </w:t>
      </w:r>
      <w:r w:rsidR="008912DB">
        <w:t>(</w:t>
      </w:r>
      <w:r w:rsidR="004D1329">
        <w:t>Döhler 2003 p.110)</w:t>
      </w:r>
      <w:r w:rsidR="008912DB">
        <w:t xml:space="preserve"> </w:t>
      </w:r>
      <w:r w:rsidR="007D575F">
        <w:t xml:space="preserve">and </w:t>
      </w:r>
      <w:r w:rsidR="004D1329">
        <w:t xml:space="preserve">major German </w:t>
      </w:r>
      <w:r w:rsidR="008912DB">
        <w:t xml:space="preserve">independent </w:t>
      </w:r>
      <w:r w:rsidR="004D1329">
        <w:t xml:space="preserve">agencies such as the Federal Cartel Office and RegTP </w:t>
      </w:r>
      <w:r w:rsidR="005505B4">
        <w:t xml:space="preserve">(Regulatory Agency of Telecommunications and Postal Services) </w:t>
      </w:r>
      <w:r w:rsidR="004D1329">
        <w:t xml:space="preserve">were legally subject to supervision and instruction from ministries </w:t>
      </w:r>
      <w:r w:rsidR="004063FB">
        <w:rPr>
          <w:rFonts w:hint="eastAsia"/>
          <w:lang w:eastAsia="ja-JP"/>
        </w:rPr>
        <w:t xml:space="preserve">unlike </w:t>
      </w:r>
      <w:r w:rsidR="00062448">
        <w:rPr>
          <w:lang w:eastAsia="ja-JP"/>
        </w:rPr>
        <w:t>their</w:t>
      </w:r>
      <w:r w:rsidR="004063FB">
        <w:rPr>
          <w:rFonts w:hint="eastAsia"/>
          <w:lang w:eastAsia="ja-JP"/>
        </w:rPr>
        <w:t xml:space="preserve"> British counterparts </w:t>
      </w:r>
      <w:r w:rsidR="004D1329">
        <w:t>(Thatcher 2003 p.127).</w:t>
      </w:r>
      <w:r>
        <w:t xml:space="preserve"> The </w:t>
      </w:r>
      <w:r>
        <w:rPr>
          <w:lang w:eastAsia="ja-JP"/>
        </w:rPr>
        <w:t xml:space="preserve">example of </w:t>
      </w:r>
      <w:r>
        <w:t xml:space="preserve">New Zealand </w:t>
      </w:r>
      <w:r>
        <w:rPr>
          <w:lang w:eastAsia="ja-JP"/>
        </w:rPr>
        <w:t>offers</w:t>
      </w:r>
      <w:r>
        <w:t xml:space="preserve"> another </w:t>
      </w:r>
      <w:r>
        <w:rPr>
          <w:lang w:eastAsia="ja-JP"/>
        </w:rPr>
        <w:t>reference</w:t>
      </w:r>
      <w:r>
        <w:t xml:space="preserve"> with its </w:t>
      </w:r>
      <w:r w:rsidR="00F5603C">
        <w:rPr>
          <w:rFonts w:hint="eastAsia"/>
          <w:lang w:eastAsia="ja-JP"/>
        </w:rPr>
        <w:t>radical</w:t>
      </w:r>
      <w:r w:rsidR="00E72C3F">
        <w:rPr>
          <w:rFonts w:hint="eastAsia"/>
          <w:lang w:eastAsia="ja-JP"/>
        </w:rPr>
        <w:t xml:space="preserve"> </w:t>
      </w:r>
      <w:r>
        <w:t>approach of deregulation in the 1980s called</w:t>
      </w:r>
      <w:r w:rsidR="00062448">
        <w:t xml:space="preserve"> the</w:t>
      </w:r>
      <w:r>
        <w:t xml:space="preserve"> ‘New Zealand</w:t>
      </w:r>
      <w:r w:rsidR="009C5CD4">
        <w:t xml:space="preserve"> experiment’ (Kelsey 1995 p.1).</w:t>
      </w:r>
    </w:p>
    <w:p w14:paraId="553487BB" w14:textId="77777777" w:rsidR="00E72C3F" w:rsidRDefault="00E72C3F" w:rsidP="00864652">
      <w:pPr>
        <w:ind w:firstLine="284"/>
        <w:rPr>
          <w:lang w:eastAsia="ja-JP"/>
        </w:rPr>
      </w:pPr>
    </w:p>
    <w:p w14:paraId="5B47F077" w14:textId="77777777" w:rsidR="00864652" w:rsidRDefault="00864652" w:rsidP="00050D4B">
      <w:pPr>
        <w:pStyle w:val="Heading3"/>
      </w:pPr>
      <w:bookmarkStart w:id="28" w:name="_Toc349741350"/>
      <w:r>
        <w:t>3.4.3</w:t>
      </w:r>
      <w:r>
        <w:rPr>
          <w:lang w:eastAsia="ja-JP"/>
        </w:rPr>
        <w:tab/>
      </w:r>
      <w:r>
        <w:t>A</w:t>
      </w:r>
      <w:r w:rsidR="00E63965">
        <w:rPr>
          <w:rFonts w:hint="eastAsia"/>
          <w:lang w:eastAsia="ja-JP"/>
        </w:rPr>
        <w:t>n</w:t>
      </w:r>
      <w:r>
        <w:t xml:space="preserve"> example of the regulatory state 1: the United Kingdom</w:t>
      </w:r>
      <w:bookmarkEnd w:id="28"/>
      <w:r>
        <w:t xml:space="preserve"> </w:t>
      </w:r>
    </w:p>
    <w:p w14:paraId="71E0F5C5" w14:textId="77777777" w:rsidR="00864652" w:rsidRDefault="00864652" w:rsidP="00864652">
      <w:r>
        <w:t xml:space="preserve">In the UK the regime of antimonopoly regulation offered a prototype of the regulatory framework in other sectors including ICT. The fact that the Office of Fair Trading (OFT) became a model for the regulatory </w:t>
      </w:r>
      <w:r w:rsidRPr="00435FD8">
        <w:t>organisations in other regulatory sectors (Moran 2003</w:t>
      </w:r>
      <w:r w:rsidR="00F5603C" w:rsidRPr="00435FD8">
        <w:rPr>
          <w:rFonts w:hint="eastAsia"/>
          <w:lang w:eastAsia="ja-JP"/>
        </w:rPr>
        <w:t xml:space="preserve"> p.106</w:t>
      </w:r>
      <w:r w:rsidRPr="00435FD8">
        <w:t>, Vogel 1996</w:t>
      </w:r>
      <w:r w:rsidR="00435FD8" w:rsidRPr="00435FD8">
        <w:rPr>
          <w:rFonts w:hint="eastAsia"/>
          <w:lang w:eastAsia="ja-JP"/>
        </w:rPr>
        <w:t xml:space="preserve"> p.82</w:t>
      </w:r>
      <w:r w:rsidRPr="00435FD8">
        <w:t>) makes the UK’s</w:t>
      </w:r>
      <w:r w:rsidRPr="00613C96">
        <w:t xml:space="preserve"> antimonopoly</w:t>
      </w:r>
      <w:r>
        <w:t xml:space="preserve"> regulation </w:t>
      </w:r>
      <w:r w:rsidR="009879B6">
        <w:t>a key element of</w:t>
      </w:r>
      <w:r>
        <w:t xml:space="preserve"> the British regulatory system today. The UK’s approach to antimonopoly regulation was restrained by its tradition </w:t>
      </w:r>
      <w:r w:rsidR="00687B0E">
        <w:rPr>
          <w:rFonts w:eastAsia="MS Mincho" w:hint="eastAsia"/>
          <w:lang w:eastAsia="ja-JP"/>
        </w:rPr>
        <w:t>on</w:t>
      </w:r>
      <w:r>
        <w:t xml:space="preserve"> business regulation; what emerges in Britain’s antimonopoly regulation is an outcome of the compromise between the UK’s political tradition and gradually increasing demand for antimonopoly regulation (Moran 2003 p.95-123).</w:t>
      </w:r>
    </w:p>
    <w:p w14:paraId="5E418006" w14:textId="77777777" w:rsidR="00864652" w:rsidRDefault="00864652" w:rsidP="00864652">
      <w:pPr>
        <w:ind w:firstLine="284"/>
      </w:pPr>
      <w:r>
        <w:t>The OFT offered a blueprint to the development of other regulatory organisations. The Office of Telecommunications (Oftel) was established in 1984 as the telecommunications regulator based on the institutional framework of the OFT (Moran 2003 p.106, Vogel 1996 p.82).</w:t>
      </w:r>
    </w:p>
    <w:p w14:paraId="11D950F5" w14:textId="77777777" w:rsidR="00864652" w:rsidRDefault="00864652" w:rsidP="00864652">
      <w:pPr>
        <w:ind w:firstLine="284"/>
      </w:pPr>
      <w:r>
        <w:t xml:space="preserve">Britain’s approach to regulation was significantly </w:t>
      </w:r>
      <w:r w:rsidR="009879B6">
        <w:t xml:space="preserve">affected </w:t>
      </w:r>
      <w:r>
        <w:t>by the regulatory reforms initiated by the Conservative government (1979-90), although it was</w:t>
      </w:r>
      <w:r w:rsidR="009879B6">
        <w:t xml:space="preserve"> more</w:t>
      </w:r>
      <w:r>
        <w:t xml:space="preserve"> piecemeal than coherent (Moran 2003 pp.100-1). According to Moran (2003 p.101): ‘the early critical privatization – notably British Telecom (BT), which was to establish a widely copied regulatory template – happened in an ad hoc fashion under intense pressure of time’. The regulatory reform was mobilised </w:t>
      </w:r>
      <w:r w:rsidR="009879B6">
        <w:t>for</w:t>
      </w:r>
      <w:r>
        <w:t xml:space="preserve"> two reasons; the significantly unresponsive public ownership prompted the proponents of the regulatory reform to choose a radical choice and the fiscal crisis of the state in the early 1980s made the government utilise the revenue by privatisation to conceal: ‘the fact that an administration committed to rolling back state spending was actually presiding over rising spending’ (Moran 2003 p.101). The nature of the resulting regulatory regime was complicated. According to Moran (2003 p.120) the adopted mode of regulation had two characteristics: ‘a distinctly modernist attempt by Littlechild to create an open, transparent world of non-discretionary regulatory decision</w:t>
      </w:r>
      <w:r w:rsidR="002C0731">
        <w:t>s</w:t>
      </w:r>
      <w:r>
        <w:t xml:space="preserve"> guided by fixed rules; and the very different attempt by the official creators in Whitehall to replicate as much as possible of the old discretionary and informal world that had privileged insiders in the club system’.</w:t>
      </w:r>
    </w:p>
    <w:p w14:paraId="59037442" w14:textId="77777777" w:rsidR="00864652" w:rsidRDefault="009879B6" w:rsidP="00275EC5">
      <w:pPr>
        <w:ind w:firstLine="284"/>
      </w:pPr>
      <w:r>
        <w:t xml:space="preserve">This </w:t>
      </w:r>
      <w:r w:rsidR="00864652">
        <w:t>contradictory set of characteristics c</w:t>
      </w:r>
      <w:r w:rsidR="002C0731">
        <w:t>reated</w:t>
      </w:r>
      <w:r w:rsidR="00864652">
        <w:t xml:space="preserve"> the </w:t>
      </w:r>
      <w:r w:rsidR="00E72C3F">
        <w:rPr>
          <w:rFonts w:hint="eastAsia"/>
          <w:lang w:eastAsia="ja-JP"/>
        </w:rPr>
        <w:t xml:space="preserve">following </w:t>
      </w:r>
      <w:r w:rsidR="00864652">
        <w:t>challenges (Moran 2003 p.108)</w:t>
      </w:r>
      <w:r w:rsidR="00E72C3F">
        <w:rPr>
          <w:rFonts w:hint="eastAsia"/>
          <w:lang w:eastAsia="ja-JP"/>
        </w:rPr>
        <w:t>. F</w:t>
      </w:r>
      <w:r w:rsidR="00864652">
        <w:t>irst, Littlechild’s price formula (RPI</w:t>
      </w:r>
      <w:r w:rsidR="00275EC5">
        <w:t xml:space="preserve"> (Retail Prices Index) </w:t>
      </w:r>
      <w:r w:rsidR="00864652">
        <w:t>-</w:t>
      </w:r>
      <w:r w:rsidR="00275EC5">
        <w:t xml:space="preserve"> </w:t>
      </w:r>
      <w:r w:rsidR="00864652">
        <w:t>X</w:t>
      </w:r>
      <w:r w:rsidR="002E0AB6">
        <w:rPr>
          <w:rStyle w:val="FootnoteReference"/>
        </w:rPr>
        <w:footnoteReference w:id="33"/>
      </w:r>
      <w:r w:rsidR="00864652">
        <w:t xml:space="preserve">) created a new problem of how X should be set, and whether and how additional ‘+Y’ should be set (Moran 2003 p.108). This provoked a political dispute, which Littlechild’s price formula intended to avoid (Moran 2003 p.108). The result of this trend was the shift to </w:t>
      </w:r>
      <w:r w:rsidR="002C0731">
        <w:t xml:space="preserve">a </w:t>
      </w:r>
      <w:r w:rsidR="00864652">
        <w:t>more open, formal system of politics, as described by Thatcher (1997 p.139 in Moran 2003 p.109):</w:t>
      </w:r>
    </w:p>
    <w:p w14:paraId="748FFD16" w14:textId="77777777" w:rsidR="00864652" w:rsidRDefault="00864652" w:rsidP="00864652">
      <w:pPr>
        <w:ind w:firstLine="284"/>
      </w:pPr>
    </w:p>
    <w:p w14:paraId="52ED3186" w14:textId="77777777" w:rsidR="00495655" w:rsidRDefault="00864652" w:rsidP="005B18BE">
      <w:pPr>
        <w:pStyle w:val="Quote"/>
      </w:pPr>
      <w:r>
        <w:t>The closed regulatory game of the pre-privatization era has given way to a more open and public one, with more participants, a higher degree of formalization of decision-making processes, greater public availability of information, more open conflict and complex manoeuvres involving ministers, the DGs, former monopolists, new entrants, consumer bodies and the MMC</w:t>
      </w:r>
      <w:r w:rsidR="006A4014">
        <w:rPr>
          <w:rStyle w:val="FootnoteReference"/>
        </w:rPr>
        <w:footnoteReference w:id="34"/>
      </w:r>
      <w:r>
        <w:t>.</w:t>
      </w:r>
    </w:p>
    <w:p w14:paraId="7091B752" w14:textId="77777777" w:rsidR="00864652" w:rsidRDefault="00864652" w:rsidP="00864652">
      <w:pPr>
        <w:ind w:firstLine="284"/>
      </w:pPr>
    </w:p>
    <w:p w14:paraId="2132B63C" w14:textId="77777777" w:rsidR="00864652" w:rsidRDefault="00864652" w:rsidP="00864652">
      <w:pPr>
        <w:ind w:firstLine="284"/>
      </w:pPr>
      <w:r>
        <w:t>The impact of emerging regulators has been significant. With a wide range of regulatory institutions emerging from privatisation, the growth of the regulators has also created a new community of regulators (Moran 2003 p.110). Moran (2003 pp.109-113) argues that regulators tended to share bureaucratic concerns toge</w:t>
      </w:r>
      <w:r w:rsidRPr="007130D5">
        <w:t>t</w:t>
      </w:r>
      <w:r>
        <w:t xml:space="preserve">her and the development of regulatory institutions rendered regulators </w:t>
      </w:r>
      <w:r w:rsidR="00A84C91">
        <w:rPr>
          <w:rFonts w:eastAsia="MS Mincho" w:hint="eastAsia"/>
          <w:lang w:eastAsia="ja-JP"/>
        </w:rPr>
        <w:t xml:space="preserve">to </w:t>
      </w:r>
      <w:r>
        <w:t>prioritise social obligations such as universal service, marginalising the initial object of economic efficiency. Elsewhere, the case of the water industry reveals the dominance of Ministers; it was the Secretary of State who actually decides whether or not the MMC’s recommendations about the regulated firms’ complaint to the regulator’s (OFWAT: Office of Water Services) decisions on price setting would be accepted (Maloney 2001 p.631).</w:t>
      </w:r>
    </w:p>
    <w:p w14:paraId="3185CF93" w14:textId="77777777" w:rsidR="00EB2829" w:rsidRDefault="00864652" w:rsidP="00911D18">
      <w:pPr>
        <w:ind w:firstLine="284"/>
      </w:pPr>
      <w:r>
        <w:t xml:space="preserve">Overall, Britain’s regulatory state since the 1980s can be characterised by the </w:t>
      </w:r>
      <w:r w:rsidR="009879B6">
        <w:t>growth in regulatory bodies</w:t>
      </w:r>
      <w:r w:rsidR="00FC1091">
        <w:rPr>
          <w:rFonts w:hint="eastAsia"/>
          <w:lang w:eastAsia="ja-JP"/>
        </w:rPr>
        <w:t xml:space="preserve"> mobilised by privatisation</w:t>
      </w:r>
      <w:r>
        <w:t xml:space="preserve">. </w:t>
      </w:r>
      <w:r w:rsidR="00911D18">
        <w:rPr>
          <w:lang w:eastAsia="ja-JP"/>
        </w:rPr>
        <w:t>‘The privatisation movement in Britain</w:t>
      </w:r>
      <w:r w:rsidR="00911D18">
        <w:rPr>
          <w:rFonts w:hint="eastAsia"/>
          <w:lang w:eastAsia="ja-JP"/>
        </w:rPr>
        <w:t xml:space="preserve"> </w:t>
      </w:r>
      <w:r w:rsidR="00911D18">
        <w:rPr>
          <w:lang w:eastAsia="ja-JP"/>
        </w:rPr>
        <w:t>… provided the main impetus for the growth of</w:t>
      </w:r>
      <w:r w:rsidR="00911D18">
        <w:rPr>
          <w:rFonts w:hint="eastAsia"/>
          <w:lang w:eastAsia="ja-JP"/>
        </w:rPr>
        <w:t xml:space="preserve"> </w:t>
      </w:r>
      <w:r w:rsidR="00911D18">
        <w:rPr>
          <w:lang w:eastAsia="ja-JP"/>
        </w:rPr>
        <w:t>economic regulation in the last two decades of the 20th century and the early</w:t>
      </w:r>
      <w:r w:rsidR="00911D18">
        <w:rPr>
          <w:rFonts w:hint="eastAsia"/>
          <w:lang w:eastAsia="ja-JP"/>
        </w:rPr>
        <w:t xml:space="preserve"> </w:t>
      </w:r>
      <w:r w:rsidR="00911D18">
        <w:rPr>
          <w:lang w:eastAsia="ja-JP"/>
        </w:rPr>
        <w:t>years of the twenty first century’</w:t>
      </w:r>
      <w:r w:rsidR="00911D18">
        <w:rPr>
          <w:rFonts w:hint="eastAsia"/>
          <w:lang w:eastAsia="ja-JP"/>
        </w:rPr>
        <w:t xml:space="preserve"> (House of Lords 2007 p.16). At the point of 2010-11, fifty six</w:t>
      </w:r>
      <w:r w:rsidR="00894A13">
        <w:rPr>
          <w:rFonts w:hint="eastAsia"/>
          <w:lang w:eastAsia="ja-JP"/>
        </w:rPr>
        <w:t xml:space="preserve"> national regulators were on duty </w:t>
      </w:r>
      <w:r w:rsidR="00FB22C3">
        <w:rPr>
          <w:rFonts w:hint="eastAsia"/>
          <w:lang w:eastAsia="ja-JP"/>
        </w:rPr>
        <w:t xml:space="preserve">in the UK </w:t>
      </w:r>
      <w:r w:rsidR="00894A13">
        <w:rPr>
          <w:rFonts w:hint="eastAsia"/>
          <w:lang w:eastAsia="ja-JP"/>
        </w:rPr>
        <w:t>(Department for Business, Innovation &amp; Skills 2013)</w:t>
      </w:r>
      <w:r w:rsidR="00C63A59">
        <w:rPr>
          <w:rFonts w:hint="eastAsia"/>
          <w:lang w:eastAsia="ja-JP"/>
        </w:rPr>
        <w:t>.</w:t>
      </w:r>
      <w:r w:rsidR="00894A13">
        <w:rPr>
          <w:rFonts w:hint="eastAsia"/>
          <w:lang w:eastAsia="ja-JP"/>
        </w:rPr>
        <w:t xml:space="preserve"> </w:t>
      </w:r>
      <w:r>
        <w:t xml:space="preserve">Based on the institutional framework in antimonopoly regulation (OFT) and ICT regulation (Oftel), the British regulatory state has deployed a sphere of its independent regulators as the key tool for regulation. Britain’s independent regulators have also adapted to the challenges; they have become transparent and open and developed a significant scale of outreach. Their relationship with politics has been awkward; critics highlight </w:t>
      </w:r>
      <w:r w:rsidR="005C794A">
        <w:t>their</w:t>
      </w:r>
      <w:r>
        <w:t xml:space="preserve"> nature as </w:t>
      </w:r>
      <w:r w:rsidR="009879B6">
        <w:t xml:space="preserve">cosseted </w:t>
      </w:r>
      <w:r>
        <w:t>bureaucracy which lacks democratic accountability (e.g. Norton 2004, The Register 2009). Also, the nature of independence seems under Ministers’ implicit discretion</w:t>
      </w:r>
      <w:r w:rsidR="00CD078C">
        <w:rPr>
          <w:rFonts w:hint="eastAsia"/>
          <w:lang w:eastAsia="ja-JP"/>
        </w:rPr>
        <w:t xml:space="preserve">; </w:t>
      </w:r>
      <w:r w:rsidR="003E3DE5">
        <w:rPr>
          <w:rFonts w:hint="eastAsia"/>
          <w:lang w:eastAsia="ja-JP"/>
        </w:rPr>
        <w:t xml:space="preserve"> for example</w:t>
      </w:r>
      <w:r w:rsidR="00EB2829">
        <w:rPr>
          <w:rFonts w:hint="eastAsia"/>
        </w:rPr>
        <w:t>, two British railway regulators (the Strategic Rail Authority and the Office of the Rail Regulator) were marginalised in the decision making process in the financial crisis of Railtrack in 2001</w:t>
      </w:r>
      <w:r w:rsidR="003E3DE5">
        <w:rPr>
          <w:rFonts w:hint="eastAsia"/>
          <w:lang w:eastAsia="ja-JP"/>
        </w:rPr>
        <w:t xml:space="preserve"> (</w:t>
      </w:r>
      <w:r w:rsidR="003E3DE5">
        <w:rPr>
          <w:rFonts w:hint="eastAsia"/>
        </w:rPr>
        <w:t>Moran 2003 p.117)</w:t>
      </w:r>
      <w:r w:rsidR="00EB2829">
        <w:rPr>
          <w:rFonts w:hint="eastAsia"/>
        </w:rPr>
        <w:t>:</w:t>
      </w:r>
    </w:p>
    <w:p w14:paraId="75790195" w14:textId="77777777" w:rsidR="00EB2829" w:rsidRDefault="00EB2829" w:rsidP="00EB2829">
      <w:pPr>
        <w:pStyle w:val="ListParagraph"/>
        <w:ind w:left="0" w:firstLineChars="122" w:firstLine="277"/>
        <w:rPr>
          <w:szCs w:val="24"/>
        </w:rPr>
      </w:pPr>
    </w:p>
    <w:p w14:paraId="3E3EA066" w14:textId="77777777" w:rsidR="00495655" w:rsidRDefault="00EB2829" w:rsidP="005B18BE">
      <w:pPr>
        <w:pStyle w:val="Quote"/>
      </w:pPr>
      <w:r>
        <w:rPr>
          <w:rFonts w:hint="eastAsia"/>
        </w:rPr>
        <w:t xml:space="preserve">Perhaps the most remarkable feature of the way the crisis was tackled in the autumn of 2001 was the extent to which both were left on the sidelines. Although </w:t>
      </w:r>
      <w:r w:rsidR="005C794A">
        <w:t xml:space="preserve">the </w:t>
      </w:r>
      <w:r>
        <w:t>dispute</w:t>
      </w:r>
      <w:r>
        <w:rPr>
          <w:rFonts w:hint="eastAsia"/>
        </w:rPr>
        <w:t xml:space="preserve"> surrounds the actual terms of a critical meeting between the Secretary of State and the Rail Regulator when the Secretary had decided to put Railtrack into receivership, what is undisputed is that the Rail Regulator </w:t>
      </w:r>
      <w:r w:rsidR="005C794A">
        <w:t>had</w:t>
      </w:r>
      <w:r>
        <w:rPr>
          <w:rFonts w:hint="eastAsia"/>
        </w:rPr>
        <w:t xml:space="preserve"> </w:t>
      </w:r>
      <w:r>
        <w:t>simply</w:t>
      </w:r>
      <w:r>
        <w:rPr>
          <w:rFonts w:hint="eastAsia"/>
        </w:rPr>
        <w:t xml:space="preserve"> no control over this decision: he was just told of it after the event. The same was true of the Strategic Rail Authority. Indeed, the Head of the Authority believed that the notion of an independent regulator had become fiction: </w:t>
      </w:r>
      <w:r>
        <w:t>‘</w:t>
      </w:r>
      <w:r>
        <w:rPr>
          <w:rFonts w:hint="eastAsia"/>
        </w:rPr>
        <w:t>almost every breath we draw has to be cleared by Ministers</w:t>
      </w:r>
      <w:r>
        <w:t>’</w:t>
      </w:r>
      <w:r>
        <w:rPr>
          <w:rFonts w:hint="eastAsia"/>
        </w:rPr>
        <w:t>.</w:t>
      </w:r>
    </w:p>
    <w:p w14:paraId="039C38DB" w14:textId="77777777" w:rsidR="00EB2829" w:rsidRDefault="00EB2829" w:rsidP="00EB2829">
      <w:pPr>
        <w:pStyle w:val="ListParagraph"/>
        <w:ind w:left="0" w:firstLineChars="122" w:firstLine="277"/>
        <w:rPr>
          <w:szCs w:val="24"/>
        </w:rPr>
      </w:pPr>
    </w:p>
    <w:p w14:paraId="1B3DEE32" w14:textId="77777777" w:rsidR="00EB2829" w:rsidRDefault="00EB2829" w:rsidP="00CD078C">
      <w:pPr>
        <w:rPr>
          <w:lang w:eastAsia="ja-JP"/>
        </w:rPr>
      </w:pPr>
      <w:r>
        <w:rPr>
          <w:rFonts w:hint="eastAsia"/>
        </w:rPr>
        <w:t xml:space="preserve">This </w:t>
      </w:r>
      <w:r>
        <w:t>exemplifies</w:t>
      </w:r>
      <w:r>
        <w:rPr>
          <w:rFonts w:hint="eastAsia"/>
        </w:rPr>
        <w:t xml:space="preserve"> the dominant position of party politicians (Ministers) in </w:t>
      </w:r>
      <w:r w:rsidR="005C794A">
        <w:t xml:space="preserve">the </w:t>
      </w:r>
      <w:r>
        <w:rPr>
          <w:rFonts w:hint="eastAsia"/>
        </w:rPr>
        <w:t>key decision making process of the crisis.</w:t>
      </w:r>
    </w:p>
    <w:p w14:paraId="31E7B654" w14:textId="77777777" w:rsidR="00864652" w:rsidRDefault="00864652" w:rsidP="00864652">
      <w:pPr>
        <w:ind w:firstLine="284"/>
      </w:pPr>
      <w:r>
        <w:t>The case of Britain’s regulatory state reveals an adaptation by the core executive through establishing the independent regulators. They have enabled Britain’s core executive to retain its dominance in the sphere of regulation.</w:t>
      </w:r>
    </w:p>
    <w:p w14:paraId="214A76E7" w14:textId="77777777" w:rsidR="00864652" w:rsidRDefault="00864652" w:rsidP="00864652">
      <w:pPr>
        <w:ind w:firstLine="284"/>
      </w:pPr>
    </w:p>
    <w:p w14:paraId="40C05336" w14:textId="77777777" w:rsidR="00864652" w:rsidRDefault="00864652" w:rsidP="00050D4B">
      <w:pPr>
        <w:pStyle w:val="Heading3"/>
      </w:pPr>
      <w:bookmarkStart w:id="29" w:name="_Toc349741351"/>
      <w:r>
        <w:t>3.4.4</w:t>
      </w:r>
      <w:r>
        <w:tab/>
      </w:r>
      <w:r w:rsidR="00E63965">
        <w:rPr>
          <w:rFonts w:hint="eastAsia"/>
          <w:lang w:eastAsia="ja-JP"/>
        </w:rPr>
        <w:t>An</w:t>
      </w:r>
      <w:r>
        <w:t xml:space="preserve"> example of the regulatory state 2: New Zealand</w:t>
      </w:r>
      <w:bookmarkEnd w:id="29"/>
    </w:p>
    <w:p w14:paraId="2D45098C" w14:textId="77777777" w:rsidR="00864652" w:rsidRDefault="00864652" w:rsidP="00864652">
      <w:r>
        <w:t xml:space="preserve">New Zealand offers an example of a significant scale of deregulation in the 1980s. Its reforms </w:t>
      </w:r>
      <w:r w:rsidR="009879B6">
        <w:t>reflect</w:t>
      </w:r>
      <w:r>
        <w:t xml:space="preserve"> one of the most comprehensive programs of economic </w:t>
      </w:r>
      <w:r w:rsidR="009879B6">
        <w:t xml:space="preserve">retrenchment </w:t>
      </w:r>
      <w:r>
        <w:t xml:space="preserve">in OECD </w:t>
      </w:r>
      <w:r w:rsidR="003F5D09">
        <w:rPr>
          <w:rFonts w:hint="eastAsia"/>
          <w:lang w:eastAsia="ja-JP"/>
        </w:rPr>
        <w:t xml:space="preserve">(Organisation for Economic Co-operation and Development) </w:t>
      </w:r>
      <w:r>
        <w:t>countries of the period (Evans et al 1996 p.1860).</w:t>
      </w:r>
    </w:p>
    <w:p w14:paraId="4C8C0BE9" w14:textId="4CD4C69E" w:rsidR="00864652" w:rsidRDefault="00864652" w:rsidP="001F0520">
      <w:pPr>
        <w:ind w:firstLine="284"/>
      </w:pPr>
      <w:r>
        <w:t>The impact of New Zealand’s reform significantly changed its ICT regulation and antimonopoly regulation by merging the two together with privatising the Telecom Corporation of New Zealand (Telecom), which was formed as a State Owned Enterprise (SOE) through the separation of the former telecommunications department of New Zealand Post Office in 1987. New Zealand adopted</w:t>
      </w:r>
      <w:r w:rsidR="005C794A">
        <w:t xml:space="preserve"> a</w:t>
      </w:r>
      <w:r>
        <w:t xml:space="preserve"> reliance on the general competition law to regulate the telecommunications industry, including resolving the disputes </w:t>
      </w:r>
      <w:r w:rsidR="00473AC2">
        <w:rPr>
          <w:rFonts w:hint="eastAsia"/>
          <w:lang w:eastAsia="ja-JP"/>
        </w:rPr>
        <w:t>on</w:t>
      </w:r>
      <w:r>
        <w:t xml:space="preserve"> telecommunications network interconnection charge, which were dealt with by sector specific regulators in many other developed countries (Patterson 1998 p.134). Because of New Zealand’s </w:t>
      </w:r>
      <w:r w:rsidR="0045309F">
        <w:t xml:space="preserve"> atypical</w:t>
      </w:r>
      <w:r>
        <w:t xml:space="preserve"> regulatory approach called ‘light-handed regulation</w:t>
      </w:r>
      <w:r>
        <w:rPr>
          <w:rStyle w:val="FootnoteReference"/>
        </w:rPr>
        <w:footnoteReference w:id="35"/>
      </w:r>
      <w:r>
        <w:t>’ (e.g. Evans et al 1996, Patterson 1998, Howell 2008, 20</w:t>
      </w:r>
      <w:r w:rsidR="003772DA">
        <w:t>10</w:t>
      </w:r>
      <w:r>
        <w:t>) analysing New Zealand’s case offers a</w:t>
      </w:r>
      <w:r w:rsidR="001F0520">
        <w:t>n</w:t>
      </w:r>
      <w:r>
        <w:t xml:space="preserve"> </w:t>
      </w:r>
      <w:r w:rsidR="001F0520">
        <w:t>unusual</w:t>
      </w:r>
      <w:r>
        <w:t xml:space="preserve"> example</w:t>
      </w:r>
      <w:r w:rsidR="001F0520">
        <w:t xml:space="preserve"> shared by few developed economies</w:t>
      </w:r>
      <w:r>
        <w:t xml:space="preserve">. The key tool here </w:t>
      </w:r>
      <w:r w:rsidR="005E7EC8">
        <w:rPr>
          <w:rFonts w:hint="eastAsia"/>
          <w:lang w:eastAsia="ja-JP"/>
        </w:rPr>
        <w:t>i</w:t>
      </w:r>
      <w:r>
        <w:t xml:space="preserve">s the Commerce Act, which oversees both antimonopoly regulation and ICT regulation. What is exposed is the New Zealand government’s distrust of regulation as a tool to control industry and </w:t>
      </w:r>
      <w:r w:rsidR="005C794A">
        <w:t xml:space="preserve">the </w:t>
      </w:r>
      <w:r>
        <w:t>reliance of Telecom’s good will with few preconditions.</w:t>
      </w:r>
    </w:p>
    <w:p w14:paraId="33B1D17F" w14:textId="19D47983" w:rsidR="00864652" w:rsidRDefault="00864652" w:rsidP="007A57B9">
      <w:pPr>
        <w:ind w:firstLine="284"/>
      </w:pPr>
      <w:r>
        <w:t>The reform transformed the Commerce Act. The 1975 Commerce Act retained the provision prioritising a group of aims such as consumer welfare and public interest (Kelsey 1995 p.91). This provision was simplified as ‘an Act to promote competition in markets’ by the replacement in 1986 (Kelsey 1995 p.91). The implementation of antimonopoly regulation was lenient to business. The key ideology for New Zealand’s antimonopoly regulation in the reform period (the 1990s) was</w:t>
      </w:r>
      <w:r w:rsidR="005C794A">
        <w:t xml:space="preserve"> the</w:t>
      </w:r>
      <w:r>
        <w:t xml:space="preserve"> ‘contestability approach’ which is described </w:t>
      </w:r>
      <w:r w:rsidR="005C794A">
        <w:t>by the</w:t>
      </w:r>
      <w:r>
        <w:t xml:space="preserve"> then Commerce Commission member and Fletcher Challenge director Kerrin Vautiers: ‘(v)arious collusive or contractual arrangements may be necessary to compete efficiently in a market, especially in view of information and transaction costs under conditions of uncertainty. The risk that such arrangements may diminish consumer welfare is minimised in reasonably accessible markets’ (Kelsey 1995 p.90).</w:t>
      </w:r>
    </w:p>
    <w:p w14:paraId="47BEC589" w14:textId="77777777" w:rsidR="00864652" w:rsidRDefault="00864652" w:rsidP="00864652">
      <w:pPr>
        <w:ind w:firstLine="284"/>
      </w:pPr>
      <w:r>
        <w:t xml:space="preserve">The approach of light-handed regulation reliant on the trust in big business’ good faith confronted a significant challenge in the 1990s. Patterson (1998 p.150) argues </w:t>
      </w:r>
      <w:r w:rsidR="00656D7A">
        <w:t xml:space="preserve">that </w:t>
      </w:r>
      <w:r>
        <w:t xml:space="preserve">what emerged in New Zealand’s telecommunications market was not the introduction of competition but integrated dominance. He describes New Zealand’s approach as ‘hands off’ rather than light-handed, highlighting its nature that regulation about network interconnection relies on </w:t>
      </w:r>
      <w:r w:rsidR="00656D7A">
        <w:t xml:space="preserve">the </w:t>
      </w:r>
      <w:r>
        <w:t>incumbent operator’s good will with no mechanism to resolve the disputes. Under this framework: ‘the network owner becomes the de facto regulator, and the policy can rightly be described as a monopolist’s charter’ (Patterson 1998 p.150).</w:t>
      </w:r>
    </w:p>
    <w:p w14:paraId="7CACEEC9" w14:textId="77777777" w:rsidR="00864652" w:rsidRDefault="00864652" w:rsidP="00864652">
      <w:pPr>
        <w:ind w:firstLine="284"/>
      </w:pPr>
      <w:r>
        <w:t>The 2000s saw the change of New Zealand’s regulatory policy trend. The 2001 amendments to the 1986 Commerce Act by the Labour-led government challenged the previous efficiency oriented approach by reintroducing a consumer welfare approach to competition law (Carter 2008 p.25). The enactment of the Telecommunications Act 2001 and subsequent establishment of the Telecommunications Commissioner within the Commerce Commission exemplifies New Zealand’s policy change from the framework based on the 1986 Commerce Act to re-regulation (Carter 2008 p.46). The 2001 Telecommunications Act introduced a new regulatory framework, in which the new regulator administers the interconnection disputes, which was a major topic of telecommunications regulation debates in the 1990s (Carter 2008 p.48).</w:t>
      </w:r>
    </w:p>
    <w:p w14:paraId="115182F1" w14:textId="77777777" w:rsidR="00864652" w:rsidRDefault="00864652" w:rsidP="00864652">
      <w:pPr>
        <w:ind w:firstLine="284"/>
      </w:pPr>
      <w:r>
        <w:t xml:space="preserve">The major vehicle mobilising New Zealand to economic reform can be explained by three points: the emergence of elites influenced by the US Chicago </w:t>
      </w:r>
      <w:r w:rsidR="00656D7A">
        <w:t>s</w:t>
      </w:r>
      <w:r>
        <w:t xml:space="preserve">chool </w:t>
      </w:r>
      <w:r w:rsidR="00656D7A">
        <w:t xml:space="preserve">of </w:t>
      </w:r>
      <w:r>
        <w:t xml:space="preserve">economics, the electoral system in which a single majority party could easily dominate political </w:t>
      </w:r>
      <w:r w:rsidR="00A84C91">
        <w:t>processes</w:t>
      </w:r>
      <w:r w:rsidR="00A84C91">
        <w:rPr>
          <w:rFonts w:eastAsia="MS Mincho" w:hint="eastAsia"/>
          <w:lang w:eastAsia="ja-JP"/>
        </w:rPr>
        <w:t>,</w:t>
      </w:r>
      <w:r>
        <w:t xml:space="preserve"> and </w:t>
      </w:r>
      <w:r w:rsidR="00A84C91">
        <w:rPr>
          <w:rFonts w:eastAsia="MS Mincho" w:hint="eastAsia"/>
          <w:lang w:eastAsia="ja-JP"/>
        </w:rPr>
        <w:t xml:space="preserve">the </w:t>
      </w:r>
      <w:r>
        <w:t>economic crisis before 1984</w:t>
      </w:r>
      <w:r w:rsidR="00E63965">
        <w:rPr>
          <w:rFonts w:hint="eastAsia"/>
          <w:lang w:eastAsia="ja-JP"/>
        </w:rPr>
        <w:t xml:space="preserve"> (Kelsey 1995</w:t>
      </w:r>
      <w:r w:rsidR="0057549E">
        <w:rPr>
          <w:rFonts w:hint="eastAsia"/>
          <w:lang w:eastAsia="ja-JP"/>
        </w:rPr>
        <w:t xml:space="preserve"> pp.29-55</w:t>
      </w:r>
      <w:r w:rsidR="00E63965">
        <w:rPr>
          <w:rFonts w:hint="eastAsia"/>
          <w:lang w:eastAsia="ja-JP"/>
        </w:rPr>
        <w:t>)</w:t>
      </w:r>
      <w:r>
        <w:t>.</w:t>
      </w:r>
    </w:p>
    <w:p w14:paraId="7F191D01" w14:textId="77777777" w:rsidR="00864652" w:rsidRDefault="00864652" w:rsidP="00864652">
      <w:pPr>
        <w:ind w:firstLine="284"/>
      </w:pPr>
      <w:r>
        <w:t xml:space="preserve">Key government organisations in New Zealand such as the Treasury and the Reserve Bank were significantly influenced by the Chicago School from the 1970s (Kelsey 1995 pp.54-5). A key characteristic of the US influence in New Zealand was that theories and applied economic research of a particular school of economics tended to be directly introduced with little filtering by New Zealand’s own economic researchers (Easton 1989 p.88, Kelsey 1995 pp.53-4). Achieving the dominance </w:t>
      </w:r>
      <w:r w:rsidR="00A84C91">
        <w:rPr>
          <w:rFonts w:eastAsia="MS Mincho" w:hint="eastAsia"/>
          <w:lang w:eastAsia="ja-JP"/>
        </w:rPr>
        <w:t xml:space="preserve">of the Chicago </w:t>
      </w:r>
      <w:r w:rsidR="00656D7A">
        <w:rPr>
          <w:rFonts w:eastAsia="MS Mincho"/>
          <w:lang w:eastAsia="ja-JP"/>
        </w:rPr>
        <w:t>s</w:t>
      </w:r>
      <w:r w:rsidR="00A84C91">
        <w:rPr>
          <w:rFonts w:eastAsia="MS Mincho" w:hint="eastAsia"/>
          <w:lang w:eastAsia="ja-JP"/>
        </w:rPr>
        <w:t xml:space="preserve">chool of economics </w:t>
      </w:r>
      <w:r>
        <w:t xml:space="preserve">within </w:t>
      </w:r>
      <w:r w:rsidR="00656D7A">
        <w:t xml:space="preserve">a </w:t>
      </w:r>
      <w:r>
        <w:t>key government organisation was the major driver of mobilising economic reform (Kelsey 1995 pp.50-1). By government change from National to Labour in 1984, key government organisations achieved a consensus on the needs of economic reforms (Kelsey 1995 p.53).</w:t>
      </w:r>
    </w:p>
    <w:p w14:paraId="017ABE2E" w14:textId="77777777" w:rsidR="00864652" w:rsidRDefault="00864652" w:rsidP="00864652">
      <w:pPr>
        <w:ind w:firstLine="284"/>
      </w:pPr>
      <w:r>
        <w:t xml:space="preserve">The perspectives of the elites in government organisations were put into practice through New Zealand’s political system in the 1980s: the single-house, first-past-the-post, two party system, under which the election winner controls policy. The cabinet could dominate decision making in the caucus by having </w:t>
      </w:r>
      <w:r w:rsidR="00656D7A">
        <w:t xml:space="preserve">a </w:t>
      </w:r>
      <w:r>
        <w:t>strategic ratio of Cabinet Ministers to MPs together with</w:t>
      </w:r>
      <w:r w:rsidR="00656D7A">
        <w:t xml:space="preserve"> a </w:t>
      </w:r>
      <w:r>
        <w:t xml:space="preserve">party whips system, which moves the MPs in line with </w:t>
      </w:r>
      <w:r w:rsidR="00656D7A">
        <w:t xml:space="preserve">the </w:t>
      </w:r>
      <w:r>
        <w:t>party executive’s line (Kelsey 1995 p.42). ‘A small number of ministers dominated the Cabinet, the Cabinet dominated the caucus, and the caucus dominated the Parliament’ (Kelsey 1995 p.42). Under this framework key proponents of economic reforms such as Roger Douglas</w:t>
      </w:r>
      <w:r>
        <w:rPr>
          <w:rStyle w:val="FootnoteReference"/>
        </w:rPr>
        <w:footnoteReference w:id="36"/>
      </w:r>
      <w:r>
        <w:t xml:space="preserve"> and Ruth Richardson pushed their reform policy (Kelsey 1995 pp.42-3).</w:t>
      </w:r>
    </w:p>
    <w:p w14:paraId="5CDEA647" w14:textId="77777777" w:rsidR="00864652" w:rsidRDefault="00864652" w:rsidP="00864652">
      <w:pPr>
        <w:ind w:firstLine="284"/>
      </w:pPr>
      <w:r>
        <w:t>Another factor prompt</w:t>
      </w:r>
      <w:r w:rsidR="00656D7A">
        <w:t>ing</w:t>
      </w:r>
      <w:r>
        <w:t xml:space="preserve"> New Zealand to employ the economic reforms </w:t>
      </w:r>
      <w:r w:rsidR="00656D7A">
        <w:t>was</w:t>
      </w:r>
      <w:r>
        <w:t xml:space="preserve"> the economic crisis before </w:t>
      </w:r>
      <w:r w:rsidR="00656D7A">
        <w:t xml:space="preserve">the </w:t>
      </w:r>
      <w:r>
        <w:t>government change</w:t>
      </w:r>
      <w:r w:rsidR="00656D7A">
        <w:t>d</w:t>
      </w:r>
      <w:r>
        <w:t xml:space="preserve"> in 1984</w:t>
      </w:r>
      <w:r>
        <w:rPr>
          <w:rStyle w:val="FootnoteReference"/>
        </w:rPr>
        <w:footnoteReference w:id="37"/>
      </w:r>
      <w:r>
        <w:t>. This crisis prompted elites in New Zealand to think that radical reform was necessary to revitalise their country (Kelsey 1995 p.29).</w:t>
      </w:r>
    </w:p>
    <w:p w14:paraId="649DDB24" w14:textId="07464F77" w:rsidR="00864652" w:rsidRDefault="00864652" w:rsidP="001F0520">
      <w:pPr>
        <w:ind w:firstLine="284"/>
      </w:pPr>
      <w:r>
        <w:t xml:space="preserve">In pulling the above together, what emerges is </w:t>
      </w:r>
      <w:r w:rsidR="00656D7A">
        <w:t>the</w:t>
      </w:r>
      <w:r>
        <w:t xml:space="preserve"> </w:t>
      </w:r>
      <w:r w:rsidR="006E1373">
        <w:t>atypical</w:t>
      </w:r>
      <w:r>
        <w:t xml:space="preserve"> nature of New Zealand’s regulatory state. After 1984 it prioritised economic efficiency, regarding regulation as a problematic tool of control distorting </w:t>
      </w:r>
      <w:r w:rsidR="00656D7A">
        <w:t xml:space="preserve">the </w:t>
      </w:r>
      <w:r>
        <w:t xml:space="preserve">economy and market rather than a new approach to </w:t>
      </w:r>
      <w:r w:rsidR="00656D7A">
        <w:t xml:space="preserve">the </w:t>
      </w:r>
      <w:r>
        <w:t xml:space="preserve">economy. New Zealand’s elites employed a strategy of stripping the state’s regulatory instruments, letting private firms operate, and reducing state power. The state was </w:t>
      </w:r>
      <w:r w:rsidR="00FF0589">
        <w:t xml:space="preserve">perceived to be </w:t>
      </w:r>
      <w:r>
        <w:t xml:space="preserve">hollowed out in regulation. The result was the emergence of </w:t>
      </w:r>
      <w:r w:rsidR="00656D7A">
        <w:t xml:space="preserve">a </w:t>
      </w:r>
      <w:r>
        <w:t>private monopoly in privatised sectors such as ICT, in which a failure of this light-handed regulation emerged through network interconnection disputes.</w:t>
      </w:r>
    </w:p>
    <w:p w14:paraId="16ECE838" w14:textId="77777777" w:rsidR="00864652" w:rsidRDefault="00864652" w:rsidP="00864652">
      <w:pPr>
        <w:ind w:firstLine="284"/>
        <w:rPr>
          <w:rFonts w:eastAsia="MS Mincho"/>
          <w:lang w:eastAsia="ja-JP"/>
        </w:rPr>
      </w:pPr>
      <w:r>
        <w:t xml:space="preserve">The </w:t>
      </w:r>
      <w:r w:rsidR="00FF0589">
        <w:t xml:space="preserve">power </w:t>
      </w:r>
      <w:r>
        <w:t>of the core executive has been dominant. Key government organisation officials have led the economic reform initiatives (Kelsey 1995 pp.46-68). Party politicians steered the processes of implementing reform programmes, which were not always popular (Kelsey 1995 pp.28-45). Under the asymmetric dominance of the core executive New Zealand has realised the true retreat of the state from its regulatory front in antimonopoly regulation and ICT regulation. The approach typically observed in ICT regulation was different from any other countries: ‘… to be a leader others must follow… no other country has adopted New Zealand’s “hands-off” model’ (Patterson 1998 p.151).</w:t>
      </w:r>
      <w:r w:rsidR="00A5682A">
        <w:rPr>
          <w:rFonts w:hint="eastAsia"/>
          <w:lang w:eastAsia="ja-JP"/>
        </w:rPr>
        <w:t xml:space="preserve"> </w:t>
      </w:r>
    </w:p>
    <w:p w14:paraId="199574A7" w14:textId="77777777" w:rsidR="00864652" w:rsidRDefault="00864652" w:rsidP="00864652">
      <w:pPr>
        <w:ind w:firstLine="284"/>
      </w:pPr>
    </w:p>
    <w:p w14:paraId="15A8E903" w14:textId="77777777" w:rsidR="00864652" w:rsidRDefault="00864652" w:rsidP="00050D4B">
      <w:pPr>
        <w:pStyle w:val="Heading3"/>
      </w:pPr>
      <w:bookmarkStart w:id="30" w:name="_Toc349741352"/>
      <w:r>
        <w:t>3.4.5</w:t>
      </w:r>
      <w:r>
        <w:tab/>
      </w:r>
      <w:r>
        <w:rPr>
          <w:lang w:eastAsia="ja-JP"/>
        </w:rPr>
        <w:t>The s</w:t>
      </w:r>
      <w:r>
        <w:t>ummar</w:t>
      </w:r>
      <w:r>
        <w:rPr>
          <w:lang w:eastAsia="ja-JP"/>
        </w:rPr>
        <w:t xml:space="preserve">y of </w:t>
      </w:r>
      <w:r>
        <w:t>the two key concepts</w:t>
      </w:r>
      <w:bookmarkEnd w:id="30"/>
    </w:p>
    <w:p w14:paraId="0BFFD05D" w14:textId="77777777" w:rsidR="00864652" w:rsidRDefault="00864652" w:rsidP="00864652">
      <w:pPr>
        <w:rPr>
          <w:lang w:eastAsia="ja-JP"/>
        </w:rPr>
      </w:pPr>
      <w:r>
        <w:t xml:space="preserve">The concepts of the core executive and the regulatory state offer a framework in which this thesis explores the transformation in ICT </w:t>
      </w:r>
      <w:r w:rsidR="00CB4455">
        <w:rPr>
          <w:rFonts w:hint="eastAsia"/>
          <w:lang w:eastAsia="ja-JP"/>
        </w:rPr>
        <w:t xml:space="preserve">regulation </w:t>
      </w:r>
      <w:r>
        <w:t>and antimonopoly</w:t>
      </w:r>
      <w:r w:rsidR="00CB4455">
        <w:rPr>
          <w:rFonts w:hint="eastAsia"/>
          <w:lang w:eastAsia="ja-JP"/>
        </w:rPr>
        <w:t xml:space="preserve"> regulation</w:t>
      </w:r>
      <w:r>
        <w:t>. The concept of the core executive grounds the analyses of power within which power relations between actors and the specific political contexts within the state are explored. The notion of the regulatory state offers a platform on which the state and society interacts in regulation. Within the framework of the regulatory state this thesis can focus its analyses on the regulatory aspects of the Japanese state.</w:t>
      </w:r>
    </w:p>
    <w:p w14:paraId="6FE94311" w14:textId="2F63368A" w:rsidR="00E364AF" w:rsidRDefault="00A5682A" w:rsidP="001F0520">
      <w:pPr>
        <w:ind w:firstLine="284"/>
      </w:pPr>
      <w:r>
        <w:rPr>
          <w:rFonts w:hint="eastAsia"/>
          <w:lang w:eastAsia="ja-JP"/>
        </w:rPr>
        <w:t xml:space="preserve">The examples of the other regulatory state reveal </w:t>
      </w:r>
      <w:r w:rsidR="00DB02A7">
        <w:rPr>
          <w:rFonts w:hint="eastAsia"/>
          <w:lang w:eastAsia="ja-JP"/>
        </w:rPr>
        <w:t xml:space="preserve">different variations of the regulatory state. </w:t>
      </w:r>
      <w:r w:rsidR="00E364AF">
        <w:rPr>
          <w:rFonts w:hint="eastAsia"/>
          <w:lang w:eastAsia="ja-JP"/>
        </w:rPr>
        <w:t>What is common in the cases of the UK and New Zealand is the dominance of the core executive in shaping their regulatory states.</w:t>
      </w:r>
      <w:r w:rsidR="0045303C">
        <w:rPr>
          <w:rFonts w:hint="eastAsia"/>
          <w:lang w:eastAsia="ja-JP"/>
        </w:rPr>
        <w:t xml:space="preserve"> </w:t>
      </w:r>
      <w:r w:rsidR="00E364AF">
        <w:rPr>
          <w:rFonts w:hint="eastAsia"/>
        </w:rPr>
        <w:t xml:space="preserve">The </w:t>
      </w:r>
      <w:r w:rsidR="00252BD1">
        <w:rPr>
          <w:rFonts w:hint="eastAsia"/>
          <w:lang w:eastAsia="ja-JP"/>
        </w:rPr>
        <w:t xml:space="preserve">rise of the </w:t>
      </w:r>
      <w:r w:rsidR="00E364AF">
        <w:rPr>
          <w:rFonts w:hint="eastAsia"/>
        </w:rPr>
        <w:t>UK</w:t>
      </w:r>
      <w:r w:rsidR="00E364AF">
        <w:t>’</w:t>
      </w:r>
      <w:r w:rsidR="00E364AF">
        <w:rPr>
          <w:rFonts w:hint="eastAsia"/>
        </w:rPr>
        <w:t>s</w:t>
      </w:r>
      <w:r w:rsidR="00252BD1">
        <w:rPr>
          <w:rFonts w:hint="eastAsia"/>
          <w:lang w:eastAsia="ja-JP"/>
        </w:rPr>
        <w:t xml:space="preserve"> regulators </w:t>
      </w:r>
      <w:r w:rsidR="00675352">
        <w:rPr>
          <w:rFonts w:hint="eastAsia"/>
          <w:lang w:eastAsia="ja-JP"/>
        </w:rPr>
        <w:t>and deregulation led by elites in government organisations in New Zealand offer examples of the core executive</w:t>
      </w:r>
      <w:r w:rsidR="00675352">
        <w:rPr>
          <w:lang w:eastAsia="ja-JP"/>
        </w:rPr>
        <w:t>’</w:t>
      </w:r>
      <w:r w:rsidR="00675352">
        <w:rPr>
          <w:rFonts w:hint="eastAsia"/>
          <w:lang w:eastAsia="ja-JP"/>
        </w:rPr>
        <w:t xml:space="preserve">s dominance. </w:t>
      </w:r>
      <w:r w:rsidR="00E364AF">
        <w:rPr>
          <w:rFonts w:hint="eastAsia"/>
        </w:rPr>
        <w:t xml:space="preserve">Another key characteristic is the extent to which respective political traditions have worked in </w:t>
      </w:r>
      <w:r w:rsidR="00143D16">
        <w:rPr>
          <w:rFonts w:hint="eastAsia"/>
          <w:lang w:eastAsia="ja-JP"/>
        </w:rPr>
        <w:t xml:space="preserve">shaping </w:t>
      </w:r>
      <w:r w:rsidR="00E364AF">
        <w:rPr>
          <w:rFonts w:hint="eastAsia"/>
        </w:rPr>
        <w:t xml:space="preserve">regulatory policies. The </w:t>
      </w:r>
      <w:r w:rsidR="00545E8D">
        <w:rPr>
          <w:rFonts w:hint="eastAsia"/>
          <w:lang w:eastAsia="ja-JP"/>
        </w:rPr>
        <w:t>UK</w:t>
      </w:r>
      <w:r w:rsidR="00545E8D">
        <w:rPr>
          <w:lang w:eastAsia="ja-JP"/>
        </w:rPr>
        <w:t>’</w:t>
      </w:r>
      <w:r w:rsidR="00545E8D">
        <w:rPr>
          <w:rFonts w:hint="eastAsia"/>
          <w:lang w:eastAsia="ja-JP"/>
        </w:rPr>
        <w:t>s</w:t>
      </w:r>
      <w:r w:rsidR="00E364AF">
        <w:rPr>
          <w:rFonts w:hint="eastAsia"/>
        </w:rPr>
        <w:t xml:space="preserve"> key characteristic is the rise of the regulators such as Oftel. The examination by Moran (2003) </w:t>
      </w:r>
      <w:r w:rsidR="000A2AF4">
        <w:rPr>
          <w:rFonts w:hint="eastAsia"/>
          <w:lang w:eastAsia="ja-JP"/>
        </w:rPr>
        <w:t xml:space="preserve">exposes </w:t>
      </w:r>
      <w:r w:rsidR="00302EEE">
        <w:t>the</w:t>
      </w:r>
      <w:r w:rsidR="00E364AF">
        <w:rPr>
          <w:rFonts w:hint="eastAsia"/>
        </w:rPr>
        <w:t xml:space="preserve"> influence of a traditional approach in which a closed community (the club world) controls with opaque processes and the politicised nature of Britain</w:t>
      </w:r>
      <w:r w:rsidR="00E364AF">
        <w:t>’</w:t>
      </w:r>
      <w:r w:rsidR="00E364AF">
        <w:rPr>
          <w:rFonts w:hint="eastAsia"/>
        </w:rPr>
        <w:t>s regulation, which typically appears in the debate about Littelchild</w:t>
      </w:r>
      <w:r w:rsidR="00E364AF">
        <w:t>’</w:t>
      </w:r>
      <w:r w:rsidR="00E364AF">
        <w:rPr>
          <w:rFonts w:hint="eastAsia"/>
        </w:rPr>
        <w:t xml:space="preserve">s (RPI-X ) price </w:t>
      </w:r>
      <w:r w:rsidR="000A2AF4">
        <w:t>formula</w:t>
      </w:r>
      <w:r w:rsidR="00E364AF">
        <w:rPr>
          <w:rFonts w:hint="eastAsia"/>
        </w:rPr>
        <w:t xml:space="preserve">. He highlights the regulatory regime which can be </w:t>
      </w:r>
      <w:r w:rsidR="000A2AF4">
        <w:t>characterised</w:t>
      </w:r>
      <w:r w:rsidR="00E364AF">
        <w:rPr>
          <w:rFonts w:hint="eastAsia"/>
        </w:rPr>
        <w:t xml:space="preserve"> by the regulators with </w:t>
      </w:r>
      <w:r w:rsidR="00302EEE">
        <w:t xml:space="preserve">a </w:t>
      </w:r>
      <w:r w:rsidR="00E364AF">
        <w:rPr>
          <w:rFonts w:hint="eastAsia"/>
        </w:rPr>
        <w:t xml:space="preserve">fragmented background; more politicised, open, but undemocratic in the way that it is at </w:t>
      </w:r>
      <w:r w:rsidR="008B4782">
        <w:t>arm’s length</w:t>
      </w:r>
      <w:r w:rsidR="00E364AF">
        <w:rPr>
          <w:rFonts w:hint="eastAsia"/>
        </w:rPr>
        <w:t xml:space="preserve"> from elected officials</w:t>
      </w:r>
      <w:r w:rsidR="00E364AF">
        <w:t>’</w:t>
      </w:r>
      <w:r w:rsidR="00E364AF">
        <w:rPr>
          <w:rFonts w:hint="eastAsia"/>
        </w:rPr>
        <w:t xml:space="preserve"> control. The case of New Zealand offers a</w:t>
      </w:r>
      <w:r w:rsidR="001F0520">
        <w:t>n</w:t>
      </w:r>
      <w:r w:rsidR="00E364AF">
        <w:rPr>
          <w:rFonts w:hint="eastAsia"/>
        </w:rPr>
        <w:t xml:space="preserve"> </w:t>
      </w:r>
      <w:r w:rsidR="001F0520">
        <w:t>unusual</w:t>
      </w:r>
      <w:r w:rsidR="00E364AF">
        <w:rPr>
          <w:rFonts w:hint="eastAsia"/>
        </w:rPr>
        <w:t xml:space="preserve"> example of a regulatory state. What can be understood as New Zealand</w:t>
      </w:r>
      <w:r w:rsidR="00E364AF">
        <w:t>’</w:t>
      </w:r>
      <w:r w:rsidR="00E364AF">
        <w:rPr>
          <w:rFonts w:hint="eastAsia"/>
        </w:rPr>
        <w:t xml:space="preserve">s political tradition is its unstable political machine. The significant influence of </w:t>
      </w:r>
      <w:r w:rsidR="00302EEE">
        <w:t xml:space="preserve">the </w:t>
      </w:r>
      <w:r w:rsidR="00E364AF">
        <w:rPr>
          <w:rFonts w:hint="eastAsia"/>
        </w:rPr>
        <w:t xml:space="preserve">Chicago </w:t>
      </w:r>
      <w:r w:rsidR="00302EEE">
        <w:t>s</w:t>
      </w:r>
      <w:r w:rsidR="00E364AF">
        <w:rPr>
          <w:rFonts w:hint="eastAsia"/>
        </w:rPr>
        <w:t>chool of economics to its elites and its single-house, first-past-the-post, two party system in the 1980s facilitated comprehensive policy reforms through occupying the key political posts of the government with the proponents of economic reforms.</w:t>
      </w:r>
    </w:p>
    <w:p w14:paraId="62BEE7B9" w14:textId="0C30095A" w:rsidR="00E364AF" w:rsidRDefault="00E364AF" w:rsidP="001F0520">
      <w:pPr>
        <w:pStyle w:val="ListParagraph"/>
        <w:ind w:left="0" w:firstLine="284"/>
        <w:rPr>
          <w:szCs w:val="24"/>
        </w:rPr>
      </w:pPr>
      <w:r>
        <w:rPr>
          <w:rFonts w:hint="eastAsia"/>
          <w:szCs w:val="24"/>
        </w:rPr>
        <w:t xml:space="preserve">Elsewhere, </w:t>
      </w:r>
      <w:r>
        <w:rPr>
          <w:szCs w:val="24"/>
        </w:rPr>
        <w:t>these</w:t>
      </w:r>
      <w:r>
        <w:rPr>
          <w:rFonts w:hint="eastAsia"/>
          <w:szCs w:val="24"/>
        </w:rPr>
        <w:t xml:space="preserve"> cases also reveal differences. The British regulatory state reveals the rise of a new form of institution (regulators) (formally not either in the executive branch or the private sector) under the informal dominance of Ministers. It is efficient in the way that British regulators are required to be less accountable to party politicians and have more authority to implement policy programmes without legislation</w:t>
      </w:r>
      <w:r w:rsidR="00374F6C">
        <w:rPr>
          <w:rFonts w:hint="eastAsia"/>
          <w:szCs w:val="24"/>
        </w:rPr>
        <w:t xml:space="preserve"> than government ministries</w:t>
      </w:r>
      <w:r>
        <w:rPr>
          <w:rFonts w:hint="eastAsia"/>
          <w:szCs w:val="24"/>
        </w:rPr>
        <w:t xml:space="preserve">. Elsewhere, the fragmented nature of the British regulatory system renders the criticism about the democratic control of </w:t>
      </w:r>
      <w:r w:rsidR="00455D3C">
        <w:rPr>
          <w:szCs w:val="24"/>
        </w:rPr>
        <w:t xml:space="preserve">the </w:t>
      </w:r>
      <w:r>
        <w:rPr>
          <w:rFonts w:hint="eastAsia"/>
          <w:szCs w:val="24"/>
        </w:rPr>
        <w:t>regulator. New Zealand</w:t>
      </w:r>
      <w:r>
        <w:rPr>
          <w:szCs w:val="24"/>
        </w:rPr>
        <w:t>’</w:t>
      </w:r>
      <w:r>
        <w:rPr>
          <w:rFonts w:hint="eastAsia"/>
          <w:szCs w:val="24"/>
        </w:rPr>
        <w:t xml:space="preserve">s case could be the most </w:t>
      </w:r>
      <w:r w:rsidR="006E1373">
        <w:rPr>
          <w:szCs w:val="24"/>
        </w:rPr>
        <w:t>atypical</w:t>
      </w:r>
      <w:r>
        <w:rPr>
          <w:rFonts w:hint="eastAsia"/>
          <w:szCs w:val="24"/>
        </w:rPr>
        <w:t xml:space="preserve"> among others</w:t>
      </w:r>
      <w:r w:rsidR="00143D16">
        <w:rPr>
          <w:rFonts w:hint="eastAsia"/>
          <w:szCs w:val="24"/>
        </w:rPr>
        <w:t xml:space="preserve"> with its radical retreat of the state in regulation</w:t>
      </w:r>
      <w:r>
        <w:rPr>
          <w:rFonts w:hint="eastAsia"/>
          <w:szCs w:val="24"/>
        </w:rPr>
        <w:t xml:space="preserve">. </w:t>
      </w:r>
      <w:r w:rsidR="00345A3E">
        <w:rPr>
          <w:rFonts w:hint="eastAsia"/>
          <w:szCs w:val="24"/>
        </w:rPr>
        <w:t>New Zealand</w:t>
      </w:r>
      <w:r w:rsidR="00345A3E">
        <w:rPr>
          <w:szCs w:val="24"/>
        </w:rPr>
        <w:t>’</w:t>
      </w:r>
      <w:r w:rsidR="00345A3E">
        <w:rPr>
          <w:rFonts w:hint="eastAsia"/>
          <w:szCs w:val="24"/>
        </w:rPr>
        <w:t>s</w:t>
      </w:r>
      <w:r>
        <w:rPr>
          <w:rFonts w:hint="eastAsia"/>
          <w:szCs w:val="24"/>
        </w:rPr>
        <w:t xml:space="preserve"> economic reforms and its reactions offer an example </w:t>
      </w:r>
      <w:r w:rsidR="00455D3C">
        <w:rPr>
          <w:szCs w:val="24"/>
        </w:rPr>
        <w:t>incomparable</w:t>
      </w:r>
      <w:r>
        <w:rPr>
          <w:rFonts w:hint="eastAsia"/>
          <w:szCs w:val="24"/>
        </w:rPr>
        <w:t xml:space="preserve"> to any other countries</w:t>
      </w:r>
      <w:r>
        <w:rPr>
          <w:szCs w:val="24"/>
        </w:rPr>
        <w:t>’</w:t>
      </w:r>
      <w:r>
        <w:rPr>
          <w:rFonts w:hint="eastAsia"/>
          <w:szCs w:val="24"/>
        </w:rPr>
        <w:t xml:space="preserve"> in the developed world.</w:t>
      </w:r>
    </w:p>
    <w:p w14:paraId="50CC8A7C" w14:textId="449D0FAE" w:rsidR="00864652" w:rsidRDefault="008D7C78" w:rsidP="003A01C5">
      <w:pPr>
        <w:ind w:firstLine="284"/>
        <w:rPr>
          <w:lang w:eastAsia="ja-JP"/>
        </w:rPr>
      </w:pPr>
      <w:r>
        <w:rPr>
          <w:rFonts w:hint="eastAsia"/>
          <w:lang w:eastAsia="ja-JP"/>
        </w:rPr>
        <w:t xml:space="preserve">Turning to the core theme of this thesis, the transformation of the Japanese state, with the analytical framework of the core executive and the regulatory state employed, a challenge is to address change </w:t>
      </w:r>
      <w:r w:rsidR="00911927">
        <w:rPr>
          <w:rFonts w:hint="eastAsia"/>
          <w:lang w:eastAsia="ja-JP"/>
        </w:rPr>
        <w:t>emerg</w:t>
      </w:r>
      <w:r w:rsidR="00455D3C">
        <w:rPr>
          <w:lang w:eastAsia="ja-JP"/>
        </w:rPr>
        <w:t>ing</w:t>
      </w:r>
      <w:r w:rsidR="00911927">
        <w:rPr>
          <w:rFonts w:hint="eastAsia"/>
          <w:lang w:eastAsia="ja-JP"/>
        </w:rPr>
        <w:t xml:space="preserve"> </w:t>
      </w:r>
      <w:r>
        <w:rPr>
          <w:rFonts w:hint="eastAsia"/>
          <w:lang w:eastAsia="ja-JP"/>
        </w:rPr>
        <w:t xml:space="preserve">in </w:t>
      </w:r>
      <w:r w:rsidR="00455D3C">
        <w:rPr>
          <w:lang w:eastAsia="ja-JP"/>
        </w:rPr>
        <w:t xml:space="preserve">the </w:t>
      </w:r>
      <w:r>
        <w:rPr>
          <w:rFonts w:hint="eastAsia"/>
          <w:lang w:eastAsia="ja-JP"/>
        </w:rPr>
        <w:t>transformative processes of the cases</w:t>
      </w:r>
      <w:r w:rsidR="003A01C5">
        <w:t>:</w:t>
      </w:r>
      <w:r w:rsidR="00864652">
        <w:t xml:space="preserve"> power and contexts chang</w:t>
      </w:r>
      <w:r w:rsidR="0063773B">
        <w:t>ing</w:t>
      </w:r>
      <w:r w:rsidR="00864652">
        <w:t xml:space="preserve"> in the transformative process of the state. Conceptualising </w:t>
      </w:r>
      <w:r w:rsidR="00537292">
        <w:rPr>
          <w:rFonts w:hint="eastAsia"/>
          <w:lang w:eastAsia="ja-JP"/>
        </w:rPr>
        <w:t>it</w:t>
      </w:r>
      <w:r w:rsidR="00864652">
        <w:t xml:space="preserve"> is another analytical challenge for this thesis</w:t>
      </w:r>
      <w:r>
        <w:rPr>
          <w:rFonts w:hint="eastAsia"/>
          <w:lang w:eastAsia="ja-JP"/>
        </w:rPr>
        <w:t>. This thesis</w:t>
      </w:r>
      <w:r>
        <w:rPr>
          <w:lang w:eastAsia="ja-JP"/>
        </w:rPr>
        <w:t>’</w:t>
      </w:r>
      <w:r>
        <w:rPr>
          <w:rFonts w:hint="eastAsia"/>
          <w:lang w:eastAsia="ja-JP"/>
        </w:rPr>
        <w:t>s approach to this question is discussed in the next section.</w:t>
      </w:r>
    </w:p>
    <w:p w14:paraId="51E98E90" w14:textId="77777777" w:rsidR="00864652" w:rsidRDefault="00864652" w:rsidP="00864652">
      <w:pPr>
        <w:ind w:firstLine="284"/>
        <w:rPr>
          <w:lang w:eastAsia="ja-JP"/>
        </w:rPr>
      </w:pPr>
    </w:p>
    <w:p w14:paraId="080F0A26" w14:textId="77777777" w:rsidR="008D7C78" w:rsidRDefault="008D7C78" w:rsidP="00864652">
      <w:pPr>
        <w:ind w:firstLine="284"/>
        <w:rPr>
          <w:lang w:eastAsia="ja-JP"/>
        </w:rPr>
      </w:pPr>
    </w:p>
    <w:p w14:paraId="4405137E" w14:textId="77777777" w:rsidR="00864652" w:rsidRDefault="00864652" w:rsidP="00050D4B">
      <w:pPr>
        <w:pStyle w:val="Heading2"/>
      </w:pPr>
      <w:bookmarkStart w:id="31" w:name="_Toc349741353"/>
      <w:r>
        <w:t>3.5</w:t>
      </w:r>
      <w:r>
        <w:tab/>
        <w:t>Explaining change: institutional changes and path dependency</w:t>
      </w:r>
      <w:bookmarkEnd w:id="31"/>
    </w:p>
    <w:p w14:paraId="11C9B1C0" w14:textId="77777777" w:rsidR="00864652" w:rsidRDefault="00864652" w:rsidP="00864652">
      <w:pPr>
        <w:rPr>
          <w:lang w:eastAsia="ja-JP"/>
        </w:rPr>
      </w:pPr>
      <w:r>
        <w:rPr>
          <w:lang w:eastAsia="ja-JP"/>
        </w:rPr>
        <w:t xml:space="preserve">Explaining change is a core issue for exploring the transformation of the state. As an example of theorising change, Hay (2002 pp.135-67) offers a typology of change analysis composed of </w:t>
      </w:r>
      <w:r w:rsidR="003E5DCA">
        <w:rPr>
          <w:lang w:eastAsia="ja-JP"/>
        </w:rPr>
        <w:t xml:space="preserve">a </w:t>
      </w:r>
      <w:r>
        <w:rPr>
          <w:lang w:eastAsia="ja-JP"/>
        </w:rPr>
        <w:t xml:space="preserve">synchronic (or ‘snapshot’) approach, comparative statics, and diachronic analysis (see </w:t>
      </w:r>
      <w:r w:rsidR="009A2799">
        <w:rPr>
          <w:lang w:eastAsia="ja-JP"/>
        </w:rPr>
        <w:t>Table 3.6</w:t>
      </w:r>
      <w:r>
        <w:rPr>
          <w:lang w:eastAsia="ja-JP"/>
        </w:rPr>
        <w:t xml:space="preserve">). </w:t>
      </w:r>
    </w:p>
    <w:p w14:paraId="01B4D896" w14:textId="77777777" w:rsidR="00864652" w:rsidRDefault="00864652" w:rsidP="00864652">
      <w:pPr>
        <w:rPr>
          <w:lang w:eastAsia="ja-JP"/>
        </w:rPr>
      </w:pPr>
    </w:p>
    <w:p w14:paraId="11E5B10F" w14:textId="77777777" w:rsidR="00864652" w:rsidRDefault="009A2799" w:rsidP="00DA2E02">
      <w:pPr>
        <w:pStyle w:val="Heading4"/>
        <w:rPr>
          <w:lang w:eastAsia="ja-JP"/>
        </w:rPr>
      </w:pPr>
      <w:r>
        <w:rPr>
          <w:lang w:eastAsia="ja-JP"/>
        </w:rPr>
        <w:t>Table 3.6</w:t>
      </w:r>
      <w:r w:rsidR="00864652">
        <w:rPr>
          <w:lang w:eastAsia="ja-JP"/>
        </w:rPr>
        <w:t>: Hay’s (2002 pp.144-67) typology of change analysis</w:t>
      </w:r>
    </w:p>
    <w:p w14:paraId="33C659A1" w14:textId="77777777" w:rsidR="00864652" w:rsidRDefault="00864652" w:rsidP="00864652">
      <w:pPr>
        <w:pStyle w:val="NoSpacing"/>
        <w:rPr>
          <w:lang w:eastAsia="ja-JP"/>
        </w:rPr>
      </w:pPr>
    </w:p>
    <w:tbl>
      <w:tblPr>
        <w:tblStyle w:val="TableGrid"/>
        <w:tblW w:w="0" w:type="auto"/>
        <w:tblLook w:val="04A0" w:firstRow="1" w:lastRow="0" w:firstColumn="1" w:lastColumn="0" w:noHBand="0" w:noVBand="1"/>
      </w:tblPr>
      <w:tblGrid>
        <w:gridCol w:w="1637"/>
        <w:gridCol w:w="7083"/>
      </w:tblGrid>
      <w:tr w:rsidR="00864652" w14:paraId="76D8DA58" w14:textId="77777777" w:rsidTr="0086465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5B69436A" w14:textId="77777777" w:rsidR="00864652" w:rsidRDefault="00864652">
            <w:pPr>
              <w:pStyle w:val="NoSpacing"/>
              <w:rPr>
                <w:rFonts w:cstheme="minorBidi"/>
                <w:szCs w:val="22"/>
                <w:lang w:eastAsia="ja-JP"/>
              </w:rPr>
            </w:pPr>
            <w:r>
              <w:rPr>
                <w:lang w:eastAsia="ja-JP"/>
              </w:rPr>
              <w:t>Synchronic</w:t>
            </w:r>
          </w:p>
          <w:p w14:paraId="704C0FBF" w14:textId="77777777" w:rsidR="00864652" w:rsidRDefault="00864652">
            <w:pPr>
              <w:pStyle w:val="NoSpacing"/>
              <w:rPr>
                <w:lang w:eastAsia="ja-JP"/>
              </w:rPr>
            </w:pPr>
            <w:r>
              <w:rPr>
                <w:lang w:eastAsia="ja-JP"/>
              </w:rPr>
              <w:t xml:space="preserve"> (or ‘snapshot’)</w:t>
            </w:r>
          </w:p>
          <w:p w14:paraId="31051536" w14:textId="77777777" w:rsidR="00864652" w:rsidRDefault="00864652">
            <w:pPr>
              <w:pStyle w:val="NoSpacing"/>
              <w:rPr>
                <w:lang w:eastAsia="ja-JP"/>
              </w:rPr>
            </w:pPr>
            <w:r>
              <w:rPr>
                <w:lang w:eastAsia="ja-JP"/>
              </w:rPr>
              <w:t>approach</w:t>
            </w:r>
          </w:p>
        </w:tc>
        <w:tc>
          <w:tcPr>
            <w:tcW w:w="7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B9827" w14:textId="77777777" w:rsidR="00864652" w:rsidRDefault="00864652">
            <w:pPr>
              <w:pStyle w:val="NoSpacing"/>
              <w:rPr>
                <w:lang w:eastAsia="ja-JP"/>
              </w:rPr>
            </w:pPr>
            <w:r>
              <w:rPr>
                <w:lang w:eastAsia="ja-JP"/>
              </w:rPr>
              <w:t>An approach which effectively freezes the object of analysis in time, thereby focusing attention on the structure of social or political relations at a specific instant. It removes the object from the temporal domain altogether.</w:t>
            </w:r>
          </w:p>
        </w:tc>
      </w:tr>
      <w:tr w:rsidR="00864652" w14:paraId="15782B82" w14:textId="77777777" w:rsidTr="0086465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783D5B6D" w14:textId="77777777" w:rsidR="00A84C91" w:rsidRDefault="00A84C91">
            <w:pPr>
              <w:pStyle w:val="NoSpacing"/>
              <w:rPr>
                <w:rFonts w:eastAsia="MS Mincho"/>
                <w:lang w:eastAsia="ja-JP"/>
              </w:rPr>
            </w:pPr>
          </w:p>
          <w:p w14:paraId="64E94F5E" w14:textId="77777777" w:rsidR="00864652" w:rsidRDefault="00864652">
            <w:pPr>
              <w:pStyle w:val="NoSpacing"/>
              <w:rPr>
                <w:lang w:eastAsia="ja-JP"/>
              </w:rPr>
            </w:pPr>
            <w:r>
              <w:rPr>
                <w:lang w:eastAsia="ja-JP"/>
              </w:rPr>
              <w:t>Comparative</w:t>
            </w:r>
          </w:p>
          <w:p w14:paraId="6596C334" w14:textId="77777777" w:rsidR="00864652" w:rsidRDefault="00864652">
            <w:pPr>
              <w:pStyle w:val="NoSpacing"/>
              <w:rPr>
                <w:lang w:eastAsia="ja-JP"/>
              </w:rPr>
            </w:pPr>
            <w:r>
              <w:rPr>
                <w:lang w:eastAsia="ja-JP"/>
              </w:rPr>
              <w:t>statics</w:t>
            </w:r>
          </w:p>
        </w:tc>
        <w:tc>
          <w:tcPr>
            <w:tcW w:w="7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B9DF8" w14:textId="77777777" w:rsidR="00864652" w:rsidRDefault="00864652">
            <w:pPr>
              <w:pStyle w:val="NoSpacing"/>
              <w:rPr>
                <w:lang w:eastAsia="ja-JP"/>
              </w:rPr>
            </w:pPr>
            <w:r>
              <w:rPr>
                <w:lang w:eastAsia="ja-JP"/>
              </w:rPr>
              <w:t xml:space="preserve">An approach in which the analyst compares and contrasts synchronic analyses conducted at different moments in time, thereby comparing the form and structure of the system in question at various points in its development. It is a variant of synchronic analysis. </w:t>
            </w:r>
          </w:p>
        </w:tc>
      </w:tr>
      <w:tr w:rsidR="00864652" w14:paraId="436C1418" w14:textId="77777777" w:rsidTr="00864652">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3E29C9BB" w14:textId="77777777" w:rsidR="00864652" w:rsidRDefault="00864652">
            <w:pPr>
              <w:pStyle w:val="NoSpacing"/>
              <w:rPr>
                <w:rFonts w:cstheme="minorBidi"/>
                <w:szCs w:val="22"/>
                <w:lang w:eastAsia="ja-JP"/>
              </w:rPr>
            </w:pPr>
            <w:r>
              <w:rPr>
                <w:lang w:eastAsia="ja-JP"/>
              </w:rPr>
              <w:t>Diachronic</w:t>
            </w:r>
          </w:p>
          <w:p w14:paraId="642CEAEA" w14:textId="77777777" w:rsidR="00864652" w:rsidRDefault="00864652">
            <w:pPr>
              <w:pStyle w:val="NoSpacing"/>
              <w:rPr>
                <w:lang w:eastAsia="ja-JP"/>
              </w:rPr>
            </w:pPr>
            <w:r>
              <w:rPr>
                <w:lang w:eastAsia="ja-JP"/>
              </w:rPr>
              <w:t>analysis</w:t>
            </w:r>
          </w:p>
          <w:p w14:paraId="2A3D0700" w14:textId="77777777" w:rsidR="00864652" w:rsidRDefault="00864652">
            <w:pPr>
              <w:pStyle w:val="NoSpacing"/>
              <w:rPr>
                <w:lang w:eastAsia="ja-JP"/>
              </w:rPr>
            </w:pPr>
          </w:p>
        </w:tc>
        <w:tc>
          <w:tcPr>
            <w:tcW w:w="7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24560" w14:textId="77777777" w:rsidR="00864652" w:rsidRDefault="00864652">
            <w:pPr>
              <w:pStyle w:val="NoSpacing"/>
              <w:rPr>
                <w:lang w:eastAsia="ja-JP"/>
              </w:rPr>
            </w:pPr>
            <w:r>
              <w:rPr>
                <w:lang w:eastAsia="ja-JP"/>
              </w:rPr>
              <w:t>An approach which emphasises the process of change over time. It has been advocated most consistently in recent years by historical institutionalists who see their task as one of ‘process tracing’.</w:t>
            </w:r>
          </w:p>
        </w:tc>
      </w:tr>
    </w:tbl>
    <w:p w14:paraId="244BBA9C" w14:textId="77777777" w:rsidR="00864652" w:rsidRDefault="00864652" w:rsidP="00864652">
      <w:pPr>
        <w:ind w:firstLine="284"/>
        <w:rPr>
          <w:rFonts w:cstheme="minorBidi"/>
          <w:lang w:eastAsia="ja-JP"/>
        </w:rPr>
      </w:pPr>
    </w:p>
    <w:p w14:paraId="0842ADA5" w14:textId="77777777" w:rsidR="00E33BDD" w:rsidRDefault="00CE5C99" w:rsidP="0014273F">
      <w:pPr>
        <w:ind w:firstLine="284"/>
        <w:rPr>
          <w:rFonts w:cstheme="minorBidi"/>
          <w:lang w:eastAsia="ja-JP"/>
        </w:rPr>
      </w:pPr>
      <w:r>
        <w:rPr>
          <w:rFonts w:cstheme="minorBidi" w:hint="eastAsia"/>
          <w:lang w:eastAsia="ja-JP"/>
        </w:rPr>
        <w:t xml:space="preserve">The approach of this thesis is not a pure static analysis; </w:t>
      </w:r>
      <w:r w:rsidR="00530483">
        <w:rPr>
          <w:rFonts w:cstheme="minorBidi" w:hint="eastAsia"/>
          <w:lang w:eastAsia="ja-JP"/>
        </w:rPr>
        <w:t xml:space="preserve">focusing on </w:t>
      </w:r>
      <w:r w:rsidR="00EB2830">
        <w:rPr>
          <w:rFonts w:cstheme="minorBidi" w:hint="eastAsia"/>
          <w:lang w:eastAsia="ja-JP"/>
        </w:rPr>
        <w:t>how the Japanese state has been transformed in ICT regulation</w:t>
      </w:r>
      <w:r w:rsidR="0014273F">
        <w:rPr>
          <w:rFonts w:cstheme="minorBidi"/>
          <w:lang w:eastAsia="ja-JP"/>
        </w:rPr>
        <w:t xml:space="preserve"> and</w:t>
      </w:r>
      <w:r w:rsidR="00EB2830">
        <w:rPr>
          <w:rFonts w:cstheme="minorBidi" w:hint="eastAsia"/>
          <w:lang w:eastAsia="ja-JP"/>
        </w:rPr>
        <w:t xml:space="preserve"> antimonopoly regulation during </w:t>
      </w:r>
      <w:r>
        <w:rPr>
          <w:rFonts w:cstheme="minorBidi" w:hint="eastAsia"/>
          <w:lang w:eastAsia="ja-JP"/>
        </w:rPr>
        <w:t xml:space="preserve">the </w:t>
      </w:r>
      <w:r>
        <w:rPr>
          <w:rFonts w:cstheme="minorBidi"/>
          <w:lang w:eastAsia="ja-JP"/>
        </w:rPr>
        <w:t>period</w:t>
      </w:r>
      <w:r>
        <w:rPr>
          <w:rFonts w:cstheme="minorBidi" w:hint="eastAsia"/>
          <w:lang w:eastAsia="ja-JP"/>
        </w:rPr>
        <w:t xml:space="preserve"> between the 1980s and 2000s</w:t>
      </w:r>
      <w:r w:rsidR="00530483">
        <w:rPr>
          <w:rFonts w:cstheme="minorBidi" w:hint="eastAsia"/>
          <w:lang w:eastAsia="ja-JP"/>
        </w:rPr>
        <w:t>, it addresses how power has been transformed in two specific sectors</w:t>
      </w:r>
      <w:r w:rsidR="00EB2830">
        <w:rPr>
          <w:rFonts w:cstheme="minorBidi" w:hint="eastAsia"/>
          <w:lang w:eastAsia="ja-JP"/>
        </w:rPr>
        <w:t>.</w:t>
      </w:r>
      <w:r w:rsidR="00340F6A">
        <w:rPr>
          <w:rFonts w:cstheme="minorBidi" w:hint="eastAsia"/>
          <w:lang w:eastAsia="ja-JP"/>
        </w:rPr>
        <w:t xml:space="preserve"> T</w:t>
      </w:r>
      <w:r w:rsidR="00340F6A">
        <w:rPr>
          <w:rFonts w:cstheme="minorBidi"/>
          <w:lang w:eastAsia="ja-JP"/>
        </w:rPr>
        <w:t>h</w:t>
      </w:r>
      <w:r w:rsidR="0014273F">
        <w:rPr>
          <w:rFonts w:cstheme="minorBidi"/>
          <w:lang w:eastAsia="ja-JP"/>
        </w:rPr>
        <w:t>is thesis</w:t>
      </w:r>
      <w:r w:rsidR="00F8179E">
        <w:rPr>
          <w:rFonts w:cstheme="minorBidi" w:hint="eastAsia"/>
          <w:lang w:eastAsia="ja-JP"/>
        </w:rPr>
        <w:t xml:space="preserve"> does not focus on a particular point </w:t>
      </w:r>
      <w:r w:rsidR="003E5DCA">
        <w:rPr>
          <w:rFonts w:cstheme="minorBidi"/>
          <w:lang w:eastAsia="ja-JP"/>
        </w:rPr>
        <w:t>in</w:t>
      </w:r>
      <w:r w:rsidR="00F8179E">
        <w:rPr>
          <w:rFonts w:cstheme="minorBidi" w:hint="eastAsia"/>
          <w:lang w:eastAsia="ja-JP"/>
        </w:rPr>
        <w:t xml:space="preserve"> time like a snap shot. The data (</w:t>
      </w:r>
      <w:r w:rsidR="0014273F">
        <w:rPr>
          <w:rFonts w:cstheme="minorBidi"/>
          <w:lang w:eastAsia="ja-JP"/>
        </w:rPr>
        <w:t xml:space="preserve">e.g. </w:t>
      </w:r>
      <w:r w:rsidR="00F8179E">
        <w:rPr>
          <w:rFonts w:cstheme="minorBidi" w:hint="eastAsia"/>
          <w:lang w:eastAsia="ja-JP"/>
        </w:rPr>
        <w:t xml:space="preserve">interview results) and </w:t>
      </w:r>
      <w:r w:rsidR="0014273F">
        <w:rPr>
          <w:rFonts w:cstheme="minorBidi"/>
          <w:lang w:eastAsia="ja-JP"/>
        </w:rPr>
        <w:t xml:space="preserve">the </w:t>
      </w:r>
      <w:r w:rsidR="00F8179E">
        <w:rPr>
          <w:rFonts w:cstheme="minorBidi" w:hint="eastAsia"/>
          <w:lang w:eastAsia="ja-JP"/>
        </w:rPr>
        <w:t>analys</w:t>
      </w:r>
      <w:r w:rsidR="0014273F">
        <w:rPr>
          <w:rFonts w:cstheme="minorBidi"/>
          <w:lang w:eastAsia="ja-JP"/>
        </w:rPr>
        <w:t>es of this thesis</w:t>
      </w:r>
      <w:r w:rsidR="00F8179E">
        <w:rPr>
          <w:rFonts w:cstheme="minorBidi" w:hint="eastAsia"/>
          <w:lang w:eastAsia="ja-JP"/>
        </w:rPr>
        <w:t xml:space="preserve"> aim at the transformation of power and power relations among key actors of the sectors (ICT regulation, antimonopoly regulation)</w:t>
      </w:r>
      <w:r w:rsidR="00462F24">
        <w:rPr>
          <w:rFonts w:cstheme="minorBidi"/>
          <w:lang w:eastAsia="ja-JP"/>
        </w:rPr>
        <w:t xml:space="preserve"> between the 1980s and 2000s</w:t>
      </w:r>
      <w:r w:rsidR="00F8179E">
        <w:rPr>
          <w:rFonts w:cstheme="minorBidi" w:hint="eastAsia"/>
          <w:lang w:eastAsia="ja-JP"/>
        </w:rPr>
        <w:t xml:space="preserve">. </w:t>
      </w:r>
      <w:r w:rsidR="00462F24">
        <w:rPr>
          <w:rFonts w:cstheme="minorBidi"/>
          <w:lang w:eastAsia="ja-JP"/>
        </w:rPr>
        <w:t xml:space="preserve">An approach focusing on the transformation itself in terms of power during a particular period rather than particular points gives this thesis a characteristic of dynamic analysis. Elsewhere, because this thesis’ </w:t>
      </w:r>
      <w:r w:rsidR="003C4C47">
        <w:rPr>
          <w:rFonts w:cstheme="minorBidi" w:hint="eastAsia"/>
          <w:lang w:eastAsia="ja-JP"/>
        </w:rPr>
        <w:t xml:space="preserve">prime </w:t>
      </w:r>
      <w:r w:rsidR="00462F24">
        <w:rPr>
          <w:rFonts w:cstheme="minorBidi"/>
          <w:lang w:eastAsia="ja-JP"/>
        </w:rPr>
        <w:t>analytical focus is not on the change process</w:t>
      </w:r>
      <w:r w:rsidR="003C4C47">
        <w:rPr>
          <w:rFonts w:cstheme="minorBidi" w:hint="eastAsia"/>
          <w:lang w:eastAsia="ja-JP"/>
        </w:rPr>
        <w:t xml:space="preserve"> in particular</w:t>
      </w:r>
      <w:r w:rsidR="00462F24">
        <w:rPr>
          <w:rFonts w:cstheme="minorBidi"/>
          <w:lang w:eastAsia="ja-JP"/>
        </w:rPr>
        <w:t xml:space="preserve">, it </w:t>
      </w:r>
      <w:r w:rsidR="00F859AD">
        <w:rPr>
          <w:rFonts w:cstheme="minorBidi" w:hint="eastAsia"/>
          <w:lang w:eastAsia="ja-JP"/>
        </w:rPr>
        <w:t>is not</w:t>
      </w:r>
      <w:r w:rsidR="00462F24">
        <w:rPr>
          <w:rFonts w:cstheme="minorBidi"/>
          <w:lang w:eastAsia="ja-JP"/>
        </w:rPr>
        <w:t xml:space="preserve"> regarded as diachronic</w:t>
      </w:r>
      <w:r w:rsidR="00F859AD">
        <w:rPr>
          <w:rFonts w:cstheme="minorBidi" w:hint="eastAsia"/>
          <w:lang w:eastAsia="ja-JP"/>
        </w:rPr>
        <w:t>, either</w:t>
      </w:r>
      <w:r w:rsidR="00462F24">
        <w:rPr>
          <w:rFonts w:cstheme="minorBidi"/>
          <w:lang w:eastAsia="ja-JP"/>
        </w:rPr>
        <w:t xml:space="preserve">. </w:t>
      </w:r>
    </w:p>
    <w:p w14:paraId="010C448C" w14:textId="22891F07" w:rsidR="00065F6E" w:rsidRDefault="00E33BDD" w:rsidP="00A87F13">
      <w:pPr>
        <w:ind w:firstLine="284"/>
        <w:rPr>
          <w:rFonts w:cstheme="minorBidi"/>
          <w:lang w:eastAsia="ja-JP"/>
        </w:rPr>
      </w:pPr>
      <w:r>
        <w:rPr>
          <w:rFonts w:cstheme="minorBidi"/>
          <w:lang w:eastAsia="ja-JP"/>
        </w:rPr>
        <w:t xml:space="preserve">The above consideration implies that this thesis is a comparative analysis </w:t>
      </w:r>
      <w:r w:rsidR="00B41E78">
        <w:rPr>
          <w:rFonts w:cstheme="minorBidi"/>
          <w:lang w:eastAsia="ja-JP"/>
        </w:rPr>
        <w:t>of</w:t>
      </w:r>
      <w:r>
        <w:rPr>
          <w:rFonts w:cstheme="minorBidi"/>
          <w:lang w:eastAsia="ja-JP"/>
        </w:rPr>
        <w:t xml:space="preserve"> dynamic transformation </w:t>
      </w:r>
      <w:r w:rsidR="00B41E78">
        <w:rPr>
          <w:rFonts w:cstheme="minorBidi"/>
          <w:lang w:eastAsia="ja-JP"/>
        </w:rPr>
        <w:t xml:space="preserve">referring to </w:t>
      </w:r>
      <w:r w:rsidR="00367962">
        <w:rPr>
          <w:rFonts w:cstheme="minorBidi" w:hint="eastAsia"/>
          <w:lang w:eastAsia="ja-JP"/>
        </w:rPr>
        <w:t>the</w:t>
      </w:r>
      <w:r>
        <w:rPr>
          <w:rFonts w:cstheme="minorBidi"/>
          <w:lang w:eastAsia="ja-JP"/>
        </w:rPr>
        <w:t xml:space="preserve"> diachronic approach</w:t>
      </w:r>
      <w:r w:rsidR="00B41E78">
        <w:rPr>
          <w:rFonts w:cstheme="minorBidi"/>
          <w:lang w:eastAsia="ja-JP"/>
        </w:rPr>
        <w:t xml:space="preserve"> by using a framework of historical </w:t>
      </w:r>
      <w:r w:rsidR="00A87F13">
        <w:rPr>
          <w:rFonts w:cstheme="minorBidi"/>
          <w:lang w:eastAsia="ja-JP"/>
        </w:rPr>
        <w:t>institutionalism</w:t>
      </w:r>
      <w:r>
        <w:rPr>
          <w:rFonts w:cstheme="minorBidi"/>
          <w:lang w:eastAsia="ja-JP"/>
        </w:rPr>
        <w:t xml:space="preserve">. </w:t>
      </w:r>
      <w:r w:rsidR="00B41E78">
        <w:rPr>
          <w:rFonts w:cstheme="minorBidi"/>
          <w:lang w:eastAsia="ja-JP"/>
        </w:rPr>
        <w:t>T</w:t>
      </w:r>
      <w:r w:rsidR="00455B3D">
        <w:rPr>
          <w:rFonts w:cstheme="minorBidi" w:hint="eastAsia"/>
          <w:lang w:eastAsia="ja-JP"/>
        </w:rPr>
        <w:t>he focus of this thesis is not on the change process over time</w:t>
      </w:r>
      <w:r w:rsidR="00802D31">
        <w:rPr>
          <w:rFonts w:cstheme="minorBidi" w:hint="eastAsia"/>
          <w:lang w:eastAsia="ja-JP"/>
        </w:rPr>
        <w:t xml:space="preserve"> </w:t>
      </w:r>
      <w:r w:rsidR="001B0F50">
        <w:rPr>
          <w:rFonts w:cstheme="minorBidi" w:hint="eastAsia"/>
          <w:lang w:eastAsia="ja-JP"/>
        </w:rPr>
        <w:t xml:space="preserve">primarily </w:t>
      </w:r>
      <w:r w:rsidR="00802D31">
        <w:rPr>
          <w:rFonts w:cstheme="minorBidi" w:hint="eastAsia"/>
          <w:lang w:eastAsia="ja-JP"/>
        </w:rPr>
        <w:t xml:space="preserve">but </w:t>
      </w:r>
      <w:r w:rsidR="00B41E78">
        <w:rPr>
          <w:rFonts w:cstheme="minorBidi"/>
          <w:lang w:eastAsia="ja-JP"/>
        </w:rPr>
        <w:t xml:space="preserve">transformation itself. </w:t>
      </w:r>
      <w:r w:rsidR="003B047A">
        <w:rPr>
          <w:rFonts w:cstheme="minorBidi"/>
          <w:lang w:eastAsia="ja-JP"/>
        </w:rPr>
        <w:t xml:space="preserve"> Employing an approach of historical </w:t>
      </w:r>
      <w:r w:rsidR="007A57B9">
        <w:rPr>
          <w:rFonts w:cstheme="minorBidi"/>
          <w:lang w:eastAsia="ja-JP"/>
        </w:rPr>
        <w:t>institutionalism</w:t>
      </w:r>
      <w:r w:rsidR="003B047A">
        <w:rPr>
          <w:rFonts w:cstheme="minorBidi"/>
          <w:lang w:eastAsia="ja-JP"/>
        </w:rPr>
        <w:t xml:space="preserve"> gives this thesis a perspective to explain change. </w:t>
      </w:r>
    </w:p>
    <w:p w14:paraId="4EAE6BC7" w14:textId="77777777" w:rsidR="00864652" w:rsidRDefault="00864652" w:rsidP="0024471C">
      <w:pPr>
        <w:ind w:firstLineChars="122" w:firstLine="277"/>
        <w:rPr>
          <w:lang w:eastAsia="ja-JP"/>
        </w:rPr>
      </w:pPr>
      <w:r>
        <w:rPr>
          <w:lang w:eastAsia="ja-JP"/>
        </w:rPr>
        <w:t>The following sections discuss the analytical framework of this thesis aiming at change based on th</w:t>
      </w:r>
      <w:r w:rsidR="00AF109D">
        <w:rPr>
          <w:rFonts w:hint="eastAsia"/>
          <w:lang w:eastAsia="ja-JP"/>
        </w:rPr>
        <w:t>e perspective of historical institutionalism</w:t>
      </w:r>
      <w:r>
        <w:rPr>
          <w:lang w:eastAsia="ja-JP"/>
        </w:rPr>
        <w:t>.</w:t>
      </w:r>
    </w:p>
    <w:p w14:paraId="14697EA0" w14:textId="77777777" w:rsidR="00864652" w:rsidRDefault="00864652" w:rsidP="00864652">
      <w:pPr>
        <w:rPr>
          <w:lang w:eastAsia="ja-JP"/>
        </w:rPr>
      </w:pPr>
    </w:p>
    <w:p w14:paraId="2E2B6A16" w14:textId="77777777" w:rsidR="00864652" w:rsidRDefault="00864652" w:rsidP="00050D4B">
      <w:pPr>
        <w:pStyle w:val="Heading3"/>
      </w:pPr>
      <w:bookmarkStart w:id="32" w:name="_Toc349741354"/>
      <w:r>
        <w:t>3.5.1</w:t>
      </w:r>
      <w:r>
        <w:tab/>
        <w:t>Path dependency</w:t>
      </w:r>
      <w:bookmarkEnd w:id="32"/>
    </w:p>
    <w:p w14:paraId="52919D0A" w14:textId="77777777" w:rsidR="00864652" w:rsidRDefault="00864652" w:rsidP="00864652">
      <w:pPr>
        <w:rPr>
          <w:lang w:eastAsia="ja-JP"/>
        </w:rPr>
      </w:pPr>
      <w:r>
        <w:rPr>
          <w:lang w:eastAsia="ja-JP"/>
        </w:rPr>
        <w:t>Path dependency is an approach originat</w:t>
      </w:r>
      <w:r w:rsidR="002320A5">
        <w:rPr>
          <w:lang w:eastAsia="ja-JP"/>
        </w:rPr>
        <w:t>ing</w:t>
      </w:r>
      <w:r>
        <w:rPr>
          <w:lang w:eastAsia="ja-JP"/>
        </w:rPr>
        <w:t xml:space="preserve"> from economics, such as the study of technology (Pierson 2000 pp.253-4). Among early literature analyses </w:t>
      </w:r>
      <w:r w:rsidR="002320A5">
        <w:rPr>
          <w:lang w:eastAsia="ja-JP"/>
        </w:rPr>
        <w:t xml:space="preserve">of </w:t>
      </w:r>
      <w:r>
        <w:rPr>
          <w:lang w:eastAsia="ja-JP"/>
        </w:rPr>
        <w:t>this concept is David (1985), who argues that the typewriter with the keyboard ordered as QWERTY dominated the typewriter market overwhelming more efficient version</w:t>
      </w:r>
      <w:r w:rsidR="002320A5">
        <w:rPr>
          <w:lang w:eastAsia="ja-JP"/>
        </w:rPr>
        <w:t>s</w:t>
      </w:r>
      <w:r>
        <w:rPr>
          <w:lang w:eastAsia="ja-JP"/>
        </w:rPr>
        <w:t xml:space="preserve"> of typewrite</w:t>
      </w:r>
      <w:r w:rsidR="002320A5">
        <w:rPr>
          <w:lang w:eastAsia="ja-JP"/>
        </w:rPr>
        <w:t>rs</w:t>
      </w:r>
      <w:r>
        <w:rPr>
          <w:lang w:eastAsia="ja-JP"/>
        </w:rPr>
        <w:t xml:space="preserve"> by August Dvorak and W. L. Dealey because QWERTYs contingently emerged in the market earlier than other versions. According to him: ‘(a) path-dependent sequence of economic changes is one of which important influences upon the eventual outcome can be exerted by temporally remote events, including happenings dominated by chance elements rather than systematic forces’ (p.332).</w:t>
      </w:r>
    </w:p>
    <w:p w14:paraId="37427AAD" w14:textId="77777777" w:rsidR="00864652" w:rsidRDefault="00864652" w:rsidP="0024471C">
      <w:pPr>
        <w:ind w:firstLineChars="122" w:firstLine="277"/>
        <w:rPr>
          <w:rFonts w:eastAsia="MS Mincho"/>
          <w:lang w:eastAsia="ja-JP"/>
        </w:rPr>
      </w:pPr>
      <w:r>
        <w:rPr>
          <w:lang w:eastAsia="ja-JP"/>
        </w:rPr>
        <w:t>The notion of path dependency was elaborated by Mahoney (2000), who characterises path dependency as: ‘</w:t>
      </w:r>
      <w:r>
        <w:rPr>
          <w:rFonts w:eastAsia="MS Mincho"/>
          <w:lang w:eastAsia="ja-JP"/>
        </w:rPr>
        <w:t>specifically those historical sequences in which contingent events set into motion institutional patterns or event chains that have deterministic properties</w:t>
      </w:r>
      <w:r>
        <w:rPr>
          <w:lang w:eastAsia="ja-JP"/>
        </w:rPr>
        <w:t>’ (p.507)</w:t>
      </w:r>
      <w:r>
        <w:rPr>
          <w:rFonts w:eastAsia="MS Mincho"/>
          <w:lang w:eastAsia="ja-JP"/>
        </w:rPr>
        <w:t xml:space="preserve">. </w:t>
      </w:r>
      <w:r>
        <w:rPr>
          <w:lang w:eastAsia="ja-JP"/>
        </w:rPr>
        <w:t>Highlighting the following three major features of path dependent analyses, h</w:t>
      </w:r>
      <w:r>
        <w:rPr>
          <w:rFonts w:eastAsia="MS Mincho"/>
          <w:lang w:eastAsia="ja-JP"/>
        </w:rPr>
        <w:t>e argues that path dependen</w:t>
      </w:r>
      <w:r>
        <w:rPr>
          <w:lang w:eastAsia="ja-JP"/>
        </w:rPr>
        <w:t>cy</w:t>
      </w:r>
      <w:r>
        <w:rPr>
          <w:rFonts w:eastAsia="MS Mincho"/>
          <w:lang w:eastAsia="ja-JP"/>
        </w:rPr>
        <w:t xml:space="preserve"> </w:t>
      </w:r>
      <w:r>
        <w:rPr>
          <w:lang w:eastAsia="ja-JP"/>
        </w:rPr>
        <w:t xml:space="preserve">is composed of </w:t>
      </w:r>
      <w:r>
        <w:rPr>
          <w:rFonts w:eastAsia="MS Mincho"/>
          <w:lang w:eastAsia="ja-JP"/>
        </w:rPr>
        <w:t>two sets of sequences: self-reinforcing sequences and reactive sequences (pp.508-11):</w:t>
      </w:r>
    </w:p>
    <w:p w14:paraId="0C6903DC" w14:textId="77777777" w:rsidR="00864652" w:rsidRDefault="00A84C91" w:rsidP="001B6C05">
      <w:pPr>
        <w:pStyle w:val="ListParagraph"/>
        <w:numPr>
          <w:ilvl w:val="0"/>
          <w:numId w:val="26"/>
        </w:numPr>
        <w:ind w:left="284" w:hanging="284"/>
        <w:rPr>
          <w:rFonts w:eastAsia="MS Mincho"/>
        </w:rPr>
      </w:pPr>
      <w:r>
        <w:rPr>
          <w:rFonts w:eastAsia="MS Mincho" w:hint="eastAsia"/>
        </w:rPr>
        <w:t>t</w:t>
      </w:r>
      <w:r w:rsidR="00864652">
        <w:t>he analysis involves the study of causal processes that are highly sensitive to events in the early stages of</w:t>
      </w:r>
      <w:r>
        <w:t xml:space="preserve"> an overall historical sequence</w:t>
      </w:r>
      <w:r>
        <w:rPr>
          <w:rFonts w:eastAsia="MS Mincho" w:hint="eastAsia"/>
        </w:rPr>
        <w:t>;</w:t>
      </w:r>
    </w:p>
    <w:p w14:paraId="33C5CD90" w14:textId="77777777" w:rsidR="00864652" w:rsidRDefault="00A84C91" w:rsidP="001B6C05">
      <w:pPr>
        <w:pStyle w:val="ListParagraph"/>
        <w:numPr>
          <w:ilvl w:val="0"/>
          <w:numId w:val="26"/>
        </w:numPr>
        <w:ind w:left="284" w:hanging="284"/>
      </w:pPr>
      <w:r>
        <w:rPr>
          <w:rFonts w:eastAsia="MS Mincho" w:hint="eastAsia"/>
        </w:rPr>
        <w:t>i</w:t>
      </w:r>
      <w:r w:rsidR="00864652">
        <w:t>n a path-dependent sequence, early historical events are contingent occurrences that cannot be explained on the basis of prior</w:t>
      </w:r>
      <w:r>
        <w:t xml:space="preserve"> events or ‘initial conditions’</w:t>
      </w:r>
      <w:r>
        <w:rPr>
          <w:rFonts w:eastAsia="MS Mincho" w:hint="eastAsia"/>
        </w:rPr>
        <w:t>; and</w:t>
      </w:r>
    </w:p>
    <w:p w14:paraId="466BE175" w14:textId="77777777" w:rsidR="00864652" w:rsidRDefault="00A84C91" w:rsidP="001B6C05">
      <w:pPr>
        <w:pStyle w:val="ListParagraph"/>
        <w:numPr>
          <w:ilvl w:val="0"/>
          <w:numId w:val="26"/>
        </w:numPr>
        <w:ind w:left="284" w:hanging="284"/>
      </w:pPr>
      <w:r>
        <w:rPr>
          <w:rFonts w:eastAsia="MS Mincho" w:hint="eastAsia"/>
        </w:rPr>
        <w:t>o</w:t>
      </w:r>
      <w:r w:rsidR="00864652">
        <w:t>nce contingent historical events take place, path-dependent sequences are marked by relatively deterministic causal patterns or what can be thought of as ‘inertia’; i.e. once processes are set into motion and begin tracking a particular outcome, these processes tend to stay in motion and continue to track this outcome.</w:t>
      </w:r>
    </w:p>
    <w:p w14:paraId="33B51EAB" w14:textId="77777777" w:rsidR="00864652" w:rsidRDefault="00864652" w:rsidP="0024471C">
      <w:pPr>
        <w:ind w:firstLineChars="122" w:firstLine="277"/>
        <w:rPr>
          <w:rFonts w:eastAsia="MS Mincho"/>
          <w:lang w:eastAsia="ja-JP"/>
        </w:rPr>
      </w:pPr>
    </w:p>
    <w:p w14:paraId="466665CE" w14:textId="77777777" w:rsidR="00864652" w:rsidRDefault="00864652" w:rsidP="00864652">
      <w:pPr>
        <w:ind w:firstLine="284"/>
        <w:rPr>
          <w:rFonts w:eastAsia="MS Mincho"/>
          <w:lang w:eastAsia="ja-JP"/>
        </w:rPr>
      </w:pPr>
      <w:r>
        <w:rPr>
          <w:rFonts w:eastAsia="MS Mincho"/>
          <w:lang w:eastAsia="ja-JP"/>
        </w:rPr>
        <w:t>Self-reinforcing sequences are th</w:t>
      </w:r>
      <w:r>
        <w:rPr>
          <w:lang w:eastAsia="ja-JP"/>
        </w:rPr>
        <w:t>ose</w:t>
      </w:r>
      <w:r>
        <w:rPr>
          <w:rFonts w:eastAsia="MS Mincho"/>
          <w:lang w:eastAsia="ja-JP"/>
        </w:rPr>
        <w:t xml:space="preserve"> where certain institutional patterns are formed and reproduced in the long term (Mahoney 2000 p.508). They often exhibit what economists call ‘increasing returns’, which mean</w:t>
      </w:r>
      <w:r>
        <w:rPr>
          <w:lang w:eastAsia="ja-JP"/>
        </w:rPr>
        <w:t>s</w:t>
      </w:r>
      <w:r>
        <w:rPr>
          <w:rFonts w:eastAsia="MS Mincho"/>
          <w:lang w:eastAsia="ja-JP"/>
        </w:rPr>
        <w:t xml:space="preserve"> that after an institutional pattern is adopted, it delivers increasing benefits with its continued adoption, and thus over time it becomes more difficult to transform the pattern or select previously available options, even if these alternative options would have been more ‘efficient’ (Mahoney 2000 p.508).</w:t>
      </w:r>
    </w:p>
    <w:p w14:paraId="615C67F3" w14:textId="77777777" w:rsidR="00864652" w:rsidRDefault="00864652" w:rsidP="00864652">
      <w:pPr>
        <w:ind w:firstLine="284"/>
        <w:rPr>
          <w:rFonts w:eastAsia="MS Mincho"/>
          <w:lang w:eastAsia="ja-JP"/>
        </w:rPr>
      </w:pPr>
      <w:r>
        <w:rPr>
          <w:rFonts w:eastAsia="MS Mincho"/>
          <w:lang w:eastAsia="ja-JP"/>
        </w:rPr>
        <w:t>Reactive sequences are chains of temporally ordered and causally connected events (Mahoney 2000 p.509). They need to fulfil the two requirements: their historical events starting the motion need to be contingent; and  the overall event chain itself must be marked by processes of ‘inherent sequentiality’ (Mahoney 2000 p.509). According to him (p.509):</w:t>
      </w:r>
    </w:p>
    <w:p w14:paraId="310CC67F" w14:textId="77777777" w:rsidR="00864652" w:rsidRDefault="00864652" w:rsidP="00864652">
      <w:pPr>
        <w:ind w:firstLine="284"/>
        <w:rPr>
          <w:rFonts w:eastAsia="MS Mincho"/>
          <w:lang w:eastAsia="ja-JP"/>
        </w:rPr>
      </w:pPr>
    </w:p>
    <w:p w14:paraId="5227BB38" w14:textId="77777777" w:rsidR="00495655" w:rsidRDefault="00864652" w:rsidP="005B18BE">
      <w:pPr>
        <w:pStyle w:val="Quote"/>
        <w:rPr>
          <w:lang w:eastAsia="ja-JP"/>
        </w:rPr>
      </w:pPr>
      <w:r>
        <w:rPr>
          <w:lang w:eastAsia="ja-JP"/>
        </w:rPr>
        <w:t>Reactive sequences are ‘reactive’ in the meaning that each event within the sequence is in part a reaction to temporally antecedent events. … With reactive sequences, the final event in the sequence is typically the outcome under investigation, and the overall chain of events can be seen as a path leading up to this outcome.</w:t>
      </w:r>
    </w:p>
    <w:p w14:paraId="59463F50" w14:textId="77777777" w:rsidR="00864652" w:rsidRDefault="00864652" w:rsidP="00864652">
      <w:pPr>
        <w:ind w:firstLine="284"/>
        <w:rPr>
          <w:lang w:eastAsia="ja-JP"/>
        </w:rPr>
      </w:pPr>
    </w:p>
    <w:p w14:paraId="76F7D672" w14:textId="77777777" w:rsidR="00864652" w:rsidRDefault="00864652" w:rsidP="00864652">
      <w:pPr>
        <w:ind w:firstLine="284"/>
        <w:rPr>
          <w:lang w:eastAsia="ja-JP"/>
        </w:rPr>
      </w:pPr>
      <w:r>
        <w:rPr>
          <w:lang w:eastAsia="ja-JP"/>
        </w:rPr>
        <w:t xml:space="preserve">These types of sequences are explained with a set of approaches offered by Mahoney (2000). First, he argues that self-reinforcing sequences can have utilitarian, functional, power, and legitimation explanations, the key points of which are described in </w:t>
      </w:r>
      <w:r w:rsidR="009A2799">
        <w:rPr>
          <w:lang w:eastAsia="ja-JP"/>
        </w:rPr>
        <w:t>Table 3.7</w:t>
      </w:r>
      <w:r>
        <w:rPr>
          <w:lang w:eastAsia="ja-JP"/>
        </w:rPr>
        <w:t xml:space="preserve"> (p.517).</w:t>
      </w:r>
    </w:p>
    <w:p w14:paraId="1CEAD352" w14:textId="77777777" w:rsidR="00864652" w:rsidRDefault="00864652" w:rsidP="00864652">
      <w:pPr>
        <w:ind w:firstLine="284"/>
        <w:rPr>
          <w:lang w:eastAsia="ja-JP"/>
        </w:rPr>
      </w:pPr>
    </w:p>
    <w:p w14:paraId="77B9A6A9" w14:textId="77777777" w:rsidR="00864652" w:rsidRPr="00C0104D" w:rsidRDefault="009A2799" w:rsidP="00C0104D">
      <w:pPr>
        <w:pStyle w:val="Heading4"/>
      </w:pPr>
      <w:r w:rsidRPr="00C0104D">
        <w:t>Table 3.7</w:t>
      </w:r>
      <w:r w:rsidR="00864652" w:rsidRPr="00C0104D">
        <w:t>: Typology of path-dependent explanations of institutional reproduction with self-reinforcing sequences (Mahoney 2000 p.517)</w:t>
      </w:r>
    </w:p>
    <w:tbl>
      <w:tblPr>
        <w:tblStyle w:val="TableGrid"/>
        <w:tblW w:w="0" w:type="auto"/>
        <w:tblLook w:val="04A0" w:firstRow="1" w:lastRow="0" w:firstColumn="1" w:lastColumn="0" w:noHBand="0" w:noVBand="1"/>
      </w:tblPr>
      <w:tblGrid>
        <w:gridCol w:w="1485"/>
        <w:gridCol w:w="1837"/>
        <w:gridCol w:w="1723"/>
        <w:gridCol w:w="1865"/>
        <w:gridCol w:w="1810"/>
      </w:tblGrid>
      <w:tr w:rsidR="00864652" w14:paraId="6E9DC655" w14:textId="77777777" w:rsidTr="00515E15">
        <w:tc>
          <w:tcPr>
            <w:tcW w:w="1526"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pct20" w:color="auto" w:fill="auto"/>
          </w:tcPr>
          <w:p w14:paraId="283B923D" w14:textId="77777777" w:rsidR="00864652" w:rsidRDefault="00864652" w:rsidP="00864652">
            <w:pPr>
              <w:pStyle w:val="NoSpacing"/>
              <w:jc w:val="center"/>
              <w:rPr>
                <w:rFonts w:cstheme="minorBidi"/>
                <w:lang w:eastAsia="ja-JP"/>
              </w:rPr>
            </w:pPr>
            <w:r>
              <w:rPr>
                <w:lang w:eastAsia="ja-JP"/>
              </w:rPr>
              <w:t>Explanation</w:t>
            </w:r>
          </w:p>
          <w:p w14:paraId="1065F6EB" w14:textId="77777777" w:rsidR="00864652" w:rsidRDefault="00864652" w:rsidP="00864652">
            <w:pPr>
              <w:pStyle w:val="NoSpacing"/>
              <w:jc w:val="center"/>
              <w:rPr>
                <w:lang w:eastAsia="ja-JP"/>
              </w:rPr>
            </w:pPr>
          </w:p>
        </w:tc>
        <w:tc>
          <w:tcPr>
            <w:tcW w:w="1984"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pct20" w:color="auto" w:fill="auto"/>
            <w:hideMark/>
          </w:tcPr>
          <w:p w14:paraId="32BE5729" w14:textId="77777777" w:rsidR="00864652" w:rsidRDefault="00864652" w:rsidP="00864652">
            <w:pPr>
              <w:pStyle w:val="NoSpacing"/>
              <w:jc w:val="center"/>
              <w:rPr>
                <w:lang w:eastAsia="ja-JP"/>
              </w:rPr>
            </w:pPr>
            <w:r>
              <w:rPr>
                <w:lang w:eastAsia="ja-JP"/>
              </w:rPr>
              <w:t>Utilitarian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4B2285CD" w14:textId="77777777" w:rsidR="00864652" w:rsidRDefault="00864652" w:rsidP="00864652">
            <w:pPr>
              <w:pStyle w:val="NoSpacing"/>
              <w:jc w:val="center"/>
              <w:rPr>
                <w:lang w:eastAsia="ja-JP"/>
              </w:rPr>
            </w:pPr>
            <w:r>
              <w:rPr>
                <w:lang w:eastAsia="ja-JP"/>
              </w:rPr>
              <w:t>Functional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0673F560" w14:textId="77777777" w:rsidR="00864652" w:rsidRDefault="00864652" w:rsidP="00864652">
            <w:pPr>
              <w:pStyle w:val="NoSpacing"/>
              <w:jc w:val="center"/>
              <w:rPr>
                <w:lang w:eastAsia="ja-JP"/>
              </w:rPr>
            </w:pPr>
            <w:r>
              <w:rPr>
                <w:lang w:eastAsia="ja-JP"/>
              </w:rPr>
              <w:t>Power</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hideMark/>
          </w:tcPr>
          <w:p w14:paraId="29990692" w14:textId="01782245" w:rsidR="00864652" w:rsidRDefault="00864652" w:rsidP="00C0104D">
            <w:pPr>
              <w:pStyle w:val="NoSpacing"/>
              <w:jc w:val="center"/>
              <w:rPr>
                <w:lang w:eastAsia="ja-JP"/>
              </w:rPr>
            </w:pPr>
            <w:r>
              <w:rPr>
                <w:lang w:eastAsia="ja-JP"/>
              </w:rPr>
              <w:t>Legitima</w:t>
            </w:r>
            <w:r w:rsidR="00C0104D">
              <w:rPr>
                <w:lang w:eastAsia="ja-JP"/>
              </w:rPr>
              <w:t>ti</w:t>
            </w:r>
            <w:r>
              <w:rPr>
                <w:lang w:eastAsia="ja-JP"/>
              </w:rPr>
              <w:t>on</w:t>
            </w:r>
          </w:p>
        </w:tc>
      </w:tr>
      <w:tr w:rsidR="00864652" w14:paraId="3E6D9438" w14:textId="77777777" w:rsidTr="00515E15">
        <w:tc>
          <w:tcPr>
            <w:tcW w:w="1526"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35CEAD08" w14:textId="77777777" w:rsidR="00864652" w:rsidRDefault="00864652">
            <w:pPr>
              <w:pStyle w:val="NoSpacing"/>
              <w:rPr>
                <w:rFonts w:cstheme="minorBidi"/>
                <w:lang w:eastAsia="ja-JP"/>
              </w:rPr>
            </w:pPr>
          </w:p>
          <w:p w14:paraId="54D0D303" w14:textId="77777777" w:rsidR="00864652" w:rsidRDefault="00864652">
            <w:pPr>
              <w:pStyle w:val="NoSpacing"/>
              <w:rPr>
                <w:lang w:eastAsia="ja-JP"/>
              </w:rPr>
            </w:pPr>
            <w:r>
              <w:rPr>
                <w:lang w:eastAsia="ja-JP"/>
              </w:rPr>
              <w:t>Mechanism of reproduction</w:t>
            </w:r>
          </w:p>
        </w:tc>
        <w:tc>
          <w:tcPr>
            <w:tcW w:w="1984" w:type="dxa"/>
            <w:tcBorders>
              <w:top w:val="single" w:sz="4" w:space="0" w:color="000000" w:themeColor="text1"/>
              <w:left w:val="double" w:sz="4" w:space="0" w:color="000000" w:themeColor="text1"/>
              <w:bottom w:val="single" w:sz="4" w:space="0" w:color="000000" w:themeColor="text1"/>
              <w:right w:val="single" w:sz="4" w:space="0" w:color="000000" w:themeColor="text1"/>
            </w:tcBorders>
            <w:hideMark/>
          </w:tcPr>
          <w:p w14:paraId="6A3C0263" w14:textId="77777777" w:rsidR="00864652" w:rsidRDefault="00864652">
            <w:pPr>
              <w:pStyle w:val="NoSpacing"/>
              <w:rPr>
                <w:lang w:eastAsia="ja-JP"/>
              </w:rPr>
            </w:pPr>
            <w:r>
              <w:rPr>
                <w:lang w:eastAsia="ja-JP"/>
              </w:rPr>
              <w:t>Institution is reproduced through the rational cost-benefit assessment of actors.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48A2D" w14:textId="77777777" w:rsidR="00864652" w:rsidRDefault="00864652">
            <w:pPr>
              <w:pStyle w:val="NoSpacing"/>
              <w:rPr>
                <w:lang w:eastAsia="ja-JP"/>
              </w:rPr>
            </w:pPr>
            <w:r>
              <w:rPr>
                <w:lang w:eastAsia="ja-JP"/>
              </w:rPr>
              <w:t>Institution is reproduced because it serves as a function for an overall system.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59DA4" w14:textId="77777777" w:rsidR="00864652" w:rsidRDefault="00864652">
            <w:pPr>
              <w:pStyle w:val="NoSpacing"/>
              <w:rPr>
                <w:lang w:eastAsia="ja-JP"/>
              </w:rPr>
            </w:pPr>
            <w:r>
              <w:rPr>
                <w:lang w:eastAsia="ja-JP"/>
              </w:rPr>
              <w:t>Institution is reproduced because it is supported by an elite group of actors.</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D6661" w14:textId="77777777" w:rsidR="00864652" w:rsidRDefault="00864652">
            <w:pPr>
              <w:pStyle w:val="NoSpacing"/>
              <w:rPr>
                <w:lang w:eastAsia="ja-JP"/>
              </w:rPr>
            </w:pPr>
            <w:r>
              <w:rPr>
                <w:lang w:eastAsia="ja-JP"/>
              </w:rPr>
              <w:t>Institution is reproduced because actors believe it is morally just or appropriate.</w:t>
            </w:r>
          </w:p>
        </w:tc>
      </w:tr>
      <w:tr w:rsidR="00864652" w14:paraId="03D3BD30" w14:textId="77777777" w:rsidTr="00515E15">
        <w:tc>
          <w:tcPr>
            <w:tcW w:w="1526"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0CDC0149" w14:textId="77777777" w:rsidR="00864652" w:rsidRDefault="00864652">
            <w:pPr>
              <w:pStyle w:val="NoSpacing"/>
              <w:rPr>
                <w:rFonts w:cstheme="minorBidi"/>
                <w:lang w:eastAsia="ja-JP"/>
              </w:rPr>
            </w:pPr>
          </w:p>
          <w:p w14:paraId="6F2A184C" w14:textId="77777777" w:rsidR="00864652" w:rsidRDefault="00864652">
            <w:pPr>
              <w:pStyle w:val="NoSpacing"/>
              <w:rPr>
                <w:lang w:eastAsia="ja-JP"/>
              </w:rPr>
            </w:pPr>
            <w:r>
              <w:rPr>
                <w:lang w:eastAsia="ja-JP"/>
              </w:rPr>
              <w:t>Potential characteristic of institution</w:t>
            </w:r>
          </w:p>
        </w:tc>
        <w:tc>
          <w:tcPr>
            <w:tcW w:w="1984" w:type="dxa"/>
            <w:tcBorders>
              <w:top w:val="single" w:sz="4" w:space="0" w:color="000000" w:themeColor="text1"/>
              <w:left w:val="double" w:sz="4" w:space="0" w:color="000000" w:themeColor="text1"/>
              <w:bottom w:val="single" w:sz="4" w:space="0" w:color="000000" w:themeColor="text1"/>
              <w:right w:val="single" w:sz="4" w:space="0" w:color="000000" w:themeColor="text1"/>
            </w:tcBorders>
            <w:hideMark/>
          </w:tcPr>
          <w:p w14:paraId="3CF30017" w14:textId="77777777" w:rsidR="00864652" w:rsidRDefault="00864652">
            <w:pPr>
              <w:pStyle w:val="NoSpacing"/>
              <w:rPr>
                <w:lang w:eastAsia="ja-JP"/>
              </w:rPr>
            </w:pPr>
            <w:r>
              <w:rPr>
                <w:lang w:eastAsia="ja-JP"/>
              </w:rPr>
              <w:t>Institution may be less efficient than previously available alternatives.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73C29" w14:textId="77777777" w:rsidR="00864652" w:rsidRDefault="00864652">
            <w:pPr>
              <w:pStyle w:val="NoSpacing"/>
              <w:rPr>
                <w:lang w:eastAsia="ja-JP"/>
              </w:rPr>
            </w:pPr>
            <w:r>
              <w:rPr>
                <w:lang w:eastAsia="ja-JP"/>
              </w:rPr>
              <w:t>Institution may be less functional than previously available alternatives.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BC784" w14:textId="77777777" w:rsidR="00864652" w:rsidRDefault="00864652" w:rsidP="00A84C91">
            <w:pPr>
              <w:pStyle w:val="NoSpacing"/>
              <w:rPr>
                <w:lang w:eastAsia="ja-JP"/>
              </w:rPr>
            </w:pPr>
            <w:r>
              <w:rPr>
                <w:lang w:eastAsia="ja-JP"/>
              </w:rPr>
              <w:t xml:space="preserve">Institution may empower an elite group that </w:t>
            </w:r>
            <w:r w:rsidR="00A84C91">
              <w:rPr>
                <w:rFonts w:eastAsia="MS Mincho" w:hint="eastAsia"/>
                <w:lang w:eastAsia="ja-JP"/>
              </w:rPr>
              <w:t>is</w:t>
            </w:r>
            <w:r>
              <w:rPr>
                <w:lang w:eastAsia="ja-JP"/>
              </w:rPr>
              <w:t xml:space="preserve"> previously subordinate.</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1C588" w14:textId="77777777" w:rsidR="00864652" w:rsidRDefault="00864652">
            <w:pPr>
              <w:pStyle w:val="NoSpacing"/>
              <w:rPr>
                <w:lang w:eastAsia="ja-JP"/>
              </w:rPr>
            </w:pPr>
            <w:r>
              <w:rPr>
                <w:lang w:eastAsia="ja-JP"/>
              </w:rPr>
              <w:t>Institution may be less consistent with the value of actors than previously available alternatives</w:t>
            </w:r>
          </w:p>
        </w:tc>
      </w:tr>
      <w:tr w:rsidR="00864652" w14:paraId="4D889A08" w14:textId="77777777" w:rsidTr="00515E15">
        <w:tc>
          <w:tcPr>
            <w:tcW w:w="1526"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6D0D988D" w14:textId="77777777" w:rsidR="00864652" w:rsidRDefault="00864652">
            <w:pPr>
              <w:pStyle w:val="NoSpacing"/>
              <w:rPr>
                <w:rFonts w:cstheme="minorBidi"/>
                <w:lang w:eastAsia="ja-JP"/>
              </w:rPr>
            </w:pPr>
          </w:p>
          <w:p w14:paraId="3DA24951" w14:textId="77777777" w:rsidR="00864652" w:rsidRDefault="00864652">
            <w:pPr>
              <w:pStyle w:val="NoSpacing"/>
              <w:rPr>
                <w:lang w:eastAsia="ja-JP"/>
              </w:rPr>
            </w:pPr>
            <w:r>
              <w:rPr>
                <w:lang w:eastAsia="ja-JP"/>
              </w:rPr>
              <w:t>Mechanism of change</w:t>
            </w:r>
          </w:p>
        </w:tc>
        <w:tc>
          <w:tcPr>
            <w:tcW w:w="1984" w:type="dxa"/>
            <w:tcBorders>
              <w:top w:val="single" w:sz="4" w:space="0" w:color="000000" w:themeColor="text1"/>
              <w:left w:val="double" w:sz="4" w:space="0" w:color="000000" w:themeColor="text1"/>
              <w:bottom w:val="single" w:sz="4" w:space="0" w:color="000000" w:themeColor="text1"/>
              <w:right w:val="single" w:sz="4" w:space="0" w:color="000000" w:themeColor="text1"/>
            </w:tcBorders>
            <w:hideMark/>
          </w:tcPr>
          <w:p w14:paraId="15E37814" w14:textId="77777777" w:rsidR="00864652" w:rsidRDefault="00864652">
            <w:pPr>
              <w:pStyle w:val="NoSpacing"/>
              <w:rPr>
                <w:lang w:eastAsia="ja-JP"/>
              </w:rPr>
            </w:pPr>
            <w:r>
              <w:rPr>
                <w:lang w:eastAsia="ja-JP"/>
              </w:rPr>
              <w:t>Increased competitive pressures; learning processes.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24DF6" w14:textId="77777777" w:rsidR="00864652" w:rsidRDefault="00864652">
            <w:pPr>
              <w:pStyle w:val="NoSpacing"/>
              <w:rPr>
                <w:lang w:eastAsia="ja-JP"/>
              </w:rPr>
            </w:pPr>
            <w:r>
              <w:rPr>
                <w:lang w:eastAsia="ja-JP"/>
              </w:rPr>
              <w:t>Exogenous shock that transforms system needs.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5C722" w14:textId="77777777" w:rsidR="00864652" w:rsidRDefault="00864652">
            <w:pPr>
              <w:pStyle w:val="NoSpacing"/>
              <w:rPr>
                <w:lang w:eastAsia="ja-JP"/>
              </w:rPr>
            </w:pPr>
            <w:r>
              <w:rPr>
                <w:lang w:eastAsia="ja-JP"/>
              </w:rPr>
              <w:t>Weakening of elites and strengthening of subordinate groups.</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54B5A" w14:textId="77777777" w:rsidR="00864652" w:rsidRDefault="00864652">
            <w:pPr>
              <w:pStyle w:val="NoSpacing"/>
              <w:rPr>
                <w:lang w:eastAsia="ja-JP"/>
              </w:rPr>
            </w:pPr>
            <w:r>
              <w:rPr>
                <w:lang w:eastAsia="ja-JP"/>
              </w:rPr>
              <w:t>Change in the values or subjective belief of actors.</w:t>
            </w:r>
          </w:p>
        </w:tc>
      </w:tr>
    </w:tbl>
    <w:p w14:paraId="0C89F2AF" w14:textId="77777777" w:rsidR="00864652" w:rsidRDefault="00864652" w:rsidP="00864652">
      <w:pPr>
        <w:rPr>
          <w:lang w:eastAsia="ja-JP"/>
        </w:rPr>
      </w:pPr>
    </w:p>
    <w:p w14:paraId="232FEBE2" w14:textId="77777777" w:rsidR="00864652" w:rsidRDefault="00864652" w:rsidP="00864652">
      <w:pPr>
        <w:ind w:firstLine="284"/>
        <w:rPr>
          <w:lang w:eastAsia="ja-JP"/>
        </w:rPr>
      </w:pPr>
      <w:r>
        <w:rPr>
          <w:lang w:eastAsia="ja-JP"/>
        </w:rPr>
        <w:t xml:space="preserve">Under the utilitarian explanation, actors rationally choose to reproduce institutions, including perhaps sub-optimal institutions, because any potential benefits of transformation are outweighed by the costs (p.517). The functional explanation offers two versions: a strong version and a weak version. </w:t>
      </w:r>
    </w:p>
    <w:p w14:paraId="0078FB72" w14:textId="77777777" w:rsidR="00864652" w:rsidRDefault="00864652" w:rsidP="00864652">
      <w:pPr>
        <w:ind w:firstLine="284"/>
        <w:rPr>
          <w:lang w:eastAsia="ja-JP"/>
        </w:rPr>
      </w:pPr>
      <w:r>
        <w:rPr>
          <w:lang w:eastAsia="ja-JP"/>
        </w:rPr>
        <w:t xml:space="preserve">The weak version simply explains the reproduction of an institution in terms of its consequences; the strong version explains institutional reproduction as its functional consequences (e.g. integration, adaptation, survival) for a larger system within which the institution is embedded (Mahoney 2000 p. 519). In the latter a contingent event starts a sequence, in which the function of the institution contributes to its expansion; such </w:t>
      </w:r>
      <w:r w:rsidR="002320A5">
        <w:rPr>
          <w:lang w:eastAsia="ja-JP"/>
        </w:rPr>
        <w:t xml:space="preserve">an </w:t>
      </w:r>
      <w:r>
        <w:rPr>
          <w:lang w:eastAsia="ja-JP"/>
        </w:rPr>
        <w:t>expansion also enhances the institution’s ability to perform the function preferred by the institution and this interaction between the functional enhancement and institutional expansion eventually consolidate</w:t>
      </w:r>
      <w:r w:rsidR="002320A5">
        <w:rPr>
          <w:lang w:eastAsia="ja-JP"/>
        </w:rPr>
        <w:t>s</w:t>
      </w:r>
      <w:r>
        <w:rPr>
          <w:lang w:eastAsia="ja-JP"/>
        </w:rPr>
        <w:t xml:space="preserve"> the institution (Mahoney 2000 p.519).</w:t>
      </w:r>
    </w:p>
    <w:p w14:paraId="3C52FCB0" w14:textId="77777777" w:rsidR="00864652" w:rsidRDefault="00864652" w:rsidP="00864652">
      <w:pPr>
        <w:ind w:firstLine="284"/>
        <w:rPr>
          <w:lang w:eastAsia="ja-JP"/>
        </w:rPr>
      </w:pPr>
      <w:r>
        <w:rPr>
          <w:lang w:eastAsia="ja-JP"/>
        </w:rPr>
        <w:t>Under the power explanation, an institution can persist when an advantaged group has sufficient strength to sustain the reproduction. This view is based on the idea that although the origin of the sequence is contingent, in the following sequence the institution is reinforced through predictable power dynamics: ‘the institution initially empowers a certain group at the expense of other groups; the advantaged group uses its additional power to expand the institution further; the expansion of the institution increases the power of the advantaged group; and the advantaged group encourages additional institutional expansion (Mahoney 2000 p.521).</w:t>
      </w:r>
    </w:p>
    <w:p w14:paraId="56B4AF39" w14:textId="77777777" w:rsidR="00864652" w:rsidRDefault="00864652" w:rsidP="00864652">
      <w:pPr>
        <w:ind w:firstLine="284"/>
        <w:rPr>
          <w:lang w:eastAsia="ja-JP"/>
        </w:rPr>
      </w:pPr>
      <w:r>
        <w:rPr>
          <w:lang w:eastAsia="ja-JP"/>
        </w:rPr>
        <w:t xml:space="preserve">The legitimation framework </w:t>
      </w:r>
      <w:r w:rsidR="00BA1CA5">
        <w:rPr>
          <w:lang w:eastAsia="ja-JP"/>
        </w:rPr>
        <w:t xml:space="preserve">avers </w:t>
      </w:r>
      <w:r>
        <w:rPr>
          <w:lang w:eastAsia="ja-JP"/>
        </w:rPr>
        <w:t>that institutional reproduction is grounded in actors’ subjective orientations and beliefs about what is appropriate or morally correct and occurs because actors view an institution as legitimate and thus voluntarily opt for its reproduction (Mahoney 2000 p.523). Under this framework once a given institution is contingently selected, the institution will be reinforced through processes of increasing legitimation, even if other previously available institutions would have been more legitimate (Mahoney 2000 p.523).</w:t>
      </w:r>
    </w:p>
    <w:p w14:paraId="6CB3075B" w14:textId="77777777" w:rsidR="00864652" w:rsidRDefault="00864652" w:rsidP="0024471C">
      <w:pPr>
        <w:ind w:firstLineChars="122" w:firstLine="277"/>
        <w:rPr>
          <w:lang w:eastAsia="ja-JP"/>
        </w:rPr>
      </w:pPr>
      <w:r>
        <w:rPr>
          <w:lang w:eastAsia="ja-JP"/>
        </w:rPr>
        <w:t>Reactive sequences are explained in a different way. According to Mahoney (2000 pp.526-7):</w:t>
      </w:r>
    </w:p>
    <w:p w14:paraId="2B2E0C3F" w14:textId="77777777" w:rsidR="00864652" w:rsidRDefault="00864652" w:rsidP="00864652">
      <w:pPr>
        <w:rPr>
          <w:lang w:eastAsia="ja-JP"/>
        </w:rPr>
      </w:pPr>
    </w:p>
    <w:p w14:paraId="20988CCE" w14:textId="77777777" w:rsidR="00495655" w:rsidRDefault="00864652" w:rsidP="005B18BE">
      <w:pPr>
        <w:pStyle w:val="Quote"/>
        <w:rPr>
          <w:lang w:eastAsia="ja-JP"/>
        </w:rPr>
      </w:pPr>
      <w:r>
        <w:rPr>
          <w:lang w:eastAsia="ja-JP"/>
        </w:rPr>
        <w:t xml:space="preserve">In a reactive sequence, each event in the sequence is both a reaction to antecedent events and a cause of subsequent events…Whereas self-reinforcing sequences are characterized by processes of reproduction that reinforce early events, reactive sequences are marked by backlash processes that transform and perhaps reverse early events. In a reactive sequence, early events trigger subsequent development not by reproducing a given pattern, but by setting in motion a chain of tightly linked reactions and counter-reactions. </w:t>
      </w:r>
    </w:p>
    <w:p w14:paraId="175E6BFE" w14:textId="77777777" w:rsidR="00864652" w:rsidRDefault="00864652" w:rsidP="00864652">
      <w:pPr>
        <w:rPr>
          <w:lang w:eastAsia="ja-JP"/>
        </w:rPr>
      </w:pPr>
    </w:p>
    <w:p w14:paraId="1C61A8BF" w14:textId="77777777" w:rsidR="00864652" w:rsidRDefault="00864652" w:rsidP="0024471C">
      <w:pPr>
        <w:ind w:firstLineChars="122" w:firstLine="277"/>
        <w:rPr>
          <w:lang w:eastAsia="ja-JP"/>
        </w:rPr>
      </w:pPr>
      <w:r>
        <w:rPr>
          <w:lang w:eastAsia="ja-JP"/>
        </w:rPr>
        <w:t xml:space="preserve">Mahoney’s (2000) broader analytical framework with a new concept of reactive sequences in addition to self-reinforcing sequences is a contentious approach. For example, Pierson (2000 p.252) argues that limiting the scope of path dependency to a self-reinforcing process offers the benefit of greater clarity, employing the definition of path dependency as: ‘social processes that exhibit increasing returns’. Elsewhere, the path dependent approach encountered criticism, based on the view that it primarily focuses on persistent institutions and contingent events sometimes called ‘critical junctures’, </w:t>
      </w:r>
      <w:r w:rsidR="004D398F">
        <w:rPr>
          <w:lang w:eastAsia="ja-JP"/>
        </w:rPr>
        <w:t xml:space="preserve">so </w:t>
      </w:r>
      <w:r w:rsidR="00C66DAB">
        <w:rPr>
          <w:lang w:eastAsia="ja-JP"/>
        </w:rPr>
        <w:t>ignoring</w:t>
      </w:r>
      <w:r w:rsidR="004D398F">
        <w:rPr>
          <w:lang w:eastAsia="ja-JP"/>
        </w:rPr>
        <w:t xml:space="preserve"> elements of </w:t>
      </w:r>
      <w:r>
        <w:rPr>
          <w:lang w:eastAsia="ja-JP"/>
        </w:rPr>
        <w:t>continual</w:t>
      </w:r>
      <w:r w:rsidR="004D398F">
        <w:rPr>
          <w:lang w:eastAsia="ja-JP"/>
        </w:rPr>
        <w:t xml:space="preserve"> or on-going</w:t>
      </w:r>
      <w:r>
        <w:rPr>
          <w:lang w:eastAsia="ja-JP"/>
        </w:rPr>
        <w:t xml:space="preserve"> transformation  (Mahoney and Thelen 2010 pp.6-7). In Steinmo’s (2010 p.15) words: ‘the path itself becomes a new kind of equilibrium – rather like riding a bicycle’. This is the gap that the model proposed by Mahoney and Thelen (2010) intends to fill.</w:t>
      </w:r>
    </w:p>
    <w:p w14:paraId="69936713" w14:textId="77777777" w:rsidR="00864652" w:rsidRDefault="00864652" w:rsidP="00864652">
      <w:pPr>
        <w:pStyle w:val="ListParagraph"/>
        <w:ind w:left="0"/>
      </w:pPr>
    </w:p>
    <w:p w14:paraId="56E62CE0" w14:textId="77777777" w:rsidR="00864652" w:rsidRDefault="00864652" w:rsidP="00050D4B">
      <w:pPr>
        <w:pStyle w:val="Heading3"/>
      </w:pPr>
      <w:bookmarkStart w:id="33" w:name="_Toc349741355"/>
      <w:r>
        <w:t>3.5.2</w:t>
      </w:r>
      <w:r>
        <w:tab/>
        <w:t xml:space="preserve">The </w:t>
      </w:r>
      <w:r>
        <w:rPr>
          <w:lang w:eastAsia="ja-JP"/>
        </w:rPr>
        <w:t>c</w:t>
      </w:r>
      <w:r>
        <w:t xml:space="preserve">hange of </w:t>
      </w:r>
      <w:r>
        <w:rPr>
          <w:lang w:eastAsia="ja-JP"/>
        </w:rPr>
        <w:t>i</w:t>
      </w:r>
      <w:r>
        <w:t xml:space="preserve">nstitutions: </w:t>
      </w:r>
      <w:r>
        <w:rPr>
          <w:lang w:eastAsia="ja-JP"/>
        </w:rPr>
        <w:t>e</w:t>
      </w:r>
      <w:r>
        <w:t xml:space="preserve">ndogenous </w:t>
      </w:r>
      <w:r>
        <w:rPr>
          <w:lang w:eastAsia="ja-JP"/>
        </w:rPr>
        <w:t>a</w:t>
      </w:r>
      <w:r>
        <w:t>daptation</w:t>
      </w:r>
      <w:bookmarkEnd w:id="33"/>
    </w:p>
    <w:p w14:paraId="57547992" w14:textId="77777777" w:rsidR="00864652" w:rsidRDefault="00864652" w:rsidP="00864652">
      <w:pPr>
        <w:rPr>
          <w:lang w:eastAsia="ja-JP"/>
        </w:rPr>
      </w:pPr>
      <w:r>
        <w:rPr>
          <w:lang w:eastAsia="ja-JP"/>
        </w:rPr>
        <w:t>Mahoney and Thelen’s (2010) core theme is explaining endogenous change. In their framework the characteristics of both the political context and institution in question drive the type of institutional change through shaping the type of dominant change agent and its strategy (Mahoney and Thelen 2010 p.15). Mahoney and Thelen (2010) adopt two sets of key questions to develop their framework. The first set of questions is (p.18):</w:t>
      </w:r>
    </w:p>
    <w:p w14:paraId="5EC8BAF7" w14:textId="77777777" w:rsidR="00864652" w:rsidRDefault="00A84C91" w:rsidP="001B6C05">
      <w:pPr>
        <w:pStyle w:val="ListParagraph"/>
        <w:numPr>
          <w:ilvl w:val="0"/>
          <w:numId w:val="27"/>
        </w:numPr>
        <w:ind w:left="284" w:hanging="284"/>
      </w:pPr>
      <w:r>
        <w:rPr>
          <w:rFonts w:eastAsia="MS Mincho" w:hint="eastAsia"/>
        </w:rPr>
        <w:t>d</w:t>
      </w:r>
      <w:r w:rsidR="00864652">
        <w:t>oes the political context afford defenders of the status quo strong or weak veto possibilities?</w:t>
      </w:r>
      <w:r>
        <w:rPr>
          <w:rFonts w:eastAsia="MS Mincho" w:hint="eastAsia"/>
        </w:rPr>
        <w:t>; and</w:t>
      </w:r>
    </w:p>
    <w:p w14:paraId="55B98945" w14:textId="77777777" w:rsidR="00864652" w:rsidRDefault="00A84C91" w:rsidP="001B6C05">
      <w:pPr>
        <w:pStyle w:val="ListParagraph"/>
        <w:numPr>
          <w:ilvl w:val="0"/>
          <w:numId w:val="27"/>
        </w:numPr>
        <w:ind w:left="284" w:hanging="284"/>
      </w:pPr>
      <w:r>
        <w:rPr>
          <w:rFonts w:eastAsia="MS Mincho" w:hint="eastAsia"/>
        </w:rPr>
        <w:t>d</w:t>
      </w:r>
      <w:r w:rsidR="00864652">
        <w:t>oes the targeted institution afford actors opportunities for exercising discretion in interpretation or enforcement?</w:t>
      </w:r>
    </w:p>
    <w:p w14:paraId="49D3F95A" w14:textId="77777777" w:rsidR="00864652" w:rsidRPr="00A84C91" w:rsidRDefault="00864652" w:rsidP="0024471C">
      <w:pPr>
        <w:ind w:firstLineChars="122" w:firstLine="277"/>
        <w:rPr>
          <w:lang w:eastAsia="ja-JP"/>
        </w:rPr>
      </w:pPr>
    </w:p>
    <w:p w14:paraId="6411D101" w14:textId="77777777" w:rsidR="00864652" w:rsidRDefault="00864652" w:rsidP="00864652">
      <w:pPr>
        <w:rPr>
          <w:lang w:eastAsia="ja-JP"/>
        </w:rPr>
      </w:pPr>
      <w:r>
        <w:rPr>
          <w:lang w:eastAsia="ja-JP"/>
        </w:rPr>
        <w:t>Based on the responses to these two questions, they propose the following four modes: ‘displacement’, ‘layering’, ‘drift’, and ‘conversion’ (p.15).</w:t>
      </w:r>
    </w:p>
    <w:p w14:paraId="1A8BEF01" w14:textId="77777777" w:rsidR="00864652" w:rsidRDefault="00864652" w:rsidP="00864652">
      <w:pPr>
        <w:ind w:firstLine="284"/>
        <w:rPr>
          <w:lang w:eastAsia="ja-JP"/>
        </w:rPr>
      </w:pPr>
      <w:r>
        <w:t>‘Displacement’ is the mode under which existing rules are removed and new ones are introduce</w:t>
      </w:r>
      <w:r w:rsidR="0009242A">
        <w:t>d</w:t>
      </w:r>
      <w:r>
        <w:t>. This is the mode when defenders of the status quo have weak veto possibilities and actors exercise a low level of discretion in interpretation or enforcement.</w:t>
      </w:r>
      <w:r>
        <w:rPr>
          <w:lang w:eastAsia="ja-JP"/>
        </w:rPr>
        <w:t xml:space="preserve"> The change in this mode may be abrupt or gradual with the confrontation between the previous institution and </w:t>
      </w:r>
      <w:r w:rsidR="0009242A">
        <w:rPr>
          <w:lang w:eastAsia="ja-JP"/>
        </w:rPr>
        <w:t xml:space="preserve">the </w:t>
      </w:r>
      <w:r>
        <w:rPr>
          <w:lang w:eastAsia="ja-JP"/>
        </w:rPr>
        <w:t>newly introduced one (Mahoney and Thelen 2010 p.16).</w:t>
      </w:r>
    </w:p>
    <w:p w14:paraId="055CB276" w14:textId="77777777" w:rsidR="00864652" w:rsidRDefault="00864652" w:rsidP="00864652">
      <w:pPr>
        <w:pStyle w:val="ListParagraph"/>
        <w:ind w:left="0" w:firstLine="284"/>
      </w:pPr>
      <w:r>
        <w:t>‘Layering’ is the second mode, which sees the introduction of new rules on top of or alongside existing ones. Under this mode, defenders of the status quo have strong veto possibilities and actors exercise low level discretion in interpretation or enforcement.</w:t>
      </w:r>
    </w:p>
    <w:p w14:paraId="50371C14" w14:textId="77777777" w:rsidR="00864652" w:rsidRDefault="00864652" w:rsidP="00864652">
      <w:pPr>
        <w:pStyle w:val="ListParagraph"/>
        <w:ind w:left="0" w:firstLine="284"/>
      </w:pPr>
      <w:r>
        <w:t xml:space="preserve">The third mode is ‘drift’. It is the mode under which the impact of existing rules changes as a result of shifts in external conditions. Defenders of the status quo have strong veto possibilities and actors enjoy </w:t>
      </w:r>
      <w:r w:rsidR="0009242A">
        <w:t xml:space="preserve">a </w:t>
      </w:r>
      <w:r>
        <w:t>high level of discretion in interpretation or enforcement.</w:t>
      </w:r>
    </w:p>
    <w:p w14:paraId="6D3D027B" w14:textId="77777777" w:rsidR="00864652" w:rsidRDefault="00864652" w:rsidP="00C66DAB">
      <w:pPr>
        <w:ind w:firstLine="284"/>
        <w:rPr>
          <w:lang w:eastAsia="ja-JP"/>
        </w:rPr>
      </w:pPr>
      <w:r>
        <w:t>The last is ‘conversion</w:t>
      </w:r>
      <w:r>
        <w:rPr>
          <w:lang w:eastAsia="ja-JP"/>
        </w:rPr>
        <w:t>, under which rules remain formally the same but are interpreted and enacted in new ways (Mahoney and Thelen 2010 p.17)</w:t>
      </w:r>
      <w:r>
        <w:t>. This mode changes the enactment of existing rules because the</w:t>
      </w:r>
      <w:r w:rsidR="004D398F">
        <w:t>y</w:t>
      </w:r>
      <w:r>
        <w:t xml:space="preserve"> obtain new strategic requirements. Defenders of the status quo have </w:t>
      </w:r>
      <w:r>
        <w:rPr>
          <w:lang w:eastAsia="ja-JP"/>
        </w:rPr>
        <w:t>weak</w:t>
      </w:r>
      <w:r>
        <w:t xml:space="preserve"> veto possibilities and actors have </w:t>
      </w:r>
      <w:r w:rsidR="0009242A">
        <w:t xml:space="preserve">a </w:t>
      </w:r>
      <w:r>
        <w:t>high level of discretion in interpretation or enforcement.</w:t>
      </w:r>
      <w:r>
        <w:rPr>
          <w:lang w:eastAsia="ja-JP"/>
        </w:rPr>
        <w:t xml:space="preserve"> According to Mahoney and Thelen (2010 p.18): ‘(l)acking the capacity to destroy an institution, institutional challenges may be able to exploit its inherent ambiguities in ways that allow them to redirect it toward more favourable functions and effects’. </w:t>
      </w:r>
    </w:p>
    <w:p w14:paraId="58951301" w14:textId="77777777" w:rsidR="00864652" w:rsidRDefault="00864652" w:rsidP="0024471C">
      <w:pPr>
        <w:ind w:firstLineChars="122" w:firstLine="277"/>
        <w:rPr>
          <w:lang w:eastAsia="ja-JP"/>
        </w:rPr>
      </w:pPr>
      <w:r>
        <w:rPr>
          <w:lang w:eastAsia="ja-JP"/>
        </w:rPr>
        <w:t>Another set of questions relates to the types of change agents:</w:t>
      </w:r>
    </w:p>
    <w:p w14:paraId="6A0703F9" w14:textId="77777777" w:rsidR="00864652" w:rsidRDefault="00A51081" w:rsidP="001B6C05">
      <w:pPr>
        <w:pStyle w:val="ListParagraph"/>
        <w:numPr>
          <w:ilvl w:val="0"/>
          <w:numId w:val="28"/>
        </w:numPr>
        <w:ind w:left="284" w:hanging="284"/>
      </w:pPr>
      <w:r>
        <w:rPr>
          <w:rFonts w:eastAsia="MS Mincho" w:hint="eastAsia"/>
        </w:rPr>
        <w:t>d</w:t>
      </w:r>
      <w:r w:rsidR="00864652">
        <w:t>oes the actor seek to preserve the existing institutional rules?</w:t>
      </w:r>
      <w:r>
        <w:rPr>
          <w:rFonts w:eastAsia="MS Mincho" w:hint="eastAsia"/>
        </w:rPr>
        <w:t>; and</w:t>
      </w:r>
    </w:p>
    <w:p w14:paraId="2A3055E7" w14:textId="77777777" w:rsidR="00864652" w:rsidRDefault="00A51081" w:rsidP="001B6C05">
      <w:pPr>
        <w:pStyle w:val="ListParagraph"/>
        <w:numPr>
          <w:ilvl w:val="0"/>
          <w:numId w:val="28"/>
        </w:numPr>
        <w:ind w:left="284" w:hanging="284"/>
      </w:pPr>
      <w:r>
        <w:rPr>
          <w:rFonts w:eastAsia="MS Mincho" w:hint="eastAsia"/>
        </w:rPr>
        <w:t>d</w:t>
      </w:r>
      <w:r w:rsidR="00864652">
        <w:t>oes the actor abide by the institutional rules?</w:t>
      </w:r>
    </w:p>
    <w:p w14:paraId="1B5C4EB8" w14:textId="77777777" w:rsidR="00864652" w:rsidRDefault="00864652" w:rsidP="0024471C">
      <w:pPr>
        <w:ind w:firstLineChars="122" w:firstLine="277"/>
        <w:rPr>
          <w:lang w:eastAsia="ja-JP"/>
        </w:rPr>
      </w:pPr>
    </w:p>
    <w:p w14:paraId="3F44AD7A" w14:textId="77777777" w:rsidR="00864652" w:rsidRDefault="00864652" w:rsidP="0024471C">
      <w:pPr>
        <w:ind w:firstLineChars="122" w:firstLine="277"/>
        <w:rPr>
          <w:lang w:eastAsia="ja-JP"/>
        </w:rPr>
      </w:pPr>
      <w:r>
        <w:rPr>
          <w:lang w:eastAsia="ja-JP"/>
        </w:rPr>
        <w:t xml:space="preserve">The answers to these questions provide four types of change agents: ‘insurrectionaries’, ‘symboints’ ‘subversives’, and ‘opportunists’. </w:t>
      </w:r>
    </w:p>
    <w:p w14:paraId="48C009D8" w14:textId="77777777" w:rsidR="00864652" w:rsidRDefault="00864652" w:rsidP="00864652">
      <w:pPr>
        <w:pStyle w:val="ListParagraph"/>
        <w:ind w:left="0" w:firstLine="284"/>
      </w:pPr>
      <w:r>
        <w:t>‘Insurrectionaries’ are the agents who consciously seek to eliminate existing institutions or rules by actively and visibly mobilising against them.</w:t>
      </w:r>
    </w:p>
    <w:p w14:paraId="0A468C39" w14:textId="4BE35DE8" w:rsidR="00864652" w:rsidRDefault="00864652" w:rsidP="008338C3">
      <w:pPr>
        <w:pStyle w:val="ListParagraph"/>
        <w:ind w:left="0" w:firstLine="284"/>
      </w:pPr>
      <w:r>
        <w:t xml:space="preserve">‘Symboints’ rely on institutions not of their own making. They have two variations: parasitic and </w:t>
      </w:r>
      <w:r w:rsidR="00A51081">
        <w:t>mutualistic</w:t>
      </w:r>
      <w:r>
        <w:t xml:space="preserve">. The former exploits an institution for private gain even as it depends on the existence and broad efficacy of the institution to achieve this gain against the spirit or purpose of the institution. The latter does not compromise the efficiency of the rules or the survival of the institution but violates the </w:t>
      </w:r>
      <w:r w:rsidR="003F2665">
        <w:t xml:space="preserve">stipulation of the rules </w:t>
      </w:r>
      <w:r>
        <w:t>to support and sustain institutional spirit.</w:t>
      </w:r>
    </w:p>
    <w:p w14:paraId="4F7E17A2" w14:textId="77777777" w:rsidR="00864652" w:rsidRDefault="00864652" w:rsidP="00864652">
      <w:pPr>
        <w:pStyle w:val="ListParagraph"/>
        <w:ind w:left="0" w:firstLine="284"/>
      </w:pPr>
      <w:r>
        <w:t>The third type of agents is ‘subversives’. This type of actor seeks to displace an institution in a way that they themselves do not break the rules of the institution. They instead effectively disguise the extent of their preference for institutional change by following institutional expectations and working within the system.</w:t>
      </w:r>
    </w:p>
    <w:p w14:paraId="335D9325" w14:textId="77777777" w:rsidR="00864652" w:rsidRDefault="00864652" w:rsidP="00864652">
      <w:pPr>
        <w:pStyle w:val="ListParagraph"/>
        <w:ind w:left="0" w:firstLine="284"/>
      </w:pPr>
      <w:r>
        <w:t>‘Opportunists’ have ambiguous preferences about institutional continuity. They do not actively seek to preserve institutions but do not try to change the rules because opposing them is costly. Instead, they exploit the possibilities within the prevailing system to achieve their ends.</w:t>
      </w:r>
    </w:p>
    <w:p w14:paraId="27E2BE7F" w14:textId="77777777" w:rsidR="00864652" w:rsidRDefault="00864652" w:rsidP="00864652">
      <w:pPr>
        <w:ind w:firstLine="284"/>
        <w:rPr>
          <w:rFonts w:eastAsia="MS Mincho"/>
          <w:lang w:eastAsia="ja-JP"/>
        </w:rPr>
      </w:pPr>
      <w:r>
        <w:rPr>
          <w:rFonts w:eastAsia="MS Mincho"/>
          <w:lang w:eastAsia="ja-JP"/>
        </w:rPr>
        <w:t xml:space="preserve">The resulting framework by Mahoney and Thelen (2010) </w:t>
      </w:r>
      <w:r>
        <w:rPr>
          <w:lang w:eastAsia="ja-JP"/>
        </w:rPr>
        <w:t xml:space="preserve">is illuminated </w:t>
      </w:r>
      <w:r>
        <w:rPr>
          <w:rFonts w:eastAsia="MS Mincho"/>
          <w:lang w:eastAsia="ja-JP"/>
        </w:rPr>
        <w:t xml:space="preserve">in </w:t>
      </w:r>
      <w:r w:rsidR="009A2799">
        <w:rPr>
          <w:rFonts w:eastAsia="MS Mincho"/>
          <w:lang w:eastAsia="ja-JP"/>
        </w:rPr>
        <w:t>Table 3.</w:t>
      </w:r>
      <w:r w:rsidR="00FD4B39">
        <w:rPr>
          <w:rFonts w:eastAsia="MS Mincho" w:hint="eastAsia"/>
          <w:lang w:eastAsia="ja-JP"/>
        </w:rPr>
        <w:t>8</w:t>
      </w:r>
      <w:r>
        <w:rPr>
          <w:rFonts w:eastAsia="MS Mincho"/>
          <w:lang w:eastAsia="ja-JP"/>
        </w:rPr>
        <w:t xml:space="preserve">. Insurrectionaries can emerge anywhere, but they most suit </w:t>
      </w:r>
      <w:r>
        <w:rPr>
          <w:lang w:eastAsia="ja-JP"/>
        </w:rPr>
        <w:t xml:space="preserve">the actors’ </w:t>
      </w:r>
      <w:r>
        <w:rPr>
          <w:rFonts w:eastAsia="MS Mincho"/>
          <w:lang w:eastAsia="ja-JP"/>
        </w:rPr>
        <w:t xml:space="preserve">low discretion and </w:t>
      </w:r>
      <w:r>
        <w:rPr>
          <w:lang w:eastAsia="ja-JP"/>
        </w:rPr>
        <w:t xml:space="preserve">the defenders’ </w:t>
      </w:r>
      <w:r>
        <w:rPr>
          <w:rFonts w:eastAsia="MS Mincho"/>
          <w:lang w:eastAsia="ja-JP"/>
        </w:rPr>
        <w:t xml:space="preserve">weak veto possibilities. The parasitic variation of symbionts is suitable for strong veto </w:t>
      </w:r>
      <w:r>
        <w:rPr>
          <w:lang w:eastAsia="ja-JP"/>
        </w:rPr>
        <w:t>of the actors</w:t>
      </w:r>
      <w:r>
        <w:rPr>
          <w:rFonts w:eastAsia="MS Mincho"/>
          <w:lang w:eastAsia="ja-JP"/>
        </w:rPr>
        <w:t xml:space="preserve"> because they prefer to retain the formal institutional status quo. At the same time high discretion in enforcement </w:t>
      </w:r>
      <w:r>
        <w:rPr>
          <w:lang w:eastAsia="ja-JP"/>
        </w:rPr>
        <w:t>enables</w:t>
      </w:r>
      <w:r>
        <w:rPr>
          <w:rFonts w:eastAsia="MS Mincho"/>
          <w:lang w:eastAsia="ja-JP"/>
        </w:rPr>
        <w:t xml:space="preserve"> parasitic symbionts </w:t>
      </w:r>
      <w:r>
        <w:rPr>
          <w:lang w:eastAsia="ja-JP"/>
        </w:rPr>
        <w:t>t</w:t>
      </w:r>
      <w:r>
        <w:rPr>
          <w:rFonts w:eastAsia="MS Mincho"/>
          <w:lang w:eastAsia="ja-JP"/>
        </w:rPr>
        <w:t>o change the value and meaning of institutionalised rules. Subversives can benefi</w:t>
      </w:r>
      <w:r w:rsidR="004D398F">
        <w:rPr>
          <w:rFonts w:eastAsia="MS Mincho"/>
          <w:lang w:eastAsia="ja-JP"/>
        </w:rPr>
        <w:t>t from</w:t>
      </w:r>
      <w:r>
        <w:rPr>
          <w:rFonts w:eastAsia="MS Mincho"/>
          <w:lang w:eastAsia="ja-JP"/>
        </w:rPr>
        <w:t xml:space="preserve"> strong veto possibilities and</w:t>
      </w:r>
      <w:r w:rsidR="004D398F">
        <w:rPr>
          <w:rFonts w:eastAsia="MS Mincho"/>
          <w:lang w:eastAsia="ja-JP"/>
        </w:rPr>
        <w:t xml:space="preserve"> a</w:t>
      </w:r>
      <w:r>
        <w:rPr>
          <w:rFonts w:eastAsia="MS Mincho"/>
          <w:lang w:eastAsia="ja-JP"/>
        </w:rPr>
        <w:t xml:space="preserve"> low level of discretion in interpretation or enforcement, because this framework change</w:t>
      </w:r>
      <w:r w:rsidR="008727C1">
        <w:rPr>
          <w:rFonts w:eastAsia="MS Mincho" w:hint="eastAsia"/>
          <w:lang w:eastAsia="ja-JP"/>
        </w:rPr>
        <w:t>s</w:t>
      </w:r>
      <w:r>
        <w:rPr>
          <w:rFonts w:eastAsia="MS Mincho"/>
          <w:lang w:eastAsia="ja-JP"/>
        </w:rPr>
        <w:t xml:space="preserve"> agents who pursu</w:t>
      </w:r>
      <w:r w:rsidR="004D398F">
        <w:rPr>
          <w:rFonts w:eastAsia="MS Mincho"/>
          <w:lang w:eastAsia="ja-JP"/>
        </w:rPr>
        <w:t>e</w:t>
      </w:r>
      <w:r>
        <w:rPr>
          <w:rFonts w:eastAsia="MS Mincho"/>
          <w:lang w:eastAsia="ja-JP"/>
        </w:rPr>
        <w:t xml:space="preserve"> their goals within the existing institution. Opportunists are best served by </w:t>
      </w:r>
      <w:r>
        <w:rPr>
          <w:lang w:eastAsia="ja-JP"/>
        </w:rPr>
        <w:t xml:space="preserve">the mode of </w:t>
      </w:r>
      <w:r>
        <w:rPr>
          <w:rFonts w:eastAsia="MS Mincho"/>
          <w:lang w:eastAsia="ja-JP"/>
        </w:rPr>
        <w:t xml:space="preserve">weak veto possibilities and high level of discretion in interpretation or enforcement, because </w:t>
      </w:r>
      <w:r>
        <w:rPr>
          <w:lang w:eastAsia="ja-JP"/>
        </w:rPr>
        <w:t>under this mode the</w:t>
      </w:r>
      <w:r>
        <w:rPr>
          <w:rFonts w:eastAsia="MS Mincho"/>
          <w:lang w:eastAsia="ja-JP"/>
        </w:rPr>
        <w:t xml:space="preserve"> circumstances give them </w:t>
      </w:r>
      <w:r w:rsidR="0090799D">
        <w:rPr>
          <w:rFonts w:eastAsia="MS Mincho"/>
          <w:lang w:eastAsia="ja-JP"/>
        </w:rPr>
        <w:t>less</w:t>
      </w:r>
      <w:r>
        <w:rPr>
          <w:rFonts w:eastAsia="MS Mincho"/>
          <w:lang w:eastAsia="ja-JP"/>
        </w:rPr>
        <w:t xml:space="preserve"> resistance to their changes of institutions for their own purposes as long as they do not oppose outright the institutional rules</w:t>
      </w:r>
      <w:r w:rsidR="0090799D">
        <w:rPr>
          <w:rFonts w:eastAsia="MS Mincho"/>
          <w:lang w:eastAsia="ja-JP"/>
        </w:rPr>
        <w:t>,</w:t>
      </w:r>
      <w:r>
        <w:rPr>
          <w:rFonts w:eastAsia="MS Mincho"/>
          <w:lang w:eastAsia="ja-JP"/>
        </w:rPr>
        <w:t xml:space="preserve"> and more room to utilise the gaps between rules and enactment.</w:t>
      </w:r>
    </w:p>
    <w:p w14:paraId="40B2CFA0" w14:textId="77777777" w:rsidR="00864652" w:rsidRDefault="00864652" w:rsidP="00864652">
      <w:pPr>
        <w:rPr>
          <w:rFonts w:eastAsia="MS Mincho"/>
          <w:lang w:eastAsia="ja-JP"/>
        </w:rPr>
      </w:pPr>
    </w:p>
    <w:p w14:paraId="26D3FD86" w14:textId="77777777" w:rsidR="00864652" w:rsidRDefault="009A2799" w:rsidP="00DA2E02">
      <w:pPr>
        <w:pStyle w:val="Heading4"/>
        <w:rPr>
          <w:rFonts w:cstheme="minorBidi"/>
          <w:lang w:eastAsia="ja-JP"/>
        </w:rPr>
      </w:pPr>
      <w:r>
        <w:t>Table 3.</w:t>
      </w:r>
      <w:r w:rsidR="00FD4B39">
        <w:rPr>
          <w:rFonts w:hint="eastAsia"/>
          <w:lang w:eastAsia="ja-JP"/>
        </w:rPr>
        <w:t>8</w:t>
      </w:r>
      <w:r w:rsidR="00864652">
        <w:t>: Contextual and Institutional sources of Change Agents (Mahoney and Thelen 2010 p.28)</w:t>
      </w:r>
    </w:p>
    <w:p w14:paraId="2DB1D3B3" w14:textId="77777777" w:rsidR="00864652" w:rsidRDefault="00864652" w:rsidP="00864652">
      <w:pPr>
        <w:pStyle w:val="NoSpacing"/>
        <w:rPr>
          <w:lang w:eastAsia="ja-JP"/>
        </w:rPr>
      </w:pPr>
    </w:p>
    <w:tbl>
      <w:tblPr>
        <w:tblStyle w:val="TableGrid"/>
        <w:tblW w:w="0" w:type="auto"/>
        <w:tblLook w:val="04A0" w:firstRow="1" w:lastRow="0" w:firstColumn="1" w:lastColumn="0" w:noHBand="0" w:noVBand="1"/>
      </w:tblPr>
      <w:tblGrid>
        <w:gridCol w:w="1891"/>
        <w:gridCol w:w="1628"/>
        <w:gridCol w:w="2613"/>
        <w:gridCol w:w="2588"/>
      </w:tblGrid>
      <w:tr w:rsidR="00864652" w14:paraId="1A4FB2C7" w14:textId="77777777" w:rsidTr="00864652">
        <w:tc>
          <w:tcPr>
            <w:tcW w:w="2122" w:type="dxa"/>
            <w:tcBorders>
              <w:top w:val="single" w:sz="4" w:space="0" w:color="000000" w:themeColor="text1"/>
              <w:left w:val="single" w:sz="4" w:space="0" w:color="000000" w:themeColor="text1"/>
              <w:bottom w:val="nil"/>
              <w:right w:val="nil"/>
            </w:tcBorders>
          </w:tcPr>
          <w:p w14:paraId="1A134196" w14:textId="77777777" w:rsidR="00864652" w:rsidRDefault="00864652">
            <w:pPr>
              <w:pStyle w:val="NoSpacing"/>
            </w:pPr>
          </w:p>
        </w:tc>
        <w:tc>
          <w:tcPr>
            <w:tcW w:w="1814" w:type="dxa"/>
            <w:tcBorders>
              <w:top w:val="single" w:sz="4" w:space="0" w:color="000000" w:themeColor="text1"/>
              <w:left w:val="nil"/>
              <w:bottom w:val="nil"/>
              <w:right w:val="single" w:sz="4" w:space="0" w:color="000000" w:themeColor="text1"/>
            </w:tcBorders>
          </w:tcPr>
          <w:p w14:paraId="6FC7DCE0" w14:textId="77777777" w:rsidR="00864652" w:rsidRDefault="00864652">
            <w:pPr>
              <w:pStyle w:val="NoSpacing"/>
            </w:pPr>
          </w:p>
        </w:tc>
        <w:tc>
          <w:tcPr>
            <w:tcW w:w="5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15EDB" w14:textId="77777777" w:rsidR="00864652" w:rsidRDefault="00864652">
            <w:pPr>
              <w:pStyle w:val="NoSpacing"/>
              <w:jc w:val="center"/>
              <w:rPr>
                <w:rFonts w:cstheme="minorBidi"/>
                <w:lang w:eastAsia="ja-JP"/>
              </w:rPr>
            </w:pPr>
            <w:r>
              <w:t>Characteristic of the Targeted Institution</w:t>
            </w:r>
          </w:p>
          <w:p w14:paraId="5550DD89" w14:textId="77777777" w:rsidR="00864652" w:rsidRDefault="00864652">
            <w:pPr>
              <w:pStyle w:val="NoSpacing"/>
              <w:jc w:val="center"/>
              <w:rPr>
                <w:lang w:eastAsia="ja-JP"/>
              </w:rPr>
            </w:pPr>
          </w:p>
        </w:tc>
      </w:tr>
      <w:tr w:rsidR="00864652" w14:paraId="5D4D6E75" w14:textId="77777777" w:rsidTr="00864652">
        <w:tc>
          <w:tcPr>
            <w:tcW w:w="2122" w:type="dxa"/>
            <w:tcBorders>
              <w:top w:val="nil"/>
              <w:left w:val="single" w:sz="4" w:space="0" w:color="000000" w:themeColor="text1"/>
              <w:bottom w:val="single" w:sz="4" w:space="0" w:color="000000" w:themeColor="text1"/>
              <w:right w:val="nil"/>
            </w:tcBorders>
          </w:tcPr>
          <w:p w14:paraId="7E8A463E" w14:textId="77777777" w:rsidR="00864652" w:rsidRDefault="00864652">
            <w:pPr>
              <w:pStyle w:val="NoSpacing"/>
            </w:pPr>
          </w:p>
        </w:tc>
        <w:tc>
          <w:tcPr>
            <w:tcW w:w="1814" w:type="dxa"/>
            <w:tcBorders>
              <w:top w:val="nil"/>
              <w:left w:val="nil"/>
              <w:bottom w:val="single" w:sz="4" w:space="0" w:color="000000" w:themeColor="text1"/>
              <w:right w:val="single" w:sz="4" w:space="0" w:color="000000" w:themeColor="text1"/>
            </w:tcBorders>
          </w:tcPr>
          <w:p w14:paraId="19B5C371" w14:textId="77777777" w:rsidR="00864652" w:rsidRDefault="00864652">
            <w:pPr>
              <w:pStyle w:val="NoSpacing"/>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796E5" w14:textId="77777777" w:rsidR="00864652" w:rsidRDefault="00864652">
            <w:pPr>
              <w:pStyle w:val="NoSpacing"/>
              <w:rPr>
                <w:rFonts w:cstheme="minorBidi"/>
              </w:rPr>
            </w:pPr>
          </w:p>
          <w:p w14:paraId="3D04CF05" w14:textId="77777777" w:rsidR="00864652" w:rsidRDefault="00864652">
            <w:pPr>
              <w:pStyle w:val="NoSpacing"/>
            </w:pPr>
            <w:r>
              <w:t>Low Level of Discretion in interpretation/enforcement</w:t>
            </w:r>
          </w:p>
          <w:p w14:paraId="7C86C828" w14:textId="77777777" w:rsidR="00864652" w:rsidRDefault="00864652">
            <w:pPr>
              <w:pStyle w:val="NoSpacing"/>
            </w:pPr>
          </w:p>
        </w:tc>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9A276" w14:textId="77777777" w:rsidR="00864652" w:rsidRDefault="00864652">
            <w:pPr>
              <w:pStyle w:val="NoSpacing"/>
              <w:rPr>
                <w:rFonts w:cstheme="minorBidi"/>
              </w:rPr>
            </w:pPr>
          </w:p>
          <w:p w14:paraId="419A737E" w14:textId="77777777" w:rsidR="00864652" w:rsidRDefault="00864652">
            <w:pPr>
              <w:pStyle w:val="NoSpacing"/>
            </w:pPr>
            <w:r>
              <w:t>High Level of Discretion in interpretation/enforcement</w:t>
            </w:r>
          </w:p>
        </w:tc>
      </w:tr>
      <w:tr w:rsidR="00864652" w14:paraId="5A96C0EA" w14:textId="77777777" w:rsidTr="00864652">
        <w:tc>
          <w:tcPr>
            <w:tcW w:w="2122" w:type="dxa"/>
            <w:tcBorders>
              <w:top w:val="single" w:sz="4" w:space="0" w:color="000000" w:themeColor="text1"/>
              <w:left w:val="single" w:sz="4" w:space="0" w:color="000000" w:themeColor="text1"/>
              <w:bottom w:val="nil"/>
              <w:right w:val="single" w:sz="4" w:space="0" w:color="000000" w:themeColor="text1"/>
            </w:tcBorders>
          </w:tcPr>
          <w:p w14:paraId="7E93557E" w14:textId="77777777" w:rsidR="00864652" w:rsidRDefault="00864652">
            <w:pPr>
              <w:pStyle w:val="NoSpacing"/>
              <w:rPr>
                <w:rFonts w:cstheme="minorBidi"/>
              </w:rPr>
            </w:pPr>
          </w:p>
          <w:p w14:paraId="7543BE8D" w14:textId="77777777" w:rsidR="00864652" w:rsidRDefault="00864652">
            <w:pPr>
              <w:pStyle w:val="NoSpacing"/>
            </w:pPr>
            <w:r>
              <w:t xml:space="preserve">Characteristic of the </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22A1F" w14:textId="77777777" w:rsidR="00864652" w:rsidRDefault="00864652">
            <w:pPr>
              <w:pStyle w:val="NoSpacing"/>
            </w:pPr>
            <w:r>
              <w:t>Strong Veto Possibilities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6CDB0" w14:textId="77777777" w:rsidR="00864652" w:rsidRDefault="00864652">
            <w:pPr>
              <w:pStyle w:val="NoSpacing"/>
              <w:rPr>
                <w:rFonts w:cstheme="minorBidi"/>
              </w:rPr>
            </w:pPr>
            <w:r>
              <w:t>Subversives</w:t>
            </w:r>
          </w:p>
          <w:p w14:paraId="3A4DBE64" w14:textId="77777777" w:rsidR="00864652" w:rsidRDefault="00864652">
            <w:pPr>
              <w:pStyle w:val="NoSpacing"/>
            </w:pPr>
            <w:r>
              <w:t>(Layering)</w:t>
            </w:r>
          </w:p>
        </w:tc>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DD9EB" w14:textId="77777777" w:rsidR="00864652" w:rsidRDefault="00864652">
            <w:pPr>
              <w:pStyle w:val="NoSpacing"/>
              <w:rPr>
                <w:rFonts w:cstheme="minorBidi"/>
              </w:rPr>
            </w:pPr>
            <w:r>
              <w:t>Parasitic Symbionts</w:t>
            </w:r>
          </w:p>
          <w:p w14:paraId="03EDF32D" w14:textId="77777777" w:rsidR="00864652" w:rsidRDefault="00864652">
            <w:pPr>
              <w:pStyle w:val="NoSpacing"/>
            </w:pPr>
            <w:r>
              <w:t>(Drift)</w:t>
            </w:r>
          </w:p>
        </w:tc>
      </w:tr>
      <w:tr w:rsidR="00864652" w14:paraId="11197568" w14:textId="77777777" w:rsidTr="00864652">
        <w:tc>
          <w:tcPr>
            <w:tcW w:w="2122" w:type="dxa"/>
            <w:tcBorders>
              <w:top w:val="nil"/>
              <w:left w:val="single" w:sz="4" w:space="0" w:color="000000" w:themeColor="text1"/>
              <w:bottom w:val="single" w:sz="4" w:space="0" w:color="000000" w:themeColor="text1"/>
              <w:right w:val="single" w:sz="4" w:space="0" w:color="000000" w:themeColor="text1"/>
            </w:tcBorders>
            <w:hideMark/>
          </w:tcPr>
          <w:p w14:paraId="6473BA5B" w14:textId="77777777" w:rsidR="00864652" w:rsidRDefault="00864652">
            <w:pPr>
              <w:pStyle w:val="NoSpacing"/>
            </w:pPr>
            <w:r>
              <w:t>Political Context</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11DBC" w14:textId="77777777" w:rsidR="00864652" w:rsidRDefault="00864652">
            <w:pPr>
              <w:pStyle w:val="NoSpacing"/>
            </w:pPr>
            <w:r>
              <w:t>Weak Veto Possibilities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E859E" w14:textId="77777777" w:rsidR="00864652" w:rsidRDefault="00864652">
            <w:pPr>
              <w:pStyle w:val="NoSpacing"/>
            </w:pPr>
            <w:r>
              <w:t>Insurrectionaries (Displacement)</w:t>
            </w:r>
          </w:p>
        </w:tc>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8F3CF" w14:textId="77777777" w:rsidR="00864652" w:rsidRDefault="00864652">
            <w:pPr>
              <w:pStyle w:val="NoSpacing"/>
              <w:rPr>
                <w:rFonts w:cstheme="minorBidi"/>
              </w:rPr>
            </w:pPr>
            <w:r>
              <w:t>Opportunists</w:t>
            </w:r>
          </w:p>
          <w:p w14:paraId="282E3E51" w14:textId="77777777" w:rsidR="00864652" w:rsidRDefault="00864652">
            <w:pPr>
              <w:pStyle w:val="NoSpacing"/>
            </w:pPr>
            <w:r>
              <w:t>(Conversion)</w:t>
            </w:r>
          </w:p>
        </w:tc>
      </w:tr>
    </w:tbl>
    <w:p w14:paraId="18B9D14E" w14:textId="77777777" w:rsidR="00864652" w:rsidRDefault="00864652" w:rsidP="00864652">
      <w:pPr>
        <w:rPr>
          <w:rFonts w:cstheme="minorBidi"/>
        </w:rPr>
      </w:pPr>
    </w:p>
    <w:p w14:paraId="2B9F4B7E" w14:textId="77777777" w:rsidR="00864652" w:rsidRDefault="00864652" w:rsidP="00864652">
      <w:r>
        <w:t xml:space="preserve">Together with the theory of path dependency in the previous section, the theory of institutional evolution offers the framework in which this thesis explains how institutions have changed in response to </w:t>
      </w:r>
      <w:r w:rsidR="004D398F">
        <w:t>forces</w:t>
      </w:r>
      <w:r>
        <w:t xml:space="preserve"> such as the political context and circumstantial changes. The theory of path dependency highlights the importance of exogenous events; contingent initial events direct the sequences of events and can capture how the sequences of events are developed.</w:t>
      </w:r>
    </w:p>
    <w:p w14:paraId="191FF66B" w14:textId="77777777" w:rsidR="00864652" w:rsidRDefault="00864652" w:rsidP="00C66DAB">
      <w:pPr>
        <w:ind w:firstLine="284"/>
        <w:rPr>
          <w:lang w:eastAsia="ja-JP"/>
        </w:rPr>
      </w:pPr>
      <w:r>
        <w:t>The theory of institutional change proposed by Mahoney and Thelen (2010) focuses on the mechanism of endogenous changes. Their model proposes an explanation about how institutions have evolved through analysing in terms of the responses to the veto possibilities of the defenders of the status quo and the actors’ discretions of enforcement or implementation. If this analytical framework accounts for the power, actors and structure of the focused institution, it can offer explanations about the evolution of the institution in the case of ICT regulation and antimonopoly regulation mobilised by the power relations between actors and the structure such as political contexts. The theory of institutional change and evolution offers a new analytical approach in political science literature (Steinmo 2010 pp.14-9). Elsewhere, the approach of Mahoney and Thelen (2010) encountered criticism.</w:t>
      </w:r>
      <w:r>
        <w:rPr>
          <w:lang w:eastAsia="ja-JP"/>
        </w:rPr>
        <w:t xml:space="preserve"> Here, </w:t>
      </w:r>
      <w:r>
        <w:t>Steinmo</w:t>
      </w:r>
      <w:r>
        <w:rPr>
          <w:lang w:eastAsia="ja-JP"/>
        </w:rPr>
        <w:t xml:space="preserve">’s criticism made in </w:t>
      </w:r>
      <w:r>
        <w:t>2008</w:t>
      </w:r>
      <w:r>
        <w:rPr>
          <w:lang w:eastAsia="ja-JP"/>
        </w:rPr>
        <w:t xml:space="preserve"> to Streek and Thelen’s (2005) model is still </w:t>
      </w:r>
      <w:r w:rsidR="000F536A">
        <w:rPr>
          <w:rFonts w:eastAsia="MS Mincho" w:hint="eastAsia"/>
          <w:lang w:eastAsia="ja-JP"/>
        </w:rPr>
        <w:t xml:space="preserve">worth noting </w:t>
      </w:r>
      <w:r w:rsidR="00C66DAB">
        <w:rPr>
          <w:rFonts w:eastAsia="MS Mincho"/>
          <w:lang w:eastAsia="ja-JP"/>
        </w:rPr>
        <w:t>although his point was made a few year</w:t>
      </w:r>
      <w:r w:rsidR="0090799D">
        <w:rPr>
          <w:rFonts w:eastAsia="MS Mincho"/>
          <w:lang w:eastAsia="ja-JP"/>
        </w:rPr>
        <w:t>s</w:t>
      </w:r>
      <w:r w:rsidR="00C66DAB">
        <w:rPr>
          <w:rFonts w:eastAsia="MS Mincho"/>
          <w:lang w:eastAsia="ja-JP"/>
        </w:rPr>
        <w:t xml:space="preserve"> before (2008) Mahoney and Thelen (2010).</w:t>
      </w:r>
      <w:r w:rsidR="00C66DAB">
        <w:rPr>
          <w:lang w:eastAsia="ja-JP"/>
        </w:rPr>
        <w:t xml:space="preserve"> </w:t>
      </w:r>
      <w:r>
        <w:rPr>
          <w:lang w:eastAsia="ja-JP"/>
        </w:rPr>
        <w:t>Steinmo (2008</w:t>
      </w:r>
      <w:r>
        <w:t>) argues that frameworks such as</w:t>
      </w:r>
      <w:r>
        <w:rPr>
          <w:lang w:eastAsia="ja-JP"/>
        </w:rPr>
        <w:t xml:space="preserve"> Streek and Thelen</w:t>
      </w:r>
      <w:r w:rsidR="0090799D">
        <w:rPr>
          <w:lang w:eastAsia="ja-JP"/>
        </w:rPr>
        <w:t>’s</w:t>
      </w:r>
      <w:r>
        <w:rPr>
          <w:lang w:eastAsia="ja-JP"/>
        </w:rPr>
        <w:t xml:space="preserve"> (2005)</w:t>
      </w:r>
      <w:r>
        <w:t xml:space="preserve"> do not: ‘really offer an explanation for, or theory of, institutional change. Instead</w:t>
      </w:r>
      <w:r w:rsidR="004871C4">
        <w:rPr>
          <w:rFonts w:hint="eastAsia"/>
          <w:lang w:eastAsia="ja-JP"/>
        </w:rPr>
        <w:t>,</w:t>
      </w:r>
      <w:r>
        <w:t xml:space="preserve"> they explore various patterns of institutional change’ (p.168). In his view the analysis of the institution needs to take account of ideas and the nature of actors (p.169, p.173). ‘One could argue that a key weakness of </w:t>
      </w:r>
      <w:r w:rsidR="00806782">
        <w:rPr>
          <w:rFonts w:eastAsia="MS Mincho" w:hint="eastAsia"/>
          <w:lang w:eastAsia="ja-JP"/>
        </w:rPr>
        <w:t>i</w:t>
      </w:r>
      <w:r>
        <w:t>nstitutionalism in the past has been that actors could be simple hostages of the institutions that they inhabit. Integrating ideas into the analysis addresses this problem by making institutions both a constraining/incentivising force and the object of political contestation’ (Steinmo 2008 p.173).</w:t>
      </w:r>
      <w:r>
        <w:rPr>
          <w:lang w:eastAsia="ja-JP"/>
        </w:rPr>
        <w:t xml:space="preserve"> Although formulated two years earlier, Steinmo’s (2008) criticism is still applicable to the model of Mahoney and Thelen (2010).</w:t>
      </w:r>
    </w:p>
    <w:p w14:paraId="7A3D31F2" w14:textId="77777777" w:rsidR="00864652" w:rsidRDefault="00864652" w:rsidP="00864652">
      <w:pPr>
        <w:ind w:firstLine="284"/>
      </w:pPr>
      <w:r>
        <w:t xml:space="preserve">The benefit of the framework proposed by Mahoney and Thelen (2010) is the parsimonious nature of its typology of change patterns taking account of endogenous factors. This thesis recognises the benefit of the modes of change; they can offer a basis on which the analysis of state transformation is constructed utilising the macro level theories of this thesis. Together with the theory of path dependency, the framework proposed by Mahoney and Thelen (2010) offers a vehicle with which the change processes can concisely be drawn. </w:t>
      </w:r>
    </w:p>
    <w:p w14:paraId="18B21145" w14:textId="77777777" w:rsidR="00864652" w:rsidRDefault="00864652" w:rsidP="00864652">
      <w:pPr>
        <w:ind w:firstLine="284"/>
      </w:pPr>
      <w:r>
        <w:t>Because of the benefits of the theories of path dependency and institutional change discussed above this thesis employs this set of theories in its analysis of the cases; its analytical framework allows this thesis to examine how the exogenous events shape the sequences of events and how the institutions evolve in Japan’s ICT and antimonopoly regulation.</w:t>
      </w:r>
    </w:p>
    <w:p w14:paraId="024D3D64" w14:textId="77777777" w:rsidR="00864652" w:rsidRDefault="00864652" w:rsidP="00864652">
      <w:pPr>
        <w:ind w:firstLine="284"/>
      </w:pPr>
    </w:p>
    <w:p w14:paraId="6838D714" w14:textId="77777777" w:rsidR="00864652" w:rsidRDefault="00864652" w:rsidP="00864652">
      <w:pPr>
        <w:ind w:firstLine="284"/>
      </w:pPr>
    </w:p>
    <w:p w14:paraId="67A00B7C" w14:textId="77777777" w:rsidR="00864652" w:rsidRDefault="00864652" w:rsidP="00050D4B">
      <w:pPr>
        <w:pStyle w:val="Heading2"/>
      </w:pPr>
      <w:bookmarkStart w:id="34" w:name="_Toc349741356"/>
      <w:r>
        <w:t>3</w:t>
      </w:r>
      <w:r>
        <w:rPr>
          <w:rFonts w:eastAsiaTheme="minorEastAsia"/>
        </w:rPr>
        <w:t>.6</w:t>
      </w:r>
      <w:r>
        <w:rPr>
          <w:rFonts w:eastAsiaTheme="minorEastAsia"/>
        </w:rPr>
        <w:tab/>
      </w:r>
      <w:r>
        <w:t>Conclusion</w:t>
      </w:r>
      <w:bookmarkEnd w:id="34"/>
    </w:p>
    <w:p w14:paraId="01E57023" w14:textId="77777777" w:rsidR="00864652" w:rsidRDefault="00864652" w:rsidP="00864652">
      <w:r>
        <w:t>This chapter aim</w:t>
      </w:r>
      <w:r w:rsidR="0090799D">
        <w:t>ed</w:t>
      </w:r>
      <w:r>
        <w:t xml:space="preserve"> to establish the analytical framework of this thesis based on the key literature of the change of governance and institutions. The analytical tools discussed </w:t>
      </w:r>
      <w:r>
        <w:rPr>
          <w:lang w:eastAsia="ja-JP"/>
        </w:rPr>
        <w:t>can be categorised in</w:t>
      </w:r>
      <w:r w:rsidR="0090799D">
        <w:rPr>
          <w:lang w:eastAsia="ja-JP"/>
        </w:rPr>
        <w:t>to</w:t>
      </w:r>
      <w:r>
        <w:rPr>
          <w:lang w:eastAsia="ja-JP"/>
        </w:rPr>
        <w:t xml:space="preserve"> two groups</w:t>
      </w:r>
      <w:r>
        <w:t>. The change of governance offers a macro level account explaining both internal and external contexts of state transformation, employing the concepts of the core executive and the regulatory state as vehicles. Explaining how institutions are shaped is the issue at a micro level, addressed by the theory of path dependency (those caused by exogenous factors) and of institutional change (those caused by endogenous factors).</w:t>
      </w:r>
    </w:p>
    <w:p w14:paraId="5A0BAB41" w14:textId="77777777" w:rsidR="00864652" w:rsidRDefault="00864652" w:rsidP="00864652">
      <w:pPr>
        <w:ind w:firstLine="284"/>
      </w:pPr>
      <w:r>
        <w:t xml:space="preserve">The core theme is how the state has been transformed with the emergence of the new form of governance. The change of governance draws the broader framework of the transformation of the Japanese state at a macro level. Although the debate of governance contains a variety of issues (e.g. Hirst 2000, Rhodes 2000), the focus of this thesis lies on the state and its transformation. </w:t>
      </w:r>
    </w:p>
    <w:p w14:paraId="0CB5D3D4" w14:textId="77777777" w:rsidR="00864652" w:rsidRDefault="00864652" w:rsidP="00775873">
      <w:pPr>
        <w:ind w:firstLine="284"/>
      </w:pPr>
      <w:r>
        <w:t xml:space="preserve">The concept of the core executive offers a key analytical framework by which researchers can explore how the state has been governed through focusing on the interactions within the core executive actors and between the core executive actors and their societal counterparts together with the structural factors such as political contexts. By </w:t>
      </w:r>
      <w:r w:rsidR="00985E1C">
        <w:t>focusing on</w:t>
      </w:r>
      <w:r>
        <w:t xml:space="preserve"> the core executive and </w:t>
      </w:r>
      <w:r w:rsidR="00985E1C">
        <w:t xml:space="preserve">the fluid nature of power within the community of the core executive actors, </w:t>
      </w:r>
      <w:r>
        <w:t xml:space="preserve">this thesis reveals how the state at a macro level has responded to its challenges and transformed itself. </w:t>
      </w:r>
      <w:r w:rsidR="00985E1C">
        <w:t xml:space="preserve">This thesis also set out to explicitly consider the specific political conditions of the case studies. This gives the analytical concept of the core executive more flexibility and </w:t>
      </w:r>
      <w:r w:rsidR="00775873">
        <w:t xml:space="preserve">potential </w:t>
      </w:r>
      <w:r w:rsidR="0090799D">
        <w:t>for</w:t>
      </w:r>
      <w:r w:rsidR="00775873">
        <w:t xml:space="preserve"> responding to the specific conditions of the explored cases. By adding the explicit flexibility to the concept of the core executive, this thesis develops the potential of the concept. With the developed</w:t>
      </w:r>
      <w:r>
        <w:t xml:space="preserve"> concept of the core executive</w:t>
      </w:r>
      <w:r w:rsidR="00775873">
        <w:t>, the analytical framework of this thesis addresses</w:t>
      </w:r>
      <w:r>
        <w:t xml:space="preserve"> how the state has been transformed through capturing </w:t>
      </w:r>
      <w:r w:rsidR="0090799D">
        <w:t xml:space="preserve">the </w:t>
      </w:r>
      <w:r>
        <w:t xml:space="preserve">fluid power relationship between key state actors within </w:t>
      </w:r>
      <w:r w:rsidR="0090799D">
        <w:t xml:space="preserve">the </w:t>
      </w:r>
      <w:r>
        <w:t>state structure.</w:t>
      </w:r>
    </w:p>
    <w:p w14:paraId="368C361F" w14:textId="77777777" w:rsidR="00864652" w:rsidRDefault="00864652" w:rsidP="00864652">
      <w:pPr>
        <w:ind w:firstLine="284"/>
      </w:pPr>
      <w:r>
        <w:t xml:space="preserve">The approach focusing on the core executive has </w:t>
      </w:r>
      <w:r w:rsidR="0090799D">
        <w:t>the</w:t>
      </w:r>
      <w:r>
        <w:t xml:space="preserve"> possibility of creating an analogy with the framework of Johnson (1982) focusing on the officials of the MITI. A significant difference between the approach of this thesis and Johnson’s (1982) is that this thesis highlights the state as a whole through focusing on the core executive with the view that the power of the state is based on the fluid power relations within the core executive, while Johnson (1982) solely illuminates the detail of a particular actor (the officials of the MITI). The approach of this thesis better captures how the Japanese state has been transformed, compared to, for instance, that of Muramatsu and Krauss (1987), wh</w:t>
      </w:r>
      <w:r w:rsidR="00806782">
        <w:rPr>
          <w:rFonts w:eastAsia="MS Mincho" w:hint="eastAsia"/>
          <w:lang w:eastAsia="ja-JP"/>
        </w:rPr>
        <w:t>o</w:t>
      </w:r>
      <w:r>
        <w:t xml:space="preserve"> view civil servants and party politicians as separate actors with no explicit regard to the concepts of the state and the core executive.</w:t>
      </w:r>
    </w:p>
    <w:p w14:paraId="3C050F64" w14:textId="77777777" w:rsidR="00864652" w:rsidRDefault="00864652" w:rsidP="0057399B">
      <w:pPr>
        <w:ind w:firstLine="284"/>
      </w:pPr>
      <w:r>
        <w:t xml:space="preserve">The analytical tool to capture the state vis-à-vis society (regulated private firms) in this thesis is the concept of the regulatory state. It has become a frequently debated issue with the proliferation of principal-agent regulation as a major policy tool to control industries, replacing the previous mode of control by direct management through state/public corporations. The concept of the regulatory state offers a basis on which this thesis can shape its analysis of the state and direct its interpretations. Employing the definition proposed by Levi-Faur (2012 pp.19-20) ‘a state that applies and extends rule making, monitoring and enforcement either directly or indirectly’, this thesis examines the cases (ICT regulation and antimonopoly regulation between the 1980s and 2000s) as the development of a regulatory state. </w:t>
      </w:r>
      <w:r>
        <w:rPr>
          <w:lang w:eastAsia="ja-JP"/>
        </w:rPr>
        <w:t>It</w:t>
      </w:r>
      <w:r>
        <w:t xml:space="preserve"> analyses the development of the Japanese regulatory state in these two cases through exploring the actors and structure within the core executive based on the ontological view that power within the core executive is resource dependent and fluid, in line with Smith (1999).</w:t>
      </w:r>
      <w:r w:rsidR="0057399B">
        <w:t xml:space="preserve"> Throughout the analysis this thesis seeks to develop the concept of the regulatory state by trying to formulate an account explaining the specific characteristics of each regulatory state. </w:t>
      </w:r>
    </w:p>
    <w:p w14:paraId="292C37C9" w14:textId="77777777" w:rsidR="00864652" w:rsidRDefault="00864652" w:rsidP="00864652">
      <w:pPr>
        <w:ind w:firstLine="284"/>
      </w:pPr>
      <w:r>
        <w:t>The analytical frameworks explaining the specific changes in the two case studies are the theories of path dependency and institutional change. This set of theories offers the analytical framework at a micro level.</w:t>
      </w:r>
    </w:p>
    <w:p w14:paraId="2064E64C" w14:textId="77777777" w:rsidR="00864652" w:rsidRDefault="00864652" w:rsidP="00864652">
      <w:pPr>
        <w:ind w:firstLine="284"/>
      </w:pPr>
      <w:r>
        <w:t>The theory of path dependency explains the impact of a major disjuncture. This indicates that this theory address</w:t>
      </w:r>
      <w:r w:rsidR="00BA345A">
        <w:t>es</w:t>
      </w:r>
      <w:r>
        <w:t xml:space="preserve"> the impact of the exogenous change to the even</w:t>
      </w:r>
      <w:r w:rsidR="004077A0">
        <w:rPr>
          <w:rFonts w:hint="eastAsia"/>
          <w:lang w:eastAsia="ja-JP"/>
        </w:rPr>
        <w:t>t</w:t>
      </w:r>
      <w:r>
        <w:t xml:space="preserve">s. A number of specific institutional characteristics such as ministerial ICT regulation have been shaped by the impact of a significant event in the past. In </w:t>
      </w:r>
      <w:r w:rsidR="00BA345A">
        <w:t xml:space="preserve">the </w:t>
      </w:r>
      <w:r>
        <w:t xml:space="preserve">case of a ministerial ICT regulator, the choice that the regulatory function be located within the MPT (Ministry of Posts and Telecommunications) at the time of NTT (Nippon Telegraph and Telephone: the Japanese Telecommunications Incumbent) privatisation in 1985 was the key to develop the regulatory approach. The path dependent process here is an example of Mahoney’s (2000) self-reinforcing sequences: the initial decision by the Japanese government. The theory of path dependency offers an analytical tool with which the characteristics originated </w:t>
      </w:r>
      <w:r w:rsidR="00BA345A">
        <w:t>from</w:t>
      </w:r>
      <w:r>
        <w:t xml:space="preserve"> the impact of initial decisions.</w:t>
      </w:r>
    </w:p>
    <w:p w14:paraId="59E3C800" w14:textId="77777777" w:rsidR="00864652" w:rsidRDefault="00864652" w:rsidP="00864652">
      <w:pPr>
        <w:ind w:firstLine="284"/>
      </w:pPr>
      <w:r>
        <w:t xml:space="preserve">Another analytical framework at a micro level is the theory of institutional change, which explains the institutional evolution mobilised by endogenous factors. The change of the endogenous factors leads to </w:t>
      </w:r>
      <w:r w:rsidR="00565C2A">
        <w:rPr>
          <w:rFonts w:hint="eastAsia"/>
          <w:lang w:eastAsia="ja-JP"/>
        </w:rPr>
        <w:t>a</w:t>
      </w:r>
      <w:r>
        <w:t xml:space="preserve"> shift </w:t>
      </w:r>
      <w:r w:rsidR="00565C2A">
        <w:rPr>
          <w:rFonts w:hint="eastAsia"/>
          <w:lang w:eastAsia="ja-JP"/>
        </w:rPr>
        <w:t>of modes</w:t>
      </w:r>
      <w:r>
        <w:t>. The fluid nature of power within the core executive has the potential of realising such a shift of modes.</w:t>
      </w:r>
    </w:p>
    <w:p w14:paraId="127C9267" w14:textId="77777777" w:rsidR="00864652" w:rsidRDefault="00864652" w:rsidP="00864652">
      <w:pPr>
        <w:ind w:firstLine="284"/>
      </w:pPr>
      <w:r>
        <w:t xml:space="preserve">An example can be found in the case of antimonopoly regulation. The Antimonopoly Act (AMA) amendment in 1977 confronted significant opponents from the industrial policy supporters (a group of LDP politicians, the MITI, the business groups). The result of this amendment had a limited impact to antimonopoly enforcement (Sanekata 1986 pp.3888-91 etc.). This can be understood </w:t>
      </w:r>
      <w:r w:rsidR="00BA345A">
        <w:t>as</w:t>
      </w:r>
      <w:r>
        <w:t xml:space="preserve"> antimonopoly regulation in the late 1970s Japan was in the mode of drift, with strong veto power of the opponents (LDP, business) and a significant discretion exercised by the JFTC. Elsewhere, the reaction to the Structural Impediments Initiative (SII) in 1989 and 1990 changed the course of antimonopoly law enforcement through enhancing the AMA and the Fair Trade Commission (JFTC) (Frayer 2006 p.203-12). During the debate about the SII the former opponents to the AMA amendment in 1977 changed their views and accepted enhancing the AMA and the JFTC. The sequence of events can indicate that the mode of antimonopoly regulation changed from drift to conversion, together with the change of perspectives expressed by the opponents to the AMA and the JFTC. In the period of the SII, the opponents to the AMA in the 1970s (LDP, business) changed their view and the veto power to the AMA amendments waned. Together with the significant discretion by the JFTC, this change of circumstances </w:t>
      </w:r>
      <w:r w:rsidR="00BC1B6E">
        <w:rPr>
          <w:rFonts w:eastAsia="MS Mincho" w:hint="eastAsia"/>
          <w:lang w:eastAsia="ja-JP"/>
        </w:rPr>
        <w:t xml:space="preserve">came with the transformation of </w:t>
      </w:r>
      <w:r>
        <w:t>the mode from drift to conversion.</w:t>
      </w:r>
    </w:p>
    <w:p w14:paraId="50092A32" w14:textId="77777777" w:rsidR="00864652" w:rsidRDefault="00864652" w:rsidP="0009388D">
      <w:pPr>
        <w:ind w:firstLine="284"/>
      </w:pPr>
      <w:r>
        <w:t xml:space="preserve">The theories of path dependency and institutional change offer this thesis a tool to </w:t>
      </w:r>
      <w:r>
        <w:rPr>
          <w:lang w:eastAsia="ja-JP"/>
        </w:rPr>
        <w:t xml:space="preserve">explore </w:t>
      </w:r>
      <w:r>
        <w:t>the change caused by both exogenous and endogenous factors.</w:t>
      </w:r>
      <w:r w:rsidR="00C957AD">
        <w:t xml:space="preserve"> This set of frameworks offer</w:t>
      </w:r>
      <w:r w:rsidR="00BA345A">
        <w:t>s</w:t>
      </w:r>
      <w:r w:rsidR="00C957AD">
        <w:t xml:space="preserve"> </w:t>
      </w:r>
      <w:r w:rsidR="000169C9">
        <w:t xml:space="preserve">an analysis of </w:t>
      </w:r>
      <w:r w:rsidR="00C957AD">
        <w:t>how the core executive in ICT regulation and antimonopoly regulation has been transformed</w:t>
      </w:r>
      <w:r w:rsidR="000169C9">
        <w:t xml:space="preserve"> in response to its exogenous and endogenous challenges</w:t>
      </w:r>
      <w:r w:rsidR="00CD7F5E">
        <w:rPr>
          <w:rFonts w:hint="eastAsia"/>
          <w:lang w:eastAsia="ja-JP"/>
        </w:rPr>
        <w:t xml:space="preserve"> and is employed by </w:t>
      </w:r>
      <w:r w:rsidR="00BC1B6E">
        <w:rPr>
          <w:rFonts w:eastAsia="MS Mincho" w:hint="eastAsia"/>
          <w:lang w:eastAsia="ja-JP"/>
        </w:rPr>
        <w:t xml:space="preserve">the two </w:t>
      </w:r>
      <w:r w:rsidR="006D1D1A">
        <w:rPr>
          <w:rFonts w:eastAsia="MS Mincho"/>
          <w:lang w:eastAsia="ja-JP"/>
        </w:rPr>
        <w:t xml:space="preserve">subsequent </w:t>
      </w:r>
      <w:r w:rsidR="00BC1B6E">
        <w:rPr>
          <w:rFonts w:eastAsia="MS Mincho" w:hint="eastAsia"/>
          <w:lang w:eastAsia="ja-JP"/>
        </w:rPr>
        <w:t>case study chapters (Chapters 5 and 6).</w:t>
      </w:r>
    </w:p>
    <w:p w14:paraId="0AA4A386" w14:textId="77777777" w:rsidR="00864652" w:rsidRDefault="000805D9" w:rsidP="001804DF">
      <w:pPr>
        <w:ind w:firstLine="284"/>
      </w:pPr>
      <w:r>
        <w:rPr>
          <w:rFonts w:hint="eastAsia"/>
          <w:lang w:eastAsia="ja-JP"/>
        </w:rPr>
        <w:t xml:space="preserve">With the theoretical frameworks </w:t>
      </w:r>
      <w:r w:rsidR="00B64CC2">
        <w:rPr>
          <w:rFonts w:hint="eastAsia"/>
          <w:lang w:eastAsia="ja-JP"/>
        </w:rPr>
        <w:t>presented</w:t>
      </w:r>
      <w:r>
        <w:rPr>
          <w:rFonts w:hint="eastAsia"/>
          <w:lang w:eastAsia="ja-JP"/>
        </w:rPr>
        <w:t xml:space="preserve"> in this chapter, t</w:t>
      </w:r>
      <w:r w:rsidR="00864652">
        <w:t>h</w:t>
      </w:r>
      <w:r>
        <w:rPr>
          <w:rFonts w:hint="eastAsia"/>
          <w:lang w:eastAsia="ja-JP"/>
        </w:rPr>
        <w:t>is thesis employs an</w:t>
      </w:r>
      <w:r w:rsidR="00864652">
        <w:t xml:space="preserve"> approach based on a</w:t>
      </w:r>
      <w:r w:rsidR="00864652">
        <w:rPr>
          <w:lang w:eastAsia="ja-JP"/>
        </w:rPr>
        <w:t xml:space="preserve"> reconstituted state position</w:t>
      </w:r>
      <w:r w:rsidR="00864652">
        <w:t>, locating power within the state (Smith 2009 p.63)</w:t>
      </w:r>
      <w:r w:rsidR="00864652">
        <w:rPr>
          <w:lang w:eastAsia="ja-JP"/>
        </w:rPr>
        <w:t xml:space="preserve">; the core executive </w:t>
      </w:r>
      <w:r w:rsidR="00BB6C8D">
        <w:rPr>
          <w:lang w:eastAsia="ja-JP"/>
        </w:rPr>
        <w:t xml:space="preserve">strategically adapted to sustain a </w:t>
      </w:r>
      <w:r w:rsidR="0009388D">
        <w:rPr>
          <w:lang w:eastAsia="ja-JP"/>
        </w:rPr>
        <w:t>position</w:t>
      </w:r>
      <w:r w:rsidR="00BB6C8D">
        <w:rPr>
          <w:lang w:eastAsia="ja-JP"/>
        </w:rPr>
        <w:t xml:space="preserve"> of asymmetry in </w:t>
      </w:r>
      <w:r w:rsidR="0009388D">
        <w:rPr>
          <w:lang w:eastAsia="ja-JP"/>
        </w:rPr>
        <w:t>its state</w:t>
      </w:r>
      <w:r w:rsidR="00BB6C8D">
        <w:rPr>
          <w:lang w:eastAsia="ja-JP"/>
        </w:rPr>
        <w:t>-society relations</w:t>
      </w:r>
      <w:r w:rsidR="00864652">
        <w:rPr>
          <w:lang w:eastAsia="ja-JP"/>
        </w:rPr>
        <w:t xml:space="preserve">. </w:t>
      </w:r>
      <w:r w:rsidR="00864652">
        <w:t>As Chapter 2 reveals, the perspective on Japan and its state in political science literature has been dominated by the pluralist and rational choice school</w:t>
      </w:r>
      <w:r w:rsidR="00BC1B6E">
        <w:rPr>
          <w:rFonts w:eastAsia="MS Mincho" w:hint="eastAsia"/>
          <w:lang w:eastAsia="ja-JP"/>
        </w:rPr>
        <w:t>s</w:t>
      </w:r>
      <w:r w:rsidR="00864652">
        <w:t xml:space="preserve">. The approach </w:t>
      </w:r>
      <w:r w:rsidR="00590623">
        <w:t xml:space="preserve">adopted in this </w:t>
      </w:r>
      <w:r w:rsidR="00864652">
        <w:t>thesis challenge</w:t>
      </w:r>
      <w:r w:rsidR="00590623">
        <w:t>s these accounts</w:t>
      </w:r>
      <w:r w:rsidR="00864652">
        <w:t xml:space="preserve">. The approach to power employed </w:t>
      </w:r>
      <w:r w:rsidR="001804DF">
        <w:t xml:space="preserve">by </w:t>
      </w:r>
      <w:r w:rsidR="00590623">
        <w:t>those accounts</w:t>
      </w:r>
      <w:r w:rsidR="00864652">
        <w:t xml:space="preserve"> </w:t>
      </w:r>
      <w:r w:rsidR="001804DF">
        <w:t>focus</w:t>
      </w:r>
      <w:r w:rsidR="00BA345A">
        <w:t>es</w:t>
      </w:r>
      <w:r w:rsidR="00864652">
        <w:t xml:space="preserve"> on observable resources such as financial resources and administrative authority. Analyses on state power </w:t>
      </w:r>
      <w:r w:rsidR="00BA345A">
        <w:t>are</w:t>
      </w:r>
      <w:r w:rsidR="00864652">
        <w:t xml:space="preserve"> ignored; rather, the state is regarded as a place of bargaining between key actors, as Calder (1993 p.14) describes the Japanese state as a ‘pluralist theatre’. The analytical framework of this thesis places the state at the centre of the research, with an ontological view that power is located within the state and that the state has influenced and steered society.</w:t>
      </w:r>
    </w:p>
    <w:p w14:paraId="6921F99C" w14:textId="77777777" w:rsidR="00864652" w:rsidRDefault="00864652" w:rsidP="00864652">
      <w:pPr>
        <w:ind w:firstLine="284"/>
        <w:rPr>
          <w:lang w:eastAsia="ja-JP"/>
        </w:rPr>
      </w:pPr>
      <w:r>
        <w:t xml:space="preserve">Based on the theoretical basis set out by this chapter, this thesis establishes its methodological approach, </w:t>
      </w:r>
      <w:r w:rsidR="00590623">
        <w:t>set out</w:t>
      </w:r>
      <w:r>
        <w:t xml:space="preserve"> in the next </w:t>
      </w:r>
      <w:r w:rsidR="00BA345A">
        <w:t>c</w:t>
      </w:r>
      <w:r>
        <w:t>hapter.</w:t>
      </w:r>
    </w:p>
    <w:p w14:paraId="5771BCC6" w14:textId="77777777" w:rsidR="00853889" w:rsidRDefault="00853889">
      <w:pPr>
        <w:spacing w:line="240" w:lineRule="auto"/>
        <w:rPr>
          <w:rFonts w:eastAsia="Times New Roman" w:cstheme="majorBidi"/>
          <w:b/>
          <w:bCs/>
          <w:szCs w:val="28"/>
          <w:u w:val="single"/>
        </w:rPr>
      </w:pPr>
      <w:r>
        <w:br w:type="page"/>
      </w:r>
    </w:p>
    <w:p w14:paraId="4163CF5F" w14:textId="77777777" w:rsidR="00853889" w:rsidRPr="003D274B" w:rsidRDefault="00853889" w:rsidP="00853889">
      <w:pPr>
        <w:pStyle w:val="Heading1"/>
      </w:pPr>
      <w:bookmarkStart w:id="35" w:name="_Toc349741357"/>
      <w:r w:rsidRPr="003D274B">
        <w:t xml:space="preserve">Chapter </w:t>
      </w:r>
      <w:r w:rsidRPr="003D274B">
        <w:rPr>
          <w:rFonts w:hint="eastAsia"/>
        </w:rPr>
        <w:t>4</w:t>
      </w:r>
      <w:r w:rsidRPr="003D274B">
        <w:tab/>
        <w:t>Methodology</w:t>
      </w:r>
      <w:bookmarkEnd w:id="35"/>
    </w:p>
    <w:p w14:paraId="2D174861" w14:textId="77777777" w:rsidR="00853889" w:rsidRDefault="00853889" w:rsidP="00853889"/>
    <w:p w14:paraId="7140750C" w14:textId="77777777" w:rsidR="00853889" w:rsidRPr="006838EC" w:rsidRDefault="00853889" w:rsidP="00853889"/>
    <w:p w14:paraId="50D735F5" w14:textId="77777777" w:rsidR="00853889" w:rsidRPr="00AB5E59" w:rsidRDefault="00853889" w:rsidP="00050D4B">
      <w:pPr>
        <w:pStyle w:val="Heading2"/>
      </w:pPr>
      <w:bookmarkStart w:id="36" w:name="_Toc349741358"/>
      <w:r>
        <w:rPr>
          <w:rFonts w:hint="eastAsia"/>
        </w:rPr>
        <w:t>4</w:t>
      </w:r>
      <w:r>
        <w:t>.1</w:t>
      </w:r>
      <w:r>
        <w:tab/>
      </w:r>
      <w:r w:rsidRPr="00AB5E59">
        <w:t>Introduction</w:t>
      </w:r>
      <w:bookmarkEnd w:id="36"/>
    </w:p>
    <w:p w14:paraId="6B3DE7B8" w14:textId="77777777" w:rsidR="00853889" w:rsidRPr="006E6CC5" w:rsidRDefault="00853889" w:rsidP="00853889">
      <w:r w:rsidRPr="006E6CC5">
        <w:t xml:space="preserve">A </w:t>
      </w:r>
      <w:r>
        <w:rPr>
          <w:rFonts w:hint="eastAsia"/>
        </w:rPr>
        <w:t>rigorous</w:t>
      </w:r>
      <w:r w:rsidRPr="006E6CC5">
        <w:t xml:space="preserve"> research design is important for PhD theses to generate meaningful contributions to knowledge (Burnham et al. 2008 p.1). Unlike</w:t>
      </w:r>
      <w:r w:rsidR="003E7288">
        <w:t xml:space="preserve"> the</w:t>
      </w:r>
      <w:r w:rsidRPr="006E6CC5">
        <w:t xml:space="preserve"> natural sciences , wh</w:t>
      </w:r>
      <w:r w:rsidR="00702ABB">
        <w:t>ich</w:t>
      </w:r>
      <w:r w:rsidRPr="006E6CC5">
        <w:t xml:space="preserve"> have standardised and accepted measures, social sciences can choose preferred research methods from a range of research techniques (Burnham et al. 2008 p.2). This thesis has adopted a </w:t>
      </w:r>
      <w:r>
        <w:rPr>
          <w:rFonts w:hint="eastAsia"/>
        </w:rPr>
        <w:t>particular</w:t>
      </w:r>
      <w:r w:rsidRPr="006E6CC5">
        <w:t xml:space="preserve"> methodology based on its research foundation, theme, and framework. This chapter sets out the methodology adopted in this thesis through descriptions about its specified ontological and epistemological positions, the choice of the research strategies and methods, the operationalisation, and the potential limitations stemming from the chose</w:t>
      </w:r>
      <w:r w:rsidR="00702ABB">
        <w:t>n</w:t>
      </w:r>
      <w:r w:rsidRPr="006E6CC5">
        <w:t xml:space="preserve"> research methods.</w:t>
      </w:r>
    </w:p>
    <w:p w14:paraId="40EF7761" w14:textId="77777777" w:rsidR="00853889" w:rsidRDefault="00853889" w:rsidP="00414579">
      <w:pPr>
        <w:ind w:firstLine="284"/>
      </w:pPr>
      <w:r w:rsidRPr="006E6CC5">
        <w:t xml:space="preserve">The composition of this chapter is as follows. First, the next section discusses the ontological and epistemological positions underpinning the research framed by a particular view of power as elitist, drawn from a critical realist epistemological position. What comes after is the description about the choice of qualitative research methods as the research methods of this thesis. The fourth section is about the choice of the research strategy and the quality of the research based on the chosen strategy. </w:t>
      </w:r>
      <w:r w:rsidR="004B72AD">
        <w:rPr>
          <w:rFonts w:hint="eastAsia"/>
          <w:lang w:eastAsia="ja-JP"/>
        </w:rPr>
        <w:t xml:space="preserve">Then this chapter turns to the selection of its case studies, together with the </w:t>
      </w:r>
      <w:r w:rsidR="004B72AD">
        <w:rPr>
          <w:lang w:eastAsia="ja-JP"/>
        </w:rPr>
        <w:t>guidelines</w:t>
      </w:r>
      <w:r w:rsidR="004B72AD">
        <w:rPr>
          <w:rFonts w:hint="eastAsia"/>
          <w:lang w:eastAsia="ja-JP"/>
        </w:rPr>
        <w:t xml:space="preserve"> for selection. </w:t>
      </w:r>
      <w:r w:rsidRPr="006E6CC5">
        <w:t>This is followed by the description of the operationalisation of this research, focusing on elite interviewing and the document analysis. The next section addresses the limitation to this thesis’ research methods.</w:t>
      </w:r>
    </w:p>
    <w:p w14:paraId="3DC38FB1" w14:textId="77777777" w:rsidR="00853889" w:rsidRDefault="00853889" w:rsidP="00853889"/>
    <w:p w14:paraId="126C4FC5" w14:textId="77777777" w:rsidR="00853889" w:rsidRPr="00094260" w:rsidRDefault="00853889" w:rsidP="00853889"/>
    <w:p w14:paraId="603D0391" w14:textId="77777777" w:rsidR="00853889" w:rsidRPr="00AB5E59" w:rsidRDefault="00853889" w:rsidP="00050D4B">
      <w:pPr>
        <w:pStyle w:val="Heading2"/>
      </w:pPr>
      <w:bookmarkStart w:id="37" w:name="_Toc349741359"/>
      <w:r>
        <w:rPr>
          <w:rFonts w:hint="eastAsia"/>
        </w:rPr>
        <w:t>4</w:t>
      </w:r>
      <w:r>
        <w:t>.2</w:t>
      </w:r>
      <w:r>
        <w:tab/>
      </w:r>
      <w:r w:rsidR="00925FE6">
        <w:rPr>
          <w:rFonts w:eastAsia="MS Mincho" w:hint="eastAsia"/>
          <w:lang w:eastAsia="ja-JP"/>
        </w:rPr>
        <w:t>A c</w:t>
      </w:r>
      <w:r w:rsidRPr="00AB5E59">
        <w:t>ritical realis</w:t>
      </w:r>
      <w:r w:rsidR="00925FE6">
        <w:rPr>
          <w:rFonts w:eastAsia="MS Mincho" w:hint="eastAsia"/>
          <w:lang w:eastAsia="ja-JP"/>
        </w:rPr>
        <w:t>t position</w:t>
      </w:r>
      <w:bookmarkEnd w:id="37"/>
    </w:p>
    <w:p w14:paraId="1FBECB10" w14:textId="77777777" w:rsidR="00853889" w:rsidRPr="006E6CC5" w:rsidRDefault="00853889" w:rsidP="00853889">
      <w:r w:rsidRPr="006E6CC5">
        <w:t>The research methodology for a political science inquiry is constructed on the following three key elements: ontology, epistemology, and methodology (Grix 2010 p.59, Hay 2002 p.61). The linkage between these three elements starts from ontology, with epistemology and methodology logically following (Grix 2004 p.60, Hay 2002 p.63). Methodology is thus developed from one’s ontological position.</w:t>
      </w:r>
    </w:p>
    <w:p w14:paraId="7580E22D" w14:textId="77777777" w:rsidR="00853889" w:rsidRPr="006E6CC5" w:rsidRDefault="00853889" w:rsidP="00853889">
      <w:pPr>
        <w:ind w:firstLine="284"/>
      </w:pPr>
      <w:r w:rsidRPr="006E6CC5">
        <w:t>The ontological position of this thesis relates to its research focus: the change of the social relationships in the political arena, to elaborate:</w:t>
      </w:r>
    </w:p>
    <w:p w14:paraId="6C71CF7B" w14:textId="77777777" w:rsidR="00853889" w:rsidRPr="006E6CC5" w:rsidRDefault="00853889" w:rsidP="001B6C05">
      <w:pPr>
        <w:pStyle w:val="ListParagraph"/>
        <w:widowControl w:val="0"/>
        <w:numPr>
          <w:ilvl w:val="0"/>
          <w:numId w:val="36"/>
        </w:numPr>
        <w:ind w:left="284" w:hanging="284"/>
        <w:contextualSpacing w:val="0"/>
      </w:pPr>
      <w:r w:rsidRPr="006E6CC5">
        <w:t>how actors (e.g. LDP (Liberal Democratic Party) politicians, civil servants, private firms) have responded and changed their roles throughout the transformative process of the Japanese state; and</w:t>
      </w:r>
    </w:p>
    <w:p w14:paraId="65319AB1" w14:textId="77777777" w:rsidR="00853889" w:rsidRPr="006E6CC5" w:rsidRDefault="00853889" w:rsidP="001B6C05">
      <w:pPr>
        <w:pStyle w:val="ListParagraph"/>
        <w:widowControl w:val="0"/>
        <w:numPr>
          <w:ilvl w:val="0"/>
          <w:numId w:val="36"/>
        </w:numPr>
        <w:ind w:left="284" w:hanging="284"/>
        <w:contextualSpacing w:val="0"/>
      </w:pPr>
      <w:r w:rsidRPr="006E6CC5">
        <w:t xml:space="preserve">how the structures of the focused sectors (e.g. the LDP’s decision making system) have </w:t>
      </w:r>
      <w:r>
        <w:rPr>
          <w:rFonts w:hint="eastAsia"/>
        </w:rPr>
        <w:t>shaped</w:t>
      </w:r>
      <w:r w:rsidRPr="006E6CC5">
        <w:t xml:space="preserve"> key decisions of the actors.</w:t>
      </w:r>
    </w:p>
    <w:p w14:paraId="3B085FA1" w14:textId="77777777" w:rsidR="00853889" w:rsidRDefault="00853889" w:rsidP="00853889"/>
    <w:p w14:paraId="4B496979" w14:textId="77777777" w:rsidR="00853889" w:rsidRPr="006E6CC5" w:rsidRDefault="00853889" w:rsidP="006467A1">
      <w:r w:rsidRPr="006E6CC5">
        <w:t>The research focus stems from the research interest of the author of this thesis, which aim</w:t>
      </w:r>
      <w:r w:rsidR="00361196">
        <w:t xml:space="preserve">s to explore unobservable phenomena </w:t>
      </w:r>
      <w:r w:rsidR="006467A1">
        <w:t xml:space="preserve">together with </w:t>
      </w:r>
      <w:r w:rsidR="00361196">
        <w:t>observable ones</w:t>
      </w:r>
      <w:r w:rsidRPr="006E6CC5">
        <w:t xml:space="preserve">. In other words the ontological view comes from </w:t>
      </w:r>
      <w:r w:rsidRPr="00F4763F">
        <w:t>the approach of the author. Based on this ontological view, this thesis employs an idea that the views</w:t>
      </w:r>
      <w:r w:rsidRPr="006E6CC5">
        <w:t xml:space="preserve"> and ideas of actors such as civil servants offer a significant explanatory power to e</w:t>
      </w:r>
      <w:r w:rsidR="00B92155">
        <w:rPr>
          <w:rFonts w:hint="eastAsia"/>
          <w:lang w:eastAsia="ja-JP"/>
        </w:rPr>
        <w:t>lucidate</w:t>
      </w:r>
      <w:r w:rsidRPr="006E6CC5">
        <w:t xml:space="preserve"> social issues in addition to distinctively observable data such as government organisations’ statistics. For example, the historical statistics of cartel cases processed by an antimonopoly authority tells how much </w:t>
      </w:r>
      <w:r>
        <w:rPr>
          <w:rFonts w:hint="eastAsia"/>
        </w:rPr>
        <w:t>these</w:t>
      </w:r>
      <w:r w:rsidRPr="006E6CC5">
        <w:t xml:space="preserve"> cases have actually been addressed by the authority. However, such data struggles to explain how much antimonopoly policies have been effective and achieved their goals of making the targeted market competitive, because the number of actually processed cartel cases does not offer the information o</w:t>
      </w:r>
      <w:r w:rsidR="00702ABB">
        <w:t>n</w:t>
      </w:r>
      <w:r w:rsidRPr="006E6CC5">
        <w:t xml:space="preserve"> how m</w:t>
      </w:r>
      <w:r w:rsidR="00702ABB">
        <w:t>any</w:t>
      </w:r>
      <w:r w:rsidRPr="006E6CC5">
        <w:t xml:space="preserve"> cartels the market has actually had. Also, the data does not explain the perception of private firms about cartels; how much they have been tolerant to cartels, for instance. Obtaining such data through observation is difficult, because the illegal nature of cartels in most cases gives perpetrators an incentive to hide the existence of and the tolerance to cartels. Elsewhere, the analytical results based on multiple accounts by those involved in cartels such as officials of the antimonopoly regulator and researchers observing the situation can reveal </w:t>
      </w:r>
      <w:r w:rsidR="003E7288" w:rsidRPr="006E6CC5">
        <w:t>un</w:t>
      </w:r>
      <w:r w:rsidR="003E7288">
        <w:t xml:space="preserve">observable </w:t>
      </w:r>
      <w:r w:rsidR="00361196">
        <w:t>phenomena</w:t>
      </w:r>
      <w:r w:rsidRPr="006E6CC5">
        <w:t xml:space="preserve">, such as how much cartels have actually emerged in the market, what kind of ideas private firms </w:t>
      </w:r>
      <w:r>
        <w:rPr>
          <w:rFonts w:hint="eastAsia"/>
        </w:rPr>
        <w:t xml:space="preserve">have </w:t>
      </w:r>
      <w:r w:rsidRPr="006E6CC5">
        <w:t>had in the market, and how competitive the market has actually been. Such results are not directly observable but can offer an account which captures how the focused marked has actually been in terms of cartels and competition and how state power has been there. This indicates that analytical results based on</w:t>
      </w:r>
      <w:r>
        <w:rPr>
          <w:rFonts w:hint="eastAsia"/>
        </w:rPr>
        <w:t xml:space="preserve"> the accounts on</w:t>
      </w:r>
      <w:r w:rsidRPr="006E6CC5">
        <w:t xml:space="preserve"> unobservable </w:t>
      </w:r>
      <w:r>
        <w:rPr>
          <w:rFonts w:hint="eastAsia"/>
        </w:rPr>
        <w:t>facts and situations ca</w:t>
      </w:r>
      <w:r w:rsidRPr="006E6CC5">
        <w:t>n have a significant explanatory power.</w:t>
      </w:r>
    </w:p>
    <w:p w14:paraId="5A601375" w14:textId="77777777" w:rsidR="00853889" w:rsidRDefault="00853889" w:rsidP="00853889">
      <w:pPr>
        <w:ind w:firstLine="284"/>
      </w:pPr>
      <w:r w:rsidRPr="006E6CC5">
        <w:t>The key notion to be explored is power and the state. This thesis employs Smith’s (2009 p.80)</w:t>
      </w:r>
      <w:r>
        <w:rPr>
          <w:rFonts w:hint="eastAsia"/>
        </w:rPr>
        <w:t xml:space="preserve"> </w:t>
      </w:r>
      <w:r w:rsidRPr="006E6CC5">
        <w:t>approach on power; to understand the impact of the state one needs to examine the mechanisms of power. According to him (pp.80-1):</w:t>
      </w:r>
    </w:p>
    <w:p w14:paraId="32D75ACD" w14:textId="77777777" w:rsidR="00853889" w:rsidRDefault="00853889" w:rsidP="00853889"/>
    <w:p w14:paraId="0AC34883" w14:textId="78C7528E" w:rsidR="00495655" w:rsidRDefault="00853889" w:rsidP="005B18BE">
      <w:pPr>
        <w:pStyle w:val="Quote"/>
      </w:pPr>
      <w:r w:rsidRPr="006E6CC5">
        <w:t>power is multidimensional; it operates both directly and indirectly; observably and through mechanisms that are difficult to observe directly. It can exist in direct forms of observable power such as force, but also through processes of social organization…How state actors exercise power does not have to be philosophically consistent and hence they can use a range of tools to achieve their goals…the state as a set of institutions has resources which actors can draw upon in order to exercise power.</w:t>
      </w:r>
    </w:p>
    <w:p w14:paraId="00C17B7F" w14:textId="77777777" w:rsidR="00853889" w:rsidRDefault="00853889" w:rsidP="00853889"/>
    <w:p w14:paraId="19AB6991" w14:textId="77777777" w:rsidR="007F196D" w:rsidRDefault="00F74C87" w:rsidP="00F74C87">
      <w:pPr>
        <w:rPr>
          <w:lang w:eastAsia="ja-JP"/>
        </w:rPr>
      </w:pPr>
      <w:r>
        <w:rPr>
          <w:rFonts w:hint="eastAsia"/>
          <w:lang w:eastAsia="ja-JP"/>
        </w:rPr>
        <w:t>In line with the above perspective, this thesis views that s</w:t>
      </w:r>
      <w:r w:rsidR="007F196D">
        <w:rPr>
          <w:rFonts w:hint="eastAsia"/>
          <w:lang w:eastAsia="ja-JP"/>
        </w:rPr>
        <w:t>tate power is exercised in both observable forms such as force and unobservable forms such as informal processes of social organisations. T</w:t>
      </w:r>
      <w:r w:rsidR="007F196D">
        <w:rPr>
          <w:lang w:eastAsia="ja-JP"/>
        </w:rPr>
        <w:t>h</w:t>
      </w:r>
      <w:r w:rsidR="007F196D">
        <w:rPr>
          <w:rFonts w:hint="eastAsia"/>
          <w:lang w:eastAsia="ja-JP"/>
        </w:rPr>
        <w:t>is thesis aims to illuminate state power by addressing th</w:t>
      </w:r>
      <w:r w:rsidR="004A7532">
        <w:rPr>
          <w:rFonts w:hint="eastAsia"/>
          <w:lang w:eastAsia="ja-JP"/>
        </w:rPr>
        <w:t xml:space="preserve">is set of </w:t>
      </w:r>
      <w:r w:rsidR="007F196D">
        <w:rPr>
          <w:rFonts w:hint="eastAsia"/>
          <w:lang w:eastAsia="ja-JP"/>
        </w:rPr>
        <w:t xml:space="preserve">state power. </w:t>
      </w:r>
    </w:p>
    <w:p w14:paraId="5FFD9C84" w14:textId="77777777" w:rsidR="006335B7" w:rsidRDefault="004A7532" w:rsidP="00853889">
      <w:pPr>
        <w:ind w:firstLine="284"/>
        <w:rPr>
          <w:lang w:eastAsia="ja-JP"/>
        </w:rPr>
      </w:pPr>
      <w:r>
        <w:rPr>
          <w:rFonts w:hint="eastAsia"/>
          <w:lang w:eastAsia="ja-JP"/>
        </w:rPr>
        <w:t xml:space="preserve">Another key </w:t>
      </w:r>
      <w:r w:rsidR="00821C55">
        <w:rPr>
          <w:rFonts w:hint="eastAsia"/>
          <w:lang w:eastAsia="ja-JP"/>
        </w:rPr>
        <w:t>tool</w:t>
      </w:r>
      <w:r w:rsidR="00FA3263">
        <w:rPr>
          <w:rFonts w:hint="eastAsia"/>
          <w:lang w:eastAsia="ja-JP"/>
        </w:rPr>
        <w:t xml:space="preserve"> </w:t>
      </w:r>
      <w:r w:rsidR="0048438A">
        <w:rPr>
          <w:rFonts w:hint="eastAsia"/>
          <w:lang w:eastAsia="ja-JP"/>
        </w:rPr>
        <w:t>of</w:t>
      </w:r>
      <w:r w:rsidR="00821C55">
        <w:rPr>
          <w:rFonts w:hint="eastAsia"/>
          <w:lang w:eastAsia="ja-JP"/>
        </w:rPr>
        <w:t xml:space="preserve"> </w:t>
      </w:r>
      <w:r w:rsidR="00FA3263">
        <w:rPr>
          <w:rFonts w:hint="eastAsia"/>
          <w:lang w:eastAsia="ja-JP"/>
        </w:rPr>
        <w:t>this thesis draw</w:t>
      </w:r>
      <w:r w:rsidR="0048438A">
        <w:rPr>
          <w:rFonts w:hint="eastAsia"/>
          <w:lang w:eastAsia="ja-JP"/>
        </w:rPr>
        <w:t>n</w:t>
      </w:r>
      <w:r w:rsidR="00FA3263">
        <w:rPr>
          <w:rFonts w:hint="eastAsia"/>
          <w:lang w:eastAsia="ja-JP"/>
        </w:rPr>
        <w:t xml:space="preserve"> </w:t>
      </w:r>
      <w:r w:rsidR="0048438A">
        <w:rPr>
          <w:rFonts w:hint="eastAsia"/>
          <w:lang w:eastAsia="ja-JP"/>
        </w:rPr>
        <w:t>from</w:t>
      </w:r>
      <w:r w:rsidR="00FA3263">
        <w:rPr>
          <w:rFonts w:hint="eastAsia"/>
          <w:lang w:eastAsia="ja-JP"/>
        </w:rPr>
        <w:t xml:space="preserve"> Smith (2009) </w:t>
      </w:r>
      <w:r w:rsidR="00821C55">
        <w:rPr>
          <w:rFonts w:hint="eastAsia"/>
          <w:lang w:eastAsia="ja-JP"/>
        </w:rPr>
        <w:t xml:space="preserve">is </w:t>
      </w:r>
      <w:r w:rsidR="00480EBD">
        <w:rPr>
          <w:rFonts w:hint="eastAsia"/>
          <w:lang w:eastAsia="ja-JP"/>
        </w:rPr>
        <w:t>an</w:t>
      </w:r>
      <w:r w:rsidR="00821C55">
        <w:rPr>
          <w:rFonts w:hint="eastAsia"/>
          <w:lang w:eastAsia="ja-JP"/>
        </w:rPr>
        <w:t xml:space="preserve"> elitist approach to the state. </w:t>
      </w:r>
      <w:r w:rsidR="00853889">
        <w:rPr>
          <w:rFonts w:hint="eastAsia"/>
        </w:rPr>
        <w:t>Th</w:t>
      </w:r>
      <w:r w:rsidR="00853889">
        <w:t xml:space="preserve">is thesis’ approach to </w:t>
      </w:r>
      <w:r w:rsidR="00853889">
        <w:rPr>
          <w:rFonts w:hint="eastAsia"/>
        </w:rPr>
        <w:t xml:space="preserve">power starts from </w:t>
      </w:r>
      <w:r w:rsidR="00480EBD">
        <w:rPr>
          <w:rFonts w:hint="eastAsia"/>
          <w:lang w:eastAsia="ja-JP"/>
        </w:rPr>
        <w:t xml:space="preserve">a </w:t>
      </w:r>
      <w:r w:rsidR="00853889">
        <w:rPr>
          <w:rFonts w:hint="eastAsia"/>
        </w:rPr>
        <w:t>state reconstitutive position with asymmetric power relations focusing on the state at a macro level. T</w:t>
      </w:r>
      <w:r w:rsidR="00853889">
        <w:t>h</w:t>
      </w:r>
      <w:r w:rsidR="00853889">
        <w:rPr>
          <w:rFonts w:hint="eastAsia"/>
        </w:rPr>
        <w:t xml:space="preserve">is position employs the view that the state is a collective organisation with the ability to </w:t>
      </w:r>
      <w:r w:rsidR="003E7288">
        <w:t xml:space="preserve">largely </w:t>
      </w:r>
      <w:r w:rsidR="00853889">
        <w:rPr>
          <w:rFonts w:hint="eastAsia"/>
        </w:rPr>
        <w:t xml:space="preserve">control what occurs within its </w:t>
      </w:r>
      <w:r w:rsidR="00853889">
        <w:t>territory</w:t>
      </w:r>
      <w:r w:rsidR="00853889">
        <w:rPr>
          <w:rFonts w:hint="eastAsia"/>
        </w:rPr>
        <w:t>.</w:t>
      </w:r>
      <w:r w:rsidR="00480EBD">
        <w:rPr>
          <w:rFonts w:hint="eastAsia"/>
          <w:lang w:eastAsia="ja-JP"/>
        </w:rPr>
        <w:t xml:space="preserve"> This perspective is explained by Smith (2009 p.61) in the following: </w:t>
      </w:r>
      <w:r w:rsidR="00853889">
        <w:t>‘H</w:t>
      </w:r>
      <w:r w:rsidR="00853889">
        <w:rPr>
          <w:rFonts w:hint="eastAsia"/>
        </w:rPr>
        <w:t xml:space="preserve">aving control of financial, military and bureaucratic resources, states are able to exercise power in ways that are </w:t>
      </w:r>
      <w:r w:rsidR="00853889">
        <w:t>unavailable</w:t>
      </w:r>
      <w:r w:rsidR="00853889">
        <w:rPr>
          <w:rFonts w:hint="eastAsia"/>
        </w:rPr>
        <w:t xml:space="preserve"> to other groups in society</w:t>
      </w:r>
      <w:r w:rsidR="00853889">
        <w:t>…</w:t>
      </w:r>
      <w:r w:rsidR="00853889">
        <w:rPr>
          <w:rFonts w:hint="eastAsia"/>
        </w:rPr>
        <w:t>Elitist theories therefore locate power within the state in terms of the resources that are available to transform societies</w:t>
      </w:r>
      <w:r w:rsidR="00853889">
        <w:t>’</w:t>
      </w:r>
      <w:r w:rsidR="00853889">
        <w:rPr>
          <w:rFonts w:hint="eastAsia"/>
        </w:rPr>
        <w:t xml:space="preserve">. </w:t>
      </w:r>
      <w:r w:rsidR="00F13AF8">
        <w:rPr>
          <w:rFonts w:hint="eastAsia"/>
          <w:lang w:eastAsia="ja-JP"/>
        </w:rPr>
        <w:t>Concurring with Smith</w:t>
      </w:r>
      <w:r w:rsidR="00F13AF8">
        <w:rPr>
          <w:lang w:eastAsia="ja-JP"/>
        </w:rPr>
        <w:t>’</w:t>
      </w:r>
      <w:r w:rsidR="00F13AF8">
        <w:rPr>
          <w:rFonts w:hint="eastAsia"/>
          <w:lang w:eastAsia="ja-JP"/>
        </w:rPr>
        <w:t xml:space="preserve">s (2009) </w:t>
      </w:r>
      <w:r w:rsidR="00F13AF8">
        <w:rPr>
          <w:lang w:eastAsia="ja-JP"/>
        </w:rPr>
        <w:t>perspective</w:t>
      </w:r>
      <w:r w:rsidR="00F13AF8">
        <w:rPr>
          <w:rFonts w:hint="eastAsia"/>
          <w:lang w:eastAsia="ja-JP"/>
        </w:rPr>
        <w:t xml:space="preserve"> with</w:t>
      </w:r>
      <w:r w:rsidR="006335B7">
        <w:rPr>
          <w:rFonts w:hint="eastAsia"/>
          <w:lang w:eastAsia="ja-JP"/>
        </w:rPr>
        <w:t xml:space="preserve"> the advantage</w:t>
      </w:r>
      <w:r w:rsidR="00F13AF8">
        <w:rPr>
          <w:rFonts w:hint="eastAsia"/>
          <w:lang w:eastAsia="ja-JP"/>
        </w:rPr>
        <w:t>s</w:t>
      </w:r>
      <w:r w:rsidR="006335B7">
        <w:rPr>
          <w:rFonts w:hint="eastAsia"/>
          <w:lang w:eastAsia="ja-JP"/>
        </w:rPr>
        <w:t xml:space="preserve"> of an elitist position summaris</w:t>
      </w:r>
      <w:r w:rsidR="00F13AF8">
        <w:rPr>
          <w:rFonts w:hint="eastAsia"/>
          <w:lang w:eastAsia="ja-JP"/>
        </w:rPr>
        <w:t>ed in Table 4.</w:t>
      </w:r>
      <w:r w:rsidR="00151346">
        <w:rPr>
          <w:rFonts w:hint="eastAsia"/>
          <w:lang w:eastAsia="ja-JP"/>
        </w:rPr>
        <w:t>1</w:t>
      </w:r>
      <w:r w:rsidR="00F13AF8">
        <w:rPr>
          <w:rFonts w:hint="eastAsia"/>
          <w:lang w:eastAsia="ja-JP"/>
        </w:rPr>
        <w:t>, the approach of this thesis views the state as the locus of power, with its asymmetric dominance based on the government</w:t>
      </w:r>
      <w:r w:rsidR="00F13AF8">
        <w:rPr>
          <w:lang w:eastAsia="ja-JP"/>
        </w:rPr>
        <w:t>’</w:t>
      </w:r>
      <w:r w:rsidR="00F13AF8">
        <w:rPr>
          <w:rFonts w:hint="eastAsia"/>
          <w:lang w:eastAsia="ja-JP"/>
        </w:rPr>
        <w:t>s unique resources (</w:t>
      </w:r>
      <w:r w:rsidR="00715153">
        <w:rPr>
          <w:rFonts w:hint="eastAsia"/>
          <w:lang w:eastAsia="ja-JP"/>
        </w:rPr>
        <w:t xml:space="preserve">e.g. </w:t>
      </w:r>
      <w:r w:rsidR="00715153">
        <w:t>force, legitimacy, state bureaucracy tax-raising powers and legislation</w:t>
      </w:r>
      <w:r w:rsidR="00715153">
        <w:rPr>
          <w:rFonts w:hint="eastAsia"/>
          <w:lang w:eastAsia="ja-JP"/>
        </w:rPr>
        <w:t>)</w:t>
      </w:r>
      <w:r w:rsidR="00F13AF8">
        <w:rPr>
          <w:rFonts w:hint="eastAsia"/>
          <w:lang w:eastAsia="ja-JP"/>
        </w:rPr>
        <w:t xml:space="preserve"> in relation to society.</w:t>
      </w:r>
      <w:r w:rsidR="006335B7">
        <w:rPr>
          <w:rFonts w:hint="eastAsia"/>
          <w:lang w:eastAsia="ja-JP"/>
        </w:rPr>
        <w:t xml:space="preserve"> </w:t>
      </w:r>
    </w:p>
    <w:p w14:paraId="1F6A6C2E" w14:textId="77777777" w:rsidR="00151346" w:rsidRDefault="00151346" w:rsidP="00853889">
      <w:pPr>
        <w:ind w:firstLine="284"/>
        <w:rPr>
          <w:lang w:eastAsia="ja-JP"/>
        </w:rPr>
      </w:pPr>
    </w:p>
    <w:p w14:paraId="50C4D203" w14:textId="77777777" w:rsidR="00151346" w:rsidRPr="00151346" w:rsidRDefault="00151346" w:rsidP="00151346">
      <w:pPr>
        <w:pStyle w:val="Heading4"/>
        <w:rPr>
          <w:lang w:eastAsia="ja-JP"/>
        </w:rPr>
      </w:pPr>
      <w:r>
        <w:rPr>
          <w:rFonts w:hint="eastAsia"/>
          <w:lang w:eastAsia="ja-JP"/>
        </w:rPr>
        <w:t>Table 4.1: The merits of an elitist position in analysing the state and power (Smith 2009 p.63)</w:t>
      </w:r>
    </w:p>
    <w:tbl>
      <w:tblPr>
        <w:tblStyle w:val="TableGrid"/>
        <w:tblW w:w="0" w:type="auto"/>
        <w:tblLook w:val="04A0" w:firstRow="1" w:lastRow="0" w:firstColumn="1" w:lastColumn="0" w:noHBand="0" w:noVBand="1"/>
      </w:tblPr>
      <w:tblGrid>
        <w:gridCol w:w="8720"/>
      </w:tblGrid>
      <w:tr w:rsidR="00151346" w14:paraId="070EBC33" w14:textId="77777777" w:rsidTr="00151346">
        <w:tc>
          <w:tcPr>
            <w:tcW w:w="9286" w:type="dxa"/>
          </w:tcPr>
          <w:p w14:paraId="29B9AADD" w14:textId="77777777" w:rsidR="00151346" w:rsidRDefault="00151346" w:rsidP="00151346">
            <w:pPr>
              <w:pStyle w:val="NoSpacing"/>
              <w:ind w:left="284"/>
            </w:pPr>
          </w:p>
          <w:p w14:paraId="52DC97BB" w14:textId="77777777" w:rsidR="00151346" w:rsidRPr="0087361C" w:rsidRDefault="00151346" w:rsidP="00151346">
            <w:pPr>
              <w:pStyle w:val="NoSpacing"/>
              <w:numPr>
                <w:ilvl w:val="0"/>
                <w:numId w:val="75"/>
              </w:numPr>
              <w:ind w:left="284" w:hanging="284"/>
            </w:pPr>
            <w:r>
              <w:rPr>
                <w:rFonts w:hint="eastAsia"/>
              </w:rPr>
              <w:t>it c</w:t>
            </w:r>
            <w:r w:rsidRPr="0087361C">
              <w:t>o</w:t>
            </w:r>
            <w:r w:rsidRPr="0087361C">
              <w:rPr>
                <w:rFonts w:hint="eastAsia"/>
              </w:rPr>
              <w:t>ncern</w:t>
            </w:r>
            <w:r>
              <w:t>s</w:t>
            </w:r>
            <w:r w:rsidRPr="0087361C">
              <w:rPr>
                <w:rFonts w:hint="eastAsia"/>
              </w:rPr>
              <w:t xml:space="preserve"> the role of the state in organising and controlling modern societies, </w:t>
            </w:r>
            <w:r>
              <w:rPr>
                <w:rFonts w:hint="eastAsia"/>
              </w:rPr>
              <w:t>taking</w:t>
            </w:r>
            <w:r w:rsidRPr="0087361C">
              <w:rPr>
                <w:rFonts w:hint="eastAsia"/>
              </w:rPr>
              <w:t xml:space="preserve"> the state seriously as a site of power;</w:t>
            </w:r>
          </w:p>
          <w:p w14:paraId="73B5CAA8" w14:textId="77777777" w:rsidR="00151346" w:rsidRPr="0087361C" w:rsidRDefault="00151346" w:rsidP="00151346">
            <w:pPr>
              <w:pStyle w:val="NoSpacing"/>
              <w:numPr>
                <w:ilvl w:val="0"/>
                <w:numId w:val="75"/>
              </w:numPr>
              <w:ind w:left="284" w:hanging="284"/>
            </w:pPr>
            <w:r>
              <w:rPr>
                <w:rFonts w:hint="eastAsia"/>
              </w:rPr>
              <w:t>it r</w:t>
            </w:r>
            <w:r w:rsidRPr="0087361C">
              <w:rPr>
                <w:rFonts w:hint="eastAsia"/>
              </w:rPr>
              <w:t>egard</w:t>
            </w:r>
            <w:r>
              <w:t>s</w:t>
            </w:r>
            <w:r w:rsidRPr="0087361C">
              <w:rPr>
                <w:rFonts w:hint="eastAsia"/>
              </w:rPr>
              <w:t xml:space="preserve"> the state as a distinctive set of organisations, focus</w:t>
            </w:r>
            <w:r>
              <w:rPr>
                <w:rFonts w:hint="eastAsia"/>
              </w:rPr>
              <w:t>ing</w:t>
            </w:r>
            <w:r w:rsidRPr="0087361C">
              <w:rPr>
                <w:rFonts w:hint="eastAsia"/>
              </w:rPr>
              <w:t xml:space="preserve"> on the resources available to the state at achieving goals; and</w:t>
            </w:r>
          </w:p>
          <w:p w14:paraId="202C7430" w14:textId="77777777" w:rsidR="00151346" w:rsidRPr="0087361C" w:rsidRDefault="00151346" w:rsidP="00151346">
            <w:pPr>
              <w:pStyle w:val="NoSpacing"/>
              <w:numPr>
                <w:ilvl w:val="0"/>
                <w:numId w:val="75"/>
              </w:numPr>
              <w:ind w:left="284" w:hanging="284"/>
            </w:pPr>
            <w:r>
              <w:rPr>
                <w:rFonts w:hint="eastAsia"/>
              </w:rPr>
              <w:t>it sees</w:t>
            </w:r>
            <w:r w:rsidRPr="0087361C">
              <w:rPr>
                <w:rFonts w:hint="eastAsia"/>
              </w:rPr>
              <w:t xml:space="preserve"> the state or state actors as having distinct interests that may be independent from the interests of other societal actors.</w:t>
            </w:r>
          </w:p>
          <w:p w14:paraId="6472114E" w14:textId="77777777" w:rsidR="00151346" w:rsidRDefault="00151346" w:rsidP="00151346">
            <w:pPr>
              <w:pStyle w:val="NoSpacing"/>
              <w:ind w:left="284" w:hanging="284"/>
            </w:pPr>
          </w:p>
        </w:tc>
      </w:tr>
    </w:tbl>
    <w:p w14:paraId="5B56A25A" w14:textId="77777777" w:rsidR="00853889" w:rsidRDefault="00853889" w:rsidP="0024471C">
      <w:pPr>
        <w:ind w:firstLineChars="122" w:firstLine="277"/>
      </w:pPr>
    </w:p>
    <w:p w14:paraId="259F4EE2" w14:textId="77777777" w:rsidR="00853889" w:rsidRDefault="00853889" w:rsidP="0024471C">
      <w:pPr>
        <w:ind w:firstLineChars="122" w:firstLine="277"/>
      </w:pPr>
      <w:r>
        <w:t>An elitist research approach focusing on the state at a macro level</w:t>
      </w:r>
      <w:r>
        <w:rPr>
          <w:rFonts w:hint="eastAsia"/>
        </w:rPr>
        <w:t xml:space="preserve"> </w:t>
      </w:r>
      <w:r w:rsidR="009D4976">
        <w:rPr>
          <w:rFonts w:hint="eastAsia"/>
          <w:lang w:eastAsia="ja-JP"/>
        </w:rPr>
        <w:t xml:space="preserve">in this thesis </w:t>
      </w:r>
      <w:r>
        <w:rPr>
          <w:rFonts w:hint="eastAsia"/>
        </w:rPr>
        <w:t>is underpinned by a f</w:t>
      </w:r>
      <w:r>
        <w:t>oundationalist view</w:t>
      </w:r>
      <w:r>
        <w:rPr>
          <w:rStyle w:val="FootnoteReference"/>
        </w:rPr>
        <w:footnoteReference w:id="38"/>
      </w:r>
      <w:r>
        <w:rPr>
          <w:rFonts w:hint="eastAsia"/>
        </w:rPr>
        <w:t xml:space="preserve"> akin to that adopted by critical realism. An anti-</w:t>
      </w:r>
      <w:r w:rsidR="00C25AB6">
        <w:t>foundationalist</w:t>
      </w:r>
      <w:r>
        <w:rPr>
          <w:rFonts w:hint="eastAsia"/>
        </w:rPr>
        <w:t xml:space="preserve"> position sees power </w:t>
      </w:r>
      <w:r>
        <w:t xml:space="preserve">socially constructed, </w:t>
      </w:r>
      <w:r>
        <w:rPr>
          <w:rFonts w:hint="eastAsia"/>
        </w:rPr>
        <w:t>dispersed and exist</w:t>
      </w:r>
      <w:r w:rsidR="00C25AB6">
        <w:t>ing</w:t>
      </w:r>
      <w:r>
        <w:rPr>
          <w:rFonts w:hint="eastAsia"/>
        </w:rPr>
        <w:t xml:space="preserve"> in all types of relationships, not solely </w:t>
      </w:r>
      <w:r>
        <w:t>possessed</w:t>
      </w:r>
      <w:r>
        <w:rPr>
          <w:rFonts w:hint="eastAsia"/>
        </w:rPr>
        <w:t xml:space="preserve"> by containers such as the state</w:t>
      </w:r>
      <w:r>
        <w:t xml:space="preserve"> (Smith 2009 p.68)</w:t>
      </w:r>
      <w:r>
        <w:rPr>
          <w:rFonts w:hint="eastAsia"/>
        </w:rPr>
        <w:t>; such a position prevents treating the state as a site of power.</w:t>
      </w:r>
      <w:r>
        <w:t xml:space="preserve"> Together with its ontological perspective, the fou</w:t>
      </w:r>
      <w:r w:rsidR="00361196">
        <w:t>n</w:t>
      </w:r>
      <w:r>
        <w:t xml:space="preserve">dationalist position of this research shapes the basis of its epistemological </w:t>
      </w:r>
      <w:r>
        <w:rPr>
          <w:rFonts w:hint="eastAsia"/>
        </w:rPr>
        <w:t>position</w:t>
      </w:r>
      <w:r>
        <w:t xml:space="preserve">. </w:t>
      </w:r>
    </w:p>
    <w:p w14:paraId="6BA1F510" w14:textId="77777777" w:rsidR="00853889" w:rsidRDefault="00853889" w:rsidP="00853889">
      <w:pPr>
        <w:ind w:firstLine="284"/>
      </w:pPr>
      <w:r>
        <w:rPr>
          <w:rFonts w:hint="eastAsia"/>
        </w:rPr>
        <w:t xml:space="preserve">An epistemological position, which is defined by Blaikie (2007 p.4) as </w:t>
      </w:r>
      <w:r>
        <w:t>‘ways of answering the question: “(h)ow can social reality be known?”’</w:t>
      </w:r>
      <w:r>
        <w:rPr>
          <w:rFonts w:hint="eastAsia"/>
        </w:rPr>
        <w:t>, is vital for a thesis to design its research</w:t>
      </w:r>
      <w:r>
        <w:t>. According to Hay (2002 p.63):</w:t>
      </w:r>
    </w:p>
    <w:p w14:paraId="3F435329" w14:textId="77777777" w:rsidR="00853889" w:rsidRDefault="00853889" w:rsidP="00853889">
      <w:pPr>
        <w:ind w:firstLine="284"/>
      </w:pPr>
    </w:p>
    <w:p w14:paraId="14DA188D" w14:textId="77777777" w:rsidR="00495655" w:rsidRDefault="00853889" w:rsidP="005B18BE">
      <w:pPr>
        <w:pStyle w:val="Quote"/>
      </w:pPr>
      <w:r>
        <w:t>Epistemology concerns itself with such issues as the degree of certainty we might legitimately claim for the conclusions we are tempted to draw from our analyses, the extent to which specific knowledge claims might be generalised beyond the immediate context in which our observations were made, and in general terms, how we might adjudicate and defend a preference between contending political explanation.</w:t>
      </w:r>
    </w:p>
    <w:p w14:paraId="0DEC85BC" w14:textId="77777777" w:rsidR="00853889" w:rsidRDefault="00853889" w:rsidP="00853889">
      <w:pPr>
        <w:ind w:firstLine="284"/>
      </w:pPr>
    </w:p>
    <w:p w14:paraId="45D32CBA" w14:textId="77777777" w:rsidR="00853889" w:rsidRDefault="00853889" w:rsidP="00853889">
      <w:r>
        <w:t>Among the typology proposed by the research method literature, Grix (2010</w:t>
      </w:r>
      <w:r w:rsidRPr="00DE7D10">
        <w:t xml:space="preserve"> </w:t>
      </w:r>
      <w:r>
        <w:t>pp.77-100) highlights three key ‘research paradigms’ (epistemological positions) in social sciences disciplines: positivism, interpretivism, and post-positivism (critical realism). Although these paradigms are not exhaustive and often overlap each other, this set of ‘metatheory’ helps a thesis to establish a clear connection between the ontological and epistemological starting points (Grix 2010 p.79).</w:t>
      </w:r>
    </w:p>
    <w:p w14:paraId="5167B496" w14:textId="77777777" w:rsidR="00853889" w:rsidRPr="00225CF0" w:rsidRDefault="00853889" w:rsidP="001B6C05">
      <w:pPr>
        <w:pStyle w:val="ListParagraph"/>
        <w:widowControl w:val="0"/>
        <w:numPr>
          <w:ilvl w:val="0"/>
          <w:numId w:val="30"/>
        </w:numPr>
        <w:ind w:left="284" w:hanging="284"/>
        <w:contextualSpacing w:val="0"/>
      </w:pPr>
      <w:r w:rsidRPr="00EE00E8">
        <w:t>Positivism, which has been dominant in social sciences since the 1930s, assumes that: ‘there is</w:t>
      </w:r>
      <w:r w:rsidRPr="00225CF0">
        <w:t xml:space="preserve"> no dichotomy between what we see (appearance) and how things really are (‘reality’) and that the world is real and neither mediated by our senses nor socially constructed’ (Grix 2004 p.81)</w:t>
      </w:r>
      <w:r>
        <w:t>. In its view</w:t>
      </w:r>
      <w:r w:rsidRPr="00225CF0">
        <w:t xml:space="preserve"> researchers are value neutral based on empirical theory in the production of knowledge (Grix 2004 p.81).</w:t>
      </w:r>
    </w:p>
    <w:p w14:paraId="1287B03E" w14:textId="11B71936" w:rsidR="00853889" w:rsidRPr="00225CF0" w:rsidRDefault="00853889" w:rsidP="001B6C05">
      <w:pPr>
        <w:pStyle w:val="ListParagraph"/>
        <w:widowControl w:val="0"/>
        <w:numPr>
          <w:ilvl w:val="0"/>
          <w:numId w:val="30"/>
        </w:numPr>
        <w:ind w:left="284" w:hanging="284"/>
        <w:contextualSpacing w:val="0"/>
      </w:pPr>
      <w:r w:rsidRPr="00084157">
        <w:t>Interpretivism is the paradigm which recognises a clear distinction between the natural and the</w:t>
      </w:r>
      <w:r w:rsidRPr="00225CF0">
        <w:t xml:space="preserve"> social world </w:t>
      </w:r>
      <w:r>
        <w:rPr>
          <w:rFonts w:hint="eastAsia"/>
        </w:rPr>
        <w:t>based on anti</w:t>
      </w:r>
      <w:r>
        <w:t>-</w:t>
      </w:r>
      <w:r>
        <w:rPr>
          <w:rFonts w:hint="eastAsia"/>
        </w:rPr>
        <w:t>fou</w:t>
      </w:r>
      <w:r>
        <w:t>n</w:t>
      </w:r>
      <w:r>
        <w:rPr>
          <w:rFonts w:hint="eastAsia"/>
        </w:rPr>
        <w:t xml:space="preserve">dationalist epistemology </w:t>
      </w:r>
      <w:r w:rsidRPr="00225CF0">
        <w:t>(Grix 2004 p</w:t>
      </w:r>
      <w:r>
        <w:rPr>
          <w:rFonts w:hint="eastAsia"/>
        </w:rPr>
        <w:t>p</w:t>
      </w:r>
      <w:r w:rsidRPr="00225CF0">
        <w:t>.82</w:t>
      </w:r>
      <w:r>
        <w:rPr>
          <w:rFonts w:hint="eastAsia"/>
        </w:rPr>
        <w:t>-4</w:t>
      </w:r>
      <w:r w:rsidRPr="00225CF0">
        <w:t>)</w:t>
      </w:r>
      <w:r>
        <w:t xml:space="preserve">. </w:t>
      </w:r>
      <w:r>
        <w:rPr>
          <w:rFonts w:hint="eastAsia"/>
        </w:rPr>
        <w:t xml:space="preserve">In its view an objective or value free analysis is impossible because researchers are inextricably part of the social reality being researched (Grix 2010 p.84). Rather, interpretivism </w:t>
      </w:r>
      <w:r>
        <w:t xml:space="preserve">regards </w:t>
      </w:r>
      <w:r>
        <w:rPr>
          <w:rFonts w:hint="eastAsia"/>
        </w:rPr>
        <w:t>g</w:t>
      </w:r>
      <w:r w:rsidR="003274D5">
        <w:t>r</w:t>
      </w:r>
      <w:r>
        <w:t xml:space="preserve">asping the relevant meanings as vital for understanding human affairs properly (Bevir and Rhodes 2002 p.131). </w:t>
      </w:r>
      <w:r>
        <w:rPr>
          <w:rFonts w:hint="eastAsia"/>
        </w:rPr>
        <w:t xml:space="preserve">Such a perspective leads </w:t>
      </w:r>
      <w:r w:rsidR="00FA6A07">
        <w:t>interpretivis</w:t>
      </w:r>
      <w:r w:rsidR="00E469B8">
        <w:t>t</w:t>
      </w:r>
      <w:r>
        <w:rPr>
          <w:rFonts w:hint="eastAsia"/>
        </w:rPr>
        <w:t xml:space="preserve"> researchers to employ </w:t>
      </w:r>
      <w:r w:rsidRPr="00225CF0">
        <w:t xml:space="preserve">a methodology and methods of gathering data that are more in tune with the studied subjects. </w:t>
      </w:r>
      <w:r>
        <w:rPr>
          <w:rFonts w:hint="eastAsia"/>
        </w:rPr>
        <w:t xml:space="preserve">It is </w:t>
      </w:r>
      <w:r>
        <w:t xml:space="preserve">in many ways </w:t>
      </w:r>
      <w:r>
        <w:rPr>
          <w:rFonts w:hint="eastAsia"/>
        </w:rPr>
        <w:t xml:space="preserve">the </w:t>
      </w:r>
      <w:r>
        <w:t xml:space="preserve">antithesis of </w:t>
      </w:r>
      <w:r w:rsidRPr="00225CF0">
        <w:t>positivism</w:t>
      </w:r>
      <w:r>
        <w:rPr>
          <w:rFonts w:hint="eastAsia"/>
        </w:rPr>
        <w:t xml:space="preserve">; </w:t>
      </w:r>
      <w:r w:rsidRPr="00225CF0">
        <w:t xml:space="preserve">researchers cannot combine an approach </w:t>
      </w:r>
      <w:r>
        <w:rPr>
          <w:rFonts w:hint="eastAsia"/>
        </w:rPr>
        <w:t xml:space="preserve">drawn from </w:t>
      </w:r>
      <w:r w:rsidRPr="00225CF0">
        <w:t xml:space="preserve">both positivist and interpretivist paradigms, </w:t>
      </w:r>
      <w:r>
        <w:rPr>
          <w:rFonts w:hint="eastAsia"/>
        </w:rPr>
        <w:t>because</w:t>
      </w:r>
      <w:r w:rsidRPr="00225CF0">
        <w:t xml:space="preserve"> </w:t>
      </w:r>
      <w:r>
        <w:rPr>
          <w:rFonts w:hint="eastAsia"/>
        </w:rPr>
        <w:t xml:space="preserve">the </w:t>
      </w:r>
      <w:r w:rsidRPr="00225CF0">
        <w:t>fundam</w:t>
      </w:r>
      <w:r>
        <w:t>ental assumptions underlying th</w:t>
      </w:r>
      <w:r>
        <w:rPr>
          <w:rFonts w:hint="eastAsia"/>
        </w:rPr>
        <w:t>ese two para</w:t>
      </w:r>
      <w:r w:rsidRPr="00225CF0">
        <w:t>digms are logically incompatible (Grix 2004 p.83).</w:t>
      </w:r>
    </w:p>
    <w:p w14:paraId="7A80F484" w14:textId="384EE2CB" w:rsidR="00853889" w:rsidRPr="00225CF0" w:rsidRDefault="00853889" w:rsidP="001B6C05">
      <w:pPr>
        <w:pStyle w:val="ListParagraph"/>
        <w:widowControl w:val="0"/>
        <w:numPr>
          <w:ilvl w:val="0"/>
          <w:numId w:val="30"/>
        </w:numPr>
        <w:ind w:left="284" w:hanging="284"/>
        <w:contextualSpacing w:val="0"/>
      </w:pPr>
      <w:r w:rsidRPr="00225CF0">
        <w:t xml:space="preserve">Critical realism attempts to ‘combine the “how” (understanding – which is linked to interpretivism) and the “why” (explanation – which is linked to positivism) approaches by bridging the gap between </w:t>
      </w:r>
      <w:r>
        <w:t xml:space="preserve">the two extremes: positivism and </w:t>
      </w:r>
      <w:r w:rsidR="00FA6A07">
        <w:t>interpretivism</w:t>
      </w:r>
      <w:r>
        <w:t xml:space="preserve"> (Grix 2004 p.85</w:t>
      </w:r>
      <w:r w:rsidRPr="00225CF0">
        <w:t xml:space="preserve">). </w:t>
      </w:r>
      <w:r>
        <w:t xml:space="preserve">Drawn </w:t>
      </w:r>
      <w:r w:rsidRPr="00225CF0">
        <w:t xml:space="preserve">from </w:t>
      </w:r>
      <w:r>
        <w:t>a</w:t>
      </w:r>
      <w:r w:rsidRPr="00225CF0">
        <w:t xml:space="preserve"> critique </w:t>
      </w:r>
      <w:r>
        <w:t>of</w:t>
      </w:r>
      <w:r w:rsidRPr="00225CF0">
        <w:t xml:space="preserve"> positivism</w:t>
      </w:r>
      <w:r>
        <w:t xml:space="preserve">, it is based on foundationalism with the premise that </w:t>
      </w:r>
      <w:r w:rsidRPr="00225CF0">
        <w:t xml:space="preserve">the interpretation and understanding of social phenomena affect research outcomes while social phenomena exist independently of the interpretation (Danermark et al. 2002 (1997) </w:t>
      </w:r>
      <w:r>
        <w:t xml:space="preserve">p.4, </w:t>
      </w:r>
      <w:r w:rsidRPr="00225CF0">
        <w:t xml:space="preserve">p.20, p.39, Marsh and Furlong 2002 p.31). </w:t>
      </w:r>
      <w:r>
        <w:t>In its view i</w:t>
      </w:r>
      <w:r w:rsidRPr="00225CF0">
        <w:t>dentifying and understanding both the external ‘reality’ and the social construction of that ‘reality’ are necessary to explain the relationships between social phenomena (Marsh and Furlong 2002 p.31).</w:t>
      </w:r>
      <w:r>
        <w:t xml:space="preserve"> The key characteristics of critical realism are</w:t>
      </w:r>
      <w:r w:rsidR="003E7288">
        <w:t xml:space="preserve"> outlined</w:t>
      </w:r>
      <w:r>
        <w:t xml:space="preserve"> in Table </w:t>
      </w:r>
      <w:r>
        <w:rPr>
          <w:rFonts w:hint="eastAsia"/>
        </w:rPr>
        <w:t>4</w:t>
      </w:r>
      <w:r>
        <w:t>.</w:t>
      </w:r>
      <w:r w:rsidR="009D4976">
        <w:rPr>
          <w:rFonts w:hint="eastAsia"/>
        </w:rPr>
        <w:t>2</w:t>
      </w:r>
      <w:r>
        <w:t>.</w:t>
      </w:r>
    </w:p>
    <w:p w14:paraId="40315C6C" w14:textId="77777777" w:rsidR="00853889" w:rsidRPr="00D21E5D" w:rsidRDefault="00853889" w:rsidP="00853889">
      <w:pPr>
        <w:ind w:firstLine="284"/>
      </w:pPr>
    </w:p>
    <w:p w14:paraId="40B36770" w14:textId="77777777" w:rsidR="00853889" w:rsidRPr="001628E7" w:rsidRDefault="00853889" w:rsidP="00DA2E02">
      <w:pPr>
        <w:pStyle w:val="Heading4"/>
      </w:pPr>
      <w:r w:rsidRPr="001628E7">
        <w:t xml:space="preserve">Table </w:t>
      </w:r>
      <w:r w:rsidRPr="001628E7">
        <w:rPr>
          <w:rFonts w:hint="eastAsia"/>
        </w:rPr>
        <w:t>4</w:t>
      </w:r>
      <w:r w:rsidRPr="001628E7">
        <w:t>.</w:t>
      </w:r>
      <w:r w:rsidR="009D4976">
        <w:rPr>
          <w:rFonts w:hint="eastAsia"/>
          <w:lang w:eastAsia="ja-JP"/>
        </w:rPr>
        <w:t>2</w:t>
      </w:r>
      <w:r w:rsidRPr="001628E7">
        <w:t>: The key characteristics of critical realism (Grix 2004 p.86)</w:t>
      </w:r>
    </w:p>
    <w:p w14:paraId="3D94031D" w14:textId="77777777" w:rsidR="00853889" w:rsidRPr="001628E7" w:rsidRDefault="00853889" w:rsidP="00853889">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2"/>
      </w:tblGrid>
      <w:tr w:rsidR="00853889" w:rsidRPr="00FB6BE4" w14:paraId="7A24D702" w14:textId="77777777" w:rsidTr="00FF685A">
        <w:tc>
          <w:tcPr>
            <w:tcW w:w="9160" w:type="dxa"/>
          </w:tcPr>
          <w:p w14:paraId="724837B0" w14:textId="77777777" w:rsidR="00853889" w:rsidRPr="00FB6BE4" w:rsidRDefault="00853889" w:rsidP="00FF685A">
            <w:pPr>
              <w:pStyle w:val="NoSpacing"/>
            </w:pPr>
          </w:p>
          <w:p w14:paraId="578D5811" w14:textId="77777777" w:rsidR="00853889" w:rsidRDefault="00853889" w:rsidP="003C5929">
            <w:pPr>
              <w:pStyle w:val="NoSpacing"/>
              <w:widowControl w:val="0"/>
              <w:numPr>
                <w:ilvl w:val="0"/>
                <w:numId w:val="38"/>
              </w:numPr>
              <w:ind w:left="318" w:hanging="318"/>
            </w:pPr>
            <w:r w:rsidRPr="00FB6BE4">
              <w:t>Critical realism straddles both the positivist and interpretivist paradigms, sharing a foundationalist ontology with positivism and allowing for interpretation in research.</w:t>
            </w:r>
          </w:p>
          <w:p w14:paraId="64786B33" w14:textId="77777777" w:rsidR="00853889" w:rsidRPr="00FB6BE4" w:rsidRDefault="00853889" w:rsidP="003C5929">
            <w:pPr>
              <w:pStyle w:val="NoSpacing"/>
              <w:ind w:left="318" w:hanging="318"/>
            </w:pPr>
          </w:p>
          <w:p w14:paraId="7AB57A5C" w14:textId="77777777" w:rsidR="00853889" w:rsidRDefault="00853889" w:rsidP="003C5929">
            <w:pPr>
              <w:pStyle w:val="NoSpacing"/>
              <w:widowControl w:val="0"/>
              <w:numPr>
                <w:ilvl w:val="0"/>
                <w:numId w:val="38"/>
              </w:numPr>
              <w:ind w:left="318" w:hanging="318"/>
            </w:pPr>
            <w:r w:rsidRPr="00FB6BE4">
              <w:t>In the critical realism paradigm, while social science can use the same methods as natural science regarding causal explanation (in line with positivism), it also needs to move away from them by adopting an interpretive understanding.</w:t>
            </w:r>
          </w:p>
          <w:p w14:paraId="1F241EC6" w14:textId="77777777" w:rsidR="00853889" w:rsidRPr="00FB6BE4" w:rsidRDefault="00853889" w:rsidP="003C5929">
            <w:pPr>
              <w:pStyle w:val="NoSpacing"/>
              <w:ind w:left="318" w:hanging="318"/>
            </w:pPr>
          </w:p>
          <w:p w14:paraId="47BD5571" w14:textId="77777777" w:rsidR="00853889" w:rsidRDefault="00853889" w:rsidP="003C5929">
            <w:pPr>
              <w:pStyle w:val="NoSpacing"/>
              <w:widowControl w:val="0"/>
              <w:numPr>
                <w:ilvl w:val="0"/>
                <w:numId w:val="38"/>
              </w:numPr>
              <w:ind w:left="318" w:hanging="318"/>
            </w:pPr>
            <w:r w:rsidRPr="00FB6BE4">
              <w:t>Critical realists, unlike interpretivists, generally seek not only to understand but also to explain the social world.</w:t>
            </w:r>
          </w:p>
          <w:p w14:paraId="45839CC7" w14:textId="77777777" w:rsidR="00853889" w:rsidRPr="00FB6BE4" w:rsidRDefault="00853889" w:rsidP="003C5929">
            <w:pPr>
              <w:pStyle w:val="NoSpacing"/>
              <w:ind w:left="318" w:hanging="318"/>
            </w:pPr>
          </w:p>
          <w:p w14:paraId="65225821" w14:textId="77777777" w:rsidR="00853889" w:rsidRDefault="00853889" w:rsidP="003C5929">
            <w:pPr>
              <w:pStyle w:val="NoSpacing"/>
              <w:widowControl w:val="0"/>
              <w:numPr>
                <w:ilvl w:val="0"/>
                <w:numId w:val="38"/>
              </w:numPr>
              <w:ind w:left="318" w:hanging="318"/>
            </w:pPr>
            <w:r w:rsidRPr="00FB6BE4">
              <w:t>Critical realism conceives of social change and conflict in society as not always apparent or observable.</w:t>
            </w:r>
          </w:p>
          <w:p w14:paraId="719BE205" w14:textId="77777777" w:rsidR="00853889" w:rsidRPr="00FB6BE4" w:rsidRDefault="00853889" w:rsidP="003C5929">
            <w:pPr>
              <w:pStyle w:val="NoSpacing"/>
              <w:ind w:left="318" w:hanging="318"/>
            </w:pPr>
          </w:p>
          <w:p w14:paraId="043AD993" w14:textId="77777777" w:rsidR="00853889" w:rsidRDefault="00853889" w:rsidP="003C5929">
            <w:pPr>
              <w:pStyle w:val="NoSpacing"/>
              <w:widowControl w:val="0"/>
              <w:numPr>
                <w:ilvl w:val="0"/>
                <w:numId w:val="38"/>
              </w:numPr>
              <w:ind w:left="318" w:hanging="318"/>
            </w:pPr>
            <w:r w:rsidRPr="00FB6BE4">
              <w:t>Critical realism is based on the ‘structured’ or ‘stratified’ reality which requires a ‘depth ontology’ and the interpretation of causal links not always observable in order to offer a fuller explanation of an event, object, social relations, etc.</w:t>
            </w:r>
          </w:p>
          <w:p w14:paraId="60B98456" w14:textId="77777777" w:rsidR="00853889" w:rsidRPr="00FB6BE4" w:rsidRDefault="00853889" w:rsidP="003C5929">
            <w:pPr>
              <w:pStyle w:val="NoSpacing"/>
              <w:ind w:left="318" w:hanging="318"/>
            </w:pPr>
          </w:p>
          <w:p w14:paraId="4816D053" w14:textId="77777777" w:rsidR="00853889" w:rsidRDefault="00853889" w:rsidP="003C5929">
            <w:pPr>
              <w:pStyle w:val="NoSpacing"/>
              <w:widowControl w:val="0"/>
              <w:numPr>
                <w:ilvl w:val="0"/>
                <w:numId w:val="38"/>
              </w:numPr>
              <w:ind w:left="318" w:hanging="318"/>
            </w:pPr>
            <w:r w:rsidRPr="00FB6BE4">
              <w:t>Critical realism is based on the idea that pre-existing structures affect and are affected by actors.</w:t>
            </w:r>
          </w:p>
          <w:p w14:paraId="2E42EE60" w14:textId="77777777" w:rsidR="00853889" w:rsidRPr="00FB6BE4" w:rsidRDefault="00853889" w:rsidP="003C5929">
            <w:pPr>
              <w:pStyle w:val="NoSpacing"/>
              <w:ind w:left="318" w:hanging="318"/>
            </w:pPr>
          </w:p>
          <w:p w14:paraId="58BF93C4" w14:textId="77777777" w:rsidR="00853889" w:rsidRDefault="00853889" w:rsidP="003C5929">
            <w:pPr>
              <w:pStyle w:val="NoSpacing"/>
              <w:widowControl w:val="0"/>
              <w:numPr>
                <w:ilvl w:val="0"/>
                <w:numId w:val="38"/>
              </w:numPr>
              <w:ind w:left="318" w:hanging="318"/>
            </w:pPr>
            <w:r w:rsidRPr="00FB6BE4">
              <w:t>Critical realism acknowledges that interpretive understanding is an important feature of social sciences. At the same time, it understands that the objects and structures in society have causal powers, and can make causal statements and identify causal mechanisms, in contrast to interpretivists. However, its ‘realist’ idea of causation is different from positivists’.</w:t>
            </w:r>
          </w:p>
          <w:p w14:paraId="4894BD90" w14:textId="77777777" w:rsidR="00853889" w:rsidRDefault="00853889" w:rsidP="003C5929">
            <w:pPr>
              <w:pStyle w:val="NoSpacing"/>
              <w:ind w:left="318" w:hanging="318"/>
            </w:pPr>
          </w:p>
          <w:p w14:paraId="0D3924B8" w14:textId="77777777" w:rsidR="00853889" w:rsidRDefault="00853889" w:rsidP="003C5929">
            <w:pPr>
              <w:pStyle w:val="NoSpacing"/>
              <w:widowControl w:val="0"/>
              <w:numPr>
                <w:ilvl w:val="0"/>
                <w:numId w:val="38"/>
              </w:numPr>
              <w:ind w:left="318" w:hanging="318"/>
            </w:pPr>
            <w:r w:rsidRPr="00FB6BE4">
              <w:t>It understands that structure and agency are looked upon as mutually constitutive but they can be treated as separate for analytical purposes, thereby facilitating research.</w:t>
            </w:r>
          </w:p>
          <w:p w14:paraId="64424D6E" w14:textId="77777777" w:rsidR="00853889" w:rsidRPr="00FB6BE4" w:rsidRDefault="00853889" w:rsidP="003C5929">
            <w:pPr>
              <w:pStyle w:val="NoSpacing"/>
              <w:ind w:left="318" w:hanging="318"/>
            </w:pPr>
          </w:p>
          <w:p w14:paraId="5EA163B4" w14:textId="77777777" w:rsidR="00853889" w:rsidRDefault="00853889" w:rsidP="003C5929">
            <w:pPr>
              <w:pStyle w:val="NoSpacing"/>
              <w:widowControl w:val="0"/>
              <w:numPr>
                <w:ilvl w:val="0"/>
                <w:numId w:val="38"/>
              </w:numPr>
              <w:ind w:left="318" w:hanging="318"/>
            </w:pPr>
            <w:r w:rsidRPr="00FB6BE4">
              <w:t>Critical realism is compatible with a wide range of research methods and employs the ideal that the choice of which method to employ should depend on the nature of the object of study and what we want to learn about it.</w:t>
            </w:r>
          </w:p>
          <w:p w14:paraId="707ADC0F" w14:textId="77777777" w:rsidR="00853889" w:rsidRPr="00FB6BE4" w:rsidRDefault="00853889" w:rsidP="003C5929">
            <w:pPr>
              <w:pStyle w:val="NoSpacing"/>
              <w:ind w:left="318" w:hanging="318"/>
            </w:pPr>
          </w:p>
          <w:p w14:paraId="34592C54" w14:textId="77777777" w:rsidR="00853889" w:rsidRPr="00FB6BE4" w:rsidRDefault="00853889" w:rsidP="003C5929">
            <w:pPr>
              <w:pStyle w:val="NoSpacing"/>
              <w:widowControl w:val="0"/>
              <w:numPr>
                <w:ilvl w:val="0"/>
                <w:numId w:val="38"/>
              </w:numPr>
              <w:ind w:left="318" w:hanging="318"/>
            </w:pPr>
            <w:r w:rsidRPr="00FB6BE4">
              <w:t>Many critical realis</w:t>
            </w:r>
            <w:r>
              <w:t>ts</w:t>
            </w:r>
            <w:r w:rsidRPr="00FB6BE4">
              <w:t xml:space="preserve"> unlike positivists, acknowledge ‘the double hermeneutic</w:t>
            </w:r>
            <w:r w:rsidRPr="00FB6BE4">
              <w:rPr>
                <w:rStyle w:val="FootnoteReference"/>
              </w:rPr>
              <w:footnoteReference w:id="39"/>
            </w:r>
            <w:r w:rsidRPr="00FB6BE4">
              <w:t>’.</w:t>
            </w:r>
          </w:p>
          <w:p w14:paraId="5C06562D" w14:textId="77777777" w:rsidR="00853889" w:rsidRPr="00FB6BE4" w:rsidRDefault="00853889" w:rsidP="00FF685A">
            <w:pPr>
              <w:pStyle w:val="NoSpacing"/>
            </w:pPr>
          </w:p>
        </w:tc>
      </w:tr>
    </w:tbl>
    <w:p w14:paraId="72595FAF" w14:textId="77777777" w:rsidR="00853889" w:rsidRDefault="00853889" w:rsidP="0024471C">
      <w:pPr>
        <w:ind w:firstLineChars="122" w:firstLine="277"/>
      </w:pPr>
    </w:p>
    <w:p w14:paraId="69B8B56E" w14:textId="77777777" w:rsidR="00853889" w:rsidRDefault="00853889" w:rsidP="0024471C">
      <w:pPr>
        <w:ind w:firstLineChars="122" w:firstLine="277"/>
      </w:pPr>
      <w:r>
        <w:t xml:space="preserve">Based on a </w:t>
      </w:r>
      <w:r w:rsidR="00361196">
        <w:t>foundational</w:t>
      </w:r>
      <w:r>
        <w:t xml:space="preserve">ist position, this thesis employs a critical realist position with a view that the analysis based on </w:t>
      </w:r>
      <w:r>
        <w:rPr>
          <w:rFonts w:hint="eastAsia"/>
        </w:rPr>
        <w:t xml:space="preserve">stressing the importance of </w:t>
      </w:r>
      <w:r>
        <w:t xml:space="preserve">unobservable </w:t>
      </w:r>
      <w:r>
        <w:rPr>
          <w:rFonts w:hint="eastAsia"/>
        </w:rPr>
        <w:t>forces ha</w:t>
      </w:r>
      <w:r w:rsidR="003274D5">
        <w:t>s</w:t>
      </w:r>
      <w:r>
        <w:rPr>
          <w:rFonts w:hint="eastAsia"/>
        </w:rPr>
        <w:t xml:space="preserve"> </w:t>
      </w:r>
      <w:r>
        <w:t xml:space="preserve">a significant role </w:t>
      </w:r>
      <w:r>
        <w:rPr>
          <w:rFonts w:hint="eastAsia"/>
        </w:rPr>
        <w:t>in shaping social reality</w:t>
      </w:r>
      <w:r>
        <w:t xml:space="preserve">. </w:t>
      </w:r>
      <w:r w:rsidRPr="00B52D00">
        <w:t>The ontological view of this thesis renders it to regard ana</w:t>
      </w:r>
      <w:r>
        <w:t>lyses based on unobservable dat</w:t>
      </w:r>
      <w:r>
        <w:rPr>
          <w:rFonts w:hint="eastAsia"/>
        </w:rPr>
        <w:t>a</w:t>
      </w:r>
      <w:r>
        <w:t xml:space="preserve"> significant as well as observable data; this thesis regard</w:t>
      </w:r>
      <w:r w:rsidR="00D60C22">
        <w:rPr>
          <w:rFonts w:hint="eastAsia"/>
          <w:lang w:eastAsia="ja-JP"/>
        </w:rPr>
        <w:t>s</w:t>
      </w:r>
      <w:r>
        <w:t xml:space="preserve"> the social reality as different from the reality in natural sciences. </w:t>
      </w:r>
      <w:r>
        <w:rPr>
          <w:rFonts w:hint="eastAsia"/>
        </w:rPr>
        <w:t>In particular, its core theme, power, is captured through analysing the material world as well as the ideational world.</w:t>
      </w:r>
    </w:p>
    <w:p w14:paraId="6E153CB6" w14:textId="455F45BC" w:rsidR="00853889" w:rsidRDefault="00853889" w:rsidP="00433402">
      <w:pPr>
        <w:ind w:firstLineChars="122" w:firstLine="277"/>
      </w:pPr>
      <w:r>
        <w:t xml:space="preserve">Elsewhere, the foundationalist position of this thesis </w:t>
      </w:r>
      <w:r>
        <w:rPr>
          <w:rFonts w:hint="eastAsia"/>
        </w:rPr>
        <w:t>conflicts with</w:t>
      </w:r>
      <w:r>
        <w:t xml:space="preserve"> an </w:t>
      </w:r>
      <w:r w:rsidR="00E469B8">
        <w:t>interpretivist</w:t>
      </w:r>
      <w:r>
        <w:t xml:space="preserve"> approach. An interpretivist perspective </w:t>
      </w:r>
      <w:r>
        <w:rPr>
          <w:rFonts w:hint="eastAsia"/>
        </w:rPr>
        <w:t>does not recognise the possibility of offering</w:t>
      </w:r>
      <w:r>
        <w:t xml:space="preserve"> an objective explanation </w:t>
      </w:r>
      <w:r w:rsidR="00FD548A">
        <w:rPr>
          <w:rFonts w:hint="eastAsia"/>
          <w:lang w:eastAsia="ja-JP"/>
        </w:rPr>
        <w:t>on</w:t>
      </w:r>
      <w:r>
        <w:t xml:space="preserve"> social changes such as state transformation,</w:t>
      </w:r>
      <w:r w:rsidRPr="00921A6C">
        <w:t xml:space="preserve"> </w:t>
      </w:r>
      <w:r>
        <w:t xml:space="preserve">because researchers are regarded as subjective. </w:t>
      </w:r>
      <w:r w:rsidR="005F7529">
        <w:t xml:space="preserve">Because an interpretivist perspective </w:t>
      </w:r>
      <w:r w:rsidR="00CA4502">
        <w:t>concerns subjectivity, understanding, and agency and the way people construct their social world (Grix 2010 p.83)</w:t>
      </w:r>
      <w:r w:rsidR="005F7529">
        <w:t xml:space="preserve">, it tends to pay </w:t>
      </w:r>
      <w:r w:rsidR="00433402">
        <w:t xml:space="preserve">little </w:t>
      </w:r>
      <w:r w:rsidR="005F7529">
        <w:t xml:space="preserve">attention to structure while </w:t>
      </w:r>
      <w:r w:rsidR="00CA4502">
        <w:t>emphasis</w:t>
      </w:r>
      <w:r w:rsidR="005F7529">
        <w:t>ing</w:t>
      </w:r>
      <w:r w:rsidR="00CA4502">
        <w:t xml:space="preserve"> agency</w:t>
      </w:r>
      <w:r w:rsidR="005F7529">
        <w:t xml:space="preserve">. An example of such a tendency can be </w:t>
      </w:r>
      <w:r w:rsidR="00433402">
        <w:t>found in Rhodes’ perspective on structure, who regards it as ‘unhelpfully vague’ (Bevir and Rhodes 2008 p.730 in Elgie 2011 p.68).</w:t>
      </w:r>
      <w:r w:rsidR="00CA4502">
        <w:t xml:space="preserve"> </w:t>
      </w:r>
      <w:r>
        <w:t>Also, as Smith (2009</w:t>
      </w:r>
      <w:r w:rsidR="00237D94">
        <w:t xml:space="preserve"> p.68</w:t>
      </w:r>
      <w:r>
        <w:t xml:space="preserve">) revealed in his </w:t>
      </w:r>
      <w:r>
        <w:rPr>
          <w:rFonts w:hint="eastAsia"/>
        </w:rPr>
        <w:t>analysis</w:t>
      </w:r>
      <w:r>
        <w:t xml:space="preserve"> </w:t>
      </w:r>
      <w:r w:rsidR="007847B3">
        <w:t>on</w:t>
      </w:r>
      <w:r>
        <w:t xml:space="preserve"> poststructuralist and state power, capturing state power under an interpretivist view is difficult, because its view to power as dispersed and exist</w:t>
      </w:r>
      <w:r w:rsidR="003274D5">
        <w:t>ing</w:t>
      </w:r>
      <w:r>
        <w:t xml:space="preserve"> anywhere makes it difficult to </w:t>
      </w:r>
      <w:r>
        <w:rPr>
          <w:rFonts w:hint="eastAsia"/>
        </w:rPr>
        <w:t>analyse</w:t>
      </w:r>
      <w:r>
        <w:t xml:space="preserve"> state power collectively. </w:t>
      </w:r>
    </w:p>
    <w:p w14:paraId="3FC706B5" w14:textId="77777777" w:rsidR="00853889" w:rsidRDefault="00853889" w:rsidP="0024471C">
      <w:pPr>
        <w:ind w:firstLineChars="122" w:firstLine="277"/>
      </w:pPr>
      <w:r>
        <w:t xml:space="preserve">A critical realist perspective offers </w:t>
      </w:r>
      <w:r>
        <w:rPr>
          <w:rFonts w:hint="eastAsia"/>
        </w:rPr>
        <w:t>an</w:t>
      </w:r>
      <w:r>
        <w:t xml:space="preserve"> approach for exploring the transformation of the state by explaining the interaction between pre-existing structures and actors, recognising and bridging the gap between the observable appearance of the events and unobservable reality. </w:t>
      </w:r>
      <w:r>
        <w:rPr>
          <w:rFonts w:hint="eastAsia"/>
        </w:rPr>
        <w:t xml:space="preserve">It aims at seizing the fluid nature of power existing in the ideational world as well as the material world. </w:t>
      </w:r>
      <w:r>
        <w:t xml:space="preserve">Under </w:t>
      </w:r>
      <w:r w:rsidR="00EA54DA">
        <w:rPr>
          <w:rFonts w:eastAsia="MS Mincho" w:hint="eastAsia"/>
          <w:lang w:eastAsia="ja-JP"/>
        </w:rPr>
        <w:t xml:space="preserve">the </w:t>
      </w:r>
      <w:r>
        <w:rPr>
          <w:rFonts w:hint="eastAsia"/>
        </w:rPr>
        <w:t>critical realist</w:t>
      </w:r>
      <w:r>
        <w:t xml:space="preserve"> research paradigm, this thesis looks upon structure and agency as mutually constitutive but treats differently for the analytical purpose and embraces the idea that actors (efficient causes) initiate action and structure constrains and facilitates such action (Grix 2010 p.87).</w:t>
      </w:r>
    </w:p>
    <w:p w14:paraId="51591981" w14:textId="77777777" w:rsidR="00853889" w:rsidRDefault="00853889" w:rsidP="00853889"/>
    <w:p w14:paraId="62345C34" w14:textId="77777777" w:rsidR="00853889" w:rsidRDefault="00853889" w:rsidP="00853889"/>
    <w:p w14:paraId="0DC217C7" w14:textId="77777777" w:rsidR="00853889" w:rsidRPr="00AB5E59" w:rsidRDefault="00853889" w:rsidP="00853889">
      <w:pPr>
        <w:pStyle w:val="Heading2"/>
      </w:pPr>
      <w:bookmarkStart w:id="38" w:name="_Toc349741360"/>
      <w:r>
        <w:rPr>
          <w:rFonts w:hint="eastAsia"/>
        </w:rPr>
        <w:t>4</w:t>
      </w:r>
      <w:r>
        <w:t>.3</w:t>
      </w:r>
      <w:r>
        <w:tab/>
      </w:r>
      <w:r w:rsidRPr="00AB5E59">
        <w:t>Qualitative research methods</w:t>
      </w:r>
      <w:bookmarkEnd w:id="38"/>
    </w:p>
    <w:p w14:paraId="6A16DB72" w14:textId="77777777" w:rsidR="00853889" w:rsidRDefault="00853889" w:rsidP="00853889">
      <w:r>
        <w:t xml:space="preserve">A critical realist perspective </w:t>
      </w:r>
      <w:r>
        <w:rPr>
          <w:rFonts w:hint="eastAsia"/>
        </w:rPr>
        <w:t>offers</w:t>
      </w:r>
      <w:r>
        <w:t xml:space="preserve"> researchers </w:t>
      </w:r>
      <w:r>
        <w:rPr>
          <w:rFonts w:hint="eastAsia"/>
        </w:rPr>
        <w:t xml:space="preserve">the </w:t>
      </w:r>
      <w:r>
        <w:t xml:space="preserve">flexibility to employ both qualitative and quantitative methods; under this research paradigm </w:t>
      </w:r>
      <w:r w:rsidRPr="006838EC">
        <w:t xml:space="preserve">one </w:t>
      </w:r>
      <w:r>
        <w:t xml:space="preserve">can </w:t>
      </w:r>
      <w:r w:rsidRPr="006838EC">
        <w:t>identify how much</w:t>
      </w:r>
      <w:r>
        <w:t>, for example,</w:t>
      </w:r>
      <w:r w:rsidRPr="006838EC">
        <w:t xml:space="preserve"> financial markets are globalised with quantitative methods</w:t>
      </w:r>
      <w:r>
        <w:t xml:space="preserve"> and how</w:t>
      </w:r>
      <w:r w:rsidRPr="006838EC">
        <w:t xml:space="preserve"> globalisation is perceived with qualitative methods (Marsh and Furlong 2002 p.31).</w:t>
      </w:r>
      <w:r w:rsidR="00410B26">
        <w:rPr>
          <w:rFonts w:eastAsia="MS Mincho" w:hint="eastAsia"/>
          <w:lang w:eastAsia="ja-JP"/>
        </w:rPr>
        <w:t xml:space="preserve"> </w:t>
      </w:r>
      <w:r>
        <w:t>The choice of the methods depends upon the object of the research and the nature of the task</w:t>
      </w:r>
      <w:r>
        <w:rPr>
          <w:rFonts w:hint="eastAsia"/>
        </w:rPr>
        <w:t>. A</w:t>
      </w:r>
      <w:r>
        <w:t>s Sayer (2000 p.19) observes:</w:t>
      </w:r>
    </w:p>
    <w:p w14:paraId="09EDA06D" w14:textId="77777777" w:rsidR="00853889" w:rsidRDefault="00853889" w:rsidP="0024471C">
      <w:pPr>
        <w:ind w:firstLineChars="122" w:firstLine="277"/>
      </w:pPr>
      <w:r>
        <w:t xml:space="preserve"> </w:t>
      </w:r>
    </w:p>
    <w:p w14:paraId="7C301A4F" w14:textId="4FA83F8A" w:rsidR="00495655" w:rsidRDefault="00853889" w:rsidP="005B18BE">
      <w:pPr>
        <w:pStyle w:val="Quote"/>
      </w:pPr>
      <w:r>
        <w:t>…c</w:t>
      </w:r>
      <w:r w:rsidRPr="00B93197">
        <w:t>ritical realism endorses or is compatible with a relatively wide range of research methods, but it implies that the particular choices should depend on the nature of the object of study and what one wants to learn about it.</w:t>
      </w:r>
    </w:p>
    <w:p w14:paraId="5C6E490D" w14:textId="77777777" w:rsidR="00853889" w:rsidRDefault="00853889" w:rsidP="0024471C">
      <w:pPr>
        <w:ind w:firstLineChars="122" w:firstLine="277"/>
      </w:pPr>
    </w:p>
    <w:p w14:paraId="0DF55769" w14:textId="77777777" w:rsidR="00853889" w:rsidRDefault="00853889" w:rsidP="00853889">
      <w:r w:rsidRPr="00727AE7">
        <w:t xml:space="preserve">Commentators such as Bryman (1988) argue that how </w:t>
      </w:r>
      <w:r>
        <w:t xml:space="preserve">the </w:t>
      </w:r>
      <w:r w:rsidRPr="00727AE7">
        <w:t xml:space="preserve">research methods </w:t>
      </w:r>
      <w:r>
        <w:t xml:space="preserve">of a thesis </w:t>
      </w:r>
      <w:r w:rsidRPr="00727AE7">
        <w:t>serve to achieve</w:t>
      </w:r>
      <w:r>
        <w:t xml:space="preserve"> the specific strategies and goals of the </w:t>
      </w:r>
      <w:r>
        <w:rPr>
          <w:rFonts w:hint="eastAsia"/>
        </w:rPr>
        <w:t>research</w:t>
      </w:r>
      <w:r>
        <w:t xml:space="preserve"> determine its choice of methods.</w:t>
      </w:r>
    </w:p>
    <w:p w14:paraId="182708E6" w14:textId="77777777" w:rsidR="00853889" w:rsidRDefault="00853889" w:rsidP="0024471C">
      <w:pPr>
        <w:ind w:firstLineChars="122" w:firstLine="277"/>
      </w:pPr>
      <w:r>
        <w:t xml:space="preserve">The characteristics of qualitative research methods, whose key tools are interviews, document analyses and observation, can be summarised by the following description by </w:t>
      </w:r>
      <w:r w:rsidRPr="006838EC">
        <w:t xml:space="preserve">Bryman </w:t>
      </w:r>
      <w:r>
        <w:t>(</w:t>
      </w:r>
      <w:r w:rsidRPr="006838EC">
        <w:t>1988 pp.61-9</w:t>
      </w:r>
      <w:r>
        <w:t>)</w:t>
      </w:r>
      <w:r w:rsidRPr="006838EC">
        <w:t>:</w:t>
      </w:r>
    </w:p>
    <w:p w14:paraId="2C8D2A69" w14:textId="77777777" w:rsidR="00853889" w:rsidRPr="00533706" w:rsidRDefault="00853889" w:rsidP="001B6C05">
      <w:pPr>
        <w:pStyle w:val="ListParagraph"/>
        <w:widowControl w:val="0"/>
        <w:numPr>
          <w:ilvl w:val="0"/>
          <w:numId w:val="31"/>
        </w:numPr>
        <w:ind w:left="284" w:hanging="284"/>
        <w:contextualSpacing w:val="0"/>
      </w:pPr>
      <w:r w:rsidRPr="00533706">
        <w:t>utilising ‘the perspective of th</w:t>
      </w:r>
      <w:r w:rsidR="00EA54DA">
        <w:t>e people who are being studied’</w:t>
      </w:r>
      <w:r w:rsidR="00EA54DA">
        <w:rPr>
          <w:rFonts w:eastAsia="MS Mincho" w:hint="eastAsia"/>
        </w:rPr>
        <w:t>;</w:t>
      </w:r>
    </w:p>
    <w:p w14:paraId="3EA0C33B" w14:textId="77777777" w:rsidR="00853889" w:rsidRPr="00533706" w:rsidRDefault="00EA54DA" w:rsidP="001B6C05">
      <w:pPr>
        <w:pStyle w:val="ListParagraph"/>
        <w:widowControl w:val="0"/>
        <w:numPr>
          <w:ilvl w:val="0"/>
          <w:numId w:val="31"/>
        </w:numPr>
        <w:ind w:left="284" w:hanging="284"/>
        <w:contextualSpacing w:val="0"/>
      </w:pPr>
      <w:r>
        <w:t>description in detail</w:t>
      </w:r>
      <w:r>
        <w:rPr>
          <w:rFonts w:eastAsia="MS Mincho" w:hint="eastAsia"/>
        </w:rPr>
        <w:t>;</w:t>
      </w:r>
    </w:p>
    <w:p w14:paraId="386E740B" w14:textId="77777777" w:rsidR="00853889" w:rsidRPr="00533706" w:rsidRDefault="00853889" w:rsidP="001B6C05">
      <w:pPr>
        <w:pStyle w:val="ListParagraph"/>
        <w:widowControl w:val="0"/>
        <w:numPr>
          <w:ilvl w:val="0"/>
          <w:numId w:val="31"/>
        </w:numPr>
        <w:ind w:left="284" w:hanging="284"/>
        <w:contextualSpacing w:val="0"/>
      </w:pPr>
      <w:r w:rsidRPr="00533706">
        <w:t>‘preference for contextualism in its commitment to under</w:t>
      </w:r>
      <w:r w:rsidR="00EA54DA">
        <w:t>standing events’</w:t>
      </w:r>
      <w:r w:rsidR="00EA54DA">
        <w:rPr>
          <w:rFonts w:eastAsia="MS Mincho" w:hint="eastAsia"/>
        </w:rPr>
        <w:t>;</w:t>
      </w:r>
    </w:p>
    <w:p w14:paraId="00669A06" w14:textId="77777777" w:rsidR="00853889" w:rsidRPr="00533706" w:rsidRDefault="00853889" w:rsidP="001B6C05">
      <w:pPr>
        <w:pStyle w:val="ListParagraph"/>
        <w:widowControl w:val="0"/>
        <w:numPr>
          <w:ilvl w:val="0"/>
          <w:numId w:val="31"/>
        </w:numPr>
        <w:ind w:left="284" w:hanging="284"/>
        <w:contextualSpacing w:val="0"/>
      </w:pPr>
      <w:r w:rsidRPr="00533706">
        <w:t>focusing on the processes o</w:t>
      </w:r>
      <w:r w:rsidR="00EA54DA">
        <w:t>f change in the observed events</w:t>
      </w:r>
      <w:r w:rsidR="00EA54DA">
        <w:rPr>
          <w:rFonts w:eastAsia="MS Mincho" w:hint="eastAsia"/>
        </w:rPr>
        <w:t>;</w:t>
      </w:r>
    </w:p>
    <w:p w14:paraId="7B2F8B5A" w14:textId="77777777" w:rsidR="00853889" w:rsidRPr="00533706" w:rsidRDefault="00853889" w:rsidP="001B6C05">
      <w:pPr>
        <w:pStyle w:val="ListParagraph"/>
        <w:widowControl w:val="0"/>
        <w:numPr>
          <w:ilvl w:val="0"/>
          <w:numId w:val="31"/>
        </w:numPr>
        <w:ind w:left="284" w:hanging="284"/>
        <w:contextualSpacing w:val="0"/>
      </w:pPr>
      <w:r w:rsidRPr="00533706">
        <w:t>flexible and unstructured research strategies</w:t>
      </w:r>
      <w:r w:rsidR="00EA54DA">
        <w:rPr>
          <w:rFonts w:eastAsia="MS Mincho" w:hint="eastAsia"/>
        </w:rPr>
        <w:t>;</w:t>
      </w:r>
      <w:r w:rsidRPr="00533706">
        <w:t xml:space="preserve"> and</w:t>
      </w:r>
    </w:p>
    <w:p w14:paraId="6A01FE38" w14:textId="77777777" w:rsidR="00853889" w:rsidRPr="00533706" w:rsidRDefault="00853889" w:rsidP="001B6C05">
      <w:pPr>
        <w:pStyle w:val="ListParagraph"/>
        <w:widowControl w:val="0"/>
        <w:numPr>
          <w:ilvl w:val="0"/>
          <w:numId w:val="31"/>
        </w:numPr>
        <w:ind w:left="284" w:hanging="284"/>
        <w:contextualSpacing w:val="0"/>
      </w:pPr>
      <w:r w:rsidRPr="00533706">
        <w:t>formulation of theories and concepts in tandem with data collection so that research can be free from unfit frameworks on their subjects imposed at the beginning of the research.</w:t>
      </w:r>
    </w:p>
    <w:p w14:paraId="6982A29A" w14:textId="77777777" w:rsidR="00853889" w:rsidRDefault="00853889" w:rsidP="0024471C">
      <w:pPr>
        <w:ind w:firstLineChars="122" w:firstLine="277"/>
      </w:pPr>
    </w:p>
    <w:p w14:paraId="53A4DC3D" w14:textId="77777777" w:rsidR="00853889" w:rsidRDefault="00853889" w:rsidP="0024471C">
      <w:pPr>
        <w:ind w:firstLineChars="122" w:firstLine="277"/>
      </w:pPr>
      <w:r w:rsidRPr="008934A3">
        <w:t>In contrast, quantitative research methods’ major tools are surveys, experiments, the analysis of</w:t>
      </w:r>
      <w:r w:rsidRPr="006838EC">
        <w:t xml:space="preserve"> previously collected dat</w:t>
      </w:r>
      <w:r>
        <w:rPr>
          <w:rFonts w:hint="eastAsia"/>
        </w:rPr>
        <w:t>a</w:t>
      </w:r>
      <w:r w:rsidRPr="006838EC">
        <w:t xml:space="preserve"> such as official statistics on crimes, structured observation by which ‘the researcher records observations in accordance with a pre-determined schedule and quantifies the resulting data’, and content analysis such as ‘the quantitative analysis of the communication content of media such as newspapers (Bryman 1988 </w:t>
      </w:r>
      <w:r>
        <w:t>p.12).</w:t>
      </w:r>
    </w:p>
    <w:p w14:paraId="76A1F862" w14:textId="77777777" w:rsidR="00853889" w:rsidRDefault="00853889" w:rsidP="0024471C">
      <w:pPr>
        <w:ind w:firstLineChars="122" w:firstLine="277"/>
      </w:pPr>
      <w:r>
        <w:t xml:space="preserve">As Table </w:t>
      </w:r>
      <w:r>
        <w:rPr>
          <w:rFonts w:hint="eastAsia"/>
        </w:rPr>
        <w:t>4</w:t>
      </w:r>
      <w:r>
        <w:t>.</w:t>
      </w:r>
      <w:r w:rsidR="009D4976">
        <w:rPr>
          <w:rFonts w:hint="eastAsia"/>
          <w:lang w:eastAsia="ja-JP"/>
        </w:rPr>
        <w:t>3</w:t>
      </w:r>
      <w:r>
        <w:t xml:space="preserve"> highlights, these two research methods are different </w:t>
      </w:r>
      <w:r w:rsidR="00F90329">
        <w:t>from</w:t>
      </w:r>
      <w:r>
        <w:t xml:space="preserve"> one another</w:t>
      </w:r>
      <w:r w:rsidRPr="006838EC">
        <w:t>.</w:t>
      </w:r>
      <w:r>
        <w:t xml:space="preserve"> </w:t>
      </w:r>
      <w:r>
        <w:rPr>
          <w:rFonts w:hint="eastAsia"/>
        </w:rPr>
        <w:t>The characteristics of qualitative research methods could be viewed as leaning to</w:t>
      </w:r>
      <w:r w:rsidR="00F90329">
        <w:t>wards</w:t>
      </w:r>
      <w:r>
        <w:rPr>
          <w:rFonts w:hint="eastAsia"/>
        </w:rPr>
        <w:t xml:space="preserve"> be</w:t>
      </w:r>
      <w:r w:rsidR="00F90329">
        <w:t>ing</w:t>
      </w:r>
      <w:r>
        <w:rPr>
          <w:rFonts w:hint="eastAsia"/>
        </w:rPr>
        <w:t xml:space="preserve"> id</w:t>
      </w:r>
      <w:r w:rsidR="00B350A5">
        <w:rPr>
          <w:rFonts w:hint="eastAsia"/>
          <w:lang w:eastAsia="ja-JP"/>
        </w:rPr>
        <w:t>i</w:t>
      </w:r>
      <w:r>
        <w:rPr>
          <w:rFonts w:hint="eastAsia"/>
        </w:rPr>
        <w:t>ographic; elsewhere, quantitative research methods could be understood as leaning to</w:t>
      </w:r>
      <w:r w:rsidR="00F90329">
        <w:t>wards</w:t>
      </w:r>
      <w:r>
        <w:rPr>
          <w:rFonts w:hint="eastAsia"/>
        </w:rPr>
        <w:t xml:space="preserve"> nomothetic. </w:t>
      </w:r>
      <w:r>
        <w:t xml:space="preserve">The cleavage between these two has provoked a debate about determining whether to employ either </w:t>
      </w:r>
      <w:r w:rsidRPr="006838EC">
        <w:t xml:space="preserve">qualitative </w:t>
      </w:r>
      <w:r>
        <w:t>or</w:t>
      </w:r>
      <w:r w:rsidRPr="006838EC">
        <w:t xml:space="preserve"> quantitative methods</w:t>
      </w:r>
      <w:r>
        <w:t xml:space="preserve"> (Bryman 1988 pp.104-26). Some commentators (</w:t>
      </w:r>
      <w:r>
        <w:rPr>
          <w:rFonts w:hint="eastAsia"/>
        </w:rPr>
        <w:t xml:space="preserve">e.g. </w:t>
      </w:r>
      <w:r>
        <w:t xml:space="preserve">Filstead 1979 p.45, Rist 1977 p.62) argue that </w:t>
      </w:r>
      <w:r>
        <w:rPr>
          <w:rFonts w:hint="eastAsia"/>
        </w:rPr>
        <w:t>a</w:t>
      </w:r>
      <w:r>
        <w:t xml:space="preserve"> qualitative approach represent</w:t>
      </w:r>
      <w:r>
        <w:rPr>
          <w:rFonts w:hint="eastAsia"/>
        </w:rPr>
        <w:t>s</w:t>
      </w:r>
      <w:r>
        <w:t xml:space="preserve"> </w:t>
      </w:r>
      <w:r>
        <w:rPr>
          <w:rFonts w:hint="eastAsia"/>
        </w:rPr>
        <w:t xml:space="preserve">a </w:t>
      </w:r>
      <w:r>
        <w:t xml:space="preserve">different epistemological framework </w:t>
      </w:r>
      <w:r>
        <w:rPr>
          <w:rFonts w:hint="eastAsia"/>
        </w:rPr>
        <w:t>from a</w:t>
      </w:r>
      <w:r>
        <w:t xml:space="preserve"> quantitative approach (Bryman 1988 pp.104-26). Others, such as Bryman (1988 p.118, p.125), argue that the differences between the qualitative approach and the quantitative approach are not so clear cut, and that research methods are</w:t>
      </w:r>
      <w:r>
        <w:rPr>
          <w:rFonts w:hint="eastAsia"/>
        </w:rPr>
        <w:t>:</w:t>
      </w:r>
      <w:r>
        <w:t xml:space="preserve"> ‘probably much more autonomous than many commentators acknowledge’. According to him (p.125):</w:t>
      </w:r>
    </w:p>
    <w:p w14:paraId="3EC2BAD7" w14:textId="77777777" w:rsidR="00853889" w:rsidRDefault="00853889" w:rsidP="0024471C">
      <w:pPr>
        <w:ind w:firstLineChars="122" w:firstLine="277"/>
      </w:pPr>
    </w:p>
    <w:p w14:paraId="4F86B208" w14:textId="73031BC7" w:rsidR="00495655" w:rsidRDefault="00853889" w:rsidP="005B18BE">
      <w:pPr>
        <w:pStyle w:val="Quote"/>
      </w:pPr>
      <w:r>
        <w:t>The tendency to associate particular methods with particular epistemological positions is little more than a convention (which took root in the 1960s), but which has little to recommend it, either as a description of the research process or as a prescriptive view of how research ought to be done.</w:t>
      </w:r>
    </w:p>
    <w:p w14:paraId="7D68B445" w14:textId="77777777" w:rsidR="00853889" w:rsidRDefault="00853889" w:rsidP="0024471C">
      <w:pPr>
        <w:ind w:firstLineChars="122" w:firstLine="277"/>
      </w:pPr>
    </w:p>
    <w:p w14:paraId="34D8B354" w14:textId="77777777" w:rsidR="00853889" w:rsidRPr="00D25D08" w:rsidRDefault="00853889" w:rsidP="00DA2E02">
      <w:pPr>
        <w:pStyle w:val="Heading4"/>
        <w:rPr>
          <w:lang w:eastAsia="ja-JP"/>
        </w:rPr>
      </w:pPr>
      <w:r w:rsidRPr="00D25D08">
        <w:t xml:space="preserve">Table </w:t>
      </w:r>
      <w:r w:rsidRPr="00D25D08">
        <w:rPr>
          <w:rFonts w:hint="eastAsia"/>
        </w:rPr>
        <w:t>4</w:t>
      </w:r>
      <w:r w:rsidRPr="00D25D08">
        <w:t>.</w:t>
      </w:r>
      <w:r w:rsidR="009D4976">
        <w:rPr>
          <w:rFonts w:hint="eastAsia"/>
          <w:lang w:eastAsia="ja-JP"/>
        </w:rPr>
        <w:t>3</w:t>
      </w:r>
      <w:r w:rsidRPr="00D25D08">
        <w:t>: Major differences between quantitative and qualitative research methods (based on Bryman 1988 p.94 and Bulmer 1986 p.183)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9"/>
        <w:gridCol w:w="3404"/>
        <w:gridCol w:w="2917"/>
      </w:tblGrid>
      <w:tr w:rsidR="00853889" w:rsidRPr="00FB6BE4" w14:paraId="4071181F" w14:textId="77777777" w:rsidTr="00FF685A">
        <w:tc>
          <w:tcPr>
            <w:tcW w:w="2518" w:type="dxa"/>
            <w:shd w:val="pct20" w:color="auto" w:fill="auto"/>
          </w:tcPr>
          <w:p w14:paraId="78646585" w14:textId="77777777" w:rsidR="00853889" w:rsidRPr="00FB6BE4" w:rsidRDefault="00853889" w:rsidP="00FF685A">
            <w:pPr>
              <w:pStyle w:val="NoSpacing"/>
            </w:pPr>
          </w:p>
        </w:tc>
        <w:tc>
          <w:tcPr>
            <w:tcW w:w="3686" w:type="dxa"/>
            <w:shd w:val="pct20" w:color="auto" w:fill="auto"/>
          </w:tcPr>
          <w:p w14:paraId="3E978E83" w14:textId="77777777" w:rsidR="00853889" w:rsidRPr="00FB6BE4" w:rsidRDefault="00853889" w:rsidP="00FF685A">
            <w:pPr>
              <w:pStyle w:val="NoSpacing"/>
              <w:jc w:val="center"/>
              <w:rPr>
                <w:lang w:eastAsia="ja-JP"/>
              </w:rPr>
            </w:pPr>
            <w:r w:rsidRPr="00FB6BE4">
              <w:t>Quantitative</w:t>
            </w:r>
          </w:p>
        </w:tc>
        <w:tc>
          <w:tcPr>
            <w:tcW w:w="3064" w:type="dxa"/>
            <w:shd w:val="pct20" w:color="auto" w:fill="auto"/>
          </w:tcPr>
          <w:p w14:paraId="57430058" w14:textId="77777777" w:rsidR="00853889" w:rsidRPr="00FB6BE4" w:rsidRDefault="00853889" w:rsidP="00FF685A">
            <w:pPr>
              <w:pStyle w:val="NoSpacing"/>
              <w:jc w:val="center"/>
              <w:rPr>
                <w:lang w:eastAsia="ja-JP"/>
              </w:rPr>
            </w:pPr>
            <w:r w:rsidRPr="00FB6BE4">
              <w:t>Qualitative</w:t>
            </w:r>
          </w:p>
        </w:tc>
      </w:tr>
      <w:tr w:rsidR="00853889" w:rsidRPr="00FB6BE4" w14:paraId="32F0492C" w14:textId="77777777" w:rsidTr="00FF685A">
        <w:tc>
          <w:tcPr>
            <w:tcW w:w="2518" w:type="dxa"/>
          </w:tcPr>
          <w:p w14:paraId="4DB7232B" w14:textId="77777777" w:rsidR="00853889" w:rsidRPr="00FB6BE4" w:rsidRDefault="00853889" w:rsidP="00FF685A">
            <w:pPr>
              <w:pStyle w:val="NoSpacing"/>
            </w:pPr>
            <w:r w:rsidRPr="00FB6BE4">
              <w:t>Orientation</w:t>
            </w:r>
          </w:p>
        </w:tc>
        <w:tc>
          <w:tcPr>
            <w:tcW w:w="3686" w:type="dxa"/>
          </w:tcPr>
          <w:p w14:paraId="05CD1486" w14:textId="77777777" w:rsidR="00853889" w:rsidRPr="00FB6BE4" w:rsidRDefault="00853889" w:rsidP="00FF685A">
            <w:pPr>
              <w:pStyle w:val="NoSpacing"/>
            </w:pPr>
            <w:r w:rsidRPr="00FB6BE4">
              <w:t>Positivist: seeks objective facts about and causes of social phenomena with little/no reference to subjective states of individuals</w:t>
            </w:r>
          </w:p>
        </w:tc>
        <w:tc>
          <w:tcPr>
            <w:tcW w:w="3064" w:type="dxa"/>
          </w:tcPr>
          <w:p w14:paraId="2798FB60" w14:textId="77777777" w:rsidR="00853889" w:rsidRPr="00FB6BE4" w:rsidRDefault="00853889" w:rsidP="00FF685A">
            <w:pPr>
              <w:pStyle w:val="NoSpacing"/>
            </w:pPr>
            <w:r w:rsidRPr="00FB6BE4">
              <w:t>Phenomenological: seeking to understand human behaviour from the social actor’s own frame of reference</w:t>
            </w:r>
          </w:p>
        </w:tc>
      </w:tr>
      <w:tr w:rsidR="00853889" w:rsidRPr="00FB6BE4" w14:paraId="7CAF0AFD" w14:textId="77777777" w:rsidTr="00FF685A">
        <w:tc>
          <w:tcPr>
            <w:tcW w:w="2518" w:type="dxa"/>
          </w:tcPr>
          <w:p w14:paraId="4733F8C5" w14:textId="77777777" w:rsidR="00853889" w:rsidRPr="00FB6BE4" w:rsidRDefault="00853889" w:rsidP="00FF685A">
            <w:pPr>
              <w:pStyle w:val="NoSpacing"/>
            </w:pPr>
            <w:r w:rsidRPr="00FB6BE4">
              <w:t>Approach</w:t>
            </w:r>
          </w:p>
        </w:tc>
        <w:tc>
          <w:tcPr>
            <w:tcW w:w="3686" w:type="dxa"/>
          </w:tcPr>
          <w:p w14:paraId="2FDB8AF7" w14:textId="77777777" w:rsidR="00853889" w:rsidRPr="00FB6BE4" w:rsidRDefault="00853889" w:rsidP="00FF685A">
            <w:pPr>
              <w:pStyle w:val="NoSpacing"/>
            </w:pPr>
            <w:r w:rsidRPr="00FB6BE4">
              <w:t>Obstructive and controlled measu</w:t>
            </w:r>
            <w:r>
              <w:t xml:space="preserve">re- </w:t>
            </w:r>
            <w:r w:rsidRPr="00FB6BE4">
              <w:t>ment. Verification-oriented, inferential, confirmatory and hypothesis-testing.</w:t>
            </w:r>
          </w:p>
        </w:tc>
        <w:tc>
          <w:tcPr>
            <w:tcW w:w="3064" w:type="dxa"/>
          </w:tcPr>
          <w:p w14:paraId="146EE0B4" w14:textId="77777777" w:rsidR="00853889" w:rsidRPr="00FB6BE4" w:rsidRDefault="00853889" w:rsidP="00FF685A">
            <w:pPr>
              <w:pStyle w:val="NoSpacing"/>
            </w:pPr>
            <w:r w:rsidRPr="00FB6BE4">
              <w:t>Naturalistic and uncontrolled observation. Discovery -oriented, descriptive, explanatory and inductive.</w:t>
            </w:r>
          </w:p>
        </w:tc>
      </w:tr>
      <w:tr w:rsidR="00853889" w:rsidRPr="00FB6BE4" w14:paraId="7CBC839A" w14:textId="77777777" w:rsidTr="00FF685A">
        <w:tc>
          <w:tcPr>
            <w:tcW w:w="2518" w:type="dxa"/>
          </w:tcPr>
          <w:p w14:paraId="6245958D" w14:textId="77777777" w:rsidR="00853889" w:rsidRPr="00FB6BE4" w:rsidRDefault="00853889" w:rsidP="00FF685A">
            <w:pPr>
              <w:pStyle w:val="NoSpacing"/>
            </w:pPr>
            <w:r w:rsidRPr="00FB6BE4">
              <w:t>Relationship between researchers and subjects</w:t>
            </w:r>
          </w:p>
        </w:tc>
        <w:tc>
          <w:tcPr>
            <w:tcW w:w="3686" w:type="dxa"/>
          </w:tcPr>
          <w:p w14:paraId="228735FD" w14:textId="77777777" w:rsidR="00853889" w:rsidRPr="00FB6BE4" w:rsidRDefault="001811F5" w:rsidP="001811F5">
            <w:pPr>
              <w:pStyle w:val="NoSpacing"/>
            </w:pPr>
            <w:r>
              <w:rPr>
                <w:rFonts w:hint="eastAsia"/>
                <w:lang w:eastAsia="ja-JP"/>
              </w:rPr>
              <w:t>D</w:t>
            </w:r>
            <w:r w:rsidR="00853889" w:rsidRPr="00FB6BE4">
              <w:t>istant</w:t>
            </w:r>
          </w:p>
        </w:tc>
        <w:tc>
          <w:tcPr>
            <w:tcW w:w="3064" w:type="dxa"/>
          </w:tcPr>
          <w:p w14:paraId="382EF6BD" w14:textId="77777777" w:rsidR="00853889" w:rsidRPr="00FB6BE4" w:rsidRDefault="001811F5" w:rsidP="001811F5">
            <w:pPr>
              <w:pStyle w:val="NoSpacing"/>
            </w:pPr>
            <w:r>
              <w:rPr>
                <w:rFonts w:hint="eastAsia"/>
                <w:lang w:eastAsia="ja-JP"/>
              </w:rPr>
              <w:t>C</w:t>
            </w:r>
            <w:r w:rsidR="00853889" w:rsidRPr="00FB6BE4">
              <w:t>lose</w:t>
            </w:r>
          </w:p>
        </w:tc>
      </w:tr>
      <w:tr w:rsidR="00853889" w:rsidRPr="00FB6BE4" w14:paraId="5CBA4F08" w14:textId="77777777" w:rsidTr="00FF685A">
        <w:tc>
          <w:tcPr>
            <w:tcW w:w="2518" w:type="dxa"/>
            <w:tcBorders>
              <w:top w:val="single" w:sz="4" w:space="0" w:color="auto"/>
              <w:left w:val="single" w:sz="4" w:space="0" w:color="auto"/>
              <w:bottom w:val="single" w:sz="4" w:space="0" w:color="auto"/>
              <w:right w:val="single" w:sz="4" w:space="0" w:color="auto"/>
            </w:tcBorders>
          </w:tcPr>
          <w:p w14:paraId="6711AE11" w14:textId="77777777" w:rsidR="00853889" w:rsidRPr="00FB6BE4" w:rsidRDefault="00853889" w:rsidP="00FF685A">
            <w:pPr>
              <w:pStyle w:val="NoSpacing"/>
            </w:pPr>
            <w:r w:rsidRPr="00FB6BE4">
              <w:t>Researchers’ stance in relation to subject</w:t>
            </w:r>
          </w:p>
        </w:tc>
        <w:tc>
          <w:tcPr>
            <w:tcW w:w="3686" w:type="dxa"/>
            <w:tcBorders>
              <w:top w:val="single" w:sz="4" w:space="0" w:color="auto"/>
              <w:left w:val="single" w:sz="4" w:space="0" w:color="auto"/>
              <w:bottom w:val="single" w:sz="4" w:space="0" w:color="auto"/>
              <w:right w:val="single" w:sz="4" w:space="0" w:color="auto"/>
            </w:tcBorders>
          </w:tcPr>
          <w:p w14:paraId="2C4FBD96" w14:textId="77777777" w:rsidR="00853889" w:rsidRPr="00FB6BE4" w:rsidRDefault="001811F5" w:rsidP="001811F5">
            <w:pPr>
              <w:pStyle w:val="NoSpacing"/>
            </w:pPr>
            <w:r>
              <w:rPr>
                <w:rFonts w:hint="eastAsia"/>
                <w:lang w:eastAsia="ja-JP"/>
              </w:rPr>
              <w:t>O</w:t>
            </w:r>
            <w:r w:rsidR="00853889" w:rsidRPr="00FB6BE4">
              <w:t>utsider</w:t>
            </w:r>
          </w:p>
        </w:tc>
        <w:tc>
          <w:tcPr>
            <w:tcW w:w="3064" w:type="dxa"/>
            <w:tcBorders>
              <w:top w:val="single" w:sz="4" w:space="0" w:color="auto"/>
              <w:left w:val="single" w:sz="4" w:space="0" w:color="auto"/>
              <w:bottom w:val="single" w:sz="4" w:space="0" w:color="auto"/>
              <w:right w:val="single" w:sz="4" w:space="0" w:color="auto"/>
            </w:tcBorders>
          </w:tcPr>
          <w:p w14:paraId="0A28DD31" w14:textId="77777777" w:rsidR="00853889" w:rsidRPr="00FB6BE4" w:rsidRDefault="001811F5" w:rsidP="001811F5">
            <w:pPr>
              <w:pStyle w:val="NoSpacing"/>
            </w:pPr>
            <w:r>
              <w:rPr>
                <w:rFonts w:hint="eastAsia"/>
                <w:lang w:eastAsia="ja-JP"/>
              </w:rPr>
              <w:t>I</w:t>
            </w:r>
            <w:r w:rsidR="00853889" w:rsidRPr="00FB6BE4">
              <w:t>nsider</w:t>
            </w:r>
          </w:p>
        </w:tc>
      </w:tr>
      <w:tr w:rsidR="00853889" w:rsidRPr="00FB6BE4" w14:paraId="50C3A9B4" w14:textId="77777777" w:rsidTr="00FF685A">
        <w:tc>
          <w:tcPr>
            <w:tcW w:w="2518" w:type="dxa"/>
            <w:tcBorders>
              <w:top w:val="single" w:sz="4" w:space="0" w:color="auto"/>
              <w:left w:val="single" w:sz="4" w:space="0" w:color="auto"/>
              <w:bottom w:val="single" w:sz="4" w:space="0" w:color="auto"/>
              <w:right w:val="single" w:sz="4" w:space="0" w:color="auto"/>
            </w:tcBorders>
          </w:tcPr>
          <w:p w14:paraId="7276C284" w14:textId="77777777" w:rsidR="00853889" w:rsidRPr="00FB6BE4" w:rsidRDefault="00853889" w:rsidP="00FF685A">
            <w:pPr>
              <w:pStyle w:val="NoSpacing"/>
            </w:pPr>
            <w:r w:rsidRPr="00FB6BE4">
              <w:t>Relationship between theory/concepts and research</w:t>
            </w:r>
          </w:p>
        </w:tc>
        <w:tc>
          <w:tcPr>
            <w:tcW w:w="3686" w:type="dxa"/>
            <w:tcBorders>
              <w:top w:val="single" w:sz="4" w:space="0" w:color="auto"/>
              <w:left w:val="single" w:sz="4" w:space="0" w:color="auto"/>
              <w:bottom w:val="single" w:sz="4" w:space="0" w:color="auto"/>
              <w:right w:val="single" w:sz="4" w:space="0" w:color="auto"/>
            </w:tcBorders>
          </w:tcPr>
          <w:p w14:paraId="51112F46" w14:textId="77777777" w:rsidR="00853889" w:rsidRPr="00FB6BE4" w:rsidRDefault="001811F5" w:rsidP="001811F5">
            <w:pPr>
              <w:pStyle w:val="NoSpacing"/>
            </w:pPr>
            <w:r>
              <w:rPr>
                <w:rFonts w:hint="eastAsia"/>
                <w:lang w:eastAsia="ja-JP"/>
              </w:rPr>
              <w:t>C</w:t>
            </w:r>
            <w:r w:rsidR="00853889" w:rsidRPr="00FB6BE4">
              <w:t>onfirmation</w:t>
            </w:r>
          </w:p>
        </w:tc>
        <w:tc>
          <w:tcPr>
            <w:tcW w:w="3064" w:type="dxa"/>
            <w:tcBorders>
              <w:top w:val="single" w:sz="4" w:space="0" w:color="auto"/>
              <w:left w:val="single" w:sz="4" w:space="0" w:color="auto"/>
              <w:bottom w:val="single" w:sz="4" w:space="0" w:color="auto"/>
              <w:right w:val="single" w:sz="4" w:space="0" w:color="auto"/>
            </w:tcBorders>
          </w:tcPr>
          <w:p w14:paraId="1B4F6ADF" w14:textId="77777777" w:rsidR="00853889" w:rsidRPr="00FB6BE4" w:rsidRDefault="001811F5" w:rsidP="001811F5">
            <w:pPr>
              <w:pStyle w:val="NoSpacing"/>
            </w:pPr>
            <w:r>
              <w:rPr>
                <w:rFonts w:hint="eastAsia"/>
                <w:lang w:eastAsia="ja-JP"/>
              </w:rPr>
              <w:t>E</w:t>
            </w:r>
            <w:r w:rsidR="00853889" w:rsidRPr="00FB6BE4">
              <w:t>mergent</w:t>
            </w:r>
          </w:p>
        </w:tc>
      </w:tr>
      <w:tr w:rsidR="00853889" w:rsidRPr="00FB6BE4" w14:paraId="7B041A22" w14:textId="77777777" w:rsidTr="00FF685A">
        <w:tc>
          <w:tcPr>
            <w:tcW w:w="2518" w:type="dxa"/>
            <w:tcBorders>
              <w:top w:val="single" w:sz="4" w:space="0" w:color="auto"/>
              <w:left w:val="single" w:sz="4" w:space="0" w:color="auto"/>
              <w:bottom w:val="single" w:sz="4" w:space="0" w:color="auto"/>
              <w:right w:val="single" w:sz="4" w:space="0" w:color="auto"/>
            </w:tcBorders>
          </w:tcPr>
          <w:p w14:paraId="7D523D2C" w14:textId="77777777" w:rsidR="00853889" w:rsidRPr="00FB6BE4" w:rsidRDefault="00853889" w:rsidP="00FF685A">
            <w:pPr>
              <w:pStyle w:val="NoSpacing"/>
            </w:pPr>
            <w:r w:rsidRPr="00FB6BE4">
              <w:t>Research strategy</w:t>
            </w:r>
          </w:p>
        </w:tc>
        <w:tc>
          <w:tcPr>
            <w:tcW w:w="3686" w:type="dxa"/>
            <w:tcBorders>
              <w:top w:val="single" w:sz="4" w:space="0" w:color="auto"/>
              <w:left w:val="single" w:sz="4" w:space="0" w:color="auto"/>
              <w:bottom w:val="single" w:sz="4" w:space="0" w:color="auto"/>
              <w:right w:val="single" w:sz="4" w:space="0" w:color="auto"/>
            </w:tcBorders>
          </w:tcPr>
          <w:p w14:paraId="5701B892" w14:textId="77777777" w:rsidR="00853889" w:rsidRPr="00FB6BE4" w:rsidRDefault="001811F5" w:rsidP="001811F5">
            <w:pPr>
              <w:pStyle w:val="NoSpacing"/>
            </w:pPr>
            <w:r>
              <w:rPr>
                <w:rFonts w:hint="eastAsia"/>
                <w:lang w:eastAsia="ja-JP"/>
              </w:rPr>
              <w:t>S</w:t>
            </w:r>
            <w:r w:rsidR="00853889" w:rsidRPr="00FB6BE4">
              <w:t>tructured</w:t>
            </w:r>
          </w:p>
        </w:tc>
        <w:tc>
          <w:tcPr>
            <w:tcW w:w="3064" w:type="dxa"/>
            <w:tcBorders>
              <w:top w:val="single" w:sz="4" w:space="0" w:color="auto"/>
              <w:left w:val="single" w:sz="4" w:space="0" w:color="auto"/>
              <w:bottom w:val="single" w:sz="4" w:space="0" w:color="auto"/>
              <w:right w:val="single" w:sz="4" w:space="0" w:color="auto"/>
            </w:tcBorders>
          </w:tcPr>
          <w:p w14:paraId="78128EFB" w14:textId="77777777" w:rsidR="00853889" w:rsidRPr="00FB6BE4" w:rsidRDefault="001811F5" w:rsidP="001811F5">
            <w:pPr>
              <w:pStyle w:val="NoSpacing"/>
            </w:pPr>
            <w:r>
              <w:rPr>
                <w:rFonts w:hint="eastAsia"/>
                <w:lang w:eastAsia="ja-JP"/>
              </w:rPr>
              <w:t>U</w:t>
            </w:r>
            <w:r w:rsidR="00853889" w:rsidRPr="00FB6BE4">
              <w:t>nstructured</w:t>
            </w:r>
          </w:p>
        </w:tc>
      </w:tr>
      <w:tr w:rsidR="00853889" w:rsidRPr="00FB6BE4" w14:paraId="60729E77" w14:textId="77777777" w:rsidTr="00FF685A">
        <w:tc>
          <w:tcPr>
            <w:tcW w:w="2518" w:type="dxa"/>
            <w:tcBorders>
              <w:top w:val="single" w:sz="4" w:space="0" w:color="auto"/>
              <w:left w:val="single" w:sz="4" w:space="0" w:color="auto"/>
              <w:bottom w:val="single" w:sz="4" w:space="0" w:color="auto"/>
              <w:right w:val="single" w:sz="4" w:space="0" w:color="auto"/>
            </w:tcBorders>
          </w:tcPr>
          <w:p w14:paraId="676B7A5E" w14:textId="77777777" w:rsidR="00853889" w:rsidRPr="00FB6BE4" w:rsidRDefault="00853889" w:rsidP="00FF685A">
            <w:pPr>
              <w:pStyle w:val="NoSpacing"/>
            </w:pPr>
            <w:r w:rsidRPr="00FB6BE4">
              <w:t>Scope of findings</w:t>
            </w:r>
          </w:p>
        </w:tc>
        <w:tc>
          <w:tcPr>
            <w:tcW w:w="3686" w:type="dxa"/>
            <w:tcBorders>
              <w:top w:val="single" w:sz="4" w:space="0" w:color="auto"/>
              <w:left w:val="single" w:sz="4" w:space="0" w:color="auto"/>
              <w:bottom w:val="single" w:sz="4" w:space="0" w:color="auto"/>
              <w:right w:val="single" w:sz="4" w:space="0" w:color="auto"/>
            </w:tcBorders>
          </w:tcPr>
          <w:p w14:paraId="21425745" w14:textId="77777777" w:rsidR="00853889" w:rsidRPr="00FB6BE4" w:rsidRDefault="001811F5" w:rsidP="001811F5">
            <w:pPr>
              <w:pStyle w:val="NoSpacing"/>
            </w:pPr>
            <w:r>
              <w:rPr>
                <w:rFonts w:hint="eastAsia"/>
                <w:lang w:eastAsia="ja-JP"/>
              </w:rPr>
              <w:t>N</w:t>
            </w:r>
            <w:r w:rsidR="00853889" w:rsidRPr="00FB6BE4">
              <w:t>omothetic</w:t>
            </w:r>
          </w:p>
        </w:tc>
        <w:tc>
          <w:tcPr>
            <w:tcW w:w="3064" w:type="dxa"/>
            <w:tcBorders>
              <w:top w:val="single" w:sz="4" w:space="0" w:color="auto"/>
              <w:left w:val="single" w:sz="4" w:space="0" w:color="auto"/>
              <w:bottom w:val="single" w:sz="4" w:space="0" w:color="auto"/>
              <w:right w:val="single" w:sz="4" w:space="0" w:color="auto"/>
            </w:tcBorders>
          </w:tcPr>
          <w:p w14:paraId="091AB3DB" w14:textId="77777777" w:rsidR="00853889" w:rsidRPr="00FB6BE4" w:rsidRDefault="001811F5" w:rsidP="001811F5">
            <w:pPr>
              <w:pStyle w:val="NoSpacing"/>
            </w:pPr>
            <w:r>
              <w:rPr>
                <w:rFonts w:hint="eastAsia"/>
                <w:lang w:eastAsia="ja-JP"/>
              </w:rPr>
              <w:t>I</w:t>
            </w:r>
            <w:r w:rsidR="00853889" w:rsidRPr="00FB6BE4">
              <w:t>d</w:t>
            </w:r>
            <w:r w:rsidR="00B350A5">
              <w:rPr>
                <w:rFonts w:hint="eastAsia"/>
                <w:lang w:eastAsia="ja-JP"/>
              </w:rPr>
              <w:t>i</w:t>
            </w:r>
            <w:r w:rsidR="00853889" w:rsidRPr="00FB6BE4">
              <w:t>ographic</w:t>
            </w:r>
          </w:p>
        </w:tc>
      </w:tr>
      <w:tr w:rsidR="00853889" w:rsidRPr="00FB6BE4" w14:paraId="305F35D2" w14:textId="77777777" w:rsidTr="00FF685A">
        <w:tc>
          <w:tcPr>
            <w:tcW w:w="2518" w:type="dxa"/>
          </w:tcPr>
          <w:p w14:paraId="28362721" w14:textId="77777777" w:rsidR="00853889" w:rsidRPr="00FB6BE4" w:rsidRDefault="00853889" w:rsidP="00FF685A">
            <w:pPr>
              <w:pStyle w:val="NoSpacing"/>
            </w:pPr>
            <w:r w:rsidRPr="00FB6BE4">
              <w:t>Image of social reality</w:t>
            </w:r>
          </w:p>
        </w:tc>
        <w:tc>
          <w:tcPr>
            <w:tcW w:w="3686" w:type="dxa"/>
          </w:tcPr>
          <w:p w14:paraId="4087E60B" w14:textId="77777777" w:rsidR="00853889" w:rsidRPr="00FB6BE4" w:rsidRDefault="00853889" w:rsidP="00FF685A">
            <w:pPr>
              <w:pStyle w:val="NoSpacing"/>
            </w:pPr>
            <w:r w:rsidRPr="00FB6BE4">
              <w:t>Static and external to actor</w:t>
            </w:r>
          </w:p>
        </w:tc>
        <w:tc>
          <w:tcPr>
            <w:tcW w:w="3064" w:type="dxa"/>
          </w:tcPr>
          <w:p w14:paraId="389111A8" w14:textId="77777777" w:rsidR="00853889" w:rsidRPr="00FB6BE4" w:rsidRDefault="001811F5" w:rsidP="001811F5">
            <w:pPr>
              <w:pStyle w:val="NoSpacing"/>
            </w:pPr>
            <w:r>
              <w:rPr>
                <w:rFonts w:hint="eastAsia"/>
                <w:lang w:eastAsia="ja-JP"/>
              </w:rPr>
              <w:t>P</w:t>
            </w:r>
            <w:r w:rsidR="00853889" w:rsidRPr="00FB6BE4">
              <w:t>rocessual and socially constructed by actor. Dynamic</w:t>
            </w:r>
          </w:p>
        </w:tc>
      </w:tr>
      <w:tr w:rsidR="00853889" w:rsidRPr="00FB6BE4" w14:paraId="6BA24059" w14:textId="77777777" w:rsidTr="00FF685A">
        <w:tc>
          <w:tcPr>
            <w:tcW w:w="2518" w:type="dxa"/>
          </w:tcPr>
          <w:p w14:paraId="4FA08052" w14:textId="77777777" w:rsidR="00853889" w:rsidRPr="00FB6BE4" w:rsidRDefault="00853889" w:rsidP="00FF685A">
            <w:pPr>
              <w:pStyle w:val="NoSpacing"/>
            </w:pPr>
            <w:r w:rsidRPr="00FB6BE4">
              <w:t>Nature of data</w:t>
            </w:r>
          </w:p>
        </w:tc>
        <w:tc>
          <w:tcPr>
            <w:tcW w:w="3686" w:type="dxa"/>
          </w:tcPr>
          <w:p w14:paraId="5B67AB1F" w14:textId="77777777" w:rsidR="00853889" w:rsidRPr="00FB6BE4" w:rsidRDefault="001811F5" w:rsidP="001811F5">
            <w:pPr>
              <w:pStyle w:val="NoSpacing"/>
            </w:pPr>
            <w:r>
              <w:rPr>
                <w:rFonts w:hint="eastAsia"/>
                <w:lang w:eastAsia="ja-JP"/>
              </w:rPr>
              <w:t>H</w:t>
            </w:r>
            <w:r w:rsidR="00853889" w:rsidRPr="00FB6BE4">
              <w:t>ard, reliable</w:t>
            </w:r>
          </w:p>
        </w:tc>
        <w:tc>
          <w:tcPr>
            <w:tcW w:w="3064" w:type="dxa"/>
          </w:tcPr>
          <w:p w14:paraId="331C9C3B" w14:textId="77777777" w:rsidR="00853889" w:rsidRPr="00FB6BE4" w:rsidRDefault="001811F5" w:rsidP="001811F5">
            <w:pPr>
              <w:pStyle w:val="NoSpacing"/>
            </w:pPr>
            <w:r>
              <w:rPr>
                <w:rFonts w:hint="eastAsia"/>
                <w:lang w:eastAsia="ja-JP"/>
              </w:rPr>
              <w:t>R</w:t>
            </w:r>
            <w:r w:rsidR="00853889" w:rsidRPr="00FB6BE4">
              <w:t>ich, deep</w:t>
            </w:r>
          </w:p>
        </w:tc>
      </w:tr>
    </w:tbl>
    <w:p w14:paraId="4A8B8A05" w14:textId="77777777" w:rsidR="00853889" w:rsidRDefault="00853889" w:rsidP="0024471C">
      <w:pPr>
        <w:ind w:firstLineChars="122" w:firstLine="277"/>
      </w:pPr>
    </w:p>
    <w:p w14:paraId="663ACD09" w14:textId="77777777" w:rsidR="00853889" w:rsidRDefault="00853889" w:rsidP="0024471C">
      <w:pPr>
        <w:ind w:firstLineChars="122" w:firstLine="277"/>
      </w:pPr>
      <w:r w:rsidRPr="0078037F">
        <w:t xml:space="preserve">If the cleavage between qualitative research methods and quantitative research methods </w:t>
      </w:r>
      <w:r w:rsidRPr="0078037F">
        <w:rPr>
          <w:rFonts w:hint="eastAsia"/>
        </w:rPr>
        <w:t>is regarded</w:t>
      </w:r>
      <w:r>
        <w:rPr>
          <w:rFonts w:hint="eastAsia"/>
        </w:rPr>
        <w:t xml:space="preserve"> as flexible</w:t>
      </w:r>
      <w:r>
        <w:t xml:space="preserve">, </w:t>
      </w:r>
      <w:r>
        <w:rPr>
          <w:rFonts w:hint="eastAsia"/>
        </w:rPr>
        <w:t xml:space="preserve">a researcher can seek the possibility of </w:t>
      </w:r>
      <w:r>
        <w:t>combining both qualitative and quantitative research methods in a single research strategy (Bryman 1988 pp.127-56). For instance, Bryman (1988 p.127) reports the researchers: ‘who locate their work largely within the tradition of qualitative research, but who have used survey procedures in tandem with participant observation’.</w:t>
      </w:r>
    </w:p>
    <w:p w14:paraId="78D8CFB2" w14:textId="77777777" w:rsidR="00853889" w:rsidRDefault="00853889" w:rsidP="0024471C">
      <w:pPr>
        <w:ind w:firstLineChars="122" w:firstLine="277"/>
      </w:pPr>
      <w:r>
        <w:t xml:space="preserve"> Qualitative research methods</w:t>
      </w:r>
      <w:r w:rsidRPr="006838EC">
        <w:t xml:space="preserve"> employ unstructured or more flexible strategies and focus more on the processes than the outcomes of the events (Bulmer 1986 p.183). </w:t>
      </w:r>
      <w:r>
        <w:t>Some</w:t>
      </w:r>
      <w:r w:rsidRPr="006838EC">
        <w:t xml:space="preserve"> literature utilise</w:t>
      </w:r>
      <w:r>
        <w:t>s</w:t>
      </w:r>
      <w:r w:rsidRPr="006838EC">
        <w:t xml:space="preserve"> qualitative research methods to explore the questions of public policy</w:t>
      </w:r>
      <w:r>
        <w:t>, and its choice of research methods serves its research goals</w:t>
      </w:r>
      <w:r w:rsidRPr="006838EC">
        <w:t xml:space="preserve">. </w:t>
      </w:r>
      <w:r>
        <w:t xml:space="preserve">For example, </w:t>
      </w:r>
      <w:r w:rsidRPr="006838EC">
        <w:t xml:space="preserve">Vogel (1996) utilises interviews mainly </w:t>
      </w:r>
      <w:r>
        <w:t>involving</w:t>
      </w:r>
      <w:r w:rsidRPr="006838EC">
        <w:t xml:space="preserve"> </w:t>
      </w:r>
      <w:r>
        <w:t xml:space="preserve">party politicians, </w:t>
      </w:r>
      <w:r w:rsidRPr="006838EC">
        <w:t>government officials</w:t>
      </w:r>
      <w:r>
        <w:t>,</w:t>
      </w:r>
      <w:r w:rsidRPr="006838EC">
        <w:t xml:space="preserve"> and other relevant elites to draw out the contrast between Japan’s regulatory reform in the 1980s and </w:t>
      </w:r>
      <w:r>
        <w:rPr>
          <w:rFonts w:hint="eastAsia"/>
        </w:rPr>
        <w:t>the UK</w:t>
      </w:r>
      <w:r>
        <w:t>’</w:t>
      </w:r>
      <w:r>
        <w:rPr>
          <w:rFonts w:hint="eastAsia"/>
        </w:rPr>
        <w:t xml:space="preserve">s </w:t>
      </w:r>
      <w:r w:rsidRPr="006838EC">
        <w:t>equivalent</w:t>
      </w:r>
      <w:r>
        <w:rPr>
          <w:rFonts w:hint="eastAsia"/>
        </w:rPr>
        <w:t>.</w:t>
      </w:r>
      <w:r w:rsidRPr="006838EC">
        <w:t xml:space="preserve"> </w:t>
      </w:r>
      <w:r>
        <w:rPr>
          <w:rFonts w:hint="eastAsia"/>
        </w:rPr>
        <w:t>He</w:t>
      </w:r>
      <w:r w:rsidRPr="006838EC">
        <w:t xml:space="preserve"> explores </w:t>
      </w:r>
      <w:r>
        <w:t>how</w:t>
      </w:r>
      <w:r w:rsidRPr="006838EC">
        <w:t xml:space="preserve"> a public policy theme (the regulatory reform) created ‘strikingly</w:t>
      </w:r>
      <w:r>
        <w:t xml:space="preserve"> different results</w:t>
      </w:r>
      <w:r w:rsidRPr="006838EC">
        <w:t xml:space="preserve">’ (p.4) in different countries. </w:t>
      </w:r>
      <w:r>
        <w:t xml:space="preserve">Although it has no explanation about its choice of methodology, Vogel’s (1996) research methods appear to sufficiently serve his research goals. </w:t>
      </w:r>
      <w:r>
        <w:rPr>
          <w:rFonts w:hint="eastAsia"/>
        </w:rPr>
        <w:t xml:space="preserve">Elsewhere, </w:t>
      </w:r>
      <w:r w:rsidRPr="004A2C86">
        <w:t xml:space="preserve">Richards (2008) </w:t>
      </w:r>
      <w:r>
        <w:t>analyses</w:t>
      </w:r>
      <w:r w:rsidRPr="004A2C86">
        <w:t xml:space="preserve"> how New Labour has reconstituted Britain’s Westminster system through </w:t>
      </w:r>
      <w:r>
        <w:t>elite interview</w:t>
      </w:r>
      <w:r w:rsidRPr="004A2C86">
        <w:t>ing.</w:t>
      </w:r>
      <w:r>
        <w:t xml:space="preserve"> His methodological approach is drawn from</w:t>
      </w:r>
      <w:r>
        <w:rPr>
          <w:rFonts w:hint="eastAsia"/>
        </w:rPr>
        <w:t>:</w:t>
      </w:r>
      <w:r>
        <w:t xml:space="preserve"> ‘the new institutionalist tradition, in particular historical institutionalism aimed at understanding and interpreting the formal and informal rules of the game that shape the behaviour of agents, rather than an anti-foundationalist approach concerned with interpreting their (agents’) “web of beliefs”’ (Richards 2008 p.8).</w:t>
      </w:r>
      <w:r>
        <w:rPr>
          <w:rFonts w:hint="eastAsia"/>
        </w:rPr>
        <w:t xml:space="preserve"> In other words, Richards (2008) employs an approach bridging the reality in the material world and the ideational world.</w:t>
      </w:r>
    </w:p>
    <w:p w14:paraId="30A4E26A" w14:textId="77777777" w:rsidR="00853889" w:rsidRDefault="00853889" w:rsidP="0024471C">
      <w:pPr>
        <w:ind w:firstLineChars="122" w:firstLine="277"/>
      </w:pPr>
      <w:r>
        <w:t xml:space="preserve">The exploratory nature of this thesis renders it to focus on how the state has been transformed; </w:t>
      </w:r>
      <w:r w:rsidRPr="00005DB1">
        <w:t>it highlights the process as well as the result of state transformation. S</w:t>
      </w:r>
      <w:r w:rsidRPr="00005DB1">
        <w:rPr>
          <w:rFonts w:hint="eastAsia"/>
        </w:rPr>
        <w:t xml:space="preserve">uch goals of investigation can be achieved by qualitative research methods, which focus on the processes of </w:t>
      </w:r>
      <w:r w:rsidRPr="00005DB1">
        <w:t>change</w:t>
      </w:r>
      <w:r w:rsidRPr="00005DB1">
        <w:rPr>
          <w:rFonts w:hint="eastAsia"/>
        </w:rPr>
        <w:t xml:space="preserve"> in the observed events. </w:t>
      </w:r>
      <w:r>
        <w:rPr>
          <w:rFonts w:hint="eastAsia"/>
        </w:rPr>
        <w:t>This thesis regards as important the benefits of the rich and deep data obtained from close contact to the data source for the following reasons:</w:t>
      </w:r>
    </w:p>
    <w:p w14:paraId="408ED500" w14:textId="77777777" w:rsidR="00853889" w:rsidRPr="006F07FC" w:rsidRDefault="00853889" w:rsidP="001B6C05">
      <w:pPr>
        <w:pStyle w:val="ListParagraph"/>
        <w:widowControl w:val="0"/>
        <w:numPr>
          <w:ilvl w:val="0"/>
          <w:numId w:val="34"/>
        </w:numPr>
        <w:ind w:left="284" w:hanging="284"/>
        <w:contextualSpacing w:val="0"/>
      </w:pPr>
      <w:r w:rsidRPr="00B52D00">
        <w:rPr>
          <w:rFonts w:hint="eastAsia"/>
        </w:rPr>
        <w:t>qualitative analyses drawn from multiple accounts and sources can reveal an extensive view</w:t>
      </w:r>
      <w:r>
        <w:rPr>
          <w:rFonts w:hint="eastAsia"/>
        </w:rPr>
        <w:t xml:space="preserve"> with rich and deep nature of the data</w:t>
      </w:r>
      <w:r w:rsidRPr="006F07FC">
        <w:rPr>
          <w:rFonts w:hint="eastAsia"/>
        </w:rPr>
        <w:t>.</w:t>
      </w:r>
      <w:r>
        <w:rPr>
          <w:rFonts w:hint="eastAsia"/>
        </w:rPr>
        <w:t xml:space="preserve"> Its approach employing naturalistic and uncontrolled observation also has more flexibility to create claims than an approach of quantitative research methods </w:t>
      </w:r>
      <w:r w:rsidR="003B4058">
        <w:t xml:space="preserve">is </w:t>
      </w:r>
      <w:r>
        <w:rPr>
          <w:rFonts w:hint="eastAsia"/>
        </w:rPr>
        <w:t>associated with obstructive and controlled measurement (Bryman 1988 p.94, Bulmer 1986 p.183). These advantages offer a significant benefit for expl</w:t>
      </w:r>
      <w:r w:rsidR="00264F77">
        <w:rPr>
          <w:rFonts w:eastAsia="MS Mincho" w:hint="eastAsia"/>
        </w:rPr>
        <w:t>ora</w:t>
      </w:r>
      <w:r>
        <w:rPr>
          <w:rFonts w:hint="eastAsia"/>
        </w:rPr>
        <w:t xml:space="preserve">tory research such as this thesis; with qualitative research methods this thesis can have greater flexibility to </w:t>
      </w:r>
      <w:r>
        <w:t>establish</w:t>
      </w:r>
      <w:r>
        <w:rPr>
          <w:rFonts w:hint="eastAsia"/>
        </w:rPr>
        <w:t xml:space="preserve"> its claim on a still unexplained theme than a research thesis based on quantitative research methods, which are based on testing hypotheses within an established framework.</w:t>
      </w:r>
    </w:p>
    <w:p w14:paraId="428E2855" w14:textId="77777777" w:rsidR="00853889" w:rsidRDefault="00853889" w:rsidP="001B6C05">
      <w:pPr>
        <w:pStyle w:val="ListParagraph"/>
        <w:widowControl w:val="0"/>
        <w:numPr>
          <w:ilvl w:val="0"/>
          <w:numId w:val="34"/>
        </w:numPr>
        <w:ind w:left="284" w:hanging="284"/>
        <w:contextualSpacing w:val="0"/>
      </w:pPr>
      <w:r>
        <w:rPr>
          <w:rFonts w:hint="eastAsia"/>
        </w:rPr>
        <w:t xml:space="preserve">designing </w:t>
      </w:r>
      <w:r w:rsidRPr="006F07FC">
        <w:rPr>
          <w:rFonts w:hint="eastAsia"/>
        </w:rPr>
        <w:t xml:space="preserve">a </w:t>
      </w:r>
      <w:r w:rsidRPr="006F07FC">
        <w:t>rigorous</w:t>
      </w:r>
      <w:r w:rsidRPr="006F07FC">
        <w:rPr>
          <w:rFonts w:hint="eastAsia"/>
        </w:rPr>
        <w:t xml:space="preserve"> quantitative survey is </w:t>
      </w:r>
      <w:r w:rsidR="00594F57">
        <w:t>problematic</w:t>
      </w:r>
      <w:r>
        <w:rPr>
          <w:rFonts w:hint="eastAsia"/>
        </w:rPr>
        <w:t>, for</w:t>
      </w:r>
      <w:r w:rsidRPr="006F07FC">
        <w:rPr>
          <w:rFonts w:hint="eastAsia"/>
        </w:rPr>
        <w:t xml:space="preserve"> the </w:t>
      </w:r>
      <w:r>
        <w:rPr>
          <w:rFonts w:hint="eastAsia"/>
        </w:rPr>
        <w:t>size</w:t>
      </w:r>
      <w:r w:rsidRPr="006F07FC">
        <w:rPr>
          <w:rFonts w:hint="eastAsia"/>
        </w:rPr>
        <w:t xml:space="preserve"> of the original </w:t>
      </w:r>
      <w:r w:rsidRPr="006F07FC">
        <w:t>population</w:t>
      </w:r>
      <w:r w:rsidRPr="006F07FC">
        <w:rPr>
          <w:rFonts w:hint="eastAsia"/>
        </w:rPr>
        <w:t xml:space="preserve"> (the core executive members and those relevant to </w:t>
      </w:r>
      <w:r>
        <w:rPr>
          <w:rFonts w:hint="eastAsia"/>
        </w:rPr>
        <w:t xml:space="preserve">it) is limited. Taking account of the fact that the access to the core executive members and those relevant to it is limited, collecting </w:t>
      </w:r>
      <w:r w:rsidR="003B4058">
        <w:t xml:space="preserve">a </w:t>
      </w:r>
      <w:r>
        <w:rPr>
          <w:rFonts w:hint="eastAsia"/>
        </w:rPr>
        <w:t xml:space="preserve">sufficient </w:t>
      </w:r>
      <w:r>
        <w:t>number</w:t>
      </w:r>
      <w:r>
        <w:rPr>
          <w:rFonts w:hint="eastAsia"/>
        </w:rPr>
        <w:t xml:space="preserve"> of survey results from the population is very challenging. O</w:t>
      </w:r>
      <w:r w:rsidRPr="006F07FC">
        <w:rPr>
          <w:rFonts w:hint="eastAsia"/>
        </w:rPr>
        <w:t xml:space="preserve">btaining </w:t>
      </w:r>
      <w:r>
        <w:rPr>
          <w:rFonts w:hint="eastAsia"/>
        </w:rPr>
        <w:t xml:space="preserve">rich and deep data from </w:t>
      </w:r>
      <w:r w:rsidRPr="006F07FC">
        <w:rPr>
          <w:rFonts w:hint="eastAsia"/>
        </w:rPr>
        <w:t>th</w:t>
      </w:r>
      <w:r>
        <w:rPr>
          <w:rFonts w:hint="eastAsia"/>
        </w:rPr>
        <w:t xml:space="preserve">ose accessible </w:t>
      </w:r>
      <w:r w:rsidR="003B4058">
        <w:t>is</w:t>
      </w:r>
      <w:r>
        <w:rPr>
          <w:rFonts w:hint="eastAsia"/>
        </w:rPr>
        <w:t xml:space="preserve"> more practicable.</w:t>
      </w:r>
    </w:p>
    <w:p w14:paraId="62AE1BB8" w14:textId="77777777" w:rsidR="00853889" w:rsidRDefault="00853889" w:rsidP="0024471C">
      <w:pPr>
        <w:ind w:firstLineChars="122" w:firstLine="277"/>
      </w:pPr>
    </w:p>
    <w:p w14:paraId="4C6A4FB0" w14:textId="77777777" w:rsidR="00853889" w:rsidRDefault="00853889" w:rsidP="00853889">
      <w:pPr>
        <w:ind w:firstLine="284"/>
      </w:pPr>
      <w:r>
        <w:rPr>
          <w:rFonts w:hint="eastAsia"/>
        </w:rPr>
        <w:t xml:space="preserve">The data analysis of the interview as a qualitative research method is an example of revealing rich and deep data. It allows a researcher to expose how the actors thought and reacted to the focused events, what political contexts existed behind the event, what norms </w:t>
      </w:r>
      <w:r>
        <w:t>and</w:t>
      </w:r>
      <w:r>
        <w:rPr>
          <w:rFonts w:hint="eastAsia"/>
        </w:rPr>
        <w:t xml:space="preserve"> cultures contributed to shape decisions and responses on the event, and how power relations changed. An interview without a strong control, which is typical in qualitative research, has the potential </w:t>
      </w:r>
      <w:r w:rsidR="003B4058">
        <w:t>for</w:t>
      </w:r>
      <w:r>
        <w:rPr>
          <w:rFonts w:hint="eastAsia"/>
        </w:rPr>
        <w:t xml:space="preserve"> accessing such data (Bryman 1987 pp.46-7), on which a thesis </w:t>
      </w:r>
      <w:r w:rsidR="002E3366">
        <w:rPr>
          <w:rFonts w:hint="eastAsia"/>
          <w:lang w:eastAsia="ja-JP"/>
        </w:rPr>
        <w:t>employing</w:t>
      </w:r>
      <w:r>
        <w:rPr>
          <w:rFonts w:hint="eastAsia"/>
        </w:rPr>
        <w:t xml:space="preserve"> a critical realist epistemological position </w:t>
      </w:r>
      <w:r w:rsidR="009937F0">
        <w:rPr>
          <w:rFonts w:hint="eastAsia"/>
          <w:lang w:eastAsia="ja-JP"/>
        </w:rPr>
        <w:t>can be</w:t>
      </w:r>
      <w:r>
        <w:rPr>
          <w:rFonts w:hint="eastAsia"/>
        </w:rPr>
        <w:t xml:space="preserve"> based.</w:t>
      </w:r>
    </w:p>
    <w:p w14:paraId="257FF7B8" w14:textId="77777777" w:rsidR="00853889" w:rsidRDefault="009937F0" w:rsidP="00853889">
      <w:pPr>
        <w:ind w:firstLine="284"/>
      </w:pPr>
      <w:r>
        <w:rPr>
          <w:rFonts w:hint="eastAsia"/>
          <w:lang w:eastAsia="ja-JP"/>
        </w:rPr>
        <w:t>Deriving from the</w:t>
      </w:r>
      <w:r w:rsidR="00853889">
        <w:rPr>
          <w:rFonts w:hint="eastAsia"/>
        </w:rPr>
        <w:t xml:space="preserve"> points </w:t>
      </w:r>
      <w:r>
        <w:rPr>
          <w:rFonts w:hint="eastAsia"/>
          <w:lang w:eastAsia="ja-JP"/>
        </w:rPr>
        <w:t xml:space="preserve">discussed </w:t>
      </w:r>
      <w:r w:rsidR="00853889">
        <w:rPr>
          <w:rFonts w:hint="eastAsia"/>
        </w:rPr>
        <w:t xml:space="preserve">above, this thesis employs qualitative research methods as its research approach. This forms </w:t>
      </w:r>
      <w:r w:rsidR="00853889">
        <w:t>a</w:t>
      </w:r>
      <w:r w:rsidR="00853889">
        <w:rPr>
          <w:rFonts w:hint="eastAsia"/>
        </w:rPr>
        <w:t xml:space="preserve"> crucial element of the research </w:t>
      </w:r>
      <w:r w:rsidR="00853889">
        <w:t>framework</w:t>
      </w:r>
      <w:r w:rsidR="00853889">
        <w:rPr>
          <w:rFonts w:hint="eastAsia"/>
        </w:rPr>
        <w:t xml:space="preserve"> of this thesis, together with the research strategies d</w:t>
      </w:r>
      <w:r w:rsidR="001C3B8F">
        <w:rPr>
          <w:rFonts w:hint="eastAsia"/>
          <w:lang w:eastAsia="ja-JP"/>
        </w:rPr>
        <w:t>iscussed</w:t>
      </w:r>
      <w:r w:rsidR="00853889">
        <w:rPr>
          <w:rFonts w:hint="eastAsia"/>
        </w:rPr>
        <w:t xml:space="preserve"> in the following section. </w:t>
      </w:r>
    </w:p>
    <w:p w14:paraId="394F0D15" w14:textId="77777777" w:rsidR="00853889" w:rsidRDefault="00853889" w:rsidP="00853889"/>
    <w:p w14:paraId="28B5C429" w14:textId="77777777" w:rsidR="00853889" w:rsidRPr="00B14CFF" w:rsidRDefault="00853889" w:rsidP="00853889"/>
    <w:p w14:paraId="60331117" w14:textId="77777777" w:rsidR="00853889" w:rsidRPr="0040349E" w:rsidRDefault="00853889" w:rsidP="00050D4B">
      <w:pPr>
        <w:pStyle w:val="Heading2"/>
      </w:pPr>
      <w:bookmarkStart w:id="39" w:name="_Toc349741361"/>
      <w:r>
        <w:rPr>
          <w:rFonts w:hint="eastAsia"/>
        </w:rPr>
        <w:t>4</w:t>
      </w:r>
      <w:r>
        <w:t>.</w:t>
      </w:r>
      <w:r w:rsidRPr="00AB5E59">
        <w:t>4</w:t>
      </w:r>
      <w:r>
        <w:tab/>
        <w:t>The strategy and the quality of the research</w:t>
      </w:r>
      <w:bookmarkEnd w:id="39"/>
    </w:p>
    <w:p w14:paraId="2223820A" w14:textId="77777777" w:rsidR="00853889" w:rsidRDefault="00853889" w:rsidP="00853889">
      <w:r>
        <w:t xml:space="preserve">Another important </w:t>
      </w:r>
      <w:r>
        <w:rPr>
          <w:rFonts w:hint="eastAsia"/>
        </w:rPr>
        <w:t>component</w:t>
      </w:r>
      <w:r>
        <w:t xml:space="preserve"> to establish the research framework of the thesis is its research strategy. Although Robert Yin himself has developed his career as a positivist (PhD in experimental psychology with a dozen publications in that field), </w:t>
      </w:r>
      <w:r>
        <w:rPr>
          <w:rFonts w:hint="eastAsia"/>
        </w:rPr>
        <w:t>his book (</w:t>
      </w:r>
      <w:r>
        <w:t>‘</w:t>
      </w:r>
      <w:r>
        <w:rPr>
          <w:rFonts w:hint="eastAsia"/>
        </w:rPr>
        <w:t>Case Study Research</w:t>
      </w:r>
      <w:r>
        <w:t>’</w:t>
      </w:r>
      <w:r>
        <w:rPr>
          <w:rFonts w:hint="eastAsia"/>
        </w:rPr>
        <w:t xml:space="preserve"> 1</w:t>
      </w:r>
      <w:r w:rsidRPr="00544245">
        <w:rPr>
          <w:rFonts w:hint="eastAsia"/>
          <w:vertAlign w:val="superscript"/>
        </w:rPr>
        <w:t>st</w:t>
      </w:r>
      <w:r>
        <w:rPr>
          <w:rFonts w:hint="eastAsia"/>
        </w:rPr>
        <w:t xml:space="preserve"> ed. (1984), 2</w:t>
      </w:r>
      <w:r w:rsidRPr="00544245">
        <w:rPr>
          <w:rFonts w:hint="eastAsia"/>
          <w:vertAlign w:val="superscript"/>
        </w:rPr>
        <w:t>nd</w:t>
      </w:r>
      <w:r>
        <w:rPr>
          <w:rFonts w:hint="eastAsia"/>
        </w:rPr>
        <w:t xml:space="preserve"> ed. (1994), 3</w:t>
      </w:r>
      <w:r w:rsidRPr="00544245">
        <w:rPr>
          <w:rFonts w:hint="eastAsia"/>
          <w:vertAlign w:val="superscript"/>
        </w:rPr>
        <w:t>rd</w:t>
      </w:r>
      <w:r>
        <w:rPr>
          <w:rFonts w:hint="eastAsia"/>
        </w:rPr>
        <w:t xml:space="preserve"> ed. </w:t>
      </w:r>
      <w:r>
        <w:t>(2003)</w:t>
      </w:r>
      <w:r>
        <w:rPr>
          <w:rFonts w:hint="eastAsia"/>
        </w:rPr>
        <w:t>)</w:t>
      </w:r>
      <w:r>
        <w:t xml:space="preserve"> offers broader research strategy guidelines for researchers regardless of their epistemological background</w:t>
      </w:r>
      <w:r>
        <w:rPr>
          <w:rFonts w:hint="eastAsia"/>
        </w:rPr>
        <w:t xml:space="preserve"> employed by a wide range of researchers (e.g. Rhodes 1995a p.5, 1995b p.31)</w:t>
      </w:r>
      <w:r>
        <w:t xml:space="preserve">. According to </w:t>
      </w:r>
      <w:r>
        <w:rPr>
          <w:rFonts w:hint="eastAsia"/>
        </w:rPr>
        <w:t>Yin</w:t>
      </w:r>
      <w:r>
        <w:t xml:space="preserve"> (</w:t>
      </w:r>
      <w:r w:rsidR="00264F77">
        <w:rPr>
          <w:rFonts w:eastAsia="MS Mincho" w:hint="eastAsia"/>
          <w:lang w:eastAsia="ja-JP"/>
        </w:rPr>
        <w:t xml:space="preserve">2003 </w:t>
      </w:r>
      <w:r>
        <w:t xml:space="preserve">p.1) research strategies employed </w:t>
      </w:r>
      <w:r>
        <w:rPr>
          <w:rFonts w:hint="eastAsia"/>
        </w:rPr>
        <w:t>within</w:t>
      </w:r>
      <w:r>
        <w:t xml:space="preserve"> social science include case studies, experiments, surveys, histories and the analysis of archival information. W</w:t>
      </w:r>
      <w:r>
        <w:rPr>
          <w:rFonts w:hint="eastAsia"/>
        </w:rPr>
        <w:t>hat strategy a research thesis employs</w:t>
      </w:r>
      <w:r>
        <w:t xml:space="preserve"> is determined by the following conditions (Yin 2003 p.1):</w:t>
      </w:r>
    </w:p>
    <w:p w14:paraId="47407593" w14:textId="77777777" w:rsidR="00853889" w:rsidRPr="002D14D0" w:rsidRDefault="00853889" w:rsidP="001B6C05">
      <w:pPr>
        <w:pStyle w:val="ListParagraph"/>
        <w:widowControl w:val="0"/>
        <w:numPr>
          <w:ilvl w:val="0"/>
          <w:numId w:val="32"/>
        </w:numPr>
        <w:ind w:left="284" w:hanging="284"/>
        <w:contextualSpacing w:val="0"/>
      </w:pPr>
      <w:r w:rsidRPr="002D14D0">
        <w:t>the type of research question</w:t>
      </w:r>
      <w:r>
        <w:rPr>
          <w:rFonts w:hint="eastAsia"/>
        </w:rPr>
        <w:t>s</w:t>
      </w:r>
      <w:r w:rsidRPr="002D14D0">
        <w:t xml:space="preserve"> posed,</w:t>
      </w:r>
    </w:p>
    <w:p w14:paraId="0EEB6E3C" w14:textId="77777777" w:rsidR="00853889" w:rsidRPr="002D14D0" w:rsidRDefault="00853889" w:rsidP="001B6C05">
      <w:pPr>
        <w:pStyle w:val="ListParagraph"/>
        <w:widowControl w:val="0"/>
        <w:numPr>
          <w:ilvl w:val="0"/>
          <w:numId w:val="32"/>
        </w:numPr>
        <w:ind w:left="284" w:hanging="284"/>
        <w:contextualSpacing w:val="0"/>
      </w:pPr>
      <w:r w:rsidRPr="002D14D0">
        <w:t>the extent of control an investigator has over actual events,</w:t>
      </w:r>
    </w:p>
    <w:p w14:paraId="78F0A180" w14:textId="77777777" w:rsidR="00853889" w:rsidRPr="002D14D0" w:rsidRDefault="00853889" w:rsidP="001B6C05">
      <w:pPr>
        <w:pStyle w:val="ListParagraph"/>
        <w:widowControl w:val="0"/>
        <w:numPr>
          <w:ilvl w:val="0"/>
          <w:numId w:val="32"/>
        </w:numPr>
        <w:ind w:left="284" w:hanging="284"/>
        <w:contextualSpacing w:val="0"/>
      </w:pPr>
      <w:r w:rsidRPr="002D14D0">
        <w:t>the degree of focus on contemporary as opposed to historical events.</w:t>
      </w:r>
    </w:p>
    <w:p w14:paraId="4270A40F" w14:textId="77777777" w:rsidR="00853889" w:rsidRDefault="00853889" w:rsidP="00853889"/>
    <w:p w14:paraId="7652B753" w14:textId="77777777" w:rsidR="00853889" w:rsidRDefault="00853889" w:rsidP="00853889">
      <w:r>
        <w:rPr>
          <w:rFonts w:hint="eastAsia"/>
        </w:rPr>
        <w:t>His</w:t>
      </w:r>
      <w:r>
        <w:t xml:space="preserve"> examination </w:t>
      </w:r>
      <w:r>
        <w:rPr>
          <w:rFonts w:hint="eastAsia"/>
        </w:rPr>
        <w:t>identifies</w:t>
      </w:r>
      <w:r>
        <w:t xml:space="preserve"> five research strategies and </w:t>
      </w:r>
      <w:r>
        <w:rPr>
          <w:rFonts w:hint="eastAsia"/>
        </w:rPr>
        <w:t>reveals</w:t>
      </w:r>
      <w:r>
        <w:t xml:space="preserve"> which research strategy is the most </w:t>
      </w:r>
      <w:r>
        <w:rPr>
          <w:rFonts w:hint="eastAsia"/>
        </w:rPr>
        <w:t>applicable to the</w:t>
      </w:r>
      <w:r>
        <w:t xml:space="preserve"> above mentioned conditions (see Table </w:t>
      </w:r>
      <w:r>
        <w:rPr>
          <w:rFonts w:hint="eastAsia"/>
        </w:rPr>
        <w:t>4</w:t>
      </w:r>
      <w:r>
        <w:t>.</w:t>
      </w:r>
      <w:r w:rsidR="009D4976">
        <w:rPr>
          <w:rFonts w:hint="eastAsia"/>
          <w:lang w:eastAsia="ja-JP"/>
        </w:rPr>
        <w:t>4</w:t>
      </w:r>
      <w:r>
        <w:t>). The strategies of research can be determined referring to this set of guidelines (Yin 2003 p.5).</w:t>
      </w:r>
    </w:p>
    <w:p w14:paraId="5E4FF039" w14:textId="77777777" w:rsidR="00853889" w:rsidRDefault="00853889" w:rsidP="00853889"/>
    <w:p w14:paraId="3BBFAB53" w14:textId="77777777" w:rsidR="00853889" w:rsidRPr="00DD7B49" w:rsidRDefault="00853889" w:rsidP="00DA2E02">
      <w:pPr>
        <w:pStyle w:val="Heading4"/>
      </w:pPr>
      <w:r w:rsidRPr="00DD7B49">
        <w:t xml:space="preserve">Table </w:t>
      </w:r>
      <w:r w:rsidRPr="00DD7B49">
        <w:rPr>
          <w:rFonts w:hint="eastAsia"/>
        </w:rPr>
        <w:t>4</w:t>
      </w:r>
      <w:r w:rsidRPr="00DD7B49">
        <w:t>.</w:t>
      </w:r>
      <w:r w:rsidR="009D4976">
        <w:rPr>
          <w:rFonts w:hint="eastAsia"/>
          <w:lang w:eastAsia="ja-JP"/>
        </w:rPr>
        <w:t>4</w:t>
      </w:r>
      <w:r w:rsidRPr="00DD7B49">
        <w:t>: Different research strategies and criteria (Yin 2003 p.5)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2604"/>
        <w:gridCol w:w="2389"/>
        <w:gridCol w:w="2365"/>
      </w:tblGrid>
      <w:tr w:rsidR="00853889" w:rsidRPr="00FB6BE4" w14:paraId="5B66BE2C" w14:textId="77777777" w:rsidTr="00FF685A">
        <w:tc>
          <w:tcPr>
            <w:tcW w:w="1384" w:type="dxa"/>
            <w:tcBorders>
              <w:bottom w:val="double" w:sz="4" w:space="0" w:color="auto"/>
              <w:right w:val="single" w:sz="12" w:space="0" w:color="auto"/>
            </w:tcBorders>
            <w:shd w:val="pct20" w:color="auto" w:fill="auto"/>
          </w:tcPr>
          <w:p w14:paraId="431C6937" w14:textId="77777777" w:rsidR="00853889" w:rsidRPr="00FB6BE4" w:rsidRDefault="00853889" w:rsidP="00FF685A">
            <w:pPr>
              <w:pStyle w:val="NoSpacing"/>
            </w:pPr>
            <w:r w:rsidRPr="00FB6BE4">
              <w:t>Strategies</w:t>
            </w:r>
          </w:p>
        </w:tc>
        <w:tc>
          <w:tcPr>
            <w:tcW w:w="2835" w:type="dxa"/>
            <w:tcBorders>
              <w:left w:val="single" w:sz="12" w:space="0" w:color="auto"/>
              <w:bottom w:val="double" w:sz="4" w:space="0" w:color="auto"/>
            </w:tcBorders>
            <w:shd w:val="pct20" w:color="auto" w:fill="auto"/>
          </w:tcPr>
          <w:p w14:paraId="33FD498F" w14:textId="77777777" w:rsidR="00853889" w:rsidRPr="00FB6BE4" w:rsidRDefault="00853889" w:rsidP="00FF685A">
            <w:pPr>
              <w:pStyle w:val="NoSpacing"/>
            </w:pPr>
            <w:r w:rsidRPr="00FB6BE4">
              <w:t xml:space="preserve">Form of Research Question </w:t>
            </w:r>
          </w:p>
        </w:tc>
        <w:tc>
          <w:tcPr>
            <w:tcW w:w="2552" w:type="dxa"/>
            <w:tcBorders>
              <w:bottom w:val="double" w:sz="4" w:space="0" w:color="auto"/>
            </w:tcBorders>
            <w:shd w:val="pct20" w:color="auto" w:fill="auto"/>
          </w:tcPr>
          <w:p w14:paraId="16FBBFFA" w14:textId="77777777" w:rsidR="00853889" w:rsidRPr="00FB6BE4" w:rsidRDefault="00853889" w:rsidP="00FF685A">
            <w:pPr>
              <w:pStyle w:val="NoSpacing"/>
            </w:pPr>
            <w:r w:rsidRPr="00FB6BE4">
              <w:t>Requires Control of Behavioural Events?</w:t>
            </w:r>
          </w:p>
        </w:tc>
        <w:tc>
          <w:tcPr>
            <w:tcW w:w="2497" w:type="dxa"/>
            <w:tcBorders>
              <w:bottom w:val="double" w:sz="4" w:space="0" w:color="auto"/>
            </w:tcBorders>
            <w:shd w:val="pct20" w:color="auto" w:fill="auto"/>
          </w:tcPr>
          <w:p w14:paraId="5300A92B" w14:textId="77777777" w:rsidR="00853889" w:rsidRPr="00FB6BE4" w:rsidRDefault="00853889" w:rsidP="00FF685A">
            <w:pPr>
              <w:pStyle w:val="NoSpacing"/>
            </w:pPr>
            <w:r w:rsidRPr="00FB6BE4">
              <w:t>Focuses on Contemporary Events?</w:t>
            </w:r>
          </w:p>
        </w:tc>
      </w:tr>
      <w:tr w:rsidR="00853889" w:rsidRPr="00FB6BE4" w14:paraId="0C51CE21" w14:textId="77777777" w:rsidTr="00FF685A">
        <w:tc>
          <w:tcPr>
            <w:tcW w:w="1384" w:type="dxa"/>
            <w:tcBorders>
              <w:top w:val="double" w:sz="4" w:space="0" w:color="auto"/>
              <w:right w:val="single" w:sz="12" w:space="0" w:color="auto"/>
            </w:tcBorders>
          </w:tcPr>
          <w:p w14:paraId="0F9A78E0" w14:textId="77777777" w:rsidR="00853889" w:rsidRPr="00FB6BE4" w:rsidRDefault="00853889" w:rsidP="00FF685A">
            <w:pPr>
              <w:pStyle w:val="NoSpacing"/>
            </w:pPr>
            <w:r w:rsidRPr="00FB6BE4">
              <w:t>Experiment</w:t>
            </w:r>
          </w:p>
        </w:tc>
        <w:tc>
          <w:tcPr>
            <w:tcW w:w="2835" w:type="dxa"/>
            <w:tcBorders>
              <w:top w:val="double" w:sz="4" w:space="0" w:color="auto"/>
              <w:left w:val="single" w:sz="12" w:space="0" w:color="auto"/>
            </w:tcBorders>
          </w:tcPr>
          <w:p w14:paraId="341BE984" w14:textId="77777777" w:rsidR="00853889" w:rsidRPr="00FB6BE4" w:rsidRDefault="00853889" w:rsidP="00FF685A">
            <w:pPr>
              <w:pStyle w:val="NoSpacing"/>
            </w:pPr>
            <w:r w:rsidRPr="00FB6BE4">
              <w:t>how, why?</w:t>
            </w:r>
          </w:p>
        </w:tc>
        <w:tc>
          <w:tcPr>
            <w:tcW w:w="2552" w:type="dxa"/>
            <w:tcBorders>
              <w:top w:val="double" w:sz="4" w:space="0" w:color="auto"/>
            </w:tcBorders>
          </w:tcPr>
          <w:p w14:paraId="2DDA3303" w14:textId="77777777" w:rsidR="00853889" w:rsidRPr="00FB6BE4" w:rsidRDefault="00853889" w:rsidP="00FF685A">
            <w:pPr>
              <w:pStyle w:val="NoSpacing"/>
            </w:pPr>
            <w:r w:rsidRPr="00FB6BE4">
              <w:t>Yes</w:t>
            </w:r>
          </w:p>
        </w:tc>
        <w:tc>
          <w:tcPr>
            <w:tcW w:w="2497" w:type="dxa"/>
            <w:tcBorders>
              <w:top w:val="double" w:sz="4" w:space="0" w:color="auto"/>
            </w:tcBorders>
          </w:tcPr>
          <w:p w14:paraId="26E3CD90" w14:textId="77777777" w:rsidR="00853889" w:rsidRPr="00FB6BE4" w:rsidRDefault="00853889" w:rsidP="00FF685A">
            <w:pPr>
              <w:pStyle w:val="NoSpacing"/>
            </w:pPr>
            <w:r w:rsidRPr="00FB6BE4">
              <w:t>Yes</w:t>
            </w:r>
          </w:p>
        </w:tc>
      </w:tr>
      <w:tr w:rsidR="00853889" w:rsidRPr="00FB6BE4" w14:paraId="79064D5B" w14:textId="77777777" w:rsidTr="00FF685A">
        <w:tc>
          <w:tcPr>
            <w:tcW w:w="1384" w:type="dxa"/>
            <w:tcBorders>
              <w:right w:val="single" w:sz="12" w:space="0" w:color="auto"/>
            </w:tcBorders>
          </w:tcPr>
          <w:p w14:paraId="395D8009" w14:textId="77777777" w:rsidR="00853889" w:rsidRPr="00FB6BE4" w:rsidRDefault="00853889" w:rsidP="00FF685A">
            <w:pPr>
              <w:pStyle w:val="NoSpacing"/>
            </w:pPr>
            <w:r w:rsidRPr="00FB6BE4">
              <w:t>Survey</w:t>
            </w:r>
          </w:p>
        </w:tc>
        <w:tc>
          <w:tcPr>
            <w:tcW w:w="2835" w:type="dxa"/>
            <w:tcBorders>
              <w:left w:val="single" w:sz="12" w:space="0" w:color="auto"/>
            </w:tcBorders>
          </w:tcPr>
          <w:p w14:paraId="5305AE03" w14:textId="77777777" w:rsidR="00853889" w:rsidRPr="00FB6BE4" w:rsidRDefault="00853889" w:rsidP="00FF685A">
            <w:pPr>
              <w:pStyle w:val="NoSpacing"/>
            </w:pPr>
            <w:r w:rsidRPr="00FB6BE4">
              <w:t>who, what, where, how many, how much?</w:t>
            </w:r>
          </w:p>
        </w:tc>
        <w:tc>
          <w:tcPr>
            <w:tcW w:w="2552" w:type="dxa"/>
          </w:tcPr>
          <w:p w14:paraId="1BF193A4" w14:textId="77777777" w:rsidR="00853889" w:rsidRPr="00FB6BE4" w:rsidRDefault="00853889" w:rsidP="00FF685A">
            <w:pPr>
              <w:pStyle w:val="NoSpacing"/>
            </w:pPr>
            <w:r w:rsidRPr="00FB6BE4">
              <w:t>No</w:t>
            </w:r>
          </w:p>
        </w:tc>
        <w:tc>
          <w:tcPr>
            <w:tcW w:w="2497" w:type="dxa"/>
          </w:tcPr>
          <w:p w14:paraId="1DB9B94C" w14:textId="77777777" w:rsidR="00853889" w:rsidRPr="00FB6BE4" w:rsidRDefault="00853889" w:rsidP="00FF685A">
            <w:pPr>
              <w:pStyle w:val="NoSpacing"/>
            </w:pPr>
            <w:r w:rsidRPr="00FB6BE4">
              <w:t>Yes</w:t>
            </w:r>
          </w:p>
        </w:tc>
      </w:tr>
      <w:tr w:rsidR="00853889" w:rsidRPr="00FB6BE4" w14:paraId="2A8D6B4F" w14:textId="77777777" w:rsidTr="00FF685A">
        <w:tc>
          <w:tcPr>
            <w:tcW w:w="1384" w:type="dxa"/>
            <w:tcBorders>
              <w:right w:val="single" w:sz="12" w:space="0" w:color="auto"/>
            </w:tcBorders>
          </w:tcPr>
          <w:p w14:paraId="01D29778" w14:textId="77777777" w:rsidR="00853889" w:rsidRPr="00FB6BE4" w:rsidRDefault="00853889" w:rsidP="00FF685A">
            <w:pPr>
              <w:pStyle w:val="NoSpacing"/>
            </w:pPr>
            <w:r w:rsidRPr="00FB6BE4">
              <w:t>Archival analysis</w:t>
            </w:r>
          </w:p>
        </w:tc>
        <w:tc>
          <w:tcPr>
            <w:tcW w:w="2835" w:type="dxa"/>
            <w:tcBorders>
              <w:left w:val="single" w:sz="12" w:space="0" w:color="auto"/>
            </w:tcBorders>
          </w:tcPr>
          <w:p w14:paraId="0709905E" w14:textId="77777777" w:rsidR="00853889" w:rsidRPr="00FB6BE4" w:rsidRDefault="00853889" w:rsidP="00FF685A">
            <w:pPr>
              <w:pStyle w:val="NoSpacing"/>
            </w:pPr>
            <w:r w:rsidRPr="00FB6BE4">
              <w:t>how, what, where, how many, how much?</w:t>
            </w:r>
          </w:p>
        </w:tc>
        <w:tc>
          <w:tcPr>
            <w:tcW w:w="2552" w:type="dxa"/>
          </w:tcPr>
          <w:p w14:paraId="14F41B5A" w14:textId="77777777" w:rsidR="00853889" w:rsidRPr="00FB6BE4" w:rsidRDefault="00853889" w:rsidP="00FF685A">
            <w:pPr>
              <w:pStyle w:val="NoSpacing"/>
            </w:pPr>
            <w:r w:rsidRPr="00FB6BE4">
              <w:t>No</w:t>
            </w:r>
          </w:p>
        </w:tc>
        <w:tc>
          <w:tcPr>
            <w:tcW w:w="2497" w:type="dxa"/>
          </w:tcPr>
          <w:p w14:paraId="73CA14D0" w14:textId="77777777" w:rsidR="00853889" w:rsidRPr="00FB6BE4" w:rsidRDefault="00853889" w:rsidP="00FF685A">
            <w:pPr>
              <w:pStyle w:val="NoSpacing"/>
            </w:pPr>
            <w:r w:rsidRPr="00FB6BE4">
              <w:t>Yes/No</w:t>
            </w:r>
          </w:p>
        </w:tc>
      </w:tr>
      <w:tr w:rsidR="00853889" w:rsidRPr="00FB6BE4" w14:paraId="0B243C36" w14:textId="77777777" w:rsidTr="00FF685A">
        <w:tc>
          <w:tcPr>
            <w:tcW w:w="1384" w:type="dxa"/>
            <w:tcBorders>
              <w:right w:val="single" w:sz="12" w:space="0" w:color="auto"/>
            </w:tcBorders>
          </w:tcPr>
          <w:p w14:paraId="0E5A7B9C" w14:textId="77777777" w:rsidR="00853889" w:rsidRPr="00FB6BE4" w:rsidRDefault="00853889" w:rsidP="00FF685A">
            <w:pPr>
              <w:pStyle w:val="NoSpacing"/>
            </w:pPr>
            <w:r w:rsidRPr="00FB6BE4">
              <w:t xml:space="preserve">History </w:t>
            </w:r>
          </w:p>
        </w:tc>
        <w:tc>
          <w:tcPr>
            <w:tcW w:w="2835" w:type="dxa"/>
            <w:tcBorders>
              <w:left w:val="single" w:sz="12" w:space="0" w:color="auto"/>
            </w:tcBorders>
          </w:tcPr>
          <w:p w14:paraId="4044D535" w14:textId="77777777" w:rsidR="00853889" w:rsidRPr="00FB6BE4" w:rsidRDefault="00853889" w:rsidP="00FF685A">
            <w:pPr>
              <w:pStyle w:val="NoSpacing"/>
            </w:pPr>
            <w:r w:rsidRPr="00FB6BE4">
              <w:t>how, why?</w:t>
            </w:r>
          </w:p>
        </w:tc>
        <w:tc>
          <w:tcPr>
            <w:tcW w:w="2552" w:type="dxa"/>
          </w:tcPr>
          <w:p w14:paraId="2BB41B50" w14:textId="77777777" w:rsidR="00853889" w:rsidRPr="00FB6BE4" w:rsidRDefault="00853889" w:rsidP="00FF685A">
            <w:pPr>
              <w:pStyle w:val="NoSpacing"/>
            </w:pPr>
            <w:r w:rsidRPr="00FB6BE4">
              <w:t>No</w:t>
            </w:r>
          </w:p>
        </w:tc>
        <w:tc>
          <w:tcPr>
            <w:tcW w:w="2497" w:type="dxa"/>
          </w:tcPr>
          <w:p w14:paraId="3788835C" w14:textId="77777777" w:rsidR="00853889" w:rsidRPr="00FB6BE4" w:rsidRDefault="00853889" w:rsidP="00FF685A">
            <w:pPr>
              <w:pStyle w:val="NoSpacing"/>
            </w:pPr>
            <w:r w:rsidRPr="00FB6BE4">
              <w:t>No</w:t>
            </w:r>
          </w:p>
        </w:tc>
      </w:tr>
      <w:tr w:rsidR="00853889" w:rsidRPr="00FB6BE4" w14:paraId="3F9BE49A" w14:textId="77777777" w:rsidTr="00FF685A">
        <w:tc>
          <w:tcPr>
            <w:tcW w:w="1384" w:type="dxa"/>
            <w:tcBorders>
              <w:right w:val="single" w:sz="12" w:space="0" w:color="auto"/>
            </w:tcBorders>
          </w:tcPr>
          <w:p w14:paraId="0826AAA7" w14:textId="77777777" w:rsidR="00853889" w:rsidRPr="00FB6BE4" w:rsidRDefault="00853889" w:rsidP="00FF685A">
            <w:pPr>
              <w:pStyle w:val="NoSpacing"/>
            </w:pPr>
            <w:r w:rsidRPr="00FB6BE4">
              <w:t>Case study</w:t>
            </w:r>
          </w:p>
        </w:tc>
        <w:tc>
          <w:tcPr>
            <w:tcW w:w="2835" w:type="dxa"/>
            <w:tcBorders>
              <w:left w:val="single" w:sz="12" w:space="0" w:color="auto"/>
            </w:tcBorders>
          </w:tcPr>
          <w:p w14:paraId="4E6D83A3" w14:textId="77777777" w:rsidR="00853889" w:rsidRPr="00FB6BE4" w:rsidRDefault="00853889" w:rsidP="00FF685A">
            <w:pPr>
              <w:pStyle w:val="NoSpacing"/>
            </w:pPr>
            <w:r w:rsidRPr="00FB6BE4">
              <w:t>how, why?</w:t>
            </w:r>
          </w:p>
        </w:tc>
        <w:tc>
          <w:tcPr>
            <w:tcW w:w="2552" w:type="dxa"/>
          </w:tcPr>
          <w:p w14:paraId="5A5FDC2E" w14:textId="77777777" w:rsidR="00853889" w:rsidRPr="00FB6BE4" w:rsidRDefault="00853889" w:rsidP="00FF685A">
            <w:pPr>
              <w:pStyle w:val="NoSpacing"/>
            </w:pPr>
            <w:r w:rsidRPr="00FB6BE4">
              <w:t>No</w:t>
            </w:r>
          </w:p>
        </w:tc>
        <w:tc>
          <w:tcPr>
            <w:tcW w:w="2497" w:type="dxa"/>
          </w:tcPr>
          <w:p w14:paraId="2A8EB3FE" w14:textId="77777777" w:rsidR="00853889" w:rsidRPr="00FB6BE4" w:rsidRDefault="00853889" w:rsidP="00FF685A">
            <w:pPr>
              <w:pStyle w:val="NoSpacing"/>
            </w:pPr>
            <w:r w:rsidRPr="00FB6BE4">
              <w:t>Yes</w:t>
            </w:r>
          </w:p>
        </w:tc>
      </w:tr>
    </w:tbl>
    <w:p w14:paraId="5A9DACCE" w14:textId="77777777" w:rsidR="00853889" w:rsidRDefault="00853889" w:rsidP="0024471C">
      <w:pPr>
        <w:ind w:firstLineChars="122" w:firstLine="277"/>
      </w:pPr>
    </w:p>
    <w:p w14:paraId="6DFB31E6" w14:textId="77777777" w:rsidR="00853889" w:rsidRDefault="00853889" w:rsidP="0024471C">
      <w:pPr>
        <w:ind w:firstLineChars="122" w:firstLine="277"/>
      </w:pPr>
      <w:r>
        <w:rPr>
          <w:rFonts w:hint="eastAsia"/>
        </w:rPr>
        <w:t>Turning to the specific research strategy of this thesis, what is established first is the proposition reflecting this thesis</w:t>
      </w:r>
      <w:r>
        <w:t>’</w:t>
      </w:r>
      <w:r>
        <w:rPr>
          <w:rFonts w:hint="eastAsia"/>
        </w:rPr>
        <w:t>s core theme. Referring to Smith</w:t>
      </w:r>
      <w:r>
        <w:t>’</w:t>
      </w:r>
      <w:r>
        <w:rPr>
          <w:rFonts w:hint="eastAsia"/>
        </w:rPr>
        <w:t xml:space="preserve">s (1999) </w:t>
      </w:r>
      <w:r>
        <w:t>analytical</w:t>
      </w:r>
      <w:r>
        <w:rPr>
          <w:rFonts w:hint="eastAsia"/>
        </w:rPr>
        <w:t xml:space="preserve"> framework the proposition of this thesis addresses both actors and structure. </w:t>
      </w:r>
      <w:r>
        <w:t>A</w:t>
      </w:r>
      <w:r>
        <w:rPr>
          <w:rFonts w:hint="eastAsia"/>
        </w:rPr>
        <w:t>s a result this thesis set</w:t>
      </w:r>
      <w:r w:rsidR="00D02973">
        <w:t>s</w:t>
      </w:r>
      <w:r>
        <w:rPr>
          <w:rFonts w:hint="eastAsia"/>
        </w:rPr>
        <w:t xml:space="preserve"> the following proposition: </w:t>
      </w:r>
      <w:r>
        <w:t>‘</w:t>
      </w:r>
      <w:r w:rsidRPr="00FB6BE4">
        <w:t xml:space="preserve">During the era of the Liberal Democratic Party (LDP) </w:t>
      </w:r>
      <w:r>
        <w:rPr>
          <w:rFonts w:hint="eastAsia"/>
        </w:rPr>
        <w:t>g</w:t>
      </w:r>
      <w:r w:rsidRPr="00FB6BE4">
        <w:t xml:space="preserve">overnment, the core executive pursued discretional regulation within inner regulatory policy communities as a strategy to sustain its position of asymmetric dominance over </w:t>
      </w:r>
      <w:r>
        <w:t xml:space="preserve">actors within </w:t>
      </w:r>
      <w:r w:rsidRPr="00FB6BE4">
        <w:t>key policy sectors</w:t>
      </w:r>
      <w:r>
        <w:rPr>
          <w:rFonts w:hint="eastAsia"/>
        </w:rPr>
        <w:t xml:space="preserve">, with their actions shaped by a </w:t>
      </w:r>
      <w:r>
        <w:t>particular</w:t>
      </w:r>
      <w:r>
        <w:rPr>
          <w:rFonts w:hint="eastAsia"/>
        </w:rPr>
        <w:t xml:space="preserve"> set of structures</w:t>
      </w:r>
      <w:r>
        <w:t>’</w:t>
      </w:r>
      <w:r>
        <w:rPr>
          <w:rFonts w:hint="eastAsia"/>
        </w:rPr>
        <w:t xml:space="preserve"> (</w:t>
      </w:r>
      <w:r w:rsidR="009D4976">
        <w:rPr>
          <w:rFonts w:hint="eastAsia"/>
        </w:rPr>
        <w:t>Table 4.</w:t>
      </w:r>
      <w:r w:rsidR="009D4976">
        <w:rPr>
          <w:rFonts w:hint="eastAsia"/>
          <w:lang w:eastAsia="ja-JP"/>
        </w:rPr>
        <w:t>5</w:t>
      </w:r>
      <w:r>
        <w:rPr>
          <w:rFonts w:hint="eastAsia"/>
        </w:rPr>
        <w:t>). It</w:t>
      </w:r>
      <w:r>
        <w:t xml:space="preserve"> </w:t>
      </w:r>
      <w:r>
        <w:rPr>
          <w:rFonts w:hint="eastAsia"/>
        </w:rPr>
        <w:t>highlights</w:t>
      </w:r>
      <w:r>
        <w:t xml:space="preserve"> the political relationship between the core executive (the state actor) and societal actors in the process of state transformation.</w:t>
      </w:r>
    </w:p>
    <w:p w14:paraId="58B6474E" w14:textId="77777777" w:rsidR="00853889" w:rsidRPr="00A60946" w:rsidRDefault="00853889" w:rsidP="0024471C">
      <w:pPr>
        <w:ind w:firstLineChars="122" w:firstLine="277"/>
      </w:pPr>
      <w:r>
        <w:rPr>
          <w:rFonts w:hint="eastAsia"/>
        </w:rPr>
        <w:t>This thesis</w:t>
      </w:r>
      <w:r>
        <w:t>’</w:t>
      </w:r>
      <w:r>
        <w:rPr>
          <w:rFonts w:hint="eastAsia"/>
        </w:rPr>
        <w:t xml:space="preserve"> research questions elaborating this proposition </w:t>
      </w:r>
      <w:r w:rsidR="00D02973">
        <w:t>are</w:t>
      </w:r>
      <w:r>
        <w:rPr>
          <w:rFonts w:hint="eastAsia"/>
        </w:rPr>
        <w:t xml:space="preserve"> shaped by the critical realis</w:t>
      </w:r>
      <w:r w:rsidR="00D02973">
        <w:t>t</w:t>
      </w:r>
      <w:r>
        <w:rPr>
          <w:rFonts w:hint="eastAsia"/>
        </w:rPr>
        <w:t xml:space="preserve"> epistemological position. </w:t>
      </w:r>
      <w:r>
        <w:t>A</w:t>
      </w:r>
      <w:r>
        <w:rPr>
          <w:rFonts w:hint="eastAsia"/>
        </w:rPr>
        <w:t xml:space="preserve"> critical realist position aims to combine the </w:t>
      </w:r>
      <w:r>
        <w:t>‘</w:t>
      </w:r>
      <w:r>
        <w:rPr>
          <w:rFonts w:hint="eastAsia"/>
        </w:rPr>
        <w:t>how</w:t>
      </w:r>
      <w:r>
        <w:t>’</w:t>
      </w:r>
      <w:r>
        <w:rPr>
          <w:rFonts w:hint="eastAsia"/>
        </w:rPr>
        <w:t xml:space="preserve"> </w:t>
      </w:r>
      <w:r w:rsidRPr="00225CF0">
        <w:t xml:space="preserve">(understanding – which is linked to interpretivism) and the </w:t>
      </w:r>
      <w:r>
        <w:t>‘</w:t>
      </w:r>
      <w:r>
        <w:rPr>
          <w:rFonts w:hint="eastAsia"/>
        </w:rPr>
        <w:t>why</w:t>
      </w:r>
      <w:r>
        <w:t>’</w:t>
      </w:r>
      <w:r w:rsidRPr="00225CF0">
        <w:t xml:space="preserve"> (explanation – which is linked to positivism) approaches by bridging the gap between </w:t>
      </w:r>
      <w:r>
        <w:t>positivism and interpr</w:t>
      </w:r>
      <w:r w:rsidR="003C232C">
        <w:rPr>
          <w:rFonts w:hint="eastAsia"/>
          <w:lang w:eastAsia="ja-JP"/>
        </w:rPr>
        <w:t>e</w:t>
      </w:r>
      <w:r>
        <w:t>tivism (Grix 2004 p.85</w:t>
      </w:r>
      <w:r w:rsidRPr="00225CF0">
        <w:t xml:space="preserve">). </w:t>
      </w:r>
      <w:r>
        <w:t>In its view i</w:t>
      </w:r>
      <w:r w:rsidRPr="00225CF0">
        <w:t>dentifying and understanding both the external ‘reality’ and the social construction of that ‘reality’ are necessary to explain the relationships between social phenomena (Marsh and Furlong 2002 p.31).</w:t>
      </w:r>
      <w:r>
        <w:rPr>
          <w:rFonts w:hint="eastAsia"/>
        </w:rPr>
        <w:t xml:space="preserve"> The research questions of this thesis focus on three key characteristics of the core theme</w:t>
      </w:r>
      <w:r w:rsidR="008C799B">
        <w:rPr>
          <w:rFonts w:eastAsia="MS Mincho" w:hint="eastAsia"/>
          <w:lang w:eastAsia="ja-JP"/>
        </w:rPr>
        <w:t xml:space="preserve"> through </w:t>
      </w:r>
      <w:r w:rsidR="008C799B">
        <w:rPr>
          <w:rFonts w:eastAsia="MS Mincho"/>
          <w:lang w:eastAsia="ja-JP"/>
        </w:rPr>
        <w:t>‘</w:t>
      </w:r>
      <w:r w:rsidR="008C799B">
        <w:rPr>
          <w:rFonts w:eastAsia="MS Mincho" w:hint="eastAsia"/>
          <w:lang w:eastAsia="ja-JP"/>
        </w:rPr>
        <w:t>how</w:t>
      </w:r>
      <w:r w:rsidR="008C799B">
        <w:rPr>
          <w:rFonts w:eastAsia="MS Mincho"/>
          <w:lang w:eastAsia="ja-JP"/>
        </w:rPr>
        <w:t>’</w:t>
      </w:r>
      <w:r>
        <w:rPr>
          <w:rFonts w:hint="eastAsia"/>
        </w:rPr>
        <w:t xml:space="preserve">: power relations within the core executive, an example of the development of specific characteristics, and state power in relation to society. The first research question gives an overview of the research target. The second research question explores the </w:t>
      </w:r>
      <w:r>
        <w:t xml:space="preserve">power </w:t>
      </w:r>
      <w:r>
        <w:rPr>
          <w:rFonts w:hint="eastAsia"/>
        </w:rPr>
        <w:t xml:space="preserve">relations between state actors (party politicians and civil servants). The third research </w:t>
      </w:r>
      <w:r>
        <w:t>question illuminates</w:t>
      </w:r>
      <w:r>
        <w:rPr>
          <w:rFonts w:hint="eastAsia"/>
        </w:rPr>
        <w:t xml:space="preserve"> an institutional example to consider the structure, actors and outcomes. The fourth research </w:t>
      </w:r>
      <w:r>
        <w:t>question investigates</w:t>
      </w:r>
      <w:r>
        <w:rPr>
          <w:rFonts w:hint="eastAsia"/>
        </w:rPr>
        <w:t xml:space="preserve"> </w:t>
      </w:r>
      <w:r w:rsidR="00D02973">
        <w:t xml:space="preserve">the </w:t>
      </w:r>
      <w:r>
        <w:rPr>
          <w:rFonts w:hint="eastAsia"/>
        </w:rPr>
        <w:t xml:space="preserve">state power of the research target. This set of issues is addressed with </w:t>
      </w:r>
      <w:r>
        <w:t>‘</w:t>
      </w:r>
      <w:r>
        <w:rPr>
          <w:rFonts w:hint="eastAsia"/>
        </w:rPr>
        <w:t>how</w:t>
      </w:r>
      <w:r>
        <w:t>’</w:t>
      </w:r>
      <w:r>
        <w:rPr>
          <w:rFonts w:hint="eastAsia"/>
        </w:rPr>
        <w:t xml:space="preserve">; it is </w:t>
      </w:r>
      <w:r>
        <w:t>explored</w:t>
      </w:r>
      <w:r>
        <w:rPr>
          <w:rFonts w:hint="eastAsia"/>
        </w:rPr>
        <w:t xml:space="preserve"> to form understanding on the core theme. Elsewhere, the last research question aims at the core of this research pulling the previous four research questions together, exploring power and power relations in ICT and antimonopoly regulation. It employs </w:t>
      </w:r>
      <w:r>
        <w:t>‘</w:t>
      </w:r>
      <w:r>
        <w:rPr>
          <w:rFonts w:hint="eastAsia"/>
        </w:rPr>
        <w:t>why</w:t>
      </w:r>
      <w:r>
        <w:t>’</w:t>
      </w:r>
      <w:r>
        <w:rPr>
          <w:rFonts w:hint="eastAsia"/>
        </w:rPr>
        <w:t>; it is explored to explain the core theme.</w:t>
      </w:r>
    </w:p>
    <w:p w14:paraId="63DA53D3" w14:textId="77777777" w:rsidR="00853889" w:rsidRDefault="00853889" w:rsidP="0024471C">
      <w:pPr>
        <w:ind w:firstLineChars="122" w:firstLine="277"/>
      </w:pPr>
      <w:r>
        <w:t>Th</w:t>
      </w:r>
      <w:r>
        <w:rPr>
          <w:rFonts w:hint="eastAsia"/>
        </w:rPr>
        <w:t>is thesis</w:t>
      </w:r>
      <w:r>
        <w:t>’</w:t>
      </w:r>
      <w:r>
        <w:rPr>
          <w:rFonts w:hint="eastAsia"/>
        </w:rPr>
        <w:t xml:space="preserve">s core theme aims at the </w:t>
      </w:r>
      <w:r>
        <w:t xml:space="preserve">accounts of how the actors and structures of the </w:t>
      </w:r>
      <w:r>
        <w:rPr>
          <w:rFonts w:hint="eastAsia"/>
        </w:rPr>
        <w:t xml:space="preserve">Japanese state </w:t>
      </w:r>
      <w:r>
        <w:t xml:space="preserve">actually </w:t>
      </w:r>
      <w:r>
        <w:rPr>
          <w:rFonts w:hint="eastAsia"/>
        </w:rPr>
        <w:t>shaped</w:t>
      </w:r>
      <w:r>
        <w:t xml:space="preserve"> decisions and </w:t>
      </w:r>
      <w:r>
        <w:rPr>
          <w:rFonts w:hint="eastAsia"/>
        </w:rPr>
        <w:t>were evolved</w:t>
      </w:r>
      <w:r>
        <w:t xml:space="preserve">. </w:t>
      </w:r>
      <w:r>
        <w:rPr>
          <w:rFonts w:hint="eastAsia"/>
        </w:rPr>
        <w:t xml:space="preserve">Together with the proposition, the research </w:t>
      </w:r>
      <w:r>
        <w:t xml:space="preserve">questions of this thesis </w:t>
      </w:r>
      <w:r w:rsidR="009D4976">
        <w:rPr>
          <w:rFonts w:hint="eastAsia"/>
        </w:rPr>
        <w:t>exposed in Table 4.</w:t>
      </w:r>
      <w:r w:rsidR="009D4976">
        <w:rPr>
          <w:rFonts w:hint="eastAsia"/>
          <w:lang w:eastAsia="ja-JP"/>
        </w:rPr>
        <w:t>5</w:t>
      </w:r>
      <w:r>
        <w:rPr>
          <w:rFonts w:hint="eastAsia"/>
        </w:rPr>
        <w:t xml:space="preserve"> target the accounts on the core theme of this thesis: the transformation of the Japanese state between the 1980s and 2000s</w:t>
      </w:r>
      <w:r>
        <w:t>.</w:t>
      </w:r>
    </w:p>
    <w:p w14:paraId="49CEB359" w14:textId="77777777" w:rsidR="00853889" w:rsidRDefault="00853889" w:rsidP="0024471C">
      <w:pPr>
        <w:ind w:firstLineChars="122" w:firstLine="277"/>
      </w:pPr>
    </w:p>
    <w:p w14:paraId="19C3342D" w14:textId="77777777" w:rsidR="00853889" w:rsidRPr="00197B97" w:rsidRDefault="00853889" w:rsidP="00DA2E02">
      <w:pPr>
        <w:pStyle w:val="Heading4"/>
      </w:pPr>
      <w:r w:rsidRPr="00197B97">
        <w:t xml:space="preserve">Table </w:t>
      </w:r>
      <w:r w:rsidRPr="00197B97">
        <w:rPr>
          <w:rFonts w:hint="eastAsia"/>
        </w:rPr>
        <w:t>4</w:t>
      </w:r>
      <w:r w:rsidRPr="00197B97">
        <w:t>.</w:t>
      </w:r>
      <w:r w:rsidR="009D4976">
        <w:rPr>
          <w:rFonts w:hint="eastAsia"/>
          <w:lang w:eastAsia="ja-JP"/>
        </w:rPr>
        <w:t>5</w:t>
      </w:r>
      <w:r w:rsidRPr="00197B97">
        <w:t xml:space="preserve">: </w:t>
      </w:r>
      <w:r w:rsidRPr="00197B97">
        <w:rPr>
          <w:rFonts w:hint="eastAsia"/>
        </w:rPr>
        <w:t>The p</w:t>
      </w:r>
      <w:r w:rsidRPr="00197B97">
        <w:t xml:space="preserve">ropositions and </w:t>
      </w:r>
      <w:r w:rsidRPr="00197B97">
        <w:rPr>
          <w:rFonts w:hint="eastAsia"/>
        </w:rPr>
        <w:t>r</w:t>
      </w:r>
      <w:r w:rsidRPr="00197B97">
        <w:t>esearch questions of this thesis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2"/>
      </w:tblGrid>
      <w:tr w:rsidR="00853889" w:rsidRPr="00FB6BE4" w14:paraId="3FB6F5D5" w14:textId="77777777" w:rsidTr="00FF685A">
        <w:tc>
          <w:tcPr>
            <w:tcW w:w="9178" w:type="dxa"/>
          </w:tcPr>
          <w:p w14:paraId="70B569D4" w14:textId="77777777" w:rsidR="00853889" w:rsidRDefault="00853889" w:rsidP="00FF685A">
            <w:pPr>
              <w:pStyle w:val="NoSpacing"/>
            </w:pPr>
          </w:p>
          <w:p w14:paraId="7AA9CECA" w14:textId="77777777" w:rsidR="00853889" w:rsidRPr="00EE00E8" w:rsidRDefault="00853889" w:rsidP="00FF685A">
            <w:pPr>
              <w:pStyle w:val="NoSpacing"/>
              <w:rPr>
                <w:b/>
              </w:rPr>
            </w:pPr>
            <w:r w:rsidRPr="00EE00E8">
              <w:rPr>
                <w:b/>
              </w:rPr>
              <w:t>Proposition:</w:t>
            </w:r>
          </w:p>
          <w:p w14:paraId="5F6F276C" w14:textId="77777777" w:rsidR="00853889" w:rsidRDefault="00853889" w:rsidP="00FF685A">
            <w:pPr>
              <w:pStyle w:val="NoSpacing"/>
            </w:pPr>
            <w:r w:rsidRPr="00FB6BE4">
              <w:t xml:space="preserve">During the era of Liberal Democratic Party (LDP) </w:t>
            </w:r>
            <w:r>
              <w:rPr>
                <w:rFonts w:hint="eastAsia"/>
              </w:rPr>
              <w:t>g</w:t>
            </w:r>
            <w:r w:rsidRPr="00FB6BE4">
              <w:t xml:space="preserve">overnment, the core executive pursued discretional regulation within inner regulatory policy communities as a strategy to sustain its position of asymmetric dominance over </w:t>
            </w:r>
            <w:r>
              <w:t xml:space="preserve">actors within </w:t>
            </w:r>
            <w:r w:rsidRPr="00FB6BE4">
              <w:t>key policy sectors</w:t>
            </w:r>
            <w:r>
              <w:rPr>
                <w:rFonts w:hint="eastAsia"/>
              </w:rPr>
              <w:t xml:space="preserve">, with their actions shaped by a </w:t>
            </w:r>
            <w:r>
              <w:t>particular</w:t>
            </w:r>
            <w:r>
              <w:rPr>
                <w:rFonts w:hint="eastAsia"/>
              </w:rPr>
              <w:t xml:space="preserve"> set of structures</w:t>
            </w:r>
            <w:r w:rsidRPr="00FB6BE4">
              <w:t>.</w:t>
            </w:r>
          </w:p>
          <w:p w14:paraId="464846CE" w14:textId="77777777" w:rsidR="00853889" w:rsidRDefault="00853889" w:rsidP="00FF685A">
            <w:pPr>
              <w:pStyle w:val="NoSpacing"/>
            </w:pPr>
          </w:p>
          <w:p w14:paraId="5DD12E3E" w14:textId="77777777" w:rsidR="00853889" w:rsidRDefault="00853889" w:rsidP="00FF685A">
            <w:pPr>
              <w:pStyle w:val="NoSpacing"/>
              <w:rPr>
                <w:b/>
              </w:rPr>
            </w:pPr>
            <w:r w:rsidRPr="00EE00E8">
              <w:rPr>
                <w:b/>
              </w:rPr>
              <w:t>Research questions:</w:t>
            </w:r>
          </w:p>
          <w:p w14:paraId="3CE7DF75" w14:textId="77777777" w:rsidR="00462F24" w:rsidRDefault="0015452E" w:rsidP="009E5AC6">
            <w:pPr>
              <w:pStyle w:val="NoSpacing"/>
              <w:widowControl w:val="0"/>
              <w:numPr>
                <w:ilvl w:val="0"/>
                <w:numId w:val="65"/>
              </w:numPr>
              <w:ind w:left="318" w:hanging="318"/>
            </w:pPr>
            <w:r>
              <w:t>How has Japan</w:t>
            </w:r>
            <w:r w:rsidR="00744FA4">
              <w:rPr>
                <w:lang w:eastAsia="ja-JP"/>
              </w:rPr>
              <w:t>’</w:t>
            </w:r>
            <w:r>
              <w:t>s regulatory framework evolved over the last three decades</w:t>
            </w:r>
            <w:r w:rsidR="00853889" w:rsidRPr="00EE00E8">
              <w:t>?</w:t>
            </w:r>
          </w:p>
          <w:p w14:paraId="26746AAA" w14:textId="77777777" w:rsidR="00462F24" w:rsidRDefault="00853889" w:rsidP="009E5AC6">
            <w:pPr>
              <w:pStyle w:val="NoSpacing"/>
              <w:widowControl w:val="0"/>
              <w:numPr>
                <w:ilvl w:val="0"/>
                <w:numId w:val="65"/>
              </w:numPr>
              <w:ind w:left="318" w:hanging="318"/>
            </w:pPr>
            <w:r w:rsidRPr="00EE00E8">
              <w:t>How ha</w:t>
            </w:r>
            <w:r w:rsidR="00993BA1">
              <w:rPr>
                <w:rFonts w:hint="eastAsia"/>
                <w:lang w:eastAsia="ja-JP"/>
              </w:rPr>
              <w:t>s</w:t>
            </w:r>
            <w:r w:rsidRPr="00EE00E8">
              <w:t xml:space="preserve"> </w:t>
            </w:r>
            <w:r w:rsidR="00993BA1">
              <w:rPr>
                <w:rFonts w:hint="eastAsia"/>
                <w:lang w:eastAsia="ja-JP"/>
              </w:rPr>
              <w:t xml:space="preserve">the core executive </w:t>
            </w:r>
            <w:r w:rsidRPr="00EE00E8">
              <w:t xml:space="preserve">been successful in imposing </w:t>
            </w:r>
            <w:r w:rsidR="007C0666">
              <w:t>its</w:t>
            </w:r>
            <w:r w:rsidRPr="00EE00E8">
              <w:t xml:space="preserve"> will on regulation?</w:t>
            </w:r>
          </w:p>
          <w:p w14:paraId="5B2CC975" w14:textId="77777777" w:rsidR="00462F24" w:rsidRDefault="00853889" w:rsidP="009E5AC6">
            <w:pPr>
              <w:pStyle w:val="NoSpacing"/>
              <w:widowControl w:val="0"/>
              <w:numPr>
                <w:ilvl w:val="0"/>
                <w:numId w:val="65"/>
              </w:numPr>
              <w:ind w:left="318" w:hanging="318"/>
            </w:pPr>
            <w:r w:rsidRPr="00EE00E8">
              <w:t xml:space="preserve">How have Japan’s ministries shaped </w:t>
            </w:r>
            <w:r w:rsidR="00D02973">
              <w:t>the</w:t>
            </w:r>
            <w:r w:rsidRPr="00EE00E8">
              <w:t xml:space="preserve"> organisational design of regulatory functions?</w:t>
            </w:r>
          </w:p>
          <w:p w14:paraId="60397534" w14:textId="77777777" w:rsidR="00462F24" w:rsidRDefault="00853889" w:rsidP="009E5AC6">
            <w:pPr>
              <w:pStyle w:val="NoSpacing"/>
              <w:widowControl w:val="0"/>
              <w:numPr>
                <w:ilvl w:val="0"/>
                <w:numId w:val="65"/>
              </w:numPr>
              <w:ind w:left="318" w:hanging="318"/>
            </w:pPr>
            <w:r w:rsidRPr="00EE00E8">
              <w:t xml:space="preserve">How has </w:t>
            </w:r>
            <w:r w:rsidR="000B6055">
              <w:rPr>
                <w:rFonts w:hint="eastAsia"/>
                <w:lang w:eastAsia="ja-JP"/>
              </w:rPr>
              <w:t xml:space="preserve">the </w:t>
            </w:r>
            <w:r w:rsidRPr="00EE00E8">
              <w:t>state’s regulatory capacity changed?</w:t>
            </w:r>
          </w:p>
          <w:p w14:paraId="175234B8" w14:textId="77777777" w:rsidR="00462F24" w:rsidRDefault="00853889" w:rsidP="009E5AC6">
            <w:pPr>
              <w:pStyle w:val="NoSpacing"/>
              <w:widowControl w:val="0"/>
              <w:numPr>
                <w:ilvl w:val="0"/>
                <w:numId w:val="65"/>
              </w:numPr>
              <w:ind w:left="318" w:hanging="318"/>
            </w:pPr>
            <w:r>
              <w:rPr>
                <w:rFonts w:hint="eastAsia"/>
              </w:rPr>
              <w:t>Why have the present power relations been constructed in the chosen regulatory fields?</w:t>
            </w:r>
          </w:p>
          <w:p w14:paraId="47BD2EBD" w14:textId="77777777" w:rsidR="00853889" w:rsidRPr="00FB6BE4" w:rsidRDefault="00853889" w:rsidP="00FF685A">
            <w:pPr>
              <w:pStyle w:val="NoSpacing"/>
            </w:pPr>
          </w:p>
        </w:tc>
      </w:tr>
    </w:tbl>
    <w:p w14:paraId="6901B8CE" w14:textId="77777777" w:rsidR="00853889" w:rsidRDefault="00853889" w:rsidP="0024471C">
      <w:pPr>
        <w:ind w:firstLineChars="122" w:firstLine="277"/>
      </w:pPr>
    </w:p>
    <w:p w14:paraId="021B9B2B" w14:textId="77777777" w:rsidR="00853889" w:rsidRDefault="00853889" w:rsidP="0024471C">
      <w:pPr>
        <w:ind w:firstLineChars="122" w:firstLine="277"/>
      </w:pPr>
      <w:r>
        <w:rPr>
          <w:rFonts w:hint="eastAsia"/>
        </w:rPr>
        <w:t xml:space="preserve">Overall, </w:t>
      </w:r>
      <w:r>
        <w:t xml:space="preserve">the proposition and research </w:t>
      </w:r>
      <w:r>
        <w:rPr>
          <w:rFonts w:hint="eastAsia"/>
        </w:rPr>
        <w:t>questions explore how the Japanese state has been transformed based on a critical realist position</w:t>
      </w:r>
      <w:r>
        <w:t>.</w:t>
      </w:r>
    </w:p>
    <w:p w14:paraId="781C7C69" w14:textId="77777777" w:rsidR="00853889" w:rsidRDefault="00853889" w:rsidP="0024471C">
      <w:pPr>
        <w:ind w:firstLineChars="122" w:firstLine="277"/>
      </w:pPr>
      <w:r>
        <w:t xml:space="preserve">This thesis is exploratory, focusing on the changes of institutions and policies, with research questions of ‘how’s, not descriptive ‘what’s. The researcher of this thesis is not in a position to control the condition and subjects of the research, or to manipulate the general and specific condition of state transformation. The transformation of the Japanese state after the 1980s, </w:t>
      </w:r>
      <w:r>
        <w:rPr>
          <w:rFonts w:hint="eastAsia"/>
        </w:rPr>
        <w:t>the core theme of this thesis</w:t>
      </w:r>
      <w:r>
        <w:t xml:space="preserve">, is a </w:t>
      </w:r>
      <w:r>
        <w:rPr>
          <w:rFonts w:hint="eastAsia"/>
        </w:rPr>
        <w:t>recent</w:t>
      </w:r>
      <w:r>
        <w:t xml:space="preserve"> event </w:t>
      </w:r>
      <w:r>
        <w:rPr>
          <w:rFonts w:hint="eastAsia"/>
        </w:rPr>
        <w:t xml:space="preserve">whose witnesses are still accessible </w:t>
      </w:r>
      <w:r>
        <w:t xml:space="preserve">rather than a historical one. Most of those involved </w:t>
      </w:r>
      <w:r>
        <w:rPr>
          <w:rFonts w:hint="eastAsia"/>
        </w:rPr>
        <w:t>during this period</w:t>
      </w:r>
      <w:r>
        <w:t xml:space="preserve"> are still accessible. It suits to look into contextual conditions, which are believed to be highly pertinent to the </w:t>
      </w:r>
      <w:r>
        <w:rPr>
          <w:rFonts w:hint="eastAsia"/>
        </w:rPr>
        <w:t>appearance of the research target</w:t>
      </w:r>
      <w:r>
        <w:t xml:space="preserve"> (Yin 2003 p.13). It </w:t>
      </w:r>
      <w:r w:rsidRPr="00D32E0A">
        <w:t>allows for the holistic analysis of sequences in historical cases, suits the study of rare events,</w:t>
      </w:r>
      <w:r w:rsidRPr="009D76CA">
        <w:t xml:space="preserve"> facilitate</w:t>
      </w:r>
      <w:r>
        <w:t>s</w:t>
      </w:r>
      <w:r w:rsidRPr="009D76CA">
        <w:t xml:space="preserve"> the search for omitted</w:t>
      </w:r>
      <w:r>
        <w:t xml:space="preserve"> </w:t>
      </w:r>
      <w:r>
        <w:rPr>
          <w:rFonts w:hint="eastAsia"/>
        </w:rPr>
        <w:t>reality</w:t>
      </w:r>
      <w:r w:rsidRPr="009D76CA">
        <w:t xml:space="preserve"> that might lie behind contingent events, and allow</w:t>
      </w:r>
      <w:r>
        <w:t>s</w:t>
      </w:r>
      <w:r w:rsidRPr="009D76CA">
        <w:t xml:space="preserve"> for the study of interaction</w:t>
      </w:r>
      <w:r>
        <w:t xml:space="preserve"> </w:t>
      </w:r>
      <w:r w:rsidRPr="009D76CA">
        <w:t>effects within one or a few cases</w:t>
      </w:r>
      <w:r>
        <w:t xml:space="preserve"> (Bennett and Elman 2006 p.259)</w:t>
      </w:r>
      <w:r w:rsidRPr="009D76CA">
        <w:t>.</w:t>
      </w:r>
      <w:r>
        <w:t xml:space="preserve"> These </w:t>
      </w:r>
      <w:r>
        <w:rPr>
          <w:rFonts w:hint="eastAsia"/>
        </w:rPr>
        <w:t xml:space="preserve">points indicate </w:t>
      </w:r>
      <w:r>
        <w:t xml:space="preserve">that the case study method offers </w:t>
      </w:r>
      <w:r>
        <w:rPr>
          <w:rFonts w:hint="eastAsia"/>
        </w:rPr>
        <w:t xml:space="preserve">significant </w:t>
      </w:r>
      <w:r>
        <w:t xml:space="preserve">merits to this thesis. </w:t>
      </w:r>
      <w:r>
        <w:rPr>
          <w:rFonts w:hint="eastAsia"/>
        </w:rPr>
        <w:t>O</w:t>
      </w:r>
      <w:r>
        <w:t xml:space="preserve">ther research strategies are </w:t>
      </w:r>
      <w:r>
        <w:rPr>
          <w:rFonts w:hint="eastAsia"/>
        </w:rPr>
        <w:t>not</w:t>
      </w:r>
      <w:r>
        <w:t xml:space="preserve"> suited to the conditions of this thesis</w:t>
      </w:r>
      <w:r>
        <w:rPr>
          <w:rFonts w:hint="eastAsia"/>
        </w:rPr>
        <w:t>; f</w:t>
      </w:r>
      <w:r>
        <w:t xml:space="preserve">or instance, experiment is not suitable for research projects with no control of behavioural events. </w:t>
      </w:r>
      <w:r>
        <w:rPr>
          <w:rFonts w:hint="eastAsia"/>
        </w:rPr>
        <w:t>The above consideration lead</w:t>
      </w:r>
      <w:r w:rsidR="00A63170">
        <w:rPr>
          <w:rFonts w:hint="eastAsia"/>
          <w:lang w:eastAsia="ja-JP"/>
        </w:rPr>
        <w:t>s</w:t>
      </w:r>
      <w:r>
        <w:rPr>
          <w:rFonts w:hint="eastAsia"/>
        </w:rPr>
        <w:t xml:space="preserve"> this thesis to employ the case study method as its research strategy</w:t>
      </w:r>
      <w:r>
        <w:t>.</w:t>
      </w:r>
    </w:p>
    <w:p w14:paraId="77DDC666" w14:textId="77777777" w:rsidR="00853889" w:rsidRDefault="00853889" w:rsidP="0024471C">
      <w:pPr>
        <w:ind w:firstLineChars="122" w:firstLine="277"/>
      </w:pPr>
    </w:p>
    <w:p w14:paraId="12112A5F" w14:textId="77777777" w:rsidR="00853889" w:rsidRDefault="00853889" w:rsidP="0024471C">
      <w:pPr>
        <w:ind w:firstLineChars="122" w:firstLine="277"/>
      </w:pPr>
    </w:p>
    <w:p w14:paraId="379346F8" w14:textId="77777777" w:rsidR="00853889" w:rsidRPr="00491D1A" w:rsidRDefault="00853889" w:rsidP="00050D4B">
      <w:pPr>
        <w:pStyle w:val="Heading2"/>
      </w:pPr>
      <w:bookmarkStart w:id="40" w:name="_Toc349741362"/>
      <w:r>
        <w:rPr>
          <w:rFonts w:hint="eastAsia"/>
        </w:rPr>
        <w:t>4</w:t>
      </w:r>
      <w:r w:rsidRPr="00491D1A">
        <w:t>.5</w:t>
      </w:r>
      <w:r w:rsidRPr="00491D1A">
        <w:tab/>
      </w:r>
      <w:r w:rsidR="00594F57">
        <w:t>Case</w:t>
      </w:r>
      <w:r w:rsidR="00F3690F">
        <w:rPr>
          <w:rFonts w:hint="eastAsia"/>
          <w:lang w:eastAsia="ja-JP"/>
        </w:rPr>
        <w:t xml:space="preserve"> </w:t>
      </w:r>
      <w:r w:rsidR="00594F57">
        <w:t xml:space="preserve">study </w:t>
      </w:r>
      <w:r w:rsidR="006F7A8C">
        <w:t>s</w:t>
      </w:r>
      <w:r w:rsidR="00594F57">
        <w:t>election</w:t>
      </w:r>
      <w:bookmarkEnd w:id="40"/>
    </w:p>
    <w:p w14:paraId="2816645F" w14:textId="77777777" w:rsidR="00853889" w:rsidRDefault="00853889" w:rsidP="00853889">
      <w:r>
        <w:rPr>
          <w:rFonts w:hint="eastAsia"/>
        </w:rPr>
        <w:t>The actual cases explored by t</w:t>
      </w:r>
      <w:r w:rsidRPr="002B5F2E">
        <w:t xml:space="preserve">his thesis </w:t>
      </w:r>
      <w:r>
        <w:rPr>
          <w:rFonts w:hint="eastAsia"/>
        </w:rPr>
        <w:t xml:space="preserve">are the </w:t>
      </w:r>
      <w:r w:rsidRPr="002B5F2E">
        <w:t>case</w:t>
      </w:r>
      <w:r>
        <w:rPr>
          <w:rFonts w:hint="eastAsia"/>
        </w:rPr>
        <w:t>s</w:t>
      </w:r>
      <w:r w:rsidRPr="002B5F2E">
        <w:t xml:space="preserve"> of ICT</w:t>
      </w:r>
      <w:r>
        <w:t xml:space="preserve"> regulation</w:t>
      </w:r>
      <w:r w:rsidRPr="002B5F2E">
        <w:t xml:space="preserve"> and </w:t>
      </w:r>
      <w:r>
        <w:rPr>
          <w:rFonts w:hint="eastAsia"/>
        </w:rPr>
        <w:t>antimonopoly</w:t>
      </w:r>
      <w:r>
        <w:t xml:space="preserve"> regulation.</w:t>
      </w:r>
    </w:p>
    <w:p w14:paraId="7E1566E7" w14:textId="77777777" w:rsidR="00853889" w:rsidRDefault="00853889" w:rsidP="0024471C">
      <w:pPr>
        <w:ind w:firstLineChars="122" w:firstLine="277"/>
      </w:pPr>
      <w:r>
        <w:t xml:space="preserve">ICT </w:t>
      </w:r>
      <w:r>
        <w:rPr>
          <w:rFonts w:hint="eastAsia"/>
        </w:rPr>
        <w:t>saw a significant disjuncture through the</w:t>
      </w:r>
      <w:r>
        <w:t xml:space="preserve"> </w:t>
      </w:r>
      <w:r>
        <w:rPr>
          <w:rFonts w:hint="eastAsia"/>
        </w:rPr>
        <w:t xml:space="preserve">regulatory reform in </w:t>
      </w:r>
      <w:r>
        <w:t xml:space="preserve">telecommunications in </w:t>
      </w:r>
      <w:r>
        <w:rPr>
          <w:rFonts w:hint="eastAsia"/>
        </w:rPr>
        <w:t xml:space="preserve">1985, in which the state </w:t>
      </w:r>
      <w:r>
        <w:t>incumbent</w:t>
      </w:r>
      <w:r>
        <w:rPr>
          <w:rFonts w:hint="eastAsia"/>
        </w:rPr>
        <w:t xml:space="preserve"> company (NTT: Nippon Telegraph and Telephone) was privatised and the market was liberalised. </w:t>
      </w:r>
      <w:r>
        <w:t xml:space="preserve">Telecommunications is the only network industry sector in Japan that experienced a significant change of state actors through privatisation. It is also one of </w:t>
      </w:r>
      <w:r w:rsidR="00D02973">
        <w:t xml:space="preserve">the </w:t>
      </w:r>
      <w:r>
        <w:t>infrastructure sectors across the globe: ‘that experienced the most significant transformation processes from monopoly to competition’ (Tenbücken and Schneider 2004 pp.246-7). This disjuncture has dismantled traditional regulatory approach</w:t>
      </w:r>
      <w:r w:rsidR="00937D49">
        <w:rPr>
          <w:rFonts w:eastAsia="MS Mincho" w:hint="eastAsia"/>
          <w:lang w:eastAsia="ja-JP"/>
        </w:rPr>
        <w:t>es</w:t>
      </w:r>
      <w:r>
        <w:t xml:space="preserve"> to the sector, together with the change of state actors. The timing of the disjuncture </w:t>
      </w:r>
      <w:r>
        <w:rPr>
          <w:rFonts w:hint="eastAsia"/>
        </w:rPr>
        <w:t xml:space="preserve">in Japan </w:t>
      </w:r>
      <w:r>
        <w:t xml:space="preserve">was also set in the mid 1980s, when </w:t>
      </w:r>
      <w:r w:rsidRPr="00967D91">
        <w:t>neo-liberal discourse attracted public attention. How a newly established regulatory regime in the</w:t>
      </w:r>
      <w:r>
        <w:t xml:space="preserve"> ICT sector has been transformed offers an example of the Japanese state’s adaption process to its circumstances in regulation. </w:t>
      </w:r>
      <w:r>
        <w:rPr>
          <w:rFonts w:hint="eastAsia"/>
        </w:rPr>
        <w:t>These points render t</w:t>
      </w:r>
      <w:r>
        <w:t xml:space="preserve">his thesis </w:t>
      </w:r>
      <w:r>
        <w:rPr>
          <w:rFonts w:hint="eastAsia"/>
        </w:rPr>
        <w:t xml:space="preserve">to </w:t>
      </w:r>
      <w:r>
        <w:t>employ the case of ICT regulation as a case study for the transformation of the Japanese state in regulation.</w:t>
      </w:r>
    </w:p>
    <w:p w14:paraId="16199652" w14:textId="77777777" w:rsidR="00853889" w:rsidRDefault="00853889" w:rsidP="0024471C">
      <w:pPr>
        <w:ind w:firstLineChars="122" w:firstLine="277"/>
      </w:pPr>
      <w:r>
        <w:t>Antimonopoly regulation is chosen as another case for research. This is a field where a significant policy development can be observed in the period between the 1980s and 2000s (Freyer 2006 p.243, Schaede 2008 pp.42-4).</w:t>
      </w:r>
      <w:r w:rsidRPr="0011746D">
        <w:t xml:space="preserve"> </w:t>
      </w:r>
      <w:r>
        <w:t>A turning point facilitat</w:t>
      </w:r>
      <w:r w:rsidR="00B45E0F">
        <w:t>ing</w:t>
      </w:r>
      <w:r>
        <w:t xml:space="preserve"> this development was the economic negotiation with the US called the SII (Structural Impediment Initiative) in 1989-90. </w:t>
      </w:r>
      <w:r>
        <w:rPr>
          <w:rFonts w:hint="eastAsia"/>
        </w:rPr>
        <w:t>Japan</w:t>
      </w:r>
      <w:r>
        <w:t>’</w:t>
      </w:r>
      <w:r>
        <w:rPr>
          <w:rFonts w:hint="eastAsia"/>
        </w:rPr>
        <w:t>s</w:t>
      </w:r>
      <w:r>
        <w:t xml:space="preserve"> antimonopoly </w:t>
      </w:r>
      <w:r w:rsidR="008E07D6">
        <w:rPr>
          <w:rFonts w:hint="eastAsia"/>
          <w:lang w:eastAsia="ja-JP"/>
        </w:rPr>
        <w:t>regulation</w:t>
      </w:r>
      <w:r>
        <w:t xml:space="preserve"> is also the field administered by a rare independent regulator (JFTC: Fair Trade Commission</w:t>
      </w:r>
      <w:r w:rsidR="00937D49">
        <w:rPr>
          <w:rFonts w:eastAsia="MS Mincho" w:hint="eastAsia"/>
          <w:lang w:eastAsia="ja-JP"/>
        </w:rPr>
        <w:t>, Japan</w:t>
      </w:r>
      <w:r>
        <w:t xml:space="preserve">). This offers a contrast to other regulated fields including ICT, where regulation has been implemented by government ministries. The relationship between the regulator and party politicians is also different. Traditionally, the JFTC has </w:t>
      </w:r>
      <w:r>
        <w:rPr>
          <w:rFonts w:hint="eastAsia"/>
        </w:rPr>
        <w:t xml:space="preserve">meant to fend off </w:t>
      </w:r>
      <w:r>
        <w:t>the influence from politics</w:t>
      </w:r>
      <w:r>
        <w:rPr>
          <w:rFonts w:hint="eastAsia"/>
        </w:rPr>
        <w:t>; the relationship between party politicians and civil servants has been an important factor in the ICT sector</w:t>
      </w:r>
      <w:r>
        <w:t xml:space="preserve">. Elsewhere, there are </w:t>
      </w:r>
      <w:r>
        <w:rPr>
          <w:rFonts w:hint="eastAsia"/>
        </w:rPr>
        <w:t>other</w:t>
      </w:r>
      <w:r>
        <w:t xml:space="preserve"> similarities. </w:t>
      </w:r>
      <w:r>
        <w:rPr>
          <w:rFonts w:hint="eastAsia"/>
        </w:rPr>
        <w:t xml:space="preserve">Both cases involve </w:t>
      </w:r>
      <w:r>
        <w:t>competition as a key policy tool</w:t>
      </w:r>
      <w:r>
        <w:rPr>
          <w:rFonts w:hint="eastAsia"/>
        </w:rPr>
        <w:t xml:space="preserve"> and had their respective key disjunctures (</w:t>
      </w:r>
      <w:r>
        <w:t>antimonopoly</w:t>
      </w:r>
      <w:r w:rsidR="00A12DD9">
        <w:rPr>
          <w:rFonts w:hint="eastAsia"/>
          <w:lang w:eastAsia="ja-JP"/>
        </w:rPr>
        <w:t xml:space="preserve"> regulation</w:t>
      </w:r>
      <w:r>
        <w:rPr>
          <w:rFonts w:hint="eastAsia"/>
        </w:rPr>
        <w:t>: the SII in 1989-90, ICT</w:t>
      </w:r>
      <w:r w:rsidR="00A12DD9">
        <w:rPr>
          <w:rFonts w:hint="eastAsia"/>
          <w:lang w:eastAsia="ja-JP"/>
        </w:rPr>
        <w:t xml:space="preserve"> regulation</w:t>
      </w:r>
      <w:r>
        <w:rPr>
          <w:rFonts w:hint="eastAsia"/>
        </w:rPr>
        <w:t>:</w:t>
      </w:r>
      <w:r>
        <w:t xml:space="preserve"> the regulatory reform in 1985</w:t>
      </w:r>
      <w:r>
        <w:rPr>
          <w:rFonts w:hint="eastAsia"/>
        </w:rPr>
        <w:t>)</w:t>
      </w:r>
      <w:r>
        <w:t>.</w:t>
      </w:r>
    </w:p>
    <w:p w14:paraId="6EA87891" w14:textId="77777777" w:rsidR="00853889" w:rsidRPr="002B5F2E" w:rsidRDefault="00853889" w:rsidP="0024471C">
      <w:pPr>
        <w:ind w:firstLineChars="122" w:firstLine="277"/>
      </w:pPr>
      <w:r>
        <w:t xml:space="preserve">These similarities and differences enable this thesis to employ </w:t>
      </w:r>
      <w:r>
        <w:rPr>
          <w:rFonts w:hint="eastAsia"/>
        </w:rPr>
        <w:t>a</w:t>
      </w:r>
      <w:r>
        <w:t xml:space="preserve"> method of </w:t>
      </w:r>
      <w:r w:rsidRPr="004442FD">
        <w:t>comparative research</w:t>
      </w:r>
      <w:r>
        <w:t xml:space="preserve"> through </w:t>
      </w:r>
      <w:r w:rsidRPr="004442FD">
        <w:t xml:space="preserve">focusing on key </w:t>
      </w:r>
      <w:r>
        <w:t>issues</w:t>
      </w:r>
      <w:r w:rsidRPr="004442FD">
        <w:t xml:space="preserve"> and keep</w:t>
      </w:r>
      <w:r>
        <w:t>ing</w:t>
      </w:r>
      <w:r w:rsidRPr="004442FD">
        <w:t xml:space="preserve"> other</w:t>
      </w:r>
      <w:r>
        <w:t>s the</w:t>
      </w:r>
      <w:r w:rsidRPr="004442FD">
        <w:t xml:space="preserve"> same (Lijhart 1971 p.690)</w:t>
      </w:r>
      <w:r>
        <w:t>; t</w:t>
      </w:r>
      <w:r w:rsidRPr="004442FD">
        <w:t xml:space="preserve">he two key issues (ICT regulation, </w:t>
      </w:r>
      <w:r>
        <w:t>antimonopoly</w:t>
      </w:r>
      <w:r w:rsidRPr="004442FD">
        <w:t xml:space="preserve"> regulation) </w:t>
      </w:r>
      <w:r>
        <w:t>are studied</w:t>
      </w:r>
      <w:r w:rsidRPr="004442FD">
        <w:t xml:space="preserve"> </w:t>
      </w:r>
      <w:r>
        <w:rPr>
          <w:rFonts w:hint="eastAsia"/>
        </w:rPr>
        <w:t>within the same country across time</w:t>
      </w:r>
      <w:r w:rsidRPr="004442FD">
        <w:t xml:space="preserve">. </w:t>
      </w:r>
      <w:r>
        <w:t>It is a comparative case study within a single country. This approach renders this thesis to analyse specific cases in depth</w:t>
      </w:r>
      <w:r w:rsidRPr="002B5F2E">
        <w:t xml:space="preserve">. </w:t>
      </w:r>
      <w:r>
        <w:t xml:space="preserve">It also brings </w:t>
      </w:r>
      <w:r w:rsidRPr="002B5F2E">
        <w:t>generalisability</w:t>
      </w:r>
      <w:r>
        <w:rPr>
          <w:rFonts w:hint="eastAsia"/>
        </w:rPr>
        <w:t xml:space="preserve"> in this thesis</w:t>
      </w:r>
      <w:r>
        <w:t>, which is described afterwards.</w:t>
      </w:r>
    </w:p>
    <w:p w14:paraId="50263608" w14:textId="77777777" w:rsidR="00853889" w:rsidRDefault="00853889" w:rsidP="006F7A8C">
      <w:pPr>
        <w:ind w:firstLineChars="122" w:firstLine="277"/>
      </w:pPr>
      <w:r>
        <w:t xml:space="preserve">Along with the selection of the case, designing a rigorous case study is vital. Yin (2003 p.33) proposes the guidelines for </w:t>
      </w:r>
      <w:r>
        <w:rPr>
          <w:rFonts w:hint="eastAsia"/>
        </w:rPr>
        <w:t>assessing</w:t>
      </w:r>
      <w:r>
        <w:t xml:space="preserve"> the quality of a case study. His guidelines have the following four criteria</w:t>
      </w:r>
      <w:r w:rsidRPr="00B72315">
        <w:t>: construct validity, internal validity, external validity, and reliability (</w:t>
      </w:r>
      <w:r>
        <w:t xml:space="preserve">see </w:t>
      </w:r>
      <w:r w:rsidR="009D4976">
        <w:t>Table 4.6</w:t>
      </w:r>
      <w:r w:rsidRPr="00B72315">
        <w:t>).</w:t>
      </w:r>
      <w:r>
        <w:t xml:space="preserve"> Although </w:t>
      </w:r>
      <w:r w:rsidR="00B45E0F">
        <w:t>parts</w:t>
      </w:r>
      <w:r>
        <w:t xml:space="preserve"> of Yin’s (2003) </w:t>
      </w:r>
      <w:r w:rsidR="00594F57">
        <w:t>approach draw from a</w:t>
      </w:r>
      <w:r>
        <w:t xml:space="preserve"> positivist orientation, the four tests proposed are common to all social science methods (Yin 2003 p.34).</w:t>
      </w:r>
    </w:p>
    <w:p w14:paraId="64F3A559" w14:textId="77777777" w:rsidR="00853889" w:rsidRPr="00826D50" w:rsidRDefault="00853889" w:rsidP="0024471C">
      <w:pPr>
        <w:ind w:firstLineChars="122" w:firstLine="277"/>
      </w:pPr>
    </w:p>
    <w:p w14:paraId="721B3C5E" w14:textId="77777777" w:rsidR="00853889" w:rsidRPr="006A27DA" w:rsidRDefault="009D4976" w:rsidP="00DA2E02">
      <w:pPr>
        <w:pStyle w:val="Heading4"/>
      </w:pPr>
      <w:r>
        <w:t>Table 4.6</w:t>
      </w:r>
      <w:r w:rsidR="00853889" w:rsidRPr="006A27DA">
        <w:t>: Case study tactics for four design tests (Yin 2003 p.34)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7"/>
        <w:gridCol w:w="5112"/>
        <w:gridCol w:w="2381"/>
      </w:tblGrid>
      <w:tr w:rsidR="00853889" w:rsidRPr="00FB6BE4" w14:paraId="62AAE474" w14:textId="77777777" w:rsidTr="00FF685A">
        <w:tc>
          <w:tcPr>
            <w:tcW w:w="1242" w:type="dxa"/>
            <w:tcBorders>
              <w:bottom w:val="double" w:sz="4" w:space="0" w:color="auto"/>
              <w:right w:val="single" w:sz="12" w:space="0" w:color="auto"/>
            </w:tcBorders>
            <w:shd w:val="pct20" w:color="auto" w:fill="auto"/>
          </w:tcPr>
          <w:p w14:paraId="19E7D7B7" w14:textId="77777777" w:rsidR="00853889" w:rsidRPr="00FB6BE4" w:rsidRDefault="00853889" w:rsidP="00FF685A">
            <w:pPr>
              <w:pStyle w:val="NoSpacing"/>
              <w:jc w:val="center"/>
            </w:pPr>
            <w:r w:rsidRPr="00FB6BE4">
              <w:t>Tests</w:t>
            </w:r>
          </w:p>
        </w:tc>
        <w:tc>
          <w:tcPr>
            <w:tcW w:w="5529" w:type="dxa"/>
            <w:tcBorders>
              <w:left w:val="single" w:sz="12" w:space="0" w:color="auto"/>
              <w:bottom w:val="double" w:sz="4" w:space="0" w:color="auto"/>
            </w:tcBorders>
            <w:shd w:val="pct20" w:color="auto" w:fill="auto"/>
          </w:tcPr>
          <w:p w14:paraId="6E4B3ACE" w14:textId="77777777" w:rsidR="00853889" w:rsidRPr="00FB6BE4" w:rsidRDefault="00853889" w:rsidP="00FF685A">
            <w:pPr>
              <w:pStyle w:val="NoSpacing"/>
              <w:jc w:val="center"/>
            </w:pPr>
            <w:r w:rsidRPr="00FB6BE4">
              <w:t>Case Study Tactic</w:t>
            </w:r>
          </w:p>
        </w:tc>
        <w:tc>
          <w:tcPr>
            <w:tcW w:w="2497" w:type="dxa"/>
            <w:tcBorders>
              <w:bottom w:val="double" w:sz="4" w:space="0" w:color="auto"/>
            </w:tcBorders>
            <w:shd w:val="pct20" w:color="auto" w:fill="auto"/>
          </w:tcPr>
          <w:p w14:paraId="571BDAEF" w14:textId="77777777" w:rsidR="00853889" w:rsidRPr="00FB6BE4" w:rsidRDefault="00853889" w:rsidP="00FF685A">
            <w:pPr>
              <w:pStyle w:val="NoSpacing"/>
              <w:jc w:val="center"/>
            </w:pPr>
            <w:r w:rsidRPr="00FB6BE4">
              <w:t>Phase of research in which tactic occurs</w:t>
            </w:r>
          </w:p>
        </w:tc>
      </w:tr>
      <w:tr w:rsidR="00853889" w:rsidRPr="00FB6BE4" w14:paraId="4A191068" w14:textId="77777777" w:rsidTr="00FF685A">
        <w:tc>
          <w:tcPr>
            <w:tcW w:w="1242" w:type="dxa"/>
            <w:tcBorders>
              <w:top w:val="double" w:sz="4" w:space="0" w:color="auto"/>
              <w:right w:val="single" w:sz="12" w:space="0" w:color="auto"/>
            </w:tcBorders>
          </w:tcPr>
          <w:p w14:paraId="510B29FB" w14:textId="77777777" w:rsidR="00853889" w:rsidRPr="00FB6BE4" w:rsidRDefault="00853889" w:rsidP="00FF685A">
            <w:pPr>
              <w:pStyle w:val="NoSpacing"/>
            </w:pPr>
            <w:r w:rsidRPr="00FB6BE4">
              <w:t>Construct validity</w:t>
            </w:r>
          </w:p>
        </w:tc>
        <w:tc>
          <w:tcPr>
            <w:tcW w:w="5529" w:type="dxa"/>
            <w:tcBorders>
              <w:top w:val="double" w:sz="4" w:space="0" w:color="auto"/>
              <w:left w:val="single" w:sz="12" w:space="0" w:color="auto"/>
            </w:tcBorders>
          </w:tcPr>
          <w:p w14:paraId="345654FB" w14:textId="77777777" w:rsidR="00853889" w:rsidRPr="00FB6BE4" w:rsidRDefault="00853889" w:rsidP="00FF685A">
            <w:pPr>
              <w:pStyle w:val="NoSpacing"/>
            </w:pPr>
            <w:r w:rsidRPr="00FB6BE4">
              <w:t>Use multiple sources of evidence</w:t>
            </w:r>
          </w:p>
          <w:p w14:paraId="6F06F001" w14:textId="77777777" w:rsidR="00853889" w:rsidRPr="00FB6BE4" w:rsidRDefault="00853889" w:rsidP="00FF685A">
            <w:pPr>
              <w:pStyle w:val="NoSpacing"/>
            </w:pPr>
            <w:r w:rsidRPr="00FB6BE4">
              <w:t>Establish chain of evidence</w:t>
            </w:r>
          </w:p>
          <w:p w14:paraId="783259DC" w14:textId="77777777" w:rsidR="00853889" w:rsidRPr="00FB6BE4" w:rsidRDefault="00853889" w:rsidP="00FF685A">
            <w:pPr>
              <w:pStyle w:val="NoSpacing"/>
            </w:pPr>
            <w:r w:rsidRPr="00FB6BE4">
              <w:t>Have key informants review draft case study report</w:t>
            </w:r>
          </w:p>
        </w:tc>
        <w:tc>
          <w:tcPr>
            <w:tcW w:w="2497" w:type="dxa"/>
            <w:tcBorders>
              <w:top w:val="double" w:sz="4" w:space="0" w:color="auto"/>
            </w:tcBorders>
          </w:tcPr>
          <w:p w14:paraId="3EAE44BC" w14:textId="77777777" w:rsidR="00853889" w:rsidRPr="00FB6BE4" w:rsidRDefault="00853889" w:rsidP="00FF685A">
            <w:pPr>
              <w:pStyle w:val="NoSpacing"/>
            </w:pPr>
            <w:r w:rsidRPr="00FB6BE4">
              <w:t>Data collection</w:t>
            </w:r>
          </w:p>
          <w:p w14:paraId="3E8FA4DB" w14:textId="77777777" w:rsidR="00853889" w:rsidRPr="00FB6BE4" w:rsidRDefault="00853889" w:rsidP="00FF685A">
            <w:pPr>
              <w:pStyle w:val="NoSpacing"/>
            </w:pPr>
            <w:r w:rsidRPr="00FB6BE4">
              <w:t>Data collection</w:t>
            </w:r>
          </w:p>
          <w:p w14:paraId="27B4471E" w14:textId="77777777" w:rsidR="00853889" w:rsidRPr="00FB6BE4" w:rsidRDefault="00853889" w:rsidP="00FF685A">
            <w:pPr>
              <w:pStyle w:val="NoSpacing"/>
            </w:pPr>
            <w:r w:rsidRPr="00FB6BE4">
              <w:t>Composition</w:t>
            </w:r>
          </w:p>
        </w:tc>
      </w:tr>
      <w:tr w:rsidR="00853889" w:rsidRPr="00FB6BE4" w14:paraId="4BE47A8E" w14:textId="77777777" w:rsidTr="00FF685A">
        <w:tc>
          <w:tcPr>
            <w:tcW w:w="1242" w:type="dxa"/>
            <w:tcBorders>
              <w:right w:val="single" w:sz="12" w:space="0" w:color="auto"/>
            </w:tcBorders>
          </w:tcPr>
          <w:p w14:paraId="3E973CB3" w14:textId="77777777" w:rsidR="00853889" w:rsidRPr="00FB6BE4" w:rsidRDefault="00853889" w:rsidP="00FF685A">
            <w:pPr>
              <w:pStyle w:val="NoSpacing"/>
            </w:pPr>
            <w:r w:rsidRPr="00FB6BE4">
              <w:t>Internal validity</w:t>
            </w:r>
          </w:p>
        </w:tc>
        <w:tc>
          <w:tcPr>
            <w:tcW w:w="5529" w:type="dxa"/>
            <w:tcBorders>
              <w:left w:val="single" w:sz="12" w:space="0" w:color="auto"/>
            </w:tcBorders>
          </w:tcPr>
          <w:p w14:paraId="4B006D7A" w14:textId="77777777" w:rsidR="00853889" w:rsidRPr="00FB6BE4" w:rsidRDefault="00853889" w:rsidP="00FF685A">
            <w:pPr>
              <w:pStyle w:val="NoSpacing"/>
            </w:pPr>
            <w:r w:rsidRPr="00FB6BE4">
              <w:t>Do patter</w:t>
            </w:r>
            <w:r w:rsidR="00014E6A">
              <w:t>n</w:t>
            </w:r>
            <w:r w:rsidRPr="00FB6BE4">
              <w:t>-matching</w:t>
            </w:r>
          </w:p>
          <w:p w14:paraId="6A74C1FA" w14:textId="77777777" w:rsidR="00853889" w:rsidRPr="00FB6BE4" w:rsidRDefault="00853889" w:rsidP="00FF685A">
            <w:pPr>
              <w:pStyle w:val="NoSpacing"/>
            </w:pPr>
            <w:r w:rsidRPr="00FB6BE4">
              <w:t>Do explanation-building</w:t>
            </w:r>
          </w:p>
          <w:p w14:paraId="1C4279CD" w14:textId="77777777" w:rsidR="00853889" w:rsidRPr="00FB6BE4" w:rsidRDefault="00853889" w:rsidP="00FF685A">
            <w:pPr>
              <w:pStyle w:val="NoSpacing"/>
            </w:pPr>
            <w:r w:rsidRPr="00FB6BE4">
              <w:t>Address rival explanations</w:t>
            </w:r>
          </w:p>
          <w:p w14:paraId="3D47691E" w14:textId="77777777" w:rsidR="00853889" w:rsidRPr="00FB6BE4" w:rsidRDefault="00853889" w:rsidP="00FF685A">
            <w:pPr>
              <w:pStyle w:val="NoSpacing"/>
            </w:pPr>
            <w:r w:rsidRPr="00FB6BE4">
              <w:t>Use logic models</w:t>
            </w:r>
          </w:p>
        </w:tc>
        <w:tc>
          <w:tcPr>
            <w:tcW w:w="2497" w:type="dxa"/>
          </w:tcPr>
          <w:p w14:paraId="77986DD9" w14:textId="77777777" w:rsidR="00853889" w:rsidRPr="00FB6BE4" w:rsidRDefault="00853889" w:rsidP="00FF685A">
            <w:pPr>
              <w:pStyle w:val="NoSpacing"/>
            </w:pPr>
            <w:r w:rsidRPr="00FB6BE4">
              <w:t>Data analysis</w:t>
            </w:r>
          </w:p>
          <w:p w14:paraId="2DBB28C0" w14:textId="77777777" w:rsidR="00853889" w:rsidRPr="00FB6BE4" w:rsidRDefault="00853889" w:rsidP="00FF685A">
            <w:pPr>
              <w:pStyle w:val="NoSpacing"/>
            </w:pPr>
            <w:r w:rsidRPr="00FB6BE4">
              <w:t>Data analysis</w:t>
            </w:r>
          </w:p>
          <w:p w14:paraId="00171E9A" w14:textId="77777777" w:rsidR="00853889" w:rsidRPr="00FB6BE4" w:rsidRDefault="00853889" w:rsidP="00FF685A">
            <w:pPr>
              <w:pStyle w:val="NoSpacing"/>
            </w:pPr>
            <w:r w:rsidRPr="00FB6BE4">
              <w:t>Data analysis</w:t>
            </w:r>
          </w:p>
          <w:p w14:paraId="11FDAD0D" w14:textId="77777777" w:rsidR="00853889" w:rsidRPr="00FB6BE4" w:rsidRDefault="00853889" w:rsidP="00FF685A">
            <w:pPr>
              <w:pStyle w:val="NoSpacing"/>
            </w:pPr>
            <w:r w:rsidRPr="00FB6BE4">
              <w:t>Data analysis</w:t>
            </w:r>
          </w:p>
        </w:tc>
      </w:tr>
      <w:tr w:rsidR="00853889" w:rsidRPr="00FB6BE4" w14:paraId="301A4682" w14:textId="77777777" w:rsidTr="00FF685A">
        <w:tc>
          <w:tcPr>
            <w:tcW w:w="1242" w:type="dxa"/>
            <w:tcBorders>
              <w:right w:val="single" w:sz="12" w:space="0" w:color="auto"/>
            </w:tcBorders>
          </w:tcPr>
          <w:p w14:paraId="173E6EE0" w14:textId="77777777" w:rsidR="00853889" w:rsidRPr="00FB6BE4" w:rsidRDefault="00853889" w:rsidP="00FF685A">
            <w:pPr>
              <w:pStyle w:val="NoSpacing"/>
            </w:pPr>
            <w:r w:rsidRPr="00FB6BE4">
              <w:t>External validity</w:t>
            </w:r>
          </w:p>
        </w:tc>
        <w:tc>
          <w:tcPr>
            <w:tcW w:w="5529" w:type="dxa"/>
            <w:tcBorders>
              <w:left w:val="single" w:sz="12" w:space="0" w:color="auto"/>
            </w:tcBorders>
          </w:tcPr>
          <w:p w14:paraId="51304E1B" w14:textId="77777777" w:rsidR="00853889" w:rsidRPr="00FB6BE4" w:rsidRDefault="00853889" w:rsidP="00FF685A">
            <w:pPr>
              <w:pStyle w:val="NoSpacing"/>
            </w:pPr>
            <w:r w:rsidRPr="00FB6BE4">
              <w:t>Use theory in single-case studies</w:t>
            </w:r>
          </w:p>
          <w:p w14:paraId="45314DA1" w14:textId="77777777" w:rsidR="00853889" w:rsidRPr="00FB6BE4" w:rsidRDefault="00853889" w:rsidP="00FF685A">
            <w:pPr>
              <w:pStyle w:val="NoSpacing"/>
            </w:pPr>
            <w:r w:rsidRPr="00FB6BE4">
              <w:t>Use replication logic in multiple-case studies</w:t>
            </w:r>
          </w:p>
        </w:tc>
        <w:tc>
          <w:tcPr>
            <w:tcW w:w="2497" w:type="dxa"/>
          </w:tcPr>
          <w:p w14:paraId="0F7C01F1" w14:textId="77777777" w:rsidR="00853889" w:rsidRPr="00FB6BE4" w:rsidRDefault="00853889" w:rsidP="00FF685A">
            <w:pPr>
              <w:pStyle w:val="NoSpacing"/>
            </w:pPr>
            <w:r w:rsidRPr="00FB6BE4">
              <w:t>Research design</w:t>
            </w:r>
          </w:p>
          <w:p w14:paraId="236335F9" w14:textId="77777777" w:rsidR="00853889" w:rsidRPr="00FB6BE4" w:rsidRDefault="00853889" w:rsidP="00FF685A">
            <w:pPr>
              <w:pStyle w:val="NoSpacing"/>
            </w:pPr>
            <w:r w:rsidRPr="00FB6BE4">
              <w:t>Research design</w:t>
            </w:r>
          </w:p>
        </w:tc>
      </w:tr>
      <w:tr w:rsidR="00853889" w:rsidRPr="00FB6BE4" w14:paraId="19DD573D" w14:textId="77777777" w:rsidTr="00FF685A">
        <w:tc>
          <w:tcPr>
            <w:tcW w:w="1242" w:type="dxa"/>
            <w:tcBorders>
              <w:right w:val="single" w:sz="12" w:space="0" w:color="auto"/>
            </w:tcBorders>
          </w:tcPr>
          <w:p w14:paraId="7B0FB3C7" w14:textId="77777777" w:rsidR="00853889" w:rsidRPr="00FB6BE4" w:rsidRDefault="00853889" w:rsidP="00FF685A">
            <w:pPr>
              <w:pStyle w:val="NoSpacing"/>
            </w:pPr>
            <w:r w:rsidRPr="00FB6BE4">
              <w:t>Reliability</w:t>
            </w:r>
          </w:p>
        </w:tc>
        <w:tc>
          <w:tcPr>
            <w:tcW w:w="5529" w:type="dxa"/>
            <w:tcBorders>
              <w:left w:val="single" w:sz="12" w:space="0" w:color="auto"/>
            </w:tcBorders>
          </w:tcPr>
          <w:p w14:paraId="2470CF3B" w14:textId="77777777" w:rsidR="00853889" w:rsidRPr="00FB6BE4" w:rsidRDefault="00853889" w:rsidP="00FF685A">
            <w:pPr>
              <w:pStyle w:val="NoSpacing"/>
            </w:pPr>
            <w:r w:rsidRPr="00FB6BE4">
              <w:t>Use case study protocol</w:t>
            </w:r>
          </w:p>
          <w:p w14:paraId="16CAE0AE" w14:textId="77777777" w:rsidR="00853889" w:rsidRPr="00FB6BE4" w:rsidRDefault="00853889" w:rsidP="00FF685A">
            <w:pPr>
              <w:pStyle w:val="NoSpacing"/>
            </w:pPr>
            <w:r w:rsidRPr="00FB6BE4">
              <w:t>Develop case study database</w:t>
            </w:r>
          </w:p>
        </w:tc>
        <w:tc>
          <w:tcPr>
            <w:tcW w:w="2497" w:type="dxa"/>
          </w:tcPr>
          <w:p w14:paraId="001A2950" w14:textId="77777777" w:rsidR="00853889" w:rsidRPr="00FB6BE4" w:rsidRDefault="00853889" w:rsidP="00FF685A">
            <w:pPr>
              <w:pStyle w:val="NoSpacing"/>
            </w:pPr>
            <w:r w:rsidRPr="00FB6BE4">
              <w:t>Data collection</w:t>
            </w:r>
          </w:p>
          <w:p w14:paraId="06AF9B16" w14:textId="77777777" w:rsidR="00853889" w:rsidRPr="00FB6BE4" w:rsidRDefault="00853889" w:rsidP="00FF685A">
            <w:pPr>
              <w:pStyle w:val="NoSpacing"/>
            </w:pPr>
            <w:r w:rsidRPr="00FB6BE4">
              <w:t>Data collection</w:t>
            </w:r>
          </w:p>
        </w:tc>
      </w:tr>
    </w:tbl>
    <w:p w14:paraId="5B688283" w14:textId="77777777" w:rsidR="00853889" w:rsidRDefault="00853889" w:rsidP="00853889"/>
    <w:p w14:paraId="5363B17F" w14:textId="77777777" w:rsidR="00853889" w:rsidRPr="00CA76AA" w:rsidRDefault="00853889" w:rsidP="001B6C05">
      <w:pPr>
        <w:pStyle w:val="ListParagraph"/>
        <w:widowControl w:val="0"/>
        <w:numPr>
          <w:ilvl w:val="0"/>
          <w:numId w:val="33"/>
        </w:numPr>
        <w:ind w:left="284" w:hanging="284"/>
        <w:contextualSpacing w:val="0"/>
      </w:pPr>
      <w:r w:rsidRPr="00FC2F9B">
        <w:t xml:space="preserve">Construct validity is whether or not </w:t>
      </w:r>
      <w:r w:rsidRPr="00FC2F9B">
        <w:rPr>
          <w:rFonts w:hint="eastAsia"/>
        </w:rPr>
        <w:t>a</w:t>
      </w:r>
      <w:r w:rsidRPr="00FC2F9B">
        <w:t xml:space="preserve"> thesis establishes the robust linkages of inference</w:t>
      </w:r>
      <w:r w:rsidRPr="00CA76AA">
        <w:t xml:space="preserve"> between the observed phenomena and the theoretical analyses (Yin 2003 p.34). It is challenging for the case study method because there is a risk that subjective judgement can affect the data collection process of a case study (Yin 2003 p.34). </w:t>
      </w:r>
      <w:r>
        <w:rPr>
          <w:rFonts w:hint="eastAsia"/>
        </w:rPr>
        <w:t>This is addressed by t</w:t>
      </w:r>
      <w:r w:rsidRPr="00CA76AA">
        <w:t>riangulation</w:t>
      </w:r>
      <w:r>
        <w:rPr>
          <w:rStyle w:val="FootnoteReference"/>
        </w:rPr>
        <w:footnoteReference w:id="40"/>
      </w:r>
      <w:r w:rsidRPr="00CA76AA">
        <w:t xml:space="preserve"> to the interview by employing other sources such as published documents </w:t>
      </w:r>
      <w:r>
        <w:rPr>
          <w:rFonts w:hint="eastAsia"/>
        </w:rPr>
        <w:t>and d</w:t>
      </w:r>
      <w:r w:rsidRPr="00CA76AA">
        <w:t>ouble-checking interview scripts.</w:t>
      </w:r>
    </w:p>
    <w:p w14:paraId="329D2576" w14:textId="77777777" w:rsidR="00853889" w:rsidRPr="00CA76AA" w:rsidRDefault="00853889" w:rsidP="001B6C05">
      <w:pPr>
        <w:pStyle w:val="ListParagraph"/>
        <w:widowControl w:val="0"/>
        <w:numPr>
          <w:ilvl w:val="0"/>
          <w:numId w:val="33"/>
        </w:numPr>
        <w:ind w:left="284" w:hanging="284"/>
        <w:contextualSpacing w:val="0"/>
      </w:pPr>
      <w:r w:rsidRPr="00CA76AA">
        <w:t xml:space="preserve">Internal validity is whether or not </w:t>
      </w:r>
      <w:r>
        <w:rPr>
          <w:rFonts w:hint="eastAsia"/>
        </w:rPr>
        <w:t>a</w:t>
      </w:r>
      <w:r w:rsidRPr="00CA76AA">
        <w:t xml:space="preserve"> thesis exhaustively shows causal relationships in which core linkages between certain conditions and other conditions are clearly identified (Yin 2003 p.34). Because this validity relates to explanatory studies more than exploratory or descriptive ones (Yin 2003 p.36), exploratory studies such as this thesis are less relevant. </w:t>
      </w:r>
      <w:r w:rsidR="00594F57">
        <w:t>Tria</w:t>
      </w:r>
      <w:r w:rsidRPr="00CA76AA">
        <w:t xml:space="preserve">ngulation to the data </w:t>
      </w:r>
      <w:r>
        <w:rPr>
          <w:rFonts w:hint="eastAsia"/>
        </w:rPr>
        <w:t>and d</w:t>
      </w:r>
      <w:r w:rsidRPr="00CA76AA">
        <w:t>ouble-checking interview scripts also reduce the risk of overlooking the significant causal relationship between the actors.</w:t>
      </w:r>
    </w:p>
    <w:p w14:paraId="51B2EEEA" w14:textId="77777777" w:rsidR="00853889" w:rsidRPr="00CA76AA" w:rsidRDefault="00853889" w:rsidP="001B6C05">
      <w:pPr>
        <w:pStyle w:val="ListParagraph"/>
        <w:widowControl w:val="0"/>
        <w:numPr>
          <w:ilvl w:val="0"/>
          <w:numId w:val="33"/>
        </w:numPr>
        <w:ind w:left="284" w:hanging="284"/>
        <w:contextualSpacing w:val="0"/>
      </w:pPr>
      <w:r w:rsidRPr="00CA76AA">
        <w:t xml:space="preserve">External validity is whether or not a thesis is generalisable ‘beyond the immediate case study’ (Yin 2003 p.37). Generalisability is a major challenge to the case study method (Yin 2003 p.37). A remedy can be the fact that this research pays attention to the technique of the comparative research method, focusing on key variables and keeps other variables </w:t>
      </w:r>
      <w:r w:rsidR="00B45E0F">
        <w:t xml:space="preserve">the </w:t>
      </w:r>
      <w:r w:rsidRPr="00CA76AA">
        <w:t>same (Lijhart 1971 p.690).</w:t>
      </w:r>
    </w:p>
    <w:p w14:paraId="5884790C" w14:textId="77777777" w:rsidR="00853889" w:rsidRPr="00CA76AA" w:rsidRDefault="00853889" w:rsidP="001B6C05">
      <w:pPr>
        <w:pStyle w:val="ListParagraph"/>
        <w:widowControl w:val="0"/>
        <w:numPr>
          <w:ilvl w:val="0"/>
          <w:numId w:val="33"/>
        </w:numPr>
        <w:ind w:left="284" w:hanging="284"/>
        <w:contextualSpacing w:val="0"/>
      </w:pPr>
      <w:r w:rsidRPr="00CA76AA">
        <w:t xml:space="preserve">Reliability is whether or not </w:t>
      </w:r>
      <w:r>
        <w:rPr>
          <w:rFonts w:hint="eastAsia"/>
        </w:rPr>
        <w:t>other</w:t>
      </w:r>
      <w:r w:rsidRPr="00CA76AA">
        <w:t xml:space="preserve"> researcher</w:t>
      </w:r>
      <w:r>
        <w:rPr>
          <w:rFonts w:hint="eastAsia"/>
        </w:rPr>
        <w:t>s</w:t>
      </w:r>
      <w:r w:rsidRPr="00CA76AA">
        <w:t xml:space="preserve"> can follow the same procedures described by the earlier research and arrive at the same findings and conclusions</w:t>
      </w:r>
      <w:r>
        <w:rPr>
          <w:rFonts w:hint="eastAsia"/>
        </w:rPr>
        <w:t>, aimed at minimising the errors and biases in a study</w:t>
      </w:r>
      <w:r w:rsidRPr="00CA76AA">
        <w:t xml:space="preserve"> (Yin 2003 p.37). Clearly documented procedures are key to ensure reliability (Yin 2003 p.38). </w:t>
      </w:r>
      <w:r>
        <w:t>Th</w:t>
      </w:r>
      <w:r>
        <w:rPr>
          <w:rFonts w:hint="eastAsia"/>
        </w:rPr>
        <w:t>e operationalisation of the research described in the following section responds to this challenge by clearing the process of this research and providing a traceability of the research process</w:t>
      </w:r>
      <w:r>
        <w:t>.</w:t>
      </w:r>
    </w:p>
    <w:p w14:paraId="6D24ACBB" w14:textId="77777777" w:rsidR="00853889" w:rsidRDefault="00853889" w:rsidP="0024471C">
      <w:pPr>
        <w:ind w:left="277" w:hangingChars="122" w:hanging="277"/>
      </w:pPr>
    </w:p>
    <w:p w14:paraId="330366F0" w14:textId="77777777" w:rsidR="00853889" w:rsidRPr="007F2EE8" w:rsidRDefault="00853889" w:rsidP="0024471C">
      <w:pPr>
        <w:ind w:left="277" w:hangingChars="122" w:hanging="277"/>
      </w:pPr>
    </w:p>
    <w:p w14:paraId="2490D955" w14:textId="77777777" w:rsidR="00853889" w:rsidRPr="0040349E" w:rsidRDefault="00853889" w:rsidP="00050D4B">
      <w:pPr>
        <w:pStyle w:val="Heading2"/>
      </w:pPr>
      <w:bookmarkStart w:id="41" w:name="_Toc349741363"/>
      <w:r>
        <w:rPr>
          <w:rFonts w:hint="eastAsia"/>
        </w:rPr>
        <w:t>4</w:t>
      </w:r>
      <w:r>
        <w:t>.</w:t>
      </w:r>
      <w:r>
        <w:rPr>
          <w:rFonts w:hint="eastAsia"/>
        </w:rPr>
        <w:t>6</w:t>
      </w:r>
      <w:r>
        <w:tab/>
        <w:t>Operationalisation</w:t>
      </w:r>
      <w:bookmarkEnd w:id="41"/>
    </w:p>
    <w:p w14:paraId="63EE6B0B" w14:textId="77777777" w:rsidR="00853889" w:rsidRDefault="00853889" w:rsidP="00853889">
      <w:r w:rsidRPr="00135CBC">
        <w:t xml:space="preserve">The operationalisation of this thesis focuses on two </w:t>
      </w:r>
      <w:r>
        <w:rPr>
          <w:rFonts w:hint="eastAsia"/>
        </w:rPr>
        <w:t>tasks</w:t>
      </w:r>
      <w:r w:rsidRPr="00135CBC">
        <w:t>: elite interviewing and document</w:t>
      </w:r>
      <w:r>
        <w:rPr>
          <w:rFonts w:hint="eastAsia"/>
        </w:rPr>
        <w:t>ary</w:t>
      </w:r>
      <w:r w:rsidRPr="00135CBC">
        <w:t xml:space="preserve"> analysis. The primary data was collected through elite interviewing</w:t>
      </w:r>
      <w:r>
        <w:rPr>
          <w:rFonts w:hint="eastAsia"/>
        </w:rPr>
        <w:t>. The resulting transcripts,</w:t>
      </w:r>
      <w:r w:rsidRPr="00135CBC">
        <w:t xml:space="preserve"> the secondary </w:t>
      </w:r>
      <w:r>
        <w:rPr>
          <w:rFonts w:hint="eastAsia"/>
        </w:rPr>
        <w:t xml:space="preserve">data, </w:t>
      </w:r>
      <w:r w:rsidRPr="00135CBC">
        <w:t xml:space="preserve">and </w:t>
      </w:r>
      <w:r>
        <w:rPr>
          <w:rFonts w:hint="eastAsia"/>
        </w:rPr>
        <w:t xml:space="preserve">the </w:t>
      </w:r>
      <w:r w:rsidRPr="00135CBC">
        <w:t xml:space="preserve">tertiary data </w:t>
      </w:r>
      <w:r>
        <w:rPr>
          <w:rFonts w:hint="eastAsia"/>
        </w:rPr>
        <w:t xml:space="preserve">are processed </w:t>
      </w:r>
      <w:r w:rsidRPr="00135CBC">
        <w:t>by document analysis</w:t>
      </w:r>
      <w:r>
        <w:rPr>
          <w:rFonts w:hint="eastAsia"/>
        </w:rPr>
        <w:t xml:space="preserve"> (for the typology of the data, see </w:t>
      </w:r>
      <w:r w:rsidR="009D4976">
        <w:rPr>
          <w:rFonts w:hint="eastAsia"/>
        </w:rPr>
        <w:t>Table 4.7</w:t>
      </w:r>
      <w:r>
        <w:rPr>
          <w:rFonts w:hint="eastAsia"/>
        </w:rPr>
        <w:t>)</w:t>
      </w:r>
      <w:r w:rsidRPr="00135CBC">
        <w:t>.</w:t>
      </w:r>
      <w:r>
        <w:t xml:space="preserve"> </w:t>
      </w:r>
      <w:r>
        <w:rPr>
          <w:rFonts w:hint="eastAsia"/>
        </w:rPr>
        <w:t xml:space="preserve">In the </w:t>
      </w:r>
      <w:r>
        <w:t xml:space="preserve">analytical </w:t>
      </w:r>
      <w:r>
        <w:rPr>
          <w:rFonts w:hint="eastAsia"/>
        </w:rPr>
        <w:t>process, triangulation</w:t>
      </w:r>
      <w:r w:rsidR="004664AE">
        <w:t xml:space="preserve"> (see 4.6.2)</w:t>
      </w:r>
      <w:r>
        <w:rPr>
          <w:rFonts w:hint="eastAsia"/>
        </w:rPr>
        <w:t xml:space="preserve"> plays an important role</w:t>
      </w:r>
      <w:r>
        <w:t xml:space="preserve"> based on multiple sources and methods</w:t>
      </w:r>
      <w:r>
        <w:rPr>
          <w:rFonts w:hint="eastAsia"/>
        </w:rPr>
        <w:t>.</w:t>
      </w:r>
    </w:p>
    <w:p w14:paraId="4C8D64AE" w14:textId="77777777" w:rsidR="00853889" w:rsidRDefault="00853889" w:rsidP="0024471C">
      <w:pPr>
        <w:ind w:firstLineChars="122" w:firstLine="277"/>
      </w:pPr>
      <w:r>
        <w:t xml:space="preserve">Since </w:t>
      </w:r>
      <w:r>
        <w:rPr>
          <w:rFonts w:hint="eastAsia"/>
        </w:rPr>
        <w:t>a</w:t>
      </w:r>
      <w:r>
        <w:t xml:space="preserve"> major challenge in the research process emerged in elite interviewing, this section starts </w:t>
      </w:r>
      <w:r w:rsidR="00B45E0F">
        <w:t xml:space="preserve">by </w:t>
      </w:r>
      <w:r>
        <w:t>d</w:t>
      </w:r>
      <w:r>
        <w:rPr>
          <w:rFonts w:hint="eastAsia"/>
        </w:rPr>
        <w:t>iscussing</w:t>
      </w:r>
      <w:r>
        <w:t xml:space="preserve"> elite interviewing, followed by th</w:t>
      </w:r>
      <w:r>
        <w:rPr>
          <w:rFonts w:hint="eastAsia"/>
        </w:rPr>
        <w:t>e</w:t>
      </w:r>
      <w:r>
        <w:t xml:space="preserve"> approach to the document analysis.</w:t>
      </w:r>
    </w:p>
    <w:p w14:paraId="675C3F53" w14:textId="77777777" w:rsidR="00853889" w:rsidRDefault="00853889" w:rsidP="00853889"/>
    <w:p w14:paraId="58F6445E" w14:textId="77777777" w:rsidR="00853889" w:rsidRPr="0015627A" w:rsidRDefault="009D4976" w:rsidP="00DA2E02">
      <w:pPr>
        <w:pStyle w:val="Heading4"/>
      </w:pPr>
      <w:r>
        <w:t>Table 4.7</w:t>
      </w:r>
      <w:r w:rsidR="00853889" w:rsidRPr="0015627A">
        <w:t>: Typology of the documents by Burnham et al. (2008 pp.187-8)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8"/>
        <w:gridCol w:w="6444"/>
      </w:tblGrid>
      <w:tr w:rsidR="00853889" w:rsidRPr="00FB6BE4" w14:paraId="687E4BE6" w14:textId="77777777" w:rsidTr="00FF685A">
        <w:tc>
          <w:tcPr>
            <w:tcW w:w="2268" w:type="dxa"/>
            <w:tcBorders>
              <w:right w:val="single" w:sz="12" w:space="0" w:color="auto"/>
            </w:tcBorders>
            <w:shd w:val="pct20" w:color="auto" w:fill="auto"/>
          </w:tcPr>
          <w:p w14:paraId="7AA9B598" w14:textId="77777777" w:rsidR="00853889" w:rsidRPr="00FB6BE4" w:rsidRDefault="00853889" w:rsidP="00FF685A">
            <w:pPr>
              <w:pStyle w:val="NoSpacing"/>
              <w:jc w:val="center"/>
            </w:pPr>
            <w:r w:rsidRPr="00FB6BE4">
              <w:t>The type of sources</w:t>
            </w:r>
          </w:p>
        </w:tc>
        <w:tc>
          <w:tcPr>
            <w:tcW w:w="6910" w:type="dxa"/>
            <w:tcBorders>
              <w:left w:val="single" w:sz="12" w:space="0" w:color="auto"/>
            </w:tcBorders>
            <w:shd w:val="pct20" w:color="auto" w:fill="auto"/>
          </w:tcPr>
          <w:p w14:paraId="5BA87430" w14:textId="77777777" w:rsidR="00853889" w:rsidRPr="00FB6BE4" w:rsidRDefault="00853889" w:rsidP="00FF685A">
            <w:pPr>
              <w:pStyle w:val="NoSpacing"/>
              <w:jc w:val="center"/>
            </w:pPr>
            <w:r w:rsidRPr="00FB6BE4">
              <w:t>Definition</w:t>
            </w:r>
          </w:p>
        </w:tc>
      </w:tr>
      <w:tr w:rsidR="00853889" w:rsidRPr="00FB6BE4" w14:paraId="2CF84D72" w14:textId="77777777" w:rsidTr="00FF685A">
        <w:tc>
          <w:tcPr>
            <w:tcW w:w="2268" w:type="dxa"/>
            <w:tcBorders>
              <w:right w:val="single" w:sz="12" w:space="0" w:color="auto"/>
            </w:tcBorders>
          </w:tcPr>
          <w:p w14:paraId="50329710" w14:textId="77777777" w:rsidR="00853889" w:rsidRPr="00FB6BE4" w:rsidRDefault="00853889" w:rsidP="00FF685A">
            <w:pPr>
              <w:pStyle w:val="NoSpacing"/>
            </w:pPr>
            <w:r w:rsidRPr="00FB6BE4">
              <w:t>Primary sources</w:t>
            </w:r>
          </w:p>
        </w:tc>
        <w:tc>
          <w:tcPr>
            <w:tcW w:w="6910" w:type="dxa"/>
            <w:tcBorders>
              <w:left w:val="single" w:sz="12" w:space="0" w:color="auto"/>
            </w:tcBorders>
          </w:tcPr>
          <w:p w14:paraId="3FDA18DB" w14:textId="77777777" w:rsidR="00853889" w:rsidRPr="00FB6BE4" w:rsidRDefault="00853889" w:rsidP="00FF685A">
            <w:pPr>
              <w:pStyle w:val="NoSpacing"/>
            </w:pPr>
            <w:r w:rsidRPr="00FB6BE4">
              <w:t>‘Evidence that was actually part of or produced by the event in question and that was intended for internal or restricted circulation only’.</w:t>
            </w:r>
          </w:p>
        </w:tc>
      </w:tr>
      <w:tr w:rsidR="00853889" w:rsidRPr="00FB6BE4" w14:paraId="3369112F" w14:textId="77777777" w:rsidTr="00FF685A">
        <w:tc>
          <w:tcPr>
            <w:tcW w:w="2268" w:type="dxa"/>
            <w:tcBorders>
              <w:right w:val="single" w:sz="12" w:space="0" w:color="auto"/>
            </w:tcBorders>
          </w:tcPr>
          <w:p w14:paraId="4CBFD79E" w14:textId="77777777" w:rsidR="00853889" w:rsidRPr="00FB6BE4" w:rsidRDefault="00853889" w:rsidP="00FF685A">
            <w:pPr>
              <w:pStyle w:val="NoSpacing"/>
            </w:pPr>
            <w:r w:rsidRPr="00FB6BE4">
              <w:t>Secondary sources</w:t>
            </w:r>
          </w:p>
        </w:tc>
        <w:tc>
          <w:tcPr>
            <w:tcW w:w="6910" w:type="dxa"/>
            <w:tcBorders>
              <w:left w:val="single" w:sz="12" w:space="0" w:color="auto"/>
            </w:tcBorders>
          </w:tcPr>
          <w:p w14:paraId="76BFB3FE" w14:textId="77777777" w:rsidR="00853889" w:rsidRPr="00FB6BE4" w:rsidRDefault="00853889" w:rsidP="00FF685A">
            <w:pPr>
              <w:pStyle w:val="NoSpacing"/>
            </w:pPr>
            <w:r w:rsidRPr="00FB6BE4">
              <w:t>Evidence ‘circulated at the time or soon after and that was available to the public at the time of the event in question’.</w:t>
            </w:r>
          </w:p>
        </w:tc>
      </w:tr>
      <w:tr w:rsidR="00853889" w:rsidRPr="00FB6BE4" w14:paraId="5C5C19D7" w14:textId="77777777" w:rsidTr="00FF685A">
        <w:tc>
          <w:tcPr>
            <w:tcW w:w="2268" w:type="dxa"/>
            <w:tcBorders>
              <w:right w:val="single" w:sz="12" w:space="0" w:color="auto"/>
            </w:tcBorders>
          </w:tcPr>
          <w:p w14:paraId="60C4FFEE" w14:textId="77777777" w:rsidR="00853889" w:rsidRPr="00FB6BE4" w:rsidRDefault="00853889" w:rsidP="00FF685A">
            <w:pPr>
              <w:pStyle w:val="NoSpacing"/>
            </w:pPr>
            <w:r w:rsidRPr="00FB6BE4">
              <w:t>Tertiary sources</w:t>
            </w:r>
          </w:p>
        </w:tc>
        <w:tc>
          <w:tcPr>
            <w:tcW w:w="6910" w:type="dxa"/>
            <w:tcBorders>
              <w:left w:val="single" w:sz="12" w:space="0" w:color="auto"/>
            </w:tcBorders>
          </w:tcPr>
          <w:p w14:paraId="009B2EB9" w14:textId="77777777" w:rsidR="00853889" w:rsidRPr="00FB6BE4" w:rsidRDefault="00853889" w:rsidP="00FF685A">
            <w:pPr>
              <w:pStyle w:val="NoSpacing"/>
            </w:pPr>
            <w:r w:rsidRPr="00FB6BE4">
              <w:t>‘All later work in the public domain offering a reconstruction’.</w:t>
            </w:r>
          </w:p>
        </w:tc>
      </w:tr>
    </w:tbl>
    <w:p w14:paraId="54583482" w14:textId="77777777" w:rsidR="00853889" w:rsidRPr="00BA4956" w:rsidRDefault="00853889" w:rsidP="00853889"/>
    <w:p w14:paraId="56E337A4" w14:textId="77777777" w:rsidR="00853889" w:rsidRPr="002A7F8A" w:rsidRDefault="00853889" w:rsidP="00050D4B">
      <w:pPr>
        <w:pStyle w:val="Heading3"/>
      </w:pPr>
      <w:bookmarkStart w:id="42" w:name="_Toc349741364"/>
      <w:r>
        <w:rPr>
          <w:rFonts w:hint="eastAsia"/>
        </w:rPr>
        <w:t>4</w:t>
      </w:r>
      <w:r>
        <w:t>.</w:t>
      </w:r>
      <w:r>
        <w:rPr>
          <w:rFonts w:hint="eastAsia"/>
        </w:rPr>
        <w:t>6</w:t>
      </w:r>
      <w:r>
        <w:t>.</w:t>
      </w:r>
      <w:r w:rsidRPr="002A7F8A">
        <w:t>1</w:t>
      </w:r>
      <w:r>
        <w:tab/>
        <w:t>Elite interviewing</w:t>
      </w:r>
      <w:bookmarkEnd w:id="42"/>
    </w:p>
    <w:p w14:paraId="65DA754E" w14:textId="77777777" w:rsidR="00853889" w:rsidRDefault="00853889" w:rsidP="00853889">
      <w:r>
        <w:rPr>
          <w:rFonts w:hint="eastAsia"/>
        </w:rPr>
        <w:t xml:space="preserve">Elite interviewing is one of the key </w:t>
      </w:r>
      <w:r>
        <w:t>methods</w:t>
      </w:r>
      <w:r>
        <w:rPr>
          <w:rFonts w:hint="eastAsia"/>
        </w:rPr>
        <w:t xml:space="preserve"> for political science research. In this research method the target is </w:t>
      </w:r>
      <w:r>
        <w:t>‘</w:t>
      </w:r>
      <w:r>
        <w:rPr>
          <w:rFonts w:hint="eastAsia"/>
        </w:rPr>
        <w:t>elites</w:t>
      </w:r>
      <w:r>
        <w:t>’</w:t>
      </w:r>
      <w:r>
        <w:rPr>
          <w:rFonts w:hint="eastAsia"/>
        </w:rPr>
        <w:t xml:space="preserve">, who are defined by Richards (1996 p.199) as: </w:t>
      </w:r>
      <w:r>
        <w:t>‘</w:t>
      </w:r>
      <w:r>
        <w:rPr>
          <w:rFonts w:hint="eastAsia"/>
        </w:rPr>
        <w:t xml:space="preserve">a group of individuals, who hold , or have held, a privileged position in society and </w:t>
      </w:r>
      <w:r>
        <w:t>…</w:t>
      </w:r>
      <w:r>
        <w:rPr>
          <w:rFonts w:hint="eastAsia"/>
        </w:rPr>
        <w:t>are likely to have had more influence on political outcomes than general members of the public</w:t>
      </w:r>
      <w:r>
        <w:t>’</w:t>
      </w:r>
      <w:r>
        <w:rPr>
          <w:rFonts w:hint="eastAsia"/>
        </w:rPr>
        <w:t xml:space="preserve">. He also highlights its key function </w:t>
      </w:r>
      <w:r>
        <w:t>as assisting</w:t>
      </w:r>
      <w:r>
        <w:rPr>
          <w:rFonts w:hint="eastAsia"/>
        </w:rPr>
        <w:t xml:space="preserve"> with researchers in understanding interviewee</w:t>
      </w:r>
      <w:r>
        <w:t>s’</w:t>
      </w:r>
      <w:r>
        <w:rPr>
          <w:rFonts w:hint="eastAsia"/>
        </w:rPr>
        <w:t xml:space="preserve"> theoretical positions, perceptions, beliefs and ideologies, which are rarely gleaned from documents (Richards 1996 pp.199-200).</w:t>
      </w:r>
    </w:p>
    <w:p w14:paraId="08D30C4D" w14:textId="77777777" w:rsidR="00853889" w:rsidRDefault="00853889" w:rsidP="0024471C">
      <w:pPr>
        <w:ind w:firstLineChars="122" w:firstLine="277"/>
      </w:pPr>
      <w:r w:rsidRPr="00454F26">
        <w:rPr>
          <w:rFonts w:hint="eastAsia"/>
        </w:rPr>
        <w:t xml:space="preserve">Selecting </w:t>
      </w:r>
      <w:r>
        <w:t>interviewees</w:t>
      </w:r>
      <w:r w:rsidRPr="00454F26">
        <w:rPr>
          <w:rFonts w:hint="eastAsia"/>
        </w:rPr>
        <w:t xml:space="preserve"> is a major challenge </w:t>
      </w:r>
      <w:r>
        <w:rPr>
          <w:rFonts w:hint="eastAsia"/>
        </w:rPr>
        <w:t>of</w:t>
      </w:r>
      <w:r w:rsidRPr="00454F26">
        <w:rPr>
          <w:rFonts w:hint="eastAsia"/>
        </w:rPr>
        <w:t xml:space="preserve"> elite interviewing; </w:t>
      </w:r>
      <w:r w:rsidRPr="00454F26">
        <w:t>whether interviewees are relevant</w:t>
      </w:r>
      <w:r>
        <w:t xml:space="preserve"> to the topic, and if they are, how </w:t>
      </w:r>
      <w:r w:rsidR="0090194E">
        <w:t>much</w:t>
      </w:r>
      <w:r>
        <w:t xml:space="preserve"> they actually know </w:t>
      </w:r>
      <w:r>
        <w:rPr>
          <w:rFonts w:hint="eastAsia"/>
        </w:rPr>
        <w:t>and can talk about</w:t>
      </w:r>
      <w:r>
        <w:t xml:space="preserve"> the topic (the interviewees list of this thesis is in Appendix 1).</w:t>
      </w:r>
    </w:p>
    <w:p w14:paraId="238BAD15" w14:textId="77777777" w:rsidR="00853889" w:rsidRPr="00431B46" w:rsidRDefault="00853889" w:rsidP="0024471C">
      <w:pPr>
        <w:ind w:firstLineChars="121" w:firstLine="274"/>
      </w:pPr>
      <w:r>
        <w:t xml:space="preserve">Because the case studies </w:t>
      </w:r>
      <w:r>
        <w:rPr>
          <w:rFonts w:hint="eastAsia"/>
        </w:rPr>
        <w:t xml:space="preserve">of this thesis </w:t>
      </w:r>
      <w:r>
        <w:t>analyse regulation</w:t>
      </w:r>
      <w:r>
        <w:rPr>
          <w:rFonts w:hint="eastAsia"/>
        </w:rPr>
        <w:t xml:space="preserve"> in the fields of ICT and antimonopoly</w:t>
      </w:r>
      <w:r>
        <w:t xml:space="preserve">, the targeted interviewees are the members of the core executive, those in the business community, consumer groups and relevant professionals such as professors and lawyers. Within core executive members, party politician </w:t>
      </w:r>
      <w:r>
        <w:rPr>
          <w:rFonts w:hint="eastAsia"/>
        </w:rPr>
        <w:t>interviewees are both current and retired Diet (parliament) members of the two parties</w:t>
      </w:r>
      <w:r w:rsidR="00BE73EF">
        <w:rPr>
          <w:rFonts w:hint="eastAsia"/>
          <w:lang w:eastAsia="ja-JP"/>
        </w:rPr>
        <w:t xml:space="preserve"> (the LDP and the DPJ (Democratic Party of Japan))</w:t>
      </w:r>
      <w:r>
        <w:rPr>
          <w:rFonts w:hint="eastAsia"/>
        </w:rPr>
        <w:t>, who have been in key positions of the policy making process such as former Parliamentary Vice-Ministers from the LDP</w:t>
      </w:r>
      <w:r>
        <w:t xml:space="preserve">, </w:t>
      </w:r>
      <w:r>
        <w:rPr>
          <w:rFonts w:hint="eastAsia"/>
        </w:rPr>
        <w:t xml:space="preserve">taking account of the fact that Japan experienced government change in 2009, which replaced a long reign by the </w:t>
      </w:r>
      <w:r>
        <w:t xml:space="preserve">LDP </w:t>
      </w:r>
      <w:r>
        <w:rPr>
          <w:rFonts w:hint="eastAsia"/>
        </w:rPr>
        <w:t xml:space="preserve">with that of the </w:t>
      </w:r>
      <w:r>
        <w:t>DPJ</w:t>
      </w:r>
      <w:r>
        <w:rPr>
          <w:rFonts w:hint="eastAsia"/>
        </w:rPr>
        <w:t xml:space="preserve">. </w:t>
      </w:r>
      <w:r>
        <w:t xml:space="preserve">The interviewees from political parties </w:t>
      </w:r>
      <w:r w:rsidR="00F555AE">
        <w:rPr>
          <w:rFonts w:hint="eastAsia"/>
          <w:lang w:eastAsia="ja-JP"/>
        </w:rPr>
        <w:t>include</w:t>
      </w:r>
      <w:r>
        <w:t xml:space="preserve"> ex-</w:t>
      </w:r>
      <w:r w:rsidR="00F555AE">
        <w:rPr>
          <w:rFonts w:hint="eastAsia"/>
          <w:lang w:eastAsia="ja-JP"/>
        </w:rPr>
        <w:t>Cabinet Ministers</w:t>
      </w:r>
      <w:r>
        <w:t xml:space="preserve">, members and ex-members of </w:t>
      </w:r>
      <w:r w:rsidR="00F555AE">
        <w:rPr>
          <w:rFonts w:hint="eastAsia"/>
          <w:lang w:eastAsia="ja-JP"/>
        </w:rPr>
        <w:t>Standing Committees</w:t>
      </w:r>
      <w:r>
        <w:t>, and their policy staff (policy secretaries (</w:t>
      </w:r>
      <w:r>
        <w:rPr>
          <w:i/>
          <w:iCs/>
        </w:rPr>
        <w:t>S</w:t>
      </w:r>
      <w:r w:rsidRPr="00B10C09">
        <w:rPr>
          <w:i/>
          <w:iCs/>
        </w:rPr>
        <w:t>eisaku</w:t>
      </w:r>
      <w:r>
        <w:rPr>
          <w:rFonts w:hint="eastAsia"/>
          <w:i/>
          <w:iCs/>
        </w:rPr>
        <w:t xml:space="preserve"> H</w:t>
      </w:r>
      <w:r w:rsidRPr="00B10C09">
        <w:rPr>
          <w:i/>
          <w:iCs/>
        </w:rPr>
        <w:t>isho</w:t>
      </w:r>
      <w:r>
        <w:t>)). Interviewees related to the civil service also need to have experience of being in key positions in bureaucracy in the past or at the moment. They do not always have to be in the service now: some of the</w:t>
      </w:r>
      <w:r>
        <w:rPr>
          <w:rFonts w:hint="eastAsia"/>
        </w:rPr>
        <w:t>m</w:t>
      </w:r>
      <w:r>
        <w:t xml:space="preserve"> can be those retired. How senior they are is not always important, either. Some senior civil servants can have limited knowledge about the events, unlike their junior counterparts. Or, even about current senior civil servants, their story in the past (when they were in junior ranks) could be more beneficial than their current experience as senior officials. The actual interviewees are </w:t>
      </w:r>
      <w:r w:rsidR="00754598">
        <w:rPr>
          <w:rFonts w:hint="eastAsia"/>
          <w:lang w:eastAsia="ja-JP"/>
        </w:rPr>
        <w:t>Chiefs of Bureau</w:t>
      </w:r>
      <w:r>
        <w:t xml:space="preserve"> (</w:t>
      </w:r>
      <w:r>
        <w:rPr>
          <w:i/>
        </w:rPr>
        <w:t>K</w:t>
      </w:r>
      <w:r w:rsidRPr="00A26A31">
        <w:rPr>
          <w:i/>
        </w:rPr>
        <w:t>yokucho</w:t>
      </w:r>
      <w:r>
        <w:t xml:space="preserve">), </w:t>
      </w:r>
      <w:r w:rsidR="00754598">
        <w:rPr>
          <w:rFonts w:hint="eastAsia"/>
          <w:lang w:eastAsia="ja-JP"/>
        </w:rPr>
        <w:t>D</w:t>
      </w:r>
      <w:r>
        <w:rPr>
          <w:rFonts w:hint="eastAsia"/>
        </w:rPr>
        <w:t xml:space="preserve">ivision </w:t>
      </w:r>
      <w:r w:rsidR="00754598">
        <w:rPr>
          <w:rFonts w:hint="eastAsia"/>
          <w:lang w:eastAsia="ja-JP"/>
        </w:rPr>
        <w:t>D</w:t>
      </w:r>
      <w:r>
        <w:t>irectors (</w:t>
      </w:r>
      <w:r>
        <w:rPr>
          <w:i/>
          <w:iCs/>
        </w:rPr>
        <w:t>K</w:t>
      </w:r>
      <w:r w:rsidRPr="006373FC">
        <w:rPr>
          <w:i/>
          <w:iCs/>
        </w:rPr>
        <w:t>acho</w:t>
      </w:r>
      <w:r>
        <w:t xml:space="preserve">), and their predecessors. In Japanese bureaucracy these two ranks, the latter in particular, are key decision makers (I’io 2007 pp.45-8). Interviewees from the business community, consumer groups, and professional occupations need to have experience in </w:t>
      </w:r>
      <w:r w:rsidR="006F1A40">
        <w:rPr>
          <w:rFonts w:hint="eastAsia"/>
          <w:lang w:eastAsia="ja-JP"/>
        </w:rPr>
        <w:t xml:space="preserve">the </w:t>
      </w:r>
      <w:r>
        <w:t xml:space="preserve">policy making process. Typically, they are members of policy deliberation councils such as the Information and Communications Council </w:t>
      </w:r>
      <w:r>
        <w:rPr>
          <w:rFonts w:hint="eastAsia"/>
        </w:rPr>
        <w:t>and</w:t>
      </w:r>
      <w:r>
        <w:t xml:space="preserve"> member</w:t>
      </w:r>
      <w:r w:rsidR="0090194E">
        <w:t>s</w:t>
      </w:r>
      <w:r>
        <w:t xml:space="preserve"> of major business organisations such as </w:t>
      </w:r>
      <w:r w:rsidRPr="00342969">
        <w:rPr>
          <w:i/>
          <w:iCs/>
        </w:rPr>
        <w:t>Keidanren</w:t>
      </w:r>
      <w:r>
        <w:t xml:space="preserve"> and the NTT.</w:t>
      </w:r>
      <w:r>
        <w:rPr>
          <w:rFonts w:hint="eastAsia"/>
        </w:rPr>
        <w:t xml:space="preserve"> </w:t>
      </w:r>
      <w:r>
        <w:t>Adequately</w:t>
      </w:r>
      <w:r>
        <w:rPr>
          <w:rFonts w:hint="eastAsia"/>
        </w:rPr>
        <w:t xml:space="preserve"> selecting interviewees in terms of their number and the balance across different groups is important for interviewing</w:t>
      </w:r>
      <w:r w:rsidRPr="00485388">
        <w:rPr>
          <w:rFonts w:hint="eastAsia"/>
        </w:rPr>
        <w:t>. T</w:t>
      </w:r>
      <w:r w:rsidRPr="00485388">
        <w:t>h</w:t>
      </w:r>
      <w:r w:rsidRPr="00485388">
        <w:rPr>
          <w:rFonts w:hint="eastAsia"/>
        </w:rPr>
        <w:t xml:space="preserve">e </w:t>
      </w:r>
      <w:r>
        <w:rPr>
          <w:rFonts w:hint="eastAsia"/>
        </w:rPr>
        <w:t xml:space="preserve">interviewee </w:t>
      </w:r>
      <w:r w:rsidRPr="00485388">
        <w:rPr>
          <w:rFonts w:hint="eastAsia"/>
        </w:rPr>
        <w:t>selection of this thesis aim</w:t>
      </w:r>
      <w:r>
        <w:rPr>
          <w:rFonts w:hint="eastAsia"/>
        </w:rPr>
        <w:t xml:space="preserve">s to </w:t>
      </w:r>
      <w:r w:rsidRPr="00485388">
        <w:rPr>
          <w:rFonts w:hint="eastAsia"/>
        </w:rPr>
        <w:t>ensur</w:t>
      </w:r>
      <w:r>
        <w:rPr>
          <w:rFonts w:hint="eastAsia"/>
        </w:rPr>
        <w:t>e</w:t>
      </w:r>
      <w:r w:rsidRPr="00485388">
        <w:rPr>
          <w:rFonts w:hint="eastAsia"/>
        </w:rPr>
        <w:t xml:space="preserve"> two points: a balance across groups and </w:t>
      </w:r>
      <w:r w:rsidR="0090194E">
        <w:t xml:space="preserve">a </w:t>
      </w:r>
      <w:r w:rsidRPr="00485388">
        <w:rPr>
          <w:rFonts w:hint="eastAsia"/>
        </w:rPr>
        <w:t>sufficient number to generate generalisable analyses avoiding too much emphasis on a particular person</w:t>
      </w:r>
      <w:r w:rsidRPr="00485388">
        <w:t>’</w:t>
      </w:r>
      <w:r w:rsidRPr="00485388">
        <w:rPr>
          <w:rFonts w:hint="eastAsia"/>
        </w:rPr>
        <w:t>s view.</w:t>
      </w:r>
      <w:r>
        <w:rPr>
          <w:rFonts w:hint="eastAsia"/>
        </w:rPr>
        <w:t xml:space="preserve"> </w:t>
      </w:r>
      <w:r w:rsidRPr="00485388">
        <w:rPr>
          <w:rFonts w:hint="eastAsia"/>
        </w:rPr>
        <w:t>T</w:t>
      </w:r>
      <w:r w:rsidRPr="00485388">
        <w:t>h</w:t>
      </w:r>
      <w:r w:rsidRPr="00485388">
        <w:rPr>
          <w:rFonts w:hint="eastAsia"/>
        </w:rPr>
        <w:t xml:space="preserve">e resulting </w:t>
      </w:r>
      <w:r w:rsidRPr="00485388">
        <w:t>composition</w:t>
      </w:r>
      <w:r w:rsidRPr="00485388">
        <w:rPr>
          <w:rFonts w:hint="eastAsia"/>
        </w:rPr>
        <w:t xml:space="preserve"> of the interviewees is in </w:t>
      </w:r>
      <w:r w:rsidR="009D4976">
        <w:rPr>
          <w:rFonts w:hint="eastAsia"/>
        </w:rPr>
        <w:t>Table 4.8</w:t>
      </w:r>
      <w:r w:rsidRPr="00485388">
        <w:rPr>
          <w:rFonts w:hint="eastAsia"/>
        </w:rPr>
        <w:t>.</w:t>
      </w:r>
    </w:p>
    <w:p w14:paraId="407BC091" w14:textId="77777777" w:rsidR="00853889" w:rsidRDefault="00853889" w:rsidP="0024471C">
      <w:pPr>
        <w:ind w:firstLineChars="122" w:firstLine="277"/>
      </w:pPr>
    </w:p>
    <w:p w14:paraId="66974E85" w14:textId="77777777" w:rsidR="00853889" w:rsidRDefault="009D4976" w:rsidP="00DA2E02">
      <w:pPr>
        <w:pStyle w:val="Heading4"/>
        <w:rPr>
          <w:lang w:eastAsia="ja-JP"/>
        </w:rPr>
      </w:pPr>
      <w:r>
        <w:rPr>
          <w:rFonts w:hint="eastAsia"/>
        </w:rPr>
        <w:t>Table 4.8</w:t>
      </w:r>
      <w:r w:rsidR="00853889" w:rsidRPr="00431B46">
        <w:rPr>
          <w:rFonts w:hint="eastAsia"/>
        </w:rPr>
        <w:t>: The composition of the interviewees</w:t>
      </w:r>
    </w:p>
    <w:p w14:paraId="55AC27F8" w14:textId="77777777" w:rsidR="00523C42" w:rsidRPr="00431B46" w:rsidRDefault="00523C42" w:rsidP="00853889">
      <w:pPr>
        <w:pStyle w:val="NoSpacing"/>
        <w:rPr>
          <w:u w:val="single"/>
          <w:lang w:eastAsia="ja-JP"/>
        </w:rPr>
      </w:pPr>
    </w:p>
    <w:tbl>
      <w:tblPr>
        <w:tblStyle w:val="TableGrid"/>
        <w:tblW w:w="0" w:type="auto"/>
        <w:tblLook w:val="04A0" w:firstRow="1" w:lastRow="0" w:firstColumn="1" w:lastColumn="0" w:noHBand="0" w:noVBand="1"/>
      </w:tblPr>
      <w:tblGrid>
        <w:gridCol w:w="3436"/>
        <w:gridCol w:w="2625"/>
        <w:gridCol w:w="2659"/>
      </w:tblGrid>
      <w:tr w:rsidR="00853889" w:rsidRPr="00485388" w14:paraId="4F493AB1" w14:textId="77777777" w:rsidTr="00FF685A">
        <w:tc>
          <w:tcPr>
            <w:tcW w:w="3652" w:type="dxa"/>
            <w:tcBorders>
              <w:right w:val="single" w:sz="12" w:space="0" w:color="auto"/>
            </w:tcBorders>
            <w:shd w:val="pct20" w:color="auto" w:fill="auto"/>
          </w:tcPr>
          <w:p w14:paraId="48864543" w14:textId="77777777" w:rsidR="00853889" w:rsidRPr="00485388" w:rsidRDefault="00853889" w:rsidP="00FF685A">
            <w:pPr>
              <w:pStyle w:val="NoSpacing"/>
            </w:pPr>
            <w:r>
              <w:rPr>
                <w:rFonts w:hint="eastAsia"/>
              </w:rPr>
              <w:t>Groups</w:t>
            </w:r>
          </w:p>
        </w:tc>
        <w:tc>
          <w:tcPr>
            <w:tcW w:w="2835" w:type="dxa"/>
            <w:tcBorders>
              <w:left w:val="single" w:sz="12" w:space="0" w:color="auto"/>
            </w:tcBorders>
            <w:shd w:val="pct20" w:color="auto" w:fill="auto"/>
          </w:tcPr>
          <w:p w14:paraId="621BF1F5" w14:textId="77777777" w:rsidR="00853889" w:rsidRPr="00485388" w:rsidRDefault="00853889" w:rsidP="00FF685A">
            <w:pPr>
              <w:pStyle w:val="NoSpacing"/>
              <w:jc w:val="center"/>
            </w:pPr>
            <w:r w:rsidRPr="00485388">
              <w:rPr>
                <w:rFonts w:hint="eastAsia"/>
              </w:rPr>
              <w:t>ICT</w:t>
            </w:r>
          </w:p>
        </w:tc>
        <w:tc>
          <w:tcPr>
            <w:tcW w:w="2781" w:type="dxa"/>
            <w:shd w:val="pct20" w:color="auto" w:fill="auto"/>
          </w:tcPr>
          <w:p w14:paraId="651E1CF1" w14:textId="77777777" w:rsidR="00853889" w:rsidRPr="00485388" w:rsidRDefault="00853889" w:rsidP="00FF685A">
            <w:pPr>
              <w:pStyle w:val="NoSpacing"/>
              <w:jc w:val="center"/>
            </w:pPr>
            <w:r w:rsidRPr="00485388">
              <w:rPr>
                <w:rFonts w:hint="eastAsia"/>
              </w:rPr>
              <w:t>Antimonopoly</w:t>
            </w:r>
          </w:p>
        </w:tc>
      </w:tr>
      <w:tr w:rsidR="00853889" w:rsidRPr="00485388" w14:paraId="542D1318" w14:textId="77777777" w:rsidTr="00FF685A">
        <w:tc>
          <w:tcPr>
            <w:tcW w:w="3652" w:type="dxa"/>
            <w:tcBorders>
              <w:right w:val="single" w:sz="12" w:space="0" w:color="auto"/>
            </w:tcBorders>
          </w:tcPr>
          <w:p w14:paraId="475D7CC8" w14:textId="77777777" w:rsidR="00853889" w:rsidRPr="00485388" w:rsidRDefault="00853889" w:rsidP="00FF685A">
            <w:pPr>
              <w:pStyle w:val="NoSpacing"/>
            </w:pPr>
            <w:r w:rsidRPr="00485388">
              <w:rPr>
                <w:rFonts w:hint="eastAsia"/>
              </w:rPr>
              <w:t>Party politicians</w:t>
            </w:r>
          </w:p>
        </w:tc>
        <w:tc>
          <w:tcPr>
            <w:tcW w:w="2835" w:type="dxa"/>
            <w:tcBorders>
              <w:left w:val="single" w:sz="12" w:space="0" w:color="auto"/>
            </w:tcBorders>
          </w:tcPr>
          <w:p w14:paraId="6888CE62" w14:textId="77777777" w:rsidR="00853889" w:rsidRPr="00485388" w:rsidRDefault="00853889" w:rsidP="00FF685A">
            <w:pPr>
              <w:pStyle w:val="NoSpacing"/>
              <w:jc w:val="center"/>
            </w:pPr>
            <w:r w:rsidRPr="00485388">
              <w:rPr>
                <w:rFonts w:hint="eastAsia"/>
              </w:rPr>
              <w:t>7</w:t>
            </w:r>
          </w:p>
        </w:tc>
        <w:tc>
          <w:tcPr>
            <w:tcW w:w="2781" w:type="dxa"/>
          </w:tcPr>
          <w:p w14:paraId="63627B9D" w14:textId="77777777" w:rsidR="00853889" w:rsidRPr="00485388" w:rsidRDefault="00853889" w:rsidP="00FF685A">
            <w:pPr>
              <w:pStyle w:val="NoSpacing"/>
              <w:jc w:val="center"/>
            </w:pPr>
            <w:r w:rsidRPr="00485388">
              <w:rPr>
                <w:rFonts w:hint="eastAsia"/>
              </w:rPr>
              <w:t>3</w:t>
            </w:r>
          </w:p>
        </w:tc>
      </w:tr>
      <w:tr w:rsidR="00853889" w:rsidRPr="00485388" w14:paraId="03859185" w14:textId="77777777" w:rsidTr="00FF685A">
        <w:tc>
          <w:tcPr>
            <w:tcW w:w="3652" w:type="dxa"/>
            <w:tcBorders>
              <w:right w:val="single" w:sz="12" w:space="0" w:color="auto"/>
            </w:tcBorders>
          </w:tcPr>
          <w:p w14:paraId="6042707C" w14:textId="77777777" w:rsidR="00853889" w:rsidRPr="00485388" w:rsidRDefault="00853889" w:rsidP="00FF685A">
            <w:pPr>
              <w:pStyle w:val="NoSpacing"/>
            </w:pPr>
            <w:r w:rsidRPr="00485388">
              <w:rPr>
                <w:rFonts w:hint="eastAsia"/>
              </w:rPr>
              <w:t>Civil servants</w:t>
            </w:r>
          </w:p>
        </w:tc>
        <w:tc>
          <w:tcPr>
            <w:tcW w:w="2835" w:type="dxa"/>
            <w:tcBorders>
              <w:left w:val="single" w:sz="12" w:space="0" w:color="auto"/>
            </w:tcBorders>
          </w:tcPr>
          <w:p w14:paraId="6FE22D0B" w14:textId="77777777" w:rsidR="00853889" w:rsidRPr="00485388" w:rsidRDefault="00853889" w:rsidP="00FF685A">
            <w:pPr>
              <w:pStyle w:val="NoSpacing"/>
              <w:jc w:val="center"/>
            </w:pPr>
            <w:r w:rsidRPr="00485388">
              <w:rPr>
                <w:rFonts w:hint="eastAsia"/>
              </w:rPr>
              <w:t>7</w:t>
            </w:r>
          </w:p>
        </w:tc>
        <w:tc>
          <w:tcPr>
            <w:tcW w:w="2781" w:type="dxa"/>
          </w:tcPr>
          <w:p w14:paraId="52E703B1" w14:textId="77777777" w:rsidR="00853889" w:rsidRPr="00485388" w:rsidRDefault="00853889" w:rsidP="00FF685A">
            <w:pPr>
              <w:pStyle w:val="NoSpacing"/>
              <w:jc w:val="center"/>
            </w:pPr>
            <w:r w:rsidRPr="00485388">
              <w:rPr>
                <w:rFonts w:hint="eastAsia"/>
              </w:rPr>
              <w:t>8</w:t>
            </w:r>
          </w:p>
        </w:tc>
      </w:tr>
      <w:tr w:rsidR="00853889" w:rsidRPr="00485388" w14:paraId="26E230FA" w14:textId="77777777" w:rsidTr="00FF685A">
        <w:tc>
          <w:tcPr>
            <w:tcW w:w="3652" w:type="dxa"/>
            <w:tcBorders>
              <w:right w:val="single" w:sz="12" w:space="0" w:color="auto"/>
            </w:tcBorders>
          </w:tcPr>
          <w:p w14:paraId="362C443A" w14:textId="77777777" w:rsidR="00853889" w:rsidRPr="00485388" w:rsidRDefault="00853889" w:rsidP="00FF685A">
            <w:pPr>
              <w:pStyle w:val="NoSpacing"/>
            </w:pPr>
            <w:r w:rsidRPr="00485388">
              <w:rPr>
                <w:rFonts w:hint="eastAsia"/>
              </w:rPr>
              <w:t>Business community</w:t>
            </w:r>
          </w:p>
        </w:tc>
        <w:tc>
          <w:tcPr>
            <w:tcW w:w="2835" w:type="dxa"/>
            <w:tcBorders>
              <w:left w:val="single" w:sz="12" w:space="0" w:color="auto"/>
            </w:tcBorders>
          </w:tcPr>
          <w:p w14:paraId="5B4245A7" w14:textId="77777777" w:rsidR="00853889" w:rsidRPr="00485388" w:rsidRDefault="00853889" w:rsidP="00FF685A">
            <w:pPr>
              <w:pStyle w:val="NoSpacing"/>
              <w:jc w:val="center"/>
            </w:pPr>
            <w:r w:rsidRPr="00485388">
              <w:rPr>
                <w:rFonts w:hint="eastAsia"/>
              </w:rPr>
              <w:t>3</w:t>
            </w:r>
          </w:p>
        </w:tc>
        <w:tc>
          <w:tcPr>
            <w:tcW w:w="2781" w:type="dxa"/>
          </w:tcPr>
          <w:p w14:paraId="1876F6AE" w14:textId="77777777" w:rsidR="00853889" w:rsidRPr="00485388" w:rsidRDefault="00853889" w:rsidP="00FF685A">
            <w:pPr>
              <w:pStyle w:val="NoSpacing"/>
              <w:jc w:val="center"/>
            </w:pPr>
            <w:r w:rsidRPr="00485388">
              <w:rPr>
                <w:rFonts w:hint="eastAsia"/>
              </w:rPr>
              <w:t>2</w:t>
            </w:r>
          </w:p>
        </w:tc>
      </w:tr>
      <w:tr w:rsidR="00853889" w:rsidRPr="00485388" w14:paraId="08C10AE8" w14:textId="77777777" w:rsidTr="00FF685A">
        <w:tc>
          <w:tcPr>
            <w:tcW w:w="3652" w:type="dxa"/>
            <w:tcBorders>
              <w:right w:val="single" w:sz="12" w:space="0" w:color="auto"/>
            </w:tcBorders>
          </w:tcPr>
          <w:p w14:paraId="4E7DB066" w14:textId="77777777" w:rsidR="00853889" w:rsidRPr="00485388" w:rsidRDefault="00853889" w:rsidP="00FF685A">
            <w:pPr>
              <w:pStyle w:val="NoSpacing"/>
            </w:pPr>
            <w:r w:rsidRPr="00485388">
              <w:rPr>
                <w:rFonts w:hint="eastAsia"/>
              </w:rPr>
              <w:t>Consumer groups</w:t>
            </w:r>
          </w:p>
        </w:tc>
        <w:tc>
          <w:tcPr>
            <w:tcW w:w="2835" w:type="dxa"/>
            <w:tcBorders>
              <w:left w:val="single" w:sz="12" w:space="0" w:color="auto"/>
            </w:tcBorders>
          </w:tcPr>
          <w:p w14:paraId="46E52121" w14:textId="77777777" w:rsidR="00853889" w:rsidRPr="00485388" w:rsidRDefault="00853889" w:rsidP="00FF685A">
            <w:pPr>
              <w:pStyle w:val="NoSpacing"/>
              <w:jc w:val="center"/>
            </w:pPr>
            <w:r w:rsidRPr="00485388">
              <w:rPr>
                <w:rFonts w:hint="eastAsia"/>
              </w:rPr>
              <w:t>1</w:t>
            </w:r>
          </w:p>
        </w:tc>
        <w:tc>
          <w:tcPr>
            <w:tcW w:w="2781" w:type="dxa"/>
          </w:tcPr>
          <w:p w14:paraId="5F34D44A" w14:textId="77777777" w:rsidR="00853889" w:rsidRPr="00485388" w:rsidRDefault="00853889" w:rsidP="00FF685A">
            <w:pPr>
              <w:pStyle w:val="NoSpacing"/>
              <w:jc w:val="center"/>
            </w:pPr>
            <w:r w:rsidRPr="00485388">
              <w:rPr>
                <w:rFonts w:hint="eastAsia"/>
              </w:rPr>
              <w:t>2</w:t>
            </w:r>
          </w:p>
        </w:tc>
      </w:tr>
      <w:tr w:rsidR="00853889" w:rsidRPr="00485388" w14:paraId="5DEE6DD3" w14:textId="77777777" w:rsidTr="00FF685A">
        <w:tc>
          <w:tcPr>
            <w:tcW w:w="3652" w:type="dxa"/>
            <w:tcBorders>
              <w:right w:val="single" w:sz="12" w:space="0" w:color="auto"/>
            </w:tcBorders>
          </w:tcPr>
          <w:p w14:paraId="70CC0899" w14:textId="77777777" w:rsidR="00853889" w:rsidRPr="00485388" w:rsidRDefault="00853889" w:rsidP="00FF685A">
            <w:pPr>
              <w:pStyle w:val="NoSpacing"/>
            </w:pPr>
            <w:r w:rsidRPr="00485388">
              <w:rPr>
                <w:rFonts w:hint="eastAsia"/>
              </w:rPr>
              <w:t>Professionals (lawyers, researchers)</w:t>
            </w:r>
          </w:p>
        </w:tc>
        <w:tc>
          <w:tcPr>
            <w:tcW w:w="2835" w:type="dxa"/>
            <w:tcBorders>
              <w:left w:val="single" w:sz="12" w:space="0" w:color="auto"/>
            </w:tcBorders>
          </w:tcPr>
          <w:p w14:paraId="5E72B6C3" w14:textId="77777777" w:rsidR="00853889" w:rsidRPr="00485388" w:rsidRDefault="00853889" w:rsidP="00FF685A">
            <w:pPr>
              <w:pStyle w:val="NoSpacing"/>
              <w:jc w:val="center"/>
            </w:pPr>
            <w:r w:rsidRPr="00485388">
              <w:rPr>
                <w:rFonts w:hint="eastAsia"/>
              </w:rPr>
              <w:t>3</w:t>
            </w:r>
          </w:p>
        </w:tc>
        <w:tc>
          <w:tcPr>
            <w:tcW w:w="2781" w:type="dxa"/>
          </w:tcPr>
          <w:p w14:paraId="71DA474E" w14:textId="77777777" w:rsidR="00853889" w:rsidRPr="00485388" w:rsidRDefault="00853889" w:rsidP="00FF685A">
            <w:pPr>
              <w:pStyle w:val="NoSpacing"/>
              <w:jc w:val="center"/>
            </w:pPr>
            <w:r w:rsidRPr="00485388">
              <w:rPr>
                <w:rFonts w:hint="eastAsia"/>
              </w:rPr>
              <w:t>4</w:t>
            </w:r>
          </w:p>
        </w:tc>
      </w:tr>
      <w:tr w:rsidR="00853889" w14:paraId="2D01BBD6" w14:textId="77777777" w:rsidTr="00FF685A">
        <w:tc>
          <w:tcPr>
            <w:tcW w:w="3652" w:type="dxa"/>
            <w:tcBorders>
              <w:right w:val="single" w:sz="12" w:space="0" w:color="auto"/>
            </w:tcBorders>
          </w:tcPr>
          <w:p w14:paraId="1EF82679" w14:textId="77777777" w:rsidR="00853889" w:rsidRPr="00485388" w:rsidRDefault="00853889" w:rsidP="00FF685A">
            <w:pPr>
              <w:pStyle w:val="NoSpacing"/>
            </w:pPr>
            <w:r w:rsidRPr="00485388">
              <w:rPr>
                <w:rFonts w:hint="eastAsia"/>
              </w:rPr>
              <w:t>Total</w:t>
            </w:r>
          </w:p>
        </w:tc>
        <w:tc>
          <w:tcPr>
            <w:tcW w:w="2835" w:type="dxa"/>
            <w:tcBorders>
              <w:left w:val="single" w:sz="12" w:space="0" w:color="auto"/>
            </w:tcBorders>
          </w:tcPr>
          <w:p w14:paraId="30E8BC3C" w14:textId="77777777" w:rsidR="00853889" w:rsidRPr="00485388" w:rsidRDefault="00853889" w:rsidP="00FF685A">
            <w:pPr>
              <w:pStyle w:val="NoSpacing"/>
              <w:jc w:val="center"/>
            </w:pPr>
            <w:r w:rsidRPr="00485388">
              <w:rPr>
                <w:rFonts w:hint="eastAsia"/>
              </w:rPr>
              <w:t>21</w:t>
            </w:r>
          </w:p>
        </w:tc>
        <w:tc>
          <w:tcPr>
            <w:tcW w:w="2781" w:type="dxa"/>
          </w:tcPr>
          <w:p w14:paraId="6B8A2030" w14:textId="77777777" w:rsidR="00853889" w:rsidRPr="00485388" w:rsidRDefault="00853889" w:rsidP="00FF685A">
            <w:pPr>
              <w:pStyle w:val="NoSpacing"/>
              <w:jc w:val="center"/>
            </w:pPr>
            <w:r w:rsidRPr="00485388">
              <w:rPr>
                <w:rFonts w:hint="eastAsia"/>
              </w:rPr>
              <w:t>19</w:t>
            </w:r>
          </w:p>
        </w:tc>
      </w:tr>
    </w:tbl>
    <w:p w14:paraId="368FD7E2" w14:textId="77777777" w:rsidR="00853889" w:rsidRDefault="00853889" w:rsidP="0024471C">
      <w:pPr>
        <w:ind w:firstLineChars="122" w:firstLine="277"/>
      </w:pPr>
    </w:p>
    <w:p w14:paraId="4759DC75" w14:textId="77777777" w:rsidR="00853889" w:rsidRDefault="00853889" w:rsidP="00853889">
      <w:r>
        <w:rPr>
          <w:rFonts w:hint="eastAsia"/>
        </w:rPr>
        <w:t>The standardised interview schedule</w:t>
      </w:r>
      <w:r w:rsidR="00760631">
        <w:t xml:space="preserve"> or questionnaire</w:t>
      </w:r>
      <w:r>
        <w:rPr>
          <w:rFonts w:hint="eastAsia"/>
        </w:rPr>
        <w:t xml:space="preserve"> is </w:t>
      </w:r>
      <w:r>
        <w:t>regarded</w:t>
      </w:r>
      <w:r>
        <w:rPr>
          <w:rFonts w:hint="eastAsia"/>
        </w:rPr>
        <w:t xml:space="preserve"> as useful in </w:t>
      </w:r>
      <w:r w:rsidR="00760631">
        <w:t xml:space="preserve">the </w:t>
      </w:r>
      <w:r>
        <w:rPr>
          <w:rFonts w:hint="eastAsia"/>
        </w:rPr>
        <w:t>actual interview (Burnham et al. 2004 p.212). This thesis also employed interview schedule</w:t>
      </w:r>
      <w:r w:rsidR="00181069">
        <w:rPr>
          <w:rFonts w:eastAsia="MS Mincho" w:hint="eastAsia"/>
          <w:lang w:eastAsia="ja-JP"/>
        </w:rPr>
        <w:t>s</w:t>
      </w:r>
      <w:r>
        <w:rPr>
          <w:rFonts w:hint="eastAsia"/>
        </w:rPr>
        <w:t xml:space="preserve"> to guide the interview session; this approach was useful to guide interviewees and give them an idea about what was actually explored in the interview session.</w:t>
      </w:r>
      <w:r>
        <w:t xml:space="preserve"> </w:t>
      </w:r>
      <w:r>
        <w:rPr>
          <w:rFonts w:hint="eastAsia"/>
        </w:rPr>
        <w:t xml:space="preserve">The schedule was not strictly structured but drafted as a version of </w:t>
      </w:r>
      <w:r>
        <w:t xml:space="preserve">a </w:t>
      </w:r>
      <w:r>
        <w:rPr>
          <w:rFonts w:hint="eastAsia"/>
        </w:rPr>
        <w:t xml:space="preserve">semi-structured interview schedule. The actual interview session implemented as a </w:t>
      </w:r>
      <w:r w:rsidRPr="00594071">
        <w:t>semi-structured</w:t>
      </w:r>
      <w:r>
        <w:rPr>
          <w:rFonts w:hint="eastAsia"/>
        </w:rPr>
        <w:t xml:space="preserve"> interview </w:t>
      </w:r>
      <w:r>
        <w:t>offered</w:t>
      </w:r>
      <w:r w:rsidRPr="00594071">
        <w:t xml:space="preserve"> </w:t>
      </w:r>
      <w:r>
        <w:rPr>
          <w:rFonts w:hint="eastAsia"/>
        </w:rPr>
        <w:t>a</w:t>
      </w:r>
      <w:r>
        <w:t xml:space="preserve"> </w:t>
      </w:r>
      <w:r w:rsidRPr="00594071">
        <w:t xml:space="preserve">flexibility </w:t>
      </w:r>
      <w:r>
        <w:t xml:space="preserve">in terms of </w:t>
      </w:r>
      <w:r>
        <w:rPr>
          <w:rFonts w:hint="eastAsia"/>
        </w:rPr>
        <w:t>explor</w:t>
      </w:r>
      <w:r>
        <w:t>ing</w:t>
      </w:r>
      <w:r>
        <w:rPr>
          <w:rFonts w:hint="eastAsia"/>
        </w:rPr>
        <w:t xml:space="preserve"> the theme</w:t>
      </w:r>
      <w:r>
        <w:t>,</w:t>
      </w:r>
      <w:r>
        <w:rPr>
          <w:rFonts w:hint="eastAsia"/>
        </w:rPr>
        <w:t xml:space="preserve"> collect</w:t>
      </w:r>
      <w:r>
        <w:t>ing</w:t>
      </w:r>
      <w:r>
        <w:rPr>
          <w:rFonts w:hint="eastAsia"/>
        </w:rPr>
        <w:t xml:space="preserve"> information</w:t>
      </w:r>
      <w:r>
        <w:t>,</w:t>
      </w:r>
      <w:r>
        <w:rPr>
          <w:rFonts w:hint="eastAsia"/>
        </w:rPr>
        <w:t xml:space="preserve"> and complet</w:t>
      </w:r>
      <w:r>
        <w:t>ing</w:t>
      </w:r>
      <w:r>
        <w:rPr>
          <w:rFonts w:hint="eastAsia"/>
        </w:rPr>
        <w:t xml:space="preserve"> interview</w:t>
      </w:r>
      <w:r>
        <w:t>s</w:t>
      </w:r>
      <w:r>
        <w:rPr>
          <w:rFonts w:hint="eastAsia"/>
        </w:rPr>
        <w:t xml:space="preserve"> </w:t>
      </w:r>
      <w:r>
        <w:t>with</w:t>
      </w:r>
      <w:r>
        <w:rPr>
          <w:rFonts w:hint="eastAsia"/>
        </w:rPr>
        <w:t>in a limited time (to party politicians in particular)</w:t>
      </w:r>
      <w:r w:rsidRPr="00594071">
        <w:t>.</w:t>
      </w:r>
      <w:r>
        <w:t xml:space="preserve"> The questionnaire is </w:t>
      </w:r>
      <w:r w:rsidR="006F7A8C">
        <w:t>constructed</w:t>
      </w:r>
      <w:r w:rsidR="00760631">
        <w:t xml:space="preserve"> to </w:t>
      </w:r>
      <w:r w:rsidR="006F7A8C">
        <w:t>address</w:t>
      </w:r>
      <w:r w:rsidR="00760631">
        <w:t xml:space="preserve"> the key themes underpinning the research: </w:t>
      </w:r>
    </w:p>
    <w:p w14:paraId="5D6B48CC" w14:textId="77777777" w:rsidR="00853889" w:rsidRPr="002D12E2" w:rsidRDefault="00853889" w:rsidP="001B6C05">
      <w:pPr>
        <w:pStyle w:val="ListParagraph"/>
        <w:widowControl w:val="0"/>
        <w:numPr>
          <w:ilvl w:val="0"/>
          <w:numId w:val="35"/>
        </w:numPr>
        <w:ind w:left="284" w:hanging="284"/>
        <w:contextualSpacing w:val="0"/>
        <w:rPr>
          <w:szCs w:val="24"/>
        </w:rPr>
      </w:pPr>
      <w:r w:rsidRPr="002D12E2">
        <w:rPr>
          <w:szCs w:val="24"/>
        </w:rPr>
        <w:t xml:space="preserve">how the </w:t>
      </w:r>
      <w:r>
        <w:rPr>
          <w:rFonts w:hint="eastAsia"/>
          <w:szCs w:val="24"/>
        </w:rPr>
        <w:t>regulatory framework</w:t>
      </w:r>
      <w:r w:rsidRPr="002D12E2">
        <w:rPr>
          <w:rFonts w:hint="eastAsia"/>
          <w:szCs w:val="24"/>
        </w:rPr>
        <w:t xml:space="preserve"> (ICT/antimonopoly</w:t>
      </w:r>
      <w:r w:rsidR="00B21C00">
        <w:rPr>
          <w:rFonts w:hint="eastAsia"/>
          <w:szCs w:val="24"/>
        </w:rPr>
        <w:t xml:space="preserve"> regulation</w:t>
      </w:r>
      <w:r w:rsidRPr="002D12E2">
        <w:rPr>
          <w:rFonts w:hint="eastAsia"/>
          <w:szCs w:val="24"/>
        </w:rPr>
        <w:t>)</w:t>
      </w:r>
      <w:r w:rsidRPr="002D12E2">
        <w:rPr>
          <w:szCs w:val="24"/>
        </w:rPr>
        <w:t xml:space="preserve"> has been developed</w:t>
      </w:r>
      <w:r w:rsidR="004D7164">
        <w:rPr>
          <w:szCs w:val="24"/>
        </w:rPr>
        <w:t xml:space="preserve"> </w:t>
      </w:r>
      <w:r w:rsidR="004D7164">
        <w:t>over the last three decades</w:t>
      </w:r>
      <w:r w:rsidRPr="002D12E2">
        <w:rPr>
          <w:szCs w:val="24"/>
        </w:rPr>
        <w:t>,</w:t>
      </w:r>
    </w:p>
    <w:p w14:paraId="77D4A135" w14:textId="77777777" w:rsidR="00853889" w:rsidRPr="002D12E2" w:rsidRDefault="00853889" w:rsidP="001B6C05">
      <w:pPr>
        <w:pStyle w:val="ListParagraph"/>
        <w:widowControl w:val="0"/>
        <w:numPr>
          <w:ilvl w:val="0"/>
          <w:numId w:val="35"/>
        </w:numPr>
        <w:ind w:left="284" w:hanging="284"/>
        <w:contextualSpacing w:val="0"/>
        <w:rPr>
          <w:szCs w:val="24"/>
        </w:rPr>
      </w:pPr>
      <w:r w:rsidRPr="002D12E2">
        <w:rPr>
          <w:szCs w:val="24"/>
        </w:rPr>
        <w:t xml:space="preserve">how the relationship between party politicians and </w:t>
      </w:r>
      <w:r>
        <w:rPr>
          <w:rFonts w:hint="eastAsia"/>
          <w:szCs w:val="24"/>
        </w:rPr>
        <w:t>civil servants</w:t>
      </w:r>
      <w:r w:rsidRPr="002D12E2">
        <w:rPr>
          <w:szCs w:val="24"/>
        </w:rPr>
        <w:t xml:space="preserve"> has been</w:t>
      </w:r>
      <w:r>
        <w:rPr>
          <w:rFonts w:hint="eastAsia"/>
          <w:szCs w:val="24"/>
        </w:rPr>
        <w:t xml:space="preserve"> transformed</w:t>
      </w:r>
      <w:r w:rsidRPr="002D12E2">
        <w:rPr>
          <w:szCs w:val="24"/>
        </w:rPr>
        <w:t>,</w:t>
      </w:r>
    </w:p>
    <w:p w14:paraId="33396C0F" w14:textId="77777777" w:rsidR="00853889" w:rsidRPr="002D12E2" w:rsidRDefault="00853889" w:rsidP="004D7164">
      <w:pPr>
        <w:pStyle w:val="ListParagraph"/>
        <w:widowControl w:val="0"/>
        <w:numPr>
          <w:ilvl w:val="0"/>
          <w:numId w:val="35"/>
        </w:numPr>
        <w:ind w:left="284" w:hanging="284"/>
        <w:contextualSpacing w:val="0"/>
        <w:rPr>
          <w:szCs w:val="24"/>
        </w:rPr>
      </w:pPr>
      <w:r>
        <w:rPr>
          <w:rFonts w:hint="eastAsia"/>
        </w:rPr>
        <w:t>h</w:t>
      </w:r>
      <w:r w:rsidRPr="00EE00E8">
        <w:t xml:space="preserve">ow </w:t>
      </w:r>
      <w:r>
        <w:rPr>
          <w:rFonts w:hint="eastAsia"/>
        </w:rPr>
        <w:t>the</w:t>
      </w:r>
      <w:r w:rsidRPr="00EE00E8">
        <w:t xml:space="preserve"> </w:t>
      </w:r>
      <w:r>
        <w:rPr>
          <w:rFonts w:hint="eastAsia"/>
        </w:rPr>
        <w:t>regulator</w:t>
      </w:r>
      <w:r w:rsidRPr="00EE00E8">
        <w:t xml:space="preserve"> </w:t>
      </w:r>
      <w:r>
        <w:rPr>
          <w:rFonts w:hint="eastAsia"/>
        </w:rPr>
        <w:t xml:space="preserve">has </w:t>
      </w:r>
      <w:r w:rsidRPr="00EE00E8">
        <w:t xml:space="preserve">shaped </w:t>
      </w:r>
      <w:r w:rsidR="004D7164">
        <w:t>the</w:t>
      </w:r>
      <w:r w:rsidRPr="00EE00E8">
        <w:t xml:space="preserve"> organisational design of regulatory functions</w:t>
      </w:r>
      <w:r>
        <w:rPr>
          <w:rFonts w:hint="eastAsia"/>
        </w:rPr>
        <w:t>,</w:t>
      </w:r>
      <w:r>
        <w:rPr>
          <w:rFonts w:hint="eastAsia"/>
          <w:szCs w:val="24"/>
        </w:rPr>
        <w:t xml:space="preserve"> and</w:t>
      </w:r>
    </w:p>
    <w:p w14:paraId="3CF35464" w14:textId="77777777" w:rsidR="00853889" w:rsidRPr="002D12E2" w:rsidRDefault="00853889" w:rsidP="001B6C05">
      <w:pPr>
        <w:pStyle w:val="ListParagraph"/>
        <w:widowControl w:val="0"/>
        <w:numPr>
          <w:ilvl w:val="0"/>
          <w:numId w:val="35"/>
        </w:numPr>
        <w:ind w:left="284" w:hanging="284"/>
        <w:contextualSpacing w:val="0"/>
        <w:rPr>
          <w:szCs w:val="24"/>
        </w:rPr>
      </w:pPr>
      <w:r>
        <w:rPr>
          <w:rFonts w:hint="eastAsia"/>
        </w:rPr>
        <w:t>h</w:t>
      </w:r>
      <w:r w:rsidRPr="00EE00E8">
        <w:t xml:space="preserve">ow </w:t>
      </w:r>
      <w:r w:rsidR="0090194E">
        <w:t xml:space="preserve">the </w:t>
      </w:r>
      <w:r w:rsidRPr="00EE00E8">
        <w:t xml:space="preserve">state’s regulatory capacity </w:t>
      </w:r>
      <w:r>
        <w:rPr>
          <w:rFonts w:hint="eastAsia"/>
        </w:rPr>
        <w:t xml:space="preserve">has </w:t>
      </w:r>
      <w:r w:rsidRPr="00EE00E8">
        <w:t>changed</w:t>
      </w:r>
      <w:r w:rsidRPr="002D12E2">
        <w:rPr>
          <w:szCs w:val="24"/>
        </w:rPr>
        <w:t>.</w:t>
      </w:r>
    </w:p>
    <w:p w14:paraId="5DF94B1B" w14:textId="77777777" w:rsidR="00853889" w:rsidRDefault="00853889" w:rsidP="0024471C">
      <w:pPr>
        <w:ind w:firstLineChars="122" w:firstLine="277"/>
      </w:pPr>
    </w:p>
    <w:p w14:paraId="3FC32F4A" w14:textId="77777777" w:rsidR="00853889" w:rsidRPr="004E46C0" w:rsidRDefault="00590ECB" w:rsidP="00853889">
      <w:r>
        <w:rPr>
          <w:rFonts w:hint="eastAsia"/>
        </w:rPr>
        <w:t xml:space="preserve">Appendix </w:t>
      </w:r>
      <w:r>
        <w:rPr>
          <w:rFonts w:eastAsia="MS Mincho" w:hint="eastAsia"/>
          <w:lang w:eastAsia="ja-JP"/>
        </w:rPr>
        <w:t>2</w:t>
      </w:r>
      <w:r w:rsidR="00853889">
        <w:rPr>
          <w:rFonts w:hint="eastAsia"/>
        </w:rPr>
        <w:t xml:space="preserve"> </w:t>
      </w:r>
      <w:r w:rsidR="00760631">
        <w:rPr>
          <w:rFonts w:eastAsia="MS Mincho"/>
          <w:lang w:eastAsia="ja-JP"/>
        </w:rPr>
        <w:t>offers</w:t>
      </w:r>
      <w:r w:rsidR="00760631">
        <w:rPr>
          <w:rFonts w:hint="eastAsia"/>
        </w:rPr>
        <w:t xml:space="preserve"> </w:t>
      </w:r>
      <w:r w:rsidR="00853889">
        <w:t>a</w:t>
      </w:r>
      <w:r w:rsidR="00853889">
        <w:rPr>
          <w:rFonts w:hint="eastAsia"/>
        </w:rPr>
        <w:t xml:space="preserve"> sample </w:t>
      </w:r>
      <w:r w:rsidR="00853889">
        <w:t>questionnaire</w:t>
      </w:r>
      <w:r w:rsidR="00853889">
        <w:rPr>
          <w:rFonts w:hint="eastAsia"/>
        </w:rPr>
        <w:t xml:space="preserve"> employed in the interview sessions of this thesis.</w:t>
      </w:r>
    </w:p>
    <w:p w14:paraId="3DF9F39D" w14:textId="77777777" w:rsidR="00853889" w:rsidRDefault="00853889" w:rsidP="0024471C">
      <w:pPr>
        <w:ind w:firstLineChars="122" w:firstLine="277"/>
      </w:pPr>
      <w:r>
        <w:rPr>
          <w:rFonts w:hint="eastAsia"/>
        </w:rPr>
        <w:t xml:space="preserve">Accessing interviewees </w:t>
      </w:r>
      <w:r w:rsidR="0090194E">
        <w:t>is</w:t>
      </w:r>
      <w:r>
        <w:rPr>
          <w:rFonts w:hint="eastAsia"/>
        </w:rPr>
        <w:t xml:space="preserve"> widely regarded as a challenge for researchers (e.g. Burnham et al 2004 p.208-9). </w:t>
      </w:r>
      <w:r>
        <w:t xml:space="preserve">As Campbell (2003 p.231) reveals, having introductions are very important to get access to </w:t>
      </w:r>
      <w:r>
        <w:rPr>
          <w:rFonts w:hint="eastAsia"/>
        </w:rPr>
        <w:t xml:space="preserve">Japanese interviewees. This thesis obtained introductions </w:t>
      </w:r>
      <w:r>
        <w:t xml:space="preserve">from </w:t>
      </w:r>
      <w:r>
        <w:rPr>
          <w:rFonts w:hint="eastAsia"/>
        </w:rPr>
        <w:t xml:space="preserve">a few </w:t>
      </w:r>
      <w:r>
        <w:t>figures</w:t>
      </w:r>
      <w:r>
        <w:rPr>
          <w:rFonts w:hint="eastAsia"/>
        </w:rPr>
        <w:t xml:space="preserve"> from academia, the civil service and politics to potential interviewees. In the process of the approach the interviewees received a brief description (half of </w:t>
      </w:r>
      <w:r>
        <w:t>an</w:t>
      </w:r>
      <w:r>
        <w:rPr>
          <w:rFonts w:hint="eastAsia"/>
        </w:rPr>
        <w:t xml:space="preserve"> A4 page) </w:t>
      </w:r>
      <w:r w:rsidR="00344A7E">
        <w:rPr>
          <w:rFonts w:eastAsia="MS Mincho" w:hint="eastAsia"/>
          <w:lang w:eastAsia="ja-JP"/>
        </w:rPr>
        <w:t>on</w:t>
      </w:r>
      <w:r>
        <w:rPr>
          <w:rFonts w:hint="eastAsia"/>
        </w:rPr>
        <w:t xml:space="preserve"> this research. </w:t>
      </w:r>
      <w:r>
        <w:t>T</w:t>
      </w:r>
      <w:r>
        <w:rPr>
          <w:rFonts w:hint="eastAsia"/>
        </w:rPr>
        <w:t>he resulting list of actual interviewees respond</w:t>
      </w:r>
      <w:r w:rsidR="0090194E">
        <w:t>ing</w:t>
      </w:r>
      <w:r>
        <w:rPr>
          <w:rFonts w:hint="eastAsia"/>
        </w:rPr>
        <w:t xml:space="preserve"> to the proposal of this thesis is in Appendix 1.</w:t>
      </w:r>
    </w:p>
    <w:p w14:paraId="39039DAF" w14:textId="77777777" w:rsidR="00853889" w:rsidRPr="00263017" w:rsidRDefault="00760631" w:rsidP="004664AE">
      <w:pPr>
        <w:ind w:firstLineChars="122" w:firstLine="277"/>
      </w:pPr>
      <w:r>
        <w:t>All</w:t>
      </w:r>
      <w:r>
        <w:rPr>
          <w:rFonts w:hint="eastAsia"/>
        </w:rPr>
        <w:t xml:space="preserve"> </w:t>
      </w:r>
      <w:r w:rsidR="00853889">
        <w:rPr>
          <w:rFonts w:hint="eastAsia"/>
        </w:rPr>
        <w:t>of</w:t>
      </w:r>
      <w:r>
        <w:t xml:space="preserve"> the</w:t>
      </w:r>
      <w:r w:rsidR="00853889">
        <w:rPr>
          <w:rFonts w:hint="eastAsia"/>
        </w:rPr>
        <w:t xml:space="preserve"> interviews were recorded except </w:t>
      </w:r>
      <w:r w:rsidR="00853889">
        <w:t>in</w:t>
      </w:r>
      <w:r w:rsidR="00853889">
        <w:rPr>
          <w:rFonts w:hint="eastAsia"/>
        </w:rPr>
        <w:t xml:space="preserve"> two cases, </w:t>
      </w:r>
      <w:r w:rsidR="00853889">
        <w:t>where notes were instead made</w:t>
      </w:r>
      <w:r w:rsidR="00853889">
        <w:rPr>
          <w:rFonts w:hint="eastAsia"/>
        </w:rPr>
        <w:t xml:space="preserve">. </w:t>
      </w:r>
      <w:r w:rsidR="00853889">
        <w:t xml:space="preserve">The results of the interviews </w:t>
      </w:r>
      <w:r w:rsidR="00853889">
        <w:rPr>
          <w:rFonts w:hint="eastAsia"/>
        </w:rPr>
        <w:t>with data record were</w:t>
      </w:r>
      <w:r w:rsidR="00853889">
        <w:t xml:space="preserve"> fully transcribed.</w:t>
      </w:r>
      <w:r w:rsidR="00853889">
        <w:rPr>
          <w:rFonts w:hint="eastAsia"/>
        </w:rPr>
        <w:t xml:space="preserve"> A</w:t>
      </w:r>
      <w:r w:rsidR="00853889">
        <w:t>l</w:t>
      </w:r>
      <w:r w:rsidR="00853889">
        <w:rPr>
          <w:rFonts w:hint="eastAsia"/>
        </w:rPr>
        <w:t>so, all interview sessions were fully noted. Based on this set of data, all interviews were reconstituted</w:t>
      </w:r>
      <w:r w:rsidR="006F7A8C">
        <w:t xml:space="preserve"> by full</w:t>
      </w:r>
      <w:r w:rsidR="004664AE">
        <w:t>y</w:t>
      </w:r>
      <w:r w:rsidR="006F7A8C">
        <w:t xml:space="preserve"> transcrib</w:t>
      </w:r>
      <w:r w:rsidR="002902A0">
        <w:rPr>
          <w:rFonts w:hint="eastAsia"/>
          <w:lang w:eastAsia="ja-JP"/>
        </w:rPr>
        <w:t>ed</w:t>
      </w:r>
      <w:r w:rsidR="004664AE">
        <w:t xml:space="preserve"> interview records</w:t>
      </w:r>
      <w:r w:rsidR="00853889">
        <w:rPr>
          <w:rFonts w:hint="eastAsia"/>
        </w:rPr>
        <w:t xml:space="preserve">. There is no formal procedure in any Japanese organisation </w:t>
      </w:r>
      <w:r w:rsidR="00344A7E">
        <w:rPr>
          <w:rFonts w:eastAsia="MS Mincho" w:hint="eastAsia"/>
          <w:lang w:eastAsia="ja-JP"/>
        </w:rPr>
        <w:t>on</w:t>
      </w:r>
      <w:r w:rsidR="00853889">
        <w:rPr>
          <w:rFonts w:hint="eastAsia"/>
        </w:rPr>
        <w:t xml:space="preserve"> interviewing equivalent to the Chatham House Rule in the British civil service. Interviewees </w:t>
      </w:r>
      <w:r w:rsidR="00853889">
        <w:t>controlled</w:t>
      </w:r>
      <w:r w:rsidR="00853889">
        <w:rPr>
          <w:rFonts w:hint="eastAsia"/>
        </w:rPr>
        <w:t xml:space="preserve"> their sessions based on their own consideration; they tended to avoid the topics in which the persons involved and alive could be identifiable in general.</w:t>
      </w:r>
    </w:p>
    <w:p w14:paraId="5AC51FA2" w14:textId="77777777" w:rsidR="00853889" w:rsidRDefault="00853889" w:rsidP="0024471C">
      <w:pPr>
        <w:ind w:firstLineChars="122" w:firstLine="277"/>
      </w:pPr>
      <w:r>
        <w:rPr>
          <w:rFonts w:hint="eastAsia"/>
        </w:rPr>
        <w:t xml:space="preserve">With the resulting transcripts, this thesis </w:t>
      </w:r>
      <w:r w:rsidR="00B807A5">
        <w:rPr>
          <w:rFonts w:hint="eastAsia"/>
          <w:lang w:eastAsia="ja-JP"/>
        </w:rPr>
        <w:t>undertook</w:t>
      </w:r>
      <w:r>
        <w:rPr>
          <w:rFonts w:hint="eastAsia"/>
        </w:rPr>
        <w:t xml:space="preserve"> the next task: the document analysis.</w:t>
      </w:r>
    </w:p>
    <w:p w14:paraId="575B7A9E" w14:textId="77777777" w:rsidR="00853889" w:rsidRPr="000B14F1" w:rsidRDefault="00853889" w:rsidP="00853889"/>
    <w:p w14:paraId="6B7BE766" w14:textId="77777777" w:rsidR="00853889" w:rsidRPr="009E7B61" w:rsidRDefault="00853889" w:rsidP="00050D4B">
      <w:pPr>
        <w:pStyle w:val="Heading3"/>
        <w:rPr>
          <w:b w:val="0"/>
        </w:rPr>
      </w:pPr>
      <w:bookmarkStart w:id="43" w:name="_Toc349741365"/>
      <w:r>
        <w:rPr>
          <w:rFonts w:hint="eastAsia"/>
        </w:rPr>
        <w:t>4</w:t>
      </w:r>
      <w:r>
        <w:t>.</w:t>
      </w:r>
      <w:r>
        <w:rPr>
          <w:rFonts w:hint="eastAsia"/>
        </w:rPr>
        <w:t>6</w:t>
      </w:r>
      <w:r>
        <w:t>.</w:t>
      </w:r>
      <w:r w:rsidRPr="009E7B61">
        <w:t>2</w:t>
      </w:r>
      <w:r>
        <w:tab/>
      </w:r>
      <w:r w:rsidRPr="009E7B61">
        <w:t>Document Analysis</w:t>
      </w:r>
      <w:bookmarkEnd w:id="43"/>
    </w:p>
    <w:p w14:paraId="0B691265" w14:textId="77777777" w:rsidR="00853889" w:rsidRDefault="00853889" w:rsidP="00B6284C">
      <w:r>
        <w:rPr>
          <w:rFonts w:hint="eastAsia"/>
        </w:rPr>
        <w:t xml:space="preserve">The transcripts from elite interviewing supply the primary source of this thesis. The </w:t>
      </w:r>
      <w:r w:rsidR="00E900E1">
        <w:t>interview data of this thesis focuses on contemporary issues</w:t>
      </w:r>
      <w:r w:rsidR="00B6284C">
        <w:t>; the</w:t>
      </w:r>
      <w:r w:rsidR="00E900E1">
        <w:t xml:space="preserve"> interviews aim at </w:t>
      </w:r>
      <w:r>
        <w:rPr>
          <w:rFonts w:hint="eastAsia"/>
        </w:rPr>
        <w:t xml:space="preserve">the period </w:t>
      </w:r>
      <w:r>
        <w:t xml:space="preserve">between </w:t>
      </w:r>
      <w:r>
        <w:rPr>
          <w:rFonts w:hint="eastAsia"/>
        </w:rPr>
        <w:t xml:space="preserve">the </w:t>
      </w:r>
      <w:r>
        <w:t xml:space="preserve">1980s and </w:t>
      </w:r>
      <w:r>
        <w:rPr>
          <w:rFonts w:hint="eastAsia"/>
        </w:rPr>
        <w:t xml:space="preserve">the </w:t>
      </w:r>
      <w:r>
        <w:t>2000s</w:t>
      </w:r>
      <w:r>
        <w:rPr>
          <w:rFonts w:hint="eastAsia"/>
        </w:rPr>
        <w:t>. This characteristic is shared by other secondary and tertiary sources utilised in this thesis</w:t>
      </w:r>
      <w:r>
        <w:t xml:space="preserve">, </w:t>
      </w:r>
      <w:r>
        <w:rPr>
          <w:rFonts w:hint="eastAsia"/>
        </w:rPr>
        <w:t xml:space="preserve">including </w:t>
      </w:r>
      <w:r>
        <w:t>the contemporary documents of the government, private firms, and academic journals (Burnham et al. 2008 pp.187-8</w:t>
      </w:r>
      <w:r>
        <w:rPr>
          <w:rFonts w:hint="eastAsia"/>
        </w:rPr>
        <w:t>)</w:t>
      </w:r>
      <w:r>
        <w:t>.</w:t>
      </w:r>
    </w:p>
    <w:p w14:paraId="58F3542D" w14:textId="77777777" w:rsidR="00853889" w:rsidRDefault="00853889" w:rsidP="0024471C">
      <w:pPr>
        <w:ind w:firstLineChars="122" w:firstLine="277"/>
      </w:pPr>
      <w:r>
        <w:rPr>
          <w:rFonts w:hint="eastAsia"/>
        </w:rPr>
        <w:t xml:space="preserve">The transcripts were categorised through placing labels on paragraphs and </w:t>
      </w:r>
      <w:r>
        <w:t>consolidat</w:t>
      </w:r>
      <w:r>
        <w:rPr>
          <w:rFonts w:hint="eastAsia"/>
        </w:rPr>
        <w:t>ing</w:t>
      </w:r>
      <w:r>
        <w:t xml:space="preserve"> those</w:t>
      </w:r>
      <w:r>
        <w:rPr>
          <w:rFonts w:hint="eastAsia"/>
        </w:rPr>
        <w:t xml:space="preserve"> </w:t>
      </w:r>
      <w:r>
        <w:t xml:space="preserve">relevant </w:t>
      </w:r>
      <w:r>
        <w:rPr>
          <w:rFonts w:hint="eastAsia"/>
        </w:rPr>
        <w:t>together</w:t>
      </w:r>
      <w:r>
        <w:t xml:space="preserve">. Called ‘coding’, this approach is useful when </w:t>
      </w:r>
      <w:r w:rsidR="00760631">
        <w:t xml:space="preserve">triangulating </w:t>
      </w:r>
      <w:r>
        <w:t xml:space="preserve">the arguments of the interview (Coffey and Atkinson 1996 pp.26-7). </w:t>
      </w:r>
    </w:p>
    <w:p w14:paraId="09F137FD" w14:textId="77777777" w:rsidR="00FA7DCD" w:rsidRDefault="00853889" w:rsidP="0024471C">
      <w:pPr>
        <w:ind w:firstLineChars="122" w:firstLine="277"/>
        <w:rPr>
          <w:lang w:eastAsia="ja-JP"/>
        </w:rPr>
      </w:pPr>
      <w:r w:rsidRPr="006B0265">
        <w:rPr>
          <w:rFonts w:hint="eastAsia"/>
        </w:rPr>
        <w:t>A key analytical approach here is triangulation. Triangulation is an analytical approach in which multiple approaches are used to double-check the analytical result</w:t>
      </w:r>
      <w:r w:rsidR="00FA7DCD">
        <w:rPr>
          <w:rFonts w:hint="eastAsia"/>
          <w:lang w:eastAsia="ja-JP"/>
        </w:rPr>
        <w:t xml:space="preserve">, whose frequently </w:t>
      </w:r>
      <w:r w:rsidR="009266D6">
        <w:rPr>
          <w:rFonts w:hint="eastAsia"/>
          <w:lang w:eastAsia="ja-JP"/>
        </w:rPr>
        <w:t>used</w:t>
      </w:r>
      <w:r w:rsidR="00FA7DCD">
        <w:rPr>
          <w:rFonts w:hint="eastAsia"/>
          <w:lang w:eastAsia="ja-JP"/>
        </w:rPr>
        <w:t xml:space="preserve"> typology is in Table 4.9</w:t>
      </w:r>
      <w:r w:rsidRPr="006B0265">
        <w:rPr>
          <w:rFonts w:hint="eastAsia"/>
        </w:rPr>
        <w:t>.</w:t>
      </w:r>
    </w:p>
    <w:p w14:paraId="05FD9F22" w14:textId="77777777" w:rsidR="00FA7DCD" w:rsidRDefault="00FA7DCD" w:rsidP="0024471C">
      <w:pPr>
        <w:ind w:firstLineChars="122" w:firstLine="277"/>
        <w:rPr>
          <w:lang w:eastAsia="ja-JP"/>
        </w:rPr>
      </w:pPr>
    </w:p>
    <w:p w14:paraId="6DCE93FF" w14:textId="77777777" w:rsidR="00853889" w:rsidRDefault="00FA7DCD" w:rsidP="009266D6">
      <w:pPr>
        <w:pStyle w:val="Heading4"/>
        <w:rPr>
          <w:lang w:eastAsia="ja-JP"/>
        </w:rPr>
      </w:pPr>
      <w:r>
        <w:rPr>
          <w:rFonts w:hint="eastAsia"/>
          <w:lang w:eastAsia="ja-JP"/>
        </w:rPr>
        <w:t>Table 4.9: The typology of triangulation</w:t>
      </w:r>
      <w:r>
        <w:rPr>
          <w:rFonts w:hint="eastAsia"/>
        </w:rPr>
        <w:t xml:space="preserve"> (Denzin 1970, Patton 1987)</w:t>
      </w:r>
    </w:p>
    <w:tbl>
      <w:tblPr>
        <w:tblStyle w:val="TableGrid"/>
        <w:tblW w:w="0" w:type="auto"/>
        <w:tblLook w:val="04A0" w:firstRow="1" w:lastRow="0" w:firstColumn="1" w:lastColumn="0" w:noHBand="0" w:noVBand="1"/>
      </w:tblPr>
      <w:tblGrid>
        <w:gridCol w:w="2843"/>
        <w:gridCol w:w="5877"/>
      </w:tblGrid>
      <w:tr w:rsidR="009266D6" w14:paraId="70CB9C22" w14:textId="77777777" w:rsidTr="009C7CD4">
        <w:tc>
          <w:tcPr>
            <w:tcW w:w="2943" w:type="dxa"/>
          </w:tcPr>
          <w:p w14:paraId="291083C4" w14:textId="77777777" w:rsidR="009266D6" w:rsidRDefault="009266D6" w:rsidP="009266D6">
            <w:pPr>
              <w:pStyle w:val="NoSpacing"/>
              <w:rPr>
                <w:lang w:eastAsia="ja-JP"/>
              </w:rPr>
            </w:pPr>
          </w:p>
          <w:p w14:paraId="799BBFDB" w14:textId="77777777" w:rsidR="009266D6" w:rsidRPr="009C7CD4" w:rsidRDefault="009266D6" w:rsidP="009266D6">
            <w:pPr>
              <w:pStyle w:val="NoSpacing"/>
              <w:numPr>
                <w:ilvl w:val="0"/>
                <w:numId w:val="77"/>
              </w:numPr>
              <w:ind w:left="284" w:hanging="284"/>
              <w:rPr>
                <w:b/>
                <w:lang w:eastAsia="ja-JP"/>
              </w:rPr>
            </w:pPr>
            <w:r w:rsidRPr="009C7CD4">
              <w:rPr>
                <w:b/>
              </w:rPr>
              <w:t>D</w:t>
            </w:r>
            <w:r w:rsidRPr="009C7CD4">
              <w:rPr>
                <w:rFonts w:hint="eastAsia"/>
                <w:b/>
              </w:rPr>
              <w:t>ata triangulation</w:t>
            </w:r>
          </w:p>
          <w:p w14:paraId="671C239A" w14:textId="77777777" w:rsidR="009266D6" w:rsidRPr="009C7CD4" w:rsidRDefault="009266D6" w:rsidP="009266D6">
            <w:pPr>
              <w:pStyle w:val="NoSpacing"/>
              <w:ind w:left="284"/>
              <w:rPr>
                <w:b/>
                <w:lang w:eastAsia="ja-JP"/>
              </w:rPr>
            </w:pPr>
          </w:p>
          <w:p w14:paraId="3D8EAC47" w14:textId="77777777" w:rsidR="009266D6" w:rsidRPr="009C7CD4" w:rsidRDefault="009266D6" w:rsidP="009266D6">
            <w:pPr>
              <w:pStyle w:val="NoSpacing"/>
              <w:numPr>
                <w:ilvl w:val="0"/>
                <w:numId w:val="77"/>
              </w:numPr>
              <w:ind w:left="284" w:hanging="284"/>
              <w:rPr>
                <w:b/>
                <w:lang w:eastAsia="ja-JP"/>
              </w:rPr>
            </w:pPr>
            <w:r w:rsidRPr="009C7CD4">
              <w:rPr>
                <w:b/>
              </w:rPr>
              <w:t>I</w:t>
            </w:r>
            <w:r w:rsidRPr="009C7CD4">
              <w:rPr>
                <w:rFonts w:hint="eastAsia"/>
                <w:b/>
              </w:rPr>
              <w:t xml:space="preserve">nvestigator </w:t>
            </w:r>
            <w:r w:rsidRPr="009C7CD4">
              <w:rPr>
                <w:b/>
              </w:rPr>
              <w:t>triangulation</w:t>
            </w:r>
          </w:p>
          <w:p w14:paraId="2573F7C3" w14:textId="77777777" w:rsidR="009266D6" w:rsidRPr="009C7CD4" w:rsidRDefault="009266D6" w:rsidP="009266D6">
            <w:pPr>
              <w:pStyle w:val="NoSpacing"/>
              <w:ind w:left="284"/>
              <w:rPr>
                <w:b/>
                <w:lang w:eastAsia="ja-JP"/>
              </w:rPr>
            </w:pPr>
          </w:p>
          <w:p w14:paraId="6CF4B0C1" w14:textId="77777777" w:rsidR="009266D6" w:rsidRPr="009C7CD4" w:rsidRDefault="009266D6" w:rsidP="009266D6">
            <w:pPr>
              <w:pStyle w:val="NoSpacing"/>
              <w:numPr>
                <w:ilvl w:val="0"/>
                <w:numId w:val="77"/>
              </w:numPr>
              <w:ind w:left="284" w:hanging="284"/>
              <w:rPr>
                <w:b/>
                <w:lang w:eastAsia="ja-JP"/>
              </w:rPr>
            </w:pPr>
            <w:r w:rsidRPr="009C7CD4">
              <w:rPr>
                <w:b/>
              </w:rPr>
              <w:t>T</w:t>
            </w:r>
            <w:r w:rsidRPr="009C7CD4">
              <w:rPr>
                <w:rFonts w:hint="eastAsia"/>
                <w:b/>
              </w:rPr>
              <w:t>heory triangulation</w:t>
            </w:r>
          </w:p>
          <w:p w14:paraId="022DCFCF" w14:textId="77777777" w:rsidR="009266D6" w:rsidRDefault="009266D6" w:rsidP="009266D6">
            <w:pPr>
              <w:pStyle w:val="NoSpacing"/>
              <w:ind w:left="284"/>
              <w:rPr>
                <w:b/>
                <w:lang w:eastAsia="ja-JP"/>
              </w:rPr>
            </w:pPr>
          </w:p>
          <w:p w14:paraId="3289D6B2" w14:textId="77777777" w:rsidR="008329CC" w:rsidRPr="009C7CD4" w:rsidRDefault="008329CC" w:rsidP="009266D6">
            <w:pPr>
              <w:pStyle w:val="NoSpacing"/>
              <w:ind w:left="284"/>
              <w:rPr>
                <w:b/>
                <w:lang w:eastAsia="ja-JP"/>
              </w:rPr>
            </w:pPr>
          </w:p>
          <w:p w14:paraId="6CFE41BB" w14:textId="77777777" w:rsidR="009266D6" w:rsidRPr="009266D6" w:rsidRDefault="009266D6" w:rsidP="009266D6">
            <w:pPr>
              <w:pStyle w:val="NoSpacing"/>
              <w:numPr>
                <w:ilvl w:val="0"/>
                <w:numId w:val="77"/>
              </w:numPr>
              <w:ind w:left="284" w:hanging="284"/>
              <w:rPr>
                <w:lang w:eastAsia="ja-JP"/>
              </w:rPr>
            </w:pPr>
            <w:r w:rsidRPr="009C7CD4">
              <w:rPr>
                <w:b/>
              </w:rPr>
              <w:t>M</w:t>
            </w:r>
            <w:r w:rsidRPr="009C7CD4">
              <w:rPr>
                <w:rFonts w:hint="eastAsia"/>
                <w:b/>
              </w:rPr>
              <w:t xml:space="preserve">ethodological </w:t>
            </w:r>
            <w:r w:rsidRPr="009C7CD4">
              <w:rPr>
                <w:b/>
              </w:rPr>
              <w:t>triangulation</w:t>
            </w:r>
          </w:p>
        </w:tc>
        <w:tc>
          <w:tcPr>
            <w:tcW w:w="6343" w:type="dxa"/>
          </w:tcPr>
          <w:p w14:paraId="712C9652" w14:textId="77777777" w:rsidR="009266D6" w:rsidRDefault="009266D6" w:rsidP="009266D6">
            <w:pPr>
              <w:pStyle w:val="NoSpacing"/>
              <w:rPr>
                <w:lang w:eastAsia="ja-JP"/>
              </w:rPr>
            </w:pPr>
          </w:p>
          <w:p w14:paraId="568FBD80" w14:textId="77777777" w:rsidR="009266D6" w:rsidRPr="006B0265" w:rsidRDefault="009266D6" w:rsidP="009266D6">
            <w:pPr>
              <w:pStyle w:val="NoSpacing"/>
            </w:pPr>
            <w:r w:rsidRPr="006B0265">
              <w:rPr>
                <w:rFonts w:hint="eastAsia"/>
              </w:rPr>
              <w:t>more tha</w:t>
            </w:r>
            <w:r>
              <w:rPr>
                <w:rFonts w:hint="eastAsia"/>
              </w:rPr>
              <w:t>n two data sources are utilised</w:t>
            </w:r>
            <w:r>
              <w:rPr>
                <w:rFonts w:eastAsia="MS Mincho" w:hint="eastAsia"/>
                <w:lang w:eastAsia="ja-JP"/>
              </w:rPr>
              <w:t>.</w:t>
            </w:r>
          </w:p>
          <w:p w14:paraId="6365BF20" w14:textId="77777777" w:rsidR="009266D6" w:rsidRDefault="009266D6" w:rsidP="009266D6">
            <w:pPr>
              <w:pStyle w:val="NoSpacing"/>
              <w:rPr>
                <w:lang w:eastAsia="ja-JP"/>
              </w:rPr>
            </w:pPr>
          </w:p>
          <w:p w14:paraId="5162107B" w14:textId="77777777" w:rsidR="009266D6" w:rsidRPr="009266D6" w:rsidRDefault="009266D6" w:rsidP="009266D6">
            <w:pPr>
              <w:pStyle w:val="NoSpacing"/>
            </w:pPr>
            <w:r w:rsidRPr="006B0265">
              <w:rPr>
                <w:rFonts w:hint="eastAsia"/>
              </w:rPr>
              <w:t xml:space="preserve">more than two </w:t>
            </w:r>
            <w:r w:rsidRPr="006B0265">
              <w:t>researchers</w:t>
            </w:r>
            <w:r w:rsidRPr="006B0265">
              <w:rPr>
                <w:rFonts w:hint="eastAsia"/>
              </w:rPr>
              <w:t xml:space="preserve"> a</w:t>
            </w:r>
            <w:r>
              <w:rPr>
                <w:rFonts w:hint="eastAsia"/>
              </w:rPr>
              <w:t>re involved in an investigation</w:t>
            </w:r>
            <w:r>
              <w:rPr>
                <w:rFonts w:eastAsia="MS Mincho" w:hint="eastAsia"/>
                <w:lang w:eastAsia="ja-JP"/>
              </w:rPr>
              <w:t>.</w:t>
            </w:r>
          </w:p>
          <w:p w14:paraId="3A1F2111" w14:textId="77777777" w:rsidR="009266D6" w:rsidRDefault="009266D6" w:rsidP="009266D6">
            <w:pPr>
              <w:pStyle w:val="NoSpacing"/>
              <w:rPr>
                <w:lang w:eastAsia="ja-JP"/>
              </w:rPr>
            </w:pPr>
          </w:p>
          <w:p w14:paraId="57444F9B" w14:textId="77777777" w:rsidR="009266D6" w:rsidRPr="006B0265" w:rsidRDefault="009266D6" w:rsidP="009266D6">
            <w:pPr>
              <w:pStyle w:val="NoSpacing"/>
            </w:pPr>
            <w:r w:rsidRPr="006B0265">
              <w:rPr>
                <w:rFonts w:hint="eastAsia"/>
              </w:rPr>
              <w:t>more than two theoretical positions were employed to the same data set</w:t>
            </w:r>
            <w:r>
              <w:rPr>
                <w:rFonts w:hint="eastAsia"/>
                <w:lang w:eastAsia="ja-JP"/>
              </w:rPr>
              <w:t>.</w:t>
            </w:r>
          </w:p>
          <w:p w14:paraId="72AEE39E" w14:textId="77777777" w:rsidR="009266D6" w:rsidRDefault="009266D6" w:rsidP="009266D6">
            <w:pPr>
              <w:pStyle w:val="NoSpacing"/>
              <w:rPr>
                <w:lang w:eastAsia="ja-JP"/>
              </w:rPr>
            </w:pPr>
          </w:p>
          <w:p w14:paraId="3A5F1D55" w14:textId="77777777" w:rsidR="009266D6" w:rsidRDefault="009266D6" w:rsidP="009266D6">
            <w:pPr>
              <w:pStyle w:val="NoSpacing"/>
              <w:rPr>
                <w:lang w:eastAsia="ja-JP"/>
              </w:rPr>
            </w:pPr>
            <w:r w:rsidRPr="006B0265">
              <w:t xml:space="preserve">more than one method </w:t>
            </w:r>
            <w:r w:rsidRPr="009266D6">
              <w:rPr>
                <w:rFonts w:eastAsia="MS Mincho" w:hint="eastAsia"/>
              </w:rPr>
              <w:t xml:space="preserve">is used </w:t>
            </w:r>
            <w:r w:rsidRPr="006B0265">
              <w:t>to gather data, such as interviews,</w:t>
            </w:r>
            <w:r>
              <w:rPr>
                <w:rFonts w:hint="eastAsia"/>
                <w:lang w:eastAsia="ja-JP"/>
              </w:rPr>
              <w:t xml:space="preserve"> </w:t>
            </w:r>
            <w:r w:rsidRPr="006B0265">
              <w:t>observations, questionnaires, and documents.</w:t>
            </w:r>
          </w:p>
          <w:p w14:paraId="6DF5264F" w14:textId="77777777" w:rsidR="009266D6" w:rsidRDefault="009266D6" w:rsidP="009266D6">
            <w:pPr>
              <w:pStyle w:val="NoSpacing"/>
              <w:rPr>
                <w:lang w:eastAsia="ja-JP"/>
              </w:rPr>
            </w:pPr>
          </w:p>
        </w:tc>
      </w:tr>
    </w:tbl>
    <w:p w14:paraId="4E31B2DF" w14:textId="77777777" w:rsidR="009266D6" w:rsidRDefault="009266D6" w:rsidP="0024471C">
      <w:pPr>
        <w:ind w:firstLineChars="122" w:firstLine="277"/>
        <w:rPr>
          <w:lang w:eastAsia="ja-JP"/>
        </w:rPr>
      </w:pPr>
    </w:p>
    <w:p w14:paraId="63A7EBDA" w14:textId="77777777" w:rsidR="00853889" w:rsidRDefault="00853889" w:rsidP="0024471C">
      <w:pPr>
        <w:ind w:firstLineChars="122" w:firstLine="277"/>
      </w:pPr>
      <w:r>
        <w:rPr>
          <w:rFonts w:hint="eastAsia"/>
        </w:rPr>
        <w:t xml:space="preserve">What this thesis involves is data triangulation and methodological triangulation. </w:t>
      </w:r>
      <w:r w:rsidRPr="00DC6D5F">
        <w:t>The analysis of this thesis is based on multiple</w:t>
      </w:r>
      <w:r>
        <w:t xml:space="preserve"> sources</w:t>
      </w:r>
      <w:r>
        <w:rPr>
          <w:rFonts w:hint="eastAsia"/>
        </w:rPr>
        <w:t xml:space="preserve">. </w:t>
      </w:r>
      <w:r w:rsidR="00633A3B">
        <w:rPr>
          <w:rFonts w:hint="eastAsia"/>
          <w:lang w:eastAsia="ja-JP"/>
        </w:rPr>
        <w:t>W</w:t>
      </w:r>
      <w:r w:rsidR="00633A3B">
        <w:rPr>
          <w:lang w:eastAsia="ja-JP"/>
        </w:rPr>
        <w:t>h</w:t>
      </w:r>
      <w:r w:rsidR="00633A3B">
        <w:rPr>
          <w:rFonts w:hint="eastAsia"/>
          <w:lang w:eastAsia="ja-JP"/>
        </w:rPr>
        <w:t xml:space="preserve">en possible, </w:t>
      </w:r>
      <w:r w:rsidR="00DC107C">
        <w:rPr>
          <w:rFonts w:hint="eastAsia"/>
          <w:lang w:eastAsia="ja-JP"/>
        </w:rPr>
        <w:t>an</w:t>
      </w:r>
      <w:r>
        <w:rPr>
          <w:rFonts w:hint="eastAsia"/>
        </w:rPr>
        <w:t xml:space="preserve"> analysis is based on multiple sources from different origins, such as interview transcripts, an academic document, and government documents when they are available (methodological triangulation). When obtaining the sources from multiple origins is difficult, an analysis is based on </w:t>
      </w:r>
      <w:r>
        <w:t>more</w:t>
      </w:r>
      <w:r>
        <w:rPr>
          <w:rFonts w:hint="eastAsia"/>
        </w:rPr>
        <w:t xml:space="preserve"> than two accounts (transcripts) (data triangulation). This method avoids a common pitfall that an analysis relies on the particular sources favourable for the proposition of the thesis and generates objective analyses </w:t>
      </w:r>
      <w:r w:rsidRPr="00E24D36">
        <w:t>(Burnham et al 2008 p.246).</w:t>
      </w:r>
    </w:p>
    <w:p w14:paraId="3C0FF80A" w14:textId="77777777" w:rsidR="00853889" w:rsidRDefault="00853889" w:rsidP="0024471C">
      <w:pPr>
        <w:ind w:firstLineChars="122" w:firstLine="277"/>
      </w:pPr>
      <w:r>
        <w:t>The secondary and tertiary documents are employed not only as a source of information but also of triangulating the interview transcripts. F</w:t>
      </w:r>
      <w:r>
        <w:rPr>
          <w:rFonts w:hint="eastAsia"/>
        </w:rPr>
        <w:t>or instance, the accounts such as Vogel</w:t>
      </w:r>
      <w:r>
        <w:t>’</w:t>
      </w:r>
      <w:r>
        <w:rPr>
          <w:rFonts w:hint="eastAsia"/>
        </w:rPr>
        <w:t>s (1996), Tsuchiya</w:t>
      </w:r>
      <w:r>
        <w:t>’</w:t>
      </w:r>
      <w:r>
        <w:rPr>
          <w:rFonts w:hint="eastAsia"/>
        </w:rPr>
        <w:t>s (2003), and Kushida</w:t>
      </w:r>
      <w:r>
        <w:t>’</w:t>
      </w:r>
      <w:r>
        <w:rPr>
          <w:rFonts w:hint="eastAsia"/>
        </w:rPr>
        <w:t>s (2006) are contrasted with interview accounts describing the liberalisation processes of Japan</w:t>
      </w:r>
      <w:r>
        <w:t>’</w:t>
      </w:r>
      <w:r>
        <w:rPr>
          <w:rFonts w:hint="eastAsia"/>
        </w:rPr>
        <w:t>s ICT sector. The data by government organisation</w:t>
      </w:r>
      <w:r w:rsidR="0090194E">
        <w:t>s</w:t>
      </w:r>
      <w:r>
        <w:rPr>
          <w:rFonts w:hint="eastAsia"/>
        </w:rPr>
        <w:t xml:space="preserve"> is also employed to examine the reality (e.g. how much a leniency system in Japan</w:t>
      </w:r>
      <w:r>
        <w:t>’</w:t>
      </w:r>
      <w:r>
        <w:rPr>
          <w:rFonts w:hint="eastAsia"/>
        </w:rPr>
        <w:t xml:space="preserve">s antimonopoly field has become active). </w:t>
      </w:r>
      <w:r>
        <w:t>A</w:t>
      </w:r>
      <w:r>
        <w:rPr>
          <w:rFonts w:hint="eastAsia"/>
        </w:rPr>
        <w:t xml:space="preserve"> risk using this kind of data is pointed out by Yin (2003 p.87); </w:t>
      </w:r>
      <w:r>
        <w:t xml:space="preserve">it should be noted that some of it can be observed as a reflection of the views of issuers because it can be </w:t>
      </w:r>
      <w:r w:rsidR="0090194E">
        <w:t>deliberately</w:t>
      </w:r>
      <w:r>
        <w:t xml:space="preserve"> edited.</w:t>
      </w:r>
    </w:p>
    <w:p w14:paraId="4BAB7C69" w14:textId="77777777" w:rsidR="00853889" w:rsidRPr="00A20D6A" w:rsidRDefault="00853889" w:rsidP="00853889"/>
    <w:p w14:paraId="0CD0ADC0" w14:textId="77777777" w:rsidR="00853889" w:rsidRPr="008526CE" w:rsidRDefault="00853889" w:rsidP="00853889"/>
    <w:p w14:paraId="3CA65DEA" w14:textId="77777777" w:rsidR="00853889" w:rsidRPr="0040349E" w:rsidRDefault="00853889" w:rsidP="00050D4B">
      <w:pPr>
        <w:pStyle w:val="Heading2"/>
      </w:pPr>
      <w:bookmarkStart w:id="44" w:name="_Toc349741366"/>
      <w:r>
        <w:rPr>
          <w:rFonts w:hint="eastAsia"/>
        </w:rPr>
        <w:t>4</w:t>
      </w:r>
      <w:r>
        <w:t>.</w:t>
      </w:r>
      <w:r>
        <w:rPr>
          <w:rFonts w:hint="eastAsia"/>
        </w:rPr>
        <w:t>7</w:t>
      </w:r>
      <w:r>
        <w:tab/>
        <w:t>The limitation of this thesis’</w:t>
      </w:r>
      <w:r>
        <w:rPr>
          <w:rFonts w:hint="eastAsia"/>
        </w:rPr>
        <w:t xml:space="preserve"> methodology</w:t>
      </w:r>
      <w:bookmarkEnd w:id="44"/>
    </w:p>
    <w:p w14:paraId="556DB891" w14:textId="77777777" w:rsidR="00853889" w:rsidRDefault="00853889" w:rsidP="00853889">
      <w:r>
        <w:rPr>
          <w:rFonts w:hint="eastAsia"/>
        </w:rPr>
        <w:t xml:space="preserve">Hitherto, this chapter has discussed how this thesis has constructed </w:t>
      </w:r>
      <w:r>
        <w:t>and operationalised its research methods: the case study method and qualitative research method</w:t>
      </w:r>
      <w:r>
        <w:rPr>
          <w:rFonts w:hint="eastAsia"/>
        </w:rPr>
        <w:t xml:space="preserve">. </w:t>
      </w:r>
      <w:r>
        <w:t>As with other research methods, the</w:t>
      </w:r>
      <w:r>
        <w:rPr>
          <w:rFonts w:hint="eastAsia"/>
        </w:rPr>
        <w:t xml:space="preserve">y </w:t>
      </w:r>
      <w:r>
        <w:t>inevitably</w:t>
      </w:r>
      <w:r>
        <w:rPr>
          <w:rFonts w:hint="eastAsia"/>
        </w:rPr>
        <w:t xml:space="preserve"> have </w:t>
      </w:r>
      <w:r>
        <w:t>a</w:t>
      </w:r>
      <w:r>
        <w:rPr>
          <w:rFonts w:hint="eastAsia"/>
        </w:rPr>
        <w:t xml:space="preserve"> </w:t>
      </w:r>
      <w:r>
        <w:t xml:space="preserve">set of </w:t>
      </w:r>
      <w:r>
        <w:rPr>
          <w:rFonts w:hint="eastAsia"/>
        </w:rPr>
        <w:t>limitation</w:t>
      </w:r>
      <w:r>
        <w:t xml:space="preserve">s. The following sections </w:t>
      </w:r>
      <w:r>
        <w:rPr>
          <w:rFonts w:hint="eastAsia"/>
        </w:rPr>
        <w:t xml:space="preserve">elaborate the </w:t>
      </w:r>
      <w:r>
        <w:t>m</w:t>
      </w:r>
      <w:r>
        <w:rPr>
          <w:rFonts w:hint="eastAsia"/>
        </w:rPr>
        <w:t xml:space="preserve">ethodological </w:t>
      </w:r>
      <w:r>
        <w:t>challenges to this thesis</w:t>
      </w:r>
      <w:r>
        <w:rPr>
          <w:rFonts w:hint="eastAsia"/>
        </w:rPr>
        <w:t xml:space="preserve"> from the theoretical and practical viewpoints</w:t>
      </w:r>
      <w:r>
        <w:t>.</w:t>
      </w:r>
    </w:p>
    <w:p w14:paraId="6D4E755B" w14:textId="77777777" w:rsidR="00853889" w:rsidRDefault="00853889" w:rsidP="00853889"/>
    <w:p w14:paraId="75F9065D" w14:textId="77777777" w:rsidR="00853889" w:rsidRPr="0032381F" w:rsidRDefault="00853889" w:rsidP="00050D4B">
      <w:pPr>
        <w:pStyle w:val="Heading3"/>
      </w:pPr>
      <w:bookmarkStart w:id="45" w:name="_Toc349741367"/>
      <w:r>
        <w:rPr>
          <w:rFonts w:hint="eastAsia"/>
        </w:rPr>
        <w:t>4</w:t>
      </w:r>
      <w:r>
        <w:t>.</w:t>
      </w:r>
      <w:r>
        <w:rPr>
          <w:rFonts w:hint="eastAsia"/>
        </w:rPr>
        <w:t>7</w:t>
      </w:r>
      <w:r>
        <w:t>.</w:t>
      </w:r>
      <w:r w:rsidRPr="00615530">
        <w:t>1</w:t>
      </w:r>
      <w:r>
        <w:tab/>
      </w:r>
      <w:r>
        <w:rPr>
          <w:rFonts w:hint="eastAsia"/>
        </w:rPr>
        <w:t>The t</w:t>
      </w:r>
      <w:r w:rsidRPr="00615530">
        <w:rPr>
          <w:rFonts w:hint="eastAsia"/>
        </w:rPr>
        <w:t xml:space="preserve">heoretical </w:t>
      </w:r>
      <w:r w:rsidRPr="00615530">
        <w:t>challenge</w:t>
      </w:r>
      <w:r>
        <w:rPr>
          <w:rFonts w:hint="eastAsia"/>
        </w:rPr>
        <w:t>s</w:t>
      </w:r>
      <w:bookmarkEnd w:id="45"/>
    </w:p>
    <w:p w14:paraId="6D76039C" w14:textId="594DA35E" w:rsidR="00853889" w:rsidRDefault="00853889" w:rsidP="00853889">
      <w:r>
        <w:t>A s</w:t>
      </w:r>
      <w:r>
        <w:rPr>
          <w:rFonts w:hint="eastAsia"/>
        </w:rPr>
        <w:t>ignificant theoretical challenge to the case study method is the problem of g</w:t>
      </w:r>
      <w:r>
        <w:t>eneralisation</w:t>
      </w:r>
      <w:r>
        <w:rPr>
          <w:rFonts w:hint="eastAsia"/>
        </w:rPr>
        <w:t>,</w:t>
      </w:r>
      <w:r>
        <w:t xml:space="preserve"> </w:t>
      </w:r>
      <w:r w:rsidRPr="0032381F">
        <w:t xml:space="preserve">because </w:t>
      </w:r>
      <w:r>
        <w:t>the case study method</w:t>
      </w:r>
      <w:r w:rsidRPr="0032381F">
        <w:t xml:space="preserve"> </w:t>
      </w:r>
      <w:r>
        <w:rPr>
          <w:rFonts w:hint="eastAsia"/>
        </w:rPr>
        <w:t xml:space="preserve">often </w:t>
      </w:r>
      <w:r w:rsidRPr="0032381F">
        <w:t>relies on a single case (Bryman 1988 p</w:t>
      </w:r>
      <w:r>
        <w:t>p</w:t>
      </w:r>
      <w:r w:rsidRPr="0032381F">
        <w:t xml:space="preserve">.87-8). </w:t>
      </w:r>
      <w:r>
        <w:t xml:space="preserve">Researchers have tried to cope with this challenge by employing </w:t>
      </w:r>
      <w:r w:rsidRPr="0032381F">
        <w:t xml:space="preserve">more than one case </w:t>
      </w:r>
      <w:r>
        <w:t xml:space="preserve">study. For example, </w:t>
      </w:r>
      <w:r w:rsidRPr="0032381F">
        <w:t xml:space="preserve">Skolnick (1966) </w:t>
      </w:r>
      <w:r>
        <w:t>adopted this approach</w:t>
      </w:r>
      <w:r w:rsidRPr="0032381F">
        <w:t xml:space="preserve"> in </w:t>
      </w:r>
      <w:r>
        <w:t>the</w:t>
      </w:r>
      <w:r w:rsidRPr="0032381F">
        <w:t xml:space="preserve"> participant observation of police officers in two US </w:t>
      </w:r>
      <w:r w:rsidR="00E469B8">
        <w:t>cities</w:t>
      </w:r>
      <w:r w:rsidRPr="0032381F">
        <w:t xml:space="preserve"> and Lupton (1963) </w:t>
      </w:r>
      <w:r>
        <w:t xml:space="preserve">did </w:t>
      </w:r>
      <w:r w:rsidRPr="0032381F">
        <w:t xml:space="preserve">in </w:t>
      </w:r>
      <w:r>
        <w:t xml:space="preserve">the </w:t>
      </w:r>
      <w:r w:rsidRPr="0032381F">
        <w:t xml:space="preserve">research of output regulation among manual workers in two factories (Bryman 1988 p.88). </w:t>
      </w:r>
      <w:r>
        <w:t xml:space="preserve">This thesis employs two case studies in a single country: the case studies of ICT regulation and antimonopoly regulation in Japan. The key to give this thesis generalisability is </w:t>
      </w:r>
      <w:r>
        <w:rPr>
          <w:rFonts w:hint="eastAsia"/>
        </w:rPr>
        <w:t xml:space="preserve">employing an approach of </w:t>
      </w:r>
      <w:r>
        <w:t>comparative case study method</w:t>
      </w:r>
      <w:r>
        <w:rPr>
          <w:rFonts w:hint="eastAsia"/>
        </w:rPr>
        <w:t>s</w:t>
      </w:r>
      <w:r>
        <w:t xml:space="preserve">; </w:t>
      </w:r>
      <w:r>
        <w:rPr>
          <w:rFonts w:hint="eastAsia"/>
        </w:rPr>
        <w:t xml:space="preserve">this thesis has </w:t>
      </w:r>
      <w:r>
        <w:t>generalised outcomes emerg</w:t>
      </w:r>
      <w:r>
        <w:rPr>
          <w:rFonts w:hint="eastAsia"/>
        </w:rPr>
        <w:t>ing</w:t>
      </w:r>
      <w:r>
        <w:t xml:space="preserve"> from the comparison between </w:t>
      </w:r>
      <w:r>
        <w:rPr>
          <w:rFonts w:hint="eastAsia"/>
        </w:rPr>
        <w:t xml:space="preserve">the </w:t>
      </w:r>
      <w:r>
        <w:t>two case studies</w:t>
      </w:r>
      <w:r>
        <w:rPr>
          <w:rFonts w:hint="eastAsia"/>
        </w:rPr>
        <w:t xml:space="preserve"> within the same country across time</w:t>
      </w:r>
      <w:r>
        <w:t xml:space="preserve">. Also, </w:t>
      </w:r>
      <w:r>
        <w:rPr>
          <w:rFonts w:hint="eastAsia"/>
        </w:rPr>
        <w:t>it</w:t>
      </w:r>
      <w:r>
        <w:t xml:space="preserve"> draws on examples from </w:t>
      </w:r>
      <w:r w:rsidRPr="0032381F">
        <w:t>Britain and New Zealand</w:t>
      </w:r>
      <w:r>
        <w:t xml:space="preserve"> in order to highlight specific themes within the Japanese case</w:t>
      </w:r>
      <w:r w:rsidRPr="0032381F">
        <w:t xml:space="preserve">. </w:t>
      </w:r>
      <w:r>
        <w:t>By r</w:t>
      </w:r>
      <w:r w:rsidRPr="006838EC">
        <w:t>eferring to th</w:t>
      </w:r>
      <w:r>
        <w:rPr>
          <w:rFonts w:hint="eastAsia"/>
        </w:rPr>
        <w:t>is set of examples</w:t>
      </w:r>
      <w:r>
        <w:t xml:space="preserve">, this thesis </w:t>
      </w:r>
      <w:r w:rsidRPr="006838EC">
        <w:t>avoid</w:t>
      </w:r>
      <w:r>
        <w:t>s</w:t>
      </w:r>
      <w:r w:rsidRPr="006838EC">
        <w:t xml:space="preserve"> falling into cultural exceptionalism </w:t>
      </w:r>
      <w:r>
        <w:t>of a particular country (Lees 2006 pp.1098-9).</w:t>
      </w:r>
      <w:r>
        <w:rPr>
          <w:rFonts w:hint="eastAsia"/>
        </w:rPr>
        <w:t xml:space="preserve"> </w:t>
      </w:r>
      <w:r>
        <w:t>As Lees (2006 p.1105-6) argues</w:t>
      </w:r>
      <w:r w:rsidR="0090194E">
        <w:t>,</w:t>
      </w:r>
      <w:r>
        <w:t xml:space="preserve"> carefully designed case studies not only </w:t>
      </w:r>
      <w:r>
        <w:rPr>
          <w:rFonts w:hint="eastAsia"/>
        </w:rPr>
        <w:t xml:space="preserve">allow </w:t>
      </w:r>
      <w:r>
        <w:t xml:space="preserve">themselves </w:t>
      </w:r>
      <w:r>
        <w:rPr>
          <w:rFonts w:hint="eastAsia"/>
        </w:rPr>
        <w:t xml:space="preserve">to be </w:t>
      </w:r>
      <w:r>
        <w:t xml:space="preserve">more relevant to the generalised idea of knowledge but also provide comparative scholars </w:t>
      </w:r>
      <w:r w:rsidRPr="00E72CA9">
        <w:t xml:space="preserve">with insights and thick description that the comparative </w:t>
      </w:r>
      <w:r>
        <w:t xml:space="preserve">studies </w:t>
      </w:r>
      <w:r w:rsidRPr="00E72CA9">
        <w:t>would otherwise not provide.</w:t>
      </w:r>
    </w:p>
    <w:p w14:paraId="6375722E" w14:textId="77777777" w:rsidR="00853889" w:rsidRPr="0032381F" w:rsidRDefault="00853889" w:rsidP="00853889"/>
    <w:p w14:paraId="2BAA27F4" w14:textId="77777777" w:rsidR="00853889" w:rsidRPr="00553976" w:rsidRDefault="00853889" w:rsidP="00050D4B">
      <w:pPr>
        <w:pStyle w:val="Heading3"/>
      </w:pPr>
      <w:bookmarkStart w:id="46" w:name="_Toc349741368"/>
      <w:r>
        <w:rPr>
          <w:rFonts w:hint="eastAsia"/>
        </w:rPr>
        <w:t>4</w:t>
      </w:r>
      <w:r>
        <w:t>.</w:t>
      </w:r>
      <w:r>
        <w:rPr>
          <w:rFonts w:hint="eastAsia"/>
        </w:rPr>
        <w:t>7</w:t>
      </w:r>
      <w:r>
        <w:t>.</w:t>
      </w:r>
      <w:r w:rsidRPr="00553976">
        <w:t>2</w:t>
      </w:r>
      <w:r>
        <w:tab/>
      </w:r>
      <w:r>
        <w:rPr>
          <w:rFonts w:hint="eastAsia"/>
        </w:rPr>
        <w:t>The practical challenges</w:t>
      </w:r>
      <w:bookmarkEnd w:id="46"/>
    </w:p>
    <w:p w14:paraId="39CB7BEE" w14:textId="77777777" w:rsidR="00853889" w:rsidRDefault="00853889" w:rsidP="00853889">
      <w:r>
        <w:t>Together with the theoretical challenge described in the previous section, a researcher also needs to overcome practical challenges.</w:t>
      </w:r>
    </w:p>
    <w:p w14:paraId="4E5E2D74" w14:textId="77777777" w:rsidR="00853889" w:rsidRDefault="00853889" w:rsidP="00853889">
      <w:pPr>
        <w:ind w:firstLine="284"/>
      </w:pPr>
      <w:r>
        <w:t>A major practical challenge is a</w:t>
      </w:r>
      <w:r w:rsidRPr="0032381F">
        <w:t xml:space="preserve">ccess to the interviewees. </w:t>
      </w:r>
      <w:r>
        <w:t>Having elites accept interview appointments is not easy. As Campbell (2003 p.231) highlight</w:t>
      </w:r>
      <w:r w:rsidR="00344A7E">
        <w:rPr>
          <w:rFonts w:eastAsia="MS Mincho" w:hint="eastAsia"/>
          <w:lang w:eastAsia="ja-JP"/>
        </w:rPr>
        <w:t>s</w:t>
      </w:r>
      <w:r>
        <w:t xml:space="preserve">, having a mentor who advises a researcher about their interview is very important. Potential interviewees were selected </w:t>
      </w:r>
      <w:r>
        <w:rPr>
          <w:rFonts w:hint="eastAsia"/>
        </w:rPr>
        <w:t xml:space="preserve">referring to </w:t>
      </w:r>
      <w:r w:rsidR="0090194E">
        <w:t>the</w:t>
      </w:r>
      <w:r>
        <w:rPr>
          <w:rFonts w:hint="eastAsia"/>
        </w:rPr>
        <w:t xml:space="preserve"> advice</w:t>
      </w:r>
      <w:r w:rsidR="0090194E">
        <w:t xml:space="preserve"> of a few mentors</w:t>
      </w:r>
      <w:r>
        <w:t>, who had a specialised knowledge about the fields (ICT</w:t>
      </w:r>
      <w:r w:rsidR="00344A7E">
        <w:rPr>
          <w:rFonts w:eastAsia="MS Mincho" w:hint="eastAsia"/>
          <w:lang w:eastAsia="ja-JP"/>
        </w:rPr>
        <w:t xml:space="preserve"> regulation</w:t>
      </w:r>
      <w:r>
        <w:t>, antimonopoly</w:t>
      </w:r>
      <w:r w:rsidR="00344A7E">
        <w:rPr>
          <w:rFonts w:eastAsia="MS Mincho" w:hint="eastAsia"/>
          <w:lang w:eastAsia="ja-JP"/>
        </w:rPr>
        <w:t xml:space="preserve"> regulation</w:t>
      </w:r>
      <w:r>
        <w:t xml:space="preserve">). </w:t>
      </w:r>
      <w:r>
        <w:rPr>
          <w:rFonts w:hint="eastAsia"/>
        </w:rPr>
        <w:t>The interviewees</w:t>
      </w:r>
      <w:r>
        <w:t xml:space="preserve"> were contacted with an introduction from key figures. In many cases introduction</w:t>
      </w:r>
      <w:r>
        <w:rPr>
          <w:rFonts w:hint="eastAsia"/>
        </w:rPr>
        <w:t xml:space="preserve">s </w:t>
      </w:r>
      <w:r>
        <w:t>came from the mentors.</w:t>
      </w:r>
    </w:p>
    <w:p w14:paraId="0E02ACBC" w14:textId="77777777" w:rsidR="00853889" w:rsidRDefault="00853889" w:rsidP="005368B2">
      <w:pPr>
        <w:ind w:firstLineChars="121" w:firstLine="274"/>
      </w:pPr>
      <w:r>
        <w:rPr>
          <w:rFonts w:hint="eastAsia"/>
        </w:rPr>
        <w:t>Another challenge is h</w:t>
      </w:r>
      <w:r>
        <w:t xml:space="preserve">ow much a researcher </w:t>
      </w:r>
      <w:r>
        <w:rPr>
          <w:rFonts w:hint="eastAsia"/>
        </w:rPr>
        <w:t>interprets interviewee</w:t>
      </w:r>
      <w:r>
        <w:t>s’</w:t>
      </w:r>
      <w:r>
        <w:rPr>
          <w:rFonts w:hint="eastAsia"/>
        </w:rPr>
        <w:t xml:space="preserve"> interpretation of the political world they operate in.</w:t>
      </w:r>
      <w:r w:rsidRPr="0032381F">
        <w:t xml:space="preserve"> Seldon (1996) argues that it is difficult to obtain </w:t>
      </w:r>
      <w:r>
        <w:t xml:space="preserve">accounts reflecting the reality </w:t>
      </w:r>
      <w:r w:rsidRPr="0032381F">
        <w:t xml:space="preserve">from British party politicians </w:t>
      </w:r>
      <w:r>
        <w:t xml:space="preserve">because of their spontaneous partisan perspective, </w:t>
      </w:r>
      <w:r w:rsidRPr="0032381F">
        <w:t xml:space="preserve">while their civil servant counterparts tend to offer informative and excellent interviews (p.360, </w:t>
      </w:r>
      <w:r>
        <w:t xml:space="preserve">also Richards 1996 </w:t>
      </w:r>
      <w:r w:rsidRPr="001D027A">
        <w:t xml:space="preserve">pp.194-204). </w:t>
      </w:r>
      <w:r w:rsidRPr="001D027A">
        <w:rPr>
          <w:rFonts w:hint="eastAsia"/>
        </w:rPr>
        <w:t xml:space="preserve">The interview data was carefully analysed to avoid problems resulting from </w:t>
      </w:r>
      <w:r>
        <w:rPr>
          <w:rFonts w:hint="eastAsia"/>
        </w:rPr>
        <w:t xml:space="preserve">the </w:t>
      </w:r>
      <w:r w:rsidRPr="001D027A">
        <w:rPr>
          <w:rFonts w:hint="eastAsia"/>
        </w:rPr>
        <w:t>interviewee</w:t>
      </w:r>
      <w:r w:rsidRPr="001D027A">
        <w:t>s’</w:t>
      </w:r>
      <w:r w:rsidRPr="001D027A">
        <w:rPr>
          <w:rFonts w:hint="eastAsia"/>
        </w:rPr>
        <w:t xml:space="preserve"> </w:t>
      </w:r>
      <w:r w:rsidRPr="001D027A">
        <w:t>bias</w:t>
      </w:r>
      <w:r w:rsidRPr="001D027A">
        <w:rPr>
          <w:rFonts w:hint="eastAsia"/>
        </w:rPr>
        <w:t xml:space="preserve"> highlighted by Seldon (1996)</w:t>
      </w:r>
      <w:r w:rsidRPr="001D027A">
        <w:t>.</w:t>
      </w:r>
      <w:r w:rsidR="0055296E">
        <w:t xml:space="preserve"> </w:t>
      </w:r>
      <w:r w:rsidR="00DB7FDC">
        <w:rPr>
          <w:rFonts w:hint="eastAsia"/>
          <w:lang w:eastAsia="ja-JP"/>
        </w:rPr>
        <w:t>For example, apparently partisan oriented arguments (e.g. overtly hostile remarks to the political adversaries by a politician or to competitors by a business person) were taken out</w:t>
      </w:r>
      <w:r w:rsidR="00A127AA">
        <w:rPr>
          <w:rFonts w:hint="eastAsia"/>
          <w:lang w:eastAsia="ja-JP"/>
        </w:rPr>
        <w:t>. A</w:t>
      </w:r>
      <w:r w:rsidR="00A127AA">
        <w:rPr>
          <w:lang w:eastAsia="ja-JP"/>
        </w:rPr>
        <w:t>l</w:t>
      </w:r>
      <w:r w:rsidR="00A127AA">
        <w:rPr>
          <w:rFonts w:hint="eastAsia"/>
          <w:lang w:eastAsia="ja-JP"/>
        </w:rPr>
        <w:t>so, t</w:t>
      </w:r>
      <w:r w:rsidR="005368B2">
        <w:t xml:space="preserve">his thesis focuses on the information on what interviewees experienced and what they thought as those directly involved or an eye witness of the events. </w:t>
      </w:r>
      <w:r w:rsidR="00E11CD1">
        <w:rPr>
          <w:lang w:eastAsia="ja-JP"/>
        </w:rPr>
        <w:t>I</w:t>
      </w:r>
      <w:r w:rsidR="00E11CD1">
        <w:rPr>
          <w:rFonts w:hint="eastAsia"/>
          <w:lang w:eastAsia="ja-JP"/>
        </w:rPr>
        <w:t xml:space="preserve">n addition to the above, this thesis establishes its </w:t>
      </w:r>
      <w:r w:rsidR="00E11CD1">
        <w:rPr>
          <w:lang w:eastAsia="ja-JP"/>
        </w:rPr>
        <w:t>arguments</w:t>
      </w:r>
      <w:r w:rsidR="00E11CD1">
        <w:rPr>
          <w:rFonts w:hint="eastAsia"/>
          <w:lang w:eastAsia="ja-JP"/>
        </w:rPr>
        <w:t xml:space="preserve"> </w:t>
      </w:r>
      <w:r w:rsidR="005368B2">
        <w:t xml:space="preserve">based on more than two accounts in order that they can avoid </w:t>
      </w:r>
      <w:r w:rsidR="00DA5678">
        <w:t xml:space="preserve">the </w:t>
      </w:r>
      <w:r w:rsidR="005368B2">
        <w:t>bias of one particular person.</w:t>
      </w:r>
    </w:p>
    <w:p w14:paraId="17A969DD" w14:textId="77777777" w:rsidR="00853889" w:rsidRDefault="00853889" w:rsidP="00A95D66">
      <w:pPr>
        <w:ind w:firstLineChars="121" w:firstLine="274"/>
      </w:pPr>
      <w:r>
        <w:t>Another challenge appear</w:t>
      </w:r>
      <w:r w:rsidR="005D14AD">
        <w:t>ing</w:t>
      </w:r>
      <w:r>
        <w:t xml:space="preserve"> in the interview sessions was </w:t>
      </w:r>
      <w:r w:rsidR="005D14AD">
        <w:t>the</w:t>
      </w:r>
      <w:r>
        <w:t xml:space="preserve"> significantly generalist nature of many party politicians</w:t>
      </w:r>
      <w:r w:rsidR="00DA5678">
        <w:t>; because they have had many and various responsibilities and their responsibilities have often changed, they had difficulty to remember the detail of the issues highlighted in the interview sessions</w:t>
      </w:r>
      <w:r>
        <w:t xml:space="preserve">. On the other hand, civil servants have more detailed and precise knowledge about the interview questions. At the same time, their knowledge was significantly limited by their ranks, positions, and responsibilities. Utilising their accounts needs attention like that required in a patchwork. Interviewees from </w:t>
      </w:r>
      <w:r w:rsidR="006955D8">
        <w:rPr>
          <w:rFonts w:eastAsia="MS Mincho" w:hint="eastAsia"/>
          <w:lang w:eastAsia="ja-JP"/>
        </w:rPr>
        <w:t xml:space="preserve">the </w:t>
      </w:r>
      <w:r>
        <w:t>business community had a similar characteristic.</w:t>
      </w:r>
    </w:p>
    <w:p w14:paraId="594EF449" w14:textId="77777777" w:rsidR="00853889" w:rsidRDefault="00853889" w:rsidP="00247273">
      <w:pPr>
        <w:ind w:firstLineChars="121" w:firstLine="274"/>
      </w:pPr>
      <w:r w:rsidRPr="00485388">
        <w:t>A</w:t>
      </w:r>
      <w:r w:rsidRPr="00485388">
        <w:rPr>
          <w:rFonts w:hint="eastAsia"/>
        </w:rPr>
        <w:t xml:space="preserve"> balanced composition of interviewees across the groups is vital to avoid leaning to a perspective of a particular group. Because the major focus of this thesis is the Japanese state and the core executive, the largest </w:t>
      </w:r>
      <w:r w:rsidR="008C7154" w:rsidRPr="00485388">
        <w:rPr>
          <w:rFonts w:hint="eastAsia"/>
        </w:rPr>
        <w:t>interview</w:t>
      </w:r>
      <w:r w:rsidR="009D2FD1">
        <w:rPr>
          <w:rFonts w:hint="eastAsia"/>
          <w:lang w:eastAsia="ja-JP"/>
        </w:rPr>
        <w:t>ee</w:t>
      </w:r>
      <w:r w:rsidR="008C7154">
        <w:t xml:space="preserve"> group was drawn from</w:t>
      </w:r>
      <w:r w:rsidRPr="00485388">
        <w:rPr>
          <w:rFonts w:hint="eastAsia"/>
        </w:rPr>
        <w:t xml:space="preserve"> the core executive: party politicians and civil servants. Their perspective was </w:t>
      </w:r>
      <w:r w:rsidR="00247273">
        <w:t xml:space="preserve">compared to </w:t>
      </w:r>
      <w:r w:rsidRPr="00485388">
        <w:rPr>
          <w:rFonts w:hint="eastAsia"/>
        </w:rPr>
        <w:t xml:space="preserve">the perspectives of interviewees in other groups who have involved with the policy issues and contacts to the core executive; those groups include major private firms in the field, consumer groups, and a set of professionals such as researchers and </w:t>
      </w:r>
      <w:r w:rsidRPr="00485388">
        <w:t>lawyers</w:t>
      </w:r>
      <w:r w:rsidRPr="00485388">
        <w:rPr>
          <w:rFonts w:hint="eastAsia"/>
        </w:rPr>
        <w:t xml:space="preserve"> specialised in </w:t>
      </w:r>
      <w:r w:rsidR="006955D8">
        <w:rPr>
          <w:rFonts w:eastAsia="MS Mincho" w:hint="eastAsia"/>
          <w:lang w:eastAsia="ja-JP"/>
        </w:rPr>
        <w:t xml:space="preserve">the </w:t>
      </w:r>
      <w:r w:rsidRPr="00485388">
        <w:rPr>
          <w:rFonts w:hint="eastAsia"/>
        </w:rPr>
        <w:t>ICT and antimonopoly</w:t>
      </w:r>
      <w:r w:rsidR="006955D8">
        <w:rPr>
          <w:rFonts w:eastAsia="MS Mincho" w:hint="eastAsia"/>
          <w:lang w:eastAsia="ja-JP"/>
        </w:rPr>
        <w:t xml:space="preserve"> fields</w:t>
      </w:r>
      <w:r w:rsidRPr="00485388">
        <w:rPr>
          <w:rFonts w:hint="eastAsia"/>
        </w:rPr>
        <w:t>.</w:t>
      </w:r>
    </w:p>
    <w:p w14:paraId="44FE8CC8" w14:textId="12813394" w:rsidR="00117906" w:rsidRDefault="00117906" w:rsidP="00126822">
      <w:pPr>
        <w:ind w:firstLineChars="122" w:firstLine="277"/>
        <w:rPr>
          <w:lang w:eastAsia="ja-JP"/>
        </w:rPr>
      </w:pPr>
      <w:r w:rsidRPr="00AB7020">
        <w:t xml:space="preserve">A challenge to </w:t>
      </w:r>
      <w:r w:rsidR="00126822" w:rsidRPr="00AB7020">
        <w:t xml:space="preserve">analysing the interview result </w:t>
      </w:r>
      <w:r w:rsidR="00D92622" w:rsidRPr="00AB7020">
        <w:rPr>
          <w:rFonts w:hint="eastAsia"/>
          <w:lang w:eastAsia="ja-JP"/>
        </w:rPr>
        <w:t>emerges in</w:t>
      </w:r>
      <w:r w:rsidR="00126822" w:rsidRPr="00AB7020">
        <w:t xml:space="preserve"> triangulation; </w:t>
      </w:r>
      <w:r w:rsidRPr="00AB7020">
        <w:t>few official documents witness the unobservable power</w:t>
      </w:r>
      <w:r w:rsidR="008F34BE" w:rsidRPr="00AB7020">
        <w:t xml:space="preserve"> relations within the core executive in Japan.  For example, how key party politicians</w:t>
      </w:r>
      <w:r w:rsidRPr="00AB7020">
        <w:t xml:space="preserve"> such as Sadanori Yamanaka (see Chapter 6) exercised their informal influence over policy making processes is difficult to </w:t>
      </w:r>
      <w:r w:rsidR="00C51FD7">
        <w:t>identify</w:t>
      </w:r>
      <w:r w:rsidRPr="00AB7020">
        <w:t xml:space="preserve"> in the JFTC’s official documents in </w:t>
      </w:r>
      <w:r w:rsidR="005D14AD">
        <w:t xml:space="preserve">the </w:t>
      </w:r>
      <w:r w:rsidRPr="00AB7020">
        <w:t xml:space="preserve">public domain and debate in the Diet. </w:t>
      </w:r>
      <w:r w:rsidR="00370374" w:rsidRPr="00AB7020">
        <w:rPr>
          <w:rFonts w:hint="eastAsia"/>
          <w:lang w:eastAsia="ja-JP"/>
        </w:rPr>
        <w:t>T</w:t>
      </w:r>
      <w:r w:rsidR="00370374" w:rsidRPr="00AB7020">
        <w:rPr>
          <w:lang w:eastAsia="ja-JP"/>
        </w:rPr>
        <w:t>h</w:t>
      </w:r>
      <w:r w:rsidR="00370374" w:rsidRPr="00AB7020">
        <w:rPr>
          <w:rFonts w:hint="eastAsia"/>
          <w:lang w:eastAsia="ja-JP"/>
        </w:rPr>
        <w:t>is thesis employs the session records of the Diet</w:t>
      </w:r>
      <w:r w:rsidR="00AC6AC9" w:rsidRPr="00AB7020">
        <w:rPr>
          <w:rFonts w:hint="eastAsia"/>
          <w:lang w:eastAsia="ja-JP"/>
        </w:rPr>
        <w:t xml:space="preserve"> </w:t>
      </w:r>
      <w:r w:rsidR="006F2935" w:rsidRPr="00AB7020">
        <w:rPr>
          <w:rFonts w:hint="eastAsia"/>
          <w:lang w:eastAsia="ja-JP"/>
        </w:rPr>
        <w:t xml:space="preserve">and official papers in </w:t>
      </w:r>
      <w:r w:rsidR="005D14AD">
        <w:rPr>
          <w:lang w:eastAsia="ja-JP"/>
        </w:rPr>
        <w:t xml:space="preserve">the </w:t>
      </w:r>
      <w:r w:rsidR="006F2935" w:rsidRPr="00AB7020">
        <w:rPr>
          <w:rFonts w:hint="eastAsia"/>
          <w:lang w:eastAsia="ja-JP"/>
        </w:rPr>
        <w:t xml:space="preserve">public domain </w:t>
      </w:r>
      <w:r w:rsidR="00AC6AC9" w:rsidRPr="00AB7020">
        <w:rPr>
          <w:rFonts w:hint="eastAsia"/>
          <w:lang w:eastAsia="ja-JP"/>
        </w:rPr>
        <w:t xml:space="preserve">when it offers evidence </w:t>
      </w:r>
      <w:r w:rsidR="00521D78">
        <w:rPr>
          <w:rFonts w:hint="eastAsia"/>
          <w:lang w:eastAsia="ja-JP"/>
        </w:rPr>
        <w:t xml:space="preserve">relating to </w:t>
      </w:r>
      <w:r w:rsidR="006F2935" w:rsidRPr="00AB7020">
        <w:rPr>
          <w:lang w:eastAsia="ja-JP"/>
        </w:rPr>
        <w:t>interviewees’ account</w:t>
      </w:r>
      <w:r w:rsidR="006F2935" w:rsidRPr="00AB7020">
        <w:rPr>
          <w:rFonts w:hint="eastAsia"/>
          <w:lang w:eastAsia="ja-JP"/>
        </w:rPr>
        <w:t>s</w:t>
      </w:r>
      <w:r w:rsidR="00370374" w:rsidRPr="00AB7020">
        <w:rPr>
          <w:rFonts w:hint="eastAsia"/>
          <w:lang w:eastAsia="ja-JP"/>
        </w:rPr>
        <w:t>.</w:t>
      </w:r>
      <w:r w:rsidR="00AC6AC9" w:rsidRPr="00AB7020">
        <w:rPr>
          <w:rFonts w:hint="eastAsia"/>
          <w:lang w:eastAsia="ja-JP"/>
        </w:rPr>
        <w:t xml:space="preserve"> </w:t>
      </w:r>
      <w:r w:rsidR="00670B3C" w:rsidRPr="00AB7020">
        <w:rPr>
          <w:lang w:eastAsia="ja-JP"/>
        </w:rPr>
        <w:t>W</w:t>
      </w:r>
      <w:r w:rsidR="00670B3C" w:rsidRPr="00AB7020">
        <w:rPr>
          <w:rFonts w:hint="eastAsia"/>
          <w:lang w:eastAsia="ja-JP"/>
        </w:rPr>
        <w:t xml:space="preserve">hen it is difficult to </w:t>
      </w:r>
      <w:r w:rsidR="00670B3C" w:rsidRPr="00AB7020">
        <w:rPr>
          <w:lang w:eastAsia="ja-JP"/>
        </w:rPr>
        <w:t>methodological</w:t>
      </w:r>
      <w:r w:rsidR="00670B3C" w:rsidRPr="00AB7020">
        <w:rPr>
          <w:rFonts w:hint="eastAsia"/>
          <w:lang w:eastAsia="ja-JP"/>
        </w:rPr>
        <w:t xml:space="preserve">ly triangulate interview accounts with such official documents because </w:t>
      </w:r>
      <w:r w:rsidR="00820BCE" w:rsidRPr="00AB7020">
        <w:rPr>
          <w:rFonts w:hint="eastAsia"/>
          <w:lang w:eastAsia="ja-JP"/>
        </w:rPr>
        <w:t xml:space="preserve">no such </w:t>
      </w:r>
      <w:r w:rsidR="00670B3C" w:rsidRPr="00AB7020">
        <w:rPr>
          <w:rFonts w:hint="eastAsia"/>
          <w:lang w:eastAsia="ja-JP"/>
        </w:rPr>
        <w:t xml:space="preserve">documents </w:t>
      </w:r>
      <w:r w:rsidR="00820BCE" w:rsidRPr="00AB7020">
        <w:rPr>
          <w:rFonts w:hint="eastAsia"/>
          <w:lang w:eastAsia="ja-JP"/>
        </w:rPr>
        <w:t xml:space="preserve">exist </w:t>
      </w:r>
      <w:r w:rsidR="00670B3C" w:rsidRPr="00AB7020">
        <w:rPr>
          <w:rFonts w:hint="eastAsia"/>
          <w:lang w:eastAsia="ja-JP"/>
        </w:rPr>
        <w:t xml:space="preserve">in </w:t>
      </w:r>
      <w:r w:rsidR="005D14AD">
        <w:rPr>
          <w:lang w:eastAsia="ja-JP"/>
        </w:rPr>
        <w:t xml:space="preserve">the </w:t>
      </w:r>
      <w:r w:rsidR="00670B3C" w:rsidRPr="00AB7020">
        <w:rPr>
          <w:rFonts w:hint="eastAsia"/>
          <w:lang w:eastAsia="ja-JP"/>
        </w:rPr>
        <w:t xml:space="preserve">public domain, </w:t>
      </w:r>
      <w:r w:rsidR="00B75CA9" w:rsidRPr="00AB7020">
        <w:rPr>
          <w:rFonts w:hint="eastAsia"/>
          <w:lang w:eastAsia="ja-JP"/>
        </w:rPr>
        <w:t xml:space="preserve">this thesis employs </w:t>
      </w:r>
      <w:r w:rsidR="00B75CA9" w:rsidRPr="00AB7020">
        <w:rPr>
          <w:lang w:eastAsia="ja-JP"/>
        </w:rPr>
        <w:t>multiple</w:t>
      </w:r>
      <w:r w:rsidR="00B75CA9" w:rsidRPr="00AB7020">
        <w:rPr>
          <w:rFonts w:hint="eastAsia"/>
          <w:lang w:eastAsia="ja-JP"/>
        </w:rPr>
        <w:t xml:space="preserve"> interview accounts (more than two accounts) to </w:t>
      </w:r>
      <w:r w:rsidR="00435EE7" w:rsidRPr="00AB7020">
        <w:rPr>
          <w:rFonts w:hint="eastAsia"/>
          <w:lang w:eastAsia="ja-JP"/>
        </w:rPr>
        <w:t>establish an argument.</w:t>
      </w:r>
      <w:r w:rsidR="00820BCE" w:rsidRPr="00AB7020">
        <w:rPr>
          <w:rFonts w:hint="eastAsia"/>
          <w:lang w:eastAsia="ja-JP"/>
        </w:rPr>
        <w:t xml:space="preserve"> For example, the power of Yamanaka in </w:t>
      </w:r>
      <w:r w:rsidR="005D14AD">
        <w:rPr>
          <w:lang w:eastAsia="ja-JP"/>
        </w:rPr>
        <w:t xml:space="preserve">the </w:t>
      </w:r>
      <w:r w:rsidR="00820BCE" w:rsidRPr="00AB7020">
        <w:rPr>
          <w:rFonts w:hint="eastAsia"/>
          <w:lang w:eastAsia="ja-JP"/>
        </w:rPr>
        <w:t>antimonopoly regulation policy making process was witnessed by not only former civil servants who w</w:t>
      </w:r>
      <w:r w:rsidR="001E3A8A" w:rsidRPr="00AB7020">
        <w:rPr>
          <w:rFonts w:hint="eastAsia"/>
          <w:lang w:eastAsia="ja-JP"/>
        </w:rPr>
        <w:t>orked with Yamanaka but also a number of outsiders such as an official of a business organisation (</w:t>
      </w:r>
      <w:r w:rsidR="008F34BE" w:rsidRPr="00AB7020">
        <w:rPr>
          <w:i/>
          <w:lang w:eastAsia="ja-JP"/>
        </w:rPr>
        <w:t>Keidanren</w:t>
      </w:r>
      <w:r w:rsidR="001E3A8A" w:rsidRPr="00AB7020">
        <w:rPr>
          <w:rFonts w:hint="eastAsia"/>
          <w:lang w:eastAsia="ja-JP"/>
        </w:rPr>
        <w:t xml:space="preserve">), a lawyer, and a law academic. Employing their accounts together with </w:t>
      </w:r>
      <w:r w:rsidR="005B5208">
        <w:rPr>
          <w:rFonts w:hint="eastAsia"/>
          <w:lang w:eastAsia="ja-JP"/>
        </w:rPr>
        <w:t xml:space="preserve">those of </w:t>
      </w:r>
      <w:r w:rsidR="00AB7020" w:rsidRPr="00AB7020">
        <w:rPr>
          <w:rFonts w:hint="eastAsia"/>
          <w:lang w:eastAsia="ja-JP"/>
        </w:rPr>
        <w:t xml:space="preserve">current and/or </w:t>
      </w:r>
      <w:r w:rsidR="00683671" w:rsidRPr="00AB7020">
        <w:rPr>
          <w:rFonts w:hint="eastAsia"/>
          <w:lang w:eastAsia="ja-JP"/>
        </w:rPr>
        <w:t>former members of the core executive</w:t>
      </w:r>
      <w:r w:rsidR="001E3A8A" w:rsidRPr="00AB7020">
        <w:rPr>
          <w:rFonts w:hint="eastAsia"/>
          <w:lang w:eastAsia="ja-JP"/>
        </w:rPr>
        <w:t xml:space="preserve"> </w:t>
      </w:r>
      <w:r w:rsidR="00B64791" w:rsidRPr="00AB7020">
        <w:rPr>
          <w:rFonts w:hint="eastAsia"/>
          <w:lang w:eastAsia="ja-JP"/>
        </w:rPr>
        <w:t>contributes to establish</w:t>
      </w:r>
      <w:r w:rsidR="005D14AD">
        <w:rPr>
          <w:lang w:eastAsia="ja-JP"/>
        </w:rPr>
        <w:t>ing</w:t>
      </w:r>
      <w:r w:rsidR="00B64791" w:rsidRPr="00AB7020">
        <w:rPr>
          <w:rFonts w:hint="eastAsia"/>
          <w:lang w:eastAsia="ja-JP"/>
        </w:rPr>
        <w:t xml:space="preserve"> an argument </w:t>
      </w:r>
      <w:r w:rsidR="00AB7020" w:rsidRPr="00AB7020">
        <w:rPr>
          <w:rFonts w:hint="eastAsia"/>
          <w:lang w:eastAsia="ja-JP"/>
        </w:rPr>
        <w:t>seeking to avoid interviewee bias.</w:t>
      </w:r>
    </w:p>
    <w:p w14:paraId="746B9C96" w14:textId="77777777" w:rsidR="00117906" w:rsidRPr="00485388" w:rsidRDefault="00117906" w:rsidP="00247273">
      <w:pPr>
        <w:ind w:firstLineChars="121" w:firstLine="274"/>
      </w:pPr>
    </w:p>
    <w:p w14:paraId="5F630EB7" w14:textId="77777777" w:rsidR="00853889" w:rsidRPr="00485388" w:rsidRDefault="00853889" w:rsidP="00853889"/>
    <w:p w14:paraId="763875CB" w14:textId="77777777" w:rsidR="00853889" w:rsidRPr="0040349E" w:rsidRDefault="00853889" w:rsidP="006956CD">
      <w:pPr>
        <w:pStyle w:val="Heading2"/>
      </w:pPr>
      <w:bookmarkStart w:id="47" w:name="_Toc349741369"/>
      <w:r>
        <w:rPr>
          <w:rFonts w:hint="eastAsia"/>
        </w:rPr>
        <w:t>4</w:t>
      </w:r>
      <w:r>
        <w:t>.</w:t>
      </w:r>
      <w:r w:rsidR="006956CD">
        <w:t>8</w:t>
      </w:r>
      <w:r>
        <w:tab/>
        <w:t>Conclusion</w:t>
      </w:r>
      <w:bookmarkEnd w:id="47"/>
    </w:p>
    <w:p w14:paraId="6F0BDB7D" w14:textId="77777777" w:rsidR="00853889" w:rsidRDefault="008C7154" w:rsidP="00035979">
      <w:r>
        <w:t>T</w:t>
      </w:r>
      <w:r w:rsidR="00853889">
        <w:t xml:space="preserve">his chapter </w:t>
      </w:r>
      <w:r>
        <w:t xml:space="preserve">has outlined </w:t>
      </w:r>
      <w:r w:rsidR="00853889">
        <w:t xml:space="preserve">the methodology </w:t>
      </w:r>
      <w:r>
        <w:t xml:space="preserve">employed </w:t>
      </w:r>
      <w:r w:rsidR="00247273">
        <w:t>within</w:t>
      </w:r>
      <w:r>
        <w:t xml:space="preserve"> </w:t>
      </w:r>
      <w:r w:rsidR="00853889">
        <w:t>this thesis. The construction of the research methodology starts from the ontological position. This thesis employs a view that an elitist approach best capture</w:t>
      </w:r>
      <w:r w:rsidR="00B20C65">
        <w:rPr>
          <w:rFonts w:eastAsia="MS Mincho" w:hint="eastAsia"/>
          <w:lang w:eastAsia="ja-JP"/>
        </w:rPr>
        <w:t>s</w:t>
      </w:r>
      <w:r w:rsidR="00853889">
        <w:t xml:space="preserve"> the complicated reality of the state</w:t>
      </w:r>
      <w:r w:rsidR="00853889">
        <w:rPr>
          <w:rFonts w:hint="eastAsia"/>
        </w:rPr>
        <w:t>, based on the perspective</w:t>
      </w:r>
      <w:r w:rsidR="005D14AD">
        <w:t xml:space="preserve"> </w:t>
      </w:r>
      <w:r w:rsidR="00853889">
        <w:rPr>
          <w:rFonts w:hint="eastAsia"/>
        </w:rPr>
        <w:t xml:space="preserve">that the nature of power is fluid existing in the ideational world as well as the material world. </w:t>
      </w:r>
      <w:r w:rsidR="00853889">
        <w:t xml:space="preserve">This ontological position renders this thesis to employ a critical realist approach as its epistemological position. Although </w:t>
      </w:r>
      <w:r w:rsidR="00853889">
        <w:rPr>
          <w:rFonts w:hint="eastAsia"/>
        </w:rPr>
        <w:t xml:space="preserve">the </w:t>
      </w:r>
      <w:r w:rsidR="00853889">
        <w:t xml:space="preserve">qualitative methods </w:t>
      </w:r>
      <w:r w:rsidR="00C16A9E">
        <w:t xml:space="preserve">offer a framework </w:t>
      </w:r>
      <w:r w:rsidR="00035979">
        <w:t xml:space="preserve">frequently used and </w:t>
      </w:r>
      <w:r w:rsidR="00C16A9E">
        <w:t xml:space="preserve">compatible with </w:t>
      </w:r>
      <w:r w:rsidR="00853889">
        <w:t>th</w:t>
      </w:r>
      <w:r w:rsidR="00853889">
        <w:rPr>
          <w:rFonts w:hint="eastAsia"/>
        </w:rPr>
        <w:t>is</w:t>
      </w:r>
      <w:r w:rsidR="00853889">
        <w:t xml:space="preserve"> epistemological position, the selection of the research methods is based on its merits: the flexibility and practicability.</w:t>
      </w:r>
    </w:p>
    <w:p w14:paraId="34F0363C" w14:textId="77777777" w:rsidR="00055D80" w:rsidRDefault="00853889" w:rsidP="003378A8">
      <w:pPr>
        <w:ind w:firstLineChars="122" w:firstLine="277"/>
      </w:pPr>
      <w:r>
        <w:rPr>
          <w:rFonts w:hint="eastAsia"/>
        </w:rPr>
        <w:t>Based on an epistemological position of a critical realist and the qualitative methods, t</w:t>
      </w:r>
      <w:r>
        <w:t>h</w:t>
      </w:r>
      <w:r>
        <w:rPr>
          <w:rFonts w:hint="eastAsia"/>
        </w:rPr>
        <w:t>is thesis</w:t>
      </w:r>
      <w:r>
        <w:t>’</w:t>
      </w:r>
      <w:r>
        <w:rPr>
          <w:rFonts w:hint="eastAsia"/>
        </w:rPr>
        <w:t xml:space="preserve"> </w:t>
      </w:r>
      <w:r>
        <w:t xml:space="preserve">methodology </w:t>
      </w:r>
      <w:r>
        <w:rPr>
          <w:rFonts w:hint="eastAsia"/>
        </w:rPr>
        <w:t>offers a research framework with an established approach of research</w:t>
      </w:r>
      <w:r>
        <w:t>. This thesis generate</w:t>
      </w:r>
      <w:r>
        <w:rPr>
          <w:rFonts w:hint="eastAsia"/>
        </w:rPr>
        <w:t>s</w:t>
      </w:r>
      <w:r>
        <w:t xml:space="preserve"> a contribution to knowledge by utilising established methods, with</w:t>
      </w:r>
      <w:r>
        <w:rPr>
          <w:rFonts w:hint="eastAsia"/>
        </w:rPr>
        <w:t xml:space="preserve"> the recognition of the various limitations associated with this particular methodological approach. </w:t>
      </w:r>
      <w:r>
        <w:t xml:space="preserve">In this thesis, </w:t>
      </w:r>
      <w:r>
        <w:rPr>
          <w:rFonts w:hint="eastAsia"/>
        </w:rPr>
        <w:t xml:space="preserve">the </w:t>
      </w:r>
      <w:r>
        <w:t xml:space="preserve">qualitative data </w:t>
      </w:r>
      <w:r>
        <w:rPr>
          <w:rFonts w:hint="eastAsia"/>
        </w:rPr>
        <w:t>drawn from</w:t>
      </w:r>
      <w:r>
        <w:t xml:space="preserve"> elite interview</w:t>
      </w:r>
      <w:r>
        <w:rPr>
          <w:rFonts w:hint="eastAsia"/>
        </w:rPr>
        <w:t>ing</w:t>
      </w:r>
      <w:r>
        <w:t xml:space="preserve"> </w:t>
      </w:r>
      <w:r w:rsidR="008C7154">
        <w:t>offers</w:t>
      </w:r>
      <w:r>
        <w:t xml:space="preserve"> rich insights into the political process of state transformation. For instance, </w:t>
      </w:r>
      <w:r>
        <w:rPr>
          <w:rFonts w:hint="eastAsia"/>
        </w:rPr>
        <w:t>an account from</w:t>
      </w:r>
      <w:r>
        <w:t xml:space="preserve"> </w:t>
      </w:r>
      <w:r>
        <w:rPr>
          <w:rFonts w:hint="eastAsia"/>
        </w:rPr>
        <w:t xml:space="preserve">retired </w:t>
      </w:r>
      <w:r>
        <w:t>Japanese civil servant</w:t>
      </w:r>
      <w:r>
        <w:rPr>
          <w:rFonts w:hint="eastAsia"/>
        </w:rPr>
        <w:t>s</w:t>
      </w:r>
      <w:r>
        <w:t xml:space="preserve"> can contribute to interpret</w:t>
      </w:r>
      <w:r>
        <w:rPr>
          <w:rFonts w:hint="eastAsia"/>
        </w:rPr>
        <w:t>ing</w:t>
      </w:r>
      <w:r>
        <w:t xml:space="preserve"> the changing relationship between </w:t>
      </w:r>
      <w:r>
        <w:rPr>
          <w:rFonts w:hint="eastAsia"/>
        </w:rPr>
        <w:t>civil servants</w:t>
      </w:r>
      <w:r>
        <w:t xml:space="preserve"> and politicians. </w:t>
      </w:r>
      <w:r>
        <w:rPr>
          <w:rFonts w:hint="eastAsia"/>
        </w:rPr>
        <w:t xml:space="preserve">Like </w:t>
      </w:r>
      <w:r w:rsidRPr="006838EC">
        <w:t>Richards and Smith (2004</w:t>
      </w:r>
      <w:r>
        <w:t xml:space="preserve"> </w:t>
      </w:r>
      <w:r w:rsidRPr="006838EC">
        <w:t xml:space="preserve">p.780, p.798) </w:t>
      </w:r>
      <w:r>
        <w:rPr>
          <w:rFonts w:hint="eastAsia"/>
        </w:rPr>
        <w:t xml:space="preserve">who </w:t>
      </w:r>
      <w:r w:rsidRPr="006838EC">
        <w:t xml:space="preserve">set out to explore the relationship between ministers and officials in the British government, </w:t>
      </w:r>
      <w:r>
        <w:t>the</w:t>
      </w:r>
      <w:r>
        <w:rPr>
          <w:rFonts w:hint="eastAsia"/>
        </w:rPr>
        <w:t>ir accounts</w:t>
      </w:r>
      <w:r>
        <w:t xml:space="preserve"> </w:t>
      </w:r>
      <w:r>
        <w:rPr>
          <w:rFonts w:hint="eastAsia"/>
        </w:rPr>
        <w:t xml:space="preserve">can </w:t>
      </w:r>
      <w:r>
        <w:t xml:space="preserve">highlight how </w:t>
      </w:r>
      <w:r w:rsidRPr="006838EC">
        <w:t>meanings, beliefs</w:t>
      </w:r>
      <w:r>
        <w:rPr>
          <w:rFonts w:hint="eastAsia"/>
        </w:rPr>
        <w:t>,</w:t>
      </w:r>
      <w:r w:rsidRPr="006838EC">
        <w:t xml:space="preserve"> and </w:t>
      </w:r>
      <w:r>
        <w:rPr>
          <w:rFonts w:hint="eastAsia"/>
        </w:rPr>
        <w:t>decisions</w:t>
      </w:r>
      <w:r w:rsidRPr="006838EC">
        <w:t xml:space="preserve"> of the relevant actors are key to explain</w:t>
      </w:r>
      <w:r w:rsidR="005D14AD">
        <w:t>ing</w:t>
      </w:r>
      <w:r w:rsidRPr="006838EC">
        <w:t xml:space="preserve"> actio</w:t>
      </w:r>
      <w:r>
        <w:t>ns, practices and institutions.</w:t>
      </w:r>
      <w:r>
        <w:rPr>
          <w:rFonts w:hint="eastAsia"/>
        </w:rPr>
        <w:t xml:space="preserve"> </w:t>
      </w:r>
      <w:r w:rsidR="008C7154">
        <w:t xml:space="preserve">The same technique is </w:t>
      </w:r>
      <w:r w:rsidR="003378A8">
        <w:t>employed</w:t>
      </w:r>
      <w:r w:rsidR="008C7154">
        <w:t xml:space="preserve"> here, but in this case looking at Japan. The next two chapters are the case studies themselves, which draw upon the methodology outlined above.</w:t>
      </w:r>
    </w:p>
    <w:p w14:paraId="7E5D5DF5" w14:textId="77777777" w:rsidR="00055D80" w:rsidRDefault="00055D80" w:rsidP="00055D80">
      <w:r>
        <w:br w:type="page"/>
      </w:r>
    </w:p>
    <w:p w14:paraId="5EEA68C1" w14:textId="77777777" w:rsidR="008D0572" w:rsidRPr="00777B43" w:rsidRDefault="008D0572" w:rsidP="008D0572">
      <w:pPr>
        <w:pStyle w:val="Heading1"/>
      </w:pPr>
      <w:bookmarkStart w:id="48" w:name="_Toc349741370"/>
      <w:r w:rsidRPr="00777B43">
        <w:t xml:space="preserve">Chapter 5 </w:t>
      </w:r>
      <w:r w:rsidRPr="00777B43">
        <w:tab/>
        <w:t xml:space="preserve">The Evolving ICT Sector and </w:t>
      </w:r>
      <w:r w:rsidRPr="00777B43">
        <w:rPr>
          <w:rFonts w:hint="eastAsia"/>
        </w:rPr>
        <w:t xml:space="preserve">the </w:t>
      </w:r>
      <w:r w:rsidRPr="00777B43">
        <w:t>Transformed State</w:t>
      </w:r>
      <w:bookmarkEnd w:id="48"/>
    </w:p>
    <w:p w14:paraId="61C18B8E" w14:textId="77777777" w:rsidR="008D0572" w:rsidRPr="001D458E" w:rsidRDefault="008D0572" w:rsidP="008D0572"/>
    <w:p w14:paraId="59139F73" w14:textId="77777777" w:rsidR="008D0572" w:rsidRPr="001D458E" w:rsidRDefault="008D0572" w:rsidP="008D0572"/>
    <w:p w14:paraId="60D8E8F3" w14:textId="77777777" w:rsidR="008D0572" w:rsidRPr="00777B43" w:rsidRDefault="008D0572" w:rsidP="00050D4B">
      <w:pPr>
        <w:pStyle w:val="Heading2"/>
      </w:pPr>
      <w:bookmarkStart w:id="49" w:name="_Toc349741371"/>
      <w:r w:rsidRPr="00777B43">
        <w:t>5.1</w:t>
      </w:r>
      <w:r w:rsidRPr="00777B43">
        <w:tab/>
        <w:t>Introduction</w:t>
      </w:r>
      <w:bookmarkEnd w:id="49"/>
    </w:p>
    <w:p w14:paraId="7C6D9AE0" w14:textId="77777777" w:rsidR="008D0572" w:rsidRPr="001D458E" w:rsidRDefault="008D0572" w:rsidP="008D0572">
      <w:r w:rsidRPr="001D458E">
        <w:t xml:space="preserve">The </w:t>
      </w:r>
      <w:r w:rsidRPr="001D458E">
        <w:rPr>
          <w:rFonts w:hint="eastAsia"/>
        </w:rPr>
        <w:t>mo</w:t>
      </w:r>
      <w:r w:rsidR="005D14AD">
        <w:t>v</w:t>
      </w:r>
      <w:r w:rsidRPr="001D458E">
        <w:rPr>
          <w:rFonts w:hint="eastAsia"/>
        </w:rPr>
        <w:t xml:space="preserve">e to more liberalisation within markets after the 1980s </w:t>
      </w:r>
      <w:r w:rsidRPr="001D458E">
        <w:t xml:space="preserve">offers a significant disjuncture in many economic sectors. In the case of </w:t>
      </w:r>
      <w:r w:rsidR="00965AB7">
        <w:rPr>
          <w:rFonts w:eastAsia="MS Mincho" w:hint="eastAsia"/>
          <w:lang w:eastAsia="ja-JP"/>
        </w:rPr>
        <w:t xml:space="preserve">the </w:t>
      </w:r>
      <w:r w:rsidRPr="001D458E">
        <w:t>ICT</w:t>
      </w:r>
      <w:r w:rsidR="00965AB7">
        <w:rPr>
          <w:rFonts w:eastAsia="MS Mincho" w:hint="eastAsia"/>
          <w:lang w:eastAsia="ja-JP"/>
        </w:rPr>
        <w:t xml:space="preserve"> sector</w:t>
      </w:r>
      <w:r w:rsidRPr="001D458E">
        <w:t xml:space="preserve">, where market liberalisation has </w:t>
      </w:r>
      <w:r w:rsidRPr="001D458E">
        <w:rPr>
          <w:rFonts w:hint="eastAsia"/>
        </w:rPr>
        <w:t>had</w:t>
      </w:r>
      <w:r w:rsidRPr="001D458E">
        <w:t xml:space="preserve"> a significant impact in many countries, liberalisation means a distinctive change from monopoly (often by the state/state corporation) to market driven competition.</w:t>
      </w:r>
    </w:p>
    <w:p w14:paraId="13DB7319" w14:textId="41C4489C" w:rsidR="008D0572" w:rsidRPr="001D458E" w:rsidRDefault="008D0572" w:rsidP="006A0E1E">
      <w:pPr>
        <w:ind w:firstLine="284"/>
      </w:pPr>
      <w:r w:rsidRPr="001D458E">
        <w:rPr>
          <w:rFonts w:hint="eastAsia"/>
        </w:rPr>
        <w:t>The</w:t>
      </w:r>
      <w:r w:rsidRPr="001D458E">
        <w:t xml:space="preserve"> case of Japan’s ICT sector offers a</w:t>
      </w:r>
      <w:r w:rsidR="006E1373">
        <w:t xml:space="preserve"> potentially useful </w:t>
      </w:r>
      <w:r w:rsidRPr="001D458E">
        <w:t>example because of its history of competition in the market dating back to 1985, when the privatisation of a state corporation monopoly had a significant impact over the telecommunications market. The former monopoly company (NTT</w:t>
      </w:r>
      <w:r w:rsidRPr="001D458E">
        <w:rPr>
          <w:rStyle w:val="FootnoteReference"/>
        </w:rPr>
        <w:footnoteReference w:id="41"/>
      </w:r>
      <w:r w:rsidRPr="001D458E">
        <w:t>) has remained dominant in the market, yet this position was challenged by emergent new entrants (NCC</w:t>
      </w:r>
      <w:r w:rsidRPr="001D458E">
        <w:rPr>
          <w:rFonts w:hint="eastAsia"/>
        </w:rPr>
        <w:t>s</w:t>
      </w:r>
      <w:r w:rsidRPr="001D458E">
        <w:t xml:space="preserve">: New Common Carriers). </w:t>
      </w:r>
      <w:r w:rsidRPr="001D458E">
        <w:rPr>
          <w:rFonts w:hint="eastAsia"/>
        </w:rPr>
        <w:t xml:space="preserve">The regulatory functions were </w:t>
      </w:r>
      <w:r w:rsidRPr="001D458E">
        <w:t>not assigned</w:t>
      </w:r>
      <w:r w:rsidRPr="001D458E">
        <w:rPr>
          <w:rFonts w:hint="eastAsia"/>
        </w:rPr>
        <w:t xml:space="preserve"> to a newly created independent regulator but to a government ministry, the MPT</w:t>
      </w:r>
      <w:r w:rsidRPr="001D458E">
        <w:t xml:space="preserve"> (Ministry of Posts and Telecommunications)</w:t>
      </w:r>
      <w:r w:rsidRPr="001D458E">
        <w:rPr>
          <w:rFonts w:hint="eastAsia"/>
        </w:rPr>
        <w:t xml:space="preserve">, which </w:t>
      </w:r>
      <w:r w:rsidRPr="001D458E">
        <w:t>lacked</w:t>
      </w:r>
      <w:r w:rsidRPr="001D458E">
        <w:rPr>
          <w:rFonts w:hint="eastAsia"/>
        </w:rPr>
        <w:t xml:space="preserve"> experience and expertise </w:t>
      </w:r>
      <w:r w:rsidRPr="001D458E">
        <w:t>in</w:t>
      </w:r>
      <w:r w:rsidRPr="001D458E">
        <w:rPr>
          <w:rFonts w:hint="eastAsia"/>
        </w:rPr>
        <w:t xml:space="preserve"> implement</w:t>
      </w:r>
      <w:r w:rsidRPr="001D458E">
        <w:t>ing</w:t>
      </w:r>
      <w:r w:rsidRPr="001D458E">
        <w:rPr>
          <w:rFonts w:hint="eastAsia"/>
        </w:rPr>
        <w:t xml:space="preserve"> this new task </w:t>
      </w:r>
      <w:r w:rsidRPr="001D458E">
        <w:t>at</w:t>
      </w:r>
      <w:r w:rsidRPr="001D458E">
        <w:rPr>
          <w:rFonts w:hint="eastAsia"/>
        </w:rPr>
        <w:t xml:space="preserve"> the early stage</w:t>
      </w:r>
      <w:r w:rsidRPr="001D458E">
        <w:t xml:space="preserve"> (T</w:t>
      </w:r>
      <w:r w:rsidRPr="001D458E">
        <w:rPr>
          <w:rFonts w:hint="eastAsia"/>
        </w:rPr>
        <w:t>s</w:t>
      </w:r>
      <w:r w:rsidRPr="001D458E">
        <w:t>uchiya 2003 p. 77</w:t>
      </w:r>
      <w:r w:rsidRPr="001D458E">
        <w:rPr>
          <w:rFonts w:hint="eastAsia"/>
        </w:rPr>
        <w:t>)</w:t>
      </w:r>
      <w:r w:rsidRPr="001D458E">
        <w:t>.</w:t>
      </w:r>
      <w:r w:rsidRPr="001D458E">
        <w:rPr>
          <w:rFonts w:hint="eastAsia"/>
        </w:rPr>
        <w:t xml:space="preserve"> This chapter analyses t</w:t>
      </w:r>
      <w:r w:rsidRPr="001D458E">
        <w:t xml:space="preserve">he </w:t>
      </w:r>
      <w:r w:rsidR="00BF6EE0">
        <w:t>impact</w:t>
      </w:r>
      <w:r w:rsidRPr="001D458E">
        <w:t xml:space="preserve"> of this liberalisation</w:t>
      </w:r>
      <w:r w:rsidRPr="001D458E">
        <w:rPr>
          <w:rFonts w:hint="eastAsia"/>
        </w:rPr>
        <w:t xml:space="preserve">, which is </w:t>
      </w:r>
      <w:r w:rsidRPr="001D458E">
        <w:t>a complicated process of transformation</w:t>
      </w:r>
      <w:r w:rsidRPr="001D458E">
        <w:rPr>
          <w:rFonts w:hint="eastAsia"/>
        </w:rPr>
        <w:t xml:space="preserve"> in Japan</w:t>
      </w:r>
      <w:r w:rsidRPr="001D458E">
        <w:t>’</w:t>
      </w:r>
      <w:r w:rsidRPr="001D458E">
        <w:rPr>
          <w:rFonts w:hint="eastAsia"/>
        </w:rPr>
        <w:t>s ICT sector, referring to the power and role of party politicians including those in the LDP (Liberal Democratic Party)</w:t>
      </w:r>
      <w:r w:rsidRPr="001D458E">
        <w:t xml:space="preserve"> outside the Cabinet</w:t>
      </w:r>
      <w:r w:rsidRPr="001D458E">
        <w:rPr>
          <w:rFonts w:hint="eastAsia"/>
        </w:rPr>
        <w:t xml:space="preserve"> and Cabinet Ministers, </w:t>
      </w:r>
      <w:r w:rsidRPr="001D458E">
        <w:t>civil servants</w:t>
      </w:r>
      <w:r w:rsidRPr="001D458E">
        <w:rPr>
          <w:rFonts w:hint="eastAsia"/>
        </w:rPr>
        <w:t xml:space="preserve"> in the </w:t>
      </w:r>
      <w:r w:rsidRPr="001D458E">
        <w:t>MPT/MIC</w:t>
      </w:r>
      <w:r w:rsidRPr="001D458E">
        <w:rPr>
          <w:rStyle w:val="FootnoteReference"/>
        </w:rPr>
        <w:footnoteReference w:id="42"/>
      </w:r>
      <w:r w:rsidRPr="001D458E">
        <w:rPr>
          <w:rFonts w:hint="eastAsia"/>
        </w:rPr>
        <w:t xml:space="preserve"> responsible for regulation in </w:t>
      </w:r>
      <w:r w:rsidR="005D14AD">
        <w:t xml:space="preserve">the </w:t>
      </w:r>
      <w:r w:rsidRPr="001D458E">
        <w:rPr>
          <w:rFonts w:hint="eastAsia"/>
        </w:rPr>
        <w:t>ICT sector</w:t>
      </w:r>
      <w:r w:rsidRPr="001D458E">
        <w:t xml:space="preserve">, and </w:t>
      </w:r>
      <w:r w:rsidRPr="001D458E">
        <w:rPr>
          <w:rFonts w:hint="eastAsia"/>
        </w:rPr>
        <w:t xml:space="preserve">the NTT as the </w:t>
      </w:r>
      <w:r w:rsidRPr="001D458E">
        <w:t xml:space="preserve">strong </w:t>
      </w:r>
      <w:r w:rsidRPr="001D458E">
        <w:rPr>
          <w:rFonts w:hint="eastAsia"/>
        </w:rPr>
        <w:t xml:space="preserve">former monopoly </w:t>
      </w:r>
      <w:r w:rsidRPr="001D458E">
        <w:t>incumbent</w:t>
      </w:r>
      <w:r w:rsidRPr="001D458E">
        <w:rPr>
          <w:rFonts w:hint="eastAsia"/>
        </w:rPr>
        <w:t xml:space="preserve"> carrier.</w:t>
      </w:r>
    </w:p>
    <w:p w14:paraId="64DB32F6" w14:textId="22224FBE" w:rsidR="008D0572" w:rsidRPr="001D458E" w:rsidRDefault="008D0572" w:rsidP="008D0572">
      <w:pPr>
        <w:ind w:firstLine="284"/>
      </w:pPr>
      <w:r w:rsidRPr="001D458E">
        <w:rPr>
          <w:rFonts w:hint="eastAsia"/>
        </w:rPr>
        <w:t>After the 1980s Japan</w:t>
      </w:r>
      <w:r w:rsidRPr="001D458E">
        <w:t>’</w:t>
      </w:r>
      <w:r w:rsidRPr="001D458E">
        <w:rPr>
          <w:rFonts w:hint="eastAsia"/>
        </w:rPr>
        <w:t>s</w:t>
      </w:r>
      <w:r w:rsidRPr="001D458E">
        <w:t xml:space="preserve"> ICT sector saw significant disjuncture</w:t>
      </w:r>
      <w:r w:rsidR="00464926">
        <w:rPr>
          <w:rFonts w:hint="eastAsia"/>
          <w:lang w:eastAsia="ja-JP"/>
        </w:rPr>
        <w:t>s</w:t>
      </w:r>
      <w:r w:rsidRPr="001D458E">
        <w:t xml:space="preserve"> </w:t>
      </w:r>
      <w:r w:rsidRPr="001D458E">
        <w:rPr>
          <w:rFonts w:hint="eastAsia"/>
        </w:rPr>
        <w:t>including</w:t>
      </w:r>
      <w:r w:rsidRPr="001D458E">
        <w:t xml:space="preserve"> liberalisation and government change, which </w:t>
      </w:r>
      <w:r w:rsidRPr="001D458E">
        <w:rPr>
          <w:rFonts w:hint="eastAsia"/>
        </w:rPr>
        <w:t xml:space="preserve">resulted in </w:t>
      </w:r>
      <w:r w:rsidRPr="001D458E">
        <w:t>challenges to the core executive of the sector. Exploring this sector offer</w:t>
      </w:r>
      <w:r w:rsidRPr="001D458E">
        <w:rPr>
          <w:rFonts w:hint="eastAsia"/>
        </w:rPr>
        <w:t>s</w:t>
      </w:r>
      <w:r w:rsidRPr="001D458E">
        <w:t xml:space="preserve"> a case study in which the core executive has pursued its regulatory policies to respond to such challenges. The evolutionary process of the core executive </w:t>
      </w:r>
      <w:r w:rsidR="006E1373">
        <w:t>in the ICT sector is the issue</w:t>
      </w:r>
      <w:r w:rsidRPr="001D458E">
        <w:t xml:space="preserve"> this chapter explores with the following proposition set out in Chapter 4</w:t>
      </w:r>
      <w:r w:rsidR="00BF6EE0">
        <w:t>:</w:t>
      </w:r>
      <w:r w:rsidRPr="001D458E">
        <w:t xml:space="preserve"> ‘</w:t>
      </w:r>
      <w:r w:rsidR="0053678A" w:rsidRPr="00FB6BE4">
        <w:t xml:space="preserve">During the era of Liberal Democratic Party (LDP) </w:t>
      </w:r>
      <w:r w:rsidR="0053678A">
        <w:rPr>
          <w:rFonts w:hint="eastAsia"/>
        </w:rPr>
        <w:t>g</w:t>
      </w:r>
      <w:r w:rsidR="0053678A" w:rsidRPr="00FB6BE4">
        <w:t xml:space="preserve">overnment, the core executive pursued discretional regulation within inner regulatory policy communities as a strategy to sustain its position of asymmetric dominance over </w:t>
      </w:r>
      <w:r w:rsidR="0053678A">
        <w:t xml:space="preserve">actors within </w:t>
      </w:r>
      <w:r w:rsidR="0053678A" w:rsidRPr="00FB6BE4">
        <w:t>key policy sectors</w:t>
      </w:r>
      <w:r w:rsidR="0053678A">
        <w:rPr>
          <w:rFonts w:hint="eastAsia"/>
        </w:rPr>
        <w:t xml:space="preserve">, with their actions shaped by a </w:t>
      </w:r>
      <w:r w:rsidR="0053678A">
        <w:t>particular</w:t>
      </w:r>
      <w:r w:rsidR="0053678A">
        <w:rPr>
          <w:rFonts w:hint="eastAsia"/>
        </w:rPr>
        <w:t xml:space="preserve"> set of structures</w:t>
      </w:r>
      <w:r w:rsidRPr="001D458E">
        <w:t xml:space="preserve">’. This proposition is explored through </w:t>
      </w:r>
      <w:r w:rsidR="0053678A">
        <w:rPr>
          <w:rFonts w:eastAsia="MS Mincho" w:hint="eastAsia"/>
          <w:lang w:eastAsia="ja-JP"/>
        </w:rPr>
        <w:t xml:space="preserve">the following </w:t>
      </w:r>
      <w:r w:rsidRPr="001D458E">
        <w:t>four research questions.</w:t>
      </w:r>
    </w:p>
    <w:p w14:paraId="483F0000" w14:textId="77777777" w:rsidR="008D0572" w:rsidRPr="001D458E" w:rsidRDefault="008D0572" w:rsidP="005B18BE">
      <w:pPr>
        <w:pStyle w:val="ListParagraph"/>
        <w:numPr>
          <w:ilvl w:val="0"/>
          <w:numId w:val="93"/>
        </w:numPr>
        <w:ind w:left="284" w:hanging="284"/>
      </w:pPr>
      <w:r w:rsidRPr="001D458E">
        <w:t>The</w:t>
      </w:r>
      <w:r w:rsidRPr="001D458E">
        <w:rPr>
          <w:rFonts w:hint="eastAsia"/>
        </w:rPr>
        <w:t xml:space="preserve"> first research question</w:t>
      </w:r>
      <w:r w:rsidRPr="001D458E">
        <w:t xml:space="preserve"> is:</w:t>
      </w:r>
      <w:r w:rsidRPr="001D458E">
        <w:rPr>
          <w:rFonts w:hint="eastAsia"/>
        </w:rPr>
        <w:t xml:space="preserve"> </w:t>
      </w:r>
      <w:r w:rsidRPr="001D458E">
        <w:t>‘</w:t>
      </w:r>
      <w:r w:rsidR="0015452E">
        <w:t>How has Japan</w:t>
      </w:r>
      <w:r w:rsidR="00B01038">
        <w:t>’</w:t>
      </w:r>
      <w:r w:rsidR="00B01038">
        <w:rPr>
          <w:rFonts w:hint="eastAsia"/>
        </w:rPr>
        <w:t>s</w:t>
      </w:r>
      <w:r w:rsidR="0015452E">
        <w:t xml:space="preserve"> regulatory framework evolved over the last three decades</w:t>
      </w:r>
      <w:r w:rsidRPr="001D458E">
        <w:t xml:space="preserve">?’ </w:t>
      </w:r>
      <w:r w:rsidRPr="001D458E">
        <w:rPr>
          <w:rFonts w:hint="eastAsia"/>
        </w:rPr>
        <w:t xml:space="preserve">It aims to reveal the development process of </w:t>
      </w:r>
      <w:r w:rsidR="00525CDC">
        <w:rPr>
          <w:rFonts w:hint="eastAsia"/>
        </w:rPr>
        <w:t>the</w:t>
      </w:r>
      <w:r w:rsidRPr="001D458E">
        <w:rPr>
          <w:rFonts w:hint="eastAsia"/>
        </w:rPr>
        <w:t xml:space="preserve"> regulatory framework. Understanding how the regulatory framework has been developed </w:t>
      </w:r>
      <w:r w:rsidRPr="001D458E">
        <w:t xml:space="preserve">shapes the </w:t>
      </w:r>
      <w:r w:rsidRPr="001D458E">
        <w:rPr>
          <w:rFonts w:hint="eastAsia"/>
        </w:rPr>
        <w:t xml:space="preserve">basis on which the following research </w:t>
      </w:r>
      <w:r w:rsidRPr="001D458E">
        <w:t>questions</w:t>
      </w:r>
      <w:r w:rsidRPr="001D458E">
        <w:rPr>
          <w:rFonts w:hint="eastAsia"/>
        </w:rPr>
        <w:t xml:space="preserve"> establish their analysis on specific issues.</w:t>
      </w:r>
    </w:p>
    <w:p w14:paraId="33EFEAC6" w14:textId="77777777" w:rsidR="008D0572" w:rsidRPr="001D458E" w:rsidRDefault="008D0572" w:rsidP="005B18BE">
      <w:pPr>
        <w:pStyle w:val="ListParagraph"/>
        <w:numPr>
          <w:ilvl w:val="0"/>
          <w:numId w:val="94"/>
        </w:numPr>
        <w:ind w:left="284" w:hanging="284"/>
      </w:pPr>
      <w:r w:rsidRPr="001D458E">
        <w:t>The second research question is: ‘</w:t>
      </w:r>
      <w:r w:rsidR="008D7C5C">
        <w:rPr>
          <w:rFonts w:hint="eastAsia"/>
        </w:rPr>
        <w:t>H</w:t>
      </w:r>
      <w:r w:rsidRPr="001D458E">
        <w:t>ow ha</w:t>
      </w:r>
      <w:r w:rsidR="00BD653F">
        <w:rPr>
          <w:rFonts w:hint="eastAsia"/>
        </w:rPr>
        <w:t>s</w:t>
      </w:r>
      <w:r w:rsidRPr="001D458E">
        <w:t xml:space="preserve"> </w:t>
      </w:r>
      <w:r w:rsidR="00BD653F">
        <w:rPr>
          <w:rFonts w:hint="eastAsia"/>
        </w:rPr>
        <w:t>the core executive</w:t>
      </w:r>
      <w:r w:rsidRPr="001D458E">
        <w:t xml:space="preserve"> been successful in imposing their will on regulation?’ This focuses</w:t>
      </w:r>
      <w:r w:rsidRPr="001D458E">
        <w:rPr>
          <w:rFonts w:hint="eastAsia"/>
        </w:rPr>
        <w:t xml:space="preserve"> on </w:t>
      </w:r>
      <w:r w:rsidR="0053678A">
        <w:rPr>
          <w:rFonts w:eastAsia="MS Mincho" w:hint="eastAsia"/>
        </w:rPr>
        <w:t>power relations</w:t>
      </w:r>
      <w:r w:rsidRPr="001D458E">
        <w:t xml:space="preserve"> </w:t>
      </w:r>
      <w:r w:rsidRPr="001D458E">
        <w:rPr>
          <w:rFonts w:hint="eastAsia"/>
        </w:rPr>
        <w:t>within the core executive</w:t>
      </w:r>
      <w:r w:rsidRPr="001D458E">
        <w:t>. Party politicians have been key in the decision making process</w:t>
      </w:r>
      <w:r w:rsidR="0053678A">
        <w:rPr>
          <w:rFonts w:eastAsia="MS Mincho" w:hint="eastAsia"/>
        </w:rPr>
        <w:t xml:space="preserve"> within the core executive</w:t>
      </w:r>
      <w:r w:rsidRPr="001D458E">
        <w:t xml:space="preserve">. How the role and power have changed </w:t>
      </w:r>
      <w:r w:rsidR="0053678A">
        <w:rPr>
          <w:rFonts w:eastAsia="MS Mincho" w:hint="eastAsia"/>
        </w:rPr>
        <w:t xml:space="preserve">within the group of party politicians and </w:t>
      </w:r>
      <w:r w:rsidRPr="001D458E">
        <w:t>vis-à-vis civil servants within the core executive is analysed by this chapter. Two core issues emerge in the analysis: firstly, the relationship between Cabinet Ministers and party politicians outside the Cabinet including those in the ruling party. The significance of this issue stems from the understanding that the latter (sometimes referred to as ‘</w:t>
      </w:r>
      <w:r w:rsidRPr="0053678A">
        <w:rPr>
          <w:i/>
          <w:iCs/>
        </w:rPr>
        <w:t>Zoku Gi’in</w:t>
      </w:r>
      <w:r w:rsidRPr="001D458E">
        <w:rPr>
          <w:rStyle w:val="FootnoteReference"/>
          <w:i/>
          <w:iCs/>
        </w:rPr>
        <w:footnoteReference w:id="43"/>
      </w:r>
      <w:r w:rsidRPr="001D458E">
        <w:t>’) had widely recognised power over the policy making process (e.g. Inoguchi and Iwai 1987, I’io 2007 pp.94-7, Tsuchiya 2003 p.73-4); and secondly, the partisan confrontation between the LDP and the DPJ (Democratic Party of Japan). With the change in government at the 2009 general election, this confrontation could render a significant impact on the relationship between party politicians including Cabinet Ministers and civil servants. Th</w:t>
      </w:r>
      <w:r w:rsidRPr="001D458E">
        <w:rPr>
          <w:rFonts w:hint="eastAsia"/>
        </w:rPr>
        <w:t>e second</w:t>
      </w:r>
      <w:r w:rsidRPr="001D458E">
        <w:t xml:space="preserve"> </w:t>
      </w:r>
      <w:r w:rsidRPr="001D458E">
        <w:rPr>
          <w:rFonts w:hint="eastAsia"/>
        </w:rPr>
        <w:t xml:space="preserve">research question in this </w:t>
      </w:r>
      <w:r w:rsidRPr="001D458E">
        <w:t xml:space="preserve">chapter explores how the core executive in the ICT sector has transformed its internal relationships by exploring these core relationships between key </w:t>
      </w:r>
      <w:r w:rsidR="00671A1B">
        <w:rPr>
          <w:rFonts w:hint="eastAsia"/>
        </w:rPr>
        <w:t>core executive</w:t>
      </w:r>
      <w:r w:rsidRPr="001D458E">
        <w:t xml:space="preserve"> actors (i.e. Cabinet Ministers, party politicians outside the Cabinet, and civil servants) after telecommunications liberalisation in </w:t>
      </w:r>
      <w:r w:rsidRPr="001D458E">
        <w:rPr>
          <w:rFonts w:hint="eastAsia"/>
        </w:rPr>
        <w:t>1985</w:t>
      </w:r>
      <w:r w:rsidRPr="001D458E">
        <w:t>.</w:t>
      </w:r>
    </w:p>
    <w:p w14:paraId="160E818D" w14:textId="70BF3A4F" w:rsidR="008D0572" w:rsidRPr="001D458E" w:rsidRDefault="008D0572" w:rsidP="005B18BE">
      <w:pPr>
        <w:pStyle w:val="ListParagraph"/>
        <w:numPr>
          <w:ilvl w:val="0"/>
          <w:numId w:val="95"/>
        </w:numPr>
        <w:ind w:left="284" w:hanging="284"/>
      </w:pPr>
      <w:r w:rsidRPr="001D458E">
        <w:t xml:space="preserve">The impact of the relationships between state actors on issues such as regulatory institutions and policies exemplifies the outcomes of state transformation. The third research question ‘how have Japan’s ministries shaped </w:t>
      </w:r>
      <w:r w:rsidR="00C344A5">
        <w:t>the</w:t>
      </w:r>
      <w:r w:rsidRPr="001D458E">
        <w:t xml:space="preserve"> organisational design of regulatory functions?’ highlights this impact by focusing on an example: </w:t>
      </w:r>
      <w:r w:rsidRPr="001D458E">
        <w:rPr>
          <w:rFonts w:hint="eastAsia"/>
        </w:rPr>
        <w:t>the</w:t>
      </w:r>
      <w:r w:rsidRPr="001D458E">
        <w:t xml:space="preserve"> ICT regulator. Japan offers a</w:t>
      </w:r>
      <w:r w:rsidR="001F0520">
        <w:t>n</w:t>
      </w:r>
      <w:r w:rsidRPr="001D458E">
        <w:t xml:space="preserve"> </w:t>
      </w:r>
      <w:r w:rsidR="001F0520">
        <w:t>unusual</w:t>
      </w:r>
      <w:r w:rsidRPr="001D458E">
        <w:t xml:space="preserve"> example in which only a limited number of independent regulators have been established. This reflects the tradition of Japanese politics as well as a path dependent history. The analysis of this characteristic reveals how </w:t>
      </w:r>
      <w:r w:rsidRPr="001D458E">
        <w:rPr>
          <w:rFonts w:hint="eastAsia"/>
        </w:rPr>
        <w:t>the core executive has shaped its perspectives on the independence of the ICT regulator with their political tradition</w:t>
      </w:r>
      <w:r w:rsidRPr="001D458E">
        <w:t>.</w:t>
      </w:r>
    </w:p>
    <w:p w14:paraId="458CCCF9" w14:textId="77777777" w:rsidR="008D0572" w:rsidRPr="001D458E" w:rsidRDefault="008D0572" w:rsidP="005B18BE">
      <w:pPr>
        <w:pStyle w:val="ListParagraph"/>
        <w:numPr>
          <w:ilvl w:val="0"/>
          <w:numId w:val="96"/>
        </w:numPr>
        <w:ind w:left="284" w:hanging="284"/>
      </w:pPr>
      <w:r w:rsidRPr="001D458E">
        <w:rPr>
          <w:rFonts w:hint="eastAsia"/>
        </w:rPr>
        <w:t>W</w:t>
      </w:r>
      <w:r w:rsidRPr="001D458E">
        <w:t>h</w:t>
      </w:r>
      <w:r w:rsidRPr="001D458E">
        <w:rPr>
          <w:rFonts w:hint="eastAsia"/>
        </w:rPr>
        <w:t xml:space="preserve">ether or not </w:t>
      </w:r>
      <w:r w:rsidRPr="001D458E">
        <w:t>state transformation</w:t>
      </w:r>
      <w:r w:rsidRPr="001D458E">
        <w:rPr>
          <w:rFonts w:hint="eastAsia"/>
        </w:rPr>
        <w:t xml:space="preserve"> affects the regulatory capacity of the state (state actors) </w:t>
      </w:r>
      <w:r w:rsidRPr="001D458E">
        <w:t>is</w:t>
      </w:r>
      <w:r w:rsidRPr="001D458E">
        <w:rPr>
          <w:rFonts w:hint="eastAsia"/>
        </w:rPr>
        <w:t xml:space="preserve"> examined by the fourth research question: </w:t>
      </w:r>
      <w:r w:rsidRPr="001D458E">
        <w:t xml:space="preserve">‘how has </w:t>
      </w:r>
      <w:r w:rsidR="00104140">
        <w:rPr>
          <w:rFonts w:hint="eastAsia"/>
        </w:rPr>
        <w:t xml:space="preserve">the </w:t>
      </w:r>
      <w:r w:rsidRPr="001D458E">
        <w:t>state’s regulatory capacity changed?’</w:t>
      </w:r>
      <w:r w:rsidRPr="001D458E">
        <w:rPr>
          <w:rFonts w:hint="eastAsia"/>
        </w:rPr>
        <w:t xml:space="preserve"> This question examines the impact of state transformation and changing power relations within the core executive on state power in ICT regulation.</w:t>
      </w:r>
    </w:p>
    <w:p w14:paraId="45A042A0" w14:textId="77777777" w:rsidR="0053678A" w:rsidRDefault="0053678A" w:rsidP="008D0572">
      <w:pPr>
        <w:ind w:firstLine="284"/>
        <w:rPr>
          <w:rFonts w:eastAsia="MS Mincho"/>
          <w:lang w:eastAsia="ja-JP"/>
        </w:rPr>
      </w:pPr>
    </w:p>
    <w:p w14:paraId="3028C99F" w14:textId="77777777" w:rsidR="0017015C" w:rsidRPr="001D458E" w:rsidRDefault="008D0572" w:rsidP="008D0572">
      <w:pPr>
        <w:ind w:firstLine="284"/>
        <w:rPr>
          <w:lang w:eastAsia="ja-JP"/>
        </w:rPr>
      </w:pPr>
      <w:r w:rsidRPr="001D458E">
        <w:rPr>
          <w:rFonts w:hint="eastAsia"/>
        </w:rPr>
        <w:t xml:space="preserve">This chapter is comprised </w:t>
      </w:r>
      <w:r w:rsidR="00A47F34">
        <w:t>of</w:t>
      </w:r>
      <w:r w:rsidRPr="001D458E">
        <w:rPr>
          <w:rFonts w:hint="eastAsia"/>
        </w:rPr>
        <w:t xml:space="preserve"> the following sections. The </w:t>
      </w:r>
      <w:r w:rsidR="008C7154">
        <w:t>next</w:t>
      </w:r>
      <w:r w:rsidR="008C7154" w:rsidRPr="001D458E">
        <w:rPr>
          <w:rFonts w:hint="eastAsia"/>
        </w:rPr>
        <w:t xml:space="preserve"> </w:t>
      </w:r>
      <w:r w:rsidRPr="001D458E">
        <w:rPr>
          <w:rFonts w:hint="eastAsia"/>
        </w:rPr>
        <w:t xml:space="preserve">section </w:t>
      </w:r>
      <w:r w:rsidRPr="001D458E">
        <w:t xml:space="preserve">reviews </w:t>
      </w:r>
      <w:r w:rsidRPr="001D458E">
        <w:rPr>
          <w:rFonts w:hint="eastAsia"/>
        </w:rPr>
        <w:t>the development of Japan</w:t>
      </w:r>
      <w:r w:rsidRPr="001D458E">
        <w:t>’</w:t>
      </w:r>
      <w:r w:rsidRPr="001D458E">
        <w:rPr>
          <w:rFonts w:hint="eastAsia"/>
        </w:rPr>
        <w:t>s ICT sector between the 1980s and 2000s,</w:t>
      </w:r>
      <w:r w:rsidRPr="001D458E">
        <w:t xml:space="preserve"> starting </w:t>
      </w:r>
      <w:r w:rsidRPr="001D458E">
        <w:rPr>
          <w:rFonts w:hint="eastAsia"/>
        </w:rPr>
        <w:t xml:space="preserve">from telecommunications liberalisation in 1985, which was an early </w:t>
      </w:r>
      <w:r w:rsidRPr="001D458E">
        <w:t>example</w:t>
      </w:r>
      <w:r w:rsidRPr="001D458E">
        <w:rPr>
          <w:rFonts w:hint="eastAsia"/>
        </w:rPr>
        <w:t xml:space="preserve"> of </w:t>
      </w:r>
      <w:r w:rsidRPr="001D458E">
        <w:t xml:space="preserve">a </w:t>
      </w:r>
      <w:r w:rsidRPr="001D458E">
        <w:rPr>
          <w:rFonts w:hint="eastAsia"/>
        </w:rPr>
        <w:t>telecommunications reform</w:t>
      </w:r>
      <w:r w:rsidRPr="001D458E">
        <w:t xml:space="preserve">, alongside </w:t>
      </w:r>
      <w:r w:rsidRPr="001D458E">
        <w:rPr>
          <w:rFonts w:hint="eastAsia"/>
        </w:rPr>
        <w:t>the US and the UK</w:t>
      </w:r>
      <w:r w:rsidRPr="001D458E">
        <w:rPr>
          <w:rStyle w:val="FootnoteReference"/>
        </w:rPr>
        <w:footnoteReference w:id="44"/>
      </w:r>
      <w:r w:rsidRPr="001D458E">
        <w:rPr>
          <w:rFonts w:hint="eastAsia"/>
        </w:rPr>
        <w:t>.</w:t>
      </w:r>
      <w:r w:rsidRPr="001D458E">
        <w:t xml:space="preserve"> This review is followed by an exploration of the relationship between party politicians and civil servants. This reveals how power relations have changed among core executive actors.</w:t>
      </w:r>
      <w:r w:rsidRPr="001D458E">
        <w:rPr>
          <w:rFonts w:hint="eastAsia"/>
        </w:rPr>
        <w:t xml:space="preserve"> </w:t>
      </w:r>
      <w:r w:rsidRPr="001D458E">
        <w:t>In</w:t>
      </w:r>
      <w:r w:rsidRPr="001D458E">
        <w:rPr>
          <w:rFonts w:hint="eastAsia"/>
        </w:rPr>
        <w:t xml:space="preserve"> the fourth section </w:t>
      </w:r>
      <w:r w:rsidRPr="001D458E">
        <w:t>the</w:t>
      </w:r>
      <w:r w:rsidRPr="001D458E">
        <w:rPr>
          <w:rFonts w:hint="eastAsia"/>
        </w:rPr>
        <w:t xml:space="preserve"> impact of state transformation is considered through the institutional characteristic of the ICT regulator: a lack of an independent regulator.</w:t>
      </w:r>
      <w:r w:rsidRPr="001D458E">
        <w:t xml:space="preserve"> T</w:t>
      </w:r>
      <w:r w:rsidRPr="001D458E">
        <w:rPr>
          <w:rFonts w:hint="eastAsia"/>
        </w:rPr>
        <w:t>his section reveals how this characteristic has been shaped. The fifth section looks into the capacity of the state in the ICT sector and depicts how the transformation has changed state capacity.</w:t>
      </w:r>
    </w:p>
    <w:p w14:paraId="27CB95E8" w14:textId="77777777" w:rsidR="008D0572" w:rsidRPr="001D458E" w:rsidRDefault="008D0572" w:rsidP="008D0572">
      <w:pPr>
        <w:ind w:firstLine="284"/>
        <w:rPr>
          <w:lang w:eastAsia="ja-JP"/>
        </w:rPr>
      </w:pPr>
      <w:r w:rsidRPr="001D458E">
        <w:rPr>
          <w:rFonts w:hint="eastAsia"/>
        </w:rPr>
        <w:t xml:space="preserve">Throughout the chapter, this thesis analyses how ICT </w:t>
      </w:r>
      <w:r w:rsidR="00B60F9B">
        <w:rPr>
          <w:rFonts w:hint="eastAsia"/>
          <w:lang w:eastAsia="ja-JP"/>
        </w:rPr>
        <w:t>regulation</w:t>
      </w:r>
      <w:r w:rsidRPr="001D458E">
        <w:rPr>
          <w:rFonts w:hint="eastAsia"/>
        </w:rPr>
        <w:t xml:space="preserve"> has responded to the </w:t>
      </w:r>
      <w:r w:rsidRPr="001D458E">
        <w:t>transformation</w:t>
      </w:r>
      <w:r w:rsidRPr="001D458E">
        <w:rPr>
          <w:rFonts w:hint="eastAsia"/>
        </w:rPr>
        <w:t xml:space="preserve"> of the Japanese state.</w:t>
      </w:r>
    </w:p>
    <w:p w14:paraId="4842A126" w14:textId="77777777" w:rsidR="008D0572" w:rsidRPr="001D458E" w:rsidRDefault="008D0572" w:rsidP="008D0572">
      <w:pPr>
        <w:ind w:firstLine="284"/>
        <w:rPr>
          <w:b/>
          <w:bCs/>
        </w:rPr>
      </w:pPr>
    </w:p>
    <w:p w14:paraId="3F2D0DAA" w14:textId="77777777" w:rsidR="008D0572" w:rsidRPr="001D458E" w:rsidRDefault="008D0572" w:rsidP="008D0572">
      <w:pPr>
        <w:ind w:firstLine="284"/>
        <w:rPr>
          <w:b/>
          <w:bCs/>
        </w:rPr>
      </w:pPr>
    </w:p>
    <w:p w14:paraId="3E720AF3" w14:textId="77777777" w:rsidR="008D0572" w:rsidRPr="001D458E" w:rsidRDefault="008D0572" w:rsidP="00050D4B">
      <w:pPr>
        <w:pStyle w:val="Heading2"/>
      </w:pPr>
      <w:bookmarkStart w:id="50" w:name="_Toc349741372"/>
      <w:r w:rsidRPr="001D458E">
        <w:t>5.2</w:t>
      </w:r>
      <w:r w:rsidRPr="001D458E">
        <w:tab/>
        <w:t xml:space="preserve">The </w:t>
      </w:r>
      <w:r>
        <w:rPr>
          <w:rFonts w:eastAsiaTheme="minorEastAsia" w:hint="eastAsia"/>
          <w:lang w:eastAsia="ja-JP"/>
        </w:rPr>
        <w:t>d</w:t>
      </w:r>
      <w:r w:rsidRPr="001D458E">
        <w:t xml:space="preserve">evelopment of Japan’s ICT </w:t>
      </w:r>
      <w:r>
        <w:rPr>
          <w:rFonts w:eastAsiaTheme="minorEastAsia" w:hint="eastAsia"/>
          <w:lang w:eastAsia="ja-JP"/>
        </w:rPr>
        <w:t>s</w:t>
      </w:r>
      <w:r w:rsidRPr="001D458E">
        <w:t xml:space="preserve">ector and the </w:t>
      </w:r>
      <w:r>
        <w:rPr>
          <w:rFonts w:eastAsiaTheme="minorEastAsia" w:hint="eastAsia"/>
          <w:lang w:eastAsia="ja-JP"/>
        </w:rPr>
        <w:t>i</w:t>
      </w:r>
      <w:r w:rsidRPr="001D458E">
        <w:t xml:space="preserve">nvolvement of </w:t>
      </w:r>
      <w:r w:rsidRPr="001D458E">
        <w:rPr>
          <w:rFonts w:hint="eastAsia"/>
        </w:rPr>
        <w:t xml:space="preserve">the </w:t>
      </w:r>
      <w:r>
        <w:rPr>
          <w:rFonts w:eastAsiaTheme="minorEastAsia" w:hint="eastAsia"/>
          <w:lang w:eastAsia="ja-JP"/>
        </w:rPr>
        <w:t>c</w:t>
      </w:r>
      <w:r w:rsidRPr="001D458E">
        <w:t xml:space="preserve">ore </w:t>
      </w:r>
      <w:r>
        <w:rPr>
          <w:rFonts w:eastAsiaTheme="minorEastAsia" w:hint="eastAsia"/>
          <w:lang w:eastAsia="ja-JP"/>
        </w:rPr>
        <w:t>e</w:t>
      </w:r>
      <w:r w:rsidRPr="001D458E">
        <w:t>xecutive</w:t>
      </w:r>
      <w:bookmarkEnd w:id="50"/>
    </w:p>
    <w:p w14:paraId="381ADE1A" w14:textId="37B011BF" w:rsidR="008D0572" w:rsidRDefault="008D0572" w:rsidP="005F4EDC">
      <w:r w:rsidRPr="001D458E">
        <w:t xml:space="preserve">Japan’s ICT sector </w:t>
      </w:r>
      <w:r w:rsidRPr="001D458E">
        <w:rPr>
          <w:rFonts w:hint="eastAsia"/>
        </w:rPr>
        <w:t>can be categorised as having undergone three key phases</w:t>
      </w:r>
      <w:r w:rsidRPr="001D458E">
        <w:t xml:space="preserve"> between the 1980s and 2000s: </w:t>
      </w:r>
      <w:r w:rsidR="005F4EDC">
        <w:t>privatising</w:t>
      </w:r>
      <w:r w:rsidRPr="001D458E">
        <w:t xml:space="preserve"> </w:t>
      </w:r>
      <w:r w:rsidR="0002256B">
        <w:t xml:space="preserve">the </w:t>
      </w:r>
      <w:r w:rsidRPr="001D458E">
        <w:rPr>
          <w:rFonts w:hint="eastAsia"/>
        </w:rPr>
        <w:t>state corporation</w:t>
      </w:r>
      <w:r w:rsidRPr="001D458E">
        <w:t>, NTT</w:t>
      </w:r>
      <w:r w:rsidRPr="001D458E">
        <w:rPr>
          <w:rFonts w:hint="eastAsia"/>
        </w:rPr>
        <w:t>,</w:t>
      </w:r>
      <w:r w:rsidRPr="001D458E">
        <w:t xml:space="preserve"> in 1985, </w:t>
      </w:r>
      <w:r w:rsidR="005F4EDC">
        <w:t>reorganising</w:t>
      </w:r>
      <w:r w:rsidRPr="001D458E">
        <w:t xml:space="preserve"> the NTT in 1999, and the transformation of the regulatory approach from those of ex ante to ex post</w:t>
      </w:r>
      <w:r w:rsidRPr="001D458E">
        <w:rPr>
          <w:rStyle w:val="FootnoteReference"/>
        </w:rPr>
        <w:footnoteReference w:id="45"/>
      </w:r>
      <w:r w:rsidRPr="001D458E">
        <w:rPr>
          <w:rFonts w:hint="eastAsia"/>
        </w:rPr>
        <w:t xml:space="preserve"> </w:t>
      </w:r>
      <w:r w:rsidR="00A47F34">
        <w:t xml:space="preserve">that </w:t>
      </w:r>
      <w:r w:rsidRPr="001D458E">
        <w:rPr>
          <w:rFonts w:hint="eastAsia"/>
        </w:rPr>
        <w:t>gradually emerged in the 1990s and 2000s</w:t>
      </w:r>
      <w:r w:rsidRPr="001D458E">
        <w:t xml:space="preserve">. </w:t>
      </w:r>
      <w:r w:rsidRPr="001D458E">
        <w:rPr>
          <w:rFonts w:hint="eastAsia"/>
        </w:rPr>
        <w:t>T</w:t>
      </w:r>
      <w:r w:rsidRPr="001D458E">
        <w:t>h</w:t>
      </w:r>
      <w:r w:rsidRPr="001D458E">
        <w:rPr>
          <w:rFonts w:hint="eastAsia"/>
        </w:rPr>
        <w:t>ese junctures have dismantled the previous regime of state corporation monopoly</w:t>
      </w:r>
      <w:r w:rsidR="006278DF">
        <w:t xml:space="preserve"> (Figure 5.1 reveals the timeline of Japan’s ICT regulation after the 1980s)</w:t>
      </w:r>
      <w:r w:rsidRPr="001D458E">
        <w:rPr>
          <w:rFonts w:hint="eastAsia"/>
        </w:rPr>
        <w:t>.</w:t>
      </w:r>
    </w:p>
    <w:p w14:paraId="79C74C68" w14:textId="77777777" w:rsidR="006278DF" w:rsidRDefault="006278DF" w:rsidP="006278DF"/>
    <w:p w14:paraId="6DCB1E20" w14:textId="77777777" w:rsidR="006278DF" w:rsidRDefault="006278DF" w:rsidP="006278DF">
      <w:pPr>
        <w:pStyle w:val="Heading4"/>
      </w:pPr>
      <w:r>
        <w:t>Figure 5.1: The timeline of the development of Japan’s ICT regulation after the 1980s</w:t>
      </w:r>
    </w:p>
    <w:p w14:paraId="244FA4A4" w14:textId="77777777" w:rsidR="006278DF" w:rsidRDefault="002172E5" w:rsidP="006278DF">
      <w:r>
        <w:rPr>
          <w:noProof/>
          <w:lang w:eastAsia="ja-JP"/>
        </w:rPr>
        <mc:AlternateContent>
          <mc:Choice Requires="wps">
            <w:drawing>
              <wp:anchor distT="0" distB="0" distL="114300" distR="114300" simplePos="0" relativeHeight="251825152" behindDoc="0" locked="0" layoutInCell="1" allowOverlap="1" wp14:anchorId="7499689C" wp14:editId="3C4F2C19">
                <wp:simplePos x="0" y="0"/>
                <wp:positionH relativeFrom="column">
                  <wp:posOffset>2929890</wp:posOffset>
                </wp:positionH>
                <wp:positionV relativeFrom="paragraph">
                  <wp:posOffset>280035</wp:posOffset>
                </wp:positionV>
                <wp:extent cx="2565400" cy="532765"/>
                <wp:effectExtent l="0" t="0" r="25400" b="19685"/>
                <wp:wrapNone/>
                <wp:docPr id="19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532765"/>
                        </a:xfrm>
                        <a:prstGeom prst="rect">
                          <a:avLst/>
                        </a:prstGeom>
                        <a:solidFill>
                          <a:srgbClr val="FFFFFF"/>
                        </a:solidFill>
                        <a:ln w="9525">
                          <a:solidFill>
                            <a:srgbClr val="000000"/>
                          </a:solidFill>
                          <a:miter lim="800000"/>
                          <a:headEnd/>
                          <a:tailEnd/>
                        </a:ln>
                      </wps:spPr>
                      <wps:txbx>
                        <w:txbxContent>
                          <w:p w14:paraId="6FE32E56" w14:textId="77777777" w:rsidR="00AC34E6" w:rsidRPr="002062AA" w:rsidRDefault="00AC34E6" w:rsidP="002062AA">
                            <w:pPr>
                              <w:spacing w:line="240" w:lineRule="exact"/>
                              <w:rPr>
                                <w:b/>
                                <w:bCs/>
                                <w:sz w:val="21"/>
                                <w:szCs w:val="21"/>
                              </w:rPr>
                            </w:pPr>
                            <w:r w:rsidRPr="002062AA">
                              <w:rPr>
                                <w:b/>
                                <w:bCs/>
                                <w:sz w:val="21"/>
                                <w:szCs w:val="21"/>
                              </w:rPr>
                              <w:t>The transformation of the regulatory approach from those of ex ante to ex post</w:t>
                            </w:r>
                          </w:p>
                          <w:p w14:paraId="797594F2" w14:textId="77777777" w:rsidR="00AC34E6" w:rsidRPr="002062AA" w:rsidRDefault="00AC34E6" w:rsidP="002062AA">
                            <w:pPr>
                              <w:spacing w:line="240" w:lineRule="exact"/>
                              <w:rPr>
                                <w:sz w:val="21"/>
                                <w:szCs w:val="21"/>
                              </w:rPr>
                            </w:pPr>
                            <w:r>
                              <w:rPr>
                                <w:sz w:val="21"/>
                                <w:szCs w:val="21"/>
                              </w:rPr>
                              <w:t xml:space="preserve">that </w:t>
                            </w:r>
                            <w:r w:rsidRPr="002062AA">
                              <w:rPr>
                                <w:sz w:val="21"/>
                                <w:szCs w:val="21"/>
                              </w:rPr>
                              <w:t>gradually emerged in the 1990s and 2000s.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32" type="#_x0000_t202" style="position:absolute;margin-left:230.7pt;margin-top:22.05pt;width:202pt;height:41.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">
                <v:textbox inset="5.85pt,.7pt,5.85pt,.7pt">
                  <w:txbxContent>
                    <w:p w14:paraId="6FE32E56" w14:textId="77777777" w:rsidR="00AC34E6" w:rsidRPr="002062AA" w:rsidRDefault="00AC34E6" w:rsidP="002062AA">
                      <w:pPr>
                        <w:spacing w:line="240" w:lineRule="exact"/>
                        <w:rPr>
                          <w:b/>
                          <w:bCs/>
                          <w:sz w:val="21"/>
                          <w:szCs w:val="21"/>
                        </w:rPr>
                      </w:pPr>
                      <w:r w:rsidRPr="002062AA">
                        <w:rPr>
                          <w:b/>
                          <w:bCs/>
                          <w:sz w:val="21"/>
                          <w:szCs w:val="21"/>
                        </w:rPr>
                        <w:t>The transformation of the regulatory approach from those of ex ante to ex post</w:t>
                      </w:r>
                    </w:p>
                    <w:p w14:paraId="797594F2" w14:textId="77777777" w:rsidR="00AC34E6" w:rsidRPr="002062AA" w:rsidRDefault="00AC34E6" w:rsidP="002062AA">
                      <w:pPr>
                        <w:spacing w:line="240" w:lineRule="exact"/>
                        <w:rPr>
                          <w:sz w:val="21"/>
                          <w:szCs w:val="21"/>
                        </w:rPr>
                      </w:pPr>
                      <w:proofErr w:type="gramStart"/>
                      <w:r>
                        <w:rPr>
                          <w:sz w:val="21"/>
                          <w:szCs w:val="21"/>
                        </w:rPr>
                        <w:t>that</w:t>
                      </w:r>
                      <w:proofErr w:type="gramEnd"/>
                      <w:r>
                        <w:rPr>
                          <w:sz w:val="21"/>
                          <w:szCs w:val="21"/>
                        </w:rPr>
                        <w:t xml:space="preserve"> </w:t>
                      </w:r>
                      <w:r w:rsidRPr="002062AA">
                        <w:rPr>
                          <w:sz w:val="21"/>
                          <w:szCs w:val="21"/>
                        </w:rPr>
                        <w:t>gradually emerged in the 1990s and 2000s.</w:t>
                      </w:r>
                    </w:p>
                  </w:txbxContent>
                </v:textbox>
              </v:shape>
            </w:pict>
          </mc:Fallback>
        </mc:AlternateContent>
      </w:r>
      <w:r>
        <w:rPr>
          <w:noProof/>
          <w:lang w:eastAsia="ja-JP"/>
        </w:rPr>
        <mc:AlternateContent>
          <mc:Choice Requires="wps">
            <w:drawing>
              <wp:anchor distT="0" distB="0" distL="114300" distR="114300" simplePos="0" relativeHeight="251824128" behindDoc="0" locked="0" layoutInCell="1" allowOverlap="1" wp14:anchorId="445B85A3" wp14:editId="06228DCB">
                <wp:simplePos x="0" y="0"/>
                <wp:positionH relativeFrom="column">
                  <wp:posOffset>293370</wp:posOffset>
                </wp:positionH>
                <wp:positionV relativeFrom="paragraph">
                  <wp:posOffset>280035</wp:posOffset>
                </wp:positionV>
                <wp:extent cx="2021840" cy="559435"/>
                <wp:effectExtent l="0" t="0" r="16510" b="12065"/>
                <wp:wrapNone/>
                <wp:docPr id="19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559435"/>
                        </a:xfrm>
                        <a:prstGeom prst="rect">
                          <a:avLst/>
                        </a:prstGeom>
                        <a:solidFill>
                          <a:srgbClr val="FFFFFF"/>
                        </a:solidFill>
                        <a:ln w="9525">
                          <a:solidFill>
                            <a:srgbClr val="000000"/>
                          </a:solidFill>
                          <a:miter lim="800000"/>
                          <a:headEnd/>
                          <a:tailEnd/>
                        </a:ln>
                      </wps:spPr>
                      <wps:txbx>
                        <w:txbxContent>
                          <w:p w14:paraId="63033FE3" w14:textId="77777777" w:rsidR="00AC34E6" w:rsidRPr="006278DF" w:rsidRDefault="00AC34E6" w:rsidP="006278DF">
                            <w:pPr>
                              <w:spacing w:line="240" w:lineRule="exact"/>
                              <w:rPr>
                                <w:b/>
                                <w:bCs/>
                                <w:sz w:val="21"/>
                                <w:szCs w:val="21"/>
                              </w:rPr>
                            </w:pPr>
                            <w:r w:rsidRPr="006278DF">
                              <w:rPr>
                                <w:b/>
                                <w:bCs/>
                                <w:sz w:val="21"/>
                                <w:szCs w:val="21"/>
                              </w:rPr>
                              <w:t>The regulatory reform in 1985</w:t>
                            </w:r>
                          </w:p>
                          <w:p w14:paraId="0EB6C86D" w14:textId="77777777" w:rsidR="00AC34E6" w:rsidRPr="006278DF" w:rsidRDefault="00AC34E6" w:rsidP="006278DF">
                            <w:pPr>
                              <w:spacing w:line="240" w:lineRule="exact"/>
                              <w:rPr>
                                <w:sz w:val="21"/>
                                <w:szCs w:val="21"/>
                              </w:rPr>
                            </w:pPr>
                            <w:r w:rsidRPr="006278DF">
                              <w:rPr>
                                <w:sz w:val="21"/>
                                <w:szCs w:val="21"/>
                              </w:rPr>
                              <w:t xml:space="preserve"> (NTT privatisation and liberalisation in telecommunications)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3" type="#_x0000_t202" style="position:absolute;margin-left:23.1pt;margin-top:22.05pt;width:159.2pt;height:44.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">
                <v:textbox inset="5.85pt,.7pt,5.85pt,.7pt">
                  <w:txbxContent>
                    <w:p w14:paraId="63033FE3" w14:textId="77777777" w:rsidR="00AC34E6" w:rsidRPr="006278DF" w:rsidRDefault="00AC34E6" w:rsidP="006278DF">
                      <w:pPr>
                        <w:spacing w:line="240" w:lineRule="exact"/>
                        <w:rPr>
                          <w:b/>
                          <w:bCs/>
                          <w:sz w:val="21"/>
                          <w:szCs w:val="21"/>
                        </w:rPr>
                      </w:pPr>
                      <w:r w:rsidRPr="006278DF">
                        <w:rPr>
                          <w:b/>
                          <w:bCs/>
                          <w:sz w:val="21"/>
                          <w:szCs w:val="21"/>
                        </w:rPr>
                        <w:t>The regulatory reform in 1985</w:t>
                      </w:r>
                    </w:p>
                    <w:p w14:paraId="0EB6C86D" w14:textId="77777777" w:rsidR="00AC34E6" w:rsidRPr="006278DF" w:rsidRDefault="00AC34E6" w:rsidP="006278DF">
                      <w:pPr>
                        <w:spacing w:line="240" w:lineRule="exact"/>
                        <w:rPr>
                          <w:sz w:val="21"/>
                          <w:szCs w:val="21"/>
                        </w:rPr>
                      </w:pPr>
                      <w:r w:rsidRPr="006278DF">
                        <w:rPr>
                          <w:sz w:val="21"/>
                          <w:szCs w:val="21"/>
                        </w:rPr>
                        <w:t xml:space="preserve"> (NTT privatisation and liberalisation in telecommunications)</w:t>
                      </w:r>
                    </w:p>
                  </w:txbxContent>
                </v:textbox>
              </v:shape>
            </w:pict>
          </mc:Fallback>
        </mc:AlternateContent>
      </w:r>
    </w:p>
    <w:p w14:paraId="1E6BFA87" w14:textId="77777777" w:rsidR="006278DF" w:rsidRDefault="002172E5" w:rsidP="006278DF">
      <w:r>
        <w:rPr>
          <w:noProof/>
          <w:lang w:eastAsia="ja-JP"/>
        </w:rPr>
        <mc:AlternateContent>
          <mc:Choice Requires="wps">
            <w:drawing>
              <wp:anchor distT="0" distB="0" distL="114300" distR="114300" simplePos="0" relativeHeight="251827200" behindDoc="0" locked="0" layoutInCell="1" allowOverlap="1" wp14:anchorId="76A65479" wp14:editId="66039AD8">
                <wp:simplePos x="0" y="0"/>
                <wp:positionH relativeFrom="column">
                  <wp:posOffset>1092200</wp:posOffset>
                </wp:positionH>
                <wp:positionV relativeFrom="paragraph">
                  <wp:posOffset>386080</wp:posOffset>
                </wp:positionV>
                <wp:extent cx="40640" cy="484505"/>
                <wp:effectExtent l="38100" t="0" r="54610" b="48895"/>
                <wp:wrapNone/>
                <wp:docPr id="193"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FECB5" id="_x0000_t32" coordsize="21600,21600" o:spt="32" o:oned="t" path="m,l21600,21600e" filled="f">
                <v:path arrowok="t" fillok="f" o:connecttype="none"/>
                <o:lock v:ext="edit" shapetype="t"/>
              </v:shapetype>
              <v:shape id="AutoShape 188" o:spid="_x0000_s1026" type="#_x0000_t32" style="position:absolute;margin-left:86pt;margin-top:30.4pt;width:3.2pt;height:38.1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">
                <v:stroke endarrow="block"/>
              </v:shape>
            </w:pict>
          </mc:Fallback>
        </mc:AlternateContent>
      </w:r>
      <w:r>
        <w:rPr>
          <w:noProof/>
          <w:lang w:eastAsia="ja-JP"/>
        </w:rPr>
        <mc:AlternateContent>
          <mc:Choice Requires="wps">
            <w:drawing>
              <wp:anchor distT="0" distB="0" distL="114300" distR="114300" simplePos="0" relativeHeight="251828224" behindDoc="0" locked="0" layoutInCell="1" allowOverlap="1" wp14:anchorId="33583818" wp14:editId="5A6CD293">
                <wp:simplePos x="0" y="0"/>
                <wp:positionH relativeFrom="column">
                  <wp:posOffset>4163060</wp:posOffset>
                </wp:positionH>
                <wp:positionV relativeFrom="paragraph">
                  <wp:posOffset>359410</wp:posOffset>
                </wp:positionV>
                <wp:extent cx="95250" cy="344805"/>
                <wp:effectExtent l="57150" t="0" r="19050" b="55245"/>
                <wp:wrapNone/>
                <wp:docPr id="192"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D598E" id="AutoShape 189" o:spid="_x0000_s1026" type="#_x0000_t32" style="position:absolute;margin-left:327.8pt;margin-top:28.3pt;width:7.5pt;height:27.1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YPQIAAG4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">
                <v:stroke endarrow="block"/>
              </v:shape>
            </w:pict>
          </mc:Fallback>
        </mc:AlternateContent>
      </w:r>
    </w:p>
    <w:p w14:paraId="2F76C371" w14:textId="77777777" w:rsidR="006278DF" w:rsidRDefault="002172E5" w:rsidP="006278DF">
      <w:r>
        <w:rPr>
          <w:noProof/>
          <w:lang w:eastAsia="ja-JP"/>
        </w:rPr>
        <mc:AlternateContent>
          <mc:Choice Requires="wps">
            <w:drawing>
              <wp:anchor distT="0" distB="0" distL="114298" distR="114298" simplePos="0" relativeHeight="251829248" behindDoc="0" locked="0" layoutInCell="1" allowOverlap="1" wp14:anchorId="1BD733C9" wp14:editId="29EA6C74">
                <wp:simplePos x="0" y="0"/>
                <wp:positionH relativeFrom="column">
                  <wp:posOffset>2715259</wp:posOffset>
                </wp:positionH>
                <wp:positionV relativeFrom="paragraph">
                  <wp:posOffset>717550</wp:posOffset>
                </wp:positionV>
                <wp:extent cx="587375" cy="0"/>
                <wp:effectExtent l="46038" t="30162" r="49212" b="30163"/>
                <wp:wrapNone/>
                <wp:docPr id="19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87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5EF46" id="AutoShape 190" o:spid="_x0000_s1026" type="#_x0000_t32" style="position:absolute;margin-left:213.8pt;margin-top:56.5pt;width:46.25pt;height:0;rotation:-90;z-index:251829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">
                <v:stroke endarrow="block"/>
              </v:shape>
            </w:pict>
          </mc:Fallback>
        </mc:AlternateContent>
      </w:r>
      <w:r>
        <w:rPr>
          <w:noProof/>
          <w:lang w:eastAsia="ja-JP"/>
        </w:rPr>
        <mc:AlternateContent>
          <mc:Choice Requires="wps">
            <w:drawing>
              <wp:anchor distT="0" distB="0" distL="114300" distR="114300" simplePos="0" relativeHeight="251822080" behindDoc="0" locked="0" layoutInCell="1" allowOverlap="1" wp14:anchorId="214F6E17" wp14:editId="7F3F3AEC">
                <wp:simplePos x="0" y="0"/>
                <wp:positionH relativeFrom="column">
                  <wp:posOffset>2787015</wp:posOffset>
                </wp:positionH>
                <wp:positionV relativeFrom="paragraph">
                  <wp:posOffset>25400</wp:posOffset>
                </wp:positionV>
                <wp:extent cx="477520" cy="225425"/>
                <wp:effectExtent l="0" t="0" r="0" b="3175"/>
                <wp:wrapNone/>
                <wp:docPr id="18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C34BA" w14:textId="77777777" w:rsidR="00AC34E6" w:rsidRDefault="00AC34E6" w:rsidP="006278DF">
                            <w:pPr>
                              <w:spacing w:line="240" w:lineRule="auto"/>
                            </w:pPr>
                            <w:r>
                              <w:t>1997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4" type="#_x0000_t202" style="position:absolute;margin-left:219.45pt;margin-top:2pt;width:37.6pt;height:17.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fwhgIAABc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" stroked="f">
                <v:textbox inset="5.85pt,.7pt,5.85pt,.7pt">
                  <w:txbxContent>
                    <w:p w14:paraId="7B5C34BA" w14:textId="77777777" w:rsidR="00AC34E6" w:rsidRDefault="00AC34E6" w:rsidP="006278DF">
                      <w:pPr>
                        <w:spacing w:line="240" w:lineRule="auto"/>
                      </w:pPr>
                      <w:r>
                        <w:t>1997</w:t>
                      </w:r>
                    </w:p>
                  </w:txbxContent>
                </v:textbox>
              </v:shape>
            </w:pict>
          </mc:Fallback>
        </mc:AlternateContent>
      </w:r>
      <w:r>
        <w:rPr>
          <w:noProof/>
          <w:lang w:eastAsia="ja-JP"/>
        </w:rPr>
        <mc:AlternateContent>
          <mc:Choice Requires="wps">
            <w:drawing>
              <wp:anchor distT="0" distB="0" distL="114300" distR="114300" simplePos="0" relativeHeight="251823104" behindDoc="0" locked="0" layoutInCell="1" allowOverlap="1" wp14:anchorId="37C47662" wp14:editId="06FE50D1">
                <wp:simplePos x="0" y="0"/>
                <wp:positionH relativeFrom="column">
                  <wp:posOffset>2525395</wp:posOffset>
                </wp:positionH>
                <wp:positionV relativeFrom="paragraph">
                  <wp:posOffset>287020</wp:posOffset>
                </wp:positionV>
                <wp:extent cx="1842135" cy="225425"/>
                <wp:effectExtent l="0" t="0" r="24765" b="22225"/>
                <wp:wrapNone/>
                <wp:docPr id="190"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225425"/>
                        </a:xfrm>
                        <a:prstGeom prst="roundRect">
                          <a:avLst>
                            <a:gd name="adj" fmla="val 16667"/>
                          </a:avLst>
                        </a:prstGeom>
                        <a:solidFill>
                          <a:srgbClr val="FFFFFF">
                            <a:alpha val="0"/>
                          </a:srgbClr>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128DB7" id="AutoShape 184" o:spid="_x0000_s1026" style="position:absolute;margin-left:198.85pt;margin-top:22.6pt;width:145.05pt;height:17.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">
                <v:fill opacity="0"/>
                <v:stroke dashstyle="longDash"/>
                <v:textbox inset="5.85pt,.7pt,5.85pt,.7pt"/>
              </v:roundrect>
            </w:pict>
          </mc:Fallback>
        </mc:AlternateContent>
      </w:r>
      <w:r>
        <w:rPr>
          <w:noProof/>
          <w:lang w:eastAsia="ja-JP"/>
        </w:rPr>
        <mc:AlternateContent>
          <mc:Choice Requires="wps">
            <w:drawing>
              <wp:anchor distT="0" distB="0" distL="114300" distR="114300" simplePos="0" relativeHeight="251816960" behindDoc="0" locked="0" layoutInCell="1" allowOverlap="1" wp14:anchorId="656F12C7" wp14:editId="7130469D">
                <wp:simplePos x="0" y="0"/>
                <wp:positionH relativeFrom="column">
                  <wp:posOffset>-13335</wp:posOffset>
                </wp:positionH>
                <wp:positionV relativeFrom="paragraph">
                  <wp:posOffset>417195</wp:posOffset>
                </wp:positionV>
                <wp:extent cx="5506720" cy="6350"/>
                <wp:effectExtent l="24765" t="26670" r="21590" b="24130"/>
                <wp:wrapNone/>
                <wp:docPr id="188"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6720" cy="6350"/>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3F945" id="AutoShape 178" o:spid="_x0000_s1026" type="#_x0000_t32" style="position:absolute;margin-left:-1.05pt;margin-top:32.85pt;width:433.6pt;height:.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" strokecolor="#7f7f7f" strokeweight="3pt"/>
            </w:pict>
          </mc:Fallback>
        </mc:AlternateContent>
      </w:r>
    </w:p>
    <w:p w14:paraId="7A349AF1" w14:textId="77777777" w:rsidR="006278DF" w:rsidRDefault="002172E5" w:rsidP="006278DF">
      <w:r>
        <w:rPr>
          <w:noProof/>
          <w:lang w:eastAsia="ja-JP"/>
        </w:rPr>
        <mc:AlternateContent>
          <mc:Choice Requires="wps">
            <w:drawing>
              <wp:anchor distT="0" distB="0" distL="114300" distR="114300" simplePos="0" relativeHeight="251817984" behindDoc="0" locked="0" layoutInCell="1" allowOverlap="1" wp14:anchorId="6411EB92" wp14:editId="1E8727AB">
                <wp:simplePos x="0" y="0"/>
                <wp:positionH relativeFrom="column">
                  <wp:posOffset>854075</wp:posOffset>
                </wp:positionH>
                <wp:positionV relativeFrom="paragraph">
                  <wp:posOffset>24765</wp:posOffset>
                </wp:positionV>
                <wp:extent cx="477520" cy="225425"/>
                <wp:effectExtent l="0" t="0" r="0" b="3175"/>
                <wp:wrapNone/>
                <wp:docPr id="18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E6D82" w14:textId="77777777" w:rsidR="00AC34E6" w:rsidRDefault="00AC34E6" w:rsidP="006278DF">
                            <w:pPr>
                              <w:spacing w:line="240" w:lineRule="auto"/>
                            </w:pPr>
                            <w:r>
                              <w:t>1985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5" type="#_x0000_t202" style="position:absolute;margin-left:67.25pt;margin-top:1.95pt;width:37.6pt;height:17.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" stroked="f">
                <v:textbox inset="5.85pt,.7pt,5.85pt,.7pt">
                  <w:txbxContent>
                    <w:p w14:paraId="41BE6D82" w14:textId="77777777" w:rsidR="00AC34E6" w:rsidRDefault="00AC34E6" w:rsidP="006278DF">
                      <w:pPr>
                        <w:spacing w:line="240" w:lineRule="auto"/>
                      </w:pPr>
                      <w:r>
                        <w:t>1985</w:t>
                      </w:r>
                    </w:p>
                  </w:txbxContent>
                </v:textbox>
              </v:shape>
            </w:pict>
          </mc:Fallback>
        </mc:AlternateContent>
      </w:r>
      <w:r>
        <w:rPr>
          <w:noProof/>
          <w:lang w:eastAsia="ja-JP"/>
        </w:rPr>
        <mc:AlternateContent>
          <mc:Choice Requires="wps">
            <w:drawing>
              <wp:anchor distT="0" distB="0" distL="114300" distR="114300" simplePos="0" relativeHeight="251820032" behindDoc="0" locked="0" layoutInCell="1" allowOverlap="1" wp14:anchorId="4209869D" wp14:editId="027E176C">
                <wp:simplePos x="0" y="0"/>
                <wp:positionH relativeFrom="column">
                  <wp:posOffset>1837690</wp:posOffset>
                </wp:positionH>
                <wp:positionV relativeFrom="paragraph">
                  <wp:posOffset>24765</wp:posOffset>
                </wp:positionV>
                <wp:extent cx="477520" cy="225425"/>
                <wp:effectExtent l="0" t="0" r="0" b="3175"/>
                <wp:wrapNone/>
                <wp:docPr id="18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B016D" w14:textId="77777777" w:rsidR="00AC34E6" w:rsidRDefault="00AC34E6" w:rsidP="006278DF">
                            <w:pPr>
                              <w:spacing w:line="240" w:lineRule="auto"/>
                            </w:pPr>
                            <w:r>
                              <w:t>1990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6" type="#_x0000_t202" style="position:absolute;margin-left:144.7pt;margin-top:1.95pt;width:37.6pt;height:17.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VfhgIAABg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" stroked="f">
                <v:textbox inset="5.85pt,.7pt,5.85pt,.7pt">
                  <w:txbxContent>
                    <w:p w14:paraId="493B016D" w14:textId="77777777" w:rsidR="00AC34E6" w:rsidRDefault="00AC34E6" w:rsidP="006278DF">
                      <w:pPr>
                        <w:spacing w:line="240" w:lineRule="auto"/>
                      </w:pPr>
                      <w:r>
                        <w:t>1990</w:t>
                      </w:r>
                    </w:p>
                  </w:txbxContent>
                </v:textbox>
              </v:shape>
            </w:pict>
          </mc:Fallback>
        </mc:AlternateContent>
      </w:r>
      <w:r>
        <w:rPr>
          <w:noProof/>
          <w:lang w:eastAsia="ja-JP"/>
        </w:rPr>
        <mc:AlternateContent>
          <mc:Choice Requires="wps">
            <w:drawing>
              <wp:anchor distT="0" distB="0" distL="114300" distR="114300" simplePos="0" relativeHeight="251821056" behindDoc="0" locked="0" layoutInCell="1" allowOverlap="1" wp14:anchorId="3A552A4E" wp14:editId="7044C249">
                <wp:simplePos x="0" y="0"/>
                <wp:positionH relativeFrom="column">
                  <wp:posOffset>4920615</wp:posOffset>
                </wp:positionH>
                <wp:positionV relativeFrom="paragraph">
                  <wp:posOffset>59055</wp:posOffset>
                </wp:positionV>
                <wp:extent cx="477520" cy="225425"/>
                <wp:effectExtent l="0" t="0" r="0" b="3175"/>
                <wp:wrapNone/>
                <wp:docPr id="1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C44A5" w14:textId="77777777" w:rsidR="00AC34E6" w:rsidRDefault="00AC34E6" w:rsidP="006278DF">
                            <w:pPr>
                              <w:spacing w:line="240" w:lineRule="auto"/>
                            </w:pPr>
                            <w:r>
                              <w:t>2010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7" type="#_x0000_t202" style="position:absolute;margin-left:387.45pt;margin-top:4.65pt;width:37.6pt;height:17.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" stroked="f">
                <v:textbox inset="5.85pt,.7pt,5.85pt,.7pt">
                  <w:txbxContent>
                    <w:p w14:paraId="194C44A5" w14:textId="77777777" w:rsidR="00AC34E6" w:rsidRDefault="00AC34E6" w:rsidP="006278DF">
                      <w:pPr>
                        <w:spacing w:line="240" w:lineRule="auto"/>
                      </w:pPr>
                      <w:r>
                        <w:t>2010</w:t>
                      </w:r>
                    </w:p>
                  </w:txbxContent>
                </v:textbox>
              </v:shape>
            </w:pict>
          </mc:Fallback>
        </mc:AlternateContent>
      </w:r>
      <w:r>
        <w:rPr>
          <w:noProof/>
          <w:lang w:eastAsia="ja-JP"/>
        </w:rPr>
        <mc:AlternateContent>
          <mc:Choice Requires="wps">
            <w:drawing>
              <wp:anchor distT="0" distB="0" distL="114300" distR="114300" simplePos="0" relativeHeight="251819008" behindDoc="0" locked="0" layoutInCell="1" allowOverlap="1" wp14:anchorId="18DE5419" wp14:editId="244CF403">
                <wp:simplePos x="0" y="0"/>
                <wp:positionH relativeFrom="column">
                  <wp:posOffset>3376930</wp:posOffset>
                </wp:positionH>
                <wp:positionV relativeFrom="paragraph">
                  <wp:posOffset>100330</wp:posOffset>
                </wp:positionV>
                <wp:extent cx="477520" cy="225425"/>
                <wp:effectExtent l="0" t="0" r="0" b="3175"/>
                <wp:wrapNone/>
                <wp:docPr id="18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456F" w14:textId="77777777" w:rsidR="00AC34E6" w:rsidRDefault="00AC34E6" w:rsidP="006278DF">
                            <w:pPr>
                              <w:spacing w:line="240" w:lineRule="auto"/>
                            </w:pPr>
                            <w:r>
                              <w:t>2000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8" type="#_x0000_t202" style="position:absolute;margin-left:265.9pt;margin-top:7.9pt;width:37.6pt;height:17.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WnhgIAABg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" stroked="f">
                <v:textbox inset="5.85pt,.7pt,5.85pt,.7pt">
                  <w:txbxContent>
                    <w:p w14:paraId="6E8B456F" w14:textId="77777777" w:rsidR="00AC34E6" w:rsidRDefault="00AC34E6" w:rsidP="006278DF">
                      <w:pPr>
                        <w:spacing w:line="240" w:lineRule="auto"/>
                      </w:pPr>
                      <w:r>
                        <w:t>2000</w:t>
                      </w:r>
                    </w:p>
                  </w:txbxContent>
                </v:textbox>
              </v:shape>
            </w:pict>
          </mc:Fallback>
        </mc:AlternateContent>
      </w:r>
    </w:p>
    <w:p w14:paraId="4F290809" w14:textId="77777777" w:rsidR="006278DF" w:rsidRDefault="002172E5" w:rsidP="006278DF">
      <w:r>
        <w:rPr>
          <w:noProof/>
          <w:lang w:eastAsia="ja-JP"/>
        </w:rPr>
        <mc:AlternateContent>
          <mc:Choice Requires="wps">
            <w:drawing>
              <wp:anchor distT="0" distB="0" distL="114300" distR="114300" simplePos="0" relativeHeight="251826176" behindDoc="0" locked="0" layoutInCell="1" allowOverlap="1" wp14:anchorId="3739E205" wp14:editId="42A0A5DE">
                <wp:simplePos x="0" y="0"/>
                <wp:positionH relativeFrom="column">
                  <wp:posOffset>2229485</wp:posOffset>
                </wp:positionH>
                <wp:positionV relativeFrom="paragraph">
                  <wp:posOffset>104140</wp:posOffset>
                </wp:positionV>
                <wp:extent cx="1585595" cy="396240"/>
                <wp:effectExtent l="0" t="0" r="14605" b="22860"/>
                <wp:wrapNone/>
                <wp:docPr id="18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396240"/>
                        </a:xfrm>
                        <a:prstGeom prst="rect">
                          <a:avLst/>
                        </a:prstGeom>
                        <a:solidFill>
                          <a:srgbClr val="FFFFFF"/>
                        </a:solidFill>
                        <a:ln w="9525">
                          <a:solidFill>
                            <a:srgbClr val="000000"/>
                          </a:solidFill>
                          <a:miter lim="800000"/>
                          <a:headEnd/>
                          <a:tailEnd/>
                        </a:ln>
                      </wps:spPr>
                      <wps:txbx>
                        <w:txbxContent>
                          <w:p w14:paraId="72F05726" w14:textId="77777777" w:rsidR="00AC34E6" w:rsidRDefault="00AC34E6" w:rsidP="002062AA">
                            <w:pPr>
                              <w:spacing w:line="240" w:lineRule="exact"/>
                              <w:rPr>
                                <w:b/>
                                <w:bCs/>
                                <w:sz w:val="21"/>
                                <w:szCs w:val="21"/>
                              </w:rPr>
                            </w:pPr>
                            <w:r w:rsidRPr="002062AA">
                              <w:rPr>
                                <w:b/>
                                <w:bCs/>
                                <w:sz w:val="21"/>
                                <w:szCs w:val="21"/>
                              </w:rPr>
                              <w:t>Reorganisation of the NTT</w:t>
                            </w:r>
                          </w:p>
                          <w:p w14:paraId="094C4BA9" w14:textId="77777777" w:rsidR="00AC34E6" w:rsidRPr="002062AA" w:rsidRDefault="00AC34E6" w:rsidP="002062AA">
                            <w:pPr>
                              <w:spacing w:line="240" w:lineRule="exact"/>
                              <w:rPr>
                                <w:sz w:val="21"/>
                                <w:szCs w:val="21"/>
                              </w:rPr>
                            </w:pPr>
                            <w:r w:rsidRPr="002062AA">
                              <w:rPr>
                                <w:sz w:val="21"/>
                                <w:szCs w:val="21"/>
                              </w:rPr>
                              <w:t xml:space="preserve">in 1997 (implemented in 1999)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9" type="#_x0000_t202" style="position:absolute;margin-left:175.55pt;margin-top:8.2pt;width:124.85pt;height:31.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">
                <v:textbox inset="5.85pt,.7pt,5.85pt,.7pt">
                  <w:txbxContent>
                    <w:p w14:paraId="72F05726" w14:textId="77777777" w:rsidR="00AC34E6" w:rsidRDefault="00AC34E6" w:rsidP="002062AA">
                      <w:pPr>
                        <w:spacing w:line="240" w:lineRule="exact"/>
                        <w:rPr>
                          <w:b/>
                          <w:bCs/>
                          <w:sz w:val="21"/>
                          <w:szCs w:val="21"/>
                        </w:rPr>
                      </w:pPr>
                      <w:r w:rsidRPr="002062AA">
                        <w:rPr>
                          <w:b/>
                          <w:bCs/>
                          <w:sz w:val="21"/>
                          <w:szCs w:val="21"/>
                        </w:rPr>
                        <w:t>Reorganisation of the NTT</w:t>
                      </w:r>
                    </w:p>
                    <w:p w14:paraId="094C4BA9" w14:textId="77777777" w:rsidR="00AC34E6" w:rsidRPr="002062AA" w:rsidRDefault="00AC34E6" w:rsidP="002062AA">
                      <w:pPr>
                        <w:spacing w:line="240" w:lineRule="exact"/>
                        <w:rPr>
                          <w:sz w:val="21"/>
                          <w:szCs w:val="21"/>
                        </w:rPr>
                      </w:pPr>
                      <w:proofErr w:type="gramStart"/>
                      <w:r w:rsidRPr="002062AA">
                        <w:rPr>
                          <w:sz w:val="21"/>
                          <w:szCs w:val="21"/>
                        </w:rPr>
                        <w:t>in</w:t>
                      </w:r>
                      <w:proofErr w:type="gramEnd"/>
                      <w:r w:rsidRPr="002062AA">
                        <w:rPr>
                          <w:sz w:val="21"/>
                          <w:szCs w:val="21"/>
                        </w:rPr>
                        <w:t xml:space="preserve"> 1997 (implemented in 1999) </w:t>
                      </w:r>
                    </w:p>
                  </w:txbxContent>
                </v:textbox>
              </v:shape>
            </w:pict>
          </mc:Fallback>
        </mc:AlternateContent>
      </w:r>
    </w:p>
    <w:p w14:paraId="74261E1A" w14:textId="77777777" w:rsidR="002062AA" w:rsidRDefault="002062AA" w:rsidP="008D0572">
      <w:pPr>
        <w:ind w:firstLine="284"/>
      </w:pPr>
    </w:p>
    <w:p w14:paraId="755DCDAB" w14:textId="77777777" w:rsidR="008D0572" w:rsidRPr="001D458E" w:rsidRDefault="008D0572" w:rsidP="008D0572">
      <w:pPr>
        <w:ind w:firstLine="284"/>
      </w:pPr>
      <w:r w:rsidRPr="001D458E">
        <w:t xml:space="preserve">The 1980s was a striking </w:t>
      </w:r>
      <w:r w:rsidRPr="001D458E">
        <w:rPr>
          <w:rFonts w:hint="eastAsia"/>
        </w:rPr>
        <w:t>p</w:t>
      </w:r>
      <w:r w:rsidRPr="001D458E">
        <w:t xml:space="preserve">eriod for Japan’s ICT sector </w:t>
      </w:r>
      <w:r w:rsidRPr="001D458E">
        <w:rPr>
          <w:rFonts w:hint="eastAsia"/>
        </w:rPr>
        <w:t xml:space="preserve">commencing </w:t>
      </w:r>
      <w:r w:rsidRPr="001D458E">
        <w:t xml:space="preserve">with </w:t>
      </w:r>
      <w:r w:rsidR="0053678A">
        <w:rPr>
          <w:rFonts w:eastAsia="MS Mincho" w:hint="eastAsia"/>
          <w:lang w:eastAsia="ja-JP"/>
        </w:rPr>
        <w:t xml:space="preserve">the </w:t>
      </w:r>
      <w:r w:rsidRPr="001D458E">
        <w:t xml:space="preserve">telecommunications regulatory reform in 1985. This regulatory reform </w:t>
      </w:r>
      <w:r w:rsidRPr="001D458E">
        <w:rPr>
          <w:rFonts w:hint="eastAsia"/>
        </w:rPr>
        <w:t xml:space="preserve">was underpinned by </w:t>
      </w:r>
      <w:r w:rsidRPr="001D458E">
        <w:t>two key events: the privatisation of the NTT and the liberalisation of the VANs (Value-Added Networks)</w:t>
      </w:r>
      <w:r w:rsidRPr="001D458E">
        <w:rPr>
          <w:rStyle w:val="FootnoteReference"/>
        </w:rPr>
        <w:footnoteReference w:id="46"/>
      </w:r>
      <w:r w:rsidRPr="001D458E">
        <w:t xml:space="preserve"> (Vogel 1996 p.145). The former offered a significant opportunity for the analys</w:t>
      </w:r>
      <w:r w:rsidRPr="001D458E">
        <w:rPr>
          <w:rFonts w:hint="eastAsia"/>
        </w:rPr>
        <w:t>i</w:t>
      </w:r>
      <w:r w:rsidRPr="001D458E">
        <w:t xml:space="preserve">s </w:t>
      </w:r>
      <w:r w:rsidRPr="001D458E">
        <w:rPr>
          <w:rFonts w:hint="eastAsia"/>
        </w:rPr>
        <w:t>of the Japanese state (</w:t>
      </w:r>
      <w:r w:rsidRPr="001D458E">
        <w:t>e.g.</w:t>
      </w:r>
      <w:r w:rsidRPr="001D458E">
        <w:rPr>
          <w:rFonts w:hint="eastAsia"/>
        </w:rPr>
        <w:t xml:space="preserve"> </w:t>
      </w:r>
      <w:r w:rsidRPr="001D458E">
        <w:t>Vogel 1996, I’io 1993, Kalba 1988</w:t>
      </w:r>
      <w:r w:rsidRPr="001D458E">
        <w:rPr>
          <w:rFonts w:hint="eastAsia"/>
        </w:rPr>
        <w:t>)</w:t>
      </w:r>
      <w:r w:rsidRPr="001D458E">
        <w:t>.</w:t>
      </w:r>
    </w:p>
    <w:p w14:paraId="2AA80DA3" w14:textId="77777777" w:rsidR="008D0572" w:rsidRPr="001D458E" w:rsidRDefault="008D0572" w:rsidP="008D0572">
      <w:pPr>
        <w:ind w:firstLine="284"/>
      </w:pPr>
      <w:r w:rsidRPr="001D458E">
        <w:t>The</w:t>
      </w:r>
      <w:r w:rsidRPr="001D458E">
        <w:rPr>
          <w:rFonts w:hint="eastAsia"/>
        </w:rPr>
        <w:t xml:space="preserve"> telecommunications regulatory reform in 1985 </w:t>
      </w:r>
      <w:r w:rsidRPr="001D458E">
        <w:t xml:space="preserve">was implemented </w:t>
      </w:r>
      <w:r w:rsidRPr="001D458E">
        <w:rPr>
          <w:rFonts w:hint="eastAsia"/>
        </w:rPr>
        <w:t>as a part o</w:t>
      </w:r>
      <w:r w:rsidRPr="001D458E">
        <w:t xml:space="preserve">f </w:t>
      </w:r>
      <w:r w:rsidRPr="001D458E">
        <w:rPr>
          <w:rFonts w:hint="eastAsia"/>
        </w:rPr>
        <w:t xml:space="preserve">a wider </w:t>
      </w:r>
      <w:r w:rsidRPr="001D458E">
        <w:t xml:space="preserve">administrative reform under the initiative of </w:t>
      </w:r>
      <w:r w:rsidRPr="001D458E">
        <w:rPr>
          <w:rFonts w:hint="eastAsia"/>
        </w:rPr>
        <w:t xml:space="preserve">the </w:t>
      </w:r>
      <w:r w:rsidRPr="001D458E">
        <w:t>Second Provisional Commission on Administrative Reform (</w:t>
      </w:r>
      <w:r w:rsidRPr="001D458E">
        <w:rPr>
          <w:i/>
        </w:rPr>
        <w:t>Rinji Gyosei Chosakai</w:t>
      </w:r>
      <w:r w:rsidRPr="001D458E">
        <w:t>:</w:t>
      </w:r>
      <w:r w:rsidRPr="001D458E">
        <w:rPr>
          <w:i/>
        </w:rPr>
        <w:t xml:space="preserve"> ‘Rincho’</w:t>
      </w:r>
      <w:r w:rsidRPr="001D458E">
        <w:t xml:space="preserve">), an independent council supported by </w:t>
      </w:r>
      <w:r w:rsidRPr="001D458E">
        <w:rPr>
          <w:rFonts w:hint="eastAsia"/>
        </w:rPr>
        <w:t>Prime M</w:t>
      </w:r>
      <w:r w:rsidRPr="001D458E">
        <w:t>i</w:t>
      </w:r>
      <w:r w:rsidRPr="001D458E">
        <w:rPr>
          <w:rFonts w:hint="eastAsia"/>
        </w:rPr>
        <w:t xml:space="preserve">nister </w:t>
      </w:r>
      <w:r w:rsidRPr="001D458E">
        <w:t xml:space="preserve">Nakasone (1982-87) (Vogel 1996 p.54). The administrative reform was </w:t>
      </w:r>
      <w:r w:rsidRPr="001D458E">
        <w:rPr>
          <w:rFonts w:hint="eastAsia"/>
        </w:rPr>
        <w:t xml:space="preserve">one of </w:t>
      </w:r>
      <w:r w:rsidRPr="001D458E">
        <w:t xml:space="preserve">Nakasone’s </w:t>
      </w:r>
      <w:r w:rsidRPr="001D458E">
        <w:rPr>
          <w:rFonts w:hint="eastAsia"/>
        </w:rPr>
        <w:t xml:space="preserve">prioritised projects </w:t>
      </w:r>
      <w:r w:rsidRPr="001D458E">
        <w:t>(Vogel 1996 p.57); he was the Director-General of the Administrative Management Agency</w:t>
      </w:r>
      <w:r w:rsidRPr="001D458E">
        <w:rPr>
          <w:rFonts w:hint="eastAsia"/>
        </w:rPr>
        <w:t>, who was responsible for this reform,</w:t>
      </w:r>
      <w:r w:rsidRPr="001D458E">
        <w:t xml:space="preserve"> before </w:t>
      </w:r>
      <w:r w:rsidR="00A47F34">
        <w:t xml:space="preserve">being </w:t>
      </w:r>
      <w:r w:rsidRPr="001D458E">
        <w:t xml:space="preserve">promoted to </w:t>
      </w:r>
      <w:r w:rsidR="005F0806">
        <w:t xml:space="preserve">the </w:t>
      </w:r>
      <w:r w:rsidRPr="001D458E">
        <w:t xml:space="preserve">Prime Minister. </w:t>
      </w:r>
      <w:r w:rsidRPr="001D458E">
        <w:rPr>
          <w:rFonts w:hint="eastAsia"/>
        </w:rPr>
        <w:t xml:space="preserve">This </w:t>
      </w:r>
      <w:r w:rsidRPr="001D458E">
        <w:t>administrative</w:t>
      </w:r>
      <w:r w:rsidRPr="001D458E">
        <w:rPr>
          <w:rFonts w:hint="eastAsia"/>
        </w:rPr>
        <w:t xml:space="preserve"> reform was a response to various challenges Japan confronted in that period. V</w:t>
      </w:r>
      <w:r w:rsidRPr="001D458E">
        <w:t>o</w:t>
      </w:r>
      <w:r w:rsidRPr="001D458E">
        <w:rPr>
          <w:rFonts w:hint="eastAsia"/>
        </w:rPr>
        <w:t>gel (1996 pp.54-6) summarises the</w:t>
      </w:r>
      <w:r w:rsidRPr="001D458E">
        <w:t>s</w:t>
      </w:r>
      <w:r w:rsidRPr="001D458E">
        <w:rPr>
          <w:rFonts w:hint="eastAsia"/>
        </w:rPr>
        <w:t>e as</w:t>
      </w:r>
      <w:r w:rsidRPr="001D458E">
        <w:t>:</w:t>
      </w:r>
    </w:p>
    <w:p w14:paraId="0C1FEB14" w14:textId="77777777" w:rsidR="008D0572" w:rsidRPr="001D458E" w:rsidRDefault="0053678A" w:rsidP="001B6C05">
      <w:pPr>
        <w:pStyle w:val="ListParagraph"/>
        <w:numPr>
          <w:ilvl w:val="0"/>
          <w:numId w:val="44"/>
        </w:numPr>
        <w:ind w:left="284" w:hanging="284"/>
        <w:rPr>
          <w:szCs w:val="24"/>
        </w:rPr>
      </w:pPr>
      <w:r>
        <w:rPr>
          <w:rFonts w:eastAsia="MS Mincho" w:hint="eastAsia"/>
          <w:szCs w:val="24"/>
        </w:rPr>
        <w:t>d</w:t>
      </w:r>
      <w:r w:rsidR="008D0572" w:rsidRPr="001D458E">
        <w:rPr>
          <w:szCs w:val="24"/>
        </w:rPr>
        <w:t xml:space="preserve">evolution: </w:t>
      </w:r>
      <w:r w:rsidR="008D0572" w:rsidRPr="001D458E">
        <w:rPr>
          <w:rFonts w:hint="eastAsia"/>
          <w:szCs w:val="24"/>
        </w:rPr>
        <w:t>t</w:t>
      </w:r>
      <w:r w:rsidR="008D0572" w:rsidRPr="001D458E">
        <w:rPr>
          <w:szCs w:val="24"/>
        </w:rPr>
        <w:t>he effectiveness of the highly centralised system, which has characteris</w:t>
      </w:r>
      <w:r w:rsidR="008D0572" w:rsidRPr="001D458E">
        <w:rPr>
          <w:rFonts w:hint="eastAsia"/>
          <w:szCs w:val="24"/>
        </w:rPr>
        <w:t>ed</w:t>
      </w:r>
      <w:r w:rsidR="008D0572" w:rsidRPr="001D458E">
        <w:rPr>
          <w:szCs w:val="24"/>
        </w:rPr>
        <w:t xml:space="preserve"> Japan’s governing system until this period, began to be questioned by </w:t>
      </w:r>
      <w:r w:rsidR="008D0572" w:rsidRPr="001D458E">
        <w:rPr>
          <w:rFonts w:hint="eastAsia"/>
          <w:szCs w:val="24"/>
        </w:rPr>
        <w:t>party politicians and business el</w:t>
      </w:r>
      <w:r w:rsidR="008D0572" w:rsidRPr="001D458E">
        <w:rPr>
          <w:szCs w:val="24"/>
        </w:rPr>
        <w:t>ites (Vogel 1996 p</w:t>
      </w:r>
      <w:r w:rsidR="00757FC6">
        <w:rPr>
          <w:rFonts w:hint="eastAsia"/>
          <w:szCs w:val="24"/>
        </w:rPr>
        <w:t>p</w:t>
      </w:r>
      <w:r w:rsidR="008D0572" w:rsidRPr="001D458E">
        <w:rPr>
          <w:szCs w:val="24"/>
        </w:rPr>
        <w:t xml:space="preserve">.54-5). </w:t>
      </w:r>
      <w:r w:rsidR="008D0572" w:rsidRPr="001D458E">
        <w:rPr>
          <w:rFonts w:hint="eastAsia"/>
          <w:szCs w:val="24"/>
        </w:rPr>
        <w:t>They</w:t>
      </w:r>
      <w:r w:rsidR="008D0572" w:rsidRPr="001D458E">
        <w:rPr>
          <w:szCs w:val="24"/>
        </w:rPr>
        <w:t>, unlike their counterparts in bureaucracy, saw the</w:t>
      </w:r>
      <w:r w:rsidR="008D0572" w:rsidRPr="001D458E">
        <w:rPr>
          <w:i/>
          <w:szCs w:val="24"/>
        </w:rPr>
        <w:t xml:space="preserve"> Rincho</w:t>
      </w:r>
      <w:r w:rsidR="008D0572" w:rsidRPr="001D458E">
        <w:rPr>
          <w:szCs w:val="24"/>
        </w:rPr>
        <w:t xml:space="preserve"> and its administrative reform as a vehicle to decentralise political authority away from the traditional system, in which ‘lead’ government ministries principally managed their responsible sectors (Vogel 1996 p.55)</w:t>
      </w:r>
      <w:r w:rsidR="0054587A">
        <w:rPr>
          <w:rFonts w:hint="eastAsia"/>
          <w:szCs w:val="24"/>
        </w:rPr>
        <w:t>;</w:t>
      </w:r>
    </w:p>
    <w:p w14:paraId="3F8A0EF8" w14:textId="77777777" w:rsidR="008D0572" w:rsidRPr="001D458E" w:rsidRDefault="0053678A" w:rsidP="001B6C05">
      <w:pPr>
        <w:pStyle w:val="ListParagraph"/>
        <w:numPr>
          <w:ilvl w:val="0"/>
          <w:numId w:val="44"/>
        </w:numPr>
        <w:ind w:left="284" w:hanging="284"/>
        <w:rPr>
          <w:szCs w:val="24"/>
        </w:rPr>
      </w:pPr>
      <w:r>
        <w:rPr>
          <w:rFonts w:eastAsia="MS Mincho" w:hint="eastAsia"/>
          <w:szCs w:val="24"/>
        </w:rPr>
        <w:t>s</w:t>
      </w:r>
      <w:r w:rsidR="008D0572" w:rsidRPr="001D458E">
        <w:rPr>
          <w:szCs w:val="24"/>
        </w:rPr>
        <w:t>pending cut</w:t>
      </w:r>
      <w:r w:rsidR="008D0572" w:rsidRPr="001D458E">
        <w:rPr>
          <w:rFonts w:hint="eastAsia"/>
          <w:szCs w:val="24"/>
        </w:rPr>
        <w:t>s</w:t>
      </w:r>
      <w:r w:rsidR="008D0572" w:rsidRPr="001D458E">
        <w:rPr>
          <w:szCs w:val="24"/>
        </w:rPr>
        <w:t xml:space="preserve">: </w:t>
      </w:r>
      <w:r w:rsidR="008D0572" w:rsidRPr="001D458E">
        <w:rPr>
          <w:rFonts w:hint="eastAsia"/>
          <w:szCs w:val="24"/>
        </w:rPr>
        <w:t>a</w:t>
      </w:r>
      <w:r w:rsidR="008D0572" w:rsidRPr="001D458E">
        <w:rPr>
          <w:szCs w:val="24"/>
        </w:rPr>
        <w:t>s economic growth became sluggish by the first Oil Shock</w:t>
      </w:r>
      <w:r w:rsidR="008D0572" w:rsidRPr="001D458E">
        <w:rPr>
          <w:rFonts w:hint="eastAsia"/>
          <w:szCs w:val="24"/>
        </w:rPr>
        <w:t xml:space="preserve">, </w:t>
      </w:r>
      <w:r w:rsidR="008D0572" w:rsidRPr="001D458E">
        <w:rPr>
          <w:szCs w:val="24"/>
        </w:rPr>
        <w:t xml:space="preserve">Prime Minister Kakuei Tanaka’s </w:t>
      </w:r>
      <w:r w:rsidR="008D0572" w:rsidRPr="001D458E">
        <w:rPr>
          <w:rFonts w:hint="eastAsia"/>
          <w:szCs w:val="24"/>
        </w:rPr>
        <w:t xml:space="preserve">(1972-74) </w:t>
      </w:r>
      <w:r w:rsidR="008D0572" w:rsidRPr="001D458E">
        <w:rPr>
          <w:szCs w:val="24"/>
        </w:rPr>
        <w:t xml:space="preserve">public spending boost in the early 1970s created fiscal problems (Vogel 1996 p.55). This problem motivated the Ministry of Finance (MOF) </w:t>
      </w:r>
      <w:r w:rsidR="008D0572" w:rsidRPr="001D458E">
        <w:rPr>
          <w:rFonts w:hint="eastAsia"/>
          <w:szCs w:val="24"/>
        </w:rPr>
        <w:t xml:space="preserve">and the business community </w:t>
      </w:r>
      <w:r w:rsidR="008D0572" w:rsidRPr="001D458E">
        <w:rPr>
          <w:szCs w:val="24"/>
        </w:rPr>
        <w:t>to pursue government spending cut</w:t>
      </w:r>
      <w:r w:rsidR="008D0572" w:rsidRPr="001D458E">
        <w:rPr>
          <w:rFonts w:hint="eastAsia"/>
          <w:szCs w:val="24"/>
        </w:rPr>
        <w:t>s</w:t>
      </w:r>
      <w:r w:rsidR="008D0572" w:rsidRPr="001D458E">
        <w:rPr>
          <w:szCs w:val="24"/>
        </w:rPr>
        <w:t xml:space="preserve"> (Vogel 1996 p.55)</w:t>
      </w:r>
      <w:r w:rsidR="008D0572" w:rsidRPr="001D458E">
        <w:rPr>
          <w:rFonts w:hint="eastAsia"/>
          <w:szCs w:val="24"/>
        </w:rPr>
        <w:t>. In particular, t</w:t>
      </w:r>
      <w:r w:rsidR="008D0572" w:rsidRPr="001D458E">
        <w:rPr>
          <w:szCs w:val="24"/>
        </w:rPr>
        <w:t>h</w:t>
      </w:r>
      <w:r w:rsidR="008D0572" w:rsidRPr="001D458E">
        <w:rPr>
          <w:rFonts w:hint="eastAsia"/>
          <w:szCs w:val="24"/>
        </w:rPr>
        <w:t>e latter</w:t>
      </w:r>
      <w:r w:rsidR="008D0572" w:rsidRPr="001D458E">
        <w:rPr>
          <w:szCs w:val="24"/>
        </w:rPr>
        <w:t xml:space="preserve"> resented corporate tax increase</w:t>
      </w:r>
      <w:r w:rsidR="008D0572" w:rsidRPr="001D458E">
        <w:rPr>
          <w:rFonts w:hint="eastAsia"/>
          <w:szCs w:val="24"/>
        </w:rPr>
        <w:t>s</w:t>
      </w:r>
      <w:r w:rsidR="008D0572" w:rsidRPr="001D458E">
        <w:rPr>
          <w:szCs w:val="24"/>
        </w:rPr>
        <w:t xml:space="preserve"> and felt </w:t>
      </w:r>
      <w:r w:rsidR="00A47F34">
        <w:rPr>
          <w:szCs w:val="24"/>
        </w:rPr>
        <w:t xml:space="preserve">the </w:t>
      </w:r>
      <w:r w:rsidR="008D0572" w:rsidRPr="001D458E">
        <w:rPr>
          <w:szCs w:val="24"/>
        </w:rPr>
        <w:t>government’</w:t>
      </w:r>
      <w:r w:rsidR="008D0572" w:rsidRPr="001D458E">
        <w:rPr>
          <w:rFonts w:hint="eastAsia"/>
          <w:szCs w:val="24"/>
        </w:rPr>
        <w:t xml:space="preserve">s attitude irresponsible, while </w:t>
      </w:r>
      <w:r w:rsidR="008D0572" w:rsidRPr="001D458E">
        <w:rPr>
          <w:szCs w:val="24"/>
        </w:rPr>
        <w:t>private firms were struggling to cut their costs</w:t>
      </w:r>
      <w:r w:rsidR="008D0572" w:rsidRPr="001D458E">
        <w:rPr>
          <w:rFonts w:hint="eastAsia"/>
          <w:szCs w:val="24"/>
        </w:rPr>
        <w:t xml:space="preserve"> (Vogel 1996 p.55)</w:t>
      </w:r>
      <w:r w:rsidR="0054587A">
        <w:rPr>
          <w:rFonts w:hint="eastAsia"/>
          <w:szCs w:val="24"/>
        </w:rPr>
        <w:t>; and</w:t>
      </w:r>
    </w:p>
    <w:p w14:paraId="2E6D1C7B" w14:textId="77777777" w:rsidR="008D0572" w:rsidRPr="001D458E" w:rsidRDefault="0053678A" w:rsidP="001B6C05">
      <w:pPr>
        <w:pStyle w:val="ListParagraph"/>
        <w:numPr>
          <w:ilvl w:val="0"/>
          <w:numId w:val="44"/>
        </w:numPr>
        <w:ind w:left="284" w:hanging="284"/>
        <w:rPr>
          <w:szCs w:val="24"/>
        </w:rPr>
      </w:pPr>
      <w:r>
        <w:rPr>
          <w:rFonts w:eastAsia="MS Mincho" w:hint="eastAsia"/>
          <w:szCs w:val="24"/>
        </w:rPr>
        <w:t xml:space="preserve">the </w:t>
      </w:r>
      <w:r w:rsidR="008D0572" w:rsidRPr="001D458E">
        <w:rPr>
          <w:szCs w:val="24"/>
        </w:rPr>
        <w:t xml:space="preserve">LDP’s electoral strategy: </w:t>
      </w:r>
      <w:r w:rsidR="008D0572" w:rsidRPr="001D458E">
        <w:rPr>
          <w:rFonts w:hint="eastAsia"/>
          <w:szCs w:val="24"/>
        </w:rPr>
        <w:t>t</w:t>
      </w:r>
      <w:r w:rsidR="008D0572" w:rsidRPr="001D458E">
        <w:rPr>
          <w:szCs w:val="24"/>
        </w:rPr>
        <w:t xml:space="preserve">he rising electoral power of the urban middle class and the declining rural population became a significant challenge to the LDP, </w:t>
      </w:r>
      <w:r w:rsidR="008D0572" w:rsidRPr="001D458E">
        <w:rPr>
          <w:rFonts w:hint="eastAsia"/>
          <w:szCs w:val="24"/>
        </w:rPr>
        <w:t xml:space="preserve">as the party </w:t>
      </w:r>
      <w:r w:rsidR="008D0572" w:rsidRPr="001D458E">
        <w:rPr>
          <w:szCs w:val="24"/>
        </w:rPr>
        <w:t>traditional</w:t>
      </w:r>
      <w:r w:rsidR="008D0572" w:rsidRPr="001D458E">
        <w:rPr>
          <w:rFonts w:hint="eastAsia"/>
          <w:szCs w:val="24"/>
        </w:rPr>
        <w:t>ly</w:t>
      </w:r>
      <w:r w:rsidR="008D0572" w:rsidRPr="001D458E">
        <w:rPr>
          <w:szCs w:val="24"/>
        </w:rPr>
        <w:t xml:space="preserve"> depended on its dominance in rural areas (Vogel 1996 p.55). To cope with this challenge, the LDP </w:t>
      </w:r>
      <w:r w:rsidR="008D0572" w:rsidRPr="001D458E">
        <w:rPr>
          <w:rFonts w:hint="eastAsia"/>
          <w:szCs w:val="24"/>
        </w:rPr>
        <w:t>sought</w:t>
      </w:r>
      <w:r w:rsidR="008D0572" w:rsidRPr="001D458E">
        <w:rPr>
          <w:szCs w:val="24"/>
        </w:rPr>
        <w:t xml:space="preserve"> to liberalise the economy to appease the emerging urban middle class (Vogel 1996 pp.55-6). </w:t>
      </w:r>
      <w:r w:rsidR="008D0572" w:rsidRPr="001D458E">
        <w:rPr>
          <w:rFonts w:hint="eastAsia"/>
          <w:szCs w:val="24"/>
        </w:rPr>
        <w:t>T</w:t>
      </w:r>
      <w:r w:rsidR="008D0572" w:rsidRPr="001D458E">
        <w:rPr>
          <w:szCs w:val="24"/>
        </w:rPr>
        <w:t xml:space="preserve">he LDP </w:t>
      </w:r>
      <w:r w:rsidR="008D0572" w:rsidRPr="001D458E">
        <w:rPr>
          <w:rFonts w:hint="eastAsia"/>
          <w:szCs w:val="24"/>
        </w:rPr>
        <w:t>also avoid</w:t>
      </w:r>
      <w:r w:rsidR="008D0572" w:rsidRPr="001D458E">
        <w:rPr>
          <w:szCs w:val="24"/>
        </w:rPr>
        <w:t>ed</w:t>
      </w:r>
      <w:r w:rsidR="008D0572" w:rsidRPr="001D458E">
        <w:rPr>
          <w:rFonts w:hint="eastAsia"/>
          <w:szCs w:val="24"/>
        </w:rPr>
        <w:t xml:space="preserve"> accepting the blame as the principal planner of the change by employing an</w:t>
      </w:r>
      <w:r w:rsidR="008D0572" w:rsidRPr="001D458E">
        <w:rPr>
          <w:szCs w:val="24"/>
        </w:rPr>
        <w:t xml:space="preserve"> outside actor, the </w:t>
      </w:r>
      <w:r w:rsidR="008D0572" w:rsidRPr="001D458E">
        <w:rPr>
          <w:i/>
          <w:szCs w:val="24"/>
        </w:rPr>
        <w:t>Rincho</w:t>
      </w:r>
      <w:r w:rsidR="008D0572" w:rsidRPr="001D458E">
        <w:rPr>
          <w:szCs w:val="24"/>
        </w:rPr>
        <w:t xml:space="preserve">, </w:t>
      </w:r>
      <w:r w:rsidR="008D0572" w:rsidRPr="001D458E">
        <w:rPr>
          <w:rFonts w:hint="eastAsia"/>
          <w:szCs w:val="24"/>
        </w:rPr>
        <w:t xml:space="preserve">as the initiator of the administrative reform </w:t>
      </w:r>
      <w:r w:rsidR="008D0572" w:rsidRPr="001D458E">
        <w:rPr>
          <w:szCs w:val="24"/>
        </w:rPr>
        <w:t>(Vogel 1996 p.56)</w:t>
      </w:r>
      <w:r w:rsidR="008D0572" w:rsidRPr="001D458E">
        <w:rPr>
          <w:rFonts w:hint="eastAsia"/>
          <w:szCs w:val="24"/>
        </w:rPr>
        <w:t xml:space="preserve">. At the same time the LPD </w:t>
      </w:r>
      <w:r w:rsidR="008D0572" w:rsidRPr="001D458E">
        <w:rPr>
          <w:szCs w:val="24"/>
        </w:rPr>
        <w:t xml:space="preserve">permitted </w:t>
      </w:r>
      <w:r w:rsidR="008D0572" w:rsidRPr="001D458E">
        <w:rPr>
          <w:rFonts w:hint="eastAsia"/>
          <w:szCs w:val="24"/>
        </w:rPr>
        <w:t>its</w:t>
      </w:r>
      <w:r w:rsidR="008D0572" w:rsidRPr="001D458E">
        <w:rPr>
          <w:szCs w:val="24"/>
        </w:rPr>
        <w:t xml:space="preserve"> members of the Diet </w:t>
      </w:r>
      <w:r w:rsidR="008D0572" w:rsidRPr="001D458E">
        <w:rPr>
          <w:rFonts w:hint="eastAsia"/>
          <w:szCs w:val="24"/>
        </w:rPr>
        <w:t xml:space="preserve">(parliament) to </w:t>
      </w:r>
      <w:r w:rsidR="008D0572" w:rsidRPr="001D458E">
        <w:rPr>
          <w:szCs w:val="24"/>
        </w:rPr>
        <w:t xml:space="preserve">work to protect their traditional interests </w:t>
      </w:r>
      <w:r w:rsidR="008D0572" w:rsidRPr="001D458E">
        <w:rPr>
          <w:rFonts w:hint="eastAsia"/>
          <w:szCs w:val="24"/>
        </w:rPr>
        <w:t>in order</w:t>
      </w:r>
      <w:r w:rsidR="008D0572" w:rsidRPr="001D458E">
        <w:rPr>
          <w:szCs w:val="24"/>
        </w:rPr>
        <w:t xml:space="preserve"> that the LDP could retain its vote by </w:t>
      </w:r>
      <w:r w:rsidR="00B5375D">
        <w:rPr>
          <w:szCs w:val="24"/>
        </w:rPr>
        <w:t>taking</w:t>
      </w:r>
      <w:r w:rsidR="008D0572" w:rsidRPr="001D458E">
        <w:rPr>
          <w:rFonts w:hint="eastAsia"/>
          <w:szCs w:val="24"/>
        </w:rPr>
        <w:t xml:space="preserve"> the credit as a protector of the interests of </w:t>
      </w:r>
      <w:r w:rsidR="008D0572" w:rsidRPr="001D458E">
        <w:rPr>
          <w:szCs w:val="24"/>
        </w:rPr>
        <w:t>their traditional rural supporters such as farmers and small business owners (Vogel 1996 p.56).</w:t>
      </w:r>
    </w:p>
    <w:p w14:paraId="2AEA731A" w14:textId="77777777" w:rsidR="008D0572" w:rsidRPr="001D458E" w:rsidRDefault="008D0572" w:rsidP="008D0572">
      <w:pPr>
        <w:ind w:firstLine="284"/>
      </w:pPr>
    </w:p>
    <w:p w14:paraId="7F4E6CCE" w14:textId="77777777" w:rsidR="008D0572" w:rsidRPr="001D458E" w:rsidRDefault="008D0572" w:rsidP="008D0572">
      <w:pPr>
        <w:ind w:firstLine="284"/>
      </w:pPr>
      <w:r w:rsidRPr="001D458E">
        <w:rPr>
          <w:rFonts w:hint="eastAsia"/>
        </w:rPr>
        <w:t>T</w:t>
      </w:r>
      <w:r w:rsidRPr="001D458E">
        <w:t xml:space="preserve">he cooperation of civil servants, </w:t>
      </w:r>
      <w:r w:rsidR="00FA1C45">
        <w:rPr>
          <w:rFonts w:hint="eastAsia"/>
          <w:lang w:eastAsia="ja-JP"/>
        </w:rPr>
        <w:t xml:space="preserve">the </w:t>
      </w:r>
      <w:r w:rsidRPr="001D458E">
        <w:t>MOF’s in particular, was vital for the</w:t>
      </w:r>
      <w:r w:rsidRPr="001D458E">
        <w:rPr>
          <w:i/>
        </w:rPr>
        <w:t xml:space="preserve"> Rincho</w:t>
      </w:r>
      <w:r w:rsidRPr="001D458E">
        <w:t xml:space="preserve"> to achieve the administrative reform</w:t>
      </w:r>
      <w:r w:rsidRPr="001D458E">
        <w:rPr>
          <w:rFonts w:hint="eastAsia"/>
        </w:rPr>
        <w:t>. The</w:t>
      </w:r>
      <w:r w:rsidRPr="001D458E">
        <w:rPr>
          <w:rFonts w:hint="eastAsia"/>
          <w:i/>
        </w:rPr>
        <w:t xml:space="preserve"> Rincho</w:t>
      </w:r>
      <w:r w:rsidRPr="001D458E">
        <w:t xml:space="preserve"> negotiated with civil servants (Vogel 1996 p.57). This negotiation shaped the administrative reform into: ‘an exercise in limiting government spending and privatizing public corporations’ (Vogel 1996 p.58).</w:t>
      </w:r>
    </w:p>
    <w:p w14:paraId="7EB11C29" w14:textId="684153E9" w:rsidR="008D0572" w:rsidRPr="001D458E" w:rsidRDefault="008D0572" w:rsidP="00E41504">
      <w:pPr>
        <w:ind w:firstLine="284"/>
      </w:pPr>
      <w:r w:rsidRPr="001D458E">
        <w:t>One of the targets in this reform was the telecommunications sector, wh</w:t>
      </w:r>
      <w:r w:rsidRPr="001D458E">
        <w:rPr>
          <w:rFonts w:hint="eastAsia"/>
        </w:rPr>
        <w:t>ich was monopolised by two state sponsored corporations, the NTT (the state corporation for domestic telecommunications) and the KDD (the state sponsored private corporation established by law for international telecommunications)</w:t>
      </w:r>
      <w:r w:rsidRPr="001D458E">
        <w:t xml:space="preserve">. Under the previous system before the regulatory reform </w:t>
      </w:r>
      <w:r w:rsidRPr="001D458E">
        <w:rPr>
          <w:rFonts w:hint="eastAsia"/>
        </w:rPr>
        <w:t>in</w:t>
      </w:r>
      <w:r w:rsidRPr="001D458E">
        <w:t xml:space="preserve"> 1985, it was the NTT wh</w:t>
      </w:r>
      <w:r w:rsidRPr="001D458E">
        <w:rPr>
          <w:rFonts w:hint="eastAsia"/>
        </w:rPr>
        <w:t>ich</w:t>
      </w:r>
      <w:r w:rsidRPr="001D458E">
        <w:t xml:space="preserve"> attained the dual goals of nationwide direct dialling in 1977 and </w:t>
      </w:r>
      <w:r w:rsidRPr="001D458E">
        <w:rPr>
          <w:rFonts w:hint="eastAsia"/>
        </w:rPr>
        <w:t xml:space="preserve">universal service in </w:t>
      </w:r>
      <w:r w:rsidRPr="001D458E">
        <w:t>1978 (Vogel 1996 p.141</w:t>
      </w:r>
      <w:r w:rsidRPr="001D458E">
        <w:rPr>
          <w:rFonts w:hint="eastAsia"/>
        </w:rPr>
        <w:t>, Kojima 2004</w:t>
      </w:r>
      <w:r w:rsidRPr="001D458E">
        <w:t xml:space="preserve"> pp.302-19</w:t>
      </w:r>
      <w:r w:rsidRPr="001D458E">
        <w:rPr>
          <w:rFonts w:hint="eastAsia"/>
        </w:rPr>
        <w:t>, Takahashi 2009 p.p.142-3</w:t>
      </w:r>
      <w:r w:rsidRPr="001D458E">
        <w:t xml:space="preserve">). The </w:t>
      </w:r>
      <w:r w:rsidR="00F155D9" w:rsidRPr="001D458E">
        <w:t>supervisory</w:t>
      </w:r>
      <w:r w:rsidRPr="001D458E">
        <w:t xml:space="preserve"> section of the MPT, the regulator to the NTT since 1952, was marginalised by the NTT, because the MPT </w:t>
      </w:r>
      <w:r w:rsidRPr="001D458E">
        <w:rPr>
          <w:rFonts w:hint="eastAsia"/>
        </w:rPr>
        <w:t xml:space="preserve">had </w:t>
      </w:r>
      <w:r w:rsidRPr="001D458E">
        <w:t xml:space="preserve">concentrated on running </w:t>
      </w:r>
      <w:r w:rsidRPr="001D458E">
        <w:rPr>
          <w:rFonts w:hint="eastAsia"/>
        </w:rPr>
        <w:t xml:space="preserve">the </w:t>
      </w:r>
      <w:r w:rsidRPr="001D458E">
        <w:t xml:space="preserve">postal services, leaving its telecommunications regulation section, the Telecommunications Inspectorate, </w:t>
      </w:r>
      <w:r w:rsidRPr="001D458E">
        <w:rPr>
          <w:rFonts w:hint="eastAsia"/>
        </w:rPr>
        <w:t>unable</w:t>
      </w:r>
      <w:r w:rsidRPr="001D458E">
        <w:t xml:space="preserve"> </w:t>
      </w:r>
      <w:r w:rsidRPr="001D458E">
        <w:rPr>
          <w:rFonts w:hint="eastAsia"/>
        </w:rPr>
        <w:t xml:space="preserve">to </w:t>
      </w:r>
      <w:r w:rsidRPr="001D458E">
        <w:t>fulfil</w:t>
      </w:r>
      <w:r w:rsidRPr="001D458E">
        <w:rPr>
          <w:rFonts w:hint="eastAsia"/>
        </w:rPr>
        <w:t xml:space="preserve"> its responsibility of regulating the NTT </w:t>
      </w:r>
      <w:r w:rsidRPr="001D458E">
        <w:t>(Vogel 1996 pp.139-42</w:t>
      </w:r>
      <w:r w:rsidRPr="001D458E">
        <w:rPr>
          <w:rFonts w:hint="eastAsia"/>
        </w:rPr>
        <w:t>, Takahashi 2009 p.107</w:t>
      </w:r>
      <w:r w:rsidRPr="001D458E">
        <w:t>). Th</w:t>
      </w:r>
      <w:r w:rsidR="00764FA9">
        <w:rPr>
          <w:rFonts w:hint="eastAsia"/>
          <w:lang w:eastAsia="ja-JP"/>
        </w:rPr>
        <w:t>e</w:t>
      </w:r>
      <w:r w:rsidRPr="001D458E">
        <w:t xml:space="preserve"> Telecommunications Inspectorate was staffed with only </w:t>
      </w:r>
      <w:r w:rsidR="00533F7B">
        <w:t xml:space="preserve">a </w:t>
      </w:r>
      <w:r w:rsidRPr="001D458E">
        <w:t>small group of thirty or forty officials headed by two Telecommunications Inspectors (</w:t>
      </w:r>
      <w:r w:rsidRPr="001D458E">
        <w:rPr>
          <w:i/>
          <w:iCs/>
        </w:rPr>
        <w:t>Denkitsu</w:t>
      </w:r>
      <w:r w:rsidR="00F24AB7">
        <w:rPr>
          <w:i/>
          <w:iCs/>
        </w:rPr>
        <w:t>’u</w:t>
      </w:r>
      <w:r w:rsidRPr="001D458E">
        <w:rPr>
          <w:i/>
          <w:iCs/>
        </w:rPr>
        <w:t>shin Kanrikan</w:t>
      </w:r>
      <w:r w:rsidRPr="001D458E">
        <w:t>), one of who</w:t>
      </w:r>
      <w:r w:rsidR="00B5375D">
        <w:t>m</w:t>
      </w:r>
      <w:r w:rsidRPr="001D458E">
        <w:t xml:space="preserve"> was seconded from the NTT with a two</w:t>
      </w:r>
      <w:r w:rsidR="00B5375D">
        <w:t>-</w:t>
      </w:r>
      <w:r w:rsidRPr="001D458E">
        <w:t>year tenure (Vogel 1996 p.142</w:t>
      </w:r>
      <w:r w:rsidRPr="001D458E">
        <w:rPr>
          <w:rFonts w:hint="eastAsia"/>
        </w:rPr>
        <w:t>, Takahashi 2009 p.107</w:t>
      </w:r>
      <w:r w:rsidRPr="001D458E">
        <w:t>). The status of the NTT as a public corporation gave party politicians significant leverage</w:t>
      </w:r>
      <w:r w:rsidR="00533F7B">
        <w:t xml:space="preserve"> over</w:t>
      </w:r>
      <w:r w:rsidRPr="001D458E">
        <w:t xml:space="preserve"> the NTT. The Diet approved </w:t>
      </w:r>
      <w:r w:rsidR="0053678A">
        <w:rPr>
          <w:rFonts w:eastAsia="MS Mincho" w:hint="eastAsia"/>
          <w:lang w:eastAsia="ja-JP"/>
        </w:rPr>
        <w:t xml:space="preserve">the </w:t>
      </w:r>
      <w:r w:rsidRPr="001D458E">
        <w:t>NTT’s annual budgets and major amendments of its service provision, and reviewed its corporate investment plans (Vogel 1996 p.139</w:t>
      </w:r>
      <w:r w:rsidRPr="001D458E">
        <w:rPr>
          <w:rFonts w:hint="eastAsia"/>
        </w:rPr>
        <w:t>, Takahashi 20</w:t>
      </w:r>
      <w:r w:rsidRPr="001D458E">
        <w:t>0</w:t>
      </w:r>
      <w:r w:rsidRPr="001D458E">
        <w:rPr>
          <w:rFonts w:hint="eastAsia"/>
        </w:rPr>
        <w:t>9 pp.105-8</w:t>
      </w:r>
      <w:r w:rsidRPr="001D458E">
        <w:t xml:space="preserve">). Such a wide range of </w:t>
      </w:r>
      <w:r w:rsidR="0053678A">
        <w:rPr>
          <w:rFonts w:eastAsia="MS Mincho" w:hint="eastAsia"/>
          <w:lang w:eastAsia="ja-JP"/>
        </w:rPr>
        <w:t xml:space="preserve">the </w:t>
      </w:r>
      <w:r w:rsidRPr="001D458E">
        <w:t xml:space="preserve">Diet’s </w:t>
      </w:r>
      <w:r w:rsidRPr="001D458E">
        <w:rPr>
          <w:rFonts w:hint="eastAsia"/>
        </w:rPr>
        <w:t>authority over the NTT</w:t>
      </w:r>
      <w:r w:rsidRPr="001D458E">
        <w:t xml:space="preserve"> </w:t>
      </w:r>
      <w:r w:rsidR="00E41504">
        <w:t>prompted</w:t>
      </w:r>
      <w:r w:rsidRPr="001D458E">
        <w:t xml:space="preserve"> party politicians</w:t>
      </w:r>
      <w:r w:rsidR="00E41504">
        <w:t xml:space="preserve"> to</w:t>
      </w:r>
      <w:r w:rsidRPr="001D458E">
        <w:t xml:space="preserve"> interven</w:t>
      </w:r>
      <w:r w:rsidR="00E41504">
        <w:t>e</w:t>
      </w:r>
      <w:r w:rsidRPr="001D458E">
        <w:t xml:space="preserve"> in the </w:t>
      </w:r>
      <w:r w:rsidR="00F24AB7">
        <w:t xml:space="preserve">NTT’s </w:t>
      </w:r>
      <w:r w:rsidRPr="001D458E">
        <w:t>activities. According to Vogel (1996 p.142), ruling LDP members: ‘intervened in telecommunications policy selectively, when they saw political advantage in getting involved.’</w:t>
      </w:r>
      <w:r w:rsidRPr="001D458E">
        <w:rPr>
          <w:rFonts w:hint="eastAsia"/>
        </w:rPr>
        <w:t xml:space="preserve"> He observe</w:t>
      </w:r>
      <w:r w:rsidRPr="001D458E">
        <w:t>s</w:t>
      </w:r>
      <w:r w:rsidRPr="001D458E">
        <w:rPr>
          <w:rFonts w:hint="eastAsia"/>
        </w:rPr>
        <w:t xml:space="preserve"> that they were more </w:t>
      </w:r>
      <w:r w:rsidRPr="001D458E">
        <w:t>interested in bringing services in</w:t>
      </w:r>
      <w:r w:rsidRPr="001D458E">
        <w:rPr>
          <w:rFonts w:hint="eastAsia"/>
        </w:rPr>
        <w:t>to</w:t>
      </w:r>
      <w:r w:rsidRPr="001D458E">
        <w:t xml:space="preserve"> their constituencies than in debating telecommunications policy (Vogel 1996 p.142). Although </w:t>
      </w:r>
      <w:r w:rsidR="003A74A6">
        <w:rPr>
          <w:rFonts w:hint="eastAsia"/>
          <w:lang w:eastAsia="ja-JP"/>
        </w:rPr>
        <w:t xml:space="preserve">the </w:t>
      </w:r>
      <w:r w:rsidRPr="001D458E">
        <w:t>LDP’s long rule (1955-93) marginalised its opposition including the Social Democratic Party of Japan (SDPJ), the NTT Union, the Japan Telecommunication Workers Union (</w:t>
      </w:r>
      <w:r w:rsidRPr="001D458E">
        <w:rPr>
          <w:i/>
        </w:rPr>
        <w:t>Zenkoku Denkitsu</w:t>
      </w:r>
      <w:r w:rsidR="00E41504">
        <w:rPr>
          <w:i/>
        </w:rPr>
        <w:t>’u</w:t>
      </w:r>
      <w:r w:rsidRPr="001D458E">
        <w:rPr>
          <w:i/>
        </w:rPr>
        <w:t>shin Rodo Kumi</w:t>
      </w:r>
      <w:r w:rsidR="00E41504">
        <w:rPr>
          <w:i/>
        </w:rPr>
        <w:t>’</w:t>
      </w:r>
      <w:r w:rsidRPr="001D458E">
        <w:rPr>
          <w:i/>
        </w:rPr>
        <w:t>ai: Zendentsu</w:t>
      </w:r>
      <w:r w:rsidRPr="001D458E">
        <w:t xml:space="preserve">), a strong ally of the SDPJ, had a significant influence over Japan’s politics (Vogel 1996 p.142). </w:t>
      </w:r>
    </w:p>
    <w:p w14:paraId="6B923E83" w14:textId="77777777" w:rsidR="008D0572" w:rsidRPr="001D458E" w:rsidRDefault="008D0572" w:rsidP="008D0572">
      <w:pPr>
        <w:ind w:firstLine="284"/>
      </w:pPr>
      <w:r w:rsidRPr="001D458E">
        <w:t xml:space="preserve"> The creation of the privatised NTT </w:t>
      </w:r>
      <w:r w:rsidRPr="001D458E">
        <w:rPr>
          <w:rFonts w:hint="eastAsia"/>
        </w:rPr>
        <w:t>alongside</w:t>
      </w:r>
      <w:r w:rsidRPr="001D458E">
        <w:t xml:space="preserve"> </w:t>
      </w:r>
      <w:r w:rsidRPr="001D458E">
        <w:rPr>
          <w:rFonts w:hint="eastAsia"/>
        </w:rPr>
        <w:t xml:space="preserve">the </w:t>
      </w:r>
      <w:r w:rsidRPr="001D458E">
        <w:t xml:space="preserve">institutional changes transformed the structure and major actors of the ICT sector. While </w:t>
      </w:r>
      <w:r w:rsidRPr="001D458E">
        <w:rPr>
          <w:rFonts w:hint="eastAsia"/>
        </w:rPr>
        <w:t xml:space="preserve">the </w:t>
      </w:r>
      <w:r w:rsidRPr="001D458E">
        <w:t xml:space="preserve">privatised </w:t>
      </w:r>
      <w:r w:rsidRPr="001D458E">
        <w:rPr>
          <w:rFonts w:hint="eastAsia"/>
        </w:rPr>
        <w:t xml:space="preserve">NTT </w:t>
      </w:r>
      <w:r w:rsidRPr="001D458E">
        <w:t xml:space="preserve">began concentrating on its business operation, major regulatory functions were transferred to the MPT (See Table 5.1). </w:t>
      </w:r>
    </w:p>
    <w:p w14:paraId="64751DE6" w14:textId="77777777" w:rsidR="008D0572" w:rsidRPr="001D458E" w:rsidRDefault="008D0572" w:rsidP="008D0572">
      <w:pPr>
        <w:ind w:firstLine="284"/>
      </w:pPr>
    </w:p>
    <w:p w14:paraId="7C08F98F" w14:textId="77777777" w:rsidR="008D0572" w:rsidRPr="00B21E7E" w:rsidRDefault="008D0572" w:rsidP="00DA2E02">
      <w:pPr>
        <w:pStyle w:val="Heading4"/>
      </w:pPr>
      <w:r w:rsidRPr="00B21E7E">
        <w:t xml:space="preserve">Table 5.1: Primary </w:t>
      </w:r>
      <w:r w:rsidR="0053678A">
        <w:rPr>
          <w:rFonts w:eastAsia="MS Mincho" w:hint="eastAsia"/>
          <w:lang w:eastAsia="ja-JP"/>
        </w:rPr>
        <w:t>a</w:t>
      </w:r>
      <w:r w:rsidRPr="00B21E7E">
        <w:t>uthority before and after 1985 Telecommunications Regulatory Reform (Vogel 1996 p.157)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2"/>
        <w:gridCol w:w="3962"/>
        <w:gridCol w:w="3276"/>
      </w:tblGrid>
      <w:tr w:rsidR="008D0572" w:rsidRPr="001D458E" w14:paraId="0C7AEB50" w14:textId="77777777" w:rsidTr="008D0572">
        <w:tc>
          <w:tcPr>
            <w:tcW w:w="1526" w:type="dxa"/>
            <w:shd w:val="pct20" w:color="auto" w:fill="auto"/>
          </w:tcPr>
          <w:p w14:paraId="7F5AF08F" w14:textId="77777777" w:rsidR="008D0572" w:rsidRPr="001D458E" w:rsidRDefault="008D0572" w:rsidP="008D0572">
            <w:pPr>
              <w:pStyle w:val="NoSpacing"/>
            </w:pPr>
            <w:r w:rsidRPr="001D458E">
              <w:t>Item</w:t>
            </w:r>
          </w:p>
        </w:tc>
        <w:tc>
          <w:tcPr>
            <w:tcW w:w="4252" w:type="dxa"/>
            <w:shd w:val="pct20" w:color="auto" w:fill="auto"/>
          </w:tcPr>
          <w:p w14:paraId="5ECBA9D7" w14:textId="77777777" w:rsidR="008D0572" w:rsidRPr="001D458E" w:rsidRDefault="008D0572" w:rsidP="008D0572">
            <w:pPr>
              <w:pStyle w:val="NoSpacing"/>
            </w:pPr>
            <w:r w:rsidRPr="001D458E">
              <w:t>Primary Authority before 1985</w:t>
            </w:r>
          </w:p>
        </w:tc>
        <w:tc>
          <w:tcPr>
            <w:tcW w:w="3490" w:type="dxa"/>
            <w:shd w:val="pct20" w:color="auto" w:fill="auto"/>
          </w:tcPr>
          <w:p w14:paraId="463F7BBD" w14:textId="77777777" w:rsidR="008D0572" w:rsidRPr="001D458E" w:rsidRDefault="008D0572" w:rsidP="008D0572">
            <w:pPr>
              <w:pStyle w:val="NoSpacing"/>
            </w:pPr>
            <w:r w:rsidRPr="001D458E">
              <w:t>Primary authority after 1985</w:t>
            </w:r>
          </w:p>
        </w:tc>
      </w:tr>
      <w:tr w:rsidR="008D0572" w:rsidRPr="001D458E" w14:paraId="01972FA3" w14:textId="77777777" w:rsidTr="008D0572">
        <w:tc>
          <w:tcPr>
            <w:tcW w:w="1526" w:type="dxa"/>
            <w:tcBorders>
              <w:right w:val="nil"/>
            </w:tcBorders>
          </w:tcPr>
          <w:p w14:paraId="62A213E2" w14:textId="77777777" w:rsidR="008D0572" w:rsidRPr="001D458E" w:rsidRDefault="008D0572" w:rsidP="008D0572">
            <w:pPr>
              <w:pStyle w:val="NoSpacing"/>
              <w:rPr>
                <w:b/>
              </w:rPr>
            </w:pPr>
            <w:r w:rsidRPr="001D458E">
              <w:rPr>
                <w:b/>
              </w:rPr>
              <w:t>Telecoms</w:t>
            </w:r>
          </w:p>
          <w:p w14:paraId="7EE1AB4D" w14:textId="77777777" w:rsidR="008D0572" w:rsidRPr="001D458E" w:rsidRDefault="008D0572" w:rsidP="008D0572">
            <w:pPr>
              <w:pStyle w:val="NoSpacing"/>
            </w:pPr>
            <w:r w:rsidRPr="001D458E">
              <w:rPr>
                <w:b/>
              </w:rPr>
              <w:t>Business Law</w:t>
            </w:r>
          </w:p>
        </w:tc>
        <w:tc>
          <w:tcPr>
            <w:tcW w:w="4252" w:type="dxa"/>
            <w:tcBorders>
              <w:left w:val="nil"/>
              <w:right w:val="nil"/>
            </w:tcBorders>
          </w:tcPr>
          <w:p w14:paraId="32759FE3" w14:textId="77777777" w:rsidR="008D0572" w:rsidRPr="001D458E" w:rsidRDefault="008D0572" w:rsidP="008D0572">
            <w:pPr>
              <w:pStyle w:val="NoSpacing"/>
            </w:pPr>
          </w:p>
        </w:tc>
        <w:tc>
          <w:tcPr>
            <w:tcW w:w="3490" w:type="dxa"/>
            <w:tcBorders>
              <w:left w:val="nil"/>
            </w:tcBorders>
          </w:tcPr>
          <w:p w14:paraId="65838521" w14:textId="77777777" w:rsidR="008D0572" w:rsidRPr="001D458E" w:rsidRDefault="008D0572" w:rsidP="008D0572">
            <w:pPr>
              <w:pStyle w:val="NoSpacing"/>
            </w:pPr>
          </w:p>
        </w:tc>
      </w:tr>
      <w:tr w:rsidR="008D0572" w:rsidRPr="001D458E" w14:paraId="1F3889A8" w14:textId="77777777" w:rsidTr="008D0572">
        <w:tc>
          <w:tcPr>
            <w:tcW w:w="1526" w:type="dxa"/>
          </w:tcPr>
          <w:p w14:paraId="200B423B" w14:textId="77777777" w:rsidR="008D0572" w:rsidRPr="001D458E" w:rsidRDefault="008D0572" w:rsidP="008D0572">
            <w:pPr>
              <w:pStyle w:val="NoSpacing"/>
            </w:pPr>
            <w:r w:rsidRPr="001D458E">
              <w:t>Entry</w:t>
            </w:r>
          </w:p>
        </w:tc>
        <w:tc>
          <w:tcPr>
            <w:tcW w:w="4252" w:type="dxa"/>
          </w:tcPr>
          <w:p w14:paraId="6AF885E2" w14:textId="77777777" w:rsidR="008D0572" w:rsidRPr="001D458E" w:rsidRDefault="008D0572" w:rsidP="008D0572">
            <w:pPr>
              <w:pStyle w:val="NoSpacing"/>
            </w:pPr>
            <w:r w:rsidRPr="001D458E">
              <w:t>Diet (NTT is designated as the monopoly service provider.)</w:t>
            </w:r>
          </w:p>
        </w:tc>
        <w:tc>
          <w:tcPr>
            <w:tcW w:w="3490" w:type="dxa"/>
          </w:tcPr>
          <w:p w14:paraId="5B351A23" w14:textId="77777777" w:rsidR="008D0572" w:rsidRPr="001D458E" w:rsidRDefault="008D0572" w:rsidP="008D0572">
            <w:pPr>
              <w:pStyle w:val="NoSpacing"/>
            </w:pPr>
            <w:r w:rsidRPr="001D458E">
              <w:t>MPT</w:t>
            </w:r>
          </w:p>
        </w:tc>
      </w:tr>
      <w:tr w:rsidR="008D0572" w:rsidRPr="001D458E" w14:paraId="76727632" w14:textId="77777777" w:rsidTr="008D0572">
        <w:tc>
          <w:tcPr>
            <w:tcW w:w="1526" w:type="dxa"/>
          </w:tcPr>
          <w:p w14:paraId="5705BCCF" w14:textId="77777777" w:rsidR="008D0572" w:rsidRPr="001D458E" w:rsidRDefault="008D0572" w:rsidP="008D0572">
            <w:pPr>
              <w:pStyle w:val="NoSpacing"/>
            </w:pPr>
            <w:r w:rsidRPr="001D458E">
              <w:t>Prices</w:t>
            </w:r>
          </w:p>
        </w:tc>
        <w:tc>
          <w:tcPr>
            <w:tcW w:w="4252" w:type="dxa"/>
          </w:tcPr>
          <w:p w14:paraId="122935AE" w14:textId="77777777" w:rsidR="008D0572" w:rsidRPr="001D458E" w:rsidRDefault="008D0572" w:rsidP="008D0572">
            <w:pPr>
              <w:pStyle w:val="NoSpacing"/>
            </w:pPr>
            <w:r w:rsidRPr="001D458E">
              <w:t>Diet (Basic services prices set by law; NTT free to set prices on certain items.)</w:t>
            </w:r>
          </w:p>
        </w:tc>
        <w:tc>
          <w:tcPr>
            <w:tcW w:w="3490" w:type="dxa"/>
          </w:tcPr>
          <w:p w14:paraId="51FD1DF1" w14:textId="77777777" w:rsidR="008D0572" w:rsidRPr="001D458E" w:rsidRDefault="008D0572" w:rsidP="008D0572">
            <w:pPr>
              <w:pStyle w:val="NoSpacing"/>
            </w:pPr>
            <w:r w:rsidRPr="001D458E">
              <w:t>MPT</w:t>
            </w:r>
          </w:p>
        </w:tc>
      </w:tr>
      <w:tr w:rsidR="008D0572" w:rsidRPr="001D458E" w14:paraId="5B11C5EF" w14:textId="77777777" w:rsidTr="008D0572">
        <w:tc>
          <w:tcPr>
            <w:tcW w:w="1526" w:type="dxa"/>
          </w:tcPr>
          <w:p w14:paraId="202D5F97" w14:textId="77777777" w:rsidR="008D0572" w:rsidRPr="001D458E" w:rsidRDefault="008D0572" w:rsidP="008D0572">
            <w:pPr>
              <w:pStyle w:val="NoSpacing"/>
            </w:pPr>
            <w:r w:rsidRPr="001D458E">
              <w:t>Services</w:t>
            </w:r>
          </w:p>
        </w:tc>
        <w:tc>
          <w:tcPr>
            <w:tcW w:w="4252" w:type="dxa"/>
          </w:tcPr>
          <w:p w14:paraId="07B8EE6A" w14:textId="77777777" w:rsidR="008D0572" w:rsidRPr="001D458E" w:rsidRDefault="008D0572" w:rsidP="008D0572">
            <w:pPr>
              <w:pStyle w:val="NoSpacing"/>
            </w:pPr>
            <w:r w:rsidRPr="001D458E">
              <w:t>Diet (Basic guidelines set in law; items not covered subject to MPT approval.)</w:t>
            </w:r>
          </w:p>
        </w:tc>
        <w:tc>
          <w:tcPr>
            <w:tcW w:w="3490" w:type="dxa"/>
          </w:tcPr>
          <w:p w14:paraId="5C9F01B8" w14:textId="77777777" w:rsidR="008D0572" w:rsidRPr="001D458E" w:rsidRDefault="008D0572" w:rsidP="008D0572">
            <w:pPr>
              <w:pStyle w:val="NoSpacing"/>
            </w:pPr>
            <w:r w:rsidRPr="001D458E">
              <w:t>MPT</w:t>
            </w:r>
          </w:p>
        </w:tc>
      </w:tr>
      <w:tr w:rsidR="008D0572" w:rsidRPr="001D458E" w14:paraId="1CE91EB2" w14:textId="77777777" w:rsidTr="008D0572">
        <w:tc>
          <w:tcPr>
            <w:tcW w:w="1526" w:type="dxa"/>
          </w:tcPr>
          <w:p w14:paraId="53E356B6" w14:textId="77777777" w:rsidR="008D0572" w:rsidRPr="001D458E" w:rsidRDefault="008D0572" w:rsidP="008D0572">
            <w:pPr>
              <w:pStyle w:val="NoSpacing"/>
            </w:pPr>
            <w:r w:rsidRPr="001D458E">
              <w:t>Technical</w:t>
            </w:r>
          </w:p>
          <w:p w14:paraId="53826BBE" w14:textId="77777777" w:rsidR="008D0572" w:rsidRPr="001D458E" w:rsidRDefault="008D0572" w:rsidP="008D0572">
            <w:pPr>
              <w:pStyle w:val="NoSpacing"/>
            </w:pPr>
            <w:r w:rsidRPr="001D458E">
              <w:t>Standards</w:t>
            </w:r>
          </w:p>
        </w:tc>
        <w:tc>
          <w:tcPr>
            <w:tcW w:w="4252" w:type="dxa"/>
          </w:tcPr>
          <w:p w14:paraId="4D6C39E1" w14:textId="77777777" w:rsidR="008D0572" w:rsidRPr="001D458E" w:rsidRDefault="008D0572" w:rsidP="008D0572">
            <w:pPr>
              <w:pStyle w:val="NoSpacing"/>
            </w:pPr>
            <w:r w:rsidRPr="001D458E">
              <w:t>NTT (Set by NTT for network; set by the MPT for customer equipment.)</w:t>
            </w:r>
          </w:p>
        </w:tc>
        <w:tc>
          <w:tcPr>
            <w:tcW w:w="3490" w:type="dxa"/>
          </w:tcPr>
          <w:p w14:paraId="4BF54F1E" w14:textId="77777777" w:rsidR="008D0572" w:rsidRPr="001D458E" w:rsidRDefault="008D0572" w:rsidP="008D0572">
            <w:pPr>
              <w:pStyle w:val="NoSpacing"/>
            </w:pPr>
            <w:r w:rsidRPr="001D458E">
              <w:t>MPT (Set by the MPT’s Telecoms Deliberation Council.)</w:t>
            </w:r>
          </w:p>
        </w:tc>
      </w:tr>
      <w:tr w:rsidR="008D0572" w:rsidRPr="001D458E" w14:paraId="1964C75B" w14:textId="77777777" w:rsidTr="008D0572">
        <w:tc>
          <w:tcPr>
            <w:tcW w:w="1526" w:type="dxa"/>
            <w:tcBorders>
              <w:right w:val="nil"/>
            </w:tcBorders>
          </w:tcPr>
          <w:p w14:paraId="364B629D" w14:textId="77777777" w:rsidR="008D0572" w:rsidRPr="001D458E" w:rsidRDefault="008D0572" w:rsidP="008D0572">
            <w:pPr>
              <w:pStyle w:val="NoSpacing"/>
              <w:rPr>
                <w:b/>
              </w:rPr>
            </w:pPr>
            <w:r w:rsidRPr="001D458E">
              <w:rPr>
                <w:b/>
              </w:rPr>
              <w:t>NTT Law</w:t>
            </w:r>
          </w:p>
        </w:tc>
        <w:tc>
          <w:tcPr>
            <w:tcW w:w="4252" w:type="dxa"/>
            <w:tcBorders>
              <w:left w:val="nil"/>
              <w:right w:val="nil"/>
            </w:tcBorders>
          </w:tcPr>
          <w:p w14:paraId="0512F39C" w14:textId="77777777" w:rsidR="008D0572" w:rsidRPr="001D458E" w:rsidRDefault="008D0572" w:rsidP="008D0572">
            <w:pPr>
              <w:pStyle w:val="NoSpacing"/>
            </w:pPr>
          </w:p>
        </w:tc>
        <w:tc>
          <w:tcPr>
            <w:tcW w:w="3490" w:type="dxa"/>
            <w:tcBorders>
              <w:left w:val="nil"/>
            </w:tcBorders>
          </w:tcPr>
          <w:p w14:paraId="43186197" w14:textId="77777777" w:rsidR="008D0572" w:rsidRPr="001D458E" w:rsidRDefault="008D0572" w:rsidP="008D0572">
            <w:pPr>
              <w:pStyle w:val="NoSpacing"/>
            </w:pPr>
          </w:p>
        </w:tc>
      </w:tr>
      <w:tr w:rsidR="008D0572" w:rsidRPr="001D458E" w14:paraId="4A06B923" w14:textId="77777777" w:rsidTr="008D0572">
        <w:tc>
          <w:tcPr>
            <w:tcW w:w="1526" w:type="dxa"/>
          </w:tcPr>
          <w:p w14:paraId="4A40BE4E" w14:textId="77777777" w:rsidR="008D0572" w:rsidRPr="001D458E" w:rsidRDefault="008D0572" w:rsidP="008D0572">
            <w:pPr>
              <w:pStyle w:val="NoSpacing"/>
            </w:pPr>
            <w:r w:rsidRPr="001D458E">
              <w:t>Budget</w:t>
            </w:r>
          </w:p>
        </w:tc>
        <w:tc>
          <w:tcPr>
            <w:tcW w:w="4252" w:type="dxa"/>
          </w:tcPr>
          <w:p w14:paraId="30D1A4C8" w14:textId="77777777" w:rsidR="008D0572" w:rsidRPr="001D458E" w:rsidRDefault="008D0572" w:rsidP="008D0572">
            <w:pPr>
              <w:pStyle w:val="NoSpacing"/>
            </w:pPr>
            <w:r w:rsidRPr="001D458E">
              <w:t>Diet (Requires Diet approval.)</w:t>
            </w:r>
          </w:p>
        </w:tc>
        <w:tc>
          <w:tcPr>
            <w:tcW w:w="3490" w:type="dxa"/>
          </w:tcPr>
          <w:p w14:paraId="75AB5C74" w14:textId="77777777" w:rsidR="008D0572" w:rsidRPr="001D458E" w:rsidRDefault="008D0572" w:rsidP="008D0572">
            <w:pPr>
              <w:pStyle w:val="NoSpacing"/>
            </w:pPr>
            <w:r w:rsidRPr="001D458E">
              <w:t>NTT (Business plan requires MPT approvals; budget must be attached.)</w:t>
            </w:r>
          </w:p>
        </w:tc>
      </w:tr>
      <w:tr w:rsidR="008D0572" w:rsidRPr="001D458E" w14:paraId="301FD6DC" w14:textId="77777777" w:rsidTr="008D0572">
        <w:tc>
          <w:tcPr>
            <w:tcW w:w="1526" w:type="dxa"/>
          </w:tcPr>
          <w:p w14:paraId="7EF95C3C" w14:textId="77777777" w:rsidR="008D0572" w:rsidRPr="001D458E" w:rsidRDefault="008D0572" w:rsidP="008D0572">
            <w:pPr>
              <w:pStyle w:val="NoSpacing"/>
            </w:pPr>
            <w:r w:rsidRPr="001D458E">
              <w:t>Personnel</w:t>
            </w:r>
          </w:p>
        </w:tc>
        <w:tc>
          <w:tcPr>
            <w:tcW w:w="4252" w:type="dxa"/>
          </w:tcPr>
          <w:p w14:paraId="3F5478E9" w14:textId="77777777" w:rsidR="008D0572" w:rsidRPr="001D458E" w:rsidRDefault="008D0572" w:rsidP="008D0572">
            <w:pPr>
              <w:pStyle w:val="NoSpacing"/>
            </w:pPr>
            <w:r w:rsidRPr="001D458E">
              <w:t>Diet (Subject to Diet approval through budget process; certain guidelines written into law.)</w:t>
            </w:r>
          </w:p>
        </w:tc>
        <w:tc>
          <w:tcPr>
            <w:tcW w:w="3490" w:type="dxa"/>
          </w:tcPr>
          <w:p w14:paraId="26AF5A16" w14:textId="77777777" w:rsidR="008D0572" w:rsidRPr="001D458E" w:rsidRDefault="008D0572" w:rsidP="008D0572">
            <w:pPr>
              <w:pStyle w:val="NoSpacing"/>
            </w:pPr>
            <w:r w:rsidRPr="001D458E">
              <w:t>NTT</w:t>
            </w:r>
          </w:p>
        </w:tc>
      </w:tr>
    </w:tbl>
    <w:p w14:paraId="508279BB" w14:textId="77777777" w:rsidR="008D0572" w:rsidRPr="001D458E" w:rsidRDefault="008D0572" w:rsidP="008D0572"/>
    <w:p w14:paraId="3884E389" w14:textId="3BFE98BD" w:rsidR="008938B0" w:rsidRDefault="008D0572" w:rsidP="00725605">
      <w:r w:rsidRPr="001D458E">
        <w:t xml:space="preserve">The MPT emerged as the dominant regulator after the regulatory reform in 1985. According to Vogel (1996 p.161): ‘the dominance of NTT within the old regime has been replaced by the dominance of the MPT within the new regime’. </w:t>
      </w:r>
      <w:r w:rsidRPr="001D458E">
        <w:rPr>
          <w:rFonts w:hint="eastAsia"/>
        </w:rPr>
        <w:t>T</w:t>
      </w:r>
      <w:r w:rsidRPr="001D458E">
        <w:t xml:space="preserve">he role of the MPT in the policy making sphere </w:t>
      </w:r>
      <w:r w:rsidR="008938B0">
        <w:t>was significantly increased</w:t>
      </w:r>
      <w:r w:rsidRPr="001D458E">
        <w:t>.</w:t>
      </w:r>
      <w:r w:rsidR="00FA756E">
        <w:t xml:space="preserve"> </w:t>
      </w:r>
    </w:p>
    <w:p w14:paraId="411F46CC" w14:textId="31366BFE" w:rsidR="008D0572" w:rsidRDefault="008938B0" w:rsidP="00811295">
      <w:pPr>
        <w:ind w:firstLine="284"/>
      </w:pPr>
      <w:r>
        <w:t>Elsewhere, a</w:t>
      </w:r>
      <w:r w:rsidR="00FA756E">
        <w:t xml:space="preserve"> </w:t>
      </w:r>
      <w:r w:rsidR="001571CE">
        <w:t xml:space="preserve">key </w:t>
      </w:r>
      <w:r w:rsidR="00353608">
        <w:t xml:space="preserve">issue characterising </w:t>
      </w:r>
      <w:r w:rsidR="001571CE">
        <w:t>ICT regulation</w:t>
      </w:r>
      <w:r w:rsidR="00FA756E">
        <w:t xml:space="preserve"> </w:t>
      </w:r>
      <w:r w:rsidR="00C44FC9">
        <w:t>wa</w:t>
      </w:r>
      <w:r w:rsidR="00353608">
        <w:t xml:space="preserve">s a group of </w:t>
      </w:r>
      <w:r w:rsidR="00141399">
        <w:t>party politicians</w:t>
      </w:r>
      <w:r w:rsidR="001800C9">
        <w:t xml:space="preserve"> with </w:t>
      </w:r>
      <w:r w:rsidR="00353608">
        <w:t>specialis</w:t>
      </w:r>
      <w:r w:rsidR="001800C9">
        <w:t>m</w:t>
      </w:r>
      <w:r w:rsidR="00353608">
        <w:t xml:space="preserve"> in the sector including th</w:t>
      </w:r>
      <w:r w:rsidR="00C44FC9">
        <w:t>e group</w:t>
      </w:r>
      <w:r w:rsidR="00353608">
        <w:t xml:space="preserve"> called </w:t>
      </w:r>
      <w:r w:rsidR="00F77E54" w:rsidRPr="005B18BE">
        <w:rPr>
          <w:i/>
          <w:iCs/>
        </w:rPr>
        <w:t>Yusei- Zoku</w:t>
      </w:r>
      <w:r w:rsidR="00141399" w:rsidRPr="001D458E">
        <w:rPr>
          <w:rStyle w:val="FootnoteReference"/>
        </w:rPr>
        <w:footnoteReference w:id="47"/>
      </w:r>
      <w:r w:rsidR="00141399" w:rsidRPr="001D458E">
        <w:t xml:space="preserve"> (Post Tribe)</w:t>
      </w:r>
      <w:r w:rsidR="00353608">
        <w:t xml:space="preserve"> in the LDP</w:t>
      </w:r>
      <w:r w:rsidR="00FA756E">
        <w:t>.</w:t>
      </w:r>
      <w:r w:rsidR="001800C9">
        <w:t xml:space="preserve"> In the light of the fact that t</w:t>
      </w:r>
      <w:r w:rsidR="00BC7BE0">
        <w:t xml:space="preserve">he LDP dominated government </w:t>
      </w:r>
      <w:r w:rsidR="009651E6">
        <w:t xml:space="preserve">in most of the post-war era up until </w:t>
      </w:r>
      <w:r w:rsidR="00BC7BE0">
        <w:t>2009,</w:t>
      </w:r>
      <w:r w:rsidR="009651E6">
        <w:t xml:space="preserve"> </w:t>
      </w:r>
      <w:r w:rsidR="00BC7BE0">
        <w:t xml:space="preserve">the significance of </w:t>
      </w:r>
      <w:r w:rsidR="00F77E54" w:rsidRPr="005B18BE">
        <w:rPr>
          <w:i/>
          <w:iCs/>
        </w:rPr>
        <w:t>Yusei-Zoku</w:t>
      </w:r>
      <w:r w:rsidR="00BC7BE0">
        <w:t xml:space="preserve"> was evident</w:t>
      </w:r>
      <w:r w:rsidR="00DC2029">
        <w:t xml:space="preserve"> (Muramatsu 1991 p.289</w:t>
      </w:r>
      <w:r w:rsidR="00E41504">
        <w:t>, Tsuchiya 2003</w:t>
      </w:r>
      <w:r w:rsidR="00DC2029">
        <w:t>)</w:t>
      </w:r>
      <w:r w:rsidR="00BC7BE0">
        <w:t>.</w:t>
      </w:r>
      <w:r>
        <w:t xml:space="preserve"> </w:t>
      </w:r>
      <w:r w:rsidR="00F77E54" w:rsidRPr="005B18BE">
        <w:rPr>
          <w:i/>
          <w:iCs/>
        </w:rPr>
        <w:t>Yusei-Zoku</w:t>
      </w:r>
      <w:r w:rsidR="00BF515C">
        <w:t xml:space="preserve"> </w:t>
      </w:r>
      <w:r w:rsidR="00B856D3">
        <w:t xml:space="preserve">played a </w:t>
      </w:r>
      <w:r w:rsidR="00BC7BE0">
        <w:t>key</w:t>
      </w:r>
      <w:r w:rsidR="00B856D3">
        <w:t xml:space="preserve"> role in </w:t>
      </w:r>
      <w:r w:rsidR="00C44FC9">
        <w:t xml:space="preserve">regulatory </w:t>
      </w:r>
      <w:r w:rsidR="00B856D3">
        <w:t>policy making in ICT</w:t>
      </w:r>
      <w:r w:rsidR="00640945">
        <w:t xml:space="preserve"> by preliminarily examining bills in the LDP PARC Communications Division (Internal Affairs and Communications Division </w:t>
      </w:r>
      <w:r w:rsidR="00946AE8">
        <w:t>a</w:t>
      </w:r>
      <w:r w:rsidR="00640945">
        <w:t>fter 2001)</w:t>
      </w:r>
      <w:r w:rsidR="00946AE8">
        <w:t xml:space="preserve">; as memberof the Division </w:t>
      </w:r>
      <w:r w:rsidR="00946AE8" w:rsidRPr="005B18BE">
        <w:rPr>
          <w:i/>
          <w:iCs/>
        </w:rPr>
        <w:t>Yusei-Zoku</w:t>
      </w:r>
      <w:r w:rsidR="00946AE8">
        <w:t xml:space="preserve"> could </w:t>
      </w:r>
      <w:r w:rsidR="003E7C38">
        <w:t>examine</w:t>
      </w:r>
      <w:r w:rsidR="00946AE8">
        <w:t xml:space="preserve"> key policy issues such as draft bills with discretion</w:t>
      </w:r>
      <w:r w:rsidR="00B856D3">
        <w:t xml:space="preserve"> </w:t>
      </w:r>
      <w:r w:rsidR="00946AE8">
        <w:t>and stop endorsement</w:t>
      </w:r>
      <w:r w:rsidR="009651E6">
        <w:t xml:space="preserve"> if necessary</w:t>
      </w:r>
      <w:r w:rsidR="00946AE8">
        <w:t xml:space="preserve"> </w:t>
      </w:r>
      <w:r w:rsidR="00B856D3">
        <w:t xml:space="preserve">(Inoguchi and Iwai 1987, </w:t>
      </w:r>
      <w:r w:rsidR="00DC2029">
        <w:t xml:space="preserve">Muramatsu 1991, </w:t>
      </w:r>
      <w:r w:rsidR="00B856D3">
        <w:t xml:space="preserve">Vogel 1996, Tsuchiya 2003). </w:t>
      </w:r>
      <w:r w:rsidR="00F77E54" w:rsidRPr="005B18BE">
        <w:rPr>
          <w:i/>
          <w:iCs/>
        </w:rPr>
        <w:t>Yusei-Zoku</w:t>
      </w:r>
      <w:r w:rsidR="00D200F0">
        <w:t xml:space="preserve"> used the PARC and its Communisations Division as </w:t>
      </w:r>
      <w:r w:rsidR="007702E1">
        <w:t>their key tool</w:t>
      </w:r>
      <w:r w:rsidR="00EE3718">
        <w:t xml:space="preserve"> to influence over polic</w:t>
      </w:r>
      <w:r w:rsidR="009651E6">
        <w:t>ies</w:t>
      </w:r>
      <w:r w:rsidR="00EE3718">
        <w:t xml:space="preserve"> by controlling debates in the Division and stop policy making processes if necessary</w:t>
      </w:r>
      <w:r w:rsidR="007702E1">
        <w:t>.</w:t>
      </w:r>
      <w:r w:rsidR="00D200F0">
        <w:t xml:space="preserve"> </w:t>
      </w:r>
      <w:r w:rsidR="00EE3718">
        <w:t>Subsequently</w:t>
      </w:r>
      <w:r w:rsidR="00A00A70">
        <w:t>,</w:t>
      </w:r>
      <w:r w:rsidR="00EE3718">
        <w:t xml:space="preserve"> u</w:t>
      </w:r>
      <w:r w:rsidR="00D200F0">
        <w:t xml:space="preserve">nder the LDP/LDP led coalition governments, the LDP established a custom of preliminary examination within the LDP on government’s bills before their formal submission to the Diet (I’io 2007 pp.83-8. Also see Chapter 2). </w:t>
      </w:r>
      <w:r w:rsidR="005A1531">
        <w:t xml:space="preserve">Since laws are significant governing tools for Japan’s government ministries and the LDP administration created a custom that bills without ruling parties’ internal authorisation would not be adopted as government bills, </w:t>
      </w:r>
      <w:r w:rsidR="00D93DB6">
        <w:t>ruling parties’ preliminary examination had a significant impact on policy making processes (George Mul</w:t>
      </w:r>
      <w:r w:rsidR="00D67E23">
        <w:t>g</w:t>
      </w:r>
      <w:r w:rsidR="00D93DB6">
        <w:t>an 2005 pp.14-8, I’io 2007 pp.123-6).</w:t>
      </w:r>
      <w:r w:rsidR="00D200F0">
        <w:t xml:space="preserve">In </w:t>
      </w:r>
      <w:r w:rsidR="001800C9">
        <w:t xml:space="preserve">the </w:t>
      </w:r>
      <w:r w:rsidR="00D200F0">
        <w:t xml:space="preserve">case of </w:t>
      </w:r>
      <w:r w:rsidR="007702E1">
        <w:t xml:space="preserve">ICT regulation, the LDP’s preliminary examination was </w:t>
      </w:r>
      <w:r w:rsidR="00725605">
        <w:t>handled</w:t>
      </w:r>
      <w:r w:rsidR="007702E1">
        <w:t xml:space="preserve"> by </w:t>
      </w:r>
      <w:r w:rsidR="00F77E54" w:rsidRPr="005B18BE">
        <w:rPr>
          <w:i/>
          <w:iCs/>
        </w:rPr>
        <w:t>Yusei-Zoku</w:t>
      </w:r>
      <w:r w:rsidR="007702E1">
        <w:t xml:space="preserve"> in the PARC and its Communications Division. </w:t>
      </w:r>
      <w:r w:rsidR="00811295">
        <w:t>In the light of the fact that</w:t>
      </w:r>
      <w:r w:rsidR="006A2BCF">
        <w:t xml:space="preserve"> </w:t>
      </w:r>
      <w:r w:rsidR="00F77E54" w:rsidRPr="005B18BE">
        <w:rPr>
          <w:i/>
          <w:iCs/>
        </w:rPr>
        <w:t>Yusei-Zoku</w:t>
      </w:r>
      <w:r w:rsidR="006A2BCF">
        <w:t xml:space="preserve"> had leverage in the preliminary examination within the LDP, </w:t>
      </w:r>
      <w:r w:rsidR="00811295">
        <w:t>its</w:t>
      </w:r>
      <w:r w:rsidR="006A2BCF">
        <w:t xml:space="preserve"> influence was significant.</w:t>
      </w:r>
      <w:r w:rsidR="005F14D6">
        <w:t xml:space="preserve"> In addition to </w:t>
      </w:r>
      <w:r w:rsidR="00F77E54" w:rsidRPr="005B18BE">
        <w:rPr>
          <w:i/>
          <w:iCs/>
        </w:rPr>
        <w:t>Yusei-Zoku</w:t>
      </w:r>
      <w:r w:rsidR="005F14D6">
        <w:t xml:space="preserve">, </w:t>
      </w:r>
      <w:r w:rsidR="004B5316">
        <w:t>elder and senior</w:t>
      </w:r>
      <w:r w:rsidR="005F14D6">
        <w:t xml:space="preserve"> LDP politicians exercised significant influence </w:t>
      </w:r>
      <w:r w:rsidR="004B5316">
        <w:t>over</w:t>
      </w:r>
      <w:r w:rsidR="005F14D6">
        <w:t xml:space="preserve"> important policy decisions</w:t>
      </w:r>
      <w:r w:rsidR="00811295">
        <w:t xml:space="preserve"> (Inoguchi and Iwai 1987). This is a dynamic flagged by </w:t>
      </w:r>
      <w:r w:rsidR="005F14D6">
        <w:t xml:space="preserve">Vogel (1996 pp.154-5) </w:t>
      </w:r>
      <w:r w:rsidR="00811295">
        <w:t xml:space="preserve">in his </w:t>
      </w:r>
      <w:r w:rsidR="005F14D6">
        <w:t xml:space="preserve">description </w:t>
      </w:r>
      <w:r w:rsidR="00811295">
        <w:t xml:space="preserve">of the </w:t>
      </w:r>
      <w:r w:rsidR="004B5316">
        <w:t xml:space="preserve">key moment of </w:t>
      </w:r>
      <w:r w:rsidR="005F14D6">
        <w:t>NTT</w:t>
      </w:r>
      <w:r w:rsidR="004B5316">
        <w:t xml:space="preserve"> </w:t>
      </w:r>
      <w:r w:rsidR="005F14D6">
        <w:t>privatisation:</w:t>
      </w:r>
    </w:p>
    <w:p w14:paraId="67EBCB69" w14:textId="77777777" w:rsidR="005F14D6" w:rsidRDefault="005F14D6" w:rsidP="007702E1"/>
    <w:p w14:paraId="5BE76A09" w14:textId="77777777" w:rsidR="00495655" w:rsidRDefault="005F14D6" w:rsidP="005B18BE">
      <w:pPr>
        <w:pStyle w:val="Quote"/>
      </w:pPr>
      <w:r>
        <w:t>(The LDP’s) Tanak</w:t>
      </w:r>
      <w:r w:rsidR="004B5316">
        <w:t>a</w:t>
      </w:r>
      <w:r>
        <w:t xml:space="preserve"> faction, the largest and most powerful, played the pivotal role in formulating the LDP’s approach to the reform. Kakuei Tanak</w:t>
      </w:r>
      <w:r w:rsidR="004B5316">
        <w:t>a</w:t>
      </w:r>
      <w:r>
        <w:t xml:space="preserve"> himself, like the other top LDP leaders, had committed his support to the </w:t>
      </w:r>
      <w:r w:rsidR="00F77E54" w:rsidRPr="005B18BE">
        <w:rPr>
          <w:i/>
          <w:iCs w:val="0"/>
        </w:rPr>
        <w:t>Rincho</w:t>
      </w:r>
      <w:r>
        <w:t xml:space="preserve">, although he reserved the right to differ on </w:t>
      </w:r>
      <w:r w:rsidR="000951A1">
        <w:t>specific</w:t>
      </w:r>
      <w:r>
        <w:t xml:space="preserve"> issues. In July 1983, Tanak</w:t>
      </w:r>
      <w:r w:rsidR="004B5316">
        <w:t>a</w:t>
      </w:r>
      <w:r>
        <w:t xml:space="preserve"> faction elder Shin Kanemaru devised a shrew way to coerce the more </w:t>
      </w:r>
      <w:r w:rsidR="004B5316">
        <w:t>conservative</w:t>
      </w:r>
      <w:r>
        <w:t xml:space="preserve"> LDP Communications </w:t>
      </w:r>
      <w:r w:rsidR="00F77E54" w:rsidRPr="005B18BE">
        <w:rPr>
          <w:i/>
          <w:iCs w:val="0"/>
        </w:rPr>
        <w:t>zoku</w:t>
      </w:r>
      <w:r>
        <w:t xml:space="preserve">. He announced a proposal that they could readily accept, a minor revision of NTT’s status to that of ‘public organisation.’ Kanemaru designed the proposal to fail, as it did when the MOF and the LDP leadership overwhelmingly condemned it. This way, Kanemaru was able to tell the </w:t>
      </w:r>
      <w:r w:rsidR="00F77E54" w:rsidRPr="005B18BE">
        <w:rPr>
          <w:i/>
          <w:iCs w:val="0"/>
        </w:rPr>
        <w:t>zoku</w:t>
      </w:r>
      <w:r>
        <w:t xml:space="preserve"> that he had tried and convince them to accept a bolder proposal. </w:t>
      </w:r>
      <w:r w:rsidR="004B5316">
        <w:t xml:space="preserve">… On September 6, 1983, Ryutaro Hashimoto, chairman of the LDP’s </w:t>
      </w:r>
      <w:r w:rsidR="001D03CC">
        <w:t>Committee</w:t>
      </w:r>
      <w:r w:rsidR="004B5316">
        <w:t xml:space="preserve"> on Administrative Reform, abruptly announced an eleven-point proposal. The proposal favoured the privatization of NTT but not its breakup.</w:t>
      </w:r>
    </w:p>
    <w:p w14:paraId="57DBD4E1" w14:textId="77777777" w:rsidR="005F14D6" w:rsidRPr="001D458E" w:rsidRDefault="005F14D6" w:rsidP="007702E1"/>
    <w:p w14:paraId="27828E03" w14:textId="77777777" w:rsidR="00495655" w:rsidRDefault="00E21CBF" w:rsidP="005B18BE">
      <w:r>
        <w:t xml:space="preserve">The power of </w:t>
      </w:r>
      <w:r w:rsidR="00811295">
        <w:t xml:space="preserve">the </w:t>
      </w:r>
      <w:r>
        <w:t xml:space="preserve">ruling parties’ politicians </w:t>
      </w:r>
      <w:r w:rsidR="00811295">
        <w:t xml:space="preserve">had a significant effect in shaping </w:t>
      </w:r>
      <w:r>
        <w:t>key decisions within ICT regulation.</w:t>
      </w:r>
      <w:r w:rsidR="001D03CC">
        <w:t xml:space="preserve"> A</w:t>
      </w:r>
      <w:r w:rsidR="00811295">
        <w:t xml:space="preserve"> further example can be identified in the debate </w:t>
      </w:r>
      <w:r w:rsidR="00D7207E">
        <w:t xml:space="preserve">over the breakup of </w:t>
      </w:r>
      <w:r w:rsidR="0018068D">
        <w:t xml:space="preserve">the </w:t>
      </w:r>
      <w:r w:rsidR="001D03CC">
        <w:t xml:space="preserve">NTT </w:t>
      </w:r>
      <w:r w:rsidR="007A7694">
        <w:t>which emerged as a key issue after the 1985 NTT privatisation</w:t>
      </w:r>
      <w:r w:rsidR="001D03CC">
        <w:t>.</w:t>
      </w:r>
    </w:p>
    <w:p w14:paraId="568ECD80" w14:textId="1AF9820C" w:rsidR="008D0572" w:rsidRPr="001D458E" w:rsidRDefault="001D03CC" w:rsidP="001E79D8">
      <w:pPr>
        <w:ind w:firstLine="284"/>
      </w:pPr>
      <w:r>
        <w:t xml:space="preserve">The debate on </w:t>
      </w:r>
      <w:r w:rsidR="002E3E41">
        <w:t xml:space="preserve">the </w:t>
      </w:r>
      <w:r>
        <w:t>NTT breakup dominated the</w:t>
      </w:r>
      <w:r w:rsidR="008D0572" w:rsidRPr="001D458E">
        <w:t xml:space="preserve"> period between 1985 and 1999</w:t>
      </w:r>
      <w:r w:rsidR="00725605">
        <w:t>.</w:t>
      </w:r>
      <w:r w:rsidR="008D0572" w:rsidRPr="001D458E">
        <w:t xml:space="preserve"> This </w:t>
      </w:r>
      <w:r w:rsidR="008D0572" w:rsidRPr="001D458E">
        <w:rPr>
          <w:rFonts w:hint="eastAsia"/>
        </w:rPr>
        <w:t xml:space="preserve">idea was first </w:t>
      </w:r>
      <w:r w:rsidR="008D0572" w:rsidRPr="001D458E">
        <w:t>proposed by</w:t>
      </w:r>
      <w:r w:rsidR="008D0572" w:rsidRPr="001D458E">
        <w:rPr>
          <w:rFonts w:hint="eastAsia"/>
        </w:rPr>
        <w:t xml:space="preserve"> the</w:t>
      </w:r>
      <w:r w:rsidR="008D0572" w:rsidRPr="001D458E">
        <w:rPr>
          <w:i/>
        </w:rPr>
        <w:t xml:space="preserve"> Rincho</w:t>
      </w:r>
      <w:r w:rsidR="008D0572" w:rsidRPr="001D458E">
        <w:t xml:space="preserve"> </w:t>
      </w:r>
      <w:r w:rsidR="008D0572" w:rsidRPr="001D458E">
        <w:rPr>
          <w:rFonts w:hint="eastAsia"/>
        </w:rPr>
        <w:t xml:space="preserve">in the debate </w:t>
      </w:r>
      <w:r w:rsidR="008D0572" w:rsidRPr="001D458E">
        <w:t xml:space="preserve">of privatisation but postponed in the regulatory reform in 1985 because the NTT and </w:t>
      </w:r>
      <w:r w:rsidR="008D0572" w:rsidRPr="001D458E">
        <w:rPr>
          <w:rFonts w:hint="eastAsia"/>
        </w:rPr>
        <w:t>its</w:t>
      </w:r>
      <w:r w:rsidR="008D0572" w:rsidRPr="001D458E">
        <w:t xml:space="preserve"> Union </w:t>
      </w:r>
      <w:r w:rsidR="008D0572" w:rsidRPr="001D458E">
        <w:rPr>
          <w:rFonts w:hint="eastAsia"/>
        </w:rPr>
        <w:t xml:space="preserve">lobbied interested parties to block this idea </w:t>
      </w:r>
      <w:r w:rsidR="008D0572" w:rsidRPr="001D458E">
        <w:t>(Vogel 1996 p.155). This question, also called ‘the reorganisation of the NTT’, involved party politicians including LDP members, the MPT, the NTT itself, and its Unions.</w:t>
      </w:r>
    </w:p>
    <w:p w14:paraId="3F6E7B1F" w14:textId="77777777" w:rsidR="008D0572" w:rsidRPr="001D458E" w:rsidRDefault="008D0572" w:rsidP="008D0572">
      <w:pPr>
        <w:ind w:firstLine="284"/>
      </w:pPr>
      <w:r w:rsidRPr="001D458E">
        <w:t xml:space="preserve">The NTT Law, which was formulated in the regulatory reform in 1985, stipulated that the government examine the status of the NTT five years after privatisation and take appropriate </w:t>
      </w:r>
      <w:r w:rsidRPr="001D458E">
        <w:rPr>
          <w:rFonts w:hint="eastAsia"/>
        </w:rPr>
        <w:t>action</w:t>
      </w:r>
      <w:r w:rsidRPr="001D458E">
        <w:t xml:space="preserve">. </w:t>
      </w:r>
      <w:r w:rsidRPr="001D458E">
        <w:rPr>
          <w:rFonts w:hint="eastAsia"/>
        </w:rPr>
        <w:t>Following</w:t>
      </w:r>
      <w:r w:rsidRPr="001D458E">
        <w:t xml:space="preserve"> this provision, the MPT started its </w:t>
      </w:r>
      <w:r w:rsidRPr="001D458E">
        <w:rPr>
          <w:rFonts w:hint="eastAsia"/>
        </w:rPr>
        <w:t xml:space="preserve">policy deliberation by </w:t>
      </w:r>
      <w:r w:rsidRPr="001D458E">
        <w:t>consult</w:t>
      </w:r>
      <w:r w:rsidRPr="001D458E">
        <w:rPr>
          <w:rFonts w:hint="eastAsia"/>
        </w:rPr>
        <w:t xml:space="preserve">ing on this issue with the </w:t>
      </w:r>
      <w:r w:rsidRPr="001D458E">
        <w:t xml:space="preserve">Telecommunications </w:t>
      </w:r>
      <w:r w:rsidRPr="001D458E">
        <w:rPr>
          <w:rFonts w:hint="eastAsia"/>
        </w:rPr>
        <w:t>Council</w:t>
      </w:r>
      <w:r w:rsidRPr="001D458E">
        <w:rPr>
          <w:rStyle w:val="FootnoteReference"/>
        </w:rPr>
        <w:footnoteReference w:id="48"/>
      </w:r>
      <w:r w:rsidRPr="001D458E">
        <w:t xml:space="preserve"> in October 1989. </w:t>
      </w:r>
      <w:r w:rsidRPr="001D458E">
        <w:rPr>
          <w:rFonts w:hint="eastAsia"/>
        </w:rPr>
        <w:t>The Council</w:t>
      </w:r>
      <w:r w:rsidRPr="001D458E">
        <w:t>’</w:t>
      </w:r>
      <w:r w:rsidRPr="001D458E">
        <w:rPr>
          <w:rFonts w:hint="eastAsia"/>
        </w:rPr>
        <w:t>s</w:t>
      </w:r>
      <w:r w:rsidRPr="001D458E">
        <w:t xml:space="preserve"> report</w:t>
      </w:r>
      <w:r w:rsidRPr="001D458E">
        <w:rPr>
          <w:rFonts w:hint="eastAsia"/>
        </w:rPr>
        <w:t xml:space="preserve"> recommended the breakup of the NTT, but this </w:t>
      </w:r>
      <w:r w:rsidRPr="001D458E">
        <w:t>was not accepted</w:t>
      </w:r>
      <w:r w:rsidRPr="001D458E">
        <w:rPr>
          <w:rFonts w:hint="eastAsia"/>
        </w:rPr>
        <w:t xml:space="preserve"> </w:t>
      </w:r>
      <w:r w:rsidRPr="001D458E">
        <w:t>by the government</w:t>
      </w:r>
      <w:r w:rsidRPr="001D458E">
        <w:rPr>
          <w:rFonts w:hint="eastAsia"/>
        </w:rPr>
        <w:t xml:space="preserve">, because significant opponents such as the MOF and </w:t>
      </w:r>
      <w:r w:rsidRPr="001D458E">
        <w:rPr>
          <w:rFonts w:hint="eastAsia"/>
          <w:i/>
        </w:rPr>
        <w:t>Keidanren</w:t>
      </w:r>
      <w:r w:rsidRPr="001D458E">
        <w:rPr>
          <w:rFonts w:hint="eastAsia"/>
        </w:rPr>
        <w:t xml:space="preserve"> emerged both in and outside the government</w:t>
      </w:r>
      <w:r w:rsidRPr="001D458E">
        <w:t xml:space="preserve"> (</w:t>
      </w:r>
      <w:r w:rsidRPr="001D458E">
        <w:rPr>
          <w:rFonts w:hint="eastAsia"/>
        </w:rPr>
        <w:t xml:space="preserve">Vogel 1996 pp.158-9, </w:t>
      </w:r>
      <w:r w:rsidRPr="001D458E">
        <w:t>Tsuchiya 2003 p.82). The government decided to only separate the mobile division from the NTT, and postpone the breakup of its long distance communications division.</w:t>
      </w:r>
    </w:p>
    <w:p w14:paraId="0C762304" w14:textId="78DE24E2" w:rsidR="008D0572" w:rsidRPr="001D458E" w:rsidRDefault="008D0572" w:rsidP="0015226C">
      <w:pPr>
        <w:ind w:firstLine="284"/>
      </w:pPr>
      <w:r w:rsidRPr="001D458E">
        <w:t xml:space="preserve">The second round of this debate </w:t>
      </w:r>
      <w:r w:rsidRPr="001D458E">
        <w:rPr>
          <w:rFonts w:hint="eastAsia"/>
        </w:rPr>
        <w:t xml:space="preserve">was </w:t>
      </w:r>
      <w:r w:rsidRPr="001D458E">
        <w:t xml:space="preserve">launched in April 1995, when the MPT </w:t>
      </w:r>
      <w:r w:rsidRPr="001D458E">
        <w:rPr>
          <w:rFonts w:hint="eastAsia"/>
        </w:rPr>
        <w:t xml:space="preserve">again </w:t>
      </w:r>
      <w:r w:rsidRPr="001D458E">
        <w:t>consulted with the Council about the status of the NTT. In February 1996 the resulting report</w:t>
      </w:r>
      <w:r w:rsidRPr="001D458E">
        <w:rPr>
          <w:rStyle w:val="FootnoteReference"/>
        </w:rPr>
        <w:footnoteReference w:id="49"/>
      </w:r>
      <w:r w:rsidRPr="001D458E">
        <w:t xml:space="preserve"> recommended </w:t>
      </w:r>
      <w:r w:rsidRPr="001D458E">
        <w:rPr>
          <w:rFonts w:hint="eastAsia"/>
        </w:rPr>
        <w:t>dividing</w:t>
      </w:r>
      <w:r w:rsidRPr="001D458E">
        <w:t xml:space="preserve"> the NTT into three parts: the long distance communications division, the east </w:t>
      </w:r>
      <w:r w:rsidR="0015226C">
        <w:t>regional</w:t>
      </w:r>
      <w:r w:rsidRPr="001D458E">
        <w:t xml:space="preserve"> communications division, and the west </w:t>
      </w:r>
      <w:r w:rsidR="0015226C">
        <w:t>regional</w:t>
      </w:r>
      <w:r w:rsidRPr="001D458E">
        <w:t xml:space="preserve"> communications division. This recommendation was </w:t>
      </w:r>
      <w:r w:rsidRPr="001D458E">
        <w:rPr>
          <w:rFonts w:hint="eastAsia"/>
        </w:rPr>
        <w:t xml:space="preserve">again </w:t>
      </w:r>
      <w:r w:rsidRPr="001D458E">
        <w:t>not implemented</w:t>
      </w:r>
      <w:r w:rsidRPr="001D458E">
        <w:rPr>
          <w:rFonts w:hint="eastAsia"/>
        </w:rPr>
        <w:t xml:space="preserve">, because significant opponents emerged </w:t>
      </w:r>
      <w:r w:rsidRPr="001D458E">
        <w:t>in the ruling coalition of the day</w:t>
      </w:r>
      <w:r w:rsidRPr="001D458E">
        <w:rPr>
          <w:rStyle w:val="FootnoteReference"/>
        </w:rPr>
        <w:footnoteReference w:id="50"/>
      </w:r>
      <w:r w:rsidRPr="001D458E">
        <w:t xml:space="preserve">, including the SDPJ backed by the </w:t>
      </w:r>
      <w:r w:rsidRPr="001D458E">
        <w:rPr>
          <w:i/>
          <w:iCs/>
        </w:rPr>
        <w:t>Zendentsu</w:t>
      </w:r>
      <w:r w:rsidRPr="001D458E">
        <w:rPr>
          <w:rFonts w:hint="eastAsia"/>
        </w:rPr>
        <w:t xml:space="preserve"> (Takahashi 2009 p.213, Tsuchiya 2003 </w:t>
      </w:r>
      <w:r w:rsidRPr="001D458E">
        <w:t>pp.83-4</w:t>
      </w:r>
      <w:r w:rsidRPr="001D458E">
        <w:rPr>
          <w:rFonts w:hint="eastAsia"/>
        </w:rPr>
        <w:t>).</w:t>
      </w:r>
      <w:r w:rsidRPr="001D458E">
        <w:t xml:space="preserve"> </w:t>
      </w:r>
      <w:r w:rsidRPr="001D458E">
        <w:rPr>
          <w:rFonts w:hint="eastAsia"/>
        </w:rPr>
        <w:t>T</w:t>
      </w:r>
      <w:r w:rsidRPr="001D458E">
        <w:t>he MPT announced in December of the same year that the NTT would be transformed into a holding company group which</w:t>
      </w:r>
      <w:r w:rsidRPr="001D458E">
        <w:rPr>
          <w:rFonts w:hint="eastAsia"/>
        </w:rPr>
        <w:t xml:space="preserve"> would </w:t>
      </w:r>
      <w:r w:rsidRPr="001D458E">
        <w:t>control a long distance communications company and two local communications companies.</w:t>
      </w:r>
    </w:p>
    <w:p w14:paraId="2B2A0042" w14:textId="69F772F6" w:rsidR="008F7A45" w:rsidRDefault="008D0572" w:rsidP="00AE1556">
      <w:pPr>
        <w:ind w:firstLine="284"/>
      </w:pPr>
      <w:r w:rsidRPr="001D458E">
        <w:t xml:space="preserve">The nature of this debate on </w:t>
      </w:r>
      <w:r w:rsidRPr="001D458E">
        <w:rPr>
          <w:rFonts w:hint="eastAsia"/>
        </w:rPr>
        <w:t xml:space="preserve">the </w:t>
      </w:r>
      <w:r w:rsidRPr="001D458E">
        <w:t xml:space="preserve">NTT breakup was </w:t>
      </w:r>
      <w:r w:rsidRPr="001D458E">
        <w:rPr>
          <w:rFonts w:hint="eastAsia"/>
        </w:rPr>
        <w:t xml:space="preserve">characterised by </w:t>
      </w:r>
      <w:r w:rsidRPr="001D458E">
        <w:t xml:space="preserve">a </w:t>
      </w:r>
      <w:r w:rsidRPr="001D458E">
        <w:rPr>
          <w:rFonts w:hint="eastAsia"/>
        </w:rPr>
        <w:t xml:space="preserve">fierce confrontation between two groups. </w:t>
      </w:r>
      <w:r w:rsidRPr="001D458E">
        <w:t xml:space="preserve">The MPT and new entrants to the ICT sector strongly supported </w:t>
      </w:r>
      <w:r w:rsidRPr="001D458E">
        <w:rPr>
          <w:rFonts w:hint="eastAsia"/>
        </w:rPr>
        <w:t xml:space="preserve">the breakup of the </w:t>
      </w:r>
      <w:r w:rsidRPr="001D458E">
        <w:t xml:space="preserve">NTT, </w:t>
      </w:r>
      <w:r w:rsidRPr="001D458E">
        <w:rPr>
          <w:rFonts w:hint="eastAsia"/>
        </w:rPr>
        <w:t>with</w:t>
      </w:r>
      <w:r w:rsidRPr="001D458E">
        <w:t xml:space="preserve"> the NTT and </w:t>
      </w:r>
      <w:r w:rsidRPr="001D458E">
        <w:rPr>
          <w:rFonts w:hint="eastAsia"/>
        </w:rPr>
        <w:t>its</w:t>
      </w:r>
      <w:r w:rsidRPr="001D458E">
        <w:t xml:space="preserve"> union </w:t>
      </w:r>
      <w:r w:rsidRPr="001D458E">
        <w:rPr>
          <w:rFonts w:hint="eastAsia"/>
        </w:rPr>
        <w:t xml:space="preserve">in opposition </w:t>
      </w:r>
      <w:r w:rsidRPr="001D458E">
        <w:t xml:space="preserve">(Tsuchiya 2003 p.77). </w:t>
      </w:r>
      <w:r w:rsidRPr="001D458E">
        <w:rPr>
          <w:rFonts w:hint="eastAsia"/>
        </w:rPr>
        <w:t>The contention between these two groups divided p</w:t>
      </w:r>
      <w:r w:rsidR="00D1075F">
        <w:t>arty politician’</w:t>
      </w:r>
      <w:r w:rsidRPr="001D458E">
        <w:t>s</w:t>
      </w:r>
      <w:r w:rsidR="00943EF3">
        <w:t xml:space="preserve"> influential over ICT regulation</w:t>
      </w:r>
      <w:r w:rsidR="00AE1556">
        <w:t xml:space="preserve"> (Tsuchiya 2003 p.77, pp.83-4).</w:t>
      </w:r>
    </w:p>
    <w:p w14:paraId="0558B979" w14:textId="1E367F3E" w:rsidR="00007FCE" w:rsidRDefault="008F7A45" w:rsidP="000B44F7">
      <w:pPr>
        <w:ind w:firstLine="284"/>
      </w:pPr>
      <w:r>
        <w:t xml:space="preserve">The central issue of the NTT breakup was </w:t>
      </w:r>
      <w:r w:rsidR="00F37838">
        <w:t>its</w:t>
      </w:r>
      <w:r w:rsidR="00441059">
        <w:t xml:space="preserve"> bottleneck monopoly of the regional communications </w:t>
      </w:r>
      <w:r w:rsidR="00F37838">
        <w:t>networks. This led to</w:t>
      </w:r>
      <w:r w:rsidR="00441059">
        <w:t>: ‘</w:t>
      </w:r>
      <w:r w:rsidR="00441059" w:rsidRPr="00441059">
        <w:t>a situation whereby almost all of the telecommunications services cannot be provided without the monopolistic regional communications network</w:t>
      </w:r>
      <w:r w:rsidR="00441059">
        <w:t>’</w:t>
      </w:r>
      <w:r w:rsidR="004F2B7B">
        <w:t xml:space="preserve"> (Telecommunications Council 1996a</w:t>
      </w:r>
      <w:r w:rsidR="00F31BFD">
        <w:t xml:space="preserve"> Chapter 3 2. (8)</w:t>
      </w:r>
      <w:r w:rsidR="004F2B7B">
        <w:t>)</w:t>
      </w:r>
      <w:r w:rsidR="000B44F7">
        <w:t xml:space="preserve">. The </w:t>
      </w:r>
      <w:r w:rsidR="00FD548F">
        <w:t xml:space="preserve">Telecommunications Council (1996a) recognised that the NTT had </w:t>
      </w:r>
      <w:r w:rsidR="00337BC6">
        <w:t xml:space="preserve">a </w:t>
      </w:r>
      <w:r w:rsidR="00FD548F">
        <w:t>99 per</w:t>
      </w:r>
      <w:r w:rsidR="00D1075F">
        <w:t xml:space="preserve"> </w:t>
      </w:r>
      <w:r w:rsidR="00FD548F">
        <w:t>cent market share in regional communications markets</w:t>
      </w:r>
      <w:r w:rsidR="00337BC6">
        <w:t>. The negative impact stemming from the NTT’s  monopoly of regional communications networks included: the monopolist’s potential to emasculate competition by exercising its completely dominant market power; the lack of any competitive incentive to pursue efficient management and a more competitive price structure; and the power commanded by a monopoly supplier to cross-subsidise their equivalents in competitive markets and the resulting emasculation of competition in the telecommunications markets (Telecommunications Council 1996a; see also Table 5.2).</w:t>
      </w:r>
    </w:p>
    <w:p w14:paraId="37D01419" w14:textId="78AD18E5" w:rsidR="00007FCE" w:rsidRDefault="00337BC6" w:rsidP="003D4C23">
      <w:pPr>
        <w:ind w:firstLine="284"/>
        <w:rPr>
          <w:lang w:eastAsia="ja-JP"/>
        </w:rPr>
      </w:pPr>
      <w:r>
        <w:t xml:space="preserve">The NTT breakup plan drew on the experience of the breakup of the AT&amp;T in the US in 1984. Focusing on competition within domestic telephone networks, local telephone networks in particular, the proponents of the NTT breakup (e.g. MPT, NCCs) argued that the plan would stimulate </w:t>
      </w:r>
      <w:r>
        <w:rPr>
          <w:lang w:eastAsia="ja-JP"/>
        </w:rPr>
        <w:t xml:space="preserve">competition within the ICT sector (Tsuchiya p.77, pp.83-4). The NTT and its union strongly opposed the breakup plan, highlighting its potential negative impact on the NTT’s business. The NTT argued that the negative impact of the breakup could result in the decline of its universal service within Japan and research and development (NTT 2013). </w:t>
      </w:r>
      <w:r w:rsidR="00B75CCA">
        <w:rPr>
          <w:lang w:eastAsia="ja-JP"/>
        </w:rPr>
        <w:t xml:space="preserve">The confrontation between the two </w:t>
      </w:r>
      <w:r w:rsidR="002B79D4">
        <w:rPr>
          <w:lang w:eastAsia="ja-JP"/>
        </w:rPr>
        <w:t>sides</w:t>
      </w:r>
      <w:r w:rsidR="00B75CCA">
        <w:rPr>
          <w:lang w:eastAsia="ja-JP"/>
        </w:rPr>
        <w:t xml:space="preserve"> was settled </w:t>
      </w:r>
      <w:r w:rsidR="003D4C23">
        <w:rPr>
          <w:lang w:eastAsia="ja-JP"/>
        </w:rPr>
        <w:t xml:space="preserve">through </w:t>
      </w:r>
      <w:r w:rsidR="00B75CCA">
        <w:rPr>
          <w:lang w:eastAsia="ja-JP"/>
        </w:rPr>
        <w:t>arbitration by a group of party politicians.</w:t>
      </w:r>
    </w:p>
    <w:p w14:paraId="449FE550" w14:textId="77777777" w:rsidR="00007FCE" w:rsidRDefault="00A03E2A" w:rsidP="003D4C23">
      <w:pPr>
        <w:ind w:firstLine="284"/>
        <w:rPr>
          <w:lang w:eastAsia="ja-JP"/>
        </w:rPr>
      </w:pPr>
      <w:r>
        <w:rPr>
          <w:lang w:eastAsia="ja-JP"/>
        </w:rPr>
        <w:t xml:space="preserve">After the Telecommunications </w:t>
      </w:r>
      <w:r w:rsidR="00123D7F">
        <w:rPr>
          <w:lang w:eastAsia="ja-JP"/>
        </w:rPr>
        <w:t>C</w:t>
      </w:r>
      <w:r>
        <w:rPr>
          <w:lang w:eastAsia="ja-JP"/>
        </w:rPr>
        <w:t>ouncil issued a report in favour of the NTT breakup in March 1990, t</w:t>
      </w:r>
      <w:r w:rsidR="003D7643">
        <w:rPr>
          <w:lang w:eastAsia="ja-JP"/>
        </w:rPr>
        <w:t>h</w:t>
      </w:r>
      <w:r w:rsidR="00B75CCA">
        <w:rPr>
          <w:lang w:eastAsia="ja-JP"/>
        </w:rPr>
        <w:t>e first round of the breakup debate</w:t>
      </w:r>
      <w:r w:rsidR="003D7643">
        <w:rPr>
          <w:lang w:eastAsia="ja-JP"/>
        </w:rPr>
        <w:t xml:space="preserve"> was resolved by the </w:t>
      </w:r>
      <w:r w:rsidR="00FA13FC">
        <w:rPr>
          <w:lang w:eastAsia="ja-JP"/>
        </w:rPr>
        <w:t xml:space="preserve">five year </w:t>
      </w:r>
      <w:r w:rsidR="003D7643">
        <w:rPr>
          <w:lang w:eastAsia="ja-JP"/>
        </w:rPr>
        <w:t xml:space="preserve">postponement decision by Tsutomu Hata, the chairman of relevant LDP committee of the day, with the delegation of </w:t>
      </w:r>
      <w:r w:rsidR="00123D7F">
        <w:rPr>
          <w:lang w:eastAsia="ja-JP"/>
        </w:rPr>
        <w:t xml:space="preserve">senior LDP </w:t>
      </w:r>
      <w:r w:rsidR="003D7643">
        <w:rPr>
          <w:lang w:eastAsia="ja-JP"/>
        </w:rPr>
        <w:t xml:space="preserve">politicians </w:t>
      </w:r>
      <w:r>
        <w:rPr>
          <w:lang w:eastAsia="ja-JP"/>
        </w:rPr>
        <w:t xml:space="preserve">in the same month </w:t>
      </w:r>
      <w:r w:rsidR="003D7643">
        <w:rPr>
          <w:lang w:eastAsia="ja-JP"/>
        </w:rPr>
        <w:t xml:space="preserve">(Vogel 1996 p.159). The second round of the debate was </w:t>
      </w:r>
      <w:r>
        <w:rPr>
          <w:lang w:eastAsia="ja-JP"/>
        </w:rPr>
        <w:t xml:space="preserve">arbitrated by LDP Secretary General </w:t>
      </w:r>
      <w:r w:rsidR="006808BF">
        <w:rPr>
          <w:lang w:eastAsia="ja-JP"/>
        </w:rPr>
        <w:t>Hir</w:t>
      </w:r>
      <w:r>
        <w:rPr>
          <w:lang w:eastAsia="ja-JP"/>
        </w:rPr>
        <w:t>omu Nonaka</w:t>
      </w:r>
      <w:r w:rsidR="00485E46">
        <w:rPr>
          <w:lang w:eastAsia="ja-JP"/>
        </w:rPr>
        <w:t xml:space="preserve"> in December 1996</w:t>
      </w:r>
      <w:r w:rsidR="00B75CCA">
        <w:rPr>
          <w:lang w:eastAsia="ja-JP"/>
        </w:rPr>
        <w:t xml:space="preserve">, </w:t>
      </w:r>
      <w:r w:rsidR="00485E46">
        <w:rPr>
          <w:lang w:eastAsia="ja-JP"/>
        </w:rPr>
        <w:t xml:space="preserve">following ruling parties’ (LDP, SDPJ, </w:t>
      </w:r>
      <w:r w:rsidR="00F77E54" w:rsidRPr="005B18BE">
        <w:rPr>
          <w:i/>
          <w:iCs/>
          <w:lang w:eastAsia="ja-JP"/>
        </w:rPr>
        <w:t>Sakigake</w:t>
      </w:r>
      <w:r w:rsidR="00485E46">
        <w:rPr>
          <w:lang w:eastAsia="ja-JP"/>
        </w:rPr>
        <w:t xml:space="preserve">) decision of </w:t>
      </w:r>
      <w:r w:rsidR="003D4C23">
        <w:rPr>
          <w:lang w:eastAsia="ja-JP"/>
        </w:rPr>
        <w:t xml:space="preserve">a </w:t>
      </w:r>
      <w:r w:rsidR="00485E46">
        <w:rPr>
          <w:lang w:eastAsia="ja-JP"/>
        </w:rPr>
        <w:t xml:space="preserve">one year postponement in March 1996. </w:t>
      </w:r>
    </w:p>
    <w:p w14:paraId="452D0CEC" w14:textId="05456262" w:rsidR="008D0572" w:rsidRPr="001D458E" w:rsidRDefault="00485E46" w:rsidP="00150CA4">
      <w:pPr>
        <w:ind w:firstLine="284"/>
        <w:rPr>
          <w:lang w:eastAsia="ja-JP"/>
        </w:rPr>
      </w:pPr>
      <w:r>
        <w:rPr>
          <w:lang w:eastAsia="ja-JP"/>
        </w:rPr>
        <w:t xml:space="preserve">What </w:t>
      </w:r>
      <w:r w:rsidR="003D4C23">
        <w:rPr>
          <w:lang w:eastAsia="ja-JP"/>
        </w:rPr>
        <w:t>is revealed</w:t>
      </w:r>
      <w:r>
        <w:rPr>
          <w:lang w:eastAsia="ja-JP"/>
        </w:rPr>
        <w:t xml:space="preserve"> here is the dominant power of </w:t>
      </w:r>
      <w:r w:rsidR="003D4C23">
        <w:rPr>
          <w:lang w:eastAsia="ja-JP"/>
        </w:rPr>
        <w:t xml:space="preserve">the </w:t>
      </w:r>
      <w:r>
        <w:rPr>
          <w:lang w:eastAsia="ja-JP"/>
        </w:rPr>
        <w:t xml:space="preserve">ruling party </w:t>
      </w:r>
      <w:r w:rsidR="006808BF">
        <w:rPr>
          <w:lang w:eastAsia="ja-JP"/>
        </w:rPr>
        <w:t>politicians</w:t>
      </w:r>
      <w:r>
        <w:rPr>
          <w:lang w:eastAsia="ja-JP"/>
        </w:rPr>
        <w:t xml:space="preserve"> outside the Cabinet</w:t>
      </w:r>
      <w:r w:rsidR="002B79D4">
        <w:rPr>
          <w:lang w:eastAsia="ja-JP"/>
        </w:rPr>
        <w:t xml:space="preserve"> in decision making</w:t>
      </w:r>
      <w:r w:rsidR="00450F2C">
        <w:rPr>
          <w:lang w:eastAsia="ja-JP"/>
        </w:rPr>
        <w:t xml:space="preserve">. </w:t>
      </w:r>
      <w:r w:rsidR="00123D7F">
        <w:rPr>
          <w:lang w:eastAsia="ja-JP"/>
        </w:rPr>
        <w:t xml:space="preserve">Both cases </w:t>
      </w:r>
      <w:r w:rsidR="003D4C23">
        <w:rPr>
          <w:lang w:eastAsia="ja-JP"/>
        </w:rPr>
        <w:t>highlight</w:t>
      </w:r>
      <w:r w:rsidR="00123D7F">
        <w:rPr>
          <w:lang w:eastAsia="ja-JP"/>
        </w:rPr>
        <w:t xml:space="preserve"> </w:t>
      </w:r>
      <w:r w:rsidR="00257E22">
        <w:rPr>
          <w:lang w:eastAsia="ja-JP"/>
        </w:rPr>
        <w:t>the MPT</w:t>
      </w:r>
      <w:r w:rsidR="00123D7F">
        <w:rPr>
          <w:lang w:eastAsia="ja-JP"/>
        </w:rPr>
        <w:t xml:space="preserve">’s failure to </w:t>
      </w:r>
      <w:r w:rsidR="00257E22">
        <w:rPr>
          <w:lang w:eastAsia="ja-JP"/>
        </w:rPr>
        <w:t xml:space="preserve">achieve its original goal of </w:t>
      </w:r>
      <w:r w:rsidR="006808BF">
        <w:rPr>
          <w:lang w:eastAsia="ja-JP"/>
        </w:rPr>
        <w:t xml:space="preserve">completely </w:t>
      </w:r>
      <w:r w:rsidR="00257E22">
        <w:rPr>
          <w:lang w:eastAsia="ja-JP"/>
        </w:rPr>
        <w:t>bre</w:t>
      </w:r>
      <w:r w:rsidR="006808BF">
        <w:rPr>
          <w:lang w:eastAsia="ja-JP"/>
        </w:rPr>
        <w:t>a</w:t>
      </w:r>
      <w:r w:rsidR="00257E22">
        <w:rPr>
          <w:lang w:eastAsia="ja-JP"/>
        </w:rPr>
        <w:t xml:space="preserve">king up the NTT because a group of </w:t>
      </w:r>
      <w:r w:rsidR="00123D7F">
        <w:rPr>
          <w:lang w:eastAsia="ja-JP"/>
        </w:rPr>
        <w:t xml:space="preserve">ruling party </w:t>
      </w:r>
      <w:r w:rsidR="00257E22">
        <w:rPr>
          <w:lang w:eastAsia="ja-JP"/>
        </w:rPr>
        <w:t xml:space="preserve">politicians opposed the MPT’s plan and supported the NTT’s </w:t>
      </w:r>
      <w:r w:rsidR="00123D7F">
        <w:rPr>
          <w:lang w:eastAsia="ja-JP"/>
        </w:rPr>
        <w:t>view</w:t>
      </w:r>
      <w:r w:rsidR="00257E22">
        <w:rPr>
          <w:lang w:eastAsia="ja-JP"/>
        </w:rPr>
        <w:t xml:space="preserve"> (Tsuchiya 2003 pp.82-4). </w:t>
      </w:r>
      <w:r w:rsidR="00BB46AA">
        <w:rPr>
          <w:lang w:eastAsia="ja-JP"/>
        </w:rPr>
        <w:t>The key</w:t>
      </w:r>
      <w:r w:rsidR="00257E22">
        <w:rPr>
          <w:lang w:eastAsia="ja-JP"/>
        </w:rPr>
        <w:t xml:space="preserve"> decision makers here were the group of ruling party politicians. </w:t>
      </w:r>
      <w:r w:rsidR="00123D7F">
        <w:rPr>
          <w:lang w:eastAsia="ja-JP"/>
        </w:rPr>
        <w:t>Being divided between the MPT/NCC’s supporters and the NTT’s supporters, t</w:t>
      </w:r>
      <w:r w:rsidR="00257E22">
        <w:rPr>
          <w:lang w:eastAsia="ja-JP"/>
        </w:rPr>
        <w:t xml:space="preserve">he LDP’s </w:t>
      </w:r>
      <w:r w:rsidR="00F77E54" w:rsidRPr="005B18BE">
        <w:rPr>
          <w:i/>
          <w:iCs/>
          <w:lang w:eastAsia="ja-JP"/>
        </w:rPr>
        <w:t>Yusei-Zoku</w:t>
      </w:r>
      <w:r w:rsidR="00257E22">
        <w:rPr>
          <w:lang w:eastAsia="ja-JP"/>
        </w:rPr>
        <w:t xml:space="preserve"> was unable to control the debate of the NTT </w:t>
      </w:r>
      <w:r w:rsidR="00123D7F">
        <w:rPr>
          <w:lang w:eastAsia="ja-JP"/>
        </w:rPr>
        <w:t xml:space="preserve">breakup </w:t>
      </w:r>
      <w:r w:rsidR="00257E22">
        <w:rPr>
          <w:lang w:eastAsia="ja-JP"/>
        </w:rPr>
        <w:t>alone; rather, a broad</w:t>
      </w:r>
      <w:r w:rsidR="006808BF">
        <w:rPr>
          <w:lang w:eastAsia="ja-JP"/>
        </w:rPr>
        <w:t>e</w:t>
      </w:r>
      <w:r w:rsidR="00257E22">
        <w:rPr>
          <w:lang w:eastAsia="ja-JP"/>
        </w:rPr>
        <w:t xml:space="preserve">r group of ruling party politicians </w:t>
      </w:r>
      <w:r w:rsidR="006808BF">
        <w:rPr>
          <w:lang w:eastAsia="ja-JP"/>
        </w:rPr>
        <w:t xml:space="preserve">outside the Cabinet (e.g. Tsutomu Hata, Taku Yamazaki, Hiromu Nonaka) </w:t>
      </w:r>
      <w:r w:rsidR="00257E22">
        <w:rPr>
          <w:lang w:eastAsia="ja-JP"/>
        </w:rPr>
        <w:t xml:space="preserve">including some members of </w:t>
      </w:r>
      <w:r w:rsidR="00F77E54" w:rsidRPr="005B18BE">
        <w:rPr>
          <w:i/>
          <w:iCs/>
          <w:lang w:eastAsia="ja-JP"/>
        </w:rPr>
        <w:t>Yusei-Zoku</w:t>
      </w:r>
      <w:r w:rsidR="00257E22">
        <w:rPr>
          <w:lang w:eastAsia="ja-JP"/>
        </w:rPr>
        <w:t xml:space="preserve"> </w:t>
      </w:r>
      <w:r w:rsidR="006808BF">
        <w:rPr>
          <w:lang w:eastAsia="ja-JP"/>
        </w:rPr>
        <w:t>collectively arbitrated the debate</w:t>
      </w:r>
      <w:r w:rsidR="00257E22">
        <w:rPr>
          <w:lang w:eastAsia="ja-JP"/>
        </w:rPr>
        <w:t xml:space="preserve"> (Tsuchiya pp.82-4).</w:t>
      </w:r>
      <w:r w:rsidR="006808BF">
        <w:rPr>
          <w:lang w:eastAsia="ja-JP"/>
        </w:rPr>
        <w:t xml:space="preserve"> The arbitration in 1996 </w:t>
      </w:r>
      <w:r w:rsidR="000B07F2">
        <w:rPr>
          <w:lang w:eastAsia="ja-JP"/>
        </w:rPr>
        <w:t>did</w:t>
      </w:r>
      <w:r w:rsidR="006808BF">
        <w:rPr>
          <w:lang w:eastAsia="ja-JP"/>
        </w:rPr>
        <w:t xml:space="preserve"> </w:t>
      </w:r>
      <w:r w:rsidR="003B25D1">
        <w:rPr>
          <w:lang w:eastAsia="ja-JP"/>
        </w:rPr>
        <w:t xml:space="preserve">not aim to resolve </w:t>
      </w:r>
      <w:r w:rsidR="00BB46AA">
        <w:rPr>
          <w:lang w:eastAsia="ja-JP"/>
        </w:rPr>
        <w:t xml:space="preserve">the </w:t>
      </w:r>
      <w:r w:rsidR="00123D7F">
        <w:rPr>
          <w:lang w:eastAsia="ja-JP"/>
        </w:rPr>
        <w:t>policy challenges</w:t>
      </w:r>
      <w:r w:rsidR="003B25D1">
        <w:rPr>
          <w:lang w:eastAsia="ja-JP"/>
        </w:rPr>
        <w:t xml:space="preserve"> </w:t>
      </w:r>
      <w:r w:rsidR="00BB46AA">
        <w:rPr>
          <w:lang w:eastAsia="ja-JP"/>
        </w:rPr>
        <w:t xml:space="preserve">identified </w:t>
      </w:r>
      <w:r w:rsidR="003B25D1">
        <w:rPr>
          <w:lang w:eastAsia="ja-JP"/>
        </w:rPr>
        <w:t xml:space="preserve">in Table 5.2 but to </w:t>
      </w:r>
      <w:r w:rsidR="00AE663C">
        <w:rPr>
          <w:lang w:eastAsia="ja-JP"/>
        </w:rPr>
        <w:t xml:space="preserve">seek compromise and conciliation between the two sides. </w:t>
      </w:r>
      <w:r w:rsidR="003B25D1">
        <w:rPr>
          <w:lang w:eastAsia="ja-JP"/>
        </w:rPr>
        <w:t>The arbitration divided the NTT into three; so it was in line with the Telecommunications Council’s recommendation in 1996</w:t>
      </w:r>
      <w:r w:rsidR="002E600D">
        <w:rPr>
          <w:lang w:eastAsia="ja-JP"/>
        </w:rPr>
        <w:t xml:space="preserve"> that </w:t>
      </w:r>
      <w:r w:rsidR="00862D98">
        <w:rPr>
          <w:lang w:eastAsia="ja-JP"/>
        </w:rPr>
        <w:t xml:space="preserve">the NTT be </w:t>
      </w:r>
      <w:r w:rsidR="00862D98">
        <w:t xml:space="preserve">divided </w:t>
      </w:r>
      <w:r w:rsidR="00862D98" w:rsidRPr="001D458E">
        <w:t xml:space="preserve">into three </w:t>
      </w:r>
      <w:r w:rsidR="00862D98">
        <w:t>bodies:</w:t>
      </w:r>
      <w:r w:rsidR="00862D98" w:rsidRPr="001D458E">
        <w:t xml:space="preserve"> the long distance communications </w:t>
      </w:r>
      <w:r w:rsidR="00862D98">
        <w:t>company</w:t>
      </w:r>
      <w:r w:rsidR="00862D98" w:rsidRPr="001D458E">
        <w:t xml:space="preserve">, the east </w:t>
      </w:r>
      <w:r w:rsidR="00862D98">
        <w:t>regional</w:t>
      </w:r>
      <w:r w:rsidR="00862D98" w:rsidRPr="001D458E">
        <w:t xml:space="preserve"> communications </w:t>
      </w:r>
      <w:r w:rsidR="00862D98">
        <w:t>company</w:t>
      </w:r>
      <w:r w:rsidR="00862D98" w:rsidRPr="001D458E">
        <w:t xml:space="preserve">, and the west </w:t>
      </w:r>
      <w:r w:rsidR="00862D98">
        <w:t>regional</w:t>
      </w:r>
      <w:r w:rsidR="00862D98" w:rsidRPr="001D458E">
        <w:t xml:space="preserve"> communications </w:t>
      </w:r>
      <w:r w:rsidR="00862D98">
        <w:t>company</w:t>
      </w:r>
      <w:r w:rsidR="003B25D1">
        <w:rPr>
          <w:lang w:eastAsia="ja-JP"/>
        </w:rPr>
        <w:t xml:space="preserve">. At the same time, </w:t>
      </w:r>
      <w:r w:rsidR="00FF75DD">
        <w:rPr>
          <w:lang w:eastAsia="ja-JP"/>
        </w:rPr>
        <w:t xml:space="preserve">these three companies were established </w:t>
      </w:r>
      <w:r w:rsidR="003B25D1">
        <w:rPr>
          <w:lang w:eastAsia="ja-JP"/>
        </w:rPr>
        <w:t>under a holding company; this mean</w:t>
      </w:r>
      <w:r w:rsidR="00FF75DD">
        <w:rPr>
          <w:lang w:eastAsia="ja-JP"/>
        </w:rPr>
        <w:t xml:space="preserve">t that </w:t>
      </w:r>
      <w:r w:rsidR="003B25D1">
        <w:rPr>
          <w:lang w:eastAsia="ja-JP"/>
        </w:rPr>
        <w:t xml:space="preserve">the NTT’s unity was retained in line with the NTT’s </w:t>
      </w:r>
      <w:r w:rsidR="000B07F2">
        <w:rPr>
          <w:lang w:eastAsia="ja-JP"/>
        </w:rPr>
        <w:t>view</w:t>
      </w:r>
      <w:r w:rsidR="003B25D1">
        <w:rPr>
          <w:lang w:eastAsia="ja-JP"/>
        </w:rPr>
        <w:t xml:space="preserve">. </w:t>
      </w:r>
      <w:r w:rsidR="00254BE9">
        <w:rPr>
          <w:lang w:eastAsia="ja-JP"/>
        </w:rPr>
        <w:t xml:space="preserve">The nature of the arbitration can be regarded as </w:t>
      </w:r>
      <w:r w:rsidR="00803433">
        <w:rPr>
          <w:lang w:eastAsia="ja-JP"/>
        </w:rPr>
        <w:t xml:space="preserve">highly </w:t>
      </w:r>
      <w:r w:rsidR="00254BE9">
        <w:rPr>
          <w:lang w:eastAsia="ja-JP"/>
        </w:rPr>
        <w:t>political rather than policy oriented</w:t>
      </w:r>
      <w:r w:rsidR="002356B4">
        <w:rPr>
          <w:lang w:eastAsia="ja-JP"/>
        </w:rPr>
        <w:t>,</w:t>
      </w:r>
      <w:r w:rsidR="00254BE9">
        <w:rPr>
          <w:lang w:eastAsia="ja-JP"/>
        </w:rPr>
        <w:t xml:space="preserve"> </w:t>
      </w:r>
      <w:r w:rsidR="00BE4623">
        <w:rPr>
          <w:lang w:eastAsia="ja-JP"/>
        </w:rPr>
        <w:t xml:space="preserve">because </w:t>
      </w:r>
      <w:r w:rsidR="00C0173A">
        <w:rPr>
          <w:lang w:eastAsia="ja-JP"/>
        </w:rPr>
        <w:t xml:space="preserve">the arbitration aimed not to pursue </w:t>
      </w:r>
      <w:r w:rsidR="00150CA4">
        <w:rPr>
          <w:lang w:eastAsia="ja-JP"/>
        </w:rPr>
        <w:t xml:space="preserve">a </w:t>
      </w:r>
      <w:r w:rsidR="00C0173A">
        <w:rPr>
          <w:lang w:eastAsia="ja-JP"/>
        </w:rPr>
        <w:t xml:space="preserve">policy oriented goal such as developing a new competition framework but to appease the both sides </w:t>
      </w:r>
      <w:r w:rsidR="00150CA4">
        <w:rPr>
          <w:lang w:eastAsia="ja-JP"/>
        </w:rPr>
        <w:t xml:space="preserve">by trying to adopt some of their proposals </w:t>
      </w:r>
      <w:r w:rsidR="00254BE9">
        <w:rPr>
          <w:lang w:eastAsia="ja-JP"/>
        </w:rPr>
        <w:t xml:space="preserve">(Tsuchiya 2003 p.84). </w:t>
      </w:r>
      <w:r w:rsidR="006808BF">
        <w:rPr>
          <w:lang w:eastAsia="ja-JP"/>
        </w:rPr>
        <w:t xml:space="preserve">The debate of the NTT breakup offers an example of </w:t>
      </w:r>
      <w:r w:rsidR="00947741">
        <w:rPr>
          <w:lang w:eastAsia="ja-JP"/>
        </w:rPr>
        <w:t xml:space="preserve">the weakness of the power of </w:t>
      </w:r>
      <w:r w:rsidR="006808BF">
        <w:rPr>
          <w:lang w:eastAsia="ja-JP"/>
        </w:rPr>
        <w:t xml:space="preserve">civil servants </w:t>
      </w:r>
      <w:r w:rsidR="00947741">
        <w:rPr>
          <w:lang w:eastAsia="ja-JP"/>
        </w:rPr>
        <w:t xml:space="preserve">through their failure </w:t>
      </w:r>
      <w:r w:rsidR="006808BF">
        <w:rPr>
          <w:lang w:eastAsia="ja-JP"/>
        </w:rPr>
        <w:t xml:space="preserve">to </w:t>
      </w:r>
      <w:r w:rsidR="00481CD4">
        <w:rPr>
          <w:lang w:eastAsia="ja-JP"/>
        </w:rPr>
        <w:t>obtain</w:t>
      </w:r>
      <w:r w:rsidR="006808BF">
        <w:rPr>
          <w:lang w:eastAsia="ja-JP"/>
        </w:rPr>
        <w:t xml:space="preserve"> </w:t>
      </w:r>
      <w:r w:rsidR="00947741">
        <w:rPr>
          <w:lang w:eastAsia="ja-JP"/>
        </w:rPr>
        <w:t xml:space="preserve">the </w:t>
      </w:r>
      <w:r w:rsidR="006808BF">
        <w:rPr>
          <w:lang w:eastAsia="ja-JP"/>
        </w:rPr>
        <w:t>ruling party politicians’ collective support.</w:t>
      </w:r>
      <w:r w:rsidR="00257E22">
        <w:rPr>
          <w:lang w:eastAsia="ja-JP"/>
        </w:rPr>
        <w:t xml:space="preserve"> </w:t>
      </w:r>
    </w:p>
    <w:p w14:paraId="6C5591EC" w14:textId="77777777" w:rsidR="008B1898" w:rsidRDefault="008B1898" w:rsidP="008D0572">
      <w:pPr>
        <w:ind w:firstLine="284"/>
      </w:pPr>
    </w:p>
    <w:p w14:paraId="29CC02EC" w14:textId="77777777" w:rsidR="00495655" w:rsidRDefault="004F2B7B" w:rsidP="005B18BE">
      <w:pPr>
        <w:pStyle w:val="Heading4"/>
      </w:pPr>
      <w:r>
        <w:t>Table 5.2: Problems resulted from the NTT’s dominance in local landline telecommunications networks (Telecommunications Council 1996a</w:t>
      </w:r>
      <w:r w:rsidR="003B499C">
        <w:t xml:space="preserve"> Chapter 4 2-1</w:t>
      </w:r>
      <w:r>
        <w:t>)</w:t>
      </w:r>
    </w:p>
    <w:tbl>
      <w:tblPr>
        <w:tblStyle w:val="TableGrid"/>
        <w:tblW w:w="0" w:type="auto"/>
        <w:tblLook w:val="04A0" w:firstRow="1" w:lastRow="0" w:firstColumn="1" w:lastColumn="0" w:noHBand="0" w:noVBand="1"/>
      </w:tblPr>
      <w:tblGrid>
        <w:gridCol w:w="8720"/>
      </w:tblGrid>
      <w:tr w:rsidR="008B1898" w14:paraId="0D2A85C8" w14:textId="77777777" w:rsidTr="008B1898">
        <w:tc>
          <w:tcPr>
            <w:tcW w:w="8720" w:type="dxa"/>
          </w:tcPr>
          <w:p w14:paraId="1298D8B3" w14:textId="77777777" w:rsidR="00495655" w:rsidRDefault="00495655" w:rsidP="005B18BE">
            <w:pPr>
              <w:pStyle w:val="NoSpacing"/>
              <w:rPr>
                <w:rFonts w:eastAsiaTheme="majorEastAsia"/>
                <w:bCs/>
                <w:iCs/>
                <w:u w:val="single"/>
              </w:rPr>
            </w:pPr>
          </w:p>
          <w:p w14:paraId="0CBE1104" w14:textId="77777777" w:rsidR="00495655" w:rsidRDefault="008B1898" w:rsidP="005B18BE">
            <w:pPr>
              <w:pStyle w:val="NoSpacing"/>
              <w:numPr>
                <w:ilvl w:val="0"/>
                <w:numId w:val="90"/>
              </w:numPr>
              <w:ind w:left="284" w:hanging="284"/>
            </w:pPr>
            <w:r>
              <w:t>The continued existence of a bottleneck monopoly will cause the following problems:</w:t>
            </w:r>
          </w:p>
          <w:p w14:paraId="729F6C97" w14:textId="77777777" w:rsidR="00495655" w:rsidRDefault="008B1898" w:rsidP="005B18BE">
            <w:pPr>
              <w:pStyle w:val="NoSpacing"/>
              <w:numPr>
                <w:ilvl w:val="0"/>
                <w:numId w:val="91"/>
              </w:numPr>
            </w:pPr>
            <w:r>
              <w:t>There will be no extra incentive for NTT to improve management efficiency.</w:t>
            </w:r>
          </w:p>
          <w:p w14:paraId="6915C827" w14:textId="77777777" w:rsidR="00495655" w:rsidRDefault="008B1898" w:rsidP="005B18BE">
            <w:pPr>
              <w:pStyle w:val="NoSpacing"/>
              <w:numPr>
                <w:ilvl w:val="0"/>
                <w:numId w:val="91"/>
              </w:numPr>
            </w:pPr>
            <w:r>
              <w:t>The development of fair and effective competition will remain limited.</w:t>
            </w:r>
          </w:p>
          <w:p w14:paraId="03AC5E35" w14:textId="77777777" w:rsidR="00495655" w:rsidRDefault="008B1898" w:rsidP="005B18BE">
            <w:pPr>
              <w:pStyle w:val="NoSpacing"/>
              <w:numPr>
                <w:ilvl w:val="0"/>
                <w:numId w:val="91"/>
              </w:numPr>
            </w:pPr>
            <w:r>
              <w:t>As a result, there will be no increase in incentive to provide consumers with better services and reduce rates.</w:t>
            </w:r>
          </w:p>
          <w:p w14:paraId="06A6C929" w14:textId="77777777" w:rsidR="00495655" w:rsidRDefault="00495655" w:rsidP="005B18BE">
            <w:pPr>
              <w:pStyle w:val="NoSpacing"/>
              <w:ind w:left="284" w:hanging="284"/>
            </w:pPr>
          </w:p>
          <w:p w14:paraId="477FDC52" w14:textId="77777777" w:rsidR="00495655" w:rsidRDefault="008B1898" w:rsidP="005B18BE">
            <w:pPr>
              <w:pStyle w:val="NoSpacing"/>
              <w:numPr>
                <w:ilvl w:val="0"/>
                <w:numId w:val="90"/>
              </w:numPr>
              <w:ind w:left="284" w:hanging="284"/>
            </w:pPr>
            <w:r>
              <w:t>Policies for promoting competition which rely solely on such non-structural measures as issuing administrative orders are limited in terms of effectiveness, and the time and costs required for regulation may become extensive.</w:t>
            </w:r>
          </w:p>
          <w:p w14:paraId="0F3418FF" w14:textId="77777777" w:rsidR="00495655" w:rsidRDefault="00495655" w:rsidP="005B18BE">
            <w:pPr>
              <w:pStyle w:val="NoSpacing"/>
              <w:ind w:left="284"/>
            </w:pPr>
          </w:p>
          <w:p w14:paraId="5CAFB4FE" w14:textId="77777777" w:rsidR="00495655" w:rsidRDefault="008B1898" w:rsidP="005B18BE">
            <w:pPr>
              <w:pStyle w:val="NoSpacing"/>
              <w:numPr>
                <w:ilvl w:val="0"/>
                <w:numId w:val="90"/>
              </w:numPr>
              <w:ind w:left="284" w:hanging="284"/>
            </w:pPr>
            <w:r>
              <w:t>More specifically, while NTT faces a reasonable degree of competition in the long-distance communications markets in regions like Tokyo, Nagoya and Osaka, it still retains a more than 90% share of the overall communications market in Japan. This is an impediment to the business dynamism associated with competition.</w:t>
            </w:r>
          </w:p>
          <w:p w14:paraId="5BBF639E" w14:textId="77777777" w:rsidR="00495655" w:rsidRDefault="00495655" w:rsidP="005B18BE">
            <w:pPr>
              <w:pStyle w:val="NoSpacing"/>
              <w:ind w:left="284" w:hanging="284"/>
            </w:pPr>
          </w:p>
          <w:p w14:paraId="585D7B17" w14:textId="77777777" w:rsidR="00495655" w:rsidRDefault="008B1898" w:rsidP="005B18BE">
            <w:pPr>
              <w:pStyle w:val="NoSpacing"/>
              <w:numPr>
                <w:ilvl w:val="0"/>
                <w:numId w:val="90"/>
              </w:numPr>
              <w:ind w:left="284" w:hanging="284"/>
            </w:pPr>
            <w:r>
              <w:t>Restriction on the business of the NTT is inevitable if it is to enter such competitive markets as international communications while maintaining its existing company structure, because the issues relating to fair and effective competition that we currently see in the long- distance communications market will appear in other markets as well.</w:t>
            </w:r>
          </w:p>
          <w:p w14:paraId="15480144" w14:textId="77777777" w:rsidR="00495655" w:rsidRDefault="00495655" w:rsidP="005B18BE">
            <w:pPr>
              <w:pStyle w:val="NoSpacing"/>
              <w:ind w:left="284" w:hanging="284"/>
            </w:pPr>
          </w:p>
          <w:p w14:paraId="0665545D" w14:textId="77777777" w:rsidR="00495655" w:rsidRDefault="008B1898" w:rsidP="005B18BE">
            <w:pPr>
              <w:pStyle w:val="NoSpacing"/>
              <w:numPr>
                <w:ilvl w:val="0"/>
                <w:numId w:val="90"/>
              </w:numPr>
              <w:ind w:left="284" w:hanging="284"/>
            </w:pPr>
            <w:r>
              <w:t xml:space="preserve">Change in the corporate management environment is likely to be even more rapid in the future. However, if NTT remains in its present form as a giant management organization, this will run counter to its own objectives, namely to take full advantage of its management resources, establish more mobile management and enjoy the </w:t>
            </w:r>
            <w:r w:rsidR="00701231">
              <w:t>‘</w:t>
            </w:r>
            <w:r>
              <w:t>economies of speed</w:t>
            </w:r>
            <w:r w:rsidR="00701231">
              <w:t>’</w:t>
            </w:r>
            <w:r>
              <w:t>.</w:t>
            </w:r>
          </w:p>
          <w:p w14:paraId="78623246" w14:textId="77777777" w:rsidR="00495655" w:rsidRDefault="00495655" w:rsidP="005B18BE">
            <w:pPr>
              <w:pStyle w:val="NoSpacing"/>
            </w:pPr>
          </w:p>
          <w:p w14:paraId="6A2F9400" w14:textId="77777777" w:rsidR="00495655" w:rsidRDefault="008B1898" w:rsidP="005B18BE">
            <w:pPr>
              <w:pStyle w:val="NoSpacing"/>
            </w:pPr>
            <w:r>
              <w:t>(Reference)</w:t>
            </w:r>
            <w:r>
              <w:rPr>
                <w:rFonts w:hint="eastAsia"/>
                <w:lang w:eastAsia="ja-JP"/>
              </w:rPr>
              <w:t xml:space="preserve"> </w:t>
            </w:r>
            <w:r>
              <w:t>Number of employees of major companies in the private sector (Fiscal 1994)</w:t>
            </w:r>
          </w:p>
          <w:p w14:paraId="3E4DA57B" w14:textId="77777777" w:rsidR="00495655" w:rsidRDefault="008B1898" w:rsidP="005B18BE">
            <w:pPr>
              <w:pStyle w:val="NoSpacing"/>
              <w:tabs>
                <w:tab w:val="left" w:pos="2552"/>
              </w:tabs>
              <w:ind w:left="1134"/>
            </w:pPr>
            <w:r>
              <w:t>NTT</w:t>
            </w:r>
            <w:r>
              <w:tab/>
              <w:t>194,721</w:t>
            </w:r>
          </w:p>
          <w:p w14:paraId="43D24596" w14:textId="77777777" w:rsidR="00495655" w:rsidRDefault="008B1898" w:rsidP="005B18BE">
            <w:pPr>
              <w:pStyle w:val="NoSpacing"/>
              <w:tabs>
                <w:tab w:val="left" w:pos="2552"/>
              </w:tabs>
              <w:ind w:left="1134"/>
            </w:pPr>
            <w:r>
              <w:t>JR East Japan</w:t>
            </w:r>
            <w:r>
              <w:tab/>
              <w:t xml:space="preserve"> 79,709</w:t>
            </w:r>
          </w:p>
          <w:p w14:paraId="74C46687" w14:textId="77777777" w:rsidR="00495655" w:rsidRDefault="008B1898" w:rsidP="005B18BE">
            <w:pPr>
              <w:pStyle w:val="NoSpacing"/>
              <w:tabs>
                <w:tab w:val="left" w:pos="2552"/>
              </w:tabs>
              <w:ind w:left="1134"/>
            </w:pPr>
            <w:r>
              <w:t>Hitachi, Ltd.</w:t>
            </w:r>
            <w:r>
              <w:tab/>
              <w:t xml:space="preserve"> 76,679</w:t>
            </w:r>
          </w:p>
          <w:p w14:paraId="2D9E3D7C" w14:textId="77777777" w:rsidR="00495655" w:rsidRDefault="008B1898" w:rsidP="005B18BE">
            <w:pPr>
              <w:pStyle w:val="NoSpacing"/>
              <w:tabs>
                <w:tab w:val="left" w:pos="2552"/>
              </w:tabs>
              <w:ind w:left="1134"/>
            </w:pPr>
            <w:r>
              <w:t>Toshiba</w:t>
            </w:r>
            <w:r>
              <w:tab/>
              <w:t xml:space="preserve"> 73,463</w:t>
            </w:r>
          </w:p>
          <w:p w14:paraId="2AA97C04" w14:textId="77777777" w:rsidR="00495655" w:rsidRDefault="008B1898" w:rsidP="005B18BE">
            <w:pPr>
              <w:pStyle w:val="NoSpacing"/>
              <w:tabs>
                <w:tab w:val="left" w:pos="2552"/>
              </w:tabs>
              <w:ind w:left="1134"/>
            </w:pPr>
            <w:r>
              <w:t>Toyota Motor</w:t>
            </w:r>
            <w:r>
              <w:tab/>
              <w:t xml:space="preserve"> 69,748</w:t>
            </w:r>
          </w:p>
          <w:p w14:paraId="4307613F" w14:textId="77777777" w:rsidR="00495655" w:rsidRDefault="00495655" w:rsidP="005B18BE">
            <w:pPr>
              <w:pStyle w:val="NoSpacing"/>
            </w:pPr>
          </w:p>
        </w:tc>
      </w:tr>
    </w:tbl>
    <w:p w14:paraId="335AFF9B" w14:textId="77777777" w:rsidR="008B1898" w:rsidRDefault="008B1898" w:rsidP="008D0572">
      <w:pPr>
        <w:ind w:firstLine="284"/>
      </w:pPr>
    </w:p>
    <w:p w14:paraId="450CAEC1" w14:textId="77777777" w:rsidR="008D0572" w:rsidRPr="001D458E" w:rsidRDefault="008D0572" w:rsidP="008D0572">
      <w:pPr>
        <w:ind w:firstLine="284"/>
      </w:pPr>
      <w:r w:rsidRPr="001D458E">
        <w:t>The transformation of the regulatory approach f</w:t>
      </w:r>
      <w:r w:rsidRPr="001D458E">
        <w:rPr>
          <w:rFonts w:hint="eastAsia"/>
        </w:rPr>
        <w:t>rom</w:t>
      </w:r>
      <w:r w:rsidRPr="001D458E">
        <w:t xml:space="preserve"> those of ex ante to ex post </w:t>
      </w:r>
      <w:r w:rsidRPr="001D458E">
        <w:rPr>
          <w:rFonts w:hint="eastAsia"/>
        </w:rPr>
        <w:t xml:space="preserve">was characterised </w:t>
      </w:r>
      <w:r w:rsidRPr="001D458E">
        <w:t xml:space="preserve">more </w:t>
      </w:r>
      <w:r w:rsidRPr="001D458E">
        <w:rPr>
          <w:rFonts w:hint="eastAsia"/>
        </w:rPr>
        <w:t>by a piecemeal evolution than a sudden disjuncture</w:t>
      </w:r>
      <w:r w:rsidRPr="001D458E">
        <w:t xml:space="preserve"> (Kushida 2006 p.133). The key events of this transformation include the deregulatory measures </w:t>
      </w:r>
      <w:r w:rsidRPr="001D458E">
        <w:rPr>
          <w:rFonts w:hint="eastAsia"/>
        </w:rPr>
        <w:t xml:space="preserve">summarised </w:t>
      </w:r>
      <w:r w:rsidRPr="001D458E">
        <w:t>by Kushida (2006 pp.136-7):</w:t>
      </w:r>
    </w:p>
    <w:p w14:paraId="12990CF7" w14:textId="77777777" w:rsidR="008D0572" w:rsidRPr="001D458E" w:rsidRDefault="008D0572" w:rsidP="001B6C05">
      <w:pPr>
        <w:pStyle w:val="ListParagraph"/>
        <w:numPr>
          <w:ilvl w:val="0"/>
          <w:numId w:val="43"/>
        </w:numPr>
        <w:ind w:left="284" w:hanging="284"/>
        <w:rPr>
          <w:szCs w:val="24"/>
        </w:rPr>
      </w:pPr>
      <w:r w:rsidRPr="001D458E">
        <w:rPr>
          <w:szCs w:val="24"/>
        </w:rPr>
        <w:t>Japan’s signature of the WTO Telecoms Agreement in 1997. This removed most restrictions on foreign ownership</w:t>
      </w:r>
      <w:r w:rsidR="00F33AD7">
        <w:rPr>
          <w:szCs w:val="24"/>
        </w:rPr>
        <w:t xml:space="preserve"> of carriers and infrastructure</w:t>
      </w:r>
      <w:r w:rsidR="00F33AD7">
        <w:rPr>
          <w:rFonts w:eastAsia="MS Mincho" w:hint="eastAsia"/>
          <w:szCs w:val="24"/>
        </w:rPr>
        <w:t>;</w:t>
      </w:r>
    </w:p>
    <w:p w14:paraId="149313F5" w14:textId="77777777" w:rsidR="008D0572" w:rsidRPr="001D458E" w:rsidRDefault="00F33AD7" w:rsidP="001B6C05">
      <w:pPr>
        <w:pStyle w:val="ListParagraph"/>
        <w:numPr>
          <w:ilvl w:val="0"/>
          <w:numId w:val="43"/>
        </w:numPr>
        <w:ind w:left="284" w:hanging="284"/>
        <w:rPr>
          <w:szCs w:val="24"/>
        </w:rPr>
      </w:pPr>
      <w:r>
        <w:rPr>
          <w:rFonts w:eastAsia="MS Mincho" w:hint="eastAsia"/>
          <w:szCs w:val="24"/>
        </w:rPr>
        <w:t>t</w:t>
      </w:r>
      <w:r w:rsidR="008D0572" w:rsidRPr="001D458E">
        <w:rPr>
          <w:szCs w:val="24"/>
        </w:rPr>
        <w:t xml:space="preserve">he abolition of most licensing requirements for market entry and price changes in 1998 while relaxing restrictions over the scope of </w:t>
      </w:r>
      <w:r w:rsidR="00B5375D">
        <w:rPr>
          <w:szCs w:val="24"/>
        </w:rPr>
        <w:t xml:space="preserve">the </w:t>
      </w:r>
      <w:r w:rsidR="008D0572" w:rsidRPr="001D458E">
        <w:rPr>
          <w:szCs w:val="24"/>
        </w:rPr>
        <w:t>carrier’s business activities. In particular, the MPT changed most regulatory requirements on Type I</w:t>
      </w:r>
      <w:r w:rsidR="008D0572" w:rsidRPr="001D458E">
        <w:rPr>
          <w:rStyle w:val="FootnoteReference"/>
          <w:szCs w:val="24"/>
        </w:rPr>
        <w:footnoteReference w:id="51"/>
      </w:r>
      <w:r w:rsidR="008D0572" w:rsidRPr="001D458E">
        <w:rPr>
          <w:szCs w:val="24"/>
        </w:rPr>
        <w:t xml:space="preserve"> carriers to</w:t>
      </w:r>
      <w:r>
        <w:rPr>
          <w:szCs w:val="24"/>
        </w:rPr>
        <w:t xml:space="preserve"> notifications from permissions</w:t>
      </w:r>
      <w:r>
        <w:rPr>
          <w:rFonts w:eastAsia="MS Mincho" w:hint="eastAsia"/>
          <w:szCs w:val="24"/>
        </w:rPr>
        <w:t>; and</w:t>
      </w:r>
    </w:p>
    <w:p w14:paraId="697168A1" w14:textId="77777777" w:rsidR="008D0572" w:rsidRPr="001D458E" w:rsidRDefault="00F33AD7" w:rsidP="001B6C05">
      <w:pPr>
        <w:pStyle w:val="ListParagraph"/>
        <w:numPr>
          <w:ilvl w:val="0"/>
          <w:numId w:val="43"/>
        </w:numPr>
        <w:ind w:left="284" w:hanging="284"/>
        <w:rPr>
          <w:szCs w:val="24"/>
        </w:rPr>
      </w:pPr>
      <w:r>
        <w:rPr>
          <w:rFonts w:eastAsia="MS Mincho" w:hint="eastAsia"/>
          <w:szCs w:val="24"/>
        </w:rPr>
        <w:t>t</w:t>
      </w:r>
      <w:r w:rsidR="008D0572" w:rsidRPr="001D458E">
        <w:rPr>
          <w:szCs w:val="24"/>
        </w:rPr>
        <w:t>he abolition of most of the classification, registration, and notification requirements. The MIC removed the Type I and Type II carrier classifications altogether in 2003.</w:t>
      </w:r>
    </w:p>
    <w:p w14:paraId="3EC7E565" w14:textId="77777777" w:rsidR="008D0572" w:rsidRPr="001D458E" w:rsidRDefault="008D0572" w:rsidP="008D0572"/>
    <w:p w14:paraId="15B825AA" w14:textId="77777777" w:rsidR="008D0572" w:rsidRPr="001D458E" w:rsidRDefault="008D0572" w:rsidP="008D0572">
      <w:r w:rsidRPr="001D458E">
        <w:t>While these deregulatory measures</w:t>
      </w:r>
      <w:r w:rsidR="00533F7B">
        <w:t xml:space="preserve"> were</w:t>
      </w:r>
      <w:r w:rsidRPr="001D458E">
        <w:t xml:space="preserve"> </w:t>
      </w:r>
      <w:r w:rsidRPr="001D458E">
        <w:rPr>
          <w:rFonts w:hint="eastAsia"/>
          <w:lang w:eastAsia="ja-JP"/>
        </w:rPr>
        <w:t>intended</w:t>
      </w:r>
      <w:r w:rsidRPr="001D458E">
        <w:t xml:space="preserve"> to relax ex ante regulation, newly introduced regulatory measures can be understood as ex post oriented. The key components of this new regulatory measure contain the </w:t>
      </w:r>
      <w:r w:rsidRPr="001D458E">
        <w:rPr>
          <w:rFonts w:hint="eastAsia"/>
          <w:lang w:eastAsia="ja-JP"/>
        </w:rPr>
        <w:t xml:space="preserve">development of the rule for </w:t>
      </w:r>
      <w:r w:rsidRPr="001D458E">
        <w:t xml:space="preserve">interconnection between telecommunications operator networks and </w:t>
      </w:r>
      <w:r w:rsidRPr="001D458E">
        <w:rPr>
          <w:rFonts w:hint="eastAsia"/>
          <w:lang w:eastAsia="ja-JP"/>
        </w:rPr>
        <w:t xml:space="preserve">the </w:t>
      </w:r>
      <w:r w:rsidRPr="001D458E">
        <w:t>establishment of the Telecommunications Dispute Settlement Commission (TDSC).</w:t>
      </w:r>
    </w:p>
    <w:p w14:paraId="5489B9A8" w14:textId="77777777" w:rsidR="008D0572" w:rsidRPr="001D458E" w:rsidRDefault="008D0572" w:rsidP="008D0572">
      <w:pPr>
        <w:ind w:firstLine="284"/>
        <w:rPr>
          <w:lang w:eastAsia="ja-JP"/>
        </w:rPr>
      </w:pPr>
      <w:r w:rsidRPr="001D458E">
        <w:t xml:space="preserve">The initial telecommunications regulatory framework introduced in </w:t>
      </w:r>
      <w:r w:rsidRPr="001D458E">
        <w:rPr>
          <w:rFonts w:hint="eastAsia"/>
          <w:lang w:eastAsia="ja-JP"/>
        </w:rPr>
        <w:t xml:space="preserve">the </w:t>
      </w:r>
      <w:r w:rsidRPr="001D458E">
        <w:t xml:space="preserve">1985 </w:t>
      </w:r>
      <w:r w:rsidRPr="001D458E">
        <w:rPr>
          <w:rFonts w:hint="eastAsia"/>
          <w:lang w:eastAsia="ja-JP"/>
        </w:rPr>
        <w:t>T</w:t>
      </w:r>
      <w:r w:rsidRPr="001D458E">
        <w:t xml:space="preserve">elecommunications </w:t>
      </w:r>
      <w:r w:rsidRPr="001D458E">
        <w:rPr>
          <w:rFonts w:hint="eastAsia"/>
          <w:lang w:eastAsia="ja-JP"/>
        </w:rPr>
        <w:t>R</w:t>
      </w:r>
      <w:r w:rsidRPr="001D458E">
        <w:t xml:space="preserve">egulatory </w:t>
      </w:r>
      <w:r w:rsidRPr="001D458E">
        <w:rPr>
          <w:rFonts w:hint="eastAsia"/>
          <w:lang w:eastAsia="ja-JP"/>
        </w:rPr>
        <w:t>R</w:t>
      </w:r>
      <w:r w:rsidRPr="001D458E">
        <w:t xml:space="preserve">eform </w:t>
      </w:r>
      <w:r w:rsidRPr="001D458E">
        <w:rPr>
          <w:rFonts w:hint="eastAsia"/>
          <w:lang w:eastAsia="ja-JP"/>
        </w:rPr>
        <w:t>made</w:t>
      </w:r>
      <w:r w:rsidRPr="001D458E">
        <w:t xml:space="preserve"> </w:t>
      </w:r>
      <w:r w:rsidRPr="001D458E">
        <w:rPr>
          <w:rFonts w:hint="eastAsia"/>
          <w:lang w:eastAsia="ja-JP"/>
        </w:rPr>
        <w:t xml:space="preserve">only a simple </w:t>
      </w:r>
      <w:r w:rsidRPr="001D458E">
        <w:t xml:space="preserve">provision about </w:t>
      </w:r>
      <w:r w:rsidRPr="001D458E">
        <w:rPr>
          <w:rFonts w:hint="eastAsia"/>
          <w:lang w:eastAsia="ja-JP"/>
        </w:rPr>
        <w:t xml:space="preserve">the dispute settlement of </w:t>
      </w:r>
      <w:r w:rsidRPr="001D458E">
        <w:t xml:space="preserve">telecommunications network interconnection between telecommunications operators (Kushida 2006 p.135). The terms and conditions of interconnection were determined between interested parties, and the MPT intervened when no agreement was reached between the parties. </w:t>
      </w:r>
      <w:r w:rsidRPr="001D458E">
        <w:rPr>
          <w:rFonts w:hint="eastAsia"/>
          <w:lang w:eastAsia="ja-JP"/>
        </w:rPr>
        <w:t xml:space="preserve">The </w:t>
      </w:r>
      <w:r w:rsidRPr="001D458E">
        <w:rPr>
          <w:lang w:eastAsia="ja-JP"/>
        </w:rPr>
        <w:t xml:space="preserve">MPT’s intervention </w:t>
      </w:r>
      <w:r w:rsidR="00533F7B" w:rsidRPr="001D458E">
        <w:rPr>
          <w:lang w:eastAsia="ja-JP"/>
        </w:rPr>
        <w:t>include</w:t>
      </w:r>
      <w:r w:rsidR="00533F7B">
        <w:rPr>
          <w:lang w:eastAsia="ja-JP"/>
        </w:rPr>
        <w:t>d</w:t>
      </w:r>
      <w:r w:rsidR="004E1858">
        <w:rPr>
          <w:rFonts w:hint="eastAsia"/>
          <w:lang w:eastAsia="ja-JP"/>
        </w:rPr>
        <w:t xml:space="preserve"> </w:t>
      </w:r>
      <w:r w:rsidRPr="001D458E">
        <w:rPr>
          <w:lang w:eastAsia="ja-JP"/>
        </w:rPr>
        <w:t xml:space="preserve">issuing orders by the Minister and arbitration (Telecommunications Council 1996b p.1). </w:t>
      </w:r>
      <w:r w:rsidRPr="001D458E">
        <w:t xml:space="preserve">This system prompted significant </w:t>
      </w:r>
      <w:r w:rsidRPr="001D458E">
        <w:rPr>
          <w:lang w:eastAsia="ja-JP"/>
        </w:rPr>
        <w:t>problems and resulting disputes between the NTT and new entrants, which can be summarised</w:t>
      </w:r>
      <w:r w:rsidR="00533F7B">
        <w:rPr>
          <w:lang w:eastAsia="ja-JP"/>
        </w:rPr>
        <w:t xml:space="preserve"> as</w:t>
      </w:r>
      <w:r w:rsidRPr="001D458E">
        <w:rPr>
          <w:lang w:eastAsia="ja-JP"/>
        </w:rPr>
        <w:t xml:space="preserve"> (Telecommunications Council 1996b pp.2-3):</w:t>
      </w:r>
    </w:p>
    <w:p w14:paraId="42A44623" w14:textId="77777777" w:rsidR="008D0572" w:rsidRPr="001D458E" w:rsidRDefault="00F33AD7" w:rsidP="001B6C05">
      <w:pPr>
        <w:pStyle w:val="ListParagraph"/>
        <w:numPr>
          <w:ilvl w:val="0"/>
          <w:numId w:val="46"/>
        </w:numPr>
        <w:ind w:left="284" w:hanging="284"/>
        <w:rPr>
          <w:szCs w:val="24"/>
        </w:rPr>
      </w:pPr>
      <w:r>
        <w:rPr>
          <w:rFonts w:eastAsia="MS Mincho" w:hint="eastAsia"/>
          <w:szCs w:val="24"/>
        </w:rPr>
        <w:t>p</w:t>
      </w:r>
      <w:r w:rsidR="008D0572" w:rsidRPr="001D458E">
        <w:rPr>
          <w:szCs w:val="24"/>
        </w:rPr>
        <w:t xml:space="preserve">rolonged interconnection negotiations: some interconnection negotiations between new entrants and the NTT, in particular those related to NTT’s local networks, became significantly prolonged. Since long distance NCCs requested interconnection with the NTT concerning the VPN (Virtual Private Network) service in September 1989, </w:t>
      </w:r>
      <w:r w:rsidR="008D0572" w:rsidRPr="001D458E">
        <w:rPr>
          <w:rFonts w:hint="eastAsia"/>
          <w:szCs w:val="24"/>
        </w:rPr>
        <w:t>it took</w:t>
      </w:r>
      <w:r w:rsidR="008D0572" w:rsidRPr="001D458E">
        <w:rPr>
          <w:szCs w:val="24"/>
        </w:rPr>
        <w:t xml:space="preserve"> more than five years before reaching an agreement. ‘During that period, the long-distance NCCs requested the Minister of Posts and Telecommunications to issue an order to connect in November 1994, which the Minister issued to (the) NTT in December of the same year. An agreement was finally concluded in April, 1995’</w:t>
      </w:r>
      <w:r w:rsidR="00B72278">
        <w:rPr>
          <w:rFonts w:hint="eastAsia"/>
          <w:szCs w:val="24"/>
        </w:rPr>
        <w:t>;</w:t>
      </w:r>
    </w:p>
    <w:p w14:paraId="332379F8" w14:textId="77777777" w:rsidR="008D0572" w:rsidRPr="001D458E" w:rsidRDefault="00F33AD7" w:rsidP="001B6C05">
      <w:pPr>
        <w:pStyle w:val="ListParagraph"/>
        <w:numPr>
          <w:ilvl w:val="0"/>
          <w:numId w:val="45"/>
        </w:numPr>
        <w:ind w:left="284" w:hanging="284"/>
        <w:rPr>
          <w:szCs w:val="24"/>
        </w:rPr>
      </w:pPr>
      <w:r>
        <w:rPr>
          <w:rFonts w:eastAsia="MS Mincho" w:hint="eastAsia"/>
          <w:szCs w:val="24"/>
        </w:rPr>
        <w:t>t</w:t>
      </w:r>
      <w:r w:rsidR="008D0572" w:rsidRPr="001D458E">
        <w:rPr>
          <w:szCs w:val="24"/>
        </w:rPr>
        <w:t xml:space="preserve">he costs base for calculating interconnection charges: </w:t>
      </w:r>
      <w:r w:rsidR="008D0572" w:rsidRPr="001D458E">
        <w:rPr>
          <w:rFonts w:hint="eastAsia"/>
          <w:szCs w:val="24"/>
        </w:rPr>
        <w:t>a</w:t>
      </w:r>
      <w:r w:rsidR="008D0572" w:rsidRPr="001D458E">
        <w:rPr>
          <w:szCs w:val="24"/>
        </w:rPr>
        <w:t xml:space="preserve"> dispute </w:t>
      </w:r>
      <w:r w:rsidR="008D0572" w:rsidRPr="001D458E">
        <w:rPr>
          <w:rFonts w:hint="eastAsia"/>
          <w:szCs w:val="24"/>
        </w:rPr>
        <w:t xml:space="preserve">arose over </w:t>
      </w:r>
      <w:r w:rsidR="008D0572" w:rsidRPr="001D458E">
        <w:rPr>
          <w:szCs w:val="24"/>
        </w:rPr>
        <w:t xml:space="preserve">the appropriate base for calculating interconnection charges. The NCCs negotiated with the NTT for the scope of costs for NTT local network interconnection charges for four years </w:t>
      </w:r>
      <w:r w:rsidR="00B5375D">
        <w:rPr>
          <w:szCs w:val="24"/>
        </w:rPr>
        <w:t>from</w:t>
      </w:r>
      <w:r w:rsidR="008D0572" w:rsidRPr="001D458E">
        <w:rPr>
          <w:szCs w:val="24"/>
        </w:rPr>
        <w:t xml:space="preserve"> 1993. In November 1995 </w:t>
      </w:r>
      <w:r w:rsidR="008D0572" w:rsidRPr="001D458E">
        <w:rPr>
          <w:rFonts w:hint="eastAsia"/>
          <w:szCs w:val="24"/>
        </w:rPr>
        <w:t>the NCCs and the NTT</w:t>
      </w:r>
      <w:r w:rsidR="008D0572" w:rsidRPr="001D458E">
        <w:rPr>
          <w:szCs w:val="24"/>
        </w:rPr>
        <w:t xml:space="preserve"> agreed to exclude </w:t>
      </w:r>
      <w:r w:rsidR="003419F7">
        <w:rPr>
          <w:rFonts w:hint="eastAsia"/>
          <w:szCs w:val="24"/>
        </w:rPr>
        <w:t xml:space="preserve">the </w:t>
      </w:r>
      <w:r w:rsidR="008D0572" w:rsidRPr="001D458E">
        <w:rPr>
          <w:szCs w:val="24"/>
        </w:rPr>
        <w:t>NTT’s sales activities expenses, but still continued to negotiate other items including research and development expenses</w:t>
      </w:r>
      <w:r w:rsidR="00B72278">
        <w:rPr>
          <w:rFonts w:hint="eastAsia"/>
          <w:szCs w:val="24"/>
        </w:rPr>
        <w:t>;</w:t>
      </w:r>
    </w:p>
    <w:p w14:paraId="730ADCFB" w14:textId="77777777" w:rsidR="008D0572" w:rsidRPr="001D458E" w:rsidRDefault="00F33AD7" w:rsidP="001B6C05">
      <w:pPr>
        <w:pStyle w:val="ListParagraph"/>
        <w:numPr>
          <w:ilvl w:val="0"/>
          <w:numId w:val="45"/>
        </w:numPr>
        <w:ind w:left="284" w:hanging="284"/>
        <w:rPr>
          <w:szCs w:val="24"/>
        </w:rPr>
      </w:pPr>
      <w:r>
        <w:rPr>
          <w:rFonts w:eastAsia="MS Mincho" w:hint="eastAsia"/>
          <w:szCs w:val="24"/>
        </w:rPr>
        <w:t>n</w:t>
      </w:r>
      <w:r w:rsidR="008D0572" w:rsidRPr="001D458E">
        <w:rPr>
          <w:szCs w:val="24"/>
        </w:rPr>
        <w:t xml:space="preserve">etwork modifications for interconnection: </w:t>
      </w:r>
      <w:r w:rsidR="00C54D7C">
        <w:rPr>
          <w:rFonts w:hint="eastAsia"/>
          <w:szCs w:val="24"/>
        </w:rPr>
        <w:t xml:space="preserve">the </w:t>
      </w:r>
      <w:r w:rsidR="008D0572" w:rsidRPr="001D458E">
        <w:rPr>
          <w:szCs w:val="24"/>
        </w:rPr>
        <w:t xml:space="preserve">NTT’s network needs to be modified to connect with other telecommunications networks, because: ‘it was not necessarily designed for interconnection.’ This modification needed two years </w:t>
      </w:r>
      <w:r w:rsidR="00B5375D">
        <w:rPr>
          <w:szCs w:val="24"/>
        </w:rPr>
        <w:t>o</w:t>
      </w:r>
      <w:r w:rsidR="008D0572" w:rsidRPr="001D458E">
        <w:rPr>
          <w:szCs w:val="24"/>
        </w:rPr>
        <w:t>n average. Also, the NTT requested NCCs to bear the costs for modification, which was a significant burden for small NCCs</w:t>
      </w:r>
      <w:r w:rsidR="00B72278">
        <w:rPr>
          <w:rFonts w:hint="eastAsia"/>
          <w:szCs w:val="24"/>
        </w:rPr>
        <w:t>; and</w:t>
      </w:r>
    </w:p>
    <w:p w14:paraId="02CC8ABD" w14:textId="77777777" w:rsidR="008D0572" w:rsidRPr="001D458E" w:rsidRDefault="00F33AD7" w:rsidP="001B6C05">
      <w:pPr>
        <w:pStyle w:val="ListParagraph"/>
        <w:numPr>
          <w:ilvl w:val="0"/>
          <w:numId w:val="45"/>
        </w:numPr>
        <w:ind w:left="284" w:hanging="284"/>
        <w:rPr>
          <w:szCs w:val="24"/>
        </w:rPr>
      </w:pPr>
      <w:r>
        <w:rPr>
          <w:rFonts w:eastAsia="MS Mincho" w:hint="eastAsia"/>
          <w:szCs w:val="24"/>
        </w:rPr>
        <w:t>i</w:t>
      </w:r>
      <w:r w:rsidR="008D0572" w:rsidRPr="001D458E">
        <w:rPr>
          <w:szCs w:val="24"/>
        </w:rPr>
        <w:t>nterconnection with Type II carrie</w:t>
      </w:r>
      <w:r w:rsidR="00FE1C9F">
        <w:rPr>
          <w:szCs w:val="24"/>
        </w:rPr>
        <w:t>r</w:t>
      </w:r>
      <w:r w:rsidR="008D0572" w:rsidRPr="001D458E">
        <w:rPr>
          <w:szCs w:val="24"/>
        </w:rPr>
        <w:t xml:space="preserve">s: There were also disputes between the NTT and Type II carriers about technical issues, such as network-network interface and unbundling </w:t>
      </w:r>
      <w:r w:rsidR="00C54D7C">
        <w:rPr>
          <w:rFonts w:hint="eastAsia"/>
          <w:szCs w:val="24"/>
        </w:rPr>
        <w:t xml:space="preserve">the </w:t>
      </w:r>
      <w:r w:rsidR="008D0572" w:rsidRPr="001D458E">
        <w:rPr>
          <w:szCs w:val="24"/>
        </w:rPr>
        <w:t>NTT’s network components for lease.</w:t>
      </w:r>
    </w:p>
    <w:p w14:paraId="7BF32A61" w14:textId="77777777" w:rsidR="008D0572" w:rsidRPr="001D458E" w:rsidRDefault="008D0572" w:rsidP="0024471C">
      <w:pPr>
        <w:ind w:left="277" w:hangingChars="122" w:hanging="277"/>
        <w:rPr>
          <w:lang w:eastAsia="ja-JP"/>
        </w:rPr>
      </w:pPr>
    </w:p>
    <w:p w14:paraId="3AADD483" w14:textId="77777777" w:rsidR="008D0572" w:rsidRPr="001D458E" w:rsidRDefault="008D0572" w:rsidP="008D0572">
      <w:pPr>
        <w:ind w:firstLine="284"/>
      </w:pPr>
      <w:r w:rsidRPr="001D458E">
        <w:rPr>
          <w:lang w:eastAsia="ja-JP"/>
        </w:rPr>
        <w:t xml:space="preserve"> These problems </w:t>
      </w:r>
      <w:r w:rsidRPr="001D458E">
        <w:rPr>
          <w:rFonts w:hint="eastAsia"/>
          <w:lang w:eastAsia="ja-JP"/>
        </w:rPr>
        <w:t xml:space="preserve">prompted </w:t>
      </w:r>
      <w:r w:rsidRPr="001D458E">
        <w:rPr>
          <w:lang w:eastAsia="ja-JP"/>
        </w:rPr>
        <w:t xml:space="preserve">the MPT </w:t>
      </w:r>
      <w:r w:rsidRPr="001D458E">
        <w:rPr>
          <w:rFonts w:hint="eastAsia"/>
          <w:lang w:eastAsia="ja-JP"/>
        </w:rPr>
        <w:t xml:space="preserve">to </w:t>
      </w:r>
      <w:r w:rsidRPr="001D458E">
        <w:t>revise the Telecommunications Business Law to establish clear rules for interconnection in 1997 (Kushida 2006 p.135, Takahashi 2009 p.239). This amendment obliged the NTT to lease its local network</w:t>
      </w:r>
      <w:r w:rsidRPr="001D458E">
        <w:rPr>
          <w:lang w:eastAsia="ja-JP"/>
        </w:rPr>
        <w:t xml:space="preserve">, </w:t>
      </w:r>
      <w:r w:rsidRPr="001D458E">
        <w:t xml:space="preserve">calculate its interconnection charge in line </w:t>
      </w:r>
      <w:r w:rsidRPr="001D458E">
        <w:rPr>
          <w:rFonts w:hint="eastAsia"/>
          <w:lang w:eastAsia="ja-JP"/>
        </w:rPr>
        <w:t xml:space="preserve">with </w:t>
      </w:r>
      <w:r w:rsidR="00F33AD7">
        <w:rPr>
          <w:rFonts w:eastAsia="MS Mincho" w:hint="eastAsia"/>
          <w:lang w:eastAsia="ja-JP"/>
        </w:rPr>
        <w:t xml:space="preserve">the </w:t>
      </w:r>
      <w:r w:rsidRPr="001D458E">
        <w:t xml:space="preserve">MPT’s formula dictating the prices </w:t>
      </w:r>
      <w:r w:rsidR="00F33AD7">
        <w:rPr>
          <w:rFonts w:eastAsia="MS Mincho" w:hint="eastAsia"/>
          <w:lang w:eastAsia="ja-JP"/>
        </w:rPr>
        <w:t xml:space="preserve">the </w:t>
      </w:r>
      <w:r w:rsidRPr="001D458E">
        <w:t>NTT was allowed to charge</w:t>
      </w:r>
      <w:r w:rsidRPr="001D458E">
        <w:rPr>
          <w:lang w:eastAsia="ja-JP"/>
        </w:rPr>
        <w:t>, and establish the interconnection accounting system</w:t>
      </w:r>
      <w:r w:rsidRPr="001D458E">
        <w:t xml:space="preserve"> (Kushida 2006 pp.135-6</w:t>
      </w:r>
      <w:r w:rsidRPr="001D458E">
        <w:rPr>
          <w:lang w:eastAsia="ja-JP"/>
        </w:rPr>
        <w:t>, Takahashi 2009 p.239</w:t>
      </w:r>
      <w:r w:rsidRPr="001D458E">
        <w:t xml:space="preserve">). </w:t>
      </w:r>
    </w:p>
    <w:p w14:paraId="39BE6727" w14:textId="77777777" w:rsidR="008D0572" w:rsidRDefault="008D0572" w:rsidP="008D0572">
      <w:pPr>
        <w:ind w:firstLine="284"/>
      </w:pPr>
      <w:r w:rsidRPr="001D458E">
        <w:t xml:space="preserve">Another regulatory measure which can be regarded as ex post is the establishment of the TDSC in 2001. The MIC transferred its responsibilities as the coordinator and mediator of </w:t>
      </w:r>
      <w:r w:rsidR="00FE1C9F">
        <w:t xml:space="preserve">the </w:t>
      </w:r>
      <w:r w:rsidRPr="001D458E">
        <w:t>dispute between telecommunications operators to the TDSC, which is located within the ministry but is in principle a</w:t>
      </w:r>
      <w:r w:rsidRPr="001D458E">
        <w:rPr>
          <w:rFonts w:hint="eastAsia"/>
        </w:rPr>
        <w:t>n independent</w:t>
      </w:r>
      <w:r w:rsidRPr="001D458E">
        <w:t xml:space="preserve"> third-party deliberative organisation. The members of this commission are appointed by the Minister of Internal Affairs and Communications after the endorsement of the Diet (TDSC 2011a). Although the actual impact of the TDSC </w:t>
      </w:r>
      <w:r w:rsidRPr="001D458E">
        <w:rPr>
          <w:rFonts w:hint="eastAsia"/>
        </w:rPr>
        <w:t>does not appear significant</w:t>
      </w:r>
      <w:r w:rsidRPr="001D458E">
        <w:t xml:space="preserve"> – it issued zero recommendation</w:t>
      </w:r>
      <w:r w:rsidR="00FE1C9F">
        <w:t>s</w:t>
      </w:r>
      <w:r w:rsidRPr="001D458E">
        <w:t xml:space="preserve"> in 2008 and 2010, and three recommendations in 2009 (TDSC 2011b) – the creation of this commission can be understood as a</w:t>
      </w:r>
      <w:r w:rsidRPr="001D458E">
        <w:rPr>
          <w:rFonts w:hint="eastAsia"/>
        </w:rPr>
        <w:t>n</w:t>
      </w:r>
      <w:r w:rsidRPr="001D458E">
        <w:t xml:space="preserve"> event </w:t>
      </w:r>
      <w:r w:rsidRPr="001D458E">
        <w:rPr>
          <w:rFonts w:hint="eastAsia"/>
        </w:rPr>
        <w:t>showing</w:t>
      </w:r>
      <w:r w:rsidRPr="001D458E">
        <w:t xml:space="preserve"> </w:t>
      </w:r>
      <w:r w:rsidR="000D3C1D">
        <w:rPr>
          <w:rFonts w:hint="eastAsia"/>
          <w:lang w:eastAsia="ja-JP"/>
        </w:rPr>
        <w:t xml:space="preserve">the </w:t>
      </w:r>
      <w:r w:rsidRPr="001D458E">
        <w:t>government’s intention to change its mode of ICT regulation.</w:t>
      </w:r>
    </w:p>
    <w:p w14:paraId="58881A88" w14:textId="5D965F2E" w:rsidR="00F06496" w:rsidRDefault="0015226C" w:rsidP="004D4883">
      <w:pPr>
        <w:ind w:firstLine="284"/>
      </w:pPr>
      <w:r>
        <w:t>The traditional decision making framework</w:t>
      </w:r>
      <w:r w:rsidR="00CD174B">
        <w:t xml:space="preserve"> within the core executive did not, however, chang</w:t>
      </w:r>
      <w:r>
        <w:t>e</w:t>
      </w:r>
      <w:r w:rsidR="00CD174B">
        <w:t xml:space="preserve"> in ICT regulation</w:t>
      </w:r>
      <w:r w:rsidR="00F3589B">
        <w:t xml:space="preserve"> under </w:t>
      </w:r>
      <w:r w:rsidR="004B049E">
        <w:t>LDP/</w:t>
      </w:r>
      <w:r w:rsidR="00F3589B">
        <w:t>LDP led coalition governments</w:t>
      </w:r>
      <w:r w:rsidR="00CD174B">
        <w:t xml:space="preserve">. Key decision making </w:t>
      </w:r>
      <w:r w:rsidR="009A4C32">
        <w:t xml:space="preserve">processes </w:t>
      </w:r>
      <w:r w:rsidR="00CD174B">
        <w:t>w</w:t>
      </w:r>
      <w:r w:rsidR="009A4C32">
        <w:t>ere</w:t>
      </w:r>
      <w:r w:rsidR="00CD174B">
        <w:t xml:space="preserve"> dominated by </w:t>
      </w:r>
      <w:r w:rsidR="00DB66DD">
        <w:t>party politicians outside the Cabinet</w:t>
      </w:r>
      <w:r w:rsidR="000B44F7">
        <w:t xml:space="preserve"> </w:t>
      </w:r>
      <w:r w:rsidR="009A4C32">
        <w:t>after the debate of the NTT</w:t>
      </w:r>
      <w:r w:rsidR="00DB66DD">
        <w:t xml:space="preserve">. </w:t>
      </w:r>
      <w:r w:rsidR="00FF480A">
        <w:t xml:space="preserve">A typical example of </w:t>
      </w:r>
      <w:r w:rsidR="00947741">
        <w:t xml:space="preserve">the </w:t>
      </w:r>
      <w:r w:rsidR="00FF480A">
        <w:t xml:space="preserve">dominant party politician groups under this framework was the LDP’s </w:t>
      </w:r>
      <w:r w:rsidR="00F77E54" w:rsidRPr="005B18BE">
        <w:rPr>
          <w:i/>
          <w:iCs/>
        </w:rPr>
        <w:t>Yusei-Zoku</w:t>
      </w:r>
      <w:r w:rsidR="00FF480A">
        <w:t>, who exercised their power in</w:t>
      </w:r>
      <w:r w:rsidR="00DB66DD">
        <w:t xml:space="preserve"> their political arena, the LPD PARC Internal and Communications Affairs Division.</w:t>
      </w:r>
      <w:r w:rsidR="00947741">
        <w:t xml:space="preserve"> </w:t>
      </w:r>
      <w:r>
        <w:t>Tsuchiya (2003 pp.86-7) reports a case in which the MIC’s trial to introduce asymmetric regulation, in which the NTT’s regional communications divisions (NTT East and NTT West) and mobile division (NTT Docomo) be designated as the carrie</w:t>
      </w:r>
      <w:r w:rsidR="00FF480A">
        <w:t>r</w:t>
      </w:r>
      <w:r>
        <w:t xml:space="preserve">s </w:t>
      </w:r>
      <w:r w:rsidR="00FF480A">
        <w:t>with</w:t>
      </w:r>
      <w:r>
        <w:t xml:space="preserve"> significant market power, w</w:t>
      </w:r>
      <w:r w:rsidR="00FF480A">
        <w:t>as</w:t>
      </w:r>
      <w:r>
        <w:t xml:space="preserve"> opposed by </w:t>
      </w:r>
      <w:r w:rsidR="00F77E54" w:rsidRPr="005B18BE">
        <w:rPr>
          <w:i/>
          <w:iCs/>
        </w:rPr>
        <w:t>Yusei-Zoku</w:t>
      </w:r>
      <w:r>
        <w:t xml:space="preserve"> in the LDP PARC Internal Affairs and Communications Division </w:t>
      </w:r>
      <w:r w:rsidR="00F3589B">
        <w:t>in March 2001</w:t>
      </w:r>
      <w:r w:rsidR="004D4883">
        <w:t>.</w:t>
      </w:r>
      <w:r w:rsidR="00947741">
        <w:t xml:space="preserve"> The MIC was then left with </w:t>
      </w:r>
      <w:r>
        <w:t xml:space="preserve">no other option </w:t>
      </w:r>
      <w:r w:rsidR="00947741">
        <w:t xml:space="preserve">but to </w:t>
      </w:r>
      <w:r>
        <w:t>weaken the</w:t>
      </w:r>
      <w:r w:rsidR="00742B40">
        <w:t xml:space="preserve">ir original regulatory </w:t>
      </w:r>
      <w:r w:rsidR="00F3589B">
        <w:t>propos</w:t>
      </w:r>
      <w:r w:rsidR="00742B40">
        <w:t>al</w:t>
      </w:r>
      <w:r>
        <w:t>.</w:t>
      </w:r>
    </w:p>
    <w:p w14:paraId="786ECBAA" w14:textId="29B241F1" w:rsidR="00DB66DD" w:rsidRPr="00C82973" w:rsidRDefault="009A4C32" w:rsidP="0055429F">
      <w:pPr>
        <w:ind w:firstLine="284"/>
        <w:rPr>
          <w:lang w:eastAsia="ja-JP"/>
        </w:rPr>
      </w:pPr>
      <w:r>
        <w:t>Elsewhere, challenges to this traditional framework also emerged in the 200</w:t>
      </w:r>
      <w:r w:rsidR="00791BAC">
        <w:t>0</w:t>
      </w:r>
      <w:r>
        <w:t xml:space="preserve">s under LDP governments. First, </w:t>
      </w:r>
      <w:r w:rsidR="00407D24">
        <w:t xml:space="preserve">this can be seen in </w:t>
      </w:r>
      <w:r>
        <w:t xml:space="preserve">the impact of the administrative reform implemented in January 2001 </w:t>
      </w:r>
      <w:r w:rsidR="00407D24">
        <w:t xml:space="preserve">which </w:t>
      </w:r>
      <w:r w:rsidR="00A41C64">
        <w:t>enhance</w:t>
      </w:r>
      <w:r w:rsidR="00791BAC">
        <w:t>d</w:t>
      </w:r>
      <w:r w:rsidR="00A41C64">
        <w:t xml:space="preserve"> the Cabinet by explicitly recognising the Prime Minister’s leadership in law and strengthen</w:t>
      </w:r>
      <w:r w:rsidR="00407D24">
        <w:t>ed</w:t>
      </w:r>
      <w:r w:rsidR="00A41C64">
        <w:t xml:space="preserve"> </w:t>
      </w:r>
      <w:r w:rsidR="00DA2D0D">
        <w:t xml:space="preserve">the </w:t>
      </w:r>
      <w:r w:rsidR="00A41C64">
        <w:t xml:space="preserve">Prime Minister’s staff (e.g. giving stronger power to the Cabinet Secretariat and establishing the Cabinet Office) (I’io 2007 p.195). </w:t>
      </w:r>
      <w:r w:rsidR="00407D24">
        <w:t>Second, in r</w:t>
      </w:r>
      <w:r w:rsidR="00A41C64">
        <w:t xml:space="preserve">eplacing the previous parliamentary team within </w:t>
      </w:r>
      <w:r w:rsidR="00F3589B">
        <w:t xml:space="preserve">a </w:t>
      </w:r>
      <w:r w:rsidR="00A41C64">
        <w:t>ministr</w:t>
      </w:r>
      <w:r w:rsidR="00F3589B">
        <w:t>y</w:t>
      </w:r>
      <w:r w:rsidR="00A41C64">
        <w:t xml:space="preserve"> (a Cabinet Minister and one or two </w:t>
      </w:r>
      <w:r w:rsidR="001F4FD9">
        <w:t>P</w:t>
      </w:r>
      <w:r w:rsidR="00A41C64">
        <w:t xml:space="preserve">arliamentary </w:t>
      </w:r>
      <w:r w:rsidR="001F4FD9">
        <w:t>V</w:t>
      </w:r>
      <w:r w:rsidR="00A41C64">
        <w:t>ice-</w:t>
      </w:r>
      <w:r w:rsidR="001F4FD9">
        <w:t>M</w:t>
      </w:r>
      <w:r w:rsidR="00A41C64">
        <w:t xml:space="preserve">inisters) with </w:t>
      </w:r>
      <w:r w:rsidR="00F77E54" w:rsidRPr="005B18BE">
        <w:rPr>
          <w:i/>
          <w:iCs/>
        </w:rPr>
        <w:t>Seimu Sanyaku</w:t>
      </w:r>
      <w:r w:rsidR="00A41C64" w:rsidRPr="001D458E">
        <w:rPr>
          <w:rStyle w:val="FootnoteReference"/>
          <w:rFonts w:eastAsiaTheme="majorEastAsia"/>
          <w:i/>
        </w:rPr>
        <w:footnoteReference w:id="52"/>
      </w:r>
      <w:r w:rsidR="00A41C64">
        <w:t xml:space="preserve"> in January 2001 </w:t>
      </w:r>
      <w:r w:rsidR="000B44F7">
        <w:t>strengthened</w:t>
      </w:r>
      <w:r w:rsidR="00407D24">
        <w:t xml:space="preserve"> the power of individual </w:t>
      </w:r>
      <w:r w:rsidR="00CB759C">
        <w:t>Cabinet</w:t>
      </w:r>
      <w:r w:rsidR="00A41C64">
        <w:t xml:space="preserve"> Minister</w:t>
      </w:r>
      <w:r w:rsidR="00F06496">
        <w:t xml:space="preserve"> </w:t>
      </w:r>
      <w:r w:rsidR="00A41C64">
        <w:t>within the</w:t>
      </w:r>
      <w:r w:rsidR="00407D24">
        <w:t xml:space="preserve">ir respective </w:t>
      </w:r>
      <w:r w:rsidR="00A41C64">
        <w:t>ministr</w:t>
      </w:r>
      <w:r w:rsidR="00407D24">
        <w:t xml:space="preserve">ies </w:t>
      </w:r>
      <w:r w:rsidR="00A41C64">
        <w:t>(I’io 2007 p.196).</w:t>
      </w:r>
      <w:r w:rsidR="00CB759C">
        <w:t xml:space="preserve"> In addition to th</w:t>
      </w:r>
      <w:r w:rsidR="00407D24">
        <w:t>ese</w:t>
      </w:r>
      <w:r w:rsidR="00CB759C">
        <w:t xml:space="preserve"> institutional changes, Jun’ichiro Koizumi’s approach </w:t>
      </w:r>
      <w:r w:rsidR="00791BAC">
        <w:t xml:space="preserve">summarised </w:t>
      </w:r>
      <w:r w:rsidR="00151433">
        <w:t xml:space="preserve">in </w:t>
      </w:r>
      <w:r w:rsidR="00B22A07">
        <w:t>Table 5.</w:t>
      </w:r>
      <w:r w:rsidR="00CE7521">
        <w:t>3</w:t>
      </w:r>
      <w:r w:rsidR="00151433">
        <w:t xml:space="preserve"> </w:t>
      </w:r>
      <w:r w:rsidR="00CB759C">
        <w:t xml:space="preserve">also contributed to </w:t>
      </w:r>
      <w:r w:rsidR="0055429F">
        <w:t xml:space="preserve">further enhancing the </w:t>
      </w:r>
      <w:r w:rsidR="00791BAC">
        <w:t xml:space="preserve">power of the </w:t>
      </w:r>
      <w:r w:rsidR="00CB759C">
        <w:t xml:space="preserve">Cabinet and Cabinet Ministers in the 2000s.  </w:t>
      </w:r>
      <w:r w:rsidR="00C82973">
        <w:rPr>
          <w:lang w:eastAsia="ja-JP"/>
        </w:rPr>
        <w:t xml:space="preserve"> </w:t>
      </w:r>
    </w:p>
    <w:p w14:paraId="4D88270D" w14:textId="77777777" w:rsidR="00151433" w:rsidRDefault="00151433" w:rsidP="008D0572">
      <w:pPr>
        <w:ind w:firstLine="284"/>
      </w:pPr>
    </w:p>
    <w:p w14:paraId="7B4F05F2" w14:textId="77777777" w:rsidR="00495655" w:rsidRDefault="00B22A07" w:rsidP="005B18BE">
      <w:pPr>
        <w:pStyle w:val="Heading4"/>
      </w:pPr>
      <w:r>
        <w:t>Table 5.</w:t>
      </w:r>
      <w:r w:rsidR="00CE7521">
        <w:t>3</w:t>
      </w:r>
      <w:r w:rsidR="00AF2574">
        <w:t>:</w:t>
      </w:r>
      <w:r w:rsidR="00CE7521">
        <w:t xml:space="preserve"> </w:t>
      </w:r>
      <w:r w:rsidR="00AF2574">
        <w:t xml:space="preserve">The major points of </w:t>
      </w:r>
      <w:r w:rsidR="00151433">
        <w:t>Jun</w:t>
      </w:r>
      <w:r w:rsidR="00AF2574">
        <w:t>’</w:t>
      </w:r>
      <w:r w:rsidR="00151433">
        <w:t>ichiro Koizumi’s approach to strengthen the Cabinet (based on I’io 2007 pp.195-201)</w:t>
      </w:r>
    </w:p>
    <w:tbl>
      <w:tblPr>
        <w:tblStyle w:val="TableGrid"/>
        <w:tblW w:w="0" w:type="auto"/>
        <w:tblLook w:val="04A0" w:firstRow="1" w:lastRow="0" w:firstColumn="1" w:lastColumn="0" w:noHBand="0" w:noVBand="1"/>
      </w:tblPr>
      <w:tblGrid>
        <w:gridCol w:w="8720"/>
      </w:tblGrid>
      <w:tr w:rsidR="00151433" w14:paraId="1B747B8D" w14:textId="77777777" w:rsidTr="00151433">
        <w:tc>
          <w:tcPr>
            <w:tcW w:w="8720" w:type="dxa"/>
          </w:tcPr>
          <w:p w14:paraId="21A40828" w14:textId="77777777" w:rsidR="00495655" w:rsidRDefault="00495655" w:rsidP="005B18BE">
            <w:pPr>
              <w:pStyle w:val="NoSpacing"/>
              <w:ind w:left="284"/>
              <w:rPr>
                <w:rFonts w:eastAsiaTheme="majorEastAsia"/>
                <w:bCs/>
                <w:iCs/>
                <w:u w:val="single"/>
              </w:rPr>
            </w:pPr>
          </w:p>
          <w:p w14:paraId="2CD9A818" w14:textId="77777777" w:rsidR="00495655" w:rsidRDefault="00151433" w:rsidP="005B18BE">
            <w:pPr>
              <w:pStyle w:val="NoSpacing"/>
              <w:numPr>
                <w:ilvl w:val="0"/>
                <w:numId w:val="92"/>
              </w:numPr>
              <w:ind w:left="284" w:hanging="284"/>
            </w:pPr>
            <w:r>
              <w:t xml:space="preserve">Appointed his Cabinet Ministers without any references from other key </w:t>
            </w:r>
            <w:r w:rsidR="00096808">
              <w:t xml:space="preserve">LDP </w:t>
            </w:r>
            <w:r>
              <w:t>politicians; this significantly strengthened Koizumi’s political authority.</w:t>
            </w:r>
          </w:p>
          <w:p w14:paraId="35127816" w14:textId="77777777" w:rsidR="00495655" w:rsidRDefault="00495655" w:rsidP="005B18BE">
            <w:pPr>
              <w:pStyle w:val="NoSpacing"/>
              <w:ind w:left="284" w:hanging="284"/>
            </w:pPr>
          </w:p>
          <w:p w14:paraId="2095B5E4" w14:textId="77777777" w:rsidR="00495655" w:rsidRDefault="00151433" w:rsidP="005B18BE">
            <w:pPr>
              <w:pStyle w:val="NoSpacing"/>
              <w:numPr>
                <w:ilvl w:val="0"/>
                <w:numId w:val="92"/>
              </w:numPr>
              <w:ind w:left="284" w:hanging="284"/>
            </w:pPr>
            <w:r>
              <w:t xml:space="preserve">Gave his Cabinet Ministers </w:t>
            </w:r>
            <w:r w:rsidR="001F4FD9">
              <w:t xml:space="preserve">explicit </w:t>
            </w:r>
            <w:r>
              <w:t>instruction</w:t>
            </w:r>
            <w:r w:rsidR="001F4FD9">
              <w:t>s</w:t>
            </w:r>
            <w:r w:rsidR="00DA2D0D">
              <w:t xml:space="preserve"> in writing</w:t>
            </w:r>
            <w:r w:rsidR="001F4FD9">
              <w:t xml:space="preserve">; this contributed to </w:t>
            </w:r>
            <w:r w:rsidR="00DA2D0D">
              <w:t>forming</w:t>
            </w:r>
            <w:r w:rsidR="001F4FD9">
              <w:t xml:space="preserve"> the </w:t>
            </w:r>
            <w:r w:rsidR="00096808">
              <w:t xml:space="preserve">policy </w:t>
            </w:r>
            <w:r w:rsidR="001F4FD9">
              <w:t>unity in the Cabinet.</w:t>
            </w:r>
          </w:p>
          <w:p w14:paraId="2A6FB3C3" w14:textId="77777777" w:rsidR="00495655" w:rsidRDefault="00495655" w:rsidP="005B18BE">
            <w:pPr>
              <w:pStyle w:val="NoSpacing"/>
              <w:ind w:left="284" w:hanging="284"/>
            </w:pPr>
          </w:p>
          <w:p w14:paraId="1A5001B4" w14:textId="77777777" w:rsidR="00495655" w:rsidRDefault="001F4FD9" w:rsidP="005B18BE">
            <w:pPr>
              <w:pStyle w:val="NoSpacing"/>
              <w:numPr>
                <w:ilvl w:val="0"/>
                <w:numId w:val="92"/>
              </w:numPr>
              <w:ind w:left="284" w:hanging="284"/>
            </w:pPr>
            <w:r>
              <w:t xml:space="preserve">Refrained from frequent Cabinet reshuffle and </w:t>
            </w:r>
            <w:r w:rsidR="00B527C9">
              <w:t xml:space="preserve">instead </w:t>
            </w:r>
            <w:r>
              <w:t xml:space="preserve">moved </w:t>
            </w:r>
            <w:r w:rsidR="00DA2D0D">
              <w:t xml:space="preserve">a </w:t>
            </w:r>
            <w:r w:rsidR="00B527C9">
              <w:t>Ca</w:t>
            </w:r>
            <w:r>
              <w:t xml:space="preserve">binet Minister from one post to </w:t>
            </w:r>
            <w:r w:rsidR="001E4C1D">
              <w:t>a</w:t>
            </w:r>
            <w:r>
              <w:t xml:space="preserve">onother; this contributed to </w:t>
            </w:r>
            <w:r w:rsidR="001E4C1D">
              <w:t xml:space="preserve">Cabinet Ministers’ longer tenure and </w:t>
            </w:r>
            <w:r>
              <w:t>the continuity and unity of the Cabinet.</w:t>
            </w:r>
          </w:p>
          <w:p w14:paraId="0A5E2345" w14:textId="77777777" w:rsidR="00495655" w:rsidRDefault="00495655" w:rsidP="005B18BE">
            <w:pPr>
              <w:pStyle w:val="NoSpacing"/>
              <w:ind w:left="284" w:hanging="284"/>
            </w:pPr>
          </w:p>
          <w:p w14:paraId="587BCF7A" w14:textId="77777777" w:rsidR="00495655" w:rsidRDefault="001F4FD9" w:rsidP="005B18BE">
            <w:pPr>
              <w:pStyle w:val="NoSpacing"/>
              <w:numPr>
                <w:ilvl w:val="0"/>
                <w:numId w:val="92"/>
              </w:numPr>
              <w:ind w:left="284" w:hanging="284"/>
            </w:pPr>
            <w:r>
              <w:t xml:space="preserve">Formulated </w:t>
            </w:r>
            <w:r w:rsidR="00DA2D0D">
              <w:t>an</w:t>
            </w:r>
            <w:r>
              <w:t xml:space="preserve"> appointment system for Senior Vice</w:t>
            </w:r>
            <w:r w:rsidR="008759B7">
              <w:t>-</w:t>
            </w:r>
            <w:r>
              <w:t xml:space="preserve">Ministers and Parliamentary Secretaries and obtained the confirmation of </w:t>
            </w:r>
            <w:r w:rsidR="001E4C1D">
              <w:t xml:space="preserve">respective </w:t>
            </w:r>
            <w:r>
              <w:t>Cabinet Mini</w:t>
            </w:r>
            <w:r w:rsidR="001E4C1D">
              <w:t>s</w:t>
            </w:r>
            <w:r>
              <w:t>ters</w:t>
            </w:r>
            <w:r w:rsidR="001E4C1D">
              <w:t xml:space="preserve"> who would supervise </w:t>
            </w:r>
            <w:r w:rsidR="00DA2D0D">
              <w:t xml:space="preserve">the </w:t>
            </w:r>
            <w:r w:rsidR="001E4C1D">
              <w:t>appointees</w:t>
            </w:r>
            <w:r>
              <w:t xml:space="preserve">; this enhanced the unity of </w:t>
            </w:r>
            <w:r w:rsidR="00F77E54" w:rsidRPr="005B18BE">
              <w:rPr>
                <w:i/>
                <w:iCs/>
              </w:rPr>
              <w:t>Seimu Sanyaku</w:t>
            </w:r>
            <w:r>
              <w:t>.</w:t>
            </w:r>
          </w:p>
          <w:p w14:paraId="20D36B1E" w14:textId="77777777" w:rsidR="00495655" w:rsidRDefault="00495655" w:rsidP="005B18BE">
            <w:pPr>
              <w:pStyle w:val="NoSpacing"/>
              <w:ind w:left="284" w:hanging="284"/>
            </w:pPr>
          </w:p>
          <w:p w14:paraId="69C111AC" w14:textId="77777777" w:rsidR="00495655" w:rsidRDefault="00DA2D0D" w:rsidP="005B18BE">
            <w:pPr>
              <w:pStyle w:val="NoSpacing"/>
              <w:numPr>
                <w:ilvl w:val="0"/>
                <w:numId w:val="92"/>
              </w:numPr>
              <w:ind w:left="284" w:hanging="284"/>
            </w:pPr>
            <w:r>
              <w:t xml:space="preserve">Employed </w:t>
            </w:r>
            <w:r w:rsidR="00376607">
              <w:t xml:space="preserve">the Council for Economic and </w:t>
            </w:r>
            <w:r w:rsidR="001E4C1D">
              <w:t>Fiscal</w:t>
            </w:r>
            <w:r w:rsidR="00376607">
              <w:t xml:space="preserve"> Policy </w:t>
            </w:r>
            <w:r>
              <w:t xml:space="preserve">as an arena of key policy debates </w:t>
            </w:r>
            <w:r w:rsidR="00376607">
              <w:t xml:space="preserve">and </w:t>
            </w:r>
            <w:r>
              <w:t>made decisions</w:t>
            </w:r>
            <w:r w:rsidR="001E4C1D">
              <w:t xml:space="preserve"> himself</w:t>
            </w:r>
            <w:r w:rsidR="00376607">
              <w:t xml:space="preserve"> after debate between Cabinet Ministers.</w:t>
            </w:r>
          </w:p>
          <w:p w14:paraId="2ECFE108" w14:textId="77777777" w:rsidR="00495655" w:rsidRDefault="00495655" w:rsidP="005B18BE">
            <w:pPr>
              <w:pStyle w:val="NoSpacing"/>
              <w:ind w:left="284" w:hanging="284"/>
            </w:pPr>
          </w:p>
          <w:p w14:paraId="77F8B8CF" w14:textId="77777777" w:rsidR="00495655" w:rsidRDefault="001F4FD9" w:rsidP="005B18BE">
            <w:pPr>
              <w:pStyle w:val="NoSpacing"/>
              <w:numPr>
                <w:ilvl w:val="0"/>
                <w:numId w:val="92"/>
              </w:numPr>
              <w:ind w:left="284" w:hanging="284"/>
            </w:pPr>
            <w:r>
              <w:t>S</w:t>
            </w:r>
            <w:r w:rsidR="00151433">
              <w:t xml:space="preserve">capegoating </w:t>
            </w:r>
            <w:r w:rsidR="00376607">
              <w:t xml:space="preserve">the </w:t>
            </w:r>
            <w:r w:rsidR="00151433">
              <w:t xml:space="preserve">LDP’s </w:t>
            </w:r>
            <w:r w:rsidR="00F77E54" w:rsidRPr="005B18BE">
              <w:rPr>
                <w:i/>
                <w:iCs/>
              </w:rPr>
              <w:t>Zoku Gi’in</w:t>
            </w:r>
            <w:r w:rsidR="00151433">
              <w:t xml:space="preserve">, </w:t>
            </w:r>
            <w:r w:rsidR="00F77E54" w:rsidRPr="005B18BE">
              <w:rPr>
                <w:i/>
                <w:iCs/>
              </w:rPr>
              <w:t>Yusei-Zoku</w:t>
            </w:r>
            <w:r w:rsidR="00151433">
              <w:t xml:space="preserve"> in particular, as the enemy of his reform policies</w:t>
            </w:r>
            <w:r>
              <w:t xml:space="preserve"> and expelled LDP politicians opposing his post office reform</w:t>
            </w:r>
            <w:r w:rsidR="00FA6A90">
              <w:t xml:space="preserve"> (post office privatisation)</w:t>
            </w:r>
            <w:r>
              <w:t xml:space="preserve">, many of whom belonged to </w:t>
            </w:r>
            <w:r w:rsidR="00F77E54" w:rsidRPr="005B18BE">
              <w:rPr>
                <w:i/>
                <w:iCs/>
              </w:rPr>
              <w:t>Yusei-Zoku</w:t>
            </w:r>
            <w:r w:rsidR="00376607">
              <w:t xml:space="preserve">, </w:t>
            </w:r>
            <w:r>
              <w:t xml:space="preserve">from the LDP in 2005. </w:t>
            </w:r>
            <w:r w:rsidR="00376607">
              <w:t xml:space="preserve">Koizumi’s landslide victory in the immediately following general election gave him unchallengeable authority within the LDP and </w:t>
            </w:r>
            <w:r w:rsidR="00F77E54" w:rsidRPr="005B18BE">
              <w:rPr>
                <w:i/>
                <w:iCs/>
              </w:rPr>
              <w:t>Zoku Gi’in</w:t>
            </w:r>
            <w:r w:rsidR="00376607">
              <w:t xml:space="preserve">’s, </w:t>
            </w:r>
            <w:r w:rsidR="00F77E54" w:rsidRPr="005B18BE">
              <w:rPr>
                <w:i/>
                <w:iCs/>
              </w:rPr>
              <w:t>Yusei-Zoku</w:t>
            </w:r>
            <w:r w:rsidR="00376607">
              <w:t>’s in particular, power significantly declined.</w:t>
            </w:r>
          </w:p>
          <w:p w14:paraId="1BD6D34A" w14:textId="77777777" w:rsidR="00495655" w:rsidRDefault="00495655" w:rsidP="005B18BE">
            <w:pPr>
              <w:pStyle w:val="NoSpacing"/>
              <w:ind w:left="284" w:hanging="284"/>
            </w:pPr>
          </w:p>
        </w:tc>
      </w:tr>
    </w:tbl>
    <w:p w14:paraId="5EB49681" w14:textId="77777777" w:rsidR="00151433" w:rsidRDefault="00151433" w:rsidP="008D0572">
      <w:pPr>
        <w:ind w:firstLine="284"/>
      </w:pPr>
    </w:p>
    <w:p w14:paraId="50FEBB3D" w14:textId="77777777" w:rsidR="00151433" w:rsidRDefault="00DB68F8" w:rsidP="00A25A4F">
      <w:pPr>
        <w:ind w:firstLine="284"/>
      </w:pPr>
      <w:r>
        <w:t>Power relations within the core executive, which can be characterised by the rise of Cabinet and Cabinet Ministers under LDP governments in the 2000s, encounter</w:t>
      </w:r>
      <w:r w:rsidR="00FE33A3">
        <w:t>ed</w:t>
      </w:r>
      <w:r>
        <w:t xml:space="preserve"> another significant disjuncture in 2009. </w:t>
      </w:r>
      <w:r w:rsidR="00FE33A3">
        <w:t>The change in g</w:t>
      </w:r>
      <w:r>
        <w:t xml:space="preserve">overnment from the LDP to </w:t>
      </w:r>
      <w:r w:rsidR="00981C52">
        <w:t xml:space="preserve">the </w:t>
      </w:r>
      <w:r>
        <w:t xml:space="preserve">DPJ </w:t>
      </w:r>
      <w:r w:rsidR="00FE33A3">
        <w:t xml:space="preserve">following </w:t>
      </w:r>
      <w:r>
        <w:t xml:space="preserve">the 2009 general election </w:t>
      </w:r>
      <w:r w:rsidR="00A25A4F">
        <w:t xml:space="preserve">led to the dismantling of </w:t>
      </w:r>
      <w:r>
        <w:t xml:space="preserve">the power of LDP </w:t>
      </w:r>
      <w:r w:rsidR="00F77E54" w:rsidRPr="005B18BE">
        <w:rPr>
          <w:i/>
          <w:iCs/>
        </w:rPr>
        <w:t>Zoku Gi’in</w:t>
      </w:r>
      <w:r>
        <w:t xml:space="preserve"> as key ruling party politicians. </w:t>
      </w:r>
      <w:r w:rsidR="00A25A4F">
        <w:t>Here, p</w:t>
      </w:r>
      <w:r w:rsidR="00F517EF">
        <w:t xml:space="preserve">ower relations within the core executive in Japan’s ICT regulation </w:t>
      </w:r>
      <w:r w:rsidR="00A25A4F">
        <w:t xml:space="preserve">can be seen to </w:t>
      </w:r>
      <w:r w:rsidR="00F517EF">
        <w:t>en</w:t>
      </w:r>
      <w:r w:rsidR="008026FD">
        <w:t xml:space="preserve">ter </w:t>
      </w:r>
      <w:r w:rsidR="00F517EF">
        <w:t xml:space="preserve">a new phase in which </w:t>
      </w:r>
      <w:r w:rsidR="008026FD">
        <w:t>the DPJ’s new framework</w:t>
      </w:r>
      <w:r w:rsidR="00981C52">
        <w:t xml:space="preserve"> </w:t>
      </w:r>
      <w:r w:rsidR="00A25A4F">
        <w:t xml:space="preserve">now </w:t>
      </w:r>
      <w:r w:rsidR="00981C52">
        <w:t>shaped the decision making framework</w:t>
      </w:r>
      <w:r w:rsidR="008026FD">
        <w:t>.</w:t>
      </w:r>
    </w:p>
    <w:p w14:paraId="5761EDF9" w14:textId="6DBE8D21" w:rsidR="00E6012E" w:rsidRDefault="00E6012E" w:rsidP="00942CF5">
      <w:pPr>
        <w:ind w:firstLine="284"/>
      </w:pPr>
      <w:r>
        <w:t>Elsewhere,</w:t>
      </w:r>
      <w:r w:rsidR="00A25A4F">
        <w:t xml:space="preserve"> the evidence suggests </w:t>
      </w:r>
      <w:r w:rsidR="00ED6CFF">
        <w:t xml:space="preserve">that </w:t>
      </w:r>
      <w:r>
        <w:t xml:space="preserve">competition in Japan’s ICT sector significantly </w:t>
      </w:r>
      <w:r w:rsidR="00A25A4F">
        <w:t>increased</w:t>
      </w:r>
      <w:r>
        <w:t xml:space="preserve">. </w:t>
      </w:r>
      <w:r w:rsidR="00A25A4F">
        <w:t>For example, t</w:t>
      </w:r>
      <w:r w:rsidR="003E4EE4">
        <w:t xml:space="preserve">he number of telecommunications operators in the sector </w:t>
      </w:r>
      <w:r w:rsidR="00A25A4F">
        <w:t xml:space="preserve">rose to </w:t>
      </w:r>
      <w:r w:rsidR="003E4EE4">
        <w:t>15,569 in March 2010</w:t>
      </w:r>
      <w:r w:rsidR="00942CF5">
        <w:t xml:space="preserve"> from 1 until 1985</w:t>
      </w:r>
      <w:r w:rsidR="00F74AEB">
        <w:t xml:space="preserve">: a significant growth from state corporation monopoly </w:t>
      </w:r>
      <w:r w:rsidR="00A25A4F">
        <w:t xml:space="preserve">by one state corporation </w:t>
      </w:r>
      <w:r w:rsidR="00F74AEB">
        <w:t>in 1985</w:t>
      </w:r>
      <w:r w:rsidR="00ED6CFF">
        <w:t xml:space="preserve"> (MIC 2013a)</w:t>
      </w:r>
      <w:r w:rsidR="00F74AEB">
        <w:t xml:space="preserve">. </w:t>
      </w:r>
      <w:r w:rsidR="00A25A4F">
        <w:t xml:space="preserve">Elsewhere, in terms of pricing, a </w:t>
      </w:r>
      <w:r w:rsidR="00ED6CFF">
        <w:t>call</w:t>
      </w:r>
      <w:r w:rsidR="003E4EE4">
        <w:t xml:space="preserve"> </w:t>
      </w:r>
      <w:r w:rsidR="00ED6CFF">
        <w:t xml:space="preserve">by the NTT </w:t>
      </w:r>
      <w:r w:rsidR="009A690C">
        <w:t>from</w:t>
      </w:r>
      <w:r w:rsidR="003E4EE4">
        <w:t xml:space="preserve"> Tokyo </w:t>
      </w:r>
      <w:r w:rsidR="009A690C">
        <w:t>to</w:t>
      </w:r>
      <w:r w:rsidR="003E4EE4">
        <w:t xml:space="preserve"> Osaka </w:t>
      </w:r>
      <w:r w:rsidR="00ED6CFF">
        <w:t>cost</w:t>
      </w:r>
      <w:r w:rsidR="003E4EE4">
        <w:t xml:space="preserve"> 400 yen/3 minutes in April 1985; </w:t>
      </w:r>
      <w:r w:rsidR="00ED6CFF">
        <w:t xml:space="preserve">the NTT </w:t>
      </w:r>
      <w:r w:rsidR="009A690C">
        <w:t xml:space="preserve">East </w:t>
      </w:r>
      <w:r w:rsidR="00ED6CFF">
        <w:t>now charges</w:t>
      </w:r>
      <w:r w:rsidR="003E4EE4">
        <w:t xml:space="preserve"> 8.4 yen/3 minutes </w:t>
      </w:r>
      <w:r w:rsidR="00F74AEB">
        <w:t xml:space="preserve">not only for </w:t>
      </w:r>
      <w:r w:rsidR="00ED6CFF">
        <w:t xml:space="preserve">a </w:t>
      </w:r>
      <w:r w:rsidR="00F74AEB">
        <w:t xml:space="preserve">call </w:t>
      </w:r>
      <w:r w:rsidR="009A690C">
        <w:t>from</w:t>
      </w:r>
      <w:r w:rsidR="00F74AEB">
        <w:t xml:space="preserve"> Tokyo </w:t>
      </w:r>
      <w:r w:rsidR="009A690C">
        <w:t>to</w:t>
      </w:r>
      <w:r w:rsidR="00F74AEB">
        <w:t xml:space="preserve"> Osaka but any </w:t>
      </w:r>
      <w:r w:rsidR="009A690C">
        <w:t>call to anywhere in</w:t>
      </w:r>
      <w:r w:rsidR="00F74AEB">
        <w:t xml:space="preserve"> Japan </w:t>
      </w:r>
      <w:r w:rsidR="003E4EE4">
        <w:t>(MIC 2013</w:t>
      </w:r>
      <w:r w:rsidR="00F74AEB">
        <w:t xml:space="preserve">b, NTT </w:t>
      </w:r>
      <w:r w:rsidR="003C08C8">
        <w:t xml:space="preserve">East </w:t>
      </w:r>
      <w:r w:rsidR="00F74AEB">
        <w:t>2013)</w:t>
      </w:r>
      <w:r w:rsidR="003E4EE4">
        <w:t>.</w:t>
      </w:r>
    </w:p>
    <w:p w14:paraId="62F348FD" w14:textId="77777777" w:rsidR="008D0572" w:rsidRPr="001D458E" w:rsidRDefault="008D0572" w:rsidP="008D0572">
      <w:pPr>
        <w:ind w:firstLine="284"/>
      </w:pPr>
      <w:r w:rsidRPr="001D458E">
        <w:t>Throughout this</w:t>
      </w:r>
      <w:r w:rsidRPr="001D458E">
        <w:rPr>
          <w:rFonts w:hint="eastAsia"/>
        </w:rPr>
        <w:t xml:space="preserve"> process</w:t>
      </w:r>
      <w:r w:rsidRPr="001D458E">
        <w:t xml:space="preserve">, </w:t>
      </w:r>
      <w:r w:rsidRPr="001D458E">
        <w:rPr>
          <w:rFonts w:hint="eastAsia"/>
        </w:rPr>
        <w:t xml:space="preserve">it is evident that a </w:t>
      </w:r>
      <w:r w:rsidRPr="001D458E">
        <w:t xml:space="preserve">significant change of power </w:t>
      </w:r>
      <w:r w:rsidRPr="001D458E">
        <w:rPr>
          <w:rFonts w:hint="eastAsia"/>
        </w:rPr>
        <w:t xml:space="preserve">took place between </w:t>
      </w:r>
      <w:r w:rsidRPr="001D458E">
        <w:t xml:space="preserve">actors in the sector. The direct management through a state corporation changed to principal-agent regulation through the executive branch. The regulatory approach </w:t>
      </w:r>
      <w:r w:rsidRPr="001D458E">
        <w:rPr>
          <w:rFonts w:hint="eastAsia"/>
        </w:rPr>
        <w:t xml:space="preserve">was </w:t>
      </w:r>
      <w:r w:rsidRPr="001D458E">
        <w:t>chang</w:t>
      </w:r>
      <w:r w:rsidRPr="001D458E">
        <w:rPr>
          <w:rFonts w:hint="eastAsia"/>
        </w:rPr>
        <w:t>ing</w:t>
      </w:r>
      <w:r w:rsidRPr="001D458E">
        <w:t xml:space="preserve"> from interventionist or ex ante oriented to ex post oriented. Party politicians changed their approach from </w:t>
      </w:r>
      <w:r w:rsidR="002D027A">
        <w:t xml:space="preserve">a </w:t>
      </w:r>
      <w:r w:rsidRPr="001D458E">
        <w:t xml:space="preserve">direct commitment by approving </w:t>
      </w:r>
      <w:r w:rsidR="00F33AD7">
        <w:rPr>
          <w:rFonts w:eastAsia="MS Mincho" w:hint="eastAsia"/>
          <w:lang w:eastAsia="ja-JP"/>
        </w:rPr>
        <w:t xml:space="preserve">the </w:t>
      </w:r>
      <w:r w:rsidRPr="001D458E">
        <w:t>NTT’s management issues to more subtle influence through the MPT</w:t>
      </w:r>
      <w:r w:rsidRPr="001D458E">
        <w:rPr>
          <w:rFonts w:hint="eastAsia"/>
        </w:rPr>
        <w:t>/</w:t>
      </w:r>
      <w:r w:rsidRPr="001D458E">
        <w:t xml:space="preserve">MIC. The MPT emerged as an influential regulator after privatisation, although its regulatory approach has also evolved in response to the development of competition and ICT. Elsewhere, the relative strength among private sector actors has been volatile; although the NTT has retained its dominant position, the evolution of the market has enabled new entrants such as NCCs </w:t>
      </w:r>
      <w:r w:rsidRPr="001D458E">
        <w:rPr>
          <w:rFonts w:hint="eastAsia"/>
        </w:rPr>
        <w:t xml:space="preserve">to </w:t>
      </w:r>
      <w:r w:rsidRPr="001D458E">
        <w:t xml:space="preserve">challenge </w:t>
      </w:r>
      <w:r w:rsidRPr="001D458E">
        <w:rPr>
          <w:rFonts w:hint="eastAsia"/>
        </w:rPr>
        <w:t xml:space="preserve">the </w:t>
      </w:r>
      <w:r w:rsidRPr="001D458E">
        <w:t>NTT. The state has withdrawn from the direct management of telecommunications service provision, and instead introduced new regulatory measures such as rules for telecommunications network interconnection.</w:t>
      </w:r>
    </w:p>
    <w:p w14:paraId="2A440274" w14:textId="77777777" w:rsidR="008D0572" w:rsidRPr="001D458E" w:rsidRDefault="008D0572" w:rsidP="008D0572">
      <w:pPr>
        <w:ind w:firstLine="284"/>
      </w:pPr>
      <w:r w:rsidRPr="001D458E">
        <w:rPr>
          <w:rFonts w:hint="eastAsia"/>
        </w:rPr>
        <w:t xml:space="preserve">If these changes are drawn together, what emerges is the extent to which </w:t>
      </w:r>
      <w:r w:rsidRPr="001D458E">
        <w:t xml:space="preserve">the ICT sector has seen a significant </w:t>
      </w:r>
      <w:r w:rsidRPr="001D458E">
        <w:rPr>
          <w:rFonts w:hint="eastAsia"/>
        </w:rPr>
        <w:t>change</w:t>
      </w:r>
      <w:r w:rsidRPr="001D458E">
        <w:t xml:space="preserve"> in both its actors and structure. </w:t>
      </w:r>
      <w:r w:rsidRPr="001D458E">
        <w:rPr>
          <w:rFonts w:hint="eastAsia"/>
        </w:rPr>
        <w:t xml:space="preserve">The impact of this evolution on the core executive is one of the crucial </w:t>
      </w:r>
      <w:r w:rsidRPr="001D458E">
        <w:t>topics</w:t>
      </w:r>
      <w:r w:rsidRPr="001D458E">
        <w:rPr>
          <w:rFonts w:hint="eastAsia"/>
        </w:rPr>
        <w:t xml:space="preserve"> explored </w:t>
      </w:r>
      <w:r w:rsidRPr="001D458E">
        <w:t>i</w:t>
      </w:r>
      <w:r w:rsidRPr="001D458E">
        <w:rPr>
          <w:rFonts w:hint="eastAsia"/>
        </w:rPr>
        <w:t>n this thesis, in order to consider the evolution and adaptation of the core executive in relation to the transformation of the state. T</w:t>
      </w:r>
      <w:r w:rsidRPr="001D458E">
        <w:t xml:space="preserve">he </w:t>
      </w:r>
      <w:r w:rsidR="00F33AD7">
        <w:rPr>
          <w:rFonts w:eastAsia="MS Mincho" w:hint="eastAsia"/>
          <w:lang w:eastAsia="ja-JP"/>
        </w:rPr>
        <w:t xml:space="preserve">following </w:t>
      </w:r>
      <w:r w:rsidR="002F3C35" w:rsidRPr="001D458E">
        <w:t>section focus</w:t>
      </w:r>
      <w:r w:rsidR="002F3C35">
        <w:rPr>
          <w:lang w:eastAsia="ja-JP"/>
        </w:rPr>
        <w:t>es</w:t>
      </w:r>
      <w:r w:rsidRPr="001D458E">
        <w:t xml:space="preserve"> on these transformative processes by analysing how the core executive has </w:t>
      </w:r>
      <w:r w:rsidR="002D027A">
        <w:t>changed</w:t>
      </w:r>
      <w:r w:rsidRPr="001D458E">
        <w:t xml:space="preserve"> through its adaptation to its external challenges.</w:t>
      </w:r>
    </w:p>
    <w:p w14:paraId="0E1EEF3D" w14:textId="77777777" w:rsidR="008D0572" w:rsidRPr="001D458E" w:rsidRDefault="008D0572" w:rsidP="008D0572">
      <w:pPr>
        <w:ind w:firstLine="284"/>
      </w:pPr>
    </w:p>
    <w:p w14:paraId="53CCBB7E" w14:textId="77777777" w:rsidR="008D0572" w:rsidRPr="001D458E" w:rsidRDefault="008D0572" w:rsidP="008D0572">
      <w:pPr>
        <w:ind w:firstLine="284"/>
      </w:pPr>
    </w:p>
    <w:p w14:paraId="7041C3C9" w14:textId="77777777" w:rsidR="008D0572" w:rsidRPr="001D458E" w:rsidRDefault="008D0572" w:rsidP="00050D4B">
      <w:pPr>
        <w:pStyle w:val="Heading2"/>
      </w:pPr>
      <w:bookmarkStart w:id="51" w:name="_Toc349741373"/>
      <w:r w:rsidRPr="001D458E">
        <w:t>5.3</w:t>
      </w:r>
      <w:r w:rsidRPr="001D458E">
        <w:tab/>
        <w:t xml:space="preserve">Inside the </w:t>
      </w:r>
      <w:r>
        <w:rPr>
          <w:rFonts w:eastAsiaTheme="minorEastAsia" w:hint="eastAsia"/>
          <w:lang w:eastAsia="ja-JP"/>
        </w:rPr>
        <w:t>c</w:t>
      </w:r>
      <w:r w:rsidRPr="001D458E">
        <w:t xml:space="preserve">ore </w:t>
      </w:r>
      <w:r>
        <w:rPr>
          <w:rFonts w:eastAsiaTheme="minorEastAsia" w:hint="eastAsia"/>
          <w:lang w:eastAsia="ja-JP"/>
        </w:rPr>
        <w:t>e</w:t>
      </w:r>
      <w:r w:rsidRPr="001D458E">
        <w:t xml:space="preserve">xecutive: </w:t>
      </w:r>
      <w:r w:rsidRPr="001D458E">
        <w:rPr>
          <w:rFonts w:hint="eastAsia"/>
        </w:rPr>
        <w:t>t</w:t>
      </w:r>
      <w:r w:rsidRPr="001D458E">
        <w:t xml:space="preserve">he </w:t>
      </w:r>
      <w:r>
        <w:rPr>
          <w:rFonts w:eastAsiaTheme="minorEastAsia" w:hint="eastAsia"/>
          <w:lang w:eastAsia="ja-JP"/>
        </w:rPr>
        <w:t>r</w:t>
      </w:r>
      <w:r w:rsidRPr="001D458E">
        <w:t xml:space="preserve">elationship between </w:t>
      </w:r>
      <w:r>
        <w:rPr>
          <w:rFonts w:eastAsiaTheme="minorEastAsia" w:hint="eastAsia"/>
          <w:lang w:eastAsia="ja-JP"/>
        </w:rPr>
        <w:t>p</w:t>
      </w:r>
      <w:r w:rsidRPr="001D458E">
        <w:t xml:space="preserve">arty </w:t>
      </w:r>
      <w:r>
        <w:rPr>
          <w:rFonts w:eastAsiaTheme="minorEastAsia" w:hint="eastAsia"/>
          <w:lang w:eastAsia="ja-JP"/>
        </w:rPr>
        <w:t>p</w:t>
      </w:r>
      <w:r w:rsidRPr="001D458E">
        <w:t xml:space="preserve">oliticians and </w:t>
      </w:r>
      <w:r>
        <w:rPr>
          <w:rFonts w:eastAsiaTheme="minorEastAsia" w:hint="eastAsia"/>
          <w:lang w:eastAsia="ja-JP"/>
        </w:rPr>
        <w:t>c</w:t>
      </w:r>
      <w:r w:rsidRPr="001D458E">
        <w:t xml:space="preserve">ivil </w:t>
      </w:r>
      <w:r>
        <w:rPr>
          <w:rFonts w:eastAsiaTheme="minorEastAsia" w:hint="eastAsia"/>
          <w:lang w:eastAsia="ja-JP"/>
        </w:rPr>
        <w:t>s</w:t>
      </w:r>
      <w:r w:rsidRPr="001D458E">
        <w:t>ervants</w:t>
      </w:r>
      <w:bookmarkEnd w:id="51"/>
      <w:r w:rsidRPr="001D458E">
        <w:t xml:space="preserve"> </w:t>
      </w:r>
    </w:p>
    <w:p w14:paraId="2600EF41" w14:textId="77777777" w:rsidR="008D0572" w:rsidRPr="001D458E" w:rsidRDefault="008D0572" w:rsidP="008D0572">
      <w:r w:rsidRPr="001D458E">
        <w:t xml:space="preserve">The privatisation of the NTT </w:t>
      </w:r>
      <w:r w:rsidRPr="001D458E">
        <w:rPr>
          <w:rFonts w:hint="eastAsia"/>
        </w:rPr>
        <w:t>proved a</w:t>
      </w:r>
      <w:r w:rsidRPr="001D458E">
        <w:t xml:space="preserve"> contentious </w:t>
      </w:r>
      <w:r w:rsidRPr="001D458E">
        <w:rPr>
          <w:rFonts w:hint="eastAsia"/>
        </w:rPr>
        <w:t>issue</w:t>
      </w:r>
      <w:r w:rsidRPr="001D458E">
        <w:t xml:space="preserve"> </w:t>
      </w:r>
      <w:r w:rsidRPr="001D458E">
        <w:rPr>
          <w:rFonts w:hint="eastAsia"/>
        </w:rPr>
        <w:t>for</w:t>
      </w:r>
      <w:r w:rsidRPr="001D458E">
        <w:t xml:space="preserve"> the core executive. </w:t>
      </w:r>
      <w:r w:rsidRPr="001D458E">
        <w:rPr>
          <w:rFonts w:hint="eastAsia"/>
        </w:rPr>
        <w:t xml:space="preserve">Despite its significant impact on the telecommunications sector this policy project did not have a clearly elaborated goal. </w:t>
      </w:r>
      <w:r w:rsidRPr="001D458E">
        <w:t>The interview</w:t>
      </w:r>
      <w:r w:rsidRPr="001D458E">
        <w:rPr>
          <w:rFonts w:hint="eastAsia"/>
        </w:rPr>
        <w:t>s</w:t>
      </w:r>
      <w:r w:rsidRPr="001D458E">
        <w:t xml:space="preserve"> </w:t>
      </w:r>
      <w:r w:rsidRPr="001D458E">
        <w:rPr>
          <w:rFonts w:hint="eastAsia"/>
        </w:rPr>
        <w:t>reveal</w:t>
      </w:r>
      <w:r w:rsidRPr="001D458E">
        <w:t xml:space="preserve"> that there was no clear vision among both party politicians and civil servants of how the newly liberalised market would be developed</w:t>
      </w:r>
      <w:r w:rsidRPr="001D458E">
        <w:rPr>
          <w:rFonts w:hint="eastAsia"/>
        </w:rPr>
        <w:t>. For example, one retired senior civil servant argued that:</w:t>
      </w:r>
    </w:p>
    <w:p w14:paraId="0CE7668F" w14:textId="77777777" w:rsidR="008D0572" w:rsidRPr="001D458E" w:rsidRDefault="008D0572" w:rsidP="008D0572"/>
    <w:p w14:paraId="24563C8A" w14:textId="77777777" w:rsidR="008D0572" w:rsidRPr="001D458E" w:rsidRDefault="008D0572" w:rsidP="00A209A0">
      <w:pPr>
        <w:pStyle w:val="Quote"/>
      </w:pPr>
      <w:r w:rsidRPr="001D458E">
        <w:t>First of all, nobody had an image of how the competitive environment would be developed</w:t>
      </w:r>
      <w:r w:rsidRPr="001D458E">
        <w:rPr>
          <w:rFonts w:hint="eastAsia"/>
        </w:rPr>
        <w:t xml:space="preserve"> and w</w:t>
      </w:r>
      <w:r w:rsidRPr="001D458E">
        <w:t xml:space="preserve">hat kind of competitive conditions would be realised. </w:t>
      </w:r>
      <w:r w:rsidRPr="001D458E">
        <w:rPr>
          <w:rFonts w:hint="eastAsia"/>
        </w:rPr>
        <w:t>L</w:t>
      </w:r>
      <w:r w:rsidRPr="001D458E">
        <w:t xml:space="preserve">ogically, ‘no monopoly after privatisation’, ‘must engage in competition’, but, under the condition that no facility (other than </w:t>
      </w:r>
      <w:r w:rsidR="00F33AD7">
        <w:rPr>
          <w:rFonts w:eastAsia="MS Mincho" w:hint="eastAsia"/>
          <w:lang w:eastAsia="ja-JP"/>
        </w:rPr>
        <w:t xml:space="preserve">the </w:t>
      </w:r>
      <w:r w:rsidRPr="001D458E">
        <w:t xml:space="preserve">NTT’s), nothing, no (alternative) operators existed, everybody </w:t>
      </w:r>
      <w:r w:rsidR="00FE1C9F">
        <w:t xml:space="preserve">was </w:t>
      </w:r>
      <w:r w:rsidRPr="001D458E">
        <w:t xml:space="preserve">concerned </w:t>
      </w:r>
      <w:r w:rsidRPr="001D458E">
        <w:rPr>
          <w:rFonts w:hint="eastAsia"/>
        </w:rPr>
        <w:t>if</w:t>
      </w:r>
      <w:r w:rsidRPr="001D458E">
        <w:t xml:space="preserve"> competition was possible. (</w:t>
      </w:r>
      <w:r w:rsidR="007634ED">
        <w:t>Interview with</w:t>
      </w:r>
      <w:r w:rsidRPr="001D458E">
        <w:t xml:space="preserve"> a retired MIC senior civil servant) </w:t>
      </w:r>
    </w:p>
    <w:p w14:paraId="1B5D43A4" w14:textId="77777777" w:rsidR="008D0572" w:rsidRPr="001D458E" w:rsidRDefault="008D0572" w:rsidP="008D0572"/>
    <w:p w14:paraId="63F8A552" w14:textId="58AE79F5" w:rsidR="008D0572" w:rsidRPr="001D458E" w:rsidRDefault="008D0572" w:rsidP="005B2B02">
      <w:r w:rsidRPr="001D458E">
        <w:rPr>
          <w:rFonts w:hint="eastAsia"/>
        </w:rPr>
        <w:t>T</w:t>
      </w:r>
      <w:r w:rsidRPr="001D458E">
        <w:t>h</w:t>
      </w:r>
      <w:r w:rsidRPr="001D458E">
        <w:rPr>
          <w:rFonts w:hint="eastAsia"/>
        </w:rPr>
        <w:t xml:space="preserve">is view was not uncommon among </w:t>
      </w:r>
      <w:r w:rsidRPr="001D458E">
        <w:t xml:space="preserve">former civil servants: ‘It started from zero. Civil servants </w:t>
      </w:r>
      <w:r w:rsidRPr="001D458E">
        <w:rPr>
          <w:rFonts w:hint="eastAsia"/>
        </w:rPr>
        <w:t xml:space="preserve">and politicians </w:t>
      </w:r>
      <w:r w:rsidRPr="001D458E">
        <w:t xml:space="preserve">had zero. And, it was a </w:t>
      </w:r>
      <w:r w:rsidRPr="001D458E">
        <w:rPr>
          <w:rFonts w:hint="eastAsia"/>
        </w:rPr>
        <w:t xml:space="preserve">very </w:t>
      </w:r>
      <w:r w:rsidRPr="001D458E">
        <w:t xml:space="preserve">new </w:t>
      </w:r>
      <w:r w:rsidR="00D2768E">
        <w:t xml:space="preserve">growing </w:t>
      </w:r>
      <w:r w:rsidRPr="001D458E">
        <w:t>industrial field so we could say various things’ (</w:t>
      </w:r>
      <w:r w:rsidR="007634ED">
        <w:t>Interview with</w:t>
      </w:r>
      <w:r w:rsidR="002D027A" w:rsidRPr="001D458E">
        <w:t xml:space="preserve"> </w:t>
      </w:r>
      <w:r w:rsidRPr="001D458E">
        <w:t>a retired MIC senior civil servant)</w:t>
      </w:r>
      <w:r w:rsidRPr="001D458E">
        <w:rPr>
          <w:rFonts w:hint="eastAsia"/>
        </w:rPr>
        <w:t>.</w:t>
      </w:r>
      <w:r w:rsidRPr="001D458E">
        <w:t xml:space="preserve"> A</w:t>
      </w:r>
      <w:r w:rsidRPr="001D458E">
        <w:rPr>
          <w:rFonts w:hint="eastAsia"/>
        </w:rPr>
        <w:t xml:space="preserve"> retired senior party politician who </w:t>
      </w:r>
      <w:r w:rsidR="00D2768E">
        <w:t>witnessed the 1985 Telecommunications Reform as a Liberal Democrat</w:t>
      </w:r>
      <w:r w:rsidRPr="001D458E">
        <w:rPr>
          <w:rFonts w:hint="eastAsia"/>
        </w:rPr>
        <w:t xml:space="preserve"> also noted: </w:t>
      </w:r>
      <w:r w:rsidRPr="001D458E">
        <w:t>‘not many people (party politicians) have deeply involved with and studied telecommunications policy’ (</w:t>
      </w:r>
      <w:r w:rsidR="007634ED">
        <w:t>Interview with</w:t>
      </w:r>
      <w:r w:rsidR="002D027A" w:rsidRPr="001D458E">
        <w:t xml:space="preserve"> </w:t>
      </w:r>
      <w:r w:rsidRPr="001D458E">
        <w:t>a retired senior party politician (ex-Secretary General))</w:t>
      </w:r>
      <w:r w:rsidRPr="001D458E">
        <w:rPr>
          <w:rFonts w:hint="eastAsia"/>
        </w:rPr>
        <w:t xml:space="preserve">. </w:t>
      </w:r>
      <w:r w:rsidRPr="001D458E">
        <w:t xml:space="preserve">This account is in line with Inoguchi and Iwai’s (1987 p.204) description in 1987: ‘…policy contents are highly specialised whether postal saving or information and communications. Policies were completely decided by MPT officials and </w:t>
      </w:r>
      <w:r w:rsidRPr="001D458E">
        <w:rPr>
          <w:i/>
          <w:iCs/>
        </w:rPr>
        <w:t>Yusei-Zoku</w:t>
      </w:r>
      <w:r w:rsidR="002C1B20">
        <w:rPr>
          <w:i/>
          <w:iCs/>
        </w:rPr>
        <w:t xml:space="preserve"> </w:t>
      </w:r>
      <w:r w:rsidRPr="001D458E">
        <w:t xml:space="preserve"> rarely intervened in the MPT’s policy decisions’. </w:t>
      </w:r>
      <w:r w:rsidRPr="001D458E">
        <w:rPr>
          <w:rFonts w:hint="eastAsia"/>
        </w:rPr>
        <w:t xml:space="preserve">The </w:t>
      </w:r>
      <w:r w:rsidRPr="001D458E">
        <w:t>account</w:t>
      </w:r>
      <w:r w:rsidR="007A6FBC">
        <w:rPr>
          <w:rFonts w:hint="eastAsia"/>
          <w:lang w:eastAsia="ja-JP"/>
        </w:rPr>
        <w:t>s</w:t>
      </w:r>
      <w:r w:rsidRPr="001D458E">
        <w:rPr>
          <w:rFonts w:hint="eastAsia"/>
        </w:rPr>
        <w:t xml:space="preserve"> from those in key position</w:t>
      </w:r>
      <w:r w:rsidRPr="001D458E">
        <w:t>s</w:t>
      </w:r>
      <w:r w:rsidRPr="001D458E">
        <w:rPr>
          <w:rFonts w:hint="eastAsia"/>
        </w:rPr>
        <w:t xml:space="preserve"> in the </w:t>
      </w:r>
      <w:r w:rsidRPr="001D458E">
        <w:t xml:space="preserve">core executive </w:t>
      </w:r>
      <w:r w:rsidRPr="001D458E">
        <w:rPr>
          <w:rFonts w:hint="eastAsia"/>
        </w:rPr>
        <w:t>in the mid 1980s indicate that policy makers did not have a clear long term future plan about how competition should be introduced in telecommunications</w:t>
      </w:r>
      <w:r w:rsidR="006D51C5">
        <w:t xml:space="preserve"> after completing privatisation</w:t>
      </w:r>
      <w:r w:rsidRPr="001D458E">
        <w:rPr>
          <w:rFonts w:hint="eastAsia"/>
        </w:rPr>
        <w:t xml:space="preserve">. This is also concurred by </w:t>
      </w:r>
      <w:r w:rsidR="00FE1C9F">
        <w:t xml:space="preserve">a </w:t>
      </w:r>
      <w:r w:rsidRPr="001D458E">
        <w:t>government</w:t>
      </w:r>
      <w:r w:rsidRPr="001D458E">
        <w:rPr>
          <w:rFonts w:hint="eastAsia"/>
        </w:rPr>
        <w:t xml:space="preserve"> official</w:t>
      </w:r>
      <w:r w:rsidRPr="001D458E">
        <w:t>’</w:t>
      </w:r>
      <w:r w:rsidRPr="001D458E">
        <w:rPr>
          <w:rFonts w:hint="eastAsia"/>
        </w:rPr>
        <w:t xml:space="preserve">s (MPT) explanation in the Diet in 1984: </w:t>
      </w:r>
      <w:r w:rsidRPr="001D458E">
        <w:t>‘</w:t>
      </w:r>
      <w:r w:rsidRPr="001D458E">
        <w:rPr>
          <w:rFonts w:hint="eastAsia"/>
        </w:rPr>
        <w:t xml:space="preserve">...in reality, </w:t>
      </w:r>
      <w:r w:rsidR="00F33AD7">
        <w:rPr>
          <w:rFonts w:eastAsia="MS Mincho" w:hint="eastAsia"/>
          <w:lang w:eastAsia="ja-JP"/>
        </w:rPr>
        <w:t xml:space="preserve">the immediate emergence of </w:t>
      </w:r>
      <w:r w:rsidRPr="001D458E">
        <w:rPr>
          <w:rFonts w:hint="eastAsia"/>
        </w:rPr>
        <w:t>such car</w:t>
      </w:r>
      <w:r w:rsidR="00F33AD7">
        <w:rPr>
          <w:rFonts w:eastAsia="MS Mincho" w:hint="eastAsia"/>
          <w:lang w:eastAsia="ja-JP"/>
        </w:rPr>
        <w:t>rier</w:t>
      </w:r>
      <w:r w:rsidRPr="001D458E">
        <w:rPr>
          <w:rFonts w:hint="eastAsia"/>
        </w:rPr>
        <w:t>s (NCCs) after the enactment of this law is not likely because the telecommunications market requires a significant extent of investment and technological expertise; but we expect this framework (a liberalised telecommunications market) will enable NCCs to emerge, so we are drafting the bills of this framework</w:t>
      </w:r>
      <w:r w:rsidRPr="001D458E">
        <w:t>’</w:t>
      </w:r>
      <w:r w:rsidRPr="001D458E">
        <w:rPr>
          <w:rFonts w:hint="eastAsia"/>
        </w:rPr>
        <w:t xml:space="preserve"> (T</w:t>
      </w:r>
      <w:r w:rsidRPr="001D458E">
        <w:t>h</w:t>
      </w:r>
      <w:r w:rsidRPr="001D458E">
        <w:rPr>
          <w:rFonts w:hint="eastAsia"/>
        </w:rPr>
        <w:t>e House of Representatives 1984</w:t>
      </w:r>
      <w:r>
        <w:rPr>
          <w:rFonts w:hint="eastAsia"/>
        </w:rPr>
        <w:t>a</w:t>
      </w:r>
      <w:r w:rsidRPr="001D458E">
        <w:rPr>
          <w:rFonts w:hint="eastAsia"/>
        </w:rPr>
        <w:t>). Elsewhere, liberalisation created a significant and immediate impact. V</w:t>
      </w:r>
      <w:r w:rsidRPr="001D458E">
        <w:t>o</w:t>
      </w:r>
      <w:r w:rsidRPr="001D458E">
        <w:rPr>
          <w:rFonts w:hint="eastAsia"/>
        </w:rPr>
        <w:t>gel (1996 p.161) highlights a transfer of a significant portion of responsibilities from the NTT to the MPT</w:t>
      </w:r>
      <w:r w:rsidRPr="001D458E">
        <w:t xml:space="preserve">. This inexperienced ministry did not have </w:t>
      </w:r>
      <w:r w:rsidRPr="001D458E">
        <w:rPr>
          <w:rFonts w:hint="eastAsia"/>
        </w:rPr>
        <w:t xml:space="preserve">any </w:t>
      </w:r>
      <w:r w:rsidRPr="001D458E">
        <w:t xml:space="preserve">expertise at the beginning of the post privatisation period, while the NTT had </w:t>
      </w:r>
      <w:r w:rsidRPr="001D458E">
        <w:rPr>
          <w:rFonts w:hint="eastAsia"/>
        </w:rPr>
        <w:t xml:space="preserve">both knowledge and </w:t>
      </w:r>
      <w:r w:rsidRPr="001D458E">
        <w:t>experience as a state corporation</w:t>
      </w:r>
      <w:r w:rsidRPr="001D458E">
        <w:rPr>
          <w:rFonts w:hint="eastAsia"/>
        </w:rPr>
        <w:t>. As a member of the Information and C</w:t>
      </w:r>
      <w:r w:rsidRPr="001D458E">
        <w:t>o</w:t>
      </w:r>
      <w:r w:rsidRPr="001D458E">
        <w:rPr>
          <w:rFonts w:hint="eastAsia"/>
        </w:rPr>
        <w:t>mmunications Council</w:t>
      </w:r>
      <w:r w:rsidRPr="001D458E">
        <w:rPr>
          <w:rStyle w:val="FootnoteReference"/>
        </w:rPr>
        <w:footnoteReference w:id="53"/>
      </w:r>
      <w:r w:rsidRPr="001D458E">
        <w:rPr>
          <w:rFonts w:hint="eastAsia"/>
        </w:rPr>
        <w:t xml:space="preserve"> revealed:</w:t>
      </w:r>
    </w:p>
    <w:p w14:paraId="54EB2436" w14:textId="77777777" w:rsidR="008D0572" w:rsidRPr="001D458E" w:rsidRDefault="008D0572" w:rsidP="008D0572"/>
    <w:p w14:paraId="5BD91B42" w14:textId="77777777" w:rsidR="008D0572" w:rsidRPr="001D458E" w:rsidRDefault="008D0572" w:rsidP="008D0572">
      <w:pPr>
        <w:pStyle w:val="Quote"/>
      </w:pPr>
      <w:r w:rsidRPr="001D458E">
        <w:rPr>
          <w:rFonts w:hint="eastAsia"/>
        </w:rPr>
        <w:t>Initially</w:t>
      </w:r>
      <w:r w:rsidRPr="001D458E">
        <w:t>, the MPT’s communications policy was completely controlled by the NTT. …</w:t>
      </w:r>
      <w:r w:rsidRPr="001D458E">
        <w:rPr>
          <w:rFonts w:hint="eastAsia"/>
        </w:rPr>
        <w:t>B</w:t>
      </w:r>
      <w:r w:rsidRPr="001D458E">
        <w:t>efore privatisation</w:t>
      </w:r>
      <w:r w:rsidRPr="001D458E">
        <w:rPr>
          <w:rFonts w:hint="eastAsia"/>
        </w:rPr>
        <w:t>, in the 1</w:t>
      </w:r>
      <w:r w:rsidRPr="001D458E">
        <w:t xml:space="preserve">970s. The MPT </w:t>
      </w:r>
      <w:r w:rsidRPr="001D458E">
        <w:rPr>
          <w:rFonts w:hint="eastAsia"/>
        </w:rPr>
        <w:t>wasn</w:t>
      </w:r>
      <w:r w:rsidRPr="001D458E">
        <w:t>’</w:t>
      </w:r>
      <w:r w:rsidRPr="001D458E">
        <w:rPr>
          <w:rFonts w:hint="eastAsia"/>
        </w:rPr>
        <w:t>t</w:t>
      </w:r>
      <w:r w:rsidRPr="001D458E">
        <w:t xml:space="preserve"> </w:t>
      </w:r>
      <w:r w:rsidRPr="001D458E">
        <w:rPr>
          <w:rFonts w:hint="eastAsia"/>
        </w:rPr>
        <w:t xml:space="preserve">capable of </w:t>
      </w:r>
      <w:r w:rsidRPr="001D458E">
        <w:t>mak</w:t>
      </w:r>
      <w:r w:rsidRPr="001D458E">
        <w:rPr>
          <w:rFonts w:hint="eastAsia"/>
        </w:rPr>
        <w:t>ing</w:t>
      </w:r>
      <w:r w:rsidRPr="001D458E">
        <w:t xml:space="preserve"> arguments. I suggest they did</w:t>
      </w:r>
      <w:r w:rsidRPr="001D458E">
        <w:rPr>
          <w:rFonts w:hint="eastAsia"/>
        </w:rPr>
        <w:t>n</w:t>
      </w:r>
      <w:r w:rsidRPr="001D458E">
        <w:t>’</w:t>
      </w:r>
      <w:r w:rsidRPr="001D458E">
        <w:rPr>
          <w:rFonts w:hint="eastAsia"/>
        </w:rPr>
        <w:t>t</w:t>
      </w:r>
      <w:r w:rsidRPr="001D458E">
        <w:t xml:space="preserve"> know what to do… it was common in the 1970s that the NTT quickly smashed whatever the MIC (MPT) did. (</w:t>
      </w:r>
      <w:r w:rsidR="007634ED">
        <w:t>Interview with</w:t>
      </w:r>
      <w:r w:rsidRPr="001D458E">
        <w:t xml:space="preserve"> a former member of the Information and Communications Council)</w:t>
      </w:r>
    </w:p>
    <w:p w14:paraId="32F7A58B" w14:textId="77777777" w:rsidR="008D0572" w:rsidRPr="001D458E" w:rsidRDefault="008D0572" w:rsidP="008D0572">
      <w:r w:rsidRPr="001D458E">
        <w:t xml:space="preserve"> </w:t>
      </w:r>
    </w:p>
    <w:p w14:paraId="619694EB" w14:textId="0C6054ED" w:rsidR="008D0572" w:rsidRPr="001D458E" w:rsidRDefault="008D0572" w:rsidP="00582358">
      <w:r w:rsidRPr="001D458E">
        <w:t xml:space="preserve">This account is </w:t>
      </w:r>
      <w:r w:rsidR="002D027A">
        <w:t xml:space="preserve">similar to </w:t>
      </w:r>
      <w:r w:rsidRPr="001D458E">
        <w:t>Vogel</w:t>
      </w:r>
      <w:r w:rsidR="00582358">
        <w:t>’s</w:t>
      </w:r>
      <w:r w:rsidRPr="001D458E">
        <w:t xml:space="preserve"> (1996 p.141): ‘NTT officials handled most of the “politics” of telecommunications policy – meaning relations with the Diet’. Such a </w:t>
      </w:r>
      <w:r w:rsidRPr="001D458E">
        <w:rPr>
          <w:rFonts w:hint="eastAsia"/>
        </w:rPr>
        <w:t xml:space="preserve">situation was evidenced in the continuing supremacy of the NTT despite the significant disjuncture caused by its privatisation. </w:t>
      </w:r>
      <w:r w:rsidRPr="001D458E">
        <w:t xml:space="preserve">The initial phase of NTT privatisation, therefore, </w:t>
      </w:r>
      <w:r w:rsidRPr="001D458E">
        <w:rPr>
          <w:rFonts w:hint="eastAsia"/>
        </w:rPr>
        <w:t xml:space="preserve">saw the coming together of a </w:t>
      </w:r>
      <w:r w:rsidRPr="001D458E">
        <w:t xml:space="preserve">powerful and experienced ex-state actor (NTT) and an emerging but </w:t>
      </w:r>
      <w:r w:rsidRPr="001D458E">
        <w:rPr>
          <w:rFonts w:hint="eastAsia"/>
        </w:rPr>
        <w:t>embryonic</w:t>
      </w:r>
      <w:r w:rsidRPr="001D458E">
        <w:t xml:space="preserve"> state actor (MPT). The latter was not powerful in </w:t>
      </w:r>
      <w:r w:rsidRPr="001D458E">
        <w:rPr>
          <w:rFonts w:hint="eastAsia"/>
        </w:rPr>
        <w:t xml:space="preserve">the </w:t>
      </w:r>
      <w:r w:rsidRPr="001D458E">
        <w:t>policy making arena</w:t>
      </w:r>
      <w:r w:rsidR="00F33AD7">
        <w:rPr>
          <w:rFonts w:eastAsia="MS Mincho" w:hint="eastAsia"/>
          <w:lang w:eastAsia="ja-JP"/>
        </w:rPr>
        <w:t>;</w:t>
      </w:r>
      <w:r w:rsidRPr="001D458E">
        <w:t xml:space="preserve"> key decisions were made by party politicians, </w:t>
      </w:r>
      <w:r w:rsidR="00C43A01">
        <w:rPr>
          <w:rFonts w:hint="eastAsia"/>
          <w:lang w:eastAsia="ja-JP"/>
        </w:rPr>
        <w:t>Liberal Democrats</w:t>
      </w:r>
      <w:r w:rsidRPr="001D458E">
        <w:t xml:space="preserve"> in particular, and the MPT was subject to the decisions by party politicians. The relationship between party politicians and civil servants was:</w:t>
      </w:r>
    </w:p>
    <w:p w14:paraId="68DBE9E3" w14:textId="77777777" w:rsidR="008D0572" w:rsidRPr="001D458E" w:rsidRDefault="008D0572" w:rsidP="008D0572"/>
    <w:p w14:paraId="57A8A698" w14:textId="77777777" w:rsidR="008D0572" w:rsidRPr="001D458E" w:rsidRDefault="008D0572" w:rsidP="008D0572">
      <w:pPr>
        <w:pStyle w:val="Quote"/>
      </w:pPr>
      <w:r w:rsidRPr="001D458E">
        <w:t>…the first half of the 80s saw privatisation</w:t>
      </w:r>
      <w:r w:rsidRPr="001D458E">
        <w:rPr>
          <w:rFonts w:hint="eastAsia"/>
        </w:rPr>
        <w:t>; the precondition of liberalisation was protecting the NTT or NTT</w:t>
      </w:r>
      <w:r w:rsidRPr="001D458E">
        <w:t>’</w:t>
      </w:r>
      <w:r w:rsidRPr="001D458E">
        <w:rPr>
          <w:rFonts w:hint="eastAsia"/>
        </w:rPr>
        <w:t>s functions</w:t>
      </w:r>
      <w:r w:rsidRPr="001D458E">
        <w:t xml:space="preserve">. </w:t>
      </w:r>
      <w:r w:rsidRPr="001D458E">
        <w:rPr>
          <w:rFonts w:hint="eastAsia"/>
        </w:rPr>
        <w:t>In simple terms,</w:t>
      </w:r>
      <w:r w:rsidRPr="001D458E">
        <w:t xml:space="preserve"> it (party politicians’</w:t>
      </w:r>
      <w:r w:rsidRPr="001D458E">
        <w:rPr>
          <w:rFonts w:hint="eastAsia"/>
        </w:rPr>
        <w:t xml:space="preserve"> role</w:t>
      </w:r>
      <w:r w:rsidRPr="001D458E">
        <w:t xml:space="preserve">) was like the PTA (Parent-Teacher Association). However, </w:t>
      </w:r>
      <w:r w:rsidRPr="001D458E">
        <w:rPr>
          <w:rFonts w:hint="eastAsia"/>
        </w:rPr>
        <w:t>since many</w:t>
      </w:r>
      <w:r w:rsidRPr="001D458E">
        <w:t xml:space="preserve"> (party politicians) thought the ICT industry</w:t>
      </w:r>
      <w:r w:rsidRPr="001D458E">
        <w:rPr>
          <w:rFonts w:hint="eastAsia"/>
        </w:rPr>
        <w:t xml:space="preserve"> needed something</w:t>
      </w:r>
      <w:r w:rsidRPr="001D458E">
        <w:t xml:space="preserve">, their </w:t>
      </w:r>
      <w:r w:rsidRPr="001D458E">
        <w:rPr>
          <w:rFonts w:hint="eastAsia"/>
        </w:rPr>
        <w:t>approach</w:t>
      </w:r>
      <w:r w:rsidRPr="001D458E">
        <w:t xml:space="preserve"> gradually </w:t>
      </w:r>
      <w:r w:rsidRPr="001D458E">
        <w:rPr>
          <w:rFonts w:hint="eastAsia"/>
        </w:rPr>
        <w:t>changed from</w:t>
      </w:r>
      <w:r w:rsidRPr="001D458E">
        <w:t xml:space="preserve"> the PTA </w:t>
      </w:r>
      <w:r w:rsidRPr="001D458E">
        <w:rPr>
          <w:rFonts w:hint="eastAsia"/>
        </w:rPr>
        <w:t>to</w:t>
      </w:r>
      <w:r w:rsidRPr="001D458E">
        <w:t xml:space="preserve"> reform oriented. </w:t>
      </w:r>
      <w:r w:rsidRPr="001D458E">
        <w:rPr>
          <w:rFonts w:hint="eastAsia"/>
        </w:rPr>
        <w:t>Elsewhere, t</w:t>
      </w:r>
      <w:r w:rsidRPr="001D458E">
        <w:t xml:space="preserve">hey thought the overexpansion of </w:t>
      </w:r>
      <w:r w:rsidRPr="001D458E">
        <w:rPr>
          <w:rFonts w:hint="eastAsia"/>
        </w:rPr>
        <w:t xml:space="preserve">the </w:t>
      </w:r>
      <w:r w:rsidRPr="001D458E">
        <w:t>MPT’s authority problematic</w:t>
      </w:r>
      <w:r w:rsidRPr="001D458E">
        <w:rPr>
          <w:rFonts w:hint="eastAsia"/>
        </w:rPr>
        <w:t xml:space="preserve"> and</w:t>
      </w:r>
      <w:r w:rsidRPr="001D458E">
        <w:t xml:space="preserve"> began checking </w:t>
      </w:r>
      <w:r w:rsidRPr="001D458E">
        <w:rPr>
          <w:rFonts w:hint="eastAsia"/>
        </w:rPr>
        <w:t>(</w:t>
      </w:r>
      <w:r w:rsidRPr="001D458E">
        <w:t>the MPT). …le</w:t>
      </w:r>
      <w:r w:rsidRPr="001D458E">
        <w:rPr>
          <w:rFonts w:hint="eastAsia"/>
        </w:rPr>
        <w:t xml:space="preserve">aving aside whether </w:t>
      </w:r>
      <w:r w:rsidRPr="001D458E">
        <w:t xml:space="preserve">it was good, </w:t>
      </w:r>
      <w:r w:rsidRPr="001D458E">
        <w:rPr>
          <w:rFonts w:hint="eastAsia"/>
        </w:rPr>
        <w:t>politicians</w:t>
      </w:r>
      <w:r w:rsidRPr="001D458E">
        <w:t>’</w:t>
      </w:r>
      <w:r w:rsidRPr="001D458E">
        <w:rPr>
          <w:rFonts w:hint="eastAsia"/>
        </w:rPr>
        <w:t xml:space="preserve"> role</w:t>
      </w:r>
      <w:r w:rsidRPr="001D458E">
        <w:t xml:space="preserve"> </w:t>
      </w:r>
      <w:r w:rsidRPr="001D458E">
        <w:rPr>
          <w:rFonts w:hint="eastAsia"/>
        </w:rPr>
        <w:t xml:space="preserve">could be </w:t>
      </w:r>
      <w:r w:rsidRPr="001D458E">
        <w:t>called</w:t>
      </w:r>
      <w:r w:rsidRPr="001D458E">
        <w:rPr>
          <w:rFonts w:hint="eastAsia"/>
        </w:rPr>
        <w:t xml:space="preserve"> </w:t>
      </w:r>
      <w:r w:rsidRPr="001D458E">
        <w:t>not a ‘leadership’ but check</w:t>
      </w:r>
      <w:r w:rsidRPr="001D458E">
        <w:rPr>
          <w:rFonts w:hint="eastAsia"/>
        </w:rPr>
        <w:t>s</w:t>
      </w:r>
      <w:r w:rsidRPr="001D458E">
        <w:t xml:space="preserve"> to (the undesirable activities of) civil servants. (</w:t>
      </w:r>
      <w:r w:rsidR="007634ED">
        <w:t>Interview with</w:t>
      </w:r>
      <w:r w:rsidRPr="001D458E">
        <w:t xml:space="preserve"> a retired MIC senior civil servant)</w:t>
      </w:r>
    </w:p>
    <w:p w14:paraId="7C0BFC18" w14:textId="77777777" w:rsidR="008D0572" w:rsidRPr="00A01823" w:rsidRDefault="008D0572" w:rsidP="008D0572">
      <w:pPr>
        <w:rPr>
          <w:lang w:eastAsia="ja-JP"/>
        </w:rPr>
      </w:pPr>
    </w:p>
    <w:p w14:paraId="72D30D9E" w14:textId="77777777" w:rsidR="008D0572" w:rsidRPr="001D458E" w:rsidRDefault="008D0572" w:rsidP="008D0572">
      <w:r w:rsidRPr="001D458E">
        <w:t xml:space="preserve">This </w:t>
      </w:r>
      <w:r w:rsidRPr="001D458E">
        <w:rPr>
          <w:rFonts w:hint="eastAsia"/>
        </w:rPr>
        <w:t>account</w:t>
      </w:r>
      <w:r w:rsidRPr="001D458E">
        <w:t xml:space="preserve"> </w:t>
      </w:r>
      <w:r w:rsidRPr="001D458E">
        <w:rPr>
          <w:rFonts w:hint="eastAsia"/>
        </w:rPr>
        <w:t xml:space="preserve">parallels </w:t>
      </w:r>
      <w:r w:rsidRPr="001D458E">
        <w:t xml:space="preserve">Johnson’s (1982 p.315) </w:t>
      </w:r>
      <w:r w:rsidRPr="001D458E">
        <w:rPr>
          <w:rFonts w:hint="eastAsia"/>
        </w:rPr>
        <w:t xml:space="preserve">analogy </w:t>
      </w:r>
      <w:r w:rsidRPr="001D458E">
        <w:t>about the relationship between Japanese politicians and their bureaucratic counterparts: the ‘safety valve functions’ of party politicians, meaning that politicians oversaw bureaucracy and acted to control it when necessary, such as when bureaucra</w:t>
      </w:r>
      <w:r w:rsidRPr="001D458E">
        <w:rPr>
          <w:rFonts w:hint="eastAsia"/>
        </w:rPr>
        <w:t>ts tried to draft a law to which the majority of the nation opposed</w:t>
      </w:r>
      <w:r w:rsidRPr="001D458E">
        <w:t xml:space="preserve">. The key </w:t>
      </w:r>
      <w:r w:rsidRPr="001D458E">
        <w:rPr>
          <w:rFonts w:hint="eastAsia"/>
        </w:rPr>
        <w:t>points</w:t>
      </w:r>
      <w:r w:rsidRPr="001D458E">
        <w:t xml:space="preserve"> here are:</w:t>
      </w:r>
    </w:p>
    <w:p w14:paraId="25BE4BA1" w14:textId="77777777" w:rsidR="008D0572" w:rsidRPr="001D458E" w:rsidRDefault="008D0572" w:rsidP="001B6C05">
      <w:pPr>
        <w:pStyle w:val="ListParagraph"/>
        <w:numPr>
          <w:ilvl w:val="0"/>
          <w:numId w:val="40"/>
        </w:numPr>
        <w:ind w:left="284" w:hanging="284"/>
        <w:rPr>
          <w:szCs w:val="24"/>
        </w:rPr>
      </w:pPr>
      <w:r w:rsidRPr="001D458E">
        <w:rPr>
          <w:szCs w:val="24"/>
        </w:rPr>
        <w:t xml:space="preserve">party politicians’ </w:t>
      </w:r>
      <w:r w:rsidR="00295E82">
        <w:rPr>
          <w:rFonts w:hint="eastAsia"/>
          <w:szCs w:val="24"/>
        </w:rPr>
        <w:t>stronger</w:t>
      </w:r>
      <w:r w:rsidRPr="001D458E">
        <w:rPr>
          <w:szCs w:val="24"/>
        </w:rPr>
        <w:t xml:space="preserve"> power in the decision making process</w:t>
      </w:r>
      <w:r w:rsidR="00295E82">
        <w:rPr>
          <w:rFonts w:hint="eastAsia"/>
          <w:szCs w:val="24"/>
        </w:rPr>
        <w:t xml:space="preserve"> than civil servants</w:t>
      </w:r>
      <w:r w:rsidR="00295E82">
        <w:rPr>
          <w:szCs w:val="24"/>
        </w:rPr>
        <w:t>’</w:t>
      </w:r>
      <w:r w:rsidRPr="001D458E">
        <w:rPr>
          <w:szCs w:val="24"/>
        </w:rPr>
        <w:t xml:space="preserve">, </w:t>
      </w:r>
    </w:p>
    <w:p w14:paraId="10682241" w14:textId="77777777" w:rsidR="008D0572" w:rsidRPr="001D458E" w:rsidRDefault="008D0572" w:rsidP="001B6C05">
      <w:pPr>
        <w:pStyle w:val="ListParagraph"/>
        <w:numPr>
          <w:ilvl w:val="0"/>
          <w:numId w:val="40"/>
        </w:numPr>
        <w:ind w:left="284" w:hanging="284"/>
        <w:rPr>
          <w:szCs w:val="24"/>
        </w:rPr>
      </w:pPr>
      <w:r w:rsidRPr="001D458E">
        <w:rPr>
          <w:szCs w:val="24"/>
        </w:rPr>
        <w:t xml:space="preserve">significant institutional power of the regulator (MPT), and </w:t>
      </w:r>
    </w:p>
    <w:p w14:paraId="05F6C506" w14:textId="77777777" w:rsidR="008D0572" w:rsidRPr="001D458E" w:rsidRDefault="005F4C56" w:rsidP="001B6C05">
      <w:pPr>
        <w:pStyle w:val="ListParagraph"/>
        <w:numPr>
          <w:ilvl w:val="0"/>
          <w:numId w:val="40"/>
        </w:numPr>
        <w:ind w:left="284" w:hanging="284"/>
        <w:rPr>
          <w:szCs w:val="24"/>
        </w:rPr>
      </w:pPr>
      <w:r>
        <w:rPr>
          <w:rFonts w:hint="eastAsia"/>
          <w:szCs w:val="24"/>
        </w:rPr>
        <w:t xml:space="preserve">the </w:t>
      </w:r>
      <w:r w:rsidR="008D0572" w:rsidRPr="001D458E">
        <w:rPr>
          <w:szCs w:val="24"/>
        </w:rPr>
        <w:t>regulator’s (MPT) lack of</w:t>
      </w:r>
      <w:r w:rsidR="007D3CCD">
        <w:rPr>
          <w:szCs w:val="24"/>
        </w:rPr>
        <w:t xml:space="preserve"> </w:t>
      </w:r>
      <w:r w:rsidR="008D0572" w:rsidRPr="001D458E">
        <w:rPr>
          <w:szCs w:val="24"/>
        </w:rPr>
        <w:t>expertise resulted from the fact that the operational functions of the state (state corporation) w</w:t>
      </w:r>
      <w:r w:rsidR="007D3CCD">
        <w:rPr>
          <w:szCs w:val="24"/>
        </w:rPr>
        <w:t>ere</w:t>
      </w:r>
      <w:r w:rsidR="008D0572" w:rsidRPr="001D458E">
        <w:rPr>
          <w:szCs w:val="24"/>
        </w:rPr>
        <w:t xml:space="preserve"> privatised and moved to the private sector. </w:t>
      </w:r>
    </w:p>
    <w:p w14:paraId="66F12D80" w14:textId="77777777" w:rsidR="00A53717" w:rsidRDefault="00A53717" w:rsidP="008D0572">
      <w:pPr>
        <w:rPr>
          <w:lang w:eastAsia="ja-JP"/>
        </w:rPr>
      </w:pPr>
    </w:p>
    <w:p w14:paraId="4D6B7BCA" w14:textId="77777777" w:rsidR="008D0572" w:rsidRPr="001D458E" w:rsidRDefault="008D0572" w:rsidP="008D0572">
      <w:r w:rsidRPr="001D458E">
        <w:t xml:space="preserve">Unusual factors such as </w:t>
      </w:r>
      <w:r w:rsidRPr="001D458E">
        <w:rPr>
          <w:rFonts w:hint="eastAsia"/>
        </w:rPr>
        <w:t>the regulator</w:t>
      </w:r>
      <w:r w:rsidRPr="001D458E">
        <w:t>’</w:t>
      </w:r>
      <w:r w:rsidRPr="001D458E">
        <w:rPr>
          <w:rFonts w:hint="eastAsia"/>
        </w:rPr>
        <w:t xml:space="preserve">s lack of expertise </w:t>
      </w:r>
      <w:r w:rsidRPr="001D458E">
        <w:t xml:space="preserve">resulted in the emergence of a dominant private sector actor (NTT) </w:t>
      </w:r>
      <w:r w:rsidRPr="001D458E">
        <w:rPr>
          <w:rFonts w:hint="eastAsia"/>
        </w:rPr>
        <w:t xml:space="preserve">in the market </w:t>
      </w:r>
      <w:r w:rsidRPr="001D458E">
        <w:t xml:space="preserve">and the temporary retreat of state </w:t>
      </w:r>
      <w:r w:rsidRPr="001D458E">
        <w:rPr>
          <w:rFonts w:hint="eastAsia"/>
        </w:rPr>
        <w:t xml:space="preserve">control in the initial phase of </w:t>
      </w:r>
      <w:r w:rsidR="007D3CCD">
        <w:t xml:space="preserve">the </w:t>
      </w:r>
      <w:r w:rsidRPr="001D458E">
        <w:rPr>
          <w:rFonts w:hint="eastAsia"/>
        </w:rPr>
        <w:t>post privatisation period</w:t>
      </w:r>
      <w:r w:rsidRPr="001D458E">
        <w:t xml:space="preserve">. However, </w:t>
      </w:r>
      <w:r w:rsidRPr="001D458E">
        <w:rPr>
          <w:rFonts w:hint="eastAsia"/>
        </w:rPr>
        <w:t xml:space="preserve">the </w:t>
      </w:r>
      <w:r w:rsidRPr="001D458E">
        <w:t xml:space="preserve">MPT’s increased institutional authority stipulated by law and its response to the new environment changed </w:t>
      </w:r>
      <w:r w:rsidRPr="001D458E">
        <w:rPr>
          <w:rFonts w:hint="eastAsia"/>
        </w:rPr>
        <w:t xml:space="preserve">the nature of </w:t>
      </w:r>
      <w:r w:rsidR="007D3CCD">
        <w:t xml:space="preserve">the </w:t>
      </w:r>
      <w:r w:rsidRPr="001D458E">
        <w:rPr>
          <w:rFonts w:hint="eastAsia"/>
        </w:rPr>
        <w:t>relation</w:t>
      </w:r>
      <w:r w:rsidRPr="001D458E">
        <w:t xml:space="preserve"> between actors including the MPT and the NTT. </w:t>
      </w:r>
      <w:r w:rsidRPr="001D458E">
        <w:rPr>
          <w:rFonts w:hint="eastAsia"/>
        </w:rPr>
        <w:t>T</w:t>
      </w:r>
      <w:r w:rsidRPr="001D458E">
        <w:t>h</w:t>
      </w:r>
      <w:r w:rsidRPr="001D458E">
        <w:rPr>
          <w:rFonts w:hint="eastAsia"/>
        </w:rPr>
        <w:t xml:space="preserve">is is noted by </w:t>
      </w:r>
      <w:r w:rsidRPr="001D458E">
        <w:t>Vogel (1996 pp.161-66)</w:t>
      </w:r>
      <w:r w:rsidRPr="001D458E">
        <w:rPr>
          <w:rFonts w:hint="eastAsia"/>
        </w:rPr>
        <w:t xml:space="preserve">, who points out </w:t>
      </w:r>
      <w:r w:rsidRPr="001D458E">
        <w:t>that the emergence of the MPT as a strategic regulator was a distinctive characteristic of the post privatisation period. This enhancement of the MPT is concurred by a retired senior civil servant:</w:t>
      </w:r>
    </w:p>
    <w:p w14:paraId="2F78CAA0" w14:textId="77777777" w:rsidR="008D0572" w:rsidRPr="001D458E" w:rsidRDefault="008D0572" w:rsidP="008D0572"/>
    <w:p w14:paraId="48023896" w14:textId="77777777" w:rsidR="008D0572" w:rsidRPr="001D458E" w:rsidRDefault="008D0572" w:rsidP="008D0572">
      <w:pPr>
        <w:pStyle w:val="Quote"/>
      </w:pPr>
      <w:r w:rsidRPr="001D458E">
        <w:t>…</w:t>
      </w:r>
      <w:r w:rsidRPr="001D458E">
        <w:rPr>
          <w:rFonts w:hint="eastAsia"/>
        </w:rPr>
        <w:t>the MPT</w:t>
      </w:r>
      <w:r w:rsidRPr="001D458E">
        <w:t>’</w:t>
      </w:r>
      <w:r w:rsidRPr="001D458E">
        <w:rPr>
          <w:rFonts w:hint="eastAsia"/>
        </w:rPr>
        <w:t xml:space="preserve">s </w:t>
      </w:r>
      <w:r w:rsidRPr="001D458E">
        <w:t xml:space="preserve">power was strengthened by various factors emerging together, which worked together and </w:t>
      </w:r>
      <w:r w:rsidRPr="001D458E">
        <w:rPr>
          <w:rFonts w:hint="eastAsia"/>
        </w:rPr>
        <w:t xml:space="preserve">transformed </w:t>
      </w:r>
      <w:r w:rsidRPr="001D458E">
        <w:t>the MPT</w:t>
      </w:r>
      <w:r w:rsidRPr="001D458E">
        <w:rPr>
          <w:rFonts w:hint="eastAsia"/>
        </w:rPr>
        <w:t xml:space="preserve"> </w:t>
      </w:r>
      <w:r w:rsidRPr="001D458E">
        <w:t>from a mere operational ministry to a so-called policy ministry</w:t>
      </w:r>
      <w:r w:rsidRPr="001D458E">
        <w:rPr>
          <w:rFonts w:hint="eastAsia"/>
        </w:rPr>
        <w:t>.</w:t>
      </w:r>
      <w:r w:rsidRPr="001D458E">
        <w:t xml:space="preserve"> …liberalising the market and separating the operator from the regulator prompted the MPT to consolidate its position through coping with its challenges in the 1990s, with the </w:t>
      </w:r>
      <w:r w:rsidRPr="001D458E">
        <w:rPr>
          <w:rFonts w:hint="eastAsia"/>
        </w:rPr>
        <w:t>dominant</w:t>
      </w:r>
      <w:r w:rsidRPr="001D458E">
        <w:t xml:space="preserve"> tide initiated by </w:t>
      </w:r>
      <w:r w:rsidRPr="001D458E">
        <w:rPr>
          <w:rFonts w:hint="eastAsia"/>
        </w:rPr>
        <w:t>t</w:t>
      </w:r>
      <w:r w:rsidRPr="001D458E">
        <w:t xml:space="preserve">he </w:t>
      </w:r>
      <w:r w:rsidRPr="001D458E">
        <w:rPr>
          <w:i/>
        </w:rPr>
        <w:t>Rincho</w:t>
      </w:r>
      <w:r w:rsidRPr="001D458E">
        <w:t xml:space="preserve"> (meaning market oriented policies), the breakup of the US incumbent operator called by us ‘Communications Big Ban’, and the confrontation to rival ministries including the MITI (Ministry of International Trade and Industry). (</w:t>
      </w:r>
      <w:r w:rsidR="007634ED">
        <w:t>Interview with</w:t>
      </w:r>
      <w:r w:rsidRPr="001D458E">
        <w:t xml:space="preserve"> a </w:t>
      </w:r>
      <w:r w:rsidRPr="001D458E">
        <w:rPr>
          <w:rFonts w:hint="eastAsia"/>
        </w:rPr>
        <w:t>retired</w:t>
      </w:r>
      <w:r w:rsidRPr="001D458E">
        <w:t xml:space="preserve"> MIC senior civil servant)</w:t>
      </w:r>
    </w:p>
    <w:p w14:paraId="1841B1E1" w14:textId="77777777" w:rsidR="008D0572" w:rsidRPr="001D458E" w:rsidRDefault="008D0572" w:rsidP="008D0572"/>
    <w:p w14:paraId="2B51C0FB" w14:textId="77777777" w:rsidR="008D0572" w:rsidRPr="001D458E" w:rsidRDefault="008D0572" w:rsidP="008D0572">
      <w:r w:rsidRPr="001D458E">
        <w:t>T</w:t>
      </w:r>
      <w:r w:rsidRPr="001D458E">
        <w:rPr>
          <w:rFonts w:hint="eastAsia"/>
        </w:rPr>
        <w:t xml:space="preserve">he </w:t>
      </w:r>
      <w:r w:rsidRPr="001D458E">
        <w:t>MPT’s power was described as the establishment of the regulatory institutional framework in his view: ‘</w:t>
      </w:r>
      <w:r w:rsidR="00F33AD7">
        <w:rPr>
          <w:rFonts w:eastAsia="MS Mincho" w:hint="eastAsia"/>
          <w:lang w:eastAsia="ja-JP"/>
        </w:rPr>
        <w:t>be</w:t>
      </w:r>
      <w:r w:rsidRPr="001D458E">
        <w:t xml:space="preserve">tween the end of the 1990s and the beginning of the 2000s most of the competition policy framework was accomplished … communications liberalisation through the transformation from </w:t>
      </w:r>
      <w:r w:rsidRPr="001D458E">
        <w:rPr>
          <w:rFonts w:hint="eastAsia"/>
        </w:rPr>
        <w:t xml:space="preserve">the </w:t>
      </w:r>
      <w:r w:rsidRPr="001D458E">
        <w:t xml:space="preserve">NTT’s monopoly to its reorganisation has enhanced </w:t>
      </w:r>
      <w:r w:rsidRPr="001D458E">
        <w:rPr>
          <w:rFonts w:hint="eastAsia"/>
        </w:rPr>
        <w:t xml:space="preserve">the </w:t>
      </w:r>
      <w:r w:rsidRPr="001D458E">
        <w:t>MPT’s regulatory role’ (</w:t>
      </w:r>
      <w:r w:rsidR="007634ED">
        <w:t>Interview with</w:t>
      </w:r>
      <w:r w:rsidRPr="001D458E">
        <w:t xml:space="preserve"> a </w:t>
      </w:r>
      <w:r w:rsidRPr="001D458E">
        <w:rPr>
          <w:rFonts w:hint="eastAsia"/>
        </w:rPr>
        <w:t>retired</w:t>
      </w:r>
      <w:r w:rsidRPr="001D458E">
        <w:t xml:space="preserve"> MIC senior civil servant).</w:t>
      </w:r>
    </w:p>
    <w:p w14:paraId="7A653885" w14:textId="77777777" w:rsidR="008D0572" w:rsidRPr="001D458E" w:rsidRDefault="008D0572" w:rsidP="008D0572">
      <w:pPr>
        <w:ind w:firstLine="284"/>
      </w:pPr>
      <w:r w:rsidRPr="001D458E">
        <w:rPr>
          <w:rFonts w:hint="eastAsia"/>
        </w:rPr>
        <w:t xml:space="preserve">The enhanced MPT exercised detailed regulatory measures, which </w:t>
      </w:r>
      <w:r w:rsidRPr="001D458E">
        <w:t xml:space="preserve">Vogel (1996 pp.161-66) </w:t>
      </w:r>
      <w:r w:rsidRPr="001D458E">
        <w:rPr>
          <w:rFonts w:hint="eastAsia"/>
        </w:rPr>
        <w:t xml:space="preserve">describes </w:t>
      </w:r>
      <w:r w:rsidRPr="001D458E">
        <w:t>as ‘micro management’</w:t>
      </w:r>
      <w:r w:rsidRPr="001D458E">
        <w:rPr>
          <w:rFonts w:hint="eastAsia"/>
        </w:rPr>
        <w:t>. C</w:t>
      </w:r>
      <w:r w:rsidRPr="001D458E">
        <w:t>ivil serv</w:t>
      </w:r>
      <w:r w:rsidRPr="001D458E">
        <w:rPr>
          <w:rFonts w:hint="eastAsia"/>
        </w:rPr>
        <w:t>ants described this approach (</w:t>
      </w:r>
      <w:r w:rsidRPr="001D458E">
        <w:t xml:space="preserve">the interventionist regulation by the MPT in the early </w:t>
      </w:r>
      <w:r w:rsidRPr="001D458E">
        <w:rPr>
          <w:rFonts w:hint="eastAsia"/>
        </w:rPr>
        <w:t>post</w:t>
      </w:r>
      <w:r w:rsidRPr="001D458E">
        <w:t xml:space="preserve"> liberalisation</w:t>
      </w:r>
      <w:r w:rsidRPr="001D458E">
        <w:rPr>
          <w:rFonts w:hint="eastAsia"/>
        </w:rPr>
        <w:t xml:space="preserve"> period) as </w:t>
      </w:r>
      <w:r w:rsidRPr="001D458E">
        <w:t>a response to the uncertainty of the newly liberalised ICT market. A</w:t>
      </w:r>
      <w:r w:rsidRPr="001D458E">
        <w:rPr>
          <w:rFonts w:hint="eastAsia"/>
        </w:rPr>
        <w:t xml:space="preserve"> civil servant commented:</w:t>
      </w:r>
    </w:p>
    <w:p w14:paraId="18363045" w14:textId="77777777" w:rsidR="008D0572" w:rsidRPr="001D458E" w:rsidRDefault="008D0572" w:rsidP="008D0572">
      <w:pPr>
        <w:ind w:firstLine="284"/>
      </w:pPr>
    </w:p>
    <w:p w14:paraId="71E6748C" w14:textId="77777777" w:rsidR="008D0572" w:rsidRPr="001D458E" w:rsidRDefault="008D0572" w:rsidP="008D0572">
      <w:pPr>
        <w:pStyle w:val="Quote"/>
        <w:rPr>
          <w:lang w:eastAsia="ja-JP"/>
        </w:rPr>
      </w:pPr>
      <w:r w:rsidRPr="001D458E">
        <w:rPr>
          <w:lang w:eastAsia="ja-JP"/>
        </w:rPr>
        <w:t>… what is well done in ICT is very specific regulat</w:t>
      </w:r>
      <w:r w:rsidRPr="001D458E">
        <w:rPr>
          <w:rFonts w:hint="eastAsia"/>
          <w:lang w:eastAsia="ja-JP"/>
        </w:rPr>
        <w:t>ions</w:t>
      </w:r>
      <w:r w:rsidRPr="001D458E">
        <w:rPr>
          <w:lang w:eastAsia="ja-JP"/>
        </w:rPr>
        <w:t xml:space="preserve">, which should be left to operators, have been eliminated, while </w:t>
      </w:r>
      <w:r w:rsidRPr="001D458E">
        <w:rPr>
          <w:rFonts w:hint="eastAsia"/>
          <w:lang w:eastAsia="ja-JP"/>
        </w:rPr>
        <w:t>those</w:t>
      </w:r>
      <w:r w:rsidRPr="001D458E">
        <w:rPr>
          <w:lang w:eastAsia="ja-JP"/>
        </w:rPr>
        <w:t xml:space="preserve"> such as ensuring safety, ensuring quality, and securing connections have been retained. In this way, I suggest</w:t>
      </w:r>
      <w:r w:rsidRPr="001D458E">
        <w:rPr>
          <w:rFonts w:hint="eastAsia"/>
          <w:lang w:eastAsia="ja-JP"/>
        </w:rPr>
        <w:t>,</w:t>
      </w:r>
      <w:r w:rsidRPr="001D458E">
        <w:rPr>
          <w:lang w:eastAsia="ja-JP"/>
        </w:rPr>
        <w:t xml:space="preserve"> regulation hasn’t been completely </w:t>
      </w:r>
      <w:r w:rsidRPr="001D458E">
        <w:rPr>
          <w:rFonts w:hint="eastAsia"/>
          <w:lang w:eastAsia="ja-JP"/>
        </w:rPr>
        <w:t>dismantled</w:t>
      </w:r>
      <w:r w:rsidRPr="001D458E">
        <w:rPr>
          <w:lang w:eastAsia="ja-JP"/>
        </w:rPr>
        <w:t>. Simply unnecessary regulation has been eliminated and truly necessary regulation has been retained. At the beginning of liberalisation, because nobody knew what would happen, everything must have been covered, or, anything dropped could result in trouble; such an idea existed. I suggest the ministry gradually got to understand what measure</w:t>
      </w:r>
      <w:r w:rsidR="00F95A80">
        <w:rPr>
          <w:lang w:eastAsia="ja-JP"/>
        </w:rPr>
        <w:t>s</w:t>
      </w:r>
      <w:r w:rsidRPr="001D458E">
        <w:rPr>
          <w:lang w:eastAsia="ja-JP"/>
        </w:rPr>
        <w:t xml:space="preserve"> could be left to operators and eliminating what measure</w:t>
      </w:r>
      <w:r w:rsidR="00F95A80">
        <w:rPr>
          <w:lang w:eastAsia="ja-JP"/>
        </w:rPr>
        <w:t>s</w:t>
      </w:r>
      <w:r w:rsidRPr="001D458E">
        <w:rPr>
          <w:lang w:eastAsia="ja-JP"/>
        </w:rPr>
        <w:t xml:space="preserve"> could cause trouble if something happened. (</w:t>
      </w:r>
      <w:r w:rsidR="007634ED">
        <w:t>Interview with</w:t>
      </w:r>
      <w:r w:rsidRPr="001D458E">
        <w:t xml:space="preserve"> a</w:t>
      </w:r>
      <w:r w:rsidR="00F95A80">
        <w:t>n</w:t>
      </w:r>
      <w:r w:rsidRPr="001D458E">
        <w:t xml:space="preserve"> MIC civil servant</w:t>
      </w:r>
      <w:r w:rsidRPr="001D458E">
        <w:rPr>
          <w:lang w:eastAsia="ja-JP"/>
        </w:rPr>
        <w:t>)</w:t>
      </w:r>
    </w:p>
    <w:p w14:paraId="31120284" w14:textId="77777777" w:rsidR="008D0572" w:rsidRPr="001D458E" w:rsidRDefault="008D0572" w:rsidP="008D0572"/>
    <w:p w14:paraId="1AF74BE9" w14:textId="77777777" w:rsidR="008D0572" w:rsidRPr="001D458E" w:rsidRDefault="008D0572" w:rsidP="008D0572">
      <w:r w:rsidRPr="001D458E">
        <w:rPr>
          <w:rFonts w:hint="eastAsia"/>
        </w:rPr>
        <w:t>One</w:t>
      </w:r>
      <w:r w:rsidRPr="001D458E">
        <w:t xml:space="preserve"> senior civil servant offered an interpretation that micro manage regulation could be understood as a relaxed mode o</w:t>
      </w:r>
      <w:r w:rsidRPr="001D458E">
        <w:rPr>
          <w:rFonts w:hint="eastAsia"/>
        </w:rPr>
        <w:t>f</w:t>
      </w:r>
      <w:r w:rsidRPr="001D458E">
        <w:t xml:space="preserve"> regulation compared to the previous mode of regulation, under which many operational decisions </w:t>
      </w:r>
      <w:r w:rsidRPr="001D458E">
        <w:rPr>
          <w:rFonts w:hint="eastAsia"/>
        </w:rPr>
        <w:t>needed Diet approvals because operation was managed by a state corporation</w:t>
      </w:r>
      <w:r w:rsidRPr="001D458E">
        <w:t>:</w:t>
      </w:r>
    </w:p>
    <w:p w14:paraId="1C27E7D6" w14:textId="77777777" w:rsidR="008D0572" w:rsidRPr="001D458E" w:rsidRDefault="008D0572" w:rsidP="008D0572"/>
    <w:p w14:paraId="41F5CD71" w14:textId="77777777" w:rsidR="008D0572" w:rsidRPr="001D458E" w:rsidRDefault="008D0572" w:rsidP="008D0572">
      <w:pPr>
        <w:pStyle w:val="Quote"/>
      </w:pPr>
      <w:r w:rsidRPr="001D458E">
        <w:t xml:space="preserve">Some parts of the framework were strict. To elaborate in </w:t>
      </w:r>
      <w:r w:rsidR="00F95A80">
        <w:t xml:space="preserve">the </w:t>
      </w:r>
      <w:r w:rsidRPr="001D458E">
        <w:t>simplest terms, fare</w:t>
      </w:r>
      <w:r w:rsidRPr="001D458E">
        <w:rPr>
          <w:rFonts w:hint="eastAsia"/>
        </w:rPr>
        <w:t>s</w:t>
      </w:r>
      <w:r w:rsidRPr="001D458E">
        <w:t xml:space="preserve"> and services could be offered through application and admission. And, </w:t>
      </w:r>
      <w:r w:rsidRPr="001D458E">
        <w:rPr>
          <w:rFonts w:hint="eastAsia"/>
        </w:rPr>
        <w:t>facility based careers (Type I)</w:t>
      </w:r>
      <w:r w:rsidRPr="001D458E">
        <w:t xml:space="preserve"> needed permission for market entry. …</w:t>
      </w:r>
      <w:r w:rsidRPr="001D458E">
        <w:rPr>
          <w:rFonts w:hint="eastAsia"/>
        </w:rPr>
        <w:t>after twenty years now, I guess t</w:t>
      </w:r>
      <w:r w:rsidRPr="001D458E">
        <w:t xml:space="preserve">his system had both a flexible part and a difficult part. What I thought at that time was, things started from the world of monopoly, in which minor </w:t>
      </w:r>
      <w:r w:rsidRPr="001D458E">
        <w:rPr>
          <w:rFonts w:hint="eastAsia"/>
        </w:rPr>
        <w:t xml:space="preserve">fare </w:t>
      </w:r>
      <w:r w:rsidRPr="001D458E">
        <w:t xml:space="preserve">changes needed more than admission, (because </w:t>
      </w:r>
      <w:r w:rsidRPr="001D458E">
        <w:rPr>
          <w:rFonts w:hint="eastAsia"/>
        </w:rPr>
        <w:t>they were</w:t>
      </w:r>
      <w:r w:rsidRPr="001D458E">
        <w:t>) legally determined fare</w:t>
      </w:r>
      <w:r w:rsidRPr="001D458E">
        <w:rPr>
          <w:rFonts w:hint="eastAsia"/>
        </w:rPr>
        <w:t>s</w:t>
      </w:r>
      <w:r w:rsidRPr="001D458E">
        <w:t>. Therefore, about legally determined fare</w:t>
      </w:r>
      <w:r w:rsidRPr="001D458E">
        <w:rPr>
          <w:rFonts w:hint="eastAsia"/>
        </w:rPr>
        <w:t>s</w:t>
      </w:r>
      <w:r w:rsidRPr="001D458E">
        <w:t>, whether fares drop or ris</w:t>
      </w:r>
      <w:r w:rsidRPr="001D458E">
        <w:rPr>
          <w:rFonts w:hint="eastAsia"/>
        </w:rPr>
        <w:t>e</w:t>
      </w:r>
      <w:r w:rsidRPr="001D458E">
        <w:t xml:space="preserve">, such fundamental things </w:t>
      </w:r>
      <w:r w:rsidRPr="001D458E">
        <w:rPr>
          <w:rFonts w:hint="eastAsia"/>
        </w:rPr>
        <w:t xml:space="preserve">were </w:t>
      </w:r>
      <w:r w:rsidRPr="001D458E">
        <w:t xml:space="preserve">decided by law. And such things became more flexibly determined without debate in the Diet. </w:t>
      </w:r>
      <w:r w:rsidRPr="001D458E">
        <w:rPr>
          <w:rFonts w:hint="eastAsia"/>
        </w:rPr>
        <w:t>O</w:t>
      </w:r>
      <w:r w:rsidRPr="001D458E">
        <w:t>pportunities to change law</w:t>
      </w:r>
      <w:r w:rsidRPr="001D458E">
        <w:rPr>
          <w:rFonts w:hint="eastAsia"/>
        </w:rPr>
        <w:t xml:space="preserve"> are limited: </w:t>
      </w:r>
      <w:r w:rsidRPr="001D458E">
        <w:t>once in a year</w:t>
      </w:r>
      <w:r w:rsidRPr="001D458E">
        <w:rPr>
          <w:rFonts w:hint="eastAsia"/>
        </w:rPr>
        <w:t xml:space="preserve"> or so</w:t>
      </w:r>
      <w:r w:rsidRPr="001D458E">
        <w:t>. We though</w:t>
      </w:r>
      <w:r w:rsidR="00F95A80">
        <w:t>t</w:t>
      </w:r>
      <w:r w:rsidRPr="001D458E">
        <w:t xml:space="preserve"> at that time no system was more relaxed than this one, and what is called fundamental services such as telephony, in our understanding, could be freely determined, was unimaginable. (</w:t>
      </w:r>
      <w:r w:rsidR="007634ED">
        <w:t>Interview with</w:t>
      </w:r>
      <w:r w:rsidRPr="001D458E">
        <w:t xml:space="preserve"> a</w:t>
      </w:r>
      <w:r w:rsidR="00F95A80">
        <w:t>n</w:t>
      </w:r>
      <w:r w:rsidRPr="001D458E">
        <w:t xml:space="preserve"> MIC senior civil servant)</w:t>
      </w:r>
    </w:p>
    <w:p w14:paraId="0DD73395" w14:textId="77777777" w:rsidR="008D0572" w:rsidRPr="001D458E" w:rsidRDefault="008D0572" w:rsidP="008D0572"/>
    <w:p w14:paraId="13E29234" w14:textId="77777777" w:rsidR="008D0572" w:rsidRPr="001D458E" w:rsidRDefault="008D0572" w:rsidP="00336EF7">
      <w:r w:rsidRPr="001D458E">
        <w:rPr>
          <w:rFonts w:hint="eastAsia"/>
        </w:rPr>
        <w:t>H</w:t>
      </w:r>
      <w:r w:rsidRPr="001D458E">
        <w:t>i</w:t>
      </w:r>
      <w:r w:rsidRPr="001D458E">
        <w:rPr>
          <w:rFonts w:hint="eastAsia"/>
        </w:rPr>
        <w:t>s account is in line with a government official</w:t>
      </w:r>
      <w:r w:rsidRPr="001D458E">
        <w:t>’</w:t>
      </w:r>
      <w:r w:rsidRPr="001D458E">
        <w:rPr>
          <w:rFonts w:hint="eastAsia"/>
        </w:rPr>
        <w:t xml:space="preserve">s </w:t>
      </w:r>
      <w:r w:rsidR="00465757">
        <w:t xml:space="preserve">(Moriya Koyama, the Chief of Telecommunications Policy Bureau of the MPT) </w:t>
      </w:r>
      <w:r w:rsidRPr="001D458E">
        <w:rPr>
          <w:rFonts w:hint="eastAsia"/>
        </w:rPr>
        <w:t>explanation on the regulatory framework after NTT privatisation:</w:t>
      </w:r>
    </w:p>
    <w:p w14:paraId="760F9BC5" w14:textId="77777777" w:rsidR="008D0572" w:rsidRPr="001D458E" w:rsidRDefault="008D0572" w:rsidP="008D0572"/>
    <w:p w14:paraId="4FD7CE53" w14:textId="66A6BA86" w:rsidR="00495655" w:rsidRDefault="008D0572" w:rsidP="005B18BE">
      <w:pPr>
        <w:pStyle w:val="Quote"/>
      </w:pPr>
      <w:r w:rsidRPr="001D458E">
        <w:rPr>
          <w:rFonts w:hint="eastAsia"/>
        </w:rPr>
        <w:t>...so far the legal framework hasn</w:t>
      </w:r>
      <w:r w:rsidRPr="001D458E">
        <w:t>’</w:t>
      </w:r>
      <w:r w:rsidRPr="001D458E">
        <w:rPr>
          <w:rFonts w:hint="eastAsia"/>
        </w:rPr>
        <w:t>t permitted public telecommunications business except for the NTT</w:t>
      </w:r>
      <w:r w:rsidRPr="001D458E">
        <w:t>’</w:t>
      </w:r>
      <w:r w:rsidRPr="001D458E">
        <w:rPr>
          <w:rFonts w:hint="eastAsia"/>
        </w:rPr>
        <w:t>s and the KDD</w:t>
      </w:r>
      <w:r w:rsidRPr="001D458E">
        <w:t>’</w:t>
      </w:r>
      <w:r w:rsidRPr="001D458E">
        <w:rPr>
          <w:rFonts w:hint="eastAsia"/>
        </w:rPr>
        <w:t xml:space="preserve">s. In terms of regulatory permissions and approvals, everything has been prohibited so far. The present bill can be </w:t>
      </w:r>
      <w:r w:rsidRPr="001D458E">
        <w:t>understood</w:t>
      </w:r>
      <w:r w:rsidRPr="001D458E">
        <w:rPr>
          <w:rFonts w:hint="eastAsia"/>
        </w:rPr>
        <w:t xml:space="preserve"> not as the introduction of new regulatory permissions and approvals but liberalisation within the framework of the regulatory permissions and approvals. In short, we</w:t>
      </w:r>
      <w:r w:rsidRPr="001D458E">
        <w:t>’</w:t>
      </w:r>
      <w:r w:rsidRPr="001D458E">
        <w:rPr>
          <w:rFonts w:hint="eastAsia"/>
        </w:rPr>
        <w:t xml:space="preserve">d like you to understand </w:t>
      </w:r>
      <w:r w:rsidR="00F95A80">
        <w:t xml:space="preserve">that </w:t>
      </w:r>
      <w:r w:rsidRPr="001D458E">
        <w:rPr>
          <w:rFonts w:hint="eastAsia"/>
        </w:rPr>
        <w:t>this set of permissions and approvals opens the previously prohibited business activities and the permissions and approvals are the leverage of this process. ... (telecommunications) regulation should be minimum, in our view. (T</w:t>
      </w:r>
      <w:r w:rsidRPr="001D458E">
        <w:t>h</w:t>
      </w:r>
      <w:r w:rsidRPr="001D458E">
        <w:rPr>
          <w:rFonts w:hint="eastAsia"/>
        </w:rPr>
        <w:t>e House of Representatives 1984</w:t>
      </w:r>
      <w:r w:rsidR="00465757">
        <w:t>a</w:t>
      </w:r>
      <w:r w:rsidRPr="001D458E">
        <w:rPr>
          <w:rFonts w:hint="eastAsia"/>
        </w:rPr>
        <w:t>)</w:t>
      </w:r>
    </w:p>
    <w:p w14:paraId="25132670" w14:textId="77777777" w:rsidR="008D0572" w:rsidRPr="00A01823" w:rsidRDefault="008D0572" w:rsidP="008D0572"/>
    <w:p w14:paraId="6AB659D2" w14:textId="77777777" w:rsidR="008D0572" w:rsidRPr="001D458E" w:rsidRDefault="008D0572" w:rsidP="008D0572">
      <w:r w:rsidRPr="001D458E">
        <w:t xml:space="preserve">Another account explained this as the result of a </w:t>
      </w:r>
      <w:r w:rsidRPr="001D458E">
        <w:rPr>
          <w:rFonts w:hint="eastAsia"/>
        </w:rPr>
        <w:t>deliberate</w:t>
      </w:r>
      <w:r w:rsidRPr="001D458E">
        <w:t xml:space="preserve"> trial to create competition in the telecommunications market:</w:t>
      </w:r>
    </w:p>
    <w:p w14:paraId="70A0C3E6" w14:textId="77777777" w:rsidR="008D0572" w:rsidRPr="001D458E" w:rsidRDefault="008D0572" w:rsidP="008D0572"/>
    <w:p w14:paraId="62883CFF" w14:textId="77777777" w:rsidR="008D0572" w:rsidRPr="001D458E" w:rsidRDefault="008D0572" w:rsidP="008D0572">
      <w:pPr>
        <w:pStyle w:val="Quote"/>
      </w:pPr>
      <w:r w:rsidRPr="001D458E">
        <w:t xml:space="preserve">The government tried to </w:t>
      </w:r>
      <w:r w:rsidRPr="001D458E">
        <w:rPr>
          <w:rFonts w:hint="eastAsia"/>
        </w:rPr>
        <w:t xml:space="preserve">deliberately create </w:t>
      </w:r>
      <w:r w:rsidRPr="001D458E">
        <w:t>competition in the market, which is</w:t>
      </w:r>
      <w:r w:rsidRPr="001D458E">
        <w:rPr>
          <w:rFonts w:hint="eastAsia"/>
        </w:rPr>
        <w:t>n</w:t>
      </w:r>
      <w:r w:rsidRPr="001D458E">
        <w:t>’</w:t>
      </w:r>
      <w:r w:rsidRPr="001D458E">
        <w:rPr>
          <w:rFonts w:hint="eastAsia"/>
        </w:rPr>
        <w:t>t</w:t>
      </w:r>
      <w:r w:rsidRPr="001D458E">
        <w:t xml:space="preserve"> an idea based on legally justifiable approaches. Therefore, it was unavoidable that such approaches (micro management of the market based on not law but political power) inflicted ‘conflicts’. (</w:t>
      </w:r>
      <w:r w:rsidR="007634ED">
        <w:t>Interview with</w:t>
      </w:r>
      <w:r w:rsidRPr="001D458E">
        <w:t xml:space="preserve"> a </w:t>
      </w:r>
      <w:r w:rsidRPr="001D458E">
        <w:rPr>
          <w:rFonts w:hint="eastAsia"/>
        </w:rPr>
        <w:t xml:space="preserve">retired </w:t>
      </w:r>
      <w:r w:rsidRPr="001D458E">
        <w:t xml:space="preserve">MIC senior </w:t>
      </w:r>
      <w:r w:rsidRPr="001D458E">
        <w:rPr>
          <w:rFonts w:hint="eastAsia"/>
        </w:rPr>
        <w:t>c</w:t>
      </w:r>
      <w:r w:rsidRPr="001D458E">
        <w:t xml:space="preserve">ivil servant) </w:t>
      </w:r>
    </w:p>
    <w:p w14:paraId="1F98F8F3" w14:textId="77777777" w:rsidR="008D0572" w:rsidRPr="001D458E" w:rsidRDefault="008D0572" w:rsidP="008D0572"/>
    <w:p w14:paraId="4A9354D9" w14:textId="77777777" w:rsidR="008D0572" w:rsidRPr="001D458E" w:rsidRDefault="008D0572" w:rsidP="008D0572">
      <w:r w:rsidRPr="001D458E">
        <w:rPr>
          <w:rFonts w:hint="eastAsia"/>
        </w:rPr>
        <w:t xml:space="preserve">These accounts highlighted how the MPT </w:t>
      </w:r>
      <w:r w:rsidR="00344EDF" w:rsidRPr="001D458E">
        <w:rPr>
          <w:rFonts w:hint="eastAsia"/>
        </w:rPr>
        <w:t>e</w:t>
      </w:r>
      <w:r w:rsidR="00344EDF">
        <w:t>volved</w:t>
      </w:r>
      <w:r w:rsidR="00344EDF" w:rsidRPr="001D458E">
        <w:rPr>
          <w:rFonts w:hint="eastAsia"/>
        </w:rPr>
        <w:t xml:space="preserve"> </w:t>
      </w:r>
      <w:r w:rsidRPr="001D458E">
        <w:rPr>
          <w:rFonts w:hint="eastAsia"/>
        </w:rPr>
        <w:t>from an inexperienced and powerless regulator to an established one.</w:t>
      </w:r>
    </w:p>
    <w:p w14:paraId="112AE91E" w14:textId="77777777" w:rsidR="008D0572" w:rsidRPr="001D458E" w:rsidRDefault="00F33AD7" w:rsidP="008D0572">
      <w:pPr>
        <w:ind w:firstLine="284"/>
      </w:pPr>
      <w:r>
        <w:rPr>
          <w:rFonts w:eastAsia="MS Mincho" w:hint="eastAsia"/>
          <w:lang w:eastAsia="ja-JP"/>
        </w:rPr>
        <w:t xml:space="preserve">The </w:t>
      </w:r>
      <w:r w:rsidR="008D0572" w:rsidRPr="001D458E">
        <w:t xml:space="preserve">MPT’s expansion of its regulatory power did not have a significant impact on its power relations vis-à-vis party politicians. </w:t>
      </w:r>
      <w:r w:rsidR="008D0572" w:rsidRPr="001D458E">
        <w:rPr>
          <w:rFonts w:hint="eastAsia"/>
        </w:rPr>
        <w:t>According to a</w:t>
      </w:r>
      <w:r w:rsidR="00F95A80">
        <w:t>n</w:t>
      </w:r>
      <w:r w:rsidR="008D0572" w:rsidRPr="001D458E">
        <w:rPr>
          <w:rFonts w:hint="eastAsia"/>
        </w:rPr>
        <w:t xml:space="preserve"> MIC senior civil servant: </w:t>
      </w:r>
      <w:r w:rsidR="008D0572" w:rsidRPr="001D458E">
        <w:t>‘</w:t>
      </w:r>
      <w:r w:rsidR="008D0572" w:rsidRPr="001D458E">
        <w:rPr>
          <w:rFonts w:hint="eastAsia"/>
        </w:rPr>
        <w:t>it (politicians</w:t>
      </w:r>
      <w:r w:rsidR="008D0572" w:rsidRPr="001D458E">
        <w:t>’</w:t>
      </w:r>
      <w:r w:rsidR="008D0572" w:rsidRPr="001D458E">
        <w:rPr>
          <w:rFonts w:hint="eastAsia"/>
        </w:rPr>
        <w:t xml:space="preserve"> power after telecommunications liberalisation) hasn</w:t>
      </w:r>
      <w:r w:rsidR="008D0572" w:rsidRPr="001D458E">
        <w:t>’</w:t>
      </w:r>
      <w:r w:rsidR="008D0572" w:rsidRPr="001D458E">
        <w:rPr>
          <w:rFonts w:hint="eastAsia"/>
        </w:rPr>
        <w:t>t changed so much</w:t>
      </w:r>
      <w:r w:rsidR="008D0572" w:rsidRPr="001D458E">
        <w:t xml:space="preserve">’. </w:t>
      </w:r>
      <w:r w:rsidR="008D0572" w:rsidRPr="001D458E">
        <w:rPr>
          <w:rFonts w:hint="eastAsia"/>
        </w:rPr>
        <w:t xml:space="preserve">Another civil servant also revealed his view: </w:t>
      </w:r>
      <w:r w:rsidR="008D0572" w:rsidRPr="001D458E">
        <w:t>‘</w:t>
      </w:r>
      <w:r w:rsidR="008D0572" w:rsidRPr="001D458E">
        <w:rPr>
          <w:rFonts w:hint="eastAsia"/>
        </w:rPr>
        <w:t>the final decision</w:t>
      </w:r>
      <w:r w:rsidR="008D0572" w:rsidRPr="001D458E">
        <w:t>’</w:t>
      </w:r>
      <w:r w:rsidR="008D0572" w:rsidRPr="001D458E">
        <w:rPr>
          <w:rFonts w:hint="eastAsia"/>
        </w:rPr>
        <w:t xml:space="preserve">s been made by politicians. </w:t>
      </w:r>
      <w:r w:rsidR="008D0572" w:rsidRPr="001D458E">
        <w:t>B</w:t>
      </w:r>
      <w:r w:rsidR="008D0572" w:rsidRPr="001D458E">
        <w:rPr>
          <w:rFonts w:hint="eastAsia"/>
        </w:rPr>
        <w:t>ecause politicians pass bills, they</w:t>
      </w:r>
      <w:r w:rsidR="008D0572" w:rsidRPr="001D458E">
        <w:t>’</w:t>
      </w:r>
      <w:r w:rsidR="008D0572" w:rsidRPr="001D458E">
        <w:rPr>
          <w:rFonts w:hint="eastAsia"/>
        </w:rPr>
        <w:t>ve actually dominated a significant portion of decision making processes</w:t>
      </w:r>
      <w:r w:rsidR="008D0572" w:rsidRPr="001D458E">
        <w:t>’</w:t>
      </w:r>
      <w:r w:rsidR="008D0572" w:rsidRPr="001D458E">
        <w:rPr>
          <w:rFonts w:hint="eastAsia"/>
        </w:rPr>
        <w:t xml:space="preserve">. </w:t>
      </w:r>
      <w:r w:rsidR="008D0572" w:rsidRPr="001D458E">
        <w:t>T</w:t>
      </w:r>
      <w:r w:rsidR="008D0572" w:rsidRPr="001D458E">
        <w:rPr>
          <w:rFonts w:hint="eastAsia"/>
        </w:rPr>
        <w:t>his view</w:t>
      </w:r>
      <w:r w:rsidR="008D0572" w:rsidRPr="001D458E">
        <w:t xml:space="preserve"> is</w:t>
      </w:r>
      <w:r w:rsidR="008D0572" w:rsidRPr="001D458E">
        <w:rPr>
          <w:rFonts w:hint="eastAsia"/>
        </w:rPr>
        <w:t xml:space="preserve"> </w:t>
      </w:r>
      <w:r w:rsidR="008D0572" w:rsidRPr="001D458E">
        <w:t xml:space="preserve">shared by </w:t>
      </w:r>
      <w:r w:rsidR="008D0572" w:rsidRPr="001D458E">
        <w:rPr>
          <w:rFonts w:hint="eastAsia"/>
        </w:rPr>
        <w:t>I</w:t>
      </w:r>
      <w:r w:rsidR="008D0572" w:rsidRPr="001D458E">
        <w:t>’</w:t>
      </w:r>
      <w:r w:rsidR="008D0572" w:rsidRPr="001D458E">
        <w:rPr>
          <w:rFonts w:hint="eastAsia"/>
        </w:rPr>
        <w:t>io</w:t>
      </w:r>
      <w:r w:rsidR="008D0572" w:rsidRPr="001D458E">
        <w:t>’</w:t>
      </w:r>
      <w:r w:rsidR="008D0572" w:rsidRPr="001D458E">
        <w:rPr>
          <w:rFonts w:hint="eastAsia"/>
        </w:rPr>
        <w:t xml:space="preserve">s (2007 p.91) </w:t>
      </w:r>
      <w:r w:rsidR="008D0572" w:rsidRPr="001D458E">
        <w:t xml:space="preserve">analysis on </w:t>
      </w:r>
      <w:r w:rsidR="008D0572" w:rsidRPr="001D458E">
        <w:rPr>
          <w:rFonts w:hint="eastAsia"/>
        </w:rPr>
        <w:t>civil servants and party politicians. Japan</w:t>
      </w:r>
      <w:r w:rsidR="008D0572" w:rsidRPr="001D458E">
        <w:t>’</w:t>
      </w:r>
      <w:r w:rsidR="008D0572" w:rsidRPr="001D458E">
        <w:rPr>
          <w:rFonts w:hint="eastAsia"/>
        </w:rPr>
        <w:t xml:space="preserve">s civil servants need party </w:t>
      </w:r>
      <w:r w:rsidR="008D0572" w:rsidRPr="001D458E">
        <w:t>politicians’</w:t>
      </w:r>
      <w:r w:rsidR="008D0572" w:rsidRPr="001D458E">
        <w:rPr>
          <w:rFonts w:hint="eastAsia"/>
        </w:rPr>
        <w:t xml:space="preserve"> cooperation to pass bills in the Diet (I</w:t>
      </w:r>
      <w:r w:rsidR="008D0572" w:rsidRPr="001D458E">
        <w:t>’</w:t>
      </w:r>
      <w:r w:rsidR="008D0572" w:rsidRPr="001D458E">
        <w:rPr>
          <w:rFonts w:hint="eastAsia"/>
        </w:rPr>
        <w:t xml:space="preserve">io 2007 p.91). </w:t>
      </w:r>
      <w:r w:rsidR="008D0572" w:rsidRPr="001D458E">
        <w:t>What has changed between party politicians and civil servants is the approach of the former to the latter. In the early phase of the post telecommunications liberalisation process, party politicians intervened in the regulatory matters administered by civil servants, as the following account witnessed:</w:t>
      </w:r>
      <w:r w:rsidR="008D0572" w:rsidRPr="001D458E">
        <w:rPr>
          <w:rFonts w:hint="eastAsia"/>
        </w:rPr>
        <w:t xml:space="preserve"> </w:t>
      </w:r>
      <w:r w:rsidR="008D0572" w:rsidRPr="001D458E">
        <w:t>‘…</w:t>
      </w:r>
      <w:r w:rsidR="008D0572" w:rsidRPr="001D458E">
        <w:rPr>
          <w:rFonts w:hint="eastAsia"/>
        </w:rPr>
        <w:t xml:space="preserve"> </w:t>
      </w:r>
      <w:r w:rsidR="008D0572" w:rsidRPr="001D458E">
        <w:t xml:space="preserve">suddenly in response to the claims from politicians (the MPT) </w:t>
      </w:r>
      <w:r w:rsidR="008D0572" w:rsidRPr="001D458E">
        <w:rPr>
          <w:rFonts w:hint="eastAsia"/>
        </w:rPr>
        <w:t>instructed</w:t>
      </w:r>
      <w:r w:rsidR="008D0572" w:rsidRPr="001D458E">
        <w:t xml:space="preserve"> “</w:t>
      </w:r>
      <w:r w:rsidR="008D0572" w:rsidRPr="001D458E">
        <w:rPr>
          <w:rFonts w:hint="eastAsia"/>
        </w:rPr>
        <w:t>call</w:t>
      </w:r>
      <w:r w:rsidR="008D0572" w:rsidRPr="001D458E">
        <w:t xml:space="preserve"> rates </w:t>
      </w:r>
      <w:r w:rsidR="008D0572" w:rsidRPr="001D458E">
        <w:rPr>
          <w:rFonts w:hint="eastAsia"/>
        </w:rPr>
        <w:t>are</w:t>
      </w:r>
      <w:r w:rsidR="008D0572" w:rsidRPr="001D458E">
        <w:t xml:space="preserve"> expensive so drop them”. Such things happened several times, and th</w:t>
      </w:r>
      <w:r w:rsidR="008D0572" w:rsidRPr="001D458E">
        <w:rPr>
          <w:rFonts w:hint="eastAsia"/>
        </w:rPr>
        <w:t>is wasn</w:t>
      </w:r>
      <w:r w:rsidR="008D0572" w:rsidRPr="001D458E">
        <w:t>’</w:t>
      </w:r>
      <w:r w:rsidR="008D0572" w:rsidRPr="001D458E">
        <w:rPr>
          <w:rFonts w:hint="eastAsia"/>
        </w:rPr>
        <w:t>t</w:t>
      </w:r>
      <w:r w:rsidR="008D0572" w:rsidRPr="001D458E">
        <w:t xml:space="preserve"> based on law’ (</w:t>
      </w:r>
      <w:r w:rsidR="007634ED">
        <w:t>Interview with</w:t>
      </w:r>
      <w:r w:rsidR="008D0572" w:rsidRPr="001D458E">
        <w:t xml:space="preserve"> a retired MIC senior civil servant)</w:t>
      </w:r>
      <w:r w:rsidR="008D0572" w:rsidRPr="001D458E">
        <w:rPr>
          <w:rFonts w:hint="eastAsia"/>
        </w:rPr>
        <w:t xml:space="preserve">. </w:t>
      </w:r>
      <w:r w:rsidR="008D0572" w:rsidRPr="001D458E">
        <w:t>As regulatory approaches to operators changed, party politicians’ interventions also changed. One senior civil servant argued that the change of the regulatory approaches from ex ante oriented ones such as market entry permissions and tariff change approvals to ex post oriented ones such as network interconnection regulation made it difficult for party politicians to intervene:</w:t>
      </w:r>
    </w:p>
    <w:p w14:paraId="363DE709" w14:textId="77777777" w:rsidR="008D0572" w:rsidRPr="001D458E" w:rsidRDefault="008D0572" w:rsidP="008D0572"/>
    <w:p w14:paraId="7FD51484" w14:textId="77777777" w:rsidR="008D0572" w:rsidRPr="001D458E" w:rsidRDefault="008D0572" w:rsidP="008D0572">
      <w:pPr>
        <w:pStyle w:val="Quote"/>
      </w:pPr>
      <w:r w:rsidRPr="001D458E">
        <w:t>In the first five year</w:t>
      </w:r>
      <w:r w:rsidR="00F95A80">
        <w:t>s</w:t>
      </w:r>
      <w:r w:rsidRPr="001D458E">
        <w:t xml:space="preserve"> (from NTT privatisation), during the debate of NTT breakup, issues such as call rate drops and fare competition between the NTT and the NCC</w:t>
      </w:r>
      <w:r w:rsidR="00F33AD7">
        <w:rPr>
          <w:rFonts w:eastAsia="MS Mincho" w:hint="eastAsia"/>
          <w:lang w:eastAsia="ja-JP"/>
        </w:rPr>
        <w:t>s</w:t>
      </w:r>
      <w:r w:rsidRPr="001D458E">
        <w:t xml:space="preserve"> needed official approvals, and politicians frequently intervened in them</w:t>
      </w:r>
      <w:r w:rsidRPr="001D458E">
        <w:rPr>
          <w:rFonts w:hint="eastAsia"/>
        </w:rPr>
        <w:t>, e</w:t>
      </w:r>
      <w:r w:rsidRPr="001D458E">
        <w:t>ven about fare</w:t>
      </w:r>
      <w:r w:rsidRPr="001D458E">
        <w:rPr>
          <w:rFonts w:hint="eastAsia"/>
        </w:rPr>
        <w:t>s</w:t>
      </w:r>
      <w:r w:rsidRPr="001D458E">
        <w:t>. For example, let the NCCs drop their charges more, or, on the contrary, from politicians supporting the NTT, let the NTT drop its charges more. Such intervention</w:t>
      </w:r>
      <w:r w:rsidRPr="001D458E">
        <w:rPr>
          <w:rFonts w:hint="eastAsia"/>
        </w:rPr>
        <w:t>s</w:t>
      </w:r>
      <w:r w:rsidRPr="001D458E">
        <w:t xml:space="preserve"> w</w:t>
      </w:r>
      <w:r w:rsidRPr="001D458E">
        <w:rPr>
          <w:rFonts w:hint="eastAsia"/>
        </w:rPr>
        <w:t>ere</w:t>
      </w:r>
      <w:r w:rsidRPr="001D458E">
        <w:t xml:space="preserve"> so frequent that I didn’t feel party politicians retreated from involvement. And, as competition in the telecommunications market was</w:t>
      </w:r>
      <w:r w:rsidRPr="001D458E">
        <w:rPr>
          <w:rFonts w:hint="eastAsia"/>
        </w:rPr>
        <w:t>n</w:t>
      </w:r>
      <w:r w:rsidRPr="001D458E">
        <w:t>’</w:t>
      </w:r>
      <w:r w:rsidRPr="001D458E">
        <w:rPr>
          <w:rFonts w:hint="eastAsia"/>
        </w:rPr>
        <w:t>t</w:t>
      </w:r>
      <w:r w:rsidRPr="001D458E">
        <w:t xml:space="preserve"> effective enough, probably politicians contacted industry in various ways and </w:t>
      </w:r>
      <w:r w:rsidRPr="001D458E">
        <w:rPr>
          <w:rFonts w:hint="eastAsia"/>
        </w:rPr>
        <w:t xml:space="preserve">required </w:t>
      </w:r>
      <w:r w:rsidRPr="001D458E">
        <w:t>the government to develop something like competition policies. (</w:t>
      </w:r>
      <w:r w:rsidR="007634ED">
        <w:t>Interview with</w:t>
      </w:r>
      <w:r w:rsidRPr="001D458E">
        <w:t xml:space="preserve"> a</w:t>
      </w:r>
      <w:r w:rsidR="00F95A80">
        <w:t>n</w:t>
      </w:r>
      <w:r w:rsidRPr="001D458E">
        <w:t xml:space="preserve"> MIC senior civil servant)</w:t>
      </w:r>
    </w:p>
    <w:p w14:paraId="2C80FA66" w14:textId="77777777" w:rsidR="008D0572" w:rsidRPr="001D458E" w:rsidRDefault="008D0572" w:rsidP="008D0572"/>
    <w:p w14:paraId="6B12EB00" w14:textId="77777777" w:rsidR="008D0572" w:rsidRPr="001D458E" w:rsidRDefault="008D0572" w:rsidP="008D0572">
      <w:r w:rsidRPr="001D458E">
        <w:t>This overt intervention from party politicians was</w:t>
      </w:r>
      <w:r w:rsidRPr="001D458E">
        <w:rPr>
          <w:rFonts w:hint="eastAsia"/>
        </w:rPr>
        <w:t xml:space="preserve"> based on strict regulation (what V</w:t>
      </w:r>
      <w:r w:rsidRPr="001D458E">
        <w:t>o</w:t>
      </w:r>
      <w:r w:rsidRPr="001D458E">
        <w:rPr>
          <w:rFonts w:hint="eastAsia"/>
        </w:rPr>
        <w:t xml:space="preserve">gel (1996) calls </w:t>
      </w:r>
      <w:r w:rsidRPr="001D458E">
        <w:t>‘</w:t>
      </w:r>
      <w:r w:rsidRPr="001D458E">
        <w:rPr>
          <w:rFonts w:hint="eastAsia"/>
        </w:rPr>
        <w:t>micro management</w:t>
      </w:r>
      <w:r w:rsidRPr="001D458E">
        <w:t>’</w:t>
      </w:r>
      <w:r w:rsidRPr="001D458E">
        <w:rPr>
          <w:rFonts w:hint="eastAsia"/>
        </w:rPr>
        <w:t xml:space="preserve">). The call for deregulation, therefore, undermined the basis on which party </w:t>
      </w:r>
      <w:r w:rsidRPr="001D458E">
        <w:t>politicians</w:t>
      </w:r>
      <w:r w:rsidRPr="001D458E">
        <w:rPr>
          <w:rFonts w:hint="eastAsia"/>
        </w:rPr>
        <w:t xml:space="preserve"> intervened</w:t>
      </w:r>
      <w:r w:rsidRPr="001D458E">
        <w:t xml:space="preserve">, so </w:t>
      </w:r>
      <w:r w:rsidRPr="001D458E">
        <w:rPr>
          <w:rFonts w:hint="eastAsia"/>
        </w:rPr>
        <w:t>changing their role in the regulatory arena:</w:t>
      </w:r>
    </w:p>
    <w:p w14:paraId="4FCE57EF" w14:textId="77777777" w:rsidR="008D0572" w:rsidRPr="001D458E" w:rsidRDefault="008D0572" w:rsidP="008D0572"/>
    <w:p w14:paraId="3A104C42" w14:textId="77777777" w:rsidR="008D0572" w:rsidRPr="001D458E" w:rsidRDefault="008D0572" w:rsidP="008D0572">
      <w:pPr>
        <w:pStyle w:val="Quote"/>
      </w:pPr>
      <w:r w:rsidRPr="001D458E">
        <w:t>…politicians inserted their influence through government permissions and approvals. As deregulation stripped the government of the authority of permissions and approvals, such politicians’</w:t>
      </w:r>
      <w:r w:rsidRPr="001D458E">
        <w:rPr>
          <w:rFonts w:hint="eastAsia"/>
        </w:rPr>
        <w:t xml:space="preserve"> role</w:t>
      </w:r>
      <w:r w:rsidRPr="001D458E">
        <w:t xml:space="preserve"> was forced to change. Therefore, le</w:t>
      </w:r>
      <w:r w:rsidRPr="001D458E">
        <w:rPr>
          <w:rFonts w:hint="eastAsia"/>
        </w:rPr>
        <w:t>aving</w:t>
      </w:r>
      <w:r w:rsidRPr="001D458E">
        <w:t xml:space="preserve"> </w:t>
      </w:r>
      <w:r w:rsidRPr="001D458E">
        <w:rPr>
          <w:rFonts w:hint="eastAsia"/>
        </w:rPr>
        <w:t>aside</w:t>
      </w:r>
      <w:r w:rsidRPr="001D458E">
        <w:t xml:space="preserve"> whether this was good, if specially comment</w:t>
      </w:r>
      <w:r w:rsidR="00F33AD7">
        <w:rPr>
          <w:rFonts w:eastAsia="MS Mincho" w:hint="eastAsia"/>
          <w:lang w:eastAsia="ja-JP"/>
        </w:rPr>
        <w:t>ed</w:t>
      </w:r>
      <w:r w:rsidRPr="001D458E">
        <w:t xml:space="preserve">, </w:t>
      </w:r>
      <w:r w:rsidRPr="001D458E">
        <w:rPr>
          <w:rFonts w:hint="eastAsia"/>
        </w:rPr>
        <w:t>I can</w:t>
      </w:r>
      <w:r w:rsidRPr="001D458E">
        <w:t xml:space="preserve"> say they undermined their own power base.</w:t>
      </w:r>
      <w:r w:rsidRPr="001D458E">
        <w:rPr>
          <w:rFonts w:hint="eastAsia"/>
        </w:rPr>
        <w:t xml:space="preserve"> </w:t>
      </w:r>
      <w:r w:rsidRPr="001D458E">
        <w:t xml:space="preserve">…But I guess formulating </w:t>
      </w:r>
      <w:r w:rsidRPr="001D458E">
        <w:rPr>
          <w:rFonts w:hint="eastAsia"/>
        </w:rPr>
        <w:t>a</w:t>
      </w:r>
      <w:r w:rsidRPr="001D458E">
        <w:t xml:space="preserve"> regulatory framework in response to </w:t>
      </w:r>
      <w:r w:rsidRPr="001D458E">
        <w:rPr>
          <w:rFonts w:hint="eastAsia"/>
        </w:rPr>
        <w:t xml:space="preserve">how effective competition is </w:t>
      </w:r>
      <w:r w:rsidRPr="001D458E">
        <w:t>in the market is very rational, and through such a process politicians’</w:t>
      </w:r>
      <w:r w:rsidRPr="001D458E">
        <w:rPr>
          <w:rFonts w:hint="eastAsia"/>
        </w:rPr>
        <w:t xml:space="preserve"> role</w:t>
      </w:r>
      <w:r w:rsidRPr="001D458E">
        <w:t xml:space="preserve"> has changed. And, this happened under the LDP administration, so this had nothing to do with administration’</w:t>
      </w:r>
      <w:r w:rsidRPr="001D458E">
        <w:rPr>
          <w:rFonts w:hint="eastAsia"/>
        </w:rPr>
        <w:t>s ideology</w:t>
      </w:r>
      <w:r w:rsidRPr="001D458E">
        <w:t>.</w:t>
      </w:r>
      <w:r w:rsidRPr="001D458E">
        <w:rPr>
          <w:rFonts w:hint="eastAsia"/>
        </w:rPr>
        <w:t xml:space="preserve"> </w:t>
      </w:r>
      <w:r w:rsidRPr="001D458E">
        <w:t>(</w:t>
      </w:r>
      <w:r w:rsidR="007634ED">
        <w:t>Interview with</w:t>
      </w:r>
      <w:r w:rsidRPr="001D458E">
        <w:t xml:space="preserve"> a</w:t>
      </w:r>
      <w:r w:rsidR="00F95A80">
        <w:t>n</w:t>
      </w:r>
      <w:r w:rsidRPr="001D458E">
        <w:t xml:space="preserve"> MIC senior civil servant)</w:t>
      </w:r>
    </w:p>
    <w:p w14:paraId="1E4A510D" w14:textId="77777777" w:rsidR="008D0572" w:rsidRPr="001D458E" w:rsidRDefault="008D0572" w:rsidP="008D0572"/>
    <w:p w14:paraId="241427BB" w14:textId="77777777" w:rsidR="008D0572" w:rsidRPr="001D458E" w:rsidRDefault="008D0572" w:rsidP="008D0572">
      <w:r w:rsidRPr="001D458E">
        <w:t xml:space="preserve">This interviewee elaborated </w:t>
      </w:r>
      <w:r w:rsidRPr="001D458E">
        <w:rPr>
          <w:rFonts w:hint="eastAsia"/>
        </w:rPr>
        <w:t xml:space="preserve">further </w:t>
      </w:r>
      <w:r w:rsidRPr="001D458E">
        <w:t xml:space="preserve">the relationship between </w:t>
      </w:r>
      <w:r w:rsidRPr="001D458E">
        <w:rPr>
          <w:rFonts w:hint="eastAsia"/>
        </w:rPr>
        <w:t xml:space="preserve">the change of regulatory approaches </w:t>
      </w:r>
      <w:r w:rsidRPr="001D458E">
        <w:t xml:space="preserve">and </w:t>
      </w:r>
      <w:r w:rsidRPr="001D458E">
        <w:rPr>
          <w:rFonts w:hint="eastAsia"/>
        </w:rPr>
        <w:t>party politicians</w:t>
      </w:r>
      <w:r w:rsidRPr="001D458E">
        <w:t>’</w:t>
      </w:r>
      <w:r w:rsidRPr="001D458E">
        <w:rPr>
          <w:rFonts w:hint="eastAsia"/>
        </w:rPr>
        <w:t xml:space="preserve"> approach to ICT regulation:</w:t>
      </w:r>
    </w:p>
    <w:p w14:paraId="3444F9C4" w14:textId="77777777" w:rsidR="008D0572" w:rsidRPr="001D458E" w:rsidRDefault="008D0572" w:rsidP="008D0572"/>
    <w:p w14:paraId="552E9CF5" w14:textId="77777777" w:rsidR="008D0572" w:rsidRPr="001D458E" w:rsidRDefault="008D0572" w:rsidP="008D0572">
      <w:pPr>
        <w:pStyle w:val="Quote"/>
      </w:pPr>
      <w:r w:rsidRPr="001D458E">
        <w:t>It is very hard for politicians to intervene in and be involved with those such as network interconnection regulation and ex post regulation for consumer protection. Therefore, in such a meaning, politicians’</w:t>
      </w:r>
      <w:r w:rsidRPr="001D458E">
        <w:rPr>
          <w:rFonts w:hint="eastAsia"/>
        </w:rPr>
        <w:t xml:space="preserve"> approaches</w:t>
      </w:r>
      <w:r w:rsidRPr="001D458E">
        <w:t xml:space="preserve"> which I described as ‘politicians didn’t retreat’ became very difficult to be sustained because regulatory approaches changed (from ex ante regulation such as market entry permissions) to new </w:t>
      </w:r>
      <w:r w:rsidRPr="001D458E">
        <w:rPr>
          <w:rFonts w:hint="eastAsia"/>
        </w:rPr>
        <w:t>ones</w:t>
      </w:r>
      <w:r w:rsidRPr="001D458E">
        <w:t xml:space="preserve"> (such as network interconnection regulation and </w:t>
      </w:r>
      <w:r w:rsidRPr="001D458E">
        <w:rPr>
          <w:rFonts w:hint="eastAsia"/>
        </w:rPr>
        <w:t xml:space="preserve">other </w:t>
      </w:r>
      <w:r w:rsidRPr="001D458E">
        <w:t>ex post regulation)</w:t>
      </w:r>
      <w:r w:rsidR="00F745FE">
        <w:rPr>
          <w:rStyle w:val="FootnoteReference"/>
        </w:rPr>
        <w:footnoteReference w:id="54"/>
      </w:r>
      <w:r w:rsidRPr="001D458E">
        <w:t>. (</w:t>
      </w:r>
      <w:r w:rsidR="007634ED">
        <w:t>Interview with</w:t>
      </w:r>
      <w:r w:rsidRPr="001D458E">
        <w:t xml:space="preserve"> a</w:t>
      </w:r>
      <w:r w:rsidR="00F95A80">
        <w:t>n</w:t>
      </w:r>
      <w:r w:rsidRPr="001D458E">
        <w:t xml:space="preserve"> MIC senior civil servant)</w:t>
      </w:r>
    </w:p>
    <w:p w14:paraId="78484B27" w14:textId="77777777" w:rsidR="008D0572" w:rsidRPr="001D458E" w:rsidRDefault="008D0572" w:rsidP="008D0572"/>
    <w:p w14:paraId="08780371" w14:textId="77777777" w:rsidR="008D0572" w:rsidRPr="001D458E" w:rsidRDefault="008D0572" w:rsidP="008D0572">
      <w:r w:rsidRPr="001D458E">
        <w:t xml:space="preserve">This account is supported by a LDP politician, who argued that </w:t>
      </w:r>
      <w:r w:rsidRPr="001D458E">
        <w:rPr>
          <w:rFonts w:hint="eastAsia"/>
        </w:rPr>
        <w:t xml:space="preserve">deregulation and </w:t>
      </w:r>
      <w:r w:rsidRPr="001D458E">
        <w:t>the change of regulat</w:t>
      </w:r>
      <w:r w:rsidRPr="001D458E">
        <w:rPr>
          <w:rFonts w:hint="eastAsia"/>
        </w:rPr>
        <w:t>ory approaches</w:t>
      </w:r>
      <w:r w:rsidRPr="001D458E">
        <w:t xml:space="preserve"> significantly </w:t>
      </w:r>
      <w:r w:rsidRPr="001D458E">
        <w:rPr>
          <w:rFonts w:hint="eastAsia"/>
        </w:rPr>
        <w:t>transformed</w:t>
      </w:r>
      <w:r w:rsidRPr="001D458E">
        <w:t xml:space="preserve"> the role of politicians</w:t>
      </w:r>
      <w:r w:rsidRPr="001D458E">
        <w:rPr>
          <w:rFonts w:hint="eastAsia"/>
        </w:rPr>
        <w:t>. T</w:t>
      </w:r>
      <w:r w:rsidRPr="001D458E">
        <w:t>h</w:t>
      </w:r>
      <w:r w:rsidRPr="001D458E">
        <w:rPr>
          <w:rFonts w:hint="eastAsia"/>
        </w:rPr>
        <w:t>is transformation came with a change of the relative strength within the community of party politicians</w:t>
      </w:r>
      <w:r w:rsidRPr="001D458E">
        <w:t>:</w:t>
      </w:r>
    </w:p>
    <w:p w14:paraId="7F28CBA8" w14:textId="77777777" w:rsidR="008D0572" w:rsidRPr="001D458E" w:rsidRDefault="008D0572" w:rsidP="008D0572"/>
    <w:p w14:paraId="5B19E26B" w14:textId="77777777" w:rsidR="008D0572" w:rsidRPr="001D458E" w:rsidRDefault="008D0572" w:rsidP="008D0572">
      <w:pPr>
        <w:pStyle w:val="Quote"/>
      </w:pPr>
      <w:r w:rsidRPr="001D458E">
        <w:rPr>
          <w:rFonts w:hint="eastAsia"/>
        </w:rPr>
        <w:t>T</w:t>
      </w:r>
      <w:r w:rsidRPr="001D458E">
        <w:t xml:space="preserve">raditionally, </w:t>
      </w:r>
      <w:r w:rsidRPr="001D458E">
        <w:rPr>
          <w:i/>
        </w:rPr>
        <w:t>Yusei-Zoku</w:t>
      </w:r>
      <w:r w:rsidRPr="001D458E">
        <w:t>, which was a part of the Tanaka</w:t>
      </w:r>
      <w:r w:rsidRPr="001D458E">
        <w:rPr>
          <w:rFonts w:hint="eastAsia"/>
        </w:rPr>
        <w:t>-</w:t>
      </w:r>
      <w:r w:rsidRPr="001D458E">
        <w:t>Takeshita faction</w:t>
      </w:r>
      <w:r w:rsidRPr="001D458E">
        <w:rPr>
          <w:rStyle w:val="FootnoteReference"/>
          <w:rFonts w:eastAsiaTheme="majorEastAsia"/>
        </w:rPr>
        <w:footnoteReference w:id="55"/>
      </w:r>
      <w:r w:rsidRPr="001D458E">
        <w:t xml:space="preserve">, </w:t>
      </w:r>
      <w:r w:rsidRPr="001D458E">
        <w:rPr>
          <w:rFonts w:hint="eastAsia"/>
        </w:rPr>
        <w:t xml:space="preserve">had power </w:t>
      </w:r>
      <w:r w:rsidRPr="001D458E">
        <w:t xml:space="preserve">and it is true that those people had a significant influence over the decision making of ICT policies. This situation continued until the juncture </w:t>
      </w:r>
      <w:r w:rsidRPr="001D458E">
        <w:rPr>
          <w:rFonts w:hint="eastAsia"/>
        </w:rPr>
        <w:t xml:space="preserve">period </w:t>
      </w:r>
      <w:r w:rsidRPr="001D458E">
        <w:t xml:space="preserve">from telephony to the Internet, but gradually, this policy making mechanism, in which </w:t>
      </w:r>
      <w:r w:rsidRPr="001D458E">
        <w:rPr>
          <w:i/>
        </w:rPr>
        <w:t>Zoku Gi’in</w:t>
      </w:r>
      <w:r w:rsidRPr="001D458E">
        <w:t xml:space="preserve"> decided policies, </w:t>
      </w:r>
      <w:r w:rsidRPr="001D458E">
        <w:rPr>
          <w:rFonts w:hint="eastAsia"/>
        </w:rPr>
        <w:t>changed</w:t>
      </w:r>
      <w:r w:rsidRPr="001D458E">
        <w:t xml:space="preserve"> to another one in which operators negotiate with each other and the ministry plays a role as a referee, as networks have become more open. And, naturally regulation has been relaxed, and politicians and laws </w:t>
      </w:r>
      <w:r w:rsidRPr="001D458E">
        <w:rPr>
          <w:rFonts w:hint="eastAsia"/>
        </w:rPr>
        <w:t>have</w:t>
      </w:r>
      <w:r w:rsidRPr="001D458E">
        <w:t xml:space="preserve"> fewer places to be involved. (</w:t>
      </w:r>
      <w:r w:rsidR="007634ED">
        <w:t>Interview with</w:t>
      </w:r>
      <w:r w:rsidRPr="001D458E">
        <w:t xml:space="preserve"> a member of the House of Councillors (LDP))</w:t>
      </w:r>
    </w:p>
    <w:p w14:paraId="0B0FFC6A" w14:textId="77777777" w:rsidR="008D0572" w:rsidRPr="001D458E" w:rsidRDefault="008D0572" w:rsidP="008D0572"/>
    <w:p w14:paraId="7F53244E" w14:textId="30F7CFED" w:rsidR="008D0572" w:rsidRPr="001D458E" w:rsidRDefault="008D0572" w:rsidP="008D0572">
      <w:r w:rsidRPr="001D458E">
        <w:rPr>
          <w:rFonts w:hint="eastAsia"/>
        </w:rPr>
        <w:t xml:space="preserve">If one reviews the above accounts, what emerges is how </w:t>
      </w:r>
      <w:r w:rsidR="00344EDF">
        <w:t xml:space="preserve">the </w:t>
      </w:r>
      <w:r w:rsidRPr="001D458E">
        <w:rPr>
          <w:rFonts w:hint="eastAsia"/>
        </w:rPr>
        <w:t>state</w:t>
      </w:r>
      <w:r w:rsidRPr="001D458E">
        <w:t>’</w:t>
      </w:r>
      <w:r w:rsidRPr="001D458E">
        <w:rPr>
          <w:rFonts w:hint="eastAsia"/>
        </w:rPr>
        <w:t xml:space="preserve">s regulatory mode changed. </w:t>
      </w:r>
      <w:r w:rsidR="00295E82">
        <w:t>The</w:t>
      </w:r>
      <w:r w:rsidR="00344EDF">
        <w:t xml:space="preserve"> i</w:t>
      </w:r>
      <w:r w:rsidRPr="001D458E">
        <w:rPr>
          <w:rFonts w:hint="eastAsia"/>
        </w:rPr>
        <w:t xml:space="preserve">nitial approach of the state was an ex ante </w:t>
      </w:r>
      <w:r w:rsidR="00344EDF" w:rsidRPr="001D458E">
        <w:rPr>
          <w:rFonts w:hint="eastAsia"/>
        </w:rPr>
        <w:t>regulat</w:t>
      </w:r>
      <w:r w:rsidR="00344EDF">
        <w:t>or</w:t>
      </w:r>
      <w:r w:rsidR="00344EDF" w:rsidRPr="001D458E">
        <w:rPr>
          <w:rFonts w:hint="eastAsia"/>
        </w:rPr>
        <w:t xml:space="preserve"> </w:t>
      </w:r>
      <w:r w:rsidRPr="001D458E">
        <w:rPr>
          <w:rFonts w:hint="eastAsia"/>
        </w:rPr>
        <w:t>whose major tools included</w:t>
      </w:r>
      <w:r w:rsidRPr="001D458E">
        <w:t xml:space="preserve"> </w:t>
      </w:r>
      <w:r w:rsidRPr="001D458E">
        <w:rPr>
          <w:rFonts w:hint="eastAsia"/>
        </w:rPr>
        <w:t xml:space="preserve">market entry permissions and tariff approvals. </w:t>
      </w:r>
      <w:r w:rsidRPr="001D458E">
        <w:t>T</w:t>
      </w:r>
      <w:r w:rsidRPr="001D458E">
        <w:rPr>
          <w:rFonts w:hint="eastAsia"/>
        </w:rPr>
        <w:t xml:space="preserve">his approach was mobilised with the idea that competition needed to be introduced in the market. Politicians significantly intervened in the process of ex ante regulation. The </w:t>
      </w:r>
      <w:r w:rsidRPr="001D458E">
        <w:t>interviews</w:t>
      </w:r>
      <w:r w:rsidRPr="001D458E">
        <w:rPr>
          <w:rFonts w:hint="eastAsia"/>
        </w:rPr>
        <w:t xml:space="preserve"> also </w:t>
      </w:r>
      <w:r w:rsidRPr="001D458E">
        <w:t xml:space="preserve">highlighted </w:t>
      </w:r>
      <w:r w:rsidRPr="001D458E">
        <w:rPr>
          <w:rFonts w:hint="eastAsia"/>
        </w:rPr>
        <w:t>a change to this ex post oriented regulatory mode. T</w:t>
      </w:r>
      <w:r w:rsidRPr="001D458E">
        <w:t>h</w:t>
      </w:r>
      <w:r w:rsidRPr="001D458E">
        <w:rPr>
          <w:rFonts w:hint="eastAsia"/>
        </w:rPr>
        <w:t xml:space="preserve">is change was explicitly recognised by a senior MIC official in the Diet: </w:t>
      </w:r>
      <w:r w:rsidRPr="001D458E">
        <w:t>‘</w:t>
      </w:r>
      <w:r w:rsidRPr="001D458E">
        <w:rPr>
          <w:rFonts w:hint="eastAsia"/>
        </w:rPr>
        <w:t>...the newly introduced framework will facilitate competition and allow new competitive entrants to enter the market; and it is basically ex post oriented</w:t>
      </w:r>
      <w:r w:rsidRPr="001D458E">
        <w:t>’</w:t>
      </w:r>
      <w:r w:rsidRPr="001D458E">
        <w:rPr>
          <w:rFonts w:hint="eastAsia"/>
        </w:rPr>
        <w:t xml:space="preserve"> (T</w:t>
      </w:r>
      <w:r w:rsidRPr="001D458E">
        <w:t>h</w:t>
      </w:r>
      <w:r w:rsidRPr="001D458E">
        <w:rPr>
          <w:rFonts w:hint="eastAsia"/>
        </w:rPr>
        <w:t xml:space="preserve">e House of Councillors 2003). </w:t>
      </w:r>
      <w:r w:rsidR="00344EDF">
        <w:t>An e</w:t>
      </w:r>
      <w:r w:rsidRPr="001D458E">
        <w:rPr>
          <w:rFonts w:hint="eastAsia"/>
        </w:rPr>
        <w:t xml:space="preserve">merging new mode based on ex post regulation rendered the MPT to act as a </w:t>
      </w:r>
      <w:r w:rsidRPr="001D458E">
        <w:t xml:space="preserve">referee to disputes between operators rather than </w:t>
      </w:r>
      <w:r w:rsidR="00F95A80">
        <w:t xml:space="preserve">an </w:t>
      </w:r>
      <w:r w:rsidRPr="001D458E">
        <w:t>ICT sector strategist</w:t>
      </w:r>
      <w:r w:rsidRPr="001D458E">
        <w:rPr>
          <w:rFonts w:hint="eastAsia"/>
        </w:rPr>
        <w:t xml:space="preserve">. Another factor emerging from the interviews is </w:t>
      </w:r>
      <w:r w:rsidRPr="001D458E">
        <w:t xml:space="preserve">the decline of the power of </w:t>
      </w:r>
      <w:r w:rsidRPr="001D458E">
        <w:rPr>
          <w:rFonts w:hint="eastAsia"/>
        </w:rPr>
        <w:t xml:space="preserve">party politicians outside the </w:t>
      </w:r>
      <w:r w:rsidRPr="001D458E">
        <w:t>Cabinet</w:t>
      </w:r>
      <w:r w:rsidRPr="001D458E">
        <w:rPr>
          <w:rFonts w:hint="eastAsia"/>
        </w:rPr>
        <w:t xml:space="preserve"> and </w:t>
      </w:r>
      <w:r w:rsidRPr="001D458E">
        <w:t xml:space="preserve">the rise of the power of </w:t>
      </w:r>
      <w:r w:rsidRPr="001D458E">
        <w:rPr>
          <w:rFonts w:hint="eastAsia"/>
        </w:rPr>
        <w:t xml:space="preserve">Cabinet Ministers including </w:t>
      </w:r>
      <w:r w:rsidR="00344EDF">
        <w:t xml:space="preserve">the </w:t>
      </w:r>
      <w:r w:rsidRPr="001D458E">
        <w:t xml:space="preserve">Prime Minister. This </w:t>
      </w:r>
      <w:r w:rsidRPr="001D458E">
        <w:rPr>
          <w:rFonts w:hint="eastAsia"/>
        </w:rPr>
        <w:t xml:space="preserve">changed </w:t>
      </w:r>
      <w:r w:rsidRPr="001D458E">
        <w:t xml:space="preserve">the relative strength between </w:t>
      </w:r>
      <w:r w:rsidRPr="001D458E">
        <w:rPr>
          <w:rFonts w:hint="eastAsia"/>
        </w:rPr>
        <w:t xml:space="preserve">Cabinet Ministers </w:t>
      </w:r>
      <w:r w:rsidRPr="001D458E">
        <w:t>and those outside the Cabinet</w:t>
      </w:r>
      <w:r w:rsidRPr="001D458E">
        <w:rPr>
          <w:rFonts w:hint="eastAsia"/>
        </w:rPr>
        <w:t xml:space="preserve"> in favour of the former:</w:t>
      </w:r>
    </w:p>
    <w:p w14:paraId="33A4AE36" w14:textId="77777777" w:rsidR="008D0572" w:rsidRPr="001D458E" w:rsidRDefault="008D0572" w:rsidP="008D0572"/>
    <w:p w14:paraId="4FBC1A6B" w14:textId="2AFFCF8C" w:rsidR="008D0572" w:rsidRPr="00B267F8" w:rsidRDefault="00AD37B5" w:rsidP="00B267F8">
      <w:pPr>
        <w:pStyle w:val="Quote"/>
      </w:pPr>
      <w:r w:rsidRPr="00AD37B5">
        <w:t>T</w:t>
      </w:r>
      <w:r w:rsidR="008D0572" w:rsidRPr="00AD37B5">
        <w:t xml:space="preserve">he </w:t>
      </w:r>
      <w:r w:rsidR="008D0572" w:rsidRPr="00AD37B5">
        <w:rPr>
          <w:rFonts w:hint="eastAsia"/>
        </w:rPr>
        <w:t xml:space="preserve">post office </w:t>
      </w:r>
      <w:r w:rsidR="008D0572" w:rsidRPr="00B267F8">
        <w:t xml:space="preserve">privatisation </w:t>
      </w:r>
      <w:r w:rsidR="008D0572" w:rsidRPr="00B267F8">
        <w:rPr>
          <w:rFonts w:hint="eastAsia"/>
        </w:rPr>
        <w:t>wiped out</w:t>
      </w:r>
      <w:r w:rsidR="008D0572" w:rsidRPr="00B267F8">
        <w:t xml:space="preserve"> </w:t>
      </w:r>
      <w:r w:rsidR="008D0572" w:rsidRPr="002E066F">
        <w:rPr>
          <w:i/>
          <w:iCs w:val="0"/>
        </w:rPr>
        <w:t>Yusei-Zoku</w:t>
      </w:r>
      <w:r w:rsidR="008D0572" w:rsidRPr="00AD37B5">
        <w:t xml:space="preserve"> in the LDP, or </w:t>
      </w:r>
      <w:r w:rsidR="008D0572" w:rsidRPr="00AD37B5">
        <w:rPr>
          <w:rFonts w:hint="eastAsia"/>
        </w:rPr>
        <w:t>diminished their</w:t>
      </w:r>
      <w:r w:rsidR="008D0572" w:rsidRPr="00AD37B5">
        <w:t xml:space="preserve"> power </w:t>
      </w:r>
      <w:r w:rsidR="008D0572" w:rsidRPr="00B267F8">
        <w:rPr>
          <w:rFonts w:hint="eastAsia"/>
        </w:rPr>
        <w:t>with</w:t>
      </w:r>
      <w:r w:rsidR="008D0572" w:rsidRPr="00B267F8">
        <w:t xml:space="preserve">in the LDP </w:t>
      </w:r>
      <w:r w:rsidR="008D0572" w:rsidRPr="00B267F8">
        <w:rPr>
          <w:rFonts w:hint="eastAsia"/>
        </w:rPr>
        <w:t>through</w:t>
      </w:r>
      <w:r w:rsidR="008D0572" w:rsidRPr="00B267F8">
        <w:t xml:space="preserve"> </w:t>
      </w:r>
      <w:r w:rsidR="008D0572" w:rsidRPr="00B267F8">
        <w:rPr>
          <w:rFonts w:hint="eastAsia"/>
        </w:rPr>
        <w:t>its</w:t>
      </w:r>
      <w:r w:rsidR="008D0572" w:rsidRPr="00B267F8">
        <w:t xml:space="preserve"> process. In concrete terms, Mr Nonaka (a significant </w:t>
      </w:r>
      <w:r w:rsidR="00F77E54" w:rsidRPr="005B18BE">
        <w:rPr>
          <w:i/>
          <w:iCs w:val="0"/>
        </w:rPr>
        <w:t>Yusei-Zoku</w:t>
      </w:r>
      <w:r w:rsidR="00B267F8">
        <w:t xml:space="preserve"> member</w:t>
      </w:r>
      <w:r w:rsidR="008D0572" w:rsidRPr="00AD37B5">
        <w:t xml:space="preserve"> in the 1990s and early 2000s) retired</w:t>
      </w:r>
      <w:r w:rsidR="008D0572" w:rsidRPr="00AD37B5">
        <w:rPr>
          <w:rFonts w:hint="eastAsia"/>
        </w:rPr>
        <w:t>,</w:t>
      </w:r>
      <w:r w:rsidR="008D0572" w:rsidRPr="00AD37B5">
        <w:t xml:space="preserve"> most of the people (LDP politicians) who co-ordinated regulatory policies with the MPT lost the election, or left the LDP even if they carried it. I</w:t>
      </w:r>
      <w:r w:rsidR="008D0572" w:rsidRPr="00B267F8">
        <w:t>n such a situation politicians’</w:t>
      </w:r>
      <w:r w:rsidR="008D0572" w:rsidRPr="00B267F8">
        <w:rPr>
          <w:rFonts w:hint="eastAsia"/>
        </w:rPr>
        <w:t xml:space="preserve"> power</w:t>
      </w:r>
      <w:r w:rsidR="008D0572" w:rsidRPr="00B267F8">
        <w:t xml:space="preserve"> in ICT regulation significantly declined. (</w:t>
      </w:r>
      <w:r w:rsidR="007634ED" w:rsidRPr="00B267F8">
        <w:t>Interview with</w:t>
      </w:r>
      <w:r w:rsidR="008D0572" w:rsidRPr="00B267F8">
        <w:t xml:space="preserve"> a member of the House of Councillors (LDP))</w:t>
      </w:r>
    </w:p>
    <w:p w14:paraId="7E4E5BAD" w14:textId="77777777" w:rsidR="008D0572" w:rsidRPr="001D458E" w:rsidRDefault="008D0572" w:rsidP="008D0572"/>
    <w:p w14:paraId="1F1FEFC4" w14:textId="77777777" w:rsidR="008D0572" w:rsidRPr="001D458E" w:rsidRDefault="008D0572" w:rsidP="008D0572">
      <w:r w:rsidRPr="001D458E">
        <w:t xml:space="preserve">The impact of this turmoil </w:t>
      </w:r>
      <w:r w:rsidRPr="001D458E">
        <w:rPr>
          <w:rFonts w:hint="eastAsia"/>
        </w:rPr>
        <w:t>with</w:t>
      </w:r>
      <w:r w:rsidRPr="001D458E">
        <w:t xml:space="preserve">in the LDP was also witnessed by another LDP politician, who </w:t>
      </w:r>
      <w:r w:rsidRPr="001D458E">
        <w:rPr>
          <w:rFonts w:hint="eastAsia"/>
        </w:rPr>
        <w:t xml:space="preserve">was close to </w:t>
      </w:r>
      <w:r w:rsidRPr="001D458E">
        <w:t>the MPT and left the LDP in the process of post office privatisation:</w:t>
      </w:r>
    </w:p>
    <w:p w14:paraId="273DE5AE" w14:textId="77777777" w:rsidR="008D0572" w:rsidRPr="001D458E" w:rsidRDefault="008D0572" w:rsidP="008D0572"/>
    <w:p w14:paraId="0CA115E3" w14:textId="77777777" w:rsidR="008D0572" w:rsidRPr="001D458E" w:rsidRDefault="008D0572" w:rsidP="008D0572">
      <w:pPr>
        <w:pStyle w:val="Quote"/>
      </w:pPr>
      <w:r w:rsidRPr="001D458E">
        <w:t xml:space="preserve">About </w:t>
      </w:r>
      <w:r w:rsidRPr="001D458E">
        <w:rPr>
          <w:i/>
        </w:rPr>
        <w:t>Kantei</w:t>
      </w:r>
      <w:r w:rsidRPr="001D458E">
        <w:t xml:space="preserve"> (Prime Minister and his staff), it was</w:t>
      </w:r>
      <w:r w:rsidRPr="001D458E">
        <w:rPr>
          <w:rFonts w:hint="eastAsia"/>
        </w:rPr>
        <w:t>n</w:t>
      </w:r>
      <w:r w:rsidRPr="001D458E">
        <w:t>’</w:t>
      </w:r>
      <w:r w:rsidRPr="001D458E">
        <w:rPr>
          <w:rFonts w:hint="eastAsia"/>
        </w:rPr>
        <w:t>t</w:t>
      </w:r>
      <w:r w:rsidRPr="001D458E">
        <w:t xml:space="preserve"> Mr Koizumi but Mr Takenaka</w:t>
      </w:r>
      <w:r w:rsidRPr="001D458E">
        <w:rPr>
          <w:rStyle w:val="FootnoteReference"/>
          <w:rFonts w:eastAsiaTheme="majorEastAsia"/>
        </w:rPr>
        <w:footnoteReference w:id="56"/>
      </w:r>
      <w:r w:rsidRPr="001D458E">
        <w:t xml:space="preserve"> (Minister of State for Economic and Fiscal Policy of the day). His open policy or liberalisation policy confronted us…after his lead in the Council of Economic and Fiscal Policy</w:t>
      </w:r>
      <w:r w:rsidRPr="001D458E">
        <w:rPr>
          <w:rStyle w:val="FootnoteReference"/>
          <w:rFonts w:eastAsiaTheme="majorEastAsia"/>
        </w:rPr>
        <w:footnoteReference w:id="57"/>
      </w:r>
      <w:r w:rsidRPr="001D458E">
        <w:t>, the government and the party (LDP members outside the Cabinet) frequently conflict</w:t>
      </w:r>
      <w:r w:rsidRPr="001D458E">
        <w:rPr>
          <w:rFonts w:hint="eastAsia"/>
        </w:rPr>
        <w:t>ed</w:t>
      </w:r>
      <w:r w:rsidRPr="001D458E">
        <w:t>…at that time, Mr Nonaka resigned after a big fight with Mr Koizumi. After that, there was the turmoil of the post office (the post office</w:t>
      </w:r>
      <w:r w:rsidRPr="001D458E">
        <w:rPr>
          <w:rFonts w:hint="eastAsia"/>
        </w:rPr>
        <w:t xml:space="preserve"> privatisation</w:t>
      </w:r>
      <w:r w:rsidRPr="001D458E">
        <w:t xml:space="preserve"> in 2005). And, those specialised in ICT like me</w:t>
      </w:r>
      <w:r w:rsidRPr="001D458E">
        <w:rPr>
          <w:rFonts w:hint="eastAsia"/>
        </w:rPr>
        <w:t>,</w:t>
      </w:r>
      <w:r w:rsidRPr="001D458E">
        <w:t xml:space="preserve"> Mr Furuya</w:t>
      </w:r>
      <w:r w:rsidRPr="001D458E">
        <w:rPr>
          <w:rFonts w:hint="eastAsia"/>
        </w:rPr>
        <w:t>,</w:t>
      </w:r>
      <w:r w:rsidRPr="001D458E">
        <w:t xml:space="preserve"> and Ms Seiko Noda were kicked out. After that, </w:t>
      </w:r>
      <w:r w:rsidR="00BD72D7">
        <w:t xml:space="preserve">the </w:t>
      </w:r>
      <w:r w:rsidRPr="001D458E">
        <w:t xml:space="preserve">remaining Mr Kawasaki and Mr Ben Satoh needed </w:t>
      </w:r>
      <w:r w:rsidRPr="001D458E">
        <w:rPr>
          <w:rFonts w:hint="eastAsia"/>
        </w:rPr>
        <w:t>huge</w:t>
      </w:r>
      <w:r w:rsidRPr="001D458E">
        <w:t xml:space="preserve"> efforts (to cope with the situation)…So </w:t>
      </w:r>
      <w:r w:rsidR="00F33AD7">
        <w:rPr>
          <w:rFonts w:eastAsia="MS Mincho" w:hint="eastAsia"/>
          <w:lang w:eastAsia="ja-JP"/>
        </w:rPr>
        <w:t xml:space="preserve">the </w:t>
      </w:r>
      <w:r w:rsidRPr="001D458E">
        <w:t>party’</w:t>
      </w:r>
      <w:r w:rsidRPr="001D458E">
        <w:rPr>
          <w:rFonts w:hint="eastAsia"/>
        </w:rPr>
        <w:t>s</w:t>
      </w:r>
      <w:r w:rsidRPr="001D458E">
        <w:t xml:space="preserve"> (LDP politicians outside the Cabinet) </w:t>
      </w:r>
      <w:r w:rsidRPr="001D458E">
        <w:rPr>
          <w:rFonts w:hint="eastAsia"/>
        </w:rPr>
        <w:t xml:space="preserve">power </w:t>
      </w:r>
      <w:r w:rsidRPr="001D458E">
        <w:t xml:space="preserve">quickly </w:t>
      </w:r>
      <w:r w:rsidRPr="001D458E">
        <w:rPr>
          <w:rFonts w:hint="eastAsia"/>
        </w:rPr>
        <w:t>waned</w:t>
      </w:r>
      <w:r w:rsidRPr="001D458E">
        <w:t xml:space="preserve"> and regulatory issues were dealt with under Mr Takenaka’s leadership. (</w:t>
      </w:r>
      <w:r w:rsidR="007634ED">
        <w:t>Interview with</w:t>
      </w:r>
      <w:r w:rsidRPr="001D458E">
        <w:t xml:space="preserve"> a member of the House of Representative (LDP))</w:t>
      </w:r>
    </w:p>
    <w:p w14:paraId="1AD1587E" w14:textId="77777777" w:rsidR="008D0572" w:rsidRPr="001D458E" w:rsidRDefault="008D0572" w:rsidP="008D0572"/>
    <w:p w14:paraId="6C3CA7FF" w14:textId="32C9E768" w:rsidR="008D0572" w:rsidRPr="001D458E" w:rsidRDefault="008D0572" w:rsidP="00BA3089">
      <w:r w:rsidRPr="001D458E">
        <w:t>The change of the power relationship between the Cabinet Ministers including Prime Ministers and politicians outside the Cabinet is also noted by a retired MIC senior civil servant in the following:</w:t>
      </w:r>
      <w:r w:rsidRPr="001D458E">
        <w:rPr>
          <w:rFonts w:hint="eastAsia"/>
        </w:rPr>
        <w:t xml:space="preserve"> </w:t>
      </w:r>
      <w:r w:rsidRPr="001D458E">
        <w:t>‘(</w:t>
      </w:r>
      <w:r w:rsidR="00F33AD7">
        <w:rPr>
          <w:rFonts w:eastAsia="MS Mincho" w:hint="eastAsia"/>
          <w:lang w:eastAsia="ja-JP"/>
        </w:rPr>
        <w:t xml:space="preserve">the </w:t>
      </w:r>
      <w:r w:rsidRPr="001D458E">
        <w:t xml:space="preserve">LDP’s policy councils </w:t>
      </w:r>
      <w:r w:rsidR="00BA3089">
        <w:t>such as the PARC</w:t>
      </w:r>
      <w:r w:rsidRPr="001D458E">
        <w:t>) became weaker after Koizumi. Became weak and, that’s it (Nobody has taken over.).</w:t>
      </w:r>
      <w:r w:rsidR="00FB283B">
        <w:rPr>
          <w:lang w:eastAsia="ja-JP"/>
        </w:rPr>
        <w:t>’</w:t>
      </w:r>
    </w:p>
    <w:p w14:paraId="6E05D3C0" w14:textId="77777777" w:rsidR="008D0572" w:rsidRPr="001D458E" w:rsidRDefault="008D0572" w:rsidP="008D0572">
      <w:pPr>
        <w:ind w:firstLine="284"/>
      </w:pPr>
      <w:r w:rsidRPr="001D458E">
        <w:t xml:space="preserve">The government change from the LDP to the DPJ in 2009 </w:t>
      </w:r>
      <w:r w:rsidRPr="001D458E">
        <w:rPr>
          <w:rFonts w:hint="eastAsia"/>
        </w:rPr>
        <w:t xml:space="preserve">also </w:t>
      </w:r>
      <w:r w:rsidRPr="001D458E">
        <w:t xml:space="preserve">had an impact on the relationship between party politicians and </w:t>
      </w:r>
      <w:r w:rsidRPr="001D458E">
        <w:rPr>
          <w:rFonts w:hint="eastAsia"/>
        </w:rPr>
        <w:t>civil servants</w:t>
      </w:r>
      <w:r w:rsidRPr="001D458E">
        <w:t xml:space="preserve">, </w:t>
      </w:r>
      <w:r w:rsidRPr="001D458E">
        <w:rPr>
          <w:rFonts w:hint="eastAsia"/>
        </w:rPr>
        <w:t>although</w:t>
      </w:r>
      <w:r w:rsidRPr="001D458E">
        <w:t xml:space="preserve"> its significance is </w:t>
      </w:r>
      <w:r w:rsidRPr="001D458E">
        <w:rPr>
          <w:rFonts w:hint="eastAsia"/>
        </w:rPr>
        <w:t>contested</w:t>
      </w:r>
      <w:r w:rsidRPr="001D458E">
        <w:t xml:space="preserve">. </w:t>
      </w:r>
      <w:r w:rsidRPr="001D458E">
        <w:rPr>
          <w:rFonts w:hint="eastAsia"/>
        </w:rPr>
        <w:t xml:space="preserve">The </w:t>
      </w:r>
      <w:r w:rsidRPr="001D458E">
        <w:t xml:space="preserve">highlighted </w:t>
      </w:r>
      <w:r w:rsidR="00822860">
        <w:rPr>
          <w:rFonts w:hint="eastAsia"/>
          <w:lang w:eastAsia="ja-JP"/>
        </w:rPr>
        <w:t xml:space="preserve">points </w:t>
      </w:r>
      <w:r w:rsidR="009F61C1">
        <w:rPr>
          <w:rFonts w:hint="eastAsia"/>
          <w:lang w:eastAsia="ja-JP"/>
        </w:rPr>
        <w:t>on the DPJ</w:t>
      </w:r>
      <w:r w:rsidRPr="001D458E">
        <w:rPr>
          <w:rFonts w:hint="eastAsia"/>
        </w:rPr>
        <w:t xml:space="preserve"> were:</w:t>
      </w:r>
    </w:p>
    <w:p w14:paraId="70995F2A" w14:textId="77777777" w:rsidR="008D0572" w:rsidRPr="001D458E" w:rsidRDefault="00F33AD7" w:rsidP="001B6C05">
      <w:pPr>
        <w:pStyle w:val="ListParagraph"/>
        <w:numPr>
          <w:ilvl w:val="0"/>
          <w:numId w:val="41"/>
        </w:numPr>
        <w:ind w:left="284" w:hanging="284"/>
        <w:rPr>
          <w:szCs w:val="24"/>
        </w:rPr>
      </w:pPr>
      <w:r>
        <w:rPr>
          <w:rFonts w:eastAsia="MS Mincho" w:hint="eastAsia"/>
          <w:szCs w:val="24"/>
        </w:rPr>
        <w:t>t</w:t>
      </w:r>
      <w:r w:rsidR="008D0572" w:rsidRPr="001D458E">
        <w:rPr>
          <w:rFonts w:hint="eastAsia"/>
          <w:szCs w:val="24"/>
        </w:rPr>
        <w:t xml:space="preserve">he lack of key party politicians: </w:t>
      </w:r>
      <w:r w:rsidR="008D0572" w:rsidRPr="001D458E">
        <w:rPr>
          <w:szCs w:val="24"/>
        </w:rPr>
        <w:t>t</w:t>
      </w:r>
      <w:r w:rsidR="008D0572" w:rsidRPr="001D458E">
        <w:rPr>
          <w:rFonts w:hint="eastAsia"/>
          <w:szCs w:val="24"/>
        </w:rPr>
        <w:t xml:space="preserve">he DPJ </w:t>
      </w:r>
      <w:r w:rsidR="008D0572" w:rsidRPr="001D458E">
        <w:rPr>
          <w:szCs w:val="24"/>
        </w:rPr>
        <w:t>d</w:t>
      </w:r>
      <w:r w:rsidR="00C36FD7">
        <w:rPr>
          <w:rFonts w:hint="eastAsia"/>
          <w:szCs w:val="24"/>
        </w:rPr>
        <w:t>id</w:t>
      </w:r>
      <w:r w:rsidR="008D0572" w:rsidRPr="001D458E">
        <w:rPr>
          <w:rFonts w:hint="eastAsia"/>
          <w:szCs w:val="24"/>
        </w:rPr>
        <w:t xml:space="preserve"> not have key figures </w:t>
      </w:r>
      <w:r w:rsidR="008D0572" w:rsidRPr="001D458E">
        <w:rPr>
          <w:szCs w:val="24"/>
        </w:rPr>
        <w:t>that</w:t>
      </w:r>
      <w:r w:rsidR="008D0572" w:rsidRPr="001D458E">
        <w:rPr>
          <w:rFonts w:hint="eastAsia"/>
          <w:szCs w:val="24"/>
        </w:rPr>
        <w:t xml:space="preserve"> have significant expertise and influence over the sector. </w:t>
      </w:r>
      <w:r w:rsidR="008D0572" w:rsidRPr="001D458E">
        <w:rPr>
          <w:szCs w:val="24"/>
        </w:rPr>
        <w:t>M</w:t>
      </w:r>
      <w:r w:rsidR="008D0572" w:rsidRPr="001D458E">
        <w:rPr>
          <w:rFonts w:hint="eastAsia"/>
          <w:szCs w:val="24"/>
        </w:rPr>
        <w:t xml:space="preserve">any of its powerful politicians </w:t>
      </w:r>
      <w:r w:rsidR="00C36FD7">
        <w:rPr>
          <w:rFonts w:hint="eastAsia"/>
          <w:szCs w:val="24"/>
        </w:rPr>
        <w:t>were</w:t>
      </w:r>
      <w:r w:rsidR="008D0572" w:rsidRPr="001D458E">
        <w:rPr>
          <w:rFonts w:hint="eastAsia"/>
          <w:szCs w:val="24"/>
        </w:rPr>
        <w:t xml:space="preserve"> in the Cabinet. </w:t>
      </w:r>
      <w:r w:rsidR="008D0572" w:rsidRPr="001D458E">
        <w:rPr>
          <w:szCs w:val="24"/>
        </w:rPr>
        <w:t>Because of th</w:t>
      </w:r>
      <w:r w:rsidR="008D0572" w:rsidRPr="001D458E">
        <w:rPr>
          <w:rFonts w:hint="eastAsia"/>
          <w:szCs w:val="24"/>
        </w:rPr>
        <w:t xml:space="preserve">is Cabinet Ministers </w:t>
      </w:r>
      <w:r w:rsidR="008D0572" w:rsidRPr="001D458E">
        <w:rPr>
          <w:szCs w:val="24"/>
        </w:rPr>
        <w:t xml:space="preserve">under the DPJ government </w:t>
      </w:r>
      <w:r w:rsidR="00344EDF">
        <w:rPr>
          <w:szCs w:val="24"/>
        </w:rPr>
        <w:t xml:space="preserve">were </w:t>
      </w:r>
      <w:r w:rsidR="00FB283B">
        <w:rPr>
          <w:szCs w:val="24"/>
        </w:rPr>
        <w:t>increasingly</w:t>
      </w:r>
      <w:r w:rsidR="00344EDF">
        <w:rPr>
          <w:szCs w:val="24"/>
        </w:rPr>
        <w:t xml:space="preserve"> </w:t>
      </w:r>
      <w:r w:rsidR="00FB283B">
        <w:rPr>
          <w:szCs w:val="24"/>
        </w:rPr>
        <w:t>empowered</w:t>
      </w:r>
      <w:r w:rsidR="008D0572" w:rsidRPr="001D458E">
        <w:rPr>
          <w:szCs w:val="24"/>
        </w:rPr>
        <w:t>.</w:t>
      </w:r>
    </w:p>
    <w:p w14:paraId="46E4B62F" w14:textId="77777777" w:rsidR="008D0572" w:rsidRPr="001D458E" w:rsidRDefault="008D0572" w:rsidP="001B6C05">
      <w:pPr>
        <w:pStyle w:val="ListParagraph"/>
        <w:numPr>
          <w:ilvl w:val="0"/>
          <w:numId w:val="41"/>
        </w:numPr>
        <w:ind w:left="284" w:hanging="284"/>
        <w:rPr>
          <w:szCs w:val="24"/>
        </w:rPr>
      </w:pPr>
      <w:r w:rsidRPr="001D458E">
        <w:rPr>
          <w:rFonts w:hint="eastAsia"/>
          <w:szCs w:val="24"/>
        </w:rPr>
        <w:t>Cabinet Minister</w:t>
      </w:r>
      <w:r w:rsidRPr="001D458E">
        <w:rPr>
          <w:szCs w:val="24"/>
        </w:rPr>
        <w:t>’</w:t>
      </w:r>
      <w:r w:rsidR="00BD72D7">
        <w:rPr>
          <w:szCs w:val="24"/>
        </w:rPr>
        <w:t>s</w:t>
      </w:r>
      <w:r w:rsidRPr="001D458E">
        <w:rPr>
          <w:rFonts w:hint="eastAsia"/>
          <w:szCs w:val="24"/>
        </w:rPr>
        <w:t xml:space="preserve"> short tenure: </w:t>
      </w:r>
      <w:r w:rsidRPr="001D458E">
        <w:rPr>
          <w:szCs w:val="24"/>
        </w:rPr>
        <w:t>li</w:t>
      </w:r>
      <w:r w:rsidRPr="001D458E">
        <w:rPr>
          <w:rFonts w:hint="eastAsia"/>
          <w:szCs w:val="24"/>
        </w:rPr>
        <w:t xml:space="preserve">ke their </w:t>
      </w:r>
      <w:r w:rsidRPr="001D458E">
        <w:rPr>
          <w:szCs w:val="24"/>
        </w:rPr>
        <w:t>L</w:t>
      </w:r>
      <w:r w:rsidRPr="001D458E">
        <w:rPr>
          <w:rFonts w:hint="eastAsia"/>
          <w:szCs w:val="24"/>
        </w:rPr>
        <w:t xml:space="preserve">DP </w:t>
      </w:r>
      <w:r w:rsidRPr="001D458E">
        <w:rPr>
          <w:szCs w:val="24"/>
        </w:rPr>
        <w:t>counterparts</w:t>
      </w:r>
      <w:r w:rsidRPr="001D458E">
        <w:rPr>
          <w:rFonts w:hint="eastAsia"/>
          <w:szCs w:val="24"/>
        </w:rPr>
        <w:t>, t</w:t>
      </w:r>
      <w:r w:rsidRPr="001D458E">
        <w:rPr>
          <w:szCs w:val="24"/>
        </w:rPr>
        <w:t>h</w:t>
      </w:r>
      <w:r w:rsidRPr="001D458E">
        <w:rPr>
          <w:rFonts w:hint="eastAsia"/>
          <w:szCs w:val="24"/>
        </w:rPr>
        <w:t>e DPJ Cabinet Ministers had a short tenure</w:t>
      </w:r>
      <w:r w:rsidRPr="001D458E">
        <w:rPr>
          <w:rStyle w:val="FootnoteReference"/>
          <w:szCs w:val="24"/>
        </w:rPr>
        <w:footnoteReference w:id="58"/>
      </w:r>
      <w:r w:rsidRPr="001D458E">
        <w:rPr>
          <w:szCs w:val="24"/>
        </w:rPr>
        <w:t xml:space="preserve">, rendering </w:t>
      </w:r>
      <w:r w:rsidRPr="001D458E">
        <w:rPr>
          <w:rFonts w:hint="eastAsia"/>
          <w:szCs w:val="24"/>
        </w:rPr>
        <w:t>the power of DPJ Cabinet M</w:t>
      </w:r>
      <w:r w:rsidRPr="001D458E">
        <w:rPr>
          <w:szCs w:val="24"/>
        </w:rPr>
        <w:t>i</w:t>
      </w:r>
      <w:r w:rsidRPr="001D458E">
        <w:rPr>
          <w:rFonts w:hint="eastAsia"/>
          <w:szCs w:val="24"/>
        </w:rPr>
        <w:t>nisters</w:t>
      </w:r>
      <w:r w:rsidRPr="001D458E">
        <w:rPr>
          <w:szCs w:val="24"/>
        </w:rPr>
        <w:t xml:space="preserve"> weaker, as it </w:t>
      </w:r>
      <w:r w:rsidR="00C36FD7">
        <w:rPr>
          <w:rFonts w:hint="eastAsia"/>
          <w:szCs w:val="24"/>
        </w:rPr>
        <w:t>was</w:t>
      </w:r>
      <w:r w:rsidRPr="001D458E">
        <w:rPr>
          <w:szCs w:val="24"/>
        </w:rPr>
        <w:t xml:space="preserve"> not certain if their initiatives </w:t>
      </w:r>
      <w:r w:rsidR="00C36FD7">
        <w:rPr>
          <w:rFonts w:hint="eastAsia"/>
          <w:szCs w:val="24"/>
        </w:rPr>
        <w:t>would</w:t>
      </w:r>
      <w:r w:rsidRPr="001D458E">
        <w:rPr>
          <w:szCs w:val="24"/>
        </w:rPr>
        <w:t xml:space="preserve"> last long.</w:t>
      </w:r>
    </w:p>
    <w:p w14:paraId="4F2E0084" w14:textId="77777777" w:rsidR="008D0572" w:rsidRPr="001D458E" w:rsidRDefault="008D0572" w:rsidP="008D0572"/>
    <w:p w14:paraId="32D6A0D2" w14:textId="77777777" w:rsidR="008D0572" w:rsidRPr="001D458E" w:rsidRDefault="008D0572" w:rsidP="008D0572">
      <w:pPr>
        <w:ind w:firstLine="284"/>
      </w:pPr>
      <w:r w:rsidRPr="001D458E">
        <w:rPr>
          <w:rFonts w:hint="eastAsia"/>
        </w:rPr>
        <w:t xml:space="preserve">In terms of the first </w:t>
      </w:r>
      <w:r w:rsidR="008D0E03">
        <w:rPr>
          <w:rFonts w:hint="eastAsia"/>
          <w:lang w:eastAsia="ja-JP"/>
        </w:rPr>
        <w:t>point</w:t>
      </w:r>
      <w:r w:rsidRPr="001D458E">
        <w:rPr>
          <w:rFonts w:hint="eastAsia"/>
        </w:rPr>
        <w:t>, t</w:t>
      </w:r>
      <w:r w:rsidRPr="001D458E">
        <w:t>he lack of key DPJ politicians outside the Cabinet was witnessed by a number of interviewees. For example, a</w:t>
      </w:r>
      <w:r w:rsidR="00BD72D7">
        <w:t>n</w:t>
      </w:r>
      <w:r w:rsidRPr="001D458E">
        <w:t xml:space="preserve"> MIC senior civil servant proposed the following interpretation about the current situation of the government:</w:t>
      </w:r>
    </w:p>
    <w:p w14:paraId="6EE45C19" w14:textId="77777777" w:rsidR="008D0572" w:rsidRPr="001D458E" w:rsidRDefault="008D0572" w:rsidP="008D0572"/>
    <w:p w14:paraId="49AE13AF" w14:textId="77777777" w:rsidR="008D0572" w:rsidRPr="001D458E" w:rsidRDefault="008D0572" w:rsidP="008D0572">
      <w:pPr>
        <w:pStyle w:val="Quote"/>
      </w:pPr>
      <w:r w:rsidRPr="001D458E">
        <w:t xml:space="preserve">If </w:t>
      </w:r>
      <w:r w:rsidRPr="001D458E">
        <w:rPr>
          <w:rFonts w:hint="eastAsia"/>
        </w:rPr>
        <w:t>asked</w:t>
      </w:r>
      <w:r w:rsidRPr="001D458E">
        <w:t xml:space="preserve"> whether</w:t>
      </w:r>
      <w:r w:rsidRPr="001D458E">
        <w:rPr>
          <w:rFonts w:hint="eastAsia"/>
        </w:rPr>
        <w:t xml:space="preserve"> the power relation</w:t>
      </w:r>
      <w:r w:rsidRPr="001D458E">
        <w:t xml:space="preserve"> between politicians and civil servants has changed and whether the </w:t>
      </w:r>
      <w:r w:rsidRPr="001D458E">
        <w:rPr>
          <w:rFonts w:hint="eastAsia"/>
        </w:rPr>
        <w:t xml:space="preserve">power relation </w:t>
      </w:r>
      <w:r w:rsidRPr="001D458E">
        <w:t xml:space="preserve">between </w:t>
      </w:r>
      <w:r w:rsidRPr="001D458E">
        <w:rPr>
          <w:rFonts w:hint="eastAsia"/>
        </w:rPr>
        <w:t>one</w:t>
      </w:r>
      <w:r w:rsidRPr="001D458E">
        <w:t xml:space="preserve"> particular group and other groups has changed, the answer could be yes. And if ask</w:t>
      </w:r>
      <w:r w:rsidRPr="001D458E">
        <w:rPr>
          <w:rFonts w:hint="eastAsia"/>
        </w:rPr>
        <w:t>ed</w:t>
      </w:r>
      <w:r w:rsidRPr="001D458E">
        <w:t xml:space="preserve"> whether </w:t>
      </w:r>
      <w:r w:rsidRPr="001D458E">
        <w:rPr>
          <w:rFonts w:hint="eastAsia"/>
        </w:rPr>
        <w:t xml:space="preserve">the </w:t>
      </w:r>
      <w:r w:rsidRPr="001D458E">
        <w:t>political factors of the policy making process has become stronger, the answer will be ‘it has</w:t>
      </w:r>
      <w:r w:rsidRPr="001D458E">
        <w:rPr>
          <w:rFonts w:hint="eastAsia"/>
        </w:rPr>
        <w:t>n</w:t>
      </w:r>
      <w:r w:rsidRPr="001D458E">
        <w:t>’</w:t>
      </w:r>
      <w:r w:rsidRPr="001D458E">
        <w:rPr>
          <w:rFonts w:hint="eastAsia"/>
        </w:rPr>
        <w:t>t</w:t>
      </w:r>
      <w:r w:rsidRPr="001D458E">
        <w:t xml:space="preserve"> changed so much’</w:t>
      </w:r>
      <w:r w:rsidRPr="001D458E">
        <w:rPr>
          <w:rFonts w:hint="eastAsia"/>
        </w:rPr>
        <w:t xml:space="preserve">. </w:t>
      </w:r>
      <w:r w:rsidRPr="001D458E">
        <w:t>(</w:t>
      </w:r>
      <w:r w:rsidR="007634ED">
        <w:t>Interview with</w:t>
      </w:r>
      <w:r w:rsidRPr="001D458E">
        <w:t xml:space="preserve"> a</w:t>
      </w:r>
      <w:r w:rsidR="00BD72D7">
        <w:t>n</w:t>
      </w:r>
      <w:r w:rsidRPr="001D458E">
        <w:t xml:space="preserve"> MIC senior civil servant)</w:t>
      </w:r>
    </w:p>
    <w:p w14:paraId="3635E9EE" w14:textId="77777777" w:rsidR="008D0572" w:rsidRPr="001D458E" w:rsidRDefault="008D0572" w:rsidP="008D0572"/>
    <w:p w14:paraId="4D5C22A1" w14:textId="77777777" w:rsidR="008D0572" w:rsidRPr="001D458E" w:rsidRDefault="008D0572" w:rsidP="008D0572">
      <w:r w:rsidRPr="001D458E">
        <w:rPr>
          <w:rFonts w:hint="eastAsia"/>
        </w:rPr>
        <w:t xml:space="preserve">He argued that what changed is the power relation </w:t>
      </w:r>
      <w:r w:rsidRPr="001D458E">
        <w:t>within the</w:t>
      </w:r>
      <w:r w:rsidRPr="001D458E">
        <w:rPr>
          <w:rFonts w:hint="eastAsia"/>
        </w:rPr>
        <w:t xml:space="preserve"> core executive, such as between party politicians</w:t>
      </w:r>
      <w:r w:rsidR="00D802D3">
        <w:t>,</w:t>
      </w:r>
      <w:r w:rsidRPr="001D458E">
        <w:rPr>
          <w:rFonts w:hint="eastAsia"/>
        </w:rPr>
        <w:t xml:space="preserve"> civil servant and between political groups. Elsewhere, he denied that the policy making process has been more influenced by political factors</w:t>
      </w:r>
      <w:r w:rsidRPr="001D458E">
        <w:t>, arguing that</w:t>
      </w:r>
      <w:r w:rsidRPr="001D458E">
        <w:rPr>
          <w:rFonts w:hint="eastAsia"/>
        </w:rPr>
        <w:t>:</w:t>
      </w:r>
    </w:p>
    <w:p w14:paraId="62A96C27" w14:textId="77777777" w:rsidR="008D0572" w:rsidRPr="001D458E" w:rsidRDefault="008D0572" w:rsidP="008D0572"/>
    <w:p w14:paraId="18A70311" w14:textId="7324788A" w:rsidR="008D0572" w:rsidRPr="009E18EC" w:rsidRDefault="0045216B" w:rsidP="009E18EC">
      <w:pPr>
        <w:pStyle w:val="Quote"/>
      </w:pPr>
      <w:r w:rsidRPr="009E18EC">
        <w:t>What has been changed</w:t>
      </w:r>
      <w:r w:rsidR="008D0572" w:rsidRPr="009E18EC">
        <w:t xml:space="preserve"> by the DPJ is, in simple terms, the party (DPJ) itself hasn’t involved in policy decisions. That is to say, major politicians, for instance, have joined the Cabinet, and if asked whether the DPJ party machine has developed the alternatives to the ideas of the Cabinet, the answer will be no. Regardless of the sectors such as Land and Infrastructure, Welfare and Labour, etc., there are few things like that. This is because it’s </w:t>
      </w:r>
      <w:r w:rsidR="009E18EC" w:rsidRPr="009E18EC">
        <w:t xml:space="preserve">the </w:t>
      </w:r>
      <w:r w:rsidR="008D0572" w:rsidRPr="009E18EC">
        <w:t xml:space="preserve">DPJ’s policy, and it also doesn’t have those called </w:t>
      </w:r>
      <w:r w:rsidR="00F77E54" w:rsidRPr="005B18BE">
        <w:rPr>
          <w:i/>
          <w:iCs w:val="0"/>
        </w:rPr>
        <w:t>Zoku Gi’in</w:t>
      </w:r>
      <w:r w:rsidR="008D0572" w:rsidRPr="009E18EC">
        <w:t xml:space="preserve"> in it. (</w:t>
      </w:r>
      <w:r w:rsidR="007634ED" w:rsidRPr="009E18EC">
        <w:t>Interview with</w:t>
      </w:r>
      <w:r w:rsidR="008D0572" w:rsidRPr="009E18EC">
        <w:t xml:space="preserve"> a</w:t>
      </w:r>
      <w:r w:rsidR="00BD72D7" w:rsidRPr="009E18EC">
        <w:t>n</w:t>
      </w:r>
      <w:r w:rsidR="008D0572" w:rsidRPr="009E18EC">
        <w:t xml:space="preserve"> MIC senior civil servant)</w:t>
      </w:r>
    </w:p>
    <w:p w14:paraId="5A2D500E" w14:textId="77777777" w:rsidR="008D0572" w:rsidRPr="001D458E" w:rsidRDefault="008D0572" w:rsidP="008D0572"/>
    <w:p w14:paraId="176521B9" w14:textId="77777777" w:rsidR="008D0572" w:rsidRPr="001D458E" w:rsidRDefault="008D0572" w:rsidP="00DA2E02">
      <w:r w:rsidRPr="001D458E">
        <w:rPr>
          <w:rFonts w:hint="eastAsia"/>
        </w:rPr>
        <w:t>T</w:t>
      </w:r>
      <w:r w:rsidRPr="001D458E">
        <w:t>h</w:t>
      </w:r>
      <w:r w:rsidRPr="001D458E">
        <w:rPr>
          <w:rFonts w:hint="eastAsia"/>
        </w:rPr>
        <w:t>e reason why the DPJ d</w:t>
      </w:r>
      <w:r w:rsidR="00C36FD7">
        <w:rPr>
          <w:rFonts w:hint="eastAsia"/>
          <w:lang w:eastAsia="ja-JP"/>
        </w:rPr>
        <w:t>id</w:t>
      </w:r>
      <w:r w:rsidRPr="001D458E">
        <w:rPr>
          <w:rFonts w:hint="eastAsia"/>
        </w:rPr>
        <w:t xml:space="preserve"> not have </w:t>
      </w:r>
      <w:r w:rsidRPr="001D458E">
        <w:rPr>
          <w:rFonts w:hint="eastAsia"/>
          <w:i/>
        </w:rPr>
        <w:t>Zoku</w:t>
      </w:r>
      <w:r w:rsidR="00174FF7">
        <w:rPr>
          <w:rFonts w:eastAsia="MS Mincho" w:hint="eastAsia"/>
          <w:i/>
          <w:lang w:eastAsia="ja-JP"/>
        </w:rPr>
        <w:t xml:space="preserve"> </w:t>
      </w:r>
      <w:r w:rsidRPr="001D458E">
        <w:rPr>
          <w:rFonts w:hint="eastAsia"/>
          <w:i/>
        </w:rPr>
        <w:t>Gi</w:t>
      </w:r>
      <w:r w:rsidRPr="001D458E">
        <w:rPr>
          <w:i/>
        </w:rPr>
        <w:t>’</w:t>
      </w:r>
      <w:r w:rsidRPr="001D458E">
        <w:rPr>
          <w:rFonts w:hint="eastAsia"/>
          <w:i/>
        </w:rPr>
        <w:t>in</w:t>
      </w:r>
      <w:r w:rsidRPr="001D458E">
        <w:rPr>
          <w:rFonts w:hint="eastAsia"/>
        </w:rPr>
        <w:t xml:space="preserve"> is, in short, it was not in the government.</w:t>
      </w:r>
    </w:p>
    <w:p w14:paraId="1DCB7A9E" w14:textId="77777777" w:rsidR="008D0572" w:rsidRPr="00174FF7" w:rsidRDefault="008D0572" w:rsidP="008D0572"/>
    <w:p w14:paraId="222BD305" w14:textId="77777777" w:rsidR="008D0572" w:rsidRPr="001D458E" w:rsidRDefault="008D0572" w:rsidP="008D0572">
      <w:pPr>
        <w:pStyle w:val="Quote"/>
      </w:pPr>
      <w:r w:rsidRPr="001D458E">
        <w:t xml:space="preserve">In other words, </w:t>
      </w:r>
      <w:r w:rsidR="00174FF7">
        <w:rPr>
          <w:rFonts w:eastAsia="MS Mincho" w:hint="eastAsia"/>
          <w:lang w:eastAsia="ja-JP"/>
        </w:rPr>
        <w:t xml:space="preserve">the </w:t>
      </w:r>
      <w:r w:rsidRPr="001D458E">
        <w:rPr>
          <w:rFonts w:hint="eastAsia"/>
        </w:rPr>
        <w:t>LDP</w:t>
      </w:r>
      <w:r w:rsidRPr="001D458E">
        <w:t>’</w:t>
      </w:r>
      <w:r w:rsidRPr="001D458E">
        <w:rPr>
          <w:rFonts w:hint="eastAsia"/>
        </w:rPr>
        <w:t xml:space="preserve">s long tenure created </w:t>
      </w:r>
      <w:r w:rsidRPr="001D458E">
        <w:t>a large group of ex-Cabinet Ministers and ex-Parliamentary Vice-Ministers in it. They were</w:t>
      </w:r>
      <w:r w:rsidRPr="001D458E">
        <w:rPr>
          <w:rFonts w:hint="eastAsia"/>
        </w:rPr>
        <w:t>n</w:t>
      </w:r>
      <w:r w:rsidRPr="001D458E">
        <w:t>’</w:t>
      </w:r>
      <w:r w:rsidRPr="001D458E">
        <w:rPr>
          <w:rFonts w:hint="eastAsia"/>
        </w:rPr>
        <w:t>t</w:t>
      </w:r>
      <w:r w:rsidRPr="001D458E">
        <w:t xml:space="preserve"> in the Cabinet but influential in their sector. If the DPJ </w:t>
      </w:r>
      <w:r w:rsidRPr="001D458E">
        <w:rPr>
          <w:rFonts w:hint="eastAsia"/>
        </w:rPr>
        <w:t xml:space="preserve">stays in power for </w:t>
      </w:r>
      <w:r w:rsidRPr="001D458E">
        <w:t>twenty year</w:t>
      </w:r>
      <w:r w:rsidRPr="001D458E">
        <w:rPr>
          <w:rFonts w:hint="eastAsia"/>
        </w:rPr>
        <w:t>s</w:t>
      </w:r>
      <w:r w:rsidRPr="001D458E">
        <w:t xml:space="preserve"> and creates their equivalent, </w:t>
      </w:r>
      <w:r w:rsidR="00174FF7">
        <w:rPr>
          <w:rFonts w:eastAsia="MS Mincho" w:hint="eastAsia"/>
          <w:lang w:eastAsia="ja-JP"/>
        </w:rPr>
        <w:t xml:space="preserve">the </w:t>
      </w:r>
      <w:r w:rsidRPr="001D458E">
        <w:t>party’</w:t>
      </w:r>
      <w:r w:rsidRPr="001D458E">
        <w:rPr>
          <w:rFonts w:hint="eastAsia"/>
        </w:rPr>
        <w:t>s</w:t>
      </w:r>
      <w:r w:rsidRPr="001D458E">
        <w:t xml:space="preserve"> (DPJ politicians outside the Cabinet) </w:t>
      </w:r>
      <w:r w:rsidRPr="001D458E">
        <w:rPr>
          <w:rFonts w:hint="eastAsia"/>
        </w:rPr>
        <w:t xml:space="preserve">influence </w:t>
      </w:r>
      <w:r w:rsidRPr="001D458E">
        <w:t>may become stronger. We don’t know it now. No such group</w:t>
      </w:r>
      <w:r w:rsidRPr="001D458E">
        <w:rPr>
          <w:rFonts w:hint="eastAsia"/>
        </w:rPr>
        <w:t xml:space="preserve"> is</w:t>
      </w:r>
      <w:r w:rsidRPr="001D458E">
        <w:t xml:space="preserve"> in the DPJ at this point. (</w:t>
      </w:r>
      <w:r w:rsidR="007634ED">
        <w:t>Interview with</w:t>
      </w:r>
      <w:r w:rsidRPr="001D458E">
        <w:t xml:space="preserve"> a</w:t>
      </w:r>
      <w:r w:rsidR="00BD72D7">
        <w:t>n</w:t>
      </w:r>
      <w:r w:rsidRPr="001D458E">
        <w:t xml:space="preserve"> MIC senior civil servant)</w:t>
      </w:r>
    </w:p>
    <w:p w14:paraId="064B3592" w14:textId="77777777" w:rsidR="008D0572" w:rsidRPr="001D458E" w:rsidRDefault="008D0572" w:rsidP="008D0572"/>
    <w:p w14:paraId="0E52D1D9" w14:textId="77777777" w:rsidR="008D0572" w:rsidRPr="001D458E" w:rsidRDefault="008D0572" w:rsidP="008D0572">
      <w:r w:rsidRPr="001D458E">
        <w:t xml:space="preserve">This interpretation was shared by one DPJ politician who was previously in the </w:t>
      </w:r>
      <w:r w:rsidRPr="001D458E">
        <w:rPr>
          <w:rFonts w:hint="eastAsia"/>
        </w:rPr>
        <w:t>civi</w:t>
      </w:r>
      <w:r w:rsidRPr="001D458E">
        <w:t>l service:</w:t>
      </w:r>
    </w:p>
    <w:p w14:paraId="1A4920F7" w14:textId="77777777" w:rsidR="008D0572" w:rsidRPr="001D458E" w:rsidRDefault="008D0572" w:rsidP="008D0572"/>
    <w:p w14:paraId="028260E0" w14:textId="77777777" w:rsidR="008D0572" w:rsidRPr="001D458E" w:rsidRDefault="008D0572" w:rsidP="008D0572">
      <w:pPr>
        <w:pStyle w:val="Quote"/>
      </w:pPr>
      <w:r w:rsidRPr="001D458E">
        <w:t xml:space="preserve">Under the LDP governments, the NTT and civil servants lobbied </w:t>
      </w:r>
      <w:r w:rsidRPr="001D458E">
        <w:rPr>
          <w:rFonts w:hint="eastAsia"/>
        </w:rPr>
        <w:t>key people</w:t>
      </w:r>
      <w:r w:rsidRPr="001D458E">
        <w:t xml:space="preserve"> in the ICT sector for twenty years, such as ex-Cabinet Ministers, Chairpersons and Principal Directors of the Internal Affairs and Communications Standing Committee (of the Diet) and their OBs. Such key persons were identified, and things were decided around them. Since the DPJ government started, no such key person ha</w:t>
      </w:r>
      <w:r w:rsidRPr="001D458E">
        <w:rPr>
          <w:rFonts w:hint="eastAsia"/>
        </w:rPr>
        <w:t>s</w:t>
      </w:r>
      <w:r w:rsidRPr="001D458E">
        <w:t xml:space="preserve"> been there… (</w:t>
      </w:r>
      <w:r w:rsidR="007634ED">
        <w:t>Interview with</w:t>
      </w:r>
      <w:r w:rsidRPr="001D458E">
        <w:t xml:space="preserve"> a member of the House of Representatives)</w:t>
      </w:r>
    </w:p>
    <w:p w14:paraId="5ECB2D3E" w14:textId="77777777" w:rsidR="008D0572" w:rsidRPr="001D458E" w:rsidRDefault="008D0572" w:rsidP="008D0572"/>
    <w:p w14:paraId="33938263" w14:textId="77777777" w:rsidR="008D0572" w:rsidRPr="001D458E" w:rsidRDefault="008D0572" w:rsidP="008D0572">
      <w:r w:rsidRPr="001D458E">
        <w:rPr>
          <w:rFonts w:hint="eastAsia"/>
        </w:rPr>
        <w:t>This was described by a</w:t>
      </w:r>
      <w:r w:rsidRPr="001D458E">
        <w:t>n ex-</w:t>
      </w:r>
      <w:r w:rsidRPr="001D458E">
        <w:rPr>
          <w:rFonts w:hint="eastAsia"/>
        </w:rPr>
        <w:t xml:space="preserve">Cabinet </w:t>
      </w:r>
      <w:r w:rsidRPr="001D458E">
        <w:t>Minister</w:t>
      </w:r>
      <w:r w:rsidRPr="001D458E">
        <w:rPr>
          <w:rFonts w:hint="eastAsia"/>
        </w:rPr>
        <w:t xml:space="preserve"> </w:t>
      </w:r>
      <w:r w:rsidRPr="001D458E">
        <w:t xml:space="preserve">(DPJ) </w:t>
      </w:r>
      <w:r w:rsidRPr="001D458E">
        <w:rPr>
          <w:rFonts w:hint="eastAsia"/>
        </w:rPr>
        <w:t>in the following</w:t>
      </w:r>
      <w:r w:rsidRPr="001D458E">
        <w:t xml:space="preserve">: </w:t>
      </w:r>
    </w:p>
    <w:p w14:paraId="3CFDD8CC" w14:textId="77777777" w:rsidR="008D0572" w:rsidRPr="001D458E" w:rsidRDefault="008D0572" w:rsidP="008D0572"/>
    <w:p w14:paraId="7172D2DD" w14:textId="77777777" w:rsidR="008D0572" w:rsidRPr="001D458E" w:rsidRDefault="008D0572" w:rsidP="008D0572">
      <w:pPr>
        <w:pStyle w:val="Quote"/>
      </w:pPr>
      <w:r w:rsidRPr="001D458E">
        <w:t>Almost all of it (the influence of party politicians outside the Cabinet) has disappeared, because</w:t>
      </w:r>
      <w:r w:rsidRPr="001D458E">
        <w:rPr>
          <w:rFonts w:hint="eastAsia"/>
        </w:rPr>
        <w:t xml:space="preserve"> the </w:t>
      </w:r>
      <w:r w:rsidRPr="001D458E">
        <w:t xml:space="preserve">DPJ has unified the government with the party. And lobbying the party needs </w:t>
      </w:r>
      <w:r w:rsidRPr="001D458E">
        <w:rPr>
          <w:rFonts w:hint="eastAsia"/>
        </w:rPr>
        <w:t xml:space="preserve">the </w:t>
      </w:r>
      <w:r w:rsidRPr="001D458E">
        <w:t>Secretary-General’</w:t>
      </w:r>
      <w:r w:rsidRPr="001D458E">
        <w:rPr>
          <w:rFonts w:hint="eastAsia"/>
        </w:rPr>
        <w:t>s authorisation</w:t>
      </w:r>
      <w:r w:rsidRPr="001D458E">
        <w:t xml:space="preserve">. This stops lobbying politics and leads to the destruction of the guild. But two years </w:t>
      </w:r>
      <w:r w:rsidR="00BD72D7">
        <w:t>after</w:t>
      </w:r>
      <w:r w:rsidRPr="001D458E">
        <w:t xml:space="preserve"> government change</w:t>
      </w:r>
      <w:r w:rsidR="00BD72D7">
        <w:t>s</w:t>
      </w:r>
      <w:r w:rsidRPr="001D458E">
        <w:t xml:space="preserve">, some may try to do </w:t>
      </w:r>
      <w:r w:rsidR="00BD72D7">
        <w:t>a</w:t>
      </w:r>
      <w:r w:rsidRPr="001D458E">
        <w:t xml:space="preserve"> similar thing again. We need to make (policy making) processes more transparent and ensure the freedom of information so that we can watch and stop such a trial. (</w:t>
      </w:r>
      <w:r w:rsidR="007634ED">
        <w:t>Interview with</w:t>
      </w:r>
      <w:r w:rsidRPr="001D458E">
        <w:t xml:space="preserve"> an ex-Cabinet Minister (DPJ))</w:t>
      </w:r>
    </w:p>
    <w:p w14:paraId="5D10506F" w14:textId="77777777" w:rsidR="008D0572" w:rsidRPr="001D458E" w:rsidRDefault="008D0572" w:rsidP="008D0572"/>
    <w:p w14:paraId="55EA9EBF" w14:textId="77777777" w:rsidR="008D0572" w:rsidRDefault="008D0572" w:rsidP="008D0572">
      <w:r w:rsidRPr="001D458E">
        <w:rPr>
          <w:rFonts w:hint="eastAsia"/>
        </w:rPr>
        <w:t>T</w:t>
      </w:r>
      <w:r w:rsidRPr="001D458E">
        <w:t xml:space="preserve">hese accounts </w:t>
      </w:r>
      <w:r w:rsidRPr="001D458E">
        <w:rPr>
          <w:rFonts w:hint="eastAsia"/>
        </w:rPr>
        <w:t xml:space="preserve">indicate </w:t>
      </w:r>
      <w:r w:rsidRPr="001D458E">
        <w:t xml:space="preserve">that the 2000s saw the rise of Cabinet Ministers’ power. The ICT sector experienced a significant change: Koizumi’s post office privatisation debate in 2005 </w:t>
      </w:r>
      <w:r w:rsidR="00FB283B">
        <w:rPr>
          <w:rFonts w:hint="eastAsia"/>
          <w:lang w:eastAsia="ja-JP"/>
        </w:rPr>
        <w:t>brought</w:t>
      </w:r>
      <w:r w:rsidR="00174FF7">
        <w:rPr>
          <w:rFonts w:eastAsia="MS Mincho" w:hint="eastAsia"/>
          <w:lang w:eastAsia="ja-JP"/>
        </w:rPr>
        <w:t xml:space="preserve"> </w:t>
      </w:r>
      <w:r w:rsidRPr="001D458E">
        <w:t xml:space="preserve">most of </w:t>
      </w:r>
      <w:r w:rsidR="00BD72D7">
        <w:t xml:space="preserve">the </w:t>
      </w:r>
      <w:r w:rsidR="00FB283B">
        <w:rPr>
          <w:rFonts w:hint="eastAsia"/>
          <w:lang w:eastAsia="ja-JP"/>
        </w:rPr>
        <w:t xml:space="preserve">LDP </w:t>
      </w:r>
      <w:r w:rsidRPr="001D458E">
        <w:t xml:space="preserve">politicians previously influential over the sector </w:t>
      </w:r>
      <w:r w:rsidR="00FB283B">
        <w:rPr>
          <w:rFonts w:hint="eastAsia"/>
          <w:lang w:eastAsia="ja-JP"/>
        </w:rPr>
        <w:t xml:space="preserve">out of </w:t>
      </w:r>
      <w:r w:rsidRPr="001D458E">
        <w:t xml:space="preserve">the LDP. The DPJ government from 2009 </w:t>
      </w:r>
      <w:r w:rsidR="00D802D3">
        <w:t>adopted</w:t>
      </w:r>
      <w:r w:rsidR="00D802D3" w:rsidRPr="001D458E">
        <w:t xml:space="preserve"> </w:t>
      </w:r>
      <w:r w:rsidRPr="001D458E">
        <w:t xml:space="preserve">a policy of unifying the government with the party. Few DPJ politicians outside the Cabinet </w:t>
      </w:r>
      <w:r w:rsidR="00D802D3">
        <w:t>were</w:t>
      </w:r>
      <w:r w:rsidRPr="001D458E">
        <w:t xml:space="preserve"> powerful enough to exercise their influence over the MIC and the ICT sector. These factors have undermined the power of party politicians outside the Cabinet. This observation coincides with the data collected by </w:t>
      </w:r>
      <w:r>
        <w:t xml:space="preserve">Michio Muramatsu and his </w:t>
      </w:r>
      <w:r w:rsidR="002F61A4">
        <w:t>associates</w:t>
      </w:r>
      <w:r w:rsidRPr="001D458E">
        <w:t xml:space="preserve"> (Krauss and Pekkanen 2011 p.242)</w:t>
      </w:r>
      <w:r>
        <w:t>:</w:t>
      </w:r>
    </w:p>
    <w:p w14:paraId="24D8D8DC" w14:textId="77777777" w:rsidR="008D0572" w:rsidRDefault="008D0572" w:rsidP="008D0572"/>
    <w:p w14:paraId="2E0430BC" w14:textId="593132B4" w:rsidR="00495655" w:rsidRDefault="008D0572" w:rsidP="005B18BE">
      <w:pPr>
        <w:pStyle w:val="Quote"/>
      </w:pPr>
      <w:r>
        <w:t xml:space="preserve">longitudinal data from Michio Muramatsu and his associates indicate that between 1987 (under the ’55 system) and 2002 bureaucrats themselves clearly saw a major increase in the prime minister’s influence over their own ministries and decline in the influence of </w:t>
      </w:r>
      <w:r w:rsidR="005F4210">
        <w:rPr>
          <w:rFonts w:eastAsia="MS Mincho"/>
          <w:i/>
          <w:lang w:eastAsia="ja-JP"/>
        </w:rPr>
        <w:t>Z</w:t>
      </w:r>
      <w:r w:rsidRPr="00456BC3">
        <w:rPr>
          <w:i/>
        </w:rPr>
        <w:t>oku giin</w:t>
      </w:r>
      <w:r>
        <w:t xml:space="preserve"> and PARC (Policy Affairs Research Council</w:t>
      </w:r>
      <w:r w:rsidR="005226F4">
        <w:rPr>
          <w:rFonts w:eastAsia="MS Mincho" w:hint="eastAsia"/>
          <w:lang w:eastAsia="ja-JP"/>
        </w:rPr>
        <w:t>, LDP</w:t>
      </w:r>
      <w:r>
        <w:t>) and of the ministries and their advisory councils.</w:t>
      </w:r>
    </w:p>
    <w:p w14:paraId="71CE7AB4" w14:textId="77777777" w:rsidR="00495655" w:rsidRDefault="008D0572" w:rsidP="005B18BE">
      <w:pPr>
        <w:pStyle w:val="Quote"/>
      </w:pPr>
      <w:r>
        <w:t>Data from this same survey also indicate that, within a ministry itself, between 1987 and 2002 the perceived relative influence on the bureaucracy of the upper levels of the bureaucracy (the bureau chief) and the cabinet ministers changed greatly; whereas in 1987 the bureau chief was perceived to have two to three times the influence of the minister, by 2002 the minister was perceived to have almost double the influence of the bureau chief</w:t>
      </w:r>
      <w:r>
        <w:rPr>
          <w:rStyle w:val="FootnoteReference"/>
        </w:rPr>
        <w:footnoteReference w:id="59"/>
      </w:r>
      <w:r>
        <w:t xml:space="preserve">. </w:t>
      </w:r>
    </w:p>
    <w:p w14:paraId="19464680" w14:textId="77777777" w:rsidR="008D0572" w:rsidRDefault="008D0572" w:rsidP="008D0572"/>
    <w:p w14:paraId="380B60C3" w14:textId="77777777" w:rsidR="008D0572" w:rsidRPr="001D458E" w:rsidRDefault="008D0572" w:rsidP="008D0572">
      <w:r w:rsidRPr="001D458E">
        <w:t xml:space="preserve">The same survey highlights the decline of party politicians outside the Cabinet. In 1987 their influence was considered to be most important by almost forty percent of civil servants, but this number significantly declined to a little more than twenty percent in 2002 (Krauss and Pekkanen 2011 p.243). </w:t>
      </w:r>
      <w:r>
        <w:t>This set of findings</w:t>
      </w:r>
      <w:r w:rsidRPr="001D458E">
        <w:t xml:space="preserve"> seems to support the </w:t>
      </w:r>
      <w:r w:rsidRPr="001D458E">
        <w:rPr>
          <w:rFonts w:hint="eastAsia"/>
        </w:rPr>
        <w:t xml:space="preserve">analysis revealing the decline of </w:t>
      </w:r>
      <w:r w:rsidRPr="001D458E">
        <w:t xml:space="preserve">party politicians outside the Cabinet and </w:t>
      </w:r>
      <w:r w:rsidRPr="001D458E">
        <w:rPr>
          <w:rFonts w:hint="eastAsia"/>
        </w:rPr>
        <w:t xml:space="preserve">the rise of </w:t>
      </w:r>
      <w:r w:rsidRPr="001D458E">
        <w:t>Cabinet Minister</w:t>
      </w:r>
      <w:r w:rsidRPr="001D458E">
        <w:rPr>
          <w:rFonts w:hint="eastAsia"/>
        </w:rPr>
        <w:t>s</w:t>
      </w:r>
      <w:r w:rsidRPr="001D458E">
        <w:t>.</w:t>
      </w:r>
    </w:p>
    <w:p w14:paraId="278BDE86" w14:textId="77777777" w:rsidR="008D0572" w:rsidRPr="001D458E" w:rsidRDefault="008D0572" w:rsidP="008D0572">
      <w:pPr>
        <w:ind w:firstLine="284"/>
      </w:pPr>
      <w:r w:rsidRPr="001D458E">
        <w:t xml:space="preserve">Whether or not DPJ Cabinet Ministers actually </w:t>
      </w:r>
      <w:r w:rsidRPr="001D458E">
        <w:rPr>
          <w:rFonts w:hint="eastAsia"/>
        </w:rPr>
        <w:t>obtained</w:t>
      </w:r>
      <w:r w:rsidRPr="001D458E">
        <w:t xml:space="preserve"> a dominant role in the policy making process is a different question.</w:t>
      </w:r>
      <w:r w:rsidRPr="001D458E">
        <w:rPr>
          <w:rFonts w:hint="eastAsia"/>
        </w:rPr>
        <w:t xml:space="preserve"> </w:t>
      </w:r>
      <w:r w:rsidRPr="001D458E">
        <w:t>Indeed, the short tenure of Cabinet Minister</w:t>
      </w:r>
      <w:r w:rsidRPr="001D458E">
        <w:rPr>
          <w:rFonts w:hint="eastAsia"/>
        </w:rPr>
        <w:t>s</w:t>
      </w:r>
      <w:r w:rsidRPr="001D458E">
        <w:t>, which characteris</w:t>
      </w:r>
      <w:r w:rsidRPr="001D458E">
        <w:rPr>
          <w:rFonts w:hint="eastAsia"/>
        </w:rPr>
        <w:t>ed</w:t>
      </w:r>
      <w:r w:rsidRPr="001D458E">
        <w:t xml:space="preserve"> the LDP government</w:t>
      </w:r>
      <w:r w:rsidRPr="001D458E">
        <w:rPr>
          <w:rFonts w:hint="eastAsia"/>
        </w:rPr>
        <w:t>s</w:t>
      </w:r>
      <w:r w:rsidRPr="001D458E">
        <w:t xml:space="preserve"> (I’io 2007 p.24), </w:t>
      </w:r>
      <w:r w:rsidR="00D802D3">
        <w:t>was</w:t>
      </w:r>
      <w:r w:rsidR="00D802D3" w:rsidRPr="001D458E">
        <w:t xml:space="preserve"> </w:t>
      </w:r>
      <w:r w:rsidRPr="001D458E">
        <w:t xml:space="preserve">also a feature of the DPJ government (see Appendix </w:t>
      </w:r>
      <w:r w:rsidR="00136ED3">
        <w:rPr>
          <w:rFonts w:eastAsia="MS Mincho" w:hint="eastAsia"/>
          <w:lang w:eastAsia="ja-JP"/>
        </w:rPr>
        <w:t>3</w:t>
      </w:r>
      <w:r w:rsidRPr="001D458E">
        <w:t xml:space="preserve">). The impact of this short tenure of Cabinet Ministers </w:t>
      </w:r>
      <w:r w:rsidR="00E56723">
        <w:rPr>
          <w:rFonts w:hint="eastAsia"/>
          <w:lang w:eastAsia="ja-JP"/>
        </w:rPr>
        <w:t>was</w:t>
      </w:r>
      <w:r w:rsidRPr="001D458E">
        <w:t xml:space="preserve"> described by a senior lobbyist of a telecommunications operator (a former DPJ member of the House of Representatives) in the following:</w:t>
      </w:r>
    </w:p>
    <w:p w14:paraId="3BE491AC" w14:textId="77777777" w:rsidR="008D0572" w:rsidRPr="001D458E" w:rsidRDefault="008D0572" w:rsidP="008D0572"/>
    <w:p w14:paraId="4AB548E7" w14:textId="77777777" w:rsidR="008D0572" w:rsidRPr="001D458E" w:rsidRDefault="008D0572" w:rsidP="008D0572">
      <w:pPr>
        <w:pStyle w:val="Quote"/>
      </w:pPr>
      <w:r w:rsidRPr="001D458E">
        <w:t xml:space="preserve">I suggest what Internal Affairs and Communications Minister Haraguchi did after government change (September 2009) is typical </w:t>
      </w:r>
      <w:r w:rsidR="00BD72D7">
        <w:t>of</w:t>
      </w:r>
      <w:r w:rsidRPr="001D458E">
        <w:t xml:space="preserve"> </w:t>
      </w:r>
      <w:r w:rsidR="00BD72D7">
        <w:t xml:space="preserve">a </w:t>
      </w:r>
      <w:r w:rsidRPr="001D458E">
        <w:t>politician</w:t>
      </w:r>
      <w:r w:rsidR="00BD72D7">
        <w:t>’</w:t>
      </w:r>
      <w:r w:rsidRPr="001D458E">
        <w:t xml:space="preserve">s leadership. … And, </w:t>
      </w:r>
      <w:r w:rsidRPr="001D458E">
        <w:rPr>
          <w:rFonts w:hint="eastAsia"/>
        </w:rPr>
        <w:t xml:space="preserve">replacing </w:t>
      </w:r>
      <w:r w:rsidRPr="001D458E">
        <w:t>the Ministers in September (2010)</w:t>
      </w:r>
      <w:r w:rsidRPr="001D458E">
        <w:rPr>
          <w:rFonts w:hint="eastAsia"/>
        </w:rPr>
        <w:t xml:space="preserve"> changed</w:t>
      </w:r>
      <w:r w:rsidRPr="001D458E">
        <w:t xml:space="preserve"> everything. And, I wonder if not only civil servants but also politicians need continuity and if the change of a Minister is adequate (in a short period). …if such things happen, it will be difficult (to accomplish policies), because without </w:t>
      </w:r>
      <w:r w:rsidR="00BD72D7">
        <w:t xml:space="preserve">a </w:t>
      </w:r>
      <w:r w:rsidRPr="001D458E">
        <w:rPr>
          <w:rFonts w:hint="eastAsia"/>
        </w:rPr>
        <w:t>Minister</w:t>
      </w:r>
      <w:r w:rsidRPr="001D458E">
        <w:t>’</w:t>
      </w:r>
      <w:r w:rsidRPr="001D458E">
        <w:rPr>
          <w:rFonts w:hint="eastAsia"/>
        </w:rPr>
        <w:t xml:space="preserve">s </w:t>
      </w:r>
      <w:r w:rsidRPr="001D458E">
        <w:t>long tenure, things won’t be done to the end. Under such circumstances, officials won’t react so much if a Minister says something ambitious, because that Minister may be replaced anytime. (</w:t>
      </w:r>
      <w:r w:rsidR="007634ED">
        <w:t>Interview with</w:t>
      </w:r>
      <w:r w:rsidRPr="001D458E">
        <w:t xml:space="preserve"> the General Manager of the President’s Office of a telecommunications operator (a former member of the House of Representatives (DPJ)))</w:t>
      </w:r>
    </w:p>
    <w:p w14:paraId="27BAA275" w14:textId="77777777" w:rsidR="008D0572" w:rsidRPr="001D458E" w:rsidRDefault="008D0572" w:rsidP="008D0572"/>
    <w:p w14:paraId="3DF7227E" w14:textId="77777777" w:rsidR="008D0572" w:rsidRPr="001D458E" w:rsidRDefault="008D0572" w:rsidP="008D0572">
      <w:r w:rsidRPr="001D458E">
        <w:t xml:space="preserve">This concern </w:t>
      </w:r>
      <w:r w:rsidR="00E56723">
        <w:rPr>
          <w:rFonts w:hint="eastAsia"/>
          <w:lang w:eastAsia="ja-JP"/>
        </w:rPr>
        <w:t>was</w:t>
      </w:r>
      <w:r w:rsidRPr="001D458E">
        <w:t xml:space="preserve"> shared by a consumer group leader who has participated in the policy making process of the ICT sector: </w:t>
      </w:r>
    </w:p>
    <w:p w14:paraId="4CF31A42" w14:textId="77777777" w:rsidR="008D0572" w:rsidRPr="001D458E" w:rsidRDefault="008D0572" w:rsidP="008D0572"/>
    <w:p w14:paraId="254331B1" w14:textId="77777777" w:rsidR="008D0572" w:rsidRPr="001D458E" w:rsidRDefault="008D0572" w:rsidP="008D0572">
      <w:pPr>
        <w:pStyle w:val="Quote"/>
      </w:pPr>
      <w:r w:rsidRPr="001D458E">
        <w:t>It’</w:t>
      </w:r>
      <w:r w:rsidRPr="001D458E">
        <w:rPr>
          <w:rFonts w:hint="eastAsia"/>
        </w:rPr>
        <w:t>s</w:t>
      </w:r>
      <w:r w:rsidRPr="001D458E">
        <w:t xml:space="preserve"> very problematic that, in a way, themes (given by Ministers) have popped out (emerged) frequently like thoughtless ideas but haven’t implemented to the end partly because initiating Ministers were replaced. About Internal Affairs and Communications Ministers, probably Minister Haraguchi and present Minister Katayama have very different kind</w:t>
      </w:r>
      <w:r w:rsidR="00BD72D7">
        <w:t>s</w:t>
      </w:r>
      <w:r w:rsidRPr="001D458E">
        <w:t xml:space="preserve"> of interest, so in spite of the strong slogan of ‘</w:t>
      </w:r>
      <w:r w:rsidRPr="001D458E">
        <w:rPr>
          <w:i/>
        </w:rPr>
        <w:t>Hikari no Michi</w:t>
      </w:r>
      <w:r w:rsidRPr="001D458E">
        <w:rPr>
          <w:rStyle w:val="FootnoteReference"/>
          <w:rFonts w:eastAsiaTheme="majorEastAsia"/>
          <w:i/>
        </w:rPr>
        <w:footnoteReference w:id="60"/>
      </w:r>
      <w:r w:rsidRPr="001D458E">
        <w:t xml:space="preserve">’, its goal has gradually changed to around 2025 from </w:t>
      </w:r>
      <w:r w:rsidR="00BD72D7">
        <w:t xml:space="preserve">the </w:t>
      </w:r>
      <w:r w:rsidRPr="001D458E">
        <w:t>previously said 2015. The goal is getting much farther. In such a way, it (the short tenure of Ministers) is very influential (over polic</w:t>
      </w:r>
      <w:r w:rsidRPr="001D458E">
        <w:rPr>
          <w:rFonts w:hint="eastAsia"/>
        </w:rPr>
        <w:t>y making</w:t>
      </w:r>
      <w:r w:rsidRPr="001D458E">
        <w:t xml:space="preserve"> and implementation). (</w:t>
      </w:r>
      <w:r w:rsidR="007634ED">
        <w:t>Interview with</w:t>
      </w:r>
      <w:r w:rsidRPr="001D458E">
        <w:t xml:space="preserve"> a consumer group leader)</w:t>
      </w:r>
    </w:p>
    <w:p w14:paraId="1DD6135E" w14:textId="77777777" w:rsidR="008D0572" w:rsidRPr="001D458E" w:rsidRDefault="008D0572" w:rsidP="008D0572"/>
    <w:p w14:paraId="38B1BC3D" w14:textId="77777777" w:rsidR="008D0572" w:rsidRPr="001D458E" w:rsidRDefault="008D0572" w:rsidP="008D0572">
      <w:r w:rsidRPr="001D458E">
        <w:t>Similarly, a civil servant shared these concerns:</w:t>
      </w:r>
    </w:p>
    <w:p w14:paraId="158F47C1" w14:textId="77777777" w:rsidR="008D0572" w:rsidRPr="001D458E" w:rsidRDefault="008D0572" w:rsidP="008D0572"/>
    <w:p w14:paraId="34C0778D" w14:textId="0A8EC4EB" w:rsidR="008D0572" w:rsidRPr="001D458E" w:rsidRDefault="008D0572" w:rsidP="008D0572">
      <w:pPr>
        <w:pStyle w:val="Quote"/>
      </w:pPr>
      <w:r w:rsidRPr="001D458E">
        <w:t xml:space="preserve">in </w:t>
      </w:r>
      <w:r w:rsidR="00BD72D7">
        <w:t xml:space="preserve">the </w:t>
      </w:r>
      <w:r w:rsidRPr="001D458E">
        <w:t xml:space="preserve">case of the DPJ, who determined fundamental principles such as (equivalents to post office) privatisation is unclear. Just decided like those based on the previous cases, or, simply, in </w:t>
      </w:r>
      <w:r w:rsidR="00BD72D7">
        <w:t xml:space="preserve">the </w:t>
      </w:r>
      <w:r w:rsidRPr="001D458E">
        <w:t xml:space="preserve">case of Mr Haraguchi, launching something somewhere with no substantial coordination, but because ministers’ tenure isn’t very long, whether such policies will be accomplished is doubtful. Based on such things, </w:t>
      </w:r>
      <w:r w:rsidR="00083ACC">
        <w:rPr>
          <w:i/>
        </w:rPr>
        <w:t>Seimu Sanyaku</w:t>
      </w:r>
      <w:r w:rsidRPr="001D458E">
        <w:rPr>
          <w:i/>
        </w:rPr>
        <w:t xml:space="preserve"> </w:t>
      </w:r>
      <w:r w:rsidRPr="001D458E">
        <w:t>tend</w:t>
      </w:r>
      <w:r w:rsidRPr="001D458E">
        <w:rPr>
          <w:rFonts w:hint="eastAsia"/>
        </w:rPr>
        <w:t xml:space="preserve">s </w:t>
      </w:r>
      <w:r w:rsidRPr="001D458E">
        <w:t xml:space="preserve">to proceed on their own hardly trying to form a consensus through bureaucracy. But, such </w:t>
      </w:r>
      <w:r w:rsidR="002F61A4">
        <w:rPr>
          <w:rFonts w:eastAsia="MS Mincho" w:hint="eastAsia"/>
          <w:lang w:eastAsia="ja-JP"/>
        </w:rPr>
        <w:t xml:space="preserve">an </w:t>
      </w:r>
      <w:r w:rsidRPr="001D458E">
        <w:t>approach doesn’t mobilise things. (</w:t>
      </w:r>
      <w:r w:rsidR="007634ED">
        <w:t>Interview with</w:t>
      </w:r>
      <w:r w:rsidRPr="001D458E">
        <w:t xml:space="preserve"> a</w:t>
      </w:r>
      <w:r w:rsidR="00BD72D7">
        <w:t>n</w:t>
      </w:r>
      <w:r w:rsidRPr="001D458E">
        <w:t xml:space="preserve"> MIC civil servant)</w:t>
      </w:r>
    </w:p>
    <w:p w14:paraId="56B73E27" w14:textId="77777777" w:rsidR="008D0572" w:rsidRPr="001D458E" w:rsidRDefault="008D0572" w:rsidP="008D0572"/>
    <w:p w14:paraId="4ED84784" w14:textId="77777777" w:rsidR="008D0572" w:rsidRPr="007D0DAA" w:rsidRDefault="008D0572" w:rsidP="008D0572">
      <w:pPr>
        <w:ind w:firstLine="284"/>
        <w:rPr>
          <w:rFonts w:eastAsia="MS Mincho"/>
          <w:lang w:eastAsia="ja-JP"/>
        </w:rPr>
      </w:pPr>
      <w:r w:rsidRPr="001D458E">
        <w:t>These accounts highlight the problem stemming from Cabinet Ministers’ short tenure: it significantly reduces the incentive to accomplish the policies initiated by Cabinet Ministers because the initiating Cabinet Minister is likely to leave soon. Also, the interviewees reveal a</w:t>
      </w:r>
      <w:r w:rsidRPr="001D458E">
        <w:rPr>
          <w:rFonts w:hint="eastAsia"/>
        </w:rPr>
        <w:t>n awkward</w:t>
      </w:r>
      <w:r w:rsidRPr="001D458E">
        <w:t xml:space="preserve"> relationship between DPJ Cabinet Ministers and civil servants. </w:t>
      </w:r>
      <w:r w:rsidRPr="001D458E">
        <w:rPr>
          <w:rFonts w:hint="eastAsia"/>
        </w:rPr>
        <w:t>The emergent challenge for DPJ Cabinet Ministers has been mobilising the bureaucratic machine</w:t>
      </w:r>
      <w:r w:rsidRPr="001D458E">
        <w:t xml:space="preserve">, which needs a stable relationship between </w:t>
      </w:r>
      <w:r w:rsidRPr="001D458E">
        <w:rPr>
          <w:rFonts w:hint="eastAsia"/>
        </w:rPr>
        <w:t xml:space="preserve">Cabinet Ministers </w:t>
      </w:r>
      <w:r w:rsidRPr="001D458E">
        <w:t xml:space="preserve">and </w:t>
      </w:r>
      <w:r w:rsidRPr="001D458E">
        <w:rPr>
          <w:rFonts w:hint="eastAsia"/>
        </w:rPr>
        <w:t xml:space="preserve">civil servants. </w:t>
      </w:r>
      <w:r w:rsidRPr="001D458E">
        <w:t>Cabinet Ministers’ short tenure destabilise</w:t>
      </w:r>
      <w:r w:rsidRPr="001D458E">
        <w:rPr>
          <w:rFonts w:hint="eastAsia"/>
        </w:rPr>
        <w:t>s</w:t>
      </w:r>
      <w:r w:rsidRPr="001D458E">
        <w:t xml:space="preserve"> such a relationship. A</w:t>
      </w:r>
      <w:r w:rsidRPr="001D458E">
        <w:rPr>
          <w:rFonts w:hint="eastAsia"/>
        </w:rPr>
        <w:t>ll accounts pointed out that Cabinet Ministers</w:t>
      </w:r>
      <w:r w:rsidRPr="001D458E">
        <w:t>’</w:t>
      </w:r>
      <w:r w:rsidRPr="001D458E">
        <w:rPr>
          <w:rFonts w:hint="eastAsia"/>
        </w:rPr>
        <w:t xml:space="preserve"> short tenure contributed to discouraging civil servant</w:t>
      </w:r>
      <w:r w:rsidR="00F519C3">
        <w:t>s from</w:t>
      </w:r>
      <w:r w:rsidRPr="001D458E">
        <w:rPr>
          <w:rFonts w:hint="eastAsia"/>
        </w:rPr>
        <w:t xml:space="preserve"> engaging in policy implementation. It </w:t>
      </w:r>
      <w:r w:rsidRPr="001D458E">
        <w:t xml:space="preserve">can be regarded as a </w:t>
      </w:r>
      <w:r w:rsidRPr="001D458E">
        <w:rPr>
          <w:rFonts w:hint="eastAsia"/>
        </w:rPr>
        <w:t xml:space="preserve">significant reason </w:t>
      </w:r>
      <w:r w:rsidRPr="001D458E">
        <w:t xml:space="preserve">explaining why </w:t>
      </w:r>
      <w:r w:rsidRPr="001D458E">
        <w:rPr>
          <w:rFonts w:hint="eastAsia"/>
        </w:rPr>
        <w:t xml:space="preserve">Cabinet Ministers </w:t>
      </w:r>
      <w:r w:rsidRPr="001D458E">
        <w:t xml:space="preserve">did not </w:t>
      </w:r>
      <w:r w:rsidRPr="001D458E">
        <w:rPr>
          <w:rFonts w:hint="eastAsia"/>
        </w:rPr>
        <w:t>emerg</w:t>
      </w:r>
      <w:r w:rsidRPr="001D458E">
        <w:t>e</w:t>
      </w:r>
      <w:r w:rsidR="007D0DAA">
        <w:rPr>
          <w:rFonts w:hint="eastAsia"/>
        </w:rPr>
        <w:t xml:space="preserve"> as a new dominant actor</w:t>
      </w:r>
      <w:r w:rsidR="007D0DAA">
        <w:rPr>
          <w:rFonts w:eastAsia="MS Mincho" w:hint="eastAsia"/>
          <w:lang w:eastAsia="ja-JP"/>
        </w:rPr>
        <w:t xml:space="preserve"> in decision making</w:t>
      </w:r>
      <w:r w:rsidR="007D0DAA">
        <w:rPr>
          <w:rFonts w:hint="eastAsia"/>
        </w:rPr>
        <w:t>.</w:t>
      </w:r>
    </w:p>
    <w:p w14:paraId="5A3C7BA0" w14:textId="77777777" w:rsidR="008D0572" w:rsidRPr="001D458E" w:rsidRDefault="008D0572" w:rsidP="008D0572">
      <w:pPr>
        <w:ind w:firstLine="284"/>
      </w:pPr>
      <w:r w:rsidRPr="001D458E">
        <w:t xml:space="preserve">In drawing the analyses together, between the 1985 NTT privatisation and around 2000, the </w:t>
      </w:r>
      <w:r w:rsidRPr="001D458E">
        <w:rPr>
          <w:rFonts w:hint="eastAsia"/>
        </w:rPr>
        <w:t>core executive</w:t>
      </w:r>
      <w:r w:rsidRPr="001D458E">
        <w:t xml:space="preserve"> sufficiently retained control over the ICT sector with the supremacy of party politicians including those in the LDP, having the fluid change of power within its actors.</w:t>
      </w:r>
      <w:r w:rsidRPr="001D458E">
        <w:rPr>
          <w:rFonts w:hint="eastAsia"/>
        </w:rPr>
        <w:t xml:space="preserve"> </w:t>
      </w:r>
    </w:p>
    <w:p w14:paraId="5D5F9FCF" w14:textId="320D9881" w:rsidR="008D0572" w:rsidRPr="001D458E" w:rsidRDefault="008D0572" w:rsidP="00B22A07">
      <w:pPr>
        <w:ind w:firstLine="284"/>
      </w:pPr>
      <w:r w:rsidRPr="001D458E">
        <w:rPr>
          <w:rFonts w:hint="eastAsia"/>
        </w:rPr>
        <w:t xml:space="preserve">The change of resources within the core executive between the 1980s and 2000s depicts the fluid nature of the core executive. </w:t>
      </w:r>
      <w:r w:rsidRPr="001D458E">
        <w:t xml:space="preserve">The emergence of the enhanced state actor (MPT) </w:t>
      </w:r>
      <w:r w:rsidRPr="001D458E">
        <w:rPr>
          <w:rFonts w:hint="eastAsia"/>
        </w:rPr>
        <w:t xml:space="preserve">came </w:t>
      </w:r>
      <w:r w:rsidRPr="001D458E">
        <w:t>with the move of the NTT from the state sector to the private sector</w:t>
      </w:r>
      <w:r w:rsidRPr="001D458E">
        <w:rPr>
          <w:rFonts w:hint="eastAsia"/>
        </w:rPr>
        <w:t xml:space="preserve"> together with its resources</w:t>
      </w:r>
      <w:r w:rsidRPr="001D458E">
        <w:t xml:space="preserve">. </w:t>
      </w:r>
      <w:r w:rsidRPr="001D458E">
        <w:rPr>
          <w:rFonts w:hint="eastAsia"/>
        </w:rPr>
        <w:t>The NTT</w:t>
      </w:r>
      <w:r w:rsidRPr="001D458E">
        <w:t>’</w:t>
      </w:r>
      <w:r w:rsidRPr="001D458E">
        <w:rPr>
          <w:rFonts w:hint="eastAsia"/>
        </w:rPr>
        <w:t>s resources of service provision moved to the private sector; instead, the resources of regulatory function securing the service provision emerged as the MPT</w:t>
      </w:r>
      <w:r w:rsidRPr="001D458E">
        <w:t>’</w:t>
      </w:r>
      <w:r w:rsidRPr="001D458E">
        <w:rPr>
          <w:rFonts w:hint="eastAsia"/>
        </w:rPr>
        <w:t xml:space="preserve">s regulatory function. </w:t>
      </w:r>
      <w:r w:rsidRPr="001D458E">
        <w:t xml:space="preserve">The key decisions were made by party politicians. </w:t>
      </w:r>
      <w:r w:rsidRPr="001D458E">
        <w:rPr>
          <w:rFonts w:hint="eastAsia"/>
        </w:rPr>
        <w:t>Their dominance in the policy making process has been based on their authority to approve bills in the Diet. The power of the MPT depended upon party politicians</w:t>
      </w:r>
      <w:r w:rsidRPr="001D458E">
        <w:t>’</w:t>
      </w:r>
      <w:r w:rsidRPr="001D458E">
        <w:rPr>
          <w:rFonts w:hint="eastAsia"/>
        </w:rPr>
        <w:t xml:space="preserve"> support to the bill drafted by the MPT. The one party rule by the LDP gave power to the informal process by the LDP. This situation gave party politicians (typically Liberal </w:t>
      </w:r>
      <w:r w:rsidRPr="001D458E">
        <w:t>Democrats</w:t>
      </w:r>
      <w:r w:rsidRPr="001D458E">
        <w:rPr>
          <w:rFonts w:hint="eastAsia"/>
        </w:rPr>
        <w:t xml:space="preserve">) outside the Cabinet power to control the policy making process. </w:t>
      </w:r>
      <w:r w:rsidRPr="001D458E">
        <w:t xml:space="preserve">The MPT has replaced the position held by the NTT and party politicians supervised such processes. </w:t>
      </w:r>
      <w:r w:rsidRPr="001D458E">
        <w:rPr>
          <w:rFonts w:hint="eastAsia"/>
        </w:rPr>
        <w:t xml:space="preserve">With significant expertise and the capacity of </w:t>
      </w:r>
      <w:r w:rsidRPr="001D458E">
        <w:t>lobbying</w:t>
      </w:r>
      <w:r w:rsidRPr="001D458E">
        <w:rPr>
          <w:rFonts w:hint="eastAsia"/>
        </w:rPr>
        <w:t xml:space="preserve"> to party politicians the NTT retained significant power after privatisation in 1985. However, the NTT</w:t>
      </w:r>
      <w:r w:rsidRPr="001D458E">
        <w:t>’</w:t>
      </w:r>
      <w:r w:rsidRPr="001D458E">
        <w:rPr>
          <w:rFonts w:hint="eastAsia"/>
        </w:rPr>
        <w:t>s power also depended upon party politicians; persuading them was the NTT</w:t>
      </w:r>
      <w:r w:rsidRPr="001D458E">
        <w:t>’</w:t>
      </w:r>
      <w:r w:rsidRPr="001D458E">
        <w:rPr>
          <w:rFonts w:hint="eastAsia"/>
        </w:rPr>
        <w:t>s method to influence the policy making. T</w:t>
      </w:r>
      <w:r w:rsidRPr="001D458E">
        <w:t>h</w:t>
      </w:r>
      <w:r w:rsidRPr="001D458E">
        <w:rPr>
          <w:rFonts w:hint="eastAsia"/>
        </w:rPr>
        <w:t xml:space="preserve">is means the core executive enjoyed a dominant position within the policy making process. </w:t>
      </w:r>
      <w:r w:rsidRPr="001D458E">
        <w:t>The internal change of the LDP had a significant impact on the decision making mechanism within party politicians, but this does not change the relative strength of party politicians as a whole to their bureaucratic and private sector counterparts</w:t>
      </w:r>
      <w:r w:rsidR="006F6149">
        <w:rPr>
          <w:rFonts w:hint="eastAsia"/>
          <w:lang w:eastAsia="ja-JP"/>
        </w:rPr>
        <w:t>; party politicians as a whole retained their power to other actors</w:t>
      </w:r>
      <w:r w:rsidR="00D92DB2">
        <w:rPr>
          <w:rFonts w:hint="eastAsia"/>
          <w:lang w:eastAsia="ja-JP"/>
        </w:rPr>
        <w:t xml:space="preserve"> with their power moved from </w:t>
      </w:r>
      <w:r w:rsidR="00F519C3">
        <w:rPr>
          <w:lang w:eastAsia="ja-JP"/>
        </w:rPr>
        <w:t>one</w:t>
      </w:r>
      <w:r w:rsidR="00D92DB2">
        <w:rPr>
          <w:rFonts w:hint="eastAsia"/>
          <w:lang w:eastAsia="ja-JP"/>
        </w:rPr>
        <w:t xml:space="preserve"> group of politicians to another</w:t>
      </w:r>
      <w:r w:rsidRPr="001D458E">
        <w:t xml:space="preserve">. The government change has exacerbated this internal change of party politicians by eradicating </w:t>
      </w:r>
      <w:r w:rsidRPr="001D458E">
        <w:rPr>
          <w:i/>
        </w:rPr>
        <w:t>Zoku Gi’in</w:t>
      </w:r>
      <w:r w:rsidRPr="001D458E">
        <w:t>, who are outside the Cabinet but within the ruling party in Japanese politics</w:t>
      </w:r>
      <w:r w:rsidRPr="001D458E">
        <w:rPr>
          <w:rFonts w:hint="eastAsia"/>
        </w:rPr>
        <w:t>.</w:t>
      </w:r>
      <w:r w:rsidRPr="001D458E">
        <w:t xml:space="preserve"> </w:t>
      </w:r>
      <w:r w:rsidRPr="001D458E">
        <w:rPr>
          <w:rFonts w:hint="eastAsia"/>
        </w:rPr>
        <w:t>Yet</w:t>
      </w:r>
      <w:r w:rsidRPr="001D458E">
        <w:t xml:space="preserve"> this gap has not been filled by other actors</w:t>
      </w:r>
      <w:r w:rsidRPr="001D458E">
        <w:rPr>
          <w:rFonts w:hint="eastAsia"/>
        </w:rPr>
        <w:t xml:space="preserve"> such as Cabinet Ministers</w:t>
      </w:r>
      <w:r w:rsidRPr="001D458E">
        <w:t xml:space="preserve">. What has emerged is a power vacuum; while party politicians are reorganising their </w:t>
      </w:r>
      <w:r w:rsidRPr="001D458E">
        <w:rPr>
          <w:rFonts w:hint="eastAsia"/>
        </w:rPr>
        <w:t>internal structure</w:t>
      </w:r>
      <w:r w:rsidRPr="001D458E">
        <w:t>, civil servants and private sector</w:t>
      </w:r>
      <w:r w:rsidRPr="001D458E">
        <w:rPr>
          <w:rFonts w:hint="eastAsia"/>
        </w:rPr>
        <w:t xml:space="preserve"> actor</w:t>
      </w:r>
      <w:r w:rsidRPr="001D458E">
        <w:t>s have not filled the gap created by this change among party politicians</w:t>
      </w:r>
      <w:r w:rsidRPr="001D458E">
        <w:rPr>
          <w:rFonts w:hint="eastAsia"/>
        </w:rPr>
        <w:t xml:space="preserve"> (see Table </w:t>
      </w:r>
      <w:r w:rsidR="00B22A07">
        <w:t>5.4</w:t>
      </w:r>
      <w:r w:rsidRPr="001D458E">
        <w:rPr>
          <w:rFonts w:hint="eastAsia"/>
        </w:rPr>
        <w:t>)</w:t>
      </w:r>
      <w:r w:rsidRPr="001D458E">
        <w:t>.</w:t>
      </w:r>
    </w:p>
    <w:p w14:paraId="3882BD9D" w14:textId="77777777" w:rsidR="008D0572" w:rsidRPr="001D458E" w:rsidRDefault="008D0572" w:rsidP="0095372D">
      <w:pPr>
        <w:pStyle w:val="NoSpacing"/>
      </w:pPr>
    </w:p>
    <w:p w14:paraId="0AB0FBB7" w14:textId="53430E67" w:rsidR="008D0572" w:rsidRPr="007614A6" w:rsidRDefault="008D0572" w:rsidP="00397E41">
      <w:pPr>
        <w:pStyle w:val="Heading4"/>
      </w:pPr>
      <w:r w:rsidRPr="007614A6">
        <w:t xml:space="preserve">Table </w:t>
      </w:r>
      <w:r w:rsidR="00B22A07">
        <w:t>5.4</w:t>
      </w:r>
      <w:r w:rsidRPr="007614A6">
        <w:t xml:space="preserve">: Relative Strength between Actors in the ICT Sector (The </w:t>
      </w:r>
      <w:r w:rsidR="00397E41">
        <w:t xml:space="preserve">shaded </w:t>
      </w:r>
      <w:r w:rsidR="009C70DD">
        <w:t>are</w:t>
      </w:r>
      <w:r w:rsidRPr="007614A6">
        <w:t xml:space="preserve"> state actors)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3"/>
        <w:gridCol w:w="2153"/>
        <w:gridCol w:w="2202"/>
        <w:gridCol w:w="2182"/>
      </w:tblGrid>
      <w:tr w:rsidR="008D0572" w:rsidRPr="001D458E" w14:paraId="6943340F" w14:textId="77777777" w:rsidTr="008D0572">
        <w:tc>
          <w:tcPr>
            <w:tcW w:w="2317" w:type="dxa"/>
            <w:tcBorders>
              <w:right w:val="double" w:sz="4" w:space="0" w:color="auto"/>
            </w:tcBorders>
          </w:tcPr>
          <w:p w14:paraId="42B5607D" w14:textId="77777777" w:rsidR="008D0572" w:rsidRPr="001D458E" w:rsidRDefault="008D0572" w:rsidP="008D0572">
            <w:pPr>
              <w:pStyle w:val="NoSpacing"/>
              <w:jc w:val="center"/>
            </w:pPr>
          </w:p>
        </w:tc>
        <w:tc>
          <w:tcPr>
            <w:tcW w:w="2317" w:type="dxa"/>
            <w:tcBorders>
              <w:left w:val="double" w:sz="4" w:space="0" w:color="auto"/>
            </w:tcBorders>
          </w:tcPr>
          <w:p w14:paraId="4343806A" w14:textId="77777777" w:rsidR="008D0572" w:rsidRPr="001D458E" w:rsidRDefault="008D0572" w:rsidP="008D0572">
            <w:pPr>
              <w:pStyle w:val="NoSpacing"/>
              <w:jc w:val="center"/>
            </w:pPr>
            <w:r w:rsidRPr="001D458E">
              <w:t>Before 1985</w:t>
            </w:r>
          </w:p>
        </w:tc>
        <w:tc>
          <w:tcPr>
            <w:tcW w:w="2317" w:type="dxa"/>
          </w:tcPr>
          <w:p w14:paraId="0FA236A8" w14:textId="77777777" w:rsidR="008D0572" w:rsidRPr="001D458E" w:rsidRDefault="008D0572" w:rsidP="008D0572">
            <w:pPr>
              <w:pStyle w:val="NoSpacing"/>
              <w:jc w:val="center"/>
            </w:pPr>
            <w:r w:rsidRPr="001D458E">
              <w:t>NTT privatisation -2000</w:t>
            </w:r>
          </w:p>
        </w:tc>
        <w:tc>
          <w:tcPr>
            <w:tcW w:w="2317" w:type="dxa"/>
          </w:tcPr>
          <w:p w14:paraId="5D177DD5" w14:textId="77777777" w:rsidR="008D0572" w:rsidRPr="001D458E" w:rsidRDefault="008D0572" w:rsidP="008D0572">
            <w:pPr>
              <w:pStyle w:val="NoSpacing"/>
              <w:jc w:val="center"/>
            </w:pPr>
            <w:r w:rsidRPr="001D458E">
              <w:t>2000-</w:t>
            </w:r>
          </w:p>
        </w:tc>
      </w:tr>
      <w:tr w:rsidR="008D0572" w:rsidRPr="001D458E" w14:paraId="57B7418D" w14:textId="77777777" w:rsidTr="008D0572">
        <w:tc>
          <w:tcPr>
            <w:tcW w:w="2317" w:type="dxa"/>
            <w:tcBorders>
              <w:right w:val="double" w:sz="4" w:space="0" w:color="auto"/>
            </w:tcBorders>
          </w:tcPr>
          <w:p w14:paraId="523121ED" w14:textId="77777777" w:rsidR="008D0572" w:rsidRPr="001D458E" w:rsidRDefault="008D0572" w:rsidP="008D0572">
            <w:pPr>
              <w:pStyle w:val="NoSpacing"/>
            </w:pPr>
            <w:r w:rsidRPr="001D458E">
              <w:t>Cabinet Ministers and their staff</w:t>
            </w:r>
          </w:p>
        </w:tc>
        <w:tc>
          <w:tcPr>
            <w:tcW w:w="2317" w:type="dxa"/>
            <w:tcBorders>
              <w:left w:val="double" w:sz="4" w:space="0" w:color="auto"/>
            </w:tcBorders>
            <w:shd w:val="pct20" w:color="auto" w:fill="auto"/>
          </w:tcPr>
          <w:p w14:paraId="41EF7251" w14:textId="77777777" w:rsidR="008D0572" w:rsidRPr="001D458E" w:rsidRDefault="008D0572" w:rsidP="008D0572">
            <w:pPr>
              <w:pStyle w:val="NoSpacing"/>
            </w:pPr>
            <w:r w:rsidRPr="001D458E">
              <w:t>Large</w:t>
            </w:r>
          </w:p>
        </w:tc>
        <w:tc>
          <w:tcPr>
            <w:tcW w:w="2317" w:type="dxa"/>
            <w:shd w:val="pct20" w:color="auto" w:fill="auto"/>
          </w:tcPr>
          <w:p w14:paraId="1A015283" w14:textId="77777777" w:rsidR="008D0572" w:rsidRPr="001D458E" w:rsidRDefault="008D0572" w:rsidP="008D0572">
            <w:pPr>
              <w:pStyle w:val="NoSpacing"/>
            </w:pPr>
            <w:r w:rsidRPr="001D458E">
              <w:t>Large</w:t>
            </w:r>
          </w:p>
        </w:tc>
        <w:tc>
          <w:tcPr>
            <w:tcW w:w="2317" w:type="dxa"/>
            <w:shd w:val="pct20" w:color="auto" w:fill="auto"/>
          </w:tcPr>
          <w:p w14:paraId="3FC73133" w14:textId="77777777" w:rsidR="008D0572" w:rsidRPr="001D458E" w:rsidRDefault="008D0572" w:rsidP="008D0572">
            <w:pPr>
              <w:pStyle w:val="NoSpacing"/>
            </w:pPr>
            <w:r w:rsidRPr="001D458E">
              <w:t>Enhanced further</w:t>
            </w:r>
          </w:p>
        </w:tc>
      </w:tr>
      <w:tr w:rsidR="008D0572" w:rsidRPr="001D458E" w14:paraId="38F58649" w14:textId="77777777" w:rsidTr="008D0572">
        <w:tc>
          <w:tcPr>
            <w:tcW w:w="2317" w:type="dxa"/>
            <w:tcBorders>
              <w:right w:val="double" w:sz="4" w:space="0" w:color="auto"/>
            </w:tcBorders>
          </w:tcPr>
          <w:p w14:paraId="2C5A97C3" w14:textId="77777777" w:rsidR="008D0572" w:rsidRPr="001D458E" w:rsidRDefault="008D0572" w:rsidP="008D0572">
            <w:pPr>
              <w:pStyle w:val="NoSpacing"/>
            </w:pPr>
            <w:r w:rsidRPr="001D458E">
              <w:t>Party politicians outside the Cabinet (</w:t>
            </w:r>
            <w:r w:rsidRPr="001D458E">
              <w:rPr>
                <w:i/>
              </w:rPr>
              <w:t>Zoku Gi’in</w:t>
            </w:r>
            <w:r w:rsidRPr="001D458E">
              <w:t>)</w:t>
            </w:r>
          </w:p>
        </w:tc>
        <w:tc>
          <w:tcPr>
            <w:tcW w:w="2317" w:type="dxa"/>
            <w:tcBorders>
              <w:left w:val="double" w:sz="4" w:space="0" w:color="auto"/>
            </w:tcBorders>
            <w:shd w:val="pct20" w:color="auto" w:fill="auto"/>
          </w:tcPr>
          <w:p w14:paraId="2A7CF001" w14:textId="77777777" w:rsidR="008D0572" w:rsidRPr="001D458E" w:rsidRDefault="008D0572" w:rsidP="008D0572">
            <w:pPr>
              <w:pStyle w:val="NoSpacing"/>
            </w:pPr>
            <w:r w:rsidRPr="001D458E">
              <w:t>Large</w:t>
            </w:r>
          </w:p>
        </w:tc>
        <w:tc>
          <w:tcPr>
            <w:tcW w:w="2317" w:type="dxa"/>
            <w:shd w:val="pct20" w:color="auto" w:fill="auto"/>
          </w:tcPr>
          <w:p w14:paraId="161019E0" w14:textId="77777777" w:rsidR="008D0572" w:rsidRPr="001D458E" w:rsidRDefault="008D0572" w:rsidP="008D0572">
            <w:pPr>
              <w:pStyle w:val="NoSpacing"/>
            </w:pPr>
            <w:r w:rsidRPr="001D458E">
              <w:t>Large</w:t>
            </w:r>
          </w:p>
        </w:tc>
        <w:tc>
          <w:tcPr>
            <w:tcW w:w="2317" w:type="dxa"/>
            <w:shd w:val="pct20" w:color="auto" w:fill="auto"/>
          </w:tcPr>
          <w:p w14:paraId="02BD731B" w14:textId="77777777" w:rsidR="008D0572" w:rsidRPr="001D458E" w:rsidRDefault="008D0572" w:rsidP="008D0572">
            <w:pPr>
              <w:pStyle w:val="NoSpacing"/>
            </w:pPr>
            <w:r w:rsidRPr="001D458E">
              <w:t>Declined</w:t>
            </w:r>
          </w:p>
        </w:tc>
      </w:tr>
      <w:tr w:rsidR="008D0572" w:rsidRPr="001D458E" w14:paraId="2A6BF0B5" w14:textId="77777777" w:rsidTr="008D0572">
        <w:tc>
          <w:tcPr>
            <w:tcW w:w="2317" w:type="dxa"/>
            <w:tcBorders>
              <w:right w:val="double" w:sz="4" w:space="0" w:color="auto"/>
            </w:tcBorders>
          </w:tcPr>
          <w:p w14:paraId="3E2D7032" w14:textId="77777777" w:rsidR="008D0572" w:rsidRPr="001D458E" w:rsidRDefault="008D0572" w:rsidP="008D0572">
            <w:pPr>
              <w:pStyle w:val="NoSpacing"/>
            </w:pPr>
            <w:r w:rsidRPr="001D458E">
              <w:t>The MPT</w:t>
            </w:r>
          </w:p>
        </w:tc>
        <w:tc>
          <w:tcPr>
            <w:tcW w:w="2317" w:type="dxa"/>
            <w:tcBorders>
              <w:left w:val="double" w:sz="4" w:space="0" w:color="auto"/>
            </w:tcBorders>
            <w:shd w:val="pct20" w:color="auto" w:fill="auto"/>
          </w:tcPr>
          <w:p w14:paraId="7035F831" w14:textId="77777777" w:rsidR="008D0572" w:rsidRPr="001D458E" w:rsidRDefault="008D0572" w:rsidP="008D0572">
            <w:pPr>
              <w:pStyle w:val="NoSpacing"/>
            </w:pPr>
            <w:r w:rsidRPr="001D458E">
              <w:t>Small</w:t>
            </w:r>
          </w:p>
        </w:tc>
        <w:tc>
          <w:tcPr>
            <w:tcW w:w="2317" w:type="dxa"/>
            <w:shd w:val="pct20" w:color="auto" w:fill="auto"/>
          </w:tcPr>
          <w:p w14:paraId="617F5B52" w14:textId="77777777" w:rsidR="008D0572" w:rsidRPr="001D458E" w:rsidRDefault="008D0572" w:rsidP="008D0572">
            <w:pPr>
              <w:pStyle w:val="NoSpacing"/>
            </w:pPr>
            <w:r w:rsidRPr="001D458E">
              <w:t>Enhanced</w:t>
            </w:r>
          </w:p>
        </w:tc>
        <w:tc>
          <w:tcPr>
            <w:tcW w:w="2317" w:type="dxa"/>
            <w:shd w:val="pct20" w:color="auto" w:fill="auto"/>
          </w:tcPr>
          <w:p w14:paraId="6DDF4BCD" w14:textId="77777777" w:rsidR="008D0572" w:rsidRPr="001D458E" w:rsidRDefault="008D0572" w:rsidP="008D0572">
            <w:pPr>
              <w:pStyle w:val="NoSpacing"/>
            </w:pPr>
            <w:r w:rsidRPr="001D458E">
              <w:t>Large</w:t>
            </w:r>
          </w:p>
        </w:tc>
      </w:tr>
      <w:tr w:rsidR="008D0572" w:rsidRPr="001D458E" w14:paraId="71E78C8C" w14:textId="77777777" w:rsidTr="008D0572">
        <w:tc>
          <w:tcPr>
            <w:tcW w:w="2317" w:type="dxa"/>
            <w:tcBorders>
              <w:right w:val="double" w:sz="4" w:space="0" w:color="auto"/>
            </w:tcBorders>
          </w:tcPr>
          <w:p w14:paraId="09FE25B3" w14:textId="77777777" w:rsidR="008D0572" w:rsidRPr="001D458E" w:rsidRDefault="008D0572" w:rsidP="008D0572">
            <w:pPr>
              <w:pStyle w:val="NoSpacing"/>
            </w:pPr>
            <w:r w:rsidRPr="001D458E">
              <w:t>The NTT</w:t>
            </w:r>
          </w:p>
        </w:tc>
        <w:tc>
          <w:tcPr>
            <w:tcW w:w="2317" w:type="dxa"/>
            <w:tcBorders>
              <w:left w:val="double" w:sz="4" w:space="0" w:color="auto"/>
            </w:tcBorders>
            <w:shd w:val="pct20" w:color="auto" w:fill="auto"/>
          </w:tcPr>
          <w:p w14:paraId="75F9049D" w14:textId="77777777" w:rsidR="008D0572" w:rsidRPr="001D458E" w:rsidRDefault="008D0572" w:rsidP="008D0572">
            <w:pPr>
              <w:pStyle w:val="NoSpacing"/>
            </w:pPr>
            <w:r w:rsidRPr="001D458E">
              <w:t>Large</w:t>
            </w:r>
          </w:p>
        </w:tc>
        <w:tc>
          <w:tcPr>
            <w:tcW w:w="2317" w:type="dxa"/>
          </w:tcPr>
          <w:p w14:paraId="6D32EAE7" w14:textId="77777777" w:rsidR="008D0572" w:rsidRPr="001D458E" w:rsidRDefault="008D0572" w:rsidP="008D0572">
            <w:pPr>
              <w:pStyle w:val="NoSpacing"/>
            </w:pPr>
            <w:r w:rsidRPr="001D458E">
              <w:t>Large</w:t>
            </w:r>
          </w:p>
        </w:tc>
        <w:tc>
          <w:tcPr>
            <w:tcW w:w="2317" w:type="dxa"/>
          </w:tcPr>
          <w:p w14:paraId="556A8119" w14:textId="77777777" w:rsidR="008D0572" w:rsidRPr="001D458E" w:rsidRDefault="008D0572" w:rsidP="008D0572">
            <w:pPr>
              <w:pStyle w:val="NoSpacing"/>
            </w:pPr>
            <w:r w:rsidRPr="001D458E">
              <w:t>Large</w:t>
            </w:r>
          </w:p>
        </w:tc>
      </w:tr>
    </w:tbl>
    <w:p w14:paraId="5B07C959" w14:textId="77777777" w:rsidR="008D0572" w:rsidRPr="001D458E" w:rsidRDefault="008D0572" w:rsidP="008D0572"/>
    <w:p w14:paraId="54C44A26" w14:textId="77777777" w:rsidR="008D0572" w:rsidRPr="0049751D" w:rsidRDefault="008D0572" w:rsidP="008D0572">
      <w:pPr>
        <w:ind w:firstLine="284"/>
        <w:rPr>
          <w:rFonts w:eastAsia="MS Mincho"/>
          <w:lang w:eastAsia="ja-JP"/>
        </w:rPr>
      </w:pPr>
      <w:r w:rsidRPr="001D458E">
        <w:rPr>
          <w:rFonts w:hint="eastAsia"/>
        </w:rPr>
        <w:t>This set of process</w:t>
      </w:r>
      <w:r w:rsidR="00E47A17">
        <w:t>es</w:t>
      </w:r>
      <w:r w:rsidRPr="001D458E">
        <w:rPr>
          <w:rFonts w:hint="eastAsia"/>
        </w:rPr>
        <w:t xml:space="preserve"> between the 1980s and 2000s prompted by the fluid change of resources and power within the core executive offers a different story to the British core executive</w:t>
      </w:r>
      <w:r w:rsidRPr="001D458E">
        <w:t>’</w:t>
      </w:r>
      <w:r w:rsidRPr="001D458E">
        <w:rPr>
          <w:rFonts w:hint="eastAsia"/>
        </w:rPr>
        <w:t>s depicted by Smith (1999 p.115-30). The key difference is the impact of the ruling parties</w:t>
      </w:r>
      <w:r w:rsidRPr="001D458E">
        <w:t>’</w:t>
      </w:r>
      <w:r w:rsidRPr="001D458E">
        <w:rPr>
          <w:rFonts w:hint="eastAsia"/>
        </w:rPr>
        <w:t xml:space="preserve"> internal rules resulting from the long dominance of the LDP within the administration. The ruling parties</w:t>
      </w:r>
      <w:r w:rsidRPr="001D458E">
        <w:t>’</w:t>
      </w:r>
      <w:r w:rsidRPr="001D458E">
        <w:rPr>
          <w:rFonts w:hint="eastAsia"/>
        </w:rPr>
        <w:t xml:space="preserve"> internal rules are not formal; it has been established within the political parties outside the formal institution of the state. The impact of the informal rule by the ruling parties, in particular the LDP, can be exemplified by the </w:t>
      </w:r>
      <w:r w:rsidRPr="001D458E">
        <w:t>existence</w:t>
      </w:r>
      <w:r w:rsidRPr="001D458E">
        <w:rPr>
          <w:rFonts w:hint="eastAsia"/>
        </w:rPr>
        <w:t xml:space="preserve"> and power of party politicians outside the Cabinet (</w:t>
      </w:r>
      <w:r w:rsidRPr="001D458E">
        <w:rPr>
          <w:rFonts w:hint="eastAsia"/>
          <w:i/>
        </w:rPr>
        <w:t>Zoku Gi</w:t>
      </w:r>
      <w:r w:rsidRPr="001D458E">
        <w:rPr>
          <w:i/>
        </w:rPr>
        <w:t>’</w:t>
      </w:r>
      <w:r w:rsidRPr="001D458E">
        <w:rPr>
          <w:rFonts w:hint="eastAsia"/>
          <w:i/>
        </w:rPr>
        <w:t>in</w:t>
      </w:r>
      <w:r w:rsidRPr="001D458E">
        <w:rPr>
          <w:rFonts w:hint="eastAsia"/>
        </w:rPr>
        <w:t xml:space="preserve">). The power of this group of party politicians gradually waned as Cabinet Ministers and their teams gained more power. This trend was intensified by government change in 2009. </w:t>
      </w:r>
      <w:r w:rsidRPr="001D458E">
        <w:t>T</w:t>
      </w:r>
      <w:r w:rsidRPr="001D458E">
        <w:rPr>
          <w:rFonts w:hint="eastAsia"/>
        </w:rPr>
        <w:t>his change of power within party politicians offers an example of fluid change of power within the core executive.</w:t>
      </w:r>
      <w:r w:rsidR="0049751D">
        <w:rPr>
          <w:rFonts w:eastAsia="MS Mincho" w:hint="eastAsia"/>
          <w:lang w:eastAsia="ja-JP"/>
        </w:rPr>
        <w:t xml:space="preserve"> The evidence of this thesis can be </w:t>
      </w:r>
      <w:r w:rsidR="0049751D">
        <w:rPr>
          <w:rFonts w:eastAsia="MS Mincho"/>
          <w:lang w:eastAsia="ja-JP"/>
        </w:rPr>
        <w:t>understood</w:t>
      </w:r>
      <w:r w:rsidR="0049751D">
        <w:rPr>
          <w:rFonts w:eastAsia="MS Mincho" w:hint="eastAsia"/>
          <w:lang w:eastAsia="ja-JP"/>
        </w:rPr>
        <w:t xml:space="preserve"> as an indication that the strength of party politicians is significant within the core executive.</w:t>
      </w:r>
    </w:p>
    <w:p w14:paraId="095D8673" w14:textId="77777777" w:rsidR="008D0572" w:rsidRPr="001D458E" w:rsidRDefault="008D0572" w:rsidP="008D0572">
      <w:pPr>
        <w:ind w:firstLine="284"/>
      </w:pPr>
      <w:r w:rsidRPr="001D458E">
        <w:rPr>
          <w:rFonts w:hint="eastAsia"/>
        </w:rPr>
        <w:t>T</w:t>
      </w:r>
      <w:r w:rsidRPr="001D458E">
        <w:t>h</w:t>
      </w:r>
      <w:r w:rsidRPr="001D458E">
        <w:rPr>
          <w:rFonts w:hint="eastAsia"/>
        </w:rPr>
        <w:t xml:space="preserve">e rise of </w:t>
      </w:r>
      <w:r w:rsidR="007D6665">
        <w:t xml:space="preserve">the </w:t>
      </w:r>
      <w:r w:rsidRPr="001D458E">
        <w:rPr>
          <w:rFonts w:hint="eastAsia"/>
        </w:rPr>
        <w:t xml:space="preserve">new regulatory ministry (MPT/MIC) reveals another case of the change of power. The analysis of this thesis concurs </w:t>
      </w:r>
      <w:r w:rsidR="00E47A17">
        <w:t xml:space="preserve">with </w:t>
      </w:r>
      <w:r w:rsidRPr="001D458E">
        <w:rPr>
          <w:rFonts w:hint="eastAsia"/>
        </w:rPr>
        <w:t xml:space="preserve">the argument of Vogel (1996) highlighting the rise of the MPT after 1985. </w:t>
      </w:r>
      <w:r w:rsidRPr="001D458E">
        <w:t>T</w:t>
      </w:r>
      <w:r w:rsidRPr="001D458E">
        <w:rPr>
          <w:rFonts w:hint="eastAsia"/>
        </w:rPr>
        <w:t>his rise of the MPT</w:t>
      </w:r>
      <w:r w:rsidRPr="001D458E">
        <w:t>’</w:t>
      </w:r>
      <w:r w:rsidRPr="001D458E">
        <w:rPr>
          <w:rFonts w:hint="eastAsia"/>
        </w:rPr>
        <w:t>s power resulted from another example of fluid change of power: the privatisation of the NTT offered the MPT an opportunity to enhance its power and authority. This can be understood as transformation of state power from the service provider (NTT) to the regulator (MPT/MIC).</w:t>
      </w:r>
    </w:p>
    <w:p w14:paraId="63FB99CE" w14:textId="4C38436C" w:rsidR="008D0572" w:rsidRPr="001D458E" w:rsidRDefault="008D0572" w:rsidP="0088177C">
      <w:pPr>
        <w:ind w:firstLine="284"/>
      </w:pPr>
      <w:r w:rsidRPr="001D458E">
        <w:rPr>
          <w:rFonts w:hint="eastAsia"/>
        </w:rPr>
        <w:t xml:space="preserve">A key characteristic of ICT regulation between the 1980s and 2000s is a significant degree of discretion by ruling party politicians. </w:t>
      </w:r>
      <w:r w:rsidRPr="001D458E">
        <w:t>T</w:t>
      </w:r>
      <w:r w:rsidRPr="001D458E">
        <w:rPr>
          <w:rFonts w:hint="eastAsia"/>
        </w:rPr>
        <w:t xml:space="preserve">hey have been lobbied by both civil servants (MPT/MIC) and industry and steered the sector. </w:t>
      </w:r>
      <w:r w:rsidRPr="001D458E">
        <w:t>T</w:t>
      </w:r>
      <w:r w:rsidRPr="001D458E">
        <w:rPr>
          <w:rFonts w:hint="eastAsia"/>
        </w:rPr>
        <w:t>ogether with the emerging regulatory function of the MPT</w:t>
      </w:r>
      <w:r w:rsidRPr="001D458E">
        <w:t>’</w:t>
      </w:r>
      <w:r w:rsidRPr="001D458E">
        <w:rPr>
          <w:rFonts w:hint="eastAsia"/>
        </w:rPr>
        <w:t xml:space="preserve">s regulation, the core executive has exercised the discretional approach to regulation. The tool of its discretion includes rule making capacity such as law amendments. The transformative mode of change has been conversion; few players expressed </w:t>
      </w:r>
      <w:r w:rsidR="00E47A17">
        <w:t xml:space="preserve">a </w:t>
      </w:r>
      <w:r w:rsidRPr="001D458E">
        <w:rPr>
          <w:rFonts w:hint="eastAsia"/>
        </w:rPr>
        <w:t>strong veto in Japan</w:t>
      </w:r>
      <w:r w:rsidRPr="001D458E">
        <w:t>’</w:t>
      </w:r>
      <w:r w:rsidRPr="001D458E">
        <w:rPr>
          <w:rFonts w:hint="eastAsia"/>
        </w:rPr>
        <w:t>s ICT regulation, except for the case of the NTT breakup, which has been debated for a decade with a strong veto by the NTT. T</w:t>
      </w:r>
      <w:r w:rsidRPr="001D458E">
        <w:t>h</w:t>
      </w:r>
      <w:r w:rsidRPr="001D458E">
        <w:rPr>
          <w:rFonts w:hint="eastAsia"/>
        </w:rPr>
        <w:t>e case of the NTT breakup therefore can be categorised as an example of drift, although key decisions in this example were also made by ruling party politicians. This set of change</w:t>
      </w:r>
      <w:r w:rsidR="008D4CE2">
        <w:t>s</w:t>
      </w:r>
      <w:r w:rsidRPr="001D458E">
        <w:rPr>
          <w:rFonts w:hint="eastAsia"/>
        </w:rPr>
        <w:t xml:space="preserve"> contrast </w:t>
      </w:r>
      <w:r w:rsidR="008D4CE2">
        <w:t>with</w:t>
      </w:r>
      <w:r w:rsidRPr="001D458E">
        <w:rPr>
          <w:rFonts w:hint="eastAsia"/>
        </w:rPr>
        <w:t xml:space="preserve"> </w:t>
      </w:r>
      <w:r w:rsidR="00F5663D">
        <w:t xml:space="preserve">those that occurred </w:t>
      </w:r>
      <w:r w:rsidR="008D4CE2">
        <w:t>in</w:t>
      </w:r>
      <w:r w:rsidRPr="001D458E">
        <w:rPr>
          <w:rFonts w:hint="eastAsia"/>
        </w:rPr>
        <w:t xml:space="preserve"> </w:t>
      </w:r>
      <w:r w:rsidR="000C6D35">
        <w:t>t</w:t>
      </w:r>
      <w:r w:rsidR="00F5663D">
        <w:t>he</w:t>
      </w:r>
      <w:r w:rsidR="000C6D35">
        <w:t xml:space="preserve"> 1985</w:t>
      </w:r>
      <w:r w:rsidRPr="001D458E">
        <w:rPr>
          <w:rFonts w:hint="eastAsia"/>
        </w:rPr>
        <w:t xml:space="preserve"> NTT privatisation, when </w:t>
      </w:r>
      <w:r w:rsidR="005015EE">
        <w:t>NTT privatisation as a clear short term policy goal did not allow a significant extent of discretion</w:t>
      </w:r>
      <w:r w:rsidR="00905145">
        <w:t>al interpretation</w:t>
      </w:r>
      <w:r w:rsidR="005015EE">
        <w:t xml:space="preserve"> or </w:t>
      </w:r>
      <w:r w:rsidR="00F32745">
        <w:t>create</w:t>
      </w:r>
      <w:r w:rsidR="005015EE">
        <w:t xml:space="preserve"> a significant opponent </w:t>
      </w:r>
      <w:r w:rsidR="00905145">
        <w:t>among</w:t>
      </w:r>
      <w:r w:rsidR="005015EE">
        <w:t xml:space="preserve"> key actors</w:t>
      </w:r>
      <w:r w:rsidRPr="001D458E">
        <w:rPr>
          <w:rFonts w:hint="eastAsia"/>
        </w:rPr>
        <w:t>. T</w:t>
      </w:r>
      <w:r w:rsidRPr="001D458E">
        <w:t>h</w:t>
      </w:r>
      <w:r w:rsidRPr="001D458E">
        <w:rPr>
          <w:rFonts w:hint="eastAsia"/>
        </w:rPr>
        <w:t>e change mode here can be understood as displacement.</w:t>
      </w:r>
    </w:p>
    <w:p w14:paraId="46485E3C" w14:textId="77777777" w:rsidR="008D0572" w:rsidRPr="001D458E" w:rsidRDefault="008D0572" w:rsidP="008D0572">
      <w:pPr>
        <w:ind w:firstLine="284"/>
      </w:pPr>
      <w:r w:rsidRPr="001D458E">
        <w:rPr>
          <w:rFonts w:hint="eastAsia"/>
        </w:rPr>
        <w:t>The above analysis reveals the dominance of the core executive with its discretion. T</w:t>
      </w:r>
      <w:r w:rsidRPr="001D458E">
        <w:t>h</w:t>
      </w:r>
      <w:r w:rsidRPr="001D458E">
        <w:rPr>
          <w:rFonts w:hint="eastAsia"/>
        </w:rPr>
        <w:t>e changes have taken place under the supervision of party politicians. The discretion of the core executive, party politicians</w:t>
      </w:r>
      <w:r w:rsidRPr="001D458E">
        <w:t>’</w:t>
      </w:r>
      <w:r w:rsidRPr="001D458E">
        <w:rPr>
          <w:rFonts w:hint="eastAsia"/>
        </w:rPr>
        <w:t xml:space="preserve"> in particular, has worked to retain their dominance in policy making. Policy making has involved the inner community of the core executive: ruling party politicians and the relevant government ministry (MPT/MIC). This set of analytical results offers an example of the core executive</w:t>
      </w:r>
      <w:r w:rsidRPr="001D458E">
        <w:t>’</w:t>
      </w:r>
      <w:r w:rsidRPr="001D458E">
        <w:rPr>
          <w:rFonts w:hint="eastAsia"/>
        </w:rPr>
        <w:t xml:space="preserve">s dominance through its </w:t>
      </w:r>
      <w:r w:rsidRPr="001D458E">
        <w:t>discretional</w:t>
      </w:r>
      <w:r w:rsidRPr="001D458E">
        <w:rPr>
          <w:rFonts w:hint="eastAsia"/>
        </w:rPr>
        <w:t xml:space="preserve"> approach to regulation.</w:t>
      </w:r>
    </w:p>
    <w:p w14:paraId="6153FAF0" w14:textId="257F646C" w:rsidR="008D0572" w:rsidRPr="001D458E" w:rsidRDefault="008D0572" w:rsidP="001F0520">
      <w:pPr>
        <w:ind w:firstLine="284"/>
      </w:pPr>
      <w:r w:rsidRPr="001D458E">
        <w:t xml:space="preserve">One of the important questions to explore this transformation is how this evolving core executive has affected the institution of Japan’s ICT sector. The next section addresses this by examining the lack of an independent regulator in Japan’s ICT sector. It is a distinctively </w:t>
      </w:r>
      <w:r w:rsidR="001F0520">
        <w:t>unusual</w:t>
      </w:r>
      <w:r w:rsidRPr="001D458E">
        <w:t xml:space="preserve"> institutional characteristic; Japan is a</w:t>
      </w:r>
      <w:r w:rsidRPr="001D458E">
        <w:rPr>
          <w:rFonts w:hint="eastAsia"/>
        </w:rPr>
        <w:t xml:space="preserve">typical in terms of having only a </w:t>
      </w:r>
      <w:r w:rsidRPr="001D458E">
        <w:t>few independent regulators</w:t>
      </w:r>
      <w:r w:rsidRPr="001D458E">
        <w:rPr>
          <w:rFonts w:hint="eastAsia"/>
        </w:rPr>
        <w:t xml:space="preserve"> who</w:t>
      </w:r>
      <w:r w:rsidRPr="001D458E">
        <w:t xml:space="preserve"> supervise regulatory implementation except for the JFTC (Fair Trade Commission, Japan) (OECD 2004</w:t>
      </w:r>
      <w:r w:rsidRPr="001D458E">
        <w:rPr>
          <w:rFonts w:hint="eastAsia"/>
        </w:rPr>
        <w:t xml:space="preserve"> p.46</w:t>
      </w:r>
      <w:r w:rsidRPr="001D458E">
        <w:t xml:space="preserve">). </w:t>
      </w:r>
      <w:r w:rsidRPr="001D458E">
        <w:rPr>
          <w:rFonts w:hint="eastAsia"/>
        </w:rPr>
        <w:t>Examining how a government ministry has retained its regulatory function offers an example of the process in which</w:t>
      </w:r>
      <w:r w:rsidR="008D4CE2">
        <w:t xml:space="preserve"> an</w:t>
      </w:r>
      <w:r w:rsidRPr="001D458E">
        <w:rPr>
          <w:rFonts w:hint="eastAsia"/>
        </w:rPr>
        <w:t xml:space="preserve"> actor</w:t>
      </w:r>
      <w:r w:rsidR="008D4CE2">
        <w:t>'</w:t>
      </w:r>
      <w:r w:rsidRPr="001D458E">
        <w:rPr>
          <w:rFonts w:hint="eastAsia"/>
        </w:rPr>
        <w:t xml:space="preserve">s </w:t>
      </w:r>
      <w:r w:rsidR="00E7435C">
        <w:rPr>
          <w:rFonts w:eastAsia="MS Mincho" w:hint="eastAsia"/>
          <w:lang w:eastAsia="ja-JP"/>
        </w:rPr>
        <w:t>initial decision</w:t>
      </w:r>
      <w:r w:rsidRPr="001D458E">
        <w:rPr>
          <w:rFonts w:hint="eastAsia"/>
        </w:rPr>
        <w:t xml:space="preserve"> has shaped a particular structure</w:t>
      </w:r>
      <w:r w:rsidRPr="001D458E">
        <w:t xml:space="preserve">. The following section analyses how the regulatory </w:t>
      </w:r>
      <w:r w:rsidR="00E7435C">
        <w:rPr>
          <w:rFonts w:eastAsia="MS Mincho" w:hint="eastAsia"/>
          <w:lang w:eastAsia="ja-JP"/>
        </w:rPr>
        <w:t xml:space="preserve">organisation </w:t>
      </w:r>
      <w:r w:rsidRPr="001D458E">
        <w:rPr>
          <w:rFonts w:hint="eastAsia"/>
        </w:rPr>
        <w:t xml:space="preserve">has </w:t>
      </w:r>
      <w:r w:rsidRPr="001D458E">
        <w:t xml:space="preserve">been </w:t>
      </w:r>
      <w:r w:rsidR="00E7435C">
        <w:rPr>
          <w:rFonts w:eastAsia="MS Mincho" w:hint="eastAsia"/>
          <w:lang w:eastAsia="ja-JP"/>
        </w:rPr>
        <w:t>shaped and what views actors have</w:t>
      </w:r>
      <w:r w:rsidRPr="001D458E">
        <w:t>.</w:t>
      </w:r>
    </w:p>
    <w:p w14:paraId="6DCEAC8A" w14:textId="77777777" w:rsidR="008D0572" w:rsidRPr="001D458E" w:rsidRDefault="008D0572" w:rsidP="008D0572">
      <w:pPr>
        <w:ind w:firstLine="284"/>
      </w:pPr>
    </w:p>
    <w:p w14:paraId="2CBE24CB" w14:textId="77777777" w:rsidR="008D0572" w:rsidRPr="001D458E" w:rsidRDefault="008D0572" w:rsidP="008D0572">
      <w:pPr>
        <w:ind w:firstLine="284"/>
      </w:pPr>
    </w:p>
    <w:p w14:paraId="15964090" w14:textId="77777777" w:rsidR="008D0572" w:rsidRPr="001D458E" w:rsidRDefault="008D0572" w:rsidP="00050D4B">
      <w:pPr>
        <w:pStyle w:val="Heading2"/>
      </w:pPr>
      <w:bookmarkStart w:id="52" w:name="_Toc349741374"/>
      <w:r w:rsidRPr="001D458E">
        <w:t>5.4</w:t>
      </w:r>
      <w:r w:rsidRPr="001D458E">
        <w:tab/>
        <w:t xml:space="preserve">The </w:t>
      </w:r>
      <w:r>
        <w:rPr>
          <w:rFonts w:eastAsiaTheme="minorEastAsia" w:hint="eastAsia"/>
          <w:lang w:eastAsia="ja-JP"/>
        </w:rPr>
        <w:t>e</w:t>
      </w:r>
      <w:r w:rsidRPr="001D458E">
        <w:t xml:space="preserve">mbeddedness of the </w:t>
      </w:r>
      <w:r>
        <w:rPr>
          <w:rFonts w:eastAsiaTheme="minorEastAsia" w:hint="eastAsia"/>
          <w:lang w:eastAsia="ja-JP"/>
        </w:rPr>
        <w:t>i</w:t>
      </w:r>
      <w:r w:rsidRPr="001D458E">
        <w:t xml:space="preserve">ndependent </w:t>
      </w:r>
      <w:r>
        <w:rPr>
          <w:rFonts w:eastAsiaTheme="minorEastAsia" w:hint="eastAsia"/>
          <w:lang w:eastAsia="ja-JP"/>
        </w:rPr>
        <w:t>r</w:t>
      </w:r>
      <w:r w:rsidRPr="001D458E">
        <w:t xml:space="preserve">egulator and the </w:t>
      </w:r>
      <w:r>
        <w:rPr>
          <w:rFonts w:eastAsiaTheme="minorEastAsia" w:hint="eastAsia"/>
          <w:lang w:eastAsia="ja-JP"/>
        </w:rPr>
        <w:t>e</w:t>
      </w:r>
      <w:r w:rsidRPr="001D458E">
        <w:t xml:space="preserve">volution of </w:t>
      </w:r>
      <w:r>
        <w:rPr>
          <w:rFonts w:eastAsiaTheme="minorEastAsia" w:hint="eastAsia"/>
          <w:lang w:eastAsia="ja-JP"/>
        </w:rPr>
        <w:t>r</w:t>
      </w:r>
      <w:r w:rsidRPr="001D458E">
        <w:t>egulation</w:t>
      </w:r>
      <w:bookmarkEnd w:id="52"/>
    </w:p>
    <w:p w14:paraId="40378C5C" w14:textId="77777777" w:rsidR="008D0572" w:rsidRPr="001D458E" w:rsidRDefault="008D0572" w:rsidP="008D0572">
      <w:pPr>
        <w:rPr>
          <w:lang w:eastAsia="ja-JP"/>
        </w:rPr>
      </w:pPr>
      <w:r w:rsidRPr="001D458E">
        <w:rPr>
          <w:lang w:eastAsia="ja-JP"/>
        </w:rPr>
        <w:t>Many of the interviews reflect disapproval</w:t>
      </w:r>
      <w:r w:rsidRPr="001D458E">
        <w:rPr>
          <w:rFonts w:hint="eastAsia"/>
          <w:lang w:eastAsia="ja-JP"/>
        </w:rPr>
        <w:t xml:space="preserve"> at</w:t>
      </w:r>
      <w:r w:rsidRPr="001D458E">
        <w:rPr>
          <w:lang w:eastAsia="ja-JP"/>
        </w:rPr>
        <w:t xml:space="preserve"> </w:t>
      </w:r>
      <w:r w:rsidRPr="001D458E">
        <w:rPr>
          <w:rFonts w:hint="eastAsia"/>
          <w:lang w:eastAsia="ja-JP"/>
        </w:rPr>
        <w:t xml:space="preserve">the notion of </w:t>
      </w:r>
      <w:r w:rsidRPr="001D458E">
        <w:rPr>
          <w:lang w:eastAsia="ja-JP"/>
        </w:rPr>
        <w:t>an independent regulator</w:t>
      </w:r>
      <w:r w:rsidRPr="001D458E">
        <w:rPr>
          <w:rFonts w:hint="eastAsia"/>
          <w:lang w:eastAsia="ja-JP"/>
        </w:rPr>
        <w:t>.</w:t>
      </w:r>
      <w:r w:rsidRPr="001D458E">
        <w:rPr>
          <w:lang w:eastAsia="ja-JP"/>
        </w:rPr>
        <w:t xml:space="preserve"> Few interviewees in the ICT sector expressed a positive view about establishing an independent regulator. As an example, a</w:t>
      </w:r>
      <w:r w:rsidR="00C943FC">
        <w:rPr>
          <w:lang w:eastAsia="ja-JP"/>
        </w:rPr>
        <w:t>n</w:t>
      </w:r>
      <w:r w:rsidRPr="001D458E">
        <w:rPr>
          <w:lang w:eastAsia="ja-JP"/>
        </w:rPr>
        <w:t xml:space="preserve"> LDP member of the House of Councillors cast </w:t>
      </w:r>
      <w:r w:rsidRPr="001D458E">
        <w:rPr>
          <w:rFonts w:hint="eastAsia"/>
          <w:lang w:eastAsia="ja-JP"/>
        </w:rPr>
        <w:t>d</w:t>
      </w:r>
      <w:r w:rsidRPr="001D458E">
        <w:rPr>
          <w:lang w:eastAsia="ja-JP"/>
        </w:rPr>
        <w:t xml:space="preserve">oubt </w:t>
      </w:r>
      <w:r w:rsidRPr="001D458E">
        <w:rPr>
          <w:rFonts w:hint="eastAsia"/>
          <w:lang w:eastAsia="ja-JP"/>
        </w:rPr>
        <w:t>over</w:t>
      </w:r>
      <w:r w:rsidRPr="001D458E">
        <w:rPr>
          <w:lang w:eastAsia="ja-JP"/>
        </w:rPr>
        <w:t xml:space="preserve"> the establishment of an independent regulator, pointing out the complex nature of the US FCC (Federal Communications Commission), where the regulatory functions are together with the implementation functions, in the following:</w:t>
      </w:r>
    </w:p>
    <w:p w14:paraId="2E107A2B" w14:textId="77777777" w:rsidR="008D0572" w:rsidRPr="001D458E" w:rsidRDefault="008D0572" w:rsidP="008D0572">
      <w:pPr>
        <w:rPr>
          <w:lang w:eastAsia="ja-JP"/>
        </w:rPr>
      </w:pPr>
    </w:p>
    <w:p w14:paraId="492B87CE" w14:textId="77777777" w:rsidR="008D0572" w:rsidRPr="001D458E" w:rsidRDefault="008D0572" w:rsidP="008D0572">
      <w:pPr>
        <w:pStyle w:val="Quote"/>
        <w:rPr>
          <w:lang w:eastAsia="ja-JP"/>
        </w:rPr>
      </w:pPr>
      <w:r w:rsidRPr="001D458E">
        <w:rPr>
          <w:lang w:eastAsia="ja-JP"/>
        </w:rPr>
        <w:t>I don’t think creating independent regulators will offer a significant benefit. Everyone often refers to a</w:t>
      </w:r>
      <w:r w:rsidR="00C943FC">
        <w:rPr>
          <w:lang w:eastAsia="ja-JP"/>
        </w:rPr>
        <w:t>n</w:t>
      </w:r>
      <w:r w:rsidRPr="001D458E">
        <w:rPr>
          <w:lang w:eastAsia="ja-JP"/>
        </w:rPr>
        <w:t xml:space="preserve"> FCC type organisation, but the FCC also has a political characteristic. Its commissioners are selected by the President. </w:t>
      </w:r>
      <w:r w:rsidRPr="001D458E">
        <w:rPr>
          <w:rFonts w:hint="eastAsia"/>
          <w:lang w:eastAsia="ja-JP"/>
        </w:rPr>
        <w:t>Its</w:t>
      </w:r>
      <w:r w:rsidRPr="001D458E">
        <w:rPr>
          <w:lang w:eastAsia="ja-JP"/>
        </w:rPr>
        <w:t xml:space="preserve"> regulatory functions tend to </w:t>
      </w:r>
      <w:r w:rsidRPr="001D458E">
        <w:rPr>
          <w:rFonts w:hint="eastAsia"/>
          <w:lang w:eastAsia="ja-JP"/>
        </w:rPr>
        <w:t>work</w:t>
      </w:r>
      <w:r w:rsidRPr="001D458E">
        <w:rPr>
          <w:lang w:eastAsia="ja-JP"/>
        </w:rPr>
        <w:t xml:space="preserve"> with its implementation functions, so regulatory functions are integrated into implementation functions. So I </w:t>
      </w:r>
      <w:r w:rsidRPr="001D458E">
        <w:rPr>
          <w:rFonts w:hint="eastAsia"/>
          <w:lang w:eastAsia="ja-JP"/>
        </w:rPr>
        <w:t>wonder with concern if</w:t>
      </w:r>
      <w:r w:rsidRPr="001D458E">
        <w:rPr>
          <w:lang w:eastAsia="ja-JP"/>
        </w:rPr>
        <w:t xml:space="preserve"> separating the regulatory functions from implementation functions will work only in Japan. (</w:t>
      </w:r>
      <w:r w:rsidR="007634ED">
        <w:t>Interview with</w:t>
      </w:r>
      <w:r w:rsidRPr="001D458E">
        <w:t xml:space="preserve"> a member of the House of Councillors (LDP</w:t>
      </w:r>
      <w:r w:rsidRPr="001D458E">
        <w:rPr>
          <w:rFonts w:hint="eastAsia"/>
          <w:lang w:eastAsia="ja-JP"/>
        </w:rPr>
        <w:t>)</w:t>
      </w:r>
      <w:r w:rsidRPr="001D458E">
        <w:t>)</w:t>
      </w:r>
    </w:p>
    <w:p w14:paraId="2605CEEB" w14:textId="77777777" w:rsidR="008D0572" w:rsidRPr="001D458E" w:rsidRDefault="008D0572" w:rsidP="008D0572">
      <w:pPr>
        <w:rPr>
          <w:lang w:eastAsia="ja-JP"/>
        </w:rPr>
      </w:pPr>
    </w:p>
    <w:p w14:paraId="47DFC21F" w14:textId="77777777" w:rsidR="008D0572" w:rsidRPr="001D458E" w:rsidRDefault="008D0572" w:rsidP="00BF14A8">
      <w:pPr>
        <w:rPr>
          <w:lang w:eastAsia="ja-JP"/>
        </w:rPr>
      </w:pPr>
      <w:r w:rsidRPr="001D458E">
        <w:rPr>
          <w:lang w:eastAsia="ja-JP"/>
        </w:rPr>
        <w:t xml:space="preserve">This concern </w:t>
      </w:r>
      <w:r w:rsidRPr="001D458E">
        <w:rPr>
          <w:rFonts w:hint="eastAsia"/>
          <w:lang w:eastAsia="ja-JP"/>
        </w:rPr>
        <w:t>over</w:t>
      </w:r>
      <w:r w:rsidRPr="001D458E">
        <w:rPr>
          <w:lang w:eastAsia="ja-JP"/>
        </w:rPr>
        <w:t xml:space="preserve"> the creation of an independent ICT regulator is shared by another LDP </w:t>
      </w:r>
      <w:r w:rsidRPr="001D458E">
        <w:rPr>
          <w:rFonts w:hint="eastAsia"/>
          <w:lang w:eastAsia="ja-JP"/>
        </w:rPr>
        <w:t>politician</w:t>
      </w:r>
      <w:r w:rsidRPr="001D458E">
        <w:rPr>
          <w:lang w:eastAsia="ja-JP"/>
        </w:rPr>
        <w:t xml:space="preserve">, who drew attention to the </w:t>
      </w:r>
      <w:r w:rsidRPr="001D458E">
        <w:rPr>
          <w:rFonts w:hint="eastAsia"/>
          <w:lang w:eastAsia="ja-JP"/>
        </w:rPr>
        <w:t>state tradition</w:t>
      </w:r>
      <w:r w:rsidRPr="001D458E">
        <w:rPr>
          <w:lang w:eastAsia="ja-JP"/>
        </w:rPr>
        <w:t xml:space="preserve"> of Japan’s policy making:</w:t>
      </w:r>
      <w:r w:rsidRPr="001D458E">
        <w:rPr>
          <w:rFonts w:hint="eastAsia"/>
          <w:lang w:eastAsia="ja-JP"/>
        </w:rPr>
        <w:t xml:space="preserve"> </w:t>
      </w:r>
      <w:r w:rsidRPr="001D458E">
        <w:rPr>
          <w:lang w:eastAsia="ja-JP"/>
        </w:rPr>
        <w:t>‘</w:t>
      </w:r>
      <w:r w:rsidRPr="001D458E">
        <w:rPr>
          <w:rFonts w:hint="eastAsia"/>
          <w:lang w:eastAsia="ja-JP"/>
        </w:rPr>
        <w:t>s</w:t>
      </w:r>
      <w:r w:rsidRPr="001D458E">
        <w:rPr>
          <w:lang w:eastAsia="ja-JP"/>
        </w:rPr>
        <w:t>ince Japan’s policy making model is co-ordination based and consensus based. So, directly introducing models like the FCC’</w:t>
      </w:r>
      <w:r w:rsidRPr="001D458E">
        <w:rPr>
          <w:rFonts w:hint="eastAsia"/>
          <w:lang w:eastAsia="ja-JP"/>
        </w:rPr>
        <w:t>s</w:t>
      </w:r>
      <w:r w:rsidRPr="001D458E">
        <w:rPr>
          <w:lang w:eastAsia="ja-JP"/>
        </w:rPr>
        <w:t xml:space="preserve"> will probably prompt resistance and opponents, in my view’ (</w:t>
      </w:r>
      <w:r w:rsidR="007634ED">
        <w:rPr>
          <w:lang w:eastAsia="ja-JP"/>
        </w:rPr>
        <w:t>Interview with</w:t>
      </w:r>
      <w:r w:rsidRPr="001D458E">
        <w:rPr>
          <w:lang w:eastAsia="ja-JP"/>
        </w:rPr>
        <w:t xml:space="preserve"> </w:t>
      </w:r>
      <w:r w:rsidRPr="001D458E">
        <w:t>a member of the House of Councillors (LDP)</w:t>
      </w:r>
      <w:r w:rsidRPr="001D458E">
        <w:rPr>
          <w:lang w:eastAsia="ja-JP"/>
        </w:rPr>
        <w:t>)</w:t>
      </w:r>
      <w:r w:rsidRPr="001D458E">
        <w:rPr>
          <w:rFonts w:hint="eastAsia"/>
          <w:lang w:eastAsia="ja-JP"/>
        </w:rPr>
        <w:t xml:space="preserve">. Elsewhere, there was a concern that </w:t>
      </w:r>
      <w:r w:rsidRPr="001D458E">
        <w:rPr>
          <w:lang w:eastAsia="ja-JP"/>
        </w:rPr>
        <w:t xml:space="preserve">an independent regulator </w:t>
      </w:r>
      <w:r w:rsidRPr="001D458E">
        <w:rPr>
          <w:rFonts w:hint="eastAsia"/>
          <w:lang w:eastAsia="ja-JP"/>
        </w:rPr>
        <w:t xml:space="preserve">similar </w:t>
      </w:r>
      <w:r w:rsidR="00557AA4">
        <w:rPr>
          <w:rFonts w:eastAsia="MS Mincho" w:hint="eastAsia"/>
          <w:lang w:eastAsia="ja-JP"/>
        </w:rPr>
        <w:t>to</w:t>
      </w:r>
      <w:r w:rsidRPr="001D458E">
        <w:rPr>
          <w:rFonts w:hint="eastAsia"/>
          <w:lang w:eastAsia="ja-JP"/>
        </w:rPr>
        <w:t xml:space="preserve"> the </w:t>
      </w:r>
      <w:r w:rsidRPr="001D458E">
        <w:rPr>
          <w:lang w:eastAsia="ja-JP"/>
        </w:rPr>
        <w:t xml:space="preserve">JFTC </w:t>
      </w:r>
      <w:r w:rsidRPr="001D458E">
        <w:rPr>
          <w:rFonts w:hint="eastAsia"/>
          <w:lang w:eastAsia="ja-JP"/>
        </w:rPr>
        <w:t xml:space="preserve">may </w:t>
      </w:r>
      <w:r w:rsidRPr="001D458E">
        <w:rPr>
          <w:lang w:eastAsia="ja-JP"/>
        </w:rPr>
        <w:t>fail to retain</w:t>
      </w:r>
      <w:r w:rsidRPr="001D458E">
        <w:rPr>
          <w:rFonts w:hint="eastAsia"/>
          <w:lang w:eastAsia="ja-JP"/>
        </w:rPr>
        <w:t xml:space="preserve"> </w:t>
      </w:r>
      <w:r w:rsidRPr="001D458E">
        <w:rPr>
          <w:lang w:eastAsia="ja-JP"/>
        </w:rPr>
        <w:t xml:space="preserve">the </w:t>
      </w:r>
      <w:r w:rsidRPr="001D458E">
        <w:rPr>
          <w:rFonts w:hint="eastAsia"/>
          <w:lang w:eastAsia="ja-JP"/>
        </w:rPr>
        <w:t>MIC</w:t>
      </w:r>
      <w:r w:rsidRPr="001D458E">
        <w:rPr>
          <w:lang w:eastAsia="ja-JP"/>
        </w:rPr>
        <w:t>’</w:t>
      </w:r>
      <w:r w:rsidRPr="001D458E">
        <w:rPr>
          <w:rFonts w:hint="eastAsia"/>
          <w:lang w:eastAsia="ja-JP"/>
        </w:rPr>
        <w:t xml:space="preserve">s current regulatory capacity and </w:t>
      </w:r>
      <w:r w:rsidRPr="001D458E">
        <w:rPr>
          <w:lang w:eastAsia="ja-JP"/>
        </w:rPr>
        <w:t>could be</w:t>
      </w:r>
      <w:r w:rsidRPr="001D458E">
        <w:rPr>
          <w:rFonts w:hint="eastAsia"/>
          <w:lang w:eastAsia="ja-JP"/>
        </w:rPr>
        <w:t>come</w:t>
      </w:r>
      <w:r w:rsidRPr="001D458E">
        <w:rPr>
          <w:lang w:eastAsia="ja-JP"/>
        </w:rPr>
        <w:t xml:space="preserve"> </w:t>
      </w:r>
      <w:r w:rsidRPr="001D458E">
        <w:rPr>
          <w:rFonts w:hint="eastAsia"/>
          <w:lang w:eastAsia="ja-JP"/>
        </w:rPr>
        <w:t xml:space="preserve">an </w:t>
      </w:r>
      <w:r w:rsidRPr="001D458E">
        <w:rPr>
          <w:lang w:eastAsia="ja-JP"/>
        </w:rPr>
        <w:t>incompetent regulat</w:t>
      </w:r>
      <w:r w:rsidRPr="001D458E">
        <w:rPr>
          <w:rFonts w:hint="eastAsia"/>
          <w:lang w:eastAsia="ja-JP"/>
        </w:rPr>
        <w:t xml:space="preserve">or to </w:t>
      </w:r>
      <w:r w:rsidRPr="001D458E">
        <w:rPr>
          <w:lang w:eastAsia="ja-JP"/>
        </w:rPr>
        <w:t xml:space="preserve">the NTT. </w:t>
      </w:r>
      <w:r w:rsidRPr="001D458E">
        <w:rPr>
          <w:rFonts w:hint="eastAsia"/>
          <w:lang w:eastAsia="ja-JP"/>
        </w:rPr>
        <w:t xml:space="preserve">Such a concern over the competence of an </w:t>
      </w:r>
      <w:r w:rsidRPr="001D458E">
        <w:rPr>
          <w:lang w:eastAsia="ja-JP"/>
        </w:rPr>
        <w:t>independent regulator</w:t>
      </w:r>
      <w:r w:rsidRPr="001D458E">
        <w:rPr>
          <w:rFonts w:hint="eastAsia"/>
          <w:lang w:eastAsia="ja-JP"/>
        </w:rPr>
        <w:t xml:space="preserve"> was</w:t>
      </w:r>
      <w:r w:rsidRPr="001D458E">
        <w:rPr>
          <w:lang w:eastAsia="ja-JP"/>
        </w:rPr>
        <w:t xml:space="preserve"> disclosed by a retired senior businessman, who </w:t>
      </w:r>
      <w:r w:rsidRPr="001D458E">
        <w:rPr>
          <w:rFonts w:hint="eastAsia"/>
          <w:lang w:eastAsia="ja-JP"/>
        </w:rPr>
        <w:t xml:space="preserve">was strongly committed to the idea of a </w:t>
      </w:r>
      <w:r w:rsidRPr="001D458E">
        <w:rPr>
          <w:lang w:eastAsia="ja-JP"/>
        </w:rPr>
        <w:t>powerful ICT regulator</w:t>
      </w:r>
      <w:r w:rsidRPr="001D458E">
        <w:rPr>
          <w:rFonts w:hint="eastAsia"/>
          <w:lang w:eastAsia="ja-JP"/>
        </w:rPr>
        <w:t>, having been a</w:t>
      </w:r>
      <w:r w:rsidR="00C943FC">
        <w:rPr>
          <w:lang w:eastAsia="ja-JP"/>
        </w:rPr>
        <w:t>n</w:t>
      </w:r>
      <w:r w:rsidRPr="001D458E">
        <w:rPr>
          <w:rFonts w:hint="eastAsia"/>
          <w:lang w:eastAsia="ja-JP"/>
        </w:rPr>
        <w:t xml:space="preserve"> </w:t>
      </w:r>
      <w:r w:rsidRPr="001D458E">
        <w:rPr>
          <w:lang w:eastAsia="ja-JP"/>
        </w:rPr>
        <w:t>NCC executive officer for years:</w:t>
      </w:r>
      <w:r w:rsidRPr="001D458E">
        <w:rPr>
          <w:rFonts w:hint="eastAsia"/>
          <w:lang w:eastAsia="ja-JP"/>
        </w:rPr>
        <w:t xml:space="preserve"> </w:t>
      </w:r>
      <w:r w:rsidRPr="001D458E">
        <w:rPr>
          <w:lang w:eastAsia="ja-JP"/>
        </w:rPr>
        <w:t xml:space="preserve">‘…whether the independent </w:t>
      </w:r>
      <w:r w:rsidR="00BF14A8" w:rsidRPr="001D458E">
        <w:rPr>
          <w:lang w:eastAsia="ja-JP"/>
        </w:rPr>
        <w:t>supervi</w:t>
      </w:r>
      <w:r w:rsidR="00BF14A8">
        <w:rPr>
          <w:lang w:eastAsia="ja-JP"/>
        </w:rPr>
        <w:t>s</w:t>
      </w:r>
      <w:r w:rsidR="00BF14A8" w:rsidRPr="001D458E">
        <w:rPr>
          <w:lang w:eastAsia="ja-JP"/>
        </w:rPr>
        <w:t>ory</w:t>
      </w:r>
      <w:r w:rsidRPr="001D458E">
        <w:rPr>
          <w:lang w:eastAsia="ja-JP"/>
        </w:rPr>
        <w:t xml:space="preserve"> commission, the Japanese FCC, can take decisive measures, do various things, and properly supervise is not clear, I suggest. So, I hesitate whether creating the Japanese FCC is good’ (</w:t>
      </w:r>
      <w:r w:rsidR="007634ED">
        <w:rPr>
          <w:lang w:eastAsia="ja-JP"/>
        </w:rPr>
        <w:t>Interview with</w:t>
      </w:r>
      <w:r w:rsidRPr="001D458E">
        <w:rPr>
          <w:lang w:eastAsia="ja-JP"/>
        </w:rPr>
        <w:t xml:space="preserve"> a retired executive officer of a telecoms operator)</w:t>
      </w:r>
      <w:r w:rsidRPr="001D458E">
        <w:rPr>
          <w:rFonts w:hint="eastAsia"/>
          <w:lang w:eastAsia="ja-JP"/>
        </w:rPr>
        <w:t xml:space="preserve">. A similar concern was expressed by </w:t>
      </w:r>
      <w:r w:rsidRPr="001D458E">
        <w:rPr>
          <w:lang w:eastAsia="ja-JP"/>
        </w:rPr>
        <w:t xml:space="preserve">a senior civil servant, referring </w:t>
      </w:r>
      <w:r w:rsidR="00557AA4">
        <w:rPr>
          <w:rFonts w:eastAsia="MS Mincho" w:hint="eastAsia"/>
          <w:lang w:eastAsia="ja-JP"/>
        </w:rPr>
        <w:t xml:space="preserve">to </w:t>
      </w:r>
      <w:r w:rsidRPr="001D458E">
        <w:rPr>
          <w:lang w:eastAsia="ja-JP"/>
        </w:rPr>
        <w:t>the case of independent commissions introduced by the SCAP (Supreme Power for the Allied Powers) just after World War II:</w:t>
      </w:r>
    </w:p>
    <w:p w14:paraId="6E26F44E" w14:textId="77777777" w:rsidR="008D0572" w:rsidRPr="001D458E" w:rsidRDefault="008D0572" w:rsidP="008D0572">
      <w:pPr>
        <w:rPr>
          <w:lang w:eastAsia="ja-JP"/>
        </w:rPr>
      </w:pPr>
    </w:p>
    <w:p w14:paraId="67773464" w14:textId="77777777" w:rsidR="008D0572" w:rsidRPr="001D458E" w:rsidRDefault="008D0572" w:rsidP="008D0572">
      <w:pPr>
        <w:pStyle w:val="Quote"/>
        <w:rPr>
          <w:lang w:eastAsia="ja-JP"/>
        </w:rPr>
      </w:pPr>
      <w:r w:rsidRPr="001D458E">
        <w:rPr>
          <w:rFonts w:hint="eastAsia"/>
          <w:lang w:eastAsia="ja-JP"/>
        </w:rPr>
        <w:t>In my honest opinion, independent administrative organisations were introduced under the administration of the SCAP, but it</w:t>
      </w:r>
      <w:r w:rsidRPr="001D458E">
        <w:rPr>
          <w:lang w:eastAsia="ja-JP"/>
        </w:rPr>
        <w:t>’</w:t>
      </w:r>
      <w:r w:rsidRPr="001D458E">
        <w:rPr>
          <w:rFonts w:hint="eastAsia"/>
          <w:lang w:eastAsia="ja-JP"/>
        </w:rPr>
        <w:t xml:space="preserve">s </w:t>
      </w:r>
      <w:r w:rsidRPr="001D458E">
        <w:rPr>
          <w:lang w:eastAsia="ja-JP"/>
        </w:rPr>
        <w:t>doubtful</w:t>
      </w:r>
      <w:r w:rsidRPr="001D458E">
        <w:rPr>
          <w:rFonts w:hint="eastAsia"/>
          <w:lang w:eastAsia="ja-JP"/>
        </w:rPr>
        <w:t xml:space="preserve"> </w:t>
      </w:r>
      <w:r w:rsidRPr="001D458E">
        <w:rPr>
          <w:lang w:eastAsia="ja-JP"/>
        </w:rPr>
        <w:t>if</w:t>
      </w:r>
      <w:r w:rsidRPr="001D458E">
        <w:rPr>
          <w:rFonts w:hint="eastAsia"/>
          <w:lang w:eastAsia="ja-JP"/>
        </w:rPr>
        <w:t xml:space="preserve"> they strongly worked. So, I suggest, </w:t>
      </w:r>
      <w:r w:rsidRPr="001D458E">
        <w:rPr>
          <w:lang w:eastAsia="ja-JP"/>
        </w:rPr>
        <w:t xml:space="preserve">the </w:t>
      </w:r>
      <w:r w:rsidRPr="001D458E">
        <w:rPr>
          <w:rFonts w:hint="eastAsia"/>
          <w:lang w:eastAsia="ja-JP"/>
        </w:rPr>
        <w:t>regulatory authority</w:t>
      </w:r>
      <w:r w:rsidRPr="001D458E">
        <w:rPr>
          <w:lang w:eastAsia="ja-JP"/>
        </w:rPr>
        <w:t>’</w:t>
      </w:r>
      <w:r w:rsidRPr="001D458E">
        <w:rPr>
          <w:rFonts w:hint="eastAsia"/>
          <w:lang w:eastAsia="ja-JP"/>
        </w:rPr>
        <w:t>s power will decline when it</w:t>
      </w:r>
      <w:r w:rsidRPr="001D458E">
        <w:rPr>
          <w:lang w:eastAsia="ja-JP"/>
        </w:rPr>
        <w:t>’</w:t>
      </w:r>
      <w:r w:rsidRPr="001D458E">
        <w:rPr>
          <w:rFonts w:hint="eastAsia"/>
          <w:lang w:eastAsia="ja-JP"/>
        </w:rPr>
        <w:t>s transformed to a commission. If it needs to implement the determined things in determined way</w:t>
      </w:r>
      <w:r w:rsidRPr="001D458E">
        <w:rPr>
          <w:lang w:eastAsia="ja-JP"/>
        </w:rPr>
        <w:t>s</w:t>
      </w:r>
      <w:r w:rsidRPr="001D458E">
        <w:rPr>
          <w:rFonts w:hint="eastAsia"/>
          <w:lang w:eastAsia="ja-JP"/>
        </w:rPr>
        <w:t>, it may work, but governing needs something creative in Japan, so it</w:t>
      </w:r>
      <w:r w:rsidRPr="001D458E">
        <w:rPr>
          <w:lang w:eastAsia="ja-JP"/>
        </w:rPr>
        <w:t>’</w:t>
      </w:r>
      <w:r w:rsidRPr="001D458E">
        <w:rPr>
          <w:rFonts w:hint="eastAsia"/>
          <w:lang w:eastAsia="ja-JP"/>
        </w:rPr>
        <w:t xml:space="preserve">s not clear whether such creative activities can be done by a commission. </w:t>
      </w:r>
      <w:r w:rsidRPr="001D458E">
        <w:rPr>
          <w:lang w:eastAsia="ja-JP"/>
        </w:rPr>
        <w:t>T</w:t>
      </w:r>
      <w:r w:rsidRPr="001D458E">
        <w:rPr>
          <w:rFonts w:hint="eastAsia"/>
          <w:lang w:eastAsia="ja-JP"/>
        </w:rPr>
        <w:t xml:space="preserve">he JFTC has a clear mission, which is supervising competition in the markets, so if the mission is clear, a </w:t>
      </w:r>
      <w:r w:rsidRPr="001D458E">
        <w:rPr>
          <w:lang w:eastAsia="ja-JP"/>
        </w:rPr>
        <w:t>commission</w:t>
      </w:r>
      <w:r w:rsidRPr="001D458E">
        <w:rPr>
          <w:rFonts w:hint="eastAsia"/>
          <w:lang w:eastAsia="ja-JP"/>
        </w:rPr>
        <w:t xml:space="preserve"> can work. </w:t>
      </w:r>
      <w:r w:rsidRPr="001D458E">
        <w:rPr>
          <w:lang w:eastAsia="ja-JP"/>
        </w:rPr>
        <w:t>B</w:t>
      </w:r>
      <w:r w:rsidRPr="001D458E">
        <w:rPr>
          <w:rFonts w:hint="eastAsia"/>
          <w:lang w:eastAsia="ja-JP"/>
        </w:rPr>
        <w:t xml:space="preserve">ut I wonder if a </w:t>
      </w:r>
      <w:r w:rsidRPr="001D458E">
        <w:rPr>
          <w:lang w:eastAsia="ja-JP"/>
        </w:rPr>
        <w:t>commission</w:t>
      </w:r>
      <w:r w:rsidRPr="001D458E">
        <w:rPr>
          <w:rFonts w:hint="eastAsia"/>
          <w:lang w:eastAsia="ja-JP"/>
        </w:rPr>
        <w:t xml:space="preserve"> can create </w:t>
      </w:r>
      <w:r w:rsidRPr="001D458E">
        <w:rPr>
          <w:lang w:eastAsia="ja-JP"/>
        </w:rPr>
        <w:t>its own</w:t>
      </w:r>
      <w:r w:rsidRPr="001D458E">
        <w:rPr>
          <w:rFonts w:hint="eastAsia"/>
          <w:lang w:eastAsia="ja-JP"/>
        </w:rPr>
        <w:t xml:space="preserve"> mission</w:t>
      </w:r>
      <w:r w:rsidRPr="001D458E">
        <w:rPr>
          <w:lang w:eastAsia="ja-JP"/>
        </w:rPr>
        <w:t xml:space="preserve">. </w:t>
      </w:r>
      <w:r w:rsidRPr="001D458E">
        <w:rPr>
          <w:rFonts w:hint="eastAsia"/>
          <w:lang w:eastAsia="ja-JP"/>
        </w:rPr>
        <w:t>(</w:t>
      </w:r>
      <w:r w:rsidR="007634ED">
        <w:rPr>
          <w:rFonts w:hint="eastAsia"/>
          <w:lang w:eastAsia="ja-JP"/>
        </w:rPr>
        <w:t>Interview with</w:t>
      </w:r>
      <w:r w:rsidRPr="001D458E">
        <w:rPr>
          <w:rFonts w:hint="eastAsia"/>
          <w:lang w:eastAsia="ja-JP"/>
        </w:rPr>
        <w:t xml:space="preserve"> a senior civil servant)</w:t>
      </w:r>
    </w:p>
    <w:p w14:paraId="6321DB6F" w14:textId="77777777" w:rsidR="008D0572" w:rsidRPr="001D458E" w:rsidRDefault="008D0572" w:rsidP="008D0572">
      <w:pPr>
        <w:rPr>
          <w:lang w:eastAsia="ja-JP"/>
        </w:rPr>
      </w:pPr>
    </w:p>
    <w:p w14:paraId="24EC1BE0" w14:textId="77777777" w:rsidR="008D0572" w:rsidRPr="001D458E" w:rsidRDefault="008D0572" w:rsidP="008D0572">
      <w:pPr>
        <w:rPr>
          <w:lang w:eastAsia="ja-JP"/>
        </w:rPr>
      </w:pPr>
      <w:r w:rsidRPr="001D458E">
        <w:rPr>
          <w:lang w:eastAsia="ja-JP"/>
        </w:rPr>
        <w:t xml:space="preserve">This interviewee also cast doubt about the benefit of creating an independent regulator: </w:t>
      </w:r>
    </w:p>
    <w:p w14:paraId="10F61F18" w14:textId="77777777" w:rsidR="008D0572" w:rsidRPr="001D458E" w:rsidRDefault="008D0572" w:rsidP="008D0572">
      <w:pPr>
        <w:rPr>
          <w:lang w:eastAsia="ja-JP"/>
        </w:rPr>
      </w:pPr>
    </w:p>
    <w:p w14:paraId="4D139078" w14:textId="233C4313" w:rsidR="008D0572" w:rsidRPr="001D458E" w:rsidRDefault="008D0572" w:rsidP="00A173AF">
      <w:pPr>
        <w:pStyle w:val="Quote"/>
        <w:rPr>
          <w:lang w:eastAsia="ja-JP"/>
        </w:rPr>
      </w:pPr>
      <w:r w:rsidRPr="001D458E">
        <w:rPr>
          <w:rFonts w:hint="eastAsia"/>
          <w:lang w:eastAsia="ja-JP"/>
        </w:rPr>
        <w:t xml:space="preserve">it is debatable whether regulation and policy can be separated </w:t>
      </w:r>
      <w:r w:rsidR="00C943FC">
        <w:rPr>
          <w:lang w:eastAsia="ja-JP"/>
        </w:rPr>
        <w:t xml:space="preserve">from </w:t>
      </w:r>
      <w:r w:rsidRPr="001D458E">
        <w:rPr>
          <w:rFonts w:hint="eastAsia"/>
          <w:lang w:eastAsia="ja-JP"/>
        </w:rPr>
        <w:t xml:space="preserve">each other. </w:t>
      </w:r>
      <w:r w:rsidRPr="001D458E">
        <w:rPr>
          <w:lang w:eastAsia="ja-JP"/>
        </w:rPr>
        <w:t>B</w:t>
      </w:r>
      <w:r w:rsidRPr="001D458E">
        <w:rPr>
          <w:rFonts w:hint="eastAsia"/>
          <w:lang w:eastAsia="ja-JP"/>
        </w:rPr>
        <w:t xml:space="preserve">ut it will create both benefits and problems. </w:t>
      </w:r>
      <w:r w:rsidRPr="001D458E">
        <w:rPr>
          <w:lang w:eastAsia="ja-JP"/>
        </w:rPr>
        <w:t>I</w:t>
      </w:r>
      <w:r w:rsidRPr="001D458E">
        <w:rPr>
          <w:rFonts w:hint="eastAsia"/>
          <w:lang w:eastAsia="ja-JP"/>
        </w:rPr>
        <w:t xml:space="preserve">t is </w:t>
      </w:r>
      <w:r w:rsidRPr="001D458E">
        <w:rPr>
          <w:lang w:eastAsia="ja-JP"/>
        </w:rPr>
        <w:t>theoretically</w:t>
      </w:r>
      <w:r w:rsidRPr="001D458E">
        <w:rPr>
          <w:rFonts w:hint="eastAsia"/>
          <w:lang w:eastAsia="ja-JP"/>
        </w:rPr>
        <w:t xml:space="preserve"> possible that creating policy will be done by a different organisation and only </w:t>
      </w:r>
      <w:r w:rsidRPr="001D458E">
        <w:rPr>
          <w:lang w:eastAsia="ja-JP"/>
        </w:rPr>
        <w:t>implementation</w:t>
      </w:r>
      <w:r w:rsidRPr="001D458E">
        <w:rPr>
          <w:rFonts w:hint="eastAsia"/>
          <w:lang w:eastAsia="ja-JP"/>
        </w:rPr>
        <w:t xml:space="preserve"> will be done by the commission.</w:t>
      </w:r>
      <w:r w:rsidRPr="001D458E">
        <w:rPr>
          <w:lang w:eastAsia="ja-JP"/>
        </w:rPr>
        <w:t xml:space="preserve">  …</w:t>
      </w:r>
      <w:r w:rsidRPr="001D458E">
        <w:rPr>
          <w:rFonts w:hint="eastAsia"/>
          <w:lang w:eastAsia="ja-JP"/>
        </w:rPr>
        <w:t>but we</w:t>
      </w:r>
      <w:r w:rsidRPr="001D458E">
        <w:rPr>
          <w:lang w:eastAsia="ja-JP"/>
        </w:rPr>
        <w:t xml:space="preserve"> have</w:t>
      </w:r>
      <w:r w:rsidRPr="001D458E">
        <w:rPr>
          <w:rFonts w:hint="eastAsia"/>
          <w:lang w:eastAsia="ja-JP"/>
        </w:rPr>
        <w:t>n</w:t>
      </w:r>
      <w:r w:rsidRPr="001D458E">
        <w:rPr>
          <w:lang w:eastAsia="ja-JP"/>
        </w:rPr>
        <w:t>’</w:t>
      </w:r>
      <w:r w:rsidRPr="001D458E">
        <w:rPr>
          <w:rFonts w:hint="eastAsia"/>
          <w:lang w:eastAsia="ja-JP"/>
        </w:rPr>
        <w:t xml:space="preserve">t done </w:t>
      </w:r>
      <w:r w:rsidR="00C943FC">
        <w:rPr>
          <w:lang w:eastAsia="ja-JP"/>
        </w:rPr>
        <w:t xml:space="preserve">it </w:t>
      </w:r>
      <w:r w:rsidRPr="001D458E">
        <w:rPr>
          <w:rFonts w:hint="eastAsia"/>
          <w:lang w:eastAsia="ja-JP"/>
        </w:rPr>
        <w:t xml:space="preserve">in such a way so </w:t>
      </w:r>
      <w:r w:rsidRPr="001D458E">
        <w:rPr>
          <w:lang w:eastAsia="ja-JP"/>
        </w:rPr>
        <w:t>far</w:t>
      </w:r>
      <w:r w:rsidRPr="001D458E">
        <w:rPr>
          <w:rFonts w:hint="eastAsia"/>
          <w:lang w:eastAsia="ja-JP"/>
        </w:rPr>
        <w:t xml:space="preserve"> and I doubt we will get benefits by employing such an approach</w:t>
      </w:r>
      <w:r w:rsidRPr="001D458E">
        <w:rPr>
          <w:lang w:eastAsia="ja-JP"/>
        </w:rPr>
        <w:t xml:space="preserve"> (creating an independent regulator)</w:t>
      </w:r>
      <w:r w:rsidRPr="001D458E">
        <w:rPr>
          <w:rFonts w:hint="eastAsia"/>
          <w:lang w:eastAsia="ja-JP"/>
        </w:rPr>
        <w:t>. (</w:t>
      </w:r>
      <w:r w:rsidR="007634ED">
        <w:rPr>
          <w:rFonts w:hint="eastAsia"/>
          <w:lang w:eastAsia="ja-JP"/>
        </w:rPr>
        <w:t>Interview with</w:t>
      </w:r>
      <w:r w:rsidRPr="001D458E">
        <w:rPr>
          <w:rFonts w:hint="eastAsia"/>
          <w:lang w:eastAsia="ja-JP"/>
        </w:rPr>
        <w:t xml:space="preserve"> a senior civil servant)</w:t>
      </w:r>
    </w:p>
    <w:p w14:paraId="029A20A4" w14:textId="77777777" w:rsidR="008D0572" w:rsidRPr="001D458E" w:rsidRDefault="008D0572" w:rsidP="008D0572">
      <w:pPr>
        <w:rPr>
          <w:lang w:eastAsia="ja-JP"/>
        </w:rPr>
      </w:pPr>
    </w:p>
    <w:p w14:paraId="6DE2ED45" w14:textId="77777777" w:rsidR="008D0572" w:rsidRPr="001D458E" w:rsidRDefault="008D0572" w:rsidP="008D0572">
      <w:pPr>
        <w:rPr>
          <w:lang w:eastAsia="ja-JP"/>
        </w:rPr>
      </w:pPr>
      <w:r w:rsidRPr="001D458E">
        <w:rPr>
          <w:lang w:eastAsia="ja-JP"/>
        </w:rPr>
        <w:t xml:space="preserve">His view concurred </w:t>
      </w:r>
      <w:r w:rsidR="00ED40C8">
        <w:rPr>
          <w:lang w:eastAsia="ja-JP"/>
        </w:rPr>
        <w:t xml:space="preserve">with </w:t>
      </w:r>
      <w:r w:rsidRPr="001D458E">
        <w:rPr>
          <w:lang w:eastAsia="ja-JP"/>
        </w:rPr>
        <w:t>the MPT’s official paper in 1997: ‘</w:t>
      </w:r>
      <w:r w:rsidRPr="001D458E">
        <w:rPr>
          <w:rFonts w:hint="eastAsia"/>
          <w:lang w:eastAsia="ja-JP"/>
        </w:rPr>
        <w:t>...</w:t>
      </w:r>
      <w:r w:rsidRPr="001D458E">
        <w:rPr>
          <w:lang w:eastAsia="ja-JP"/>
        </w:rPr>
        <w:t>the information and communications sector</w:t>
      </w:r>
      <w:r w:rsidRPr="001D458E">
        <w:rPr>
          <w:rFonts w:hint="eastAsia"/>
          <w:lang w:eastAsia="ja-JP"/>
        </w:rPr>
        <w:t xml:space="preserve"> requires </w:t>
      </w:r>
      <w:r w:rsidRPr="001D458E">
        <w:rPr>
          <w:lang w:eastAsia="ja-JP"/>
        </w:rPr>
        <w:t xml:space="preserve">comprehensive, strategic and timely responses. This kind of sector does not suit an administrative commission based on collective decision making with the independent authority of the </w:t>
      </w:r>
      <w:r w:rsidR="00557AA4">
        <w:rPr>
          <w:rFonts w:eastAsia="MS Mincho" w:hint="eastAsia"/>
          <w:lang w:eastAsia="ja-JP"/>
        </w:rPr>
        <w:t>C</w:t>
      </w:r>
      <w:r w:rsidRPr="001D458E">
        <w:rPr>
          <w:lang w:eastAsia="ja-JP"/>
        </w:rPr>
        <w:t>abinet’</w:t>
      </w:r>
      <w:r w:rsidRPr="001D458E">
        <w:rPr>
          <w:rFonts w:hint="eastAsia"/>
          <w:lang w:eastAsia="ja-JP"/>
        </w:rPr>
        <w:t xml:space="preserve"> (MPT 1997)</w:t>
      </w:r>
      <w:r w:rsidRPr="001D458E">
        <w:rPr>
          <w:lang w:eastAsia="ja-JP"/>
        </w:rPr>
        <w:t>.</w:t>
      </w:r>
    </w:p>
    <w:p w14:paraId="35B56B07" w14:textId="77777777" w:rsidR="008D0572" w:rsidRPr="001D458E" w:rsidRDefault="008D0572" w:rsidP="008D0572">
      <w:pPr>
        <w:ind w:firstLine="284"/>
        <w:rPr>
          <w:lang w:eastAsia="ja-JP"/>
        </w:rPr>
      </w:pPr>
      <w:r w:rsidRPr="001D458E">
        <w:rPr>
          <w:rFonts w:hint="eastAsia"/>
          <w:lang w:eastAsia="ja-JP"/>
        </w:rPr>
        <w:t>T</w:t>
      </w:r>
      <w:r w:rsidRPr="001D458E">
        <w:rPr>
          <w:lang w:eastAsia="ja-JP"/>
        </w:rPr>
        <w:t>he</w:t>
      </w:r>
      <w:r w:rsidRPr="001D458E">
        <w:rPr>
          <w:rFonts w:hint="eastAsia"/>
          <w:lang w:eastAsia="ja-JP"/>
        </w:rPr>
        <w:t xml:space="preserve"> doubts cast over </w:t>
      </w:r>
      <w:r w:rsidRPr="001D458E">
        <w:rPr>
          <w:lang w:eastAsia="ja-JP"/>
        </w:rPr>
        <w:t xml:space="preserve">the creation of </w:t>
      </w:r>
      <w:r w:rsidR="00557AA4">
        <w:rPr>
          <w:rFonts w:eastAsia="MS Mincho" w:hint="eastAsia"/>
          <w:lang w:eastAsia="ja-JP"/>
        </w:rPr>
        <w:t xml:space="preserve">an </w:t>
      </w:r>
      <w:r w:rsidRPr="001D458E">
        <w:rPr>
          <w:lang w:eastAsia="ja-JP"/>
        </w:rPr>
        <w:t xml:space="preserve">independent regulator in the ICT sector </w:t>
      </w:r>
      <w:r w:rsidRPr="001D458E">
        <w:rPr>
          <w:rFonts w:hint="eastAsia"/>
          <w:lang w:eastAsia="ja-JP"/>
        </w:rPr>
        <w:t xml:space="preserve">can be summarised </w:t>
      </w:r>
      <w:r w:rsidRPr="001D458E">
        <w:rPr>
          <w:lang w:eastAsia="ja-JP"/>
        </w:rPr>
        <w:t>as:</w:t>
      </w:r>
    </w:p>
    <w:p w14:paraId="0BD7B8CC" w14:textId="77777777" w:rsidR="008D0572" w:rsidRPr="001D458E" w:rsidRDefault="008D0572" w:rsidP="001B6C05">
      <w:pPr>
        <w:pStyle w:val="ListParagraph"/>
        <w:numPr>
          <w:ilvl w:val="0"/>
          <w:numId w:val="42"/>
        </w:numPr>
        <w:ind w:left="284" w:hanging="284"/>
        <w:rPr>
          <w:szCs w:val="24"/>
        </w:rPr>
      </w:pPr>
      <w:r w:rsidRPr="001D458E">
        <w:rPr>
          <w:szCs w:val="24"/>
        </w:rPr>
        <w:t xml:space="preserve">the uncertainty of how effective </w:t>
      </w:r>
      <w:r w:rsidRPr="001D458E">
        <w:rPr>
          <w:rFonts w:hint="eastAsia"/>
          <w:szCs w:val="24"/>
        </w:rPr>
        <w:t>an</w:t>
      </w:r>
      <w:r w:rsidR="00557AA4">
        <w:rPr>
          <w:szCs w:val="24"/>
        </w:rPr>
        <w:t xml:space="preserve"> independent regulator can be</w:t>
      </w:r>
      <w:r w:rsidR="00557AA4">
        <w:rPr>
          <w:rFonts w:eastAsia="MS Mincho" w:hint="eastAsia"/>
          <w:szCs w:val="24"/>
        </w:rPr>
        <w:t>;</w:t>
      </w:r>
    </w:p>
    <w:p w14:paraId="6DD927FF" w14:textId="77777777" w:rsidR="008D0572" w:rsidRPr="001D458E" w:rsidRDefault="008D0572" w:rsidP="001B6C05">
      <w:pPr>
        <w:pStyle w:val="ListParagraph"/>
        <w:numPr>
          <w:ilvl w:val="0"/>
          <w:numId w:val="42"/>
        </w:numPr>
        <w:ind w:left="284" w:hanging="284"/>
        <w:rPr>
          <w:szCs w:val="24"/>
        </w:rPr>
      </w:pPr>
      <w:r w:rsidRPr="001D458E">
        <w:rPr>
          <w:rFonts w:hint="eastAsia"/>
          <w:szCs w:val="24"/>
        </w:rPr>
        <w:t xml:space="preserve">the concern about </w:t>
      </w:r>
      <w:r w:rsidRPr="001D458E">
        <w:rPr>
          <w:szCs w:val="24"/>
        </w:rPr>
        <w:t>the democratic governance of the independent regulator</w:t>
      </w:r>
      <w:r w:rsidR="00557AA4">
        <w:rPr>
          <w:rFonts w:eastAsia="MS Mincho" w:hint="eastAsia"/>
          <w:szCs w:val="24"/>
        </w:rPr>
        <w:t>;</w:t>
      </w:r>
      <w:r w:rsidRPr="001D458E">
        <w:rPr>
          <w:szCs w:val="24"/>
        </w:rPr>
        <w:t xml:space="preserve"> and</w:t>
      </w:r>
    </w:p>
    <w:p w14:paraId="3EE06330" w14:textId="77777777" w:rsidR="008D0572" w:rsidRPr="001D458E" w:rsidRDefault="008D0572" w:rsidP="001B6C05">
      <w:pPr>
        <w:pStyle w:val="ListParagraph"/>
        <w:numPr>
          <w:ilvl w:val="0"/>
          <w:numId w:val="42"/>
        </w:numPr>
        <w:ind w:left="284" w:hanging="284"/>
        <w:rPr>
          <w:szCs w:val="24"/>
        </w:rPr>
      </w:pPr>
      <w:r w:rsidRPr="001D458E">
        <w:rPr>
          <w:szCs w:val="24"/>
        </w:rPr>
        <w:t xml:space="preserve">the possibility of addressing the conflicts of interests between the regulator and developmental policy through a different </w:t>
      </w:r>
      <w:r w:rsidRPr="001D458E">
        <w:rPr>
          <w:rFonts w:hint="eastAsia"/>
          <w:szCs w:val="24"/>
        </w:rPr>
        <w:t>way other than creating an independent regulator</w:t>
      </w:r>
      <w:r w:rsidRPr="001D458E">
        <w:rPr>
          <w:szCs w:val="24"/>
        </w:rPr>
        <w:t>.</w:t>
      </w:r>
    </w:p>
    <w:p w14:paraId="414A0486" w14:textId="77777777" w:rsidR="008D0572" w:rsidRPr="001D458E" w:rsidRDefault="008D0572" w:rsidP="008D0572">
      <w:pPr>
        <w:ind w:firstLine="284"/>
        <w:rPr>
          <w:lang w:eastAsia="ja-JP"/>
        </w:rPr>
      </w:pPr>
    </w:p>
    <w:p w14:paraId="4F9C6B96" w14:textId="77777777" w:rsidR="008D0572" w:rsidRPr="001D458E" w:rsidRDefault="008D0572" w:rsidP="008D0572">
      <w:pPr>
        <w:ind w:firstLine="284"/>
        <w:rPr>
          <w:lang w:eastAsia="ja-JP"/>
        </w:rPr>
      </w:pPr>
      <w:r w:rsidRPr="001D458E">
        <w:rPr>
          <w:lang w:eastAsia="ja-JP"/>
        </w:rPr>
        <w:t>The first point is implicit rather than explicit, as expressed in the above accounts. A group of interviewees from the core executive point</w:t>
      </w:r>
      <w:r w:rsidRPr="001D458E">
        <w:rPr>
          <w:rFonts w:hint="eastAsia"/>
          <w:lang w:eastAsia="ja-JP"/>
        </w:rPr>
        <w:t>ed</w:t>
      </w:r>
      <w:r w:rsidRPr="001D458E">
        <w:rPr>
          <w:lang w:eastAsia="ja-JP"/>
        </w:rPr>
        <w:t xml:space="preserve"> out the political </w:t>
      </w:r>
      <w:r w:rsidRPr="001D458E">
        <w:rPr>
          <w:rFonts w:hint="eastAsia"/>
          <w:lang w:eastAsia="ja-JP"/>
        </w:rPr>
        <w:t>nature</w:t>
      </w:r>
      <w:r w:rsidRPr="001D458E">
        <w:rPr>
          <w:lang w:eastAsia="ja-JP"/>
        </w:rPr>
        <w:t xml:space="preserve"> of the American FCC</w:t>
      </w:r>
      <w:r w:rsidRPr="001D458E">
        <w:rPr>
          <w:rFonts w:hint="eastAsia"/>
          <w:lang w:eastAsia="ja-JP"/>
        </w:rPr>
        <w:t xml:space="preserve">, and argued </w:t>
      </w:r>
      <w:r w:rsidRPr="001D458E">
        <w:rPr>
          <w:lang w:eastAsia="ja-JP"/>
        </w:rPr>
        <w:t xml:space="preserve">that changing </w:t>
      </w:r>
      <w:r w:rsidRPr="001D458E">
        <w:rPr>
          <w:rFonts w:hint="eastAsia"/>
          <w:lang w:eastAsia="ja-JP"/>
        </w:rPr>
        <w:t xml:space="preserve">an </w:t>
      </w:r>
      <w:r w:rsidRPr="001D458E">
        <w:rPr>
          <w:lang w:eastAsia="ja-JP"/>
        </w:rPr>
        <w:t xml:space="preserve">organisation to an independent regulator </w:t>
      </w:r>
      <w:r w:rsidRPr="001D458E">
        <w:rPr>
          <w:rFonts w:hint="eastAsia"/>
          <w:lang w:eastAsia="ja-JP"/>
        </w:rPr>
        <w:t xml:space="preserve">has a limited or even negative impact on the regulatory </w:t>
      </w:r>
      <w:r w:rsidRPr="001D458E">
        <w:rPr>
          <w:lang w:eastAsia="ja-JP"/>
        </w:rPr>
        <w:t xml:space="preserve">capacity. Interviewees from business </w:t>
      </w:r>
      <w:r w:rsidRPr="001D458E">
        <w:rPr>
          <w:rFonts w:hint="eastAsia"/>
          <w:lang w:eastAsia="ja-JP"/>
        </w:rPr>
        <w:t>were particularly clear on this point</w:t>
      </w:r>
      <w:r w:rsidRPr="001D458E">
        <w:rPr>
          <w:lang w:eastAsia="ja-JP"/>
        </w:rPr>
        <w:t xml:space="preserve">. They </w:t>
      </w:r>
      <w:r w:rsidRPr="001D458E">
        <w:rPr>
          <w:rFonts w:hint="eastAsia"/>
          <w:lang w:eastAsia="ja-JP"/>
        </w:rPr>
        <w:t xml:space="preserve">expressed </w:t>
      </w:r>
      <w:r w:rsidRPr="001D458E">
        <w:rPr>
          <w:lang w:eastAsia="ja-JP"/>
        </w:rPr>
        <w:t xml:space="preserve">concerns over whether or not an independent regulator can confront and substantially regulate incumbent operators such as the NTT. Elsewhere, an interviewee from a consumer organisation </w:t>
      </w:r>
      <w:r w:rsidRPr="001D458E">
        <w:rPr>
          <w:rFonts w:hint="eastAsia"/>
          <w:lang w:eastAsia="ja-JP"/>
        </w:rPr>
        <w:t xml:space="preserve">argued </w:t>
      </w:r>
      <w:r w:rsidRPr="001D458E">
        <w:rPr>
          <w:lang w:eastAsia="ja-JP"/>
        </w:rPr>
        <w:t xml:space="preserve">for </w:t>
      </w:r>
      <w:r w:rsidRPr="001D458E">
        <w:rPr>
          <w:rFonts w:hint="eastAsia"/>
          <w:lang w:eastAsia="ja-JP"/>
        </w:rPr>
        <w:t xml:space="preserve">the creation of </w:t>
      </w:r>
      <w:r w:rsidRPr="001D458E">
        <w:rPr>
          <w:lang w:eastAsia="ja-JP"/>
        </w:rPr>
        <w:t>an independent regulator because independence may offer coherent regulation</w:t>
      </w:r>
      <w:r w:rsidRPr="001D458E">
        <w:rPr>
          <w:rFonts w:hint="eastAsia"/>
          <w:lang w:eastAsia="ja-JP"/>
        </w:rPr>
        <w:t>, although she showed no analysis on how workable such an organisation can be</w:t>
      </w:r>
      <w:r w:rsidRPr="001D458E">
        <w:rPr>
          <w:lang w:eastAsia="ja-JP"/>
        </w:rPr>
        <w:t>.</w:t>
      </w:r>
    </w:p>
    <w:p w14:paraId="3ED82A57" w14:textId="77777777" w:rsidR="008D0572" w:rsidRPr="001D458E" w:rsidRDefault="008D0572" w:rsidP="00D25F23">
      <w:pPr>
        <w:ind w:firstLine="284"/>
        <w:rPr>
          <w:lang w:eastAsia="ja-JP"/>
        </w:rPr>
      </w:pPr>
      <w:r w:rsidRPr="001D458E">
        <w:rPr>
          <w:lang w:eastAsia="ja-JP"/>
        </w:rPr>
        <w:t xml:space="preserve">The second point can be understood as a type of state tradition. </w:t>
      </w:r>
      <w:r w:rsidR="00D25F23">
        <w:rPr>
          <w:lang w:eastAsia="ja-JP"/>
        </w:rPr>
        <w:t>I</w:t>
      </w:r>
      <w:r w:rsidRPr="001D458E">
        <w:rPr>
          <w:lang w:eastAsia="ja-JP"/>
        </w:rPr>
        <w:t xml:space="preserve">ndependent </w:t>
      </w:r>
      <w:r w:rsidR="00D25F23">
        <w:rPr>
          <w:lang w:eastAsia="ja-JP"/>
        </w:rPr>
        <w:t>agencies in the form of independent commissions</w:t>
      </w:r>
      <w:r w:rsidRPr="001D458E">
        <w:rPr>
          <w:lang w:eastAsia="ja-JP"/>
        </w:rPr>
        <w:t xml:space="preserve"> mushroomed in Japan </w:t>
      </w:r>
      <w:r w:rsidR="00D25F23">
        <w:rPr>
          <w:lang w:eastAsia="ja-JP"/>
        </w:rPr>
        <w:t>after 1945</w:t>
      </w:r>
      <w:r w:rsidRPr="001D458E">
        <w:rPr>
          <w:rFonts w:hint="eastAsia"/>
          <w:lang w:eastAsia="ja-JP"/>
        </w:rPr>
        <w:t xml:space="preserve"> were </w:t>
      </w:r>
      <w:r w:rsidRPr="001D458E">
        <w:rPr>
          <w:lang w:eastAsia="ja-JP"/>
        </w:rPr>
        <w:t xml:space="preserve">in most cases abolished </w:t>
      </w:r>
      <w:r w:rsidR="00D25F23">
        <w:rPr>
          <w:lang w:eastAsia="ja-JP"/>
        </w:rPr>
        <w:t xml:space="preserve">after the Allies’ occupation ended </w:t>
      </w:r>
      <w:r w:rsidRPr="001D458E">
        <w:rPr>
          <w:lang w:eastAsia="ja-JP"/>
        </w:rPr>
        <w:t xml:space="preserve">(Harada 2011 p.15). The report to the </w:t>
      </w:r>
      <w:r w:rsidRPr="001D458E">
        <w:rPr>
          <w:rFonts w:hint="eastAsia"/>
          <w:lang w:eastAsia="ja-JP"/>
        </w:rPr>
        <w:t xml:space="preserve">Shigeru </w:t>
      </w:r>
      <w:r w:rsidRPr="001D458E">
        <w:rPr>
          <w:lang w:eastAsia="ja-JP"/>
        </w:rPr>
        <w:t>Yoshida</w:t>
      </w:r>
      <w:r w:rsidRPr="001D458E">
        <w:rPr>
          <w:rStyle w:val="FootnoteReference"/>
          <w:lang w:eastAsia="ja-JP"/>
        </w:rPr>
        <w:footnoteReference w:id="61"/>
      </w:r>
      <w:r w:rsidRPr="001D458E">
        <w:rPr>
          <w:lang w:eastAsia="ja-JP"/>
        </w:rPr>
        <w:t xml:space="preserve"> Government (1948-54) by the Government Orders Amendment Consultation Committee</w:t>
      </w:r>
      <w:r w:rsidRPr="001D458E">
        <w:rPr>
          <w:rFonts w:hint="eastAsia"/>
          <w:lang w:eastAsia="ja-JP"/>
        </w:rPr>
        <w:t xml:space="preserve"> (</w:t>
      </w:r>
      <w:r w:rsidRPr="001D458E">
        <w:rPr>
          <w:rFonts w:hint="eastAsia"/>
          <w:i/>
          <w:lang w:eastAsia="ja-JP"/>
        </w:rPr>
        <w:t>Seirei Kaisei Simon I</w:t>
      </w:r>
      <w:r w:rsidRPr="001D458E">
        <w:rPr>
          <w:i/>
          <w:lang w:eastAsia="ja-JP"/>
        </w:rPr>
        <w:t>’</w:t>
      </w:r>
      <w:r w:rsidRPr="001D458E">
        <w:rPr>
          <w:rFonts w:hint="eastAsia"/>
          <w:i/>
          <w:lang w:eastAsia="ja-JP"/>
        </w:rPr>
        <w:t>inkai</w:t>
      </w:r>
      <w:r w:rsidRPr="001D458E">
        <w:rPr>
          <w:rFonts w:hint="eastAsia"/>
          <w:lang w:eastAsia="ja-JP"/>
        </w:rPr>
        <w:t>)</w:t>
      </w:r>
      <w:r w:rsidRPr="001D458E">
        <w:rPr>
          <w:lang w:eastAsia="ja-JP"/>
        </w:rPr>
        <w:t xml:space="preserve">, which </w:t>
      </w:r>
      <w:r w:rsidRPr="001D458E">
        <w:rPr>
          <w:rFonts w:hint="eastAsia"/>
          <w:lang w:eastAsia="ja-JP"/>
        </w:rPr>
        <w:t xml:space="preserve">examined what adaptation was necessary after the </w:t>
      </w:r>
      <w:r w:rsidR="00A13EC3">
        <w:rPr>
          <w:lang w:eastAsia="ja-JP"/>
        </w:rPr>
        <w:t>p</w:t>
      </w:r>
      <w:r w:rsidRPr="001D458E">
        <w:rPr>
          <w:rFonts w:hint="eastAsia"/>
          <w:lang w:eastAsia="ja-JP"/>
        </w:rPr>
        <w:t>ea</w:t>
      </w:r>
      <w:r w:rsidR="00A13EC3">
        <w:rPr>
          <w:lang w:eastAsia="ja-JP"/>
        </w:rPr>
        <w:t>c</w:t>
      </w:r>
      <w:r w:rsidRPr="001D458E">
        <w:rPr>
          <w:rFonts w:hint="eastAsia"/>
          <w:lang w:eastAsia="ja-JP"/>
        </w:rPr>
        <w:t xml:space="preserve">e </w:t>
      </w:r>
      <w:r w:rsidR="00A13EC3">
        <w:rPr>
          <w:lang w:eastAsia="ja-JP"/>
        </w:rPr>
        <w:t>t</w:t>
      </w:r>
      <w:r w:rsidRPr="001D458E">
        <w:rPr>
          <w:rFonts w:hint="eastAsia"/>
          <w:lang w:eastAsia="ja-JP"/>
        </w:rPr>
        <w:t xml:space="preserve">reaty </w:t>
      </w:r>
      <w:r w:rsidRPr="001D458E">
        <w:rPr>
          <w:lang w:eastAsia="ja-JP"/>
        </w:rPr>
        <w:t xml:space="preserve">with Japan </w:t>
      </w:r>
      <w:r w:rsidRPr="001D458E">
        <w:rPr>
          <w:rFonts w:hint="eastAsia"/>
          <w:lang w:eastAsia="ja-JP"/>
        </w:rPr>
        <w:t xml:space="preserve">of 1951 and </w:t>
      </w:r>
      <w:r w:rsidRPr="001D458E">
        <w:rPr>
          <w:lang w:eastAsia="ja-JP"/>
        </w:rPr>
        <w:t xml:space="preserve">the </w:t>
      </w:r>
      <w:r w:rsidRPr="001D458E">
        <w:rPr>
          <w:rFonts w:hint="eastAsia"/>
          <w:lang w:eastAsia="ja-JP"/>
        </w:rPr>
        <w:t xml:space="preserve">following independence of Japan, </w:t>
      </w:r>
      <w:r w:rsidRPr="001D458E">
        <w:rPr>
          <w:lang w:eastAsia="ja-JP"/>
        </w:rPr>
        <w:t xml:space="preserve">set out the following reasons for abolishing most independent </w:t>
      </w:r>
      <w:r w:rsidR="00557AA4">
        <w:rPr>
          <w:rFonts w:eastAsia="MS Mincho" w:hint="eastAsia"/>
          <w:lang w:eastAsia="ja-JP"/>
        </w:rPr>
        <w:t xml:space="preserve">administrative </w:t>
      </w:r>
      <w:r w:rsidRPr="001D458E">
        <w:rPr>
          <w:rFonts w:hint="eastAsia"/>
          <w:lang w:eastAsia="ja-JP"/>
        </w:rPr>
        <w:t>commissions</w:t>
      </w:r>
      <w:r w:rsidRPr="001D458E">
        <w:rPr>
          <w:lang w:eastAsia="ja-JP"/>
        </w:rPr>
        <w:t xml:space="preserve"> (Harada 2011 p.15):</w:t>
      </w:r>
    </w:p>
    <w:p w14:paraId="05DD2513" w14:textId="77777777" w:rsidR="008D0572" w:rsidRPr="001D458E" w:rsidRDefault="008D0572" w:rsidP="008D0572">
      <w:pPr>
        <w:rPr>
          <w:lang w:eastAsia="ja-JP"/>
        </w:rPr>
      </w:pPr>
    </w:p>
    <w:p w14:paraId="0FE3F8BC" w14:textId="77777777" w:rsidR="00AC31BB" w:rsidRPr="005B18BE" w:rsidRDefault="00F34FDE" w:rsidP="00F34FDE">
      <w:pPr>
        <w:pStyle w:val="Quote"/>
      </w:pPr>
      <w:r>
        <w:t>B</w:t>
      </w:r>
      <w:r w:rsidR="009F7534" w:rsidRPr="00F34FDE">
        <w:t xml:space="preserve">ecause </w:t>
      </w:r>
      <w:r w:rsidR="00F77E54" w:rsidRPr="005B18BE">
        <w:t xml:space="preserve">our social and economic conditions do not originally require them (independent administrative commissions), their organisations expand without aim, where the responsibility lies is unclear in their administrative tasks in which aims should be actively pursued, and therefore they are not adequate for efficiently achieving their tasks, they shall be abolished in principle. However, they shall be simplified and retained when they mainly deal with passive tasks which require careful decisions. </w:t>
      </w:r>
    </w:p>
    <w:p w14:paraId="37CA0BEE" w14:textId="77777777" w:rsidR="008D0572" w:rsidRPr="001D458E" w:rsidRDefault="008D0572" w:rsidP="008D0572">
      <w:pPr>
        <w:rPr>
          <w:lang w:eastAsia="ja-JP"/>
        </w:rPr>
      </w:pPr>
    </w:p>
    <w:p w14:paraId="5D3875D0" w14:textId="77777777" w:rsidR="008D0572" w:rsidRPr="001D458E" w:rsidRDefault="008D0572" w:rsidP="008D0572">
      <w:pPr>
        <w:rPr>
          <w:lang w:eastAsia="ja-JP"/>
        </w:rPr>
      </w:pPr>
      <w:r w:rsidRPr="001D458E">
        <w:rPr>
          <w:lang w:eastAsia="ja-JP"/>
        </w:rPr>
        <w:t xml:space="preserve">Harada (2011 p.15) also points out that </w:t>
      </w:r>
      <w:r w:rsidRPr="001D458E">
        <w:rPr>
          <w:rFonts w:hint="eastAsia"/>
          <w:lang w:eastAsia="ja-JP"/>
        </w:rPr>
        <w:t xml:space="preserve">the </w:t>
      </w:r>
      <w:r w:rsidRPr="001D458E">
        <w:rPr>
          <w:lang w:eastAsia="ja-JP"/>
        </w:rPr>
        <w:t>Committee’</w:t>
      </w:r>
      <w:r w:rsidRPr="001D458E">
        <w:rPr>
          <w:rFonts w:hint="eastAsia"/>
          <w:lang w:eastAsia="ja-JP"/>
        </w:rPr>
        <w:t>s view</w:t>
      </w:r>
      <w:r w:rsidRPr="001D458E">
        <w:rPr>
          <w:lang w:eastAsia="ja-JP"/>
        </w:rPr>
        <w:t xml:space="preserve"> was drawn in the period when a significant reduction of the civil service was required to cope with the </w:t>
      </w:r>
      <w:r w:rsidR="00465151">
        <w:rPr>
          <w:lang w:eastAsia="ja-JP"/>
        </w:rPr>
        <w:t xml:space="preserve">aftermath of the Second </w:t>
      </w:r>
      <w:r w:rsidRPr="001D458E">
        <w:rPr>
          <w:lang w:eastAsia="ja-JP"/>
        </w:rPr>
        <w:t>World War . A</w:t>
      </w:r>
      <w:r w:rsidRPr="001D458E">
        <w:rPr>
          <w:rFonts w:hint="eastAsia"/>
          <w:lang w:eastAsia="ja-JP"/>
        </w:rPr>
        <w:t xml:space="preserve"> civil servant</w:t>
      </w:r>
      <w:r w:rsidRPr="001D458E">
        <w:rPr>
          <w:lang w:eastAsia="ja-JP"/>
        </w:rPr>
        <w:t xml:space="preserve"> highlighted this point by disclosing his understanding that </w:t>
      </w:r>
      <w:r w:rsidRPr="001D458E">
        <w:rPr>
          <w:rFonts w:hint="eastAsia"/>
          <w:lang w:eastAsia="ja-JP"/>
        </w:rPr>
        <w:t xml:space="preserve">the </w:t>
      </w:r>
      <w:r w:rsidRPr="001D458E">
        <w:rPr>
          <w:lang w:eastAsia="ja-JP"/>
        </w:rPr>
        <w:t>government’s perspective originat</w:t>
      </w:r>
      <w:r w:rsidR="00A13EC3">
        <w:rPr>
          <w:lang w:eastAsia="ja-JP"/>
        </w:rPr>
        <w:t>ing</w:t>
      </w:r>
      <w:r w:rsidRPr="001D458E">
        <w:rPr>
          <w:lang w:eastAsia="ja-JP"/>
        </w:rPr>
        <w:t xml:space="preserve"> in this period has been sustained and affected the government’s response to creating independent regulators:</w:t>
      </w:r>
    </w:p>
    <w:p w14:paraId="5A0C89EC" w14:textId="77777777" w:rsidR="008D0572" w:rsidRPr="001D458E" w:rsidRDefault="008D0572" w:rsidP="008D0572">
      <w:pPr>
        <w:rPr>
          <w:lang w:eastAsia="ja-JP"/>
        </w:rPr>
      </w:pPr>
    </w:p>
    <w:p w14:paraId="2E140903" w14:textId="59E60073" w:rsidR="008D0572" w:rsidRPr="001D458E" w:rsidRDefault="008D0572" w:rsidP="008D0572">
      <w:pPr>
        <w:pStyle w:val="Quote"/>
        <w:rPr>
          <w:lang w:eastAsia="ja-JP"/>
        </w:rPr>
      </w:pPr>
      <w:r w:rsidRPr="001D458E">
        <w:rPr>
          <w:rFonts w:hint="eastAsia"/>
          <w:lang w:eastAsia="ja-JP"/>
        </w:rPr>
        <w:t>historically, in simple terms, it</w:t>
      </w:r>
      <w:r w:rsidRPr="001D458E">
        <w:rPr>
          <w:lang w:eastAsia="ja-JP"/>
        </w:rPr>
        <w:t>’</w:t>
      </w:r>
      <w:r w:rsidRPr="001D458E">
        <w:rPr>
          <w:rFonts w:hint="eastAsia"/>
          <w:lang w:eastAsia="ja-JP"/>
        </w:rPr>
        <w:t xml:space="preserve">s Shigeru Yoshida. In other words, when Japan became independent, they said </w:t>
      </w:r>
      <w:r w:rsidRPr="001D458E">
        <w:rPr>
          <w:lang w:eastAsia="ja-JP"/>
        </w:rPr>
        <w:t>‘</w:t>
      </w:r>
      <w:r w:rsidRPr="001D458E">
        <w:rPr>
          <w:rFonts w:hint="eastAsia"/>
          <w:lang w:eastAsia="ja-JP"/>
        </w:rPr>
        <w:t>No independent commission</w:t>
      </w:r>
      <w:r w:rsidRPr="001D458E">
        <w:rPr>
          <w:lang w:eastAsia="ja-JP"/>
        </w:rPr>
        <w:t>’,</w:t>
      </w:r>
      <w:r w:rsidRPr="001D458E">
        <w:rPr>
          <w:rFonts w:hint="eastAsia"/>
          <w:lang w:eastAsia="ja-JP"/>
        </w:rPr>
        <w:t xml:space="preserve"> to say, well, the executive is the Cabinet. </w:t>
      </w:r>
      <w:r w:rsidRPr="001D458E">
        <w:rPr>
          <w:lang w:eastAsia="ja-JP"/>
        </w:rPr>
        <w:t>‘</w:t>
      </w:r>
      <w:r w:rsidRPr="001D458E">
        <w:rPr>
          <w:rFonts w:hint="eastAsia"/>
          <w:lang w:eastAsia="ja-JP"/>
        </w:rPr>
        <w:t>It</w:t>
      </w:r>
      <w:r w:rsidRPr="001D458E">
        <w:rPr>
          <w:lang w:eastAsia="ja-JP"/>
        </w:rPr>
        <w:t>’</w:t>
      </w:r>
      <w:r w:rsidRPr="001D458E">
        <w:rPr>
          <w:rFonts w:hint="eastAsia"/>
          <w:lang w:eastAsia="ja-JP"/>
        </w:rPr>
        <w:t>s wrong that t</w:t>
      </w:r>
      <w:r w:rsidRPr="001D458E">
        <w:rPr>
          <w:lang w:eastAsia="ja-JP"/>
        </w:rPr>
        <w:t>h</w:t>
      </w:r>
      <w:r w:rsidRPr="001D458E">
        <w:rPr>
          <w:rFonts w:hint="eastAsia"/>
          <w:lang w:eastAsia="ja-JP"/>
        </w:rPr>
        <w:t>e organisations for which the Cabinet is not responsible have remits in particular fields</w:t>
      </w:r>
      <w:r w:rsidRPr="001D458E">
        <w:rPr>
          <w:lang w:eastAsia="ja-JP"/>
        </w:rPr>
        <w:t>’</w:t>
      </w:r>
      <w:r w:rsidRPr="001D458E">
        <w:rPr>
          <w:rFonts w:hint="eastAsia"/>
          <w:lang w:eastAsia="ja-JP"/>
        </w:rPr>
        <w:t xml:space="preserve">; this describes everything. This leads to an idea that </w:t>
      </w:r>
      <w:r w:rsidRPr="001D458E">
        <w:rPr>
          <w:lang w:eastAsia="ja-JP"/>
        </w:rPr>
        <w:t>politicians</w:t>
      </w:r>
      <w:r w:rsidRPr="001D458E">
        <w:rPr>
          <w:rFonts w:hint="eastAsia"/>
          <w:lang w:eastAsia="ja-JP"/>
        </w:rPr>
        <w:t xml:space="preserve"> should be responsible, like the politicians</w:t>
      </w:r>
      <w:r w:rsidRPr="001D458E">
        <w:rPr>
          <w:lang w:eastAsia="ja-JP"/>
        </w:rPr>
        <w:t>’</w:t>
      </w:r>
      <w:r w:rsidRPr="001D458E">
        <w:rPr>
          <w:rFonts w:hint="eastAsia"/>
          <w:lang w:eastAsia="ja-JP"/>
        </w:rPr>
        <w:t xml:space="preserve"> leadership (</w:t>
      </w:r>
      <w:r w:rsidRPr="001D458E">
        <w:rPr>
          <w:rFonts w:hint="eastAsia"/>
          <w:i/>
          <w:lang w:eastAsia="ja-JP"/>
        </w:rPr>
        <w:t>Seiji Shudou</w:t>
      </w:r>
      <w:r w:rsidRPr="001D458E">
        <w:rPr>
          <w:rFonts w:hint="eastAsia"/>
          <w:lang w:eastAsia="ja-JP"/>
        </w:rPr>
        <w:t>) by the DPJ today. T</w:t>
      </w:r>
      <w:r w:rsidRPr="001D458E">
        <w:rPr>
          <w:lang w:eastAsia="ja-JP"/>
        </w:rPr>
        <w:t>h</w:t>
      </w:r>
      <w:r w:rsidRPr="001D458E">
        <w:rPr>
          <w:rFonts w:hint="eastAsia"/>
          <w:lang w:eastAsia="ja-JP"/>
        </w:rPr>
        <w:t>erefore, things were decided at that moment, 1952, and after that things</w:t>
      </w:r>
      <w:r w:rsidRPr="001D458E">
        <w:rPr>
          <w:lang w:eastAsia="ja-JP"/>
        </w:rPr>
        <w:t xml:space="preserve"> have just followed those decisions. </w:t>
      </w:r>
      <w:r w:rsidRPr="001D458E">
        <w:rPr>
          <w:rFonts w:hint="eastAsia"/>
          <w:lang w:eastAsia="ja-JP"/>
        </w:rPr>
        <w:t>(</w:t>
      </w:r>
      <w:r w:rsidR="007634ED">
        <w:rPr>
          <w:rFonts w:hint="eastAsia"/>
          <w:lang w:eastAsia="ja-JP"/>
        </w:rPr>
        <w:t>Interview with</w:t>
      </w:r>
      <w:r w:rsidRPr="001D458E">
        <w:rPr>
          <w:rFonts w:hint="eastAsia"/>
          <w:lang w:eastAsia="ja-JP"/>
        </w:rPr>
        <w:t xml:space="preserve"> a civil servant)</w:t>
      </w:r>
    </w:p>
    <w:p w14:paraId="51AA8F9B" w14:textId="77777777" w:rsidR="008D0572" w:rsidRPr="001D458E" w:rsidRDefault="008D0572" w:rsidP="008D0572">
      <w:pPr>
        <w:rPr>
          <w:lang w:eastAsia="ja-JP"/>
        </w:rPr>
      </w:pPr>
    </w:p>
    <w:p w14:paraId="17540D25" w14:textId="77777777" w:rsidR="008D0572" w:rsidRPr="001D458E" w:rsidRDefault="008D0572" w:rsidP="00225383">
      <w:pPr>
        <w:rPr>
          <w:lang w:eastAsia="ja-JP"/>
        </w:rPr>
      </w:pPr>
      <w:r w:rsidRPr="001D458E">
        <w:rPr>
          <w:lang w:eastAsia="ja-JP"/>
        </w:rPr>
        <w:t>This account reveals an e</w:t>
      </w:r>
      <w:r w:rsidR="00465151">
        <w:rPr>
          <w:lang w:eastAsia="ja-JP"/>
        </w:rPr>
        <w:t xml:space="preserve">lement </w:t>
      </w:r>
      <w:r w:rsidRPr="001D458E">
        <w:rPr>
          <w:lang w:eastAsia="ja-JP"/>
        </w:rPr>
        <w:t>of path dependent</w:t>
      </w:r>
      <w:r w:rsidR="00465151">
        <w:rPr>
          <w:lang w:eastAsia="ja-JP"/>
        </w:rPr>
        <w:t>,</w:t>
      </w:r>
      <w:r w:rsidRPr="001D458E">
        <w:rPr>
          <w:lang w:eastAsia="ja-JP"/>
        </w:rPr>
        <w:t xml:space="preserve"> institutional decision making (Thelen 2009 pp.474-5). </w:t>
      </w:r>
      <w:r w:rsidRPr="001D458E">
        <w:rPr>
          <w:rFonts w:hint="eastAsia"/>
          <w:lang w:eastAsia="ja-JP"/>
        </w:rPr>
        <w:t xml:space="preserve">Drawing </w:t>
      </w:r>
      <w:r w:rsidR="00465151">
        <w:rPr>
          <w:lang w:eastAsia="ja-JP"/>
        </w:rPr>
        <w:t>on</w:t>
      </w:r>
      <w:r w:rsidR="00465151" w:rsidRPr="001D458E">
        <w:rPr>
          <w:rFonts w:hint="eastAsia"/>
          <w:lang w:eastAsia="ja-JP"/>
        </w:rPr>
        <w:t xml:space="preserve"> </w:t>
      </w:r>
      <w:r w:rsidRPr="001D458E">
        <w:rPr>
          <w:lang w:eastAsia="ja-JP"/>
        </w:rPr>
        <w:t>Thelen’s (2009 p.474)</w:t>
      </w:r>
      <w:r w:rsidRPr="001D458E">
        <w:rPr>
          <w:rFonts w:hint="eastAsia"/>
          <w:lang w:eastAsia="ja-JP"/>
        </w:rPr>
        <w:t>, it can be argued</w:t>
      </w:r>
      <w:r w:rsidRPr="001D458E">
        <w:rPr>
          <w:lang w:eastAsia="ja-JP"/>
        </w:rPr>
        <w:t xml:space="preserve"> that ‘the historical trajectories’ have fl</w:t>
      </w:r>
      <w:r w:rsidRPr="001D458E">
        <w:rPr>
          <w:rFonts w:hint="eastAsia"/>
          <w:lang w:eastAsia="ja-JP"/>
        </w:rPr>
        <w:t>owed</w:t>
      </w:r>
      <w:r w:rsidRPr="001D458E">
        <w:rPr>
          <w:lang w:eastAsia="ja-JP"/>
        </w:rPr>
        <w:t xml:space="preserve"> from the legacies a ‘critical juncture’ in 1952 produced. This pa</w:t>
      </w:r>
      <w:r w:rsidRPr="001D458E">
        <w:rPr>
          <w:rFonts w:hint="eastAsia"/>
          <w:lang w:eastAsia="ja-JP"/>
        </w:rPr>
        <w:t>th</w:t>
      </w:r>
      <w:r w:rsidRPr="001D458E">
        <w:rPr>
          <w:lang w:eastAsia="ja-JP"/>
        </w:rPr>
        <w:t xml:space="preserve"> dependent preference </w:t>
      </w:r>
      <w:r w:rsidR="00465151">
        <w:rPr>
          <w:lang w:eastAsia="ja-JP"/>
        </w:rPr>
        <w:t>can be identifie</w:t>
      </w:r>
      <w:r w:rsidR="00225383">
        <w:rPr>
          <w:lang w:eastAsia="ja-JP"/>
        </w:rPr>
        <w:t>d</w:t>
      </w:r>
      <w:r w:rsidR="00465151">
        <w:rPr>
          <w:lang w:eastAsia="ja-JP"/>
        </w:rPr>
        <w:t xml:space="preserve"> as </w:t>
      </w:r>
      <w:r w:rsidRPr="001D458E">
        <w:rPr>
          <w:lang w:eastAsia="ja-JP"/>
        </w:rPr>
        <w:t xml:space="preserve">significantly </w:t>
      </w:r>
      <w:r w:rsidR="00465151" w:rsidRPr="001D458E">
        <w:rPr>
          <w:lang w:eastAsia="ja-JP"/>
        </w:rPr>
        <w:t>contribut</w:t>
      </w:r>
      <w:r w:rsidR="00465151">
        <w:rPr>
          <w:lang w:eastAsia="ja-JP"/>
        </w:rPr>
        <w:t>ing</w:t>
      </w:r>
      <w:r w:rsidR="00465151" w:rsidRPr="001D458E">
        <w:rPr>
          <w:lang w:eastAsia="ja-JP"/>
        </w:rPr>
        <w:t xml:space="preserve"> </w:t>
      </w:r>
      <w:r w:rsidRPr="001D458E">
        <w:rPr>
          <w:lang w:eastAsia="ja-JP"/>
        </w:rPr>
        <w:t xml:space="preserve">to </w:t>
      </w:r>
      <w:r w:rsidR="00465151">
        <w:rPr>
          <w:lang w:eastAsia="ja-JP"/>
        </w:rPr>
        <w:t>the emergence of a</w:t>
      </w:r>
      <w:r w:rsidRPr="001D458E">
        <w:rPr>
          <w:lang w:eastAsia="ja-JP"/>
        </w:rPr>
        <w:t xml:space="preserve"> negative view to</w:t>
      </w:r>
      <w:r w:rsidR="00465151">
        <w:rPr>
          <w:lang w:eastAsia="ja-JP"/>
        </w:rPr>
        <w:t>wards</w:t>
      </w:r>
      <w:r w:rsidRPr="001D458E">
        <w:rPr>
          <w:lang w:eastAsia="ja-JP"/>
        </w:rPr>
        <w:t xml:space="preserve"> ICT </w:t>
      </w:r>
      <w:r w:rsidR="00465151">
        <w:rPr>
          <w:lang w:eastAsia="ja-JP"/>
        </w:rPr>
        <w:t xml:space="preserve">as an </w:t>
      </w:r>
      <w:r w:rsidRPr="001D458E">
        <w:rPr>
          <w:lang w:eastAsia="ja-JP"/>
        </w:rPr>
        <w:t>independent regulator.</w:t>
      </w:r>
    </w:p>
    <w:p w14:paraId="0E890422" w14:textId="77777777" w:rsidR="008D0572" w:rsidRPr="001D458E" w:rsidRDefault="008D0572" w:rsidP="008D0572">
      <w:pPr>
        <w:ind w:firstLine="284"/>
        <w:rPr>
          <w:lang w:eastAsia="ja-JP"/>
        </w:rPr>
      </w:pPr>
      <w:r w:rsidRPr="001D458E">
        <w:rPr>
          <w:lang w:eastAsia="ja-JP"/>
        </w:rPr>
        <w:t>Elsewhere, a</w:t>
      </w:r>
      <w:r w:rsidRPr="001D458E">
        <w:rPr>
          <w:rFonts w:hint="eastAsia"/>
          <w:lang w:eastAsia="ja-JP"/>
        </w:rPr>
        <w:t xml:space="preserve">nother </w:t>
      </w:r>
      <w:r w:rsidRPr="001D458E">
        <w:rPr>
          <w:lang w:eastAsia="ja-JP"/>
        </w:rPr>
        <w:t>civil ser</w:t>
      </w:r>
      <w:r w:rsidRPr="001D458E">
        <w:rPr>
          <w:rFonts w:hint="eastAsia"/>
          <w:lang w:eastAsia="ja-JP"/>
        </w:rPr>
        <w:t>v</w:t>
      </w:r>
      <w:r w:rsidRPr="001D458E">
        <w:rPr>
          <w:lang w:eastAsia="ja-JP"/>
        </w:rPr>
        <w:t>ant</w:t>
      </w:r>
      <w:r w:rsidRPr="001D458E">
        <w:rPr>
          <w:rFonts w:hint="eastAsia"/>
          <w:lang w:eastAsia="ja-JP"/>
        </w:rPr>
        <w:t xml:space="preserve"> </w:t>
      </w:r>
      <w:r w:rsidRPr="001D458E">
        <w:rPr>
          <w:lang w:eastAsia="ja-JP"/>
        </w:rPr>
        <w:t>illuminated</w:t>
      </w:r>
      <w:r w:rsidRPr="001D458E">
        <w:rPr>
          <w:rFonts w:hint="eastAsia"/>
          <w:lang w:eastAsia="ja-JP"/>
        </w:rPr>
        <w:t xml:space="preserve"> the technical difficulty of creating an independent organisation in Japan:</w:t>
      </w:r>
    </w:p>
    <w:p w14:paraId="39704EF7" w14:textId="77777777" w:rsidR="008D0572" w:rsidRPr="001D458E" w:rsidRDefault="008D0572" w:rsidP="008D0572">
      <w:pPr>
        <w:rPr>
          <w:lang w:eastAsia="ja-JP"/>
        </w:rPr>
      </w:pPr>
    </w:p>
    <w:p w14:paraId="24921F91" w14:textId="77777777" w:rsidR="008D0572" w:rsidRPr="001D458E" w:rsidRDefault="008D0572" w:rsidP="008D0572">
      <w:pPr>
        <w:pStyle w:val="Quote"/>
        <w:rPr>
          <w:lang w:eastAsia="ja-JP"/>
        </w:rPr>
      </w:pPr>
      <w:r w:rsidRPr="001D458E">
        <w:rPr>
          <w:rFonts w:hint="eastAsia"/>
          <w:lang w:eastAsia="ja-JP"/>
        </w:rPr>
        <w:t>I</w:t>
      </w:r>
      <w:r w:rsidRPr="001D458E">
        <w:rPr>
          <w:lang w:eastAsia="ja-JP"/>
        </w:rPr>
        <w:t xml:space="preserve">ndependent regulators are required </w:t>
      </w:r>
      <w:r w:rsidRPr="001D458E">
        <w:rPr>
          <w:rFonts w:hint="eastAsia"/>
          <w:lang w:eastAsia="ja-JP"/>
        </w:rPr>
        <w:t>because</w:t>
      </w:r>
      <w:r w:rsidRPr="001D458E">
        <w:rPr>
          <w:lang w:eastAsia="ja-JP"/>
        </w:rPr>
        <w:t xml:space="preserve"> regulators need to be fair</w:t>
      </w:r>
      <w:r w:rsidRPr="001D458E">
        <w:rPr>
          <w:rFonts w:hint="eastAsia"/>
          <w:lang w:eastAsia="ja-JP"/>
        </w:rPr>
        <w:t xml:space="preserve">, </w:t>
      </w:r>
      <w:r w:rsidRPr="001D458E">
        <w:rPr>
          <w:lang w:eastAsia="ja-JP"/>
        </w:rPr>
        <w:t>neutral</w:t>
      </w:r>
      <w:r w:rsidRPr="001D458E">
        <w:rPr>
          <w:rFonts w:hint="eastAsia"/>
          <w:lang w:eastAsia="ja-JP"/>
        </w:rPr>
        <w:t>,</w:t>
      </w:r>
      <w:r w:rsidRPr="001D458E">
        <w:rPr>
          <w:lang w:eastAsia="ja-JP"/>
        </w:rPr>
        <w:t xml:space="preserve"> and free from political interventions. When we refer to the US, the Congress makes the law</w:t>
      </w:r>
      <w:r w:rsidRPr="001D458E">
        <w:rPr>
          <w:rFonts w:hint="eastAsia"/>
          <w:lang w:eastAsia="ja-JP"/>
        </w:rPr>
        <w:t xml:space="preserve">, which </w:t>
      </w:r>
      <w:r w:rsidRPr="001D458E">
        <w:rPr>
          <w:lang w:eastAsia="ja-JP"/>
        </w:rPr>
        <w:t xml:space="preserve">is enforced by the independent regulator, the FCC. In Japan, a significant difference is that most bills are put by the </w:t>
      </w:r>
      <w:r w:rsidRPr="001D458E">
        <w:rPr>
          <w:rFonts w:hint="eastAsia"/>
          <w:lang w:eastAsia="ja-JP"/>
        </w:rPr>
        <w:t>Cabinet</w:t>
      </w:r>
      <w:r w:rsidRPr="001D458E">
        <w:rPr>
          <w:lang w:eastAsia="ja-JP"/>
        </w:rPr>
        <w:t>. And, what is the nature of the independent organisation if it’</w:t>
      </w:r>
      <w:r w:rsidRPr="001D458E">
        <w:rPr>
          <w:rFonts w:hint="eastAsia"/>
          <w:lang w:eastAsia="ja-JP"/>
        </w:rPr>
        <w:t>s i</w:t>
      </w:r>
      <w:r w:rsidRPr="001D458E">
        <w:rPr>
          <w:lang w:eastAsia="ja-JP"/>
        </w:rPr>
        <w:t xml:space="preserve">ndependent from government? For instance, the JFTC is usually regarded as a highly independent organisation called an Article 3 </w:t>
      </w:r>
      <w:r w:rsidRPr="001D458E">
        <w:rPr>
          <w:rFonts w:hint="eastAsia"/>
          <w:lang w:eastAsia="ja-JP"/>
        </w:rPr>
        <w:t>o</w:t>
      </w:r>
      <w:r w:rsidRPr="001D458E">
        <w:rPr>
          <w:lang w:eastAsia="ja-JP"/>
        </w:rPr>
        <w:t xml:space="preserve">rganisation, but </w:t>
      </w:r>
      <w:r w:rsidRPr="001D458E">
        <w:rPr>
          <w:rFonts w:hint="eastAsia"/>
          <w:lang w:eastAsia="ja-JP"/>
        </w:rPr>
        <w:t xml:space="preserve">it </w:t>
      </w:r>
      <w:r w:rsidRPr="001D458E">
        <w:rPr>
          <w:lang w:eastAsia="ja-JP"/>
        </w:rPr>
        <w:t xml:space="preserve">still belongs to the Prime Minister under the Parliamentary System. Therefore, from what the independent organisation </w:t>
      </w:r>
      <w:r w:rsidRPr="001D458E">
        <w:rPr>
          <w:rFonts w:hint="eastAsia"/>
          <w:lang w:eastAsia="ja-JP"/>
        </w:rPr>
        <w:t xml:space="preserve">is </w:t>
      </w:r>
      <w:r w:rsidRPr="001D458E">
        <w:rPr>
          <w:lang w:eastAsia="ja-JP"/>
        </w:rPr>
        <w:t xml:space="preserve">independent is important. </w:t>
      </w:r>
      <w:r w:rsidRPr="001D458E">
        <w:rPr>
          <w:rFonts w:hint="eastAsia"/>
          <w:lang w:eastAsia="ja-JP"/>
        </w:rPr>
        <w:t>(</w:t>
      </w:r>
      <w:r w:rsidR="007634ED">
        <w:rPr>
          <w:rFonts w:hint="eastAsia"/>
          <w:lang w:eastAsia="ja-JP"/>
        </w:rPr>
        <w:t>Interview with</w:t>
      </w:r>
      <w:r w:rsidRPr="001D458E">
        <w:rPr>
          <w:rFonts w:hint="eastAsia"/>
          <w:lang w:eastAsia="ja-JP"/>
        </w:rPr>
        <w:t xml:space="preserve"> a civil servant)</w:t>
      </w:r>
    </w:p>
    <w:p w14:paraId="14D1BC3E" w14:textId="77777777" w:rsidR="008D0572" w:rsidRPr="001D458E" w:rsidRDefault="008D0572" w:rsidP="008D0572">
      <w:pPr>
        <w:rPr>
          <w:lang w:eastAsia="ja-JP"/>
        </w:rPr>
      </w:pPr>
    </w:p>
    <w:p w14:paraId="4D2F63B3" w14:textId="77777777" w:rsidR="008D0572" w:rsidRPr="001D458E" w:rsidRDefault="008D0572" w:rsidP="008D0572">
      <w:pPr>
        <w:rPr>
          <w:lang w:eastAsia="ja-JP"/>
        </w:rPr>
      </w:pPr>
      <w:r w:rsidRPr="001D458E">
        <w:rPr>
          <w:lang w:eastAsia="ja-JP"/>
        </w:rPr>
        <w:t>He argued that this different institutional background gives the JFTC a different type of independence from what US independent commissions have:</w:t>
      </w:r>
    </w:p>
    <w:p w14:paraId="2E10A751" w14:textId="77777777" w:rsidR="008D0572" w:rsidRPr="001D458E" w:rsidRDefault="008D0572" w:rsidP="008D0572">
      <w:pPr>
        <w:rPr>
          <w:lang w:eastAsia="ja-JP"/>
        </w:rPr>
      </w:pPr>
    </w:p>
    <w:p w14:paraId="4FEF875F" w14:textId="67AC1FBB" w:rsidR="008D0572" w:rsidRPr="001D458E" w:rsidRDefault="008D0572" w:rsidP="008D0572">
      <w:pPr>
        <w:pStyle w:val="Quote"/>
        <w:rPr>
          <w:lang w:eastAsia="ja-JP"/>
        </w:rPr>
      </w:pPr>
      <w:r w:rsidRPr="001D458E">
        <w:rPr>
          <w:lang w:eastAsia="ja-JP"/>
        </w:rPr>
        <w:t xml:space="preserve">The model of an independent regulator is the JFTC, in my view. It’s generally understood in such a way, and I also think so. But in the viewpoint of (Japan’s) National Administration Organisation Law it is within the Cabinet, so it’s not independent. Because it is a player in the government, it’s not independent from the government. Because it’s a player of the government, its status is different from independent commissions of other countries like the US. </w:t>
      </w:r>
      <w:r w:rsidRPr="001D458E">
        <w:rPr>
          <w:rFonts w:hint="eastAsia"/>
          <w:lang w:eastAsia="ja-JP"/>
        </w:rPr>
        <w:t>(</w:t>
      </w:r>
      <w:r w:rsidR="007634ED">
        <w:rPr>
          <w:rFonts w:hint="eastAsia"/>
          <w:lang w:eastAsia="ja-JP"/>
        </w:rPr>
        <w:t>Interview with</w:t>
      </w:r>
      <w:r w:rsidRPr="001D458E">
        <w:rPr>
          <w:rFonts w:hint="eastAsia"/>
          <w:lang w:eastAsia="ja-JP"/>
        </w:rPr>
        <w:t xml:space="preserve"> a civil servant)</w:t>
      </w:r>
    </w:p>
    <w:p w14:paraId="33292326" w14:textId="77777777" w:rsidR="008D0572" w:rsidRPr="001D458E" w:rsidRDefault="008D0572" w:rsidP="008D0572">
      <w:pPr>
        <w:rPr>
          <w:lang w:eastAsia="ja-JP"/>
        </w:rPr>
      </w:pPr>
    </w:p>
    <w:p w14:paraId="4C364843" w14:textId="77777777" w:rsidR="008D0572" w:rsidRPr="001D458E" w:rsidRDefault="008D0572" w:rsidP="008D0572">
      <w:pPr>
        <w:ind w:firstLine="284"/>
        <w:rPr>
          <w:lang w:eastAsia="ja-JP"/>
        </w:rPr>
      </w:pPr>
      <w:r w:rsidRPr="001D458E">
        <w:rPr>
          <w:lang w:eastAsia="ja-JP"/>
        </w:rPr>
        <w:t>Third, interviewees from the core executive reject</w:t>
      </w:r>
      <w:r w:rsidRPr="001D458E">
        <w:rPr>
          <w:rFonts w:hint="eastAsia"/>
          <w:lang w:eastAsia="ja-JP"/>
        </w:rPr>
        <w:t>ed</w:t>
      </w:r>
      <w:r w:rsidRPr="001D458E">
        <w:rPr>
          <w:lang w:eastAsia="ja-JP"/>
        </w:rPr>
        <w:t xml:space="preserve"> the view that establishing an independent regulator is key to address</w:t>
      </w:r>
      <w:r w:rsidR="00837091">
        <w:rPr>
          <w:lang w:eastAsia="ja-JP"/>
        </w:rPr>
        <w:t>ing</w:t>
      </w:r>
      <w:r w:rsidRPr="001D458E">
        <w:rPr>
          <w:lang w:eastAsia="ja-JP"/>
        </w:rPr>
        <w:t xml:space="preserve"> the conflicts of interests between industry development and regulation. This understanding led them to argue that the issue is not organisational independence but ensuring the neutrality of regulation</w:t>
      </w:r>
      <w:r w:rsidRPr="001D458E">
        <w:rPr>
          <w:rFonts w:hint="eastAsia"/>
          <w:lang w:eastAsia="ja-JP"/>
        </w:rPr>
        <w:t xml:space="preserve">. </w:t>
      </w:r>
      <w:r w:rsidRPr="001D458E">
        <w:rPr>
          <w:lang w:eastAsia="ja-JP"/>
        </w:rPr>
        <w:t>A</w:t>
      </w:r>
      <w:r w:rsidRPr="001D458E">
        <w:rPr>
          <w:rFonts w:hint="eastAsia"/>
          <w:lang w:eastAsia="ja-JP"/>
        </w:rPr>
        <w:t>s t</w:t>
      </w:r>
      <w:r w:rsidRPr="001D458E">
        <w:rPr>
          <w:lang w:eastAsia="ja-JP"/>
        </w:rPr>
        <w:t>he above civil servant</w:t>
      </w:r>
      <w:r w:rsidRPr="001D458E">
        <w:rPr>
          <w:rFonts w:hint="eastAsia"/>
          <w:lang w:eastAsia="ja-JP"/>
        </w:rPr>
        <w:t xml:space="preserve"> observed:</w:t>
      </w:r>
    </w:p>
    <w:p w14:paraId="597F1BEA" w14:textId="77777777" w:rsidR="008D0572" w:rsidRPr="001D458E" w:rsidRDefault="008D0572" w:rsidP="008D0572">
      <w:pPr>
        <w:rPr>
          <w:lang w:eastAsia="ja-JP"/>
        </w:rPr>
      </w:pPr>
    </w:p>
    <w:p w14:paraId="7C5EB739" w14:textId="77777777" w:rsidR="008D0572" w:rsidRPr="001D458E" w:rsidRDefault="008D0572" w:rsidP="008D0572">
      <w:pPr>
        <w:pStyle w:val="Quote"/>
        <w:rPr>
          <w:lang w:eastAsia="ja-JP"/>
        </w:rPr>
      </w:pPr>
      <w:r w:rsidRPr="001D458E">
        <w:rPr>
          <w:lang w:eastAsia="ja-JP"/>
        </w:rPr>
        <w:t xml:space="preserve">Another </w:t>
      </w:r>
      <w:r w:rsidRPr="001D458E">
        <w:rPr>
          <w:rFonts w:hint="eastAsia"/>
          <w:lang w:eastAsia="ja-JP"/>
        </w:rPr>
        <w:t>issue to emerge is over</w:t>
      </w:r>
      <w:r w:rsidRPr="001D458E">
        <w:rPr>
          <w:lang w:eastAsia="ja-JP"/>
        </w:rPr>
        <w:t xml:space="preserve"> the independence of competition policy from industrial/promotional policy prompted by the conflicts of interests. Large private corporations like the NTT play a significant role, for example, in the deployment of broadband communications networks. This leads the government to employ promotional policies favourable to the NTT. </w:t>
      </w:r>
      <w:r w:rsidRPr="001D458E">
        <w:rPr>
          <w:rFonts w:hint="eastAsia"/>
          <w:lang w:eastAsia="ja-JP"/>
        </w:rPr>
        <w:t>Y</w:t>
      </w:r>
      <w:r w:rsidRPr="001D458E">
        <w:rPr>
          <w:lang w:eastAsia="ja-JP"/>
        </w:rPr>
        <w:t>e</w:t>
      </w:r>
      <w:r w:rsidRPr="001D458E">
        <w:rPr>
          <w:rFonts w:hint="eastAsia"/>
          <w:lang w:eastAsia="ja-JP"/>
        </w:rPr>
        <w:t>t</w:t>
      </w:r>
      <w:r w:rsidRPr="001D458E">
        <w:rPr>
          <w:lang w:eastAsia="ja-JP"/>
        </w:rPr>
        <w:t xml:space="preserve"> </w:t>
      </w:r>
      <w:r w:rsidRPr="001D458E">
        <w:rPr>
          <w:rFonts w:hint="eastAsia"/>
          <w:lang w:eastAsia="ja-JP"/>
        </w:rPr>
        <w:t>government</w:t>
      </w:r>
      <w:r w:rsidRPr="001D458E">
        <w:rPr>
          <w:lang w:eastAsia="ja-JP"/>
        </w:rPr>
        <w:t>’</w:t>
      </w:r>
      <w:r w:rsidRPr="001D458E">
        <w:rPr>
          <w:rFonts w:hint="eastAsia"/>
          <w:lang w:eastAsia="ja-JP"/>
        </w:rPr>
        <w:t xml:space="preserve">s regulation tends </w:t>
      </w:r>
      <w:r w:rsidR="00837091">
        <w:rPr>
          <w:lang w:eastAsia="ja-JP"/>
        </w:rPr>
        <w:t xml:space="preserve">to be </w:t>
      </w:r>
      <w:r w:rsidRPr="001D458E">
        <w:rPr>
          <w:rFonts w:hint="eastAsia"/>
          <w:lang w:eastAsia="ja-JP"/>
        </w:rPr>
        <w:t xml:space="preserve">unfavourable to the NTT for it tends to focus on </w:t>
      </w:r>
      <w:r w:rsidRPr="001D458E">
        <w:rPr>
          <w:lang w:eastAsia="ja-JP"/>
        </w:rPr>
        <w:t>dominant operators. (</w:t>
      </w:r>
      <w:r w:rsidR="007634ED">
        <w:t>Interview with</w:t>
      </w:r>
      <w:r w:rsidRPr="001D458E">
        <w:t xml:space="preserve"> a civil servant</w:t>
      </w:r>
      <w:r w:rsidRPr="001D458E">
        <w:rPr>
          <w:lang w:eastAsia="ja-JP"/>
        </w:rPr>
        <w:t>)</w:t>
      </w:r>
    </w:p>
    <w:p w14:paraId="58A7F007" w14:textId="77777777" w:rsidR="008D0572" w:rsidRPr="001D458E" w:rsidRDefault="008D0572" w:rsidP="008D0572">
      <w:pPr>
        <w:rPr>
          <w:lang w:eastAsia="ja-JP"/>
        </w:rPr>
      </w:pPr>
    </w:p>
    <w:p w14:paraId="3DB03328" w14:textId="77777777" w:rsidR="008D0572" w:rsidRPr="001D458E" w:rsidRDefault="008D0572" w:rsidP="008D0572">
      <w:pPr>
        <w:rPr>
          <w:lang w:eastAsia="ja-JP"/>
        </w:rPr>
      </w:pPr>
      <w:r w:rsidRPr="001D458E">
        <w:rPr>
          <w:rFonts w:hint="eastAsia"/>
          <w:lang w:eastAsia="ja-JP"/>
        </w:rPr>
        <w:t xml:space="preserve">With his experience in the US, he </w:t>
      </w:r>
      <w:r w:rsidRPr="001D458E">
        <w:rPr>
          <w:lang w:eastAsia="ja-JP"/>
        </w:rPr>
        <w:t xml:space="preserve">also </w:t>
      </w:r>
      <w:r w:rsidRPr="001D458E">
        <w:rPr>
          <w:rFonts w:hint="eastAsia"/>
          <w:lang w:eastAsia="ja-JP"/>
        </w:rPr>
        <w:t>highlighted</w:t>
      </w:r>
      <w:r w:rsidRPr="001D458E">
        <w:rPr>
          <w:lang w:eastAsia="ja-JP"/>
        </w:rPr>
        <w:t xml:space="preserve"> the political nature of the US independent commissions, referring to the case of the FCC: </w:t>
      </w:r>
    </w:p>
    <w:p w14:paraId="2BA74D9D" w14:textId="77777777" w:rsidR="008D0572" w:rsidRPr="001D458E" w:rsidRDefault="008D0572" w:rsidP="008D0572">
      <w:pPr>
        <w:rPr>
          <w:lang w:eastAsia="ja-JP"/>
        </w:rPr>
      </w:pPr>
    </w:p>
    <w:p w14:paraId="4C594FD5" w14:textId="77777777" w:rsidR="008D0572" w:rsidRPr="001D458E" w:rsidRDefault="008D0572" w:rsidP="008D0572">
      <w:pPr>
        <w:pStyle w:val="Quote"/>
        <w:rPr>
          <w:lang w:eastAsia="ja-JP"/>
        </w:rPr>
      </w:pPr>
      <w:r w:rsidRPr="001D458E">
        <w:rPr>
          <w:lang w:eastAsia="ja-JP"/>
        </w:rPr>
        <w:t>I think the government have to avoid mutual influence between these two policies. In the US, the FCC is under the auspices of the Congress. In other words, it’</w:t>
      </w:r>
      <w:r w:rsidRPr="001D458E">
        <w:rPr>
          <w:rFonts w:hint="eastAsia"/>
          <w:lang w:eastAsia="ja-JP"/>
        </w:rPr>
        <w:t>s</w:t>
      </w:r>
      <w:r w:rsidRPr="001D458E">
        <w:rPr>
          <w:lang w:eastAsia="ja-JP"/>
        </w:rPr>
        <w:t xml:space="preserve"> independent </w:t>
      </w:r>
      <w:r w:rsidRPr="001D458E">
        <w:rPr>
          <w:rFonts w:hint="eastAsia"/>
          <w:lang w:eastAsia="ja-JP"/>
        </w:rPr>
        <w:t>of</w:t>
      </w:r>
      <w:r w:rsidRPr="001D458E">
        <w:rPr>
          <w:lang w:eastAsia="ja-JP"/>
        </w:rPr>
        <w:t xml:space="preserve"> the federal government and belongs to the Congress. Its major financial source is the licence fee. Expending this money needs the Congress’</w:t>
      </w:r>
      <w:r w:rsidRPr="001D458E">
        <w:rPr>
          <w:rFonts w:hint="eastAsia"/>
          <w:lang w:eastAsia="ja-JP"/>
        </w:rPr>
        <w:t xml:space="preserve"> approval</w:t>
      </w:r>
      <w:r w:rsidRPr="001D458E">
        <w:rPr>
          <w:lang w:eastAsia="ja-JP"/>
        </w:rPr>
        <w:t xml:space="preserve">. Can we call this system independent </w:t>
      </w:r>
      <w:r w:rsidRPr="001D458E">
        <w:rPr>
          <w:rFonts w:hint="eastAsia"/>
          <w:lang w:eastAsia="ja-JP"/>
        </w:rPr>
        <w:t>of</w:t>
      </w:r>
      <w:r w:rsidRPr="001D458E">
        <w:rPr>
          <w:lang w:eastAsia="ja-JP"/>
        </w:rPr>
        <w:t xml:space="preserve"> politics? I don’t think it’</w:t>
      </w:r>
      <w:r w:rsidRPr="001D458E">
        <w:rPr>
          <w:rFonts w:hint="eastAsia"/>
          <w:lang w:eastAsia="ja-JP"/>
        </w:rPr>
        <w:t>s</w:t>
      </w:r>
      <w:r w:rsidRPr="001D458E">
        <w:rPr>
          <w:lang w:eastAsia="ja-JP"/>
        </w:rPr>
        <w:t xml:space="preserve"> truly independent </w:t>
      </w:r>
      <w:r w:rsidRPr="001D458E">
        <w:rPr>
          <w:rFonts w:hint="eastAsia"/>
          <w:lang w:eastAsia="ja-JP"/>
        </w:rPr>
        <w:t>of</w:t>
      </w:r>
      <w:r w:rsidRPr="001D458E">
        <w:rPr>
          <w:lang w:eastAsia="ja-JP"/>
        </w:rPr>
        <w:t xml:space="preserve"> politics; the current majority of commissioners are three democrats, together with two </w:t>
      </w:r>
      <w:r w:rsidRPr="001D458E">
        <w:rPr>
          <w:rFonts w:hint="eastAsia"/>
          <w:lang w:eastAsia="ja-JP"/>
        </w:rPr>
        <w:t>r</w:t>
      </w:r>
      <w:r w:rsidRPr="001D458E">
        <w:rPr>
          <w:lang w:eastAsia="ja-JP"/>
        </w:rPr>
        <w:t>epublicans. (</w:t>
      </w:r>
      <w:r w:rsidR="007634ED">
        <w:t>Interview with</w:t>
      </w:r>
      <w:r w:rsidRPr="001D458E">
        <w:t xml:space="preserve"> a civil servant</w:t>
      </w:r>
      <w:r w:rsidRPr="001D458E">
        <w:rPr>
          <w:lang w:eastAsia="ja-JP"/>
        </w:rPr>
        <w:t>)</w:t>
      </w:r>
    </w:p>
    <w:p w14:paraId="19588961" w14:textId="77777777" w:rsidR="008D0572" w:rsidRPr="001D458E" w:rsidRDefault="008D0572" w:rsidP="008D0572">
      <w:pPr>
        <w:rPr>
          <w:lang w:eastAsia="ja-JP"/>
        </w:rPr>
      </w:pPr>
    </w:p>
    <w:p w14:paraId="749B1066" w14:textId="77777777" w:rsidR="008D0572" w:rsidRPr="001D458E" w:rsidRDefault="008D0572" w:rsidP="008D0572">
      <w:pPr>
        <w:rPr>
          <w:lang w:eastAsia="ja-JP"/>
        </w:rPr>
      </w:pPr>
      <w:r w:rsidRPr="001D458E">
        <w:rPr>
          <w:lang w:eastAsia="ja-JP"/>
        </w:rPr>
        <w:t>H</w:t>
      </w:r>
      <w:r w:rsidRPr="001D458E">
        <w:rPr>
          <w:rFonts w:hint="eastAsia"/>
          <w:lang w:eastAsia="ja-JP"/>
        </w:rPr>
        <w:t>e</w:t>
      </w:r>
      <w:r w:rsidRPr="001D458E">
        <w:rPr>
          <w:lang w:eastAsia="ja-JP"/>
        </w:rPr>
        <w:t xml:space="preserve"> conclu</w:t>
      </w:r>
      <w:r w:rsidRPr="001D458E">
        <w:rPr>
          <w:rFonts w:hint="eastAsia"/>
          <w:lang w:eastAsia="ja-JP"/>
        </w:rPr>
        <w:t>ded</w:t>
      </w:r>
      <w:r w:rsidRPr="001D458E">
        <w:rPr>
          <w:lang w:eastAsia="ja-JP"/>
        </w:rPr>
        <w:t xml:space="preserve"> that the key is not the organisational framework but the neutrality of policies:</w:t>
      </w:r>
    </w:p>
    <w:p w14:paraId="7BD101CD" w14:textId="77777777" w:rsidR="008D0572" w:rsidRPr="001D458E" w:rsidRDefault="008D0572" w:rsidP="008D0572">
      <w:pPr>
        <w:rPr>
          <w:lang w:eastAsia="ja-JP"/>
        </w:rPr>
      </w:pPr>
    </w:p>
    <w:p w14:paraId="1C3F1348" w14:textId="77777777" w:rsidR="008D0572" w:rsidRPr="001D458E" w:rsidRDefault="008D0572" w:rsidP="008D0572">
      <w:pPr>
        <w:pStyle w:val="Quote"/>
        <w:rPr>
          <w:lang w:eastAsia="ja-JP"/>
        </w:rPr>
      </w:pPr>
      <w:r w:rsidRPr="001D458E">
        <w:rPr>
          <w:lang w:eastAsia="ja-JP"/>
        </w:rPr>
        <w:t>Taking account of such facts, I think, what the government needs is</w:t>
      </w:r>
      <w:r w:rsidR="00557AA4">
        <w:rPr>
          <w:rFonts w:eastAsia="MS Mincho" w:hint="eastAsia"/>
          <w:lang w:eastAsia="ja-JP"/>
        </w:rPr>
        <w:t>n</w:t>
      </w:r>
      <w:r w:rsidR="00557AA4">
        <w:rPr>
          <w:rFonts w:eastAsia="MS Mincho"/>
          <w:lang w:eastAsia="ja-JP"/>
        </w:rPr>
        <w:t>’</w:t>
      </w:r>
      <w:r w:rsidR="00557AA4">
        <w:rPr>
          <w:rFonts w:eastAsia="MS Mincho" w:hint="eastAsia"/>
          <w:lang w:eastAsia="ja-JP"/>
        </w:rPr>
        <w:t>t</w:t>
      </w:r>
      <w:r w:rsidRPr="001D458E">
        <w:rPr>
          <w:lang w:eastAsia="ja-JP"/>
        </w:rPr>
        <w:t xml:space="preserve"> organisational independence but the neutrality of policies such as competition policy. The points are</w:t>
      </w:r>
      <w:r w:rsidR="007D6665">
        <w:rPr>
          <w:lang w:eastAsia="ja-JP"/>
        </w:rPr>
        <w:t>,</w:t>
      </w:r>
      <w:r w:rsidRPr="001D458E">
        <w:rPr>
          <w:lang w:eastAsia="ja-JP"/>
        </w:rPr>
        <w:t xml:space="preserve"> establishing the legal framework of independent regulators is very difficult, and if the point isn</w:t>
      </w:r>
      <w:r w:rsidR="00557AA4">
        <w:rPr>
          <w:rFonts w:eastAsia="MS Mincho"/>
          <w:lang w:eastAsia="ja-JP"/>
        </w:rPr>
        <w:t>’</w:t>
      </w:r>
      <w:r w:rsidRPr="001D458E">
        <w:rPr>
          <w:lang w:eastAsia="ja-JP"/>
        </w:rPr>
        <w:t xml:space="preserve">t independence from politics, </w:t>
      </w:r>
      <w:r w:rsidR="006134A8">
        <w:rPr>
          <w:lang w:eastAsia="ja-JP"/>
        </w:rPr>
        <w:t xml:space="preserve">the </w:t>
      </w:r>
      <w:r w:rsidRPr="001D458E">
        <w:rPr>
          <w:rFonts w:hint="eastAsia"/>
          <w:lang w:eastAsia="ja-JP"/>
        </w:rPr>
        <w:t>regulator</w:t>
      </w:r>
      <w:r w:rsidRPr="001D458E">
        <w:rPr>
          <w:lang w:eastAsia="ja-JP"/>
        </w:rPr>
        <w:t>’</w:t>
      </w:r>
      <w:r w:rsidRPr="001D458E">
        <w:rPr>
          <w:rFonts w:hint="eastAsia"/>
          <w:lang w:eastAsia="ja-JP"/>
        </w:rPr>
        <w:t xml:space="preserve">s </w:t>
      </w:r>
      <w:r w:rsidRPr="001D458E">
        <w:rPr>
          <w:lang w:eastAsia="ja-JP"/>
        </w:rPr>
        <w:t>institutional framework doesn’t have to be scrutinised</w:t>
      </w:r>
      <w:r w:rsidRPr="001D458E">
        <w:rPr>
          <w:rFonts w:hint="eastAsia"/>
          <w:lang w:eastAsia="ja-JP"/>
        </w:rPr>
        <w:t xml:space="preserve">, </w:t>
      </w:r>
      <w:r w:rsidRPr="001D458E">
        <w:rPr>
          <w:lang w:eastAsia="ja-JP"/>
        </w:rPr>
        <w:t>provided that the fairness and the neutrality of competition policy are ensured. (</w:t>
      </w:r>
      <w:r w:rsidR="007634ED">
        <w:t>Interview with</w:t>
      </w:r>
      <w:r w:rsidRPr="001D458E">
        <w:t xml:space="preserve"> a civil servant</w:t>
      </w:r>
      <w:r w:rsidRPr="001D458E">
        <w:rPr>
          <w:lang w:eastAsia="ja-JP"/>
        </w:rPr>
        <w:t>)</w:t>
      </w:r>
    </w:p>
    <w:p w14:paraId="3AD363BC" w14:textId="77777777" w:rsidR="008D0572" w:rsidRPr="001D458E" w:rsidRDefault="008D0572" w:rsidP="008D0572">
      <w:pPr>
        <w:rPr>
          <w:lang w:eastAsia="ja-JP"/>
        </w:rPr>
      </w:pPr>
    </w:p>
    <w:p w14:paraId="5AA5EE13" w14:textId="77777777" w:rsidR="008D0572" w:rsidRPr="001D458E" w:rsidRDefault="008D0572" w:rsidP="008D0572">
      <w:pPr>
        <w:rPr>
          <w:lang w:eastAsia="ja-JP"/>
        </w:rPr>
      </w:pPr>
      <w:r w:rsidRPr="001D458E">
        <w:rPr>
          <w:rFonts w:hint="eastAsia"/>
          <w:lang w:eastAsia="ja-JP"/>
        </w:rPr>
        <w:t>T</w:t>
      </w:r>
      <w:r w:rsidRPr="001D458E">
        <w:rPr>
          <w:lang w:eastAsia="ja-JP"/>
        </w:rPr>
        <w:t>h</w:t>
      </w:r>
      <w:r w:rsidRPr="001D458E">
        <w:rPr>
          <w:rFonts w:hint="eastAsia"/>
          <w:lang w:eastAsia="ja-JP"/>
        </w:rPr>
        <w:t xml:space="preserve">e above accounts </w:t>
      </w:r>
      <w:r w:rsidRPr="001D458E">
        <w:rPr>
          <w:lang w:eastAsia="ja-JP"/>
        </w:rPr>
        <w:t>reveal</w:t>
      </w:r>
      <w:r w:rsidRPr="001D458E">
        <w:rPr>
          <w:rFonts w:hint="eastAsia"/>
          <w:lang w:eastAsia="ja-JP"/>
        </w:rPr>
        <w:t xml:space="preserve"> that the challenges to the Japanese state </w:t>
      </w:r>
      <w:r w:rsidRPr="001D458E">
        <w:rPr>
          <w:lang w:eastAsia="ja-JP"/>
        </w:rPr>
        <w:t>outlined</w:t>
      </w:r>
      <w:r w:rsidRPr="001D458E">
        <w:rPr>
          <w:rFonts w:hint="eastAsia"/>
          <w:lang w:eastAsia="ja-JP"/>
        </w:rPr>
        <w:t xml:space="preserve"> in Chapter 2 have not had a significant impact </w:t>
      </w:r>
      <w:r w:rsidRPr="001D458E">
        <w:rPr>
          <w:lang w:eastAsia="ja-JP"/>
        </w:rPr>
        <w:t>on</w:t>
      </w:r>
      <w:r w:rsidRPr="001D458E">
        <w:rPr>
          <w:rFonts w:hint="eastAsia"/>
          <w:lang w:eastAsia="ja-JP"/>
        </w:rPr>
        <w:t xml:space="preserve"> the institutional framework of Japan</w:t>
      </w:r>
      <w:r w:rsidRPr="001D458E">
        <w:rPr>
          <w:lang w:eastAsia="ja-JP"/>
        </w:rPr>
        <w:t>’</w:t>
      </w:r>
      <w:r w:rsidRPr="001D458E">
        <w:rPr>
          <w:rFonts w:hint="eastAsia"/>
          <w:lang w:eastAsia="ja-JP"/>
        </w:rPr>
        <w:t>s ICT regulator.</w:t>
      </w:r>
    </w:p>
    <w:p w14:paraId="2AAB3362" w14:textId="77777777" w:rsidR="008D0572" w:rsidRPr="001D458E" w:rsidRDefault="008D0572" w:rsidP="008D0572">
      <w:pPr>
        <w:ind w:firstLine="284"/>
        <w:rPr>
          <w:lang w:eastAsia="ja-JP"/>
        </w:rPr>
      </w:pPr>
      <w:r w:rsidRPr="001D458E">
        <w:rPr>
          <w:rFonts w:hint="eastAsia"/>
          <w:lang w:eastAsia="ja-JP"/>
        </w:rPr>
        <w:t xml:space="preserve">Elsewhere, interviewees outside the core executive </w:t>
      </w:r>
      <w:r w:rsidRPr="001D458E">
        <w:rPr>
          <w:lang w:eastAsia="ja-JP"/>
        </w:rPr>
        <w:t>offered</w:t>
      </w:r>
      <w:r w:rsidRPr="001D458E">
        <w:rPr>
          <w:rFonts w:hint="eastAsia"/>
          <w:lang w:eastAsia="ja-JP"/>
        </w:rPr>
        <w:t xml:space="preserve"> </w:t>
      </w:r>
      <w:r w:rsidRPr="001D458E">
        <w:rPr>
          <w:lang w:eastAsia="ja-JP"/>
        </w:rPr>
        <w:t xml:space="preserve">different </w:t>
      </w:r>
      <w:r w:rsidRPr="001D458E">
        <w:rPr>
          <w:rFonts w:hint="eastAsia"/>
          <w:lang w:eastAsia="ja-JP"/>
        </w:rPr>
        <w:t xml:space="preserve">views. </w:t>
      </w:r>
      <w:r w:rsidRPr="001D458E">
        <w:rPr>
          <w:lang w:eastAsia="ja-JP"/>
        </w:rPr>
        <w:t xml:space="preserve">An official of a </w:t>
      </w:r>
      <w:r w:rsidRPr="001D458E">
        <w:rPr>
          <w:rFonts w:hint="eastAsia"/>
          <w:lang w:eastAsia="ja-JP"/>
        </w:rPr>
        <w:t xml:space="preserve">major business </w:t>
      </w:r>
      <w:r w:rsidRPr="001D458E">
        <w:rPr>
          <w:lang w:eastAsia="ja-JP"/>
        </w:rPr>
        <w:t>organisation</w:t>
      </w:r>
      <w:r w:rsidRPr="001D458E">
        <w:rPr>
          <w:rFonts w:hint="eastAsia"/>
          <w:lang w:eastAsia="ja-JP"/>
        </w:rPr>
        <w:t xml:space="preserve"> recognised that the ICT sector needs </w:t>
      </w:r>
      <w:r w:rsidRPr="001D458E">
        <w:rPr>
          <w:lang w:eastAsia="ja-JP"/>
        </w:rPr>
        <w:t>intimate</w:t>
      </w:r>
      <w:r w:rsidRPr="001D458E">
        <w:rPr>
          <w:rFonts w:hint="eastAsia"/>
          <w:lang w:eastAsia="ja-JP"/>
        </w:rPr>
        <w:t xml:space="preserve"> cooperation between promotional (developmental) policy and regulatory policy, although establishing an independent regulator is an option:</w:t>
      </w:r>
    </w:p>
    <w:p w14:paraId="04DF0056" w14:textId="77777777" w:rsidR="008D0572" w:rsidRPr="001D458E" w:rsidRDefault="008D0572" w:rsidP="008D0572">
      <w:pPr>
        <w:rPr>
          <w:lang w:eastAsia="ja-JP"/>
        </w:rPr>
      </w:pPr>
    </w:p>
    <w:p w14:paraId="7A1C8C86" w14:textId="77777777" w:rsidR="008D0572" w:rsidRPr="001D458E" w:rsidRDefault="008D0572" w:rsidP="008D0572">
      <w:pPr>
        <w:pStyle w:val="Quote"/>
        <w:rPr>
          <w:lang w:eastAsia="ja-JP"/>
        </w:rPr>
      </w:pPr>
      <w:r w:rsidRPr="001D458E">
        <w:rPr>
          <w:rFonts w:hint="eastAsia"/>
          <w:lang w:eastAsia="ja-JP"/>
        </w:rPr>
        <w:t>ICT (sector) needs both regulation and industry promotion, so (whether it needs an independent regulator is) not clear, but I suggest it</w:t>
      </w:r>
      <w:r w:rsidRPr="001D458E">
        <w:rPr>
          <w:lang w:eastAsia="ja-JP"/>
        </w:rPr>
        <w:t>’</w:t>
      </w:r>
      <w:r w:rsidRPr="001D458E">
        <w:rPr>
          <w:rFonts w:hint="eastAsia"/>
          <w:lang w:eastAsia="ja-JP"/>
        </w:rPr>
        <w:t xml:space="preserve">s a possible option that the MIC intervenes </w:t>
      </w:r>
      <w:r w:rsidR="00837091">
        <w:rPr>
          <w:lang w:eastAsia="ja-JP"/>
        </w:rPr>
        <w:t xml:space="preserve">in </w:t>
      </w:r>
      <w:r w:rsidRPr="001D458E">
        <w:rPr>
          <w:rFonts w:hint="eastAsia"/>
          <w:lang w:eastAsia="ja-JP"/>
        </w:rPr>
        <w:t xml:space="preserve">the sector (employs promotional policy) while an </w:t>
      </w:r>
      <w:r w:rsidRPr="001D458E">
        <w:rPr>
          <w:lang w:eastAsia="ja-JP"/>
        </w:rPr>
        <w:t>independent</w:t>
      </w:r>
      <w:r w:rsidRPr="001D458E">
        <w:rPr>
          <w:rFonts w:hint="eastAsia"/>
          <w:lang w:eastAsia="ja-JP"/>
        </w:rPr>
        <w:t xml:space="preserve"> regulator supervises </w:t>
      </w:r>
      <w:r w:rsidRPr="001D458E">
        <w:rPr>
          <w:lang w:eastAsia="ja-JP"/>
        </w:rPr>
        <w:t>it</w:t>
      </w:r>
      <w:r w:rsidRPr="001D458E">
        <w:rPr>
          <w:rFonts w:hint="eastAsia"/>
          <w:lang w:eastAsia="ja-JP"/>
        </w:rPr>
        <w:t>. (</w:t>
      </w:r>
      <w:r w:rsidR="007634ED">
        <w:rPr>
          <w:rFonts w:hint="eastAsia"/>
          <w:lang w:eastAsia="ja-JP"/>
        </w:rPr>
        <w:t>Interview with</w:t>
      </w:r>
      <w:r w:rsidRPr="001D458E">
        <w:rPr>
          <w:rFonts w:hint="eastAsia"/>
          <w:lang w:eastAsia="ja-JP"/>
        </w:rPr>
        <w:t xml:space="preserve"> a </w:t>
      </w:r>
      <w:r w:rsidRPr="001D458E">
        <w:rPr>
          <w:rFonts w:hint="eastAsia"/>
          <w:i/>
          <w:lang w:eastAsia="ja-JP"/>
        </w:rPr>
        <w:t>Keidanren</w:t>
      </w:r>
      <w:r w:rsidRPr="001D458E">
        <w:rPr>
          <w:rFonts w:hint="eastAsia"/>
          <w:lang w:eastAsia="ja-JP"/>
        </w:rPr>
        <w:t xml:space="preserve"> official)</w:t>
      </w:r>
    </w:p>
    <w:p w14:paraId="3447F41B" w14:textId="77777777" w:rsidR="008D0572" w:rsidRPr="001D458E" w:rsidRDefault="008D0572" w:rsidP="008D0572">
      <w:pPr>
        <w:rPr>
          <w:lang w:eastAsia="ja-JP"/>
        </w:rPr>
      </w:pPr>
    </w:p>
    <w:p w14:paraId="476C7A5D" w14:textId="77777777" w:rsidR="008D0572" w:rsidRPr="001D458E" w:rsidRDefault="008D0572" w:rsidP="008D0572">
      <w:pPr>
        <w:rPr>
          <w:lang w:eastAsia="ja-JP"/>
        </w:rPr>
      </w:pPr>
      <w:r w:rsidRPr="001D458E">
        <w:rPr>
          <w:rFonts w:hint="eastAsia"/>
          <w:lang w:eastAsia="ja-JP"/>
        </w:rPr>
        <w:t xml:space="preserve">This specific nature of the ICT sector, the </w:t>
      </w:r>
      <w:r w:rsidRPr="001D458E">
        <w:rPr>
          <w:lang w:eastAsia="ja-JP"/>
        </w:rPr>
        <w:t>necessity</w:t>
      </w:r>
      <w:r w:rsidRPr="001D458E">
        <w:rPr>
          <w:rFonts w:hint="eastAsia"/>
          <w:lang w:eastAsia="ja-JP"/>
        </w:rPr>
        <w:t xml:space="preserve"> of close cooperation between </w:t>
      </w:r>
      <w:r w:rsidRPr="001D458E">
        <w:rPr>
          <w:lang w:eastAsia="ja-JP"/>
        </w:rPr>
        <w:t>industry</w:t>
      </w:r>
      <w:r w:rsidRPr="001D458E">
        <w:rPr>
          <w:rFonts w:hint="eastAsia"/>
          <w:lang w:eastAsia="ja-JP"/>
        </w:rPr>
        <w:t xml:space="preserve"> promotion and regulation, is recognised by a retired academic involved in policy making for many years: </w:t>
      </w:r>
    </w:p>
    <w:p w14:paraId="279F115C" w14:textId="77777777" w:rsidR="008D0572" w:rsidRPr="001D458E" w:rsidRDefault="008D0572" w:rsidP="008D0572">
      <w:pPr>
        <w:rPr>
          <w:lang w:eastAsia="ja-JP"/>
        </w:rPr>
      </w:pPr>
    </w:p>
    <w:p w14:paraId="1C69CC84" w14:textId="77777777" w:rsidR="008D0572" w:rsidRPr="001D458E" w:rsidRDefault="008D0572" w:rsidP="008D0572">
      <w:pPr>
        <w:pStyle w:val="Quote"/>
        <w:rPr>
          <w:lang w:eastAsia="ja-JP"/>
        </w:rPr>
      </w:pPr>
      <w:r w:rsidRPr="001D458E">
        <w:rPr>
          <w:lang w:eastAsia="ja-JP"/>
        </w:rPr>
        <w:t>…</w:t>
      </w:r>
      <w:r w:rsidRPr="001D458E">
        <w:rPr>
          <w:rFonts w:hint="eastAsia"/>
          <w:lang w:eastAsia="ja-JP"/>
        </w:rPr>
        <w:t xml:space="preserve">the ICT sector changes so quickly and this </w:t>
      </w:r>
      <w:r w:rsidRPr="001D458E">
        <w:rPr>
          <w:lang w:eastAsia="ja-JP"/>
        </w:rPr>
        <w:t>rapid</w:t>
      </w:r>
      <w:r w:rsidRPr="001D458E">
        <w:rPr>
          <w:rFonts w:hint="eastAsia"/>
          <w:lang w:eastAsia="ja-JP"/>
        </w:rPr>
        <w:t xml:space="preserve"> change is the basis of international competitiveness. </w:t>
      </w:r>
      <w:r w:rsidRPr="001D458E">
        <w:rPr>
          <w:lang w:eastAsia="ja-JP"/>
        </w:rPr>
        <w:t>A</w:t>
      </w:r>
      <w:r w:rsidRPr="001D458E">
        <w:rPr>
          <w:rFonts w:hint="eastAsia"/>
          <w:lang w:eastAsia="ja-JP"/>
        </w:rPr>
        <w:t xml:space="preserve">nd if a commission concentrating on regulation is established, the result will be a disaster. </w:t>
      </w:r>
      <w:r w:rsidRPr="001D458E">
        <w:rPr>
          <w:lang w:eastAsia="ja-JP"/>
        </w:rPr>
        <w:t>F</w:t>
      </w:r>
      <w:r w:rsidRPr="001D458E">
        <w:rPr>
          <w:rFonts w:hint="eastAsia"/>
          <w:lang w:eastAsia="ja-JP"/>
        </w:rPr>
        <w:t xml:space="preserve">or </w:t>
      </w:r>
      <w:r w:rsidRPr="001D458E">
        <w:rPr>
          <w:lang w:eastAsia="ja-JP"/>
        </w:rPr>
        <w:t>example</w:t>
      </w:r>
      <w:r w:rsidRPr="001D458E">
        <w:rPr>
          <w:rFonts w:hint="eastAsia"/>
          <w:lang w:eastAsia="ja-JP"/>
        </w:rPr>
        <w:t>, the FCC does</w:t>
      </w:r>
      <w:r w:rsidRPr="001D458E">
        <w:rPr>
          <w:lang w:eastAsia="ja-JP"/>
        </w:rPr>
        <w:t>n’t</w:t>
      </w:r>
      <w:r w:rsidRPr="001D458E">
        <w:rPr>
          <w:rFonts w:hint="eastAsia"/>
          <w:lang w:eastAsia="ja-JP"/>
        </w:rPr>
        <w:t xml:space="preserve"> only regulate the sector. It not only regulates the sector but also, in my view about radio regulation, formulates new rules to promote technological development. Therefore, an organisation which does</w:t>
      </w:r>
      <w:r w:rsidRPr="001D458E">
        <w:rPr>
          <w:lang w:eastAsia="ja-JP"/>
        </w:rPr>
        <w:t>n’t</w:t>
      </w:r>
      <w:r w:rsidRPr="001D458E">
        <w:rPr>
          <w:rFonts w:hint="eastAsia"/>
          <w:lang w:eastAsia="ja-JP"/>
        </w:rPr>
        <w:t xml:space="preserve"> promote but only regulates industry will create no benefit. (</w:t>
      </w:r>
      <w:r w:rsidR="007634ED">
        <w:t>Interview with</w:t>
      </w:r>
      <w:r w:rsidRPr="001D458E">
        <w:t xml:space="preserve"> a former member of the Information and Communications Council)</w:t>
      </w:r>
    </w:p>
    <w:p w14:paraId="21D7B27B" w14:textId="77777777" w:rsidR="008D0572" w:rsidRPr="001D458E" w:rsidRDefault="008D0572" w:rsidP="008D0572">
      <w:pPr>
        <w:rPr>
          <w:lang w:eastAsia="ja-JP"/>
        </w:rPr>
      </w:pPr>
    </w:p>
    <w:p w14:paraId="6AE6D9F2" w14:textId="77777777" w:rsidR="008D0572" w:rsidRPr="001D458E" w:rsidRDefault="008D0572" w:rsidP="008D0572">
      <w:pPr>
        <w:rPr>
          <w:lang w:eastAsia="ja-JP"/>
        </w:rPr>
      </w:pPr>
      <w:r w:rsidRPr="001D458E">
        <w:rPr>
          <w:lang w:eastAsia="ja-JP"/>
        </w:rPr>
        <w:t>This argument was supported by a retired senior civil servant:</w:t>
      </w:r>
      <w:r w:rsidRPr="001D458E">
        <w:rPr>
          <w:rFonts w:hint="eastAsia"/>
          <w:lang w:eastAsia="ja-JP"/>
        </w:rPr>
        <w:t xml:space="preserve"> </w:t>
      </w:r>
      <w:r w:rsidRPr="001D458E">
        <w:rPr>
          <w:lang w:eastAsia="ja-JP"/>
        </w:rPr>
        <w:t>‘You’ve said ‘regulation’, ‘regulation’ so far, but what I’ve experienced is promotion and regulation. …If regulation and promotion fail to (co-work and) generate synergy, things won’t work in ICT industry and policies, I thought…’ (</w:t>
      </w:r>
      <w:r w:rsidR="007634ED">
        <w:rPr>
          <w:lang w:eastAsia="ja-JP"/>
        </w:rPr>
        <w:t>Interview with</w:t>
      </w:r>
      <w:r w:rsidRPr="001D458E">
        <w:rPr>
          <w:lang w:eastAsia="ja-JP"/>
        </w:rPr>
        <w:t xml:space="preserve"> a retired senior civil servant).</w:t>
      </w:r>
    </w:p>
    <w:p w14:paraId="3543FAC5" w14:textId="77777777" w:rsidR="008D0572" w:rsidRPr="001D458E" w:rsidRDefault="008D0572" w:rsidP="008D0572">
      <w:pPr>
        <w:ind w:firstLine="284"/>
        <w:rPr>
          <w:lang w:eastAsia="ja-JP"/>
        </w:rPr>
      </w:pPr>
      <w:r w:rsidRPr="001D458E">
        <w:rPr>
          <w:rFonts w:hint="eastAsia"/>
          <w:lang w:eastAsia="ja-JP"/>
        </w:rPr>
        <w:t>Creating an independent ICT regulator was more openly supported by an interviewee from the consumer group. She hoped that an independent regulator could fend off the influence from politicians and realise more coherent regulation:</w:t>
      </w:r>
    </w:p>
    <w:p w14:paraId="0BF83A1A" w14:textId="77777777" w:rsidR="008D0572" w:rsidRPr="001D458E" w:rsidRDefault="008D0572" w:rsidP="008D0572">
      <w:pPr>
        <w:rPr>
          <w:lang w:eastAsia="ja-JP"/>
        </w:rPr>
      </w:pPr>
    </w:p>
    <w:p w14:paraId="4CD9A573" w14:textId="514A2E9C" w:rsidR="008D0572" w:rsidRPr="001D458E" w:rsidRDefault="008D0572" w:rsidP="008D0572">
      <w:pPr>
        <w:pStyle w:val="Quote"/>
        <w:rPr>
          <w:lang w:eastAsia="ja-JP"/>
        </w:rPr>
      </w:pPr>
      <w:r w:rsidRPr="001D458E">
        <w:rPr>
          <w:rFonts w:hint="eastAsia"/>
          <w:lang w:eastAsia="ja-JP"/>
        </w:rPr>
        <w:t xml:space="preserve">we said that a </w:t>
      </w:r>
      <w:r w:rsidRPr="001D458E">
        <w:rPr>
          <w:lang w:eastAsia="ja-JP"/>
        </w:rPr>
        <w:t>third</w:t>
      </w:r>
      <w:r w:rsidRPr="001D458E">
        <w:rPr>
          <w:rFonts w:hint="eastAsia"/>
          <w:lang w:eastAsia="ja-JP"/>
        </w:rPr>
        <w:t xml:space="preserve"> party organisation (independent organisation) </w:t>
      </w:r>
      <w:r w:rsidRPr="001D458E">
        <w:rPr>
          <w:lang w:eastAsia="ja-JP"/>
        </w:rPr>
        <w:t>wa</w:t>
      </w:r>
      <w:r w:rsidRPr="001D458E">
        <w:rPr>
          <w:rFonts w:hint="eastAsia"/>
          <w:lang w:eastAsia="ja-JP"/>
        </w:rPr>
        <w:t xml:space="preserve">s necessary, an independent organisation with a </w:t>
      </w:r>
      <w:r w:rsidRPr="001D458E">
        <w:rPr>
          <w:lang w:eastAsia="ja-JP"/>
        </w:rPr>
        <w:t>substantial</w:t>
      </w:r>
      <w:r w:rsidRPr="001D458E">
        <w:rPr>
          <w:rFonts w:hint="eastAsia"/>
          <w:lang w:eastAsia="ja-JP"/>
        </w:rPr>
        <w:t xml:space="preserve"> capacity of data collection and authority </w:t>
      </w:r>
      <w:r w:rsidRPr="001D458E">
        <w:rPr>
          <w:lang w:eastAsia="ja-JP"/>
        </w:rPr>
        <w:t>wa</w:t>
      </w:r>
      <w:r w:rsidRPr="001D458E">
        <w:rPr>
          <w:rFonts w:hint="eastAsia"/>
          <w:lang w:eastAsia="ja-JP"/>
        </w:rPr>
        <w:t xml:space="preserve">s </w:t>
      </w:r>
      <w:r w:rsidRPr="001D458E">
        <w:rPr>
          <w:lang w:eastAsia="ja-JP"/>
        </w:rPr>
        <w:t>necessary</w:t>
      </w:r>
      <w:r w:rsidRPr="001D458E">
        <w:rPr>
          <w:rFonts w:hint="eastAsia"/>
          <w:lang w:eastAsia="ja-JP"/>
        </w:rPr>
        <w:t>, as an opinion of a consumer organisation. T</w:t>
      </w:r>
      <w:r w:rsidRPr="001D458E">
        <w:rPr>
          <w:lang w:eastAsia="ja-JP"/>
        </w:rPr>
        <w:t>h</w:t>
      </w:r>
      <w:r w:rsidRPr="001D458E">
        <w:rPr>
          <w:rFonts w:hint="eastAsia"/>
          <w:lang w:eastAsia="ja-JP"/>
        </w:rPr>
        <w:t>e MIC</w:t>
      </w:r>
      <w:r w:rsidRPr="001D458E">
        <w:rPr>
          <w:lang w:eastAsia="ja-JP"/>
        </w:rPr>
        <w:t>’</w:t>
      </w:r>
      <w:r w:rsidRPr="001D458E">
        <w:rPr>
          <w:rFonts w:hint="eastAsia"/>
          <w:lang w:eastAsia="ja-JP"/>
        </w:rPr>
        <w:t xml:space="preserve">s current </w:t>
      </w:r>
      <w:r w:rsidRPr="001D458E">
        <w:rPr>
          <w:lang w:eastAsia="ja-JP"/>
        </w:rPr>
        <w:t>approach conflates</w:t>
      </w:r>
      <w:r w:rsidRPr="001D458E">
        <w:rPr>
          <w:rFonts w:hint="eastAsia"/>
          <w:lang w:eastAsia="ja-JP"/>
        </w:rPr>
        <w:t xml:space="preserve"> industry </w:t>
      </w:r>
      <w:r w:rsidRPr="001D458E">
        <w:rPr>
          <w:lang w:eastAsia="ja-JP"/>
        </w:rPr>
        <w:t>promotion</w:t>
      </w:r>
      <w:r w:rsidRPr="001D458E">
        <w:rPr>
          <w:rFonts w:hint="eastAsia"/>
          <w:lang w:eastAsia="ja-JP"/>
        </w:rPr>
        <w:t xml:space="preserve"> and regulation including competition policy and consumer protection. </w:t>
      </w:r>
      <w:r w:rsidRPr="001D458E">
        <w:rPr>
          <w:lang w:eastAsia="ja-JP"/>
        </w:rPr>
        <w:t>F</w:t>
      </w:r>
      <w:r w:rsidRPr="001D458E">
        <w:rPr>
          <w:rFonts w:hint="eastAsia"/>
          <w:lang w:eastAsia="ja-JP"/>
        </w:rPr>
        <w:t>or example, users can</w:t>
      </w:r>
      <w:r w:rsidRPr="001D458E">
        <w:rPr>
          <w:lang w:eastAsia="ja-JP"/>
        </w:rPr>
        <w:t>’</w:t>
      </w:r>
      <w:r w:rsidRPr="001D458E">
        <w:rPr>
          <w:rFonts w:hint="eastAsia"/>
          <w:lang w:eastAsia="ja-JP"/>
        </w:rPr>
        <w:t>t use the equipment of</w:t>
      </w:r>
      <w:r w:rsidR="00F66C64">
        <w:rPr>
          <w:lang w:eastAsia="ja-JP"/>
        </w:rPr>
        <w:t xml:space="preserve"> a</w:t>
      </w:r>
      <w:r w:rsidRPr="001D458E">
        <w:rPr>
          <w:rFonts w:hint="eastAsia"/>
          <w:lang w:eastAsia="ja-JP"/>
        </w:rPr>
        <w:t xml:space="preserve"> previously used version. This (version-up) comes too quickly, but when I say this, others say things like </w:t>
      </w:r>
      <w:r w:rsidRPr="001D458E">
        <w:rPr>
          <w:lang w:eastAsia="ja-JP"/>
        </w:rPr>
        <w:t>‘</w:t>
      </w:r>
      <w:r w:rsidRPr="001D458E">
        <w:rPr>
          <w:rFonts w:hint="eastAsia"/>
          <w:lang w:eastAsia="ja-JP"/>
        </w:rPr>
        <w:t>don</w:t>
      </w:r>
      <w:r w:rsidRPr="001D458E">
        <w:rPr>
          <w:lang w:eastAsia="ja-JP"/>
        </w:rPr>
        <w:t>’</w:t>
      </w:r>
      <w:r w:rsidRPr="001D458E">
        <w:rPr>
          <w:rFonts w:hint="eastAsia"/>
          <w:lang w:eastAsia="ja-JP"/>
        </w:rPr>
        <w:t>t stop development</w:t>
      </w:r>
      <w:r w:rsidRPr="001D458E">
        <w:rPr>
          <w:lang w:eastAsia="ja-JP"/>
        </w:rPr>
        <w:t>’</w:t>
      </w:r>
      <w:r w:rsidRPr="001D458E">
        <w:rPr>
          <w:rFonts w:hint="eastAsia"/>
          <w:lang w:eastAsia="ja-JP"/>
        </w:rPr>
        <w:t xml:space="preserve"> and </w:t>
      </w:r>
      <w:r w:rsidRPr="001D458E">
        <w:rPr>
          <w:lang w:eastAsia="ja-JP"/>
        </w:rPr>
        <w:t>‘</w:t>
      </w:r>
      <w:r w:rsidRPr="001D458E">
        <w:rPr>
          <w:rFonts w:hint="eastAsia"/>
          <w:lang w:eastAsia="ja-JP"/>
        </w:rPr>
        <w:t>international competitiveness is necessary</w:t>
      </w:r>
      <w:r w:rsidRPr="001D458E">
        <w:rPr>
          <w:lang w:eastAsia="ja-JP"/>
        </w:rPr>
        <w:t>’</w:t>
      </w:r>
      <w:r w:rsidRPr="001D458E">
        <w:rPr>
          <w:rFonts w:hint="eastAsia"/>
          <w:lang w:eastAsia="ja-JP"/>
        </w:rPr>
        <w:t xml:space="preserve">. </w:t>
      </w:r>
      <w:r w:rsidRPr="001D458E">
        <w:rPr>
          <w:lang w:eastAsia="ja-JP"/>
        </w:rPr>
        <w:t>T</w:t>
      </w:r>
      <w:r w:rsidRPr="001D458E">
        <w:rPr>
          <w:rFonts w:hint="eastAsia"/>
          <w:lang w:eastAsia="ja-JP"/>
        </w:rPr>
        <w:t>o think about the balance between these conflicting aspects and make decisions, a substantially independent organisation is necessary, in our view. (</w:t>
      </w:r>
      <w:r w:rsidR="007634ED">
        <w:rPr>
          <w:rFonts w:hint="eastAsia"/>
          <w:lang w:eastAsia="ja-JP"/>
        </w:rPr>
        <w:t>Interview with</w:t>
      </w:r>
      <w:r w:rsidRPr="001D458E">
        <w:rPr>
          <w:rFonts w:hint="eastAsia"/>
          <w:lang w:eastAsia="ja-JP"/>
        </w:rPr>
        <w:t xml:space="preserve"> a senior official of a consumer organisation)</w:t>
      </w:r>
    </w:p>
    <w:p w14:paraId="54AD1AD9" w14:textId="77777777" w:rsidR="008D0572" w:rsidRPr="001D458E" w:rsidRDefault="008D0572" w:rsidP="008D0572">
      <w:pPr>
        <w:rPr>
          <w:lang w:eastAsia="ja-JP"/>
        </w:rPr>
      </w:pPr>
    </w:p>
    <w:p w14:paraId="0FEBCA28" w14:textId="77777777" w:rsidR="008D0572" w:rsidRPr="001D458E" w:rsidRDefault="008D0572" w:rsidP="008D0572">
      <w:pPr>
        <w:rPr>
          <w:lang w:eastAsia="ja-JP"/>
        </w:rPr>
      </w:pPr>
      <w:r w:rsidRPr="001D458E">
        <w:rPr>
          <w:rFonts w:hint="eastAsia"/>
          <w:lang w:eastAsia="ja-JP"/>
        </w:rPr>
        <w:t xml:space="preserve">Although this account shows a preference for the </w:t>
      </w:r>
      <w:r w:rsidRPr="001D458E">
        <w:rPr>
          <w:lang w:eastAsia="ja-JP"/>
        </w:rPr>
        <w:t>independent</w:t>
      </w:r>
      <w:r w:rsidRPr="001D458E">
        <w:rPr>
          <w:rFonts w:hint="eastAsia"/>
          <w:lang w:eastAsia="ja-JP"/>
        </w:rPr>
        <w:t xml:space="preserve"> regulation at </w:t>
      </w:r>
      <w:r w:rsidRPr="001D458E">
        <w:rPr>
          <w:lang w:eastAsia="ja-JP"/>
        </w:rPr>
        <w:t>arm’s</w:t>
      </w:r>
      <w:r w:rsidRPr="001D458E">
        <w:rPr>
          <w:rFonts w:hint="eastAsia"/>
          <w:lang w:eastAsia="ja-JP"/>
        </w:rPr>
        <w:t xml:space="preserve"> length from industry promotion, it does not </w:t>
      </w:r>
      <w:r w:rsidRPr="001D458E">
        <w:rPr>
          <w:lang w:eastAsia="ja-JP"/>
        </w:rPr>
        <w:t>suggest</w:t>
      </w:r>
      <w:r w:rsidRPr="001D458E">
        <w:rPr>
          <w:rFonts w:hint="eastAsia"/>
          <w:lang w:eastAsia="ja-JP"/>
        </w:rPr>
        <w:t xml:space="preserve"> how such </w:t>
      </w:r>
      <w:r w:rsidR="00F66C64">
        <w:rPr>
          <w:lang w:eastAsia="ja-JP"/>
        </w:rPr>
        <w:t xml:space="preserve">an </w:t>
      </w:r>
      <w:r w:rsidRPr="001D458E">
        <w:rPr>
          <w:rFonts w:hint="eastAsia"/>
          <w:lang w:eastAsia="ja-JP"/>
        </w:rPr>
        <w:t xml:space="preserve">organisation can be </w:t>
      </w:r>
      <w:r w:rsidRPr="001D458E">
        <w:rPr>
          <w:lang w:eastAsia="ja-JP"/>
        </w:rPr>
        <w:t>established</w:t>
      </w:r>
      <w:r w:rsidRPr="001D458E">
        <w:rPr>
          <w:rFonts w:hint="eastAsia"/>
          <w:lang w:eastAsia="ja-JP"/>
        </w:rPr>
        <w:t>.</w:t>
      </w:r>
    </w:p>
    <w:p w14:paraId="63B71368" w14:textId="77777777" w:rsidR="008D0572" w:rsidRPr="001D458E" w:rsidRDefault="008D0572" w:rsidP="008D0572">
      <w:pPr>
        <w:ind w:firstLine="284"/>
        <w:rPr>
          <w:lang w:eastAsia="ja-JP"/>
        </w:rPr>
      </w:pPr>
      <w:r w:rsidRPr="001D458E">
        <w:rPr>
          <w:lang w:eastAsia="ja-JP"/>
        </w:rPr>
        <w:t xml:space="preserve">In pulling these </w:t>
      </w:r>
      <w:r w:rsidRPr="001D458E">
        <w:rPr>
          <w:rFonts w:hint="eastAsia"/>
          <w:lang w:eastAsia="ja-JP"/>
        </w:rPr>
        <w:t xml:space="preserve">arguments together, the following can be </w:t>
      </w:r>
      <w:r w:rsidRPr="001D458E">
        <w:rPr>
          <w:lang w:eastAsia="ja-JP"/>
        </w:rPr>
        <w:t xml:space="preserve">offered </w:t>
      </w:r>
      <w:r w:rsidRPr="001D458E">
        <w:rPr>
          <w:rFonts w:hint="eastAsia"/>
          <w:lang w:eastAsia="ja-JP"/>
        </w:rPr>
        <w:t xml:space="preserve">as the reasons why an independent ICT regulator has not </w:t>
      </w:r>
      <w:r w:rsidRPr="001D458E">
        <w:rPr>
          <w:lang w:eastAsia="ja-JP"/>
        </w:rPr>
        <w:t xml:space="preserve">been </w:t>
      </w:r>
      <w:r w:rsidRPr="001D458E">
        <w:rPr>
          <w:rFonts w:hint="eastAsia"/>
          <w:lang w:eastAsia="ja-JP"/>
        </w:rPr>
        <w:t>created:</w:t>
      </w:r>
    </w:p>
    <w:p w14:paraId="01706370" w14:textId="77777777" w:rsidR="008D0572" w:rsidRPr="001D458E" w:rsidRDefault="00557AA4" w:rsidP="001B6C05">
      <w:pPr>
        <w:pStyle w:val="ListParagraph"/>
        <w:numPr>
          <w:ilvl w:val="0"/>
          <w:numId w:val="39"/>
        </w:numPr>
        <w:ind w:left="284" w:hanging="284"/>
        <w:rPr>
          <w:szCs w:val="24"/>
        </w:rPr>
      </w:pPr>
      <w:r>
        <w:rPr>
          <w:rFonts w:eastAsia="MS Mincho" w:hint="eastAsia"/>
          <w:szCs w:val="24"/>
        </w:rPr>
        <w:t>a</w:t>
      </w:r>
      <w:r w:rsidR="008D0572" w:rsidRPr="001D458E">
        <w:rPr>
          <w:rFonts w:hint="eastAsia"/>
          <w:szCs w:val="24"/>
        </w:rPr>
        <w:t xml:space="preserve">n embedded perspective among the core executive that resists the notion of the </w:t>
      </w:r>
      <w:r w:rsidR="008D0572" w:rsidRPr="001D458E">
        <w:rPr>
          <w:szCs w:val="24"/>
        </w:rPr>
        <w:t>independent</w:t>
      </w:r>
      <w:r w:rsidR="008D0572" w:rsidRPr="001D458E">
        <w:rPr>
          <w:rFonts w:hint="eastAsia"/>
          <w:szCs w:val="24"/>
        </w:rPr>
        <w:t xml:space="preserve"> organisation introduced by the SCAP after World War II: </w:t>
      </w:r>
      <w:r w:rsidR="008D0572" w:rsidRPr="001D458E">
        <w:rPr>
          <w:szCs w:val="24"/>
        </w:rPr>
        <w:t>an</w:t>
      </w:r>
      <w:r w:rsidR="008D0572" w:rsidRPr="001D458E">
        <w:rPr>
          <w:rFonts w:hint="eastAsia"/>
          <w:szCs w:val="24"/>
        </w:rPr>
        <w:t xml:space="preserve"> independent regulator is regarded as an American product and has been </w:t>
      </w:r>
      <w:r w:rsidR="008D0572" w:rsidRPr="001D458E">
        <w:rPr>
          <w:szCs w:val="24"/>
        </w:rPr>
        <w:t>thought</w:t>
      </w:r>
      <w:r w:rsidR="008D0572" w:rsidRPr="001D458E">
        <w:rPr>
          <w:rFonts w:hint="eastAsia"/>
          <w:szCs w:val="24"/>
        </w:rPr>
        <w:t xml:space="preserve"> </w:t>
      </w:r>
      <w:r w:rsidR="008D0572" w:rsidRPr="001D458E">
        <w:rPr>
          <w:szCs w:val="24"/>
        </w:rPr>
        <w:t xml:space="preserve">of </w:t>
      </w:r>
      <w:r w:rsidR="008D0572" w:rsidRPr="001D458E">
        <w:rPr>
          <w:rFonts w:hint="eastAsia"/>
          <w:szCs w:val="24"/>
        </w:rPr>
        <w:t xml:space="preserve">as an organisation suitable for passive policy implementation. Interviewees from the core executive argue that an independent regulator is not suitable for creating policy. This view may stem from </w:t>
      </w:r>
      <w:r w:rsidR="008D0572" w:rsidRPr="001D458E">
        <w:rPr>
          <w:szCs w:val="24"/>
        </w:rPr>
        <w:t xml:space="preserve">the fact that Japanese law allows legal provisions to have narrower scopes and interpretations with limited flexibility compared with those </w:t>
      </w:r>
      <w:r w:rsidR="00F66C64">
        <w:rPr>
          <w:szCs w:val="24"/>
        </w:rPr>
        <w:t>in</w:t>
      </w:r>
      <w:r w:rsidR="008D0572" w:rsidRPr="001D458E">
        <w:rPr>
          <w:szCs w:val="24"/>
        </w:rPr>
        <w:t xml:space="preserve"> English law. As</w:t>
      </w:r>
      <w:r w:rsidR="008D0572" w:rsidRPr="001D458E">
        <w:rPr>
          <w:rFonts w:hint="eastAsia"/>
          <w:szCs w:val="24"/>
        </w:rPr>
        <w:t xml:space="preserve"> a</w:t>
      </w:r>
      <w:r w:rsidR="008D0572" w:rsidRPr="001D458E">
        <w:rPr>
          <w:szCs w:val="24"/>
        </w:rPr>
        <w:t xml:space="preserve"> senior civil servant observed</w:t>
      </w:r>
      <w:r w:rsidR="008D0572" w:rsidRPr="001D458E">
        <w:rPr>
          <w:rFonts w:hint="eastAsia"/>
          <w:szCs w:val="24"/>
        </w:rPr>
        <w:t>:</w:t>
      </w:r>
    </w:p>
    <w:p w14:paraId="4FA36D51" w14:textId="77777777" w:rsidR="008D0572" w:rsidRPr="001D458E" w:rsidRDefault="008D0572" w:rsidP="0024471C">
      <w:pPr>
        <w:ind w:leftChars="133" w:left="581" w:hangingChars="123" w:hanging="279"/>
        <w:rPr>
          <w:lang w:eastAsia="ja-JP"/>
        </w:rPr>
      </w:pPr>
    </w:p>
    <w:p w14:paraId="4BA5AE05" w14:textId="25EB032C" w:rsidR="008D0572" w:rsidRPr="001D458E" w:rsidRDefault="008D0572" w:rsidP="008D0572">
      <w:pPr>
        <w:pStyle w:val="Quote"/>
        <w:ind w:left="567"/>
        <w:rPr>
          <w:lang w:eastAsia="ja-JP"/>
        </w:rPr>
      </w:pPr>
      <w:r w:rsidRPr="001D458E">
        <w:rPr>
          <w:rFonts w:hint="eastAsia"/>
          <w:lang w:eastAsia="ja-JP"/>
        </w:rPr>
        <w:t xml:space="preserve">and I thought that Japanese law was inconvenient and that the system like </w:t>
      </w:r>
      <w:r w:rsidRPr="001D458E">
        <w:rPr>
          <w:lang w:eastAsia="ja-JP"/>
        </w:rPr>
        <w:t>English</w:t>
      </w:r>
      <w:r w:rsidRPr="001D458E">
        <w:rPr>
          <w:rFonts w:hint="eastAsia"/>
          <w:lang w:eastAsia="ja-JP"/>
        </w:rPr>
        <w:t xml:space="preserve"> </w:t>
      </w:r>
      <w:r w:rsidRPr="001D458E">
        <w:rPr>
          <w:lang w:eastAsia="ja-JP"/>
        </w:rPr>
        <w:t xml:space="preserve">communications </w:t>
      </w:r>
      <w:r w:rsidRPr="001D458E">
        <w:rPr>
          <w:rFonts w:hint="eastAsia"/>
          <w:lang w:eastAsia="ja-JP"/>
        </w:rPr>
        <w:t>law, in which nothing is written, in other words, a significant discretion was given to the administrative organisations</w:t>
      </w:r>
      <w:r w:rsidRPr="001D458E">
        <w:rPr>
          <w:lang w:eastAsia="ja-JP"/>
        </w:rPr>
        <w:t>,</w:t>
      </w:r>
      <w:r w:rsidRPr="001D458E">
        <w:rPr>
          <w:rFonts w:hint="eastAsia"/>
          <w:lang w:eastAsia="ja-JP"/>
        </w:rPr>
        <w:t xml:space="preserve"> the organisations narrow their discretion down, </w:t>
      </w:r>
      <w:r w:rsidRPr="001D458E">
        <w:rPr>
          <w:lang w:eastAsia="ja-JP"/>
        </w:rPr>
        <w:t>and it can realise the conditions like no regulation, was</w:t>
      </w:r>
      <w:r w:rsidRPr="001D458E">
        <w:rPr>
          <w:rFonts w:hint="eastAsia"/>
          <w:lang w:eastAsia="ja-JP"/>
        </w:rPr>
        <w:t xml:space="preserve"> </w:t>
      </w:r>
      <w:r w:rsidRPr="001D458E">
        <w:rPr>
          <w:lang w:eastAsia="ja-JP"/>
        </w:rPr>
        <w:t xml:space="preserve">very </w:t>
      </w:r>
      <w:r w:rsidRPr="001D458E">
        <w:rPr>
          <w:rFonts w:hint="eastAsia"/>
          <w:lang w:eastAsia="ja-JP"/>
        </w:rPr>
        <w:t xml:space="preserve">convenient. </w:t>
      </w:r>
      <w:r w:rsidRPr="001D458E">
        <w:rPr>
          <w:lang w:eastAsia="ja-JP"/>
        </w:rPr>
        <w:t>T</w:t>
      </w:r>
      <w:r w:rsidRPr="001D458E">
        <w:rPr>
          <w:rFonts w:hint="eastAsia"/>
          <w:lang w:eastAsia="ja-JP"/>
        </w:rPr>
        <w:t>he reason why it</w:t>
      </w:r>
      <w:r w:rsidRPr="001D458E">
        <w:rPr>
          <w:lang w:eastAsia="ja-JP"/>
        </w:rPr>
        <w:t>’</w:t>
      </w:r>
      <w:r w:rsidRPr="001D458E">
        <w:rPr>
          <w:rFonts w:hint="eastAsia"/>
          <w:lang w:eastAsia="ja-JP"/>
        </w:rPr>
        <w:t xml:space="preserve">s convenient is policy can be </w:t>
      </w:r>
      <w:r w:rsidRPr="001D458E">
        <w:rPr>
          <w:lang w:eastAsia="ja-JP"/>
        </w:rPr>
        <w:t>flexibly</w:t>
      </w:r>
      <w:r w:rsidRPr="001D458E">
        <w:rPr>
          <w:rFonts w:hint="eastAsia"/>
          <w:lang w:eastAsia="ja-JP"/>
        </w:rPr>
        <w:t xml:space="preserve"> changed by the executive branch. When we write in law, we can</w:t>
      </w:r>
      <w:r w:rsidRPr="001D458E">
        <w:rPr>
          <w:lang w:eastAsia="ja-JP"/>
        </w:rPr>
        <w:t>’</w:t>
      </w:r>
      <w:r w:rsidRPr="001D458E">
        <w:rPr>
          <w:rFonts w:hint="eastAsia"/>
          <w:lang w:eastAsia="ja-JP"/>
        </w:rPr>
        <w:t>t go back. Therefore, I th</w:t>
      </w:r>
      <w:r w:rsidRPr="001D458E">
        <w:rPr>
          <w:lang w:eastAsia="ja-JP"/>
        </w:rPr>
        <w:t>ought</w:t>
      </w:r>
      <w:r w:rsidRPr="001D458E">
        <w:rPr>
          <w:rFonts w:hint="eastAsia"/>
          <w:lang w:eastAsia="ja-JP"/>
        </w:rPr>
        <w:t xml:space="preserve"> such a system was very rational. </w:t>
      </w:r>
      <w:r w:rsidRPr="001D458E">
        <w:rPr>
          <w:lang w:eastAsia="ja-JP"/>
        </w:rPr>
        <w:t xml:space="preserve">It’s probably based on the court system, in particular in the US. The abuse of discretion by the executive branch is expected to be stopped in court. </w:t>
      </w:r>
      <w:r w:rsidRPr="001D458E">
        <w:rPr>
          <w:rFonts w:hint="eastAsia"/>
          <w:lang w:eastAsia="ja-JP"/>
        </w:rPr>
        <w:t>(</w:t>
      </w:r>
      <w:r w:rsidR="007634ED">
        <w:rPr>
          <w:rFonts w:hint="eastAsia"/>
          <w:lang w:eastAsia="ja-JP"/>
        </w:rPr>
        <w:t>Interview with</w:t>
      </w:r>
      <w:r w:rsidRPr="001D458E">
        <w:rPr>
          <w:rFonts w:hint="eastAsia"/>
          <w:lang w:eastAsia="ja-JP"/>
        </w:rPr>
        <w:t xml:space="preserve"> a senior civil servant)</w:t>
      </w:r>
    </w:p>
    <w:p w14:paraId="2E11C2D8" w14:textId="77777777" w:rsidR="008D0572" w:rsidRPr="001D458E" w:rsidRDefault="008D0572" w:rsidP="008D0572">
      <w:pPr>
        <w:rPr>
          <w:lang w:eastAsia="ja-JP"/>
        </w:rPr>
      </w:pPr>
    </w:p>
    <w:p w14:paraId="7A6CA7D1" w14:textId="77777777" w:rsidR="008D0572" w:rsidRPr="001D458E" w:rsidRDefault="008D0572" w:rsidP="008D0572">
      <w:pPr>
        <w:ind w:left="284" w:firstLine="2"/>
        <w:rPr>
          <w:lang w:eastAsia="ja-JP"/>
        </w:rPr>
      </w:pPr>
      <w:r w:rsidRPr="001D458E">
        <w:rPr>
          <w:lang w:eastAsia="ja-JP"/>
        </w:rPr>
        <w:t xml:space="preserve">This comparison of the technical aspect between Japanese law and </w:t>
      </w:r>
      <w:r w:rsidRPr="001D458E">
        <w:rPr>
          <w:rFonts w:hint="eastAsia"/>
          <w:lang w:eastAsia="ja-JP"/>
        </w:rPr>
        <w:t xml:space="preserve">the </w:t>
      </w:r>
      <w:r w:rsidRPr="001D458E">
        <w:rPr>
          <w:lang w:eastAsia="ja-JP"/>
        </w:rPr>
        <w:t>UK’s was further elaborated in the following:</w:t>
      </w:r>
    </w:p>
    <w:p w14:paraId="356EE47A" w14:textId="77777777" w:rsidR="008D0572" w:rsidRPr="001D458E" w:rsidRDefault="008D0572" w:rsidP="0024471C">
      <w:pPr>
        <w:ind w:leftChars="336" w:left="762" w:firstLine="2"/>
        <w:rPr>
          <w:lang w:eastAsia="ja-JP"/>
        </w:rPr>
      </w:pPr>
    </w:p>
    <w:p w14:paraId="7A3FF75B" w14:textId="43E5630F" w:rsidR="00495655" w:rsidRDefault="008D0572" w:rsidP="005B18BE">
      <w:pPr>
        <w:pStyle w:val="Quote"/>
        <w:ind w:left="567"/>
        <w:rPr>
          <w:lang w:eastAsia="ja-JP"/>
        </w:rPr>
      </w:pPr>
      <w:r w:rsidRPr="001D458E">
        <w:rPr>
          <w:rFonts w:hint="eastAsia"/>
          <w:lang w:eastAsia="ja-JP"/>
        </w:rPr>
        <w:t xml:space="preserve">when I read </w:t>
      </w:r>
      <w:r w:rsidRPr="001D458E">
        <w:rPr>
          <w:lang w:eastAsia="ja-JP"/>
        </w:rPr>
        <w:t>English laws</w:t>
      </w:r>
      <w:r w:rsidRPr="001D458E">
        <w:rPr>
          <w:rFonts w:hint="eastAsia"/>
          <w:lang w:eastAsia="ja-JP"/>
        </w:rPr>
        <w:t xml:space="preserve">, I found surprising provisions such as that  </w:t>
      </w:r>
      <w:r w:rsidRPr="001D458E">
        <w:rPr>
          <w:lang w:eastAsia="ja-JP"/>
        </w:rPr>
        <w:t>‘</w:t>
      </w:r>
      <w:r w:rsidRPr="001D458E">
        <w:rPr>
          <w:rFonts w:hint="eastAsia"/>
          <w:lang w:eastAsia="ja-JP"/>
        </w:rPr>
        <w:t>all telecommunications facilities in the UK need licences</w:t>
      </w:r>
      <w:r w:rsidRPr="001D458E">
        <w:rPr>
          <w:lang w:eastAsia="ja-JP"/>
        </w:rPr>
        <w:t>’</w:t>
      </w:r>
      <w:r w:rsidRPr="001D458E">
        <w:rPr>
          <w:rFonts w:hint="eastAsia"/>
          <w:lang w:eastAsia="ja-JP"/>
        </w:rPr>
        <w:t xml:space="preserve">, and </w:t>
      </w:r>
      <w:r w:rsidRPr="001D458E">
        <w:rPr>
          <w:lang w:eastAsia="ja-JP"/>
        </w:rPr>
        <w:t xml:space="preserve">the </w:t>
      </w:r>
      <w:r w:rsidRPr="001D458E">
        <w:rPr>
          <w:rFonts w:hint="eastAsia"/>
          <w:lang w:eastAsia="ja-JP"/>
        </w:rPr>
        <w:t>government</w:t>
      </w:r>
      <w:r w:rsidRPr="001D458E">
        <w:rPr>
          <w:lang w:eastAsia="ja-JP"/>
        </w:rPr>
        <w:t>’</w:t>
      </w:r>
      <w:r w:rsidRPr="001D458E">
        <w:rPr>
          <w:rFonts w:hint="eastAsia"/>
          <w:lang w:eastAsia="ja-JP"/>
        </w:rPr>
        <w:t xml:space="preserve">s authority to operate the </w:t>
      </w:r>
      <w:r w:rsidRPr="001D458E">
        <w:rPr>
          <w:lang w:eastAsia="ja-JP"/>
        </w:rPr>
        <w:t>licensing</w:t>
      </w:r>
      <w:r w:rsidRPr="001D458E">
        <w:rPr>
          <w:rFonts w:hint="eastAsia"/>
          <w:lang w:eastAsia="ja-JP"/>
        </w:rPr>
        <w:t xml:space="preserve"> system has </w:t>
      </w:r>
      <w:r w:rsidRPr="001D458E">
        <w:rPr>
          <w:lang w:eastAsia="ja-JP"/>
        </w:rPr>
        <w:t>little</w:t>
      </w:r>
      <w:r w:rsidRPr="001D458E">
        <w:rPr>
          <w:rFonts w:hint="eastAsia"/>
          <w:lang w:eastAsia="ja-JP"/>
        </w:rPr>
        <w:t xml:space="preserve"> limitation. In such a case, for example, policy goals, which greatly change as society changes, can easily shape rational regulation like </w:t>
      </w:r>
      <w:r w:rsidRPr="001D458E">
        <w:rPr>
          <w:lang w:eastAsia="ja-JP"/>
        </w:rPr>
        <w:t>‘</w:t>
      </w:r>
      <w:r w:rsidRPr="001D458E">
        <w:rPr>
          <w:rFonts w:hint="eastAsia"/>
          <w:lang w:eastAsia="ja-JP"/>
        </w:rPr>
        <w:t xml:space="preserve">such a thing is necessary so such </w:t>
      </w:r>
      <w:r w:rsidR="00BC43C9">
        <w:rPr>
          <w:lang w:eastAsia="ja-JP"/>
        </w:rPr>
        <w:t xml:space="preserve">a </w:t>
      </w:r>
      <w:r w:rsidRPr="001D458E">
        <w:rPr>
          <w:rFonts w:hint="eastAsia"/>
          <w:lang w:eastAsia="ja-JP"/>
        </w:rPr>
        <w:t>regulation will be implemented</w:t>
      </w:r>
      <w:r w:rsidRPr="001D458E">
        <w:rPr>
          <w:lang w:eastAsia="ja-JP"/>
        </w:rPr>
        <w:t>’</w:t>
      </w:r>
      <w:r w:rsidRPr="001D458E">
        <w:rPr>
          <w:rFonts w:hint="eastAsia"/>
          <w:lang w:eastAsia="ja-JP"/>
        </w:rPr>
        <w:t xml:space="preserve">, </w:t>
      </w:r>
      <w:r w:rsidRPr="001D458E">
        <w:rPr>
          <w:lang w:eastAsia="ja-JP"/>
        </w:rPr>
        <w:t xml:space="preserve">in line with </w:t>
      </w:r>
      <w:r w:rsidRPr="001D458E">
        <w:rPr>
          <w:rFonts w:hint="eastAsia"/>
          <w:lang w:eastAsia="ja-JP"/>
        </w:rPr>
        <w:t xml:space="preserve">the </w:t>
      </w:r>
      <w:r w:rsidRPr="001D458E">
        <w:rPr>
          <w:lang w:eastAsia="ja-JP"/>
        </w:rPr>
        <w:t>principles</w:t>
      </w:r>
      <w:r w:rsidR="007D6665">
        <w:rPr>
          <w:lang w:eastAsia="ja-JP"/>
        </w:rPr>
        <w:t>,</w:t>
      </w:r>
      <w:r w:rsidRPr="001D458E">
        <w:rPr>
          <w:rFonts w:hint="eastAsia"/>
          <w:lang w:eastAsia="ja-JP"/>
        </w:rPr>
        <w:t xml:space="preserve"> such as the legal provisions. But Japan</w:t>
      </w:r>
      <w:r w:rsidRPr="001D458E">
        <w:rPr>
          <w:lang w:eastAsia="ja-JP"/>
        </w:rPr>
        <w:t>’</w:t>
      </w:r>
      <w:r w:rsidRPr="001D458E">
        <w:rPr>
          <w:rFonts w:hint="eastAsia"/>
          <w:lang w:eastAsia="ja-JP"/>
        </w:rPr>
        <w:t xml:space="preserve">s Cabinet Legislation Bureau is extremely strict about this point, so they say like </w:t>
      </w:r>
      <w:r w:rsidRPr="001D458E">
        <w:rPr>
          <w:lang w:eastAsia="ja-JP"/>
        </w:rPr>
        <w:t>‘</w:t>
      </w:r>
      <w:r w:rsidRPr="001D458E">
        <w:rPr>
          <w:rFonts w:hint="eastAsia"/>
          <w:lang w:eastAsia="ja-JP"/>
        </w:rPr>
        <w:t>you want to operate the system in such a way, but the law does</w:t>
      </w:r>
      <w:r w:rsidRPr="001D458E">
        <w:rPr>
          <w:lang w:eastAsia="ja-JP"/>
        </w:rPr>
        <w:t>n’t</w:t>
      </w:r>
      <w:r w:rsidRPr="001D458E">
        <w:rPr>
          <w:rFonts w:hint="eastAsia"/>
          <w:lang w:eastAsia="ja-JP"/>
        </w:rPr>
        <w:t xml:space="preserve"> say such things, so you can</w:t>
      </w:r>
      <w:r w:rsidRPr="001D458E">
        <w:rPr>
          <w:lang w:eastAsia="ja-JP"/>
        </w:rPr>
        <w:t>’</w:t>
      </w:r>
      <w:r w:rsidRPr="001D458E">
        <w:rPr>
          <w:rFonts w:hint="eastAsia"/>
          <w:lang w:eastAsia="ja-JP"/>
        </w:rPr>
        <w:t>t do that</w:t>
      </w:r>
      <w:r w:rsidRPr="001D458E">
        <w:rPr>
          <w:lang w:eastAsia="ja-JP"/>
        </w:rPr>
        <w:t>’</w:t>
      </w:r>
      <w:r w:rsidRPr="001D458E">
        <w:rPr>
          <w:rFonts w:hint="eastAsia"/>
          <w:lang w:eastAsia="ja-JP"/>
        </w:rPr>
        <w:t xml:space="preserve">, so I envied the </w:t>
      </w:r>
      <w:r w:rsidRPr="001D458E">
        <w:rPr>
          <w:lang w:eastAsia="ja-JP"/>
        </w:rPr>
        <w:t>English</w:t>
      </w:r>
      <w:r w:rsidRPr="001D458E">
        <w:rPr>
          <w:rFonts w:hint="eastAsia"/>
          <w:lang w:eastAsia="ja-JP"/>
        </w:rPr>
        <w:t xml:space="preserve"> system. It is very inconvenient. B</w:t>
      </w:r>
      <w:r w:rsidRPr="001D458E">
        <w:rPr>
          <w:lang w:eastAsia="ja-JP"/>
        </w:rPr>
        <w:t>u</w:t>
      </w:r>
      <w:r w:rsidRPr="001D458E">
        <w:rPr>
          <w:rFonts w:hint="eastAsia"/>
          <w:lang w:eastAsia="ja-JP"/>
        </w:rPr>
        <w:t>t legal infrastructure including the legal system and the judicial system is different, so it</w:t>
      </w:r>
      <w:r w:rsidRPr="001D458E">
        <w:rPr>
          <w:lang w:eastAsia="ja-JP"/>
        </w:rPr>
        <w:t>’</w:t>
      </w:r>
      <w:r w:rsidRPr="001D458E">
        <w:rPr>
          <w:rFonts w:hint="eastAsia"/>
          <w:lang w:eastAsia="ja-JP"/>
        </w:rPr>
        <w:t>s not easy to do that in Japan. I envied that, but it (the flexible operation of law) has not been realised so far. (</w:t>
      </w:r>
      <w:r w:rsidR="007634ED">
        <w:rPr>
          <w:rFonts w:hint="eastAsia"/>
          <w:lang w:eastAsia="ja-JP"/>
        </w:rPr>
        <w:t>Interview with</w:t>
      </w:r>
      <w:r w:rsidRPr="001D458E">
        <w:rPr>
          <w:rFonts w:hint="eastAsia"/>
          <w:lang w:eastAsia="ja-JP"/>
        </w:rPr>
        <w:t xml:space="preserve"> a senior civil servant)</w:t>
      </w:r>
    </w:p>
    <w:p w14:paraId="03015280" w14:textId="77777777" w:rsidR="008D0572" w:rsidRPr="001D458E" w:rsidRDefault="008D0572" w:rsidP="008D0572">
      <w:pPr>
        <w:rPr>
          <w:lang w:eastAsia="ja-JP"/>
        </w:rPr>
      </w:pPr>
    </w:p>
    <w:p w14:paraId="64C6B677" w14:textId="77777777" w:rsidR="008D0572" w:rsidRPr="001D458E" w:rsidRDefault="008D0572" w:rsidP="0024471C">
      <w:pPr>
        <w:ind w:leftChars="134" w:left="304"/>
        <w:rPr>
          <w:lang w:eastAsia="ja-JP"/>
        </w:rPr>
      </w:pPr>
      <w:r w:rsidRPr="001D458E">
        <w:rPr>
          <w:rFonts w:hint="eastAsia"/>
          <w:lang w:eastAsia="ja-JP"/>
        </w:rPr>
        <w:t>The r</w:t>
      </w:r>
      <w:r w:rsidRPr="001D458E">
        <w:rPr>
          <w:lang w:eastAsia="ja-JP"/>
        </w:rPr>
        <w:t xml:space="preserve">apid changes of the rules </w:t>
      </w:r>
      <w:r w:rsidRPr="001D458E">
        <w:rPr>
          <w:rFonts w:hint="eastAsia"/>
          <w:lang w:eastAsia="ja-JP"/>
        </w:rPr>
        <w:t xml:space="preserve">frequently </w:t>
      </w:r>
      <w:r w:rsidRPr="001D458E">
        <w:rPr>
          <w:lang w:eastAsia="ja-JP"/>
        </w:rPr>
        <w:t xml:space="preserve">require </w:t>
      </w:r>
      <w:r w:rsidRPr="001D458E">
        <w:rPr>
          <w:rFonts w:hint="eastAsia"/>
          <w:lang w:eastAsia="ja-JP"/>
        </w:rPr>
        <w:t xml:space="preserve">law </w:t>
      </w:r>
      <w:r w:rsidRPr="001D458E">
        <w:rPr>
          <w:lang w:eastAsia="ja-JP"/>
        </w:rPr>
        <w:t>amendments in Japan. This means that regulator</w:t>
      </w:r>
      <w:r w:rsidRPr="001D458E">
        <w:rPr>
          <w:rFonts w:hint="eastAsia"/>
          <w:lang w:eastAsia="ja-JP"/>
        </w:rPr>
        <w:t>s in Japan</w:t>
      </w:r>
      <w:r w:rsidRPr="001D458E">
        <w:rPr>
          <w:lang w:eastAsia="ja-JP"/>
        </w:rPr>
        <w:t xml:space="preserve"> frequently need to consult with </w:t>
      </w:r>
      <w:r w:rsidRPr="001D458E">
        <w:rPr>
          <w:rFonts w:hint="eastAsia"/>
          <w:lang w:eastAsia="ja-JP"/>
        </w:rPr>
        <w:t xml:space="preserve">party </w:t>
      </w:r>
      <w:r w:rsidRPr="001D458E">
        <w:rPr>
          <w:lang w:eastAsia="ja-JP"/>
        </w:rPr>
        <w:t>politicians</w:t>
      </w:r>
      <w:r w:rsidRPr="001D458E">
        <w:rPr>
          <w:rFonts w:hint="eastAsia"/>
          <w:lang w:eastAsia="ja-JP"/>
        </w:rPr>
        <w:t>. In the UK</w:t>
      </w:r>
      <w:r w:rsidRPr="001D458E">
        <w:rPr>
          <w:lang w:eastAsia="ja-JP"/>
        </w:rPr>
        <w:t xml:space="preserve">, laws such as </w:t>
      </w:r>
      <w:r w:rsidR="00465151">
        <w:rPr>
          <w:lang w:eastAsia="ja-JP"/>
        </w:rPr>
        <w:t xml:space="preserve">the </w:t>
      </w:r>
      <w:r w:rsidRPr="001D458E">
        <w:rPr>
          <w:lang w:eastAsia="ja-JP"/>
        </w:rPr>
        <w:t xml:space="preserve">1984 Telecommunications Act provide regulators </w:t>
      </w:r>
      <w:r w:rsidR="00465151">
        <w:rPr>
          <w:lang w:eastAsia="ja-JP"/>
        </w:rPr>
        <w:t xml:space="preserve">like </w:t>
      </w:r>
      <w:r w:rsidRPr="001D458E">
        <w:rPr>
          <w:rFonts w:hint="eastAsia"/>
          <w:lang w:eastAsia="ja-JP"/>
        </w:rPr>
        <w:t xml:space="preserve">Oftel (Office of Telecommunications) </w:t>
      </w:r>
      <w:r w:rsidRPr="001D458E">
        <w:rPr>
          <w:lang w:eastAsia="ja-JP"/>
        </w:rPr>
        <w:t xml:space="preserve">with a broader degree of </w:t>
      </w:r>
      <w:r w:rsidRPr="001D458E">
        <w:rPr>
          <w:rFonts w:hint="eastAsia"/>
          <w:lang w:eastAsia="ja-JP"/>
        </w:rPr>
        <w:t xml:space="preserve">discretion </w:t>
      </w:r>
      <w:r w:rsidRPr="001D458E">
        <w:rPr>
          <w:lang w:eastAsia="ja-JP"/>
        </w:rPr>
        <w:t xml:space="preserve">(Spiller and Vogelsang 1996 p.82). This can stem from the UK’s legal tradition that regulators have not traditionally been required to explain their decisions in detail </w:t>
      </w:r>
      <w:r w:rsidR="00BC43C9">
        <w:rPr>
          <w:lang w:eastAsia="ja-JP"/>
        </w:rPr>
        <w:t>or</w:t>
      </w:r>
      <w:r w:rsidRPr="001D458E">
        <w:rPr>
          <w:lang w:eastAsia="ja-JP"/>
        </w:rPr>
        <w:t xml:space="preserve"> confront judicial reviews until </w:t>
      </w:r>
      <w:r w:rsidR="00557AA4">
        <w:rPr>
          <w:rFonts w:eastAsia="MS Mincho" w:hint="eastAsia"/>
          <w:lang w:eastAsia="ja-JP"/>
        </w:rPr>
        <w:t xml:space="preserve">the </w:t>
      </w:r>
      <w:r w:rsidRPr="001D458E">
        <w:rPr>
          <w:lang w:eastAsia="ja-JP"/>
        </w:rPr>
        <w:t>mid 1990s</w:t>
      </w:r>
      <w:r w:rsidRPr="001D458E">
        <w:rPr>
          <w:rFonts w:hint="eastAsia"/>
          <w:lang w:eastAsia="ja-JP"/>
        </w:rPr>
        <w:t xml:space="preserve"> </w:t>
      </w:r>
      <w:r w:rsidRPr="001D458E">
        <w:rPr>
          <w:lang w:eastAsia="ja-JP"/>
        </w:rPr>
        <w:t>(Spiller and Vogelsang 1996 p.82). Instead, the UK judiciary has restrained government discretion in the form of contracts (Spiller and Vogelsang 1996 p.82).</w:t>
      </w:r>
    </w:p>
    <w:p w14:paraId="3652D564" w14:textId="77777777" w:rsidR="008D0572" w:rsidRPr="001D458E" w:rsidRDefault="008D0572" w:rsidP="0024471C">
      <w:pPr>
        <w:ind w:leftChars="134" w:left="304" w:firstLine="284"/>
        <w:rPr>
          <w:lang w:eastAsia="ja-JP"/>
        </w:rPr>
      </w:pPr>
      <w:r w:rsidRPr="001D458E">
        <w:rPr>
          <w:lang w:eastAsia="ja-JP"/>
        </w:rPr>
        <w:t>The contracts between the regulator and operators in the form of licences is based on the robust tradition of upholding among private parties</w:t>
      </w:r>
      <w:r w:rsidRPr="001D458E">
        <w:rPr>
          <w:rFonts w:hint="eastAsia"/>
          <w:lang w:eastAsia="ja-JP"/>
        </w:rPr>
        <w:t>:</w:t>
      </w:r>
      <w:r w:rsidRPr="001D458E">
        <w:rPr>
          <w:lang w:eastAsia="ja-JP"/>
        </w:rPr>
        <w:t xml:space="preserve"> ‘so it is not surprising that utility regulation has been implemented through licences, which can specify both substantive restraints on regulatory discretion and restraints on changing the regulatory system as well as the regulatory incentives structure’ (Spiller and Vogelsang 1996 p.82). </w:t>
      </w:r>
      <w:r w:rsidRPr="001D458E">
        <w:rPr>
          <w:rFonts w:hint="eastAsia"/>
          <w:lang w:eastAsia="ja-JP"/>
        </w:rPr>
        <w:t>I</w:t>
      </w:r>
      <w:r w:rsidRPr="001D458E">
        <w:rPr>
          <w:lang w:eastAsia="ja-JP"/>
        </w:rPr>
        <w:t>n the case of Japan, the</w:t>
      </w:r>
      <w:r w:rsidRPr="001D458E">
        <w:rPr>
          <w:rFonts w:hint="eastAsia"/>
          <w:lang w:eastAsia="ja-JP"/>
        </w:rPr>
        <w:t xml:space="preserve"> law played an important role </w:t>
      </w:r>
      <w:r w:rsidRPr="001D458E">
        <w:rPr>
          <w:lang w:eastAsia="ja-JP"/>
        </w:rPr>
        <w:t xml:space="preserve">in relation to making </w:t>
      </w:r>
      <w:r w:rsidRPr="001D458E">
        <w:rPr>
          <w:rFonts w:hint="eastAsia"/>
          <w:lang w:eastAsia="ja-JP"/>
        </w:rPr>
        <w:t xml:space="preserve">Japanese regulators more dependent on </w:t>
      </w:r>
      <w:r w:rsidRPr="001D458E">
        <w:rPr>
          <w:lang w:eastAsia="ja-JP"/>
        </w:rPr>
        <w:t xml:space="preserve">the </w:t>
      </w:r>
      <w:r w:rsidRPr="001D458E">
        <w:rPr>
          <w:rFonts w:hint="eastAsia"/>
          <w:lang w:eastAsia="ja-JP"/>
        </w:rPr>
        <w:t>political process and party politicians</w:t>
      </w:r>
      <w:r w:rsidRPr="001D458E">
        <w:rPr>
          <w:lang w:eastAsia="ja-JP"/>
        </w:rPr>
        <w:t xml:space="preserve">. This in turn makes it </w:t>
      </w:r>
      <w:r w:rsidRPr="001D458E">
        <w:rPr>
          <w:rFonts w:hint="eastAsia"/>
          <w:lang w:eastAsia="ja-JP"/>
        </w:rPr>
        <w:t xml:space="preserve">difficult </w:t>
      </w:r>
      <w:r w:rsidRPr="001D458E">
        <w:rPr>
          <w:lang w:eastAsia="ja-JP"/>
        </w:rPr>
        <w:t xml:space="preserve">for them </w:t>
      </w:r>
      <w:r w:rsidRPr="001D458E">
        <w:rPr>
          <w:rFonts w:hint="eastAsia"/>
          <w:lang w:eastAsia="ja-JP"/>
        </w:rPr>
        <w:t xml:space="preserve">to be separated from the Cabinet. </w:t>
      </w:r>
      <w:r w:rsidRPr="001D458E">
        <w:rPr>
          <w:lang w:eastAsia="ja-JP"/>
        </w:rPr>
        <w:t xml:space="preserve">Also, the nature of Japanese law allows the executive ministries to have limited discretion and requires frequent law amendments in the policy making process. This necessitates the greater involvement of politicians than other legal systems such as the English. There is a possibility that independent organisations </w:t>
      </w:r>
      <w:r w:rsidR="00465151">
        <w:rPr>
          <w:lang w:eastAsia="ja-JP"/>
        </w:rPr>
        <w:t>out</w:t>
      </w:r>
      <w:r w:rsidR="00BC43C9">
        <w:rPr>
          <w:lang w:eastAsia="ja-JP"/>
        </w:rPr>
        <w:t xml:space="preserve">side </w:t>
      </w:r>
      <w:r w:rsidR="00465151">
        <w:rPr>
          <w:lang w:eastAsia="ja-JP"/>
        </w:rPr>
        <w:t>government</w:t>
      </w:r>
      <w:r w:rsidRPr="001D458E">
        <w:rPr>
          <w:lang w:eastAsia="ja-JP"/>
        </w:rPr>
        <w:t xml:space="preserve"> encounter a problem in the policy making process because their limited accesses to politics can prevent them from formulating necessary policies through legislation and </w:t>
      </w:r>
      <w:r w:rsidR="00557AA4">
        <w:rPr>
          <w:rFonts w:eastAsia="MS Mincho" w:hint="eastAsia"/>
          <w:lang w:eastAsia="ja-JP"/>
        </w:rPr>
        <w:t xml:space="preserve">the </w:t>
      </w:r>
      <w:r w:rsidRPr="001D458E">
        <w:rPr>
          <w:lang w:eastAsia="ja-JP"/>
        </w:rPr>
        <w:t>Diet’s approvals</w:t>
      </w:r>
      <w:r w:rsidR="00324503">
        <w:rPr>
          <w:rFonts w:hint="eastAsia"/>
          <w:lang w:eastAsia="ja-JP"/>
        </w:rPr>
        <w:t>;</w:t>
      </w:r>
    </w:p>
    <w:p w14:paraId="22D125DC" w14:textId="77777777" w:rsidR="008D0572" w:rsidRPr="001D458E" w:rsidRDefault="00557AA4" w:rsidP="001B6C05">
      <w:pPr>
        <w:pStyle w:val="ListParagraph"/>
        <w:numPr>
          <w:ilvl w:val="0"/>
          <w:numId w:val="39"/>
        </w:numPr>
        <w:ind w:left="284" w:hanging="284"/>
        <w:rPr>
          <w:szCs w:val="24"/>
        </w:rPr>
      </w:pPr>
      <w:r>
        <w:rPr>
          <w:rFonts w:eastAsia="MS Mincho" w:hint="eastAsia"/>
          <w:szCs w:val="24"/>
        </w:rPr>
        <w:t>t</w:t>
      </w:r>
      <w:r w:rsidR="008D0572" w:rsidRPr="001D458E">
        <w:rPr>
          <w:rFonts w:hint="eastAsia"/>
          <w:szCs w:val="24"/>
        </w:rPr>
        <w:t xml:space="preserve">echnical difficulties such as that of constitution: the Constitution of Japan stipulates: </w:t>
      </w:r>
      <w:r w:rsidR="008D0572" w:rsidRPr="001D458E">
        <w:rPr>
          <w:szCs w:val="24"/>
        </w:rPr>
        <w:t>‘</w:t>
      </w:r>
      <w:r w:rsidR="001D3E64">
        <w:rPr>
          <w:szCs w:val="24"/>
        </w:rPr>
        <w:t>E</w:t>
      </w:r>
      <w:r w:rsidR="008D0572" w:rsidRPr="001D458E">
        <w:rPr>
          <w:szCs w:val="24"/>
        </w:rPr>
        <w:t>xecutive power shall be vested in the Cabinet’</w:t>
      </w:r>
      <w:r w:rsidR="008D0572" w:rsidRPr="001D458E">
        <w:rPr>
          <w:rFonts w:hint="eastAsia"/>
          <w:szCs w:val="24"/>
        </w:rPr>
        <w:t xml:space="preserve"> (Article 65). </w:t>
      </w:r>
      <w:r w:rsidR="008D0572" w:rsidRPr="001D458E">
        <w:rPr>
          <w:szCs w:val="24"/>
        </w:rPr>
        <w:t xml:space="preserve">This provision expects all administrative organisations including regulators be under the jurisdiction of the Cabinet. Such an institutional framework </w:t>
      </w:r>
      <w:r w:rsidR="008D0572" w:rsidRPr="001D458E">
        <w:rPr>
          <w:rFonts w:hint="eastAsia"/>
          <w:szCs w:val="24"/>
        </w:rPr>
        <w:t xml:space="preserve">limits the independence of regulators, because all of them are subject to the </w:t>
      </w:r>
      <w:r w:rsidR="008D0572" w:rsidRPr="001D458E">
        <w:rPr>
          <w:szCs w:val="24"/>
        </w:rPr>
        <w:t>control of the Cabinet</w:t>
      </w:r>
      <w:r w:rsidR="00324503">
        <w:rPr>
          <w:rFonts w:hint="eastAsia"/>
          <w:szCs w:val="24"/>
        </w:rPr>
        <w:t>;</w:t>
      </w:r>
    </w:p>
    <w:p w14:paraId="4CA63C2B" w14:textId="77777777" w:rsidR="008D0572" w:rsidRPr="001D458E" w:rsidRDefault="00557AA4" w:rsidP="001B6C05">
      <w:pPr>
        <w:pStyle w:val="ListParagraph"/>
        <w:numPr>
          <w:ilvl w:val="0"/>
          <w:numId w:val="39"/>
        </w:numPr>
        <w:ind w:left="284" w:hanging="284"/>
        <w:rPr>
          <w:szCs w:val="24"/>
        </w:rPr>
      </w:pPr>
      <w:r>
        <w:rPr>
          <w:rFonts w:eastAsia="MS Mincho" w:hint="eastAsia"/>
          <w:szCs w:val="24"/>
        </w:rPr>
        <w:t>t</w:t>
      </w:r>
      <w:r w:rsidR="008D0572" w:rsidRPr="001D458E">
        <w:rPr>
          <w:rFonts w:hint="eastAsia"/>
          <w:szCs w:val="24"/>
        </w:rPr>
        <w:t xml:space="preserve">he lack of benefits: an interesting </w:t>
      </w:r>
      <w:r w:rsidR="008D0572" w:rsidRPr="001D458E">
        <w:rPr>
          <w:szCs w:val="24"/>
        </w:rPr>
        <w:t>characteristic</w:t>
      </w:r>
      <w:r w:rsidR="008D0572" w:rsidRPr="001D458E">
        <w:rPr>
          <w:rFonts w:hint="eastAsia"/>
          <w:szCs w:val="24"/>
        </w:rPr>
        <w:t xml:space="preserve"> </w:t>
      </w:r>
      <w:r w:rsidR="008D0572" w:rsidRPr="001D458E">
        <w:rPr>
          <w:szCs w:val="24"/>
        </w:rPr>
        <w:t xml:space="preserve">to emerge from the </w:t>
      </w:r>
      <w:r w:rsidR="008D0572" w:rsidRPr="001D458E">
        <w:rPr>
          <w:rFonts w:hint="eastAsia"/>
          <w:szCs w:val="24"/>
        </w:rPr>
        <w:t xml:space="preserve">core executive interviewees </w:t>
      </w:r>
      <w:r w:rsidR="008D0572" w:rsidRPr="001D458E">
        <w:rPr>
          <w:szCs w:val="24"/>
        </w:rPr>
        <w:t xml:space="preserve">was that there was no mention of any </w:t>
      </w:r>
      <w:r w:rsidR="008D0572" w:rsidRPr="001D458E">
        <w:rPr>
          <w:rFonts w:hint="eastAsia"/>
          <w:szCs w:val="24"/>
        </w:rPr>
        <w:t>benefit</w:t>
      </w:r>
      <w:r w:rsidR="008D0572" w:rsidRPr="001D458E">
        <w:rPr>
          <w:szCs w:val="24"/>
        </w:rPr>
        <w:t>s for</w:t>
      </w:r>
      <w:r w:rsidR="008D0572" w:rsidRPr="001D458E">
        <w:rPr>
          <w:rFonts w:hint="eastAsia"/>
          <w:szCs w:val="24"/>
        </w:rPr>
        <w:t xml:space="preserve"> creating an independent ICT regulator. </w:t>
      </w:r>
      <w:r w:rsidR="008D0572" w:rsidRPr="001D458E">
        <w:rPr>
          <w:szCs w:val="24"/>
        </w:rPr>
        <w:t xml:space="preserve">Instead, their focus was on the </w:t>
      </w:r>
      <w:r w:rsidR="008D0572" w:rsidRPr="001D458E">
        <w:rPr>
          <w:rFonts w:hint="eastAsia"/>
          <w:szCs w:val="24"/>
        </w:rPr>
        <w:t xml:space="preserve">relationship between the existing institutional framework and an independent regulator, which </w:t>
      </w:r>
      <w:r w:rsidR="008D0572" w:rsidRPr="001D458E">
        <w:rPr>
          <w:szCs w:val="24"/>
        </w:rPr>
        <w:t>they</w:t>
      </w:r>
      <w:r w:rsidR="008D0572" w:rsidRPr="001D458E">
        <w:rPr>
          <w:rFonts w:hint="eastAsia"/>
          <w:szCs w:val="24"/>
        </w:rPr>
        <w:t xml:space="preserve"> regarded as a US style commission,</w:t>
      </w:r>
      <w:r w:rsidR="008D0572" w:rsidRPr="001D458E">
        <w:rPr>
          <w:szCs w:val="24"/>
        </w:rPr>
        <w:t xml:space="preserve"> and the view that c</w:t>
      </w:r>
      <w:r w:rsidR="008D0572" w:rsidRPr="001D458E">
        <w:rPr>
          <w:rFonts w:hint="eastAsia"/>
          <w:szCs w:val="24"/>
        </w:rPr>
        <w:t>reating an independent ICT regulator</w:t>
      </w:r>
      <w:r w:rsidR="008D0572" w:rsidRPr="001D458E">
        <w:rPr>
          <w:szCs w:val="24"/>
        </w:rPr>
        <w:t xml:space="preserve"> w</w:t>
      </w:r>
      <w:r w:rsidR="008D0572" w:rsidRPr="001D458E">
        <w:rPr>
          <w:rFonts w:hint="eastAsia"/>
          <w:szCs w:val="24"/>
        </w:rPr>
        <w:t>as unsuitable for Japan</w:t>
      </w:r>
      <w:r w:rsidR="008D0572" w:rsidRPr="001D458E">
        <w:rPr>
          <w:szCs w:val="24"/>
        </w:rPr>
        <w:t>’</w:t>
      </w:r>
      <w:r w:rsidR="008D0572" w:rsidRPr="001D458E">
        <w:rPr>
          <w:rFonts w:hint="eastAsia"/>
          <w:szCs w:val="24"/>
        </w:rPr>
        <w:t>s political tradition. A</w:t>
      </w:r>
      <w:r w:rsidR="008D0572" w:rsidRPr="001D458E">
        <w:rPr>
          <w:szCs w:val="24"/>
        </w:rPr>
        <w:t>l</w:t>
      </w:r>
      <w:r w:rsidR="008D0572" w:rsidRPr="001D458E">
        <w:rPr>
          <w:rFonts w:hint="eastAsia"/>
          <w:szCs w:val="24"/>
        </w:rPr>
        <w:t xml:space="preserve">so, the core executive interviewees concentrated on arguing that they could avoid problems such as the conflict of interests between industry promotion </w:t>
      </w:r>
      <w:r w:rsidR="008D0572" w:rsidRPr="001D458E">
        <w:rPr>
          <w:szCs w:val="24"/>
        </w:rPr>
        <w:t>policies</w:t>
      </w:r>
      <w:r w:rsidR="008D0572" w:rsidRPr="001D458E">
        <w:rPr>
          <w:rFonts w:hint="eastAsia"/>
          <w:szCs w:val="24"/>
        </w:rPr>
        <w:t xml:space="preserve"> and regulatory policies </w:t>
      </w:r>
      <w:r w:rsidR="008D0572" w:rsidRPr="001D458E">
        <w:rPr>
          <w:szCs w:val="24"/>
        </w:rPr>
        <w:t>within</w:t>
      </w:r>
      <w:r w:rsidR="008D0572" w:rsidRPr="001D458E">
        <w:rPr>
          <w:rFonts w:hint="eastAsia"/>
          <w:szCs w:val="24"/>
        </w:rPr>
        <w:t xml:space="preserve"> the current institutional framework. </w:t>
      </w:r>
      <w:r w:rsidR="008D0572" w:rsidRPr="001D458E">
        <w:rPr>
          <w:szCs w:val="24"/>
        </w:rPr>
        <w:t>W</w:t>
      </w:r>
      <w:r w:rsidR="008D0572" w:rsidRPr="001D458E">
        <w:rPr>
          <w:rFonts w:hint="eastAsia"/>
          <w:szCs w:val="24"/>
        </w:rPr>
        <w:t xml:space="preserve">hat emerges </w:t>
      </w:r>
      <w:r w:rsidR="00465151">
        <w:rPr>
          <w:szCs w:val="24"/>
        </w:rPr>
        <w:t>then is that</w:t>
      </w:r>
      <w:r w:rsidR="008D0572" w:rsidRPr="001D458E">
        <w:rPr>
          <w:rFonts w:hint="eastAsia"/>
          <w:szCs w:val="24"/>
        </w:rPr>
        <w:t xml:space="preserve">: party </w:t>
      </w:r>
      <w:r w:rsidR="008D0572" w:rsidRPr="001D458E">
        <w:rPr>
          <w:szCs w:val="24"/>
        </w:rPr>
        <w:t>politicians</w:t>
      </w:r>
      <w:r w:rsidR="008D0572" w:rsidRPr="001D458E">
        <w:rPr>
          <w:rFonts w:hint="eastAsia"/>
          <w:szCs w:val="24"/>
        </w:rPr>
        <w:t xml:space="preserve"> did not think taking responsibility for highly technical issues such as ICT regulation was a risk</w:t>
      </w:r>
      <w:r w:rsidR="008D0572" w:rsidRPr="001D458E">
        <w:rPr>
          <w:szCs w:val="24"/>
        </w:rPr>
        <w:t>;</w:t>
      </w:r>
      <w:r w:rsidR="008D0572" w:rsidRPr="001D458E">
        <w:rPr>
          <w:rFonts w:hint="eastAsia"/>
          <w:szCs w:val="24"/>
        </w:rPr>
        <w:t xml:space="preserve"> </w:t>
      </w:r>
      <w:r w:rsidR="008D0572" w:rsidRPr="001D458E">
        <w:rPr>
          <w:szCs w:val="24"/>
        </w:rPr>
        <w:t xml:space="preserve">and the </w:t>
      </w:r>
      <w:r w:rsidR="008D0572" w:rsidRPr="001D458E">
        <w:rPr>
          <w:rFonts w:hint="eastAsia"/>
          <w:szCs w:val="24"/>
        </w:rPr>
        <w:t>core executive interviewees thought that current ministerial regulation implemented by generalist civil servants could develop sufficient expertise about the ICT sector</w:t>
      </w:r>
      <w:r w:rsidR="008D0572" w:rsidRPr="001D458E">
        <w:rPr>
          <w:szCs w:val="24"/>
        </w:rPr>
        <w:t>.</w:t>
      </w:r>
      <w:r w:rsidR="008D0572" w:rsidRPr="001D458E">
        <w:rPr>
          <w:rFonts w:hint="eastAsia"/>
          <w:szCs w:val="24"/>
        </w:rPr>
        <w:t xml:space="preserve"> The</w:t>
      </w:r>
      <w:r w:rsidR="008D0572" w:rsidRPr="001D458E">
        <w:rPr>
          <w:szCs w:val="24"/>
        </w:rPr>
        <w:t xml:space="preserve">se views are </w:t>
      </w:r>
      <w:r w:rsidR="008D0572" w:rsidRPr="001D458E">
        <w:rPr>
          <w:rFonts w:hint="eastAsia"/>
          <w:szCs w:val="24"/>
        </w:rPr>
        <w:t>indifferen</w:t>
      </w:r>
      <w:r w:rsidR="008D0572" w:rsidRPr="001D458E">
        <w:rPr>
          <w:szCs w:val="24"/>
        </w:rPr>
        <w:t xml:space="preserve">t </w:t>
      </w:r>
      <w:r w:rsidR="008D0572" w:rsidRPr="001D458E">
        <w:rPr>
          <w:rFonts w:hint="eastAsia"/>
          <w:szCs w:val="24"/>
        </w:rPr>
        <w:t xml:space="preserve">to the </w:t>
      </w:r>
      <w:r w:rsidR="008D0572" w:rsidRPr="001D458E">
        <w:rPr>
          <w:szCs w:val="24"/>
        </w:rPr>
        <w:t xml:space="preserve">possible </w:t>
      </w:r>
      <w:r w:rsidR="008D0572" w:rsidRPr="001D458E">
        <w:rPr>
          <w:rFonts w:hint="eastAsia"/>
          <w:szCs w:val="24"/>
        </w:rPr>
        <w:t xml:space="preserve">benefits </w:t>
      </w:r>
      <w:r w:rsidR="008D0572" w:rsidRPr="001D458E">
        <w:rPr>
          <w:szCs w:val="24"/>
        </w:rPr>
        <w:t>of an independent regulator</w:t>
      </w:r>
      <w:r w:rsidR="008D0572" w:rsidRPr="001D458E">
        <w:rPr>
          <w:rFonts w:hint="eastAsia"/>
          <w:szCs w:val="24"/>
        </w:rPr>
        <w:t>.</w:t>
      </w:r>
      <w:r w:rsidR="008D0572" w:rsidRPr="001D458E">
        <w:rPr>
          <w:szCs w:val="24"/>
        </w:rPr>
        <w:t xml:space="preserve"> For example, OECD (2002 p.95) highlights the benefits of an independent regulator : ‘</w:t>
      </w:r>
      <w:r w:rsidR="005F53AE">
        <w:rPr>
          <w:szCs w:val="24"/>
        </w:rPr>
        <w:t>...</w:t>
      </w:r>
      <w:r w:rsidR="008D0572" w:rsidRPr="001D458E">
        <w:rPr>
          <w:szCs w:val="24"/>
        </w:rPr>
        <w:t xml:space="preserve">to shield market interventions from interference from captured politicians and bureaucrats’, improved  transparency, more stable regulation, </w:t>
      </w:r>
      <w:r w:rsidR="00E75B2B">
        <w:rPr>
          <w:rFonts w:hint="eastAsia"/>
          <w:szCs w:val="24"/>
        </w:rPr>
        <w:t>improved condition for business</w:t>
      </w:r>
      <w:r w:rsidR="008D0572" w:rsidRPr="001D458E">
        <w:rPr>
          <w:szCs w:val="24"/>
        </w:rPr>
        <w:t xml:space="preserve">, and the possibility of improved accountability if an independent regulator has explicit objectives and a specific report system to the government or parliament. None of the core executive interviewees </w:t>
      </w:r>
      <w:r w:rsidR="005F53AE">
        <w:rPr>
          <w:szCs w:val="24"/>
        </w:rPr>
        <w:t xml:space="preserve">expressed </w:t>
      </w:r>
      <w:r w:rsidR="008D0572" w:rsidRPr="001D458E">
        <w:rPr>
          <w:szCs w:val="24"/>
        </w:rPr>
        <w:t>an interest in such benefits; some of them rather argued that these benefits could be obtained even if a government ministry has regulatory functions</w:t>
      </w:r>
      <w:r w:rsidR="00324503">
        <w:rPr>
          <w:rFonts w:hint="eastAsia"/>
          <w:szCs w:val="24"/>
        </w:rPr>
        <w:t>;</w:t>
      </w:r>
    </w:p>
    <w:p w14:paraId="205F0FE5" w14:textId="77777777" w:rsidR="008D0572" w:rsidRPr="001D458E" w:rsidRDefault="00557AA4" w:rsidP="001B6C05">
      <w:pPr>
        <w:pStyle w:val="ListParagraph"/>
        <w:numPr>
          <w:ilvl w:val="0"/>
          <w:numId w:val="39"/>
        </w:numPr>
        <w:ind w:left="284" w:hanging="284"/>
        <w:rPr>
          <w:szCs w:val="24"/>
        </w:rPr>
      </w:pPr>
      <w:r>
        <w:rPr>
          <w:rFonts w:eastAsia="MS Mincho" w:hint="eastAsia"/>
          <w:szCs w:val="24"/>
        </w:rPr>
        <w:t>d</w:t>
      </w:r>
      <w:r w:rsidR="008D0572" w:rsidRPr="001D458E">
        <w:rPr>
          <w:rFonts w:hint="eastAsia"/>
          <w:szCs w:val="24"/>
        </w:rPr>
        <w:t xml:space="preserve">evelopmental </w:t>
      </w:r>
      <w:r w:rsidR="008D0572" w:rsidRPr="001D458E">
        <w:rPr>
          <w:szCs w:val="24"/>
        </w:rPr>
        <w:t>approaches using regulat</w:t>
      </w:r>
      <w:r w:rsidR="008D0572" w:rsidRPr="001D458E">
        <w:rPr>
          <w:rFonts w:hint="eastAsia"/>
          <w:szCs w:val="24"/>
        </w:rPr>
        <w:t>ion</w:t>
      </w:r>
      <w:r w:rsidR="008D0572" w:rsidRPr="001D458E">
        <w:rPr>
          <w:szCs w:val="24"/>
        </w:rPr>
        <w:t xml:space="preserve"> as</w:t>
      </w:r>
      <w:r w:rsidR="008D0572" w:rsidRPr="001D458E">
        <w:rPr>
          <w:rFonts w:hint="eastAsia"/>
          <w:szCs w:val="24"/>
        </w:rPr>
        <w:t xml:space="preserve"> a </w:t>
      </w:r>
      <w:r w:rsidR="008D0572" w:rsidRPr="001D458E">
        <w:rPr>
          <w:szCs w:val="24"/>
        </w:rPr>
        <w:t>tool for industry promotion</w:t>
      </w:r>
      <w:r w:rsidR="008D0572" w:rsidRPr="001D458E">
        <w:rPr>
          <w:rFonts w:hint="eastAsia"/>
          <w:szCs w:val="24"/>
        </w:rPr>
        <w:t>:</w:t>
      </w:r>
      <w:r w:rsidR="008D0572" w:rsidRPr="001D458E">
        <w:rPr>
          <w:szCs w:val="24"/>
        </w:rPr>
        <w:t xml:space="preserve"> </w:t>
      </w:r>
      <w:r w:rsidR="008D0572" w:rsidRPr="001D458E">
        <w:rPr>
          <w:rFonts w:hint="eastAsia"/>
          <w:szCs w:val="24"/>
        </w:rPr>
        <w:t>a group of interviewees (civil servants and an academic) argued that regulatory independence could undermine the close cooperation between regulation and industry promotion. A similar idea was revealed by the MPT</w:t>
      </w:r>
      <w:r w:rsidR="008D0572" w:rsidRPr="001D458E">
        <w:rPr>
          <w:szCs w:val="24"/>
        </w:rPr>
        <w:t>’</w:t>
      </w:r>
      <w:r w:rsidR="008D0572" w:rsidRPr="001D458E">
        <w:rPr>
          <w:rFonts w:hint="eastAsia"/>
          <w:szCs w:val="24"/>
        </w:rPr>
        <w:t xml:space="preserve">s official document: </w:t>
      </w:r>
      <w:r w:rsidR="008D0572" w:rsidRPr="001D458E">
        <w:rPr>
          <w:szCs w:val="24"/>
        </w:rPr>
        <w:t>‘</w:t>
      </w:r>
      <w:r w:rsidR="008D0572" w:rsidRPr="001D458E">
        <w:rPr>
          <w:rFonts w:hint="eastAsia"/>
          <w:szCs w:val="24"/>
        </w:rPr>
        <w:t xml:space="preserve">...specifically separating </w:t>
      </w:r>
      <w:r w:rsidR="008D0572" w:rsidRPr="001D458E">
        <w:rPr>
          <w:szCs w:val="24"/>
        </w:rPr>
        <w:t>“</w:t>
      </w:r>
      <w:r w:rsidR="008D0572" w:rsidRPr="001D458E">
        <w:rPr>
          <w:rFonts w:hint="eastAsia"/>
          <w:szCs w:val="24"/>
        </w:rPr>
        <w:t>information and communications industry development activities</w:t>
      </w:r>
      <w:r w:rsidR="008D0572" w:rsidRPr="001D458E">
        <w:rPr>
          <w:szCs w:val="24"/>
        </w:rPr>
        <w:t>”</w:t>
      </w:r>
      <w:r w:rsidR="008D0572" w:rsidRPr="001D458E">
        <w:rPr>
          <w:rFonts w:hint="eastAsia"/>
          <w:szCs w:val="24"/>
        </w:rPr>
        <w:t xml:space="preserve"> is not in line with an international trend of retreat from promotional and protective approaches to specific industries. ...it is the approach pursuing </w:t>
      </w:r>
      <w:r w:rsidR="008D0572" w:rsidRPr="001D458E">
        <w:rPr>
          <w:szCs w:val="24"/>
        </w:rPr>
        <w:t>‘</w:t>
      </w:r>
      <w:r w:rsidR="008D0572" w:rsidRPr="001D458E">
        <w:rPr>
          <w:rFonts w:hint="eastAsia"/>
          <w:szCs w:val="24"/>
        </w:rPr>
        <w:t>promotion</w:t>
      </w:r>
      <w:r w:rsidR="008D0572" w:rsidRPr="001D458E">
        <w:rPr>
          <w:szCs w:val="24"/>
        </w:rPr>
        <w:t>’</w:t>
      </w:r>
      <w:r w:rsidR="008D0572" w:rsidRPr="001D458E">
        <w:rPr>
          <w:rFonts w:hint="eastAsia"/>
          <w:szCs w:val="24"/>
        </w:rPr>
        <w:t xml:space="preserve"> and </w:t>
      </w:r>
      <w:r w:rsidR="008D0572" w:rsidRPr="001D458E">
        <w:rPr>
          <w:szCs w:val="24"/>
        </w:rPr>
        <w:t>‘</w:t>
      </w:r>
      <w:r w:rsidR="008D0572" w:rsidRPr="001D458E">
        <w:rPr>
          <w:rFonts w:hint="eastAsia"/>
          <w:szCs w:val="24"/>
        </w:rPr>
        <w:t>regulation</w:t>
      </w:r>
      <w:r w:rsidR="008D0572" w:rsidRPr="001D458E">
        <w:rPr>
          <w:szCs w:val="24"/>
        </w:rPr>
        <w:t>’</w:t>
      </w:r>
      <w:r w:rsidR="008D0572" w:rsidRPr="001D458E">
        <w:rPr>
          <w:rFonts w:hint="eastAsia"/>
          <w:szCs w:val="24"/>
        </w:rPr>
        <w:t xml:space="preserve"> together which achieve</w:t>
      </w:r>
      <w:r w:rsidR="00BC43C9">
        <w:rPr>
          <w:szCs w:val="24"/>
        </w:rPr>
        <w:t>s</w:t>
      </w:r>
      <w:r w:rsidR="008D0572" w:rsidRPr="001D458E">
        <w:rPr>
          <w:rFonts w:hint="eastAsia"/>
          <w:szCs w:val="24"/>
        </w:rPr>
        <w:t xml:space="preserve"> policy goals efficiently and effectively. </w:t>
      </w:r>
      <w:r w:rsidR="008D0572" w:rsidRPr="001D458E">
        <w:rPr>
          <w:szCs w:val="24"/>
        </w:rPr>
        <w:t>A</w:t>
      </w:r>
      <w:r w:rsidR="008D0572" w:rsidRPr="001D458E">
        <w:rPr>
          <w:rFonts w:hint="eastAsia"/>
          <w:szCs w:val="24"/>
        </w:rPr>
        <w:t>n example can be found in the spread and development of the mobile communications services</w:t>
      </w:r>
      <w:r w:rsidR="008D0572" w:rsidRPr="001D458E">
        <w:rPr>
          <w:szCs w:val="24"/>
        </w:rPr>
        <w:t>’</w:t>
      </w:r>
      <w:r w:rsidR="008D0572" w:rsidRPr="001D458E">
        <w:rPr>
          <w:rFonts w:hint="eastAsia"/>
          <w:szCs w:val="24"/>
        </w:rPr>
        <w:t xml:space="preserve"> (MPT 1997). </w:t>
      </w:r>
      <w:r w:rsidR="008D0572" w:rsidRPr="001D458E">
        <w:rPr>
          <w:szCs w:val="24"/>
        </w:rPr>
        <w:t>T</w:t>
      </w:r>
      <w:r w:rsidR="008D0572" w:rsidRPr="001D458E">
        <w:rPr>
          <w:rFonts w:hint="eastAsia"/>
          <w:szCs w:val="24"/>
        </w:rPr>
        <w:t xml:space="preserve">his idea is based on two premises: </w:t>
      </w:r>
      <w:r w:rsidR="008D0572" w:rsidRPr="001D458E">
        <w:rPr>
          <w:szCs w:val="24"/>
        </w:rPr>
        <w:t xml:space="preserve">that </w:t>
      </w:r>
      <w:r w:rsidR="008D0572" w:rsidRPr="001D458E">
        <w:rPr>
          <w:rFonts w:hint="eastAsia"/>
          <w:szCs w:val="24"/>
        </w:rPr>
        <w:t>outdated ICT regulation could jeopardise the development of ICT such as the monopolistic regulation before privatisation, which significantly disturbed the development of telecommunications networks</w:t>
      </w:r>
      <w:r w:rsidR="008D0572" w:rsidRPr="001D458E">
        <w:rPr>
          <w:szCs w:val="24"/>
        </w:rPr>
        <w:t>;</w:t>
      </w:r>
      <w:r w:rsidR="008D0572" w:rsidRPr="001D458E">
        <w:rPr>
          <w:rFonts w:hint="eastAsia"/>
          <w:szCs w:val="24"/>
        </w:rPr>
        <w:t xml:space="preserve"> and </w:t>
      </w:r>
      <w:r w:rsidR="008D0572" w:rsidRPr="001D458E">
        <w:rPr>
          <w:szCs w:val="24"/>
        </w:rPr>
        <w:t xml:space="preserve">also that </w:t>
      </w:r>
      <w:r w:rsidR="008D0572" w:rsidRPr="001D458E">
        <w:rPr>
          <w:rFonts w:hint="eastAsia"/>
          <w:szCs w:val="24"/>
        </w:rPr>
        <w:t>regulatory independence could undermine a necessary interaction between industry promotion and regulation.</w:t>
      </w:r>
    </w:p>
    <w:p w14:paraId="79F18899" w14:textId="77777777" w:rsidR="008D0572" w:rsidRPr="001D458E" w:rsidRDefault="008D0572" w:rsidP="0024471C">
      <w:pPr>
        <w:ind w:firstLineChars="122" w:firstLine="277"/>
        <w:rPr>
          <w:lang w:eastAsia="ja-JP"/>
        </w:rPr>
      </w:pPr>
    </w:p>
    <w:p w14:paraId="42124F91" w14:textId="52161981" w:rsidR="008D0572" w:rsidRPr="001D458E" w:rsidRDefault="008D0572" w:rsidP="0024471C">
      <w:pPr>
        <w:ind w:firstLineChars="122" w:firstLine="277"/>
        <w:rPr>
          <w:lang w:eastAsia="ja-JP"/>
        </w:rPr>
      </w:pPr>
      <w:r w:rsidRPr="001D458E">
        <w:rPr>
          <w:lang w:eastAsia="ja-JP"/>
        </w:rPr>
        <w:t xml:space="preserve">If the above points are contrasted to the risks of independent regulators in </w:t>
      </w:r>
      <w:r w:rsidR="00B22A07">
        <w:rPr>
          <w:lang w:eastAsia="ja-JP"/>
        </w:rPr>
        <w:t>Table 5.5</w:t>
      </w:r>
      <w:r w:rsidRPr="001D458E">
        <w:rPr>
          <w:lang w:eastAsia="ja-JP"/>
        </w:rPr>
        <w:t xml:space="preserve"> by the OECD (2002 pp.95-6), the </w:t>
      </w:r>
      <w:r w:rsidRPr="001D458E">
        <w:rPr>
          <w:rFonts w:hint="eastAsia"/>
          <w:lang w:eastAsia="ja-JP"/>
        </w:rPr>
        <w:t>first point</w:t>
      </w:r>
      <w:r w:rsidRPr="001D458E">
        <w:rPr>
          <w:lang w:eastAsia="ja-JP"/>
        </w:rPr>
        <w:t xml:space="preserve"> (the risk of slowing structural changes) </w:t>
      </w:r>
      <w:r w:rsidRPr="001D458E">
        <w:rPr>
          <w:rFonts w:hint="eastAsia"/>
          <w:lang w:eastAsia="ja-JP"/>
        </w:rPr>
        <w:t>and the third point</w:t>
      </w:r>
      <w:r w:rsidRPr="001D458E">
        <w:rPr>
          <w:lang w:eastAsia="ja-JP"/>
        </w:rPr>
        <w:t xml:space="preserve"> (the risk of inadequate democratic </w:t>
      </w:r>
      <w:r w:rsidRPr="001D458E">
        <w:rPr>
          <w:rFonts w:hint="eastAsia"/>
          <w:lang w:eastAsia="ja-JP"/>
        </w:rPr>
        <w:t>accountability)</w:t>
      </w:r>
      <w:r w:rsidRPr="001D458E">
        <w:rPr>
          <w:lang w:eastAsia="ja-JP"/>
        </w:rPr>
        <w:t xml:space="preserve"> are the characteristics which can be observed in Japan’s ICT regulation</w:t>
      </w:r>
      <w:r w:rsidRPr="001D458E">
        <w:rPr>
          <w:rFonts w:hint="eastAsia"/>
          <w:lang w:eastAsia="ja-JP"/>
        </w:rPr>
        <w:t>. T</w:t>
      </w:r>
      <w:r w:rsidRPr="001D458E">
        <w:rPr>
          <w:lang w:eastAsia="ja-JP"/>
        </w:rPr>
        <w:t>h</w:t>
      </w:r>
      <w:r w:rsidRPr="001D458E">
        <w:rPr>
          <w:rFonts w:hint="eastAsia"/>
          <w:lang w:eastAsia="ja-JP"/>
        </w:rPr>
        <w:t xml:space="preserve">e first point responds to the concerns that an independent regulator could jeopardise the close cooperation between industry promotion and regulation. </w:t>
      </w:r>
      <w:r w:rsidRPr="001D458E">
        <w:rPr>
          <w:lang w:eastAsia="ja-JP"/>
        </w:rPr>
        <w:t>Some</w:t>
      </w:r>
      <w:r w:rsidRPr="001D458E">
        <w:rPr>
          <w:rFonts w:hint="eastAsia"/>
          <w:lang w:eastAsia="ja-JP"/>
        </w:rPr>
        <w:t xml:space="preserve"> interviewees emphasised the nature of </w:t>
      </w:r>
      <w:r w:rsidRPr="001D458E">
        <w:rPr>
          <w:lang w:eastAsia="ja-JP"/>
        </w:rPr>
        <w:t xml:space="preserve">the </w:t>
      </w:r>
      <w:r w:rsidRPr="001D458E">
        <w:rPr>
          <w:rFonts w:hint="eastAsia"/>
          <w:lang w:eastAsia="ja-JP"/>
        </w:rPr>
        <w:t xml:space="preserve">ICT sector, which </w:t>
      </w:r>
      <w:r w:rsidR="00DE35FF">
        <w:rPr>
          <w:lang w:eastAsia="ja-JP"/>
        </w:rPr>
        <w:t xml:space="preserve">has </w:t>
      </w:r>
      <w:r w:rsidRPr="001D458E">
        <w:rPr>
          <w:rFonts w:hint="eastAsia"/>
          <w:lang w:eastAsia="ja-JP"/>
        </w:rPr>
        <w:t>confront</w:t>
      </w:r>
      <w:r w:rsidR="00DE35FF">
        <w:rPr>
          <w:lang w:eastAsia="ja-JP"/>
        </w:rPr>
        <w:t>ed</w:t>
      </w:r>
      <w:r w:rsidRPr="001D458E">
        <w:rPr>
          <w:rFonts w:hint="eastAsia"/>
          <w:lang w:eastAsia="ja-JP"/>
        </w:rPr>
        <w:t xml:space="preserve"> rapid technological developments throughout </w:t>
      </w:r>
      <w:r w:rsidR="00DE35FF">
        <w:rPr>
          <w:lang w:eastAsia="ja-JP"/>
        </w:rPr>
        <w:t xml:space="preserve">the </w:t>
      </w:r>
      <w:r w:rsidRPr="001D458E">
        <w:rPr>
          <w:rFonts w:hint="eastAsia"/>
          <w:lang w:eastAsia="ja-JP"/>
        </w:rPr>
        <w:t xml:space="preserve">years. They argued that such a challenge requires the ICT sector to frequently change their regulatory measures. </w:t>
      </w:r>
      <w:r w:rsidR="005F53AE">
        <w:rPr>
          <w:lang w:eastAsia="ja-JP"/>
        </w:rPr>
        <w:t>In relation to</w:t>
      </w:r>
      <w:r w:rsidR="005F53AE" w:rsidRPr="001D458E">
        <w:rPr>
          <w:rFonts w:hint="eastAsia"/>
          <w:lang w:eastAsia="ja-JP"/>
        </w:rPr>
        <w:t xml:space="preserve"> </w:t>
      </w:r>
      <w:r w:rsidRPr="001D458E">
        <w:rPr>
          <w:rFonts w:hint="eastAsia"/>
          <w:lang w:eastAsia="ja-JP"/>
        </w:rPr>
        <w:t>the third point</w:t>
      </w:r>
      <w:r w:rsidRPr="001D458E">
        <w:rPr>
          <w:lang w:eastAsia="ja-JP"/>
        </w:rPr>
        <w:t xml:space="preserve"> (the risk of inadequate democratic accountability)</w:t>
      </w:r>
      <w:r w:rsidRPr="001D458E">
        <w:rPr>
          <w:rFonts w:hint="eastAsia"/>
          <w:lang w:eastAsia="ja-JP"/>
        </w:rPr>
        <w:t xml:space="preserve">, the executive oversight and regulatory independence conflict </w:t>
      </w:r>
      <w:r w:rsidRPr="001D458E">
        <w:rPr>
          <w:lang w:eastAsia="ja-JP"/>
        </w:rPr>
        <w:t>with one another</w:t>
      </w:r>
      <w:r w:rsidRPr="001D458E">
        <w:rPr>
          <w:rFonts w:hint="eastAsia"/>
          <w:lang w:eastAsia="ja-JP"/>
        </w:rPr>
        <w:t xml:space="preserve">. All executive organisations are under the Cabinet in the Japanese system. </w:t>
      </w:r>
      <w:r w:rsidRPr="001D458E">
        <w:rPr>
          <w:lang w:eastAsia="ja-JP"/>
        </w:rPr>
        <w:t>T</w:t>
      </w:r>
      <w:r w:rsidRPr="001D458E">
        <w:rPr>
          <w:rFonts w:hint="eastAsia"/>
          <w:lang w:eastAsia="ja-JP"/>
        </w:rPr>
        <w:t xml:space="preserve">his </w:t>
      </w:r>
      <w:r w:rsidRPr="001D458E">
        <w:rPr>
          <w:lang w:eastAsia="ja-JP"/>
        </w:rPr>
        <w:t>inevitably</w:t>
      </w:r>
      <w:r w:rsidRPr="001D458E">
        <w:rPr>
          <w:rFonts w:hint="eastAsia"/>
          <w:lang w:eastAsia="ja-JP"/>
        </w:rPr>
        <w:t xml:space="preserve"> offers party politicians to intervene in </w:t>
      </w:r>
      <w:r w:rsidR="00DE35FF">
        <w:rPr>
          <w:lang w:eastAsia="ja-JP"/>
        </w:rPr>
        <w:t xml:space="preserve">a </w:t>
      </w:r>
      <w:r w:rsidRPr="001D458E">
        <w:rPr>
          <w:rFonts w:hint="eastAsia"/>
          <w:lang w:eastAsia="ja-JP"/>
        </w:rPr>
        <w:t>regulator</w:t>
      </w:r>
      <w:r w:rsidRPr="001D458E">
        <w:rPr>
          <w:lang w:eastAsia="ja-JP"/>
        </w:rPr>
        <w:t>’</w:t>
      </w:r>
      <w:r w:rsidRPr="001D458E">
        <w:rPr>
          <w:rFonts w:hint="eastAsia"/>
          <w:lang w:eastAsia="ja-JP"/>
        </w:rPr>
        <w:t>s activities. In addition to them, the nature of the Japanese law, which allows narrow interpretation, requires frequent law amendments. This offers party politicians opportunities to intervene in regulation.</w:t>
      </w:r>
    </w:p>
    <w:p w14:paraId="53833C6D" w14:textId="77777777" w:rsidR="008D0572" w:rsidRPr="001D458E" w:rsidRDefault="008D0572" w:rsidP="0024471C">
      <w:pPr>
        <w:ind w:firstLineChars="122" w:firstLine="277"/>
        <w:rPr>
          <w:lang w:eastAsia="ja-JP"/>
        </w:rPr>
      </w:pPr>
    </w:p>
    <w:p w14:paraId="6CB1F7C3" w14:textId="34DD48A6" w:rsidR="008D0572" w:rsidRPr="00AB15D3" w:rsidRDefault="00B22A07" w:rsidP="00DA2E02">
      <w:pPr>
        <w:pStyle w:val="Heading4"/>
        <w:rPr>
          <w:lang w:eastAsia="ja-JP"/>
        </w:rPr>
      </w:pPr>
      <w:r>
        <w:rPr>
          <w:lang w:eastAsia="ja-JP"/>
        </w:rPr>
        <w:t>Table 5.5</w:t>
      </w:r>
      <w:r w:rsidR="008D0572" w:rsidRPr="00AB15D3">
        <w:rPr>
          <w:lang w:eastAsia="ja-JP"/>
        </w:rPr>
        <w:t>: Risks associated with independent regulators (OECD 2002 pp.95-6. Highlights in original)</w:t>
      </w:r>
    </w:p>
    <w:tbl>
      <w:tblPr>
        <w:tblStyle w:val="TableGrid"/>
        <w:tblW w:w="0" w:type="auto"/>
        <w:tblLook w:val="04A0" w:firstRow="1" w:lastRow="0" w:firstColumn="1" w:lastColumn="0" w:noHBand="0" w:noVBand="1"/>
      </w:tblPr>
      <w:tblGrid>
        <w:gridCol w:w="8720"/>
      </w:tblGrid>
      <w:tr w:rsidR="008D0572" w:rsidRPr="001D458E" w14:paraId="5D807194" w14:textId="77777777" w:rsidTr="008D0572">
        <w:tc>
          <w:tcPr>
            <w:tcW w:w="9286" w:type="dxa"/>
          </w:tcPr>
          <w:p w14:paraId="027AEFB3" w14:textId="77777777" w:rsidR="008D0572" w:rsidRDefault="008D0572" w:rsidP="008D0572">
            <w:pPr>
              <w:pStyle w:val="NoSpacing"/>
              <w:rPr>
                <w:b/>
                <w:bCs/>
                <w:lang w:eastAsia="ja-JP"/>
              </w:rPr>
            </w:pPr>
          </w:p>
          <w:p w14:paraId="414A633E" w14:textId="77777777" w:rsidR="008D0572" w:rsidRPr="001D458E" w:rsidRDefault="008D0572" w:rsidP="008D0572">
            <w:pPr>
              <w:pStyle w:val="NoSpacing"/>
            </w:pPr>
            <w:r w:rsidRPr="001D458E">
              <w:rPr>
                <w:b/>
                <w:bCs/>
              </w:rPr>
              <w:t>Independent regulators may slow structural changes,</w:t>
            </w:r>
            <w:r w:rsidRPr="001D458E">
              <w:t xml:space="preserve"> losing potential gains to consumers. Regulators are often established on sectoral lines and may tend to obstruct convergence between sectors and the emergence of new business models. Similarly, as regulators proliferate, institutional rigidities may increase.</w:t>
            </w:r>
          </w:p>
          <w:p w14:paraId="5DCE2AB9" w14:textId="77777777" w:rsidR="008D0572" w:rsidRPr="001D458E" w:rsidRDefault="008D0572" w:rsidP="008D0572">
            <w:pPr>
              <w:pStyle w:val="NoSpacing"/>
            </w:pPr>
          </w:p>
          <w:p w14:paraId="4949ECF3" w14:textId="77777777" w:rsidR="008D0572" w:rsidRPr="001D458E" w:rsidRDefault="008D0572" w:rsidP="008D0572">
            <w:pPr>
              <w:pStyle w:val="NoSpacing"/>
            </w:pPr>
            <w:r w:rsidRPr="001D458E">
              <w:rPr>
                <w:b/>
                <w:bCs/>
              </w:rPr>
              <w:t>The risk of capture is reduced but not eliminated if the regulator faces structural weaknesses,</w:t>
            </w:r>
            <w:r w:rsidRPr="001D458E">
              <w:t xml:space="preserve"> particularly with sectorally defined regulators lacking resources. Similarly, over-regulation may result where static institutions wish to guard their raison d’être.</w:t>
            </w:r>
          </w:p>
          <w:p w14:paraId="3413F5C7" w14:textId="77777777" w:rsidR="008D0572" w:rsidRPr="001D458E" w:rsidRDefault="008D0572" w:rsidP="008D0572">
            <w:pPr>
              <w:pStyle w:val="NoSpacing"/>
            </w:pPr>
          </w:p>
          <w:p w14:paraId="7CC8A26A" w14:textId="77777777" w:rsidR="008D0572" w:rsidRPr="001D458E" w:rsidRDefault="008D0572" w:rsidP="008D0572">
            <w:pPr>
              <w:pStyle w:val="NoSpacing"/>
            </w:pPr>
            <w:r w:rsidRPr="001D458E">
              <w:rPr>
                <w:b/>
                <w:bCs/>
              </w:rPr>
              <w:t>Democratic accountability may be inadequate.</w:t>
            </w:r>
            <w:r w:rsidRPr="001D458E">
              <w:t xml:space="preserve"> Independence needs to be balanced with accountability mechanisms to avoid creating ‘governments in miniature’. Accountability must be maintained through well-designed statute</w:t>
            </w:r>
            <w:r w:rsidR="00AA5D9D">
              <w:t>s</w:t>
            </w:r>
            <w:r w:rsidRPr="001D458E">
              <w:t>, including executive oversight and powers of direction, strict procedural requirements, reporting mechanisms, public consultation and substantive judicial review.</w:t>
            </w:r>
          </w:p>
          <w:p w14:paraId="380BB585" w14:textId="77777777" w:rsidR="008D0572" w:rsidRPr="001D458E" w:rsidRDefault="008D0572" w:rsidP="008D0572">
            <w:pPr>
              <w:pStyle w:val="NoSpacing"/>
            </w:pPr>
          </w:p>
          <w:p w14:paraId="343F7048" w14:textId="77777777" w:rsidR="008D0572" w:rsidRDefault="008D0572" w:rsidP="008D0572">
            <w:pPr>
              <w:pStyle w:val="NoSpacing"/>
              <w:rPr>
                <w:lang w:eastAsia="ja-JP"/>
              </w:rPr>
            </w:pPr>
            <w:r w:rsidRPr="001D458E">
              <w:rPr>
                <w:b/>
                <w:bCs/>
              </w:rPr>
              <w:t>Independent regulators may contribute to the fragmentation of governmental policies and actions,</w:t>
            </w:r>
            <w:r w:rsidRPr="001D458E">
              <w:t xml:space="preserve"> in particular in the case of competition policy. As sectors restructure and become more competitive, sector-specific issues become less important vis-à-vis general competition issues. But inertia and resistance from the regulator is likely to impede transfers of power to the overarching competition regulator. Weaknesses in the judiciary and/or legislative branch also have an impact on the overall performance of the independent regulators.</w:t>
            </w:r>
          </w:p>
          <w:p w14:paraId="00C34025" w14:textId="77777777" w:rsidR="008D0572" w:rsidRPr="00AB15D3" w:rsidRDefault="008D0572" w:rsidP="008D0572">
            <w:pPr>
              <w:pStyle w:val="NoSpacing"/>
              <w:rPr>
                <w:lang w:eastAsia="ja-JP"/>
              </w:rPr>
            </w:pPr>
          </w:p>
        </w:tc>
      </w:tr>
    </w:tbl>
    <w:p w14:paraId="23922611" w14:textId="77777777" w:rsidR="008D0572" w:rsidRPr="001D458E" w:rsidRDefault="008D0572" w:rsidP="008D0572">
      <w:pPr>
        <w:ind w:firstLine="284"/>
        <w:rPr>
          <w:lang w:eastAsia="ja-JP"/>
        </w:rPr>
      </w:pPr>
    </w:p>
    <w:p w14:paraId="38CB1D50" w14:textId="526CDB7F" w:rsidR="008D0572" w:rsidRPr="001D458E" w:rsidRDefault="008D0572" w:rsidP="001F0520">
      <w:pPr>
        <w:ind w:firstLine="284"/>
        <w:rPr>
          <w:lang w:eastAsia="ja-JP"/>
        </w:rPr>
      </w:pPr>
      <w:r w:rsidRPr="001D458E">
        <w:rPr>
          <w:rFonts w:hint="eastAsia"/>
          <w:lang w:eastAsia="ja-JP"/>
        </w:rPr>
        <w:t xml:space="preserve">The case of creating </w:t>
      </w:r>
      <w:r w:rsidRPr="001D458E">
        <w:rPr>
          <w:lang w:eastAsia="ja-JP"/>
        </w:rPr>
        <w:t xml:space="preserve">an </w:t>
      </w:r>
      <w:r w:rsidRPr="001D458E">
        <w:rPr>
          <w:rFonts w:hint="eastAsia"/>
          <w:lang w:eastAsia="ja-JP"/>
        </w:rPr>
        <w:t xml:space="preserve">independent ICT regulator is an example that a traditional structure </w:t>
      </w:r>
      <w:r w:rsidRPr="001F0520">
        <w:rPr>
          <w:lang w:eastAsia="ja-JP"/>
        </w:rPr>
        <w:t>significantly contributed to a</w:t>
      </w:r>
      <w:r w:rsidR="001F0520">
        <w:rPr>
          <w:lang w:eastAsia="ja-JP"/>
        </w:rPr>
        <w:t>n</w:t>
      </w:r>
      <w:r w:rsidRPr="001F0520">
        <w:rPr>
          <w:lang w:eastAsia="ja-JP"/>
        </w:rPr>
        <w:t xml:space="preserve"> </w:t>
      </w:r>
      <w:r w:rsidR="001F0520">
        <w:rPr>
          <w:lang w:eastAsia="ja-JP"/>
        </w:rPr>
        <w:t>unusual</w:t>
      </w:r>
      <w:r w:rsidRPr="001F0520">
        <w:rPr>
          <w:lang w:eastAsia="ja-JP"/>
        </w:rPr>
        <w:t xml:space="preserve"> outcome. The abolition of US style independent commissions</w:t>
      </w:r>
      <w:r w:rsidRPr="001D458E">
        <w:rPr>
          <w:lang w:eastAsia="ja-JP"/>
        </w:rPr>
        <w:t xml:space="preserve"> has</w:t>
      </w:r>
      <w:r w:rsidRPr="001D458E">
        <w:rPr>
          <w:rFonts w:hint="eastAsia"/>
          <w:lang w:eastAsia="ja-JP"/>
        </w:rPr>
        <w:t xml:space="preserve"> significantly impacted on</w:t>
      </w:r>
      <w:r w:rsidRPr="001D458E">
        <w:rPr>
          <w:lang w:eastAsia="ja-JP"/>
        </w:rPr>
        <w:t xml:space="preserve"> the core executive’s perspective </w:t>
      </w:r>
      <w:r w:rsidR="00557AA4">
        <w:rPr>
          <w:rFonts w:eastAsia="MS Mincho" w:hint="eastAsia"/>
          <w:lang w:eastAsia="ja-JP"/>
        </w:rPr>
        <w:t>on an</w:t>
      </w:r>
      <w:r w:rsidRPr="001D458E">
        <w:rPr>
          <w:lang w:eastAsia="ja-JP"/>
        </w:rPr>
        <w:t xml:space="preserve"> independent regulator. The institutional </w:t>
      </w:r>
      <w:r w:rsidRPr="001D458E">
        <w:rPr>
          <w:rFonts w:hint="eastAsia"/>
          <w:lang w:eastAsia="ja-JP"/>
        </w:rPr>
        <w:t>characteristics</w:t>
      </w:r>
      <w:r w:rsidRPr="001D458E">
        <w:rPr>
          <w:lang w:eastAsia="ja-JP"/>
        </w:rPr>
        <w:t xml:space="preserve"> </w:t>
      </w:r>
      <w:r w:rsidRPr="001D458E">
        <w:rPr>
          <w:rFonts w:hint="eastAsia"/>
          <w:lang w:eastAsia="ja-JP"/>
        </w:rPr>
        <w:t>such as</w:t>
      </w:r>
      <w:r w:rsidRPr="001D458E">
        <w:rPr>
          <w:lang w:eastAsia="ja-JP"/>
        </w:rPr>
        <w:t xml:space="preserve"> the constitutional framework and the inflexible nature of Japanese law also </w:t>
      </w:r>
      <w:r w:rsidRPr="001D458E">
        <w:rPr>
          <w:rFonts w:hint="eastAsia"/>
          <w:lang w:eastAsia="ja-JP"/>
        </w:rPr>
        <w:t xml:space="preserve">resulted in </w:t>
      </w:r>
      <w:r w:rsidRPr="001D458E">
        <w:rPr>
          <w:lang w:eastAsia="ja-JP"/>
        </w:rPr>
        <w:t xml:space="preserve">a significant </w:t>
      </w:r>
      <w:r w:rsidRPr="001D458E">
        <w:rPr>
          <w:rFonts w:hint="eastAsia"/>
          <w:lang w:eastAsia="ja-JP"/>
        </w:rPr>
        <w:t xml:space="preserve">obstacle to </w:t>
      </w:r>
      <w:r w:rsidRPr="001D458E">
        <w:rPr>
          <w:lang w:eastAsia="ja-JP"/>
        </w:rPr>
        <w:t xml:space="preserve">an independent </w:t>
      </w:r>
      <w:r w:rsidRPr="001D458E">
        <w:rPr>
          <w:rFonts w:hint="eastAsia"/>
          <w:lang w:eastAsia="ja-JP"/>
        </w:rPr>
        <w:t xml:space="preserve">ICT </w:t>
      </w:r>
      <w:r w:rsidRPr="001D458E">
        <w:rPr>
          <w:lang w:eastAsia="ja-JP"/>
        </w:rPr>
        <w:t>regulator</w:t>
      </w:r>
      <w:r w:rsidRPr="001D458E">
        <w:rPr>
          <w:rFonts w:hint="eastAsia"/>
          <w:lang w:eastAsia="ja-JP"/>
        </w:rPr>
        <w:t xml:space="preserve">. The constitution requires </w:t>
      </w:r>
      <w:r w:rsidRPr="001D458E">
        <w:rPr>
          <w:lang w:eastAsia="ja-JP"/>
        </w:rPr>
        <w:t xml:space="preserve">all executive organisations </w:t>
      </w:r>
      <w:r w:rsidRPr="001D458E">
        <w:rPr>
          <w:rFonts w:hint="eastAsia"/>
          <w:lang w:eastAsia="ja-JP"/>
        </w:rPr>
        <w:t xml:space="preserve">to be </w:t>
      </w:r>
      <w:r w:rsidRPr="001D458E">
        <w:rPr>
          <w:lang w:eastAsia="ja-JP"/>
        </w:rPr>
        <w:t>under the supervision of the Cabinet</w:t>
      </w:r>
      <w:r w:rsidRPr="001D458E">
        <w:rPr>
          <w:rFonts w:hint="eastAsia"/>
          <w:lang w:eastAsia="ja-JP"/>
        </w:rPr>
        <w:t xml:space="preserve">. The inflexible interpretation of existing laws limits the possibility of the executive branch making policies within their own jurisdiction. It requires frequent consultations </w:t>
      </w:r>
      <w:r w:rsidR="00AA5D9D">
        <w:rPr>
          <w:lang w:eastAsia="ja-JP"/>
        </w:rPr>
        <w:t>with</w:t>
      </w:r>
      <w:r w:rsidRPr="001D458E">
        <w:rPr>
          <w:rFonts w:hint="eastAsia"/>
          <w:lang w:eastAsia="ja-JP"/>
        </w:rPr>
        <w:t xml:space="preserve"> the Diet through law amendments, which offers opportunities to party politicians to intervene in policies</w:t>
      </w:r>
      <w:r w:rsidRPr="001D458E">
        <w:rPr>
          <w:lang w:eastAsia="ja-JP"/>
        </w:rPr>
        <w:t xml:space="preserve">. </w:t>
      </w:r>
      <w:r w:rsidR="001E3E2F">
        <w:rPr>
          <w:lang w:eastAsia="ja-JP"/>
        </w:rPr>
        <w:t>Legislation as a</w:t>
      </w:r>
      <w:r w:rsidR="008A1F09">
        <w:rPr>
          <w:lang w:eastAsia="ja-JP"/>
        </w:rPr>
        <w:t xml:space="preserve"> key element of the state’s resources contributing to the asymmetric dominance of the core executive plays a significant role here</w:t>
      </w:r>
      <w:r w:rsidR="00A45135">
        <w:rPr>
          <w:lang w:eastAsia="ja-JP"/>
        </w:rPr>
        <w:t xml:space="preserve"> (Marsh et al 2001 p.248)</w:t>
      </w:r>
      <w:r w:rsidR="008A1F09">
        <w:rPr>
          <w:lang w:eastAsia="ja-JP"/>
        </w:rPr>
        <w:t xml:space="preserve">. </w:t>
      </w:r>
      <w:r w:rsidRPr="001D458E">
        <w:rPr>
          <w:lang w:eastAsia="ja-JP"/>
        </w:rPr>
        <w:t>The lack of a clear benefit of creating an independent regulator</w:t>
      </w:r>
      <w:r w:rsidRPr="001D458E">
        <w:rPr>
          <w:rFonts w:hint="eastAsia"/>
          <w:lang w:eastAsia="ja-JP"/>
        </w:rPr>
        <w:t xml:space="preserve"> to the core executive</w:t>
      </w:r>
      <w:r w:rsidRPr="001D458E">
        <w:rPr>
          <w:lang w:eastAsia="ja-JP"/>
        </w:rPr>
        <w:t xml:space="preserve">, however, could be one of the most significant reasons why Japan has not established an ICT independent regulator. No actor will be motivated to contemplate a project if its benefits are unclear. In addition, </w:t>
      </w:r>
      <w:r w:rsidRPr="001D458E">
        <w:rPr>
          <w:rFonts w:hint="eastAsia"/>
          <w:lang w:eastAsia="ja-JP"/>
        </w:rPr>
        <w:t>some interviewees revealed their concern that regulatory i</w:t>
      </w:r>
      <w:r w:rsidRPr="001D458E">
        <w:rPr>
          <w:lang w:eastAsia="ja-JP"/>
        </w:rPr>
        <w:t>n</w:t>
      </w:r>
      <w:r w:rsidRPr="001D458E">
        <w:rPr>
          <w:rFonts w:hint="eastAsia"/>
          <w:lang w:eastAsia="ja-JP"/>
        </w:rPr>
        <w:t xml:space="preserve">dependence can </w:t>
      </w:r>
      <w:r w:rsidRPr="001D458E">
        <w:rPr>
          <w:lang w:eastAsia="ja-JP"/>
        </w:rPr>
        <w:t>jeopardise</w:t>
      </w:r>
      <w:r w:rsidRPr="001D458E">
        <w:rPr>
          <w:rFonts w:hint="eastAsia"/>
          <w:lang w:eastAsia="ja-JP"/>
        </w:rPr>
        <w:t xml:space="preserve"> a close interaction between regulation and industry promotion, including the information </w:t>
      </w:r>
      <w:r w:rsidRPr="001D458E">
        <w:rPr>
          <w:lang w:eastAsia="ja-JP"/>
        </w:rPr>
        <w:t>sharing</w:t>
      </w:r>
      <w:r w:rsidRPr="001D458E">
        <w:rPr>
          <w:rFonts w:hint="eastAsia"/>
          <w:lang w:eastAsia="ja-JP"/>
        </w:rPr>
        <w:t xml:space="preserve"> </w:t>
      </w:r>
      <w:r w:rsidR="0079342F">
        <w:rPr>
          <w:lang w:eastAsia="ja-JP"/>
        </w:rPr>
        <w:t>on</w:t>
      </w:r>
      <w:r w:rsidRPr="001D458E">
        <w:rPr>
          <w:rFonts w:hint="eastAsia"/>
          <w:lang w:eastAsia="ja-JP"/>
        </w:rPr>
        <w:t xml:space="preserve"> technological development. </w:t>
      </w:r>
      <w:r w:rsidRPr="001D458E">
        <w:rPr>
          <w:lang w:eastAsia="ja-JP"/>
        </w:rPr>
        <w:t>T</w:t>
      </w:r>
      <w:r w:rsidRPr="001D458E">
        <w:rPr>
          <w:rFonts w:hint="eastAsia"/>
          <w:lang w:eastAsia="ja-JP"/>
        </w:rPr>
        <w:t>his concern</w:t>
      </w:r>
      <w:r w:rsidRPr="001D458E">
        <w:rPr>
          <w:lang w:eastAsia="ja-JP"/>
        </w:rPr>
        <w:t xml:space="preserve"> among elites including the business community as well as the core executive could further have </w:t>
      </w:r>
      <w:r w:rsidRPr="001D458E">
        <w:rPr>
          <w:rFonts w:hint="eastAsia"/>
          <w:lang w:eastAsia="ja-JP"/>
        </w:rPr>
        <w:t xml:space="preserve">contributed to </w:t>
      </w:r>
      <w:r w:rsidRPr="001D458E">
        <w:rPr>
          <w:lang w:eastAsia="ja-JP"/>
        </w:rPr>
        <w:t xml:space="preserve">a negative </w:t>
      </w:r>
      <w:r w:rsidRPr="001D458E">
        <w:rPr>
          <w:rFonts w:hint="eastAsia"/>
          <w:lang w:eastAsia="ja-JP"/>
        </w:rPr>
        <w:t>view to</w:t>
      </w:r>
      <w:r w:rsidRPr="001D458E">
        <w:rPr>
          <w:lang w:eastAsia="ja-JP"/>
        </w:rPr>
        <w:t xml:space="preserve">wards </w:t>
      </w:r>
      <w:r w:rsidRPr="001D458E">
        <w:rPr>
          <w:rFonts w:hint="eastAsia"/>
          <w:lang w:eastAsia="ja-JP"/>
        </w:rPr>
        <w:t xml:space="preserve">an independent </w:t>
      </w:r>
      <w:r w:rsidRPr="001D458E">
        <w:rPr>
          <w:lang w:eastAsia="ja-JP"/>
        </w:rPr>
        <w:t>ICT regulator.</w:t>
      </w:r>
    </w:p>
    <w:p w14:paraId="6330564F" w14:textId="77777777" w:rsidR="008D0572" w:rsidRPr="001D458E" w:rsidRDefault="008D0572" w:rsidP="00A45135">
      <w:pPr>
        <w:ind w:firstLineChars="122" w:firstLine="277"/>
        <w:rPr>
          <w:lang w:eastAsia="ja-JP"/>
        </w:rPr>
      </w:pPr>
      <w:r w:rsidRPr="001D458E">
        <w:rPr>
          <w:lang w:eastAsia="ja-JP"/>
        </w:rPr>
        <w:t xml:space="preserve">What has influenced </w:t>
      </w:r>
      <w:r w:rsidR="005F53AE">
        <w:rPr>
          <w:lang w:eastAsia="ja-JP"/>
        </w:rPr>
        <w:t xml:space="preserve">the choice of </w:t>
      </w:r>
      <w:r w:rsidRPr="001D458E">
        <w:rPr>
          <w:lang w:eastAsia="ja-JP"/>
        </w:rPr>
        <w:t xml:space="preserve">a ministerial regulator is Japan’s political tradition rather than power relations within the core executive. The core executive actors </w:t>
      </w:r>
      <w:r w:rsidR="005F53AE" w:rsidRPr="001D458E">
        <w:rPr>
          <w:lang w:eastAsia="ja-JP"/>
        </w:rPr>
        <w:t>ha</w:t>
      </w:r>
      <w:r w:rsidR="00A45135">
        <w:rPr>
          <w:lang w:eastAsia="ja-JP"/>
        </w:rPr>
        <w:t>ve</w:t>
      </w:r>
      <w:r w:rsidR="005F53AE" w:rsidRPr="001D458E">
        <w:rPr>
          <w:lang w:eastAsia="ja-JP"/>
        </w:rPr>
        <w:t xml:space="preserve"> </w:t>
      </w:r>
      <w:r w:rsidRPr="001D458E">
        <w:rPr>
          <w:lang w:eastAsia="ja-JP"/>
        </w:rPr>
        <w:t xml:space="preserve">collectively chosen to retain </w:t>
      </w:r>
      <w:r w:rsidR="00AA5D9D">
        <w:rPr>
          <w:lang w:eastAsia="ja-JP"/>
        </w:rPr>
        <w:t>their</w:t>
      </w:r>
      <w:r w:rsidRPr="001D458E">
        <w:rPr>
          <w:lang w:eastAsia="ja-JP"/>
        </w:rPr>
        <w:t xml:space="preserve"> regulatory functions within the government ministry. It can be an example that no endogenous incentive to change has emerged within the core executive. The disjuncture </w:t>
      </w:r>
      <w:r w:rsidR="005F53AE">
        <w:rPr>
          <w:lang w:eastAsia="ja-JP"/>
        </w:rPr>
        <w:t>following</w:t>
      </w:r>
      <w:r w:rsidR="005F53AE" w:rsidRPr="001D458E">
        <w:rPr>
          <w:lang w:eastAsia="ja-JP"/>
        </w:rPr>
        <w:t xml:space="preserve"> </w:t>
      </w:r>
      <w:r w:rsidRPr="001D458E">
        <w:rPr>
          <w:lang w:eastAsia="ja-JP"/>
        </w:rPr>
        <w:t xml:space="preserve">privatisation in 1985 did not offer an opportunity to debate about the independent implementation of regulation and the establishment of </w:t>
      </w:r>
      <w:r w:rsidR="00557AA4">
        <w:rPr>
          <w:rFonts w:eastAsia="MS Mincho" w:hint="eastAsia"/>
          <w:lang w:eastAsia="ja-JP"/>
        </w:rPr>
        <w:t>an</w:t>
      </w:r>
      <w:r w:rsidRPr="001D458E">
        <w:rPr>
          <w:lang w:eastAsia="ja-JP"/>
        </w:rPr>
        <w:t xml:space="preserve"> independent ICT regulator, </w:t>
      </w:r>
      <w:r w:rsidRPr="001D458E">
        <w:rPr>
          <w:rFonts w:hint="eastAsia"/>
          <w:lang w:eastAsia="ja-JP"/>
        </w:rPr>
        <w:t>unlike</w:t>
      </w:r>
      <w:r w:rsidRPr="001D458E">
        <w:rPr>
          <w:lang w:eastAsia="ja-JP"/>
        </w:rPr>
        <w:t xml:space="preserve"> a number of European countries. The lack of effective endogenous incentives and exogenous pressures contributed to retain the regulatory approach by a government ministry, together with Japan’s political tradition.</w:t>
      </w:r>
    </w:p>
    <w:p w14:paraId="506C0325" w14:textId="77777777" w:rsidR="008D0572" w:rsidRPr="001D458E" w:rsidRDefault="008D0572" w:rsidP="008D0572">
      <w:pPr>
        <w:ind w:firstLine="284"/>
        <w:rPr>
          <w:lang w:eastAsia="ja-JP"/>
        </w:rPr>
      </w:pPr>
      <w:r w:rsidRPr="001D458E">
        <w:rPr>
          <w:rFonts w:hint="eastAsia"/>
          <w:lang w:eastAsia="ja-JP"/>
        </w:rPr>
        <w:t xml:space="preserve">Whether or not this </w:t>
      </w:r>
      <w:r w:rsidRPr="001D458E">
        <w:rPr>
          <w:lang w:eastAsia="ja-JP"/>
        </w:rPr>
        <w:t xml:space="preserve">negative </w:t>
      </w:r>
      <w:r w:rsidRPr="001D458E">
        <w:rPr>
          <w:rFonts w:hint="eastAsia"/>
          <w:lang w:eastAsia="ja-JP"/>
        </w:rPr>
        <w:t>view</w:t>
      </w:r>
      <w:r w:rsidRPr="001D458E">
        <w:rPr>
          <w:lang w:eastAsia="ja-JP"/>
        </w:rPr>
        <w:t xml:space="preserve"> to an </w:t>
      </w:r>
      <w:r w:rsidRPr="001D458E">
        <w:rPr>
          <w:rFonts w:hint="eastAsia"/>
          <w:lang w:eastAsia="ja-JP"/>
        </w:rPr>
        <w:t xml:space="preserve">independent </w:t>
      </w:r>
      <w:r w:rsidRPr="001D458E">
        <w:rPr>
          <w:lang w:eastAsia="ja-JP"/>
        </w:rPr>
        <w:t xml:space="preserve">ICT regulator </w:t>
      </w:r>
      <w:r w:rsidRPr="001D458E">
        <w:rPr>
          <w:rFonts w:hint="eastAsia"/>
          <w:lang w:eastAsia="ja-JP"/>
        </w:rPr>
        <w:t xml:space="preserve">has affected the capacity of regulation in the ICT sector is a different question. The next section explores </w:t>
      </w:r>
      <w:r w:rsidR="00AA5D9D">
        <w:rPr>
          <w:lang w:eastAsia="ja-JP"/>
        </w:rPr>
        <w:t xml:space="preserve">the </w:t>
      </w:r>
      <w:r w:rsidRPr="001D458E">
        <w:rPr>
          <w:rFonts w:hint="eastAsia"/>
          <w:lang w:eastAsia="ja-JP"/>
        </w:rPr>
        <w:t xml:space="preserve">capacity of the </w:t>
      </w:r>
      <w:r w:rsidRPr="001D458E">
        <w:rPr>
          <w:lang w:eastAsia="ja-JP"/>
        </w:rPr>
        <w:t xml:space="preserve">ICT </w:t>
      </w:r>
      <w:r w:rsidRPr="001D458E">
        <w:rPr>
          <w:rFonts w:hint="eastAsia"/>
          <w:lang w:eastAsia="ja-JP"/>
        </w:rPr>
        <w:t>regulator</w:t>
      </w:r>
      <w:r w:rsidR="00AA5D9D">
        <w:rPr>
          <w:lang w:eastAsia="ja-JP"/>
        </w:rPr>
        <w:t xml:space="preserve"> </w:t>
      </w:r>
      <w:r w:rsidRPr="001D458E">
        <w:rPr>
          <w:rFonts w:hint="eastAsia"/>
          <w:lang w:eastAsia="ja-JP"/>
        </w:rPr>
        <w:t>and how it has been transformed.</w:t>
      </w:r>
    </w:p>
    <w:p w14:paraId="5AC1723D" w14:textId="77777777" w:rsidR="008D0572" w:rsidRPr="001D458E" w:rsidRDefault="008D0572" w:rsidP="008D0572">
      <w:pPr>
        <w:rPr>
          <w:lang w:eastAsia="ja-JP"/>
        </w:rPr>
      </w:pPr>
    </w:p>
    <w:p w14:paraId="4A487928" w14:textId="77777777" w:rsidR="008D0572" w:rsidRPr="001D458E" w:rsidRDefault="008D0572" w:rsidP="008D0572">
      <w:pPr>
        <w:rPr>
          <w:lang w:eastAsia="ja-JP"/>
        </w:rPr>
      </w:pPr>
    </w:p>
    <w:p w14:paraId="595CDC0E" w14:textId="77777777" w:rsidR="008D0572" w:rsidRPr="001D458E" w:rsidRDefault="008D0572" w:rsidP="00DA2E02">
      <w:pPr>
        <w:pStyle w:val="Heading2"/>
      </w:pPr>
      <w:bookmarkStart w:id="53" w:name="_Toc349741375"/>
      <w:r w:rsidRPr="001D458E">
        <w:t>5.5</w:t>
      </w:r>
      <w:r w:rsidRPr="001D458E">
        <w:tab/>
        <w:t xml:space="preserve">Hollowing out or </w:t>
      </w:r>
      <w:r>
        <w:rPr>
          <w:rFonts w:eastAsiaTheme="minorEastAsia" w:hint="eastAsia"/>
          <w:lang w:eastAsia="ja-JP"/>
        </w:rPr>
        <w:t>r</w:t>
      </w:r>
      <w:r w:rsidRPr="001D458E">
        <w:t xml:space="preserve">econstituted? The </w:t>
      </w:r>
      <w:r>
        <w:rPr>
          <w:rFonts w:eastAsiaTheme="minorEastAsia" w:hint="eastAsia"/>
          <w:lang w:eastAsia="ja-JP"/>
        </w:rPr>
        <w:t>c</w:t>
      </w:r>
      <w:r w:rsidRPr="001D458E">
        <w:t xml:space="preserve">apacity of the </w:t>
      </w:r>
      <w:r>
        <w:rPr>
          <w:rFonts w:eastAsiaTheme="minorEastAsia" w:hint="eastAsia"/>
          <w:lang w:eastAsia="ja-JP"/>
        </w:rPr>
        <w:t>c</w:t>
      </w:r>
      <w:r w:rsidRPr="001D458E">
        <w:t xml:space="preserve">ore </w:t>
      </w:r>
      <w:r>
        <w:rPr>
          <w:rFonts w:eastAsiaTheme="minorEastAsia" w:hint="eastAsia"/>
          <w:lang w:eastAsia="ja-JP"/>
        </w:rPr>
        <w:t>e</w:t>
      </w:r>
      <w:r w:rsidRPr="001D458E">
        <w:t>xecutive</w:t>
      </w:r>
      <w:bookmarkEnd w:id="53"/>
    </w:p>
    <w:p w14:paraId="5A72EDD6" w14:textId="77777777" w:rsidR="008D0572" w:rsidRPr="001D458E" w:rsidRDefault="008D0572" w:rsidP="003D37FD">
      <w:r w:rsidRPr="001D458E">
        <w:t xml:space="preserve">Capacity is a significant element through which how a state has been transformed can be observed. </w:t>
      </w:r>
      <w:r w:rsidR="003D37FD">
        <w:t xml:space="preserve">The </w:t>
      </w:r>
      <w:r w:rsidR="003D37FD" w:rsidRPr="008F440D">
        <w:t xml:space="preserve">transformation of regulatory capacity offers a clue </w:t>
      </w:r>
      <w:r w:rsidR="00AA5D9D">
        <w:t>on</w:t>
      </w:r>
      <w:r w:rsidR="003D37FD" w:rsidRPr="008F440D">
        <w:t xml:space="preserve"> how a regulatory state has been shaped can be</w:t>
      </w:r>
      <w:r w:rsidR="003D37FD">
        <w:t xml:space="preserve"> examined. </w:t>
      </w:r>
      <w:r w:rsidRPr="001D458E">
        <w:t xml:space="preserve">In relation to </w:t>
      </w:r>
      <w:r w:rsidRPr="001D458E">
        <w:rPr>
          <w:rFonts w:hint="eastAsia"/>
        </w:rPr>
        <w:t xml:space="preserve">the capacity of the ICT regulator, most interviews focused on </w:t>
      </w:r>
      <w:r w:rsidR="005F53AE">
        <w:t xml:space="preserve">the </w:t>
      </w:r>
      <w:r w:rsidRPr="001D458E">
        <w:rPr>
          <w:rFonts w:hint="eastAsia"/>
        </w:rPr>
        <w:t>bureaucratic machine as key. Th</w:t>
      </w:r>
      <w:r w:rsidRPr="001D458E">
        <w:t>ose interviewees</w:t>
      </w:r>
      <w:r w:rsidRPr="001D458E">
        <w:rPr>
          <w:rFonts w:hint="eastAsia"/>
        </w:rPr>
        <w:t xml:space="preserve"> expected another </w:t>
      </w:r>
      <w:r w:rsidRPr="001D458E">
        <w:t>core executive actor</w:t>
      </w:r>
      <w:r w:rsidRPr="001D458E">
        <w:rPr>
          <w:rFonts w:hint="eastAsia"/>
        </w:rPr>
        <w:t>, party politicians</w:t>
      </w:r>
      <w:r w:rsidRPr="001D458E">
        <w:t>,</w:t>
      </w:r>
      <w:r w:rsidRPr="001D458E">
        <w:rPr>
          <w:rFonts w:hint="eastAsia"/>
        </w:rPr>
        <w:t xml:space="preserve"> to steer </w:t>
      </w:r>
      <w:r w:rsidRPr="001D458E">
        <w:t>the</w:t>
      </w:r>
      <w:r w:rsidRPr="001D458E">
        <w:rPr>
          <w:rFonts w:hint="eastAsia"/>
        </w:rPr>
        <w:t xml:space="preserve"> machine. O</w:t>
      </w:r>
      <w:r w:rsidRPr="001D458E">
        <w:t xml:space="preserve">nly a </w:t>
      </w:r>
      <w:r w:rsidRPr="001D458E">
        <w:rPr>
          <w:rFonts w:hint="eastAsia"/>
        </w:rPr>
        <w:t xml:space="preserve">few referred to the external factors such as the relationship with the ICT sector. </w:t>
      </w:r>
      <w:r w:rsidRPr="001D458E">
        <w:t>The issue of the extent to which regulatory capacity has been transformed is conte</w:t>
      </w:r>
      <w:r w:rsidRPr="001D458E">
        <w:rPr>
          <w:rFonts w:hint="eastAsia"/>
        </w:rPr>
        <w:t>sted</w:t>
      </w:r>
      <w:r w:rsidRPr="001D458E">
        <w:t xml:space="preserve">. </w:t>
      </w:r>
      <w:r w:rsidRPr="001D458E">
        <w:rPr>
          <w:rFonts w:hint="eastAsia"/>
        </w:rPr>
        <w:t xml:space="preserve">Although Vogel (1996 p.161-63) describes the privatisation of the NTT and the emergence of the MPT as a significant impact, it can also be understood as a decline </w:t>
      </w:r>
      <w:r w:rsidR="00AA5D9D">
        <w:t>in</w:t>
      </w:r>
      <w:r w:rsidRPr="001D458E">
        <w:rPr>
          <w:rFonts w:hint="eastAsia"/>
        </w:rPr>
        <w:t xml:space="preserve"> the capacity of the </w:t>
      </w:r>
      <w:r w:rsidRPr="001D458E">
        <w:t>Japanese</w:t>
      </w:r>
      <w:r w:rsidRPr="001D458E">
        <w:rPr>
          <w:rFonts w:hint="eastAsia"/>
        </w:rPr>
        <w:t xml:space="preserve"> state: the whole telecommunication management function of the state was </w:t>
      </w:r>
      <w:r w:rsidRPr="001D458E">
        <w:t>transferred</w:t>
      </w:r>
      <w:r w:rsidRPr="001D458E">
        <w:rPr>
          <w:rFonts w:hint="eastAsia"/>
        </w:rPr>
        <w:t xml:space="preserve"> to the private sector. Taking account of the significant power of the NTT as a public corporation before privatisation, the growing power of the MPT can be d</w:t>
      </w:r>
      <w:r w:rsidRPr="001D458E">
        <w:t xml:space="preserve">epicted </w:t>
      </w:r>
      <w:r w:rsidRPr="001D458E">
        <w:rPr>
          <w:rFonts w:hint="eastAsia"/>
        </w:rPr>
        <w:t xml:space="preserve">as a form of resurgence of the state through filling the gap created by privatisation. </w:t>
      </w:r>
      <w:r w:rsidRPr="001D458E">
        <w:t>W</w:t>
      </w:r>
      <w:r w:rsidRPr="001D458E">
        <w:rPr>
          <w:rFonts w:hint="eastAsia"/>
        </w:rPr>
        <w:t xml:space="preserve">hat </w:t>
      </w:r>
      <w:r w:rsidRPr="001D458E">
        <w:t xml:space="preserve">followed </w:t>
      </w:r>
      <w:r w:rsidRPr="001D458E">
        <w:rPr>
          <w:rFonts w:hint="eastAsia"/>
        </w:rPr>
        <w:t xml:space="preserve">was the reduction of </w:t>
      </w:r>
      <w:r w:rsidRPr="001D458E">
        <w:t xml:space="preserve">the </w:t>
      </w:r>
      <w:r w:rsidRPr="001D458E">
        <w:rPr>
          <w:rFonts w:hint="eastAsia"/>
        </w:rPr>
        <w:t>MPT</w:t>
      </w:r>
      <w:r w:rsidRPr="001D458E">
        <w:t>’</w:t>
      </w:r>
      <w:r w:rsidRPr="001D458E">
        <w:rPr>
          <w:rFonts w:hint="eastAsia"/>
        </w:rPr>
        <w:t xml:space="preserve">s statutory </w:t>
      </w:r>
      <w:r w:rsidRPr="001D458E">
        <w:t>authority</w:t>
      </w:r>
      <w:r w:rsidRPr="001D458E">
        <w:rPr>
          <w:rFonts w:hint="eastAsia"/>
        </w:rPr>
        <w:t xml:space="preserve"> as deregulation stripped ex ante regulation.</w:t>
      </w:r>
    </w:p>
    <w:p w14:paraId="061B020A" w14:textId="744E6F04" w:rsidR="008D0572" w:rsidRPr="001D458E" w:rsidRDefault="008A49DA" w:rsidP="008D0572">
      <w:pPr>
        <w:ind w:firstLine="284"/>
      </w:pPr>
      <w:r>
        <w:t>In interview the regulator’s capacity was</w:t>
      </w:r>
      <w:r w:rsidR="008D0572" w:rsidRPr="001D458E">
        <w:rPr>
          <w:rFonts w:hint="eastAsia"/>
        </w:rPr>
        <w:t xml:space="preserve"> regarded as the responsible government ministry</w:t>
      </w:r>
      <w:r>
        <w:t>’s</w:t>
      </w:r>
      <w:r w:rsidR="008D0572" w:rsidRPr="001D458E">
        <w:rPr>
          <w:rFonts w:hint="eastAsia"/>
        </w:rPr>
        <w:t xml:space="preserve"> (MPT/MIC). </w:t>
      </w:r>
      <w:r w:rsidR="008D0572" w:rsidRPr="001D458E">
        <w:t>A</w:t>
      </w:r>
      <w:r w:rsidR="008D0572" w:rsidRPr="001D458E">
        <w:rPr>
          <w:rFonts w:hint="eastAsia"/>
        </w:rPr>
        <w:t xml:space="preserve"> number of interviewees emphasised the development of the MPT/MIC</w:t>
      </w:r>
      <w:r w:rsidR="008D0572" w:rsidRPr="001D458E">
        <w:t>’</w:t>
      </w:r>
      <w:r w:rsidR="008D0572" w:rsidRPr="001D458E">
        <w:rPr>
          <w:rFonts w:hint="eastAsia"/>
        </w:rPr>
        <w:t>s capacity after NTT privatisation:</w:t>
      </w:r>
    </w:p>
    <w:p w14:paraId="5529DE32" w14:textId="77777777" w:rsidR="008D0572" w:rsidRPr="001D458E" w:rsidRDefault="008D0572" w:rsidP="008D0572"/>
    <w:p w14:paraId="423E1694" w14:textId="77777777" w:rsidR="008D0572" w:rsidRPr="001D458E" w:rsidRDefault="008D0572" w:rsidP="008D0572">
      <w:pPr>
        <w:pStyle w:val="Quote"/>
      </w:pPr>
      <w:r w:rsidRPr="001D458E">
        <w:t>The</w:t>
      </w:r>
      <w:r w:rsidRPr="001D458E">
        <w:rPr>
          <w:rFonts w:hint="eastAsia"/>
        </w:rPr>
        <w:t xml:space="preserve"> regulator has </w:t>
      </w:r>
      <w:r w:rsidR="00AA5D9D">
        <w:t>a</w:t>
      </w:r>
      <w:r w:rsidRPr="001D458E">
        <w:t xml:space="preserve"> </w:t>
      </w:r>
      <w:r w:rsidRPr="001D458E">
        <w:rPr>
          <w:rFonts w:hint="eastAsia"/>
        </w:rPr>
        <w:t>sufficient number and quality of staff. In the past, they had to ask the NTT, and before that, the NTT sent their officials when it was a public corporation, but it</w:t>
      </w:r>
      <w:r w:rsidRPr="001D458E">
        <w:t>’</w:t>
      </w:r>
      <w:r w:rsidRPr="001D458E">
        <w:rPr>
          <w:rFonts w:hint="eastAsia"/>
        </w:rPr>
        <w:t>s not the case now. The MIC has obtained clear responsibilities including dispute settlement through law amendments and developed its own staff, so it</w:t>
      </w:r>
      <w:r w:rsidRPr="001D458E">
        <w:t>’</w:t>
      </w:r>
      <w:r w:rsidRPr="001D458E">
        <w:rPr>
          <w:rFonts w:hint="eastAsia"/>
        </w:rPr>
        <w:t>s competent enough to satisfy its responsibilities. (</w:t>
      </w:r>
      <w:r w:rsidR="007634ED">
        <w:t>Interview with</w:t>
      </w:r>
      <w:r w:rsidRPr="001D458E">
        <w:t xml:space="preserve"> a member of the House of Councillors (LDP)</w:t>
      </w:r>
      <w:r w:rsidRPr="001D458E">
        <w:rPr>
          <w:rFonts w:hint="eastAsia"/>
        </w:rPr>
        <w:t>)</w:t>
      </w:r>
    </w:p>
    <w:p w14:paraId="62F5139D" w14:textId="77777777" w:rsidR="008D0572" w:rsidRPr="001D458E" w:rsidRDefault="008D0572" w:rsidP="008D0572"/>
    <w:p w14:paraId="6EFE64CB" w14:textId="77777777" w:rsidR="008D0572" w:rsidRPr="001D458E" w:rsidRDefault="008D0572" w:rsidP="008D0572">
      <w:r w:rsidRPr="001D458E">
        <w:rPr>
          <w:rFonts w:hint="eastAsia"/>
        </w:rPr>
        <w:t xml:space="preserve">What emerges here is the </w:t>
      </w:r>
      <w:r w:rsidR="005F53AE">
        <w:t>depiction</w:t>
      </w:r>
      <w:r w:rsidR="005F53AE" w:rsidRPr="001D458E">
        <w:rPr>
          <w:rFonts w:hint="eastAsia"/>
        </w:rPr>
        <w:t xml:space="preserve"> </w:t>
      </w:r>
      <w:r w:rsidRPr="001D458E">
        <w:rPr>
          <w:rFonts w:hint="eastAsia"/>
        </w:rPr>
        <w:t>of how the responsible government ministry (MPT/MIC) has been developed</w:t>
      </w:r>
      <w:r w:rsidRPr="001D458E">
        <w:t xml:space="preserve"> based on </w:t>
      </w:r>
      <w:r w:rsidRPr="001D458E">
        <w:rPr>
          <w:rFonts w:hint="eastAsia"/>
        </w:rPr>
        <w:t>the</w:t>
      </w:r>
      <w:r w:rsidRPr="001D458E">
        <w:t xml:space="preserve"> understanding that it represented the regulatory state capacity. This view </w:t>
      </w:r>
      <w:r w:rsidRPr="001D458E">
        <w:rPr>
          <w:rFonts w:hint="eastAsia"/>
        </w:rPr>
        <w:t>was shared by a retired senior civil servant</w:t>
      </w:r>
      <w:r w:rsidRPr="001D458E">
        <w:t xml:space="preserve"> highlighting the organisational growth of the ministry</w:t>
      </w:r>
      <w:r w:rsidRPr="001D458E">
        <w:rPr>
          <w:rFonts w:hint="eastAsia"/>
        </w:rPr>
        <w:t>:</w:t>
      </w:r>
    </w:p>
    <w:p w14:paraId="306DBC21" w14:textId="77777777" w:rsidR="008D0572" w:rsidRPr="001D458E" w:rsidRDefault="008D0572" w:rsidP="008D0572"/>
    <w:p w14:paraId="7CD7058B" w14:textId="0005DC1A" w:rsidR="008D0572" w:rsidRPr="001D458E" w:rsidRDefault="008D0572" w:rsidP="008D0572">
      <w:pPr>
        <w:pStyle w:val="Quote"/>
      </w:pPr>
      <w:r w:rsidRPr="001D458E">
        <w:rPr>
          <w:rFonts w:hint="eastAsia"/>
        </w:rPr>
        <w:t xml:space="preserve">communications liberalisation, through </w:t>
      </w:r>
      <w:r w:rsidRPr="001D458E">
        <w:t>NTT</w:t>
      </w:r>
      <w:r w:rsidRPr="001D458E">
        <w:rPr>
          <w:rFonts w:hint="eastAsia"/>
        </w:rPr>
        <w:t xml:space="preserve"> breakup (reorganisation), has significantly enhanced </w:t>
      </w:r>
      <w:r w:rsidRPr="001D458E">
        <w:t>the MPT’s role</w:t>
      </w:r>
      <w:r w:rsidRPr="001D458E">
        <w:rPr>
          <w:rFonts w:hint="eastAsia"/>
        </w:rPr>
        <w:t xml:space="preserve"> as a regulator</w:t>
      </w:r>
      <w:r w:rsidRPr="001D458E">
        <w:t xml:space="preserve"> f</w:t>
      </w:r>
      <w:r w:rsidRPr="001D458E">
        <w:rPr>
          <w:rFonts w:hint="eastAsia"/>
        </w:rPr>
        <w:t xml:space="preserve">rom 1985 to 2000, </w:t>
      </w:r>
      <w:r w:rsidRPr="001D458E">
        <w:t>for</w:t>
      </w:r>
      <w:r w:rsidRPr="001D458E">
        <w:rPr>
          <w:rFonts w:hint="eastAsia"/>
        </w:rPr>
        <w:t xml:space="preserve"> fifteen years, if compare</w:t>
      </w:r>
      <w:r w:rsidRPr="001D458E">
        <w:t>d</w:t>
      </w:r>
      <w:r w:rsidRPr="001D458E">
        <w:rPr>
          <w:rFonts w:hint="eastAsia"/>
        </w:rPr>
        <w:t xml:space="preserve"> with the Telecommunications Inspectorate. Such a rapid enhancement enabled three </w:t>
      </w:r>
      <w:r w:rsidRPr="001D458E">
        <w:t>bureau</w:t>
      </w:r>
      <w:r w:rsidRPr="001D458E">
        <w:rPr>
          <w:rFonts w:hint="eastAsia"/>
        </w:rPr>
        <w:t xml:space="preserve">s to be left in the ministry </w:t>
      </w:r>
      <w:r w:rsidRPr="001D458E">
        <w:t xml:space="preserve">(MIC) </w:t>
      </w:r>
      <w:r w:rsidRPr="001D458E">
        <w:rPr>
          <w:rFonts w:hint="eastAsia"/>
        </w:rPr>
        <w:t xml:space="preserve">after post office privatisation, which stripped postal services from the ministry.  </w:t>
      </w:r>
      <w:r w:rsidRPr="001D458E">
        <w:t>The ministry’s</w:t>
      </w:r>
      <w:r w:rsidRPr="001D458E">
        <w:rPr>
          <w:rFonts w:hint="eastAsia"/>
        </w:rPr>
        <w:t xml:space="preserve"> regulatory power has been strengthened </w:t>
      </w:r>
      <w:r w:rsidR="007805B5">
        <w:t>by</w:t>
      </w:r>
      <w:r w:rsidRPr="001D458E">
        <w:rPr>
          <w:rFonts w:hint="eastAsia"/>
        </w:rPr>
        <w:t xml:space="preserve"> such a meaning. (</w:t>
      </w:r>
      <w:r w:rsidR="007634ED">
        <w:rPr>
          <w:rFonts w:hint="eastAsia"/>
        </w:rPr>
        <w:t>Interview with</w:t>
      </w:r>
      <w:r w:rsidRPr="001D458E">
        <w:rPr>
          <w:rFonts w:hint="eastAsia"/>
        </w:rPr>
        <w:t xml:space="preserve"> a retired senior civil </w:t>
      </w:r>
      <w:r w:rsidRPr="001D458E">
        <w:t>servant</w:t>
      </w:r>
      <w:r w:rsidRPr="001D458E">
        <w:rPr>
          <w:rFonts w:hint="eastAsia"/>
        </w:rPr>
        <w:t>)</w:t>
      </w:r>
    </w:p>
    <w:p w14:paraId="5FFC913E" w14:textId="77777777" w:rsidR="008D0572" w:rsidRPr="001D458E" w:rsidRDefault="008D0572" w:rsidP="008D0572"/>
    <w:p w14:paraId="775CD927" w14:textId="77777777" w:rsidR="008D0572" w:rsidRPr="001D458E" w:rsidRDefault="008D0572" w:rsidP="008D0572">
      <w:r w:rsidRPr="001D458E">
        <w:t>Elsewhere, a senior</w:t>
      </w:r>
      <w:r w:rsidRPr="001D458E">
        <w:rPr>
          <w:rFonts w:hint="eastAsia"/>
        </w:rPr>
        <w:t xml:space="preserve"> businessman of </w:t>
      </w:r>
      <w:r w:rsidRPr="001D458E">
        <w:t>an</w:t>
      </w:r>
      <w:r w:rsidRPr="001D458E">
        <w:rPr>
          <w:rFonts w:hint="eastAsia"/>
        </w:rPr>
        <w:t xml:space="preserve"> incumbent </w:t>
      </w:r>
      <w:r w:rsidRPr="001D458E">
        <w:t xml:space="preserve">telecommunications </w:t>
      </w:r>
      <w:r w:rsidRPr="001D458E">
        <w:rPr>
          <w:rFonts w:hint="eastAsia"/>
        </w:rPr>
        <w:t xml:space="preserve">operator also </w:t>
      </w:r>
      <w:r w:rsidRPr="001D458E">
        <w:t>concurred</w:t>
      </w:r>
      <w:r w:rsidRPr="001D458E">
        <w:rPr>
          <w:rFonts w:hint="eastAsia"/>
        </w:rPr>
        <w:t xml:space="preserve"> </w:t>
      </w:r>
      <w:r w:rsidRPr="001D458E">
        <w:t xml:space="preserve">with </w:t>
      </w:r>
      <w:r w:rsidRPr="001D458E">
        <w:rPr>
          <w:rFonts w:hint="eastAsia"/>
        </w:rPr>
        <w:t>this view:</w:t>
      </w:r>
      <w:r w:rsidRPr="001D458E">
        <w:t xml:space="preserve"> ‘…</w:t>
      </w:r>
      <w:r w:rsidRPr="001D458E">
        <w:rPr>
          <w:rFonts w:hint="eastAsia"/>
        </w:rPr>
        <w:t>in my impression, the regulator has significant</w:t>
      </w:r>
      <w:r w:rsidRPr="001D458E">
        <w:t xml:space="preserve">ly become </w:t>
      </w:r>
      <w:r w:rsidRPr="001D458E">
        <w:rPr>
          <w:rFonts w:hint="eastAsia"/>
        </w:rPr>
        <w:t>competen</w:t>
      </w:r>
      <w:r w:rsidRPr="001D458E">
        <w:t>t</w:t>
      </w:r>
      <w:r w:rsidRPr="001D458E">
        <w:rPr>
          <w:rFonts w:hint="eastAsia"/>
        </w:rPr>
        <w:t xml:space="preserve"> such as various (relevant) knowledge, not compelling power</w:t>
      </w:r>
      <w:r w:rsidRPr="001D458E">
        <w:t>… (</w:t>
      </w:r>
      <w:r w:rsidRPr="001D458E">
        <w:rPr>
          <w:rFonts w:hint="eastAsia"/>
        </w:rPr>
        <w:t xml:space="preserve">the capacity of the </w:t>
      </w:r>
      <w:r w:rsidRPr="001D458E">
        <w:t>knowledge</w:t>
      </w:r>
      <w:r w:rsidRPr="001D458E">
        <w:rPr>
          <w:rFonts w:hint="eastAsia"/>
        </w:rPr>
        <w:t>) is certainly enhanced.</w:t>
      </w:r>
      <w:r w:rsidRPr="001D458E">
        <w:t>’</w:t>
      </w:r>
      <w:r w:rsidRPr="001D458E">
        <w:rPr>
          <w:rFonts w:hint="eastAsia"/>
        </w:rPr>
        <w:t xml:space="preserve"> (</w:t>
      </w:r>
      <w:r w:rsidR="007634ED">
        <w:rPr>
          <w:rFonts w:hint="eastAsia"/>
        </w:rPr>
        <w:t>Interview with</w:t>
      </w:r>
      <w:r w:rsidRPr="001D458E">
        <w:rPr>
          <w:rFonts w:hint="eastAsia"/>
        </w:rPr>
        <w:t xml:space="preserve"> </w:t>
      </w:r>
      <w:r w:rsidR="007805B5">
        <w:t>the</w:t>
      </w:r>
      <w:r w:rsidRPr="001D458E">
        <w:rPr>
          <w:rFonts w:hint="eastAsia"/>
        </w:rPr>
        <w:t xml:space="preserve"> CEO of a telecom</w:t>
      </w:r>
      <w:r w:rsidRPr="001D458E">
        <w:t>munications operator</w:t>
      </w:r>
      <w:r w:rsidRPr="001D458E">
        <w:rPr>
          <w:rFonts w:hint="eastAsia"/>
        </w:rPr>
        <w:t>)</w:t>
      </w:r>
      <w:r w:rsidR="009734AE">
        <w:t>.</w:t>
      </w:r>
    </w:p>
    <w:p w14:paraId="4003A102" w14:textId="77777777" w:rsidR="008D0572" w:rsidRPr="001D458E" w:rsidRDefault="008D0572" w:rsidP="008D0572">
      <w:pPr>
        <w:ind w:firstLine="284"/>
      </w:pPr>
      <w:r w:rsidRPr="001D458E">
        <w:t>A</w:t>
      </w:r>
      <w:r w:rsidRPr="001D458E">
        <w:rPr>
          <w:rFonts w:hint="eastAsia"/>
        </w:rPr>
        <w:t>n</w:t>
      </w:r>
      <w:r w:rsidRPr="001D458E">
        <w:t xml:space="preserve"> ex civil servant politician elaborate</w:t>
      </w:r>
      <w:r w:rsidRPr="001D458E">
        <w:rPr>
          <w:rFonts w:hint="eastAsia"/>
        </w:rPr>
        <w:t>d</w:t>
      </w:r>
      <w:r w:rsidRPr="001D458E">
        <w:t xml:space="preserve"> the detail of the bureaucratic capacity, admitting the piecemeal growth of the ministerial capacity: ‘more people (officials) are needed…I guess the ministry has been short of staff….as an organisation it needs to establish the framework in which it collects information from private firms’ (</w:t>
      </w:r>
      <w:r w:rsidR="007634ED">
        <w:t>Interview with</w:t>
      </w:r>
      <w:r w:rsidRPr="001D458E">
        <w:t xml:space="preserve"> a member of the House of Representatives</w:t>
      </w:r>
      <w:r w:rsidRPr="001D458E">
        <w:rPr>
          <w:rFonts w:hint="eastAsia"/>
        </w:rPr>
        <w:t xml:space="preserve"> (DPJ)</w:t>
      </w:r>
      <w:r w:rsidRPr="001D458E">
        <w:t xml:space="preserve">). </w:t>
      </w:r>
      <w:r w:rsidRPr="001D458E">
        <w:rPr>
          <w:rFonts w:hint="eastAsia"/>
        </w:rPr>
        <w:t>Staff shortage</w:t>
      </w:r>
      <w:r w:rsidRPr="001D458E">
        <w:t xml:space="preserve"> was </w:t>
      </w:r>
      <w:r w:rsidRPr="001D458E">
        <w:rPr>
          <w:rFonts w:hint="eastAsia"/>
        </w:rPr>
        <w:t xml:space="preserve">endorsed </w:t>
      </w:r>
      <w:r w:rsidRPr="001D458E">
        <w:t>by a civil servant: ‘the number of staff is</w:t>
      </w:r>
      <w:r w:rsidRPr="001D458E">
        <w:rPr>
          <w:rFonts w:hint="eastAsia"/>
        </w:rPr>
        <w:t>n</w:t>
      </w:r>
      <w:r w:rsidRPr="001D458E">
        <w:t>’</w:t>
      </w:r>
      <w:r w:rsidRPr="001D458E">
        <w:rPr>
          <w:rFonts w:hint="eastAsia"/>
        </w:rPr>
        <w:t>t</w:t>
      </w:r>
      <w:r w:rsidRPr="001D458E">
        <w:t xml:space="preserve"> enough’ (</w:t>
      </w:r>
      <w:r w:rsidR="007634ED">
        <w:t>Interview with</w:t>
      </w:r>
      <w:r w:rsidRPr="001D458E">
        <w:t xml:space="preserve"> a civil servant). </w:t>
      </w:r>
      <w:r w:rsidRPr="001D458E">
        <w:rPr>
          <w:rFonts w:hint="eastAsia"/>
        </w:rPr>
        <w:t>It</w:t>
      </w:r>
      <w:r w:rsidRPr="001D458E">
        <w:t xml:space="preserve"> was also pointed out </w:t>
      </w:r>
      <w:r w:rsidR="007805B5">
        <w:t xml:space="preserve">by </w:t>
      </w:r>
      <w:r w:rsidRPr="001D458E">
        <w:t xml:space="preserve">a consumer group leader, together with </w:t>
      </w:r>
      <w:r w:rsidRPr="001D458E">
        <w:rPr>
          <w:rFonts w:hint="eastAsia"/>
        </w:rPr>
        <w:t>the impact of the short tenure of civil servants:</w:t>
      </w:r>
    </w:p>
    <w:p w14:paraId="66449CAC" w14:textId="77777777" w:rsidR="008D0572" w:rsidRPr="001D458E" w:rsidRDefault="008D0572" w:rsidP="008D0572"/>
    <w:p w14:paraId="713B4F3E" w14:textId="7BD9776E" w:rsidR="008D0572" w:rsidRPr="001D458E" w:rsidRDefault="008D0572" w:rsidP="008D0572">
      <w:pPr>
        <w:pStyle w:val="Quote"/>
      </w:pPr>
      <w:r w:rsidRPr="001D458E">
        <w:t xml:space="preserve">I suggest the MIC wants more staff. And, </w:t>
      </w:r>
      <w:r w:rsidRPr="001D458E">
        <w:rPr>
          <w:rFonts w:hint="eastAsia"/>
        </w:rPr>
        <w:t xml:space="preserve">in </w:t>
      </w:r>
      <w:r w:rsidRPr="001D458E">
        <w:t>government</w:t>
      </w:r>
      <w:r w:rsidRPr="001D458E">
        <w:rPr>
          <w:rFonts w:hint="eastAsia"/>
        </w:rPr>
        <w:t xml:space="preserve"> offices outcomes heavily depend upon assigned officials</w:t>
      </w:r>
      <w:r w:rsidRPr="001D458E">
        <w:t>’ ability</w:t>
      </w:r>
      <w:r w:rsidRPr="001D458E">
        <w:rPr>
          <w:rFonts w:hint="eastAsia"/>
        </w:rPr>
        <w:t xml:space="preserve">. They leave their position after </w:t>
      </w:r>
      <w:r w:rsidR="007805B5">
        <w:t xml:space="preserve">a </w:t>
      </w:r>
      <w:r w:rsidRPr="001D458E">
        <w:rPr>
          <w:rFonts w:hint="eastAsia"/>
        </w:rPr>
        <w:t>two year tenure e</w:t>
      </w:r>
      <w:r w:rsidRPr="001D458E">
        <w:t>ven when</w:t>
      </w:r>
      <w:r w:rsidRPr="001D458E">
        <w:rPr>
          <w:rFonts w:hint="eastAsia"/>
        </w:rPr>
        <w:t xml:space="preserve"> things worked very well. Establishing </w:t>
      </w:r>
      <w:r w:rsidRPr="001D458E">
        <w:t>consistency</w:t>
      </w:r>
      <w:r w:rsidRPr="001D458E">
        <w:rPr>
          <w:rFonts w:hint="eastAsia"/>
        </w:rPr>
        <w:t xml:space="preserve"> </w:t>
      </w:r>
      <w:r w:rsidRPr="001D458E">
        <w:t>under</w:t>
      </w:r>
      <w:r w:rsidRPr="001D458E">
        <w:rPr>
          <w:rFonts w:hint="eastAsia"/>
        </w:rPr>
        <w:t xml:space="preserve"> such a system is a significant challenge</w:t>
      </w:r>
      <w:r w:rsidRPr="001D458E">
        <w:t>;</w:t>
      </w:r>
      <w:r w:rsidRPr="001D458E">
        <w:rPr>
          <w:rFonts w:hint="eastAsia"/>
        </w:rPr>
        <w:t xml:space="preserve"> most good jobs by officials aren</w:t>
      </w:r>
      <w:r w:rsidRPr="001D458E">
        <w:t>’</w:t>
      </w:r>
      <w:r w:rsidRPr="001D458E">
        <w:rPr>
          <w:rFonts w:hint="eastAsia"/>
        </w:rPr>
        <w:t xml:space="preserve">t continued and accomplished by their successors, I guess. </w:t>
      </w:r>
      <w:r w:rsidRPr="001D458E">
        <w:t>…</w:t>
      </w:r>
      <w:r w:rsidRPr="001D458E">
        <w:rPr>
          <w:rFonts w:hint="eastAsia"/>
        </w:rPr>
        <w:t>Sometimes I think it</w:t>
      </w:r>
      <w:r w:rsidRPr="001D458E">
        <w:t>’</w:t>
      </w:r>
      <w:r w:rsidRPr="001D458E">
        <w:rPr>
          <w:rFonts w:hint="eastAsia"/>
        </w:rPr>
        <w:t xml:space="preserve">s wasted. Despite their efforts, they leave when their project </w:t>
      </w:r>
      <w:r w:rsidRPr="001D458E">
        <w:t>actually</w:t>
      </w:r>
      <w:r w:rsidRPr="001D458E">
        <w:rPr>
          <w:rFonts w:hint="eastAsia"/>
        </w:rPr>
        <w:t xml:space="preserve"> start</w:t>
      </w:r>
      <w:r w:rsidRPr="001D458E">
        <w:t>s moving</w:t>
      </w:r>
      <w:r w:rsidRPr="001D458E">
        <w:rPr>
          <w:rFonts w:hint="eastAsia"/>
        </w:rPr>
        <w:t>. Two year</w:t>
      </w:r>
      <w:r w:rsidR="007805B5">
        <w:t>s</w:t>
      </w:r>
      <w:r w:rsidRPr="001D458E">
        <w:rPr>
          <w:rFonts w:hint="eastAsia"/>
        </w:rPr>
        <w:t xml:space="preserve"> is such a (short) period (to accomplish a project). </w:t>
      </w:r>
      <w:r w:rsidRPr="001D458E">
        <w:t>(</w:t>
      </w:r>
      <w:r w:rsidR="007634ED">
        <w:t>Interview with</w:t>
      </w:r>
      <w:r w:rsidRPr="001D458E">
        <w:t xml:space="preserve"> a consumer group leader)</w:t>
      </w:r>
    </w:p>
    <w:p w14:paraId="0B5BF8C9" w14:textId="77777777" w:rsidR="008D0572" w:rsidRPr="001D458E" w:rsidRDefault="008D0572" w:rsidP="008D0572"/>
    <w:p w14:paraId="6263E2DA" w14:textId="77777777" w:rsidR="008D0572" w:rsidRPr="001D458E" w:rsidRDefault="008D0572" w:rsidP="00AB2024">
      <w:pPr>
        <w:ind w:firstLine="284"/>
      </w:pPr>
      <w:r w:rsidRPr="001D458E">
        <w:t xml:space="preserve">A senior civil servant </w:t>
      </w:r>
      <w:r w:rsidRPr="001D458E">
        <w:rPr>
          <w:rFonts w:hint="eastAsia"/>
        </w:rPr>
        <w:t>offered</w:t>
      </w:r>
      <w:r w:rsidRPr="001D458E">
        <w:t xml:space="preserve"> a different view. He argued that Japan’s MIC was not so understaffed compared with its English counterpart:</w:t>
      </w:r>
    </w:p>
    <w:p w14:paraId="2D02A900" w14:textId="77777777" w:rsidR="008D0572" w:rsidRPr="001D458E" w:rsidRDefault="008D0572" w:rsidP="008D0572"/>
    <w:p w14:paraId="5A1A3CBD" w14:textId="57BCF344" w:rsidR="008D0572" w:rsidRPr="001D458E" w:rsidRDefault="008D0572" w:rsidP="008D0572">
      <w:pPr>
        <w:pStyle w:val="Quote"/>
      </w:pPr>
      <w:r w:rsidRPr="001D458E">
        <w:t xml:space="preserve">I don’t know now, but </w:t>
      </w:r>
      <w:r w:rsidRPr="001D458E">
        <w:rPr>
          <w:rFonts w:hint="eastAsia"/>
        </w:rPr>
        <w:t>Oftel</w:t>
      </w:r>
      <w:r w:rsidRPr="001D458E">
        <w:t>’</w:t>
      </w:r>
      <w:r w:rsidRPr="001D458E">
        <w:rPr>
          <w:rFonts w:hint="eastAsia"/>
        </w:rPr>
        <w:t>s personnel resource was limited when I was there (in 1993).</w:t>
      </w:r>
      <w:r w:rsidRPr="001D458E">
        <w:t xml:space="preserve"> A significant number of people were there, but most of them were in the consumers’ call centre. Th</w:t>
      </w:r>
      <w:r w:rsidRPr="001D458E">
        <w:rPr>
          <w:rFonts w:hint="eastAsia"/>
        </w:rPr>
        <w:t xml:space="preserve">ose </w:t>
      </w:r>
      <w:r w:rsidRPr="001D458E">
        <w:t xml:space="preserve">assigned </w:t>
      </w:r>
      <w:r w:rsidRPr="001D458E">
        <w:rPr>
          <w:rFonts w:hint="eastAsia"/>
        </w:rPr>
        <w:t>to</w:t>
      </w:r>
      <w:r w:rsidRPr="001D458E">
        <w:t xml:space="preserve"> regulation w</w:t>
      </w:r>
      <w:r w:rsidR="00557AA4">
        <w:rPr>
          <w:rFonts w:eastAsia="MS Mincho" w:hint="eastAsia"/>
          <w:lang w:eastAsia="ja-JP"/>
        </w:rPr>
        <w:t>ere</w:t>
      </w:r>
      <w:r w:rsidRPr="001D458E">
        <w:t xml:space="preserve"> very limited, and </w:t>
      </w:r>
      <w:r w:rsidRPr="001D458E">
        <w:rPr>
          <w:rFonts w:hint="eastAsia"/>
        </w:rPr>
        <w:t>the number</w:t>
      </w:r>
      <w:r w:rsidRPr="001D458E">
        <w:t xml:space="preserve"> of f</w:t>
      </w:r>
      <w:r w:rsidR="00C071CF">
        <w:t>a</w:t>
      </w:r>
      <w:r w:rsidRPr="001D458E">
        <w:t>st streamers was very different from th</w:t>
      </w:r>
      <w:r w:rsidRPr="001D458E">
        <w:rPr>
          <w:rFonts w:hint="eastAsia"/>
        </w:rPr>
        <w:t>at of</w:t>
      </w:r>
      <w:r w:rsidRPr="001D458E">
        <w:t xml:space="preserve"> the MPT’s Telecoms Business Department…I don’t know how Ofcom </w:t>
      </w:r>
      <w:r w:rsidR="007D6665">
        <w:t>(Office of Communications)</w:t>
      </w:r>
      <w:r w:rsidR="00CD2B85">
        <w:t xml:space="preserve"> </w:t>
      </w:r>
      <w:r w:rsidRPr="001D458E">
        <w:t>is now, but I suggest Japan’s MIC has assigned a significant number of people with a certain quality level.  (</w:t>
      </w:r>
      <w:r w:rsidR="007634ED">
        <w:t>Interview with</w:t>
      </w:r>
      <w:r w:rsidRPr="001D458E">
        <w:t xml:space="preserve"> a senior civil servant)</w:t>
      </w:r>
    </w:p>
    <w:p w14:paraId="3B991366" w14:textId="77777777" w:rsidR="008D0572" w:rsidRPr="001D458E" w:rsidRDefault="008D0572" w:rsidP="008D0572"/>
    <w:p w14:paraId="7A8A09BE" w14:textId="77777777" w:rsidR="008D0572" w:rsidRPr="001D458E" w:rsidRDefault="008D0572" w:rsidP="008D0572">
      <w:r w:rsidRPr="001D458E">
        <w:rPr>
          <w:rFonts w:hint="eastAsia"/>
        </w:rPr>
        <w:t>The official suggested that</w:t>
      </w:r>
      <w:r w:rsidR="007805B5">
        <w:rPr>
          <w:rFonts w:eastAsia="MS Mincho"/>
          <w:lang w:eastAsia="ja-JP"/>
        </w:rPr>
        <w:t xml:space="preserve"> the</w:t>
      </w:r>
      <w:r w:rsidR="00557AA4">
        <w:rPr>
          <w:rFonts w:eastAsia="MS Mincho" w:hint="eastAsia"/>
          <w:lang w:eastAsia="ja-JP"/>
        </w:rPr>
        <w:t xml:space="preserve"> capab</w:t>
      </w:r>
      <w:r w:rsidR="007805B5">
        <w:rPr>
          <w:rFonts w:eastAsia="MS Mincho"/>
          <w:lang w:eastAsia="ja-JP"/>
        </w:rPr>
        <w:t>ility</w:t>
      </w:r>
      <w:r w:rsidR="00557AA4">
        <w:rPr>
          <w:rFonts w:eastAsia="MS Mincho" w:hint="eastAsia"/>
          <w:lang w:eastAsia="ja-JP"/>
        </w:rPr>
        <w:t xml:space="preserve"> </w:t>
      </w:r>
      <w:r w:rsidR="007805B5">
        <w:rPr>
          <w:rFonts w:eastAsia="MS Mincho"/>
          <w:lang w:eastAsia="ja-JP"/>
        </w:rPr>
        <w:t xml:space="preserve">of </w:t>
      </w:r>
      <w:r w:rsidRPr="001D458E">
        <w:t xml:space="preserve">the staff in the ministry has been key: ‘in the past a significant </w:t>
      </w:r>
      <w:r w:rsidRPr="001D458E">
        <w:rPr>
          <w:rFonts w:hint="eastAsia"/>
        </w:rPr>
        <w:t>number</w:t>
      </w:r>
      <w:r w:rsidRPr="001D458E">
        <w:t xml:space="preserve"> of such people (able officials) w</w:t>
      </w:r>
      <w:r w:rsidR="007805B5">
        <w:t>ere</w:t>
      </w:r>
      <w:r w:rsidRPr="001D458E">
        <w:t xml:space="preserve"> in the civil service, I guess’ (</w:t>
      </w:r>
      <w:r w:rsidR="007634ED">
        <w:t>Interview with</w:t>
      </w:r>
      <w:r w:rsidRPr="001D458E">
        <w:t xml:space="preserve"> a senior civil servant)</w:t>
      </w:r>
      <w:r w:rsidRPr="001D458E">
        <w:rPr>
          <w:rFonts w:hint="eastAsia"/>
        </w:rPr>
        <w:t>.</w:t>
      </w:r>
    </w:p>
    <w:p w14:paraId="1CA4A820" w14:textId="77777777" w:rsidR="008D0572" w:rsidRPr="001D458E" w:rsidRDefault="008D0572" w:rsidP="008D0572">
      <w:pPr>
        <w:ind w:firstLine="284"/>
      </w:pPr>
      <w:r w:rsidRPr="001D458E">
        <w:rPr>
          <w:rFonts w:hint="eastAsia"/>
        </w:rPr>
        <w:t>E</w:t>
      </w:r>
      <w:r w:rsidRPr="001D458E">
        <w:t>l</w:t>
      </w:r>
      <w:r w:rsidRPr="001D458E">
        <w:rPr>
          <w:rFonts w:hint="eastAsia"/>
        </w:rPr>
        <w:t>sewhere, a retired civil servant highlighted the decline of the power of civil servants:</w:t>
      </w:r>
    </w:p>
    <w:p w14:paraId="73D28EE4" w14:textId="77777777" w:rsidR="008D0572" w:rsidRPr="001D458E" w:rsidRDefault="008D0572" w:rsidP="008D0572"/>
    <w:p w14:paraId="6FC0B4AA" w14:textId="60C7BAAF" w:rsidR="008D0572" w:rsidRPr="001D458E" w:rsidRDefault="008D0572" w:rsidP="008B07B4">
      <w:pPr>
        <w:pStyle w:val="Quote"/>
      </w:pPr>
      <w:r w:rsidRPr="001D458E">
        <w:t xml:space="preserve">(the </w:t>
      </w:r>
      <w:r w:rsidRPr="001D458E">
        <w:rPr>
          <w:rFonts w:hint="eastAsia"/>
        </w:rPr>
        <w:t>state</w:t>
      </w:r>
      <w:r w:rsidRPr="001D458E">
        <w:t>’</w:t>
      </w:r>
      <w:r w:rsidRPr="001D458E">
        <w:rPr>
          <w:rFonts w:hint="eastAsia"/>
        </w:rPr>
        <w:t xml:space="preserve">s capacity to mobilise the ICT sector) has significantly declined. </w:t>
      </w:r>
      <w:r w:rsidRPr="001D458E">
        <w:t>…</w:t>
      </w:r>
      <w:r w:rsidRPr="001D458E">
        <w:rPr>
          <w:rFonts w:hint="eastAsia"/>
        </w:rPr>
        <w:t>because it</w:t>
      </w:r>
      <w:r w:rsidRPr="001D458E">
        <w:t>’</w:t>
      </w:r>
      <w:r w:rsidRPr="001D458E">
        <w:rPr>
          <w:rFonts w:hint="eastAsia"/>
        </w:rPr>
        <w:t xml:space="preserve">s getting more difficult to use policy tools with no legal authority like administrative guidance, and more preferred to </w:t>
      </w:r>
      <w:r w:rsidRPr="001D458E">
        <w:t>restrain</w:t>
      </w:r>
      <w:r w:rsidRPr="001D458E">
        <w:rPr>
          <w:rFonts w:hint="eastAsia"/>
        </w:rPr>
        <w:t xml:space="preserve"> officials from exercising their legal authority. </w:t>
      </w:r>
      <w:r w:rsidRPr="001D458E">
        <w:t>…</w:t>
      </w:r>
      <w:r w:rsidRPr="001D458E">
        <w:rPr>
          <w:rFonts w:hint="eastAsia"/>
        </w:rPr>
        <w:t>and there is no guiding administration, what the MITI (METI</w:t>
      </w:r>
      <w:r w:rsidRPr="001D458E">
        <w:rPr>
          <w:rStyle w:val="FootnoteReference"/>
          <w:rFonts w:eastAsiaTheme="majorEastAsia"/>
        </w:rPr>
        <w:footnoteReference w:id="62"/>
      </w:r>
      <w:r w:rsidRPr="001D458E">
        <w:rPr>
          <w:rFonts w:hint="eastAsia"/>
        </w:rPr>
        <w:t xml:space="preserve">) calls guideline administration, in which the ministry proposes a vision and gets responses (from private firms). </w:t>
      </w:r>
      <w:r w:rsidRPr="001D458E">
        <w:t>T</w:t>
      </w:r>
      <w:r w:rsidRPr="001D458E">
        <w:rPr>
          <w:rFonts w:hint="eastAsia"/>
        </w:rPr>
        <w:t>he MIC can</w:t>
      </w:r>
      <w:r w:rsidRPr="001D458E">
        <w:t>’</w:t>
      </w:r>
      <w:r w:rsidRPr="001D458E">
        <w:rPr>
          <w:rFonts w:hint="eastAsia"/>
        </w:rPr>
        <w:t>t create such a vision. (</w:t>
      </w:r>
      <w:r w:rsidR="007634ED">
        <w:rPr>
          <w:rFonts w:hint="eastAsia"/>
        </w:rPr>
        <w:t>Interview with</w:t>
      </w:r>
      <w:r w:rsidRPr="001D458E">
        <w:rPr>
          <w:rFonts w:hint="eastAsia"/>
        </w:rPr>
        <w:t xml:space="preserve"> a retired senior civil servant) </w:t>
      </w:r>
    </w:p>
    <w:p w14:paraId="4EDFD711" w14:textId="77777777" w:rsidR="008D0572" w:rsidRPr="001D458E" w:rsidRDefault="008D0572" w:rsidP="008D0572"/>
    <w:p w14:paraId="7C4A8402" w14:textId="77777777" w:rsidR="008D0572" w:rsidRPr="001D458E" w:rsidRDefault="008D0572" w:rsidP="008D0572">
      <w:r w:rsidRPr="001D458E">
        <w:rPr>
          <w:rFonts w:hint="eastAsia"/>
        </w:rPr>
        <w:t xml:space="preserve">This decline of </w:t>
      </w:r>
      <w:r w:rsidRPr="001D458E">
        <w:t xml:space="preserve">the </w:t>
      </w:r>
      <w:r w:rsidRPr="001D458E">
        <w:rPr>
          <w:rFonts w:hint="eastAsia"/>
        </w:rPr>
        <w:t>MIC</w:t>
      </w:r>
      <w:r w:rsidRPr="001D458E">
        <w:t>’</w:t>
      </w:r>
      <w:r w:rsidRPr="001D458E">
        <w:rPr>
          <w:rFonts w:hint="eastAsia"/>
        </w:rPr>
        <w:t xml:space="preserve">s regulatory function was described as a type of </w:t>
      </w:r>
      <w:r w:rsidRPr="001D458E">
        <w:t>transformation</w:t>
      </w:r>
      <w:r w:rsidRPr="001D458E">
        <w:rPr>
          <w:rFonts w:hint="eastAsia"/>
        </w:rPr>
        <w:t xml:space="preserve"> by a civil servant: </w:t>
      </w:r>
      <w:r w:rsidRPr="001D458E">
        <w:t>‘…</w:t>
      </w:r>
      <w:r w:rsidRPr="001D458E">
        <w:rPr>
          <w:rFonts w:hint="eastAsia"/>
        </w:rPr>
        <w:t xml:space="preserve">the </w:t>
      </w:r>
      <w:r w:rsidRPr="001D458E">
        <w:t>necessary</w:t>
      </w:r>
      <w:r w:rsidRPr="001D458E">
        <w:rPr>
          <w:rFonts w:hint="eastAsia"/>
        </w:rPr>
        <w:t xml:space="preserve"> part (of regulation) has remained and the unnecessary part has disappeared, so I suggest whether regulation to the NTT has enhanced or reduced is not the case</w:t>
      </w:r>
      <w:r w:rsidRPr="001D458E">
        <w:t>’</w:t>
      </w:r>
      <w:r w:rsidRPr="001D458E">
        <w:rPr>
          <w:rFonts w:hint="eastAsia"/>
        </w:rPr>
        <w:t xml:space="preserve"> (</w:t>
      </w:r>
      <w:r w:rsidR="007634ED">
        <w:rPr>
          <w:rFonts w:hint="eastAsia"/>
        </w:rPr>
        <w:t>Interview with</w:t>
      </w:r>
      <w:r w:rsidRPr="001D458E">
        <w:rPr>
          <w:rFonts w:hint="eastAsia"/>
        </w:rPr>
        <w:t xml:space="preserve"> a civil servant). </w:t>
      </w:r>
      <w:r w:rsidRPr="001D458E">
        <w:t>A</w:t>
      </w:r>
      <w:r w:rsidRPr="001D458E">
        <w:rPr>
          <w:rFonts w:hint="eastAsia"/>
        </w:rPr>
        <w:t xml:space="preserve"> </w:t>
      </w:r>
      <w:r w:rsidRPr="001D458E">
        <w:t>senior lobbyist of a telecommunications operator (a former DPJ member of the House of Representatives)</w:t>
      </w:r>
      <w:r w:rsidRPr="001D458E">
        <w:rPr>
          <w:rFonts w:hint="eastAsia"/>
        </w:rPr>
        <w:t xml:space="preserve"> highlighted the importance of the political will to take strict actions. This view highlight</w:t>
      </w:r>
      <w:r w:rsidRPr="001D458E">
        <w:t>s</w:t>
      </w:r>
      <w:r w:rsidRPr="001D458E">
        <w:rPr>
          <w:rFonts w:hint="eastAsia"/>
        </w:rPr>
        <w:t xml:space="preserve"> </w:t>
      </w:r>
      <w:r w:rsidRPr="001D458E">
        <w:t>the extent to which Cabinet Ministers have had their power curtailed:</w:t>
      </w:r>
    </w:p>
    <w:p w14:paraId="51B742F4" w14:textId="77777777" w:rsidR="008D0572" w:rsidRPr="001D458E" w:rsidRDefault="008D0572" w:rsidP="008D0572"/>
    <w:p w14:paraId="7E9058CA" w14:textId="77777777" w:rsidR="008D0572" w:rsidRPr="004604A6" w:rsidRDefault="004604A6" w:rsidP="004604A6">
      <w:pPr>
        <w:pStyle w:val="Quote"/>
      </w:pPr>
      <w:r w:rsidRPr="004604A6">
        <w:t>I</w:t>
      </w:r>
      <w:r w:rsidR="008D0572" w:rsidRPr="004604A6">
        <w:rPr>
          <w:rFonts w:hint="eastAsia"/>
        </w:rPr>
        <w:t xml:space="preserve">f we create a regulatory organisation in Japan, we need to empower it as much as it </w:t>
      </w:r>
      <w:r w:rsidR="008D0572" w:rsidRPr="00EB4025">
        <w:t xml:space="preserve">can </w:t>
      </w:r>
      <w:r w:rsidR="008D0572" w:rsidRPr="00EB4025">
        <w:rPr>
          <w:rFonts w:hint="eastAsia"/>
        </w:rPr>
        <w:t xml:space="preserve">do its duty. But even when </w:t>
      </w:r>
      <w:r w:rsidR="008D0572" w:rsidRPr="006E6F80">
        <w:t>th</w:t>
      </w:r>
      <w:r w:rsidR="008D0572" w:rsidRPr="006E6F80">
        <w:rPr>
          <w:rFonts w:hint="eastAsia"/>
        </w:rPr>
        <w:t xml:space="preserve">e regulator gets such authority, it </w:t>
      </w:r>
      <w:r w:rsidR="008D0572" w:rsidRPr="00967640">
        <w:t>won’</w:t>
      </w:r>
      <w:r w:rsidR="008D0572" w:rsidRPr="00191BB4">
        <w:rPr>
          <w:rFonts w:hint="eastAsia"/>
        </w:rPr>
        <w:t xml:space="preserve">t exercise it in the end, </w:t>
      </w:r>
      <w:r w:rsidR="008D0572" w:rsidRPr="005F318E">
        <w:t>will</w:t>
      </w:r>
      <w:r w:rsidR="008D0572" w:rsidRPr="00743F00">
        <w:rPr>
          <w:rFonts w:hint="eastAsia"/>
        </w:rPr>
        <w:t xml:space="preserve"> it? Including the MIC. </w:t>
      </w:r>
      <w:r w:rsidR="008D0572" w:rsidRPr="00657C93">
        <w:t>I</w:t>
      </w:r>
      <w:r w:rsidR="008D0572" w:rsidRPr="009F655F">
        <w:rPr>
          <w:rFonts w:hint="eastAsia"/>
        </w:rPr>
        <w:t>n such cases, po</w:t>
      </w:r>
      <w:r w:rsidR="008D0572" w:rsidRPr="00B5148B">
        <w:rPr>
          <w:rFonts w:hint="eastAsia"/>
        </w:rPr>
        <w:t xml:space="preserve">liticians have the regulator </w:t>
      </w:r>
      <w:r w:rsidR="008D0572" w:rsidRPr="00AF4CEF">
        <w:t>exercise</w:t>
      </w:r>
      <w:r w:rsidR="008D0572" w:rsidRPr="004863A5">
        <w:rPr>
          <w:rFonts w:hint="eastAsia"/>
        </w:rPr>
        <w:t xml:space="preserve"> its power, in theory. It</w:t>
      </w:r>
      <w:r w:rsidR="008D0572" w:rsidRPr="004604A6">
        <w:t>’s difficult for civil servants to exercise such power. So, politicians sometimes need to show the power is exercisable… politicians aren’t also familiar with governing and control yet. …Just exercise legal authorities once or twice. Without this, nobody will get shocked. (</w:t>
      </w:r>
      <w:r w:rsidR="007634ED" w:rsidRPr="004604A6">
        <w:t>Interview with</w:t>
      </w:r>
      <w:r w:rsidR="008D0572" w:rsidRPr="004604A6">
        <w:t xml:space="preserve"> the General Manager of the President’s Office of a telecommunications operator (a former member of the House of Representatives (DPJ)))</w:t>
      </w:r>
    </w:p>
    <w:p w14:paraId="02AB2889" w14:textId="77777777" w:rsidR="008D0572" w:rsidRPr="001D458E" w:rsidRDefault="008D0572" w:rsidP="008D0572"/>
    <w:p w14:paraId="7B3EB9A7" w14:textId="77777777" w:rsidR="008D0572" w:rsidRPr="001D458E" w:rsidRDefault="008D0572" w:rsidP="008D0572">
      <w:pPr>
        <w:ind w:firstLine="284"/>
      </w:pPr>
      <w:r w:rsidRPr="001D458E">
        <w:rPr>
          <w:rFonts w:hint="eastAsia"/>
        </w:rPr>
        <w:t xml:space="preserve">Two views emerge </w:t>
      </w:r>
      <w:r w:rsidRPr="001D458E">
        <w:t xml:space="preserve">in identifying </w:t>
      </w:r>
      <w:r w:rsidRPr="001D458E">
        <w:rPr>
          <w:rFonts w:hint="eastAsia"/>
        </w:rPr>
        <w:t xml:space="preserve">the reasons behind the </w:t>
      </w:r>
      <w:r w:rsidRPr="001D458E">
        <w:t>decrease</w:t>
      </w:r>
      <w:r w:rsidRPr="001D458E">
        <w:rPr>
          <w:rFonts w:hint="eastAsia"/>
        </w:rPr>
        <w:t xml:space="preserve"> </w:t>
      </w:r>
      <w:r w:rsidR="009734AE">
        <w:t>in</w:t>
      </w:r>
      <w:r w:rsidRPr="001D458E">
        <w:rPr>
          <w:rFonts w:hint="eastAsia"/>
        </w:rPr>
        <w:t xml:space="preserve"> the </w:t>
      </w:r>
      <w:r w:rsidRPr="001D458E">
        <w:t>government</w:t>
      </w:r>
      <w:r w:rsidRPr="001D458E">
        <w:rPr>
          <w:rFonts w:hint="eastAsia"/>
        </w:rPr>
        <w:t xml:space="preserve"> ministry</w:t>
      </w:r>
      <w:r w:rsidRPr="001D458E">
        <w:t>’</w:t>
      </w:r>
      <w:r w:rsidRPr="001D458E">
        <w:rPr>
          <w:rFonts w:hint="eastAsia"/>
        </w:rPr>
        <w:t xml:space="preserve">s power. The first view </w:t>
      </w:r>
      <w:r w:rsidRPr="001D458E">
        <w:t xml:space="preserve">focuses on </w:t>
      </w:r>
      <w:r w:rsidRPr="001D458E">
        <w:rPr>
          <w:rFonts w:hint="eastAsia"/>
        </w:rPr>
        <w:t xml:space="preserve">the emergence of the </w:t>
      </w:r>
      <w:r w:rsidRPr="001D458E">
        <w:t>‘</w:t>
      </w:r>
      <w:r w:rsidRPr="001D458E">
        <w:rPr>
          <w:rFonts w:hint="eastAsia"/>
        </w:rPr>
        <w:t>smart regulator</w:t>
      </w:r>
      <w:r w:rsidRPr="001D458E">
        <w:t>’</w:t>
      </w:r>
      <w:r w:rsidRPr="001D458E">
        <w:rPr>
          <w:rFonts w:hint="eastAsia"/>
        </w:rPr>
        <w:t xml:space="preserve">, arguing that the state has eliminated unnecessary regulation and adapted its regulatory framework. </w:t>
      </w:r>
      <w:r w:rsidRPr="001D458E">
        <w:t>T</w:t>
      </w:r>
      <w:r w:rsidRPr="001D458E">
        <w:rPr>
          <w:rFonts w:hint="eastAsia"/>
        </w:rPr>
        <w:t>he second view is that the decline of the state</w:t>
      </w:r>
      <w:r w:rsidRPr="001D458E">
        <w:t>’</w:t>
      </w:r>
      <w:r w:rsidRPr="001D458E">
        <w:rPr>
          <w:rFonts w:hint="eastAsia"/>
        </w:rPr>
        <w:t xml:space="preserve">s regulatory authority has created a power vacuum, which has not been filled by other actors including party politicians. When this decline of civil servants (government ministry) became distinctive </w:t>
      </w:r>
      <w:r w:rsidRPr="001D458E">
        <w:t>remains</w:t>
      </w:r>
      <w:r w:rsidRPr="001D458E">
        <w:rPr>
          <w:rFonts w:hint="eastAsia"/>
        </w:rPr>
        <w:t xml:space="preserve"> contested. </w:t>
      </w:r>
      <w:r w:rsidR="009734AE">
        <w:t>One</w:t>
      </w:r>
      <w:r w:rsidR="009734AE" w:rsidRPr="001D458E">
        <w:rPr>
          <w:rFonts w:hint="eastAsia"/>
        </w:rPr>
        <w:t xml:space="preserve"> </w:t>
      </w:r>
      <w:r w:rsidRPr="001D458E">
        <w:rPr>
          <w:rFonts w:hint="eastAsia"/>
        </w:rPr>
        <w:t>account argued that it started during the Koizumi Government</w:t>
      </w:r>
      <w:r w:rsidRPr="001D458E">
        <w:t xml:space="preserve"> (2001-06)</w:t>
      </w:r>
      <w:r w:rsidRPr="001D458E">
        <w:rPr>
          <w:rFonts w:hint="eastAsia"/>
        </w:rPr>
        <w:t>, while another highlighted the disjuncture by government change in 2009. These two views suggest that since the 2000s the decline of civil servants</w:t>
      </w:r>
      <w:r w:rsidRPr="001D458E">
        <w:t>’</w:t>
      </w:r>
      <w:r w:rsidRPr="001D458E">
        <w:rPr>
          <w:rFonts w:hint="eastAsia"/>
        </w:rPr>
        <w:t xml:space="preserve"> (government ministry)</w:t>
      </w:r>
      <w:r w:rsidRPr="001D458E">
        <w:t xml:space="preserve"> power</w:t>
      </w:r>
      <w:r w:rsidRPr="001D458E">
        <w:rPr>
          <w:rFonts w:hint="eastAsia"/>
        </w:rPr>
        <w:t xml:space="preserve"> has </w:t>
      </w:r>
      <w:r w:rsidRPr="001D458E">
        <w:t>occurred</w:t>
      </w:r>
      <w:r w:rsidRPr="001D458E">
        <w:rPr>
          <w:rFonts w:hint="eastAsia"/>
        </w:rPr>
        <w:t>.</w:t>
      </w:r>
    </w:p>
    <w:p w14:paraId="30652A1E" w14:textId="77777777" w:rsidR="008D0572" w:rsidRPr="001D458E" w:rsidRDefault="008D0572" w:rsidP="000935B7">
      <w:pPr>
        <w:ind w:firstLine="284"/>
      </w:pPr>
      <w:r w:rsidRPr="001D458E">
        <w:rPr>
          <w:rFonts w:hint="eastAsia"/>
        </w:rPr>
        <w:t>The transformation of the regulatory capacity can be understood as the rise and decline</w:t>
      </w:r>
      <w:r w:rsidRPr="001D458E">
        <w:t xml:space="preserve"> or the adaptation</w:t>
      </w:r>
      <w:r w:rsidRPr="001D458E">
        <w:rPr>
          <w:rFonts w:hint="eastAsia"/>
        </w:rPr>
        <w:t xml:space="preserve"> of responsible civil servants (MPT/MIC)</w:t>
      </w:r>
      <w:r w:rsidRPr="001D458E">
        <w:t xml:space="preserve"> </w:t>
      </w:r>
      <w:r w:rsidR="002829AF">
        <w:t xml:space="preserve">through shaping a variation of the Japanese regulatory state in ICT regulation </w:t>
      </w:r>
      <w:r w:rsidRPr="001D458E">
        <w:t>between the 1980s and 2000s</w:t>
      </w:r>
      <w:r w:rsidRPr="001D458E">
        <w:rPr>
          <w:rFonts w:hint="eastAsia"/>
        </w:rPr>
        <w:t xml:space="preserve">. </w:t>
      </w:r>
      <w:r w:rsidRPr="001D458E">
        <w:t>It has been a kind of conversion with few significant opponents to the change and a significant discretion of civil servants in the detail of the regulatory function. The MPT’s approaches just after liberalisation</w:t>
      </w:r>
      <w:r w:rsidRPr="001D458E">
        <w:rPr>
          <w:rFonts w:hint="eastAsia"/>
        </w:rPr>
        <w:t xml:space="preserve"> can be characterised as strategic/discretional with a wide range of legal responsibility to exercise </w:t>
      </w:r>
      <w:r w:rsidRPr="001D458E">
        <w:t>draconian</w:t>
      </w:r>
      <w:r w:rsidRPr="001D458E">
        <w:rPr>
          <w:rFonts w:hint="eastAsia"/>
        </w:rPr>
        <w:t xml:space="preserve"> regulation, such as strict market entry examination. </w:t>
      </w:r>
      <w:r w:rsidRPr="001D458E">
        <w:t>It was a response to the transformation of state power in the sector from the service provider to the regulator. T</w:t>
      </w:r>
      <w:r w:rsidRPr="001D458E">
        <w:rPr>
          <w:rFonts w:hint="eastAsia"/>
        </w:rPr>
        <w:t xml:space="preserve">he </w:t>
      </w:r>
      <w:r w:rsidRPr="001D458E">
        <w:t>approaches</w:t>
      </w:r>
      <w:r w:rsidRPr="001D458E">
        <w:rPr>
          <w:rFonts w:hint="eastAsia"/>
        </w:rPr>
        <w:t xml:space="preserve"> were transformed to more specific ones with </w:t>
      </w:r>
      <w:r w:rsidR="007805B5">
        <w:t xml:space="preserve">a </w:t>
      </w:r>
      <w:r w:rsidRPr="001D458E">
        <w:rPr>
          <w:rFonts w:hint="eastAsia"/>
        </w:rPr>
        <w:t xml:space="preserve">more detailed and limited legal basis, such as dominant carrier regulation and ex post regulation, while deregulation stripped </w:t>
      </w:r>
      <w:r w:rsidRPr="001D458E">
        <w:t>the</w:t>
      </w:r>
      <w:r w:rsidRPr="001D458E">
        <w:rPr>
          <w:rFonts w:hint="eastAsia"/>
        </w:rPr>
        <w:t xml:space="preserve"> previous wide range of legal responsibilit</w:t>
      </w:r>
      <w:r w:rsidRPr="001D458E">
        <w:t>ies</w:t>
      </w:r>
      <w:r w:rsidRPr="001D458E">
        <w:rPr>
          <w:rFonts w:hint="eastAsia"/>
        </w:rPr>
        <w:t xml:space="preserve"> such as those about market entry. At the same time, civil servants enhanced their knowledge and expertise. </w:t>
      </w:r>
      <w:r w:rsidRPr="001D458E">
        <w:t>T</w:t>
      </w:r>
      <w:r w:rsidRPr="001D458E">
        <w:rPr>
          <w:rFonts w:hint="eastAsia"/>
        </w:rPr>
        <w:t>he 2000s saw the decline of strategic management by civil servants, while no new actor has taken over this role. Th</w:t>
      </w:r>
      <w:r w:rsidRPr="001D458E">
        <w:t>is loss</w:t>
      </w:r>
      <w:r w:rsidRPr="001D458E">
        <w:rPr>
          <w:rFonts w:hint="eastAsia"/>
        </w:rPr>
        <w:t xml:space="preserve"> of civil servants</w:t>
      </w:r>
      <w:r w:rsidRPr="001D458E">
        <w:t>’ function</w:t>
      </w:r>
      <w:r w:rsidRPr="001D458E">
        <w:rPr>
          <w:rFonts w:hint="eastAsia"/>
        </w:rPr>
        <w:t xml:space="preserve"> came with the decline of party (in most cases LDP) politicians outside the Cabinet. Cabinet M</w:t>
      </w:r>
      <w:r w:rsidRPr="001D458E">
        <w:t>i</w:t>
      </w:r>
      <w:r w:rsidRPr="001D458E">
        <w:rPr>
          <w:rFonts w:hint="eastAsia"/>
        </w:rPr>
        <w:t xml:space="preserve">nisters obtained </w:t>
      </w:r>
      <w:r w:rsidRPr="001D458E">
        <w:t>opportunities</w:t>
      </w:r>
      <w:r w:rsidRPr="001D458E">
        <w:rPr>
          <w:rFonts w:hint="eastAsia"/>
        </w:rPr>
        <w:t xml:space="preserve"> to control the policy making process, but their short tenure and lack of experience have been significant obstacle</w:t>
      </w:r>
      <w:r w:rsidRPr="001D458E">
        <w:t>s</w:t>
      </w:r>
      <w:r w:rsidRPr="001D458E">
        <w:rPr>
          <w:rFonts w:hint="eastAsia"/>
        </w:rPr>
        <w:t xml:space="preserve"> to exploiting them. </w:t>
      </w:r>
      <w:r w:rsidRPr="001D458E">
        <w:t>This can be understood as the result of the change of power within the core executive; party politicians outside the cabinet have</w:t>
      </w:r>
      <w:r w:rsidR="009734AE">
        <w:t xml:space="preserve"> see</w:t>
      </w:r>
      <w:r w:rsidR="009F706D">
        <w:t>n</w:t>
      </w:r>
      <w:r w:rsidR="009734AE">
        <w:t xml:space="preserve"> their power eroded, while the converse has occurred in relation to </w:t>
      </w:r>
      <w:r w:rsidRPr="001D458E">
        <w:t xml:space="preserve">Cabinet Ministers. </w:t>
      </w:r>
      <w:r w:rsidRPr="001D458E">
        <w:rPr>
          <w:rFonts w:hint="eastAsia"/>
        </w:rPr>
        <w:t xml:space="preserve">What party politicians have done so far is to undermine the strategic function of civil servants with no substitute. </w:t>
      </w:r>
      <w:r w:rsidRPr="001D458E">
        <w:t xml:space="preserve">The attempts to create a </w:t>
      </w:r>
      <w:r w:rsidRPr="001D458E">
        <w:rPr>
          <w:rFonts w:hint="eastAsia"/>
        </w:rPr>
        <w:t xml:space="preserve">strategist role have </w:t>
      </w:r>
      <w:r>
        <w:rPr>
          <w:rFonts w:hint="eastAsia"/>
        </w:rPr>
        <w:t xml:space="preserve">resulted in </w:t>
      </w:r>
      <w:r w:rsidRPr="001D458E">
        <w:t xml:space="preserve">instability </w:t>
      </w:r>
      <w:r w:rsidRPr="001D458E">
        <w:rPr>
          <w:rFonts w:hint="eastAsia"/>
        </w:rPr>
        <w:t xml:space="preserve">rather than a </w:t>
      </w:r>
      <w:r w:rsidRPr="001D458E">
        <w:t xml:space="preserve">settled </w:t>
      </w:r>
      <w:r w:rsidRPr="001D458E">
        <w:rPr>
          <w:rFonts w:hint="eastAsia"/>
        </w:rPr>
        <w:t xml:space="preserve">order </w:t>
      </w:r>
      <w:r w:rsidRPr="001D458E">
        <w:t xml:space="preserve">replacing </w:t>
      </w:r>
      <w:r w:rsidRPr="001D458E">
        <w:rPr>
          <w:rFonts w:hint="eastAsia"/>
        </w:rPr>
        <w:t xml:space="preserve">the previous </w:t>
      </w:r>
      <w:r w:rsidRPr="001D458E">
        <w:t>function</w:t>
      </w:r>
      <w:r w:rsidRPr="001D458E">
        <w:rPr>
          <w:rFonts w:hint="eastAsia"/>
        </w:rPr>
        <w:t xml:space="preserve"> played by civil servants.</w:t>
      </w:r>
      <w:r>
        <w:rPr>
          <w:rFonts w:hint="eastAsia"/>
        </w:rPr>
        <w:t xml:space="preserve"> The change of state power in ICT regulation can be understood as </w:t>
      </w:r>
      <w:r w:rsidR="000935B7">
        <w:t xml:space="preserve">the process of shaping the Japanese regulatory state in ICT regulation under the dominance of the core executive, within which </w:t>
      </w:r>
      <w:r>
        <w:rPr>
          <w:rFonts w:hint="eastAsia"/>
        </w:rPr>
        <w:t xml:space="preserve">the fluid and complicated change of power </w:t>
      </w:r>
      <w:r w:rsidR="000935B7">
        <w:t>took place.</w:t>
      </w:r>
    </w:p>
    <w:p w14:paraId="340D816A" w14:textId="77777777" w:rsidR="008D0572" w:rsidRPr="001D458E" w:rsidRDefault="008D0572" w:rsidP="008D0572"/>
    <w:p w14:paraId="052A820C" w14:textId="77777777" w:rsidR="008D0572" w:rsidRPr="001D458E" w:rsidRDefault="008D0572" w:rsidP="008D0572">
      <w:pPr>
        <w:rPr>
          <w:lang w:eastAsia="ja-JP"/>
        </w:rPr>
      </w:pPr>
    </w:p>
    <w:p w14:paraId="4ACBC539" w14:textId="77777777" w:rsidR="008D0572" w:rsidRPr="001D458E" w:rsidRDefault="008D0572" w:rsidP="00050D4B">
      <w:pPr>
        <w:pStyle w:val="Heading2"/>
      </w:pPr>
      <w:bookmarkStart w:id="54" w:name="_Toc349741376"/>
      <w:r w:rsidRPr="001D458E">
        <w:t>5.6</w:t>
      </w:r>
      <w:r w:rsidRPr="001D458E">
        <w:tab/>
        <w:t>Conclusion</w:t>
      </w:r>
      <w:bookmarkEnd w:id="54"/>
    </w:p>
    <w:p w14:paraId="065A04C3" w14:textId="77777777" w:rsidR="008D0572" w:rsidRPr="001D458E" w:rsidRDefault="008D0572" w:rsidP="008D0572">
      <w:r w:rsidRPr="001D458E">
        <w:rPr>
          <w:rFonts w:hint="eastAsia"/>
        </w:rPr>
        <w:t xml:space="preserve">The ICT sector has </w:t>
      </w:r>
      <w:r w:rsidR="009734AE" w:rsidRPr="001D458E">
        <w:t>experience</w:t>
      </w:r>
      <w:r w:rsidR="009734AE">
        <w:t>d an array of</w:t>
      </w:r>
      <w:r w:rsidR="009734AE" w:rsidRPr="001D458E">
        <w:rPr>
          <w:rFonts w:hint="eastAsia"/>
        </w:rPr>
        <w:t xml:space="preserve"> </w:t>
      </w:r>
      <w:r w:rsidRPr="001D458E">
        <w:rPr>
          <w:rFonts w:hint="eastAsia"/>
        </w:rPr>
        <w:t>regulatory reforms including liberalisation mobilised by the technological development. Since Japan liberalised the telecommunications sector and introduced competition in 1985, its experience o</w:t>
      </w:r>
      <w:r w:rsidRPr="001D458E">
        <w:t>f</w:t>
      </w:r>
      <w:r w:rsidRPr="001D458E">
        <w:rPr>
          <w:rFonts w:hint="eastAsia"/>
        </w:rPr>
        <w:t xml:space="preserve"> liberalisation </w:t>
      </w:r>
      <w:r w:rsidR="00F878EE">
        <w:t>has been</w:t>
      </w:r>
      <w:r w:rsidRPr="001D458E">
        <w:rPr>
          <w:rFonts w:hint="eastAsia"/>
        </w:rPr>
        <w:t xml:space="preserve"> significantly long. Examining this process reveals a gradual transformation of the Japanese state in the ICT sector.</w:t>
      </w:r>
    </w:p>
    <w:p w14:paraId="46755347" w14:textId="77777777" w:rsidR="008D0572" w:rsidRPr="001D458E" w:rsidRDefault="008D0572" w:rsidP="008D0572">
      <w:pPr>
        <w:ind w:firstLine="284"/>
      </w:pPr>
      <w:r w:rsidRPr="001D458E">
        <w:rPr>
          <w:rFonts w:hint="eastAsia"/>
        </w:rPr>
        <w:t>Telecommunications liberalisation is often framed in the context of deregulation and a neo</w:t>
      </w:r>
      <w:r w:rsidRPr="001D458E">
        <w:t>-</w:t>
      </w:r>
      <w:r w:rsidRPr="001D458E">
        <w:rPr>
          <w:rFonts w:hint="eastAsia"/>
        </w:rPr>
        <w:t>liberal approach to the economy</w:t>
      </w:r>
      <w:r w:rsidRPr="001D458E">
        <w:t xml:space="preserve"> (e.g. Collins and Murroni 1996 pp.5-6, Jordana and Levi-Faur 2004 p.1, Vogel 1996 p.77, p.151)</w:t>
      </w:r>
      <w:r w:rsidRPr="001D458E">
        <w:rPr>
          <w:rFonts w:hint="eastAsia"/>
        </w:rPr>
        <w:t xml:space="preserve">. </w:t>
      </w:r>
      <w:r w:rsidRPr="001D458E">
        <w:t xml:space="preserve">It is sometimes regarded as </w:t>
      </w:r>
      <w:r w:rsidRPr="001D458E">
        <w:rPr>
          <w:rFonts w:hint="eastAsia"/>
        </w:rPr>
        <w:t xml:space="preserve">the start of the shrinkage of the state within that sector. Elsewhere, others interpret telecommunications liberalisation as a process of reconstituting the state. Sorensen (2004), for example, argues for the </w:t>
      </w:r>
      <w:r w:rsidRPr="001D458E">
        <w:t>transformation</w:t>
      </w:r>
      <w:r w:rsidRPr="001D458E">
        <w:rPr>
          <w:rFonts w:hint="eastAsia"/>
        </w:rPr>
        <w:t xml:space="preserve"> of the modern state</w:t>
      </w:r>
      <w:r w:rsidRPr="001D458E">
        <w:t xml:space="preserve"> in which state power has </w:t>
      </w:r>
      <w:r w:rsidRPr="001D458E">
        <w:rPr>
          <w:rFonts w:hint="eastAsia"/>
        </w:rPr>
        <w:t xml:space="preserve">adapted </w:t>
      </w:r>
      <w:r w:rsidRPr="001D458E">
        <w:t>to cope with the cha</w:t>
      </w:r>
      <w:r w:rsidRPr="001D458E">
        <w:rPr>
          <w:rFonts w:hint="eastAsia"/>
        </w:rPr>
        <w:t>nging circumstances</w:t>
      </w:r>
      <w:r w:rsidRPr="001D458E">
        <w:t>.</w:t>
      </w:r>
      <w:r w:rsidRPr="001D458E">
        <w:rPr>
          <w:rFonts w:hint="eastAsia"/>
        </w:rPr>
        <w:t xml:space="preserve"> </w:t>
      </w:r>
      <w:r w:rsidRPr="001D458E">
        <w:t xml:space="preserve">In this view the state has retreated in some areas </w:t>
      </w:r>
      <w:r w:rsidRPr="001D458E">
        <w:rPr>
          <w:rFonts w:hint="eastAsia"/>
        </w:rPr>
        <w:t xml:space="preserve">(e.g. direct service provision in areas such as telecommunications) </w:t>
      </w:r>
      <w:r w:rsidRPr="001D458E">
        <w:t xml:space="preserve">and enhanced its power </w:t>
      </w:r>
      <w:r w:rsidRPr="001D458E">
        <w:rPr>
          <w:rFonts w:hint="eastAsia"/>
        </w:rPr>
        <w:t>elsewhere (e.g. telecommunications regulation)</w:t>
      </w:r>
      <w:r w:rsidRPr="001D458E">
        <w:t xml:space="preserve">. </w:t>
      </w:r>
      <w:r w:rsidR="00413CFE">
        <w:rPr>
          <w:rFonts w:hint="eastAsia"/>
          <w:lang w:eastAsia="ja-JP"/>
        </w:rPr>
        <w:t>In Japan</w:t>
      </w:r>
      <w:r w:rsidR="00413CFE">
        <w:rPr>
          <w:lang w:eastAsia="ja-JP"/>
        </w:rPr>
        <w:t>’</w:t>
      </w:r>
      <w:r w:rsidR="00413CFE">
        <w:rPr>
          <w:rFonts w:hint="eastAsia"/>
          <w:lang w:eastAsia="ja-JP"/>
        </w:rPr>
        <w:t xml:space="preserve">s ICT sector explored by this chapter, the service provision </w:t>
      </w:r>
      <w:r w:rsidR="003D2FB9">
        <w:rPr>
          <w:rFonts w:hint="eastAsia"/>
          <w:lang w:eastAsia="ja-JP"/>
        </w:rPr>
        <w:t xml:space="preserve">implemented by </w:t>
      </w:r>
      <w:r w:rsidR="00413CFE">
        <w:rPr>
          <w:rFonts w:hint="eastAsia"/>
          <w:lang w:eastAsia="ja-JP"/>
        </w:rPr>
        <w:t xml:space="preserve">the state corporation (NTT) before 1985 moved to the private sector. </w:t>
      </w:r>
      <w:r w:rsidR="003775E4">
        <w:rPr>
          <w:rFonts w:hint="eastAsia"/>
          <w:lang w:eastAsia="ja-JP"/>
        </w:rPr>
        <w:t>T</w:t>
      </w:r>
      <w:r w:rsidR="00413CFE">
        <w:rPr>
          <w:rFonts w:hint="eastAsia"/>
          <w:lang w:eastAsia="ja-JP"/>
        </w:rPr>
        <w:t xml:space="preserve">he government organisation (MPT/MIC) strengthened its regulatory capacity after 1985. </w:t>
      </w:r>
      <w:r w:rsidR="004A0DF5">
        <w:rPr>
          <w:rFonts w:hint="eastAsia"/>
          <w:lang w:eastAsia="ja-JP"/>
        </w:rPr>
        <w:t>The MPT/MIC</w:t>
      </w:r>
      <w:r w:rsidR="004A0DF5">
        <w:rPr>
          <w:lang w:eastAsia="ja-JP"/>
        </w:rPr>
        <w:t>’</w:t>
      </w:r>
      <w:r w:rsidR="004A0DF5">
        <w:rPr>
          <w:rFonts w:hint="eastAsia"/>
          <w:lang w:eastAsia="ja-JP"/>
        </w:rPr>
        <w:t xml:space="preserve">s approach to regulation has also changed; the focus of regulation shifted from ex ante oriented to ex post oriented. </w:t>
      </w:r>
      <w:r w:rsidR="003775E4">
        <w:rPr>
          <w:rFonts w:hint="eastAsia"/>
          <w:lang w:eastAsia="ja-JP"/>
        </w:rPr>
        <w:t xml:space="preserve">Between the 1980s and 2000s, </w:t>
      </w:r>
      <w:r w:rsidR="00DE2E8C">
        <w:rPr>
          <w:rFonts w:hint="eastAsia"/>
          <w:lang w:eastAsia="ja-JP"/>
        </w:rPr>
        <w:t xml:space="preserve">the </w:t>
      </w:r>
      <w:r w:rsidR="003775E4">
        <w:rPr>
          <w:rFonts w:hint="eastAsia"/>
          <w:lang w:eastAsia="ja-JP"/>
        </w:rPr>
        <w:t xml:space="preserve">state in the sector retreated in service provision and enhanced </w:t>
      </w:r>
      <w:r w:rsidR="00DE2E8C">
        <w:rPr>
          <w:rFonts w:hint="eastAsia"/>
          <w:lang w:eastAsia="ja-JP"/>
        </w:rPr>
        <w:t>state power</w:t>
      </w:r>
      <w:r w:rsidR="003775E4">
        <w:rPr>
          <w:rFonts w:hint="eastAsia"/>
          <w:lang w:eastAsia="ja-JP"/>
        </w:rPr>
        <w:t xml:space="preserve"> in principal-agent regulation. State power in regulation also changed from ex ante oriented to ex post oriented. </w:t>
      </w:r>
      <w:r w:rsidRPr="001D458E">
        <w:t xml:space="preserve">This </w:t>
      </w:r>
      <w:r w:rsidR="003775E4">
        <w:rPr>
          <w:rFonts w:hint="eastAsia"/>
          <w:lang w:eastAsia="ja-JP"/>
        </w:rPr>
        <w:t xml:space="preserve">set of changes </w:t>
      </w:r>
      <w:r w:rsidRPr="001D458E">
        <w:t>can be understood as the reconstituti</w:t>
      </w:r>
      <w:r w:rsidRPr="001D458E">
        <w:rPr>
          <w:rFonts w:hint="eastAsia"/>
        </w:rPr>
        <w:t>on</w:t>
      </w:r>
      <w:r w:rsidRPr="001D458E">
        <w:t xml:space="preserve"> of the state.</w:t>
      </w:r>
    </w:p>
    <w:p w14:paraId="1E08AB9A" w14:textId="6AF6489D" w:rsidR="008D0572" w:rsidRPr="001D458E" w:rsidRDefault="00EB4025" w:rsidP="008D0572">
      <w:pPr>
        <w:ind w:firstLine="284"/>
      </w:pPr>
      <w:r>
        <w:t xml:space="preserve">What </w:t>
      </w:r>
      <w:r w:rsidR="00F5663D">
        <w:t>emerges</w:t>
      </w:r>
      <w:r>
        <w:t xml:space="preserve"> in th</w:t>
      </w:r>
      <w:r w:rsidR="00F5663D">
        <w:t>e analysis on Japan’s ICT regulation</w:t>
      </w:r>
      <w:r w:rsidR="00F5663D" w:rsidRPr="001D458E">
        <w:rPr>
          <w:rFonts w:hint="eastAsia"/>
        </w:rPr>
        <w:t xml:space="preserve"> </w:t>
      </w:r>
      <w:r w:rsidR="00F5663D">
        <w:t>within this thesis</w:t>
      </w:r>
      <w:r>
        <w:t xml:space="preserve"> </w:t>
      </w:r>
      <w:r w:rsidR="008D0572" w:rsidRPr="001D458E">
        <w:rPr>
          <w:rFonts w:hint="eastAsia"/>
        </w:rPr>
        <w:t xml:space="preserve">is a variation of </w:t>
      </w:r>
      <w:r w:rsidR="008D0572" w:rsidRPr="001D458E">
        <w:t xml:space="preserve">this </w:t>
      </w:r>
      <w:r w:rsidR="008D0572" w:rsidRPr="001D458E">
        <w:rPr>
          <w:rFonts w:hint="eastAsia"/>
        </w:rPr>
        <w:t xml:space="preserve">state </w:t>
      </w:r>
      <w:r w:rsidR="008D0572" w:rsidRPr="001D458E">
        <w:t>transformation</w:t>
      </w:r>
      <w:r w:rsidR="008D0572" w:rsidRPr="001D458E">
        <w:rPr>
          <w:rFonts w:hint="eastAsia"/>
        </w:rPr>
        <w:t>.</w:t>
      </w:r>
      <w:r w:rsidR="008D0572" w:rsidRPr="001D458E">
        <w:t xml:space="preserve"> A</w:t>
      </w:r>
      <w:r w:rsidR="008D0572" w:rsidRPr="001D458E">
        <w:rPr>
          <w:rFonts w:hint="eastAsia"/>
        </w:rPr>
        <w:t xml:space="preserve"> </w:t>
      </w:r>
      <w:r w:rsidR="008D0572" w:rsidRPr="001D458E">
        <w:t xml:space="preserve">new type of state power (the power of the regulatory government ministry) emerged </w:t>
      </w:r>
      <w:r w:rsidR="008D0572" w:rsidRPr="001D458E">
        <w:rPr>
          <w:rFonts w:hint="eastAsia"/>
        </w:rPr>
        <w:t xml:space="preserve">to </w:t>
      </w:r>
      <w:r w:rsidR="008D0572" w:rsidRPr="001D458E">
        <w:t xml:space="preserve">fill the vacuum created by privatisation. This emergent power, </w:t>
      </w:r>
      <w:r w:rsidR="008D0572" w:rsidRPr="001D458E">
        <w:rPr>
          <w:rFonts w:hint="eastAsia"/>
        </w:rPr>
        <w:t>the M</w:t>
      </w:r>
      <w:r w:rsidR="008D0572" w:rsidRPr="001D458E">
        <w:t>PT/</w:t>
      </w:r>
      <w:r w:rsidR="008D0572" w:rsidRPr="001D458E">
        <w:rPr>
          <w:rFonts w:hint="eastAsia"/>
        </w:rPr>
        <w:t>M</w:t>
      </w:r>
      <w:r w:rsidR="008D0572" w:rsidRPr="001D458E">
        <w:t>IC</w:t>
      </w:r>
      <w:r w:rsidR="008D0572" w:rsidRPr="001D458E">
        <w:rPr>
          <w:rFonts w:hint="eastAsia"/>
        </w:rPr>
        <w:t xml:space="preserve">, </w:t>
      </w:r>
      <w:r w:rsidR="008D0572" w:rsidRPr="001D458E">
        <w:t>has retreated from strategic decision making</w:t>
      </w:r>
      <w:r w:rsidR="008D0572" w:rsidRPr="001D458E">
        <w:rPr>
          <w:rFonts w:hint="eastAsia"/>
        </w:rPr>
        <w:t xml:space="preserve"> in the 2000s. The emerging power of Cabinet </w:t>
      </w:r>
      <w:r w:rsidR="008D0572" w:rsidRPr="001D458E">
        <w:t xml:space="preserve">Ministers has not </w:t>
      </w:r>
      <w:r w:rsidR="008D0572" w:rsidRPr="001D458E">
        <w:rPr>
          <w:rFonts w:hint="eastAsia"/>
        </w:rPr>
        <w:t xml:space="preserve">still </w:t>
      </w:r>
      <w:r w:rsidR="008D0572" w:rsidRPr="001D458E">
        <w:t xml:space="preserve">filled this gap. This can be understood as a dynamic reconstitution process of the state with the fluid change of power between the core executive actors. </w:t>
      </w:r>
      <w:r w:rsidR="008D0572" w:rsidRPr="001D458E">
        <w:rPr>
          <w:rFonts w:hint="eastAsia"/>
        </w:rPr>
        <w:t xml:space="preserve">The </w:t>
      </w:r>
      <w:r w:rsidR="008D0572" w:rsidRPr="001D458E">
        <w:t>incumbent</w:t>
      </w:r>
      <w:r w:rsidR="008D0572" w:rsidRPr="001D458E">
        <w:rPr>
          <w:rFonts w:hint="eastAsia"/>
        </w:rPr>
        <w:t xml:space="preserve"> telephone operator </w:t>
      </w:r>
      <w:r w:rsidR="008D0572" w:rsidRPr="001D458E">
        <w:t xml:space="preserve">was transformed </w:t>
      </w:r>
      <w:r w:rsidR="008D0572" w:rsidRPr="001D458E">
        <w:rPr>
          <w:rFonts w:hint="eastAsia"/>
        </w:rPr>
        <w:t xml:space="preserve">from a state actor to a private </w:t>
      </w:r>
      <w:r w:rsidR="008D0572" w:rsidRPr="001D458E">
        <w:t>one</w:t>
      </w:r>
      <w:r w:rsidR="008D0572" w:rsidRPr="001D458E">
        <w:rPr>
          <w:rFonts w:hint="eastAsia"/>
        </w:rPr>
        <w:t>. T</w:t>
      </w:r>
      <w:r w:rsidR="008D0572" w:rsidRPr="001D458E">
        <w:t>he regulatory government ministry, the MPT,</w:t>
      </w:r>
      <w:r w:rsidR="008D0572" w:rsidRPr="001D458E">
        <w:rPr>
          <w:rFonts w:hint="eastAsia"/>
        </w:rPr>
        <w:t xml:space="preserve"> then emerged as a new state actor</w:t>
      </w:r>
      <w:r w:rsidR="008D0572" w:rsidRPr="001D458E">
        <w:t xml:space="preserve"> with significant regulatory authority</w:t>
      </w:r>
      <w:r w:rsidR="008D0572" w:rsidRPr="001D458E">
        <w:rPr>
          <w:rFonts w:hint="eastAsia"/>
        </w:rPr>
        <w:t xml:space="preserve">. </w:t>
      </w:r>
      <w:r w:rsidR="008D0572" w:rsidRPr="001D458E">
        <w:t>A</w:t>
      </w:r>
      <w:r w:rsidR="008D0572" w:rsidRPr="001D458E">
        <w:rPr>
          <w:rFonts w:hint="eastAsia"/>
        </w:rPr>
        <w:t>nother state actor, party politicians</w:t>
      </w:r>
      <w:r w:rsidR="008D0572" w:rsidRPr="001D458E">
        <w:t xml:space="preserve"> including those in the LDP</w:t>
      </w:r>
      <w:r w:rsidR="008D0572" w:rsidRPr="001D458E">
        <w:rPr>
          <w:rFonts w:hint="eastAsia"/>
        </w:rPr>
        <w:t>, ha</w:t>
      </w:r>
      <w:r w:rsidR="00F878EE">
        <w:t>s</w:t>
      </w:r>
      <w:r w:rsidR="008D0572" w:rsidRPr="001D458E">
        <w:rPr>
          <w:rFonts w:hint="eastAsia"/>
        </w:rPr>
        <w:t xml:space="preserve"> dominated the </w:t>
      </w:r>
      <w:r w:rsidR="008D0572" w:rsidRPr="001D458E">
        <w:t xml:space="preserve">key </w:t>
      </w:r>
      <w:r w:rsidR="008D0572" w:rsidRPr="001D458E">
        <w:rPr>
          <w:rFonts w:hint="eastAsia"/>
        </w:rPr>
        <w:t xml:space="preserve">decision making process, </w:t>
      </w:r>
      <w:r w:rsidR="008D0572" w:rsidRPr="001D458E">
        <w:t>although</w:t>
      </w:r>
      <w:r w:rsidR="008D0572" w:rsidRPr="001D458E">
        <w:rPr>
          <w:rFonts w:hint="eastAsia"/>
        </w:rPr>
        <w:t xml:space="preserve"> th</w:t>
      </w:r>
      <w:r w:rsidR="008D0572" w:rsidRPr="001D458E">
        <w:t>eir role in the detail of regulatory policies has been limited</w:t>
      </w:r>
      <w:r w:rsidR="008D0572" w:rsidRPr="001D458E">
        <w:rPr>
          <w:rFonts w:hint="eastAsia"/>
        </w:rPr>
        <w:t xml:space="preserve"> in line with Smith</w:t>
      </w:r>
      <w:r w:rsidR="008D0572" w:rsidRPr="001D458E">
        <w:t>’</w:t>
      </w:r>
      <w:r w:rsidR="008D0572" w:rsidRPr="001D458E">
        <w:rPr>
          <w:rFonts w:hint="eastAsia"/>
        </w:rPr>
        <w:t>s (1999 p.125) analysis</w:t>
      </w:r>
      <w:r w:rsidR="008D0572" w:rsidRPr="001D458E">
        <w:t>.</w:t>
      </w:r>
      <w:r w:rsidR="008D0572" w:rsidRPr="001D458E">
        <w:rPr>
          <w:rFonts w:hint="eastAsia"/>
        </w:rPr>
        <w:t xml:space="preserve"> </w:t>
      </w:r>
      <w:r w:rsidR="008D0572" w:rsidRPr="001D458E">
        <w:t>T</w:t>
      </w:r>
      <w:r w:rsidR="008D0572" w:rsidRPr="001D458E">
        <w:rPr>
          <w:rFonts w:hint="eastAsia"/>
        </w:rPr>
        <w:t xml:space="preserve">he </w:t>
      </w:r>
      <w:r w:rsidR="008D0572" w:rsidRPr="001D458E">
        <w:t>rise</w:t>
      </w:r>
      <w:r w:rsidR="008D0572" w:rsidRPr="001D458E">
        <w:rPr>
          <w:rFonts w:hint="eastAsia"/>
        </w:rPr>
        <w:t xml:space="preserve"> of party politicians</w:t>
      </w:r>
      <w:r w:rsidR="008D0572" w:rsidRPr="001D458E">
        <w:t xml:space="preserve"> in the Cabinet</w:t>
      </w:r>
      <w:r w:rsidR="008D0572" w:rsidRPr="001D458E">
        <w:rPr>
          <w:rFonts w:hint="eastAsia"/>
        </w:rPr>
        <w:t>, Cabinet M</w:t>
      </w:r>
      <w:r w:rsidR="008D0572" w:rsidRPr="001D458E">
        <w:t>i</w:t>
      </w:r>
      <w:r w:rsidR="008D0572" w:rsidRPr="001D458E">
        <w:rPr>
          <w:rFonts w:hint="eastAsia"/>
        </w:rPr>
        <w:t xml:space="preserve">nisters in particular, has </w:t>
      </w:r>
      <w:r w:rsidR="008D0572" w:rsidRPr="001D458E">
        <w:t xml:space="preserve">resulted in an </w:t>
      </w:r>
      <w:r w:rsidR="008D0572" w:rsidRPr="001D458E">
        <w:rPr>
          <w:rFonts w:hint="eastAsia"/>
        </w:rPr>
        <w:t xml:space="preserve">unstable </w:t>
      </w:r>
      <w:r w:rsidR="008D0572" w:rsidRPr="001D458E">
        <w:t xml:space="preserve">situation </w:t>
      </w:r>
      <w:r w:rsidR="008D0572" w:rsidRPr="001D458E">
        <w:rPr>
          <w:rFonts w:hint="eastAsia"/>
        </w:rPr>
        <w:t>rather than the emergence of a new order.</w:t>
      </w:r>
    </w:p>
    <w:p w14:paraId="4DAC007F" w14:textId="77777777" w:rsidR="008D0572" w:rsidRPr="001D458E" w:rsidRDefault="008D0572" w:rsidP="008D0572">
      <w:pPr>
        <w:ind w:firstLine="284"/>
      </w:pPr>
      <w:r w:rsidRPr="001D458E">
        <w:rPr>
          <w:rFonts w:hint="eastAsia"/>
        </w:rPr>
        <w:t>The key to analys</w:t>
      </w:r>
      <w:r w:rsidR="00F878EE">
        <w:t>ing</w:t>
      </w:r>
      <w:r w:rsidRPr="001D458E">
        <w:rPr>
          <w:rFonts w:hint="eastAsia"/>
        </w:rPr>
        <w:t xml:space="preserve"> the transformative process is p</w:t>
      </w:r>
      <w:r w:rsidRPr="001D458E">
        <w:t>ower relations within the core executive</w:t>
      </w:r>
      <w:r w:rsidRPr="001D458E">
        <w:rPr>
          <w:rFonts w:hint="eastAsia"/>
        </w:rPr>
        <w:t xml:space="preserve">. The fluid change of power within the core executive has led to the adaptation of the state to the change of circumstances. Prioritising the principal-agent regulation as the key tool to control the ICT came with the rise of the regulatory </w:t>
      </w:r>
      <w:r w:rsidRPr="001D458E">
        <w:t>ministry</w:t>
      </w:r>
      <w:r w:rsidRPr="001D458E">
        <w:rPr>
          <w:rFonts w:hint="eastAsia"/>
        </w:rPr>
        <w:t xml:space="preserve"> (MPT) and its power. Another example is the change of power within the group of party politicians (the decline of ruling party politicians outside the Cabinet and the rise of Cabinet Ministers). Together with government change in 2009</w:t>
      </w:r>
      <w:r w:rsidR="009734AE">
        <w:t>,</w:t>
      </w:r>
      <w:r w:rsidRPr="001D458E">
        <w:rPr>
          <w:rFonts w:hint="eastAsia"/>
        </w:rPr>
        <w:t xml:space="preserve"> the change of power within the group of party politicians resulted in an unstable situation with no strategist actor. However, a</w:t>
      </w:r>
      <w:r w:rsidR="007954AB">
        <w:rPr>
          <w:rFonts w:hint="eastAsia"/>
          <w:lang w:eastAsia="ja-JP"/>
        </w:rPr>
        <w:t>s</w:t>
      </w:r>
      <w:r w:rsidRPr="001D458E">
        <w:rPr>
          <w:rFonts w:hint="eastAsia"/>
        </w:rPr>
        <w:t xml:space="preserve"> the key decision maker</w:t>
      </w:r>
      <w:r w:rsidR="009734AE">
        <w:t>,</w:t>
      </w:r>
      <w:r w:rsidRPr="001D458E">
        <w:rPr>
          <w:rFonts w:hint="eastAsia"/>
        </w:rPr>
        <w:t xml:space="preserve"> party politicians have successfully retained their control of the ICT sector. </w:t>
      </w:r>
      <w:r w:rsidRPr="001D458E">
        <w:t>T</w:t>
      </w:r>
      <w:r w:rsidRPr="001D458E">
        <w:rPr>
          <w:rFonts w:hint="eastAsia"/>
        </w:rPr>
        <w:t>he relationship between party politicians and civil servants in Japan</w:t>
      </w:r>
      <w:r w:rsidRPr="001D458E">
        <w:t>’</w:t>
      </w:r>
      <w:r w:rsidRPr="001D458E">
        <w:rPr>
          <w:rFonts w:hint="eastAsia"/>
        </w:rPr>
        <w:t xml:space="preserve">s ICT sector </w:t>
      </w:r>
      <w:r w:rsidR="009734AE">
        <w:t>is analogous</w:t>
      </w:r>
      <w:r w:rsidRPr="001D458E">
        <w:rPr>
          <w:rFonts w:hint="eastAsia"/>
        </w:rPr>
        <w:t xml:space="preserve"> to Smith</w:t>
      </w:r>
      <w:r w:rsidRPr="001D458E">
        <w:t>’</w:t>
      </w:r>
      <w:r w:rsidRPr="001D458E">
        <w:rPr>
          <w:rFonts w:hint="eastAsia"/>
        </w:rPr>
        <w:t xml:space="preserve">s (1999 p.125-8) analysis of the interdependence of the civil service-minister relationship. </w:t>
      </w:r>
      <w:r w:rsidR="009734AE">
        <w:t>He argues</w:t>
      </w:r>
      <w:r w:rsidRPr="001D458E">
        <w:rPr>
          <w:rFonts w:hint="eastAsia"/>
        </w:rPr>
        <w:t xml:space="preserve"> (p.125):</w:t>
      </w:r>
    </w:p>
    <w:p w14:paraId="5A9BE1E6" w14:textId="77777777" w:rsidR="008D0572" w:rsidRPr="001D458E" w:rsidRDefault="008D0572" w:rsidP="008D0572"/>
    <w:p w14:paraId="293625A0" w14:textId="77777777" w:rsidR="00495655" w:rsidRDefault="008D0572" w:rsidP="005B18BE">
      <w:pPr>
        <w:pStyle w:val="Quote"/>
      </w:pPr>
      <w:r w:rsidRPr="001D458E">
        <w:rPr>
          <w:rFonts w:hint="eastAsia"/>
        </w:rPr>
        <w:t xml:space="preserve">Ministers and officials need each other because of their different resources and different structural positions. Ministers need officials to reproduce the Whitehall game and its constitutional foundations. Officials need ministers to act and to provide legitimacy, political support and finance for the work of the department. The different structural positions produce </w:t>
      </w:r>
      <w:r w:rsidRPr="001D458E">
        <w:t>different</w:t>
      </w:r>
      <w:r w:rsidRPr="001D458E">
        <w:rPr>
          <w:rFonts w:hint="eastAsia"/>
        </w:rPr>
        <w:t xml:space="preserve"> advantages. Officials do have control over the bureaucratic machinery and have the time to control most of what goes on in a department. Ministers can only pay attention to a limited number of issues. Therefore, officials have the discretion to act where the ministerial light does not shine. However, once a minister pays attention to an issue it is extremely difficult for the civil service to thwart him or her, and indeed there is more prestige in achieving the minister</w:t>
      </w:r>
      <w:r w:rsidRPr="001D458E">
        <w:t>’</w:t>
      </w:r>
      <w:r w:rsidRPr="001D458E">
        <w:rPr>
          <w:rFonts w:hint="eastAsia"/>
        </w:rPr>
        <w:t>s goal.</w:t>
      </w:r>
    </w:p>
    <w:p w14:paraId="1D4E2246" w14:textId="77777777" w:rsidR="008D0572" w:rsidRPr="001D458E" w:rsidRDefault="008D0572" w:rsidP="008D0572"/>
    <w:p w14:paraId="5985A547" w14:textId="77777777" w:rsidR="008D0572" w:rsidRPr="001D458E" w:rsidRDefault="008D0572" w:rsidP="003370E5">
      <w:pPr>
        <w:ind w:firstLine="284"/>
      </w:pPr>
      <w:r w:rsidRPr="001D458E">
        <w:t>A</w:t>
      </w:r>
      <w:r w:rsidRPr="001D458E">
        <w:rPr>
          <w:rFonts w:hint="eastAsia"/>
        </w:rPr>
        <w:t xml:space="preserve"> similar relationship can be observed in the relationship between party politicians (both outside and inside the Cabinet) and civil servants in the MPT/MIC. The significant regulatory authority obtained by the MPT after 1985 needed legitimacy and political support by ruling party politicians. In line with Smith</w:t>
      </w:r>
      <w:r w:rsidRPr="001D458E">
        <w:t>’</w:t>
      </w:r>
      <w:r w:rsidRPr="001D458E">
        <w:rPr>
          <w:rFonts w:hint="eastAsia"/>
        </w:rPr>
        <w:t xml:space="preserve">s (1999) analysis, MPT/MIC officials could exercise significant </w:t>
      </w:r>
      <w:r w:rsidRPr="001D458E">
        <w:t>discretion</w:t>
      </w:r>
      <w:r w:rsidR="004E7190">
        <w:rPr>
          <w:rFonts w:eastAsia="MS Mincho" w:hint="eastAsia"/>
          <w:lang w:eastAsia="ja-JP"/>
        </w:rPr>
        <w:t xml:space="preserve"> (Vogel 1996)</w:t>
      </w:r>
      <w:r w:rsidRPr="001D458E">
        <w:rPr>
          <w:rFonts w:hint="eastAsia"/>
        </w:rPr>
        <w:t xml:space="preserve"> as long as ruling party politicians did not pay attention. However, once ruling party politicians heed</w:t>
      </w:r>
      <w:r w:rsidR="008E39C3">
        <w:t>ed</w:t>
      </w:r>
      <w:r w:rsidRPr="001D458E">
        <w:rPr>
          <w:rFonts w:hint="eastAsia"/>
        </w:rPr>
        <w:t xml:space="preserve"> an issue, preventing them from intervening was difficult. The power change within party politicians (from those outside the Cabinet to Cabinet Ministers) d</w:t>
      </w:r>
      <w:r w:rsidR="003370E5">
        <w:t>id</w:t>
      </w:r>
      <w:r w:rsidRPr="001D458E">
        <w:rPr>
          <w:rFonts w:hint="eastAsia"/>
        </w:rPr>
        <w:t xml:space="preserve"> not have a significant impact on this interdependence between party politicians and civil servants. Rather, it can be understood as party politicians</w:t>
      </w:r>
      <w:r w:rsidRPr="001D458E">
        <w:t>’</w:t>
      </w:r>
      <w:r w:rsidRPr="001D458E">
        <w:rPr>
          <w:rFonts w:hint="eastAsia"/>
        </w:rPr>
        <w:t xml:space="preserve"> flexible response to the circumstantial change; they have retained their dominance by changing their key actors within their group. </w:t>
      </w:r>
    </w:p>
    <w:p w14:paraId="77228A6D" w14:textId="77777777" w:rsidR="008D0572" w:rsidRPr="001D458E" w:rsidRDefault="008D0572" w:rsidP="008D0572">
      <w:pPr>
        <w:ind w:firstLine="284"/>
      </w:pPr>
      <w:r w:rsidRPr="001D458E">
        <w:rPr>
          <w:rFonts w:hint="eastAsia"/>
        </w:rPr>
        <w:t>The change in Japan</w:t>
      </w:r>
      <w:r w:rsidRPr="001D458E">
        <w:t>’</w:t>
      </w:r>
      <w:r w:rsidRPr="001D458E">
        <w:rPr>
          <w:rFonts w:hint="eastAsia"/>
        </w:rPr>
        <w:t>s ICT sector between the 1980s and 2000s has been evolutionary rather than revolutionary. If Mahoney and Thelen</w:t>
      </w:r>
      <w:r w:rsidRPr="001D458E">
        <w:t>’</w:t>
      </w:r>
      <w:r w:rsidRPr="001D458E">
        <w:rPr>
          <w:rFonts w:hint="eastAsia"/>
        </w:rPr>
        <w:t>s (2010) typology is employed, what has emerged was a shift from displacement to conversion, except for the case of NTT breakup in the 1990s, in which the change mode can be understood as drift with the NTT</w:t>
      </w:r>
      <w:r w:rsidRPr="001D458E">
        <w:t>’</w:t>
      </w:r>
      <w:r w:rsidRPr="001D458E">
        <w:rPr>
          <w:rFonts w:hint="eastAsia"/>
        </w:rPr>
        <w:t xml:space="preserve">s strong resistance. The regulatory reform in 1985 was under the mode of displacement; few strong opponents existed in </w:t>
      </w:r>
      <w:r w:rsidR="005A7DB2">
        <w:t xml:space="preserve">the </w:t>
      </w:r>
      <w:r w:rsidRPr="001D458E">
        <w:rPr>
          <w:rFonts w:hint="eastAsia"/>
        </w:rPr>
        <w:t xml:space="preserve">political arena and the clear policy goal (privatisation) allowed the targeted institution (the NTT and the MPT) to have a limited scope of </w:t>
      </w:r>
      <w:r w:rsidRPr="001D458E">
        <w:t>discretion</w:t>
      </w:r>
      <w:r w:rsidRPr="001D458E">
        <w:rPr>
          <w:rFonts w:hint="eastAsia"/>
        </w:rPr>
        <w:t xml:space="preserve"> in interpretation and enforcement. The </w:t>
      </w:r>
      <w:r w:rsidRPr="001D458E">
        <w:t>continuous</w:t>
      </w:r>
      <w:r w:rsidRPr="001D458E">
        <w:rPr>
          <w:rFonts w:hint="eastAsia"/>
        </w:rPr>
        <w:t xml:space="preserve"> dominance of ruling party politicians (typically Liberal Democrats) and the emergence of the MPT/MIC changed this mode; the </w:t>
      </w:r>
      <w:r w:rsidRPr="001D458E">
        <w:t>veto</w:t>
      </w:r>
      <w:r w:rsidRPr="001D458E">
        <w:rPr>
          <w:rFonts w:hint="eastAsia"/>
        </w:rPr>
        <w:t xml:space="preserve"> power of the </w:t>
      </w:r>
      <w:r w:rsidRPr="001D458E">
        <w:t>opponents</w:t>
      </w:r>
      <w:r w:rsidRPr="001D458E">
        <w:rPr>
          <w:rFonts w:hint="eastAsia"/>
        </w:rPr>
        <w:t xml:space="preserve"> has been weak, but the discretion in interpretation and </w:t>
      </w:r>
      <w:r w:rsidRPr="001D458E">
        <w:t>enforcement</w:t>
      </w:r>
      <w:r w:rsidRPr="001D458E">
        <w:rPr>
          <w:rFonts w:hint="eastAsia"/>
        </w:rPr>
        <w:t xml:space="preserve"> given to the targeted institution (ICT regulation) has become significant. </w:t>
      </w:r>
      <w:r w:rsidRPr="001D458E">
        <w:t>T</w:t>
      </w:r>
      <w:r w:rsidRPr="001D458E">
        <w:rPr>
          <w:rFonts w:hint="eastAsia"/>
        </w:rPr>
        <w:t xml:space="preserve">his set of </w:t>
      </w:r>
      <w:r w:rsidRPr="001D458E">
        <w:t>circumstantial</w:t>
      </w:r>
      <w:r w:rsidRPr="001D458E">
        <w:rPr>
          <w:rFonts w:hint="eastAsia"/>
        </w:rPr>
        <w:t xml:space="preserve"> changes shifted the mode of change from displacement to conversion. </w:t>
      </w:r>
      <w:r w:rsidRPr="001D458E">
        <w:t>A</w:t>
      </w:r>
      <w:r w:rsidRPr="001D458E">
        <w:rPr>
          <w:rFonts w:hint="eastAsia"/>
        </w:rPr>
        <w:t xml:space="preserve"> key to understand</w:t>
      </w:r>
      <w:r w:rsidR="005A7DB2">
        <w:t>ing</w:t>
      </w:r>
      <w:r w:rsidRPr="001D458E">
        <w:rPr>
          <w:rFonts w:hint="eastAsia"/>
        </w:rPr>
        <w:t xml:space="preserve"> this shift of modes is the </w:t>
      </w:r>
      <w:r w:rsidRPr="001D458E">
        <w:t>continuous</w:t>
      </w:r>
      <w:r w:rsidRPr="001D458E">
        <w:rPr>
          <w:rFonts w:hint="eastAsia"/>
        </w:rPr>
        <w:t xml:space="preserve"> politicisation of Japan</w:t>
      </w:r>
      <w:r w:rsidRPr="001D458E">
        <w:t>’</w:t>
      </w:r>
      <w:r w:rsidRPr="001D458E">
        <w:rPr>
          <w:rFonts w:hint="eastAsia"/>
        </w:rPr>
        <w:t xml:space="preserve">s ICT sector; the </w:t>
      </w:r>
      <w:r w:rsidR="006E1931">
        <w:t xml:space="preserve">on-going </w:t>
      </w:r>
      <w:r w:rsidRPr="001D458E">
        <w:rPr>
          <w:rFonts w:hint="eastAsia"/>
        </w:rPr>
        <w:t xml:space="preserve">dominance of party politicians in the sector has </w:t>
      </w:r>
      <w:r w:rsidR="006E1931" w:rsidRPr="001D458E">
        <w:rPr>
          <w:rFonts w:hint="eastAsia"/>
        </w:rPr>
        <w:t>de</w:t>
      </w:r>
      <w:r w:rsidR="006E1931">
        <w:t>termined</w:t>
      </w:r>
      <w:r w:rsidR="006E1931" w:rsidRPr="001D458E">
        <w:rPr>
          <w:rFonts w:hint="eastAsia"/>
        </w:rPr>
        <w:t xml:space="preserve"> </w:t>
      </w:r>
      <w:r w:rsidRPr="001D458E">
        <w:rPr>
          <w:rFonts w:hint="eastAsia"/>
        </w:rPr>
        <w:t xml:space="preserve">the change </w:t>
      </w:r>
      <w:r w:rsidR="005A7DB2">
        <w:t>in</w:t>
      </w:r>
      <w:r w:rsidRPr="001D458E">
        <w:rPr>
          <w:rFonts w:hint="eastAsia"/>
        </w:rPr>
        <w:t xml:space="preserve"> the ICT sector.</w:t>
      </w:r>
    </w:p>
    <w:p w14:paraId="03257E8C" w14:textId="64F23082" w:rsidR="008D0572" w:rsidRPr="001D458E" w:rsidRDefault="008D0572" w:rsidP="00BF2553">
      <w:pPr>
        <w:ind w:firstLine="284"/>
      </w:pPr>
      <w:r w:rsidRPr="001D458E">
        <w:rPr>
          <w:rFonts w:hint="eastAsia"/>
        </w:rPr>
        <w:t>The question of the independent regulator offers a</w:t>
      </w:r>
      <w:r w:rsidR="001F0520">
        <w:t>n</w:t>
      </w:r>
      <w:r w:rsidRPr="001D458E">
        <w:rPr>
          <w:rFonts w:hint="eastAsia"/>
        </w:rPr>
        <w:t xml:space="preserve"> insight into the Japanese state</w:t>
      </w:r>
      <w:r w:rsidRPr="001D458E">
        <w:t>’</w:t>
      </w:r>
      <w:r w:rsidRPr="001D458E">
        <w:rPr>
          <w:rFonts w:hint="eastAsia"/>
        </w:rPr>
        <w:t>s development. There are two major reasons why the notion of establishing an ICT regulator has been strongly rejected by Japan</w:t>
      </w:r>
      <w:r w:rsidRPr="001D458E">
        <w:t>’</w:t>
      </w:r>
      <w:r w:rsidRPr="001D458E">
        <w:rPr>
          <w:rFonts w:hint="eastAsia"/>
        </w:rPr>
        <w:t xml:space="preserve">s core executive. The first is the significant resentment towards the independent commissions formed in the </w:t>
      </w:r>
      <w:r w:rsidRPr="001D458E">
        <w:t xml:space="preserve">late </w:t>
      </w:r>
      <w:r w:rsidRPr="001D458E">
        <w:rPr>
          <w:rFonts w:hint="eastAsia"/>
        </w:rPr>
        <w:t>1940s in Japan. Introduced by the SCAP, the independent commissions had difficult</w:t>
      </w:r>
      <w:r w:rsidRPr="001D458E">
        <w:t>y</w:t>
      </w:r>
      <w:r w:rsidRPr="001D458E">
        <w:rPr>
          <w:rFonts w:hint="eastAsia"/>
        </w:rPr>
        <w:t xml:space="preserve"> in integrating into Japan</w:t>
      </w:r>
      <w:r w:rsidRPr="001D458E">
        <w:t>’</w:t>
      </w:r>
      <w:r w:rsidRPr="001D458E">
        <w:rPr>
          <w:rFonts w:hint="eastAsia"/>
        </w:rPr>
        <w:t>s institutional structure</w:t>
      </w:r>
      <w:r w:rsidR="004E7190">
        <w:rPr>
          <w:rFonts w:eastAsia="MS Mincho" w:hint="eastAsia"/>
          <w:lang w:eastAsia="ja-JP"/>
        </w:rPr>
        <w:t>;</w:t>
      </w:r>
      <w:r w:rsidRPr="001D458E">
        <w:rPr>
          <w:rFonts w:hint="eastAsia"/>
        </w:rPr>
        <w:t xml:space="preserve"> </w:t>
      </w:r>
      <w:r w:rsidR="006E1931">
        <w:t xml:space="preserve">they were </w:t>
      </w:r>
      <w:r w:rsidRPr="001D458E">
        <w:rPr>
          <w:rFonts w:hint="eastAsia"/>
        </w:rPr>
        <w:t xml:space="preserve">regarded as inadequate for policy making </w:t>
      </w:r>
      <w:r w:rsidR="006E1931">
        <w:t>and so they</w:t>
      </w:r>
      <w:r w:rsidRPr="001D458E">
        <w:rPr>
          <w:rFonts w:hint="eastAsia"/>
        </w:rPr>
        <w:t xml:space="preserve"> became a target of the administrative reform and </w:t>
      </w:r>
      <w:r w:rsidR="006E1931">
        <w:t xml:space="preserve">subsequent </w:t>
      </w:r>
      <w:r w:rsidRPr="001D458E">
        <w:rPr>
          <w:rFonts w:hint="eastAsia"/>
        </w:rPr>
        <w:t>cut</w:t>
      </w:r>
      <w:r w:rsidR="006E1931">
        <w:t>s</w:t>
      </w:r>
      <w:r w:rsidRPr="001D458E">
        <w:rPr>
          <w:rFonts w:hint="eastAsia"/>
        </w:rPr>
        <w:t>. T</w:t>
      </w:r>
      <w:r w:rsidRPr="001D458E">
        <w:t>h</w:t>
      </w:r>
      <w:r w:rsidRPr="001D458E">
        <w:rPr>
          <w:rFonts w:hint="eastAsia"/>
        </w:rPr>
        <w:t xml:space="preserve">is </w:t>
      </w:r>
      <w:r w:rsidRPr="001D458E">
        <w:t>process created</w:t>
      </w:r>
      <w:r w:rsidRPr="001D458E">
        <w:rPr>
          <w:rFonts w:hint="eastAsia"/>
        </w:rPr>
        <w:t xml:space="preserve"> a significantly negative </w:t>
      </w:r>
      <w:r w:rsidR="006E1931">
        <w:t>outlook towards</w:t>
      </w:r>
      <w:r w:rsidR="006E1931" w:rsidRPr="001D458E">
        <w:rPr>
          <w:rFonts w:hint="eastAsia"/>
        </w:rPr>
        <w:t xml:space="preserve"> </w:t>
      </w:r>
      <w:r w:rsidRPr="001D458E">
        <w:rPr>
          <w:rFonts w:hint="eastAsia"/>
        </w:rPr>
        <w:t>independent regulators, among civil servants in particular. T</w:t>
      </w:r>
      <w:r w:rsidRPr="001D458E">
        <w:t>h</w:t>
      </w:r>
      <w:r w:rsidRPr="001D458E">
        <w:rPr>
          <w:rFonts w:hint="eastAsia"/>
        </w:rPr>
        <w:t xml:space="preserve">is can be understood as an example of a negative view created by a path dependent sequence; the negative outcome of the initial event in the 1950s has </w:t>
      </w:r>
      <w:r w:rsidR="006E1931">
        <w:t xml:space="preserve">shaped </w:t>
      </w:r>
      <w:r w:rsidRPr="001D458E">
        <w:rPr>
          <w:rFonts w:hint="eastAsia"/>
        </w:rPr>
        <w:t xml:space="preserve">the successive sequence of events. </w:t>
      </w:r>
      <w:r w:rsidRPr="001D458E">
        <w:t>T</w:t>
      </w:r>
      <w:r w:rsidRPr="001D458E">
        <w:rPr>
          <w:rFonts w:hint="eastAsia"/>
        </w:rPr>
        <w:t>he second is the importance of party politicians</w:t>
      </w:r>
      <w:r w:rsidRPr="001D458E">
        <w:t>’ role</w:t>
      </w:r>
      <w:r w:rsidRPr="001D458E">
        <w:rPr>
          <w:rFonts w:hint="eastAsia"/>
        </w:rPr>
        <w:t xml:space="preserve"> in the policy making process. Because a significant portion of regulatory policies need to be written in law, mobilising the Diet is vital in Japan</w:t>
      </w:r>
      <w:r w:rsidRPr="001D458E">
        <w:t>’</w:t>
      </w:r>
      <w:r w:rsidRPr="001D458E">
        <w:rPr>
          <w:rFonts w:hint="eastAsia"/>
        </w:rPr>
        <w:t>s regulatory policy process. T</w:t>
      </w:r>
      <w:r w:rsidRPr="001D458E">
        <w:t>h</w:t>
      </w:r>
      <w:r w:rsidRPr="001D458E">
        <w:rPr>
          <w:rFonts w:hint="eastAsia"/>
        </w:rPr>
        <w:t xml:space="preserve">is mechanism makes the role of party politicians important, and a strong connection with party politicians is generally regarded as crucial for civil servants. </w:t>
      </w:r>
      <w:r w:rsidRPr="001D458E">
        <w:t>Party politicians also have imposed their will on specific issues</w:t>
      </w:r>
      <w:r w:rsidRPr="001D458E">
        <w:rPr>
          <w:rFonts w:hint="eastAsia"/>
        </w:rPr>
        <w:t xml:space="preserve">, some of which contribute to their own self interests rather than the public. The internal change of power relations between party politicians </w:t>
      </w:r>
      <w:r w:rsidRPr="001D458E">
        <w:t>–</w:t>
      </w:r>
      <w:r w:rsidRPr="001D458E">
        <w:rPr>
          <w:rFonts w:hint="eastAsia"/>
        </w:rPr>
        <w:t xml:space="preserve"> the rise of Cabinet Ministers and the decline of party politicians outside the Cabinet </w:t>
      </w:r>
      <w:r w:rsidRPr="001D458E">
        <w:t>–</w:t>
      </w:r>
      <w:r w:rsidR="004031A0">
        <w:rPr>
          <w:rFonts w:hint="eastAsia"/>
          <w:lang w:eastAsia="ja-JP"/>
        </w:rPr>
        <w:t xml:space="preserve"> </w:t>
      </w:r>
      <w:r w:rsidRPr="001D458E">
        <w:rPr>
          <w:rFonts w:hint="eastAsia"/>
        </w:rPr>
        <w:t>has not eroded the power of party politicians as a whole. Instead, t</w:t>
      </w:r>
      <w:r w:rsidRPr="001D458E">
        <w:t>h</w:t>
      </w:r>
      <w:r w:rsidRPr="001D458E">
        <w:rPr>
          <w:rFonts w:hint="eastAsia"/>
        </w:rPr>
        <w:t xml:space="preserve">is change of power relations has created a different impact in the regulatory policy arena. The emerging power of Cabinet Ministers has rendered the situation unstable rather than resettled in a new order, because </w:t>
      </w:r>
      <w:r w:rsidRPr="001D458E">
        <w:t>Cabinet Ministers have</w:t>
      </w:r>
      <w:r w:rsidRPr="001D458E">
        <w:rPr>
          <w:rFonts w:hint="eastAsia"/>
        </w:rPr>
        <w:t xml:space="preserve"> not taken over the previous role played by civil servants including strategic decision making. C</w:t>
      </w:r>
      <w:r w:rsidRPr="001D458E">
        <w:t xml:space="preserve">hoosing a ministerial regulator </w:t>
      </w:r>
      <w:r w:rsidRPr="001D458E">
        <w:rPr>
          <w:rFonts w:hint="eastAsia"/>
        </w:rPr>
        <w:t xml:space="preserve">can be considered as a result of </w:t>
      </w:r>
      <w:r w:rsidRPr="001D458E">
        <w:t xml:space="preserve">Japan’s political tradition </w:t>
      </w:r>
      <w:r w:rsidR="00B30CB3">
        <w:rPr>
          <w:rFonts w:hint="eastAsia"/>
          <w:lang w:eastAsia="ja-JP"/>
        </w:rPr>
        <w:t>based on the core executive</w:t>
      </w:r>
      <w:r w:rsidR="00B30CB3">
        <w:rPr>
          <w:lang w:eastAsia="ja-JP"/>
        </w:rPr>
        <w:t>’</w:t>
      </w:r>
      <w:r w:rsidR="00B30CB3">
        <w:rPr>
          <w:rFonts w:hint="eastAsia"/>
          <w:lang w:eastAsia="ja-JP"/>
        </w:rPr>
        <w:t>s preference</w:t>
      </w:r>
      <w:r w:rsidR="00684E7B">
        <w:rPr>
          <w:rFonts w:hint="eastAsia"/>
          <w:lang w:eastAsia="ja-JP"/>
        </w:rPr>
        <w:t>. Most independent administrative commissions established in the late 1940s under the SCAP</w:t>
      </w:r>
      <w:r w:rsidR="00684E7B">
        <w:rPr>
          <w:lang w:eastAsia="ja-JP"/>
        </w:rPr>
        <w:t>’</w:t>
      </w:r>
      <w:r w:rsidR="00684E7B">
        <w:rPr>
          <w:rFonts w:hint="eastAsia"/>
          <w:lang w:eastAsia="ja-JP"/>
        </w:rPr>
        <w:t xml:space="preserve">s initiative failed to embed </w:t>
      </w:r>
      <w:r w:rsidR="00684E7B">
        <w:rPr>
          <w:lang w:eastAsia="ja-JP"/>
        </w:rPr>
        <w:t>themselves</w:t>
      </w:r>
      <w:r w:rsidR="00684E7B">
        <w:rPr>
          <w:rFonts w:hint="eastAsia"/>
          <w:lang w:eastAsia="ja-JP"/>
        </w:rPr>
        <w:t xml:space="preserve"> in Japan</w:t>
      </w:r>
      <w:r w:rsidR="00684E7B">
        <w:rPr>
          <w:lang w:eastAsia="ja-JP"/>
        </w:rPr>
        <w:t>’</w:t>
      </w:r>
      <w:r w:rsidR="00684E7B">
        <w:rPr>
          <w:rFonts w:hint="eastAsia"/>
          <w:lang w:eastAsia="ja-JP"/>
        </w:rPr>
        <w:t xml:space="preserve">s political tradition and </w:t>
      </w:r>
      <w:r w:rsidR="00391845">
        <w:rPr>
          <w:rFonts w:hint="eastAsia"/>
          <w:lang w:eastAsia="ja-JP"/>
        </w:rPr>
        <w:t xml:space="preserve">were </w:t>
      </w:r>
      <w:r w:rsidR="00684E7B">
        <w:rPr>
          <w:rFonts w:hint="eastAsia"/>
          <w:lang w:eastAsia="ja-JP"/>
        </w:rPr>
        <w:t>abolished in the 1950s. T</w:t>
      </w:r>
      <w:r w:rsidR="00684E7B">
        <w:rPr>
          <w:lang w:eastAsia="ja-JP"/>
        </w:rPr>
        <w:t>h</w:t>
      </w:r>
      <w:r w:rsidR="00684E7B">
        <w:rPr>
          <w:rFonts w:hint="eastAsia"/>
          <w:lang w:eastAsia="ja-JP"/>
        </w:rPr>
        <w:t>is experience shaped a negative perspective to</w:t>
      </w:r>
      <w:r w:rsidR="00391845">
        <w:rPr>
          <w:rFonts w:hint="eastAsia"/>
          <w:lang w:eastAsia="ja-JP"/>
        </w:rPr>
        <w:t>wards</w:t>
      </w:r>
      <w:r w:rsidR="00684E7B">
        <w:rPr>
          <w:rFonts w:hint="eastAsia"/>
          <w:lang w:eastAsia="ja-JP"/>
        </w:rPr>
        <w:t xml:space="preserve"> independent administrative commissions within the core executive. The impact of Japan</w:t>
      </w:r>
      <w:r w:rsidR="00684E7B">
        <w:rPr>
          <w:lang w:eastAsia="ja-JP"/>
        </w:rPr>
        <w:t>’</w:t>
      </w:r>
      <w:r w:rsidR="00684E7B">
        <w:rPr>
          <w:rFonts w:hint="eastAsia"/>
          <w:lang w:eastAsia="ja-JP"/>
        </w:rPr>
        <w:t>s independent administrative commissions</w:t>
      </w:r>
      <w:r w:rsidR="00684E7B">
        <w:rPr>
          <w:lang w:eastAsia="ja-JP"/>
        </w:rPr>
        <w:t>’</w:t>
      </w:r>
      <w:r w:rsidR="00684E7B">
        <w:rPr>
          <w:rFonts w:hint="eastAsia"/>
          <w:lang w:eastAsia="ja-JP"/>
        </w:rPr>
        <w:t xml:space="preserve"> failure in the 1940s and 1950s formed a path dependent sequence in Japan</w:t>
      </w:r>
      <w:r w:rsidR="00684E7B">
        <w:rPr>
          <w:lang w:eastAsia="ja-JP"/>
        </w:rPr>
        <w:t>’</w:t>
      </w:r>
      <w:r w:rsidR="00684E7B">
        <w:rPr>
          <w:rFonts w:hint="eastAsia"/>
          <w:lang w:eastAsia="ja-JP"/>
        </w:rPr>
        <w:t xml:space="preserve">s </w:t>
      </w:r>
      <w:r w:rsidR="009203EC">
        <w:rPr>
          <w:rFonts w:hint="eastAsia"/>
          <w:lang w:eastAsia="ja-JP"/>
        </w:rPr>
        <w:t>approach to form an ICT regulator. Other factors such as Japan</w:t>
      </w:r>
      <w:r w:rsidR="009203EC">
        <w:rPr>
          <w:lang w:eastAsia="ja-JP"/>
        </w:rPr>
        <w:t>’</w:t>
      </w:r>
      <w:r w:rsidR="009203EC">
        <w:rPr>
          <w:rFonts w:hint="eastAsia"/>
          <w:lang w:eastAsia="ja-JP"/>
        </w:rPr>
        <w:t xml:space="preserve">s legal tradition and the lack of a clear benefit to establish an </w:t>
      </w:r>
      <w:r w:rsidR="009203EC">
        <w:rPr>
          <w:lang w:eastAsia="ja-JP"/>
        </w:rPr>
        <w:t>independent</w:t>
      </w:r>
      <w:r w:rsidR="009203EC">
        <w:rPr>
          <w:rFonts w:hint="eastAsia"/>
          <w:lang w:eastAsia="ja-JP"/>
        </w:rPr>
        <w:t xml:space="preserve"> ICT regulator also contributed to retain</w:t>
      </w:r>
      <w:r w:rsidR="005A7DB2">
        <w:rPr>
          <w:lang w:eastAsia="ja-JP"/>
        </w:rPr>
        <w:t>ing</w:t>
      </w:r>
      <w:r w:rsidR="009203EC">
        <w:rPr>
          <w:rFonts w:hint="eastAsia"/>
          <w:lang w:eastAsia="ja-JP"/>
        </w:rPr>
        <w:t xml:space="preserve"> a ministerial ICT regulator. Given that </w:t>
      </w:r>
      <w:r w:rsidRPr="001D458E">
        <w:rPr>
          <w:rFonts w:hint="eastAsia"/>
        </w:rPr>
        <w:t xml:space="preserve">a significant extent of veto </w:t>
      </w:r>
      <w:r w:rsidR="009203EC">
        <w:rPr>
          <w:rFonts w:hint="eastAsia"/>
          <w:lang w:eastAsia="ja-JP"/>
        </w:rPr>
        <w:t xml:space="preserve">has existed </w:t>
      </w:r>
      <w:r w:rsidRPr="001D458E">
        <w:rPr>
          <w:rFonts w:hint="eastAsia"/>
        </w:rPr>
        <w:t xml:space="preserve">among the core executive actors (all of </w:t>
      </w:r>
      <w:r w:rsidR="009203EC">
        <w:rPr>
          <w:rFonts w:hint="eastAsia"/>
          <w:lang w:eastAsia="ja-JP"/>
        </w:rPr>
        <w:t>the core executive interviewees showed negative views</w:t>
      </w:r>
      <w:r w:rsidR="005954AC">
        <w:rPr>
          <w:rFonts w:hint="eastAsia"/>
          <w:lang w:eastAsia="ja-JP"/>
        </w:rPr>
        <w:t xml:space="preserve"> towards the idea of establishing an independent ICT regulator in Japan</w:t>
      </w:r>
      <w:r w:rsidRPr="001D458E">
        <w:rPr>
          <w:rFonts w:hint="eastAsia"/>
        </w:rPr>
        <w:t xml:space="preserve">), </w:t>
      </w:r>
      <w:r w:rsidR="009203EC">
        <w:rPr>
          <w:rFonts w:hint="eastAsia"/>
          <w:lang w:eastAsia="ja-JP"/>
        </w:rPr>
        <w:t>the responsible government ministry (MPT/MIC) has retained its regulatory function within its organisation</w:t>
      </w:r>
      <w:r w:rsidRPr="001D458E">
        <w:rPr>
          <w:rFonts w:hint="eastAsia"/>
        </w:rPr>
        <w:t>.</w:t>
      </w:r>
    </w:p>
    <w:p w14:paraId="50747994" w14:textId="77777777" w:rsidR="006E1931" w:rsidRDefault="008D0572" w:rsidP="008D0572">
      <w:pPr>
        <w:ind w:firstLine="284"/>
      </w:pPr>
      <w:r w:rsidRPr="001D458E">
        <w:rPr>
          <w:rFonts w:hint="eastAsia"/>
        </w:rPr>
        <w:t xml:space="preserve">This has affected the capacity of the regulator. </w:t>
      </w:r>
      <w:r w:rsidRPr="001D458E">
        <w:t xml:space="preserve">The views of many interviewees focused on </w:t>
      </w:r>
      <w:r w:rsidRPr="001D458E">
        <w:rPr>
          <w:rFonts w:hint="eastAsia"/>
        </w:rPr>
        <w:t xml:space="preserve">the </w:t>
      </w:r>
      <w:r w:rsidRPr="001D458E">
        <w:t xml:space="preserve">capacity of </w:t>
      </w:r>
      <w:r w:rsidRPr="001D458E">
        <w:rPr>
          <w:rFonts w:hint="eastAsia"/>
        </w:rPr>
        <w:t>the government ministry (MPT/MIC) and its civil servants. T</w:t>
      </w:r>
      <w:r w:rsidRPr="001D458E">
        <w:t>h</w:t>
      </w:r>
      <w:r w:rsidRPr="001D458E">
        <w:rPr>
          <w:rFonts w:hint="eastAsia"/>
        </w:rPr>
        <w:t xml:space="preserve">is </w:t>
      </w:r>
      <w:r w:rsidRPr="001D458E">
        <w:t xml:space="preserve">understanding </w:t>
      </w:r>
      <w:r w:rsidRPr="001D458E">
        <w:rPr>
          <w:rFonts w:hint="eastAsia"/>
        </w:rPr>
        <w:t xml:space="preserve">creates a strong association </w:t>
      </w:r>
      <w:r w:rsidRPr="001D458E">
        <w:t>of</w:t>
      </w:r>
      <w:r w:rsidRPr="001D458E">
        <w:rPr>
          <w:rFonts w:hint="eastAsia"/>
        </w:rPr>
        <w:t xml:space="preserve"> civil servants </w:t>
      </w:r>
      <w:r w:rsidRPr="001D458E">
        <w:t>with</w:t>
      </w:r>
      <w:r w:rsidRPr="001D458E">
        <w:rPr>
          <w:rFonts w:hint="eastAsia"/>
        </w:rPr>
        <w:t xml:space="preserve"> regulatory capacity. </w:t>
      </w:r>
      <w:r w:rsidRPr="001D458E">
        <w:t>T</w:t>
      </w:r>
      <w:r w:rsidRPr="001D458E">
        <w:rPr>
          <w:rFonts w:hint="eastAsia"/>
        </w:rPr>
        <w:t xml:space="preserve">he decline of the capacity of civil servants can directly </w:t>
      </w:r>
      <w:r w:rsidRPr="001D458E">
        <w:t xml:space="preserve">be regarded as </w:t>
      </w:r>
      <w:r w:rsidRPr="001D458E">
        <w:rPr>
          <w:rFonts w:hint="eastAsia"/>
        </w:rPr>
        <w:t xml:space="preserve">the </w:t>
      </w:r>
      <w:r w:rsidRPr="001D458E">
        <w:t>decline</w:t>
      </w:r>
      <w:r w:rsidRPr="001D458E">
        <w:rPr>
          <w:rFonts w:hint="eastAsia"/>
        </w:rPr>
        <w:t xml:space="preserve"> of regulatory capacity. The rise of Cabinet Ministers as party politicians in bureaucracy, has not replaced the vacuum created by the </w:t>
      </w:r>
      <w:r w:rsidRPr="001D458E">
        <w:t>retreat</w:t>
      </w:r>
      <w:r w:rsidRPr="001D458E">
        <w:rPr>
          <w:rFonts w:hint="eastAsia"/>
        </w:rPr>
        <w:t xml:space="preserve"> of civil servants. </w:t>
      </w:r>
      <w:r w:rsidRPr="001D458E">
        <w:t xml:space="preserve">Rather, </w:t>
      </w:r>
      <w:r w:rsidRPr="001D458E">
        <w:rPr>
          <w:rFonts w:hint="eastAsia"/>
        </w:rPr>
        <w:t xml:space="preserve">what has emerged is an unstable </w:t>
      </w:r>
      <w:r w:rsidRPr="001D458E">
        <w:t xml:space="preserve">situation, because </w:t>
      </w:r>
      <w:r w:rsidRPr="001D458E">
        <w:rPr>
          <w:rFonts w:hint="eastAsia"/>
        </w:rPr>
        <w:t xml:space="preserve">Cabinet Ministers have failed to consolidate their resources and exploit this </w:t>
      </w:r>
      <w:r w:rsidRPr="001D458E">
        <w:t>opportunity</w:t>
      </w:r>
      <w:r w:rsidRPr="001D458E">
        <w:rPr>
          <w:rFonts w:hint="eastAsia"/>
        </w:rPr>
        <w:t xml:space="preserve"> of taking over the role of civil servants. This failure of Cabinet Ministers can be explained by two features: their short tenure in office and their lack of experience. T</w:t>
      </w:r>
      <w:r w:rsidRPr="001D458E">
        <w:t>h</w:t>
      </w:r>
      <w:r w:rsidRPr="001D458E">
        <w:rPr>
          <w:rFonts w:hint="eastAsia"/>
        </w:rPr>
        <w:t xml:space="preserve">ese obstacles have prevented Cabinet Ministers from </w:t>
      </w:r>
      <w:r w:rsidRPr="001D458E">
        <w:t>manag</w:t>
      </w:r>
      <w:r w:rsidRPr="001D458E">
        <w:rPr>
          <w:rFonts w:hint="eastAsia"/>
        </w:rPr>
        <w:t>ing</w:t>
      </w:r>
      <w:r w:rsidRPr="001D458E">
        <w:t xml:space="preserve"> regulatory policy making.</w:t>
      </w:r>
    </w:p>
    <w:p w14:paraId="1F690FDE" w14:textId="77777777" w:rsidR="008D0572" w:rsidRPr="001D458E" w:rsidRDefault="008D0572" w:rsidP="008D0572">
      <w:pPr>
        <w:ind w:firstLine="284"/>
      </w:pPr>
      <w:r w:rsidRPr="001D458E">
        <w:rPr>
          <w:rFonts w:hint="eastAsia"/>
        </w:rPr>
        <w:t>It is within this complex environment that a significant contention emerges on evaluating h</w:t>
      </w:r>
      <w:r w:rsidRPr="001D458E">
        <w:t xml:space="preserve">ow the capacity of the state has been developed in ICT regulation. </w:t>
      </w:r>
      <w:r w:rsidRPr="001D458E">
        <w:rPr>
          <w:rFonts w:hint="eastAsia"/>
        </w:rPr>
        <w:t>A group of i</w:t>
      </w:r>
      <w:r w:rsidRPr="001D458E">
        <w:t xml:space="preserve">nterviewees </w:t>
      </w:r>
      <w:r w:rsidRPr="001D458E">
        <w:rPr>
          <w:rFonts w:hint="eastAsia"/>
        </w:rPr>
        <w:t xml:space="preserve">composed of </w:t>
      </w:r>
      <w:r w:rsidRPr="001D458E">
        <w:t>p</w:t>
      </w:r>
      <w:r w:rsidRPr="001D458E">
        <w:rPr>
          <w:rFonts w:hint="eastAsia"/>
        </w:rPr>
        <w:t xml:space="preserve">arty politicians, </w:t>
      </w:r>
      <w:r w:rsidRPr="001D458E">
        <w:t xml:space="preserve">a </w:t>
      </w:r>
      <w:r w:rsidRPr="001D458E">
        <w:rPr>
          <w:rFonts w:hint="eastAsia"/>
        </w:rPr>
        <w:t xml:space="preserve">senior </w:t>
      </w:r>
      <w:r w:rsidRPr="001D458E">
        <w:t>official of an incumbent operator</w:t>
      </w:r>
      <w:r w:rsidRPr="001D458E">
        <w:rPr>
          <w:rFonts w:hint="eastAsia"/>
        </w:rPr>
        <w:t xml:space="preserve">, and some civil servants </w:t>
      </w:r>
      <w:r w:rsidRPr="001D458E">
        <w:t>argue</w:t>
      </w:r>
      <w:r w:rsidRPr="001D458E">
        <w:rPr>
          <w:rFonts w:hint="eastAsia"/>
        </w:rPr>
        <w:t>d</w:t>
      </w:r>
      <w:r w:rsidRPr="001D458E">
        <w:t xml:space="preserve"> that a significant regulatory capacity has been developed</w:t>
      </w:r>
      <w:r w:rsidRPr="001D458E">
        <w:rPr>
          <w:rFonts w:hint="eastAsia"/>
        </w:rPr>
        <w:t xml:space="preserve"> mainly in the </w:t>
      </w:r>
      <w:r w:rsidRPr="001D458E">
        <w:t>government</w:t>
      </w:r>
      <w:r w:rsidRPr="001D458E">
        <w:rPr>
          <w:rFonts w:hint="eastAsia"/>
        </w:rPr>
        <w:t xml:space="preserve"> ministry and based on a newly established bureaucratic power base. Another group of interviewees, including senior officials of the NCCs, </w:t>
      </w:r>
      <w:r w:rsidRPr="001D458E">
        <w:t xml:space="preserve">a </w:t>
      </w:r>
      <w:r w:rsidRPr="001D458E">
        <w:rPr>
          <w:rFonts w:hint="eastAsia"/>
        </w:rPr>
        <w:t xml:space="preserve">consumer group leader, and a number of civil servants, highlighted different aspects of regulatory capacity, including </w:t>
      </w:r>
      <w:r w:rsidR="005A7DB2">
        <w:t xml:space="preserve">the </w:t>
      </w:r>
      <w:r w:rsidRPr="001D458E">
        <w:t>inconsisten</w:t>
      </w:r>
      <w:r w:rsidRPr="001D458E">
        <w:rPr>
          <w:rFonts w:hint="eastAsia"/>
        </w:rPr>
        <w:t xml:space="preserve">t approach </w:t>
      </w:r>
      <w:r w:rsidRPr="001D458E">
        <w:t xml:space="preserve">of civil servants </w:t>
      </w:r>
      <w:r w:rsidRPr="001D458E">
        <w:rPr>
          <w:rFonts w:hint="eastAsia"/>
        </w:rPr>
        <w:t xml:space="preserve">stemming from </w:t>
      </w:r>
      <w:r w:rsidRPr="001D458E">
        <w:t>their short tenure</w:t>
      </w:r>
      <w:r w:rsidRPr="001D458E">
        <w:rPr>
          <w:rFonts w:hint="eastAsia"/>
        </w:rPr>
        <w:t>, and the retreat of government ministry</w:t>
      </w:r>
      <w:r w:rsidRPr="001D458E">
        <w:t>’</w:t>
      </w:r>
      <w:r w:rsidRPr="001D458E">
        <w:rPr>
          <w:rFonts w:hint="eastAsia"/>
        </w:rPr>
        <w:t>s legal authority, and the lack of political will to impose strict measures.</w:t>
      </w:r>
      <w:r w:rsidR="00B87DF2">
        <w:rPr>
          <w:rFonts w:hint="eastAsia"/>
          <w:lang w:eastAsia="ja-JP"/>
        </w:rPr>
        <w:t xml:space="preserve"> If the process of regulatory capacity building within ICT regulation is analysed with the framework of Mahoney and Thelen (2010), what emerge</w:t>
      </w:r>
      <w:r w:rsidR="005A7DB2">
        <w:rPr>
          <w:lang w:eastAsia="ja-JP"/>
        </w:rPr>
        <w:t>s</w:t>
      </w:r>
      <w:r w:rsidR="00B87DF2">
        <w:rPr>
          <w:rFonts w:hint="eastAsia"/>
          <w:lang w:eastAsia="ja-JP"/>
        </w:rPr>
        <w:t xml:space="preserve"> is that t</w:t>
      </w:r>
      <w:r w:rsidRPr="001D458E">
        <w:rPr>
          <w:rFonts w:hint="eastAsia"/>
        </w:rPr>
        <w:t xml:space="preserve">he process has been under the mode of conversion, with weak veto power to the opponents to the transformation of regulatory capacity. It can be viewed as the adaption of the core executive to the regulatory challenges of the period. </w:t>
      </w:r>
      <w:r w:rsidRPr="001D458E">
        <w:t>T</w:t>
      </w:r>
      <w:r w:rsidRPr="001D458E">
        <w:rPr>
          <w:rFonts w:hint="eastAsia"/>
        </w:rPr>
        <w:t xml:space="preserve">he </w:t>
      </w:r>
      <w:r w:rsidR="00B50437">
        <w:rPr>
          <w:rFonts w:hint="eastAsia"/>
          <w:lang w:eastAsia="ja-JP"/>
        </w:rPr>
        <w:t xml:space="preserve">fact that the </w:t>
      </w:r>
      <w:r w:rsidRPr="001D458E">
        <w:rPr>
          <w:rFonts w:hint="eastAsia"/>
        </w:rPr>
        <w:t xml:space="preserve">issue of the regulatory capacity has been </w:t>
      </w:r>
      <w:r w:rsidR="00B50437">
        <w:rPr>
          <w:rFonts w:hint="eastAsia"/>
          <w:lang w:eastAsia="ja-JP"/>
        </w:rPr>
        <w:t>determined</w:t>
      </w:r>
      <w:r w:rsidRPr="001D458E">
        <w:rPr>
          <w:rFonts w:hint="eastAsia"/>
        </w:rPr>
        <w:t xml:space="preserve"> </w:t>
      </w:r>
      <w:r w:rsidR="00B50437">
        <w:rPr>
          <w:rFonts w:hint="eastAsia"/>
          <w:lang w:eastAsia="ja-JP"/>
        </w:rPr>
        <w:t xml:space="preserve">within the core executive (planned by civil servants and authorised by party politicians) can imply that the core executive </w:t>
      </w:r>
      <w:r w:rsidRPr="001D458E">
        <w:rPr>
          <w:rFonts w:hint="eastAsia"/>
        </w:rPr>
        <w:t>has retained a significant extent of discretion on this issue.</w:t>
      </w:r>
    </w:p>
    <w:p w14:paraId="1C926DC0" w14:textId="5E2CBBC5" w:rsidR="008D0572" w:rsidRPr="001D458E" w:rsidRDefault="008D0572" w:rsidP="00BF2553">
      <w:pPr>
        <w:ind w:firstLine="284"/>
      </w:pPr>
      <w:r w:rsidRPr="001D458E">
        <w:t xml:space="preserve">What </w:t>
      </w:r>
      <w:r w:rsidRPr="001D458E">
        <w:rPr>
          <w:rFonts w:hint="eastAsia"/>
        </w:rPr>
        <w:t>emerges</w:t>
      </w:r>
      <w:r w:rsidRPr="001D458E">
        <w:t xml:space="preserve"> is a transformative process from a well co-ordinated state corporation monopoly to competitive market managed by a regulator</w:t>
      </w:r>
      <w:r w:rsidRPr="001D458E">
        <w:rPr>
          <w:rFonts w:hint="eastAsia"/>
        </w:rPr>
        <w:t xml:space="preserve"> with a principal-agent relationship with party politicians</w:t>
      </w:r>
      <w:r w:rsidRPr="001D458E">
        <w:t>. Although party politicians have had significant power to control the sector, they did not try to exercise their influences (those in the LDP), or they did not have sufficient capacity to realise their intention (those in the DPJ). The distance between party politicians and civil servants add</w:t>
      </w:r>
      <w:r w:rsidR="00A374A6">
        <w:t>s</w:t>
      </w:r>
      <w:r w:rsidRPr="001D458E">
        <w:t xml:space="preserve"> a characteristic to this situation</w:t>
      </w:r>
      <w:r w:rsidRPr="001D458E">
        <w:rPr>
          <w:rFonts w:hint="eastAsia"/>
        </w:rPr>
        <w:t xml:space="preserve"> in Japan</w:t>
      </w:r>
      <w:r w:rsidRPr="001D458E">
        <w:t xml:space="preserve">. Throughout </w:t>
      </w:r>
      <w:r w:rsidRPr="001D458E">
        <w:rPr>
          <w:rFonts w:hint="eastAsia"/>
        </w:rPr>
        <w:t xml:space="preserve">the </w:t>
      </w:r>
      <w:r w:rsidRPr="001D458E">
        <w:t xml:space="preserve">interviews, all party politicians and </w:t>
      </w:r>
      <w:r w:rsidRPr="001D458E">
        <w:rPr>
          <w:rFonts w:hint="eastAsia"/>
        </w:rPr>
        <w:t>civil servant</w:t>
      </w:r>
      <w:r w:rsidRPr="001D458E">
        <w:t xml:space="preserve"> interviewees regarded political parties and bureaucracy as independent </w:t>
      </w:r>
      <w:r w:rsidRPr="001D458E">
        <w:rPr>
          <w:rFonts w:hint="eastAsia"/>
        </w:rPr>
        <w:t>of one another</w:t>
      </w:r>
      <w:r w:rsidRPr="001D458E">
        <w:t xml:space="preserve">. None of them had a strong sense of the state. Party politicians </w:t>
      </w:r>
      <w:r w:rsidRPr="001D458E">
        <w:rPr>
          <w:rFonts w:hint="eastAsia"/>
        </w:rPr>
        <w:t>viewed</w:t>
      </w:r>
      <w:r w:rsidRPr="001D458E">
        <w:t xml:space="preserve"> their own role as key decision makers. The internal transformation among party politicians </w:t>
      </w:r>
      <w:r w:rsidRPr="001D458E">
        <w:rPr>
          <w:rFonts w:hint="eastAsia"/>
        </w:rPr>
        <w:t xml:space="preserve">(the decline of those outside the Cabinet and the </w:t>
      </w:r>
      <w:r w:rsidRPr="001D458E">
        <w:t xml:space="preserve">rise of Cabinet Ministers) has a possibility of influencing this situation, although no change has been observed yet. </w:t>
      </w:r>
      <w:r w:rsidRPr="001D458E">
        <w:rPr>
          <w:rFonts w:hint="eastAsia"/>
        </w:rPr>
        <w:t>T</w:t>
      </w:r>
      <w:r w:rsidRPr="001D458E">
        <w:t>h</w:t>
      </w:r>
      <w:r w:rsidRPr="001D458E">
        <w:rPr>
          <w:rFonts w:hint="eastAsia"/>
        </w:rPr>
        <w:t>e overall flow of h</w:t>
      </w:r>
      <w:r w:rsidRPr="001D458E">
        <w:t xml:space="preserve">ow these actors </w:t>
      </w:r>
      <w:r w:rsidR="006A7746">
        <w:t xml:space="preserve">within the core executive </w:t>
      </w:r>
      <w:r w:rsidRPr="001D458E">
        <w:t xml:space="preserve">have transformed their respective power is summarised in </w:t>
      </w:r>
      <w:r w:rsidR="00B22A07">
        <w:t>Table 5.6</w:t>
      </w:r>
      <w:r w:rsidRPr="001D458E">
        <w:t>:</w:t>
      </w:r>
    </w:p>
    <w:p w14:paraId="388917C5" w14:textId="77777777" w:rsidR="008D0572" w:rsidRPr="001D458E" w:rsidRDefault="008D0572" w:rsidP="008D0572"/>
    <w:p w14:paraId="7E61C32B" w14:textId="69557AA8" w:rsidR="008D0572" w:rsidRPr="00937427" w:rsidRDefault="00B22A07" w:rsidP="00DA2E02">
      <w:pPr>
        <w:pStyle w:val="Heading4"/>
      </w:pPr>
      <w:r>
        <w:rPr>
          <w:rFonts w:hint="eastAsia"/>
        </w:rPr>
        <w:t>Table 5.6</w:t>
      </w:r>
      <w:r w:rsidR="008D0572" w:rsidRPr="00937427">
        <w:rPr>
          <w:rFonts w:hint="eastAsia"/>
        </w:rPr>
        <w:t xml:space="preserve">: The change of </w:t>
      </w:r>
      <w:r w:rsidR="006A7746">
        <w:t>the core executive</w:t>
      </w:r>
      <w:r w:rsidR="008D0572" w:rsidRPr="00937427">
        <w:rPr>
          <w:rFonts w:hint="eastAsia"/>
        </w:rPr>
        <w:t xml:space="preserve"> actors</w:t>
      </w:r>
      <w:r w:rsidR="008D0572" w:rsidRPr="00937427">
        <w:t>’</w:t>
      </w:r>
      <w:r w:rsidR="008D0572" w:rsidRPr="00937427">
        <w:rPr>
          <w:rFonts w:hint="eastAsia"/>
        </w:rPr>
        <w:t xml:space="preserve"> power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2883"/>
        <w:gridCol w:w="2908"/>
      </w:tblGrid>
      <w:tr w:rsidR="008D0572" w:rsidRPr="001D458E" w14:paraId="56E62DAB" w14:textId="77777777" w:rsidTr="008D0572">
        <w:tc>
          <w:tcPr>
            <w:tcW w:w="3089" w:type="dxa"/>
          </w:tcPr>
          <w:p w14:paraId="07894A53" w14:textId="77777777" w:rsidR="008F7326" w:rsidRDefault="008D0572">
            <w:pPr>
              <w:pStyle w:val="NoSpacing"/>
              <w:jc w:val="center"/>
            </w:pPr>
            <w:r w:rsidRPr="001D458E">
              <w:rPr>
                <w:rFonts w:hint="eastAsia"/>
              </w:rPr>
              <w:t>State actors</w:t>
            </w:r>
          </w:p>
        </w:tc>
        <w:tc>
          <w:tcPr>
            <w:tcW w:w="3089" w:type="dxa"/>
          </w:tcPr>
          <w:p w14:paraId="38F515D0" w14:textId="77777777" w:rsidR="008F7326" w:rsidRDefault="008D0572">
            <w:pPr>
              <w:pStyle w:val="NoSpacing"/>
              <w:jc w:val="center"/>
            </w:pPr>
            <w:r w:rsidRPr="001D458E">
              <w:rPr>
                <w:rFonts w:hint="eastAsia"/>
              </w:rPr>
              <w:t>1980s-1990s</w:t>
            </w:r>
          </w:p>
        </w:tc>
        <w:tc>
          <w:tcPr>
            <w:tcW w:w="3090" w:type="dxa"/>
          </w:tcPr>
          <w:p w14:paraId="2D52A73A" w14:textId="77777777" w:rsidR="008F7326" w:rsidRDefault="008D0572">
            <w:pPr>
              <w:pStyle w:val="NoSpacing"/>
              <w:jc w:val="center"/>
            </w:pPr>
            <w:r w:rsidRPr="001D458E">
              <w:rPr>
                <w:rFonts w:hint="eastAsia"/>
              </w:rPr>
              <w:t>2000s</w:t>
            </w:r>
          </w:p>
        </w:tc>
      </w:tr>
      <w:tr w:rsidR="008D0572" w:rsidRPr="001D458E" w14:paraId="460CC9DB" w14:textId="77777777" w:rsidTr="008D0572">
        <w:tc>
          <w:tcPr>
            <w:tcW w:w="3089" w:type="dxa"/>
          </w:tcPr>
          <w:p w14:paraId="5772CB8B" w14:textId="77777777" w:rsidR="008D0572" w:rsidRPr="001D458E" w:rsidRDefault="008D0572" w:rsidP="008D0572">
            <w:pPr>
              <w:pStyle w:val="NoSpacing"/>
              <w:rPr>
                <w:b/>
              </w:rPr>
            </w:pPr>
            <w:r w:rsidRPr="001D458E">
              <w:rPr>
                <w:rFonts w:hint="eastAsia"/>
                <w:b/>
              </w:rPr>
              <w:t>Party politicians</w:t>
            </w:r>
          </w:p>
          <w:p w14:paraId="69F765D7" w14:textId="77777777" w:rsidR="008D0572" w:rsidRPr="001D458E" w:rsidRDefault="008D0572" w:rsidP="008D0572">
            <w:pPr>
              <w:pStyle w:val="NoSpacing"/>
            </w:pPr>
          </w:p>
          <w:p w14:paraId="530ADAD9" w14:textId="77777777" w:rsidR="008D0572" w:rsidRPr="001D458E" w:rsidRDefault="008D0572" w:rsidP="008D0572">
            <w:pPr>
              <w:pStyle w:val="NoSpacing"/>
            </w:pPr>
            <w:r w:rsidRPr="001D458E">
              <w:rPr>
                <w:rFonts w:hint="eastAsia"/>
              </w:rPr>
              <w:t>Cabinet Ministers</w:t>
            </w:r>
          </w:p>
          <w:p w14:paraId="627A8654" w14:textId="77777777" w:rsidR="008D0572" w:rsidRPr="001D458E" w:rsidRDefault="008D0572" w:rsidP="008D0572">
            <w:pPr>
              <w:pStyle w:val="NoSpacing"/>
            </w:pPr>
          </w:p>
          <w:p w14:paraId="11803A02" w14:textId="77777777" w:rsidR="008D0572" w:rsidRPr="001D458E" w:rsidRDefault="008D0572" w:rsidP="008D0572">
            <w:pPr>
              <w:pStyle w:val="NoSpacing"/>
            </w:pPr>
            <w:r w:rsidRPr="001D458E">
              <w:rPr>
                <w:rFonts w:hint="eastAsia"/>
              </w:rPr>
              <w:t>Decision making</w:t>
            </w:r>
          </w:p>
          <w:p w14:paraId="7F3E0B01" w14:textId="77777777" w:rsidR="008D0572" w:rsidRPr="001D458E" w:rsidRDefault="008D0572" w:rsidP="008D0572">
            <w:pPr>
              <w:pStyle w:val="NoSpacing"/>
            </w:pPr>
            <w:r w:rsidRPr="001D458E">
              <w:rPr>
                <w:rFonts w:hint="eastAsia"/>
              </w:rPr>
              <w:t>Strategic management</w:t>
            </w:r>
          </w:p>
          <w:p w14:paraId="0A3932FB" w14:textId="77777777" w:rsidR="008D0572" w:rsidRPr="001D458E" w:rsidRDefault="008D0572" w:rsidP="008D0572">
            <w:pPr>
              <w:pStyle w:val="NoSpacing"/>
            </w:pPr>
          </w:p>
          <w:p w14:paraId="4F658659" w14:textId="77777777" w:rsidR="008D0572" w:rsidRPr="001D458E" w:rsidRDefault="008D0572" w:rsidP="008D0572">
            <w:pPr>
              <w:pStyle w:val="NoSpacing"/>
            </w:pPr>
            <w:r w:rsidRPr="001D458E">
              <w:rPr>
                <w:rFonts w:hint="eastAsia"/>
              </w:rPr>
              <w:t>Non Cabinet Members</w:t>
            </w:r>
          </w:p>
          <w:p w14:paraId="04DFE2E5" w14:textId="77777777" w:rsidR="008D0572" w:rsidRPr="001D458E" w:rsidRDefault="008D0572" w:rsidP="008D0572">
            <w:pPr>
              <w:pStyle w:val="NoSpacing"/>
            </w:pPr>
          </w:p>
          <w:p w14:paraId="1C102783" w14:textId="77777777" w:rsidR="008D0572" w:rsidRPr="001D458E" w:rsidRDefault="008D0572" w:rsidP="008D0572">
            <w:pPr>
              <w:pStyle w:val="NoSpacing"/>
            </w:pPr>
            <w:r w:rsidRPr="001D458E">
              <w:rPr>
                <w:rFonts w:hint="eastAsia"/>
              </w:rPr>
              <w:t>Decision making</w:t>
            </w:r>
          </w:p>
          <w:p w14:paraId="32C88889" w14:textId="77777777" w:rsidR="008D0572" w:rsidRPr="001D458E" w:rsidRDefault="008D0572" w:rsidP="008D0572">
            <w:pPr>
              <w:pStyle w:val="NoSpacing"/>
            </w:pPr>
            <w:r w:rsidRPr="001D458E">
              <w:rPr>
                <w:rFonts w:hint="eastAsia"/>
              </w:rPr>
              <w:t>Strategic management</w:t>
            </w:r>
          </w:p>
        </w:tc>
        <w:tc>
          <w:tcPr>
            <w:tcW w:w="3089" w:type="dxa"/>
          </w:tcPr>
          <w:p w14:paraId="522AAF3C" w14:textId="77777777" w:rsidR="008D0572" w:rsidRPr="001D458E" w:rsidRDefault="008D0572" w:rsidP="008D0572">
            <w:pPr>
              <w:pStyle w:val="NoSpacing"/>
            </w:pPr>
          </w:p>
          <w:p w14:paraId="4A9164DE" w14:textId="77777777" w:rsidR="008D0572" w:rsidRPr="001D458E" w:rsidRDefault="008D0572" w:rsidP="008D0572">
            <w:pPr>
              <w:pStyle w:val="NoSpacing"/>
            </w:pPr>
          </w:p>
          <w:p w14:paraId="46D76AD8" w14:textId="77777777" w:rsidR="008D0572" w:rsidRPr="001D458E" w:rsidRDefault="008D0572" w:rsidP="008D0572">
            <w:pPr>
              <w:pStyle w:val="NoSpacing"/>
            </w:pPr>
          </w:p>
          <w:p w14:paraId="512AC446" w14:textId="77777777" w:rsidR="008D0572" w:rsidRPr="001D458E" w:rsidRDefault="008D0572" w:rsidP="008D0572">
            <w:pPr>
              <w:pStyle w:val="NoSpacing"/>
            </w:pPr>
          </w:p>
          <w:p w14:paraId="70B8892B" w14:textId="77777777" w:rsidR="008D0572" w:rsidRPr="001D458E" w:rsidRDefault="008D0572" w:rsidP="008D0572">
            <w:pPr>
              <w:pStyle w:val="NoSpacing"/>
            </w:pPr>
            <w:r w:rsidRPr="001D458E">
              <w:rPr>
                <w:rFonts w:hint="eastAsia"/>
              </w:rPr>
              <w:t>Weak</w:t>
            </w:r>
          </w:p>
          <w:p w14:paraId="72732B5B" w14:textId="77777777" w:rsidR="008D0572" w:rsidRPr="001D458E" w:rsidRDefault="008D0572" w:rsidP="008D0572">
            <w:pPr>
              <w:pStyle w:val="NoSpacing"/>
            </w:pPr>
            <w:r w:rsidRPr="001D458E">
              <w:rPr>
                <w:rFonts w:hint="eastAsia"/>
              </w:rPr>
              <w:t>Weak</w:t>
            </w:r>
          </w:p>
          <w:p w14:paraId="47534243" w14:textId="77777777" w:rsidR="008D0572" w:rsidRPr="001D458E" w:rsidRDefault="008D0572" w:rsidP="008D0572">
            <w:pPr>
              <w:pStyle w:val="NoSpacing"/>
            </w:pPr>
          </w:p>
          <w:p w14:paraId="6021D616" w14:textId="77777777" w:rsidR="008D0572" w:rsidRPr="001D458E" w:rsidRDefault="008D0572" w:rsidP="008D0572">
            <w:pPr>
              <w:pStyle w:val="NoSpacing"/>
            </w:pPr>
          </w:p>
          <w:p w14:paraId="0D1EEA5A" w14:textId="77777777" w:rsidR="008D0572" w:rsidRPr="001D458E" w:rsidRDefault="008D0572" w:rsidP="008D0572">
            <w:pPr>
              <w:pStyle w:val="NoSpacing"/>
            </w:pPr>
          </w:p>
          <w:p w14:paraId="761148CC" w14:textId="77777777" w:rsidR="008D0572" w:rsidRPr="001D458E" w:rsidRDefault="008D0572" w:rsidP="008D0572">
            <w:pPr>
              <w:pStyle w:val="NoSpacing"/>
            </w:pPr>
            <w:r w:rsidRPr="001D458E">
              <w:rPr>
                <w:rFonts w:hint="eastAsia"/>
              </w:rPr>
              <w:t>Strong</w:t>
            </w:r>
          </w:p>
          <w:p w14:paraId="1022AC9A" w14:textId="77777777" w:rsidR="008D0572" w:rsidRPr="001D458E" w:rsidRDefault="008D0572" w:rsidP="008D0572">
            <w:pPr>
              <w:pStyle w:val="NoSpacing"/>
            </w:pPr>
            <w:r w:rsidRPr="001D458E">
              <w:rPr>
                <w:rFonts w:hint="eastAsia"/>
              </w:rPr>
              <w:t>Weak</w:t>
            </w:r>
          </w:p>
        </w:tc>
        <w:tc>
          <w:tcPr>
            <w:tcW w:w="3090" w:type="dxa"/>
          </w:tcPr>
          <w:p w14:paraId="1D445867" w14:textId="77777777" w:rsidR="008D0572" w:rsidRPr="001D458E" w:rsidRDefault="008D0572" w:rsidP="008D0572">
            <w:pPr>
              <w:pStyle w:val="NoSpacing"/>
            </w:pPr>
          </w:p>
          <w:p w14:paraId="620033B1" w14:textId="77777777" w:rsidR="008D0572" w:rsidRPr="001D458E" w:rsidRDefault="008D0572" w:rsidP="008D0572">
            <w:pPr>
              <w:pStyle w:val="NoSpacing"/>
            </w:pPr>
          </w:p>
          <w:p w14:paraId="3CCC0A0F" w14:textId="77777777" w:rsidR="008D0572" w:rsidRPr="001D458E" w:rsidRDefault="008D0572" w:rsidP="008D0572">
            <w:pPr>
              <w:pStyle w:val="NoSpacing"/>
            </w:pPr>
          </w:p>
          <w:p w14:paraId="7AAAA57B" w14:textId="77777777" w:rsidR="008D0572" w:rsidRPr="001D458E" w:rsidRDefault="008D0572" w:rsidP="008D0572">
            <w:pPr>
              <w:pStyle w:val="NoSpacing"/>
            </w:pPr>
          </w:p>
          <w:p w14:paraId="7F9B5D2F" w14:textId="77777777" w:rsidR="008D0572" w:rsidRPr="001D458E" w:rsidRDefault="008D0572" w:rsidP="008D0572">
            <w:pPr>
              <w:pStyle w:val="NoSpacing"/>
            </w:pPr>
            <w:r w:rsidRPr="001D458E">
              <w:rPr>
                <w:rFonts w:hint="eastAsia"/>
              </w:rPr>
              <w:t>Enhanced but unstable</w:t>
            </w:r>
          </w:p>
          <w:p w14:paraId="0652DDDF" w14:textId="77777777" w:rsidR="008D0572" w:rsidRPr="001D458E" w:rsidRDefault="008D0572" w:rsidP="008D0572">
            <w:pPr>
              <w:pStyle w:val="NoSpacing"/>
            </w:pPr>
            <w:r w:rsidRPr="001D458E">
              <w:rPr>
                <w:rFonts w:hint="eastAsia"/>
              </w:rPr>
              <w:t>Enhanced but unstable</w:t>
            </w:r>
          </w:p>
          <w:p w14:paraId="341668FD" w14:textId="77777777" w:rsidR="008D0572" w:rsidRPr="001D458E" w:rsidRDefault="008D0572" w:rsidP="008D0572">
            <w:pPr>
              <w:pStyle w:val="NoSpacing"/>
            </w:pPr>
          </w:p>
          <w:p w14:paraId="5AC6757F" w14:textId="77777777" w:rsidR="008D0572" w:rsidRPr="001D458E" w:rsidRDefault="008D0572" w:rsidP="008D0572">
            <w:pPr>
              <w:pStyle w:val="NoSpacing"/>
            </w:pPr>
          </w:p>
          <w:p w14:paraId="0A965CD6" w14:textId="77777777" w:rsidR="008D0572" w:rsidRPr="001D458E" w:rsidRDefault="008D0572" w:rsidP="008D0572">
            <w:pPr>
              <w:pStyle w:val="NoSpacing"/>
            </w:pPr>
          </w:p>
          <w:p w14:paraId="45742D19" w14:textId="77777777" w:rsidR="008D0572" w:rsidRPr="001D458E" w:rsidRDefault="008D0572" w:rsidP="008D0572">
            <w:pPr>
              <w:pStyle w:val="NoSpacing"/>
            </w:pPr>
            <w:r w:rsidRPr="001D458E">
              <w:rPr>
                <w:rFonts w:hint="eastAsia"/>
              </w:rPr>
              <w:t>Decline</w:t>
            </w:r>
          </w:p>
          <w:p w14:paraId="14F2EA22" w14:textId="77777777" w:rsidR="008D0572" w:rsidRPr="001D458E" w:rsidRDefault="008D0572" w:rsidP="008D0572">
            <w:pPr>
              <w:pStyle w:val="NoSpacing"/>
            </w:pPr>
            <w:r w:rsidRPr="001D458E">
              <w:rPr>
                <w:rFonts w:hint="eastAsia"/>
              </w:rPr>
              <w:t>Weak</w:t>
            </w:r>
          </w:p>
        </w:tc>
      </w:tr>
      <w:tr w:rsidR="008D0572" w:rsidRPr="001D458E" w14:paraId="2D1B3557" w14:textId="77777777" w:rsidTr="008D0572">
        <w:tc>
          <w:tcPr>
            <w:tcW w:w="3089" w:type="dxa"/>
          </w:tcPr>
          <w:p w14:paraId="73A8B68A" w14:textId="77777777" w:rsidR="008D0572" w:rsidRPr="001D458E" w:rsidRDefault="008D0572" w:rsidP="008D0572">
            <w:pPr>
              <w:pStyle w:val="NoSpacing"/>
              <w:rPr>
                <w:b/>
              </w:rPr>
            </w:pPr>
            <w:r w:rsidRPr="001D458E">
              <w:rPr>
                <w:rFonts w:hint="eastAsia"/>
                <w:b/>
              </w:rPr>
              <w:t>Civil servants</w:t>
            </w:r>
          </w:p>
          <w:p w14:paraId="2A6FC020" w14:textId="77777777" w:rsidR="008D0572" w:rsidRPr="001D458E" w:rsidRDefault="008D0572" w:rsidP="008D0572">
            <w:pPr>
              <w:pStyle w:val="NoSpacing"/>
            </w:pPr>
          </w:p>
          <w:p w14:paraId="1C2A45FF" w14:textId="77777777" w:rsidR="008D0572" w:rsidRPr="001D458E" w:rsidRDefault="008D0572" w:rsidP="008D0572">
            <w:pPr>
              <w:pStyle w:val="NoSpacing"/>
            </w:pPr>
            <w:r w:rsidRPr="001D458E">
              <w:t>S</w:t>
            </w:r>
            <w:r w:rsidRPr="001D458E">
              <w:rPr>
                <w:rFonts w:hint="eastAsia"/>
              </w:rPr>
              <w:t>trategic management</w:t>
            </w:r>
          </w:p>
          <w:p w14:paraId="1CCC0E39" w14:textId="77777777" w:rsidR="008D0572" w:rsidRPr="001D458E" w:rsidRDefault="008D0572" w:rsidP="008D0572">
            <w:pPr>
              <w:pStyle w:val="NoSpacing"/>
            </w:pPr>
            <w:r w:rsidRPr="001D458E">
              <w:rPr>
                <w:rFonts w:hint="eastAsia"/>
              </w:rPr>
              <w:t>Legal capacity to regulate</w:t>
            </w:r>
          </w:p>
          <w:p w14:paraId="5B4A583A" w14:textId="77777777" w:rsidR="008D0572" w:rsidRPr="001D458E" w:rsidRDefault="008D0572" w:rsidP="008D0572">
            <w:pPr>
              <w:pStyle w:val="NoSpacing"/>
            </w:pPr>
            <w:r w:rsidRPr="001D458E">
              <w:t>Knowledge</w:t>
            </w:r>
            <w:r w:rsidRPr="001D458E">
              <w:rPr>
                <w:rFonts w:hint="eastAsia"/>
              </w:rPr>
              <w:t xml:space="preserve"> and expertise</w:t>
            </w:r>
          </w:p>
        </w:tc>
        <w:tc>
          <w:tcPr>
            <w:tcW w:w="3089" w:type="dxa"/>
          </w:tcPr>
          <w:p w14:paraId="4E2799C3" w14:textId="77777777" w:rsidR="008D0572" w:rsidRPr="001D458E" w:rsidRDefault="008D0572" w:rsidP="008D0572">
            <w:pPr>
              <w:pStyle w:val="NoSpacing"/>
            </w:pPr>
          </w:p>
          <w:p w14:paraId="6042AEDF" w14:textId="77777777" w:rsidR="008D0572" w:rsidRPr="001D458E" w:rsidRDefault="008D0572" w:rsidP="008D0572">
            <w:pPr>
              <w:pStyle w:val="NoSpacing"/>
            </w:pPr>
          </w:p>
          <w:p w14:paraId="793B8377" w14:textId="77777777" w:rsidR="008D0572" w:rsidRPr="001D458E" w:rsidRDefault="008D0572" w:rsidP="008D0572">
            <w:pPr>
              <w:pStyle w:val="NoSpacing"/>
            </w:pPr>
            <w:r w:rsidRPr="001D458E">
              <w:rPr>
                <w:rFonts w:hint="eastAsia"/>
              </w:rPr>
              <w:t>Strong</w:t>
            </w:r>
          </w:p>
          <w:p w14:paraId="7B2F5FFE" w14:textId="77777777" w:rsidR="008D0572" w:rsidRPr="001D458E" w:rsidRDefault="008D0572" w:rsidP="008D0572">
            <w:pPr>
              <w:pStyle w:val="NoSpacing"/>
            </w:pPr>
            <w:r w:rsidRPr="001D458E">
              <w:rPr>
                <w:rFonts w:hint="eastAsia"/>
              </w:rPr>
              <w:t>Strong</w:t>
            </w:r>
          </w:p>
          <w:p w14:paraId="6382858A" w14:textId="77777777" w:rsidR="008D0572" w:rsidRPr="001D458E" w:rsidRDefault="008D0572" w:rsidP="008D0572">
            <w:pPr>
              <w:pStyle w:val="NoSpacing"/>
            </w:pPr>
            <w:r w:rsidRPr="001D458E">
              <w:rPr>
                <w:rFonts w:hint="eastAsia"/>
              </w:rPr>
              <w:t>Weak</w:t>
            </w:r>
          </w:p>
        </w:tc>
        <w:tc>
          <w:tcPr>
            <w:tcW w:w="3090" w:type="dxa"/>
          </w:tcPr>
          <w:p w14:paraId="2149D920" w14:textId="77777777" w:rsidR="008D0572" w:rsidRPr="001D458E" w:rsidRDefault="008D0572" w:rsidP="008D0572">
            <w:pPr>
              <w:pStyle w:val="NoSpacing"/>
            </w:pPr>
          </w:p>
          <w:p w14:paraId="291B59DF" w14:textId="77777777" w:rsidR="008D0572" w:rsidRPr="001D458E" w:rsidRDefault="008D0572" w:rsidP="008D0572">
            <w:pPr>
              <w:pStyle w:val="NoSpacing"/>
            </w:pPr>
          </w:p>
          <w:p w14:paraId="19539129" w14:textId="77777777" w:rsidR="008D0572" w:rsidRPr="001D458E" w:rsidRDefault="008D0572" w:rsidP="008D0572">
            <w:pPr>
              <w:pStyle w:val="NoSpacing"/>
            </w:pPr>
            <w:r w:rsidRPr="001D458E">
              <w:rPr>
                <w:rFonts w:hint="eastAsia"/>
              </w:rPr>
              <w:t>Decline</w:t>
            </w:r>
          </w:p>
          <w:p w14:paraId="35F4A0DF" w14:textId="77777777" w:rsidR="008D0572" w:rsidRPr="001D458E" w:rsidRDefault="008D0572" w:rsidP="008D0572">
            <w:pPr>
              <w:pStyle w:val="NoSpacing"/>
            </w:pPr>
            <w:r w:rsidRPr="001D458E">
              <w:rPr>
                <w:rFonts w:hint="eastAsia"/>
              </w:rPr>
              <w:t>Decline</w:t>
            </w:r>
          </w:p>
          <w:p w14:paraId="04CC4FBA" w14:textId="77777777" w:rsidR="008D0572" w:rsidRPr="001D458E" w:rsidRDefault="008D0572" w:rsidP="008D0572">
            <w:pPr>
              <w:pStyle w:val="NoSpacing"/>
            </w:pPr>
            <w:r w:rsidRPr="001D458E">
              <w:rPr>
                <w:rFonts w:hint="eastAsia"/>
              </w:rPr>
              <w:t xml:space="preserve">Enhanced </w:t>
            </w:r>
          </w:p>
        </w:tc>
      </w:tr>
    </w:tbl>
    <w:p w14:paraId="07DA08E0" w14:textId="77777777" w:rsidR="008D0572" w:rsidRPr="001D458E" w:rsidRDefault="008D0572" w:rsidP="008D0572"/>
    <w:p w14:paraId="52932AAD" w14:textId="0F4F7FE9" w:rsidR="008D0572" w:rsidRPr="001D458E" w:rsidRDefault="008D0572" w:rsidP="00B44C13">
      <w:pPr>
        <w:ind w:firstLine="284"/>
      </w:pPr>
      <w:r w:rsidRPr="001D458E">
        <w:rPr>
          <w:rFonts w:hint="eastAsia"/>
        </w:rPr>
        <w:t>The analysis of this chapter reveals that Japan</w:t>
      </w:r>
      <w:r w:rsidRPr="001D458E">
        <w:t>’</w:t>
      </w:r>
      <w:r w:rsidRPr="001D458E">
        <w:rPr>
          <w:rFonts w:hint="eastAsia"/>
        </w:rPr>
        <w:t xml:space="preserve">s ICT regulation between the 1980s and 2000s has similar governance characteristics </w:t>
      </w:r>
      <w:r w:rsidR="00463632">
        <w:t>to</w:t>
      </w:r>
      <w:r w:rsidRPr="001D458E">
        <w:rPr>
          <w:rFonts w:hint="eastAsia"/>
        </w:rPr>
        <w:t xml:space="preserve"> the governing structure of the UK analysed by Smith (1999), in spite of the different political tradition. To explain the Japanese case, </w:t>
      </w:r>
      <w:r w:rsidRPr="001D458E">
        <w:t>‘</w:t>
      </w:r>
      <w:r w:rsidRPr="001D458E">
        <w:rPr>
          <w:rFonts w:hint="eastAsia"/>
        </w:rPr>
        <w:t>Ministers</w:t>
      </w:r>
      <w:r w:rsidRPr="001D458E">
        <w:t>’</w:t>
      </w:r>
      <w:r w:rsidRPr="001D458E">
        <w:rPr>
          <w:rFonts w:hint="eastAsia"/>
        </w:rPr>
        <w:t xml:space="preserve"> as actor</w:t>
      </w:r>
      <w:r w:rsidR="00C4226C">
        <w:t>s</w:t>
      </w:r>
      <w:r w:rsidRPr="001D458E">
        <w:rPr>
          <w:rFonts w:hint="eastAsia"/>
        </w:rPr>
        <w:t xml:space="preserve"> in Smith (1999 p.118) can be rephrased as </w:t>
      </w:r>
      <w:r w:rsidRPr="001D458E">
        <w:t>‘</w:t>
      </w:r>
      <w:r w:rsidRPr="001D458E">
        <w:rPr>
          <w:rFonts w:hint="eastAsia"/>
        </w:rPr>
        <w:t>key party politicians</w:t>
      </w:r>
      <w:r w:rsidRPr="001D458E">
        <w:t>’</w:t>
      </w:r>
      <w:r w:rsidRPr="001D458E">
        <w:rPr>
          <w:rFonts w:hint="eastAsia"/>
        </w:rPr>
        <w:t xml:space="preserve"> (Cabinet Ministers and key party politicians outside the Cabinet). Power relations within the group of key party politicians and civil servants have been fluid. The dominance of ruling party politicians was replaced by that of Cabinet Ministers in the 2000s. Civil servants </w:t>
      </w:r>
      <w:r w:rsidR="006E1931">
        <w:t>e</w:t>
      </w:r>
      <w:r w:rsidR="00DF747A">
        <w:rPr>
          <w:rFonts w:hint="eastAsia"/>
          <w:lang w:eastAsia="ja-JP"/>
        </w:rPr>
        <w:t>n</w:t>
      </w:r>
      <w:r w:rsidR="006E1931">
        <w:t>hanced their influence</w:t>
      </w:r>
      <w:r w:rsidR="00DF747A">
        <w:rPr>
          <w:rFonts w:hint="eastAsia"/>
          <w:lang w:eastAsia="ja-JP"/>
        </w:rPr>
        <w:t xml:space="preserve"> </w:t>
      </w:r>
      <w:r w:rsidRPr="001D458E">
        <w:rPr>
          <w:rFonts w:hint="eastAsia"/>
        </w:rPr>
        <w:t>in the 1980s and</w:t>
      </w:r>
      <w:r w:rsidR="006E1931">
        <w:t xml:space="preserve"> saw further</w:t>
      </w:r>
      <w:r w:rsidRPr="001D458E">
        <w:rPr>
          <w:rFonts w:hint="eastAsia"/>
        </w:rPr>
        <w:t xml:space="preserve"> </w:t>
      </w:r>
      <w:r w:rsidR="006E1931" w:rsidRPr="001D458E">
        <w:rPr>
          <w:rFonts w:hint="eastAsia"/>
        </w:rPr>
        <w:t>transform</w:t>
      </w:r>
      <w:r w:rsidR="006E1931">
        <w:t>ations</w:t>
      </w:r>
      <w:r w:rsidRPr="001D458E">
        <w:rPr>
          <w:rFonts w:hint="eastAsia"/>
        </w:rPr>
        <w:t xml:space="preserve"> in the 2000s. The nature of the relationship between the core executive actors has been interdependent. Both party politicians and civil servants needed other core executive actors</w:t>
      </w:r>
      <w:r w:rsidRPr="001D458E">
        <w:t>’</w:t>
      </w:r>
      <w:r w:rsidRPr="001D458E">
        <w:rPr>
          <w:rFonts w:hint="eastAsia"/>
        </w:rPr>
        <w:t xml:space="preserve"> resources. Elsewhere, the core executive has retained its dominance in the ICT sector. </w:t>
      </w:r>
      <w:r w:rsidRPr="001D458E">
        <w:t>K</w:t>
      </w:r>
      <w:r w:rsidRPr="001D458E">
        <w:rPr>
          <w:rFonts w:hint="eastAsia"/>
        </w:rPr>
        <w:t xml:space="preserve">ey decisions have been made by ruling party politicians throughout the period between the 1980s and 2000s. Different from civil servants, societal actors such as telecommunications carriers have not had the resources that the core executive crucially needed. This point </w:t>
      </w:r>
      <w:r w:rsidRPr="001D458E">
        <w:t>differentiat</w:t>
      </w:r>
      <w:r w:rsidRPr="001D458E">
        <w:rPr>
          <w:rFonts w:hint="eastAsia"/>
        </w:rPr>
        <w:t xml:space="preserve">es the MPT/MIC from societal actors. Even the strongest telecommunications </w:t>
      </w:r>
      <w:r w:rsidRPr="001D458E">
        <w:t xml:space="preserve">carrier (NTT) </w:t>
      </w:r>
      <w:r w:rsidRPr="001D458E">
        <w:rPr>
          <w:rFonts w:hint="eastAsia"/>
        </w:rPr>
        <w:t>has had a limitation. Although the NTT has had significant fund</w:t>
      </w:r>
      <w:r w:rsidR="006E1931">
        <w:t>s</w:t>
      </w:r>
      <w:r w:rsidRPr="001D458E">
        <w:rPr>
          <w:rFonts w:hint="eastAsia"/>
        </w:rPr>
        <w:t xml:space="preserve"> and information about the industry, its power has depended upon the decisions by party politicians. Party politicians have primarily depended upon not the NTT but the MPT/MIC as the government machine on governing the ICT sector. Although the NTT demonstrated significant power to stop its breakup in 1990 and 1996, it did not have </w:t>
      </w:r>
      <w:r w:rsidR="00C4226C">
        <w:t xml:space="preserve">the </w:t>
      </w:r>
      <w:r w:rsidRPr="001D458E">
        <w:rPr>
          <w:rFonts w:hint="eastAsia"/>
        </w:rPr>
        <w:t xml:space="preserve">resources which party politicians vitally needed. This means that the NTT could successfully fend off its breakup but it was dominated by the core executive actors such as party politicians. Other telecommunications firms and societal groups have been in weaker positions than the NTT in terms of resources such as funds and lobbying power. </w:t>
      </w:r>
    </w:p>
    <w:p w14:paraId="72D91C9D" w14:textId="77777777" w:rsidR="008D0572" w:rsidRPr="001D458E" w:rsidRDefault="008D0572" w:rsidP="008D0572">
      <w:pPr>
        <w:ind w:firstLine="284"/>
      </w:pPr>
      <w:r w:rsidRPr="001D458E">
        <w:rPr>
          <w:rFonts w:hint="eastAsia"/>
        </w:rPr>
        <w:t xml:space="preserve">A group of party politicians has retained the key decision making position of </w:t>
      </w:r>
      <w:r w:rsidRPr="001D458E">
        <w:t xml:space="preserve">Japan’s ICT sector. </w:t>
      </w:r>
      <w:r w:rsidRPr="001D458E">
        <w:rPr>
          <w:rFonts w:hint="eastAsia"/>
        </w:rPr>
        <w:t xml:space="preserve">In the 1980s and 1990s key decisions were taken by </w:t>
      </w:r>
      <w:r w:rsidRPr="001D458E">
        <w:t xml:space="preserve">party politicians outside the Cabinet and therefore did not govern. Those party politicians were discretional, and some of them sought the possibility of getting benefit through regulation and their respective influence </w:t>
      </w:r>
      <w:r w:rsidRPr="001D458E">
        <w:rPr>
          <w:rFonts w:hint="eastAsia"/>
        </w:rPr>
        <w:t>to</w:t>
      </w:r>
      <w:r w:rsidRPr="001D458E">
        <w:t xml:space="preserve"> civil servants and the former state corporation. When this structure </w:t>
      </w:r>
      <w:r w:rsidR="00C4226C">
        <w:t>was</w:t>
      </w:r>
      <w:r w:rsidRPr="001D458E">
        <w:t xml:space="preserve"> undermined, the policy making process became unstable.</w:t>
      </w:r>
    </w:p>
    <w:p w14:paraId="0E2BB736" w14:textId="77777777" w:rsidR="008D0572" w:rsidRPr="001D458E" w:rsidRDefault="008D0572" w:rsidP="008D0572">
      <w:pPr>
        <w:ind w:firstLine="284"/>
      </w:pPr>
      <w:r w:rsidRPr="001D458E">
        <w:rPr>
          <w:rFonts w:hint="eastAsia"/>
        </w:rPr>
        <w:t xml:space="preserve">Party politicians outside the Cabinet, who were dominant from the 1980s to the 1990s, exercised their power through the party machine, typically </w:t>
      </w:r>
      <w:r w:rsidRPr="001D458E">
        <w:t>committees</w:t>
      </w:r>
      <w:r w:rsidRPr="001D458E">
        <w:rPr>
          <w:rFonts w:hint="eastAsia"/>
        </w:rPr>
        <w:t xml:space="preserve"> </w:t>
      </w:r>
      <w:r w:rsidRPr="001D458E">
        <w:t>with</w:t>
      </w:r>
      <w:r w:rsidRPr="001D458E">
        <w:rPr>
          <w:rFonts w:hint="eastAsia"/>
        </w:rPr>
        <w:t>in the LDP. Their source of power is based on the examination process of these bodies</w:t>
      </w:r>
      <w:r w:rsidRPr="001D458E">
        <w:t>,</w:t>
      </w:r>
      <w:r w:rsidRPr="001D458E">
        <w:rPr>
          <w:rFonts w:hint="eastAsia"/>
        </w:rPr>
        <w:t xml:space="preserve"> their </w:t>
      </w:r>
      <w:r w:rsidRPr="001D458E">
        <w:t>legitimacy</w:t>
      </w:r>
      <w:r w:rsidRPr="001D458E">
        <w:rPr>
          <w:rFonts w:hint="eastAsia"/>
        </w:rPr>
        <w:t xml:space="preserve"> as members of the Diet (i.e. representatives elected by their </w:t>
      </w:r>
      <w:r w:rsidRPr="001D458E">
        <w:t>constituencies</w:t>
      </w:r>
      <w:r w:rsidRPr="001D458E">
        <w:rPr>
          <w:rFonts w:hint="eastAsia"/>
        </w:rPr>
        <w:t>), internal seniorities (many of them have experience in the government ministry as Cabinet Ministers and</w:t>
      </w:r>
      <w:r w:rsidRPr="001D458E">
        <w:t>/or</w:t>
      </w:r>
      <w:r w:rsidRPr="001D458E">
        <w:rPr>
          <w:rFonts w:hint="eastAsia"/>
        </w:rPr>
        <w:t xml:space="preserve"> Parliamentary Vice-Ministers), and </w:t>
      </w:r>
      <w:r w:rsidR="00914F16">
        <w:t xml:space="preserve">the </w:t>
      </w:r>
      <w:r w:rsidRPr="001D458E">
        <w:rPr>
          <w:rFonts w:hint="eastAsia"/>
        </w:rPr>
        <w:t>LDP</w:t>
      </w:r>
      <w:r w:rsidRPr="001D458E">
        <w:t>’</w:t>
      </w:r>
      <w:r w:rsidRPr="001D458E">
        <w:rPr>
          <w:rFonts w:hint="eastAsia"/>
        </w:rPr>
        <w:t>s internal custom (</w:t>
      </w:r>
      <w:r w:rsidRPr="001D458E">
        <w:t xml:space="preserve">the </w:t>
      </w:r>
      <w:r w:rsidRPr="001D458E">
        <w:rPr>
          <w:rFonts w:hint="eastAsia"/>
        </w:rPr>
        <w:t>internal examination w</w:t>
      </w:r>
      <w:r w:rsidRPr="001D458E">
        <w:t>as</w:t>
      </w:r>
      <w:r w:rsidRPr="001D458E">
        <w:rPr>
          <w:rFonts w:hint="eastAsia"/>
        </w:rPr>
        <w:t xml:space="preserve"> regarded as a precondition for the governmental legislation)</w:t>
      </w:r>
      <w:r w:rsidRPr="001D458E">
        <w:t xml:space="preserve"> (I’io 2007 pp.87-8, p.99-102)</w:t>
      </w:r>
      <w:r w:rsidRPr="001D458E">
        <w:rPr>
          <w:rFonts w:hint="eastAsia"/>
        </w:rPr>
        <w:t xml:space="preserve">. The fact that their legitimacy was not based on the formal institution including </w:t>
      </w:r>
      <w:r w:rsidRPr="001D458E">
        <w:t xml:space="preserve">law but their informal custom </w:t>
      </w:r>
      <w:r w:rsidRPr="001D458E">
        <w:rPr>
          <w:rFonts w:hint="eastAsia"/>
        </w:rPr>
        <w:t xml:space="preserve">indicates that the foundation of their legitimacy was </w:t>
      </w:r>
      <w:r w:rsidRPr="001D458E">
        <w:t xml:space="preserve">not </w:t>
      </w:r>
      <w:r w:rsidRPr="001D458E">
        <w:rPr>
          <w:rFonts w:hint="eastAsia"/>
        </w:rPr>
        <w:t>established</w:t>
      </w:r>
      <w:r w:rsidRPr="001D458E">
        <w:t xml:space="preserve"> but </w:t>
      </w:r>
      <w:r w:rsidRPr="001D458E">
        <w:rPr>
          <w:rFonts w:hint="eastAsia"/>
        </w:rPr>
        <w:t>unstable. A</w:t>
      </w:r>
      <w:r w:rsidRPr="001D458E">
        <w:t>l</w:t>
      </w:r>
      <w:r w:rsidRPr="001D458E">
        <w:rPr>
          <w:rFonts w:hint="eastAsia"/>
        </w:rPr>
        <w:t xml:space="preserve">so, </w:t>
      </w:r>
      <w:r w:rsidRPr="001D458E">
        <w:t xml:space="preserve">the </w:t>
      </w:r>
      <w:r w:rsidRPr="001D458E">
        <w:rPr>
          <w:rFonts w:hint="eastAsia"/>
        </w:rPr>
        <w:t xml:space="preserve">informal nature of their legitimacy makes their </w:t>
      </w:r>
      <w:r w:rsidRPr="001D458E">
        <w:t>approach</w:t>
      </w:r>
      <w:r w:rsidRPr="001D458E">
        <w:rPr>
          <w:rFonts w:hint="eastAsia"/>
        </w:rPr>
        <w:t xml:space="preserve"> to regulatory policies discretional rather than rule based.</w:t>
      </w:r>
    </w:p>
    <w:p w14:paraId="3E2055FA" w14:textId="0A4469C0" w:rsidR="008D0572" w:rsidRPr="001D458E" w:rsidRDefault="008D0572" w:rsidP="00341575">
      <w:pPr>
        <w:ind w:firstLine="284"/>
      </w:pPr>
      <w:r w:rsidRPr="001D458E">
        <w:t xml:space="preserve">The efforts of enhancing Cabinet Ministers by both LDP and DPJ governments have significantly changed this landscape. The replacement of Parliamentary Vice-Ministers with </w:t>
      </w:r>
      <w:r w:rsidR="00C4226C">
        <w:t xml:space="preserve">the </w:t>
      </w:r>
      <w:r w:rsidRPr="001D458E">
        <w:t xml:space="preserve">new </w:t>
      </w:r>
      <w:r w:rsidR="00083ACC">
        <w:rPr>
          <w:i/>
          <w:iCs/>
        </w:rPr>
        <w:t>Seimu Sanyaku</w:t>
      </w:r>
      <w:r w:rsidRPr="001D458E">
        <w:t xml:space="preserve"> system by the Keizo Obuchi Government (1998-2000) can be regarded as a significant effort to enhance the power of Cabinet Ministers (I’io 2007 p.196</w:t>
      </w:r>
      <w:r w:rsidRPr="001D458E">
        <w:rPr>
          <w:rFonts w:hint="eastAsia"/>
        </w:rPr>
        <w:t>, Neary 2002 pp.126-7</w:t>
      </w:r>
      <w:r w:rsidRPr="001D458E">
        <w:t>). The Jun’ichiro Koizumi Government further enhanced the power of Cabinet Ministers by a number of measures including</w:t>
      </w:r>
      <w:r w:rsidRPr="001D458E">
        <w:rPr>
          <w:rFonts w:hint="eastAsia"/>
        </w:rPr>
        <w:t>:</w:t>
      </w:r>
      <w:r w:rsidRPr="001D458E">
        <w:t xml:space="preserve"> making their tenure longer together with stopping frequent cabinet reshuffles</w:t>
      </w:r>
      <w:r w:rsidRPr="001D458E">
        <w:rPr>
          <w:rFonts w:hint="eastAsia"/>
        </w:rPr>
        <w:t>;</w:t>
      </w:r>
      <w:r w:rsidRPr="001D458E">
        <w:t xml:space="preserve"> establishing a system of selecting </w:t>
      </w:r>
      <w:r w:rsidR="00083ACC">
        <w:rPr>
          <w:i/>
          <w:iCs/>
        </w:rPr>
        <w:t>Seimu Sanyaku</w:t>
      </w:r>
      <w:r w:rsidRPr="001D458E">
        <w:rPr>
          <w:rFonts w:hint="eastAsia"/>
        </w:rPr>
        <w:t>;</w:t>
      </w:r>
      <w:r w:rsidRPr="001D458E">
        <w:t xml:space="preserve"> and obtaining Cabinet Ministers’ endorsement before selecting Senior Vice-Ministers and Parliamentary Secretaries (I’io 2007 p.196). The stronger influence of Cabinet Ministers became intensified by the government change in 2009 by the DPJ, which declared that </w:t>
      </w:r>
      <w:r w:rsidRPr="001D458E">
        <w:rPr>
          <w:rFonts w:hint="eastAsia"/>
        </w:rPr>
        <w:t xml:space="preserve">the </w:t>
      </w:r>
      <w:r w:rsidR="00341575">
        <w:t>parliamentary</w:t>
      </w:r>
      <w:r w:rsidRPr="001D458E">
        <w:t xml:space="preserve"> officials including Cabinet Ministers and other </w:t>
      </w:r>
      <w:r w:rsidR="00083ACC">
        <w:rPr>
          <w:i/>
          <w:iCs/>
        </w:rPr>
        <w:t>Seimu Sanyaku</w:t>
      </w:r>
      <w:r w:rsidRPr="001D458E">
        <w:t xml:space="preserve"> substantially plan and decide policies in government (DPJ 2009 p.5).</w:t>
      </w:r>
      <w:r w:rsidRPr="001D458E">
        <w:rPr>
          <w:rFonts w:hint="eastAsia"/>
        </w:rPr>
        <w:t xml:space="preserve"> The </w:t>
      </w:r>
      <w:r w:rsidRPr="001D458E">
        <w:t xml:space="preserve">resulting </w:t>
      </w:r>
      <w:r w:rsidRPr="001D458E">
        <w:rPr>
          <w:rFonts w:hint="eastAsia"/>
        </w:rPr>
        <w:t>rise of Cabinet Ministers, who</w:t>
      </w:r>
      <w:r w:rsidRPr="001D458E">
        <w:t xml:space="preserve">se legitimacy </w:t>
      </w:r>
      <w:r w:rsidRPr="001D458E">
        <w:rPr>
          <w:rFonts w:hint="eastAsia"/>
        </w:rPr>
        <w:t xml:space="preserve">to govern </w:t>
      </w:r>
      <w:r w:rsidRPr="001D458E">
        <w:t xml:space="preserve">is </w:t>
      </w:r>
      <w:r w:rsidRPr="001D458E">
        <w:rPr>
          <w:rFonts w:hint="eastAsia"/>
        </w:rPr>
        <w:t>based on law</w:t>
      </w:r>
      <w:r w:rsidRPr="001D458E">
        <w:t xml:space="preserve">, </w:t>
      </w:r>
      <w:r w:rsidRPr="001D458E">
        <w:rPr>
          <w:rFonts w:hint="eastAsia"/>
        </w:rPr>
        <w:t>undermined th</w:t>
      </w:r>
      <w:r w:rsidRPr="001D458E">
        <w:t>e</w:t>
      </w:r>
      <w:r w:rsidRPr="001D458E">
        <w:rPr>
          <w:rFonts w:hint="eastAsia"/>
        </w:rPr>
        <w:t xml:space="preserve"> </w:t>
      </w:r>
      <w:r w:rsidRPr="001D458E">
        <w:t>capricious legitimacy</w:t>
      </w:r>
      <w:r w:rsidRPr="001D458E">
        <w:rPr>
          <w:rFonts w:hint="eastAsia"/>
        </w:rPr>
        <w:t xml:space="preserve"> and the power of party politicians outside the Cabinet. This is a process in which the power of the core executive actors has fluidly changed. </w:t>
      </w:r>
    </w:p>
    <w:p w14:paraId="798F3CF8" w14:textId="77777777" w:rsidR="008D0572" w:rsidRPr="001D458E" w:rsidRDefault="008D0572" w:rsidP="008D0572">
      <w:pPr>
        <w:ind w:firstLine="284"/>
      </w:pPr>
      <w:r w:rsidRPr="001D458E">
        <w:rPr>
          <w:rFonts w:hint="eastAsia"/>
        </w:rPr>
        <w:t xml:space="preserve">The power and weakness of civil servants </w:t>
      </w:r>
      <w:r w:rsidRPr="001D458E">
        <w:t xml:space="preserve">in the ICT sector </w:t>
      </w:r>
      <w:r w:rsidRPr="001D458E">
        <w:rPr>
          <w:rFonts w:hint="eastAsia"/>
        </w:rPr>
        <w:t>is described by Vogel (1996 p.</w:t>
      </w:r>
      <w:r w:rsidRPr="001D458E">
        <w:t>161-6</w:t>
      </w:r>
      <w:r w:rsidRPr="001D458E">
        <w:rPr>
          <w:rFonts w:hint="eastAsia"/>
        </w:rPr>
        <w:t>). The MPT</w:t>
      </w:r>
      <w:r w:rsidRPr="001D458E">
        <w:t>’</w:t>
      </w:r>
      <w:r w:rsidRPr="001D458E">
        <w:rPr>
          <w:rFonts w:hint="eastAsia"/>
        </w:rPr>
        <w:t xml:space="preserve">s </w:t>
      </w:r>
      <w:r w:rsidRPr="001D458E">
        <w:t>‘</w:t>
      </w:r>
      <w:r w:rsidRPr="001D458E">
        <w:rPr>
          <w:rFonts w:hint="eastAsia"/>
        </w:rPr>
        <w:t>heavy handed</w:t>
      </w:r>
      <w:r w:rsidRPr="001D458E">
        <w:t>’</w:t>
      </w:r>
      <w:r w:rsidRPr="001D458E">
        <w:rPr>
          <w:rFonts w:hint="eastAsia"/>
        </w:rPr>
        <w:t xml:space="preserve"> approach </w:t>
      </w:r>
      <w:r w:rsidRPr="001D458E">
        <w:t xml:space="preserve">to regulation </w:t>
      </w:r>
      <w:r w:rsidRPr="001D458E">
        <w:rPr>
          <w:rFonts w:hint="eastAsia"/>
        </w:rPr>
        <w:t xml:space="preserve">based on political </w:t>
      </w:r>
      <w:r w:rsidRPr="001D458E">
        <w:t>discretion</w:t>
      </w:r>
      <w:r w:rsidRPr="001D458E">
        <w:rPr>
          <w:rFonts w:hint="eastAsia"/>
        </w:rPr>
        <w:t xml:space="preserve"> rather than law can be understood as </w:t>
      </w:r>
      <w:r w:rsidRPr="001D458E">
        <w:t>a</w:t>
      </w:r>
      <w:r w:rsidRPr="001D458E">
        <w:rPr>
          <w:rFonts w:hint="eastAsia"/>
        </w:rPr>
        <w:t xml:space="preserve"> weakness of the MPT rather than strength, because it would not have to employ coercive approaches if it had </w:t>
      </w:r>
      <w:r w:rsidR="00C4226C">
        <w:t xml:space="preserve">a </w:t>
      </w:r>
      <w:r w:rsidRPr="001D458E">
        <w:rPr>
          <w:rFonts w:hint="eastAsia"/>
        </w:rPr>
        <w:t>co-operative relationship with operators. T</w:t>
      </w:r>
      <w:r w:rsidRPr="001D458E">
        <w:t>h</w:t>
      </w:r>
      <w:r w:rsidRPr="001D458E">
        <w:rPr>
          <w:rFonts w:hint="eastAsia"/>
        </w:rPr>
        <w:t xml:space="preserve">e decline of </w:t>
      </w:r>
      <w:r w:rsidRPr="001D458E">
        <w:t xml:space="preserve">the </w:t>
      </w:r>
      <w:r w:rsidRPr="001D458E">
        <w:rPr>
          <w:rFonts w:hint="eastAsia"/>
        </w:rPr>
        <w:t>MPT</w:t>
      </w:r>
      <w:r w:rsidRPr="001D458E">
        <w:t>’</w:t>
      </w:r>
      <w:r w:rsidRPr="001D458E">
        <w:rPr>
          <w:rFonts w:hint="eastAsia"/>
        </w:rPr>
        <w:t xml:space="preserve">s role </w:t>
      </w:r>
      <w:r w:rsidRPr="001D458E">
        <w:t>as a</w:t>
      </w:r>
      <w:r w:rsidRPr="001D458E">
        <w:rPr>
          <w:rFonts w:hint="eastAsia"/>
        </w:rPr>
        <w:t xml:space="preserve"> strategic manage</w:t>
      </w:r>
      <w:r w:rsidRPr="001D458E">
        <w:t>r</w:t>
      </w:r>
      <w:r w:rsidRPr="001D458E">
        <w:rPr>
          <w:rFonts w:hint="eastAsia"/>
        </w:rPr>
        <w:t xml:space="preserve"> and </w:t>
      </w:r>
      <w:r w:rsidRPr="001D458E">
        <w:t xml:space="preserve">its </w:t>
      </w:r>
      <w:r w:rsidRPr="001D458E">
        <w:rPr>
          <w:rFonts w:hint="eastAsia"/>
        </w:rPr>
        <w:t xml:space="preserve">legal responsibilities transformed </w:t>
      </w:r>
      <w:r w:rsidRPr="001D458E">
        <w:t>the</w:t>
      </w:r>
      <w:r w:rsidRPr="001D458E">
        <w:rPr>
          <w:rFonts w:hint="eastAsia"/>
        </w:rPr>
        <w:t xml:space="preserve"> nature of </w:t>
      </w:r>
      <w:r w:rsidRPr="001D458E">
        <w:t xml:space="preserve">its </w:t>
      </w:r>
      <w:r w:rsidRPr="001D458E">
        <w:rPr>
          <w:rFonts w:hint="eastAsia"/>
        </w:rPr>
        <w:t xml:space="preserve">power together with </w:t>
      </w:r>
      <w:r w:rsidRPr="001D458E">
        <w:t xml:space="preserve">its </w:t>
      </w:r>
      <w:r w:rsidRPr="001D458E">
        <w:rPr>
          <w:rFonts w:hint="eastAsia"/>
        </w:rPr>
        <w:t xml:space="preserve">increasing expertise. </w:t>
      </w:r>
      <w:r w:rsidRPr="001D458E">
        <w:t>Its approach to the ICT sector has become more rule based and ex post oriented.</w:t>
      </w:r>
    </w:p>
    <w:p w14:paraId="0722FE8B" w14:textId="77777777" w:rsidR="008D0572" w:rsidRPr="001D458E" w:rsidRDefault="008D0572" w:rsidP="008D0572">
      <w:pPr>
        <w:ind w:firstLine="284"/>
      </w:pPr>
      <w:r w:rsidRPr="001D458E">
        <w:rPr>
          <w:rFonts w:hint="eastAsia"/>
        </w:rPr>
        <w:t xml:space="preserve">What emerges from the above is that the fluid change of power within the core executive has shaped the power of the state. In the ICT sector, the embedded structure in the 1980s and 1990s </w:t>
      </w:r>
      <w:r w:rsidRPr="001D458E">
        <w:t>wa</w:t>
      </w:r>
      <w:r w:rsidRPr="001D458E">
        <w:rPr>
          <w:rFonts w:hint="eastAsia"/>
        </w:rPr>
        <w:t xml:space="preserve">s </w:t>
      </w:r>
      <w:r w:rsidRPr="001D458E">
        <w:t>a</w:t>
      </w:r>
      <w:r w:rsidRPr="001D458E">
        <w:rPr>
          <w:rFonts w:hint="eastAsia"/>
        </w:rPr>
        <w:t xml:space="preserve"> </w:t>
      </w:r>
      <w:r w:rsidRPr="001D458E">
        <w:t>coalition of party politicians (typically the LDP) and civil servant</w:t>
      </w:r>
      <w:r w:rsidR="00286A1C">
        <w:t>s</w:t>
      </w:r>
      <w:r w:rsidRPr="001D458E">
        <w:t xml:space="preserve"> in the government ministry (MPT/MIC)</w:t>
      </w:r>
      <w:r w:rsidRPr="001D458E">
        <w:rPr>
          <w:rFonts w:hint="eastAsia"/>
        </w:rPr>
        <w:t>;</w:t>
      </w:r>
      <w:r w:rsidRPr="001D458E">
        <w:t xml:space="preserve"> the former reigned, and the latter </w:t>
      </w:r>
      <w:r w:rsidRPr="001D458E">
        <w:rPr>
          <w:rFonts w:hint="eastAsia"/>
        </w:rPr>
        <w:t xml:space="preserve">materialised regulatory policies in detail. </w:t>
      </w:r>
      <w:r w:rsidRPr="001D458E">
        <w:t>T</w:t>
      </w:r>
      <w:r w:rsidRPr="001D458E">
        <w:rPr>
          <w:rFonts w:hint="eastAsia"/>
        </w:rPr>
        <w:t xml:space="preserve">he power of the state is based on the fact that party politicians were elected by their </w:t>
      </w:r>
      <w:r w:rsidRPr="001D458E">
        <w:t xml:space="preserve">constituencies and bestowed their support on </w:t>
      </w:r>
      <w:r w:rsidRPr="001D458E">
        <w:rPr>
          <w:rFonts w:hint="eastAsia"/>
        </w:rPr>
        <w:t xml:space="preserve">civil servants. </w:t>
      </w:r>
      <w:r w:rsidRPr="001D458E">
        <w:t xml:space="preserve">The </w:t>
      </w:r>
      <w:r w:rsidRPr="001D458E">
        <w:rPr>
          <w:rFonts w:hint="eastAsia"/>
        </w:rPr>
        <w:t>new political mode</w:t>
      </w:r>
      <w:r w:rsidRPr="001D458E">
        <w:t xml:space="preserve"> dominated by Cabinet Ministers </w:t>
      </w:r>
      <w:r w:rsidRPr="001D458E">
        <w:rPr>
          <w:rFonts w:hint="eastAsia"/>
        </w:rPr>
        <w:t xml:space="preserve">has </w:t>
      </w:r>
      <w:r w:rsidR="00286A1C">
        <w:t>the</w:t>
      </w:r>
      <w:r w:rsidRPr="001D458E">
        <w:rPr>
          <w:rFonts w:hint="eastAsia"/>
        </w:rPr>
        <w:t xml:space="preserve"> potential of changing the previous mode</w:t>
      </w:r>
      <w:r w:rsidRPr="001D458E">
        <w:t>’</w:t>
      </w:r>
      <w:r w:rsidRPr="001D458E">
        <w:rPr>
          <w:rFonts w:hint="eastAsia"/>
        </w:rPr>
        <w:t>s logic of power base</w:t>
      </w:r>
      <w:r w:rsidRPr="001D458E">
        <w:t xml:space="preserve">. Cabinet Ministers are appointed by Prime Ministers and have legal authority to govern their responsible government ministries. This new structure, however, </w:t>
      </w:r>
      <w:r w:rsidR="007E167E">
        <w:t>has yet to be fir</w:t>
      </w:r>
      <w:r w:rsidR="00DF747A">
        <w:rPr>
          <w:rFonts w:hint="eastAsia"/>
          <w:lang w:eastAsia="ja-JP"/>
        </w:rPr>
        <w:t>m</w:t>
      </w:r>
      <w:r w:rsidR="007E167E">
        <w:t>ly</w:t>
      </w:r>
      <w:r w:rsidRPr="001D458E">
        <w:t xml:space="preserve"> embedded.</w:t>
      </w:r>
      <w:r w:rsidRPr="001D458E">
        <w:rPr>
          <w:rFonts w:hint="eastAsia"/>
        </w:rPr>
        <w:t xml:space="preserve"> Whether this situation is an intermediate between one set of equilibrium to another or more permanent condition is the question of the future research.</w:t>
      </w:r>
      <w:r>
        <w:rPr>
          <w:rFonts w:hint="eastAsia"/>
        </w:rPr>
        <w:t xml:space="preserve"> Throughout the process the core executive has successfully been dominant to society by retaining its role as key decision maker. State power in the sector has changed in response to the fluid change of power within the core executive.</w:t>
      </w:r>
    </w:p>
    <w:p w14:paraId="648BC521" w14:textId="77777777" w:rsidR="008D0572" w:rsidRPr="001D458E" w:rsidRDefault="008D0572" w:rsidP="008D0572">
      <w:pPr>
        <w:ind w:firstLine="284"/>
      </w:pPr>
      <w:r w:rsidRPr="001D458E">
        <w:t xml:space="preserve">The case of ICT regulation does not reveal </w:t>
      </w:r>
      <w:r w:rsidRPr="001D458E">
        <w:rPr>
          <w:rFonts w:hint="eastAsia"/>
        </w:rPr>
        <w:t>an</w:t>
      </w:r>
      <w:r w:rsidRPr="001D458E">
        <w:t xml:space="preserve"> intimate relationship between the state and private sector actors</w:t>
      </w:r>
      <w:r w:rsidRPr="001D458E">
        <w:rPr>
          <w:rFonts w:hint="eastAsia"/>
        </w:rPr>
        <w:t xml:space="preserve"> </w:t>
      </w:r>
      <w:r w:rsidRPr="001D458E">
        <w:t>described</w:t>
      </w:r>
      <w:r w:rsidRPr="001D458E">
        <w:rPr>
          <w:rFonts w:hint="eastAsia"/>
        </w:rPr>
        <w:t xml:space="preserve"> by</w:t>
      </w:r>
      <w:r w:rsidRPr="001D458E">
        <w:t xml:space="preserve"> Weiss (199</w:t>
      </w:r>
      <w:r w:rsidRPr="001D458E">
        <w:rPr>
          <w:rFonts w:hint="eastAsia"/>
        </w:rPr>
        <w:t>8</w:t>
      </w:r>
      <w:r w:rsidRPr="001D458E">
        <w:t xml:space="preserve"> p.38) </w:t>
      </w:r>
      <w:r w:rsidRPr="001D458E">
        <w:rPr>
          <w:rFonts w:hint="eastAsia"/>
        </w:rPr>
        <w:t xml:space="preserve">in her </w:t>
      </w:r>
      <w:r w:rsidRPr="001D458E">
        <w:t>Governed Interdependence</w:t>
      </w:r>
      <w:r w:rsidRPr="001D458E">
        <w:rPr>
          <w:rFonts w:hint="eastAsia"/>
        </w:rPr>
        <w:t xml:space="preserve"> mode</w:t>
      </w:r>
      <w:r w:rsidRPr="001D458E">
        <w:t xml:space="preserve"> as a type of close relationship between strong public actors and their strong private counterparts, referring to the case of Japan’s MITI. Instead, what emerges </w:t>
      </w:r>
      <w:r w:rsidRPr="001D458E">
        <w:rPr>
          <w:rFonts w:hint="eastAsia"/>
        </w:rPr>
        <w:t xml:space="preserve">from this study </w:t>
      </w:r>
      <w:r w:rsidRPr="001D458E">
        <w:t xml:space="preserve">is </w:t>
      </w:r>
      <w:r w:rsidRPr="001D458E">
        <w:rPr>
          <w:rFonts w:hint="eastAsia"/>
        </w:rPr>
        <w:t xml:space="preserve">a </w:t>
      </w:r>
      <w:r w:rsidRPr="001D458E">
        <w:t xml:space="preserve">more universal form of state power, which is based on legitimacy through the formal institution, electoral processes, and popular support. </w:t>
      </w:r>
      <w:r w:rsidRPr="001D458E">
        <w:rPr>
          <w:rFonts w:hint="eastAsia"/>
        </w:rPr>
        <w:t>T</w:t>
      </w:r>
      <w:r w:rsidRPr="001D458E">
        <w:t>h</w:t>
      </w:r>
      <w:r w:rsidRPr="001D458E">
        <w:rPr>
          <w:rFonts w:hint="eastAsia"/>
        </w:rPr>
        <w:t>e power of the actors has emerged and waned within the group of the core executive. State power revealed in this chapter has asymmetrical dominance to society based on the fluid change of power within the core executive.</w:t>
      </w:r>
    </w:p>
    <w:p w14:paraId="61166A63" w14:textId="77777777" w:rsidR="008D0572" w:rsidRPr="001D458E" w:rsidRDefault="008D0572" w:rsidP="006A7F32">
      <w:pPr>
        <w:ind w:firstLine="284"/>
      </w:pPr>
      <w:r w:rsidRPr="001D458E">
        <w:rPr>
          <w:rFonts w:hint="eastAsia"/>
        </w:rPr>
        <w:t>In returning then to the main theme, which argues for the core executive</w:t>
      </w:r>
      <w:r w:rsidRPr="001D458E">
        <w:t>’</w:t>
      </w:r>
      <w:r w:rsidRPr="001D458E">
        <w:rPr>
          <w:rFonts w:hint="eastAsia"/>
        </w:rPr>
        <w:t>s dominance in regulatory policies, and the research questions of this thesis, what can be observed t</w:t>
      </w:r>
      <w:r w:rsidRPr="001D458E">
        <w:t>hroughout the chapter</w:t>
      </w:r>
      <w:r w:rsidRPr="001D458E">
        <w:rPr>
          <w:rFonts w:hint="eastAsia"/>
        </w:rPr>
        <w:t xml:space="preserve"> is that </w:t>
      </w:r>
      <w:r w:rsidRPr="001D458E">
        <w:t xml:space="preserve">the core executive in Japan’s ICT sector has evolved through its internal change with the decline of </w:t>
      </w:r>
      <w:r w:rsidRPr="001D458E">
        <w:rPr>
          <w:i/>
          <w:iCs/>
        </w:rPr>
        <w:t>Zoku Gi’in</w:t>
      </w:r>
      <w:r w:rsidRPr="001D458E">
        <w:t xml:space="preserve"> and the rise of Cabinet Ministers.</w:t>
      </w:r>
      <w:r w:rsidRPr="001D458E">
        <w:rPr>
          <w:rFonts w:hint="eastAsia"/>
        </w:rPr>
        <w:t xml:space="preserve"> This explains the first research question </w:t>
      </w:r>
      <w:r w:rsidRPr="001D458E">
        <w:t>‘</w:t>
      </w:r>
      <w:r w:rsidR="0015452E">
        <w:rPr>
          <w:rFonts w:hint="eastAsia"/>
        </w:rPr>
        <w:t>How has Japan</w:t>
      </w:r>
      <w:r w:rsidR="00A66639">
        <w:t>’</w:t>
      </w:r>
      <w:r w:rsidR="0015452E">
        <w:rPr>
          <w:rFonts w:hint="eastAsia"/>
        </w:rPr>
        <w:t>s regulatory framework evolved over the last three decades</w:t>
      </w:r>
      <w:r w:rsidRPr="001D458E">
        <w:t>?’</w:t>
      </w:r>
    </w:p>
    <w:p w14:paraId="33FC4B48" w14:textId="77777777" w:rsidR="008D0572" w:rsidRPr="001D458E" w:rsidRDefault="008D0572" w:rsidP="00B07D2D">
      <w:pPr>
        <w:ind w:firstLine="284"/>
      </w:pPr>
      <w:r w:rsidRPr="001D458E">
        <w:rPr>
          <w:rFonts w:hint="eastAsia"/>
        </w:rPr>
        <w:t xml:space="preserve">Tuning to the second research question </w:t>
      </w:r>
      <w:r w:rsidRPr="001D458E">
        <w:t>‘</w:t>
      </w:r>
      <w:r w:rsidRPr="001D458E">
        <w:rPr>
          <w:rFonts w:hint="eastAsia"/>
        </w:rPr>
        <w:t>how ha</w:t>
      </w:r>
      <w:r w:rsidR="00BD653F">
        <w:rPr>
          <w:rFonts w:hint="eastAsia"/>
          <w:lang w:eastAsia="ja-JP"/>
        </w:rPr>
        <w:t>s</w:t>
      </w:r>
      <w:r w:rsidRPr="001D458E">
        <w:rPr>
          <w:rFonts w:hint="eastAsia"/>
        </w:rPr>
        <w:t xml:space="preserve"> </w:t>
      </w:r>
      <w:r w:rsidR="00BD653F">
        <w:rPr>
          <w:rFonts w:hint="eastAsia"/>
          <w:lang w:eastAsia="ja-JP"/>
        </w:rPr>
        <w:t xml:space="preserve">the core </w:t>
      </w:r>
      <w:r w:rsidR="00626289">
        <w:rPr>
          <w:lang w:eastAsia="ja-JP"/>
        </w:rPr>
        <w:t>executive</w:t>
      </w:r>
      <w:r w:rsidRPr="001D458E">
        <w:rPr>
          <w:rFonts w:hint="eastAsia"/>
        </w:rPr>
        <w:t xml:space="preserve"> been successful in imposing their will on regulation?</w:t>
      </w:r>
      <w:r w:rsidRPr="001D458E">
        <w:t>’</w:t>
      </w:r>
      <w:r>
        <w:t xml:space="preserve"> p</w:t>
      </w:r>
      <w:r w:rsidRPr="001D458E">
        <w:rPr>
          <w:rFonts w:hint="eastAsia"/>
        </w:rPr>
        <w:t xml:space="preserve">arty politicians have imposed their will through retaining the role of the key decision maker in regulation. </w:t>
      </w:r>
      <w:r>
        <w:t>T</w:t>
      </w:r>
      <w:r w:rsidRPr="001D458E">
        <w:t xml:space="preserve">he dominant actor has been party politicians, whether those outside </w:t>
      </w:r>
      <w:r w:rsidR="004E7190">
        <w:rPr>
          <w:rFonts w:eastAsia="MS Mincho" w:hint="eastAsia"/>
          <w:lang w:eastAsia="ja-JP"/>
        </w:rPr>
        <w:t xml:space="preserve">the </w:t>
      </w:r>
      <w:r w:rsidRPr="001D458E">
        <w:t xml:space="preserve">Cabinet or Cabinet Ministers, rather than civil servants. The dominance of the core executive in the ICT sector has therefore been </w:t>
      </w:r>
      <w:r w:rsidRPr="001D458E">
        <w:rPr>
          <w:rFonts w:hint="eastAsia"/>
        </w:rPr>
        <w:t>unchanged</w:t>
      </w:r>
      <w:r>
        <w:t xml:space="preserve"> because the group of party politicians has retained their role as the key decision maker</w:t>
      </w:r>
      <w:r w:rsidRPr="001D458E">
        <w:t>.</w:t>
      </w:r>
    </w:p>
    <w:p w14:paraId="70E0D189" w14:textId="77777777" w:rsidR="008D0572" w:rsidRPr="001D458E" w:rsidRDefault="007E167E" w:rsidP="008D0572">
      <w:pPr>
        <w:ind w:firstLine="284"/>
      </w:pPr>
      <w:r>
        <w:t>In relation to the</w:t>
      </w:r>
      <w:r w:rsidRPr="001D458E">
        <w:rPr>
          <w:rFonts w:hint="eastAsia"/>
        </w:rPr>
        <w:t xml:space="preserve"> </w:t>
      </w:r>
      <w:r w:rsidR="008D0572" w:rsidRPr="001D458E">
        <w:rPr>
          <w:rFonts w:hint="eastAsia"/>
        </w:rPr>
        <w:t xml:space="preserve">third research question </w:t>
      </w:r>
      <w:r w:rsidR="008D0572" w:rsidRPr="001D458E">
        <w:t>‘how</w:t>
      </w:r>
      <w:r w:rsidR="008D0572" w:rsidRPr="001D458E">
        <w:rPr>
          <w:rFonts w:hint="eastAsia"/>
        </w:rPr>
        <w:t xml:space="preserve"> have Japan</w:t>
      </w:r>
      <w:r w:rsidR="008D0572" w:rsidRPr="001D458E">
        <w:t>’</w:t>
      </w:r>
      <w:r w:rsidR="008D0572" w:rsidRPr="001D458E">
        <w:rPr>
          <w:rFonts w:hint="eastAsia"/>
        </w:rPr>
        <w:t xml:space="preserve">s ministries shaped </w:t>
      </w:r>
      <w:r w:rsidR="00286A1C">
        <w:t>the</w:t>
      </w:r>
      <w:r w:rsidR="008D0572" w:rsidRPr="001D458E">
        <w:rPr>
          <w:rFonts w:hint="eastAsia"/>
        </w:rPr>
        <w:t xml:space="preserve"> organisational design of regulatory functions?</w:t>
      </w:r>
      <w:r w:rsidR="008D0572" w:rsidRPr="001D458E">
        <w:t>’</w:t>
      </w:r>
      <w:r w:rsidR="008D0572" w:rsidRPr="001D458E">
        <w:rPr>
          <w:rFonts w:hint="eastAsia"/>
        </w:rPr>
        <w:t>, t</w:t>
      </w:r>
      <w:r w:rsidR="008D0572" w:rsidRPr="001D458E">
        <w:t>he core executive’s p</w:t>
      </w:r>
      <w:r w:rsidR="008D0572">
        <w:rPr>
          <w:rFonts w:hint="eastAsia"/>
        </w:rPr>
        <w:t>erspective</w:t>
      </w:r>
      <w:r w:rsidR="008D0572" w:rsidRPr="001D458E">
        <w:t xml:space="preserve"> has shaped the concrete approaches to regulation, an example of which can be observed in the case of the organisational design of Japan’s regulator. The state tradition based on the core executive’s </w:t>
      </w:r>
      <w:r w:rsidR="008D0572">
        <w:rPr>
          <w:rFonts w:hint="eastAsia"/>
        </w:rPr>
        <w:t>perspective</w:t>
      </w:r>
      <w:r w:rsidR="008D0572" w:rsidRPr="001D458E">
        <w:t xml:space="preserve"> </w:t>
      </w:r>
      <w:r w:rsidR="008D0572" w:rsidRPr="001D458E">
        <w:rPr>
          <w:rFonts w:hint="eastAsia"/>
        </w:rPr>
        <w:t xml:space="preserve">shaped by a path dependent sequence </w:t>
      </w:r>
      <w:r w:rsidR="008D0572" w:rsidRPr="001D458E">
        <w:t>significantly contributed to choosing the regulator in the form of a government ministry rather than an independent regulator.</w:t>
      </w:r>
    </w:p>
    <w:p w14:paraId="7BD36070" w14:textId="4A7C7B23" w:rsidR="008D0572" w:rsidRPr="001D458E" w:rsidRDefault="008D0572" w:rsidP="0037301A">
      <w:pPr>
        <w:ind w:firstLine="284"/>
      </w:pPr>
      <w:r w:rsidRPr="001D458E">
        <w:t>L</w:t>
      </w:r>
      <w:r w:rsidRPr="001D458E">
        <w:rPr>
          <w:rFonts w:hint="eastAsia"/>
        </w:rPr>
        <w:t>astly the fourth research question</w:t>
      </w:r>
      <w:r w:rsidR="007E167E">
        <w:t xml:space="preserve"> concerning</w:t>
      </w:r>
      <w:r w:rsidRPr="001D458E">
        <w:rPr>
          <w:rFonts w:hint="eastAsia"/>
        </w:rPr>
        <w:t xml:space="preserve"> </w:t>
      </w:r>
      <w:r w:rsidRPr="001D458E">
        <w:t>‘</w:t>
      </w:r>
      <w:r w:rsidRPr="001D458E">
        <w:rPr>
          <w:rFonts w:hint="eastAsia"/>
        </w:rPr>
        <w:t>how has the state</w:t>
      </w:r>
      <w:r w:rsidRPr="001D458E">
        <w:t>’</w:t>
      </w:r>
      <w:r w:rsidRPr="001D458E">
        <w:rPr>
          <w:rFonts w:hint="eastAsia"/>
        </w:rPr>
        <w:t>s regulatory capacity changed?</w:t>
      </w:r>
      <w:r w:rsidR="0037301A">
        <w:t>’</w:t>
      </w:r>
      <w:r w:rsidRPr="001D458E">
        <w:rPr>
          <w:rFonts w:hint="eastAsia"/>
        </w:rPr>
        <w:t xml:space="preserve"> </w:t>
      </w:r>
      <w:r w:rsidR="007E167E">
        <w:t xml:space="preserve">reveals that </w:t>
      </w:r>
      <w:r w:rsidRPr="001D458E">
        <w:rPr>
          <w:rFonts w:hint="eastAsia"/>
        </w:rPr>
        <w:t>t</w:t>
      </w:r>
      <w:r w:rsidRPr="001D458E">
        <w:t>he capacity of the Japanese state in the ICT sector has been transformed, although it certainly became unstable.</w:t>
      </w:r>
    </w:p>
    <w:p w14:paraId="7727A9A3" w14:textId="77777777" w:rsidR="008D0572" w:rsidRPr="001D458E" w:rsidRDefault="008D0572" w:rsidP="00855842">
      <w:pPr>
        <w:ind w:firstLine="284"/>
      </w:pPr>
      <w:r w:rsidRPr="001D458E">
        <w:t xml:space="preserve">Throughout this whole process, Japan’s core executive in the ICT sector has successfully retained its steering capacity, </w:t>
      </w:r>
      <w:r w:rsidRPr="001D458E">
        <w:rPr>
          <w:rFonts w:hint="eastAsia"/>
        </w:rPr>
        <w:t xml:space="preserve">setting the mode of the sector, </w:t>
      </w:r>
      <w:r w:rsidRPr="001D458E">
        <w:t xml:space="preserve">even under more unstable conditions after the 2000s. </w:t>
      </w:r>
      <w:r w:rsidRPr="001D458E">
        <w:rPr>
          <w:rFonts w:hint="eastAsia"/>
        </w:rPr>
        <w:t xml:space="preserve">The set of findings in this </w:t>
      </w:r>
      <w:r w:rsidR="00626289">
        <w:rPr>
          <w:rFonts w:hint="eastAsia"/>
          <w:lang w:eastAsia="ja-JP"/>
        </w:rPr>
        <w:t>chapter</w:t>
      </w:r>
      <w:r w:rsidRPr="001D458E">
        <w:rPr>
          <w:rFonts w:hint="eastAsia"/>
        </w:rPr>
        <w:t xml:space="preserve"> endorses </w:t>
      </w:r>
      <w:r w:rsidR="00626289">
        <w:rPr>
          <w:rFonts w:hint="eastAsia"/>
          <w:lang w:eastAsia="ja-JP"/>
        </w:rPr>
        <w:t>the</w:t>
      </w:r>
      <w:r w:rsidRPr="001D458E">
        <w:rPr>
          <w:rFonts w:hint="eastAsia"/>
        </w:rPr>
        <w:t xml:space="preserve"> proposition</w:t>
      </w:r>
      <w:r w:rsidR="00626289">
        <w:rPr>
          <w:rFonts w:hint="eastAsia"/>
          <w:lang w:eastAsia="ja-JP"/>
        </w:rPr>
        <w:t xml:space="preserve"> of this thesis</w:t>
      </w:r>
      <w:r w:rsidRPr="001D458E">
        <w:rPr>
          <w:rFonts w:hint="eastAsia"/>
        </w:rPr>
        <w:t xml:space="preserve">. In the 1980s and 1990s </w:t>
      </w:r>
      <w:r w:rsidRPr="001D458E">
        <w:t xml:space="preserve">regulatory policies were steered by </w:t>
      </w:r>
      <w:r w:rsidRPr="001D458E">
        <w:rPr>
          <w:rFonts w:hint="eastAsia"/>
        </w:rPr>
        <w:t xml:space="preserve">party politicians </w:t>
      </w:r>
      <w:r w:rsidRPr="001D458E">
        <w:t>outside the Cabinet and their strategies were managed by civil servants. The situation there has a similarity with what Johnson (1982) described about the MITI. Regulatory policies were formulated within the group of the core executive through the discretion of party politicians outside the Cabinet. The 2000</w:t>
      </w:r>
      <w:r w:rsidRPr="001D458E">
        <w:rPr>
          <w:rFonts w:hint="eastAsia"/>
        </w:rPr>
        <w:t>s</w:t>
      </w:r>
      <w:r w:rsidRPr="001D458E">
        <w:t xml:space="preserve"> saw a change in this policy making system. Party politicians outside the Cabinet lost their influence and civil servants retreated from their role of strategic decision making. What has emerged is the power of Cabinet Ministers. This change, however, occurred within the inner policy community of the core executive.  The core executive itself has retained its power to steer and implement regulatory policies. Throughout the process between the 1980s and 2000s, the core executive has retained its discretional position to formulate and implement regulatory policies. This position enabled the core executive </w:t>
      </w:r>
      <w:r w:rsidR="00F02403">
        <w:t xml:space="preserve">to </w:t>
      </w:r>
      <w:r w:rsidRPr="001D458E">
        <w:t>domina</w:t>
      </w:r>
      <w:r w:rsidR="00F02403">
        <w:t>te</w:t>
      </w:r>
      <w:r w:rsidRPr="001D458E">
        <w:t xml:space="preserve"> the ICT sector.</w:t>
      </w:r>
    </w:p>
    <w:p w14:paraId="47A3C348" w14:textId="77777777" w:rsidR="000E6505" w:rsidRPr="00914658" w:rsidRDefault="00855842" w:rsidP="006B7323">
      <w:pPr>
        <w:ind w:firstLine="284"/>
      </w:pPr>
      <w:r w:rsidRPr="00914658">
        <w:t xml:space="preserve">The approach of this thesis focusing on the </w:t>
      </w:r>
      <w:r w:rsidR="00344BFB" w:rsidRPr="00914658">
        <w:t xml:space="preserve">state at a macro level </w:t>
      </w:r>
      <w:r w:rsidRPr="00914658">
        <w:t xml:space="preserve">reveals </w:t>
      </w:r>
      <w:r w:rsidR="00344BFB" w:rsidRPr="00914658">
        <w:t>the core executive’s</w:t>
      </w:r>
      <w:r w:rsidRPr="00914658">
        <w:t xml:space="preserve"> asymmetric dominance based on what Marsh et al (2001 p.248) describe as the government’s ‘unique set of resources – force, legitimacy, state bureaucracy, tax-raising powers and legislation – which are unavailable to other actors’. </w:t>
      </w:r>
      <w:r w:rsidR="00344BFB" w:rsidRPr="00914658">
        <w:t xml:space="preserve">The complex power change within the core executive </w:t>
      </w:r>
      <w:r w:rsidR="000E6505" w:rsidRPr="00914658">
        <w:t xml:space="preserve">in ICT regulation </w:t>
      </w:r>
      <w:r w:rsidR="00170842" w:rsidRPr="00914658">
        <w:t xml:space="preserve">after the 1980s </w:t>
      </w:r>
      <w:r w:rsidR="00344BFB" w:rsidRPr="00914658">
        <w:t xml:space="preserve">can be understood as a process of reconstituting the state within ICT regulation, which </w:t>
      </w:r>
      <w:r w:rsidR="00170842" w:rsidRPr="00914658">
        <w:t xml:space="preserve">has </w:t>
      </w:r>
      <w:r w:rsidR="00344BFB" w:rsidRPr="00914658">
        <w:t>result</w:t>
      </w:r>
      <w:r w:rsidR="00170842" w:rsidRPr="00914658">
        <w:t>ed</w:t>
      </w:r>
      <w:r w:rsidR="00344BFB" w:rsidRPr="00914658">
        <w:t xml:space="preserve"> in shaping a variation of the regulatory state in Japan.</w:t>
      </w:r>
      <w:r w:rsidR="00EA6208" w:rsidRPr="00914658">
        <w:t xml:space="preserve"> The reconstitution process </w:t>
      </w:r>
      <w:r w:rsidR="000E6505" w:rsidRPr="00914658">
        <w:t xml:space="preserve">of the state in </w:t>
      </w:r>
      <w:r w:rsidR="00BB4F19" w:rsidRPr="00914658">
        <w:t>ICT regulation</w:t>
      </w:r>
      <w:r w:rsidR="000E6505" w:rsidRPr="00914658">
        <w:t xml:space="preserve"> exposes an example of how the Japanese state has been transformed after the 1980s</w:t>
      </w:r>
      <w:r w:rsidR="00286A1C">
        <w:t>,</w:t>
      </w:r>
      <w:r w:rsidR="004F6850" w:rsidRPr="00914658">
        <w:t xml:space="preserve"> in a field where </w:t>
      </w:r>
      <w:r w:rsidR="00BB4F19" w:rsidRPr="00914658">
        <w:t>the role of the state has distinctively been transformed</w:t>
      </w:r>
      <w:r w:rsidR="004F6850" w:rsidRPr="00914658">
        <w:t xml:space="preserve"> (Smith 2009, Sorensen 2004)</w:t>
      </w:r>
      <w:r w:rsidR="000E6505" w:rsidRPr="00914658">
        <w:t>.</w:t>
      </w:r>
      <w:r w:rsidR="00584A76" w:rsidRPr="00914658">
        <w:t xml:space="preserve"> As previous </w:t>
      </w:r>
      <w:r w:rsidR="00286A1C">
        <w:t>c</w:t>
      </w:r>
      <w:r w:rsidR="00584A76" w:rsidRPr="00914658">
        <w:t>hapters reveal, this is what the literature about Japan with pluralist and rational choice tradition has failed to present.</w:t>
      </w:r>
    </w:p>
    <w:p w14:paraId="70877EBD" w14:textId="77777777" w:rsidR="008D0572" w:rsidRDefault="006B7323" w:rsidP="00CE2882">
      <w:pPr>
        <w:ind w:firstLine="284"/>
      </w:pPr>
      <w:r w:rsidRPr="00914658">
        <w:t>With the reconstitution of the state</w:t>
      </w:r>
      <w:r w:rsidR="00CE2882" w:rsidRPr="00914658">
        <w:t xml:space="preserve"> within the sector</w:t>
      </w:r>
      <w:r w:rsidRPr="00914658">
        <w:t>, the regulatory framework of Japan’s</w:t>
      </w:r>
      <w:r>
        <w:t xml:space="preserve"> ICT sector has significantly changed. </w:t>
      </w:r>
      <w:r w:rsidR="008D0572" w:rsidRPr="001D458E">
        <w:t xml:space="preserve">Another field where significant regulatory transformation has taken place is the field of </w:t>
      </w:r>
      <w:r w:rsidR="008D0572">
        <w:rPr>
          <w:rFonts w:hint="eastAsia"/>
        </w:rPr>
        <w:t>antimonopoly</w:t>
      </w:r>
      <w:r w:rsidR="008D0572" w:rsidRPr="001D458E">
        <w:t xml:space="preserve"> </w:t>
      </w:r>
      <w:r w:rsidR="008D0572">
        <w:rPr>
          <w:rFonts w:hint="eastAsia"/>
        </w:rPr>
        <w:t>regulation</w:t>
      </w:r>
      <w:r w:rsidR="008D0572" w:rsidRPr="001D458E">
        <w:rPr>
          <w:rFonts w:hint="eastAsia"/>
        </w:rPr>
        <w:t xml:space="preserve">, where </w:t>
      </w:r>
      <w:r w:rsidR="008D0572" w:rsidRPr="001D458E">
        <w:t xml:space="preserve">regulatory tools have been enhanced as ex ante regulation has been relaxed in </w:t>
      </w:r>
      <w:r w:rsidR="00286A1C">
        <w:t xml:space="preserve">the </w:t>
      </w:r>
      <w:r w:rsidR="008D0572" w:rsidRPr="001D458E">
        <w:t xml:space="preserve">economy. This is also the field where the independence of regulatory implementation has distinctively been retained in the form of a </w:t>
      </w:r>
      <w:r w:rsidR="008D0572" w:rsidRPr="001D458E">
        <w:rPr>
          <w:rFonts w:hint="eastAsia"/>
        </w:rPr>
        <w:t>rare</w:t>
      </w:r>
      <w:r w:rsidR="008D0572" w:rsidRPr="001D458E">
        <w:t xml:space="preserve"> independent </w:t>
      </w:r>
      <w:r w:rsidR="008D0572">
        <w:rPr>
          <w:rFonts w:hint="eastAsia"/>
        </w:rPr>
        <w:t xml:space="preserve">administrative </w:t>
      </w:r>
      <w:r w:rsidR="008D0572" w:rsidRPr="001D458E">
        <w:t xml:space="preserve">commission. Examining how the Japanese state has been transformed in this field offers contrasting evidence to the case of ICT regulation. The next </w:t>
      </w:r>
      <w:r w:rsidR="007E167E">
        <w:t>chapter</w:t>
      </w:r>
      <w:r w:rsidR="007E167E" w:rsidRPr="001D458E">
        <w:t xml:space="preserve"> </w:t>
      </w:r>
      <w:r w:rsidR="008D0572" w:rsidRPr="001D458E">
        <w:t xml:space="preserve">therefore examines the case of Japan’s </w:t>
      </w:r>
      <w:r w:rsidR="008D0572">
        <w:rPr>
          <w:rFonts w:hint="eastAsia"/>
        </w:rPr>
        <w:t>antimonopoly</w:t>
      </w:r>
      <w:r w:rsidR="008D0572" w:rsidRPr="001D458E">
        <w:t xml:space="preserve"> </w:t>
      </w:r>
      <w:r w:rsidR="008D0572">
        <w:rPr>
          <w:rFonts w:hint="eastAsia"/>
        </w:rPr>
        <w:t>regulation</w:t>
      </w:r>
      <w:r w:rsidR="008D0572" w:rsidRPr="001D458E">
        <w:t>.</w:t>
      </w:r>
      <w:r w:rsidR="008D0572">
        <w:t xml:space="preserve"> </w:t>
      </w:r>
    </w:p>
    <w:p w14:paraId="191613D8" w14:textId="77777777" w:rsidR="008D0572" w:rsidRPr="00A741BC" w:rsidRDefault="008D0572" w:rsidP="008D0572"/>
    <w:p w14:paraId="7F04109E" w14:textId="77777777" w:rsidR="008D0572" w:rsidRPr="007D1693" w:rsidRDefault="008D0572">
      <w:pPr>
        <w:spacing w:line="240" w:lineRule="auto"/>
        <w:rPr>
          <w:rFonts w:eastAsia="MS Mincho" w:cstheme="majorBidi"/>
          <w:b/>
          <w:bCs/>
          <w:szCs w:val="28"/>
          <w:u w:val="single"/>
          <w:lang w:eastAsia="ja-JP"/>
        </w:rPr>
      </w:pPr>
      <w:r>
        <w:br w:type="page"/>
      </w:r>
    </w:p>
    <w:p w14:paraId="59FE84B8" w14:textId="77777777" w:rsidR="007D1693" w:rsidRPr="00816485" w:rsidRDefault="007D1693" w:rsidP="007D1693">
      <w:pPr>
        <w:pStyle w:val="Heading1"/>
      </w:pPr>
      <w:bookmarkStart w:id="55" w:name="_Toc349741377"/>
      <w:r w:rsidRPr="00816485">
        <w:t>Chapter 6</w:t>
      </w:r>
      <w:r w:rsidRPr="00816485">
        <w:tab/>
        <w:t>The Development of Anti</w:t>
      </w:r>
      <w:r w:rsidRPr="00816485">
        <w:rPr>
          <w:rFonts w:hint="eastAsia"/>
        </w:rPr>
        <w:t>monopoly</w:t>
      </w:r>
      <w:r w:rsidRPr="00816485">
        <w:t xml:space="preserve"> </w:t>
      </w:r>
      <w:r w:rsidRPr="00816485">
        <w:rPr>
          <w:rFonts w:hint="eastAsia"/>
        </w:rPr>
        <w:t xml:space="preserve">Regulation </w:t>
      </w:r>
      <w:r w:rsidRPr="00816485">
        <w:t>and State Transformation</w:t>
      </w:r>
      <w:bookmarkEnd w:id="55"/>
    </w:p>
    <w:p w14:paraId="1436627C" w14:textId="77777777" w:rsidR="007D1693" w:rsidRPr="002746A8" w:rsidRDefault="007D1693" w:rsidP="007D1693">
      <w:pPr>
        <w:pStyle w:val="ListParagraph"/>
        <w:ind w:left="0"/>
        <w:rPr>
          <w:b/>
          <w:bCs/>
          <w:szCs w:val="24"/>
        </w:rPr>
      </w:pPr>
    </w:p>
    <w:p w14:paraId="056CE825" w14:textId="77777777" w:rsidR="007D1693" w:rsidRPr="006C1D60" w:rsidRDefault="007D1693" w:rsidP="007D1693">
      <w:pPr>
        <w:pStyle w:val="ListParagraph"/>
        <w:ind w:left="0"/>
        <w:rPr>
          <w:b/>
          <w:bCs/>
          <w:szCs w:val="24"/>
        </w:rPr>
      </w:pPr>
    </w:p>
    <w:p w14:paraId="3E1296A7" w14:textId="77777777" w:rsidR="007D1693" w:rsidRPr="00801A15" w:rsidRDefault="007D1693" w:rsidP="00050D4B">
      <w:pPr>
        <w:pStyle w:val="Heading2"/>
      </w:pPr>
      <w:bookmarkStart w:id="56" w:name="_Toc349741378"/>
      <w:r w:rsidRPr="00801A15">
        <w:t>6.1</w:t>
      </w:r>
      <w:r w:rsidRPr="00801A15">
        <w:tab/>
        <w:t>Introduction</w:t>
      </w:r>
      <w:bookmarkEnd w:id="56"/>
    </w:p>
    <w:p w14:paraId="6A2A5BE2" w14:textId="77777777" w:rsidR="007D1693" w:rsidRDefault="007D1693" w:rsidP="007D1693">
      <w:r>
        <w:t>A</w:t>
      </w:r>
      <w:r>
        <w:rPr>
          <w:rFonts w:hint="eastAsia"/>
        </w:rPr>
        <w:t xml:space="preserve">ntimonopoly </w:t>
      </w:r>
      <w:r>
        <w:t xml:space="preserve">regulation, which </w:t>
      </w:r>
      <w:r w:rsidR="00F30299">
        <w:t xml:space="preserve">is </w:t>
      </w:r>
      <w:r>
        <w:t xml:space="preserve">sometimes referred to as ‘antitrust’ regulation </w:t>
      </w:r>
      <w:r w:rsidR="00B50952">
        <w:t>initially</w:t>
      </w:r>
      <w:r w:rsidR="00F30299">
        <w:t xml:space="preserve"> </w:t>
      </w:r>
      <w:r>
        <w:t>emerged in the US,</w:t>
      </w:r>
      <w:r w:rsidR="00F30299">
        <w:t xml:space="preserve"> but grew elsewhere </w:t>
      </w:r>
      <w:r>
        <w:t xml:space="preserve">internationally </w:t>
      </w:r>
      <w:r w:rsidR="00F30299">
        <w:t>after 1945</w:t>
      </w:r>
      <w:r>
        <w:t>. This process provoked a contention between the indigenous states traditions and an American approach; the spread occurred: ‘within a contested cross-cultural public discourse that recognized Americanization as an active element primarily in relation to indigenous factors already constituting capitalist systems’ (Freyer 2006 p.1). The development of antimonopoly policies has caused a significant transformation in countries outside the US, which assumed before World War II that: ‘anticompetitive collaboration through cartels among business, government, and producer was necessary to preserve social order at home and competitive advantage abroad’ (Freyer 2006 p.3). This transformation prompts the emergence of antimonopoly regulators as a state actor</w:t>
      </w:r>
      <w:r w:rsidR="005B5750">
        <w:rPr>
          <w:rFonts w:hint="eastAsia"/>
          <w:lang w:eastAsia="ja-JP"/>
        </w:rPr>
        <w:t xml:space="preserve"> in the countries outside the US</w:t>
      </w:r>
      <w:r>
        <w:t xml:space="preserve">. At the same time, </w:t>
      </w:r>
      <w:r w:rsidR="004A7F6B">
        <w:rPr>
          <w:rFonts w:hint="eastAsia"/>
          <w:lang w:eastAsia="ja-JP"/>
        </w:rPr>
        <w:t xml:space="preserve">because </w:t>
      </w:r>
      <w:r>
        <w:t>the traditional sentiment in favour of state-business collaboration</w:t>
      </w:r>
      <w:r w:rsidR="004A7F6B">
        <w:rPr>
          <w:rFonts w:hint="eastAsia"/>
          <w:lang w:eastAsia="ja-JP"/>
        </w:rPr>
        <w:t xml:space="preserve"> existed in those countries, the introduction of an approach in favour of competition and antimonopoly regulation </w:t>
      </w:r>
      <w:r w:rsidR="009A670D">
        <w:rPr>
          <w:rFonts w:hint="eastAsia"/>
          <w:lang w:eastAsia="ja-JP"/>
        </w:rPr>
        <w:t>in those countries was contested with such a sentiment</w:t>
      </w:r>
      <w:r>
        <w:t>.</w:t>
      </w:r>
    </w:p>
    <w:p w14:paraId="7613D76C" w14:textId="77777777" w:rsidR="007D1693" w:rsidRDefault="007D1693" w:rsidP="007D1693">
      <w:pPr>
        <w:ind w:firstLine="284"/>
      </w:pPr>
      <w:r>
        <w:rPr>
          <w:rFonts w:hint="eastAsia"/>
        </w:rPr>
        <w:t>T</w:t>
      </w:r>
      <w:r>
        <w:t>his thesis focuses on the Japanese case</w:t>
      </w:r>
      <w:r>
        <w:rPr>
          <w:rFonts w:hint="eastAsia"/>
        </w:rPr>
        <w:t xml:space="preserve"> of this emergent regulatory field</w:t>
      </w:r>
      <w:r>
        <w:t xml:space="preserve">, exploring the response of the state to </w:t>
      </w:r>
      <w:r w:rsidR="00F30299">
        <w:t xml:space="preserve">the </w:t>
      </w:r>
      <w:r>
        <w:t xml:space="preserve">specific challenges </w:t>
      </w:r>
      <w:r w:rsidR="00F30299">
        <w:t>it presents</w:t>
      </w:r>
      <w:r>
        <w:t>. A</w:t>
      </w:r>
      <w:r>
        <w:rPr>
          <w:rFonts w:hint="eastAsia"/>
        </w:rPr>
        <w:t xml:space="preserve"> characteristic of the Japanese case includes</w:t>
      </w:r>
      <w:r>
        <w:t xml:space="preserve"> a significant </w:t>
      </w:r>
      <w:r>
        <w:rPr>
          <w:rFonts w:hint="eastAsia"/>
        </w:rPr>
        <w:t xml:space="preserve">influence </w:t>
      </w:r>
      <w:r>
        <w:t xml:space="preserve">from </w:t>
      </w:r>
      <w:r>
        <w:rPr>
          <w:rFonts w:hint="eastAsia"/>
        </w:rPr>
        <w:t>the US; Japan</w:t>
      </w:r>
      <w:r>
        <w:t>’</w:t>
      </w:r>
      <w:r>
        <w:rPr>
          <w:rFonts w:hint="eastAsia"/>
        </w:rPr>
        <w:t>s antimonopoly institution was designed under the initiative of the SCAP (</w:t>
      </w:r>
      <w:r w:rsidRPr="006648F7">
        <w:t>Supreme Commander for the Allied Powers</w:t>
      </w:r>
      <w:r>
        <w:rPr>
          <w:rFonts w:hint="eastAsia"/>
        </w:rPr>
        <w:t>)</w:t>
      </w:r>
      <w:r>
        <w:t xml:space="preserve"> in its establishment in 1947</w:t>
      </w:r>
      <w:r>
        <w:rPr>
          <w:rFonts w:hint="eastAsia"/>
        </w:rPr>
        <w:t>. T</w:t>
      </w:r>
      <w:r>
        <w:t>h</w:t>
      </w:r>
      <w:r>
        <w:rPr>
          <w:rFonts w:hint="eastAsia"/>
        </w:rPr>
        <w:t>is origin of direct import from the US provoked a con</w:t>
      </w:r>
      <w:r>
        <w:t>test</w:t>
      </w:r>
      <w:r>
        <w:rPr>
          <w:rFonts w:hint="eastAsia"/>
        </w:rPr>
        <w:t xml:space="preserve"> with the traditional approach. </w:t>
      </w:r>
      <w:r>
        <w:t>T</w:t>
      </w:r>
      <w:r>
        <w:rPr>
          <w:rFonts w:hint="eastAsia"/>
        </w:rPr>
        <w:t xml:space="preserve">he following </w:t>
      </w:r>
      <w:r>
        <w:t xml:space="preserve">revision </w:t>
      </w:r>
      <w:r>
        <w:rPr>
          <w:rFonts w:hint="eastAsia"/>
        </w:rPr>
        <w:t>of Japan</w:t>
      </w:r>
      <w:r>
        <w:t>’</w:t>
      </w:r>
      <w:r>
        <w:rPr>
          <w:rFonts w:hint="eastAsia"/>
        </w:rPr>
        <w:t xml:space="preserve">s antimonopoly regulation </w:t>
      </w:r>
      <w:r>
        <w:t>in 1953 significantly weaken</w:t>
      </w:r>
      <w:r>
        <w:rPr>
          <w:rFonts w:hint="eastAsia"/>
        </w:rPr>
        <w:t xml:space="preserve">ed its system, leaving the responsible JFTC (Fair Trade Commission, Japan) </w:t>
      </w:r>
      <w:r w:rsidR="00F30299">
        <w:t xml:space="preserve">as </w:t>
      </w:r>
      <w:r>
        <w:rPr>
          <w:rFonts w:hint="eastAsia"/>
        </w:rPr>
        <w:t xml:space="preserve">one of the </w:t>
      </w:r>
      <w:r w:rsidR="00F30299">
        <w:rPr>
          <w:rFonts w:hint="eastAsia"/>
        </w:rPr>
        <w:t>weak</w:t>
      </w:r>
      <w:r w:rsidR="00F30299">
        <w:t>er</w:t>
      </w:r>
      <w:r w:rsidR="00F30299">
        <w:rPr>
          <w:rFonts w:hint="eastAsia"/>
        </w:rPr>
        <w:t xml:space="preserve"> </w:t>
      </w:r>
      <w:r>
        <w:rPr>
          <w:rFonts w:hint="eastAsia"/>
        </w:rPr>
        <w:t xml:space="preserve">government </w:t>
      </w:r>
      <w:r>
        <w:t>organisations</w:t>
      </w:r>
      <w:r>
        <w:rPr>
          <w:rFonts w:hint="eastAsia"/>
        </w:rPr>
        <w:t xml:space="preserve"> until the 1970s.</w:t>
      </w:r>
    </w:p>
    <w:p w14:paraId="723C40C5" w14:textId="77777777" w:rsidR="007D1693" w:rsidRDefault="007D1693" w:rsidP="008F440D">
      <w:pPr>
        <w:ind w:firstLine="284"/>
      </w:pPr>
      <w:r>
        <w:t xml:space="preserve">The </w:t>
      </w:r>
      <w:r>
        <w:rPr>
          <w:rFonts w:hint="eastAsia"/>
        </w:rPr>
        <w:t>second</w:t>
      </w:r>
      <w:r>
        <w:t xml:space="preserve"> turning point emerged in the form of </w:t>
      </w:r>
      <w:r w:rsidR="00F30299">
        <w:t xml:space="preserve">a </w:t>
      </w:r>
      <w:r>
        <w:t>law amendment in 1977, enhancing the JFTC. The f</w:t>
      </w:r>
      <w:r>
        <w:rPr>
          <w:rFonts w:hint="eastAsia"/>
        </w:rPr>
        <w:t>ollowing Structural Impediments Initiative (SII) between the Governments of Japan and the United States</w:t>
      </w:r>
      <w:r>
        <w:rPr>
          <w:rStyle w:val="FootnoteReference"/>
        </w:rPr>
        <w:footnoteReference w:id="63"/>
      </w:r>
      <w:r>
        <w:rPr>
          <w:rFonts w:hint="eastAsia"/>
        </w:rPr>
        <w:t>offered a significant turning point for Japan</w:t>
      </w:r>
      <w:r>
        <w:t>’</w:t>
      </w:r>
      <w:r>
        <w:rPr>
          <w:rFonts w:hint="eastAsia"/>
        </w:rPr>
        <w:t>s antimonopoly polic</w:t>
      </w:r>
      <w:r>
        <w:t>ies</w:t>
      </w:r>
      <w:r>
        <w:rPr>
          <w:rFonts w:hint="eastAsia"/>
        </w:rPr>
        <w:t xml:space="preserve">. </w:t>
      </w:r>
      <w:r>
        <w:t xml:space="preserve">The impact of the SII has </w:t>
      </w:r>
      <w:r w:rsidR="00F30299">
        <w:t xml:space="preserve">led to </w:t>
      </w:r>
      <w:r>
        <w:t xml:space="preserve">the Japanese government subsequently prioritising the </w:t>
      </w:r>
      <w:r>
        <w:rPr>
          <w:rFonts w:hint="eastAsia"/>
        </w:rPr>
        <w:t xml:space="preserve">enhancing </w:t>
      </w:r>
      <w:r>
        <w:t xml:space="preserve">of </w:t>
      </w:r>
      <w:r>
        <w:rPr>
          <w:rFonts w:hint="eastAsia"/>
        </w:rPr>
        <w:t>the JFTC and Japan</w:t>
      </w:r>
      <w:r>
        <w:t>’</w:t>
      </w:r>
      <w:r>
        <w:rPr>
          <w:rFonts w:hint="eastAsia"/>
        </w:rPr>
        <w:t>s antimonopoly</w:t>
      </w:r>
      <w:r>
        <w:t xml:space="preserve"> regulation</w:t>
      </w:r>
      <w:r w:rsidR="008F440D">
        <w:t xml:space="preserve"> (Figure 6.1 exhibits the timeline of the development of Japan’s antimonopoly regulation).</w:t>
      </w:r>
    </w:p>
    <w:p w14:paraId="0C8DAD32" w14:textId="77777777" w:rsidR="008F440D" w:rsidRDefault="008F440D" w:rsidP="007D1693">
      <w:pPr>
        <w:ind w:firstLine="284"/>
      </w:pPr>
    </w:p>
    <w:p w14:paraId="323A12BC" w14:textId="77777777" w:rsidR="00D11BAF" w:rsidRDefault="00D11BAF" w:rsidP="007D1693">
      <w:pPr>
        <w:ind w:firstLine="284"/>
      </w:pPr>
    </w:p>
    <w:p w14:paraId="78ED7948" w14:textId="77777777" w:rsidR="00D11BAF" w:rsidRDefault="00D11BAF" w:rsidP="007D1693">
      <w:pPr>
        <w:ind w:firstLine="284"/>
      </w:pPr>
    </w:p>
    <w:p w14:paraId="4952A7D5" w14:textId="77777777" w:rsidR="00D11BAF" w:rsidRDefault="00D11BAF" w:rsidP="007D1693">
      <w:pPr>
        <w:ind w:firstLine="284"/>
      </w:pPr>
    </w:p>
    <w:p w14:paraId="02FD66C8" w14:textId="77777777" w:rsidR="00D11BAF" w:rsidRDefault="00D11BAF" w:rsidP="007D1693">
      <w:pPr>
        <w:ind w:firstLine="284"/>
      </w:pPr>
    </w:p>
    <w:p w14:paraId="4E5CB64F" w14:textId="77777777" w:rsidR="008F440D" w:rsidRDefault="008F440D" w:rsidP="008F440D">
      <w:pPr>
        <w:pStyle w:val="Heading4"/>
      </w:pPr>
      <w:r>
        <w:t>Figure 6.1: The timeline of the development of Japan’s antimonopoly regulation</w:t>
      </w:r>
    </w:p>
    <w:p w14:paraId="55CAE29F" w14:textId="77777777" w:rsidR="008F440D" w:rsidRDefault="008F440D" w:rsidP="007D1693">
      <w:pPr>
        <w:ind w:firstLine="284"/>
      </w:pPr>
    </w:p>
    <w:p w14:paraId="6364CA25" w14:textId="77777777" w:rsidR="008F440D" w:rsidRDefault="002172E5" w:rsidP="007D1693">
      <w:pPr>
        <w:ind w:firstLine="284"/>
      </w:pPr>
      <w:r>
        <w:rPr>
          <w:noProof/>
          <w:lang w:eastAsia="ja-JP"/>
        </w:rPr>
        <mc:AlternateContent>
          <mc:Choice Requires="wps">
            <w:drawing>
              <wp:anchor distT="0" distB="0" distL="114300" distR="114300" simplePos="0" relativeHeight="251838464" behindDoc="0" locked="0" layoutInCell="1" allowOverlap="1" wp14:anchorId="28081D80" wp14:editId="5A6087E6">
                <wp:simplePos x="0" y="0"/>
                <wp:positionH relativeFrom="column">
                  <wp:posOffset>3646170</wp:posOffset>
                </wp:positionH>
                <wp:positionV relativeFrom="paragraph">
                  <wp:posOffset>172085</wp:posOffset>
                </wp:positionV>
                <wp:extent cx="1943100" cy="532765"/>
                <wp:effectExtent l="0" t="0" r="19050" b="19685"/>
                <wp:wrapNone/>
                <wp:docPr id="18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32765"/>
                        </a:xfrm>
                        <a:prstGeom prst="rect">
                          <a:avLst/>
                        </a:prstGeom>
                        <a:solidFill>
                          <a:srgbClr val="FFFFFF"/>
                        </a:solidFill>
                        <a:ln w="9525">
                          <a:solidFill>
                            <a:srgbClr val="000000"/>
                          </a:solidFill>
                          <a:miter lim="800000"/>
                          <a:headEnd/>
                          <a:tailEnd/>
                        </a:ln>
                      </wps:spPr>
                      <wps:txbx>
                        <w:txbxContent>
                          <w:p w14:paraId="3524EB49" w14:textId="77777777" w:rsidR="00AC34E6" w:rsidRDefault="00AC34E6" w:rsidP="008F440D">
                            <w:pPr>
                              <w:spacing w:line="240" w:lineRule="exact"/>
                              <w:rPr>
                                <w:b/>
                                <w:bCs/>
                                <w:sz w:val="21"/>
                                <w:szCs w:val="21"/>
                              </w:rPr>
                            </w:pPr>
                            <w:r>
                              <w:rPr>
                                <w:b/>
                                <w:bCs/>
                                <w:sz w:val="21"/>
                                <w:szCs w:val="21"/>
                              </w:rPr>
                              <w:t>Koizumi government (2001-06)</w:t>
                            </w:r>
                          </w:p>
                          <w:p w14:paraId="646312E1" w14:textId="77777777" w:rsidR="00AC34E6" w:rsidRPr="002062AA" w:rsidRDefault="00AC34E6" w:rsidP="008F440D">
                            <w:pPr>
                              <w:spacing w:line="240" w:lineRule="exact"/>
                              <w:rPr>
                                <w:sz w:val="21"/>
                                <w:szCs w:val="21"/>
                              </w:rPr>
                            </w:pPr>
                            <w:r>
                              <w:rPr>
                                <w:sz w:val="21"/>
                                <w:szCs w:val="21"/>
                              </w:rPr>
                              <w:t>Significantly enhancing antimonopoly regulation and the JFTC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40" type="#_x0000_t202" style="position:absolute;left:0;text-align:left;margin-left:287.1pt;margin-top:13.55pt;width:153pt;height:41.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">
                <v:textbox inset="5.85pt,.7pt,5.85pt,.7pt">
                  <w:txbxContent>
                    <w:p w14:paraId="3524EB49" w14:textId="77777777" w:rsidR="00AC34E6" w:rsidRDefault="00AC34E6" w:rsidP="008F440D">
                      <w:pPr>
                        <w:spacing w:line="240" w:lineRule="exact"/>
                        <w:rPr>
                          <w:b/>
                          <w:bCs/>
                          <w:sz w:val="21"/>
                          <w:szCs w:val="21"/>
                        </w:rPr>
                      </w:pPr>
                      <w:r>
                        <w:rPr>
                          <w:b/>
                          <w:bCs/>
                          <w:sz w:val="21"/>
                          <w:szCs w:val="21"/>
                        </w:rPr>
                        <w:t>Koizumi government (2001-06)</w:t>
                      </w:r>
                    </w:p>
                    <w:p w14:paraId="646312E1" w14:textId="77777777" w:rsidR="00AC34E6" w:rsidRPr="002062AA" w:rsidRDefault="00AC34E6" w:rsidP="008F440D">
                      <w:pPr>
                        <w:spacing w:line="240" w:lineRule="exact"/>
                        <w:rPr>
                          <w:sz w:val="21"/>
                          <w:szCs w:val="21"/>
                        </w:rPr>
                      </w:pPr>
                      <w:r>
                        <w:rPr>
                          <w:sz w:val="21"/>
                          <w:szCs w:val="21"/>
                        </w:rPr>
                        <w:t>Significantly enhancing antimonopoly regulation and the JFTC</w:t>
                      </w:r>
                    </w:p>
                  </w:txbxContent>
                </v:textbox>
              </v:shape>
            </w:pict>
          </mc:Fallback>
        </mc:AlternateContent>
      </w:r>
    </w:p>
    <w:p w14:paraId="2CABEC39" w14:textId="77777777" w:rsidR="008F440D" w:rsidRDefault="002172E5" w:rsidP="007D1693">
      <w:pPr>
        <w:ind w:firstLine="284"/>
      </w:pPr>
      <w:r>
        <w:rPr>
          <w:noProof/>
          <w:lang w:eastAsia="ja-JP"/>
        </w:rPr>
        <mc:AlternateContent>
          <mc:Choice Requires="wps">
            <w:drawing>
              <wp:anchor distT="0" distB="0" distL="114300" distR="114300" simplePos="0" relativeHeight="251848704" behindDoc="0" locked="0" layoutInCell="1" allowOverlap="1" wp14:anchorId="444A5893" wp14:editId="7334C6F5">
                <wp:simplePos x="0" y="0"/>
                <wp:positionH relativeFrom="column">
                  <wp:posOffset>4781550</wp:posOffset>
                </wp:positionH>
                <wp:positionV relativeFrom="paragraph">
                  <wp:posOffset>407035</wp:posOffset>
                </wp:positionV>
                <wp:extent cx="461010" cy="225425"/>
                <wp:effectExtent l="0" t="0" r="0" b="3175"/>
                <wp:wrapNone/>
                <wp:docPr id="18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8DAE9" w14:textId="77777777" w:rsidR="00AC34E6" w:rsidRDefault="00AC34E6" w:rsidP="00791FFB">
                            <w:pPr>
                              <w:spacing w:line="240" w:lineRule="auto"/>
                            </w:pPr>
                            <w:r>
                              <w:t>2005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41" type="#_x0000_t202" style="position:absolute;left:0;text-align:left;margin-left:376.5pt;margin-top:32.05pt;width:36.3pt;height:1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ZahgIAABg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" stroked="f">
                <v:textbox inset="5.85pt,.7pt,5.85pt,.7pt">
                  <w:txbxContent>
                    <w:p w14:paraId="4A58DAE9" w14:textId="77777777" w:rsidR="00AC34E6" w:rsidRDefault="00AC34E6" w:rsidP="00791FFB">
                      <w:pPr>
                        <w:spacing w:line="240" w:lineRule="auto"/>
                      </w:pPr>
                      <w:r>
                        <w:t>2005</w:t>
                      </w:r>
                    </w:p>
                  </w:txbxContent>
                </v:textbox>
              </v:shape>
            </w:pict>
          </mc:Fallback>
        </mc:AlternateContent>
      </w:r>
      <w:r>
        <w:rPr>
          <w:noProof/>
          <w:lang w:eastAsia="ja-JP"/>
        </w:rPr>
        <mc:AlternateContent>
          <mc:Choice Requires="wps">
            <w:drawing>
              <wp:anchor distT="0" distB="0" distL="114300" distR="114300" simplePos="0" relativeHeight="251851776" behindDoc="0" locked="0" layoutInCell="1" allowOverlap="1" wp14:anchorId="4AC190C0" wp14:editId="7EDAF761">
                <wp:simplePos x="0" y="0"/>
                <wp:positionH relativeFrom="column">
                  <wp:posOffset>241300</wp:posOffset>
                </wp:positionH>
                <wp:positionV relativeFrom="paragraph">
                  <wp:posOffset>271145</wp:posOffset>
                </wp:positionV>
                <wp:extent cx="1442085" cy="221615"/>
                <wp:effectExtent l="0" t="0" r="24765" b="26035"/>
                <wp:wrapNone/>
                <wp:docPr id="18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221615"/>
                        </a:xfrm>
                        <a:prstGeom prst="rect">
                          <a:avLst/>
                        </a:prstGeom>
                        <a:solidFill>
                          <a:srgbClr val="FFFFFF"/>
                        </a:solidFill>
                        <a:ln w="9525">
                          <a:solidFill>
                            <a:srgbClr val="000000"/>
                          </a:solidFill>
                          <a:miter lim="800000"/>
                          <a:headEnd/>
                          <a:tailEnd/>
                        </a:ln>
                      </wps:spPr>
                      <wps:txbx>
                        <w:txbxContent>
                          <w:p w14:paraId="2FF0B41C" w14:textId="77777777" w:rsidR="00AC34E6" w:rsidRPr="006278DF" w:rsidRDefault="00AC34E6" w:rsidP="00791FFB">
                            <w:pPr>
                              <w:spacing w:line="240" w:lineRule="exact"/>
                              <w:rPr>
                                <w:sz w:val="21"/>
                                <w:szCs w:val="21"/>
                              </w:rPr>
                            </w:pPr>
                            <w:r>
                              <w:rPr>
                                <w:b/>
                                <w:bCs/>
                                <w:sz w:val="21"/>
                                <w:szCs w:val="21"/>
                              </w:rPr>
                              <w:t>Introduction of the AMA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2" type="#_x0000_t202" style="position:absolute;left:0;text-align:left;margin-left:19pt;margin-top:21.35pt;width:113.55pt;height:17.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">
                <v:textbox inset="5.85pt,.7pt,5.85pt,.7pt">
                  <w:txbxContent>
                    <w:p w14:paraId="2FF0B41C" w14:textId="77777777" w:rsidR="00AC34E6" w:rsidRPr="006278DF" w:rsidRDefault="00AC34E6" w:rsidP="00791FFB">
                      <w:pPr>
                        <w:spacing w:line="240" w:lineRule="exact"/>
                        <w:rPr>
                          <w:sz w:val="21"/>
                          <w:szCs w:val="21"/>
                        </w:rPr>
                      </w:pPr>
                      <w:r>
                        <w:rPr>
                          <w:b/>
                          <w:bCs/>
                          <w:sz w:val="21"/>
                          <w:szCs w:val="21"/>
                        </w:rPr>
                        <w:t>Introduction of the AMA</w:t>
                      </w:r>
                    </w:p>
                  </w:txbxContent>
                </v:textbox>
              </v:shape>
            </w:pict>
          </mc:Fallback>
        </mc:AlternateContent>
      </w:r>
      <w:r>
        <w:rPr>
          <w:noProof/>
          <w:lang w:eastAsia="ja-JP"/>
        </w:rPr>
        <mc:AlternateContent>
          <mc:Choice Requires="wps">
            <w:drawing>
              <wp:anchor distT="0" distB="0" distL="114300" distR="114300" simplePos="0" relativeHeight="251835392" behindDoc="0" locked="0" layoutInCell="1" allowOverlap="1" wp14:anchorId="31513814" wp14:editId="13E12A37">
                <wp:simplePos x="0" y="0"/>
                <wp:positionH relativeFrom="column">
                  <wp:posOffset>3567430</wp:posOffset>
                </wp:positionH>
                <wp:positionV relativeFrom="paragraph">
                  <wp:posOffset>407035</wp:posOffset>
                </wp:positionV>
                <wp:extent cx="461010" cy="225425"/>
                <wp:effectExtent l="0" t="0" r="0" b="3175"/>
                <wp:wrapNone/>
                <wp:docPr id="17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7A3E5" w14:textId="77777777" w:rsidR="00AC34E6" w:rsidRDefault="00AC34E6" w:rsidP="008F440D">
                            <w:pPr>
                              <w:spacing w:line="240" w:lineRule="auto"/>
                            </w:pPr>
                            <w:r>
                              <w:t>1990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43" type="#_x0000_t202" style="position:absolute;left:0;text-align:left;margin-left:280.9pt;margin-top:32.05pt;width:36.3pt;height:17.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ThQIAABg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" stroked="f">
                <v:textbox inset="5.85pt,.7pt,5.85pt,.7pt">
                  <w:txbxContent>
                    <w:p w14:paraId="1B97A3E5" w14:textId="77777777" w:rsidR="00AC34E6" w:rsidRDefault="00AC34E6" w:rsidP="008F440D">
                      <w:pPr>
                        <w:spacing w:line="240" w:lineRule="auto"/>
                      </w:pPr>
                      <w:r>
                        <w:t>1990</w:t>
                      </w:r>
                    </w:p>
                  </w:txbxContent>
                </v:textbox>
              </v:shape>
            </w:pict>
          </mc:Fallback>
        </mc:AlternateContent>
      </w:r>
      <w:r>
        <w:rPr>
          <w:noProof/>
          <w:lang w:eastAsia="ja-JP"/>
        </w:rPr>
        <mc:AlternateContent>
          <mc:Choice Requires="wps">
            <w:drawing>
              <wp:anchor distT="0" distB="0" distL="114300" distR="114300" simplePos="0" relativeHeight="251841536" behindDoc="0" locked="0" layoutInCell="1" allowOverlap="1" wp14:anchorId="401D3661" wp14:editId="3BBBFC22">
                <wp:simplePos x="0" y="0"/>
                <wp:positionH relativeFrom="column">
                  <wp:posOffset>4149090</wp:posOffset>
                </wp:positionH>
                <wp:positionV relativeFrom="paragraph">
                  <wp:posOffset>251460</wp:posOffset>
                </wp:positionV>
                <wp:extent cx="471170" cy="381000"/>
                <wp:effectExtent l="0" t="0" r="62230" b="57150"/>
                <wp:wrapNone/>
                <wp:docPr id="178"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03705" id="AutoShape 202" o:spid="_x0000_s1026" type="#_x0000_t32" style="position:absolute;margin-left:326.7pt;margin-top:19.8pt;width:37.1pt;height:3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uPAIAAGU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">
                <v:stroke endarrow="block"/>
              </v:shape>
            </w:pict>
          </mc:Fallback>
        </mc:AlternateContent>
      </w:r>
    </w:p>
    <w:p w14:paraId="5A920712" w14:textId="77777777" w:rsidR="008F440D" w:rsidRDefault="002172E5" w:rsidP="007D1693">
      <w:pPr>
        <w:ind w:firstLine="284"/>
      </w:pPr>
      <w:r>
        <w:rPr>
          <w:noProof/>
          <w:lang w:eastAsia="ja-JP"/>
        </w:rPr>
        <mc:AlternateContent>
          <mc:Choice Requires="wps">
            <w:drawing>
              <wp:anchor distT="0" distB="0" distL="114300" distR="114300" simplePos="0" relativeHeight="251840512" behindDoc="0" locked="0" layoutInCell="1" allowOverlap="1" wp14:anchorId="35C47679" wp14:editId="4D01DCCB">
                <wp:simplePos x="0" y="0"/>
                <wp:positionH relativeFrom="column">
                  <wp:posOffset>2393315</wp:posOffset>
                </wp:positionH>
                <wp:positionV relativeFrom="paragraph">
                  <wp:posOffset>315595</wp:posOffset>
                </wp:positionV>
                <wp:extent cx="295910" cy="505460"/>
                <wp:effectExtent l="0" t="38100" r="66040" b="27940"/>
                <wp:wrapNone/>
                <wp:docPr id="177"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910" cy="505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86727" id="AutoShape 201" o:spid="_x0000_s1026" type="#_x0000_t32" style="position:absolute;margin-left:188.45pt;margin-top:24.85pt;width:23.3pt;height:39.8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">
                <v:stroke endarrow="block"/>
              </v:shape>
            </w:pict>
          </mc:Fallback>
        </mc:AlternateContent>
      </w:r>
      <w:r>
        <w:rPr>
          <w:noProof/>
          <w:lang w:eastAsia="ja-JP"/>
        </w:rPr>
        <mc:AlternateContent>
          <mc:Choice Requires="wps">
            <w:drawing>
              <wp:anchor distT="0" distB="0" distL="114300" distR="114300" simplePos="0" relativeHeight="251833344" behindDoc="0" locked="0" layoutInCell="1" allowOverlap="1" wp14:anchorId="5B80339B" wp14:editId="6048B5AC">
                <wp:simplePos x="0" y="0"/>
                <wp:positionH relativeFrom="column">
                  <wp:posOffset>2407285</wp:posOffset>
                </wp:positionH>
                <wp:positionV relativeFrom="paragraph">
                  <wp:posOffset>39370</wp:posOffset>
                </wp:positionV>
                <wp:extent cx="477520" cy="225425"/>
                <wp:effectExtent l="0" t="0" r="0" b="3175"/>
                <wp:wrapNone/>
                <wp:docPr id="17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C1BF0" w14:textId="77777777" w:rsidR="00AC34E6" w:rsidRDefault="00AC34E6" w:rsidP="008F440D">
                            <w:pPr>
                              <w:spacing w:line="240" w:lineRule="auto"/>
                            </w:pPr>
                            <w:r>
                              <w:t>1977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44" type="#_x0000_t202" style="position:absolute;left:0;text-align:left;margin-left:189.55pt;margin-top:3.1pt;width:37.6pt;height:17.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" stroked="f">
                <v:textbox inset="5.85pt,.7pt,5.85pt,.7pt">
                  <w:txbxContent>
                    <w:p w14:paraId="336C1BF0" w14:textId="77777777" w:rsidR="00AC34E6" w:rsidRDefault="00AC34E6" w:rsidP="008F440D">
                      <w:pPr>
                        <w:spacing w:line="240" w:lineRule="auto"/>
                      </w:pPr>
                      <w:r>
                        <w:t>1977</w:t>
                      </w:r>
                    </w:p>
                  </w:txbxContent>
                </v:textbox>
              </v:shape>
            </w:pict>
          </mc:Fallback>
        </mc:AlternateContent>
      </w:r>
      <w:r>
        <w:rPr>
          <w:noProof/>
          <w:lang w:eastAsia="ja-JP"/>
        </w:rPr>
        <mc:AlternateContent>
          <mc:Choice Requires="wps">
            <w:drawing>
              <wp:anchor distT="0" distB="0" distL="114300" distR="114300" simplePos="0" relativeHeight="251850752" behindDoc="0" locked="0" layoutInCell="1" allowOverlap="1" wp14:anchorId="606E64B2" wp14:editId="0619D902">
                <wp:simplePos x="0" y="0"/>
                <wp:positionH relativeFrom="column">
                  <wp:posOffset>4975225</wp:posOffset>
                </wp:positionH>
                <wp:positionV relativeFrom="paragraph">
                  <wp:posOffset>315595</wp:posOffset>
                </wp:positionV>
                <wp:extent cx="41275" cy="443865"/>
                <wp:effectExtent l="38100" t="38100" r="53975" b="13335"/>
                <wp:wrapNone/>
                <wp:docPr id="175"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75"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7FA34" id="AutoShape 211" o:spid="_x0000_s1026" type="#_x0000_t32" style="position:absolute;margin-left:391.75pt;margin-top:24.85pt;width:3.25pt;height:34.9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31PQIAAG4EAAAOAAAAZHJzL2Uyb0RvYy54bWysVMGO2jAQvVfqP1i+QxI2U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">
                <v:stroke endarrow="block"/>
              </v:shape>
            </w:pict>
          </mc:Fallback>
        </mc:AlternateContent>
      </w:r>
      <w:r>
        <w:rPr>
          <w:noProof/>
          <w:lang w:eastAsia="ja-JP"/>
        </w:rPr>
        <mc:AlternateContent>
          <mc:Choice Requires="wps">
            <w:drawing>
              <wp:anchor distT="0" distB="0" distL="114300" distR="114300" simplePos="0" relativeHeight="251836416" behindDoc="0" locked="0" layoutInCell="1" allowOverlap="1" wp14:anchorId="28A6DB20" wp14:editId="24311359">
                <wp:simplePos x="0" y="0"/>
                <wp:positionH relativeFrom="column">
                  <wp:posOffset>4620260</wp:posOffset>
                </wp:positionH>
                <wp:positionV relativeFrom="paragraph">
                  <wp:posOffset>179070</wp:posOffset>
                </wp:positionV>
                <wp:extent cx="573405" cy="225425"/>
                <wp:effectExtent l="0" t="0" r="17145" b="22225"/>
                <wp:wrapNone/>
                <wp:docPr id="174"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25425"/>
                        </a:xfrm>
                        <a:prstGeom prst="roundRect">
                          <a:avLst>
                            <a:gd name="adj" fmla="val 16667"/>
                          </a:avLst>
                        </a:prstGeom>
                        <a:solidFill>
                          <a:srgbClr val="FFFFFF">
                            <a:alpha val="0"/>
                          </a:srgbClr>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0F149" id="AutoShape 197" o:spid="_x0000_s1026" style="position:absolute;margin-left:363.8pt;margin-top:14.1pt;width:45.15pt;height:17.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">
                <v:fill opacity="0"/>
                <v:stroke dashstyle="longDash"/>
                <v:textbox inset="5.85pt,.7pt,5.85pt,.7pt"/>
              </v:roundrect>
            </w:pict>
          </mc:Fallback>
        </mc:AlternateContent>
      </w:r>
      <w:r>
        <w:rPr>
          <w:noProof/>
          <w:lang w:eastAsia="ja-JP"/>
        </w:rPr>
        <mc:AlternateContent>
          <mc:Choice Requires="wps">
            <w:drawing>
              <wp:anchor distT="0" distB="0" distL="114300" distR="114300" simplePos="0" relativeHeight="251834368" behindDoc="0" locked="0" layoutInCell="1" allowOverlap="1" wp14:anchorId="09C00411" wp14:editId="2668C5A3">
                <wp:simplePos x="0" y="0"/>
                <wp:positionH relativeFrom="column">
                  <wp:posOffset>5248275</wp:posOffset>
                </wp:positionH>
                <wp:positionV relativeFrom="paragraph">
                  <wp:posOffset>410210</wp:posOffset>
                </wp:positionV>
                <wp:extent cx="477520" cy="225425"/>
                <wp:effectExtent l="0" t="0" r="0" b="3175"/>
                <wp:wrapNone/>
                <wp:docPr id="17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547BB" w14:textId="77777777" w:rsidR="00AC34E6" w:rsidRDefault="00AC34E6" w:rsidP="008F440D">
                            <w:pPr>
                              <w:spacing w:line="240" w:lineRule="auto"/>
                            </w:pPr>
                            <w:r>
                              <w:t>2010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45" type="#_x0000_t202" style="position:absolute;left:0;text-align:left;margin-left:413.25pt;margin-top:32.3pt;width:37.6pt;height:17.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pnhwIAABg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" stroked="f">
                <v:textbox inset="5.85pt,.7pt,5.85pt,.7pt">
                  <w:txbxContent>
                    <w:p w14:paraId="0C0547BB" w14:textId="77777777" w:rsidR="00AC34E6" w:rsidRDefault="00AC34E6" w:rsidP="008F440D">
                      <w:pPr>
                        <w:spacing w:line="240" w:lineRule="auto"/>
                      </w:pPr>
                      <w:r>
                        <w:t>2010</w:t>
                      </w:r>
                    </w:p>
                  </w:txbxContent>
                </v:textbox>
              </v:shape>
            </w:pict>
          </mc:Fallback>
        </mc:AlternateContent>
      </w:r>
      <w:r>
        <w:rPr>
          <w:noProof/>
          <w:lang w:eastAsia="ja-JP"/>
        </w:rPr>
        <mc:AlternateContent>
          <mc:Choice Requires="wps">
            <w:drawing>
              <wp:anchor distT="0" distB="0" distL="114300" distR="114300" simplePos="0" relativeHeight="251853824" behindDoc="0" locked="0" layoutInCell="1" allowOverlap="1" wp14:anchorId="1C72C04E" wp14:editId="79482BC0">
                <wp:simplePos x="0" y="0"/>
                <wp:positionH relativeFrom="column">
                  <wp:posOffset>2735580</wp:posOffset>
                </wp:positionH>
                <wp:positionV relativeFrom="paragraph">
                  <wp:posOffset>370205</wp:posOffset>
                </wp:positionV>
                <wp:extent cx="477520" cy="225425"/>
                <wp:effectExtent l="0" t="0" r="0" b="3175"/>
                <wp:wrapNone/>
                <wp:docPr id="17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242A6" w14:textId="77777777" w:rsidR="00AC34E6" w:rsidRDefault="00AC34E6" w:rsidP="00791FFB">
                            <w:pPr>
                              <w:spacing w:line="240" w:lineRule="auto"/>
                            </w:pPr>
                            <w:r>
                              <w:t>1980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6" type="#_x0000_t202" style="position:absolute;left:0;text-align:left;margin-left:215.4pt;margin-top:29.15pt;width:37.6pt;height:17.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DiAIAABg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" stroked="f">
                <v:textbox inset="5.85pt,.7pt,5.85pt,.7pt">
                  <w:txbxContent>
                    <w:p w14:paraId="55A242A6" w14:textId="77777777" w:rsidR="00AC34E6" w:rsidRDefault="00AC34E6" w:rsidP="00791FFB">
                      <w:pPr>
                        <w:spacing w:line="240" w:lineRule="auto"/>
                      </w:pPr>
                      <w:r>
                        <w:t>1980</w:t>
                      </w:r>
                    </w:p>
                  </w:txbxContent>
                </v:textbox>
              </v:shape>
            </w:pict>
          </mc:Fallback>
        </mc:AlternateContent>
      </w:r>
      <w:r>
        <w:rPr>
          <w:noProof/>
          <w:lang w:eastAsia="ja-JP"/>
        </w:rPr>
        <mc:AlternateContent>
          <mc:Choice Requires="wps">
            <w:drawing>
              <wp:anchor distT="0" distB="0" distL="114300" distR="114300" simplePos="0" relativeHeight="251852800" behindDoc="0" locked="0" layoutInCell="1" allowOverlap="1" wp14:anchorId="60C36686" wp14:editId="43411399">
                <wp:simplePos x="0" y="0"/>
                <wp:positionH relativeFrom="column">
                  <wp:posOffset>307340</wp:posOffset>
                </wp:positionH>
                <wp:positionV relativeFrom="paragraph">
                  <wp:posOffset>39370</wp:posOffset>
                </wp:positionV>
                <wp:extent cx="88900" cy="269875"/>
                <wp:effectExtent l="38100" t="0" r="25400" b="53975"/>
                <wp:wrapNone/>
                <wp:docPr id="17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47F02" id="AutoShape 213" o:spid="_x0000_s1026" type="#_x0000_t32" style="position:absolute;margin-left:24.2pt;margin-top:3.1pt;width:7pt;height:21.25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">
                <v:stroke endarrow="block"/>
              </v:shape>
            </w:pict>
          </mc:Fallback>
        </mc:AlternateContent>
      </w:r>
      <w:r>
        <w:rPr>
          <w:noProof/>
          <w:lang w:eastAsia="ja-JP"/>
        </w:rPr>
        <mc:AlternateContent>
          <mc:Choice Requires="wps">
            <w:drawing>
              <wp:anchor distT="0" distB="0" distL="114300" distR="114300" simplePos="0" relativeHeight="251847680" behindDoc="0" locked="0" layoutInCell="1" allowOverlap="1" wp14:anchorId="3299A428" wp14:editId="4B3B68A0">
                <wp:simplePos x="0" y="0"/>
                <wp:positionH relativeFrom="column">
                  <wp:posOffset>3603625</wp:posOffset>
                </wp:positionH>
                <wp:positionV relativeFrom="paragraph">
                  <wp:posOffset>179070</wp:posOffset>
                </wp:positionV>
                <wp:extent cx="179070" cy="225425"/>
                <wp:effectExtent l="0" t="0" r="11430" b="22225"/>
                <wp:wrapNone/>
                <wp:docPr id="170"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225425"/>
                        </a:xfrm>
                        <a:prstGeom prst="roundRect">
                          <a:avLst>
                            <a:gd name="adj" fmla="val 16667"/>
                          </a:avLst>
                        </a:prstGeom>
                        <a:solidFill>
                          <a:srgbClr val="FFFFFF">
                            <a:alpha val="0"/>
                          </a:srgbClr>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43C63" id="AutoShape 208" o:spid="_x0000_s1026" style="position:absolute;margin-left:283.75pt;margin-top:14.1pt;width:14.1pt;height:1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">
                <v:fill opacity="0"/>
                <v:stroke dashstyle="longDash"/>
                <v:textbox inset="5.85pt,.7pt,5.85pt,.7pt"/>
              </v:roundrect>
            </w:pict>
          </mc:Fallback>
        </mc:AlternateContent>
      </w:r>
      <w:r>
        <w:rPr>
          <w:noProof/>
          <w:lang w:eastAsia="ja-JP"/>
        </w:rPr>
        <mc:AlternateContent>
          <mc:Choice Requires="wps">
            <w:drawing>
              <wp:anchor distT="0" distB="0" distL="114300" distR="114300" simplePos="0" relativeHeight="251842560" behindDoc="0" locked="0" layoutInCell="1" allowOverlap="1" wp14:anchorId="412990A6" wp14:editId="729F17EE">
                <wp:simplePos x="0" y="0"/>
                <wp:positionH relativeFrom="column">
                  <wp:posOffset>3275965</wp:posOffset>
                </wp:positionH>
                <wp:positionV relativeFrom="paragraph">
                  <wp:posOffset>410210</wp:posOffset>
                </wp:positionV>
                <wp:extent cx="327660" cy="492760"/>
                <wp:effectExtent l="0" t="38100" r="53340" b="21590"/>
                <wp:wrapNone/>
                <wp:docPr id="169"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60"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08DA7" id="AutoShape 203" o:spid="_x0000_s1026" type="#_x0000_t32" style="position:absolute;margin-left:257.95pt;margin-top:32.3pt;width:25.8pt;height:38.8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uyQQIAAG8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">
                <v:stroke endarrow="block"/>
              </v:shape>
            </w:pict>
          </mc:Fallback>
        </mc:AlternateContent>
      </w:r>
      <w:r>
        <w:rPr>
          <w:noProof/>
          <w:lang w:eastAsia="ja-JP"/>
        </w:rPr>
        <mc:AlternateContent>
          <mc:Choice Requires="wps">
            <w:drawing>
              <wp:anchor distT="0" distB="0" distL="114300" distR="114300" simplePos="0" relativeHeight="251843584" behindDoc="0" locked="0" layoutInCell="1" allowOverlap="1" wp14:anchorId="5C65E751" wp14:editId="4C67F0F5">
                <wp:simplePos x="0" y="0"/>
                <wp:positionH relativeFrom="column">
                  <wp:posOffset>4315460</wp:posOffset>
                </wp:positionH>
                <wp:positionV relativeFrom="paragraph">
                  <wp:posOffset>441960</wp:posOffset>
                </wp:positionV>
                <wp:extent cx="461010" cy="225425"/>
                <wp:effectExtent l="0" t="0" r="0" b="3175"/>
                <wp:wrapNone/>
                <wp:docPr id="16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55A84" w14:textId="77777777" w:rsidR="00AC34E6" w:rsidRDefault="00AC34E6" w:rsidP="008F440D">
                            <w:pPr>
                              <w:spacing w:line="240" w:lineRule="auto"/>
                            </w:pPr>
                            <w:r>
                              <w:t>2000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47" type="#_x0000_t202" style="position:absolute;left:0;text-align:left;margin-left:339.8pt;margin-top:34.8pt;width:36.3pt;height:17.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vPhwIAABg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" stroked="f">
                <v:textbox inset="5.85pt,.7pt,5.85pt,.7pt">
                  <w:txbxContent>
                    <w:p w14:paraId="57155A84" w14:textId="77777777" w:rsidR="00AC34E6" w:rsidRDefault="00AC34E6" w:rsidP="008F440D">
                      <w:pPr>
                        <w:spacing w:line="240" w:lineRule="auto"/>
                      </w:pPr>
                      <w:r>
                        <w:t>2000</w:t>
                      </w:r>
                    </w:p>
                  </w:txbxContent>
                </v:textbox>
              </v:shape>
            </w:pict>
          </mc:Fallback>
        </mc:AlternateContent>
      </w:r>
      <w:r>
        <w:rPr>
          <w:noProof/>
          <w:lang w:eastAsia="ja-JP"/>
        </w:rPr>
        <mc:AlternateContent>
          <mc:Choice Requires="wps">
            <w:drawing>
              <wp:anchor distT="0" distB="0" distL="114300" distR="114300" simplePos="0" relativeHeight="251831296" behindDoc="0" locked="0" layoutInCell="1" allowOverlap="1" wp14:anchorId="4A93BB5F" wp14:editId="20881995">
                <wp:simplePos x="0" y="0"/>
                <wp:positionH relativeFrom="column">
                  <wp:posOffset>77470</wp:posOffset>
                </wp:positionH>
                <wp:positionV relativeFrom="paragraph">
                  <wp:posOffset>370205</wp:posOffset>
                </wp:positionV>
                <wp:extent cx="477520" cy="225425"/>
                <wp:effectExtent l="0" t="0" r="0" b="3175"/>
                <wp:wrapNone/>
                <wp:docPr id="16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FA2AB" w14:textId="77777777" w:rsidR="00AC34E6" w:rsidRDefault="00AC34E6" w:rsidP="008F440D">
                            <w:pPr>
                              <w:spacing w:line="240" w:lineRule="auto"/>
                            </w:pPr>
                            <w:r>
                              <w:t>1947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8" type="#_x0000_t202" style="position:absolute;left:0;text-align:left;margin-left:6.1pt;margin-top:29.15pt;width:37.6pt;height:17.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" stroked="f">
                <v:textbox inset="5.85pt,.7pt,5.85pt,.7pt">
                  <w:txbxContent>
                    <w:p w14:paraId="1A0FA2AB" w14:textId="77777777" w:rsidR="00AC34E6" w:rsidRDefault="00AC34E6" w:rsidP="008F440D">
                      <w:pPr>
                        <w:spacing w:line="240" w:lineRule="auto"/>
                      </w:pPr>
                      <w:r>
                        <w:t>1947</w:t>
                      </w:r>
                    </w:p>
                  </w:txbxContent>
                </v:textbox>
              </v:shape>
            </w:pict>
          </mc:Fallback>
        </mc:AlternateContent>
      </w:r>
      <w:r>
        <w:rPr>
          <w:noProof/>
          <w:lang w:eastAsia="ja-JP"/>
        </w:rPr>
        <mc:AlternateContent>
          <mc:Choice Requires="wps">
            <w:drawing>
              <wp:anchor distT="0" distB="0" distL="114300" distR="114300" simplePos="0" relativeHeight="251830272" behindDoc="0" locked="0" layoutInCell="1" allowOverlap="1" wp14:anchorId="204A3C74" wp14:editId="5AFDE104">
                <wp:simplePos x="0" y="0"/>
                <wp:positionH relativeFrom="column">
                  <wp:posOffset>218440</wp:posOffset>
                </wp:positionH>
                <wp:positionV relativeFrom="paragraph">
                  <wp:posOffset>309245</wp:posOffset>
                </wp:positionV>
                <wp:extent cx="5427345" cy="6350"/>
                <wp:effectExtent l="27940" t="23495" r="21590" b="27305"/>
                <wp:wrapNone/>
                <wp:docPr id="166"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7345" cy="6350"/>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5EEDC" id="AutoShape 191" o:spid="_x0000_s1026" type="#_x0000_t32" style="position:absolute;margin-left:17.2pt;margin-top:24.35pt;width:427.35pt;height:.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" strokecolor="#7f7f7f" strokeweight="3pt"/>
            </w:pict>
          </mc:Fallback>
        </mc:AlternateContent>
      </w:r>
    </w:p>
    <w:p w14:paraId="2F261881" w14:textId="77777777" w:rsidR="008F440D" w:rsidRDefault="002172E5" w:rsidP="007D1693">
      <w:pPr>
        <w:ind w:firstLine="284"/>
      </w:pPr>
      <w:r>
        <w:rPr>
          <w:noProof/>
          <w:lang w:eastAsia="ja-JP"/>
        </w:rPr>
        <mc:AlternateContent>
          <mc:Choice Requires="wps">
            <w:drawing>
              <wp:anchor distT="0" distB="0" distL="114300" distR="114300" simplePos="0" relativeHeight="251849728" behindDoc="0" locked="0" layoutInCell="1" allowOverlap="1" wp14:anchorId="58AE3D1B" wp14:editId="2F6B08CE">
                <wp:simplePos x="0" y="0"/>
                <wp:positionH relativeFrom="column">
                  <wp:posOffset>4094480</wp:posOffset>
                </wp:positionH>
                <wp:positionV relativeFrom="paragraph">
                  <wp:posOffset>306070</wp:posOffset>
                </wp:positionV>
                <wp:extent cx="1412875" cy="535305"/>
                <wp:effectExtent l="0" t="0" r="15875" b="17145"/>
                <wp:wrapNone/>
                <wp:docPr id="16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35305"/>
                        </a:xfrm>
                        <a:prstGeom prst="rect">
                          <a:avLst/>
                        </a:prstGeom>
                        <a:solidFill>
                          <a:srgbClr val="FFFFFF"/>
                        </a:solidFill>
                        <a:ln w="9525">
                          <a:solidFill>
                            <a:srgbClr val="000000"/>
                          </a:solidFill>
                          <a:miter lim="800000"/>
                          <a:headEnd/>
                          <a:tailEnd/>
                        </a:ln>
                      </wps:spPr>
                      <wps:txbx>
                        <w:txbxContent>
                          <w:p w14:paraId="06FA3B7E" w14:textId="77777777" w:rsidR="00AC34E6" w:rsidRPr="006278DF" w:rsidRDefault="00AC34E6" w:rsidP="00791FFB">
                            <w:pPr>
                              <w:spacing w:line="240" w:lineRule="exact"/>
                              <w:rPr>
                                <w:b/>
                                <w:bCs/>
                                <w:sz w:val="21"/>
                                <w:szCs w:val="21"/>
                              </w:rPr>
                            </w:pPr>
                            <w:r>
                              <w:rPr>
                                <w:b/>
                                <w:bCs/>
                                <w:sz w:val="21"/>
                                <w:szCs w:val="21"/>
                              </w:rPr>
                              <w:t>2005 AMA amendment</w:t>
                            </w:r>
                          </w:p>
                          <w:p w14:paraId="48C8F7BC" w14:textId="77777777" w:rsidR="00AC34E6" w:rsidRPr="006278DF" w:rsidRDefault="00AC34E6" w:rsidP="00791FFB">
                            <w:pPr>
                              <w:spacing w:line="240" w:lineRule="exact"/>
                              <w:rPr>
                                <w:sz w:val="21"/>
                                <w:szCs w:val="21"/>
                              </w:rPr>
                            </w:pPr>
                            <w:r w:rsidRPr="006278DF">
                              <w:rPr>
                                <w:sz w:val="21"/>
                                <w:szCs w:val="21"/>
                              </w:rPr>
                              <w:t xml:space="preserve"> (</w:t>
                            </w:r>
                            <w:r>
                              <w:rPr>
                                <w:sz w:val="21"/>
                                <w:szCs w:val="21"/>
                              </w:rPr>
                              <w:t>introducing a leniency programme)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49" type="#_x0000_t202" style="position:absolute;left:0;text-align:left;margin-left:322.4pt;margin-top:24.1pt;width:111.25pt;height:42.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">
                <v:textbox inset="5.85pt,.7pt,5.85pt,.7pt">
                  <w:txbxContent>
                    <w:p w14:paraId="06FA3B7E" w14:textId="77777777" w:rsidR="00AC34E6" w:rsidRPr="006278DF" w:rsidRDefault="00AC34E6" w:rsidP="00791FFB">
                      <w:pPr>
                        <w:spacing w:line="240" w:lineRule="exact"/>
                        <w:rPr>
                          <w:b/>
                          <w:bCs/>
                          <w:sz w:val="21"/>
                          <w:szCs w:val="21"/>
                        </w:rPr>
                      </w:pPr>
                      <w:r>
                        <w:rPr>
                          <w:b/>
                          <w:bCs/>
                          <w:sz w:val="21"/>
                          <w:szCs w:val="21"/>
                        </w:rPr>
                        <w:t>2005 AMA amendment</w:t>
                      </w:r>
                    </w:p>
                    <w:p w14:paraId="48C8F7BC" w14:textId="77777777" w:rsidR="00AC34E6" w:rsidRPr="006278DF" w:rsidRDefault="00AC34E6" w:rsidP="00791FFB">
                      <w:pPr>
                        <w:spacing w:line="240" w:lineRule="exact"/>
                        <w:rPr>
                          <w:sz w:val="21"/>
                          <w:szCs w:val="21"/>
                        </w:rPr>
                      </w:pPr>
                      <w:r w:rsidRPr="006278DF">
                        <w:rPr>
                          <w:sz w:val="21"/>
                          <w:szCs w:val="21"/>
                        </w:rPr>
                        <w:t xml:space="preserve"> (</w:t>
                      </w:r>
                      <w:proofErr w:type="gramStart"/>
                      <w:r>
                        <w:rPr>
                          <w:sz w:val="21"/>
                          <w:szCs w:val="21"/>
                        </w:rPr>
                        <w:t>introducing</w:t>
                      </w:r>
                      <w:proofErr w:type="gramEnd"/>
                      <w:r>
                        <w:rPr>
                          <w:sz w:val="21"/>
                          <w:szCs w:val="21"/>
                        </w:rPr>
                        <w:t xml:space="preserve"> a leniency programme)</w:t>
                      </w:r>
                    </w:p>
                  </w:txbxContent>
                </v:textbox>
              </v:shape>
            </w:pict>
          </mc:Fallback>
        </mc:AlternateContent>
      </w:r>
      <w:r>
        <w:rPr>
          <w:noProof/>
          <w:lang w:eastAsia="ja-JP"/>
        </w:rPr>
        <mc:AlternateContent>
          <mc:Choice Requires="wps">
            <w:drawing>
              <wp:anchor distT="0" distB="0" distL="114300" distR="114300" simplePos="0" relativeHeight="251837440" behindDoc="0" locked="0" layoutInCell="1" allowOverlap="1" wp14:anchorId="383D9211" wp14:editId="2D1957BD">
                <wp:simplePos x="0" y="0"/>
                <wp:positionH relativeFrom="column">
                  <wp:posOffset>923925</wp:posOffset>
                </wp:positionH>
                <wp:positionV relativeFrom="paragraph">
                  <wp:posOffset>367665</wp:posOffset>
                </wp:positionV>
                <wp:extent cx="1645920" cy="405765"/>
                <wp:effectExtent l="0" t="0" r="11430" b="13335"/>
                <wp:wrapNone/>
                <wp:docPr id="16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05765"/>
                        </a:xfrm>
                        <a:prstGeom prst="rect">
                          <a:avLst/>
                        </a:prstGeom>
                        <a:solidFill>
                          <a:srgbClr val="FFFFFF"/>
                        </a:solidFill>
                        <a:ln w="9525">
                          <a:solidFill>
                            <a:srgbClr val="000000"/>
                          </a:solidFill>
                          <a:miter lim="800000"/>
                          <a:headEnd/>
                          <a:tailEnd/>
                        </a:ln>
                      </wps:spPr>
                      <wps:txbx>
                        <w:txbxContent>
                          <w:p w14:paraId="5F9D0F62" w14:textId="77777777" w:rsidR="00AC34E6" w:rsidRPr="006278DF" w:rsidRDefault="00AC34E6" w:rsidP="00791FFB">
                            <w:pPr>
                              <w:spacing w:line="240" w:lineRule="exact"/>
                              <w:rPr>
                                <w:b/>
                                <w:bCs/>
                                <w:sz w:val="21"/>
                                <w:szCs w:val="21"/>
                              </w:rPr>
                            </w:pPr>
                            <w:r>
                              <w:rPr>
                                <w:b/>
                                <w:bCs/>
                                <w:sz w:val="21"/>
                                <w:szCs w:val="21"/>
                              </w:rPr>
                              <w:t>1977 AMA amendment</w:t>
                            </w:r>
                          </w:p>
                          <w:p w14:paraId="2763FEFD" w14:textId="77777777" w:rsidR="00AC34E6" w:rsidRPr="006278DF" w:rsidRDefault="00AC34E6" w:rsidP="00791FFB">
                            <w:pPr>
                              <w:spacing w:line="240" w:lineRule="exact"/>
                              <w:rPr>
                                <w:sz w:val="21"/>
                                <w:szCs w:val="21"/>
                              </w:rPr>
                            </w:pPr>
                            <w:r w:rsidRPr="006278DF">
                              <w:rPr>
                                <w:sz w:val="21"/>
                                <w:szCs w:val="21"/>
                              </w:rPr>
                              <w:t xml:space="preserve"> (</w:t>
                            </w:r>
                            <w:r>
                              <w:rPr>
                                <w:sz w:val="21"/>
                                <w:szCs w:val="21"/>
                              </w:rPr>
                              <w:t>First substantial enhancement)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50" type="#_x0000_t202" style="position:absolute;left:0;text-align:left;margin-left:72.75pt;margin-top:28.95pt;width:129.6pt;height:31.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">
                <v:textbox inset="5.85pt,.7pt,5.85pt,.7pt">
                  <w:txbxContent>
                    <w:p w14:paraId="5F9D0F62" w14:textId="77777777" w:rsidR="00AC34E6" w:rsidRPr="006278DF" w:rsidRDefault="00AC34E6" w:rsidP="00791FFB">
                      <w:pPr>
                        <w:spacing w:line="240" w:lineRule="exact"/>
                        <w:rPr>
                          <w:b/>
                          <w:bCs/>
                          <w:sz w:val="21"/>
                          <w:szCs w:val="21"/>
                        </w:rPr>
                      </w:pPr>
                      <w:r>
                        <w:rPr>
                          <w:b/>
                          <w:bCs/>
                          <w:sz w:val="21"/>
                          <w:szCs w:val="21"/>
                        </w:rPr>
                        <w:t>1977 AMA amendment</w:t>
                      </w:r>
                    </w:p>
                    <w:p w14:paraId="2763FEFD" w14:textId="77777777" w:rsidR="00AC34E6" w:rsidRPr="006278DF" w:rsidRDefault="00AC34E6" w:rsidP="00791FFB">
                      <w:pPr>
                        <w:spacing w:line="240" w:lineRule="exact"/>
                        <w:rPr>
                          <w:sz w:val="21"/>
                          <w:szCs w:val="21"/>
                        </w:rPr>
                      </w:pPr>
                      <w:r w:rsidRPr="006278DF">
                        <w:rPr>
                          <w:sz w:val="21"/>
                          <w:szCs w:val="21"/>
                        </w:rPr>
                        <w:t xml:space="preserve"> (</w:t>
                      </w:r>
                      <w:r>
                        <w:rPr>
                          <w:sz w:val="21"/>
                          <w:szCs w:val="21"/>
                        </w:rPr>
                        <w:t>First substantial enhancement)</w:t>
                      </w:r>
                    </w:p>
                  </w:txbxContent>
                </v:textbox>
              </v:shape>
            </w:pict>
          </mc:Fallback>
        </mc:AlternateContent>
      </w:r>
    </w:p>
    <w:p w14:paraId="6386D3F8" w14:textId="77777777" w:rsidR="008F440D" w:rsidRDefault="002172E5" w:rsidP="007D1693">
      <w:pPr>
        <w:ind w:firstLine="284"/>
      </w:pPr>
      <w:r>
        <w:rPr>
          <w:noProof/>
          <w:lang w:eastAsia="ja-JP"/>
        </w:rPr>
        <mc:AlternateContent>
          <mc:Choice Requires="wps">
            <w:drawing>
              <wp:anchor distT="0" distB="0" distL="114300" distR="114300" simplePos="0" relativeHeight="251839488" behindDoc="0" locked="0" layoutInCell="1" allowOverlap="1" wp14:anchorId="4047C507" wp14:editId="1C5E6F71">
                <wp:simplePos x="0" y="0"/>
                <wp:positionH relativeFrom="column">
                  <wp:posOffset>2870835</wp:posOffset>
                </wp:positionH>
                <wp:positionV relativeFrom="paragraph">
                  <wp:posOffset>-3810</wp:posOffset>
                </wp:positionV>
                <wp:extent cx="1071245" cy="262255"/>
                <wp:effectExtent l="0" t="0" r="14605" b="23495"/>
                <wp:wrapNone/>
                <wp:docPr id="16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262255"/>
                        </a:xfrm>
                        <a:prstGeom prst="rect">
                          <a:avLst/>
                        </a:prstGeom>
                        <a:solidFill>
                          <a:srgbClr val="FFFFFF"/>
                        </a:solidFill>
                        <a:ln w="9525">
                          <a:solidFill>
                            <a:srgbClr val="000000"/>
                          </a:solidFill>
                          <a:miter lim="800000"/>
                          <a:headEnd/>
                          <a:tailEnd/>
                        </a:ln>
                      </wps:spPr>
                      <wps:txbx>
                        <w:txbxContent>
                          <w:p w14:paraId="475E3EE1" w14:textId="77777777" w:rsidR="00AC34E6" w:rsidRPr="002062AA" w:rsidRDefault="00AC34E6" w:rsidP="008F440D">
                            <w:pPr>
                              <w:spacing w:line="240" w:lineRule="exact"/>
                              <w:rPr>
                                <w:sz w:val="21"/>
                                <w:szCs w:val="21"/>
                              </w:rPr>
                            </w:pPr>
                            <w:r>
                              <w:rPr>
                                <w:b/>
                                <w:bCs/>
                                <w:sz w:val="21"/>
                                <w:szCs w:val="21"/>
                              </w:rPr>
                              <w:t>The SII (1989-90)</w:t>
                            </w:r>
                            <w:r w:rsidRPr="002062AA">
                              <w:rPr>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51" type="#_x0000_t202" style="position:absolute;left:0;text-align:left;margin-left:226.05pt;margin-top:-.3pt;width:84.35pt;height:20.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">
                <v:textbox inset="5.85pt,.7pt,5.85pt,.7pt">
                  <w:txbxContent>
                    <w:p w14:paraId="475E3EE1" w14:textId="77777777" w:rsidR="00AC34E6" w:rsidRPr="002062AA" w:rsidRDefault="00AC34E6" w:rsidP="008F440D">
                      <w:pPr>
                        <w:spacing w:line="240" w:lineRule="exact"/>
                        <w:rPr>
                          <w:sz w:val="21"/>
                          <w:szCs w:val="21"/>
                        </w:rPr>
                      </w:pPr>
                      <w:r>
                        <w:rPr>
                          <w:b/>
                          <w:bCs/>
                          <w:sz w:val="21"/>
                          <w:szCs w:val="21"/>
                        </w:rPr>
                        <w:t>The SII (1989-90)</w:t>
                      </w:r>
                      <w:r w:rsidRPr="002062AA">
                        <w:rPr>
                          <w:sz w:val="21"/>
                          <w:szCs w:val="21"/>
                        </w:rPr>
                        <w:t xml:space="preserve"> </w:t>
                      </w:r>
                    </w:p>
                  </w:txbxContent>
                </v:textbox>
              </v:shape>
            </w:pict>
          </mc:Fallback>
        </mc:AlternateContent>
      </w:r>
    </w:p>
    <w:p w14:paraId="467EB965" w14:textId="77777777" w:rsidR="008F440D" w:rsidRDefault="008F440D" w:rsidP="007D1693">
      <w:pPr>
        <w:ind w:firstLine="284"/>
      </w:pPr>
    </w:p>
    <w:p w14:paraId="069B2B8A" w14:textId="77777777" w:rsidR="007D1693" w:rsidRDefault="007D1693" w:rsidP="007D1693">
      <w:pPr>
        <w:ind w:firstLine="284"/>
      </w:pPr>
      <w:r>
        <w:rPr>
          <w:rFonts w:hint="eastAsia"/>
        </w:rPr>
        <w:t>T</w:t>
      </w:r>
      <w:r>
        <w:t>h</w:t>
      </w:r>
      <w:r>
        <w:rPr>
          <w:rFonts w:hint="eastAsia"/>
        </w:rPr>
        <w:t>e transformation of Japan</w:t>
      </w:r>
      <w:r>
        <w:t>’</w:t>
      </w:r>
      <w:r>
        <w:rPr>
          <w:rFonts w:hint="eastAsia"/>
        </w:rPr>
        <w:t xml:space="preserve">s antimonopoly </w:t>
      </w:r>
      <w:r>
        <w:t xml:space="preserve">regulation has </w:t>
      </w:r>
      <w:r>
        <w:rPr>
          <w:rFonts w:hint="eastAsia"/>
        </w:rPr>
        <w:t xml:space="preserve">had a gradual impact on the core executive in this field. </w:t>
      </w:r>
      <w:r>
        <w:t>With its independence of authority</w:t>
      </w:r>
      <w:r w:rsidR="00F30299">
        <w:t>,</w:t>
      </w:r>
      <w:r>
        <w:t xml:space="preserve"> the JFTC has not only fended off party politicians’ interventions but also embraced a protection to its adversaries such as other government ministries. The influence of party politicians has concentrated on the policy making process, typically in the form of endorsing infrequent law amendment bills. More active policy making after the SII has increased its opportunities to be involved</w:t>
      </w:r>
      <w:r w:rsidR="00F30299">
        <w:t xml:space="preserve"> in</w:t>
      </w:r>
      <w:r>
        <w:t xml:space="preserve"> political processes such as law amendments. The government change from the LDP (Liberal Democratic Party) to the DPJ (Democratic Party of Japan) in 2009 accelerated this tendency for the DPJ governments started assigning new Cabinet Ministers responsible for the JFTC. </w:t>
      </w:r>
    </w:p>
    <w:p w14:paraId="09E20A6E" w14:textId="77777777" w:rsidR="007D1693" w:rsidRDefault="007D1693" w:rsidP="007D1693">
      <w:pPr>
        <w:ind w:firstLine="284"/>
      </w:pPr>
      <w:r>
        <w:t xml:space="preserve">Such </w:t>
      </w:r>
      <w:r w:rsidR="00C849AD">
        <w:t xml:space="preserve">a </w:t>
      </w:r>
      <w:r>
        <w:t xml:space="preserve">transformation has affected the JFTC’s status as an independent regulator. As the JFTC strengthened its power and organisation as a responsible agency for antimonopoly policies after 1990s, its independent statues has confronted challenges such as a demand </w:t>
      </w:r>
      <w:r w:rsidR="00F30299">
        <w:t xml:space="preserve">for </w:t>
      </w:r>
      <w:r>
        <w:t xml:space="preserve">more democratic accountability and the decreasing necessity for protection from its adversaries such as other government ministries. </w:t>
      </w:r>
    </w:p>
    <w:p w14:paraId="3FB6C167" w14:textId="77777777" w:rsidR="007D1693" w:rsidRDefault="007D1693" w:rsidP="00F92D52">
      <w:pPr>
        <w:ind w:firstLine="284"/>
      </w:pPr>
      <w:r>
        <w:t>Such circumstantial changes have affected the capacity of the state in this field. The JFTC has been significantly enhanced in terms of its organisational size and budget</w:t>
      </w:r>
      <w:r w:rsidR="008F09E2">
        <w:rPr>
          <w:rFonts w:hint="eastAsia"/>
          <w:lang w:eastAsia="ja-JP"/>
        </w:rPr>
        <w:t xml:space="preserve"> since its establishment in 1947</w:t>
      </w:r>
      <w:r w:rsidR="00AC56BD">
        <w:rPr>
          <w:lang w:eastAsia="ja-JP"/>
        </w:rPr>
        <w:t xml:space="preserve"> (in particular after 2001</w:t>
      </w:r>
      <w:r w:rsidR="00F92D52">
        <w:rPr>
          <w:lang w:eastAsia="ja-JP"/>
        </w:rPr>
        <w:t xml:space="preserve"> under the LDP’s Koizumi government</w:t>
      </w:r>
      <w:r w:rsidR="00AC56BD">
        <w:rPr>
          <w:lang w:eastAsia="ja-JP"/>
        </w:rPr>
        <w:t>)</w:t>
      </w:r>
      <w:r>
        <w:t xml:space="preserve">. However, the number of professionally trained staff is still small. </w:t>
      </w:r>
      <w:r>
        <w:rPr>
          <w:rFonts w:hint="eastAsia"/>
        </w:rPr>
        <w:t xml:space="preserve">This point is </w:t>
      </w:r>
      <w:r>
        <w:t xml:space="preserve">highlighted </w:t>
      </w:r>
      <w:r>
        <w:rPr>
          <w:rFonts w:hint="eastAsia"/>
        </w:rPr>
        <w:t xml:space="preserve">in the interview </w:t>
      </w:r>
      <w:r>
        <w:t xml:space="preserve">as evidence that the </w:t>
      </w:r>
      <w:r>
        <w:rPr>
          <w:rFonts w:hint="eastAsia"/>
        </w:rPr>
        <w:t xml:space="preserve">professional expertise </w:t>
      </w:r>
      <w:r>
        <w:t>of the JFTC staff is insufficient.</w:t>
      </w:r>
    </w:p>
    <w:p w14:paraId="61266309" w14:textId="77777777" w:rsidR="007D1693" w:rsidRDefault="007D1693" w:rsidP="003625C9">
      <w:pPr>
        <w:ind w:firstLine="284"/>
      </w:pPr>
      <w:r>
        <w:t>Th</w:t>
      </w:r>
      <w:r>
        <w:rPr>
          <w:rFonts w:hint="eastAsia"/>
        </w:rPr>
        <w:t>is chapter</w:t>
      </w:r>
      <w:r>
        <w:t xml:space="preserve"> explores how the core executive exercised</w:t>
      </w:r>
      <w:r w:rsidR="00F30299">
        <w:t xml:space="preserve"> a</w:t>
      </w:r>
      <w:r>
        <w:t xml:space="preserve"> discretional </w:t>
      </w:r>
      <w:r w:rsidR="00F30299">
        <w:t xml:space="preserve">regulatory approach </w:t>
      </w:r>
      <w:r>
        <w:t xml:space="preserve">in antimonopoly </w:t>
      </w:r>
      <w:r w:rsidR="003625C9">
        <w:t>regulation</w:t>
      </w:r>
      <w:r>
        <w:t>. The analyses are constructed based on the four research questions.</w:t>
      </w:r>
    </w:p>
    <w:p w14:paraId="18B22936" w14:textId="77777777" w:rsidR="007D1693" w:rsidRPr="007B6071" w:rsidRDefault="007D1693" w:rsidP="005B18BE">
      <w:pPr>
        <w:pStyle w:val="ListParagraph"/>
        <w:numPr>
          <w:ilvl w:val="0"/>
          <w:numId w:val="97"/>
        </w:numPr>
        <w:ind w:left="284" w:hanging="284"/>
        <w:rPr>
          <w:szCs w:val="24"/>
        </w:rPr>
      </w:pPr>
      <w:r w:rsidRPr="007B6071">
        <w:rPr>
          <w:szCs w:val="24"/>
        </w:rPr>
        <w:t>‘</w:t>
      </w:r>
      <w:r w:rsidR="0015452E">
        <w:rPr>
          <w:szCs w:val="24"/>
        </w:rPr>
        <w:t>How has Japan</w:t>
      </w:r>
      <w:r w:rsidR="00AA3A8D">
        <w:rPr>
          <w:szCs w:val="24"/>
        </w:rPr>
        <w:t>’</w:t>
      </w:r>
      <w:r w:rsidR="0015452E">
        <w:rPr>
          <w:szCs w:val="24"/>
        </w:rPr>
        <w:t>s regulatory framework evolved over the last three decades</w:t>
      </w:r>
      <w:r w:rsidRPr="007B6071">
        <w:rPr>
          <w:szCs w:val="24"/>
        </w:rPr>
        <w:t>?</w:t>
      </w:r>
      <w:r w:rsidR="00C55E88">
        <w:rPr>
          <w:szCs w:val="24"/>
        </w:rPr>
        <w:t>’</w:t>
      </w:r>
      <w:r w:rsidRPr="007B6071">
        <w:rPr>
          <w:szCs w:val="24"/>
        </w:rPr>
        <w:t xml:space="preserve"> This is explored by reviewing how antimonopoly </w:t>
      </w:r>
      <w:r w:rsidR="00723A4D">
        <w:rPr>
          <w:rFonts w:eastAsia="MS Mincho" w:hint="eastAsia"/>
          <w:szCs w:val="24"/>
        </w:rPr>
        <w:t>regulation</w:t>
      </w:r>
      <w:r w:rsidRPr="007B6071">
        <w:rPr>
          <w:szCs w:val="24"/>
        </w:rPr>
        <w:t xml:space="preserve"> has been developed</w:t>
      </w:r>
      <w:r w:rsidR="00723A4D">
        <w:rPr>
          <w:rFonts w:eastAsia="MS Mincho" w:hint="eastAsia"/>
          <w:szCs w:val="24"/>
        </w:rPr>
        <w:t xml:space="preserve"> in Japan</w:t>
      </w:r>
      <w:r w:rsidRPr="007B6071">
        <w:rPr>
          <w:rFonts w:hint="eastAsia"/>
          <w:szCs w:val="24"/>
        </w:rPr>
        <w:t>.</w:t>
      </w:r>
    </w:p>
    <w:p w14:paraId="05E3C766" w14:textId="77777777" w:rsidR="007D1693" w:rsidRDefault="007D1693" w:rsidP="005B18BE">
      <w:pPr>
        <w:pStyle w:val="ListParagraph"/>
        <w:numPr>
          <w:ilvl w:val="0"/>
          <w:numId w:val="98"/>
        </w:numPr>
        <w:ind w:left="284" w:hanging="284"/>
        <w:rPr>
          <w:szCs w:val="24"/>
        </w:rPr>
      </w:pPr>
      <w:r>
        <w:rPr>
          <w:szCs w:val="24"/>
        </w:rPr>
        <w:t>‘H</w:t>
      </w:r>
      <w:r w:rsidRPr="001026F2">
        <w:rPr>
          <w:szCs w:val="24"/>
        </w:rPr>
        <w:t>ow ha</w:t>
      </w:r>
      <w:r w:rsidR="00BD653F">
        <w:rPr>
          <w:rFonts w:hint="eastAsia"/>
          <w:szCs w:val="24"/>
        </w:rPr>
        <w:t>s</w:t>
      </w:r>
      <w:r w:rsidRPr="001026F2">
        <w:rPr>
          <w:szCs w:val="24"/>
        </w:rPr>
        <w:t xml:space="preserve"> </w:t>
      </w:r>
      <w:r w:rsidR="00BD653F">
        <w:rPr>
          <w:rFonts w:hint="eastAsia"/>
          <w:szCs w:val="24"/>
        </w:rPr>
        <w:t>the core executive</w:t>
      </w:r>
      <w:r w:rsidRPr="001026F2">
        <w:rPr>
          <w:szCs w:val="24"/>
        </w:rPr>
        <w:t xml:space="preserve"> been successful in imposing their will on regulation?</w:t>
      </w:r>
      <w:r w:rsidR="00C55E88">
        <w:rPr>
          <w:szCs w:val="24"/>
        </w:rPr>
        <w:t>’</w:t>
      </w:r>
      <w:r>
        <w:rPr>
          <w:szCs w:val="24"/>
        </w:rPr>
        <w:t xml:space="preserve"> Focusing on party politicians and civil servants, this research question explores how their role and power ha</w:t>
      </w:r>
      <w:r w:rsidR="00723A4D">
        <w:rPr>
          <w:rFonts w:eastAsia="MS Mincho" w:hint="eastAsia"/>
          <w:szCs w:val="24"/>
        </w:rPr>
        <w:t>ve</w:t>
      </w:r>
      <w:r>
        <w:rPr>
          <w:szCs w:val="24"/>
        </w:rPr>
        <w:t xml:space="preserve"> changed. The core issue here is the role of influential party politicians and civil servants under the system in which the JFTC’s independence of authority is assured. </w:t>
      </w:r>
    </w:p>
    <w:p w14:paraId="0E65522C" w14:textId="77777777" w:rsidR="007D1693" w:rsidRDefault="007D1693" w:rsidP="005B18BE">
      <w:pPr>
        <w:pStyle w:val="ListParagraph"/>
        <w:numPr>
          <w:ilvl w:val="0"/>
          <w:numId w:val="99"/>
        </w:numPr>
        <w:ind w:left="284" w:hanging="284"/>
        <w:rPr>
          <w:szCs w:val="24"/>
        </w:rPr>
      </w:pPr>
      <w:r>
        <w:rPr>
          <w:szCs w:val="24"/>
        </w:rPr>
        <w:t>The JFTC’s independence of authority is further examined by the third research question</w:t>
      </w:r>
      <w:r>
        <w:rPr>
          <w:rFonts w:hint="eastAsia"/>
          <w:szCs w:val="24"/>
        </w:rPr>
        <w:t>:</w:t>
      </w:r>
      <w:r>
        <w:rPr>
          <w:szCs w:val="24"/>
        </w:rPr>
        <w:t xml:space="preserve"> ‘h</w:t>
      </w:r>
      <w:r w:rsidRPr="001026F2">
        <w:rPr>
          <w:szCs w:val="24"/>
        </w:rPr>
        <w:t xml:space="preserve">ow have Japan’s ministries shaped </w:t>
      </w:r>
      <w:r w:rsidR="00C849AD">
        <w:rPr>
          <w:szCs w:val="24"/>
        </w:rPr>
        <w:t>the</w:t>
      </w:r>
      <w:r w:rsidRPr="001026F2">
        <w:rPr>
          <w:szCs w:val="24"/>
        </w:rPr>
        <w:t xml:space="preserve"> organisational design of regulatory functions?</w:t>
      </w:r>
      <w:r w:rsidR="00C55E88">
        <w:rPr>
          <w:szCs w:val="24"/>
        </w:rPr>
        <w:t>’</w:t>
      </w:r>
      <w:r>
        <w:rPr>
          <w:szCs w:val="24"/>
        </w:rPr>
        <w:t xml:space="preserve"> The nature of the JFTC’s independence as Japan’s rare independent regulator reveals how this institutional framework has worked within a national context.</w:t>
      </w:r>
    </w:p>
    <w:p w14:paraId="600E2BB6" w14:textId="7D99A4BE" w:rsidR="007D1693" w:rsidRDefault="007D1693" w:rsidP="005B18BE">
      <w:pPr>
        <w:pStyle w:val="ListParagraph"/>
        <w:numPr>
          <w:ilvl w:val="0"/>
          <w:numId w:val="100"/>
        </w:numPr>
        <w:ind w:left="284" w:hanging="284"/>
        <w:rPr>
          <w:szCs w:val="24"/>
        </w:rPr>
      </w:pPr>
      <w:r>
        <w:rPr>
          <w:szCs w:val="24"/>
        </w:rPr>
        <w:t>The change of regulatory capacity vis-à-vis these circumstances will be delivered by the fourth research question: ‘h</w:t>
      </w:r>
      <w:r w:rsidRPr="001026F2">
        <w:rPr>
          <w:szCs w:val="24"/>
        </w:rPr>
        <w:t xml:space="preserve">ow has </w:t>
      </w:r>
      <w:r>
        <w:rPr>
          <w:rFonts w:hint="eastAsia"/>
          <w:szCs w:val="24"/>
        </w:rPr>
        <w:t xml:space="preserve">the </w:t>
      </w:r>
      <w:r w:rsidRPr="001026F2">
        <w:rPr>
          <w:szCs w:val="24"/>
        </w:rPr>
        <w:t>state’s regulatory capacity changed?</w:t>
      </w:r>
      <w:r>
        <w:rPr>
          <w:szCs w:val="24"/>
        </w:rPr>
        <w:t xml:space="preserve">’ This research question </w:t>
      </w:r>
      <w:r>
        <w:rPr>
          <w:rFonts w:hint="eastAsia"/>
          <w:szCs w:val="24"/>
        </w:rPr>
        <w:t xml:space="preserve">reveals how </w:t>
      </w:r>
      <w:r>
        <w:rPr>
          <w:szCs w:val="24"/>
        </w:rPr>
        <w:t>the capacity of the state in antimonopoly regulation has been transformed.</w:t>
      </w:r>
    </w:p>
    <w:p w14:paraId="1AAFDB22" w14:textId="77777777" w:rsidR="007D1693" w:rsidRDefault="007D1693" w:rsidP="007D1693"/>
    <w:p w14:paraId="67765E0C" w14:textId="77777777" w:rsidR="007D1693" w:rsidRDefault="007D1693" w:rsidP="007D1693">
      <w:pPr>
        <w:ind w:firstLine="284"/>
      </w:pPr>
      <w:r>
        <w:t xml:space="preserve">At a broader level, the chapter considers how dominant the core executive has been in antimonopoly </w:t>
      </w:r>
      <w:r w:rsidR="00723A4D">
        <w:rPr>
          <w:rFonts w:eastAsia="MS Mincho" w:hint="eastAsia"/>
          <w:lang w:eastAsia="ja-JP"/>
        </w:rPr>
        <w:t>regulation</w:t>
      </w:r>
      <w:r>
        <w:t>.</w:t>
      </w:r>
    </w:p>
    <w:p w14:paraId="4302E320" w14:textId="77777777" w:rsidR="007D1693" w:rsidRDefault="007D1693" w:rsidP="002062AA">
      <w:pPr>
        <w:ind w:firstLine="284"/>
      </w:pPr>
      <w:r>
        <w:t>The composition of this chapter is the following. The next section describes how antimonopoly policies emerged and developed in Japan. The review starts</w:t>
      </w:r>
      <w:r w:rsidR="00F30299">
        <w:t xml:space="preserve"> with </w:t>
      </w:r>
      <w:r>
        <w:t xml:space="preserve">the JFTC’s establishment in 1947, yet pays attention to the period after the SII between 1989 and 1990. How the core executive actors transformed their power and roles is explored in the following section. Then the focus of this thesis pinpoints the independent characteristic of the JFTC. What follows next is the assessment of the impact of transformation through analysing the capacity of the state in antimonopoly </w:t>
      </w:r>
      <w:r w:rsidR="002A3497">
        <w:t>regulation</w:t>
      </w:r>
      <w:r>
        <w:t xml:space="preserve">. </w:t>
      </w:r>
      <w:r>
        <w:rPr>
          <w:rFonts w:hint="eastAsia"/>
        </w:rPr>
        <w:t>W</w:t>
      </w:r>
      <w:r>
        <w:t>h</w:t>
      </w:r>
      <w:r>
        <w:rPr>
          <w:rFonts w:hint="eastAsia"/>
        </w:rPr>
        <w:t xml:space="preserve">at is explored throughout this chapter is how the </w:t>
      </w:r>
      <w:r>
        <w:t xml:space="preserve">Japanese state has responded to challenges in antimonopoly </w:t>
      </w:r>
      <w:r w:rsidR="00723A4D">
        <w:rPr>
          <w:rFonts w:eastAsia="MS Mincho" w:hint="eastAsia"/>
          <w:lang w:eastAsia="ja-JP"/>
        </w:rPr>
        <w:t>regulation</w:t>
      </w:r>
      <w:r>
        <w:rPr>
          <w:rFonts w:hint="eastAsia"/>
        </w:rPr>
        <w:t>.</w:t>
      </w:r>
    </w:p>
    <w:p w14:paraId="60D02AA0" w14:textId="77777777" w:rsidR="007D1693" w:rsidRDefault="007D1693" w:rsidP="007D1693">
      <w:pPr>
        <w:rPr>
          <w:b/>
          <w:bCs/>
        </w:rPr>
      </w:pPr>
    </w:p>
    <w:p w14:paraId="2D001A76" w14:textId="77777777" w:rsidR="007D1693" w:rsidRPr="00F0502B" w:rsidRDefault="007D1693" w:rsidP="007D1693">
      <w:pPr>
        <w:rPr>
          <w:b/>
          <w:bCs/>
        </w:rPr>
      </w:pPr>
    </w:p>
    <w:p w14:paraId="7803EEA4" w14:textId="77777777" w:rsidR="007D1693" w:rsidRPr="00F06F02" w:rsidRDefault="007D1693" w:rsidP="00050D4B">
      <w:pPr>
        <w:pStyle w:val="Heading2"/>
      </w:pPr>
      <w:bookmarkStart w:id="57" w:name="_Toc349741379"/>
      <w:r w:rsidRPr="00F06F02">
        <w:t>6.2</w:t>
      </w:r>
      <w:r w:rsidRPr="00F06F02">
        <w:tab/>
        <w:t xml:space="preserve">The </w:t>
      </w:r>
      <w:r w:rsidRPr="00F06F02">
        <w:rPr>
          <w:rFonts w:hint="eastAsia"/>
        </w:rPr>
        <w:t>emergence and d</w:t>
      </w:r>
      <w:r w:rsidRPr="00F06F02">
        <w:t xml:space="preserve">evelopment of </w:t>
      </w:r>
      <w:r w:rsidRPr="00F06F02">
        <w:rPr>
          <w:rFonts w:hint="eastAsia"/>
        </w:rPr>
        <w:t>Japan</w:t>
      </w:r>
      <w:r w:rsidRPr="00F06F02">
        <w:t>’</w:t>
      </w:r>
      <w:r w:rsidRPr="00F06F02">
        <w:rPr>
          <w:rFonts w:hint="eastAsia"/>
        </w:rPr>
        <w:t>s antimonopoly regulation</w:t>
      </w:r>
      <w:bookmarkEnd w:id="57"/>
    </w:p>
    <w:p w14:paraId="49E6F83F" w14:textId="0A51FD7F" w:rsidR="007D1693" w:rsidRDefault="007D1693" w:rsidP="00407630">
      <w:r>
        <w:rPr>
          <w:rFonts w:hint="eastAsia"/>
        </w:rPr>
        <w:t>T</w:t>
      </w:r>
      <w:r>
        <w:t>h</w:t>
      </w:r>
      <w:r>
        <w:rPr>
          <w:rFonts w:hint="eastAsia"/>
        </w:rPr>
        <w:t xml:space="preserve">e introduction of the </w:t>
      </w:r>
      <w:r w:rsidRPr="00C83312">
        <w:rPr>
          <w:rFonts w:hint="eastAsia"/>
        </w:rPr>
        <w:t>Antimonopoly Act (</w:t>
      </w:r>
      <w:r w:rsidRPr="00164E91">
        <w:rPr>
          <w:rFonts w:hint="eastAsia"/>
          <w:i/>
        </w:rPr>
        <w:t>Dokusen Kinshi</w:t>
      </w:r>
      <w:r w:rsidR="00407630">
        <w:rPr>
          <w:i/>
        </w:rPr>
        <w:t xml:space="preserve"> H</w:t>
      </w:r>
      <w:r>
        <w:rPr>
          <w:rFonts w:hint="eastAsia"/>
          <w:i/>
        </w:rPr>
        <w:t>ou</w:t>
      </w:r>
      <w:r>
        <w:rPr>
          <w:rFonts w:hint="eastAsia"/>
        </w:rPr>
        <w:t xml:space="preserve">: </w:t>
      </w:r>
      <w:r w:rsidRPr="00C83312">
        <w:rPr>
          <w:rFonts w:hint="eastAsia"/>
        </w:rPr>
        <w:t>AMA)</w:t>
      </w:r>
      <w:r>
        <w:rPr>
          <w:rFonts w:hint="eastAsia"/>
        </w:rPr>
        <w:t xml:space="preserve"> in 1947</w:t>
      </w:r>
      <w:r w:rsidRPr="00C83312">
        <w:rPr>
          <w:rFonts w:hint="eastAsia"/>
        </w:rPr>
        <w:t>, officially the Act on Prohibition of Private Monopolization and Maintenance of Fair Trade</w:t>
      </w:r>
      <w:r>
        <w:rPr>
          <w:rFonts w:hint="eastAsia"/>
        </w:rPr>
        <w:t>, which was originally drafted by the SCAP as an improved version of the</w:t>
      </w:r>
      <w:r>
        <w:t xml:space="preserve"> </w:t>
      </w:r>
      <w:r>
        <w:rPr>
          <w:rFonts w:hint="eastAsia"/>
        </w:rPr>
        <w:t>US antitrust laws, launched Japan</w:t>
      </w:r>
      <w:r>
        <w:t>’</w:t>
      </w:r>
      <w:r>
        <w:rPr>
          <w:rFonts w:hint="eastAsia"/>
        </w:rPr>
        <w:t>s antitrust polic</w:t>
      </w:r>
      <w:r>
        <w:t>ies</w:t>
      </w:r>
      <w:r>
        <w:rPr>
          <w:rFonts w:hint="eastAsia"/>
        </w:rPr>
        <w:t xml:space="preserve"> (Schaede 2000 p.14, Yamamura 1967 p.9)</w:t>
      </w:r>
      <w:r>
        <w:rPr>
          <w:rStyle w:val="FootnoteReference"/>
        </w:rPr>
        <w:footnoteReference w:id="64"/>
      </w:r>
      <w:r>
        <w:rPr>
          <w:rFonts w:hint="eastAsia"/>
        </w:rPr>
        <w:t xml:space="preserve">. This new competition framework was not regarded as embedded by commentators such as </w:t>
      </w:r>
      <w:r>
        <w:t>Hadley (1970 pp.107-8)</w:t>
      </w:r>
      <w:r>
        <w:rPr>
          <w:rStyle w:val="FootnoteReference"/>
        </w:rPr>
        <w:footnoteReference w:id="65"/>
      </w:r>
      <w:r>
        <w:rPr>
          <w:rFonts w:hint="eastAsia"/>
        </w:rPr>
        <w:t>, who describes</w:t>
      </w:r>
      <w:r>
        <w:t xml:space="preserve"> tha</w:t>
      </w:r>
      <w:r>
        <w:rPr>
          <w:rFonts w:hint="eastAsia"/>
        </w:rPr>
        <w:t xml:space="preserve">t: </w:t>
      </w:r>
      <w:r>
        <w:t>‘(</w:t>
      </w:r>
      <w:r>
        <w:rPr>
          <w:rFonts w:hint="eastAsia"/>
        </w:rPr>
        <w:t>v)i</w:t>
      </w:r>
      <w:r>
        <w:t xml:space="preserve">rtually all Japanese government officials, with the exception of officials in the Fair Trade Commission’ appeared to consider that the economies of scale continue indefinitely, partly because they did not have the empirical economics studies to deny this idea and partly because they did not have </w:t>
      </w:r>
      <w:r w:rsidRPr="001761D8">
        <w:t>‘an antitrust tradition’.</w:t>
      </w:r>
      <w:r>
        <w:rPr>
          <w:rFonts w:hint="eastAsia"/>
        </w:rPr>
        <w:t xml:space="preserve"> Yamamura (1967 p.173) also argues that </w:t>
      </w:r>
      <w:r w:rsidR="00723A4D">
        <w:rPr>
          <w:rFonts w:eastAsia="MS Mincho" w:hint="eastAsia"/>
          <w:lang w:eastAsia="ja-JP"/>
        </w:rPr>
        <w:t xml:space="preserve">the </w:t>
      </w:r>
      <w:r>
        <w:rPr>
          <w:rFonts w:hint="eastAsia"/>
        </w:rPr>
        <w:t>SCAP</w:t>
      </w:r>
      <w:r>
        <w:t>’</w:t>
      </w:r>
      <w:r>
        <w:rPr>
          <w:rFonts w:hint="eastAsia"/>
        </w:rPr>
        <w:t xml:space="preserve">s economic policies including the formulation of the AMA ignored their possible impact on economic recovery and growth. It was therefore </w:t>
      </w:r>
      <w:r w:rsidR="006A685D">
        <w:t>unsurprising</w:t>
      </w:r>
      <w:r w:rsidR="006A685D">
        <w:rPr>
          <w:rFonts w:hint="eastAsia"/>
        </w:rPr>
        <w:t xml:space="preserve"> </w:t>
      </w:r>
      <w:r>
        <w:rPr>
          <w:rFonts w:hint="eastAsia"/>
        </w:rPr>
        <w:t>that the AMA confronted amendment pressures after its enactment</w:t>
      </w:r>
      <w:r>
        <w:t xml:space="preserve"> in 1947 </w:t>
      </w:r>
      <w:r>
        <w:rPr>
          <w:rFonts w:hint="eastAsia"/>
        </w:rPr>
        <w:t>(Hadley 1970 p.197, Schaede 2000 p.78).</w:t>
      </w:r>
      <w:r>
        <w:t xml:space="preserve"> T</w:t>
      </w:r>
      <w:r>
        <w:rPr>
          <w:rFonts w:hint="eastAsia"/>
        </w:rPr>
        <w:t>he Treaty of Peace with Japan (the Treaty of San Francisco) in 1951 and following abolishment of the SCAP</w:t>
      </w:r>
      <w:r>
        <w:t xml:space="preserve"> were significant turning points for the AMA</w:t>
      </w:r>
      <w:r>
        <w:rPr>
          <w:rFonts w:hint="eastAsia"/>
        </w:rPr>
        <w:t>. The amendment to the AMA in 19</w:t>
      </w:r>
      <w:r>
        <w:t>53 substantially changed the nature of the 1947 AMA, the key points of which are summarised by Yamamura (1967 p.57) in Table 6.1.</w:t>
      </w:r>
      <w:r>
        <w:rPr>
          <w:rStyle w:val="FootnoteReference"/>
        </w:rPr>
        <w:footnoteReference w:id="66"/>
      </w:r>
    </w:p>
    <w:p w14:paraId="3CCE6DAA" w14:textId="77777777" w:rsidR="007D1693" w:rsidRDefault="007D1693" w:rsidP="007D1693"/>
    <w:p w14:paraId="5651F85C" w14:textId="77777777" w:rsidR="007D1693" w:rsidRPr="00DE5664" w:rsidRDefault="007D1693" w:rsidP="00DA2E02">
      <w:pPr>
        <w:pStyle w:val="Heading4"/>
      </w:pPr>
      <w:r w:rsidRPr="00DE5664">
        <w:t xml:space="preserve">Table 6.1: The key points of the </w:t>
      </w:r>
      <w:r w:rsidRPr="00DE5664">
        <w:rPr>
          <w:rFonts w:hint="eastAsia"/>
        </w:rPr>
        <w:t xml:space="preserve">AMA </w:t>
      </w:r>
      <w:r w:rsidRPr="00DE5664">
        <w:t xml:space="preserve">amendment </w:t>
      </w:r>
      <w:r w:rsidRPr="00DE5664">
        <w:rPr>
          <w:rFonts w:hint="eastAsia"/>
        </w:rPr>
        <w:t>in 1953</w:t>
      </w:r>
      <w:r w:rsidRPr="00DE5664">
        <w:t xml:space="preserve"> (Yamamura 1967 p.57)</w:t>
      </w:r>
    </w:p>
    <w:tbl>
      <w:tblPr>
        <w:tblStyle w:val="TableGrid"/>
        <w:tblW w:w="0" w:type="auto"/>
        <w:tblLook w:val="04A0" w:firstRow="1" w:lastRow="0" w:firstColumn="1" w:lastColumn="0" w:noHBand="0" w:noVBand="1"/>
      </w:tblPr>
      <w:tblGrid>
        <w:gridCol w:w="8720"/>
      </w:tblGrid>
      <w:tr w:rsidR="007D1693" w14:paraId="50259AA4" w14:textId="77777777" w:rsidTr="0030198F">
        <w:tc>
          <w:tcPr>
            <w:tcW w:w="9286" w:type="dxa"/>
          </w:tcPr>
          <w:p w14:paraId="21B1C6F4" w14:textId="77777777" w:rsidR="007D1693" w:rsidRDefault="007D1693" w:rsidP="0030198F">
            <w:pPr>
              <w:pStyle w:val="NoSpacing"/>
            </w:pPr>
          </w:p>
          <w:p w14:paraId="3C2A36D6" w14:textId="77777777" w:rsidR="007D1693" w:rsidRPr="00DE5664" w:rsidRDefault="007D1693" w:rsidP="001B6C05">
            <w:pPr>
              <w:pStyle w:val="NoSpacing"/>
              <w:numPr>
                <w:ilvl w:val="0"/>
                <w:numId w:val="53"/>
              </w:numPr>
              <w:ind w:left="284" w:hanging="284"/>
              <w:rPr>
                <w:b/>
              </w:rPr>
            </w:pPr>
            <w:r w:rsidRPr="00DE5664">
              <w:rPr>
                <w:b/>
              </w:rPr>
              <w:t xml:space="preserve">Admission of </w:t>
            </w:r>
            <w:r w:rsidR="00723A4D">
              <w:rPr>
                <w:rFonts w:eastAsia="MS Mincho" w:hint="eastAsia"/>
                <w:b/>
                <w:lang w:eastAsia="ja-JP"/>
              </w:rPr>
              <w:t>r</w:t>
            </w:r>
            <w:r w:rsidRPr="00DE5664">
              <w:rPr>
                <w:b/>
              </w:rPr>
              <w:t xml:space="preserve">ecession and </w:t>
            </w:r>
            <w:r w:rsidR="00723A4D">
              <w:rPr>
                <w:rFonts w:eastAsia="MS Mincho" w:hint="eastAsia"/>
                <w:b/>
                <w:lang w:eastAsia="ja-JP"/>
              </w:rPr>
              <w:t>r</w:t>
            </w:r>
            <w:r w:rsidRPr="00DE5664">
              <w:rPr>
                <w:b/>
              </w:rPr>
              <w:t xml:space="preserve">ationalisation </w:t>
            </w:r>
            <w:r w:rsidR="00723A4D">
              <w:rPr>
                <w:rFonts w:eastAsia="MS Mincho" w:hint="eastAsia"/>
                <w:b/>
                <w:lang w:eastAsia="ja-JP"/>
              </w:rPr>
              <w:t>c</w:t>
            </w:r>
            <w:r w:rsidRPr="00DE5664">
              <w:rPr>
                <w:b/>
              </w:rPr>
              <w:t>artels</w:t>
            </w:r>
          </w:p>
          <w:p w14:paraId="3A86926C" w14:textId="77777777" w:rsidR="007D1693" w:rsidRDefault="007D1693" w:rsidP="0030198F">
            <w:pPr>
              <w:pStyle w:val="NoSpacing"/>
              <w:ind w:left="284"/>
            </w:pPr>
            <w:r>
              <w:t>Cartels and other collusive activities became legal in those cases where the competent minister deemed it necessary on the grounds of averting a recession or for the purpose of rationalisation. Any competent ministry, as well as any industry group, might initiate the action, though when it was initiated by an industrial group, concurrence of the competent ministry was required. In either case the consent of the JFTC</w:t>
            </w:r>
            <w:r>
              <w:rPr>
                <w:rFonts w:hint="eastAsia"/>
              </w:rPr>
              <w:t xml:space="preserve"> </w:t>
            </w:r>
            <w:r>
              <w:t>was also required.</w:t>
            </w:r>
          </w:p>
          <w:p w14:paraId="57AC1B8A" w14:textId="77777777" w:rsidR="007D1693" w:rsidRDefault="007D1693" w:rsidP="0030198F">
            <w:pPr>
              <w:pStyle w:val="NoSpacing"/>
            </w:pPr>
          </w:p>
          <w:p w14:paraId="00A962F7" w14:textId="77777777" w:rsidR="007D1693" w:rsidRPr="00DE5664" w:rsidRDefault="007D1693" w:rsidP="001B6C05">
            <w:pPr>
              <w:pStyle w:val="NoSpacing"/>
              <w:numPr>
                <w:ilvl w:val="0"/>
                <w:numId w:val="53"/>
              </w:numPr>
              <w:ind w:left="284" w:hanging="284"/>
              <w:rPr>
                <w:b/>
              </w:rPr>
            </w:pPr>
            <w:r w:rsidRPr="00DE5664">
              <w:rPr>
                <w:b/>
              </w:rPr>
              <w:t xml:space="preserve">Relaxation of </w:t>
            </w:r>
            <w:r w:rsidR="00723A4D">
              <w:rPr>
                <w:rFonts w:eastAsia="MS Mincho" w:hint="eastAsia"/>
                <w:b/>
                <w:lang w:eastAsia="ja-JP"/>
              </w:rPr>
              <w:t>s</w:t>
            </w:r>
            <w:r w:rsidRPr="00DE5664">
              <w:rPr>
                <w:b/>
              </w:rPr>
              <w:t xml:space="preserve">tockholding </w:t>
            </w:r>
            <w:r w:rsidR="00723A4D">
              <w:rPr>
                <w:rFonts w:eastAsia="MS Mincho" w:hint="eastAsia"/>
                <w:b/>
                <w:lang w:eastAsia="ja-JP"/>
              </w:rPr>
              <w:t>r</w:t>
            </w:r>
            <w:r w:rsidRPr="00DE5664">
              <w:rPr>
                <w:b/>
              </w:rPr>
              <w:t>egulation</w:t>
            </w:r>
          </w:p>
          <w:p w14:paraId="7D464B6F" w14:textId="77777777" w:rsidR="007D1693" w:rsidRDefault="007D1693" w:rsidP="0030198F">
            <w:pPr>
              <w:pStyle w:val="NoSpacing"/>
              <w:ind w:left="284"/>
            </w:pPr>
            <w:r>
              <w:t>According to the amended Articles 10 through 16, interlocking directorship, mergers, and mutual stockholding became legal, except when they conflicted with Article 9 (prohibition of holding companies) or Article 2 (limitation of stockholding by a financial institution), and when the result of these activities did not limit competition in a market substantially.</w:t>
            </w:r>
          </w:p>
          <w:p w14:paraId="0CC8D9E3" w14:textId="77777777" w:rsidR="007D1693" w:rsidRDefault="007D1693" w:rsidP="0030198F">
            <w:pPr>
              <w:pStyle w:val="NoSpacing"/>
            </w:pPr>
          </w:p>
          <w:p w14:paraId="105BA286" w14:textId="77777777" w:rsidR="007D1693" w:rsidRPr="00DE5664" w:rsidRDefault="007D1693" w:rsidP="001B6C05">
            <w:pPr>
              <w:pStyle w:val="NoSpacing"/>
              <w:numPr>
                <w:ilvl w:val="0"/>
                <w:numId w:val="53"/>
              </w:numPr>
              <w:ind w:left="284" w:hanging="284"/>
              <w:rPr>
                <w:b/>
              </w:rPr>
            </w:pPr>
            <w:r w:rsidRPr="00DE5664">
              <w:rPr>
                <w:b/>
              </w:rPr>
              <w:t xml:space="preserve">Redefinition of </w:t>
            </w:r>
            <w:r w:rsidR="00723A4D">
              <w:rPr>
                <w:rFonts w:eastAsia="MS Mincho" w:hint="eastAsia"/>
                <w:b/>
                <w:lang w:eastAsia="ja-JP"/>
              </w:rPr>
              <w:t>u</w:t>
            </w:r>
            <w:r w:rsidRPr="00DE5664">
              <w:rPr>
                <w:b/>
              </w:rPr>
              <w:t xml:space="preserve">nfair </w:t>
            </w:r>
            <w:r w:rsidR="00723A4D">
              <w:rPr>
                <w:rFonts w:eastAsia="MS Mincho" w:hint="eastAsia"/>
                <w:b/>
                <w:lang w:eastAsia="ja-JP"/>
              </w:rPr>
              <w:t>c</w:t>
            </w:r>
            <w:r w:rsidRPr="00DE5664">
              <w:rPr>
                <w:b/>
              </w:rPr>
              <w:t>ompetition</w:t>
            </w:r>
          </w:p>
          <w:p w14:paraId="2676A5FB" w14:textId="77777777" w:rsidR="007D1693" w:rsidRDefault="007D1693" w:rsidP="0030198F">
            <w:pPr>
              <w:pStyle w:val="NoSpacing"/>
              <w:ind w:left="284"/>
            </w:pPr>
            <w:r>
              <w:t>Unfair competition and the catch-all clause of the original Article 2-7, which read in part lessening of ‘competition which is contrary to the public interest’, were amended to apply only in six specified cases of ‘unfair business practices,’ as indicated in the amended Article 2-7.</w:t>
            </w:r>
          </w:p>
          <w:p w14:paraId="30CA439C" w14:textId="77777777" w:rsidR="007D1693" w:rsidRDefault="007D1693" w:rsidP="0030198F">
            <w:pPr>
              <w:pStyle w:val="NoSpacing"/>
            </w:pPr>
          </w:p>
          <w:p w14:paraId="5A907EB4" w14:textId="77777777" w:rsidR="007D1693" w:rsidRPr="00DE5664" w:rsidRDefault="007D1693" w:rsidP="001B6C05">
            <w:pPr>
              <w:pStyle w:val="NoSpacing"/>
              <w:numPr>
                <w:ilvl w:val="0"/>
                <w:numId w:val="53"/>
              </w:numPr>
              <w:ind w:left="284" w:hanging="284"/>
              <w:rPr>
                <w:b/>
              </w:rPr>
            </w:pPr>
            <w:r w:rsidRPr="00DE5664">
              <w:rPr>
                <w:b/>
              </w:rPr>
              <w:t xml:space="preserve">Admission of </w:t>
            </w:r>
            <w:r w:rsidR="00723A4D">
              <w:rPr>
                <w:rFonts w:eastAsia="MS Mincho" w:hint="eastAsia"/>
                <w:b/>
                <w:lang w:eastAsia="ja-JP"/>
              </w:rPr>
              <w:t>r</w:t>
            </w:r>
            <w:r w:rsidRPr="00DE5664">
              <w:rPr>
                <w:b/>
              </w:rPr>
              <w:t xml:space="preserve">etail </w:t>
            </w:r>
            <w:r w:rsidR="00723A4D">
              <w:rPr>
                <w:rFonts w:eastAsia="MS Mincho" w:hint="eastAsia"/>
                <w:b/>
                <w:lang w:eastAsia="ja-JP"/>
              </w:rPr>
              <w:t>p</w:t>
            </w:r>
            <w:r w:rsidRPr="00DE5664">
              <w:rPr>
                <w:b/>
              </w:rPr>
              <w:t xml:space="preserve">rice </w:t>
            </w:r>
            <w:r w:rsidR="00723A4D">
              <w:rPr>
                <w:rFonts w:eastAsia="MS Mincho" w:hint="eastAsia"/>
                <w:b/>
                <w:lang w:eastAsia="ja-JP"/>
              </w:rPr>
              <w:t>m</w:t>
            </w:r>
            <w:r w:rsidRPr="00DE5664">
              <w:rPr>
                <w:b/>
              </w:rPr>
              <w:t>aintenance</w:t>
            </w:r>
          </w:p>
          <w:p w14:paraId="7459A0B8" w14:textId="77777777" w:rsidR="007D1693" w:rsidRDefault="007D1693" w:rsidP="0030198F">
            <w:pPr>
              <w:pStyle w:val="NoSpacing"/>
              <w:ind w:left="284"/>
            </w:pPr>
            <w:r>
              <w:t xml:space="preserve">Article 24-2 permitted an entrepreneur ‘who produces or sells a commodity which is designated by the </w:t>
            </w:r>
            <w:r w:rsidR="00723A4D">
              <w:rPr>
                <w:rFonts w:eastAsia="MS Mincho" w:hint="eastAsia"/>
                <w:lang w:eastAsia="ja-JP"/>
              </w:rPr>
              <w:t>JFTC</w:t>
            </w:r>
            <w:r>
              <w:t xml:space="preserve"> and the identical quality of which can be easily recognised’ to maintain retail prices provided that these commodities were ‘not used daily by the general consumer.’</w:t>
            </w:r>
          </w:p>
          <w:p w14:paraId="2D77B12D" w14:textId="77777777" w:rsidR="007D1693" w:rsidRDefault="007D1693" w:rsidP="0030198F">
            <w:pPr>
              <w:pStyle w:val="NoSpacing"/>
            </w:pPr>
          </w:p>
          <w:p w14:paraId="63D4C86A" w14:textId="77777777" w:rsidR="007D1693" w:rsidRPr="00DE5664" w:rsidRDefault="007D1693" w:rsidP="001B6C05">
            <w:pPr>
              <w:pStyle w:val="NoSpacing"/>
              <w:numPr>
                <w:ilvl w:val="0"/>
                <w:numId w:val="53"/>
              </w:numPr>
              <w:ind w:left="284" w:hanging="284"/>
              <w:rPr>
                <w:b/>
              </w:rPr>
            </w:pPr>
            <w:r w:rsidRPr="00DE5664">
              <w:rPr>
                <w:b/>
              </w:rPr>
              <w:t xml:space="preserve">Modification of the </w:t>
            </w:r>
            <w:r w:rsidR="00723A4D">
              <w:rPr>
                <w:rFonts w:eastAsia="MS Mincho" w:hint="eastAsia"/>
                <w:b/>
                <w:lang w:eastAsia="ja-JP"/>
              </w:rPr>
              <w:t>d</w:t>
            </w:r>
            <w:r w:rsidRPr="00DE5664">
              <w:rPr>
                <w:b/>
              </w:rPr>
              <w:t xml:space="preserve">efinition of </w:t>
            </w:r>
            <w:r w:rsidR="00723A4D">
              <w:rPr>
                <w:rFonts w:eastAsia="MS Mincho" w:hint="eastAsia"/>
                <w:b/>
                <w:lang w:eastAsia="ja-JP"/>
              </w:rPr>
              <w:t>u</w:t>
            </w:r>
            <w:r w:rsidRPr="00DE5664">
              <w:rPr>
                <w:b/>
              </w:rPr>
              <w:t xml:space="preserve">nreasonable </w:t>
            </w:r>
            <w:r w:rsidR="00723A4D">
              <w:rPr>
                <w:rFonts w:eastAsia="MS Mincho" w:hint="eastAsia"/>
                <w:b/>
                <w:lang w:eastAsia="ja-JP"/>
              </w:rPr>
              <w:t>r</w:t>
            </w:r>
            <w:r w:rsidRPr="00DE5664">
              <w:rPr>
                <w:b/>
              </w:rPr>
              <w:t xml:space="preserve">estraint of </w:t>
            </w:r>
            <w:r w:rsidR="00723A4D">
              <w:rPr>
                <w:rFonts w:eastAsia="MS Mincho" w:hint="eastAsia"/>
                <w:b/>
                <w:lang w:eastAsia="ja-JP"/>
              </w:rPr>
              <w:t>t</w:t>
            </w:r>
            <w:r w:rsidRPr="00DE5664">
              <w:rPr>
                <w:b/>
              </w:rPr>
              <w:t>rade</w:t>
            </w:r>
          </w:p>
          <w:p w14:paraId="751965C4" w14:textId="77777777" w:rsidR="007D1693" w:rsidRDefault="007D1693" w:rsidP="0030198F">
            <w:pPr>
              <w:pStyle w:val="NoSpacing"/>
              <w:ind w:left="284"/>
            </w:pPr>
            <w:r>
              <w:t>The original Article 4, which forbade entrepreneurs from entering into agreements with other entrepreneurs on prices and output, restraint of technology, and investment, was eliminated. The reason was that Article 3, which states, ‘no entrepreneur shall effect private monopolisation or shall undertake any unreasonable restraint of trade,’ covered the areas that came under Article 4 previously.</w:t>
            </w:r>
          </w:p>
          <w:p w14:paraId="6A62198B" w14:textId="77777777" w:rsidR="007D1693" w:rsidRDefault="007D1693" w:rsidP="0030198F">
            <w:pPr>
              <w:pStyle w:val="NoSpacing"/>
            </w:pPr>
          </w:p>
          <w:p w14:paraId="507AE7C0" w14:textId="77777777" w:rsidR="007D1693" w:rsidRPr="00DE5664" w:rsidRDefault="007D1693" w:rsidP="001B6C05">
            <w:pPr>
              <w:pStyle w:val="NoSpacing"/>
              <w:numPr>
                <w:ilvl w:val="0"/>
                <w:numId w:val="53"/>
              </w:numPr>
              <w:ind w:left="284" w:hanging="284"/>
              <w:rPr>
                <w:b/>
              </w:rPr>
            </w:pPr>
            <w:r w:rsidRPr="00DE5664">
              <w:rPr>
                <w:b/>
              </w:rPr>
              <w:t xml:space="preserve">Total </w:t>
            </w:r>
            <w:r w:rsidR="00723A4D">
              <w:rPr>
                <w:rFonts w:eastAsia="MS Mincho" w:hint="eastAsia"/>
                <w:b/>
                <w:lang w:eastAsia="ja-JP"/>
              </w:rPr>
              <w:t>e</w:t>
            </w:r>
            <w:r w:rsidRPr="00DE5664">
              <w:rPr>
                <w:b/>
              </w:rPr>
              <w:t xml:space="preserve">limination of </w:t>
            </w:r>
            <w:r w:rsidR="00723A4D">
              <w:rPr>
                <w:rFonts w:eastAsia="MS Mincho" w:hint="eastAsia"/>
                <w:b/>
                <w:lang w:eastAsia="ja-JP"/>
              </w:rPr>
              <w:t>t</w:t>
            </w:r>
            <w:r w:rsidRPr="00DE5664">
              <w:rPr>
                <w:b/>
              </w:rPr>
              <w:t xml:space="preserve">wo </w:t>
            </w:r>
            <w:r w:rsidR="00723A4D">
              <w:rPr>
                <w:rFonts w:eastAsia="MS Mincho" w:hint="eastAsia"/>
                <w:b/>
                <w:lang w:eastAsia="ja-JP"/>
              </w:rPr>
              <w:t>a</w:t>
            </w:r>
            <w:r w:rsidRPr="00DE5664">
              <w:rPr>
                <w:b/>
              </w:rPr>
              <w:t>rticles</w:t>
            </w:r>
          </w:p>
          <w:p w14:paraId="16198D11" w14:textId="77777777" w:rsidR="007D1693" w:rsidRDefault="007D1693" w:rsidP="0030198F">
            <w:pPr>
              <w:pStyle w:val="NoSpacing"/>
              <w:ind w:left="284"/>
            </w:pPr>
            <w:r>
              <w:t xml:space="preserve">Article 5 (prohibiting the establishment of or becoming a party to a monopolistic organisation) and Article 8 (prevention of substantial disparities in bargaining power) were </w:t>
            </w:r>
            <w:r>
              <w:rPr>
                <w:rFonts w:hint="eastAsia"/>
              </w:rPr>
              <w:t xml:space="preserve">completely </w:t>
            </w:r>
            <w:r>
              <w:t>deleted from the Act.</w:t>
            </w:r>
          </w:p>
          <w:p w14:paraId="6D457042" w14:textId="77777777" w:rsidR="007D1693" w:rsidRDefault="007D1693" w:rsidP="0030198F">
            <w:pPr>
              <w:pStyle w:val="NoSpacing"/>
            </w:pPr>
          </w:p>
          <w:p w14:paraId="1BF07ED4" w14:textId="77777777" w:rsidR="007D1693" w:rsidRPr="00DE5664" w:rsidRDefault="007D1693" w:rsidP="001B6C05">
            <w:pPr>
              <w:pStyle w:val="NoSpacing"/>
              <w:numPr>
                <w:ilvl w:val="0"/>
                <w:numId w:val="53"/>
              </w:numPr>
              <w:ind w:left="284" w:hanging="284"/>
              <w:rPr>
                <w:b/>
              </w:rPr>
            </w:pPr>
            <w:r w:rsidRPr="00DE5664">
              <w:rPr>
                <w:b/>
              </w:rPr>
              <w:t xml:space="preserve">Abolition of the </w:t>
            </w:r>
            <w:r w:rsidR="00723A4D">
              <w:rPr>
                <w:rFonts w:eastAsia="MS Mincho" w:hint="eastAsia"/>
                <w:b/>
                <w:lang w:eastAsia="ja-JP"/>
              </w:rPr>
              <w:t>T</w:t>
            </w:r>
            <w:r w:rsidRPr="00DE5664">
              <w:rPr>
                <w:b/>
              </w:rPr>
              <w:t xml:space="preserve">rade </w:t>
            </w:r>
            <w:r w:rsidR="00723A4D">
              <w:rPr>
                <w:rFonts w:eastAsia="MS Mincho" w:hint="eastAsia"/>
                <w:b/>
                <w:lang w:eastAsia="ja-JP"/>
              </w:rPr>
              <w:t>A</w:t>
            </w:r>
            <w:r w:rsidRPr="00DE5664">
              <w:rPr>
                <w:b/>
              </w:rPr>
              <w:t>ssociation Act</w:t>
            </w:r>
          </w:p>
          <w:p w14:paraId="743E3F63" w14:textId="77777777" w:rsidR="007D1693" w:rsidRDefault="007D1693" w:rsidP="00A208B1">
            <w:pPr>
              <w:pStyle w:val="NoSpacing"/>
              <w:ind w:left="284"/>
              <w:rPr>
                <w:lang w:eastAsia="ja-JP"/>
              </w:rPr>
            </w:pPr>
            <w:r>
              <w:t>The Trade Association Act, which significantly restricted the activities of trade associations, was abolished. Its three clauses, which specified illegal activities on the party of trade associations in the amended Trade Association Act of 1952, were incorporated into the AMA</w:t>
            </w:r>
            <w:r w:rsidR="00A208B1">
              <w:t>.</w:t>
            </w:r>
            <w:r>
              <w:t xml:space="preserve"> </w:t>
            </w:r>
          </w:p>
          <w:p w14:paraId="1312B7E5" w14:textId="77777777" w:rsidR="007D1693" w:rsidRDefault="007D1693" w:rsidP="0030198F">
            <w:pPr>
              <w:pStyle w:val="NoSpacing"/>
            </w:pPr>
          </w:p>
        </w:tc>
      </w:tr>
    </w:tbl>
    <w:p w14:paraId="4DAA663C" w14:textId="77777777" w:rsidR="007D1693" w:rsidRDefault="007D1693" w:rsidP="007D1693"/>
    <w:p w14:paraId="1D20F1C7" w14:textId="77777777" w:rsidR="007D1693" w:rsidRDefault="007D1693" w:rsidP="007D1693">
      <w:r>
        <w:t>Yoshikawa (1983 p.496) draws attention to the fact that until 1974</w:t>
      </w:r>
      <w:r>
        <w:rPr>
          <w:rFonts w:hint="eastAsia"/>
        </w:rPr>
        <w:t>, t</w:t>
      </w:r>
      <w:r>
        <w:t>he JFTC’s major weakness was its lack of support from party politicians including the LDP’s; the LDP supported the MITI</w:t>
      </w:r>
      <w:r>
        <w:rPr>
          <w:rFonts w:hint="eastAsia"/>
        </w:rPr>
        <w:t xml:space="preserve"> (Ministry of International Trade and Industry)</w:t>
      </w:r>
      <w:r>
        <w:t xml:space="preserve"> during i</w:t>
      </w:r>
      <w:r w:rsidR="00723A4D">
        <w:rPr>
          <w:rFonts w:eastAsia="MS Mincho" w:hint="eastAsia"/>
          <w:lang w:eastAsia="ja-JP"/>
        </w:rPr>
        <w:t>t</w:t>
      </w:r>
      <w:r>
        <w:t>s major disputes with the JFTC:</w:t>
      </w:r>
    </w:p>
    <w:p w14:paraId="13E81AF0" w14:textId="77777777" w:rsidR="007D1693" w:rsidRDefault="007D1693" w:rsidP="007D1693"/>
    <w:p w14:paraId="4A5E3324" w14:textId="77777777" w:rsidR="00495655" w:rsidRDefault="007D1693" w:rsidP="005B18BE">
      <w:pPr>
        <w:pStyle w:val="Quote"/>
      </w:pPr>
      <w:r w:rsidRPr="00236E6D">
        <w:t>For example, when the FTC</w:t>
      </w:r>
      <w:r>
        <w:t xml:space="preserve"> </w:t>
      </w:r>
      <w:r w:rsidRPr="00236E6D">
        <w:t>persistently refused to approve the merger plan of Yawata Steel and Fuji</w:t>
      </w:r>
      <w:r>
        <w:t xml:space="preserve"> </w:t>
      </w:r>
      <w:r w:rsidRPr="00236E6D">
        <w:t xml:space="preserve">Steel in 1968, the LDP attacked the FTC. It even threatened to </w:t>
      </w:r>
      <w:r>
        <w:t>‘</w:t>
      </w:r>
      <w:r w:rsidRPr="00236E6D">
        <w:t>reorganize</w:t>
      </w:r>
      <w:r>
        <w:t xml:space="preserve">’ </w:t>
      </w:r>
      <w:r w:rsidRPr="00236E6D">
        <w:t xml:space="preserve">the Commission. Unlike </w:t>
      </w:r>
      <w:r>
        <w:t>m</w:t>
      </w:r>
      <w:r w:rsidRPr="00236E6D">
        <w:t>ost of the other administrative agencies,</w:t>
      </w:r>
      <w:r>
        <w:t xml:space="preserve"> </w:t>
      </w:r>
      <w:r w:rsidRPr="00236E6D">
        <w:t>the FTC, taking as a model the independent administrative agencies in</w:t>
      </w:r>
      <w:r>
        <w:t xml:space="preserve"> </w:t>
      </w:r>
      <w:r w:rsidRPr="00236E6D">
        <w:t>the United States, is granted status and authority independent of the</w:t>
      </w:r>
      <w:r>
        <w:t xml:space="preserve"> </w:t>
      </w:r>
      <w:r w:rsidRPr="00236E6D">
        <w:t>Cabinet,</w:t>
      </w:r>
      <w:r>
        <w:t xml:space="preserve"> </w:t>
      </w:r>
      <w:r w:rsidRPr="00236E6D">
        <w:t>and the Commissioners enjoy guarantees against discharge and</w:t>
      </w:r>
      <w:r>
        <w:t xml:space="preserve"> re</w:t>
      </w:r>
      <w:r w:rsidRPr="00236E6D">
        <w:t>duction of salary.</w:t>
      </w:r>
      <w:r>
        <w:t xml:space="preserve"> </w:t>
      </w:r>
      <w:r w:rsidRPr="00236E6D">
        <w:t>In advocating the reorganization of the FTC, influential</w:t>
      </w:r>
      <w:r>
        <w:t xml:space="preserve"> </w:t>
      </w:r>
      <w:r w:rsidRPr="00236E6D">
        <w:t>members of the LDP declared that such provisions were unconstitutional</w:t>
      </w:r>
      <w:r>
        <w:t xml:space="preserve"> </w:t>
      </w:r>
      <w:r w:rsidRPr="00236E6D">
        <w:t>since they violated Article 65 of the Constitution which provides</w:t>
      </w:r>
      <w:r>
        <w:t xml:space="preserve"> </w:t>
      </w:r>
      <w:r w:rsidRPr="00236E6D">
        <w:t xml:space="preserve">that </w:t>
      </w:r>
      <w:r>
        <w:t>t</w:t>
      </w:r>
      <w:r w:rsidRPr="00236E6D">
        <w:t>he executive power rests with the Cabinet.</w:t>
      </w:r>
      <w:r>
        <w:t xml:space="preserve"> </w:t>
      </w:r>
      <w:r w:rsidRPr="00236E6D">
        <w:t>It was under such political</w:t>
      </w:r>
      <w:r>
        <w:t xml:space="preserve"> </w:t>
      </w:r>
      <w:r w:rsidRPr="00236E6D">
        <w:t>pressure that the merger was eventually approved by the FTC with</w:t>
      </w:r>
      <w:r>
        <w:t xml:space="preserve"> </w:t>
      </w:r>
      <w:r w:rsidRPr="00236E6D">
        <w:t>certain changes in the original plan.</w:t>
      </w:r>
      <w:r>
        <w:t xml:space="preserve"> (Yoshikawa 1983 pp.496-7)</w:t>
      </w:r>
    </w:p>
    <w:p w14:paraId="1ADCD0A2" w14:textId="77777777" w:rsidR="007D1693" w:rsidRDefault="007D1693" w:rsidP="007D1693"/>
    <w:p w14:paraId="243CA78D" w14:textId="77777777" w:rsidR="007D1693" w:rsidRDefault="007D1693" w:rsidP="007D1693">
      <w:r>
        <w:t>This trend to suppress the impact of antitrust policies was substantially counted by the enactment of the amendment to the AMA in 1977, which was the first amendment to strengthen the statute since its enactment in 1947 (Schaede 2000 pp.</w:t>
      </w:r>
      <w:r>
        <w:rPr>
          <w:rFonts w:hint="eastAsia"/>
        </w:rPr>
        <w:t>78</w:t>
      </w:r>
      <w:r>
        <w:t>-</w:t>
      </w:r>
      <w:r>
        <w:rPr>
          <w:rFonts w:hint="eastAsia"/>
        </w:rPr>
        <w:t>97</w:t>
      </w:r>
      <w:r>
        <w:t>, Sanekata 1986 p.393).</w:t>
      </w:r>
    </w:p>
    <w:p w14:paraId="45F497C0" w14:textId="77777777" w:rsidR="007D1693" w:rsidRDefault="007D1693" w:rsidP="005C456D">
      <w:pPr>
        <w:ind w:firstLine="284"/>
      </w:pPr>
      <w:r>
        <w:t>The AMA amendment in 1977 originated from</w:t>
      </w:r>
      <w:r>
        <w:rPr>
          <w:rFonts w:hint="eastAsia"/>
        </w:rPr>
        <w:t xml:space="preserve"> the economic turmoil by the Oil Shock in 1973</w:t>
      </w:r>
      <w:r>
        <w:t>, which prompted significant inflation in Japan; it raised wholesale prices by 40</w:t>
      </w:r>
      <w:r w:rsidR="00EE7B30">
        <w:t xml:space="preserve"> percent</w:t>
      </w:r>
      <w:r>
        <w:t xml:space="preserve"> and consumer prices by more than 30</w:t>
      </w:r>
      <w:r w:rsidR="00EE7B30">
        <w:t xml:space="preserve"> percent</w:t>
      </w:r>
      <w:r>
        <w:t xml:space="preserve"> (Schaede 2000 p.97). Private firms exploited this opportunity by increasing their profit through restricting production and holding back their products until they could be sold at higher prices through collusion (Schaede 2000 p.98). This situation was </w:t>
      </w:r>
      <w:r w:rsidR="00F0535E">
        <w:t>exploited</w:t>
      </w:r>
      <w:r>
        <w:t xml:space="preserve"> by the JFTC:  it proceeded against 66 cases in 1973 and 58 cases in 1974</w:t>
      </w:r>
      <w:r>
        <w:rPr>
          <w:rStyle w:val="FootnoteReference"/>
        </w:rPr>
        <w:footnoteReference w:id="67"/>
      </w:r>
      <w:r>
        <w:t xml:space="preserve"> as AMA breaches, the highest records since its establishment in 1947. This period also saw the first criminal cartel case since the end of the administration of the SCAP in 1952: the oil cartel case (Schaede 2000 p.99)</w:t>
      </w:r>
      <w:r>
        <w:rPr>
          <w:rStyle w:val="FootnoteReference"/>
        </w:rPr>
        <w:footnoteReference w:id="68"/>
      </w:r>
      <w:r>
        <w:t xml:space="preserve">. The oil cartel case, the chronological detail of which is drawn in Table 6.2, </w:t>
      </w:r>
      <w:r w:rsidR="005C456D">
        <w:t>wa</w:t>
      </w:r>
      <w:r>
        <w:t>s an incident in which the collusion among 12 petroleum companies was prosecuted as an AMA breach by the JFTC in 1974 and found guilty by the Supreme Court in 1984. The corporate behaviours in this period, including this cartel case which was in court and therefore in the media for years and generated an immediate impact on the revision of the AMA, galvanised public demand for enhancing the AMA (Schaede 2000 p.100, Sanekata 1986 p.393).</w:t>
      </w:r>
    </w:p>
    <w:p w14:paraId="536E7E2F" w14:textId="77777777" w:rsidR="007D1693" w:rsidRDefault="007D1693" w:rsidP="007D1693"/>
    <w:p w14:paraId="50EBBE52" w14:textId="77777777" w:rsidR="007D1693" w:rsidRPr="00B65BF2" w:rsidRDefault="007D1693" w:rsidP="00DA2E02">
      <w:pPr>
        <w:pStyle w:val="Heading4"/>
      </w:pPr>
      <w:r w:rsidRPr="00B65BF2">
        <w:t>Table 6.2: The chronological details of the oil cartel case (based on Schaede 2000 pp.99-100, Yoshikawa 1983 p.499)</w:t>
      </w:r>
    </w:p>
    <w:tbl>
      <w:tblPr>
        <w:tblStyle w:val="TableGrid"/>
        <w:tblW w:w="0" w:type="auto"/>
        <w:tblLook w:val="04A0" w:firstRow="1" w:lastRow="0" w:firstColumn="1" w:lastColumn="0" w:noHBand="0" w:noVBand="1"/>
      </w:tblPr>
      <w:tblGrid>
        <w:gridCol w:w="1597"/>
        <w:gridCol w:w="7123"/>
      </w:tblGrid>
      <w:tr w:rsidR="007D1693" w14:paraId="081F5169" w14:textId="77777777" w:rsidTr="0030198F">
        <w:tc>
          <w:tcPr>
            <w:tcW w:w="1668" w:type="dxa"/>
          </w:tcPr>
          <w:p w14:paraId="7EF1232E" w14:textId="77777777" w:rsidR="007D1693" w:rsidRPr="00B65BF2" w:rsidRDefault="007D1693" w:rsidP="0030198F">
            <w:pPr>
              <w:pStyle w:val="NoSpacing"/>
            </w:pPr>
          </w:p>
          <w:p w14:paraId="03DFA249" w14:textId="77777777" w:rsidR="007D1693" w:rsidRPr="00B65BF2" w:rsidRDefault="007D1693" w:rsidP="0030198F">
            <w:pPr>
              <w:pStyle w:val="NoSpacing"/>
            </w:pPr>
            <w:r w:rsidRPr="00B65BF2">
              <w:t>1960s-1971</w:t>
            </w:r>
          </w:p>
          <w:p w14:paraId="356186B0" w14:textId="77777777" w:rsidR="007D1693" w:rsidRPr="00B65BF2" w:rsidRDefault="007D1693" w:rsidP="0030198F">
            <w:pPr>
              <w:pStyle w:val="NoSpacing"/>
            </w:pPr>
          </w:p>
          <w:p w14:paraId="7978E24E" w14:textId="77777777" w:rsidR="007D1693" w:rsidRPr="00B65BF2" w:rsidRDefault="007D1693" w:rsidP="0030198F">
            <w:pPr>
              <w:pStyle w:val="NoSpacing"/>
            </w:pPr>
          </w:p>
          <w:p w14:paraId="2D8EB868" w14:textId="77777777" w:rsidR="007D1693" w:rsidRPr="00B65BF2" w:rsidRDefault="007D1693" w:rsidP="0030198F">
            <w:pPr>
              <w:pStyle w:val="NoSpacing"/>
            </w:pPr>
            <w:r w:rsidRPr="00B65BF2">
              <w:t>1972 Nov.</w:t>
            </w:r>
          </w:p>
          <w:p w14:paraId="5745412D" w14:textId="77777777" w:rsidR="007D1693" w:rsidRPr="00B65BF2" w:rsidRDefault="007D1693" w:rsidP="0030198F">
            <w:pPr>
              <w:pStyle w:val="NoSpacing"/>
            </w:pPr>
          </w:p>
          <w:p w14:paraId="16E23B8F" w14:textId="77777777" w:rsidR="007D1693" w:rsidRPr="00B65BF2" w:rsidRDefault="007D1693" w:rsidP="0030198F">
            <w:pPr>
              <w:pStyle w:val="NoSpacing"/>
            </w:pPr>
          </w:p>
          <w:p w14:paraId="0013991F" w14:textId="77777777" w:rsidR="007D1693" w:rsidRPr="00B65BF2" w:rsidRDefault="007D1693" w:rsidP="0030198F">
            <w:pPr>
              <w:pStyle w:val="NoSpacing"/>
            </w:pPr>
            <w:r w:rsidRPr="00B65BF2">
              <w:t>1973 May-Nov.</w:t>
            </w:r>
          </w:p>
          <w:p w14:paraId="0AE5E845" w14:textId="77777777" w:rsidR="007D1693" w:rsidRPr="00B65BF2" w:rsidRDefault="007D1693" w:rsidP="0030198F">
            <w:pPr>
              <w:pStyle w:val="NoSpacing"/>
            </w:pPr>
          </w:p>
          <w:p w14:paraId="310C66C7" w14:textId="77777777" w:rsidR="007D1693" w:rsidRPr="00B65BF2" w:rsidRDefault="007D1693" w:rsidP="0030198F">
            <w:pPr>
              <w:pStyle w:val="NoSpacing"/>
            </w:pPr>
          </w:p>
          <w:p w14:paraId="43CF9AE8" w14:textId="77777777" w:rsidR="007D1693" w:rsidRPr="00B65BF2" w:rsidRDefault="007D1693" w:rsidP="0030198F">
            <w:pPr>
              <w:pStyle w:val="NoSpacing"/>
            </w:pPr>
            <w:r w:rsidRPr="00B65BF2">
              <w:t>1973 May</w:t>
            </w:r>
          </w:p>
          <w:p w14:paraId="0E7689E8" w14:textId="77777777" w:rsidR="007D1693" w:rsidRPr="00B65BF2" w:rsidRDefault="007D1693" w:rsidP="0030198F">
            <w:pPr>
              <w:pStyle w:val="NoSpacing"/>
            </w:pPr>
          </w:p>
          <w:p w14:paraId="749531AA" w14:textId="77777777" w:rsidR="007D1693" w:rsidRPr="00B65BF2" w:rsidRDefault="007D1693" w:rsidP="0030198F">
            <w:pPr>
              <w:pStyle w:val="NoSpacing"/>
            </w:pPr>
          </w:p>
          <w:p w14:paraId="1A9F434B" w14:textId="77777777" w:rsidR="007D1693" w:rsidRPr="00B65BF2" w:rsidRDefault="007D1693" w:rsidP="0030198F">
            <w:pPr>
              <w:pStyle w:val="NoSpacing"/>
            </w:pPr>
          </w:p>
          <w:p w14:paraId="6AE54386" w14:textId="77777777" w:rsidR="007D1693" w:rsidRPr="00B65BF2" w:rsidRDefault="007D1693" w:rsidP="0030198F">
            <w:pPr>
              <w:pStyle w:val="NoSpacing"/>
            </w:pPr>
            <w:r w:rsidRPr="00B65BF2">
              <w:t>1974 Feb.</w:t>
            </w:r>
          </w:p>
          <w:p w14:paraId="785C5D1E" w14:textId="77777777" w:rsidR="007D1693" w:rsidRPr="00B65BF2" w:rsidRDefault="007D1693" w:rsidP="0030198F">
            <w:pPr>
              <w:pStyle w:val="NoSpacing"/>
            </w:pPr>
          </w:p>
          <w:p w14:paraId="0A6D4867" w14:textId="77777777" w:rsidR="007D1693" w:rsidRPr="00B65BF2" w:rsidRDefault="007D1693" w:rsidP="0030198F">
            <w:pPr>
              <w:pStyle w:val="NoSpacing"/>
            </w:pPr>
          </w:p>
          <w:p w14:paraId="1D7F5EAD" w14:textId="77777777" w:rsidR="007D1693" w:rsidRPr="00B65BF2" w:rsidRDefault="007D1693" w:rsidP="0030198F">
            <w:pPr>
              <w:pStyle w:val="NoSpacing"/>
            </w:pPr>
            <w:r w:rsidRPr="00B65BF2">
              <w:t>1974 May</w:t>
            </w:r>
          </w:p>
          <w:p w14:paraId="3A5FE2B9" w14:textId="77777777" w:rsidR="007D1693" w:rsidRPr="00B65BF2" w:rsidRDefault="007D1693" w:rsidP="0030198F">
            <w:pPr>
              <w:pStyle w:val="NoSpacing"/>
            </w:pPr>
          </w:p>
          <w:p w14:paraId="0B899ED0" w14:textId="77777777" w:rsidR="007D1693" w:rsidRPr="00B65BF2" w:rsidRDefault="007D1693" w:rsidP="0030198F">
            <w:pPr>
              <w:pStyle w:val="NoSpacing"/>
            </w:pPr>
          </w:p>
          <w:p w14:paraId="399E4F9B" w14:textId="77777777" w:rsidR="007D1693" w:rsidRPr="00B65BF2" w:rsidRDefault="007D1693" w:rsidP="0030198F">
            <w:pPr>
              <w:pStyle w:val="NoSpacing"/>
            </w:pPr>
            <w:r w:rsidRPr="00B65BF2">
              <w:t>1980</w:t>
            </w:r>
          </w:p>
          <w:p w14:paraId="0960B013" w14:textId="77777777" w:rsidR="007D1693" w:rsidRPr="00B65BF2" w:rsidRDefault="007D1693" w:rsidP="0030198F">
            <w:pPr>
              <w:pStyle w:val="NoSpacing"/>
            </w:pPr>
          </w:p>
          <w:p w14:paraId="5D4F764F" w14:textId="77777777" w:rsidR="007D1693" w:rsidRPr="00B65BF2" w:rsidRDefault="007D1693" w:rsidP="0030198F">
            <w:pPr>
              <w:pStyle w:val="NoSpacing"/>
            </w:pPr>
          </w:p>
          <w:p w14:paraId="4C7A9163" w14:textId="77777777" w:rsidR="007D1693" w:rsidRPr="00B65BF2" w:rsidRDefault="007D1693" w:rsidP="0030198F">
            <w:pPr>
              <w:pStyle w:val="NoSpacing"/>
            </w:pPr>
          </w:p>
          <w:p w14:paraId="152850E5" w14:textId="77777777" w:rsidR="007D1693" w:rsidRPr="00B65BF2" w:rsidRDefault="007D1693" w:rsidP="0030198F">
            <w:pPr>
              <w:pStyle w:val="NoSpacing"/>
            </w:pPr>
          </w:p>
          <w:p w14:paraId="46B41112" w14:textId="77777777" w:rsidR="007D1693" w:rsidRPr="00B65BF2" w:rsidRDefault="007D1693" w:rsidP="0030198F">
            <w:pPr>
              <w:pStyle w:val="NoSpacing"/>
            </w:pPr>
            <w:r w:rsidRPr="00B65BF2">
              <w:t>1984</w:t>
            </w:r>
          </w:p>
          <w:p w14:paraId="04FFBC01" w14:textId="77777777" w:rsidR="007D1693" w:rsidRPr="00B65BF2" w:rsidRDefault="007D1693" w:rsidP="0030198F">
            <w:pPr>
              <w:pStyle w:val="NoSpacing"/>
            </w:pPr>
          </w:p>
        </w:tc>
        <w:tc>
          <w:tcPr>
            <w:tcW w:w="7618" w:type="dxa"/>
          </w:tcPr>
          <w:p w14:paraId="61DC2B62" w14:textId="77777777" w:rsidR="007D1693" w:rsidRPr="00B65BF2" w:rsidRDefault="007D1693" w:rsidP="0030198F">
            <w:pPr>
              <w:pStyle w:val="NoSpacing"/>
            </w:pPr>
          </w:p>
          <w:p w14:paraId="56793135" w14:textId="77777777" w:rsidR="007D1693" w:rsidRPr="00B65BF2" w:rsidRDefault="007D1693" w:rsidP="0030198F">
            <w:pPr>
              <w:pStyle w:val="NoSpacing"/>
            </w:pPr>
            <w:r w:rsidRPr="00B65BF2">
              <w:t>The Petroleum Federation</w:t>
            </w:r>
            <w:r w:rsidRPr="00B65BF2">
              <w:rPr>
                <w:rStyle w:val="FootnoteReference"/>
              </w:rPr>
              <w:footnoteReference w:id="69"/>
            </w:r>
            <w:r w:rsidRPr="00B65BF2">
              <w:t xml:space="preserve"> (PF) repeatedly received cease-and-desist orders from the JFTC.</w:t>
            </w:r>
          </w:p>
          <w:p w14:paraId="02619998" w14:textId="77777777" w:rsidR="007D1693" w:rsidRPr="00B65BF2" w:rsidRDefault="007D1693" w:rsidP="0030198F">
            <w:pPr>
              <w:pStyle w:val="NoSpacing"/>
            </w:pPr>
          </w:p>
          <w:p w14:paraId="754E1FCD" w14:textId="77777777" w:rsidR="007D1693" w:rsidRPr="00B65BF2" w:rsidRDefault="00B01754" w:rsidP="0030198F">
            <w:pPr>
              <w:pStyle w:val="NoSpacing"/>
            </w:pPr>
            <w:r>
              <w:t xml:space="preserve">The </w:t>
            </w:r>
            <w:r w:rsidR="007D1693" w:rsidRPr="00B65BF2">
              <w:t>PF’s ‘Demand and Supply Committee’ (</w:t>
            </w:r>
            <w:r w:rsidR="007D1693" w:rsidRPr="00B65BF2">
              <w:rPr>
                <w:i/>
              </w:rPr>
              <w:t>Jukyu I’inkai</w:t>
            </w:r>
            <w:r w:rsidR="007D1693" w:rsidRPr="00B65BF2">
              <w:t>) established crude oil processing quotas for all members.</w:t>
            </w:r>
          </w:p>
          <w:p w14:paraId="5126F588" w14:textId="77777777" w:rsidR="007D1693" w:rsidRPr="00B65BF2" w:rsidRDefault="007D1693" w:rsidP="0030198F">
            <w:pPr>
              <w:pStyle w:val="NoSpacing"/>
            </w:pPr>
          </w:p>
          <w:p w14:paraId="5EA64F20" w14:textId="77777777" w:rsidR="007D1693" w:rsidRPr="00B65BF2" w:rsidRDefault="007D1693" w:rsidP="0030198F">
            <w:pPr>
              <w:pStyle w:val="NoSpacing"/>
            </w:pPr>
            <w:r w:rsidRPr="00B65BF2">
              <w:t>12 companies met five times in a conference room of the PF and agreed on price increases in all of the various categories of oil (light, heavy etc.).</w:t>
            </w:r>
          </w:p>
          <w:p w14:paraId="2D366DF8" w14:textId="77777777" w:rsidR="007D1693" w:rsidRPr="00B65BF2" w:rsidRDefault="007D1693" w:rsidP="0030198F">
            <w:pPr>
              <w:pStyle w:val="NoSpacing"/>
            </w:pPr>
          </w:p>
          <w:p w14:paraId="1C2599CA" w14:textId="77777777" w:rsidR="007D1693" w:rsidRPr="00B65BF2" w:rsidRDefault="007D1693" w:rsidP="0030198F">
            <w:pPr>
              <w:pStyle w:val="NoSpacing"/>
            </w:pPr>
            <w:r w:rsidRPr="00B65BF2">
              <w:t xml:space="preserve">Most of </w:t>
            </w:r>
            <w:r w:rsidR="00BA3391">
              <w:t xml:space="preserve">the </w:t>
            </w:r>
            <w:r w:rsidRPr="00B65BF2">
              <w:t xml:space="preserve">12 arranged for a ‘gasoline </w:t>
            </w:r>
            <w:r w:rsidRPr="00B65BF2">
              <w:rPr>
                <w:i/>
              </w:rPr>
              <w:t>Kacho</w:t>
            </w:r>
            <w:r w:rsidRPr="00B65BF2">
              <w:t xml:space="preserve"> </w:t>
            </w:r>
            <w:r w:rsidRPr="00B65BF2">
              <w:rPr>
                <w:i/>
              </w:rPr>
              <w:t>Kai</w:t>
            </w:r>
            <w:r w:rsidRPr="00B65BF2">
              <w:t>’ (gasoline division chiefs meeting) and agreed on monthly sales restrictions (i.e. volume quotas) for each cartel member in each region of Japan to support the price agreement.</w:t>
            </w:r>
          </w:p>
          <w:p w14:paraId="698993ED" w14:textId="77777777" w:rsidR="007D1693" w:rsidRPr="00B65BF2" w:rsidRDefault="007D1693" w:rsidP="0030198F">
            <w:pPr>
              <w:pStyle w:val="NoSpacing"/>
            </w:pPr>
          </w:p>
          <w:p w14:paraId="5DFCD81E" w14:textId="77777777" w:rsidR="007D1693" w:rsidRPr="00B65BF2" w:rsidRDefault="007D1693" w:rsidP="0030198F">
            <w:pPr>
              <w:pStyle w:val="NoSpacing"/>
            </w:pPr>
            <w:r w:rsidRPr="00B65BF2">
              <w:t>The JFTC filed a criminal charge against the PF, 12 companies, and their 17 top representatives.</w:t>
            </w:r>
          </w:p>
          <w:p w14:paraId="47FBDBC0" w14:textId="77777777" w:rsidR="007D1693" w:rsidRPr="00B65BF2" w:rsidRDefault="007D1693" w:rsidP="0030198F">
            <w:pPr>
              <w:pStyle w:val="NoSpacing"/>
            </w:pPr>
          </w:p>
          <w:p w14:paraId="242A4153" w14:textId="77777777" w:rsidR="007D1693" w:rsidRPr="00B65BF2" w:rsidRDefault="007D1693" w:rsidP="0030198F">
            <w:pPr>
              <w:pStyle w:val="NoSpacing"/>
            </w:pPr>
            <w:r w:rsidRPr="00B65BF2">
              <w:t>The Tokyo Police Department began collecting evidence from the companies and the trade association.</w:t>
            </w:r>
          </w:p>
          <w:p w14:paraId="0418C833" w14:textId="77777777" w:rsidR="007D1693" w:rsidRPr="00B65BF2" w:rsidRDefault="007D1693" w:rsidP="0030198F">
            <w:pPr>
              <w:pStyle w:val="NoSpacing"/>
            </w:pPr>
          </w:p>
          <w:p w14:paraId="45C50519" w14:textId="77777777" w:rsidR="007D1693" w:rsidRPr="00B65BF2" w:rsidRDefault="007D1693" w:rsidP="0030198F">
            <w:pPr>
              <w:pStyle w:val="NoSpacing"/>
            </w:pPr>
            <w:r w:rsidRPr="00B65BF2">
              <w:t xml:space="preserve">The Tokyo High Court acquitted the PF but held that the 12 oil companies and their executives </w:t>
            </w:r>
            <w:r w:rsidR="00BA3391">
              <w:t xml:space="preserve">were </w:t>
            </w:r>
            <w:r w:rsidRPr="00B65BF2">
              <w:t>guilty of price fixing</w:t>
            </w:r>
            <w:r w:rsidRPr="00B65BF2">
              <w:rPr>
                <w:rStyle w:val="FootnoteReference"/>
              </w:rPr>
              <w:footnoteReference w:id="70"/>
            </w:r>
            <w:r w:rsidRPr="00B65BF2">
              <w:t>. The Court sentenced the executives to from four to ten months imprisonment (although the sentences were suspended) and imposed fines ranging from ‘1,500,000 to 2,500,000 yen.’</w:t>
            </w:r>
          </w:p>
          <w:p w14:paraId="32616F3E" w14:textId="77777777" w:rsidR="007D1693" w:rsidRPr="00B65BF2" w:rsidRDefault="007D1693" w:rsidP="0030198F">
            <w:pPr>
              <w:pStyle w:val="NoSpacing"/>
            </w:pPr>
          </w:p>
          <w:p w14:paraId="5EF56B39" w14:textId="77777777" w:rsidR="007D1693" w:rsidRPr="00B65BF2" w:rsidRDefault="007D1693" w:rsidP="0030198F">
            <w:pPr>
              <w:pStyle w:val="NoSpacing"/>
            </w:pPr>
            <w:r w:rsidRPr="00B65BF2">
              <w:t>The Supreme Court supported most of the verdict</w:t>
            </w:r>
            <w:r w:rsidR="00BA3391">
              <w:t>s</w:t>
            </w:r>
            <w:r w:rsidRPr="00B65BF2">
              <w:t xml:space="preserve"> of the Tokyo High Court.</w:t>
            </w:r>
          </w:p>
        </w:tc>
      </w:tr>
    </w:tbl>
    <w:p w14:paraId="3482EB9B" w14:textId="77777777" w:rsidR="007D1693" w:rsidRDefault="007D1693" w:rsidP="007D1693"/>
    <w:p w14:paraId="1D957792" w14:textId="77777777" w:rsidR="007D1693" w:rsidRDefault="007D1693" w:rsidP="007D1693">
      <w:pPr>
        <w:ind w:firstLine="284"/>
      </w:pPr>
      <w:r>
        <w:t xml:space="preserve">The JFTC revealed its proposal </w:t>
      </w:r>
      <w:r w:rsidR="006A685D">
        <w:t xml:space="preserve">for </w:t>
      </w:r>
      <w:r>
        <w:t xml:space="preserve">a possible AMA amendment in early 1974. The major points of this proposal </w:t>
      </w:r>
      <w:r>
        <w:rPr>
          <w:rFonts w:hint="eastAsia"/>
        </w:rPr>
        <w:t>were</w:t>
      </w:r>
      <w:r>
        <w:t xml:space="preserve"> (Schaede 2000 p.101, Yoshikawa 1983 p.499):</w:t>
      </w:r>
    </w:p>
    <w:p w14:paraId="0A18E2DA" w14:textId="77777777" w:rsidR="007D1693" w:rsidRDefault="007D1693" w:rsidP="001B6C05">
      <w:pPr>
        <w:pStyle w:val="ListParagraph"/>
        <w:numPr>
          <w:ilvl w:val="0"/>
          <w:numId w:val="48"/>
        </w:numPr>
        <w:ind w:left="284" w:hanging="284"/>
        <w:rPr>
          <w:szCs w:val="24"/>
        </w:rPr>
      </w:pPr>
      <w:r>
        <w:rPr>
          <w:szCs w:val="24"/>
        </w:rPr>
        <w:t>to empower the JFTC to order the breakup of dominant firm</w:t>
      </w:r>
      <w:r w:rsidR="00723A4D">
        <w:rPr>
          <w:szCs w:val="24"/>
        </w:rPr>
        <w:t>s, oligopolies or conglomerates</w:t>
      </w:r>
      <w:r w:rsidR="00723A4D">
        <w:rPr>
          <w:rFonts w:eastAsia="MS Mincho" w:hint="eastAsia"/>
          <w:szCs w:val="24"/>
        </w:rPr>
        <w:t>;</w:t>
      </w:r>
    </w:p>
    <w:p w14:paraId="77C36B41" w14:textId="77777777" w:rsidR="007D1693" w:rsidRDefault="007D1693" w:rsidP="001B6C05">
      <w:pPr>
        <w:pStyle w:val="ListParagraph"/>
        <w:numPr>
          <w:ilvl w:val="0"/>
          <w:numId w:val="48"/>
        </w:numPr>
        <w:ind w:left="284" w:hanging="284"/>
        <w:rPr>
          <w:szCs w:val="24"/>
        </w:rPr>
      </w:pPr>
      <w:r>
        <w:rPr>
          <w:szCs w:val="24"/>
        </w:rPr>
        <w:t>to abolish price cartels</w:t>
      </w:r>
      <w:r w:rsidR="00723A4D">
        <w:rPr>
          <w:rFonts w:eastAsia="MS Mincho" w:hint="eastAsia"/>
          <w:szCs w:val="24"/>
        </w:rPr>
        <w:t>;</w:t>
      </w:r>
    </w:p>
    <w:p w14:paraId="1EF6A74F" w14:textId="77777777" w:rsidR="007D1693" w:rsidRDefault="007D1693" w:rsidP="001B6C05">
      <w:pPr>
        <w:pStyle w:val="ListParagraph"/>
        <w:numPr>
          <w:ilvl w:val="0"/>
          <w:numId w:val="48"/>
        </w:numPr>
        <w:ind w:left="284" w:hanging="284"/>
        <w:rPr>
          <w:szCs w:val="24"/>
        </w:rPr>
      </w:pPr>
      <w:r>
        <w:rPr>
          <w:szCs w:val="24"/>
        </w:rPr>
        <w:t>to increase penalty provisions such that a criminal fine was a meaningful threat, and to introduce a new administrative surcharge (</w:t>
      </w:r>
      <w:r w:rsidRPr="005E67F3">
        <w:rPr>
          <w:i/>
          <w:iCs/>
          <w:szCs w:val="24"/>
        </w:rPr>
        <w:t>Kachokin</w:t>
      </w:r>
      <w:r>
        <w:rPr>
          <w:szCs w:val="24"/>
        </w:rPr>
        <w:t>) to cream off the profits made by companie</w:t>
      </w:r>
      <w:r w:rsidR="00723A4D">
        <w:rPr>
          <w:szCs w:val="24"/>
        </w:rPr>
        <w:t>s over the duration of a cartel</w:t>
      </w:r>
      <w:r w:rsidR="00723A4D">
        <w:rPr>
          <w:rFonts w:eastAsia="MS Mincho" w:hint="eastAsia"/>
          <w:szCs w:val="24"/>
        </w:rPr>
        <w:t>;</w:t>
      </w:r>
    </w:p>
    <w:p w14:paraId="777D3D90" w14:textId="77777777" w:rsidR="007D1693" w:rsidRDefault="007D1693" w:rsidP="001B6C05">
      <w:pPr>
        <w:pStyle w:val="ListParagraph"/>
        <w:numPr>
          <w:ilvl w:val="0"/>
          <w:numId w:val="48"/>
        </w:numPr>
        <w:ind w:left="284" w:hanging="284"/>
        <w:rPr>
          <w:szCs w:val="24"/>
        </w:rPr>
      </w:pPr>
      <w:r>
        <w:rPr>
          <w:szCs w:val="24"/>
        </w:rPr>
        <w:t>to lower the requirements of what constitutes ‘sufficient evidence</w:t>
      </w:r>
      <w:r w:rsidR="00723A4D">
        <w:rPr>
          <w:szCs w:val="24"/>
        </w:rPr>
        <w:t>’ for a cartel to be prosecuted</w:t>
      </w:r>
      <w:r w:rsidR="00723A4D">
        <w:rPr>
          <w:rFonts w:eastAsia="MS Mincho" w:hint="eastAsia"/>
          <w:szCs w:val="24"/>
        </w:rPr>
        <w:t>;</w:t>
      </w:r>
    </w:p>
    <w:p w14:paraId="1AAFC28A" w14:textId="77777777" w:rsidR="007D1693" w:rsidRDefault="007D1693" w:rsidP="001B6C05">
      <w:pPr>
        <w:pStyle w:val="ListParagraph"/>
        <w:numPr>
          <w:ilvl w:val="0"/>
          <w:numId w:val="48"/>
        </w:numPr>
        <w:ind w:left="284" w:hanging="284"/>
        <w:rPr>
          <w:szCs w:val="24"/>
        </w:rPr>
      </w:pPr>
      <w:r>
        <w:rPr>
          <w:szCs w:val="24"/>
        </w:rPr>
        <w:t>to strengthen disclosure and accounting rules for l</w:t>
      </w:r>
      <w:r w:rsidR="00723A4D">
        <w:rPr>
          <w:szCs w:val="24"/>
        </w:rPr>
        <w:t>arge firms, including cost date</w:t>
      </w:r>
      <w:r w:rsidR="00723A4D">
        <w:rPr>
          <w:rFonts w:eastAsia="MS Mincho" w:hint="eastAsia"/>
          <w:szCs w:val="24"/>
        </w:rPr>
        <w:t>;</w:t>
      </w:r>
    </w:p>
    <w:p w14:paraId="63C6DA1C" w14:textId="77777777" w:rsidR="007D1693" w:rsidRDefault="007D1693" w:rsidP="001B6C05">
      <w:pPr>
        <w:pStyle w:val="ListParagraph"/>
        <w:numPr>
          <w:ilvl w:val="0"/>
          <w:numId w:val="48"/>
        </w:numPr>
        <w:ind w:left="284" w:hanging="284"/>
        <w:rPr>
          <w:szCs w:val="24"/>
        </w:rPr>
      </w:pPr>
      <w:r>
        <w:rPr>
          <w:szCs w:val="24"/>
        </w:rPr>
        <w:t>to strengthen the rules on unfair trade restrictions</w:t>
      </w:r>
      <w:r w:rsidR="00723A4D">
        <w:rPr>
          <w:rFonts w:eastAsia="MS Mincho" w:hint="eastAsia"/>
          <w:szCs w:val="24"/>
        </w:rPr>
        <w:t>;</w:t>
      </w:r>
      <w:r>
        <w:rPr>
          <w:szCs w:val="24"/>
        </w:rPr>
        <w:t xml:space="preserve"> and </w:t>
      </w:r>
    </w:p>
    <w:p w14:paraId="5EAA43EE" w14:textId="77777777" w:rsidR="007D1693" w:rsidRDefault="007D1693" w:rsidP="001B6C05">
      <w:pPr>
        <w:pStyle w:val="ListParagraph"/>
        <w:numPr>
          <w:ilvl w:val="0"/>
          <w:numId w:val="48"/>
        </w:numPr>
        <w:ind w:left="284" w:hanging="284"/>
        <w:rPr>
          <w:szCs w:val="24"/>
        </w:rPr>
      </w:pPr>
      <w:r>
        <w:rPr>
          <w:szCs w:val="24"/>
        </w:rPr>
        <w:t>to limit stockholdings in one corporation by banks and trading companies.</w:t>
      </w:r>
    </w:p>
    <w:p w14:paraId="44FCE08C" w14:textId="77777777" w:rsidR="007D1693" w:rsidRDefault="007D1693" w:rsidP="007D1693"/>
    <w:p w14:paraId="343F2198" w14:textId="77777777" w:rsidR="007D1693" w:rsidRDefault="007D1693" w:rsidP="0027292D">
      <w:pPr>
        <w:ind w:firstLine="284"/>
      </w:pPr>
      <w:r>
        <w:t xml:space="preserve">Although this proposal was not immediately taken seriously by the ruling LDP, it was picked up by Prime Minister Takeo Miki (1974-76) as a tool to regain the popular support (Sanetaka 1986 p394). </w:t>
      </w:r>
      <w:r w:rsidR="00F0535E">
        <w:t>When Miki took over the premiership, t</w:t>
      </w:r>
      <w:r>
        <w:t xml:space="preserve">he LDP’s reputation was significantly damaged by the scandals of </w:t>
      </w:r>
      <w:r w:rsidR="00F0535E">
        <w:t>his</w:t>
      </w:r>
      <w:r>
        <w:t xml:space="preserve"> predecessor, Kakuei Tanaka (Schaede 2000 p.101, Sanetaka 1986 p394). As the new Prime Minister Miki promised a revision of the AMA as well as swift clean-up action in his inauguration speech (Schaede 2000 p.101). According to </w:t>
      </w:r>
      <w:r>
        <w:rPr>
          <w:rFonts w:hint="eastAsia"/>
        </w:rPr>
        <w:t>Schaede (2000 p.102)</w:t>
      </w:r>
      <w:r>
        <w:t xml:space="preserve">, the debate about this AMA amendment can be characterised by </w:t>
      </w:r>
      <w:r>
        <w:rPr>
          <w:rFonts w:hint="eastAsia"/>
        </w:rPr>
        <w:t xml:space="preserve">the confrontation </w:t>
      </w:r>
      <w:r>
        <w:t>from</w:t>
      </w:r>
      <w:r>
        <w:rPr>
          <w:rFonts w:hint="eastAsia"/>
        </w:rPr>
        <w:t xml:space="preserve"> 1975 to 1977 between LDP politicians lobbied by the MITI and </w:t>
      </w:r>
      <w:r>
        <w:t>its</w:t>
      </w:r>
      <w:r>
        <w:rPr>
          <w:rFonts w:hint="eastAsia"/>
        </w:rPr>
        <w:t xml:space="preserve"> business </w:t>
      </w:r>
      <w:r>
        <w:t xml:space="preserve">ally </w:t>
      </w:r>
      <w:r>
        <w:rPr>
          <w:rFonts w:hint="eastAsia"/>
        </w:rPr>
        <w:t>trying to dilute the JFTC</w:t>
      </w:r>
      <w:r>
        <w:t>’</w:t>
      </w:r>
      <w:r>
        <w:rPr>
          <w:rFonts w:hint="eastAsia"/>
        </w:rPr>
        <w:t xml:space="preserve">s proposal and the opposition group composed of opposition </w:t>
      </w:r>
      <w:r>
        <w:t>parties</w:t>
      </w:r>
      <w:r>
        <w:rPr>
          <w:rFonts w:hint="eastAsia"/>
        </w:rPr>
        <w:t xml:space="preserve">, consumer groups, and economics and law academics. </w:t>
      </w:r>
      <w:r>
        <w:t>In 1977</w:t>
      </w:r>
      <w:r w:rsidR="006A685D">
        <w:t>,</w:t>
      </w:r>
      <w:r>
        <w:t xml:space="preserve"> the</w:t>
      </w:r>
      <w:r>
        <w:rPr>
          <w:rFonts w:hint="eastAsia"/>
        </w:rPr>
        <w:t xml:space="preserve"> </w:t>
      </w:r>
      <w:r>
        <w:t>amendment</w:t>
      </w:r>
      <w:r>
        <w:rPr>
          <w:rFonts w:hint="eastAsia"/>
        </w:rPr>
        <w:t xml:space="preserve"> bill was finally adopted under the strong initiative of </w:t>
      </w:r>
      <w:r w:rsidR="00BA3391">
        <w:t xml:space="preserve">the </w:t>
      </w:r>
      <w:r>
        <w:rPr>
          <w:rFonts w:hint="eastAsia"/>
        </w:rPr>
        <w:t>then Prime M</w:t>
      </w:r>
      <w:r>
        <w:t>i</w:t>
      </w:r>
      <w:r>
        <w:rPr>
          <w:rFonts w:hint="eastAsia"/>
        </w:rPr>
        <w:t>nister Takeo Fukuda in the Diet</w:t>
      </w:r>
      <w:r>
        <w:t>. This amendment</w:t>
      </w:r>
      <w:r>
        <w:rPr>
          <w:rFonts w:hint="eastAsia"/>
        </w:rPr>
        <w:t xml:space="preserve"> </w:t>
      </w:r>
      <w:r>
        <w:t xml:space="preserve">significantly enhanced </w:t>
      </w:r>
      <w:r>
        <w:rPr>
          <w:rFonts w:hint="eastAsia"/>
        </w:rPr>
        <w:t>the AMA.</w:t>
      </w:r>
    </w:p>
    <w:p w14:paraId="74F889AD" w14:textId="5B837233" w:rsidR="00D9491F" w:rsidRDefault="00B728E7" w:rsidP="000111B1">
      <w:pPr>
        <w:ind w:firstLine="284"/>
      </w:pPr>
      <w:r w:rsidRPr="00F022DD">
        <w:t>A</w:t>
      </w:r>
      <w:r w:rsidR="0092007E" w:rsidRPr="00887556">
        <w:t xml:space="preserve"> key actor to </w:t>
      </w:r>
      <w:r w:rsidRPr="00F022DD">
        <w:t>emerg</w:t>
      </w:r>
      <w:r w:rsidR="000B3D77" w:rsidRPr="00F022DD">
        <w:t xml:space="preserve">e in 1975 within the process of the 1977 AMA amendment was </w:t>
      </w:r>
      <w:r w:rsidR="004B4A66" w:rsidRPr="00F022DD">
        <w:t xml:space="preserve">the </w:t>
      </w:r>
      <w:r w:rsidRPr="00F022DD">
        <w:t>LDP’s</w:t>
      </w:r>
      <w:r>
        <w:t xml:space="preserve"> AMA Examination Committee</w:t>
      </w:r>
      <w:r w:rsidR="000B3D77">
        <w:t xml:space="preserve"> (Hayashi 2008 p.314)</w:t>
      </w:r>
      <w:r>
        <w:t xml:space="preserve">. </w:t>
      </w:r>
      <w:r w:rsidR="00F5663D">
        <w:t xml:space="preserve"> </w:t>
      </w:r>
      <w:r w:rsidR="006678DB">
        <w:t xml:space="preserve">Located within the LDP’s PARC (Policy Affairs Research Council), the </w:t>
      </w:r>
      <w:r w:rsidR="0084693D">
        <w:t xml:space="preserve">impact of the LDP </w:t>
      </w:r>
      <w:r w:rsidR="006678DB">
        <w:t xml:space="preserve">AMA Examination Committee </w:t>
      </w:r>
      <w:r w:rsidR="0084693D">
        <w:t xml:space="preserve">can be compared to </w:t>
      </w:r>
      <w:r w:rsidR="004B4A66">
        <w:t xml:space="preserve">the PARC’s </w:t>
      </w:r>
      <w:r w:rsidR="0084693D">
        <w:t xml:space="preserve">other </w:t>
      </w:r>
      <w:r w:rsidR="0055405F">
        <w:t>divisions</w:t>
      </w:r>
      <w:r w:rsidR="0084693D">
        <w:t xml:space="preserve"> (</w:t>
      </w:r>
      <w:r w:rsidR="00F77E54" w:rsidRPr="005B18BE">
        <w:rPr>
          <w:i/>
          <w:iCs/>
        </w:rPr>
        <w:t>Bukai</w:t>
      </w:r>
      <w:r w:rsidR="0084693D">
        <w:t>).</w:t>
      </w:r>
      <w:r w:rsidR="00606BCC">
        <w:t xml:space="preserve"> </w:t>
      </w:r>
      <w:r w:rsidR="00C76FA3">
        <w:t>The interests and arguments represented by LDP politician</w:t>
      </w:r>
      <w:r w:rsidR="004B4A66">
        <w:t>s</w:t>
      </w:r>
      <w:r w:rsidR="00C76FA3">
        <w:t xml:space="preserve"> </w:t>
      </w:r>
      <w:r w:rsidR="000111B1">
        <w:t xml:space="preserve">became the LDP’s view through the process of debating policy issues in the AMA </w:t>
      </w:r>
      <w:r w:rsidR="00942CF5">
        <w:t>Examination</w:t>
      </w:r>
      <w:r w:rsidR="000111B1">
        <w:t xml:space="preserve"> Committee; the Committee’s function was </w:t>
      </w:r>
      <w:r w:rsidR="004B4A66">
        <w:t xml:space="preserve">similar to </w:t>
      </w:r>
      <w:r w:rsidR="00C76FA3">
        <w:t xml:space="preserve">the PARC’s divisions (Inoguchi and Iwai 1987 p.99). </w:t>
      </w:r>
      <w:r w:rsidR="0092007E">
        <w:t xml:space="preserve">The LDP AMA Examination Committee </w:t>
      </w:r>
      <w:r w:rsidR="00C76FA3">
        <w:t xml:space="preserve">exercised its power through typically </w:t>
      </w:r>
      <w:r w:rsidR="00D9491F">
        <w:t>examining</w:t>
      </w:r>
      <w:r w:rsidR="00C76FA3">
        <w:t xml:space="preserve"> </w:t>
      </w:r>
      <w:r w:rsidR="00D9491F">
        <w:t xml:space="preserve">AMA </w:t>
      </w:r>
      <w:r w:rsidR="00C76FA3">
        <w:t>a</w:t>
      </w:r>
      <w:r w:rsidR="00587E5B">
        <w:t>mendment bills</w:t>
      </w:r>
      <w:r w:rsidR="00F5663D">
        <w:t>;</w:t>
      </w:r>
      <w:r w:rsidR="00C76FA3">
        <w:t xml:space="preserve"> </w:t>
      </w:r>
      <w:r w:rsidR="0014653E">
        <w:t xml:space="preserve">its examination was vital for the </w:t>
      </w:r>
      <w:r w:rsidR="00C76FA3">
        <w:t xml:space="preserve">bills </w:t>
      </w:r>
      <w:r w:rsidR="0014653E">
        <w:t>to be put before the Diet between the 1980s and 2000s</w:t>
      </w:r>
      <w:r w:rsidR="00D9491F">
        <w:t>.</w:t>
      </w:r>
    </w:p>
    <w:p w14:paraId="7DC69A4B" w14:textId="7908F2CA" w:rsidR="00D9491F" w:rsidRDefault="00D9491F" w:rsidP="00395F7D">
      <w:pPr>
        <w:ind w:firstLine="284"/>
      </w:pPr>
      <w:r>
        <w:t xml:space="preserve">The LDP AMA Examination Committee was also the arena where Sadanori Yamanaka (1921-2004) emerged as a key figure in antimonopoly regulation. </w:t>
      </w:r>
      <w:r>
        <w:rPr>
          <w:rFonts w:hint="eastAsia"/>
        </w:rPr>
        <w:t>T</w:t>
      </w:r>
      <w:r>
        <w:t xml:space="preserve">he relationship between the JFTC and </w:t>
      </w:r>
      <w:r w:rsidR="0092007E">
        <w:t xml:space="preserve">the </w:t>
      </w:r>
      <w:r>
        <w:t xml:space="preserve">ruling parties </w:t>
      </w:r>
      <w:r>
        <w:rPr>
          <w:rFonts w:hint="eastAsia"/>
        </w:rPr>
        <w:t xml:space="preserve">in the 1980s and 1990s </w:t>
      </w:r>
      <w:r>
        <w:t xml:space="preserve">can be </w:t>
      </w:r>
      <w:r>
        <w:rPr>
          <w:rFonts w:hint="eastAsia"/>
        </w:rPr>
        <w:t xml:space="preserve">described as a </w:t>
      </w:r>
      <w:r w:rsidR="0092007E">
        <w:t xml:space="preserve">support network that surrounded him. </w:t>
      </w:r>
      <w:r>
        <w:t xml:space="preserve">Having first been elected to the membership of the Diet in 1953, he had a long career in politics, affording him the opportunity to exert a significant influence over the LDP. In the field of antimonopoly policies, he has been the Chairman of the LDP’s AMA Examination Committee </w:t>
      </w:r>
      <w:r w:rsidR="00395F7D">
        <w:t>for a long time between the 1980s and 2000s</w:t>
      </w:r>
      <w:r>
        <w:t xml:space="preserve"> (The House of Representatives 2004, Interview with an LDP member of the House of Representatives). </w:t>
      </w:r>
      <w:r>
        <w:rPr>
          <w:rFonts w:hint="eastAsia"/>
        </w:rPr>
        <w:t>The informal nature of Yamanak</w:t>
      </w:r>
      <w:r>
        <w:t>a’</w:t>
      </w:r>
      <w:r>
        <w:rPr>
          <w:rFonts w:hint="eastAsia"/>
        </w:rPr>
        <w:t>s influence makes it</w:t>
      </w:r>
      <w:r w:rsidR="0092007E">
        <w:t xml:space="preserve"> a feature that is </w:t>
      </w:r>
      <w:r>
        <w:rPr>
          <w:rFonts w:hint="eastAsia"/>
        </w:rPr>
        <w:t>difficult to identif</w:t>
      </w:r>
      <w:r w:rsidR="0092007E">
        <w:t>y</w:t>
      </w:r>
      <w:r>
        <w:rPr>
          <w:rFonts w:hint="eastAsia"/>
        </w:rPr>
        <w:t xml:space="preserve"> in the official documents. Even </w:t>
      </w:r>
      <w:r>
        <w:t>his</w:t>
      </w:r>
      <w:r>
        <w:rPr>
          <w:rFonts w:hint="eastAsia"/>
        </w:rPr>
        <w:t xml:space="preserve"> memorial address offered a brief reference to his contribution in the antimonopoly field:</w:t>
      </w:r>
    </w:p>
    <w:p w14:paraId="471A378A" w14:textId="77777777" w:rsidR="00D9491F" w:rsidRDefault="00D9491F" w:rsidP="00D9491F">
      <w:pPr>
        <w:ind w:firstLine="284"/>
      </w:pPr>
    </w:p>
    <w:p w14:paraId="53D1928E" w14:textId="77777777" w:rsidR="00D9491F" w:rsidRDefault="00D9491F" w:rsidP="00D9491F">
      <w:pPr>
        <w:pStyle w:val="Quote"/>
      </w:pPr>
      <w:r>
        <w:rPr>
          <w:rFonts w:hint="eastAsia"/>
        </w:rPr>
        <w:t xml:space="preserve">since the period of the Miki Cabinet in 1974 as the Chairman of the </w:t>
      </w:r>
      <w:r>
        <w:t>Antimonopoly</w:t>
      </w:r>
      <w:r>
        <w:rPr>
          <w:rFonts w:hint="eastAsia"/>
        </w:rPr>
        <w:t xml:space="preserve"> Act Examination Committee he was involved with the Antimonopoly Act amendment whose enhancement was urgent for establishing the fundamental rule of the liberal economic society, tirelessly addressed the opposing views in and outside the LDP, continued pursuing an agreement, finally led the amendment bill to be </w:t>
      </w:r>
      <w:r>
        <w:t>unanimously</w:t>
      </w:r>
      <w:r>
        <w:rPr>
          <w:rFonts w:hint="eastAsia"/>
        </w:rPr>
        <w:t xml:space="preserve"> adopted, and opened a new era in Japan</w:t>
      </w:r>
      <w:r>
        <w:t>’</w:t>
      </w:r>
      <w:r>
        <w:rPr>
          <w:rFonts w:hint="eastAsia"/>
        </w:rPr>
        <w:t>s antimonopoly policy</w:t>
      </w:r>
      <w:r w:rsidRPr="002E2B7A">
        <w:t xml:space="preserve"> </w:t>
      </w:r>
      <w:r>
        <w:t>(The House of Representatives 2004</w:t>
      </w:r>
      <w:r>
        <w:rPr>
          <w:rFonts w:hint="eastAsia"/>
        </w:rPr>
        <w:t xml:space="preserve">). </w:t>
      </w:r>
    </w:p>
    <w:p w14:paraId="29F0413B" w14:textId="77777777" w:rsidR="00D9491F" w:rsidRDefault="00D9491F" w:rsidP="00D9491F">
      <w:pPr>
        <w:ind w:firstLine="284"/>
      </w:pPr>
    </w:p>
    <w:p w14:paraId="010340A4" w14:textId="4DB294D9" w:rsidR="006A0A67" w:rsidRDefault="004719D7" w:rsidP="005C4B38">
      <w:pPr>
        <w:ind w:firstLine="284"/>
      </w:pPr>
      <w:r>
        <w:t xml:space="preserve">In the process of the 1977 AMA amendment, Yamanaka chaired the Committee and led the debate within it; he </w:t>
      </w:r>
      <w:r w:rsidR="005C4B38">
        <w:t>worked</w:t>
      </w:r>
      <w:r w:rsidR="006F4379">
        <w:t xml:space="preserve"> hard on the amendment bills, a</w:t>
      </w:r>
      <w:r w:rsidR="005C4B38">
        <w:t xml:space="preserve">ddressing </w:t>
      </w:r>
      <w:r w:rsidR="006F4379">
        <w:t xml:space="preserve">most of </w:t>
      </w:r>
      <w:r w:rsidR="005C4B38">
        <w:t xml:space="preserve">the </w:t>
      </w:r>
      <w:r w:rsidR="006F4379">
        <w:t xml:space="preserve">major issues </w:t>
      </w:r>
      <w:r w:rsidR="005C4B38">
        <w:t xml:space="preserve">raised by </w:t>
      </w:r>
      <w:r w:rsidR="006F4379">
        <w:t xml:space="preserve">the bill, and </w:t>
      </w:r>
      <w:r w:rsidR="005C4B38">
        <w:t xml:space="preserve">personally lobbied major </w:t>
      </w:r>
      <w:r w:rsidR="006F4379">
        <w:t xml:space="preserve">politicians </w:t>
      </w:r>
      <w:r w:rsidR="005C4B38">
        <w:t xml:space="preserve">opposing it </w:t>
      </w:r>
      <w:r w:rsidR="006F4379">
        <w:t>(Hayashi 200</w:t>
      </w:r>
      <w:r w:rsidR="000B3D77">
        <w:t>8</w:t>
      </w:r>
      <w:r w:rsidR="006F4379">
        <w:t xml:space="preserve"> pp.335-6)</w:t>
      </w:r>
      <w:r>
        <w:t xml:space="preserve">. </w:t>
      </w:r>
      <w:r w:rsidR="006F4379">
        <w:t>On the day before the session of the Committee, he often studied the issues o</w:t>
      </w:r>
      <w:r w:rsidR="00D05375">
        <w:t>n</w:t>
      </w:r>
      <w:r w:rsidR="006F4379">
        <w:t xml:space="preserve"> the bill all night with a </w:t>
      </w:r>
      <w:r w:rsidR="006A0A67">
        <w:t xml:space="preserve">JFTC </w:t>
      </w:r>
      <w:r w:rsidR="006F4379">
        <w:t>official</w:t>
      </w:r>
      <w:r w:rsidR="006A0A67">
        <w:t xml:space="preserve"> </w:t>
      </w:r>
      <w:r w:rsidR="005C4B38">
        <w:t xml:space="preserve">as part of his commitment to seeking a </w:t>
      </w:r>
      <w:r w:rsidR="00A15764">
        <w:t xml:space="preserve">consensus </w:t>
      </w:r>
      <w:r w:rsidR="006F4379">
        <w:t>(Hayashi 200</w:t>
      </w:r>
      <w:r w:rsidR="00422A30">
        <w:t>8</w:t>
      </w:r>
      <w:r w:rsidR="006F4379">
        <w:t xml:space="preserve"> p.335-6). </w:t>
      </w:r>
      <w:r w:rsidR="00647864">
        <w:t xml:space="preserve">It was </w:t>
      </w:r>
      <w:r w:rsidR="005C4B38">
        <w:t xml:space="preserve">claimed </w:t>
      </w:r>
      <w:r w:rsidR="00647864">
        <w:t xml:space="preserve">that the result of debates within his AMA Examination became the basis on which the government’s bill on the AMA </w:t>
      </w:r>
      <w:r w:rsidR="00A15764">
        <w:t>amendment</w:t>
      </w:r>
      <w:r w:rsidR="00647864">
        <w:t xml:space="preserve"> was </w:t>
      </w:r>
      <w:r w:rsidR="00D05375">
        <w:t>shaped</w:t>
      </w:r>
      <w:r w:rsidR="00647864">
        <w:t xml:space="preserve"> (Hayashi 2008 p.318).</w:t>
      </w:r>
    </w:p>
    <w:p w14:paraId="74D37CA3" w14:textId="0F561BB1" w:rsidR="00A35D1D" w:rsidRDefault="00D05375" w:rsidP="00F022DD">
      <w:pPr>
        <w:ind w:firstLine="284"/>
        <w:rPr>
          <w:lang w:eastAsia="ja-JP"/>
        </w:rPr>
      </w:pPr>
      <w:r>
        <w:t xml:space="preserve">Yamanaka’s dominance was not continuous. </w:t>
      </w:r>
      <w:r w:rsidR="006A0A67">
        <w:t xml:space="preserve">His appointment as the Minister of International Trade and Industry led to his resignation as the Chairman of the LDP AMA Examination Committee and </w:t>
      </w:r>
      <w:r w:rsidR="005C4B38">
        <w:t xml:space="preserve">so </w:t>
      </w:r>
      <w:r>
        <w:t xml:space="preserve">sidelined </w:t>
      </w:r>
      <w:r w:rsidR="006A0A67">
        <w:t>h</w:t>
      </w:r>
      <w:r>
        <w:t>i</w:t>
      </w:r>
      <w:r w:rsidR="005C4B38">
        <w:t xml:space="preserve">s role in </w:t>
      </w:r>
      <w:r>
        <w:t>a</w:t>
      </w:r>
      <w:r w:rsidR="006A0A67">
        <w:t xml:space="preserve">ntimonopoly regulation. His revival as the AMA Examination Committee </w:t>
      </w:r>
      <w:r w:rsidR="008217CD">
        <w:t>did not last long</w:t>
      </w:r>
      <w:r>
        <w:t>, as</w:t>
      </w:r>
      <w:r w:rsidR="006A0A67">
        <w:t xml:space="preserve"> Yamanaka’s failure in the general election in January 1990 kept him out of </w:t>
      </w:r>
      <w:r>
        <w:t>politics</w:t>
      </w:r>
      <w:r w:rsidR="006A0A67">
        <w:t xml:space="preserve"> until 1993</w:t>
      </w:r>
      <w:r w:rsidR="00F022DD">
        <w:t xml:space="preserve">. </w:t>
      </w:r>
      <w:r w:rsidR="00F022DD">
        <w:rPr>
          <w:rFonts w:hint="eastAsia"/>
          <w:lang w:eastAsia="ja-JP"/>
        </w:rPr>
        <w:t>Yamanaka</w:t>
      </w:r>
      <w:r w:rsidR="00F022DD">
        <w:rPr>
          <w:lang w:eastAsia="ja-JP"/>
        </w:rPr>
        <w:t>’</w:t>
      </w:r>
      <w:r w:rsidR="00F022DD">
        <w:rPr>
          <w:rFonts w:hint="eastAsia"/>
          <w:lang w:eastAsia="ja-JP"/>
        </w:rPr>
        <w:t xml:space="preserve">s return to politics </w:t>
      </w:r>
      <w:r w:rsidR="00F022DD">
        <w:rPr>
          <w:lang w:eastAsia="ja-JP"/>
        </w:rPr>
        <w:t xml:space="preserve">following </w:t>
      </w:r>
      <w:r w:rsidR="00F022DD">
        <w:rPr>
          <w:rFonts w:hint="eastAsia"/>
          <w:lang w:eastAsia="ja-JP"/>
        </w:rPr>
        <w:t xml:space="preserve">the 1993 general election revived his influence in </w:t>
      </w:r>
      <w:r w:rsidR="00F022DD">
        <w:rPr>
          <w:lang w:eastAsia="ja-JP"/>
        </w:rPr>
        <w:t>antimonopoly</w:t>
      </w:r>
      <w:r w:rsidR="00F022DD">
        <w:rPr>
          <w:rFonts w:hint="eastAsia"/>
          <w:lang w:eastAsia="ja-JP"/>
        </w:rPr>
        <w:t xml:space="preserve"> regulation. He retained </w:t>
      </w:r>
      <w:r w:rsidR="00F022DD">
        <w:rPr>
          <w:lang w:eastAsia="ja-JP"/>
        </w:rPr>
        <w:t>t</w:t>
      </w:r>
      <w:r w:rsidR="00F022DD">
        <w:rPr>
          <w:rFonts w:hint="eastAsia"/>
          <w:lang w:eastAsia="ja-JP"/>
        </w:rPr>
        <w:t>his influence until 2004 when he died in the middle of his tenure as the Chairman</w:t>
      </w:r>
      <w:r w:rsidR="00F022DD">
        <w:rPr>
          <w:lang w:eastAsia="ja-JP"/>
        </w:rPr>
        <w:t>,</w:t>
      </w:r>
      <w:r w:rsidR="00F022DD">
        <w:rPr>
          <w:rFonts w:hint="eastAsia"/>
          <w:lang w:eastAsia="ja-JP"/>
        </w:rPr>
        <w:t xml:space="preserve"> as well as </w:t>
      </w:r>
      <w:r w:rsidR="00F022DD">
        <w:rPr>
          <w:lang w:eastAsia="ja-JP"/>
        </w:rPr>
        <w:t>a</w:t>
      </w:r>
      <w:r w:rsidR="00F022DD">
        <w:rPr>
          <w:rFonts w:hint="eastAsia"/>
          <w:lang w:eastAsia="ja-JP"/>
        </w:rPr>
        <w:t xml:space="preserve"> Member of the Diet</w:t>
      </w:r>
      <w:r w:rsidR="00F022DD">
        <w:rPr>
          <w:lang w:eastAsia="ja-JP"/>
        </w:rPr>
        <w:t xml:space="preserve"> (Shiozaki 2013a, 2013b)</w:t>
      </w:r>
      <w:r w:rsidR="00F022DD">
        <w:rPr>
          <w:rFonts w:hint="eastAsia"/>
          <w:lang w:eastAsia="ja-JP"/>
        </w:rPr>
        <w:t>.</w:t>
      </w:r>
    </w:p>
    <w:p w14:paraId="7570FCEF" w14:textId="3B04FEC5" w:rsidR="00F022DD" w:rsidRDefault="00F022DD" w:rsidP="00F022DD">
      <w:pPr>
        <w:ind w:firstLine="284"/>
        <w:rPr>
          <w:lang w:eastAsia="ja-JP"/>
        </w:rPr>
      </w:pPr>
      <w:r>
        <w:rPr>
          <w:lang w:eastAsia="ja-JP"/>
        </w:rPr>
        <w:t>Yamanaka‘s</w:t>
      </w:r>
      <w:r>
        <w:rPr>
          <w:rFonts w:hint="eastAsia"/>
          <w:lang w:eastAsia="ja-JP"/>
        </w:rPr>
        <w:t xml:space="preserve"> approach was a variation of </w:t>
      </w:r>
      <w:r w:rsidRPr="00ED60B2">
        <w:rPr>
          <w:i/>
          <w:lang w:eastAsia="ja-JP"/>
        </w:rPr>
        <w:t>Zoku G</w:t>
      </w:r>
      <w:r>
        <w:rPr>
          <w:rFonts w:hint="eastAsia"/>
          <w:i/>
          <w:lang w:eastAsia="ja-JP"/>
        </w:rPr>
        <w:t>i</w:t>
      </w:r>
      <w:r>
        <w:rPr>
          <w:i/>
          <w:lang w:eastAsia="ja-JP"/>
        </w:rPr>
        <w:t>’</w:t>
      </w:r>
      <w:r>
        <w:rPr>
          <w:rFonts w:hint="eastAsia"/>
          <w:i/>
          <w:lang w:eastAsia="ja-JP"/>
        </w:rPr>
        <w:t>i</w:t>
      </w:r>
      <w:r w:rsidRPr="007468F9">
        <w:rPr>
          <w:rFonts w:hint="eastAsia"/>
          <w:i/>
          <w:lang w:eastAsia="ja-JP"/>
        </w:rPr>
        <w:t>n</w:t>
      </w:r>
      <w:r w:rsidRPr="00ED60B2">
        <w:rPr>
          <w:lang w:eastAsia="ja-JP"/>
        </w:rPr>
        <w:t>’</w:t>
      </w:r>
      <w:r w:rsidRPr="007468F9">
        <w:rPr>
          <w:rFonts w:hint="eastAsia"/>
          <w:lang w:eastAsia="ja-JP"/>
        </w:rPr>
        <w:t>s</w:t>
      </w:r>
      <w:r>
        <w:rPr>
          <w:rFonts w:hint="eastAsia"/>
          <w:lang w:eastAsia="ja-JP"/>
        </w:rPr>
        <w:t xml:space="preserve"> </w:t>
      </w:r>
      <w:r>
        <w:rPr>
          <w:lang w:eastAsia="ja-JP"/>
        </w:rPr>
        <w:t>(</w:t>
      </w:r>
      <w:r>
        <w:rPr>
          <w:rFonts w:hint="eastAsia"/>
          <w:lang w:eastAsia="ja-JP"/>
        </w:rPr>
        <w:t xml:space="preserve">Inoguchi and Iwai 1987); his key tools of power were specialist </w:t>
      </w:r>
      <w:r>
        <w:rPr>
          <w:lang w:eastAsia="ja-JP"/>
        </w:rPr>
        <w:t>knowledge</w:t>
      </w:r>
      <w:r>
        <w:rPr>
          <w:rFonts w:hint="eastAsia"/>
          <w:lang w:eastAsia="ja-JP"/>
        </w:rPr>
        <w:t xml:space="preserve"> obtained through experience and the PARC. Hayashi (2008) reports Yamanaka</w:t>
      </w:r>
      <w:r>
        <w:rPr>
          <w:lang w:eastAsia="ja-JP"/>
        </w:rPr>
        <w:t>’</w:t>
      </w:r>
      <w:r>
        <w:rPr>
          <w:rFonts w:hint="eastAsia"/>
          <w:lang w:eastAsia="ja-JP"/>
        </w:rPr>
        <w:t>s effort</w:t>
      </w:r>
      <w:r>
        <w:rPr>
          <w:lang w:eastAsia="ja-JP"/>
        </w:rPr>
        <w:t>s</w:t>
      </w:r>
      <w:r>
        <w:rPr>
          <w:rFonts w:hint="eastAsia"/>
          <w:lang w:eastAsia="ja-JP"/>
        </w:rPr>
        <w:t xml:space="preserve"> to learn issues related to </w:t>
      </w:r>
      <w:r>
        <w:rPr>
          <w:lang w:eastAsia="ja-JP"/>
        </w:rPr>
        <w:t>antimonopoly</w:t>
      </w:r>
      <w:r>
        <w:rPr>
          <w:rFonts w:hint="eastAsia"/>
          <w:lang w:eastAsia="ja-JP"/>
        </w:rPr>
        <w:t xml:space="preserve"> regulation and the AMA. This shaped </w:t>
      </w:r>
      <w:r>
        <w:rPr>
          <w:lang w:eastAsia="ja-JP"/>
        </w:rPr>
        <w:t xml:space="preserve">a </w:t>
      </w:r>
      <w:r>
        <w:rPr>
          <w:rFonts w:hint="eastAsia"/>
          <w:lang w:eastAsia="ja-JP"/>
        </w:rPr>
        <w:t xml:space="preserve">foundation on which Yamanaka persuaded opposing LDP politicians </w:t>
      </w:r>
      <w:r>
        <w:rPr>
          <w:lang w:eastAsia="ja-JP"/>
        </w:rPr>
        <w:t xml:space="preserve">during </w:t>
      </w:r>
      <w:r>
        <w:rPr>
          <w:rFonts w:hint="eastAsia"/>
          <w:lang w:eastAsia="ja-JP"/>
        </w:rPr>
        <w:t xml:space="preserve">the process of the 1977 AMA amendment. Another key tool is his position as the Chairman of the AMA Examination Committee within the LDP PARC. He presided over the meetings of the AMA Examination Committee. This position gave him power to </w:t>
      </w:r>
      <w:r>
        <w:rPr>
          <w:lang w:eastAsia="ja-JP"/>
        </w:rPr>
        <w:t xml:space="preserve">select and shape the </w:t>
      </w:r>
      <w:r>
        <w:rPr>
          <w:rFonts w:hint="eastAsia"/>
          <w:lang w:eastAsia="ja-JP"/>
        </w:rPr>
        <w:t>policy agenda, le</w:t>
      </w:r>
      <w:r>
        <w:rPr>
          <w:lang w:eastAsia="ja-JP"/>
        </w:rPr>
        <w:t>a</w:t>
      </w:r>
      <w:r>
        <w:rPr>
          <w:rFonts w:hint="eastAsia"/>
          <w:lang w:eastAsia="ja-JP"/>
        </w:rPr>
        <w:t>d debates, persuade</w:t>
      </w:r>
      <w:r>
        <w:rPr>
          <w:lang w:eastAsia="ja-JP"/>
        </w:rPr>
        <w:t xml:space="preserve"> </w:t>
      </w:r>
      <w:r>
        <w:rPr>
          <w:rFonts w:hint="eastAsia"/>
          <w:lang w:eastAsia="ja-JP"/>
        </w:rPr>
        <w:t>opponents, and</w:t>
      </w:r>
      <w:r>
        <w:rPr>
          <w:lang w:eastAsia="ja-JP"/>
        </w:rPr>
        <w:t xml:space="preserve"> seek out </w:t>
      </w:r>
      <w:r>
        <w:rPr>
          <w:rFonts w:hint="eastAsia"/>
          <w:lang w:eastAsia="ja-JP"/>
        </w:rPr>
        <w:t>consensus. The importance of the post of the Chairman</w:t>
      </w:r>
      <w:r>
        <w:rPr>
          <w:lang w:eastAsia="ja-JP"/>
        </w:rPr>
        <w:t xml:space="preserve"> is</w:t>
      </w:r>
      <w:r>
        <w:rPr>
          <w:rFonts w:hint="eastAsia"/>
          <w:lang w:eastAsia="ja-JP"/>
        </w:rPr>
        <w:t xml:space="preserve"> by the fact that the influence of Yamanaka significantly decreased in the mid 1980s when he was out of the AMA Examination Committee and not politically active (drawn from an interview with a former Secretary General, JFTC). As the interviews</w:t>
      </w:r>
      <w:r>
        <w:rPr>
          <w:lang w:eastAsia="ja-JP"/>
        </w:rPr>
        <w:t xml:space="preserve"> below reveal</w:t>
      </w:r>
      <w:r>
        <w:rPr>
          <w:rFonts w:hint="eastAsia"/>
          <w:lang w:eastAsia="ja-JP"/>
        </w:rPr>
        <w:t xml:space="preserve">, Yamanaka </w:t>
      </w:r>
      <w:r>
        <w:rPr>
          <w:lang w:eastAsia="ja-JP"/>
        </w:rPr>
        <w:t>usually</w:t>
      </w:r>
      <w:r>
        <w:rPr>
          <w:rFonts w:hint="eastAsia"/>
          <w:lang w:eastAsia="ja-JP"/>
        </w:rPr>
        <w:t xml:space="preserve"> exercised his power through choosing policy agendas; he was informally briefed by the JFTC officials on possible policy issues in </w:t>
      </w:r>
      <w:r>
        <w:rPr>
          <w:lang w:eastAsia="ja-JP"/>
        </w:rPr>
        <w:t>antimonopoly</w:t>
      </w:r>
      <w:r>
        <w:rPr>
          <w:rFonts w:hint="eastAsia"/>
          <w:lang w:eastAsia="ja-JP"/>
        </w:rPr>
        <w:t xml:space="preserve"> regulation. His endorsement in the informal briefing was </w:t>
      </w:r>
      <w:r>
        <w:rPr>
          <w:lang w:eastAsia="ja-JP"/>
        </w:rPr>
        <w:t>crucial; without it, the issue could be rejected in the Committee</w:t>
      </w:r>
      <w:r>
        <w:rPr>
          <w:rFonts w:hint="eastAsia"/>
          <w:lang w:eastAsia="ja-JP"/>
        </w:rPr>
        <w:t xml:space="preserve">. </w:t>
      </w:r>
      <w:r>
        <w:rPr>
          <w:lang w:eastAsia="ja-JP"/>
        </w:rPr>
        <w:t>Elsewhere, official sessions of the AMA Examination Committee also became the arena of choosing a policy agenda when Yamanaka wanted debates in the Committee.</w:t>
      </w:r>
    </w:p>
    <w:p w14:paraId="63D579AD" w14:textId="368659F4" w:rsidR="00495655" w:rsidRDefault="00A15764" w:rsidP="005B18BE">
      <w:pPr>
        <w:ind w:firstLine="284"/>
      </w:pPr>
      <w:r>
        <w:t xml:space="preserve">Yamanaka and </w:t>
      </w:r>
      <w:r w:rsidR="0036743F">
        <w:t>the LDP AMA Examination</w:t>
      </w:r>
      <w:r w:rsidR="00647864">
        <w:t xml:space="preserve"> </w:t>
      </w:r>
      <w:r>
        <w:t xml:space="preserve">Committee </w:t>
      </w:r>
      <w:r w:rsidR="00FE1DAB">
        <w:t xml:space="preserve">within the PARC </w:t>
      </w:r>
      <w:r>
        <w:t xml:space="preserve">retained </w:t>
      </w:r>
      <w:r w:rsidR="005C4B38">
        <w:t>their</w:t>
      </w:r>
      <w:r>
        <w:t xml:space="preserve"> position</w:t>
      </w:r>
      <w:r w:rsidR="005C4B38">
        <w:t>s</w:t>
      </w:r>
      <w:r>
        <w:t xml:space="preserve"> as </w:t>
      </w:r>
      <w:r w:rsidR="005C4B38">
        <w:t xml:space="preserve">key </w:t>
      </w:r>
      <w:r>
        <w:t xml:space="preserve">consensus </w:t>
      </w:r>
      <w:r w:rsidR="00340C5C">
        <w:t>maker</w:t>
      </w:r>
      <w:r w:rsidR="005C4B38">
        <w:t>s</w:t>
      </w:r>
      <w:r>
        <w:t xml:space="preserve"> on </w:t>
      </w:r>
      <w:r w:rsidR="005C4B38">
        <w:t>major</w:t>
      </w:r>
      <w:r>
        <w:t xml:space="preserve"> issues in antimonopoly regulation, such as </w:t>
      </w:r>
      <w:r w:rsidR="005C4B38">
        <w:t xml:space="preserve">important </w:t>
      </w:r>
      <w:r>
        <w:t xml:space="preserve">law amendments. </w:t>
      </w:r>
      <w:r w:rsidR="00CF37D6">
        <w:t>Until his death in 2004</w:t>
      </w:r>
      <w:r w:rsidR="00BB406A">
        <w:t>,</w:t>
      </w:r>
      <w:r w:rsidR="00CF37D6">
        <w:t xml:space="preserve"> the LDP AMA Examination Committee, which was called ‘Yamanaka </w:t>
      </w:r>
      <w:r w:rsidR="00805A4C">
        <w:t>Committee</w:t>
      </w:r>
      <w:r w:rsidR="00CF37D6">
        <w:t xml:space="preserve">’, </w:t>
      </w:r>
      <w:r w:rsidR="005C4B38">
        <w:t>acted as</w:t>
      </w:r>
      <w:r w:rsidR="00CF37D6">
        <w:t xml:space="preserve"> the central arena </w:t>
      </w:r>
      <w:r w:rsidR="005C4B38">
        <w:t xml:space="preserve">for </w:t>
      </w:r>
      <w:r w:rsidR="00CF37D6">
        <w:t>political coordination on antimonopoly regulation.</w:t>
      </w:r>
      <w:r w:rsidR="00FE1DAB">
        <w:t xml:space="preserve"> </w:t>
      </w:r>
      <w:r w:rsidR="00340C5C">
        <w:t xml:space="preserve">This framework was retained after Yamanaka’s death. </w:t>
      </w:r>
      <w:r w:rsidR="00FE1DAB">
        <w:t xml:space="preserve">The LDP AMA Examination Committee continued working as a central arena of policy making within antimonopoly regulation until </w:t>
      </w:r>
      <w:r w:rsidR="005C4B38">
        <w:t xml:space="preserve">the 2009 change in </w:t>
      </w:r>
      <w:r w:rsidR="00FE1DAB">
        <w:t>government.</w:t>
      </w:r>
    </w:p>
    <w:p w14:paraId="0FA9CEB9" w14:textId="77777777" w:rsidR="007D1693" w:rsidRDefault="007D1693" w:rsidP="004B6E43">
      <w:pPr>
        <w:ind w:firstLine="284"/>
      </w:pPr>
      <w:r>
        <w:t xml:space="preserve">As the first substantial measure to enhance the AMA, the 1977 </w:t>
      </w:r>
      <w:r>
        <w:rPr>
          <w:rFonts w:hint="eastAsia"/>
        </w:rPr>
        <w:t>amendment (</w:t>
      </w:r>
      <w:r>
        <w:t>whose major points are summarised in Table 6.3</w:t>
      </w:r>
      <w:r>
        <w:rPr>
          <w:rFonts w:hint="eastAsia"/>
        </w:rPr>
        <w:t>)</w:t>
      </w:r>
      <w:r>
        <w:t xml:space="preserve"> was a significant event in the history of Japan’s competition policies and regulation, together with the turmoil in the 1970s. Whether or not this had a direct impact on the course of competition policies and regulation is a different question. The antimonopoly policies encountered a rigid resistance and did not significantly develop in the 1980s (Sanekata 1986 pp.388-91, Schaede 2000 pp103-6, </w:t>
      </w:r>
      <w:r>
        <w:rPr>
          <w:rFonts w:hint="eastAsia"/>
        </w:rPr>
        <w:t xml:space="preserve">Tsuruta 1997 pp.139-41, </w:t>
      </w:r>
      <w:r>
        <w:t>Uesugi 2007 p.122-38, Yoshikawa 1983 pp.503-4). The JFTC utilised the authority conferred on it by the 1977 AMA amendment ‘to pursue administrative compliance rather than the more activist enforcement’ epitomised by the Oil cartel case (Freyer 2006 p.203). According to Professor Hidekatsu Hirabayashi, a former JFTC Commissioner: ‘</w:t>
      </w:r>
      <w:r w:rsidR="004B6E43">
        <w:t>It</w:t>
      </w:r>
      <w:r>
        <w:t xml:space="preserve"> turned out to be ineffective, except (the) surcharge system, because the amendment became too much a political issue’ (and its detail was not elaborated) (Freyer 2006 p.203).</w:t>
      </w:r>
      <w:r>
        <w:rPr>
          <w:rFonts w:hint="eastAsia"/>
        </w:rPr>
        <w:t xml:space="preserve"> Tsuruta (1997 p.154) points out that </w:t>
      </w:r>
      <w:r>
        <w:t>the</w:t>
      </w:r>
      <w:r>
        <w:rPr>
          <w:rFonts w:hint="eastAsia"/>
        </w:rPr>
        <w:t xml:space="preserve"> JFTC</w:t>
      </w:r>
      <w:r>
        <w:t>’</w:t>
      </w:r>
      <w:r>
        <w:rPr>
          <w:rFonts w:hint="eastAsia"/>
        </w:rPr>
        <w:t>s</w:t>
      </w:r>
      <w:r>
        <w:t xml:space="preserve"> approach</w:t>
      </w:r>
      <w:r>
        <w:rPr>
          <w:rFonts w:hint="eastAsia"/>
        </w:rPr>
        <w:t xml:space="preserve"> before the 1980s tended </w:t>
      </w:r>
      <w:r w:rsidR="00BA3391">
        <w:t xml:space="preserve">to be </w:t>
      </w:r>
      <w:r>
        <w:rPr>
          <w:rFonts w:hint="eastAsia"/>
        </w:rPr>
        <w:t>administrative guidance oriented and lacked transparency. This approach created no judicial precedent and had difficulty to show the actual examples of AMA breaches (Tsuruta 1997 p.154). Uesugi (2007 pp.122-3) also describes the enforcement by the JFTC in the 1980s as law enforcement without impact.</w:t>
      </w:r>
    </w:p>
    <w:p w14:paraId="006C3FC4" w14:textId="77777777" w:rsidR="007D1693" w:rsidRDefault="007D1693" w:rsidP="007D1693"/>
    <w:p w14:paraId="53D6EA4A" w14:textId="77777777" w:rsidR="007D1693" w:rsidRPr="008C6188" w:rsidRDefault="007D1693" w:rsidP="00DA2E02">
      <w:pPr>
        <w:pStyle w:val="Heading4"/>
      </w:pPr>
      <w:r w:rsidRPr="008C6188">
        <w:t>Table 6.3: The major points of the 1977 AMA amendment (based on Yoshikawa 1983 p</w:t>
      </w:r>
      <w:r w:rsidR="004B6E43">
        <w:t>p</w:t>
      </w:r>
      <w:r w:rsidRPr="008C6188">
        <w:t>.500-2)</w:t>
      </w:r>
    </w:p>
    <w:tbl>
      <w:tblPr>
        <w:tblStyle w:val="TableGrid"/>
        <w:tblW w:w="0" w:type="auto"/>
        <w:tblLook w:val="04A0" w:firstRow="1" w:lastRow="0" w:firstColumn="1" w:lastColumn="0" w:noHBand="0" w:noVBand="1"/>
      </w:tblPr>
      <w:tblGrid>
        <w:gridCol w:w="8720"/>
      </w:tblGrid>
      <w:tr w:rsidR="007D1693" w14:paraId="2F2636D2" w14:textId="77777777" w:rsidTr="0030198F">
        <w:tc>
          <w:tcPr>
            <w:tcW w:w="9286" w:type="dxa"/>
          </w:tcPr>
          <w:p w14:paraId="76E6F98A" w14:textId="77777777" w:rsidR="007D1693" w:rsidRDefault="007D1693" w:rsidP="0030198F">
            <w:pPr>
              <w:pStyle w:val="NoSpacing"/>
            </w:pPr>
          </w:p>
          <w:p w14:paraId="16001494" w14:textId="77777777" w:rsidR="007D1693" w:rsidRPr="008C6188" w:rsidRDefault="007D1693" w:rsidP="001B6C05">
            <w:pPr>
              <w:pStyle w:val="NoSpacing"/>
              <w:numPr>
                <w:ilvl w:val="0"/>
                <w:numId w:val="54"/>
              </w:numPr>
              <w:ind w:left="284" w:hanging="284"/>
              <w:rPr>
                <w:b/>
              </w:rPr>
            </w:pPr>
            <w:r w:rsidRPr="008C6188">
              <w:rPr>
                <w:b/>
              </w:rPr>
              <w:t>Eliminating ‘Monopolistic Conditions’</w:t>
            </w:r>
            <w:r w:rsidRPr="008C6188">
              <w:rPr>
                <w:rStyle w:val="FootnoteReference"/>
              </w:rPr>
              <w:footnoteReference w:id="71"/>
            </w:r>
            <w:r w:rsidRPr="008C6188">
              <w:rPr>
                <w:b/>
              </w:rPr>
              <w:t xml:space="preserve"> (Article 8-4)</w:t>
            </w:r>
          </w:p>
          <w:p w14:paraId="1C22258B" w14:textId="77777777" w:rsidR="007D1693" w:rsidRDefault="007D1693" w:rsidP="0030198F">
            <w:pPr>
              <w:pStyle w:val="NoSpacing"/>
              <w:ind w:left="284"/>
            </w:pPr>
            <w:r w:rsidRPr="004B3013">
              <w:t xml:space="preserve">Newly </w:t>
            </w:r>
            <w:r>
              <w:t>introduced</w:t>
            </w:r>
            <w:r w:rsidRPr="004B3013">
              <w:t xml:space="preserve"> Article 8-4 </w:t>
            </w:r>
            <w:r>
              <w:t xml:space="preserve">empowers </w:t>
            </w:r>
            <w:r w:rsidRPr="004B3013">
              <w:t xml:space="preserve">the </w:t>
            </w:r>
            <w:r>
              <w:t>J</w:t>
            </w:r>
            <w:r w:rsidRPr="004B3013">
              <w:t xml:space="preserve">FTC </w:t>
            </w:r>
            <w:r>
              <w:t>to</w:t>
            </w:r>
            <w:r w:rsidRPr="004B3013">
              <w:t xml:space="preserve"> order the </w:t>
            </w:r>
            <w:r>
              <w:t>firm</w:t>
            </w:r>
            <w:r w:rsidRPr="004B3013">
              <w:t xml:space="preserve">(s) in </w:t>
            </w:r>
            <w:r>
              <w:t>‘monopolistic conditions’</w:t>
            </w:r>
            <w:r w:rsidRPr="004B3013">
              <w:t xml:space="preserve"> to </w:t>
            </w:r>
            <w:r>
              <w:t>‘</w:t>
            </w:r>
            <w:r w:rsidRPr="004B3013">
              <w:t>effect partial</w:t>
            </w:r>
            <w:r>
              <w:t xml:space="preserve"> </w:t>
            </w:r>
            <w:r w:rsidRPr="004B3013">
              <w:t>transfer of business or take other measures necessary for recovering</w:t>
            </w:r>
            <w:r>
              <w:t xml:space="preserve"> </w:t>
            </w:r>
            <w:r w:rsidRPr="004B3013">
              <w:t>competition in respect of the commodity or service</w:t>
            </w:r>
            <w:r>
              <w:t>’</w:t>
            </w:r>
            <w:r w:rsidRPr="004B3013">
              <w:t xml:space="preserve"> concerned.</w:t>
            </w:r>
            <w:r>
              <w:t xml:space="preserve"> </w:t>
            </w:r>
          </w:p>
          <w:p w14:paraId="65070CAD" w14:textId="77777777" w:rsidR="007D1693" w:rsidRPr="004B3013" w:rsidRDefault="007D1693" w:rsidP="0030198F">
            <w:pPr>
              <w:pStyle w:val="NoSpacing"/>
            </w:pPr>
          </w:p>
          <w:p w14:paraId="5A7E381D" w14:textId="77777777" w:rsidR="007D1693" w:rsidRPr="008C6188" w:rsidRDefault="007D1693" w:rsidP="001B6C05">
            <w:pPr>
              <w:pStyle w:val="NoSpacing"/>
              <w:numPr>
                <w:ilvl w:val="0"/>
                <w:numId w:val="54"/>
              </w:numPr>
              <w:ind w:left="284" w:hanging="284"/>
              <w:rPr>
                <w:b/>
              </w:rPr>
            </w:pPr>
            <w:r w:rsidRPr="008C6188">
              <w:rPr>
                <w:b/>
              </w:rPr>
              <w:t>Imposing surcharge on illegal cartels (Article 7-2 and 8-3)</w:t>
            </w:r>
          </w:p>
          <w:p w14:paraId="373BA69F" w14:textId="77777777" w:rsidR="007D1693" w:rsidRDefault="007D1693" w:rsidP="0030198F">
            <w:pPr>
              <w:pStyle w:val="NoSpacing"/>
              <w:ind w:left="284"/>
            </w:pPr>
            <w:r>
              <w:t>T</w:t>
            </w:r>
            <w:r w:rsidRPr="004B3013">
              <w:t xml:space="preserve">he </w:t>
            </w:r>
            <w:r w:rsidR="00723A4D">
              <w:rPr>
                <w:rFonts w:eastAsia="MS Mincho" w:hint="eastAsia"/>
                <w:lang w:eastAsia="ja-JP"/>
              </w:rPr>
              <w:t>J</w:t>
            </w:r>
            <w:r w:rsidRPr="004B3013">
              <w:t xml:space="preserve">FTC </w:t>
            </w:r>
            <w:r>
              <w:t xml:space="preserve">is empowered to </w:t>
            </w:r>
            <w:r w:rsidRPr="004B3013">
              <w:t>levy a</w:t>
            </w:r>
            <w:r>
              <w:t xml:space="preserve"> </w:t>
            </w:r>
            <w:r w:rsidRPr="004B3013">
              <w:t xml:space="preserve">surcharge upon </w:t>
            </w:r>
            <w:r>
              <w:t>the firms</w:t>
            </w:r>
            <w:r w:rsidRPr="004B3013">
              <w:t xml:space="preserve"> or </w:t>
            </w:r>
            <w:r>
              <w:t xml:space="preserve">the </w:t>
            </w:r>
            <w:r w:rsidRPr="004B3013">
              <w:t>trade association</w:t>
            </w:r>
            <w:r>
              <w:t>s</w:t>
            </w:r>
            <w:r w:rsidRPr="004B3013">
              <w:t xml:space="preserve"> that engaged in</w:t>
            </w:r>
            <w:r>
              <w:t xml:space="preserve"> </w:t>
            </w:r>
            <w:r w:rsidRPr="004B3013">
              <w:t>unreasonable restraint of trade or concluded an international agreement</w:t>
            </w:r>
            <w:r>
              <w:t xml:space="preserve"> </w:t>
            </w:r>
            <w:r w:rsidRPr="004B3013">
              <w:t>or contract constituting unreasonable restraint of trade, which pertains to</w:t>
            </w:r>
            <w:r>
              <w:t xml:space="preserve"> </w:t>
            </w:r>
            <w:r w:rsidRPr="004B3013">
              <w:t>the price of a particular commodity or service, or affects the price by limiting</w:t>
            </w:r>
            <w:r>
              <w:t xml:space="preserve"> </w:t>
            </w:r>
            <w:r w:rsidRPr="004B3013">
              <w:t>the supply of the commodity or services in question. The amount of</w:t>
            </w:r>
            <w:r>
              <w:t xml:space="preserve"> </w:t>
            </w:r>
            <w:r w:rsidRPr="004B3013">
              <w:t xml:space="preserve">the surcharge is prescribed to be one half of the sum equivalent to </w:t>
            </w:r>
            <w:r>
              <w:t>3%</w:t>
            </w:r>
            <w:r w:rsidRPr="004B3013">
              <w:t xml:space="preserve"> of the amount of sales realized by the </w:t>
            </w:r>
            <w:r>
              <w:t>firms</w:t>
            </w:r>
            <w:r w:rsidRPr="004B3013">
              <w:t xml:space="preserve"> concerned</w:t>
            </w:r>
            <w:r>
              <w:t xml:space="preserve"> </w:t>
            </w:r>
            <w:r w:rsidRPr="004B3013">
              <w:t>during the period that the activity continued (</w:t>
            </w:r>
            <w:r>
              <w:t>4%</w:t>
            </w:r>
            <w:r w:rsidRPr="004B3013">
              <w:t xml:space="preserve"> in the case of</w:t>
            </w:r>
            <w:r>
              <w:t xml:space="preserve"> </w:t>
            </w:r>
            <w:r w:rsidRPr="004B3013">
              <w:t xml:space="preserve">a manufacturing business, </w:t>
            </w:r>
            <w:r>
              <w:t>2%</w:t>
            </w:r>
            <w:r w:rsidRPr="004B3013">
              <w:t xml:space="preserve"> in the case of a retail business, and</w:t>
            </w:r>
            <w:r>
              <w:t xml:space="preserve"> 1%</w:t>
            </w:r>
            <w:r w:rsidRPr="004B3013">
              <w:t xml:space="preserve"> in the case of a wholesale business). </w:t>
            </w:r>
          </w:p>
          <w:p w14:paraId="067405CB" w14:textId="77777777" w:rsidR="007D1693" w:rsidRPr="004B3013" w:rsidRDefault="007D1693" w:rsidP="0030198F">
            <w:pPr>
              <w:pStyle w:val="NoSpacing"/>
            </w:pPr>
          </w:p>
          <w:p w14:paraId="2C0F0308" w14:textId="77777777" w:rsidR="007D1693" w:rsidRPr="008C6188" w:rsidRDefault="007D1693" w:rsidP="001B6C05">
            <w:pPr>
              <w:pStyle w:val="NoSpacing"/>
              <w:numPr>
                <w:ilvl w:val="0"/>
                <w:numId w:val="54"/>
              </w:numPr>
              <w:ind w:left="284" w:hanging="284"/>
              <w:rPr>
                <w:b/>
              </w:rPr>
            </w:pPr>
            <w:r w:rsidRPr="008C6188">
              <w:rPr>
                <w:b/>
              </w:rPr>
              <w:t>Requiring reports about parallel price increases</w:t>
            </w:r>
          </w:p>
          <w:p w14:paraId="56F40BEB" w14:textId="77777777" w:rsidR="007D1693" w:rsidRPr="004B3013" w:rsidRDefault="007D1693" w:rsidP="0030198F">
            <w:pPr>
              <w:pStyle w:val="NoSpacing"/>
              <w:ind w:left="284"/>
            </w:pPr>
            <w:r>
              <w:t>T</w:t>
            </w:r>
            <w:r w:rsidRPr="004B3013">
              <w:t xml:space="preserve">he </w:t>
            </w:r>
            <w:r w:rsidR="00723A4D">
              <w:rPr>
                <w:rFonts w:eastAsia="MS Mincho" w:hint="eastAsia"/>
                <w:lang w:eastAsia="ja-JP"/>
              </w:rPr>
              <w:t>J</w:t>
            </w:r>
            <w:r w:rsidRPr="004B3013">
              <w:t>FTC</w:t>
            </w:r>
            <w:r>
              <w:t xml:space="preserve"> is authorised </w:t>
            </w:r>
            <w:r w:rsidRPr="004B3013">
              <w:t xml:space="preserve">to </w:t>
            </w:r>
            <w:r>
              <w:t>ask</w:t>
            </w:r>
            <w:r w:rsidRPr="004B3013">
              <w:t xml:space="preserve"> a report concerning </w:t>
            </w:r>
            <w:r>
              <w:t>‘</w:t>
            </w:r>
            <w:r w:rsidRPr="004B3013">
              <w:t>alignmental price increases</w:t>
            </w:r>
            <w:r>
              <w:t>’, which have the potential of cartels,</w:t>
            </w:r>
            <w:r w:rsidRPr="004B3013">
              <w:t xml:space="preserve"> from the</w:t>
            </w:r>
            <w:r>
              <w:t xml:space="preserve"> firms</w:t>
            </w:r>
            <w:r w:rsidRPr="004B3013">
              <w:t xml:space="preserve"> concerned, under certain conditions meticulously defined:</w:t>
            </w:r>
          </w:p>
          <w:p w14:paraId="6B7A112F" w14:textId="77777777" w:rsidR="007D1693" w:rsidRPr="004B3013" w:rsidRDefault="007D1693" w:rsidP="001B6C05">
            <w:pPr>
              <w:pStyle w:val="NoSpacing"/>
              <w:numPr>
                <w:ilvl w:val="1"/>
                <w:numId w:val="55"/>
              </w:numPr>
              <w:ind w:left="567" w:hanging="283"/>
            </w:pPr>
            <w:r w:rsidRPr="004B3013">
              <w:t xml:space="preserve">if such </w:t>
            </w:r>
            <w:r w:rsidR="00BA3391">
              <w:t xml:space="preserve">a </w:t>
            </w:r>
            <w:r w:rsidRPr="004B3013">
              <w:t>price increase has occurred in an industrial sector where</w:t>
            </w:r>
            <w:r>
              <w:t xml:space="preserve"> </w:t>
            </w:r>
            <w:r w:rsidRPr="004B3013">
              <w:t>the total value of the commodity or service supplied during a defined</w:t>
            </w:r>
            <w:r>
              <w:t xml:space="preserve"> </w:t>
            </w:r>
            <w:r w:rsidRPr="004B3013">
              <w:t xml:space="preserve">one-year period exceeds </w:t>
            </w:r>
            <w:r>
              <w:t>30</w:t>
            </w:r>
            <w:r w:rsidRPr="004B3013">
              <w:t xml:space="preserve"> billion yen;</w:t>
            </w:r>
          </w:p>
          <w:p w14:paraId="44F2179C" w14:textId="77777777" w:rsidR="007D1693" w:rsidRPr="004B3013" w:rsidRDefault="007D1693" w:rsidP="001B6C05">
            <w:pPr>
              <w:pStyle w:val="NoSpacing"/>
              <w:numPr>
                <w:ilvl w:val="1"/>
                <w:numId w:val="55"/>
              </w:numPr>
              <w:ind w:left="567" w:hanging="283"/>
            </w:pPr>
            <w:r w:rsidRPr="004B3013">
              <w:t>if the total volume of the commodity or services supplied by the</w:t>
            </w:r>
            <w:r>
              <w:t xml:space="preserve"> </w:t>
            </w:r>
            <w:r w:rsidRPr="004B3013">
              <w:t xml:space="preserve">three largest suppliers occupies more than </w:t>
            </w:r>
            <w:r>
              <w:t>70%</w:t>
            </w:r>
            <w:r w:rsidRPr="004B3013">
              <w:t xml:space="preserve"> of the total</w:t>
            </w:r>
            <w:r>
              <w:t xml:space="preserve"> </w:t>
            </w:r>
            <w:r w:rsidRPr="004B3013">
              <w:t>volume of the commodity or service supplied by the entire industrial sector;</w:t>
            </w:r>
            <w:r>
              <w:t xml:space="preserve"> </w:t>
            </w:r>
            <w:r w:rsidRPr="004B3013">
              <w:t>and</w:t>
            </w:r>
          </w:p>
          <w:p w14:paraId="168085EE" w14:textId="77777777" w:rsidR="007D1693" w:rsidRPr="004B3013" w:rsidRDefault="007D1693" w:rsidP="001B6C05">
            <w:pPr>
              <w:pStyle w:val="NoSpacing"/>
              <w:numPr>
                <w:ilvl w:val="1"/>
                <w:numId w:val="55"/>
              </w:numPr>
              <w:ind w:left="567" w:hanging="283"/>
            </w:pPr>
            <w:r w:rsidRPr="004B3013">
              <w:t>if two or more of the five largest entrepreneurs in that industrial</w:t>
            </w:r>
            <w:r>
              <w:t xml:space="preserve"> </w:t>
            </w:r>
            <w:r w:rsidRPr="004B3013">
              <w:t>sector (including the largest) have increased the price at the same or</w:t>
            </w:r>
            <w:r>
              <w:t xml:space="preserve"> </w:t>
            </w:r>
            <w:r w:rsidRPr="004B3013">
              <w:t>a similar rate</w:t>
            </w:r>
            <w:r>
              <w:t xml:space="preserve"> during a three-month period.</w:t>
            </w:r>
          </w:p>
          <w:p w14:paraId="5B9EAF29" w14:textId="77777777" w:rsidR="007D1693" w:rsidRDefault="007D1693" w:rsidP="0030198F">
            <w:pPr>
              <w:pStyle w:val="NoSpacing"/>
            </w:pPr>
          </w:p>
          <w:p w14:paraId="71B29E78" w14:textId="77777777" w:rsidR="007D1693" w:rsidRPr="008C6188" w:rsidRDefault="007D1693" w:rsidP="001B6C05">
            <w:pPr>
              <w:pStyle w:val="NoSpacing"/>
              <w:numPr>
                <w:ilvl w:val="0"/>
                <w:numId w:val="54"/>
              </w:numPr>
              <w:ind w:left="284" w:hanging="284"/>
              <w:rPr>
                <w:b/>
              </w:rPr>
            </w:pPr>
            <w:r w:rsidRPr="008C6188">
              <w:rPr>
                <w:b/>
              </w:rPr>
              <w:t xml:space="preserve">Restriction on </w:t>
            </w:r>
            <w:r w:rsidR="00723A4D">
              <w:rPr>
                <w:rFonts w:eastAsia="MS Mincho" w:hint="eastAsia"/>
                <w:b/>
                <w:lang w:eastAsia="ja-JP"/>
              </w:rPr>
              <w:t>s</w:t>
            </w:r>
            <w:r w:rsidRPr="008C6188">
              <w:rPr>
                <w:b/>
              </w:rPr>
              <w:t xml:space="preserve">hareholding by </w:t>
            </w:r>
            <w:r w:rsidR="00723A4D">
              <w:rPr>
                <w:rFonts w:eastAsia="MS Mincho" w:hint="eastAsia"/>
                <w:b/>
                <w:lang w:eastAsia="ja-JP"/>
              </w:rPr>
              <w:t>l</w:t>
            </w:r>
            <w:r w:rsidRPr="008C6188">
              <w:rPr>
                <w:b/>
              </w:rPr>
              <w:t xml:space="preserve">arge </w:t>
            </w:r>
            <w:r w:rsidR="00723A4D">
              <w:rPr>
                <w:rFonts w:eastAsia="MS Mincho" w:hint="eastAsia"/>
                <w:b/>
                <w:lang w:eastAsia="ja-JP"/>
              </w:rPr>
              <w:t>c</w:t>
            </w:r>
            <w:r w:rsidRPr="008C6188">
              <w:rPr>
                <w:b/>
              </w:rPr>
              <w:t>orporations (Article 9-2)</w:t>
            </w:r>
          </w:p>
          <w:p w14:paraId="6C7654FB" w14:textId="77777777" w:rsidR="007D1693" w:rsidRDefault="007D1693" w:rsidP="0030198F">
            <w:pPr>
              <w:pStyle w:val="NoSpacing"/>
              <w:ind w:left="284"/>
            </w:pPr>
            <w:r>
              <w:t>A</w:t>
            </w:r>
            <w:r w:rsidRPr="004B3013">
              <w:t xml:space="preserve">ny </w:t>
            </w:r>
            <w:r>
              <w:t>large</w:t>
            </w:r>
            <w:r w:rsidRPr="004B3013">
              <w:t xml:space="preserve"> corporation, having</w:t>
            </w:r>
            <w:r>
              <w:t xml:space="preserve"> </w:t>
            </w:r>
            <w:r w:rsidRPr="004B3013">
              <w:t xml:space="preserve">capital of </w:t>
            </w:r>
            <w:r>
              <w:t>10</w:t>
            </w:r>
            <w:r w:rsidRPr="004B3013">
              <w:t xml:space="preserve"> billion yen or more or net assets of </w:t>
            </w:r>
            <w:r>
              <w:t>30</w:t>
            </w:r>
            <w:r w:rsidRPr="004B3013">
              <w:t xml:space="preserve"> billion yen or</w:t>
            </w:r>
            <w:r>
              <w:t xml:space="preserve"> </w:t>
            </w:r>
            <w:r w:rsidRPr="004B3013">
              <w:t>more, shall not acquire or hold shares in any domestic corporation if the</w:t>
            </w:r>
            <w:r>
              <w:t xml:space="preserve"> </w:t>
            </w:r>
            <w:r w:rsidRPr="004B3013">
              <w:t>aggregated acquisition price of all the shares in domestic corporations</w:t>
            </w:r>
            <w:r>
              <w:t xml:space="preserve"> </w:t>
            </w:r>
            <w:r w:rsidRPr="004B3013">
              <w:t>held by it exceeds the amount of its paid-in capital or the amount of its</w:t>
            </w:r>
            <w:r>
              <w:t xml:space="preserve"> </w:t>
            </w:r>
            <w:r w:rsidRPr="004B3013">
              <w:t>net asset, whichever is greater.</w:t>
            </w:r>
          </w:p>
          <w:p w14:paraId="12A716E6" w14:textId="77777777" w:rsidR="007D1693" w:rsidRDefault="007D1693" w:rsidP="0030198F">
            <w:pPr>
              <w:pStyle w:val="NoSpacing"/>
            </w:pPr>
          </w:p>
        </w:tc>
      </w:tr>
    </w:tbl>
    <w:p w14:paraId="6811D1C8" w14:textId="77777777" w:rsidR="007D1693" w:rsidRDefault="007D1693" w:rsidP="007D1693"/>
    <w:p w14:paraId="0EA9C80A" w14:textId="77777777" w:rsidR="007D1693" w:rsidRDefault="007D1693" w:rsidP="00564B64">
      <w:pPr>
        <w:ind w:firstLine="284"/>
      </w:pPr>
      <w:r>
        <w:t xml:space="preserve">Significant </w:t>
      </w:r>
      <w:r>
        <w:rPr>
          <w:rFonts w:hint="eastAsia"/>
        </w:rPr>
        <w:t>turning point</w:t>
      </w:r>
      <w:r>
        <w:t>s occurr</w:t>
      </w:r>
      <w:r w:rsidR="00D03AC1">
        <w:t>ing</w:t>
      </w:r>
      <w:r>
        <w:t xml:space="preserve"> in antimonopoly </w:t>
      </w:r>
      <w:r w:rsidR="00564B64">
        <w:t>regulation</w:t>
      </w:r>
      <w:r>
        <w:t xml:space="preserve"> </w:t>
      </w:r>
      <w:r w:rsidR="006A685D">
        <w:t xml:space="preserve">can be seen </w:t>
      </w:r>
      <w:r>
        <w:t xml:space="preserve">firstly </w:t>
      </w:r>
      <w:r w:rsidR="006A685D">
        <w:t xml:space="preserve">in the </w:t>
      </w:r>
      <w:r>
        <w:t xml:space="preserve">telecommunications liberalisation </w:t>
      </w:r>
      <w:r>
        <w:rPr>
          <w:rFonts w:hint="eastAsia"/>
        </w:rPr>
        <w:t xml:space="preserve">in 1985 and </w:t>
      </w:r>
      <w:r>
        <w:t xml:space="preserve">secondly, </w:t>
      </w:r>
      <w:r w:rsidRPr="005C24C3">
        <w:rPr>
          <w:rFonts w:hint="eastAsia"/>
        </w:rPr>
        <w:t>the SII</w:t>
      </w:r>
      <w:r>
        <w:rPr>
          <w:rFonts w:hint="eastAsia"/>
        </w:rPr>
        <w:t>.</w:t>
      </w:r>
    </w:p>
    <w:p w14:paraId="226BEE11" w14:textId="77777777" w:rsidR="007D1693" w:rsidRDefault="007D1693" w:rsidP="007D1693">
      <w:pPr>
        <w:ind w:firstLine="284"/>
      </w:pPr>
      <w:r>
        <w:t>Telecommunications</w:t>
      </w:r>
      <w:r>
        <w:rPr>
          <w:rFonts w:hint="eastAsia"/>
        </w:rPr>
        <w:t xml:space="preserve"> liberalisation in 1985 is </w:t>
      </w:r>
      <w:r w:rsidR="008C6DC4">
        <w:t>identifie</w:t>
      </w:r>
      <w:r w:rsidR="008C6DC4">
        <w:rPr>
          <w:rFonts w:hint="eastAsia"/>
        </w:rPr>
        <w:t xml:space="preserve">d </w:t>
      </w:r>
      <w:r>
        <w:rPr>
          <w:rFonts w:hint="eastAsia"/>
        </w:rPr>
        <w:t>by a retired senior civil servant of the JFTC as a significant event</w:t>
      </w:r>
      <w:r>
        <w:t>. He mentioned that the JFTC, which had concentrated on the enforcement of the AMA, was inspired by this liberalisation</w:t>
      </w:r>
      <w:r w:rsidR="00D03AC1">
        <w:t xml:space="preserve"> </w:t>
      </w:r>
      <w:r>
        <w:rPr>
          <w:rFonts w:hint="eastAsia"/>
        </w:rPr>
        <w:t xml:space="preserve">to </w:t>
      </w:r>
      <w:r>
        <w:t>get involved</w:t>
      </w:r>
      <w:r>
        <w:rPr>
          <w:rFonts w:hint="eastAsia"/>
        </w:rPr>
        <w:t xml:space="preserve"> in policy issues</w:t>
      </w:r>
      <w:r>
        <w:t>:</w:t>
      </w:r>
    </w:p>
    <w:p w14:paraId="2198D220" w14:textId="77777777" w:rsidR="007D1693" w:rsidRDefault="007D1693" w:rsidP="007D1693">
      <w:pPr>
        <w:ind w:firstLine="284"/>
      </w:pPr>
    </w:p>
    <w:p w14:paraId="7EC1E831" w14:textId="77777777" w:rsidR="007D1693" w:rsidRDefault="007D1693" w:rsidP="00B9578B">
      <w:pPr>
        <w:pStyle w:val="Quote"/>
      </w:pPr>
      <w:r>
        <w:t>The Fair Trade Commission didn’t deal with policy issues so much; (about policy issues) it got rather compelled by other government organisations, like ‘please make an AMA exemption law’; the policy issues relevant to the JFTC tended to weaken the AMA and competition policies before that (telecommunications liberalisation in 1985). Things emerged after Mr Nakasone’s telecommunications liberalisation in the 1980s was opposite (to such previous trends) and the policy debate was launched to strengthen the AMA; (it was in) such a period. An example of such things was the issue of the NTT and telecommunications, I guess. … As far as I remember telecommunication liberalisation in the 1980s was the first for the JFTC to pick up or get interested in policy issues. (</w:t>
      </w:r>
      <w:r w:rsidR="007634ED">
        <w:t>Interview with</w:t>
      </w:r>
      <w:r>
        <w:t xml:space="preserve"> a retired JFTC senior civil servant)  </w:t>
      </w:r>
    </w:p>
    <w:p w14:paraId="6FF5A672" w14:textId="77777777" w:rsidR="007D1693" w:rsidRDefault="007D1693" w:rsidP="007D1693"/>
    <w:p w14:paraId="3DFF4CFD" w14:textId="77777777" w:rsidR="007D1693" w:rsidRDefault="007D1693" w:rsidP="007D1693">
      <w:r>
        <w:rPr>
          <w:rFonts w:hint="eastAsia"/>
        </w:rPr>
        <w:t>T</w:t>
      </w:r>
      <w:r>
        <w:t>h</w:t>
      </w:r>
      <w:r>
        <w:rPr>
          <w:rFonts w:hint="eastAsia"/>
        </w:rPr>
        <w:t>e JFTC</w:t>
      </w:r>
      <w:r>
        <w:t>’</w:t>
      </w:r>
      <w:r>
        <w:rPr>
          <w:rFonts w:hint="eastAsia"/>
        </w:rPr>
        <w:t xml:space="preserve">s interest in the telecommunications regulatory reform in 1985 can also be found in its </w:t>
      </w:r>
      <w:r w:rsidR="00A31906">
        <w:t xml:space="preserve">senior </w:t>
      </w:r>
      <w:r w:rsidR="004A7BE7">
        <w:t xml:space="preserve">official’s </w:t>
      </w:r>
      <w:r>
        <w:rPr>
          <w:rFonts w:hint="eastAsia"/>
        </w:rPr>
        <w:t xml:space="preserve">comment in the Diet: </w:t>
      </w:r>
      <w:r>
        <w:t>‘</w:t>
      </w:r>
      <w:r>
        <w:rPr>
          <w:rFonts w:hint="eastAsia"/>
        </w:rPr>
        <w:t>...we recognise the introduction of competition in telecommunications and expect the efficient and rational development there...we consider these three bills (the bills for the 1985 telecommunications regulatory reform) significant in the viewpoint of competition policy</w:t>
      </w:r>
      <w:r>
        <w:t>’</w:t>
      </w:r>
      <w:r>
        <w:rPr>
          <w:rFonts w:hint="eastAsia"/>
        </w:rPr>
        <w:t xml:space="preserve"> (</w:t>
      </w:r>
      <w:r>
        <w:t>The House of Representatives</w:t>
      </w:r>
      <w:r w:rsidRPr="0055646B">
        <w:t xml:space="preserve"> </w:t>
      </w:r>
      <w:r>
        <w:rPr>
          <w:rFonts w:hint="eastAsia"/>
        </w:rPr>
        <w:t>1984b</w:t>
      </w:r>
      <w:r w:rsidRPr="0055646B">
        <w:t>)</w:t>
      </w:r>
      <w:r>
        <w:rPr>
          <w:rFonts w:hint="eastAsia"/>
        </w:rPr>
        <w:t xml:space="preserve">. </w:t>
      </w:r>
      <w:r>
        <w:t>This disjuncture between the JFTC’s previous approach focusing on law enforcement and more latterly focusing on competition policy development became evident when the JFTC was involved with the second event: the SII.</w:t>
      </w:r>
    </w:p>
    <w:p w14:paraId="06395D35" w14:textId="77777777" w:rsidR="00EB4539" w:rsidRDefault="00EB4539" w:rsidP="00EB4539">
      <w:pPr>
        <w:ind w:firstLine="284"/>
      </w:pPr>
      <w:r>
        <w:t>Commentators agree that the impact of the SII created a significant disjuncture in Japan’s antimonopoly regulation (Freyer 20</w:t>
      </w:r>
      <w:r>
        <w:rPr>
          <w:rFonts w:hint="eastAsia"/>
        </w:rPr>
        <w:t>0</w:t>
      </w:r>
      <w:r>
        <w:t>6 p.203</w:t>
      </w:r>
      <w:r>
        <w:rPr>
          <w:rFonts w:hint="eastAsia"/>
        </w:rPr>
        <w:t>, p.216</w:t>
      </w:r>
      <w:r>
        <w:t>, Uesugi 2007 p.p.146</w:t>
      </w:r>
      <w:r>
        <w:rPr>
          <w:rFonts w:hint="eastAsia"/>
        </w:rPr>
        <w:t>, Tsuruta 1997 pp.149-50</w:t>
      </w:r>
      <w:r>
        <w:t xml:space="preserve">). </w:t>
      </w:r>
      <w:r>
        <w:rPr>
          <w:rFonts w:hint="eastAsia"/>
        </w:rPr>
        <w:t>Morita (1991 pp.800-2) summarises the description of SII</w:t>
      </w:r>
      <w:r>
        <w:t>’</w:t>
      </w:r>
      <w:r>
        <w:rPr>
          <w:rFonts w:hint="eastAsia"/>
        </w:rPr>
        <w:t>s final report (June 1990)</w:t>
      </w:r>
      <w:r w:rsidRPr="00F226C8">
        <w:rPr>
          <w:rStyle w:val="FootnoteReference"/>
        </w:rPr>
        <w:t xml:space="preserve"> </w:t>
      </w:r>
      <w:r>
        <w:rPr>
          <w:rStyle w:val="FootnoteReference"/>
        </w:rPr>
        <w:footnoteReference w:id="72"/>
      </w:r>
      <w:r>
        <w:rPr>
          <w:rFonts w:hint="eastAsia"/>
        </w:rPr>
        <w:t xml:space="preserve"> related to Japanese government</w:t>
      </w:r>
      <w:r>
        <w:t>’</w:t>
      </w:r>
      <w:r>
        <w:rPr>
          <w:rFonts w:hint="eastAsia"/>
        </w:rPr>
        <w:t xml:space="preserve">s commitment on </w:t>
      </w:r>
      <w:r>
        <w:t>antimonopoly</w:t>
      </w:r>
      <w:r>
        <w:rPr>
          <w:rFonts w:hint="eastAsia"/>
        </w:rPr>
        <w:t xml:space="preserve"> policies in the following:</w:t>
      </w:r>
    </w:p>
    <w:p w14:paraId="61B95ED1" w14:textId="77777777" w:rsidR="00EB4539" w:rsidRPr="008D5D38" w:rsidRDefault="00EB4539" w:rsidP="00EB4539">
      <w:pPr>
        <w:pStyle w:val="ListParagraph"/>
        <w:numPr>
          <w:ilvl w:val="0"/>
          <w:numId w:val="49"/>
        </w:numPr>
        <w:ind w:left="284" w:hanging="284"/>
        <w:rPr>
          <w:szCs w:val="24"/>
        </w:rPr>
      </w:pPr>
      <w:r w:rsidRPr="008D5D38">
        <w:rPr>
          <w:szCs w:val="24"/>
        </w:rPr>
        <w:t>Enhance and increase enforcement of the A</w:t>
      </w:r>
      <w:r>
        <w:rPr>
          <w:rFonts w:hint="eastAsia"/>
          <w:szCs w:val="24"/>
        </w:rPr>
        <w:t>MA</w:t>
      </w:r>
      <w:r w:rsidRPr="008D5D38">
        <w:rPr>
          <w:szCs w:val="24"/>
        </w:rPr>
        <w:t xml:space="preserve"> by implementing</w:t>
      </w:r>
      <w:r>
        <w:rPr>
          <w:rFonts w:hint="eastAsia"/>
          <w:szCs w:val="24"/>
        </w:rPr>
        <w:t xml:space="preserve"> </w:t>
      </w:r>
      <w:r w:rsidRPr="008D5D38">
        <w:rPr>
          <w:szCs w:val="24"/>
        </w:rPr>
        <w:t>mechanisms which will:</w:t>
      </w:r>
    </w:p>
    <w:p w14:paraId="1F776A58" w14:textId="77777777" w:rsidR="00EB4539" w:rsidRPr="008D5D38" w:rsidRDefault="00EB4539" w:rsidP="00EB4539">
      <w:pPr>
        <w:pStyle w:val="ListParagraph"/>
        <w:numPr>
          <w:ilvl w:val="0"/>
          <w:numId w:val="50"/>
        </w:numPr>
        <w:ind w:left="567" w:hanging="283"/>
        <w:rPr>
          <w:szCs w:val="24"/>
        </w:rPr>
      </w:pPr>
      <w:r>
        <w:rPr>
          <w:rFonts w:hint="eastAsia"/>
          <w:szCs w:val="24"/>
        </w:rPr>
        <w:t>r</w:t>
      </w:r>
      <w:r w:rsidRPr="008D5D38">
        <w:rPr>
          <w:szCs w:val="24"/>
        </w:rPr>
        <w:t>equire the JFTC to expand and enhance its investigatory</w:t>
      </w:r>
      <w:r>
        <w:rPr>
          <w:rFonts w:hint="eastAsia"/>
          <w:szCs w:val="24"/>
        </w:rPr>
        <w:t xml:space="preserve"> </w:t>
      </w:r>
      <w:r w:rsidRPr="008D5D38">
        <w:rPr>
          <w:szCs w:val="24"/>
        </w:rPr>
        <w:t>function and increase its proof-collecting capacity</w:t>
      </w:r>
      <w:r>
        <w:rPr>
          <w:rFonts w:hint="eastAsia"/>
          <w:szCs w:val="24"/>
        </w:rPr>
        <w:t xml:space="preserve"> </w:t>
      </w:r>
      <w:r w:rsidRPr="008D5D38">
        <w:rPr>
          <w:szCs w:val="24"/>
        </w:rPr>
        <w:t>against illegal activities. The JFTC will especially target</w:t>
      </w:r>
      <w:r>
        <w:rPr>
          <w:rFonts w:hint="eastAsia"/>
          <w:szCs w:val="24"/>
        </w:rPr>
        <w:t xml:space="preserve"> </w:t>
      </w:r>
      <w:r w:rsidRPr="008D5D38">
        <w:rPr>
          <w:szCs w:val="24"/>
        </w:rPr>
        <w:t>price cartels, supply restraint cartels, market allocations, and</w:t>
      </w:r>
      <w:r>
        <w:rPr>
          <w:rFonts w:hint="eastAsia"/>
          <w:szCs w:val="24"/>
        </w:rPr>
        <w:t xml:space="preserve"> </w:t>
      </w:r>
      <w:r>
        <w:rPr>
          <w:szCs w:val="24"/>
        </w:rPr>
        <w:t>group boycotts.</w:t>
      </w:r>
    </w:p>
    <w:p w14:paraId="43377375" w14:textId="77777777" w:rsidR="00EB4539" w:rsidRPr="008D5D38" w:rsidRDefault="00EB4539" w:rsidP="00EB4539">
      <w:pPr>
        <w:pStyle w:val="ListParagraph"/>
        <w:numPr>
          <w:ilvl w:val="0"/>
          <w:numId w:val="50"/>
        </w:numPr>
        <w:ind w:left="567" w:hanging="283"/>
        <w:rPr>
          <w:szCs w:val="24"/>
        </w:rPr>
      </w:pPr>
      <w:r>
        <w:rPr>
          <w:rFonts w:hint="eastAsia"/>
          <w:szCs w:val="24"/>
        </w:rPr>
        <w:t>i</w:t>
      </w:r>
      <w:r w:rsidRPr="008D5D38">
        <w:rPr>
          <w:szCs w:val="24"/>
        </w:rPr>
        <w:t>ncrease budgetary allocation to expand the number of</w:t>
      </w:r>
      <w:r>
        <w:rPr>
          <w:rFonts w:hint="eastAsia"/>
          <w:szCs w:val="24"/>
        </w:rPr>
        <w:t xml:space="preserve"> </w:t>
      </w:r>
      <w:r w:rsidRPr="008D5D38">
        <w:rPr>
          <w:szCs w:val="24"/>
        </w:rPr>
        <w:t>personnel involved in violation detection and investigative</w:t>
      </w:r>
      <w:r>
        <w:rPr>
          <w:rFonts w:hint="eastAsia"/>
          <w:szCs w:val="24"/>
        </w:rPr>
        <w:t xml:space="preserve"> </w:t>
      </w:r>
      <w:r>
        <w:rPr>
          <w:szCs w:val="24"/>
        </w:rPr>
        <w:t>functions.</w:t>
      </w:r>
    </w:p>
    <w:p w14:paraId="41551FE7" w14:textId="77777777" w:rsidR="00EB4539" w:rsidRPr="008D5D38" w:rsidRDefault="00EB4539" w:rsidP="00EB4539">
      <w:pPr>
        <w:pStyle w:val="ListParagraph"/>
        <w:numPr>
          <w:ilvl w:val="0"/>
          <w:numId w:val="50"/>
        </w:numPr>
        <w:ind w:left="567" w:hanging="283"/>
        <w:rPr>
          <w:szCs w:val="24"/>
        </w:rPr>
      </w:pPr>
      <w:r>
        <w:rPr>
          <w:rFonts w:hint="eastAsia"/>
          <w:szCs w:val="24"/>
        </w:rPr>
        <w:t>r</w:t>
      </w:r>
      <w:r w:rsidRPr="008D5D38">
        <w:rPr>
          <w:szCs w:val="24"/>
        </w:rPr>
        <w:t>aise surcharges against cartels in order to deter</w:t>
      </w:r>
      <w:r>
        <w:rPr>
          <w:rFonts w:hint="eastAsia"/>
          <w:szCs w:val="24"/>
        </w:rPr>
        <w:t xml:space="preserve"> </w:t>
      </w:r>
      <w:r>
        <w:rPr>
          <w:szCs w:val="24"/>
        </w:rPr>
        <w:t>violations.</w:t>
      </w:r>
    </w:p>
    <w:p w14:paraId="79B5B6EF" w14:textId="77777777" w:rsidR="00EB4539" w:rsidRPr="008D5D38" w:rsidRDefault="00EB4539" w:rsidP="00EB4539">
      <w:pPr>
        <w:pStyle w:val="ListParagraph"/>
        <w:numPr>
          <w:ilvl w:val="0"/>
          <w:numId w:val="50"/>
        </w:numPr>
        <w:ind w:left="567" w:hanging="283"/>
        <w:rPr>
          <w:szCs w:val="24"/>
        </w:rPr>
      </w:pPr>
      <w:r>
        <w:rPr>
          <w:rFonts w:hint="eastAsia"/>
          <w:szCs w:val="24"/>
        </w:rPr>
        <w:t>i</w:t>
      </w:r>
      <w:r w:rsidRPr="008D5D38">
        <w:rPr>
          <w:szCs w:val="24"/>
        </w:rPr>
        <w:t>ncrease the use of criminal penalties for vicious and serious</w:t>
      </w:r>
      <w:r>
        <w:rPr>
          <w:rFonts w:hint="eastAsia"/>
          <w:szCs w:val="24"/>
        </w:rPr>
        <w:t xml:space="preserve"> </w:t>
      </w:r>
      <w:r w:rsidRPr="008D5D38">
        <w:rPr>
          <w:szCs w:val="24"/>
        </w:rPr>
        <w:t>cases that impact on people</w:t>
      </w:r>
      <w:r>
        <w:rPr>
          <w:szCs w:val="24"/>
        </w:rPr>
        <w:t>’</w:t>
      </w:r>
      <w:r w:rsidRPr="008D5D38">
        <w:rPr>
          <w:szCs w:val="24"/>
        </w:rPr>
        <w:t>s livelihoods and for repeat</w:t>
      </w:r>
      <w:r>
        <w:rPr>
          <w:rFonts w:hint="eastAsia"/>
          <w:szCs w:val="24"/>
        </w:rPr>
        <w:t xml:space="preserve"> </w:t>
      </w:r>
      <w:r w:rsidRPr="008D5D38">
        <w:rPr>
          <w:szCs w:val="24"/>
        </w:rPr>
        <w:t>offenders. In conjunction with this policy</w:t>
      </w:r>
      <w:r>
        <w:rPr>
          <w:szCs w:val="24"/>
        </w:rPr>
        <w:t>,</w:t>
      </w:r>
      <w:r w:rsidRPr="008D5D38">
        <w:rPr>
          <w:szCs w:val="24"/>
        </w:rPr>
        <w:t xml:space="preserve"> the Minister of</w:t>
      </w:r>
      <w:r>
        <w:rPr>
          <w:rFonts w:hint="eastAsia"/>
          <w:szCs w:val="24"/>
        </w:rPr>
        <w:t xml:space="preserve"> </w:t>
      </w:r>
      <w:r w:rsidRPr="008D5D38">
        <w:rPr>
          <w:szCs w:val="24"/>
        </w:rPr>
        <w:t>Justice publicly requested all the chief prosecutors to cooperate</w:t>
      </w:r>
      <w:r>
        <w:rPr>
          <w:rFonts w:hint="eastAsia"/>
          <w:szCs w:val="24"/>
        </w:rPr>
        <w:t xml:space="preserve"> </w:t>
      </w:r>
      <w:r w:rsidRPr="008D5D38">
        <w:rPr>
          <w:szCs w:val="24"/>
        </w:rPr>
        <w:t>with the JFTC by making available any information</w:t>
      </w:r>
      <w:r>
        <w:rPr>
          <w:rFonts w:hint="eastAsia"/>
          <w:szCs w:val="24"/>
        </w:rPr>
        <w:t xml:space="preserve"> </w:t>
      </w:r>
      <w:r w:rsidRPr="008D5D38">
        <w:rPr>
          <w:szCs w:val="24"/>
        </w:rPr>
        <w:t>they may have uncovered relating to violations of the A</w:t>
      </w:r>
      <w:r>
        <w:rPr>
          <w:rFonts w:hint="eastAsia"/>
          <w:szCs w:val="24"/>
        </w:rPr>
        <w:t>MA</w:t>
      </w:r>
      <w:r w:rsidRPr="008D5D38">
        <w:rPr>
          <w:szCs w:val="24"/>
        </w:rPr>
        <w:t>. The chief prosecutors must also make special</w:t>
      </w:r>
      <w:r>
        <w:rPr>
          <w:rFonts w:hint="eastAsia"/>
          <w:szCs w:val="24"/>
        </w:rPr>
        <w:t xml:space="preserve"> </w:t>
      </w:r>
      <w:r w:rsidRPr="008D5D38">
        <w:rPr>
          <w:szCs w:val="24"/>
        </w:rPr>
        <w:t xml:space="preserve">efforts to </w:t>
      </w:r>
      <w:r>
        <w:rPr>
          <w:szCs w:val="24"/>
        </w:rPr>
        <w:t>‘</w:t>
      </w:r>
      <w:r w:rsidRPr="008D5D38">
        <w:rPr>
          <w:szCs w:val="24"/>
        </w:rPr>
        <w:t>vigorously pursue</w:t>
      </w:r>
      <w:r>
        <w:rPr>
          <w:szCs w:val="24"/>
        </w:rPr>
        <w:t>’</w:t>
      </w:r>
      <w:r w:rsidRPr="008D5D38">
        <w:rPr>
          <w:szCs w:val="24"/>
        </w:rPr>
        <w:t xml:space="preserve"> cases of criminal violation</w:t>
      </w:r>
      <w:r>
        <w:rPr>
          <w:rFonts w:hint="eastAsia"/>
          <w:szCs w:val="24"/>
        </w:rPr>
        <w:t xml:space="preserve"> </w:t>
      </w:r>
      <w:r>
        <w:rPr>
          <w:szCs w:val="24"/>
        </w:rPr>
        <w:t>of the A</w:t>
      </w:r>
      <w:r>
        <w:rPr>
          <w:rFonts w:hint="eastAsia"/>
          <w:szCs w:val="24"/>
        </w:rPr>
        <w:t>MA</w:t>
      </w:r>
      <w:r>
        <w:rPr>
          <w:szCs w:val="24"/>
        </w:rPr>
        <w:t>.</w:t>
      </w:r>
    </w:p>
    <w:p w14:paraId="4B37DCBE" w14:textId="77777777" w:rsidR="00EB4539" w:rsidRPr="008D5D38" w:rsidRDefault="00EB4539" w:rsidP="00EB4539">
      <w:pPr>
        <w:pStyle w:val="ListParagraph"/>
        <w:numPr>
          <w:ilvl w:val="0"/>
          <w:numId w:val="50"/>
        </w:numPr>
        <w:ind w:left="567" w:hanging="283"/>
        <w:rPr>
          <w:szCs w:val="24"/>
        </w:rPr>
      </w:pPr>
      <w:r>
        <w:rPr>
          <w:rFonts w:hint="eastAsia"/>
          <w:szCs w:val="24"/>
        </w:rPr>
        <w:t>i</w:t>
      </w:r>
      <w:r w:rsidRPr="008D5D38">
        <w:rPr>
          <w:szCs w:val="24"/>
        </w:rPr>
        <w:t>ncrease the effectiveness of the damage remedy system for</w:t>
      </w:r>
      <w:r>
        <w:rPr>
          <w:rFonts w:hint="eastAsia"/>
          <w:szCs w:val="24"/>
        </w:rPr>
        <w:t xml:space="preserve"> </w:t>
      </w:r>
      <w:r w:rsidRPr="008D5D38">
        <w:rPr>
          <w:szCs w:val="24"/>
        </w:rPr>
        <w:t xml:space="preserve">individuals provided in </w:t>
      </w:r>
      <w:r>
        <w:rPr>
          <w:rFonts w:hint="eastAsia"/>
          <w:szCs w:val="24"/>
        </w:rPr>
        <w:t>Article</w:t>
      </w:r>
      <w:r w:rsidRPr="008D5D38">
        <w:rPr>
          <w:szCs w:val="24"/>
        </w:rPr>
        <w:t xml:space="preserve"> 25 of the A</w:t>
      </w:r>
      <w:r>
        <w:rPr>
          <w:rFonts w:hint="eastAsia"/>
          <w:szCs w:val="24"/>
        </w:rPr>
        <w:t>MA</w:t>
      </w:r>
      <w:r w:rsidRPr="008D5D38">
        <w:rPr>
          <w:szCs w:val="24"/>
        </w:rPr>
        <w:t xml:space="preserve"> by reducing the plaintiffs’ burden of proof for violation</w:t>
      </w:r>
      <w:r>
        <w:rPr>
          <w:rFonts w:hint="eastAsia"/>
          <w:szCs w:val="24"/>
        </w:rPr>
        <w:t xml:space="preserve"> </w:t>
      </w:r>
      <w:r w:rsidRPr="008D5D38">
        <w:rPr>
          <w:szCs w:val="24"/>
        </w:rPr>
        <w:t>and damage. The JFTC, when submitting its opinion,</w:t>
      </w:r>
      <w:r>
        <w:rPr>
          <w:rFonts w:hint="eastAsia"/>
          <w:szCs w:val="24"/>
        </w:rPr>
        <w:t xml:space="preserve"> </w:t>
      </w:r>
      <w:r w:rsidRPr="008D5D38">
        <w:rPr>
          <w:szCs w:val="24"/>
        </w:rPr>
        <w:t>will describe in detail its findings on the violation, the causal</w:t>
      </w:r>
      <w:r>
        <w:rPr>
          <w:rFonts w:hint="eastAsia"/>
          <w:szCs w:val="24"/>
        </w:rPr>
        <w:t xml:space="preserve"> </w:t>
      </w:r>
      <w:r w:rsidRPr="008D5D38">
        <w:rPr>
          <w:szCs w:val="24"/>
        </w:rPr>
        <w:t>relationship between the violation and damages, the amount</w:t>
      </w:r>
      <w:r>
        <w:rPr>
          <w:rFonts w:hint="eastAsia"/>
          <w:szCs w:val="24"/>
        </w:rPr>
        <w:t xml:space="preserve"> </w:t>
      </w:r>
      <w:r w:rsidRPr="008D5D38">
        <w:rPr>
          <w:szCs w:val="24"/>
        </w:rPr>
        <w:t>of damages, and the measure used for its calculation. It will</w:t>
      </w:r>
      <w:r>
        <w:rPr>
          <w:rFonts w:hint="eastAsia"/>
          <w:szCs w:val="24"/>
        </w:rPr>
        <w:t xml:space="preserve"> </w:t>
      </w:r>
      <w:r w:rsidRPr="008D5D38">
        <w:rPr>
          <w:szCs w:val="24"/>
        </w:rPr>
        <w:t>also append any necessary data</w:t>
      </w:r>
      <w:r>
        <w:rPr>
          <w:szCs w:val="24"/>
        </w:rPr>
        <w:t xml:space="preserve"> or materials to its opinion.</w:t>
      </w:r>
    </w:p>
    <w:p w14:paraId="391C50D9" w14:textId="77777777" w:rsidR="00EB4539" w:rsidRPr="008D5D38" w:rsidRDefault="00EB4539" w:rsidP="00EB4539">
      <w:pPr>
        <w:pStyle w:val="ListParagraph"/>
        <w:numPr>
          <w:ilvl w:val="0"/>
          <w:numId w:val="50"/>
        </w:numPr>
        <w:ind w:left="567" w:hanging="283"/>
        <w:rPr>
          <w:szCs w:val="24"/>
        </w:rPr>
      </w:pPr>
      <w:r>
        <w:rPr>
          <w:rFonts w:hint="eastAsia"/>
          <w:szCs w:val="24"/>
        </w:rPr>
        <w:t>e</w:t>
      </w:r>
      <w:r w:rsidRPr="008D5D38">
        <w:rPr>
          <w:szCs w:val="24"/>
        </w:rPr>
        <w:t xml:space="preserve">nsure that its administrative guidance </w:t>
      </w:r>
      <w:r>
        <w:rPr>
          <w:szCs w:val="24"/>
        </w:rPr>
        <w:t>‘</w:t>
      </w:r>
      <w:r w:rsidRPr="008D5D38">
        <w:rPr>
          <w:szCs w:val="24"/>
        </w:rPr>
        <w:t>does not restrict</w:t>
      </w:r>
      <w:r>
        <w:rPr>
          <w:rFonts w:hint="eastAsia"/>
          <w:szCs w:val="24"/>
        </w:rPr>
        <w:t xml:space="preserve"> </w:t>
      </w:r>
      <w:r w:rsidRPr="008D5D38">
        <w:rPr>
          <w:szCs w:val="24"/>
        </w:rPr>
        <w:t>market access o</w:t>
      </w:r>
      <w:r>
        <w:rPr>
          <w:szCs w:val="24"/>
        </w:rPr>
        <w:t>r undermine</w:t>
      </w:r>
      <w:r>
        <w:rPr>
          <w:rFonts w:hint="eastAsia"/>
          <w:szCs w:val="24"/>
        </w:rPr>
        <w:t xml:space="preserve"> </w:t>
      </w:r>
      <w:r>
        <w:rPr>
          <w:szCs w:val="24"/>
        </w:rPr>
        <w:t>fair competition.’</w:t>
      </w:r>
    </w:p>
    <w:p w14:paraId="0E5656EC" w14:textId="77777777" w:rsidR="00EB4539" w:rsidRPr="008D5D38" w:rsidRDefault="00EB4539" w:rsidP="00EB4539">
      <w:pPr>
        <w:pStyle w:val="ListParagraph"/>
        <w:numPr>
          <w:ilvl w:val="0"/>
          <w:numId w:val="51"/>
        </w:numPr>
        <w:ind w:left="284" w:hanging="284"/>
        <w:rPr>
          <w:szCs w:val="24"/>
        </w:rPr>
      </w:pPr>
      <w:r w:rsidRPr="008D5D38">
        <w:rPr>
          <w:szCs w:val="24"/>
        </w:rPr>
        <w:t>Minimi</w:t>
      </w:r>
      <w:r>
        <w:rPr>
          <w:rFonts w:hint="eastAsia"/>
          <w:szCs w:val="24"/>
        </w:rPr>
        <w:t>se</w:t>
      </w:r>
      <w:r w:rsidRPr="008D5D38">
        <w:rPr>
          <w:szCs w:val="24"/>
        </w:rPr>
        <w:t xml:space="preserve"> the use of exemptions from the general rules of the A</w:t>
      </w:r>
      <w:r>
        <w:rPr>
          <w:rFonts w:hint="eastAsia"/>
          <w:szCs w:val="24"/>
        </w:rPr>
        <w:t>MA</w:t>
      </w:r>
      <w:r w:rsidRPr="008D5D38">
        <w:rPr>
          <w:szCs w:val="24"/>
        </w:rPr>
        <w:t xml:space="preserve"> and review existing exemptions to ensure that they enhance</w:t>
      </w:r>
      <w:r>
        <w:rPr>
          <w:rFonts w:hint="eastAsia"/>
          <w:szCs w:val="24"/>
        </w:rPr>
        <w:t xml:space="preserve"> </w:t>
      </w:r>
      <w:r w:rsidRPr="008D5D38">
        <w:rPr>
          <w:szCs w:val="24"/>
        </w:rPr>
        <w:t>competition and do not impede imports.</w:t>
      </w:r>
    </w:p>
    <w:p w14:paraId="21515728" w14:textId="77777777" w:rsidR="00EB4539" w:rsidRPr="008D5D38" w:rsidRDefault="00EB4539" w:rsidP="00EB4539">
      <w:pPr>
        <w:pStyle w:val="ListParagraph"/>
        <w:numPr>
          <w:ilvl w:val="0"/>
          <w:numId w:val="51"/>
        </w:numPr>
        <w:ind w:left="284" w:hanging="284"/>
        <w:rPr>
          <w:szCs w:val="24"/>
        </w:rPr>
      </w:pPr>
      <w:r w:rsidRPr="008D5D38">
        <w:rPr>
          <w:szCs w:val="24"/>
        </w:rPr>
        <w:t xml:space="preserve">Take steps to loosen </w:t>
      </w:r>
      <w:r>
        <w:rPr>
          <w:i/>
          <w:szCs w:val="24"/>
        </w:rPr>
        <w:t>K</w:t>
      </w:r>
      <w:r w:rsidRPr="005A522E">
        <w:rPr>
          <w:i/>
          <w:szCs w:val="24"/>
        </w:rPr>
        <w:t>eiretsu</w:t>
      </w:r>
      <w:r w:rsidRPr="008D5D38">
        <w:rPr>
          <w:szCs w:val="24"/>
        </w:rPr>
        <w:t>, including making a commitment to:</w:t>
      </w:r>
    </w:p>
    <w:p w14:paraId="48894E95" w14:textId="77777777" w:rsidR="00EB4539" w:rsidRPr="008D5D38" w:rsidRDefault="00EB4539" w:rsidP="00EB4539">
      <w:pPr>
        <w:pStyle w:val="ListParagraph"/>
        <w:numPr>
          <w:ilvl w:val="0"/>
          <w:numId w:val="52"/>
        </w:numPr>
        <w:ind w:left="567" w:hanging="283"/>
        <w:rPr>
          <w:szCs w:val="24"/>
        </w:rPr>
      </w:pPr>
      <w:r>
        <w:rPr>
          <w:rFonts w:hint="eastAsia"/>
          <w:szCs w:val="24"/>
        </w:rPr>
        <w:t>s</w:t>
      </w:r>
      <w:r w:rsidRPr="008D5D38">
        <w:rPr>
          <w:szCs w:val="24"/>
        </w:rPr>
        <w:t xml:space="preserve">trengthen </w:t>
      </w:r>
      <w:r>
        <w:rPr>
          <w:szCs w:val="24"/>
        </w:rPr>
        <w:t>the JFTC’s</w:t>
      </w:r>
      <w:r w:rsidRPr="008D5D38">
        <w:rPr>
          <w:szCs w:val="24"/>
        </w:rPr>
        <w:t xml:space="preserve"> </w:t>
      </w:r>
      <w:r>
        <w:rPr>
          <w:szCs w:val="24"/>
        </w:rPr>
        <w:t>‘</w:t>
      </w:r>
      <w:r w:rsidRPr="008D5D38">
        <w:rPr>
          <w:szCs w:val="24"/>
        </w:rPr>
        <w:t>monitoring of transactions</w:t>
      </w:r>
      <w:r>
        <w:rPr>
          <w:rFonts w:hint="eastAsia"/>
          <w:szCs w:val="24"/>
        </w:rPr>
        <w:t xml:space="preserve"> </w:t>
      </w:r>
      <w:r w:rsidRPr="008D5D38">
        <w:rPr>
          <w:szCs w:val="24"/>
        </w:rPr>
        <w:t xml:space="preserve">among members of the same </w:t>
      </w:r>
      <w:r>
        <w:rPr>
          <w:i/>
          <w:szCs w:val="24"/>
        </w:rPr>
        <w:t>K</w:t>
      </w:r>
      <w:r w:rsidRPr="005A522E">
        <w:rPr>
          <w:i/>
          <w:szCs w:val="24"/>
        </w:rPr>
        <w:t>eiretsu</w:t>
      </w:r>
      <w:r w:rsidRPr="008D5D38">
        <w:rPr>
          <w:szCs w:val="24"/>
        </w:rPr>
        <w:t xml:space="preserve"> groups with cross</w:t>
      </w:r>
      <w:r>
        <w:rPr>
          <w:rFonts w:hint="eastAsia"/>
          <w:szCs w:val="24"/>
        </w:rPr>
        <w:t>-</w:t>
      </w:r>
      <w:r w:rsidRPr="008D5D38">
        <w:rPr>
          <w:szCs w:val="24"/>
        </w:rPr>
        <w:t>shareholding</w:t>
      </w:r>
      <w:r>
        <w:rPr>
          <w:rFonts w:hint="eastAsia"/>
          <w:szCs w:val="24"/>
        </w:rPr>
        <w:t xml:space="preserve"> </w:t>
      </w:r>
      <w:r w:rsidRPr="008D5D38">
        <w:rPr>
          <w:szCs w:val="24"/>
        </w:rPr>
        <w:t>ties to determine whether these relationships</w:t>
      </w:r>
      <w:r>
        <w:rPr>
          <w:rFonts w:hint="eastAsia"/>
          <w:szCs w:val="24"/>
        </w:rPr>
        <w:t xml:space="preserve"> </w:t>
      </w:r>
      <w:r w:rsidRPr="008D5D38">
        <w:rPr>
          <w:szCs w:val="24"/>
        </w:rPr>
        <w:t>impede competition.</w:t>
      </w:r>
      <w:r>
        <w:rPr>
          <w:szCs w:val="24"/>
        </w:rPr>
        <w:t>’</w:t>
      </w:r>
      <w:r w:rsidRPr="008D5D38">
        <w:rPr>
          <w:szCs w:val="24"/>
        </w:rPr>
        <w:t xml:space="preserve"> The JFTC shall also establish and</w:t>
      </w:r>
      <w:r>
        <w:rPr>
          <w:rFonts w:hint="eastAsia"/>
          <w:szCs w:val="24"/>
        </w:rPr>
        <w:t xml:space="preserve"> </w:t>
      </w:r>
      <w:r w:rsidRPr="008D5D38">
        <w:rPr>
          <w:szCs w:val="24"/>
        </w:rPr>
        <w:t>publish guidelines for the enforcement of the A</w:t>
      </w:r>
      <w:r>
        <w:rPr>
          <w:rFonts w:hint="eastAsia"/>
          <w:szCs w:val="24"/>
        </w:rPr>
        <w:t>MA</w:t>
      </w:r>
      <w:r w:rsidRPr="008D5D38">
        <w:rPr>
          <w:szCs w:val="24"/>
        </w:rPr>
        <w:t xml:space="preserve"> against </w:t>
      </w:r>
      <w:r>
        <w:rPr>
          <w:i/>
          <w:szCs w:val="24"/>
        </w:rPr>
        <w:t>K</w:t>
      </w:r>
      <w:r w:rsidRPr="005A522E">
        <w:rPr>
          <w:i/>
          <w:szCs w:val="24"/>
        </w:rPr>
        <w:t>eiretsu</w:t>
      </w:r>
      <w:r w:rsidRPr="008D5D38">
        <w:rPr>
          <w:szCs w:val="24"/>
        </w:rPr>
        <w:t xml:space="preserve"> type group actions. Violations resulting</w:t>
      </w:r>
      <w:r>
        <w:rPr>
          <w:rFonts w:hint="eastAsia"/>
          <w:szCs w:val="24"/>
        </w:rPr>
        <w:t xml:space="preserve"> </w:t>
      </w:r>
      <w:r w:rsidRPr="008D5D38">
        <w:rPr>
          <w:szCs w:val="24"/>
        </w:rPr>
        <w:t>from cross-shareholding will result in the restriction or</w:t>
      </w:r>
      <w:r>
        <w:rPr>
          <w:rFonts w:hint="eastAsia"/>
          <w:szCs w:val="24"/>
        </w:rPr>
        <w:t xml:space="preserve"> </w:t>
      </w:r>
      <w:r>
        <w:rPr>
          <w:szCs w:val="24"/>
        </w:rPr>
        <w:t>divestiture of shares.</w:t>
      </w:r>
    </w:p>
    <w:p w14:paraId="569874AE" w14:textId="77777777" w:rsidR="00EB4539" w:rsidRPr="008D5D38" w:rsidRDefault="00EB4539" w:rsidP="00EB4539">
      <w:pPr>
        <w:pStyle w:val="ListParagraph"/>
        <w:numPr>
          <w:ilvl w:val="0"/>
          <w:numId w:val="52"/>
        </w:numPr>
        <w:ind w:left="567" w:hanging="283"/>
        <w:rPr>
          <w:szCs w:val="24"/>
        </w:rPr>
      </w:pPr>
      <w:r>
        <w:rPr>
          <w:rFonts w:hint="eastAsia"/>
          <w:szCs w:val="24"/>
        </w:rPr>
        <w:t>m</w:t>
      </w:r>
      <w:r w:rsidRPr="008D5D38">
        <w:rPr>
          <w:szCs w:val="24"/>
        </w:rPr>
        <w:t xml:space="preserve">ake the </w:t>
      </w:r>
      <w:r>
        <w:rPr>
          <w:i/>
          <w:szCs w:val="24"/>
        </w:rPr>
        <w:t>K</w:t>
      </w:r>
      <w:r w:rsidRPr="005A522E">
        <w:rPr>
          <w:i/>
          <w:szCs w:val="24"/>
        </w:rPr>
        <w:t>eiretsu</w:t>
      </w:r>
      <w:r>
        <w:rPr>
          <w:szCs w:val="24"/>
        </w:rPr>
        <w:t xml:space="preserve"> more open and transparent;</w:t>
      </w:r>
    </w:p>
    <w:p w14:paraId="31C12D26" w14:textId="77777777" w:rsidR="00EB4539" w:rsidRDefault="00EB4539" w:rsidP="00EB4539">
      <w:pPr>
        <w:pStyle w:val="ListParagraph"/>
        <w:numPr>
          <w:ilvl w:val="0"/>
          <w:numId w:val="52"/>
        </w:numPr>
        <w:ind w:left="567" w:hanging="283"/>
        <w:rPr>
          <w:szCs w:val="24"/>
        </w:rPr>
      </w:pPr>
      <w:r>
        <w:rPr>
          <w:rFonts w:hint="eastAsia"/>
          <w:szCs w:val="24"/>
        </w:rPr>
        <w:t>i</w:t>
      </w:r>
      <w:r w:rsidRPr="008D5D38">
        <w:rPr>
          <w:szCs w:val="24"/>
        </w:rPr>
        <w:t>ssue a government policy statement affirming that the</w:t>
      </w:r>
      <w:r>
        <w:rPr>
          <w:rFonts w:hint="eastAsia"/>
          <w:szCs w:val="24"/>
        </w:rPr>
        <w:t xml:space="preserve"> </w:t>
      </w:r>
      <w:r w:rsidRPr="008D5D38">
        <w:rPr>
          <w:szCs w:val="24"/>
        </w:rPr>
        <w:t xml:space="preserve">Japanese government will take steps to ensure that </w:t>
      </w:r>
      <w:r>
        <w:rPr>
          <w:i/>
          <w:szCs w:val="24"/>
        </w:rPr>
        <w:t>K</w:t>
      </w:r>
      <w:r w:rsidRPr="005A522E">
        <w:rPr>
          <w:i/>
          <w:szCs w:val="24"/>
        </w:rPr>
        <w:t>eiretsu</w:t>
      </w:r>
      <w:r>
        <w:rPr>
          <w:rFonts w:hint="eastAsia"/>
          <w:szCs w:val="24"/>
        </w:rPr>
        <w:t xml:space="preserve"> </w:t>
      </w:r>
      <w:r w:rsidRPr="008D5D38">
        <w:rPr>
          <w:szCs w:val="24"/>
        </w:rPr>
        <w:t>relationships do not impede fair competition and at the same</w:t>
      </w:r>
      <w:r>
        <w:rPr>
          <w:rFonts w:hint="eastAsia"/>
          <w:szCs w:val="24"/>
        </w:rPr>
        <w:t xml:space="preserve"> </w:t>
      </w:r>
      <w:r w:rsidRPr="008D5D38">
        <w:rPr>
          <w:szCs w:val="24"/>
        </w:rPr>
        <w:t xml:space="preserve">time request the cooperation of the </w:t>
      </w:r>
      <w:r>
        <w:rPr>
          <w:i/>
          <w:szCs w:val="24"/>
        </w:rPr>
        <w:t>K</w:t>
      </w:r>
      <w:r w:rsidRPr="005A522E">
        <w:rPr>
          <w:i/>
          <w:szCs w:val="24"/>
        </w:rPr>
        <w:t>eiretsu</w:t>
      </w:r>
      <w:r w:rsidRPr="008D5D38">
        <w:rPr>
          <w:szCs w:val="24"/>
        </w:rPr>
        <w:t xml:space="preserve"> firms in achieving</w:t>
      </w:r>
      <w:r>
        <w:rPr>
          <w:rFonts w:hint="eastAsia"/>
          <w:szCs w:val="24"/>
        </w:rPr>
        <w:t xml:space="preserve"> </w:t>
      </w:r>
      <w:r w:rsidRPr="008D5D38">
        <w:rPr>
          <w:szCs w:val="24"/>
        </w:rPr>
        <w:t>this policy.</w:t>
      </w:r>
    </w:p>
    <w:p w14:paraId="5AEDE0E5" w14:textId="77777777" w:rsidR="00EB4539" w:rsidRDefault="00EB4539" w:rsidP="00EB4539">
      <w:pPr>
        <w:pStyle w:val="ListParagraph"/>
        <w:ind w:left="0"/>
        <w:rPr>
          <w:szCs w:val="24"/>
        </w:rPr>
      </w:pPr>
    </w:p>
    <w:p w14:paraId="72D9A614" w14:textId="77777777" w:rsidR="00EB4539" w:rsidRDefault="00EB4539" w:rsidP="002E0D8E">
      <w:r>
        <w:rPr>
          <w:rFonts w:hint="eastAsia"/>
        </w:rPr>
        <w:t xml:space="preserve">These measures to enhance </w:t>
      </w:r>
      <w:r>
        <w:t>antimonopoly</w:t>
      </w:r>
      <w:r>
        <w:rPr>
          <w:rFonts w:hint="eastAsia"/>
        </w:rPr>
        <w:t xml:space="preserve"> policies and the JFTC came with the change </w:t>
      </w:r>
      <w:r>
        <w:t xml:space="preserve">in </w:t>
      </w:r>
      <w:r>
        <w:rPr>
          <w:rFonts w:hint="eastAsia"/>
        </w:rPr>
        <w:t>structure. Freyer (2006 p.203-12) reports the change of Japan</w:t>
      </w:r>
      <w:r>
        <w:t>’</w:t>
      </w:r>
      <w:r>
        <w:rPr>
          <w:rFonts w:hint="eastAsia"/>
        </w:rPr>
        <w:t xml:space="preserve">s traditional </w:t>
      </w:r>
      <w:r>
        <w:t>antimonopoly approach</w:t>
      </w:r>
      <w:r>
        <w:rPr>
          <w:rFonts w:hint="eastAsia"/>
        </w:rPr>
        <w:t xml:space="preserve"> as a result of the SII and the collapse of the </w:t>
      </w:r>
      <w:r>
        <w:t>‘</w:t>
      </w:r>
      <w:r>
        <w:rPr>
          <w:rFonts w:hint="eastAsia"/>
        </w:rPr>
        <w:t>bubble economy</w:t>
      </w:r>
      <w:r>
        <w:t>’</w:t>
      </w:r>
      <w:r>
        <w:rPr>
          <w:rStyle w:val="FootnoteReference"/>
        </w:rPr>
        <w:footnoteReference w:id="73"/>
      </w:r>
      <w:r>
        <w:t>. He highlights</w:t>
      </w:r>
      <w:r>
        <w:rPr>
          <w:rFonts w:hint="eastAsia"/>
        </w:rPr>
        <w:t xml:space="preserve"> the LDP</w:t>
      </w:r>
      <w:r>
        <w:t>’</w:t>
      </w:r>
      <w:r>
        <w:rPr>
          <w:rFonts w:hint="eastAsia"/>
        </w:rPr>
        <w:t xml:space="preserve">s </w:t>
      </w:r>
      <w:r>
        <w:t>necessity</w:t>
      </w:r>
      <w:r>
        <w:rPr>
          <w:rFonts w:hint="eastAsia"/>
        </w:rPr>
        <w:t xml:space="preserve"> to form a coalition with smaller political parties such as the S</w:t>
      </w:r>
      <w:r>
        <w:t>o</w:t>
      </w:r>
      <w:r>
        <w:rPr>
          <w:rFonts w:hint="eastAsia"/>
        </w:rPr>
        <w:t xml:space="preserve">cial Democratic Party of Japan (SDPJ) and New Party </w:t>
      </w:r>
      <w:r w:rsidRPr="0039283A">
        <w:rPr>
          <w:rFonts w:hint="eastAsia"/>
          <w:i/>
        </w:rPr>
        <w:t>Sakigake</w:t>
      </w:r>
      <w:r>
        <w:rPr>
          <w:rFonts w:hint="eastAsia"/>
        </w:rPr>
        <w:t xml:space="preserve"> </w:t>
      </w:r>
      <w:r w:rsidR="002E0D8E">
        <w:t xml:space="preserve">between 1994 to 1998 </w:t>
      </w:r>
      <w:r>
        <w:t>as</w:t>
      </w:r>
      <w:r>
        <w:rPr>
          <w:rFonts w:hint="eastAsia"/>
        </w:rPr>
        <w:t xml:space="preserve"> a major reason why </w:t>
      </w:r>
      <w:r>
        <w:t>the LDP</w:t>
      </w:r>
      <w:r>
        <w:rPr>
          <w:rFonts w:hint="eastAsia"/>
        </w:rPr>
        <w:t xml:space="preserve"> embraced deregulation and anti</w:t>
      </w:r>
      <w:r>
        <w:t>monopoly measures</w:t>
      </w:r>
      <w:r>
        <w:rPr>
          <w:rFonts w:hint="eastAsia"/>
        </w:rPr>
        <w:t xml:space="preserve">, a different </w:t>
      </w:r>
      <w:r>
        <w:t xml:space="preserve">approach </w:t>
      </w:r>
      <w:r>
        <w:rPr>
          <w:rFonts w:hint="eastAsia"/>
        </w:rPr>
        <w:t xml:space="preserve">from </w:t>
      </w:r>
      <w:r>
        <w:t>the</w:t>
      </w:r>
      <w:r>
        <w:rPr>
          <w:rFonts w:hint="eastAsia"/>
        </w:rPr>
        <w:t xml:space="preserve"> previous one in the early 1980s (p.203).</w:t>
      </w:r>
    </w:p>
    <w:p w14:paraId="22C534E5" w14:textId="77777777" w:rsidR="007D1693" w:rsidRDefault="007D1693" w:rsidP="007D1693">
      <w:pPr>
        <w:ind w:firstLine="284"/>
      </w:pPr>
      <w:r>
        <w:rPr>
          <w:rFonts w:hint="eastAsia"/>
        </w:rPr>
        <w:t xml:space="preserve">The major </w:t>
      </w:r>
      <w:r>
        <w:t>opponents</w:t>
      </w:r>
      <w:r>
        <w:rPr>
          <w:rFonts w:hint="eastAsia"/>
        </w:rPr>
        <w:t xml:space="preserve"> to anti</w:t>
      </w:r>
      <w:r>
        <w:t xml:space="preserve">monopoly </w:t>
      </w:r>
      <w:r>
        <w:rPr>
          <w:rFonts w:hint="eastAsia"/>
        </w:rPr>
        <w:t xml:space="preserve">policies also changed their views in this period. </w:t>
      </w:r>
      <w:r>
        <w:t>B</w:t>
      </w:r>
      <w:r>
        <w:rPr>
          <w:rFonts w:hint="eastAsia"/>
        </w:rPr>
        <w:t>y the mid 1990s one of the largest business group</w:t>
      </w:r>
      <w:r w:rsidR="0087528D">
        <w:t>s</w:t>
      </w:r>
      <w:r>
        <w:rPr>
          <w:rFonts w:hint="eastAsia"/>
        </w:rPr>
        <w:t xml:space="preserve">, </w:t>
      </w:r>
      <w:r w:rsidRPr="00986614">
        <w:rPr>
          <w:rFonts w:hint="eastAsia"/>
          <w:i/>
        </w:rPr>
        <w:t>Keidanren</w:t>
      </w:r>
      <w:r>
        <w:rPr>
          <w:rFonts w:hint="eastAsia"/>
        </w:rPr>
        <w:t xml:space="preserve">, stopped its opposition to the SII and publicised a </w:t>
      </w:r>
      <w:r>
        <w:t>deregulation</w:t>
      </w:r>
      <w:r>
        <w:rPr>
          <w:rFonts w:hint="eastAsia"/>
        </w:rPr>
        <w:t xml:space="preserve"> programme that envisioned a capitalist market order (Freyer 2006 pp.203-4). </w:t>
      </w:r>
      <w:r>
        <w:t xml:space="preserve">This programme, set out in </w:t>
      </w:r>
      <w:r w:rsidRPr="00DF78DB">
        <w:rPr>
          <w:i/>
          <w:iCs/>
        </w:rPr>
        <w:t>Keidanren</w:t>
      </w:r>
      <w:r>
        <w:t xml:space="preserve">’s ‘Deregulation Promotion Plan’, proposed the rigorous enforcement of the AMA, together with substantial deregulation in industrial sectors (Freyers 2006 pp.204-5). Two major factors prompted this change of opinion. First, </w:t>
      </w:r>
      <w:r w:rsidRPr="009D3F54">
        <w:rPr>
          <w:i/>
          <w:iCs/>
        </w:rPr>
        <w:t>Keidanren</w:t>
      </w:r>
      <w:r>
        <w:t xml:space="preserve"> acknowledged through their market data that a significant portion of consumers were dissatisfied with the higher domestic prices result</w:t>
      </w:r>
      <w:r w:rsidR="0087528D">
        <w:t>ing</w:t>
      </w:r>
      <w:r>
        <w:t xml:space="preserve"> from protectionist policies in the prolonged recession of the 1990s (Freyer 2006 p.206). Second, many larger multinational firms competing in the global markets perceived that their profitability was constrained by subsidising their uncompetitive counterparts in protected sectors (Freyer 2006 p.206). Indeed, </w:t>
      </w:r>
      <w:r w:rsidRPr="001F7156">
        <w:t>‘</w:t>
      </w:r>
      <w:r w:rsidRPr="001F7156">
        <w:rPr>
          <w:i/>
          <w:iCs/>
        </w:rPr>
        <w:t>Keidanren</w:t>
      </w:r>
      <w:r w:rsidRPr="001F7156">
        <w:t>’s deregulation reforms potentially benefited large firms competing in a global market the</w:t>
      </w:r>
      <w:r>
        <w:t xml:space="preserve"> most’ (Freyer 2006 p.205).</w:t>
      </w:r>
    </w:p>
    <w:p w14:paraId="028AF0C3" w14:textId="77777777" w:rsidR="007D1693" w:rsidRDefault="007D1693" w:rsidP="004503C0">
      <w:pPr>
        <w:ind w:firstLine="284"/>
      </w:pPr>
      <w:r>
        <w:t xml:space="preserve">The MITI, who had also been an active advocate of business, also changed </w:t>
      </w:r>
      <w:r w:rsidR="008C6DC4">
        <w:t xml:space="preserve">its </w:t>
      </w:r>
      <w:r>
        <w:t xml:space="preserve">standpoint. </w:t>
      </w:r>
      <w:r>
        <w:rPr>
          <w:rFonts w:hint="eastAsia"/>
        </w:rPr>
        <w:t xml:space="preserve">Its official </w:t>
      </w:r>
      <w:r>
        <w:t>pronouncements</w:t>
      </w:r>
      <w:r>
        <w:rPr>
          <w:rFonts w:hint="eastAsia"/>
        </w:rPr>
        <w:t xml:space="preserve"> urged </w:t>
      </w:r>
      <w:r>
        <w:t>‘</w:t>
      </w:r>
      <w:r>
        <w:rPr>
          <w:rFonts w:hint="eastAsia"/>
        </w:rPr>
        <w:t>the FCT</w:t>
      </w:r>
      <w:r>
        <w:t>’</w:t>
      </w:r>
      <w:r>
        <w:rPr>
          <w:rFonts w:hint="eastAsia"/>
        </w:rPr>
        <w:t>s vigorous enforcement of competition law</w:t>
      </w:r>
      <w:r>
        <w:t>’</w:t>
      </w:r>
      <w:r>
        <w:rPr>
          <w:rFonts w:hint="eastAsia"/>
        </w:rPr>
        <w:t xml:space="preserve"> (Freyer 2006 p.204). </w:t>
      </w:r>
      <w:r>
        <w:t xml:space="preserve">Accoording to </w:t>
      </w:r>
      <w:r>
        <w:rPr>
          <w:rFonts w:hint="eastAsia"/>
        </w:rPr>
        <w:t>Freyer (2006 pp.206-7)</w:t>
      </w:r>
      <w:r>
        <w:t xml:space="preserve">, </w:t>
      </w:r>
      <w:r>
        <w:rPr>
          <w:rFonts w:hint="eastAsia"/>
        </w:rPr>
        <w:t xml:space="preserve">a significant portion of MITI officials </w:t>
      </w:r>
      <w:r>
        <w:t xml:space="preserve">argued for the MITI’s </w:t>
      </w:r>
      <w:r>
        <w:rPr>
          <w:rFonts w:hint="eastAsia"/>
        </w:rPr>
        <w:t xml:space="preserve">shift </w:t>
      </w:r>
      <w:r>
        <w:t xml:space="preserve">from </w:t>
      </w:r>
      <w:r>
        <w:rPr>
          <w:rFonts w:hint="eastAsia"/>
        </w:rPr>
        <w:t xml:space="preserve">industrial policy to those focusing on deregulation, the reform of existing systems and the </w:t>
      </w:r>
      <w:r>
        <w:t>promotion</w:t>
      </w:r>
      <w:r>
        <w:rPr>
          <w:rFonts w:hint="eastAsia"/>
        </w:rPr>
        <w:t xml:space="preserve"> of competition, although </w:t>
      </w:r>
      <w:r>
        <w:t>their internal critics</w:t>
      </w:r>
      <w:r>
        <w:rPr>
          <w:rFonts w:hint="eastAsia"/>
        </w:rPr>
        <w:t xml:space="preserve"> retained their nostalgic sentiment to the old protectionist regime. </w:t>
      </w:r>
      <w:r>
        <w:t xml:space="preserve">Such a change </w:t>
      </w:r>
      <w:r>
        <w:rPr>
          <w:rFonts w:hint="eastAsia"/>
        </w:rPr>
        <w:t xml:space="preserve">of </w:t>
      </w:r>
      <w:r w:rsidRPr="00B875E1">
        <w:rPr>
          <w:rFonts w:hint="eastAsia"/>
          <w:i/>
        </w:rPr>
        <w:t>Keidanren</w:t>
      </w:r>
      <w:r>
        <w:rPr>
          <w:rFonts w:hint="eastAsia"/>
        </w:rPr>
        <w:t xml:space="preserve"> and the MITI coincide</w:t>
      </w:r>
      <w:r>
        <w:t>d</w:t>
      </w:r>
      <w:r>
        <w:rPr>
          <w:rFonts w:hint="eastAsia"/>
        </w:rPr>
        <w:t xml:space="preserve"> with the </w:t>
      </w:r>
      <w:r w:rsidR="00DA7220">
        <w:t xml:space="preserve">emergent </w:t>
      </w:r>
      <w:r>
        <w:rPr>
          <w:rFonts w:hint="eastAsia"/>
        </w:rPr>
        <w:t>role of lawyers</w:t>
      </w:r>
      <w:r w:rsidRPr="000B48D6">
        <w:rPr>
          <w:rFonts w:hint="eastAsia"/>
        </w:rPr>
        <w:t xml:space="preserve"> </w:t>
      </w:r>
      <w:r>
        <w:t>(</w:t>
      </w:r>
      <w:r>
        <w:rPr>
          <w:rFonts w:hint="eastAsia"/>
        </w:rPr>
        <w:t xml:space="preserve">Freyer 2006 p.207). </w:t>
      </w:r>
      <w:r>
        <w:t>Previously</w:t>
      </w:r>
      <w:r>
        <w:rPr>
          <w:rFonts w:hint="eastAsia"/>
        </w:rPr>
        <w:t xml:space="preserve">, </w:t>
      </w:r>
      <w:r>
        <w:t xml:space="preserve">Japan’s </w:t>
      </w:r>
      <w:r>
        <w:rPr>
          <w:rFonts w:hint="eastAsia"/>
        </w:rPr>
        <w:t xml:space="preserve">private firms had </w:t>
      </w:r>
      <w:r>
        <w:t>little</w:t>
      </w:r>
      <w:r>
        <w:rPr>
          <w:rFonts w:hint="eastAsia"/>
        </w:rPr>
        <w:t xml:space="preserve"> reason to seek advice from lawyers because they generally turned for guidance first to </w:t>
      </w:r>
      <w:r w:rsidR="00667D2E">
        <w:t>government officials</w:t>
      </w:r>
      <w:r>
        <w:t xml:space="preserve"> (see</w:t>
      </w:r>
      <w:r>
        <w:rPr>
          <w:rFonts w:hint="eastAsia"/>
        </w:rPr>
        <w:t xml:space="preserve"> Johnson 1982) (Freyer 2006 p.207). </w:t>
      </w:r>
      <w:r>
        <w:t>T</w:t>
      </w:r>
      <w:r>
        <w:rPr>
          <w:rFonts w:hint="eastAsia"/>
        </w:rPr>
        <w:t xml:space="preserve">his traditional approach changed by the late 1980s; many large firms began </w:t>
      </w:r>
      <w:r>
        <w:t>consulting</w:t>
      </w:r>
      <w:r>
        <w:rPr>
          <w:rFonts w:hint="eastAsia"/>
        </w:rPr>
        <w:t xml:space="preserve"> lawyers about industrial policy and the AMA, even before approaching t</w:t>
      </w:r>
      <w:r w:rsidR="003B40BF">
        <w:t>he</w:t>
      </w:r>
      <w:r>
        <w:rPr>
          <w:rFonts w:hint="eastAsia"/>
        </w:rPr>
        <w:t xml:space="preserve"> civil servants (Freyer 2006 p.208). Freyer (2006 p.208) </w:t>
      </w:r>
      <w:r>
        <w:t xml:space="preserve">analyses </w:t>
      </w:r>
      <w:r w:rsidR="003B40BF">
        <w:t xml:space="preserve">that </w:t>
      </w:r>
      <w:r>
        <w:t>this was because</w:t>
      </w:r>
      <w:r>
        <w:rPr>
          <w:rFonts w:hint="eastAsia"/>
        </w:rPr>
        <w:t xml:space="preserve">: </w:t>
      </w:r>
      <w:r>
        <w:t>‘</w:t>
      </w:r>
      <w:r>
        <w:rPr>
          <w:rFonts w:hint="eastAsia"/>
        </w:rPr>
        <w:t xml:space="preserve">large multinational corporations wanted greater independence from </w:t>
      </w:r>
      <w:r>
        <w:t>industrial</w:t>
      </w:r>
      <w:r>
        <w:rPr>
          <w:rFonts w:hint="eastAsia"/>
        </w:rPr>
        <w:t xml:space="preserve"> policy in order to operate efficiently in the competitive global market</w:t>
      </w:r>
      <w:r>
        <w:t>’</w:t>
      </w:r>
      <w:r>
        <w:rPr>
          <w:rFonts w:hint="eastAsia"/>
        </w:rPr>
        <w:t>. T</w:t>
      </w:r>
      <w:r>
        <w:t>h</w:t>
      </w:r>
      <w:r>
        <w:rPr>
          <w:rFonts w:hint="eastAsia"/>
        </w:rPr>
        <w:t>e</w:t>
      </w:r>
      <w:r>
        <w:t>se corporate changes rendered the following events to emerge</w:t>
      </w:r>
      <w:r>
        <w:rPr>
          <w:rFonts w:hint="eastAsia"/>
        </w:rPr>
        <w:t xml:space="preserve"> in the 1990s: the expansion of the JFTC by its organisational upgrade and the relaxation of the holding company prohibition.</w:t>
      </w:r>
    </w:p>
    <w:p w14:paraId="27432BD4" w14:textId="77777777" w:rsidR="007D1693" w:rsidRDefault="007D1693" w:rsidP="007D1693">
      <w:pPr>
        <w:ind w:firstLine="284"/>
      </w:pPr>
      <w:r>
        <w:t>Strengthening</w:t>
      </w:r>
      <w:r>
        <w:rPr>
          <w:rFonts w:hint="eastAsia"/>
        </w:rPr>
        <w:t xml:space="preserve"> the JFTC</w:t>
      </w:r>
      <w:r>
        <w:t>’</w:t>
      </w:r>
      <w:r>
        <w:rPr>
          <w:rFonts w:hint="eastAsia"/>
        </w:rPr>
        <w:t xml:space="preserve">s enforcement structure became </w:t>
      </w:r>
      <w:r>
        <w:t>symbolically</w:t>
      </w:r>
      <w:r>
        <w:rPr>
          <w:rFonts w:hint="eastAsia"/>
        </w:rPr>
        <w:t xml:space="preserve"> and practically important during </w:t>
      </w:r>
      <w:r w:rsidR="0002088F">
        <w:t xml:space="preserve">the </w:t>
      </w:r>
      <w:r>
        <w:rPr>
          <w:rFonts w:hint="eastAsia"/>
        </w:rPr>
        <w:t>SII</w:t>
      </w:r>
      <w:r>
        <w:t>’</w:t>
      </w:r>
      <w:r>
        <w:rPr>
          <w:rFonts w:hint="eastAsia"/>
        </w:rPr>
        <w:t>s implementation after 1989 (Frayer 2006 p.216). T</w:t>
      </w:r>
      <w:r>
        <w:t>h</w:t>
      </w:r>
      <w:r>
        <w:rPr>
          <w:rFonts w:hint="eastAsia"/>
        </w:rPr>
        <w:t xml:space="preserve">ree significant actors supported this theme: the US government (the Department of Justice Antitrust Division), </w:t>
      </w:r>
      <w:r w:rsidRPr="00E3074B">
        <w:rPr>
          <w:rFonts w:hint="eastAsia"/>
          <w:i/>
        </w:rPr>
        <w:t>K</w:t>
      </w:r>
      <w:r w:rsidRPr="00E3074B">
        <w:rPr>
          <w:i/>
        </w:rPr>
        <w:t>e</w:t>
      </w:r>
      <w:r w:rsidRPr="00E3074B">
        <w:rPr>
          <w:rFonts w:hint="eastAsia"/>
          <w:i/>
        </w:rPr>
        <w:t>idanren</w:t>
      </w:r>
      <w:r>
        <w:rPr>
          <w:rFonts w:hint="eastAsia"/>
        </w:rPr>
        <w:t xml:space="preserve">, and the ruling coalition of the day including the LDP (Freyer 2006 p.216). The expansion of the JFTC was </w:t>
      </w:r>
      <w:r>
        <w:t>evidenced</w:t>
      </w:r>
      <w:r>
        <w:rPr>
          <w:rFonts w:hint="eastAsia"/>
        </w:rPr>
        <w:t xml:space="preserve"> in the form of </w:t>
      </w:r>
      <w:r>
        <w:t xml:space="preserve">its </w:t>
      </w:r>
      <w:r>
        <w:rPr>
          <w:rFonts w:hint="eastAsia"/>
        </w:rPr>
        <w:t xml:space="preserve">upgrading. Promoting the rank of the JFTC senior staff (e.g. </w:t>
      </w:r>
      <w:r w:rsidR="006F5035">
        <w:t xml:space="preserve">the </w:t>
      </w:r>
      <w:r>
        <w:rPr>
          <w:rFonts w:hint="eastAsia"/>
        </w:rPr>
        <w:t xml:space="preserve">Secretary-General from the Bureau chief level to the Vice-Minister level) substantially enhanced </w:t>
      </w:r>
      <w:r>
        <w:t>t</w:t>
      </w:r>
      <w:r>
        <w:rPr>
          <w:rFonts w:hint="eastAsia"/>
        </w:rPr>
        <w:t>he JFTC</w:t>
      </w:r>
      <w:r>
        <w:t>’</w:t>
      </w:r>
      <w:r>
        <w:rPr>
          <w:rFonts w:hint="eastAsia"/>
        </w:rPr>
        <w:t xml:space="preserve">s </w:t>
      </w:r>
      <w:r>
        <w:t>negotiating</w:t>
      </w:r>
      <w:r>
        <w:rPr>
          <w:rFonts w:hint="eastAsia"/>
        </w:rPr>
        <w:t xml:space="preserve"> power in bureaucracy, as well as its enforcement capacity (Freyer 2006 p.218, Tsuruta 1997 p.182).</w:t>
      </w:r>
    </w:p>
    <w:p w14:paraId="56F52654" w14:textId="067696FB" w:rsidR="007D1693" w:rsidRDefault="007D1693" w:rsidP="00BF2553">
      <w:pPr>
        <w:ind w:firstLine="284"/>
      </w:pPr>
      <w:r>
        <w:rPr>
          <w:rFonts w:hint="eastAsia"/>
        </w:rPr>
        <w:t xml:space="preserve">Another significant issue </w:t>
      </w:r>
      <w:r>
        <w:t>emerged in relation to the relaxing</w:t>
      </w:r>
      <w:r>
        <w:rPr>
          <w:rFonts w:hint="eastAsia"/>
        </w:rPr>
        <w:t xml:space="preserve"> </w:t>
      </w:r>
      <w:r>
        <w:t xml:space="preserve">of </w:t>
      </w:r>
      <w:r>
        <w:rPr>
          <w:rFonts w:hint="eastAsia"/>
        </w:rPr>
        <w:t>the holding company</w:t>
      </w:r>
      <w:r>
        <w:t xml:space="preserve"> prohibition</w:t>
      </w:r>
      <w:r>
        <w:rPr>
          <w:rFonts w:hint="eastAsia"/>
        </w:rPr>
        <w:t xml:space="preserve">. Japan was </w:t>
      </w:r>
      <w:r w:rsidR="00BF2553">
        <w:t>unusual</w:t>
      </w:r>
      <w:r>
        <w:rPr>
          <w:rFonts w:hint="eastAsia"/>
        </w:rPr>
        <w:t xml:space="preserve"> </w:t>
      </w:r>
      <w:r>
        <w:t xml:space="preserve">for </w:t>
      </w:r>
      <w:r>
        <w:rPr>
          <w:rFonts w:hint="eastAsia"/>
        </w:rPr>
        <w:t xml:space="preserve">supporting </w:t>
      </w:r>
      <w:r>
        <w:t xml:space="preserve">an outright ban on </w:t>
      </w:r>
      <w:r>
        <w:rPr>
          <w:rFonts w:hint="eastAsia"/>
        </w:rPr>
        <w:t xml:space="preserve">the holding company by Article 9 of the AMA as a measure to prevent the revival of the </w:t>
      </w:r>
      <w:r>
        <w:rPr>
          <w:i/>
        </w:rPr>
        <w:t>Z</w:t>
      </w:r>
      <w:r w:rsidRPr="004055A0">
        <w:rPr>
          <w:rFonts w:hint="eastAsia"/>
          <w:i/>
        </w:rPr>
        <w:t>aibatsu</w:t>
      </w:r>
      <w:r>
        <w:rPr>
          <w:rFonts w:hint="eastAsia"/>
        </w:rPr>
        <w:t xml:space="preserve"> </w:t>
      </w:r>
      <w:r>
        <w:t xml:space="preserve">despite the permission by </w:t>
      </w:r>
      <w:r>
        <w:rPr>
          <w:rFonts w:hint="eastAsia"/>
        </w:rPr>
        <w:t xml:space="preserve">other major industrial countries (Freyer 2006 p.217, Tsuruta 1997 p.180). </w:t>
      </w:r>
      <w:r>
        <w:t>However, th</w:t>
      </w:r>
      <w:r>
        <w:rPr>
          <w:rFonts w:hint="eastAsia"/>
        </w:rPr>
        <w:t>is issue</w:t>
      </w:r>
      <w:r>
        <w:t xml:space="preserve"> </w:t>
      </w:r>
      <w:r>
        <w:rPr>
          <w:rFonts w:hint="eastAsia"/>
        </w:rPr>
        <w:t xml:space="preserve">was </w:t>
      </w:r>
      <w:r>
        <w:t xml:space="preserve">domestically </w:t>
      </w:r>
      <w:r>
        <w:rPr>
          <w:rFonts w:hint="eastAsia"/>
        </w:rPr>
        <w:t>contentious</w:t>
      </w:r>
      <w:r>
        <w:t>.</w:t>
      </w:r>
      <w:r>
        <w:rPr>
          <w:rFonts w:hint="eastAsia"/>
        </w:rPr>
        <w:t xml:space="preserve"> </w:t>
      </w:r>
      <w:r w:rsidRPr="008C7FD2">
        <w:rPr>
          <w:rFonts w:hint="eastAsia"/>
          <w:i/>
          <w:iCs/>
        </w:rPr>
        <w:t>Keidanren</w:t>
      </w:r>
      <w:r>
        <w:rPr>
          <w:rFonts w:hint="eastAsia"/>
        </w:rPr>
        <w:t xml:space="preserve"> and the MITI supported the relaxation, while a group of party politicians including the SDPJ opposed it (Freyer 2006 pp.223-4, Uesugi 2007 p.200). </w:t>
      </w:r>
      <w:r>
        <w:t xml:space="preserve">The fact that this regulation prohibited </w:t>
      </w:r>
      <w:r>
        <w:rPr>
          <w:rFonts w:hint="eastAsia"/>
        </w:rPr>
        <w:t xml:space="preserve">all holding companies with no actual </w:t>
      </w:r>
      <w:r>
        <w:t>ant</w:t>
      </w:r>
      <w:r>
        <w:rPr>
          <w:rFonts w:hint="eastAsia"/>
        </w:rPr>
        <w:t>icompetitive behaviour</w:t>
      </w:r>
      <w:r>
        <w:t xml:space="preserve"> implies that its nature was ex ante</w:t>
      </w:r>
      <w:r>
        <w:rPr>
          <w:rFonts w:hint="eastAsia"/>
        </w:rPr>
        <w:t xml:space="preserve">. </w:t>
      </w:r>
      <w:r>
        <w:t>Therefore, r</w:t>
      </w:r>
      <w:r>
        <w:rPr>
          <w:rFonts w:hint="eastAsia"/>
        </w:rPr>
        <w:t>elaxing th</w:t>
      </w:r>
      <w:r>
        <w:t xml:space="preserve">e </w:t>
      </w:r>
      <w:r>
        <w:rPr>
          <w:rFonts w:hint="eastAsia"/>
        </w:rPr>
        <w:t xml:space="preserve">holding company </w:t>
      </w:r>
      <w:r>
        <w:t xml:space="preserve">prohibition </w:t>
      </w:r>
      <w:r>
        <w:rPr>
          <w:rFonts w:hint="eastAsia"/>
        </w:rPr>
        <w:t xml:space="preserve">can be interpreted as </w:t>
      </w:r>
      <w:r w:rsidR="00DA0AAC">
        <w:t>a</w:t>
      </w:r>
      <w:r>
        <w:rPr>
          <w:rFonts w:hint="eastAsia"/>
        </w:rPr>
        <w:t xml:space="preserve"> retreat from ex ante regulation.</w:t>
      </w:r>
    </w:p>
    <w:p w14:paraId="15CC4BD8" w14:textId="77777777" w:rsidR="007D1693" w:rsidRDefault="007D1693" w:rsidP="007D1693">
      <w:pPr>
        <w:ind w:firstLine="284"/>
      </w:pPr>
      <w:r>
        <w:rPr>
          <w:rFonts w:hint="eastAsia"/>
        </w:rPr>
        <w:t>T</w:t>
      </w:r>
      <w:r>
        <w:t>h</w:t>
      </w:r>
      <w:r>
        <w:rPr>
          <w:rFonts w:hint="eastAsia"/>
        </w:rPr>
        <w:t xml:space="preserve">e </w:t>
      </w:r>
      <w:r>
        <w:t>adoption</w:t>
      </w:r>
      <w:r>
        <w:rPr>
          <w:rFonts w:hint="eastAsia"/>
        </w:rPr>
        <w:t xml:space="preserve"> of these two measures by the Diet (JFTC upgrade: 1996, holding company regulation relaxation: 1997) </w:t>
      </w:r>
      <w:r w:rsidR="00DA0AAC">
        <w:t xml:space="preserve">is </w:t>
      </w:r>
      <w:r>
        <w:t>evidence</w:t>
      </w:r>
      <w:r w:rsidR="00DA0AAC">
        <w:t xml:space="preserve"> of</w:t>
      </w:r>
      <w:r>
        <w:t xml:space="preserve"> how much Japan’s antimonopoly policies have developed</w:t>
      </w:r>
      <w:r>
        <w:rPr>
          <w:rFonts w:hint="eastAsia"/>
        </w:rPr>
        <w:t xml:space="preserve">. </w:t>
      </w:r>
      <w:r>
        <w:t xml:space="preserve">They </w:t>
      </w:r>
      <w:r>
        <w:rPr>
          <w:rFonts w:hint="eastAsia"/>
        </w:rPr>
        <w:t>shifted from ex ante oriented to ex post oriented, focus</w:t>
      </w:r>
      <w:r>
        <w:t>ing on the AMA enforcement by the JFTC</w:t>
      </w:r>
      <w:r>
        <w:rPr>
          <w:rFonts w:hint="eastAsia"/>
        </w:rPr>
        <w:t>. T</w:t>
      </w:r>
      <w:r>
        <w:t>h</w:t>
      </w:r>
      <w:r>
        <w:rPr>
          <w:rFonts w:hint="eastAsia"/>
        </w:rPr>
        <w:t>e 2000s sustained this trend, as Prime Minister Jun</w:t>
      </w:r>
      <w:r>
        <w:t>’</w:t>
      </w:r>
      <w:r>
        <w:rPr>
          <w:rFonts w:hint="eastAsia"/>
        </w:rPr>
        <w:t xml:space="preserve">ichiro Koizumi </w:t>
      </w:r>
      <w:r>
        <w:t xml:space="preserve">(2001-06) </w:t>
      </w:r>
      <w:r>
        <w:rPr>
          <w:rFonts w:hint="eastAsia"/>
        </w:rPr>
        <w:t xml:space="preserve">urged in his policy speech in May 2001: </w:t>
      </w:r>
      <w:r>
        <w:t>‘</w:t>
      </w:r>
      <w:r>
        <w:rPr>
          <w:rFonts w:hint="eastAsia"/>
        </w:rPr>
        <w:t xml:space="preserve">to strengthen the organisation of the Fair Trade Commission and establish </w:t>
      </w:r>
      <w:r>
        <w:t>competition</w:t>
      </w:r>
      <w:r>
        <w:rPr>
          <w:rFonts w:hint="eastAsia"/>
        </w:rPr>
        <w:t xml:space="preserve"> policies suitable for the </w:t>
      </w:r>
      <w:r>
        <w:t>twenty-first</w:t>
      </w:r>
      <w:r>
        <w:rPr>
          <w:rFonts w:hint="eastAsia"/>
        </w:rPr>
        <w:t xml:space="preserve"> century</w:t>
      </w:r>
      <w:r>
        <w:t>’</w:t>
      </w:r>
      <w:r>
        <w:rPr>
          <w:rFonts w:hint="eastAsia"/>
        </w:rPr>
        <w:t>.</w:t>
      </w:r>
    </w:p>
    <w:p w14:paraId="59866373" w14:textId="77777777" w:rsidR="007D1693" w:rsidRDefault="007D1693" w:rsidP="005E4191">
      <w:pPr>
        <w:ind w:firstLine="284"/>
      </w:pPr>
      <w:r>
        <w:t xml:space="preserve">The impact of the Koizumi government (2001-06) was evident in the 2000s. One of the most significant events in antimonopoly </w:t>
      </w:r>
      <w:r w:rsidR="006F5035">
        <w:t>regulation</w:t>
      </w:r>
      <w:r>
        <w:t xml:space="preserve"> during this period was the introduction of a leniency programme for surcharge in 2006</w:t>
      </w:r>
      <w:r>
        <w:rPr>
          <w:rStyle w:val="FootnoteReference"/>
        </w:rPr>
        <w:footnoteReference w:id="74"/>
      </w:r>
      <w:r>
        <w:rPr>
          <w:rFonts w:hint="eastAsia"/>
        </w:rPr>
        <w:t xml:space="preserve"> </w:t>
      </w:r>
      <w:r>
        <w:t>by the AMA amendment in 2005 (</w:t>
      </w:r>
      <w:r w:rsidR="0024071A">
        <w:t>Table 6.4</w:t>
      </w:r>
      <w:r>
        <w:t>), together with the rise of surcharge rates. Japan’s leniency programme is linked to the surcharge system, because: ‘Japan’s criminal law does not usually countenance the use of leniency in this fashion</w:t>
      </w:r>
      <w:r w:rsidR="00723A4D">
        <w:rPr>
          <w:rFonts w:eastAsia="MS Mincho"/>
          <w:lang w:eastAsia="ja-JP"/>
        </w:rPr>
        <w:t>’</w:t>
      </w:r>
      <w:r>
        <w:t xml:space="preserve"> (OECD 2004 p.73).</w:t>
      </w:r>
      <w:r>
        <w:rPr>
          <w:rFonts w:hint="eastAsia"/>
        </w:rPr>
        <w:t xml:space="preserve"> </w:t>
      </w:r>
      <w:r>
        <w:t xml:space="preserve">The introduction of a leniency system was expected </w:t>
      </w:r>
      <w:r>
        <w:rPr>
          <w:rFonts w:hint="eastAsia"/>
        </w:rPr>
        <w:t>to enhance the capacity of the JFTC through giving incentives</w:t>
      </w:r>
      <w:r w:rsidR="00DA0AAC">
        <w:t xml:space="preserve"> to</w:t>
      </w:r>
      <w:r>
        <w:rPr>
          <w:rFonts w:hint="eastAsia"/>
        </w:rPr>
        <w:t xml:space="preserve"> those involved in cartels to report to the JFTC</w:t>
      </w:r>
      <w:r>
        <w:t>. The actual number of application</w:t>
      </w:r>
      <w:r w:rsidR="00DA0AAC">
        <w:t>s</w:t>
      </w:r>
      <w:r>
        <w:t xml:space="preserve"> in </w:t>
      </w:r>
      <w:r w:rsidR="0024071A">
        <w:rPr>
          <w:rFonts w:hint="eastAsia"/>
        </w:rPr>
        <w:t>Table 6.5</w:t>
      </w:r>
      <w:r>
        <w:t xml:space="preserve"> </w:t>
      </w:r>
      <w:r w:rsidR="008C6DC4">
        <w:t>suggests</w:t>
      </w:r>
      <w:r>
        <w:t xml:space="preserve"> that this expectation was right</w:t>
      </w:r>
      <w:r>
        <w:rPr>
          <w:rFonts w:hint="eastAsia"/>
        </w:rPr>
        <w:t>.</w:t>
      </w:r>
      <w:r>
        <w:t xml:space="preserve"> The staff and budget of the JFTC discernibly grew in this period, as Appendix </w:t>
      </w:r>
      <w:r w:rsidR="00136ED3">
        <w:rPr>
          <w:rFonts w:eastAsia="MS Mincho" w:hint="eastAsia"/>
          <w:lang w:eastAsia="ja-JP"/>
        </w:rPr>
        <w:t>4</w:t>
      </w:r>
      <w:r>
        <w:t xml:space="preserve"> reveals. For example, the JFTC’s budget grew by </w:t>
      </w:r>
      <w:r w:rsidR="004B6F21">
        <w:t>more than</w:t>
      </w:r>
      <w:r>
        <w:t>1 million yen from 6,035,756 thousand yen in 2001 to 7,686,000 thousand yen in 2002.</w:t>
      </w:r>
    </w:p>
    <w:p w14:paraId="13A225A5" w14:textId="77777777" w:rsidR="007D1693" w:rsidRDefault="007D1693" w:rsidP="007D1693"/>
    <w:p w14:paraId="4E8AEFE0" w14:textId="77777777" w:rsidR="007D1693" w:rsidRPr="00095274" w:rsidRDefault="0024071A" w:rsidP="005E4191">
      <w:pPr>
        <w:pStyle w:val="Heading4"/>
      </w:pPr>
      <w:r>
        <w:t>Table 6.4</w:t>
      </w:r>
      <w:r w:rsidR="007D1693" w:rsidRPr="00095274">
        <w:t>: The major points of the amendment to the AMA in 2005 (based on Takeshima</w:t>
      </w:r>
      <w:r w:rsidR="007D1693" w:rsidRPr="00095274">
        <w:rPr>
          <w:rStyle w:val="FootnoteReference"/>
        </w:rPr>
        <w:footnoteReference w:id="75"/>
      </w:r>
      <w:r w:rsidR="007D1693" w:rsidRPr="00095274">
        <w:t xml:space="preserve"> 2007)</w:t>
      </w:r>
    </w:p>
    <w:tbl>
      <w:tblPr>
        <w:tblStyle w:val="TableGrid"/>
        <w:tblW w:w="0" w:type="auto"/>
        <w:tblLook w:val="04A0" w:firstRow="1" w:lastRow="0" w:firstColumn="1" w:lastColumn="0" w:noHBand="0" w:noVBand="1"/>
      </w:tblPr>
      <w:tblGrid>
        <w:gridCol w:w="8720"/>
      </w:tblGrid>
      <w:tr w:rsidR="007D1693" w14:paraId="00225D8D" w14:textId="77777777" w:rsidTr="0030198F">
        <w:tc>
          <w:tcPr>
            <w:tcW w:w="9286" w:type="dxa"/>
          </w:tcPr>
          <w:p w14:paraId="43214269" w14:textId="77777777" w:rsidR="007D1693" w:rsidRDefault="007D1693" w:rsidP="0030198F">
            <w:pPr>
              <w:pStyle w:val="NoSpacing"/>
            </w:pPr>
          </w:p>
          <w:p w14:paraId="6DFD8E68" w14:textId="77777777" w:rsidR="007D1693" w:rsidRPr="00095274" w:rsidRDefault="00DA0AAC" w:rsidP="001B6C05">
            <w:pPr>
              <w:pStyle w:val="NoSpacing"/>
              <w:numPr>
                <w:ilvl w:val="0"/>
                <w:numId w:val="56"/>
              </w:numPr>
              <w:ind w:left="284" w:hanging="284"/>
              <w:rPr>
                <w:b/>
              </w:rPr>
            </w:pPr>
            <w:r>
              <w:rPr>
                <w:b/>
              </w:rPr>
              <w:t>S</w:t>
            </w:r>
            <w:r w:rsidR="007D1693" w:rsidRPr="00095274">
              <w:rPr>
                <w:rFonts w:hint="eastAsia"/>
                <w:b/>
              </w:rPr>
              <w:t xml:space="preserve">urcharge rates </w:t>
            </w:r>
            <w:r w:rsidR="007D1693" w:rsidRPr="00095274">
              <w:rPr>
                <w:b/>
              </w:rPr>
              <w:t>increase</w:t>
            </w:r>
          </w:p>
          <w:p w14:paraId="334D2AF0" w14:textId="77777777" w:rsidR="007D1693" w:rsidRDefault="007D1693" w:rsidP="00B52ED6">
            <w:pPr>
              <w:pStyle w:val="NoSpacing"/>
              <w:ind w:left="284"/>
            </w:pPr>
            <w:r>
              <w:t>S</w:t>
            </w:r>
            <w:r w:rsidRPr="001E1F5C">
              <w:t>urcharge rates imposed on AMA</w:t>
            </w:r>
            <w:r>
              <w:t xml:space="preserve"> violators were increased</w:t>
            </w:r>
            <w:r w:rsidRPr="001E1F5C">
              <w:t xml:space="preserve"> from 6</w:t>
            </w:r>
            <w:r w:rsidR="00B52ED6">
              <w:t xml:space="preserve"> percent</w:t>
            </w:r>
            <w:r w:rsidRPr="001E1F5C">
              <w:t xml:space="preserve"> to 10</w:t>
            </w:r>
            <w:r w:rsidR="00B52ED6">
              <w:t xml:space="preserve"> percent</w:t>
            </w:r>
            <w:r w:rsidRPr="001E1F5C">
              <w:t xml:space="preserve"> of the related</w:t>
            </w:r>
            <w:r>
              <w:t xml:space="preserve"> </w:t>
            </w:r>
            <w:r w:rsidRPr="001E1F5C">
              <w:t>turnover for the large-sized enterprises and application of 50</w:t>
            </w:r>
            <w:r w:rsidR="00B52ED6">
              <w:t xml:space="preserve"> percent</w:t>
            </w:r>
            <w:r w:rsidRPr="001E1F5C">
              <w:t xml:space="preserve"> higher rates to</w:t>
            </w:r>
            <w:r>
              <w:t xml:space="preserve"> </w:t>
            </w:r>
            <w:r w:rsidRPr="001E1F5C">
              <w:t>repeat offenders.</w:t>
            </w:r>
          </w:p>
          <w:p w14:paraId="3274F61B" w14:textId="77777777" w:rsidR="007D1693" w:rsidRDefault="007D1693" w:rsidP="0030198F">
            <w:pPr>
              <w:pStyle w:val="NoSpacing"/>
            </w:pPr>
          </w:p>
          <w:p w14:paraId="4C123722" w14:textId="77777777" w:rsidR="007D1693" w:rsidRPr="00095274" w:rsidRDefault="007D1693" w:rsidP="001B6C05">
            <w:pPr>
              <w:pStyle w:val="NoSpacing"/>
              <w:numPr>
                <w:ilvl w:val="0"/>
                <w:numId w:val="56"/>
              </w:numPr>
              <w:ind w:left="284" w:hanging="284"/>
              <w:rPr>
                <w:b/>
              </w:rPr>
            </w:pPr>
            <w:r w:rsidRPr="00095274">
              <w:rPr>
                <w:b/>
              </w:rPr>
              <w:t>The introduction of criminal investigation authority to the JFTC</w:t>
            </w:r>
          </w:p>
          <w:p w14:paraId="71D9FE92" w14:textId="77777777" w:rsidR="007D1693" w:rsidRPr="001E1F5C" w:rsidRDefault="007D1693" w:rsidP="0030198F">
            <w:pPr>
              <w:pStyle w:val="NoSpacing"/>
              <w:ind w:left="284"/>
            </w:pPr>
            <w:r>
              <w:t xml:space="preserve">The JFTC was authorised to conduct criminal investigation </w:t>
            </w:r>
            <w:r w:rsidRPr="001E1F5C">
              <w:t>in order for the JFTC to treat serious violation in a more strict and</w:t>
            </w:r>
            <w:r>
              <w:t xml:space="preserve"> </w:t>
            </w:r>
            <w:r w:rsidRPr="001E1F5C">
              <w:t>effective manner, which is expected to enable the JFTC to file criminal accusations</w:t>
            </w:r>
            <w:r>
              <w:t xml:space="preserve"> </w:t>
            </w:r>
            <w:r w:rsidRPr="001E1F5C">
              <w:t>much more aggressively.</w:t>
            </w:r>
          </w:p>
          <w:p w14:paraId="53082478" w14:textId="77777777" w:rsidR="007D1693" w:rsidRDefault="007D1693" w:rsidP="0030198F">
            <w:pPr>
              <w:pStyle w:val="NoSpacing"/>
            </w:pPr>
          </w:p>
          <w:p w14:paraId="7A6BEC20" w14:textId="7C976D0A" w:rsidR="007D1693" w:rsidRPr="00095274" w:rsidRDefault="007D1693" w:rsidP="00395F7D">
            <w:pPr>
              <w:pStyle w:val="NoSpacing"/>
              <w:numPr>
                <w:ilvl w:val="0"/>
                <w:numId w:val="56"/>
              </w:numPr>
              <w:ind w:left="284" w:hanging="284"/>
              <w:rPr>
                <w:b/>
              </w:rPr>
            </w:pPr>
            <w:r w:rsidRPr="00095274">
              <w:rPr>
                <w:b/>
              </w:rPr>
              <w:t xml:space="preserve">The introduction of a leniency programme for surcharge (see footnote </w:t>
            </w:r>
            <w:r w:rsidR="00395F7D">
              <w:rPr>
                <w:rFonts w:eastAsia="MS Mincho"/>
                <w:b/>
                <w:lang w:eastAsia="ja-JP"/>
              </w:rPr>
              <w:t>74</w:t>
            </w:r>
            <w:r w:rsidRPr="00095274">
              <w:rPr>
                <w:b/>
              </w:rPr>
              <w:t>)</w:t>
            </w:r>
          </w:p>
          <w:p w14:paraId="194E9458" w14:textId="77777777" w:rsidR="007D1693" w:rsidRDefault="007D1693" w:rsidP="0030198F">
            <w:pPr>
              <w:pStyle w:val="NoSpacing"/>
            </w:pPr>
          </w:p>
          <w:p w14:paraId="769DAC3D" w14:textId="77777777" w:rsidR="007D1693" w:rsidRPr="00095274" w:rsidRDefault="007D1693" w:rsidP="001B6C05">
            <w:pPr>
              <w:pStyle w:val="NoSpacing"/>
              <w:numPr>
                <w:ilvl w:val="0"/>
                <w:numId w:val="56"/>
              </w:numPr>
              <w:ind w:left="284" w:hanging="284"/>
              <w:rPr>
                <w:b/>
              </w:rPr>
            </w:pPr>
            <w:r w:rsidRPr="00095274">
              <w:rPr>
                <w:b/>
              </w:rPr>
              <w:t>The transformation of the complaint system (</w:t>
            </w:r>
            <w:r w:rsidRPr="00095274">
              <w:rPr>
                <w:b/>
                <w:i/>
              </w:rPr>
              <w:t xml:space="preserve">Shinpan </w:t>
            </w:r>
            <w:r w:rsidRPr="00095274">
              <w:rPr>
                <w:rFonts w:hint="eastAsia"/>
                <w:b/>
                <w:i/>
              </w:rPr>
              <w:t>S</w:t>
            </w:r>
            <w:r w:rsidRPr="00095274">
              <w:rPr>
                <w:b/>
                <w:i/>
              </w:rPr>
              <w:t>eido</w:t>
            </w:r>
            <w:r w:rsidRPr="00095274">
              <w:rPr>
                <w:b/>
              </w:rPr>
              <w:t>)</w:t>
            </w:r>
          </w:p>
          <w:p w14:paraId="19E589D0" w14:textId="77777777" w:rsidR="007D1693" w:rsidRDefault="007D1693" w:rsidP="0030198F">
            <w:pPr>
              <w:pStyle w:val="NoSpacing"/>
              <w:ind w:left="284"/>
            </w:pPr>
            <w:r>
              <w:t>The JFTC’s</w:t>
            </w:r>
            <w:r w:rsidRPr="005A422E">
              <w:t xml:space="preserve"> complaint system changed from </w:t>
            </w:r>
            <w:r>
              <w:t>a place</w:t>
            </w:r>
            <w:r w:rsidRPr="005A422E">
              <w:t xml:space="preserve"> in which alleged firms ha</w:t>
            </w:r>
            <w:r>
              <w:t>d</w:t>
            </w:r>
            <w:r w:rsidRPr="005A422E">
              <w:t xml:space="preserve"> oppo</w:t>
            </w:r>
            <w:r>
              <w:t>r</w:t>
            </w:r>
            <w:r w:rsidRPr="005A422E">
              <w:t>tunit</w:t>
            </w:r>
            <w:r>
              <w:t>ies to submit their claims in writing before the JFTC’s decision to</w:t>
            </w:r>
            <w:r w:rsidR="00DA0AAC">
              <w:t xml:space="preserve"> </w:t>
            </w:r>
            <w:r>
              <w:t>one in which the firms can file complaints about the JFTC’s actions (typically issuing cease-and-desist orders) afterwards.</w:t>
            </w:r>
            <w:r w:rsidRPr="005A422E">
              <w:t xml:space="preserve"> </w:t>
            </w:r>
          </w:p>
          <w:p w14:paraId="15E4A889" w14:textId="77777777" w:rsidR="007D1693" w:rsidRPr="005A422E" w:rsidRDefault="007D1693" w:rsidP="0030198F">
            <w:pPr>
              <w:pStyle w:val="NoSpacing"/>
            </w:pPr>
          </w:p>
        </w:tc>
      </w:tr>
    </w:tbl>
    <w:p w14:paraId="416B8C2A" w14:textId="77777777" w:rsidR="007D1693" w:rsidRDefault="007D1693" w:rsidP="007D1693"/>
    <w:p w14:paraId="55ED0BF6" w14:textId="77777777" w:rsidR="007D1693" w:rsidRDefault="0024071A" w:rsidP="005E4191">
      <w:pPr>
        <w:pStyle w:val="Heading4"/>
      </w:pPr>
      <w:r>
        <w:rPr>
          <w:rFonts w:hint="eastAsia"/>
        </w:rPr>
        <w:t>Table 6.5</w:t>
      </w:r>
      <w:r w:rsidR="007D1693" w:rsidRPr="00095274">
        <w:rPr>
          <w:rFonts w:hint="eastAsia"/>
        </w:rPr>
        <w:t>: T</w:t>
      </w:r>
      <w:r w:rsidR="007D1693" w:rsidRPr="00095274">
        <w:t>h</w:t>
      </w:r>
      <w:r w:rsidR="007D1693" w:rsidRPr="00095274">
        <w:rPr>
          <w:rFonts w:hint="eastAsia"/>
        </w:rPr>
        <w:t>e number of application</w:t>
      </w:r>
      <w:r w:rsidR="00DA0AAC">
        <w:t>s</w:t>
      </w:r>
      <w:r w:rsidR="007D1693" w:rsidRPr="00095274">
        <w:rPr>
          <w:rFonts w:hint="eastAsia"/>
        </w:rPr>
        <w:t xml:space="preserve"> to the leniency programme (JFTC 2011)</w:t>
      </w:r>
    </w:p>
    <w:p w14:paraId="01F0C964" w14:textId="77777777" w:rsidR="007D1693" w:rsidRDefault="007D1693" w:rsidP="00D82A08">
      <w:pPr>
        <w:pStyle w:val="NoSpacing"/>
      </w:pPr>
    </w:p>
    <w:tbl>
      <w:tblPr>
        <w:tblStyle w:val="TableGrid"/>
        <w:tblW w:w="0" w:type="auto"/>
        <w:tblLook w:val="04A0" w:firstRow="1" w:lastRow="0" w:firstColumn="1" w:lastColumn="0" w:noHBand="0" w:noVBand="1"/>
      </w:tblPr>
      <w:tblGrid>
        <w:gridCol w:w="3677"/>
        <w:gridCol w:w="708"/>
        <w:gridCol w:w="709"/>
        <w:gridCol w:w="709"/>
        <w:gridCol w:w="709"/>
        <w:gridCol w:w="708"/>
        <w:gridCol w:w="709"/>
        <w:gridCol w:w="791"/>
      </w:tblGrid>
      <w:tr w:rsidR="00D82A08" w14:paraId="4B8CADAE" w14:textId="77777777" w:rsidTr="00D82A08">
        <w:tc>
          <w:tcPr>
            <w:tcW w:w="3677" w:type="dxa"/>
          </w:tcPr>
          <w:p w14:paraId="0D6ABFD2" w14:textId="77777777" w:rsidR="00D82A08" w:rsidRDefault="00D82A08" w:rsidP="00D82A08">
            <w:pPr>
              <w:pStyle w:val="NoSpacing"/>
            </w:pPr>
            <w:r>
              <w:rPr>
                <w:rFonts w:hint="eastAsia"/>
              </w:rPr>
              <w:t>Financial Year (1 April - 31 March)</w:t>
            </w:r>
          </w:p>
        </w:tc>
        <w:tc>
          <w:tcPr>
            <w:tcW w:w="708" w:type="dxa"/>
          </w:tcPr>
          <w:p w14:paraId="534DA180" w14:textId="77777777" w:rsidR="00D82A08" w:rsidRDefault="00D82A08" w:rsidP="00D82A08">
            <w:pPr>
              <w:pStyle w:val="NoSpacing"/>
            </w:pPr>
            <w:r>
              <w:rPr>
                <w:rFonts w:hint="eastAsia"/>
              </w:rPr>
              <w:t>2005</w:t>
            </w:r>
          </w:p>
        </w:tc>
        <w:tc>
          <w:tcPr>
            <w:tcW w:w="709" w:type="dxa"/>
          </w:tcPr>
          <w:p w14:paraId="64397D8B" w14:textId="77777777" w:rsidR="00D82A08" w:rsidRDefault="00D82A08" w:rsidP="00D82A08">
            <w:pPr>
              <w:pStyle w:val="NoSpacing"/>
            </w:pPr>
            <w:r>
              <w:rPr>
                <w:rFonts w:hint="eastAsia"/>
              </w:rPr>
              <w:t>2006</w:t>
            </w:r>
          </w:p>
        </w:tc>
        <w:tc>
          <w:tcPr>
            <w:tcW w:w="709" w:type="dxa"/>
          </w:tcPr>
          <w:p w14:paraId="0C9239BB" w14:textId="77777777" w:rsidR="00D82A08" w:rsidRDefault="00D82A08" w:rsidP="00D82A08">
            <w:pPr>
              <w:pStyle w:val="NoSpacing"/>
            </w:pPr>
            <w:r>
              <w:rPr>
                <w:rFonts w:hint="eastAsia"/>
              </w:rPr>
              <w:t>2007</w:t>
            </w:r>
          </w:p>
        </w:tc>
        <w:tc>
          <w:tcPr>
            <w:tcW w:w="709" w:type="dxa"/>
          </w:tcPr>
          <w:p w14:paraId="60BD748D" w14:textId="77777777" w:rsidR="00D82A08" w:rsidRDefault="00D82A08" w:rsidP="00D82A08">
            <w:pPr>
              <w:pStyle w:val="NoSpacing"/>
            </w:pPr>
            <w:r>
              <w:rPr>
                <w:rFonts w:hint="eastAsia"/>
              </w:rPr>
              <w:t>2008</w:t>
            </w:r>
          </w:p>
        </w:tc>
        <w:tc>
          <w:tcPr>
            <w:tcW w:w="708" w:type="dxa"/>
          </w:tcPr>
          <w:p w14:paraId="5F2D3936" w14:textId="77777777" w:rsidR="00D82A08" w:rsidRDefault="00D82A08" w:rsidP="00D82A08">
            <w:pPr>
              <w:pStyle w:val="NoSpacing"/>
            </w:pPr>
            <w:r>
              <w:rPr>
                <w:rFonts w:hint="eastAsia"/>
              </w:rPr>
              <w:t>2009</w:t>
            </w:r>
          </w:p>
        </w:tc>
        <w:tc>
          <w:tcPr>
            <w:tcW w:w="709" w:type="dxa"/>
          </w:tcPr>
          <w:p w14:paraId="64F8AD59" w14:textId="77777777" w:rsidR="00D82A08" w:rsidRDefault="00D82A08" w:rsidP="00D82A08">
            <w:pPr>
              <w:pStyle w:val="NoSpacing"/>
            </w:pPr>
            <w:r>
              <w:rPr>
                <w:rFonts w:hint="eastAsia"/>
              </w:rPr>
              <w:t>2010</w:t>
            </w:r>
          </w:p>
        </w:tc>
        <w:tc>
          <w:tcPr>
            <w:tcW w:w="791" w:type="dxa"/>
          </w:tcPr>
          <w:p w14:paraId="331F1C47" w14:textId="77777777" w:rsidR="00D82A08" w:rsidRDefault="00D82A08" w:rsidP="00D82A08">
            <w:pPr>
              <w:pStyle w:val="NoSpacing"/>
            </w:pPr>
            <w:r>
              <w:rPr>
                <w:rFonts w:hint="eastAsia"/>
              </w:rPr>
              <w:t>Total</w:t>
            </w:r>
          </w:p>
        </w:tc>
      </w:tr>
      <w:tr w:rsidR="00D82A08" w14:paraId="67EBA6A7" w14:textId="77777777" w:rsidTr="00D82A08">
        <w:tc>
          <w:tcPr>
            <w:tcW w:w="3677" w:type="dxa"/>
          </w:tcPr>
          <w:p w14:paraId="6EEFB68A" w14:textId="77777777" w:rsidR="00D82A08" w:rsidRDefault="00D82A08" w:rsidP="00D82A08">
            <w:pPr>
              <w:pStyle w:val="NoSpacing"/>
            </w:pPr>
            <w:r>
              <w:rPr>
                <w:rFonts w:hint="eastAsia"/>
              </w:rPr>
              <w:t>T</w:t>
            </w:r>
            <w:r>
              <w:t>h</w:t>
            </w:r>
            <w:r>
              <w:rPr>
                <w:rFonts w:hint="eastAsia"/>
              </w:rPr>
              <w:t>e number of applications</w:t>
            </w:r>
          </w:p>
        </w:tc>
        <w:tc>
          <w:tcPr>
            <w:tcW w:w="708" w:type="dxa"/>
          </w:tcPr>
          <w:p w14:paraId="7D3AAD29" w14:textId="77777777" w:rsidR="00D82A08" w:rsidRDefault="00D82A08" w:rsidP="00D82A08">
            <w:pPr>
              <w:pStyle w:val="NoSpacing"/>
            </w:pPr>
            <w:r>
              <w:rPr>
                <w:rFonts w:hint="eastAsia"/>
              </w:rPr>
              <w:t>26</w:t>
            </w:r>
          </w:p>
        </w:tc>
        <w:tc>
          <w:tcPr>
            <w:tcW w:w="709" w:type="dxa"/>
          </w:tcPr>
          <w:p w14:paraId="4F1206CA" w14:textId="77777777" w:rsidR="00D82A08" w:rsidRDefault="00D82A08" w:rsidP="00D82A08">
            <w:pPr>
              <w:pStyle w:val="NoSpacing"/>
            </w:pPr>
            <w:r>
              <w:rPr>
                <w:rFonts w:hint="eastAsia"/>
              </w:rPr>
              <w:t>79</w:t>
            </w:r>
          </w:p>
        </w:tc>
        <w:tc>
          <w:tcPr>
            <w:tcW w:w="709" w:type="dxa"/>
          </w:tcPr>
          <w:p w14:paraId="019B47D5" w14:textId="77777777" w:rsidR="00D82A08" w:rsidRDefault="00D82A08" w:rsidP="00D82A08">
            <w:pPr>
              <w:pStyle w:val="NoSpacing"/>
            </w:pPr>
            <w:r>
              <w:rPr>
                <w:rFonts w:hint="eastAsia"/>
              </w:rPr>
              <w:t>74</w:t>
            </w:r>
          </w:p>
        </w:tc>
        <w:tc>
          <w:tcPr>
            <w:tcW w:w="709" w:type="dxa"/>
          </w:tcPr>
          <w:p w14:paraId="3D1F5EB1" w14:textId="77777777" w:rsidR="00D82A08" w:rsidRDefault="00D82A08" w:rsidP="00D82A08">
            <w:pPr>
              <w:pStyle w:val="NoSpacing"/>
            </w:pPr>
            <w:r>
              <w:rPr>
                <w:rFonts w:hint="eastAsia"/>
              </w:rPr>
              <w:t>85</w:t>
            </w:r>
          </w:p>
        </w:tc>
        <w:tc>
          <w:tcPr>
            <w:tcW w:w="708" w:type="dxa"/>
          </w:tcPr>
          <w:p w14:paraId="77807B80" w14:textId="77777777" w:rsidR="00D82A08" w:rsidRDefault="00D82A08" w:rsidP="00D82A08">
            <w:pPr>
              <w:pStyle w:val="NoSpacing"/>
            </w:pPr>
            <w:r>
              <w:rPr>
                <w:rFonts w:hint="eastAsia"/>
              </w:rPr>
              <w:t>85</w:t>
            </w:r>
          </w:p>
        </w:tc>
        <w:tc>
          <w:tcPr>
            <w:tcW w:w="709" w:type="dxa"/>
          </w:tcPr>
          <w:p w14:paraId="170EC295" w14:textId="77777777" w:rsidR="00D82A08" w:rsidRDefault="00D82A08" w:rsidP="00D82A08">
            <w:pPr>
              <w:pStyle w:val="NoSpacing"/>
            </w:pPr>
            <w:r>
              <w:rPr>
                <w:rFonts w:hint="eastAsia"/>
              </w:rPr>
              <w:t>131</w:t>
            </w:r>
          </w:p>
        </w:tc>
        <w:tc>
          <w:tcPr>
            <w:tcW w:w="791" w:type="dxa"/>
          </w:tcPr>
          <w:p w14:paraId="2C4B82F4" w14:textId="77777777" w:rsidR="00D82A08" w:rsidRDefault="00D82A08" w:rsidP="00D82A08">
            <w:pPr>
              <w:pStyle w:val="NoSpacing"/>
            </w:pPr>
            <w:r>
              <w:rPr>
                <w:rFonts w:hint="eastAsia"/>
              </w:rPr>
              <w:t>480</w:t>
            </w:r>
          </w:p>
        </w:tc>
      </w:tr>
    </w:tbl>
    <w:p w14:paraId="5665309B" w14:textId="77777777" w:rsidR="00855654" w:rsidRDefault="00855654" w:rsidP="00855654"/>
    <w:p w14:paraId="03067F48" w14:textId="0FEFE023" w:rsidR="00A30D40" w:rsidRDefault="0084483F" w:rsidP="00634A50">
      <w:pPr>
        <w:ind w:firstLine="284"/>
      </w:pPr>
      <w:r>
        <w:t xml:space="preserve">The governing framework within Japan’s antimonopoly regulation has a similar </w:t>
      </w:r>
      <w:r w:rsidR="008217CD">
        <w:t xml:space="preserve">set of </w:t>
      </w:r>
      <w:r>
        <w:t>characteristic</w:t>
      </w:r>
      <w:r w:rsidR="008217CD">
        <w:t>s</w:t>
      </w:r>
      <w:r>
        <w:t xml:space="preserve"> to that of ICT regulation. Until </w:t>
      </w:r>
      <w:r w:rsidR="008217CD">
        <w:t xml:space="preserve">the </w:t>
      </w:r>
      <w:r>
        <w:t xml:space="preserve">government change in 2009, the key </w:t>
      </w:r>
      <w:r w:rsidR="00E034D4">
        <w:t>actor</w:t>
      </w:r>
      <w:r>
        <w:t xml:space="preserve"> in shaping </w:t>
      </w:r>
      <w:r w:rsidR="008B501D">
        <w:t>major</w:t>
      </w:r>
      <w:r>
        <w:t xml:space="preserve"> decisions was the ruling party; the LDP’s AMA Examination Committee, which </w:t>
      </w:r>
      <w:r w:rsidR="003C2766">
        <w:t>w</w:t>
      </w:r>
      <w:r>
        <w:t xml:space="preserve">as </w:t>
      </w:r>
      <w:r w:rsidR="003C2766">
        <w:t>an</w:t>
      </w:r>
      <w:r>
        <w:t xml:space="preserve"> equivalent to divisions, had a significant role within the PARC. </w:t>
      </w:r>
      <w:r w:rsidR="00DB5BAE">
        <w:t xml:space="preserve">The Committee offered an arena where a </w:t>
      </w:r>
      <w:r>
        <w:t>group of party politicians involved in issues related to antimonopoly regulation such as Yamanaka</w:t>
      </w:r>
      <w:r w:rsidR="00DB5BAE">
        <w:t xml:space="preserve"> shaped key decisions. </w:t>
      </w:r>
      <w:r w:rsidR="008217CD">
        <w:t>In the 1990s, t</w:t>
      </w:r>
      <w:r w:rsidR="003864B9">
        <w:t>he existence of coalition government between the LDP and its partners such as the SDP</w:t>
      </w:r>
      <w:r w:rsidR="003C2766">
        <w:t>J</w:t>
      </w:r>
      <w:r w:rsidR="003864B9">
        <w:t xml:space="preserve"> enabled t</w:t>
      </w:r>
      <w:r w:rsidR="00DB5BAE">
        <w:t>he coalition partners and their politicians</w:t>
      </w:r>
      <w:r w:rsidR="003864B9">
        <w:t xml:space="preserve"> to </w:t>
      </w:r>
      <w:r w:rsidR="003C2766">
        <w:t xml:space="preserve">significantly influence </w:t>
      </w:r>
      <w:r w:rsidR="003864B9">
        <w:t>policy making processes</w:t>
      </w:r>
      <w:r w:rsidR="00DB5BAE">
        <w:t>, typically through negotiation with the LDP PARC (Oikawa 1999 pp.256-305).</w:t>
      </w:r>
      <w:r w:rsidR="003864B9">
        <w:t xml:space="preserve"> In </w:t>
      </w:r>
      <w:r w:rsidR="00AF2574">
        <w:t xml:space="preserve">the </w:t>
      </w:r>
      <w:r w:rsidR="003864B9">
        <w:t xml:space="preserve">case of </w:t>
      </w:r>
      <w:r w:rsidR="008217CD">
        <w:t xml:space="preserve">the relaxing of </w:t>
      </w:r>
      <w:r w:rsidR="003864B9">
        <w:t xml:space="preserve">holding company regulation in 1997, the negotiation between the LDP PARC and its SDPJ counterpart was key </w:t>
      </w:r>
      <w:r w:rsidR="00184692">
        <w:t>in shaping</w:t>
      </w:r>
      <w:r w:rsidR="00690645">
        <w:t xml:space="preserve"> </w:t>
      </w:r>
      <w:r w:rsidR="008217CD">
        <w:t xml:space="preserve">both </w:t>
      </w:r>
      <w:r w:rsidR="00690645">
        <w:t>a consensus</w:t>
      </w:r>
      <w:r w:rsidR="00184692">
        <w:t xml:space="preserve"> and</w:t>
      </w:r>
      <w:r w:rsidR="00690645">
        <w:t xml:space="preserve"> the </w:t>
      </w:r>
      <w:r w:rsidR="008217CD">
        <w:t>subsequent</w:t>
      </w:r>
      <w:r w:rsidR="00690645">
        <w:t xml:space="preserve"> relaxation </w:t>
      </w:r>
      <w:r w:rsidR="003864B9">
        <w:t>(Oikawa 1999 pp.256-305).</w:t>
      </w:r>
      <w:r w:rsidR="00FD7FD6">
        <w:t xml:space="preserve"> </w:t>
      </w:r>
      <w:r w:rsidR="00207226">
        <w:t xml:space="preserve">Under the LDP/LDP lead coalition governments, policy issues in antimonopoly regulation such as AMA amendments were shaped in </w:t>
      </w:r>
      <w:r w:rsidR="003E1DA1">
        <w:t>t</w:t>
      </w:r>
      <w:r w:rsidR="00FD7FD6">
        <w:t xml:space="preserve">his set of </w:t>
      </w:r>
      <w:r w:rsidR="00207226">
        <w:t xml:space="preserve">framework characterised by </w:t>
      </w:r>
      <w:r w:rsidR="00634A50">
        <w:t xml:space="preserve">a significant influence of </w:t>
      </w:r>
      <w:r w:rsidR="00207226">
        <w:t>ruling parties’ internal processes</w:t>
      </w:r>
      <w:r w:rsidR="003E1DA1">
        <w:t xml:space="preserve">. </w:t>
      </w:r>
      <w:r w:rsidR="00184692">
        <w:t>G</w:t>
      </w:r>
      <w:r w:rsidR="003E1DA1">
        <w:t xml:space="preserve">overnment change in 2009 </w:t>
      </w:r>
      <w:r w:rsidR="00A30D40">
        <w:t xml:space="preserve">dismantled this set of frameworks by </w:t>
      </w:r>
      <w:r w:rsidR="000037B3">
        <w:t>replacing</w:t>
      </w:r>
      <w:r w:rsidR="00A30D40">
        <w:t xml:space="preserve"> the LDP and its coalition partner </w:t>
      </w:r>
      <w:r w:rsidR="000037B3">
        <w:t>with the DPJ and its partners</w:t>
      </w:r>
      <w:r w:rsidR="00A30D40">
        <w:t>.</w:t>
      </w:r>
    </w:p>
    <w:p w14:paraId="2B4D9FE2" w14:textId="583F15C3" w:rsidR="007D1693" w:rsidRDefault="000037B3" w:rsidP="008F67E1">
      <w:pPr>
        <w:ind w:firstLine="284"/>
      </w:pPr>
      <w:r>
        <w:t xml:space="preserve">Under such a decision making framework, </w:t>
      </w:r>
      <w:r w:rsidR="00A30D40">
        <w:t>b</w:t>
      </w:r>
      <w:r w:rsidR="007D1693">
        <w:t xml:space="preserve">etween </w:t>
      </w:r>
      <w:r w:rsidR="00DA0AAC">
        <w:t xml:space="preserve">the </w:t>
      </w:r>
      <w:r w:rsidR="007D1693">
        <w:t xml:space="preserve">1980s and 2000s the AMA and the JFTC have </w:t>
      </w:r>
      <w:r w:rsidR="001335AC">
        <w:t>significantly been enhanced in terms of their authority and organisational scale, although the process of enhancement has not been coherent.</w:t>
      </w:r>
      <w:r w:rsidR="004D4CA0">
        <w:t xml:space="preserve"> </w:t>
      </w:r>
      <w:r w:rsidR="007D1693">
        <w:t xml:space="preserve">The AMA was first strengthened in its 1977 amendment. However, observers highlight the significance of the SII to Japan’s antimonopoly field. The impact of the SII on Japan’s antimonopoly regime since the 1990s was regarded as significant by both US and Japanese antitrust authorities (Freyer 2006 p.243).  In their assessment: ‘the </w:t>
      </w:r>
      <w:r w:rsidR="007D1693" w:rsidRPr="00EA50F5">
        <w:t>(J)FTC’s enforcement record (since the 1990s) may be seen as relatively effective, though the</w:t>
      </w:r>
      <w:r w:rsidR="007D1693">
        <w:t xml:space="preserve"> paucity of private actions was a major problem in Japan’ (Freyer 2006 p.243). The major state actors </w:t>
      </w:r>
      <w:r w:rsidR="008C6DC4">
        <w:t xml:space="preserve">in </w:t>
      </w:r>
      <w:r w:rsidR="007D1693">
        <w:t xml:space="preserve">the field have been the JFTC as well as party politicians. The JFTC’s steady organisational development </w:t>
      </w:r>
      <w:r w:rsidR="008F1E8E">
        <w:t>in</w:t>
      </w:r>
      <w:r w:rsidR="007D1693">
        <w:t xml:space="preserve"> </w:t>
      </w:r>
      <w:r w:rsidR="0024071A">
        <w:t>Table 6.6</w:t>
      </w:r>
      <w:r w:rsidR="007D1693">
        <w:t xml:space="preserve"> indicates a significant quantitative expansion of the competent government organisation</w:t>
      </w:r>
      <w:r w:rsidR="007D1693">
        <w:rPr>
          <w:rFonts w:hint="eastAsia"/>
        </w:rPr>
        <w:t>.</w:t>
      </w:r>
    </w:p>
    <w:p w14:paraId="5BFB79D1" w14:textId="77777777" w:rsidR="007D1693" w:rsidRDefault="007D1693" w:rsidP="007D1693"/>
    <w:p w14:paraId="597D3A2A" w14:textId="77777777" w:rsidR="007D1693" w:rsidRPr="00CD6C4D" w:rsidRDefault="0024071A" w:rsidP="008F1E8E">
      <w:pPr>
        <w:pStyle w:val="Heading4"/>
      </w:pPr>
      <w:r>
        <w:t>Table 6.6</w:t>
      </w:r>
      <w:r w:rsidR="007D1693" w:rsidRPr="00CD6C4D">
        <w:t>: The staff and the budget of the JFCT (based on the data by the JFTC)</w:t>
      </w:r>
    </w:p>
    <w:tbl>
      <w:tblPr>
        <w:tblStyle w:val="TableGrid"/>
        <w:tblW w:w="8505" w:type="dxa"/>
        <w:tblInd w:w="108" w:type="dxa"/>
        <w:tblLayout w:type="fixed"/>
        <w:tblLook w:val="04A0" w:firstRow="1" w:lastRow="0" w:firstColumn="1" w:lastColumn="0" w:noHBand="0" w:noVBand="1"/>
      </w:tblPr>
      <w:tblGrid>
        <w:gridCol w:w="2835"/>
        <w:gridCol w:w="709"/>
        <w:gridCol w:w="709"/>
        <w:gridCol w:w="709"/>
        <w:gridCol w:w="708"/>
        <w:gridCol w:w="709"/>
        <w:gridCol w:w="709"/>
        <w:gridCol w:w="709"/>
        <w:gridCol w:w="708"/>
      </w:tblGrid>
      <w:tr w:rsidR="00C44E84" w14:paraId="0EE2809E" w14:textId="77777777" w:rsidTr="00C44E84">
        <w:tc>
          <w:tcPr>
            <w:tcW w:w="2835" w:type="dxa"/>
            <w:shd w:val="pct20" w:color="auto" w:fill="auto"/>
          </w:tcPr>
          <w:p w14:paraId="342D4509" w14:textId="77777777" w:rsidR="007D1693" w:rsidRDefault="007D1693" w:rsidP="0030198F">
            <w:pPr>
              <w:pStyle w:val="NoSpacing"/>
            </w:pPr>
          </w:p>
        </w:tc>
        <w:tc>
          <w:tcPr>
            <w:tcW w:w="709" w:type="dxa"/>
            <w:shd w:val="pct20" w:color="auto" w:fill="auto"/>
          </w:tcPr>
          <w:p w14:paraId="47BE33B3" w14:textId="77777777" w:rsidR="007D1693" w:rsidRDefault="007D1693" w:rsidP="0030198F">
            <w:pPr>
              <w:pStyle w:val="NoSpacing"/>
            </w:pPr>
            <w:r>
              <w:t>1947</w:t>
            </w:r>
          </w:p>
        </w:tc>
        <w:tc>
          <w:tcPr>
            <w:tcW w:w="709" w:type="dxa"/>
            <w:shd w:val="pct20" w:color="auto" w:fill="auto"/>
          </w:tcPr>
          <w:p w14:paraId="66D2342A" w14:textId="77777777" w:rsidR="007D1693" w:rsidRDefault="007D1693" w:rsidP="0030198F">
            <w:pPr>
              <w:pStyle w:val="NoSpacing"/>
            </w:pPr>
            <w:r>
              <w:t>1980</w:t>
            </w:r>
          </w:p>
        </w:tc>
        <w:tc>
          <w:tcPr>
            <w:tcW w:w="709" w:type="dxa"/>
            <w:shd w:val="pct20" w:color="auto" w:fill="auto"/>
          </w:tcPr>
          <w:p w14:paraId="29281CCE" w14:textId="77777777" w:rsidR="007D1693" w:rsidRDefault="007D1693" w:rsidP="0030198F">
            <w:pPr>
              <w:pStyle w:val="NoSpacing"/>
            </w:pPr>
            <w:r>
              <w:t>1985</w:t>
            </w:r>
          </w:p>
        </w:tc>
        <w:tc>
          <w:tcPr>
            <w:tcW w:w="708" w:type="dxa"/>
            <w:shd w:val="pct20" w:color="auto" w:fill="auto"/>
          </w:tcPr>
          <w:p w14:paraId="02E5D3BF" w14:textId="77777777" w:rsidR="007D1693" w:rsidRDefault="007D1693" w:rsidP="0030198F">
            <w:pPr>
              <w:pStyle w:val="NoSpacing"/>
            </w:pPr>
            <w:r>
              <w:t>1990</w:t>
            </w:r>
          </w:p>
        </w:tc>
        <w:tc>
          <w:tcPr>
            <w:tcW w:w="709" w:type="dxa"/>
            <w:shd w:val="pct20" w:color="auto" w:fill="auto"/>
          </w:tcPr>
          <w:p w14:paraId="45F8EFBF" w14:textId="77777777" w:rsidR="007D1693" w:rsidRDefault="007D1693" w:rsidP="0030198F">
            <w:pPr>
              <w:pStyle w:val="NoSpacing"/>
            </w:pPr>
            <w:r>
              <w:t>1995</w:t>
            </w:r>
          </w:p>
        </w:tc>
        <w:tc>
          <w:tcPr>
            <w:tcW w:w="709" w:type="dxa"/>
            <w:shd w:val="pct20" w:color="auto" w:fill="auto"/>
          </w:tcPr>
          <w:p w14:paraId="7A12566A" w14:textId="77777777" w:rsidR="007D1693" w:rsidRDefault="007D1693" w:rsidP="0030198F">
            <w:pPr>
              <w:pStyle w:val="NoSpacing"/>
            </w:pPr>
            <w:r>
              <w:t>2000</w:t>
            </w:r>
          </w:p>
        </w:tc>
        <w:tc>
          <w:tcPr>
            <w:tcW w:w="709" w:type="dxa"/>
            <w:shd w:val="pct20" w:color="auto" w:fill="auto"/>
          </w:tcPr>
          <w:p w14:paraId="2C8A2429" w14:textId="77777777" w:rsidR="007D1693" w:rsidRDefault="007D1693" w:rsidP="0030198F">
            <w:pPr>
              <w:pStyle w:val="NoSpacing"/>
            </w:pPr>
            <w:r>
              <w:t>2005</w:t>
            </w:r>
          </w:p>
        </w:tc>
        <w:tc>
          <w:tcPr>
            <w:tcW w:w="708" w:type="dxa"/>
            <w:shd w:val="pct20" w:color="auto" w:fill="auto"/>
          </w:tcPr>
          <w:p w14:paraId="4A99F1EA" w14:textId="77777777" w:rsidR="007D1693" w:rsidRDefault="007D1693" w:rsidP="0030198F">
            <w:pPr>
              <w:pStyle w:val="NoSpacing"/>
            </w:pPr>
            <w:r>
              <w:t>2010</w:t>
            </w:r>
          </w:p>
        </w:tc>
      </w:tr>
      <w:tr w:rsidR="00C44E84" w14:paraId="21991BA3" w14:textId="77777777" w:rsidTr="00C44E84">
        <w:tc>
          <w:tcPr>
            <w:tcW w:w="2835" w:type="dxa"/>
          </w:tcPr>
          <w:p w14:paraId="226CE260" w14:textId="77777777" w:rsidR="007D1693" w:rsidRDefault="007D1693" w:rsidP="0030198F">
            <w:pPr>
              <w:pStyle w:val="NoSpacing"/>
            </w:pPr>
            <w:r>
              <w:t>Number of the Staff</w:t>
            </w:r>
          </w:p>
        </w:tc>
        <w:tc>
          <w:tcPr>
            <w:tcW w:w="709" w:type="dxa"/>
          </w:tcPr>
          <w:p w14:paraId="46354076" w14:textId="77777777" w:rsidR="007D1693" w:rsidRDefault="007D1693" w:rsidP="0030198F">
            <w:pPr>
              <w:pStyle w:val="NoSpacing"/>
            </w:pPr>
            <w:r>
              <w:t>284</w:t>
            </w:r>
          </w:p>
        </w:tc>
        <w:tc>
          <w:tcPr>
            <w:tcW w:w="709" w:type="dxa"/>
          </w:tcPr>
          <w:p w14:paraId="03F6C291" w14:textId="77777777" w:rsidR="007D1693" w:rsidRDefault="007D1693" w:rsidP="0030198F">
            <w:pPr>
              <w:pStyle w:val="NoSpacing"/>
            </w:pPr>
            <w:r>
              <w:t>422</w:t>
            </w:r>
          </w:p>
        </w:tc>
        <w:tc>
          <w:tcPr>
            <w:tcW w:w="709" w:type="dxa"/>
          </w:tcPr>
          <w:p w14:paraId="2C92E408" w14:textId="77777777" w:rsidR="007D1693" w:rsidRDefault="007D1693" w:rsidP="0030198F">
            <w:pPr>
              <w:pStyle w:val="NoSpacing"/>
            </w:pPr>
            <w:r>
              <w:t>432</w:t>
            </w:r>
          </w:p>
        </w:tc>
        <w:tc>
          <w:tcPr>
            <w:tcW w:w="708" w:type="dxa"/>
          </w:tcPr>
          <w:p w14:paraId="1A42D8F5" w14:textId="77777777" w:rsidR="007D1693" w:rsidRDefault="007D1693" w:rsidP="0030198F">
            <w:pPr>
              <w:pStyle w:val="NoSpacing"/>
            </w:pPr>
            <w:r>
              <w:t>474</w:t>
            </w:r>
          </w:p>
        </w:tc>
        <w:tc>
          <w:tcPr>
            <w:tcW w:w="709" w:type="dxa"/>
          </w:tcPr>
          <w:p w14:paraId="1189DE83" w14:textId="77777777" w:rsidR="007D1693" w:rsidRDefault="007D1693" w:rsidP="0030198F">
            <w:pPr>
              <w:pStyle w:val="NoSpacing"/>
            </w:pPr>
            <w:r>
              <w:t>520</w:t>
            </w:r>
          </w:p>
        </w:tc>
        <w:tc>
          <w:tcPr>
            <w:tcW w:w="709" w:type="dxa"/>
          </w:tcPr>
          <w:p w14:paraId="712A0135" w14:textId="77777777" w:rsidR="007D1693" w:rsidRDefault="007D1693" w:rsidP="0030198F">
            <w:pPr>
              <w:pStyle w:val="NoSpacing"/>
            </w:pPr>
            <w:r>
              <w:t>564</w:t>
            </w:r>
          </w:p>
        </w:tc>
        <w:tc>
          <w:tcPr>
            <w:tcW w:w="709" w:type="dxa"/>
          </w:tcPr>
          <w:p w14:paraId="737D423D" w14:textId="77777777" w:rsidR="007D1693" w:rsidRDefault="007D1693" w:rsidP="0030198F">
            <w:pPr>
              <w:pStyle w:val="NoSpacing"/>
            </w:pPr>
            <w:r>
              <w:t>706</w:t>
            </w:r>
          </w:p>
        </w:tc>
        <w:tc>
          <w:tcPr>
            <w:tcW w:w="708" w:type="dxa"/>
          </w:tcPr>
          <w:p w14:paraId="27632542" w14:textId="77777777" w:rsidR="007D1693" w:rsidRDefault="007D1693" w:rsidP="0030198F">
            <w:pPr>
              <w:pStyle w:val="NoSpacing"/>
            </w:pPr>
            <w:r>
              <w:t>791</w:t>
            </w:r>
          </w:p>
        </w:tc>
      </w:tr>
      <w:tr w:rsidR="00C44E84" w14:paraId="0EF33031" w14:textId="77777777" w:rsidTr="00C44E84">
        <w:tc>
          <w:tcPr>
            <w:tcW w:w="2835" w:type="dxa"/>
          </w:tcPr>
          <w:p w14:paraId="09C5FAB5" w14:textId="77777777" w:rsidR="007D1693" w:rsidRDefault="007D1693" w:rsidP="0030198F">
            <w:pPr>
              <w:pStyle w:val="NoSpacing"/>
            </w:pPr>
            <w:r>
              <w:t>Budget (million yen)</w:t>
            </w:r>
          </w:p>
        </w:tc>
        <w:tc>
          <w:tcPr>
            <w:tcW w:w="709" w:type="dxa"/>
          </w:tcPr>
          <w:p w14:paraId="0B2FB7F7" w14:textId="77777777" w:rsidR="007D1693" w:rsidRDefault="007D1693" w:rsidP="0030198F">
            <w:pPr>
              <w:pStyle w:val="NoSpacing"/>
            </w:pPr>
            <w:r>
              <w:t>10</w:t>
            </w:r>
          </w:p>
        </w:tc>
        <w:tc>
          <w:tcPr>
            <w:tcW w:w="709" w:type="dxa"/>
          </w:tcPr>
          <w:p w14:paraId="40B139C6" w14:textId="77777777" w:rsidR="007D1693" w:rsidRDefault="007D1693" w:rsidP="0030198F">
            <w:pPr>
              <w:pStyle w:val="NoSpacing"/>
            </w:pPr>
            <w:r>
              <w:t>2,393</w:t>
            </w:r>
          </w:p>
        </w:tc>
        <w:tc>
          <w:tcPr>
            <w:tcW w:w="709" w:type="dxa"/>
          </w:tcPr>
          <w:p w14:paraId="6A023FDD" w14:textId="77777777" w:rsidR="007D1693" w:rsidRDefault="007D1693" w:rsidP="0030198F">
            <w:pPr>
              <w:pStyle w:val="NoSpacing"/>
            </w:pPr>
            <w:r>
              <w:t>2,882</w:t>
            </w:r>
          </w:p>
        </w:tc>
        <w:tc>
          <w:tcPr>
            <w:tcW w:w="708" w:type="dxa"/>
          </w:tcPr>
          <w:p w14:paraId="7358E071" w14:textId="77777777" w:rsidR="007D1693" w:rsidRDefault="007D1693" w:rsidP="0030198F">
            <w:pPr>
              <w:pStyle w:val="NoSpacing"/>
            </w:pPr>
            <w:r>
              <w:t>3,751</w:t>
            </w:r>
          </w:p>
        </w:tc>
        <w:tc>
          <w:tcPr>
            <w:tcW w:w="709" w:type="dxa"/>
          </w:tcPr>
          <w:p w14:paraId="33A7431E" w14:textId="77777777" w:rsidR="007D1693" w:rsidRDefault="007D1693" w:rsidP="0030198F">
            <w:pPr>
              <w:pStyle w:val="NoSpacing"/>
            </w:pPr>
            <w:r>
              <w:t>5,239</w:t>
            </w:r>
          </w:p>
        </w:tc>
        <w:tc>
          <w:tcPr>
            <w:tcW w:w="709" w:type="dxa"/>
          </w:tcPr>
          <w:p w14:paraId="32C69750" w14:textId="77777777" w:rsidR="007D1693" w:rsidRDefault="007D1693" w:rsidP="0030198F">
            <w:pPr>
              <w:pStyle w:val="NoSpacing"/>
            </w:pPr>
            <w:r>
              <w:t>5,902</w:t>
            </w:r>
          </w:p>
        </w:tc>
        <w:tc>
          <w:tcPr>
            <w:tcW w:w="709" w:type="dxa"/>
          </w:tcPr>
          <w:p w14:paraId="07A7A17F" w14:textId="77777777" w:rsidR="007D1693" w:rsidRDefault="007D1693" w:rsidP="0030198F">
            <w:pPr>
              <w:pStyle w:val="NoSpacing"/>
            </w:pPr>
            <w:r>
              <w:t>8,131</w:t>
            </w:r>
          </w:p>
        </w:tc>
        <w:tc>
          <w:tcPr>
            <w:tcW w:w="708" w:type="dxa"/>
          </w:tcPr>
          <w:p w14:paraId="44EB38EA" w14:textId="77777777" w:rsidR="007D1693" w:rsidRDefault="007D1693" w:rsidP="0030198F">
            <w:pPr>
              <w:pStyle w:val="NoSpacing"/>
            </w:pPr>
            <w:r>
              <w:t>8,915</w:t>
            </w:r>
          </w:p>
        </w:tc>
      </w:tr>
    </w:tbl>
    <w:p w14:paraId="228C90B5" w14:textId="77777777" w:rsidR="007D1693" w:rsidRDefault="007D1693" w:rsidP="007D1693"/>
    <w:p w14:paraId="05983F7B" w14:textId="77777777" w:rsidR="007D1693" w:rsidRDefault="007D1693" w:rsidP="00CC1EF3">
      <w:pPr>
        <w:ind w:firstLine="284"/>
      </w:pPr>
      <w:r>
        <w:t xml:space="preserve">The development of Japan’s antimonopoly </w:t>
      </w:r>
      <w:r w:rsidR="001335AC">
        <w:t>regulation</w:t>
      </w:r>
      <w:r>
        <w:t xml:space="preserve"> reviewed in this section reveals a piecemeal institutional growth of the field and gradual organisational expansion of the JFTC, a rare independent regulator in Japan. The JFTC’s approach as an independent regulator is formally meant to be at arm’s length from political decision making by law</w:t>
      </w:r>
      <w:r>
        <w:rPr>
          <w:rFonts w:hint="eastAsia"/>
        </w:rPr>
        <w:t xml:space="preserve">. </w:t>
      </w:r>
      <w:r>
        <w:t>At the same time the constitution of Japan requires government organisations including the JFTC to be under the control of the Cabinet</w:t>
      </w:r>
      <w:r>
        <w:rPr>
          <w:rStyle w:val="FootnoteReference"/>
        </w:rPr>
        <w:footnoteReference w:id="76"/>
      </w:r>
      <w:r>
        <w:t>. Amendments to the AMA are put before the scrutiny of the Diet, as other law amendments. These complicated circumstances surrounding the JFTC and antimonopoly policies offer a contrast to the case of ICT, where a government ministry led by a Cabinet Minister administers and regulates the sector.</w:t>
      </w:r>
    </w:p>
    <w:p w14:paraId="0511E830" w14:textId="013F97CC" w:rsidR="00634A50" w:rsidRDefault="00634A50" w:rsidP="00634A50">
      <w:pPr>
        <w:tabs>
          <w:tab w:val="left" w:pos="2410"/>
        </w:tabs>
        <w:ind w:firstLine="284"/>
      </w:pPr>
      <w:r>
        <w:t xml:space="preserve">Power relations within antimonopoly regulation have gradually changed. Antimonopoly regulation has seen no significant change of actors until 2009. The MITI and </w:t>
      </w:r>
      <w:r w:rsidRPr="0086711B">
        <w:rPr>
          <w:i/>
        </w:rPr>
        <w:t>Keidanren</w:t>
      </w:r>
      <w:r>
        <w:t xml:space="preserve"> opposed stronger antimonopoly regulation. The JFTC has been the key regulator responsible for implementing antimonopoly regulation. Transformation emerged as</w:t>
      </w:r>
      <w:r>
        <w:rPr>
          <w:rFonts w:hint="eastAsia"/>
          <w:lang w:eastAsia="ja-JP"/>
        </w:rPr>
        <w:t xml:space="preserve"> some traditional actors (MITI, </w:t>
      </w:r>
      <w:r w:rsidRPr="0086711B">
        <w:rPr>
          <w:i/>
          <w:lang w:eastAsia="ja-JP"/>
        </w:rPr>
        <w:t>Keidanren</w:t>
      </w:r>
      <w:r>
        <w:rPr>
          <w:rFonts w:hint="eastAsia"/>
          <w:lang w:eastAsia="ja-JP"/>
        </w:rPr>
        <w:t>) changed their view and other</w:t>
      </w:r>
      <w:r>
        <w:rPr>
          <w:lang w:eastAsia="ja-JP"/>
        </w:rPr>
        <w:t xml:space="preserve"> actors</w:t>
      </w:r>
      <w:r w:rsidR="00E47002">
        <w:rPr>
          <w:lang w:eastAsia="ja-JP"/>
        </w:rPr>
        <w:t xml:space="preserve"> </w:t>
      </w:r>
      <w:r>
        <w:rPr>
          <w:lang w:eastAsia="ja-JP"/>
        </w:rPr>
        <w:t xml:space="preserve">(e.g. JFTC) became stronger. This transformation resulted in the enhancing antimonopoly regulation during the early 1990, when debates on the SII (1989-90) emerged. Party politicians retained their power and shaped key decisions in relation to the views of relevant parties such as the JFTC and </w:t>
      </w:r>
      <w:r w:rsidRPr="0086711B">
        <w:rPr>
          <w:i/>
          <w:lang w:eastAsia="ja-JP"/>
        </w:rPr>
        <w:t>Keidanren</w:t>
      </w:r>
      <w:r>
        <w:rPr>
          <w:lang w:eastAsia="ja-JP"/>
        </w:rPr>
        <w:t>.</w:t>
      </w:r>
    </w:p>
    <w:p w14:paraId="6201B5FA" w14:textId="3085E340" w:rsidR="007D1693" w:rsidRDefault="00634A50" w:rsidP="007D4636">
      <w:pPr>
        <w:tabs>
          <w:tab w:val="left" w:pos="2410"/>
        </w:tabs>
        <w:ind w:firstLine="284"/>
      </w:pPr>
      <w:r>
        <w:t>The actors and frameworks highlighted above did not change until the government change in 2009. As such, the nature of state power in antimonopoly regulation similarly remained unchanged. However, the growth of the JFTC as an antimonopoly regulator led to the gradual enhancement of state power in antimonopoly regulation within the traditional framework.</w:t>
      </w:r>
      <w:r w:rsidR="003B17F9">
        <w:t xml:space="preserve"> This</w:t>
      </w:r>
      <w:r w:rsidR="007D1693">
        <w:t xml:space="preserve"> transformation of antimonopoly </w:t>
      </w:r>
      <w:r w:rsidR="001335AC">
        <w:t>regulation</w:t>
      </w:r>
      <w:r w:rsidR="007D1693">
        <w:t xml:space="preserve"> was significantly inspired by the SII (1989-90) (e.g. Freyer 20</w:t>
      </w:r>
      <w:r w:rsidR="007D1693">
        <w:rPr>
          <w:rFonts w:hint="eastAsia"/>
        </w:rPr>
        <w:t>0</w:t>
      </w:r>
      <w:r w:rsidR="007D1693">
        <w:t>6 p.203</w:t>
      </w:r>
      <w:r w:rsidR="007D1693">
        <w:rPr>
          <w:rFonts w:hint="eastAsia"/>
        </w:rPr>
        <w:t>, p.216</w:t>
      </w:r>
      <w:r w:rsidR="007D1693">
        <w:t>, Uesugi 2007 p.146</w:t>
      </w:r>
      <w:r w:rsidR="007D1693">
        <w:rPr>
          <w:rFonts w:hint="eastAsia"/>
        </w:rPr>
        <w:t>, Tsuruta 1997 pp.149-50</w:t>
      </w:r>
      <w:r w:rsidR="007D1693">
        <w:t>). The disjuncture result</w:t>
      </w:r>
      <w:r w:rsidR="00DA0AAC">
        <w:t>ing</w:t>
      </w:r>
      <w:r w:rsidR="007D1693">
        <w:t xml:space="preserve"> from the SII launched the transformative process that continues to the present day. Taking account of the significant impact of this event, the next section focuses on the transformative relationships between the core executive actors in antimonopoly </w:t>
      </w:r>
      <w:r w:rsidR="001335AC">
        <w:t>regulation</w:t>
      </w:r>
      <w:r w:rsidR="007D1693">
        <w:t xml:space="preserve"> by analysing how the</w:t>
      </w:r>
      <w:r w:rsidR="001335AC">
        <w:t xml:space="preserve"> core executive actors</w:t>
      </w:r>
      <w:r w:rsidR="007D1693">
        <w:t xml:space="preserve"> have changed their relationships and power </w:t>
      </w:r>
      <w:r w:rsidR="007D1693" w:rsidRPr="00B336BC">
        <w:t xml:space="preserve">through </w:t>
      </w:r>
      <w:r w:rsidR="007D1693">
        <w:t>their adaptation to challenges after the SII</w:t>
      </w:r>
      <w:r w:rsidR="007D1693" w:rsidRPr="00B336BC">
        <w:t>.</w:t>
      </w:r>
    </w:p>
    <w:p w14:paraId="76AF2031" w14:textId="77777777" w:rsidR="007D1693" w:rsidRDefault="007D1693" w:rsidP="007D1693"/>
    <w:p w14:paraId="3772F8FA" w14:textId="77777777" w:rsidR="007D1693" w:rsidRPr="004A4B62" w:rsidRDefault="007D1693" w:rsidP="007D1693"/>
    <w:p w14:paraId="50C66E5A" w14:textId="77777777" w:rsidR="007D1693" w:rsidRPr="00CD6C4D" w:rsidRDefault="007D1693" w:rsidP="007D1693">
      <w:pPr>
        <w:pStyle w:val="Heading2"/>
      </w:pPr>
      <w:bookmarkStart w:id="58" w:name="_Toc349741380"/>
      <w:r w:rsidRPr="00CD6C4D">
        <w:t>6.3</w:t>
      </w:r>
      <w:r w:rsidRPr="00CD6C4D">
        <w:tab/>
      </w:r>
      <w:r w:rsidRPr="00CD6C4D">
        <w:rPr>
          <w:rFonts w:hint="eastAsia"/>
        </w:rPr>
        <w:t>Independence and political control</w:t>
      </w:r>
      <w:r w:rsidRPr="00CD6C4D">
        <w:t xml:space="preserve">: the </w:t>
      </w:r>
      <w:r w:rsidRPr="00CD6C4D">
        <w:rPr>
          <w:rFonts w:hint="eastAsia"/>
        </w:rPr>
        <w:t>r</w:t>
      </w:r>
      <w:r w:rsidRPr="00CD6C4D">
        <w:t xml:space="preserve">elationship </w:t>
      </w:r>
      <w:r w:rsidRPr="00CD6C4D">
        <w:rPr>
          <w:rFonts w:hint="eastAsia"/>
        </w:rPr>
        <w:t>within the core executive</w:t>
      </w:r>
      <w:bookmarkEnd w:id="58"/>
      <w:r w:rsidRPr="00CD6C4D">
        <w:t xml:space="preserve"> </w:t>
      </w:r>
    </w:p>
    <w:p w14:paraId="6784633C" w14:textId="57D2149F" w:rsidR="007D1693" w:rsidRDefault="007D1693" w:rsidP="00395F7D">
      <w:r>
        <w:rPr>
          <w:rFonts w:hint="eastAsia"/>
        </w:rPr>
        <w:t>Japan</w:t>
      </w:r>
      <w:r>
        <w:t>’</w:t>
      </w:r>
      <w:r>
        <w:rPr>
          <w:rFonts w:hint="eastAsia"/>
        </w:rPr>
        <w:t xml:space="preserve">s antimonopoly </w:t>
      </w:r>
      <w:r w:rsidR="000341F0">
        <w:t>regulation</w:t>
      </w:r>
      <w:r>
        <w:rPr>
          <w:rFonts w:hint="eastAsia"/>
        </w:rPr>
        <w:t xml:space="preserve"> </w:t>
      </w:r>
      <w:r>
        <w:t xml:space="preserve">can be characterised by its </w:t>
      </w:r>
      <w:r>
        <w:rPr>
          <w:rFonts w:hint="eastAsia"/>
        </w:rPr>
        <w:t xml:space="preserve">relationship with politics. </w:t>
      </w:r>
      <w:r>
        <w:t>T</w:t>
      </w:r>
      <w:r>
        <w:rPr>
          <w:rFonts w:hint="eastAsia"/>
        </w:rPr>
        <w:t xml:space="preserve">he JFTC is formally independent from politics, as the AMA (Article 28) stipulates that: </w:t>
      </w:r>
      <w:r>
        <w:t>‘t</w:t>
      </w:r>
      <w:r w:rsidRPr="008B0BA4">
        <w:t>he chairman and commissioners of the Fair Trade Commission shall perform their authority independently.</w:t>
      </w:r>
      <w:r>
        <w:t>’</w:t>
      </w:r>
      <w:r>
        <w:rPr>
          <w:rFonts w:hint="eastAsia"/>
        </w:rPr>
        <w:t xml:space="preserve"> </w:t>
      </w:r>
      <w:r>
        <w:t>Often called as ‘the independence of authority’, this provision is considered as ensuring the independent investigation of each antimonopoly case from interventions including those from party politicians. A retired JFTC senior official explain</w:t>
      </w:r>
      <w:r w:rsidR="008572A2">
        <w:t>ed</w:t>
      </w:r>
      <w:r>
        <w:t>: ‘</w:t>
      </w:r>
      <w:r>
        <w:rPr>
          <w:rFonts w:hint="eastAsia"/>
        </w:rPr>
        <w:t xml:space="preserve">In </w:t>
      </w:r>
      <w:r>
        <w:t xml:space="preserve">principle there is an understanding that the Fair Trade Commission is an independent administrative organisation and even politicians or Cabinet Ministers </w:t>
      </w:r>
      <w:r w:rsidR="0068060B">
        <w:t xml:space="preserve">cannot </w:t>
      </w:r>
      <w:r>
        <w:t xml:space="preserve">make a request to its </w:t>
      </w:r>
      <w:r>
        <w:rPr>
          <w:rFonts w:hint="eastAsia"/>
        </w:rPr>
        <w:t>job</w:t>
      </w:r>
      <w:r>
        <w:t>’ (</w:t>
      </w:r>
      <w:r w:rsidR="007634ED">
        <w:t>Interview with</w:t>
      </w:r>
      <w:r>
        <w:t xml:space="preserve"> a retired JFTC senior civil servant). In return, what the interviews reveal is an indifference to antimonopoly policies and the JFTC among party politicians. </w:t>
      </w:r>
      <w:r>
        <w:rPr>
          <w:rFonts w:hint="eastAsia"/>
        </w:rPr>
        <w:t xml:space="preserve">At the same time the JFTC is under the supervision of the Cabinet as an executive organisation </w:t>
      </w:r>
      <w:r>
        <w:t>pursuant</w:t>
      </w:r>
      <w:r>
        <w:rPr>
          <w:rFonts w:hint="eastAsia"/>
        </w:rPr>
        <w:t xml:space="preserve"> to the Constitution of Japan (Article 65: see Footnote </w:t>
      </w:r>
      <w:r w:rsidR="00395F7D">
        <w:rPr>
          <w:rFonts w:eastAsia="MS Mincho"/>
          <w:lang w:eastAsia="ja-JP"/>
        </w:rPr>
        <w:t>76</w:t>
      </w:r>
      <w:r>
        <w:rPr>
          <w:rFonts w:hint="eastAsia"/>
        </w:rPr>
        <w:t xml:space="preserve">). In practice, the JFTC has informally been shaped by political pressures as the evidence from </w:t>
      </w:r>
      <w:r w:rsidR="00DA0AAC">
        <w:t xml:space="preserve">the </w:t>
      </w:r>
      <w:r>
        <w:rPr>
          <w:rFonts w:hint="eastAsia"/>
        </w:rPr>
        <w:t>interview</w:t>
      </w:r>
      <w:r w:rsidR="00DA0AAC">
        <w:t>s</w:t>
      </w:r>
      <w:r>
        <w:rPr>
          <w:rFonts w:hint="eastAsia"/>
        </w:rPr>
        <w:t xml:space="preserve"> reveals.</w:t>
      </w:r>
    </w:p>
    <w:p w14:paraId="5CDFEE41" w14:textId="77777777" w:rsidR="007D1693" w:rsidRDefault="007D1693" w:rsidP="00DA5294">
      <w:pPr>
        <w:ind w:firstLine="284"/>
      </w:pPr>
      <w:r>
        <w:t xml:space="preserve">The relationship between party politicians and the JFTC under LDP governments was summarised by a </w:t>
      </w:r>
      <w:r>
        <w:rPr>
          <w:rFonts w:hint="eastAsia"/>
        </w:rPr>
        <w:t xml:space="preserve">JFTC </w:t>
      </w:r>
      <w:r>
        <w:t>civil servant in the following:</w:t>
      </w:r>
    </w:p>
    <w:p w14:paraId="15C41E50" w14:textId="77777777" w:rsidR="007D1693" w:rsidRDefault="007D1693" w:rsidP="007D1693"/>
    <w:p w14:paraId="1FCBAFB7" w14:textId="77777777" w:rsidR="007D1693" w:rsidRDefault="007D1693" w:rsidP="007D1693">
      <w:pPr>
        <w:pStyle w:val="Quote"/>
      </w:pPr>
      <w:r>
        <w:t xml:space="preserve">…before DPJ governments, since the AMA is under independent implementation, the JFTC is an independent administrative commission, and the independence of its authority is ensured, basically; I don’t know the backdoor, such a top business, but formally, politicians intervened in only law amendments, when the JFTC contacted politicians. Of course the Chief Cabinet Secretaries were responsible for the JFTC, but they weren’t regularly briefed </w:t>
      </w:r>
      <w:r w:rsidR="00DA0AAC">
        <w:t xml:space="preserve">on </w:t>
      </w:r>
      <w:r>
        <w:t>what’s going on in the JFTC. (</w:t>
      </w:r>
      <w:r w:rsidR="007634ED">
        <w:t>Interview with</w:t>
      </w:r>
      <w:r>
        <w:t xml:space="preserve"> a JFTC civil servant)</w:t>
      </w:r>
    </w:p>
    <w:p w14:paraId="6420D259" w14:textId="77777777" w:rsidR="007D1693" w:rsidRDefault="007D1693" w:rsidP="007D1693"/>
    <w:p w14:paraId="5A329C7D" w14:textId="77777777" w:rsidR="007D1693" w:rsidRDefault="007D1693" w:rsidP="007D1693">
      <w:r>
        <w:t xml:space="preserve">Therefore, the JFTC did not contact party politicians when they had no law amendment. In the </w:t>
      </w:r>
      <w:r w:rsidRPr="0063138C">
        <w:rPr>
          <w:i/>
          <w:iCs/>
        </w:rPr>
        <w:t>Showa</w:t>
      </w:r>
      <w:r>
        <w:t xml:space="preserve"> period (1926-89) when comparatively few substantial AMA amendments emerged (see </w:t>
      </w:r>
      <w:r w:rsidR="00B728E7">
        <w:t xml:space="preserve">the </w:t>
      </w:r>
      <w:r>
        <w:t>previous section): ‘the Fair Trade Commission was</w:t>
      </w:r>
      <w:r>
        <w:rPr>
          <w:rFonts w:hint="eastAsia"/>
        </w:rPr>
        <w:t>n</w:t>
      </w:r>
      <w:r>
        <w:t>’</w:t>
      </w:r>
      <w:r>
        <w:rPr>
          <w:rFonts w:hint="eastAsia"/>
        </w:rPr>
        <w:t>t</w:t>
      </w:r>
      <w:r>
        <w:t xml:space="preserve"> close to the ruling parties’ (</w:t>
      </w:r>
      <w:r w:rsidR="007634ED">
        <w:t>Interview with</w:t>
      </w:r>
      <w:r>
        <w:t xml:space="preserve"> a JFTC senior civil servant).</w:t>
      </w:r>
    </w:p>
    <w:p w14:paraId="2CAB12E4" w14:textId="7FDF6EE8" w:rsidR="00495655" w:rsidRDefault="007D1693" w:rsidP="005B18BE">
      <w:r w:rsidRPr="00CF37D6">
        <w:rPr>
          <w:rFonts w:hint="eastAsia"/>
        </w:rPr>
        <w:t>T</w:t>
      </w:r>
      <w:r w:rsidRPr="00CF37D6">
        <w:t xml:space="preserve">he relationship between the JFTC and ruling parties </w:t>
      </w:r>
      <w:r w:rsidRPr="00CF37D6">
        <w:rPr>
          <w:rFonts w:hint="eastAsia"/>
        </w:rPr>
        <w:t xml:space="preserve">in the 1980s and 1990s </w:t>
      </w:r>
      <w:r w:rsidRPr="00CF37D6">
        <w:t xml:space="preserve">can be </w:t>
      </w:r>
      <w:r w:rsidRPr="00CF37D6">
        <w:rPr>
          <w:rFonts w:hint="eastAsia"/>
        </w:rPr>
        <w:t xml:space="preserve">described as a network surrounding </w:t>
      </w:r>
      <w:r w:rsidRPr="00CF37D6">
        <w:t>Sadanori Yamanaka</w:t>
      </w:r>
      <w:r w:rsidRPr="00805FE9">
        <w:t>.</w:t>
      </w:r>
      <w:r w:rsidR="00F77E54" w:rsidRPr="005B18BE">
        <w:rPr>
          <w:color w:val="0070C0"/>
        </w:rPr>
        <w:t xml:space="preserve"> </w:t>
      </w:r>
      <w:r w:rsidR="00F77E54" w:rsidRPr="005B18BE">
        <w:t>A</w:t>
      </w:r>
      <w:r w:rsidRPr="00CF37D6">
        <w:t xml:space="preserve">lmost all </w:t>
      </w:r>
      <w:r w:rsidR="00B77D93" w:rsidRPr="00CF37D6">
        <w:t xml:space="preserve">the </w:t>
      </w:r>
      <w:r w:rsidRPr="00CF37D6">
        <w:t xml:space="preserve">interviewees, both within and outside the core executive, referred to him </w:t>
      </w:r>
      <w:r w:rsidRPr="00805FE9">
        <w:rPr>
          <w:rFonts w:hint="eastAsia"/>
        </w:rPr>
        <w:t xml:space="preserve">as crucial </w:t>
      </w:r>
      <w:r w:rsidR="0068060B" w:rsidRPr="00757C57">
        <w:t>in terms of the</w:t>
      </w:r>
      <w:r w:rsidRPr="00757C57">
        <w:t xml:space="preserve"> relationship between the JFTC and party politicians</w:t>
      </w:r>
      <w:r w:rsidRPr="00757C57">
        <w:rPr>
          <w:rFonts w:hint="eastAsia"/>
        </w:rPr>
        <w:t xml:space="preserve"> in the 1980s and 1990s</w:t>
      </w:r>
      <w:r w:rsidRPr="00757C57">
        <w:t>. Antimonopoly policies in the 1980s and 1990s were formulated in the circle surrounding Yamanaka. The situation in this period was described by a retired senior civil servant:</w:t>
      </w:r>
      <w:r w:rsidRPr="00757C57">
        <w:rPr>
          <w:rFonts w:hint="eastAsia"/>
        </w:rPr>
        <w:t xml:space="preserve"> </w:t>
      </w:r>
      <w:r w:rsidRPr="00757C57">
        <w:t>‘…for example, when we amended law, or raised surcharges through the amendment, or likewise, things were debated in the Examination Committee. Of course beforehand we frequently briefed Chairman Yamanaka and let him understand the issue well’ (</w:t>
      </w:r>
      <w:r w:rsidR="007634ED" w:rsidRPr="00757C57">
        <w:t>Interview with</w:t>
      </w:r>
      <w:r w:rsidRPr="00757C57">
        <w:t xml:space="preserve"> a retired senior civil servant)</w:t>
      </w:r>
      <w:r w:rsidRPr="00757C57">
        <w:rPr>
          <w:rFonts w:hint="eastAsia"/>
        </w:rPr>
        <w:t>. This account describe</w:t>
      </w:r>
      <w:r w:rsidRPr="00757C57">
        <w:t>s</w:t>
      </w:r>
      <w:r w:rsidRPr="00757C57">
        <w:rPr>
          <w:rFonts w:hint="eastAsia"/>
        </w:rPr>
        <w:t xml:space="preserve"> how crucial Yamanaka was in the policy making process. </w:t>
      </w:r>
      <w:r w:rsidRPr="00757C57">
        <w:t>A</w:t>
      </w:r>
      <w:r w:rsidRPr="00757C57">
        <w:rPr>
          <w:rFonts w:hint="eastAsia"/>
        </w:rPr>
        <w:t xml:space="preserve">lmost all </w:t>
      </w:r>
      <w:r w:rsidR="00B77D93" w:rsidRPr="00757C57">
        <w:t xml:space="preserve">the </w:t>
      </w:r>
      <w:r w:rsidRPr="00757C57">
        <w:rPr>
          <w:rFonts w:hint="eastAsia"/>
        </w:rPr>
        <w:t>accounts obtained by interviews endorsed this view. For example, a law professor specialis</w:t>
      </w:r>
      <w:r w:rsidR="00B77D93" w:rsidRPr="00757C57">
        <w:t>ing</w:t>
      </w:r>
      <w:r w:rsidRPr="005E4191">
        <w:rPr>
          <w:rFonts w:hint="eastAsia"/>
        </w:rPr>
        <w:t xml:space="preserve"> in the AMA </w:t>
      </w:r>
      <w:r w:rsidRPr="005E4191">
        <w:t>who</w:t>
      </w:r>
      <w:r w:rsidRPr="005E4191">
        <w:rPr>
          <w:rFonts w:hint="eastAsia"/>
        </w:rPr>
        <w:t xml:space="preserve"> had a long relationship with the JFTC also witnessed:</w:t>
      </w:r>
    </w:p>
    <w:p w14:paraId="3A007D49" w14:textId="77777777" w:rsidR="007D1693" w:rsidRPr="00CF37D6" w:rsidRDefault="007D1693" w:rsidP="007D1693"/>
    <w:p w14:paraId="3FD325CC" w14:textId="77777777" w:rsidR="007D1693" w:rsidRPr="005B18BE" w:rsidRDefault="00F77E54" w:rsidP="007D1693">
      <w:pPr>
        <w:pStyle w:val="Quote"/>
        <w:rPr>
          <w:color w:val="auto"/>
        </w:rPr>
      </w:pPr>
      <w:r w:rsidRPr="005B18BE">
        <w:rPr>
          <w:color w:val="auto"/>
        </w:rPr>
        <w:t>In the past the LDP had the committee named the AMA Examination Committee and the guy named Sadanori Yamanaka was there. The JFTC said he was the ‘don’ for good or bad, and if he said ‘yes’, things worked very smoothly. But, it is said after his death no similar guy has emerged. (Interview with a law professor (AMA))</w:t>
      </w:r>
    </w:p>
    <w:p w14:paraId="225DD981" w14:textId="77777777" w:rsidR="007D1693" w:rsidRPr="00CF37D6" w:rsidRDefault="007D1693" w:rsidP="007D1693"/>
    <w:p w14:paraId="056DEDE7" w14:textId="77777777" w:rsidR="007D1693" w:rsidRPr="00CF37D6" w:rsidRDefault="007D1693" w:rsidP="007D1693">
      <w:r w:rsidRPr="00CF37D6">
        <w:t>This view is con</w:t>
      </w:r>
      <w:r w:rsidR="00ED40C8" w:rsidRPr="00CF37D6">
        <w:t>firmed</w:t>
      </w:r>
      <w:r w:rsidRPr="00CF37D6">
        <w:t xml:space="preserve"> by another account by a retired senior civil servant:</w:t>
      </w:r>
    </w:p>
    <w:p w14:paraId="654C67B2" w14:textId="77777777" w:rsidR="007D1693" w:rsidRPr="00805FE9" w:rsidRDefault="007D1693" w:rsidP="007D1693"/>
    <w:p w14:paraId="3F32FB05" w14:textId="39AEB264" w:rsidR="007D1693" w:rsidRPr="005B18BE" w:rsidRDefault="00F77E54" w:rsidP="007D1693">
      <w:pPr>
        <w:pStyle w:val="Quote"/>
        <w:rPr>
          <w:color w:val="auto"/>
        </w:rPr>
      </w:pPr>
      <w:r w:rsidRPr="005B18BE">
        <w:rPr>
          <w:color w:val="auto"/>
        </w:rPr>
        <w:t>before that (the emergence of the Koizumi Government in 2001), a group of specialised politicians in the AMA surrounding Mr Yamanaka, about ten people, led and decided, like, how far the JFTC could go if it was allowed to move in one way, but it seemed that not the general public but only that group was interested in the JFTC’s policy. (Interview with a retired JFTC senior civil servant)</w:t>
      </w:r>
    </w:p>
    <w:p w14:paraId="21D4C31D" w14:textId="77777777" w:rsidR="007D1693" w:rsidRPr="00CF37D6" w:rsidRDefault="007D1693" w:rsidP="007D1693"/>
    <w:p w14:paraId="7A4DF045" w14:textId="77777777" w:rsidR="007D1693" w:rsidRPr="00757C57" w:rsidRDefault="007D1693" w:rsidP="007D1693">
      <w:r w:rsidRPr="00805FE9">
        <w:t>The nature of Yamanaka’s role is described as a mentor rather than a key man by a retired JFTC senior civil servant</w:t>
      </w:r>
      <w:r w:rsidRPr="00757C57">
        <w:rPr>
          <w:rFonts w:hint="eastAsia"/>
        </w:rPr>
        <w:t>:</w:t>
      </w:r>
    </w:p>
    <w:p w14:paraId="1B0784E0" w14:textId="77777777" w:rsidR="007D1693" w:rsidRPr="00757C57" w:rsidRDefault="007D1693" w:rsidP="007D1693"/>
    <w:p w14:paraId="0A8137F5" w14:textId="77777777" w:rsidR="007D1693" w:rsidRPr="005B18BE" w:rsidRDefault="00F77E54" w:rsidP="003A6881">
      <w:pPr>
        <w:pStyle w:val="Quote"/>
        <w:rPr>
          <w:color w:val="auto"/>
        </w:rPr>
      </w:pPr>
      <w:r w:rsidRPr="005B18BE">
        <w:rPr>
          <w:color w:val="auto"/>
        </w:rPr>
        <w:t>…other executive organisations have to generate policies from time to time and in these processes somebody like a key man probably exists. In the case of the JFTC, it generates new issues not frequently but only at key turning points. Enforcing the AMA requires no key man, in particular if the independence of authority is considered. So, when the JFTC sometimes launches something, it needs to find a mentor, who was honourable Mr Yamanaka. (Interview with a retired JFTC senior civil servant)</w:t>
      </w:r>
    </w:p>
    <w:p w14:paraId="1A4C566C" w14:textId="77777777" w:rsidR="007D1693" w:rsidRPr="00CF37D6" w:rsidRDefault="007D1693" w:rsidP="007D1693"/>
    <w:p w14:paraId="7D9C2B59" w14:textId="77777777" w:rsidR="007D1693" w:rsidRPr="00757C57" w:rsidRDefault="007D1693" w:rsidP="007D1693">
      <w:r w:rsidRPr="00805FE9">
        <w:t>The description ‘mentor’ can implic</w:t>
      </w:r>
      <w:r w:rsidRPr="00757C57">
        <w:t xml:space="preserve">ate that Yamanaka did not closely cooperate with the JFTC but supported it at arm’s length. This retired official </w:t>
      </w:r>
      <w:r w:rsidRPr="00757C57">
        <w:rPr>
          <w:rFonts w:hint="eastAsia"/>
        </w:rPr>
        <w:t>further elaborate</w:t>
      </w:r>
      <w:r w:rsidRPr="00757C57">
        <w:t>d</w:t>
      </w:r>
      <w:r w:rsidRPr="00757C57">
        <w:rPr>
          <w:rFonts w:hint="eastAsia"/>
        </w:rPr>
        <w:t xml:space="preserve"> his account by employing a comparison between the JFTC and other government ministries:</w:t>
      </w:r>
    </w:p>
    <w:p w14:paraId="6B37E56C" w14:textId="77777777" w:rsidR="007D1693" w:rsidRPr="00757C57" w:rsidRDefault="007D1693" w:rsidP="007D1693"/>
    <w:p w14:paraId="5A69563F" w14:textId="77777777" w:rsidR="007D1693" w:rsidRPr="005B18BE" w:rsidRDefault="00F77E54" w:rsidP="007D1693">
      <w:pPr>
        <w:pStyle w:val="Quote"/>
        <w:rPr>
          <w:color w:val="auto"/>
        </w:rPr>
      </w:pPr>
      <w:r w:rsidRPr="005B18BE">
        <w:rPr>
          <w:color w:val="auto"/>
        </w:rPr>
        <w:t>So, in an extreme description, the JFTC needs only such a man. Well, the Chairman of the AMA Examination Committee was there, and the Chairman said ‘OK, I’ll do that’ in preliminary briefings, then everything was all right. In this way, the JFTC doesn’t probably need a key man equivalent to other government organisations’. (Interview with a retired JFTC senior civil servant)</w:t>
      </w:r>
    </w:p>
    <w:p w14:paraId="161E8C07" w14:textId="77777777" w:rsidR="007D1693" w:rsidRPr="005B18BE" w:rsidRDefault="007D1693" w:rsidP="007D1693">
      <w:pPr>
        <w:rPr>
          <w:color w:val="0070C0"/>
        </w:rPr>
      </w:pPr>
    </w:p>
    <w:p w14:paraId="2CEE938E" w14:textId="77777777" w:rsidR="007D1693" w:rsidRDefault="007D1693" w:rsidP="00A86ECE">
      <w:pPr>
        <w:ind w:firstLine="284"/>
      </w:pPr>
      <w:r>
        <w:t xml:space="preserve">These accounts </w:t>
      </w:r>
      <w:r>
        <w:rPr>
          <w:rFonts w:hint="eastAsia"/>
        </w:rPr>
        <w:t xml:space="preserve">highlight the </w:t>
      </w:r>
      <w:r>
        <w:t>nature</w:t>
      </w:r>
      <w:r>
        <w:rPr>
          <w:rFonts w:hint="eastAsia"/>
        </w:rPr>
        <w:t xml:space="preserve"> of the relationship between the JFTC and party politicians. </w:t>
      </w:r>
      <w:r>
        <w:t>F</w:t>
      </w:r>
      <w:r>
        <w:rPr>
          <w:rFonts w:hint="eastAsia"/>
        </w:rPr>
        <w:t xml:space="preserve">ocusing on </w:t>
      </w:r>
      <w:r>
        <w:t>AMA</w:t>
      </w:r>
      <w:r>
        <w:rPr>
          <w:rFonts w:hint="eastAsia"/>
        </w:rPr>
        <w:t xml:space="preserve"> enforcement</w:t>
      </w:r>
      <w:r>
        <w:t>,</w:t>
      </w:r>
      <w:r>
        <w:rPr>
          <w:rFonts w:hint="eastAsia"/>
        </w:rPr>
        <w:t xml:space="preserve"> the JFTC has not had a </w:t>
      </w:r>
      <w:r>
        <w:t>strong</w:t>
      </w:r>
      <w:r>
        <w:rPr>
          <w:rFonts w:hint="eastAsia"/>
        </w:rPr>
        <w:t xml:space="preserve"> relationship with party politicians. It </w:t>
      </w:r>
      <w:r w:rsidR="008065ED">
        <w:t xml:space="preserve">has </w:t>
      </w:r>
      <w:r>
        <w:rPr>
          <w:rFonts w:hint="eastAsia"/>
        </w:rPr>
        <w:t>mainly contact</w:t>
      </w:r>
      <w:r w:rsidR="008065ED">
        <w:t>ed</w:t>
      </w:r>
      <w:r>
        <w:rPr>
          <w:rFonts w:hint="eastAsia"/>
        </w:rPr>
        <w:t xml:space="preserve"> party politicians in the process of AMA </w:t>
      </w:r>
      <w:r>
        <w:t>amendments</w:t>
      </w:r>
      <w:r>
        <w:rPr>
          <w:rFonts w:hint="eastAsia"/>
        </w:rPr>
        <w:t xml:space="preserve">. </w:t>
      </w:r>
      <w:r>
        <w:t xml:space="preserve">Such </w:t>
      </w:r>
      <w:r w:rsidR="006601A1">
        <w:t>circumstances</w:t>
      </w:r>
      <w:r>
        <w:t xml:space="preserve"> ha</w:t>
      </w:r>
      <w:r w:rsidR="006601A1">
        <w:t>ve</w:t>
      </w:r>
      <w:r>
        <w:t xml:space="preserve"> created a weak relationship with </w:t>
      </w:r>
      <w:r>
        <w:rPr>
          <w:rFonts w:hint="eastAsia"/>
        </w:rPr>
        <w:t>politi</w:t>
      </w:r>
      <w:r>
        <w:t xml:space="preserve">cians, which </w:t>
      </w:r>
      <w:r>
        <w:rPr>
          <w:rFonts w:hint="eastAsia"/>
        </w:rPr>
        <w:t xml:space="preserve">have been compensated by the relationship with Yamanaka. This observation is backed by a comment by a retired JFTC senior civil servant: </w:t>
      </w:r>
      <w:r>
        <w:t>‘…</w:t>
      </w:r>
      <w:r>
        <w:rPr>
          <w:rFonts w:hint="eastAsia"/>
        </w:rPr>
        <w:t xml:space="preserve">if </w:t>
      </w:r>
      <w:r>
        <w:t xml:space="preserve">the JFTC </w:t>
      </w:r>
      <w:r>
        <w:rPr>
          <w:rFonts w:hint="eastAsia"/>
        </w:rPr>
        <w:t>didn</w:t>
      </w:r>
      <w:r>
        <w:t>’</w:t>
      </w:r>
      <w:r>
        <w:rPr>
          <w:rFonts w:hint="eastAsia"/>
        </w:rPr>
        <w:t xml:space="preserve">t have the people like Mr Yamanaka, </w:t>
      </w:r>
      <w:r>
        <w:t>it</w:t>
      </w:r>
      <w:r>
        <w:rPr>
          <w:rFonts w:hint="eastAsia"/>
        </w:rPr>
        <w:t xml:space="preserve"> may have had to think about establishing a relationship with somebody like </w:t>
      </w:r>
      <w:r w:rsidR="00A86ECE">
        <w:t xml:space="preserve">a </w:t>
      </w:r>
      <w:r>
        <w:rPr>
          <w:rFonts w:hint="eastAsia"/>
        </w:rPr>
        <w:t>key m</w:t>
      </w:r>
      <w:r w:rsidR="00A86ECE">
        <w:t>a</w:t>
      </w:r>
      <w:r>
        <w:rPr>
          <w:rFonts w:hint="eastAsia"/>
        </w:rPr>
        <w:t xml:space="preserve">n, as disturbing interventions from politicians </w:t>
      </w:r>
      <w:r w:rsidR="00B77D93">
        <w:t xml:space="preserve">would </w:t>
      </w:r>
      <w:r>
        <w:rPr>
          <w:rFonts w:hint="eastAsia"/>
        </w:rPr>
        <w:t>probably tr</w:t>
      </w:r>
      <w:r w:rsidR="00B77D93">
        <w:t>y</w:t>
      </w:r>
      <w:r>
        <w:rPr>
          <w:rFonts w:hint="eastAsia"/>
        </w:rPr>
        <w:t xml:space="preserve"> to </w:t>
      </w:r>
      <w:r>
        <w:t>stop</w:t>
      </w:r>
      <w:r>
        <w:rPr>
          <w:rFonts w:hint="eastAsia"/>
        </w:rPr>
        <w:t xml:space="preserve"> things </w:t>
      </w:r>
      <w:r>
        <w:t>sooner</w:t>
      </w:r>
      <w:r>
        <w:rPr>
          <w:rFonts w:hint="eastAsia"/>
        </w:rPr>
        <w:t xml:space="preserve"> or later</w:t>
      </w:r>
      <w:r>
        <w:t>’</w:t>
      </w:r>
      <w:r>
        <w:rPr>
          <w:rFonts w:hint="eastAsia"/>
        </w:rPr>
        <w:t xml:space="preserve"> (</w:t>
      </w:r>
      <w:r w:rsidR="007634ED">
        <w:rPr>
          <w:rFonts w:hint="eastAsia"/>
        </w:rPr>
        <w:t>Interview with</w:t>
      </w:r>
      <w:r>
        <w:rPr>
          <w:rFonts w:hint="eastAsia"/>
        </w:rPr>
        <w:t xml:space="preserve"> a retired JFTC senior civil servant).</w:t>
      </w:r>
    </w:p>
    <w:p w14:paraId="579F6C1A" w14:textId="77777777" w:rsidR="007D1693" w:rsidRDefault="007D1693" w:rsidP="007D1693">
      <w:pPr>
        <w:ind w:firstLine="284"/>
      </w:pPr>
      <w:r>
        <w:t>If Yamanaka played such a significant role in the antimonopoly policy making process, the</w:t>
      </w:r>
      <w:r>
        <w:rPr>
          <w:rFonts w:hint="eastAsia"/>
        </w:rPr>
        <w:t xml:space="preserve"> nature of </w:t>
      </w:r>
      <w:r>
        <w:t xml:space="preserve">his role should be </w:t>
      </w:r>
      <w:r>
        <w:rPr>
          <w:rFonts w:hint="eastAsia"/>
        </w:rPr>
        <w:t xml:space="preserve">a topic of </w:t>
      </w:r>
      <w:r>
        <w:t xml:space="preserve">further </w:t>
      </w:r>
      <w:r>
        <w:rPr>
          <w:rFonts w:hint="eastAsia"/>
        </w:rPr>
        <w:t xml:space="preserve">exploration. </w:t>
      </w:r>
      <w:r>
        <w:t>The c</w:t>
      </w:r>
      <w:r>
        <w:rPr>
          <w:rFonts w:hint="eastAsia"/>
        </w:rPr>
        <w:t xml:space="preserve">ivil servants of the time </w:t>
      </w:r>
      <w:r>
        <w:t xml:space="preserve">(the period until 2004) expressed </w:t>
      </w:r>
      <w:r>
        <w:rPr>
          <w:rFonts w:hint="eastAsia"/>
        </w:rPr>
        <w:t xml:space="preserve">a </w:t>
      </w:r>
      <w:r w:rsidR="0068060B">
        <w:t>discernibly</w:t>
      </w:r>
      <w:r w:rsidR="0068060B">
        <w:rPr>
          <w:rFonts w:hint="eastAsia"/>
        </w:rPr>
        <w:t xml:space="preserve"> </w:t>
      </w:r>
      <w:r>
        <w:rPr>
          <w:rFonts w:hint="eastAsia"/>
        </w:rPr>
        <w:t>positive view to Yamanaka</w:t>
      </w:r>
      <w:r>
        <w:t>, which can be exemplified by the comment by a</w:t>
      </w:r>
      <w:r>
        <w:rPr>
          <w:rFonts w:hint="eastAsia"/>
        </w:rPr>
        <w:t xml:space="preserve"> retired JFTC senior civil servant:</w:t>
      </w:r>
    </w:p>
    <w:p w14:paraId="1A030028" w14:textId="77777777" w:rsidR="007D1693" w:rsidRDefault="007D1693" w:rsidP="007D1693"/>
    <w:p w14:paraId="0029C8CA" w14:textId="7DFE86C2" w:rsidR="007D1693" w:rsidRDefault="007D1693" w:rsidP="007D1693">
      <w:pPr>
        <w:pStyle w:val="Quote"/>
      </w:pPr>
      <w:r>
        <w:rPr>
          <w:rFonts w:hint="eastAsia"/>
        </w:rPr>
        <w:t xml:space="preserve">he </w:t>
      </w:r>
      <w:r>
        <w:t xml:space="preserve">(Yamanaka) </w:t>
      </w:r>
      <w:r>
        <w:rPr>
          <w:rFonts w:hint="eastAsia"/>
        </w:rPr>
        <w:t xml:space="preserve">really thought himself with confidence how the AMA should be, and rejected things against his idea, even if they were </w:t>
      </w:r>
      <w:r>
        <w:t xml:space="preserve">from </w:t>
      </w:r>
      <w:r>
        <w:rPr>
          <w:rFonts w:hint="eastAsia"/>
        </w:rPr>
        <w:t>the Prime Minister</w:t>
      </w:r>
      <w:r>
        <w:t>. He had a very strong will like that, and his presence was very important for the JFTC. If described in an extreme way, when the SII urged to enhance law enforcement and antimonopoly policy making, things worked well because of him. (</w:t>
      </w:r>
      <w:r w:rsidR="007634ED">
        <w:t>Interview with</w:t>
      </w:r>
      <w:r>
        <w:t xml:space="preserve"> a retired JFTC senior civil servant)</w:t>
      </w:r>
    </w:p>
    <w:p w14:paraId="5E08A115" w14:textId="77777777" w:rsidR="007D1693" w:rsidRDefault="007D1693" w:rsidP="007D1693"/>
    <w:p w14:paraId="0C188936" w14:textId="77777777" w:rsidR="007D1693" w:rsidRPr="003616C1" w:rsidRDefault="007D1693" w:rsidP="007D1693">
      <w:r>
        <w:t xml:space="preserve">A similar view was witnessed </w:t>
      </w:r>
      <w:r w:rsidR="005B560E">
        <w:t xml:space="preserve">by </w:t>
      </w:r>
      <w:r>
        <w:t>another retired JFTC senior civil servant:</w:t>
      </w:r>
    </w:p>
    <w:p w14:paraId="245491AB" w14:textId="77777777" w:rsidR="007D1693" w:rsidRDefault="007D1693" w:rsidP="007D1693"/>
    <w:p w14:paraId="5B6517AC" w14:textId="2884B7EA" w:rsidR="007D1693" w:rsidRDefault="007D1693" w:rsidP="007D1693">
      <w:pPr>
        <w:pStyle w:val="Quote"/>
      </w:pPr>
      <w:r>
        <w:t>when Yamanaka’s Examination Committee worked well, it gave civil servants a sense of trust. Probably to civil servants in other government ministries too, for he wasn’t a mere JFTC sponsor. In short he happened to be the Chairman of the AMA Examination Committee, but wasn’t ‘the supporter of the JFTC: Sadanori Yamanaka’. He thought of Japan’s economy and its people’s li</w:t>
      </w:r>
      <w:r w:rsidR="00B77D93">
        <w:t>ves</w:t>
      </w:r>
      <w:r>
        <w:t>, and happened to address the tax system or antimonopoly as actual cases. He thought in such a way, at least said so. (</w:t>
      </w:r>
      <w:r w:rsidR="007634ED">
        <w:t>Interview with</w:t>
      </w:r>
      <w:r>
        <w:t xml:space="preserve"> a retired senior civil servant)</w:t>
      </w:r>
    </w:p>
    <w:p w14:paraId="504A176C" w14:textId="77777777" w:rsidR="007D1693" w:rsidRDefault="007D1693" w:rsidP="007D1693"/>
    <w:p w14:paraId="45716054" w14:textId="77777777" w:rsidR="007D1693" w:rsidRDefault="007D1693" w:rsidP="006A1B63">
      <w:r>
        <w:t>Th</w:t>
      </w:r>
      <w:r w:rsidR="00587A25">
        <w:t>e</w:t>
      </w:r>
      <w:r>
        <w:t xml:space="preserve"> perspective </w:t>
      </w:r>
      <w:r w:rsidR="000730BF">
        <w:t>of</w:t>
      </w:r>
      <w:r>
        <w:t xml:space="preserve"> civil servants</w:t>
      </w:r>
      <w:r>
        <w:rPr>
          <w:rFonts w:hint="eastAsia"/>
        </w:rPr>
        <w:t xml:space="preserve"> </w:t>
      </w:r>
      <w:r>
        <w:t>suggests</w:t>
      </w:r>
      <w:r>
        <w:rPr>
          <w:rFonts w:hint="eastAsia"/>
        </w:rPr>
        <w:t xml:space="preserve"> that Yamanaka m</w:t>
      </w:r>
      <w:r>
        <w:t>ade</w:t>
      </w:r>
      <w:r>
        <w:rPr>
          <w:rFonts w:hint="eastAsia"/>
        </w:rPr>
        <w:t xml:space="preserve"> decisions based not </w:t>
      </w:r>
      <w:r>
        <w:t xml:space="preserve">on </w:t>
      </w:r>
      <w:r>
        <w:rPr>
          <w:rFonts w:hint="eastAsia"/>
        </w:rPr>
        <w:t>the demands of interest groups behind him but his own judgement. Indeed, Yamanaka</w:t>
      </w:r>
      <w:r>
        <w:t xml:space="preserve"> was powerful enough to realise his own idea in the political arena</w:t>
      </w:r>
      <w:r>
        <w:rPr>
          <w:rFonts w:hint="eastAsia"/>
        </w:rPr>
        <w:t xml:space="preserve"> in the 1980s</w:t>
      </w:r>
      <w:r>
        <w:t>;</w:t>
      </w:r>
      <w:r>
        <w:rPr>
          <w:rFonts w:hint="eastAsia"/>
        </w:rPr>
        <w:t xml:space="preserve"> Inoguchi and Iwai </w:t>
      </w:r>
      <w:r>
        <w:t xml:space="preserve">(1987 pp.242-6) </w:t>
      </w:r>
      <w:r>
        <w:rPr>
          <w:rFonts w:hint="eastAsia"/>
        </w:rPr>
        <w:t>depict Yamanaka</w:t>
      </w:r>
      <w:r>
        <w:t>’</w:t>
      </w:r>
      <w:r>
        <w:rPr>
          <w:rFonts w:hint="eastAsia"/>
        </w:rPr>
        <w:t xml:space="preserve">s significant power </w:t>
      </w:r>
      <w:r>
        <w:t>through</w:t>
      </w:r>
      <w:r>
        <w:rPr>
          <w:rFonts w:hint="eastAsia"/>
        </w:rPr>
        <w:t xml:space="preserve"> observing the MOF</w:t>
      </w:r>
      <w:r>
        <w:t>’</w:t>
      </w:r>
      <w:r>
        <w:rPr>
          <w:rFonts w:hint="eastAsia"/>
        </w:rPr>
        <w:t>s (Ministry of Finance) fail</w:t>
      </w:r>
      <w:r>
        <w:t>ed process</w:t>
      </w:r>
      <w:r>
        <w:rPr>
          <w:rFonts w:hint="eastAsia"/>
        </w:rPr>
        <w:t xml:space="preserve"> to abolish tax exemption to Office Automation </w:t>
      </w:r>
      <w:r>
        <w:t>facilities (OA). In 1984 the MOF tried to abolish tax exemption for OA products to generate the compensatory income for income tax cut</w:t>
      </w:r>
      <w:r w:rsidR="000730BF">
        <w:t>s</w:t>
      </w:r>
      <w:r>
        <w:t xml:space="preserve"> in </w:t>
      </w:r>
      <w:r w:rsidR="000730BF">
        <w:t xml:space="preserve">the </w:t>
      </w:r>
      <w:r>
        <w:t>financial year 1984 (Inoguchi and Iwai 1987 p.243). In its effort</w:t>
      </w:r>
      <w:r w:rsidR="0068060B">
        <w:t>s,</w:t>
      </w:r>
      <w:r>
        <w:t xml:space="preserve"> the MOF created a significant row with Yamanaka, who was also a key member of the LDP Taxation Committee: it tried to push this policy when diabetes prevented Yamanaka from attending relevant policy meetings (Inoguchi and Iwai 1987 p. 245). The sessions of the LDP Taxation Committee start</w:t>
      </w:r>
      <w:r w:rsidR="000730BF">
        <w:t>ing</w:t>
      </w:r>
      <w:r>
        <w:t xml:space="preserve"> in December 1985 saw a strong opposition to this new tax on OA products from LDP Diet members, who were lobbied by </w:t>
      </w:r>
      <w:r w:rsidR="000730BF">
        <w:t xml:space="preserve">the </w:t>
      </w:r>
      <w:r>
        <w:t>OA industry (Inoguchi and Iwai 1987 pp. 245-6). Backed by such an opposition group, Yamanaka strongly opposed the new tax</w:t>
      </w:r>
      <w:r w:rsidR="006A1B63">
        <w:t xml:space="preserve">; in the end, </w:t>
      </w:r>
      <w:r>
        <w:t>the meeting between the MOF and the core members of the LDP Taxation Committee including Yamanaka stopped introducing this new tax (Inoguchi and Iwai 1987 p. 246). Inoguchi and Iwai (1987 p.246) conclude that in the 1980s</w:t>
      </w:r>
      <w:r w:rsidR="0068060B">
        <w:t>,</w:t>
      </w:r>
      <w:r>
        <w:t xml:space="preserve"> a planned policy making did not work if a very strong </w:t>
      </w:r>
      <w:r w:rsidRPr="0038567E">
        <w:rPr>
          <w:i/>
          <w:iCs/>
        </w:rPr>
        <w:t>Zoku Gi’in</w:t>
      </w:r>
      <w:r>
        <w:t xml:space="preserve"> such as Yamanaka in the Taxation field opposed, even if he was alone. His dominant power was also evident in the field of antimonopoly policies, as described by an outside observer:</w:t>
      </w:r>
    </w:p>
    <w:p w14:paraId="2989450B" w14:textId="77777777" w:rsidR="007D1693" w:rsidRDefault="007D1693" w:rsidP="007D1693"/>
    <w:p w14:paraId="122A7843" w14:textId="0690542B" w:rsidR="007D1693" w:rsidRDefault="003E39E0" w:rsidP="006678DB">
      <w:pPr>
        <w:pStyle w:val="Quote"/>
      </w:pPr>
      <w:r>
        <w:rPr>
          <w:rFonts w:eastAsia="MS Mincho" w:hint="eastAsia"/>
          <w:lang w:eastAsia="ja-JP"/>
        </w:rPr>
        <w:t>The LDP</w:t>
      </w:r>
      <w:r>
        <w:rPr>
          <w:rFonts w:eastAsia="MS Mincho"/>
          <w:lang w:eastAsia="ja-JP"/>
        </w:rPr>
        <w:t>’</w:t>
      </w:r>
      <w:r w:rsidR="007D1693">
        <w:t>s AMA Examination Committee was a very mysterious organisation</w:t>
      </w:r>
      <w:r w:rsidR="009E307E">
        <w:t>;</w:t>
      </w:r>
      <w:r w:rsidR="007D1693">
        <w:t xml:space="preserve"> it’s only an organisation under the PARC, but under Mr Yamanaka’s dictatorial influence. …Mr Yamanaka dictatorially decided AMA (related affairs) during the period of </w:t>
      </w:r>
      <w:r w:rsidR="000730BF">
        <w:t xml:space="preserve">the </w:t>
      </w:r>
      <w:r w:rsidR="007D1693">
        <w:t>Yamanaka Examination Committee. (</w:t>
      </w:r>
      <w:r w:rsidR="007634ED">
        <w:t>Interview with</w:t>
      </w:r>
      <w:r w:rsidR="007D1693">
        <w:t xml:space="preserve"> a </w:t>
      </w:r>
      <w:r w:rsidR="007D1693" w:rsidRPr="00182401">
        <w:rPr>
          <w:i/>
        </w:rPr>
        <w:t>Keidanren</w:t>
      </w:r>
      <w:r w:rsidR="007D1693">
        <w:t xml:space="preserve"> official)</w:t>
      </w:r>
    </w:p>
    <w:p w14:paraId="02545DD6" w14:textId="77777777" w:rsidR="007D1693" w:rsidRDefault="007D1693" w:rsidP="007D1693"/>
    <w:p w14:paraId="79A096C2" w14:textId="77777777" w:rsidR="007D1693" w:rsidRDefault="007D1693" w:rsidP="007D1693">
      <w:r>
        <w:t xml:space="preserve">This set of accounts reveals </w:t>
      </w:r>
      <w:r w:rsidR="00AD4B71">
        <w:t xml:space="preserve">the impact of </w:t>
      </w:r>
      <w:r>
        <w:t>Yamanaka’s influence. His power drew in part from his seniority in the LDP and his long experience and expertise in the antimonopoly field. Much of his power stemmed from his personal position. However, what made him exercise his power was his internal position in the LDP and the LDP’s status as the ruling party. The nature of Yamanaka’s power was oriented from his personal assets (experience, expertise, character, relationships with other politicians) as well as structural elements (his position as the Chairman of the LDP AMA Examination Committee, the LDP’s position as the ruling party). It was a product of conflation between agency and structure.</w:t>
      </w:r>
    </w:p>
    <w:p w14:paraId="20C47D47" w14:textId="77777777" w:rsidR="007D1693" w:rsidRDefault="007D1693" w:rsidP="007D1693">
      <w:pPr>
        <w:ind w:firstLine="284"/>
      </w:pPr>
      <w:r>
        <w:rPr>
          <w:rFonts w:hint="eastAsia"/>
        </w:rPr>
        <w:t>In contrast to Yamanaka</w:t>
      </w:r>
      <w:r>
        <w:t>’</w:t>
      </w:r>
      <w:r>
        <w:rPr>
          <w:rFonts w:hint="eastAsia"/>
        </w:rPr>
        <w:t xml:space="preserve">s strong power and influence, party politicians formally responsible for the JFTC </w:t>
      </w:r>
      <w:r>
        <w:t xml:space="preserve">did not exercise a significant influence over the JFTC and antimonopoly policies under the LDP administration. </w:t>
      </w:r>
      <w:r>
        <w:rPr>
          <w:rFonts w:hint="eastAsia"/>
        </w:rPr>
        <w:t>It is the Prime Minister who is formally responsible for the JFTC according to the provision of the AMA</w:t>
      </w:r>
      <w:r>
        <w:rPr>
          <w:rStyle w:val="FootnoteReference"/>
        </w:rPr>
        <w:footnoteReference w:id="77"/>
      </w:r>
      <w:r>
        <w:rPr>
          <w:rFonts w:hint="eastAsia"/>
        </w:rPr>
        <w:t xml:space="preserve">. </w:t>
      </w:r>
      <w:r>
        <w:t>T</w:t>
      </w:r>
      <w:r>
        <w:rPr>
          <w:rFonts w:hint="eastAsia"/>
        </w:rPr>
        <w:t xml:space="preserve">he actual responsibilities of the PM were </w:t>
      </w:r>
      <w:r>
        <w:t>assigned</w:t>
      </w:r>
      <w:r>
        <w:rPr>
          <w:rFonts w:hint="eastAsia"/>
        </w:rPr>
        <w:t xml:space="preserve"> to the Chief Cabinet Secretary (Cabinet Minister) pursuant to the provision of the </w:t>
      </w:r>
      <w:r w:rsidRPr="00C00881">
        <w:t>Act for Establishment of the Cabinet Office</w:t>
      </w:r>
      <w:r>
        <w:rPr>
          <w:rStyle w:val="FootnoteReference"/>
        </w:rPr>
        <w:footnoteReference w:id="78"/>
      </w:r>
      <w:r>
        <w:rPr>
          <w:rFonts w:hint="eastAsia"/>
        </w:rPr>
        <w:t xml:space="preserve">. </w:t>
      </w:r>
      <w:r>
        <w:t>T</w:t>
      </w:r>
      <w:r>
        <w:rPr>
          <w:rFonts w:hint="eastAsia"/>
        </w:rPr>
        <w:t>he impact of the Chief Cabinet Secretaries, who were formally responsible for antimonopoly policies under the LDP governments</w:t>
      </w:r>
      <w:r>
        <w:t>,</w:t>
      </w:r>
      <w:r>
        <w:rPr>
          <w:rFonts w:hint="eastAsia"/>
        </w:rPr>
        <w:t xml:space="preserve"> on polic</w:t>
      </w:r>
      <w:r>
        <w:t>y</w:t>
      </w:r>
      <w:r>
        <w:rPr>
          <w:rFonts w:hint="eastAsia"/>
        </w:rPr>
        <w:t xml:space="preserve"> was limited according to the account offered by interviews</w:t>
      </w:r>
      <w:r>
        <w:t xml:space="preserve">. A retired JFTC senior civil servant elaborated </w:t>
      </w:r>
      <w:r w:rsidR="000730BF">
        <w:t xml:space="preserve">on </w:t>
      </w:r>
      <w:r>
        <w:t xml:space="preserve">the relationship between the JFTC and the Chief </w:t>
      </w:r>
      <w:r w:rsidRPr="00C42F88">
        <w:t>Cabinet Secretary:</w:t>
      </w:r>
    </w:p>
    <w:p w14:paraId="2D06CD75" w14:textId="77777777" w:rsidR="007D1693" w:rsidRDefault="007D1693" w:rsidP="007D1693"/>
    <w:p w14:paraId="7904D1F9" w14:textId="77777777" w:rsidR="007D1693" w:rsidRDefault="007D1693" w:rsidP="007D1693">
      <w:pPr>
        <w:pStyle w:val="Quote"/>
      </w:pPr>
      <w:r>
        <w:t>…the relationship between the JFTC and the Chief Cabinet Secretary wasn’t substantial at all. … law gives the JFTC independence of authority untouchable to even Cabinet Ministers; under such circumstances what remained to the Prime Minister and the delegated Chief Cabinet Secretary were only a few things. First,</w:t>
      </w:r>
      <w:r>
        <w:rPr>
          <w:rFonts w:hint="eastAsia"/>
        </w:rPr>
        <w:t xml:space="preserve"> when </w:t>
      </w:r>
      <w:r>
        <w:t xml:space="preserve">the AMA amendment </w:t>
      </w:r>
      <w:r>
        <w:rPr>
          <w:rFonts w:hint="eastAsia"/>
        </w:rPr>
        <w:t>i</w:t>
      </w:r>
      <w:r>
        <w:t>s put before the Diet</w:t>
      </w:r>
      <w:r>
        <w:rPr>
          <w:rFonts w:hint="eastAsia"/>
        </w:rPr>
        <w:t xml:space="preserve">, </w:t>
      </w:r>
      <w:r>
        <w:t xml:space="preserve">the government </w:t>
      </w:r>
      <w:r>
        <w:rPr>
          <w:rFonts w:hint="eastAsia"/>
        </w:rPr>
        <w:t>have</w:t>
      </w:r>
      <w:r>
        <w:t xml:space="preserve"> to explain the bill in the Diet. The Chief Cabinet Secretary did that as a Cabinet Minister. (</w:t>
      </w:r>
      <w:r w:rsidR="007634ED">
        <w:t>Interview with</w:t>
      </w:r>
      <w:r>
        <w:t xml:space="preserve"> a retired JFTC senior civil servant)</w:t>
      </w:r>
    </w:p>
    <w:p w14:paraId="48F840CE" w14:textId="77777777" w:rsidR="007D1693" w:rsidRDefault="007D1693" w:rsidP="007D1693"/>
    <w:p w14:paraId="76DB08B5" w14:textId="77777777" w:rsidR="007D1693" w:rsidRDefault="007D1693" w:rsidP="007D1693">
      <w:r>
        <w:t>The rest of the tasks borne by the Chief Cabinet Secretary were also ceremonial:</w:t>
      </w:r>
    </w:p>
    <w:p w14:paraId="4BE9FAD8" w14:textId="77777777" w:rsidR="007D1693" w:rsidRDefault="007D1693" w:rsidP="007D1693"/>
    <w:p w14:paraId="6A490A4E" w14:textId="77777777" w:rsidR="007D1693" w:rsidRDefault="007D1693" w:rsidP="00A94C60">
      <w:pPr>
        <w:pStyle w:val="Quote"/>
      </w:pPr>
      <w:r>
        <w:t xml:space="preserve">…and after the bill is adopted in the Standing Committee, the responsible Cabinet Minister stands up and greets ‘Thank you very much’ there. And sometimes the adopted bill gets an attached resolution. And usually the Cabinet Minister greets by saying things like ‘taking account of </w:t>
      </w:r>
      <w:r>
        <w:rPr>
          <w:rFonts w:hint="eastAsia"/>
        </w:rPr>
        <w:t xml:space="preserve">the </w:t>
      </w:r>
      <w:r>
        <w:t>resolution’s intention the government will do its best’. These greetings were done by the Chief Cabinet Secretary. Only a Cabinet Minister can do th</w:t>
      </w:r>
      <w:r>
        <w:rPr>
          <w:rFonts w:hint="eastAsia"/>
        </w:rPr>
        <w:t>ese</w:t>
      </w:r>
      <w:r>
        <w:t>; the JFTC Chairman</w:t>
      </w:r>
      <w:r>
        <w:rPr>
          <w:rFonts w:hint="eastAsia"/>
        </w:rPr>
        <w:t xml:space="preserve"> can</w:t>
      </w:r>
      <w:r>
        <w:t>’</w:t>
      </w:r>
      <w:r>
        <w:rPr>
          <w:rFonts w:hint="eastAsia"/>
        </w:rPr>
        <w:t>t</w:t>
      </w:r>
      <w:r>
        <w:t>, so the Chief Cabinet Secretary did such ceremonial, truly ministerial jobs, and said nothing like how some particular cases are or likewise. The Chief Cabinet Secretary didn’t usually politically intervene in the JFTC’s job at all. This was how things worked under LDP governments. (</w:t>
      </w:r>
      <w:r w:rsidR="007634ED">
        <w:t>Interview with</w:t>
      </w:r>
      <w:r>
        <w:t xml:space="preserve"> a retired JFTC senior civil servant)</w:t>
      </w:r>
    </w:p>
    <w:p w14:paraId="0F1D4A60" w14:textId="77777777" w:rsidR="007D1693" w:rsidRDefault="007D1693" w:rsidP="007D1693"/>
    <w:p w14:paraId="71BAF7E6" w14:textId="77777777" w:rsidR="007D1693" w:rsidRDefault="007D1693" w:rsidP="008013E3">
      <w:r>
        <w:t xml:space="preserve">The nature of the relationship between the JFTC and the responsible Cabinet Minister (the Chief Cabinet Secretary) </w:t>
      </w:r>
      <w:r>
        <w:rPr>
          <w:rFonts w:hint="eastAsia"/>
        </w:rPr>
        <w:t>was</w:t>
      </w:r>
      <w:r>
        <w:t xml:space="preserve"> described as ceremonial, offering a possible </w:t>
      </w:r>
      <w:r>
        <w:rPr>
          <w:rFonts w:hint="eastAsia"/>
        </w:rPr>
        <w:t>interpretation</w:t>
      </w:r>
      <w:r>
        <w:t xml:space="preserve"> that the political control by the Chief Cabinet Secretary was negligible under LDP governments.</w:t>
      </w:r>
    </w:p>
    <w:p w14:paraId="2CC52725" w14:textId="44FC9E0B" w:rsidR="007D1693" w:rsidRDefault="007D1693" w:rsidP="00B52726">
      <w:pPr>
        <w:ind w:firstLine="284"/>
      </w:pPr>
      <w:r>
        <w:t>In drawing the above accounts</w:t>
      </w:r>
      <w:r>
        <w:rPr>
          <w:rFonts w:hint="eastAsia"/>
        </w:rPr>
        <w:t xml:space="preserve"> together</w:t>
      </w:r>
      <w:r>
        <w:t xml:space="preserve">, what emerges is the degree of control by a party politician outside the Cabinet (Yamanaka) and a weak control by the formally responsible Cabinet Minister (Chief Cabinet Secretary). Yamanaka’s role was decision making based on the JFTC’s proposals rather than active management as a retired JFTC senior civil servant described: ‘… Mr Yamanaka didn’t actively give concrete instructions. Rather, we said </w:t>
      </w:r>
      <w:r w:rsidR="00791712">
        <w:t>“</w:t>
      </w:r>
      <w:r>
        <w:t>we want this</w:t>
      </w:r>
      <w:r w:rsidR="00791712">
        <w:t>”</w:t>
      </w:r>
      <w:r>
        <w:t xml:space="preserve">, </w:t>
      </w:r>
      <w:r w:rsidR="00791712">
        <w:t>“</w:t>
      </w:r>
      <w:r>
        <w:t>we want that</w:t>
      </w:r>
      <w:r w:rsidR="00791712">
        <w:t>”</w:t>
      </w:r>
      <w:r>
        <w:t>, and he sometimes rejected</w:t>
      </w:r>
      <w:r>
        <w:rPr>
          <w:rFonts w:hint="eastAsia"/>
        </w:rPr>
        <w:t xml:space="preserve"> </w:t>
      </w:r>
      <w:r>
        <w:t>saying “you can’t</w:t>
      </w:r>
      <w:r>
        <w:rPr>
          <w:rFonts w:hint="eastAsia"/>
        </w:rPr>
        <w:t xml:space="preserve"> do that</w:t>
      </w:r>
      <w:r>
        <w:t>”, or sometimes said “that’s good. Interesting, do it”. It’s up to the cases’ (</w:t>
      </w:r>
      <w:r w:rsidR="007634ED">
        <w:t>Interview with</w:t>
      </w:r>
      <w:r>
        <w:t xml:space="preserve"> a retired JFTC senior civil servant). This description was endorsed by another account by an official of a business organisation: ‘…at that time it was called Yamanaka-Hayashi regime; Chairman Yamanaka and the Head of the Secretariat Hayashi…but in reality what Mr Yamanaka decided w</w:t>
      </w:r>
      <w:r w:rsidR="000730BF">
        <w:t>as</w:t>
      </w:r>
      <w:r>
        <w:t xml:space="preserve"> materialised by Mr Hayashi. Debates were impossible mysteriously, when Mr Yamanaka said “this”’ (</w:t>
      </w:r>
      <w:r w:rsidR="007634ED">
        <w:t>Interview with</w:t>
      </w:r>
      <w:r>
        <w:t xml:space="preserve"> a </w:t>
      </w:r>
      <w:r w:rsidRPr="001215DD">
        <w:rPr>
          <w:i/>
          <w:iCs/>
        </w:rPr>
        <w:t>Keidanren</w:t>
      </w:r>
      <w:r>
        <w:t xml:space="preserve"> official). These accounts imply</w:t>
      </w:r>
      <w:r>
        <w:rPr>
          <w:rFonts w:hint="eastAsia"/>
        </w:rPr>
        <w:t xml:space="preserve"> that </w:t>
      </w:r>
      <w:r>
        <w:t xml:space="preserve">the nature of </w:t>
      </w:r>
      <w:r>
        <w:rPr>
          <w:rFonts w:hint="eastAsia"/>
        </w:rPr>
        <w:t>Yamanaka</w:t>
      </w:r>
      <w:r>
        <w:t>’</w:t>
      </w:r>
      <w:r>
        <w:rPr>
          <w:rFonts w:hint="eastAsia"/>
        </w:rPr>
        <w:t>s role was not managing but decision making in the field of antimonopoly policies.</w:t>
      </w:r>
      <w:r>
        <w:t xml:space="preserve"> What also appears here is the fact that the power was not vested in the formally responsible Cabinet Ministers but a key LDP politician whose formal authority depended upon the LDP as well as his personality.</w:t>
      </w:r>
    </w:p>
    <w:p w14:paraId="227B8232" w14:textId="77777777" w:rsidR="0068060B" w:rsidRDefault="007D1693" w:rsidP="007D1693">
      <w:pPr>
        <w:ind w:firstLine="284"/>
      </w:pPr>
      <w:r>
        <w:rPr>
          <w:rFonts w:hint="eastAsia"/>
        </w:rPr>
        <w:t>Under the strong authority of Yamanaka, the JFTC had more freedom from party politicians</w:t>
      </w:r>
      <w:r>
        <w:t>’</w:t>
      </w:r>
      <w:r>
        <w:rPr>
          <w:rFonts w:hint="eastAsia"/>
        </w:rPr>
        <w:t xml:space="preserve"> intervention. This was possible because </w:t>
      </w:r>
      <w:r w:rsidRPr="0008761E">
        <w:t xml:space="preserve">the </w:t>
      </w:r>
      <w:r>
        <w:rPr>
          <w:rFonts w:hint="eastAsia"/>
        </w:rPr>
        <w:t xml:space="preserve">AMA gives the </w:t>
      </w:r>
      <w:r w:rsidRPr="0008761E">
        <w:t xml:space="preserve">JFTC </w:t>
      </w:r>
      <w:r>
        <w:rPr>
          <w:rFonts w:hint="eastAsia"/>
        </w:rPr>
        <w:t>the independence of authority. T</w:t>
      </w:r>
      <w:r>
        <w:t>h</w:t>
      </w:r>
      <w:r>
        <w:rPr>
          <w:rFonts w:hint="eastAsia"/>
        </w:rPr>
        <w:t xml:space="preserve">is legal framework gave the JFTC civil servants more freedom from formal control by the responsible Cabinet Minister (the Chief Cabinet Secretary), who did not supervise antimonopoly policy implementation. </w:t>
      </w:r>
    </w:p>
    <w:p w14:paraId="773E8423" w14:textId="77777777" w:rsidR="007D1693" w:rsidRDefault="007D1693" w:rsidP="007D1693">
      <w:pPr>
        <w:ind w:firstLine="284"/>
      </w:pPr>
      <w:r>
        <w:rPr>
          <w:rFonts w:hint="eastAsia"/>
        </w:rPr>
        <w:t xml:space="preserve">This offers a striking contrast to other government ministries, </w:t>
      </w:r>
      <w:r w:rsidRPr="0008761E">
        <w:t>w</w:t>
      </w:r>
      <w:r>
        <w:rPr>
          <w:rFonts w:hint="eastAsia"/>
        </w:rPr>
        <w:t xml:space="preserve">here </w:t>
      </w:r>
      <w:r>
        <w:t xml:space="preserve">responsible Cabinet Ministers have </w:t>
      </w:r>
      <w:r w:rsidR="007E0CC7">
        <w:t xml:space="preserve">the </w:t>
      </w:r>
      <w:r>
        <w:t xml:space="preserve">authority to supervise </w:t>
      </w:r>
      <w:r>
        <w:rPr>
          <w:rFonts w:hint="eastAsia"/>
        </w:rPr>
        <w:t>policy implementation.</w:t>
      </w:r>
      <w:r>
        <w:t xml:space="preserve"> The implications of t</w:t>
      </w:r>
      <w:r>
        <w:rPr>
          <w:rFonts w:hint="eastAsia"/>
        </w:rPr>
        <w:t xml:space="preserve">his system </w:t>
      </w:r>
      <w:r>
        <w:t>are</w:t>
      </w:r>
      <w:r>
        <w:rPr>
          <w:rFonts w:hint="eastAsia"/>
        </w:rPr>
        <w:t xml:space="preserve"> a lack of democratic control and a </w:t>
      </w:r>
      <w:r>
        <w:t>poor</w:t>
      </w:r>
      <w:r>
        <w:rPr>
          <w:rFonts w:hint="eastAsia"/>
        </w:rPr>
        <w:t xml:space="preserve"> political </w:t>
      </w:r>
      <w:r>
        <w:t>coordination</w:t>
      </w:r>
      <w:r>
        <w:rPr>
          <w:rFonts w:hint="eastAsia"/>
        </w:rPr>
        <w:t xml:space="preserve"> when the JFTC drafts law amendment bills. Because many policy making issues emerge in the form of law amendments, active policy making activities in the antimonopoly field offer to the JFTC challenges of democratic accountability and political </w:t>
      </w:r>
      <w:r>
        <w:t>coordination</w:t>
      </w:r>
      <w:r>
        <w:rPr>
          <w:rFonts w:hint="eastAsia"/>
        </w:rPr>
        <w:t xml:space="preserve">. A significant portion of policy making involves law amendments, through which the Diet and party politicians exercise their power. The role the JFTC played in law amendment processes offers a clue to figure out the relationship between the JFTC and law amendments. A lawyer specialised in the AMA offered the following observation from his experience in the LDP AMA Examination </w:t>
      </w:r>
      <w:r>
        <w:t>Committee</w:t>
      </w:r>
      <w:r>
        <w:rPr>
          <w:rFonts w:hint="eastAsia"/>
        </w:rPr>
        <w:t xml:space="preserve"> and other relevant places:</w:t>
      </w:r>
    </w:p>
    <w:p w14:paraId="346039F6" w14:textId="77777777" w:rsidR="007D1693" w:rsidRDefault="007D1693" w:rsidP="007D1693"/>
    <w:p w14:paraId="6A9C66F5" w14:textId="69F9A606" w:rsidR="007D1693" w:rsidRDefault="007D1693" w:rsidP="00BF065C">
      <w:pPr>
        <w:pStyle w:val="Quote"/>
      </w:pPr>
      <w:r>
        <w:rPr>
          <w:rFonts w:hint="eastAsia"/>
        </w:rPr>
        <w:t>I guess ideas for AMA amendments originated from various places. It</w:t>
      </w:r>
      <w:r>
        <w:t>’</w:t>
      </w:r>
      <w:r>
        <w:rPr>
          <w:rFonts w:hint="eastAsia"/>
        </w:rPr>
        <w:t xml:space="preserve">s, for instance, from foreign </w:t>
      </w:r>
      <w:r w:rsidR="00BF065C">
        <w:t>developed</w:t>
      </w:r>
      <w:r>
        <w:rPr>
          <w:rFonts w:hint="eastAsia"/>
        </w:rPr>
        <w:t xml:space="preserve"> countries in the antimonopoly field which offered their opinions in places like the SII</w:t>
      </w:r>
      <w:r>
        <w:t>…</w:t>
      </w:r>
      <w:r>
        <w:rPr>
          <w:rFonts w:hint="eastAsia"/>
        </w:rPr>
        <w:t xml:space="preserve"> Another one comes from private firms and other government ministries. </w:t>
      </w:r>
      <w:r>
        <w:t>A</w:t>
      </w:r>
      <w:r>
        <w:rPr>
          <w:rFonts w:hint="eastAsia"/>
        </w:rPr>
        <w:t xml:space="preserve">nd the third one is the points the JFTC think inconvenient. Or, the final output is made by the JFTC. On </w:t>
      </w:r>
      <w:r>
        <w:t>the</w:t>
      </w:r>
      <w:r>
        <w:rPr>
          <w:rFonts w:hint="eastAsia"/>
        </w:rPr>
        <w:t xml:space="preserve"> process of making outputs the JFTC often insert their own view</w:t>
      </w:r>
      <w:r>
        <w:t>…</w:t>
      </w:r>
      <w:r w:rsidR="0076432E">
        <w:t xml:space="preserve"> </w:t>
      </w:r>
      <w:r>
        <w:rPr>
          <w:rFonts w:hint="eastAsia"/>
        </w:rPr>
        <w:t>(</w:t>
      </w:r>
      <w:r w:rsidR="007634ED">
        <w:rPr>
          <w:rFonts w:hint="eastAsia"/>
        </w:rPr>
        <w:t>Interview with</w:t>
      </w:r>
      <w:r>
        <w:rPr>
          <w:rFonts w:hint="eastAsia"/>
        </w:rPr>
        <w:t xml:space="preserve"> an AMA lawyer)</w:t>
      </w:r>
    </w:p>
    <w:p w14:paraId="0D26C7FB" w14:textId="77777777" w:rsidR="007D1693" w:rsidRDefault="007D1693" w:rsidP="007D1693"/>
    <w:p w14:paraId="23D2AF25" w14:textId="77777777" w:rsidR="007D1693" w:rsidRDefault="007D1693" w:rsidP="007D1693">
      <w:r>
        <w:rPr>
          <w:rFonts w:hint="eastAsia"/>
        </w:rPr>
        <w:t xml:space="preserve">He argued that the JFTC has not frequently offered the future vision of the antimonopoly field but </w:t>
      </w:r>
      <w:r>
        <w:t>skilfully</w:t>
      </w:r>
      <w:r>
        <w:rPr>
          <w:rFonts w:hint="eastAsia"/>
        </w:rPr>
        <w:t xml:space="preserve"> managed the antimonopoly policy process:</w:t>
      </w:r>
    </w:p>
    <w:p w14:paraId="6495D271" w14:textId="77777777" w:rsidR="007D1693" w:rsidRPr="007C7492" w:rsidRDefault="007D1693" w:rsidP="007D1693"/>
    <w:p w14:paraId="62B71523" w14:textId="29631B0F" w:rsidR="007D1693" w:rsidRDefault="007D1693" w:rsidP="007D1693">
      <w:pPr>
        <w:pStyle w:val="Quote"/>
      </w:pPr>
      <w:r>
        <w:rPr>
          <w:rFonts w:hint="eastAsia"/>
        </w:rPr>
        <w:t>when we think about where the ideas of AMA amendments originated, I don</w:t>
      </w:r>
      <w:r>
        <w:t>’</w:t>
      </w:r>
      <w:r>
        <w:rPr>
          <w:rFonts w:hint="eastAsia"/>
        </w:rPr>
        <w:t xml:space="preserve">t think the JFTC has created so much but it has adopted various outside opinions. I also think that the JFTC is good at adapting the law amendments so that </w:t>
      </w:r>
      <w:r w:rsidR="00F81F4D">
        <w:t>they</w:t>
      </w:r>
      <w:r>
        <w:rPr>
          <w:rFonts w:hint="eastAsia"/>
        </w:rPr>
        <w:t xml:space="preserve"> can conveniently be implement</w:t>
      </w:r>
      <w:r w:rsidR="00F81F4D">
        <w:t>ed</w:t>
      </w:r>
      <w:r>
        <w:rPr>
          <w:rFonts w:hint="eastAsia"/>
        </w:rPr>
        <w:t>. (</w:t>
      </w:r>
      <w:r w:rsidR="007634ED">
        <w:rPr>
          <w:rFonts w:hint="eastAsia"/>
        </w:rPr>
        <w:t>Interview with</w:t>
      </w:r>
      <w:r>
        <w:rPr>
          <w:rFonts w:hint="eastAsia"/>
        </w:rPr>
        <w:t xml:space="preserve"> an AMA lawyer)</w:t>
      </w:r>
    </w:p>
    <w:p w14:paraId="24B2C29F" w14:textId="77777777" w:rsidR="007D1693" w:rsidRDefault="007D1693" w:rsidP="007D1693"/>
    <w:p w14:paraId="78E11E9B" w14:textId="77777777" w:rsidR="007D1693" w:rsidRDefault="007D1693" w:rsidP="007D1693">
      <w:r>
        <w:rPr>
          <w:rFonts w:hint="eastAsia"/>
        </w:rPr>
        <w:t>His view reveals that t</w:t>
      </w:r>
      <w:r>
        <w:t>h</w:t>
      </w:r>
      <w:r>
        <w:rPr>
          <w:rFonts w:hint="eastAsia"/>
        </w:rPr>
        <w:t>e JFTC</w:t>
      </w:r>
      <w:r>
        <w:t>’</w:t>
      </w:r>
      <w:r>
        <w:rPr>
          <w:rFonts w:hint="eastAsia"/>
        </w:rPr>
        <w:t xml:space="preserve">s approach to law amendments has been </w:t>
      </w:r>
      <w:r>
        <w:t>based on</w:t>
      </w:r>
      <w:r>
        <w:rPr>
          <w:rFonts w:hint="eastAsia"/>
        </w:rPr>
        <w:t xml:space="preserve"> process </w:t>
      </w:r>
      <w:r>
        <w:t>management</w:t>
      </w:r>
      <w:r>
        <w:rPr>
          <w:rFonts w:hint="eastAsia"/>
        </w:rPr>
        <w:t xml:space="preserve"> and coordination. </w:t>
      </w:r>
      <w:r>
        <w:t>A</w:t>
      </w:r>
      <w:r>
        <w:rPr>
          <w:rFonts w:hint="eastAsia"/>
        </w:rPr>
        <w:t xml:space="preserve">nother </w:t>
      </w:r>
      <w:r>
        <w:t>interviewee</w:t>
      </w:r>
      <w:r>
        <w:rPr>
          <w:rFonts w:hint="eastAsia"/>
        </w:rPr>
        <w:t xml:space="preserve"> offered </w:t>
      </w:r>
      <w:r w:rsidR="00F81F4D">
        <w:t xml:space="preserve">a </w:t>
      </w:r>
      <w:r>
        <w:rPr>
          <w:rFonts w:hint="eastAsia"/>
        </w:rPr>
        <w:t>more critical view on the JFTC, referring to his experience in antimonopoly policy making until 2004:</w:t>
      </w:r>
    </w:p>
    <w:p w14:paraId="6F602022" w14:textId="77777777" w:rsidR="007D1693" w:rsidRDefault="007D1693" w:rsidP="007D1693"/>
    <w:p w14:paraId="55BDB40F" w14:textId="5A11D0FC" w:rsidR="007D1693" w:rsidRDefault="007D1693" w:rsidP="007D1693">
      <w:pPr>
        <w:pStyle w:val="Quote"/>
      </w:pPr>
      <w:r>
        <w:rPr>
          <w:rFonts w:hint="eastAsia"/>
        </w:rPr>
        <w:t>it (JFTC) is powerless. New reforms can</w:t>
      </w:r>
      <w:r>
        <w:t>’</w:t>
      </w:r>
      <w:r>
        <w:rPr>
          <w:rFonts w:hint="eastAsia"/>
        </w:rPr>
        <w:t xml:space="preserve">t be done only by the Fair Trade Commission. Therefore, various domestic conditions </w:t>
      </w:r>
      <w:r>
        <w:t>surrounding</w:t>
      </w:r>
      <w:r>
        <w:rPr>
          <w:rFonts w:hint="eastAsia"/>
        </w:rPr>
        <w:t xml:space="preserve"> antimonopoly policies mobilise antimonopoly policies, but it</w:t>
      </w:r>
      <w:r>
        <w:t>’</w:t>
      </w:r>
      <w:r>
        <w:rPr>
          <w:rFonts w:hint="eastAsia"/>
        </w:rPr>
        <w:t>s doubtful if the main engine of such movements has been the Fair Trade Commission. (</w:t>
      </w:r>
      <w:r w:rsidR="007634ED">
        <w:rPr>
          <w:rFonts w:hint="eastAsia"/>
        </w:rPr>
        <w:t>Interview with</w:t>
      </w:r>
      <w:r>
        <w:rPr>
          <w:rFonts w:hint="eastAsia"/>
        </w:rPr>
        <w:t xml:space="preserve"> a retired economics (industrial organisation) professor)</w:t>
      </w:r>
    </w:p>
    <w:p w14:paraId="69B17917" w14:textId="77777777" w:rsidR="007D1693" w:rsidRDefault="007D1693" w:rsidP="007D1693"/>
    <w:p w14:paraId="587F58CC" w14:textId="77777777" w:rsidR="007D1693" w:rsidRPr="00773549" w:rsidRDefault="007D1693" w:rsidP="007D1693">
      <w:r>
        <w:rPr>
          <w:rFonts w:hint="eastAsia"/>
        </w:rPr>
        <w:t>These accounts from antimonopoly specialists outside the JFTC reveal that the nature of the JFTC</w:t>
      </w:r>
      <w:r>
        <w:t>’</w:t>
      </w:r>
      <w:r>
        <w:rPr>
          <w:rFonts w:hint="eastAsia"/>
        </w:rPr>
        <w:t xml:space="preserve">s role has been </w:t>
      </w:r>
      <w:r w:rsidR="00F81F4D">
        <w:t xml:space="preserve">as </w:t>
      </w:r>
      <w:r>
        <w:rPr>
          <w:rFonts w:hint="eastAsia"/>
        </w:rPr>
        <w:t>a coordinator.</w:t>
      </w:r>
      <w:r w:rsidRPr="003F2982">
        <w:rPr>
          <w:rFonts w:hint="eastAsia"/>
        </w:rPr>
        <w:t xml:space="preserve"> </w:t>
      </w:r>
      <w:r>
        <w:rPr>
          <w:rFonts w:hint="eastAsia"/>
        </w:rPr>
        <w:t xml:space="preserve">It has not been strategic but has </w:t>
      </w:r>
      <w:r>
        <w:t xml:space="preserve">informally been able </w:t>
      </w:r>
      <w:r>
        <w:rPr>
          <w:rFonts w:hint="eastAsia"/>
        </w:rPr>
        <w:t>to insert its will into the details of the issues. S</w:t>
      </w:r>
      <w:r>
        <w:t>u</w:t>
      </w:r>
      <w:r>
        <w:rPr>
          <w:rFonts w:hint="eastAsia"/>
        </w:rPr>
        <w:t xml:space="preserve">ch an approach is different from other examples of Japanese </w:t>
      </w:r>
      <w:r>
        <w:t>government</w:t>
      </w:r>
      <w:r>
        <w:rPr>
          <w:rFonts w:hint="eastAsia"/>
        </w:rPr>
        <w:t xml:space="preserve"> ministries offered by Johnson (1982) (MITI) and V</w:t>
      </w:r>
      <w:r>
        <w:t>o</w:t>
      </w:r>
      <w:r>
        <w:rPr>
          <w:rFonts w:hint="eastAsia"/>
        </w:rPr>
        <w:t>gel (1996) (MPT: the Ministry of Posts and Telecommunications). A role such as the JFTC</w:t>
      </w:r>
      <w:r>
        <w:t>’</w:t>
      </w:r>
      <w:r>
        <w:rPr>
          <w:rFonts w:hint="eastAsia"/>
        </w:rPr>
        <w:t xml:space="preserve">s can be called </w:t>
      </w:r>
      <w:r>
        <w:t>bureaucratic</w:t>
      </w:r>
      <w:r>
        <w:rPr>
          <w:rFonts w:hint="eastAsia"/>
        </w:rPr>
        <w:t xml:space="preserve"> management rather than </w:t>
      </w:r>
      <w:r w:rsidRPr="007C105A">
        <w:rPr>
          <w:rFonts w:hint="eastAsia"/>
        </w:rPr>
        <w:t>strategic.</w:t>
      </w:r>
      <w:r>
        <w:rPr>
          <w:rFonts w:hint="eastAsia"/>
        </w:rPr>
        <w:t xml:space="preserve"> The power of the JFTC stemmed from its institutional authority as an antimonopoly regulator. Their power in legislation was not dominant and </w:t>
      </w:r>
      <w:r w:rsidR="00F81F4D">
        <w:t>their</w:t>
      </w:r>
      <w:r>
        <w:rPr>
          <w:rFonts w:hint="eastAsia"/>
        </w:rPr>
        <w:t xml:space="preserve"> scope was within the decisions made by the LDP; </w:t>
      </w:r>
      <w:r w:rsidR="00F81F4D">
        <w:t>they</w:t>
      </w:r>
      <w:r>
        <w:rPr>
          <w:rFonts w:hint="eastAsia"/>
        </w:rPr>
        <w:t xml:space="preserve"> had no capacity to counter the LDP</w:t>
      </w:r>
      <w:r>
        <w:t>’</w:t>
      </w:r>
      <w:r>
        <w:rPr>
          <w:rFonts w:hint="eastAsia"/>
        </w:rPr>
        <w:t xml:space="preserve">s decisions. What </w:t>
      </w:r>
      <w:r w:rsidR="00F81F4D">
        <w:t>they</w:t>
      </w:r>
      <w:r>
        <w:rPr>
          <w:rFonts w:hint="eastAsia"/>
        </w:rPr>
        <w:t xml:space="preserve"> did was </w:t>
      </w:r>
      <w:r>
        <w:t>manoeuvr</w:t>
      </w:r>
      <w:r w:rsidR="00F81F4D">
        <w:t>e</w:t>
      </w:r>
      <w:r>
        <w:rPr>
          <w:rFonts w:hint="eastAsia"/>
        </w:rPr>
        <w:t xml:space="preserve"> the legislation process as well as monopolis</w:t>
      </w:r>
      <w:r w:rsidR="00F81F4D">
        <w:t>e</w:t>
      </w:r>
      <w:r>
        <w:rPr>
          <w:rFonts w:hint="eastAsia"/>
        </w:rPr>
        <w:t xml:space="preserve"> the implementation. </w:t>
      </w:r>
      <w:r>
        <w:t>I</w:t>
      </w:r>
      <w:r>
        <w:rPr>
          <w:rFonts w:hint="eastAsia"/>
        </w:rPr>
        <w:t>n summary, the nature of JFTC</w:t>
      </w:r>
      <w:r>
        <w:t>’</w:t>
      </w:r>
      <w:r>
        <w:rPr>
          <w:rFonts w:hint="eastAsia"/>
        </w:rPr>
        <w:t>s power was policy implementation and a limited range of policy steering within the LDP</w:t>
      </w:r>
      <w:r>
        <w:t>’</w:t>
      </w:r>
      <w:r>
        <w:rPr>
          <w:rFonts w:hint="eastAsia"/>
        </w:rPr>
        <w:t>s decisions.</w:t>
      </w:r>
    </w:p>
    <w:p w14:paraId="287E641A" w14:textId="77777777" w:rsidR="007D1693" w:rsidRDefault="007D1693" w:rsidP="007D1693">
      <w:pPr>
        <w:ind w:firstLine="284"/>
      </w:pPr>
      <w:r>
        <w:t>A</w:t>
      </w:r>
      <w:r>
        <w:rPr>
          <w:rFonts w:hint="eastAsia"/>
        </w:rPr>
        <w:t xml:space="preserve"> policy disjuncture result</w:t>
      </w:r>
      <w:r w:rsidR="00F81F4D">
        <w:t>ing</w:t>
      </w:r>
      <w:r>
        <w:rPr>
          <w:rFonts w:hint="eastAsia"/>
        </w:rPr>
        <w:t xml:space="preserve"> from the SII did not change power relations and roles among the core executive actors. </w:t>
      </w:r>
      <w:r>
        <w:t>A</w:t>
      </w:r>
      <w:r>
        <w:rPr>
          <w:rFonts w:hint="eastAsia"/>
        </w:rPr>
        <w:t xml:space="preserve">lthough enhancing </w:t>
      </w:r>
      <w:r>
        <w:t xml:space="preserve">the JFTC and the AMA </w:t>
      </w:r>
      <w:r>
        <w:rPr>
          <w:rFonts w:hint="eastAsia"/>
        </w:rPr>
        <w:t xml:space="preserve">became a policy priority, the concrete measures to materialise such a policy goal were deliberated and implemented </w:t>
      </w:r>
      <w:r>
        <w:t xml:space="preserve">under the supervision of </w:t>
      </w:r>
      <w:r>
        <w:rPr>
          <w:rFonts w:hint="eastAsia"/>
        </w:rPr>
        <w:t xml:space="preserve">the </w:t>
      </w:r>
      <w:r>
        <w:t>LDP AMA Examination Committee.</w:t>
      </w:r>
      <w:r>
        <w:rPr>
          <w:rFonts w:hint="eastAsia"/>
        </w:rPr>
        <w:t xml:space="preserve"> </w:t>
      </w:r>
      <w:r>
        <w:t>Thos</w:t>
      </w:r>
      <w:r>
        <w:rPr>
          <w:rFonts w:hint="eastAsia"/>
        </w:rPr>
        <w:t xml:space="preserve">e </w:t>
      </w:r>
      <w:r>
        <w:t xml:space="preserve">civil servants interviewed did not </w:t>
      </w:r>
      <w:r>
        <w:rPr>
          <w:rFonts w:hint="eastAsia"/>
        </w:rPr>
        <w:t xml:space="preserve">witness </w:t>
      </w:r>
      <w:r>
        <w:t xml:space="preserve">a significant disjuncture </w:t>
      </w:r>
      <w:r>
        <w:rPr>
          <w:rFonts w:hint="eastAsia"/>
        </w:rPr>
        <w:t xml:space="preserve">under the LDP administration </w:t>
      </w:r>
      <w:r>
        <w:t>between the 1980s and 2000s</w:t>
      </w:r>
      <w:r>
        <w:rPr>
          <w:rFonts w:hint="eastAsia"/>
        </w:rPr>
        <w:t xml:space="preserve">. Rather, a civil servant commented </w:t>
      </w:r>
      <w:r w:rsidR="00046773">
        <w:rPr>
          <w:rFonts w:hint="eastAsia"/>
        </w:rPr>
        <w:t>th</w:t>
      </w:r>
      <w:r w:rsidR="00046773">
        <w:t>at</w:t>
      </w:r>
      <w:r w:rsidR="00046773">
        <w:rPr>
          <w:rFonts w:hint="eastAsia"/>
        </w:rPr>
        <w:t xml:space="preserve"> </w:t>
      </w:r>
      <w:r>
        <w:rPr>
          <w:rFonts w:hint="eastAsia"/>
        </w:rPr>
        <w:t>business was as usual</w:t>
      </w:r>
      <w:r>
        <w:t>:</w:t>
      </w:r>
    </w:p>
    <w:p w14:paraId="13D2F2B2" w14:textId="77777777" w:rsidR="007D1693" w:rsidRDefault="007D1693" w:rsidP="007D1693"/>
    <w:p w14:paraId="1EB54173" w14:textId="788B38C6" w:rsidR="007D1693" w:rsidRDefault="007D1693" w:rsidP="007D1693">
      <w:pPr>
        <w:pStyle w:val="Quote"/>
      </w:pPr>
      <w:r>
        <w:t xml:space="preserve">I was just involved in the last part of the AMA amendment in 2009; we abolished the bill in 2008 and remade it as the bill </w:t>
      </w:r>
      <w:r>
        <w:rPr>
          <w:rFonts w:hint="eastAsia"/>
        </w:rPr>
        <w:t>of</w:t>
      </w:r>
      <w:r>
        <w:t xml:space="preserve"> 2009, and at that time (the bill was examined by) probably the joint </w:t>
      </w:r>
      <w:r>
        <w:rPr>
          <w:rFonts w:hint="eastAsia"/>
        </w:rPr>
        <w:t xml:space="preserve">LDP </w:t>
      </w:r>
      <w:r>
        <w:t xml:space="preserve">committee of the AMA Exam Committee and the Economy and Industry </w:t>
      </w:r>
      <w:r w:rsidR="00F02BDC">
        <w:t>Division</w:t>
      </w:r>
      <w:r>
        <w:t xml:space="preserve">; the AMA Exam Committee was held, and I had </w:t>
      </w:r>
      <w:r w:rsidR="00F81F4D">
        <w:t xml:space="preserve">a </w:t>
      </w:r>
      <w:r>
        <w:t xml:space="preserve">little odd feeling…the policy authorisation process such as consulting to </w:t>
      </w:r>
      <w:r w:rsidR="00D10247">
        <w:rPr>
          <w:rFonts w:eastAsia="MS Mincho" w:hint="eastAsia"/>
          <w:lang w:eastAsia="ja-JP"/>
        </w:rPr>
        <w:t xml:space="preserve">the </w:t>
      </w:r>
      <w:r>
        <w:t xml:space="preserve">LDP’s PARC, and then the General </w:t>
      </w:r>
      <w:r w:rsidR="004858FD">
        <w:t>Council</w:t>
      </w:r>
      <w:r>
        <w:t xml:space="preserve"> was the same, I thought. (</w:t>
      </w:r>
      <w:r w:rsidR="007634ED">
        <w:t>Interview with</w:t>
      </w:r>
      <w:r>
        <w:t xml:space="preserve"> a JFTC senior civil servant)</w:t>
      </w:r>
    </w:p>
    <w:p w14:paraId="2A9CA7C1" w14:textId="77777777" w:rsidR="007D1693" w:rsidRDefault="007D1693" w:rsidP="007D1693"/>
    <w:p w14:paraId="56DC5BD2" w14:textId="77777777" w:rsidR="007D1693" w:rsidRDefault="007D1693" w:rsidP="007D1693">
      <w:r>
        <w:t xml:space="preserve">Her account implies </w:t>
      </w:r>
      <w:r>
        <w:rPr>
          <w:rFonts w:hint="eastAsia"/>
        </w:rPr>
        <w:t xml:space="preserve">that the </w:t>
      </w:r>
      <w:r>
        <w:t xml:space="preserve">LDP governments retained </w:t>
      </w:r>
      <w:r w:rsidR="00F81F4D">
        <w:t>their</w:t>
      </w:r>
      <w:r>
        <w:t xml:space="preserve"> internal process </w:t>
      </w:r>
      <w:r>
        <w:rPr>
          <w:rFonts w:hint="eastAsia"/>
        </w:rPr>
        <w:t xml:space="preserve">with no explicit change of power relations until </w:t>
      </w:r>
      <w:r>
        <w:t xml:space="preserve">the 2000s. </w:t>
      </w:r>
      <w:r>
        <w:rPr>
          <w:rFonts w:hint="eastAsia"/>
        </w:rPr>
        <w:t xml:space="preserve">Such an observation was </w:t>
      </w:r>
      <w:r w:rsidR="00ED40C8">
        <w:t>verified</w:t>
      </w:r>
      <w:r>
        <w:rPr>
          <w:rFonts w:hint="eastAsia"/>
        </w:rPr>
        <w:t xml:space="preserve"> by a</w:t>
      </w:r>
      <w:r>
        <w:t>nother JFTC senior civil servant</w:t>
      </w:r>
      <w:r>
        <w:rPr>
          <w:rFonts w:hint="eastAsia"/>
        </w:rPr>
        <w:t xml:space="preserve">, </w:t>
      </w:r>
      <w:r>
        <w:t>emphasising the role of the LDP AMA Examination Committee:</w:t>
      </w:r>
    </w:p>
    <w:p w14:paraId="5EBB76C8" w14:textId="77777777" w:rsidR="007D1693" w:rsidRDefault="007D1693" w:rsidP="007D1693"/>
    <w:p w14:paraId="58C8BB49" w14:textId="100DECFB" w:rsidR="007D1693" w:rsidRDefault="007D1693" w:rsidP="007D1693">
      <w:pPr>
        <w:pStyle w:val="Quote"/>
      </w:pPr>
      <w:r>
        <w:t xml:space="preserve">the AMA Examination Committee was the most significant. In that way, the </w:t>
      </w:r>
      <w:r>
        <w:rPr>
          <w:rFonts w:hint="eastAsia"/>
        </w:rPr>
        <w:t>JFTC</w:t>
      </w:r>
      <w:r>
        <w:t xml:space="preserve"> was an independent administrative organisation and </w:t>
      </w:r>
      <w:r>
        <w:rPr>
          <w:rFonts w:hint="eastAsia"/>
        </w:rPr>
        <w:t xml:space="preserve">implemented </w:t>
      </w:r>
      <w:r>
        <w:t>ordinary law enforcement</w:t>
      </w:r>
      <w:r>
        <w:rPr>
          <w:rFonts w:hint="eastAsia"/>
        </w:rPr>
        <w:t xml:space="preserve"> alone</w:t>
      </w:r>
      <w:r>
        <w:t>, but things like law amendments are naturally proceeded by the government, so explanations and answers in the Diet w</w:t>
      </w:r>
      <w:r w:rsidR="00F81F4D">
        <w:t>ere</w:t>
      </w:r>
      <w:r>
        <w:t xml:space="preserve"> </w:t>
      </w:r>
      <w:r>
        <w:rPr>
          <w:rFonts w:hint="eastAsia"/>
        </w:rPr>
        <w:t>undertaken</w:t>
      </w:r>
      <w:r>
        <w:t xml:space="preserve"> by the Chief Cabinet Secretaries</w:t>
      </w:r>
      <w:r>
        <w:rPr>
          <w:rFonts w:hint="eastAsia"/>
        </w:rPr>
        <w:t>;</w:t>
      </w:r>
      <w:r>
        <w:t xml:space="preserve"> but rather than instructions from such people, the debate in the AMA Examination Committee was the most influential over law amendments. (</w:t>
      </w:r>
      <w:r w:rsidR="007634ED">
        <w:t>Interview with</w:t>
      </w:r>
      <w:r>
        <w:t xml:space="preserve"> a JFTC senior civil servant)</w:t>
      </w:r>
    </w:p>
    <w:p w14:paraId="27C5B730" w14:textId="77777777" w:rsidR="007D1693" w:rsidRDefault="007D1693" w:rsidP="007D1693"/>
    <w:p w14:paraId="671173D8" w14:textId="77777777" w:rsidR="007D1693" w:rsidRDefault="007D1693" w:rsidP="007D1693">
      <w:r>
        <w:t xml:space="preserve">These accounts by civil servants describe that the </w:t>
      </w:r>
      <w:r>
        <w:rPr>
          <w:rFonts w:hint="eastAsia"/>
        </w:rPr>
        <w:t xml:space="preserve">institutional framework under the LDP administration </w:t>
      </w:r>
      <w:r>
        <w:t>underwent</w:t>
      </w:r>
      <w:r>
        <w:rPr>
          <w:rFonts w:hint="eastAsia"/>
        </w:rPr>
        <w:t xml:space="preserve"> few changes in terms of the process and power relations among actors until its departure in 2009</w:t>
      </w:r>
      <w:r>
        <w:t>.</w:t>
      </w:r>
    </w:p>
    <w:p w14:paraId="23960348" w14:textId="77777777" w:rsidR="007D1693" w:rsidRDefault="007D1693" w:rsidP="007D1693">
      <w:pPr>
        <w:ind w:firstLine="284"/>
      </w:pPr>
      <w:r>
        <w:rPr>
          <w:rFonts w:hint="eastAsia"/>
        </w:rPr>
        <w:t>Elsewhere, s</w:t>
      </w:r>
      <w:r>
        <w:t>o</w:t>
      </w:r>
      <w:r>
        <w:rPr>
          <w:rFonts w:hint="eastAsia"/>
        </w:rPr>
        <w:t>me interviewee</w:t>
      </w:r>
      <w:r w:rsidR="00046773">
        <w:t>s</w:t>
      </w:r>
      <w:r>
        <w:rPr>
          <w:rFonts w:hint="eastAsia"/>
        </w:rPr>
        <w:t xml:space="preserve"> highlighted </w:t>
      </w:r>
      <w:r>
        <w:t xml:space="preserve">the overt change </w:t>
      </w:r>
      <w:r>
        <w:rPr>
          <w:rFonts w:hint="eastAsia"/>
        </w:rPr>
        <w:t xml:space="preserve">of circumstances </w:t>
      </w:r>
      <w:r>
        <w:t xml:space="preserve">that </w:t>
      </w:r>
      <w:r>
        <w:rPr>
          <w:rFonts w:hint="eastAsia"/>
        </w:rPr>
        <w:t>emerged</w:t>
      </w:r>
      <w:r>
        <w:t xml:space="preserve"> in the 2000s</w:t>
      </w:r>
      <w:r>
        <w:rPr>
          <w:rFonts w:hint="eastAsia"/>
        </w:rPr>
        <w:t xml:space="preserve">. In their view such changes </w:t>
      </w:r>
      <w:r>
        <w:t xml:space="preserve">were </w:t>
      </w:r>
      <w:r>
        <w:rPr>
          <w:rFonts w:hint="eastAsia"/>
        </w:rPr>
        <w:t xml:space="preserve">prompted </w:t>
      </w:r>
      <w:r>
        <w:t>firstly by Yamanaka’s departure in 2004 and also the government change in 2009.</w:t>
      </w:r>
      <w:r>
        <w:rPr>
          <w:rFonts w:hint="eastAsia"/>
        </w:rPr>
        <w:t xml:space="preserve"> Yamanaka</w:t>
      </w:r>
      <w:r>
        <w:t>’</w:t>
      </w:r>
      <w:r>
        <w:rPr>
          <w:rFonts w:hint="eastAsia"/>
        </w:rPr>
        <w:t xml:space="preserve">s departure was </w:t>
      </w:r>
      <w:r>
        <w:t>describe</w:t>
      </w:r>
      <w:r>
        <w:rPr>
          <w:rFonts w:hint="eastAsia"/>
        </w:rPr>
        <w:t>d as a kind of disjuncture by a</w:t>
      </w:r>
      <w:r>
        <w:t xml:space="preserve"> senior official of a business organisation:</w:t>
      </w:r>
    </w:p>
    <w:p w14:paraId="4D08A484" w14:textId="77777777" w:rsidR="007D1693" w:rsidRDefault="007D1693" w:rsidP="007D1693"/>
    <w:p w14:paraId="5F9C411B" w14:textId="77777777" w:rsidR="007D1693" w:rsidRDefault="007D1693" w:rsidP="00AD4FB9">
      <w:pPr>
        <w:pStyle w:val="Quote"/>
      </w:pPr>
      <w:r>
        <w:t xml:space="preserve">…so there </w:t>
      </w:r>
      <w:r w:rsidR="00AD4FB9">
        <w:t>were</w:t>
      </w:r>
      <w:r>
        <w:t xml:space="preserve"> cases that ‘because Mr Yamanaka was there it could be done’ or ‘…it was done in such a way’. I don’t say it’s right, but things smoothly working so far got unworkable</w:t>
      </w:r>
      <w:r>
        <w:rPr>
          <w:rFonts w:hint="eastAsia"/>
        </w:rPr>
        <w:t xml:space="preserve"> (by Yamanaka</w:t>
      </w:r>
      <w:r>
        <w:t>’</w:t>
      </w:r>
      <w:r>
        <w:rPr>
          <w:rFonts w:hint="eastAsia"/>
        </w:rPr>
        <w:t>s death)</w:t>
      </w:r>
      <w:r>
        <w:t xml:space="preserve">. As often said, Mr Yamanaka’s departure created </w:t>
      </w:r>
      <w:r>
        <w:rPr>
          <w:rFonts w:hint="eastAsia"/>
        </w:rPr>
        <w:t>a l</w:t>
      </w:r>
      <w:r>
        <w:t xml:space="preserve">arger impact than the government change from the LDP to </w:t>
      </w:r>
      <w:r w:rsidR="00D10247">
        <w:rPr>
          <w:rFonts w:eastAsia="MS Mincho" w:hint="eastAsia"/>
          <w:lang w:eastAsia="ja-JP"/>
        </w:rPr>
        <w:t xml:space="preserve">the </w:t>
      </w:r>
      <w:r>
        <w:t>DPJ, I guess. (</w:t>
      </w:r>
      <w:r w:rsidR="007634ED">
        <w:t>Interview with</w:t>
      </w:r>
      <w:r>
        <w:t xml:space="preserve"> a </w:t>
      </w:r>
      <w:r w:rsidRPr="00853259">
        <w:rPr>
          <w:i/>
        </w:rPr>
        <w:t>Keidanren</w:t>
      </w:r>
      <w:r>
        <w:t xml:space="preserve"> official)</w:t>
      </w:r>
    </w:p>
    <w:p w14:paraId="087A8AE5" w14:textId="77777777" w:rsidR="007D1693" w:rsidRDefault="007D1693" w:rsidP="007D1693"/>
    <w:p w14:paraId="602F1DC0" w14:textId="77777777" w:rsidR="007D1693" w:rsidRDefault="007D1693" w:rsidP="005D0F55">
      <w:pPr>
        <w:ind w:firstLine="284"/>
      </w:pPr>
      <w:r>
        <w:t xml:space="preserve">A retired senior civil servant </w:t>
      </w:r>
      <w:r>
        <w:rPr>
          <w:rFonts w:hint="eastAsia"/>
        </w:rPr>
        <w:t>offered</w:t>
      </w:r>
      <w:r>
        <w:t xml:space="preserve"> a different view. He argue</w:t>
      </w:r>
      <w:r>
        <w:rPr>
          <w:rFonts w:hint="eastAsia"/>
        </w:rPr>
        <w:t>d that</w:t>
      </w:r>
      <w:r>
        <w:t xml:space="preserve"> </w:t>
      </w:r>
      <w:r>
        <w:rPr>
          <w:rFonts w:hint="eastAsia"/>
        </w:rPr>
        <w:t xml:space="preserve">the </w:t>
      </w:r>
      <w:r>
        <w:t xml:space="preserve">LPD’s approach </w:t>
      </w:r>
      <w:r>
        <w:rPr>
          <w:rFonts w:hint="eastAsia"/>
        </w:rPr>
        <w:t xml:space="preserve">did not change </w:t>
      </w:r>
      <w:r w:rsidR="00F81F4D">
        <w:t>with</w:t>
      </w:r>
      <w:r>
        <w:rPr>
          <w:rFonts w:hint="eastAsia"/>
        </w:rPr>
        <w:t xml:space="preserve"> Yamanaka</w:t>
      </w:r>
      <w:r>
        <w:t>’</w:t>
      </w:r>
      <w:r>
        <w:rPr>
          <w:rFonts w:hint="eastAsia"/>
        </w:rPr>
        <w:t>s</w:t>
      </w:r>
      <w:r>
        <w:t xml:space="preserve"> departure</w:t>
      </w:r>
      <w:r>
        <w:rPr>
          <w:rFonts w:hint="eastAsia"/>
        </w:rPr>
        <w:t xml:space="preserve">, suggesting that </w:t>
      </w:r>
      <w:r>
        <w:t xml:space="preserve">the influence by government change in 2009 may have </w:t>
      </w:r>
      <w:r>
        <w:rPr>
          <w:rFonts w:hint="eastAsia"/>
        </w:rPr>
        <w:t xml:space="preserve">created </w:t>
      </w:r>
      <w:r>
        <w:t xml:space="preserve">more </w:t>
      </w:r>
      <w:r w:rsidR="00F81F4D">
        <w:t xml:space="preserve">of an </w:t>
      </w:r>
      <w:r>
        <w:t>impact on the JFTC: ‘…</w:t>
      </w:r>
      <w:r>
        <w:rPr>
          <w:rFonts w:hint="eastAsia"/>
        </w:rPr>
        <w:t xml:space="preserve"> </w:t>
      </w:r>
      <w:r>
        <w:t>under the LDP governments a good relationship has been established (between the JFTC and the LDP) and the ruling parties ha</w:t>
      </w:r>
      <w:r w:rsidR="00F81F4D">
        <w:t>ve</w:t>
      </w:r>
      <w:r>
        <w:t xml:space="preserve"> treated the Fair Trade Commission properly. But, I </w:t>
      </w:r>
      <w:r w:rsidR="00F81F4D">
        <w:t xml:space="preserve">am </w:t>
      </w:r>
      <w:r>
        <w:t>concern</w:t>
      </w:r>
      <w:r w:rsidR="00F81F4D">
        <w:t>ed</w:t>
      </w:r>
      <w:r>
        <w:t xml:space="preserve"> how the DPJ actually treat</w:t>
      </w:r>
      <w:r w:rsidR="004A15B3">
        <w:t>s</w:t>
      </w:r>
      <w:r>
        <w:t xml:space="preserve"> the JFTC’ (</w:t>
      </w:r>
      <w:r w:rsidR="007634ED">
        <w:t>Interview with</w:t>
      </w:r>
      <w:r>
        <w:t xml:space="preserve"> a retired senior civil servant). </w:t>
      </w:r>
      <w:r>
        <w:rPr>
          <w:rFonts w:hint="eastAsia"/>
        </w:rPr>
        <w:t>T</w:t>
      </w:r>
      <w:r>
        <w:t>h</w:t>
      </w:r>
      <w:r>
        <w:rPr>
          <w:rFonts w:hint="eastAsia"/>
        </w:rPr>
        <w:t xml:space="preserve">e impact of government change in 2009 was described in a </w:t>
      </w:r>
      <w:r>
        <w:t>rather</w:t>
      </w:r>
      <w:r>
        <w:rPr>
          <w:rFonts w:hint="eastAsia"/>
        </w:rPr>
        <w:t xml:space="preserve"> different </w:t>
      </w:r>
      <w:r>
        <w:t>way</w:t>
      </w:r>
      <w:r>
        <w:rPr>
          <w:rFonts w:hint="eastAsia"/>
        </w:rPr>
        <w:t xml:space="preserve"> by a c</w:t>
      </w:r>
      <w:r>
        <w:t xml:space="preserve">urrent </w:t>
      </w:r>
      <w:r>
        <w:rPr>
          <w:rFonts w:hint="eastAsia"/>
        </w:rPr>
        <w:t xml:space="preserve">JFTC </w:t>
      </w:r>
      <w:r>
        <w:t>civil servant</w:t>
      </w:r>
      <w:r>
        <w:rPr>
          <w:rFonts w:hint="eastAsia"/>
        </w:rPr>
        <w:t>, describing the influence by government change as a common experience among government ministries and organisations:</w:t>
      </w:r>
    </w:p>
    <w:p w14:paraId="0A952F30" w14:textId="77777777" w:rsidR="007D1693" w:rsidRPr="000161FA" w:rsidRDefault="007D1693" w:rsidP="007D1693"/>
    <w:p w14:paraId="183FEF26" w14:textId="133CC45B" w:rsidR="007D1693" w:rsidRDefault="007D1693" w:rsidP="00AC66B3">
      <w:pPr>
        <w:pStyle w:val="Quote"/>
      </w:pPr>
      <w:r>
        <w:rPr>
          <w:rFonts w:hint="eastAsia"/>
        </w:rPr>
        <w:t>After the D</w:t>
      </w:r>
      <w:r>
        <w:t>P</w:t>
      </w:r>
      <w:r>
        <w:rPr>
          <w:rFonts w:hint="eastAsia"/>
        </w:rPr>
        <w:t xml:space="preserve">J governments came, all government ministries </w:t>
      </w:r>
      <w:r>
        <w:t>have</w:t>
      </w:r>
      <w:r>
        <w:rPr>
          <w:rFonts w:hint="eastAsia"/>
        </w:rPr>
        <w:t xml:space="preserve"> had challenges to materialise their policies. It probably resulted from issues related to something like governance, but the challenges have been shared by other government ministries, I guess. T</w:t>
      </w:r>
      <w:r>
        <w:t>h</w:t>
      </w:r>
      <w:r>
        <w:rPr>
          <w:rFonts w:hint="eastAsia"/>
        </w:rPr>
        <w:t>is isn</w:t>
      </w:r>
      <w:r>
        <w:t>’</w:t>
      </w:r>
      <w:r>
        <w:rPr>
          <w:rFonts w:hint="eastAsia"/>
        </w:rPr>
        <w:t xml:space="preserve">t like </w:t>
      </w:r>
      <w:r>
        <w:t>‘</w:t>
      </w:r>
      <w:r>
        <w:rPr>
          <w:rFonts w:hint="eastAsia"/>
        </w:rPr>
        <w:t>the AMA policies were good or bad</w:t>
      </w:r>
      <w:r>
        <w:t>’</w:t>
      </w:r>
      <w:r>
        <w:rPr>
          <w:rFonts w:hint="eastAsia"/>
        </w:rPr>
        <w:t xml:space="preserve">, nor </w:t>
      </w:r>
      <w:r>
        <w:t>‘</w:t>
      </w:r>
      <w:r>
        <w:rPr>
          <w:rFonts w:hint="eastAsia"/>
        </w:rPr>
        <w:t xml:space="preserve">the amendment </w:t>
      </w:r>
      <w:r w:rsidR="00AC66B3">
        <w:t>wa</w:t>
      </w:r>
      <w:r>
        <w:rPr>
          <w:rFonts w:hint="eastAsia"/>
        </w:rPr>
        <w:t>s good or bad</w:t>
      </w:r>
      <w:r>
        <w:t>’</w:t>
      </w:r>
      <w:r>
        <w:rPr>
          <w:rFonts w:hint="eastAsia"/>
        </w:rPr>
        <w:t xml:space="preserve">; rather it resulted from things like the complexity or ambiguity of </w:t>
      </w:r>
      <w:r w:rsidR="00607223">
        <w:t xml:space="preserve">the </w:t>
      </w:r>
      <w:r>
        <w:rPr>
          <w:rFonts w:hint="eastAsia"/>
        </w:rPr>
        <w:t>power balance between political parties. (</w:t>
      </w:r>
      <w:r w:rsidR="007634ED">
        <w:rPr>
          <w:rFonts w:hint="eastAsia"/>
        </w:rPr>
        <w:t>Interview with</w:t>
      </w:r>
      <w:r>
        <w:rPr>
          <w:rFonts w:hint="eastAsia"/>
        </w:rPr>
        <w:t xml:space="preserve"> a JFTC civil servant) </w:t>
      </w:r>
    </w:p>
    <w:p w14:paraId="67C64CCF" w14:textId="77777777" w:rsidR="007D1693" w:rsidRDefault="007D1693" w:rsidP="007D1693"/>
    <w:p w14:paraId="3D7D9065" w14:textId="01492624" w:rsidR="007D1693" w:rsidRDefault="007D1693" w:rsidP="001F2F5A">
      <w:r>
        <w:t>What then was the impact of the change in government?</w:t>
      </w:r>
      <w:r>
        <w:rPr>
          <w:rFonts w:hint="eastAsia"/>
        </w:rPr>
        <w:t xml:space="preserve"> </w:t>
      </w:r>
      <w:r>
        <w:t>‘A</w:t>
      </w:r>
      <w:r>
        <w:rPr>
          <w:rFonts w:hint="eastAsia"/>
        </w:rPr>
        <w:t xml:space="preserve">fter DPJ </w:t>
      </w:r>
      <w:r>
        <w:t>government</w:t>
      </w:r>
      <w:r>
        <w:rPr>
          <w:rFonts w:hint="eastAsia"/>
        </w:rPr>
        <w:t>s started,</w:t>
      </w:r>
      <w:r>
        <w:t xml:space="preserve"> …</w:t>
      </w:r>
      <w:r>
        <w:rPr>
          <w:rFonts w:hint="eastAsia"/>
        </w:rPr>
        <w:t xml:space="preserve">the relationship with </w:t>
      </w:r>
      <w:r w:rsidR="00083ACC">
        <w:rPr>
          <w:rFonts w:hint="eastAsia"/>
          <w:i/>
        </w:rPr>
        <w:t>Seimu Sanyaku</w:t>
      </w:r>
      <w:r>
        <w:rPr>
          <w:rFonts w:hint="eastAsia"/>
        </w:rPr>
        <w:t xml:space="preserve"> became </w:t>
      </w:r>
      <w:r>
        <w:t>intensified</w:t>
      </w:r>
      <w:r>
        <w:rPr>
          <w:rFonts w:hint="eastAsia"/>
        </w:rPr>
        <w:t xml:space="preserve"> under the </w:t>
      </w:r>
      <w:r>
        <w:t>umbrella</w:t>
      </w:r>
      <w:r>
        <w:rPr>
          <w:rFonts w:hint="eastAsia"/>
        </w:rPr>
        <w:t xml:space="preserve"> of the Policy Coordination Meeting. And, we have policy issues and </w:t>
      </w:r>
      <w:r>
        <w:t>implementation</w:t>
      </w:r>
      <w:r>
        <w:rPr>
          <w:rFonts w:hint="eastAsia"/>
        </w:rPr>
        <w:t xml:space="preserve"> issues, and policy issues have frequently been reported, I heard</w:t>
      </w:r>
      <w:r>
        <w:t>’</w:t>
      </w:r>
      <w:r>
        <w:rPr>
          <w:rFonts w:hint="eastAsia"/>
        </w:rPr>
        <w:t xml:space="preserve"> (</w:t>
      </w:r>
      <w:r w:rsidR="007634ED">
        <w:rPr>
          <w:rFonts w:hint="eastAsia"/>
        </w:rPr>
        <w:t>Interview with</w:t>
      </w:r>
      <w:r>
        <w:rPr>
          <w:rFonts w:hint="eastAsia"/>
        </w:rPr>
        <w:t xml:space="preserve"> a JFTC civil servant). The increased involvement of DPJ politicians on policy issues were also witnessed by other interviewees, as a senior civil servant commented:</w:t>
      </w:r>
    </w:p>
    <w:p w14:paraId="15193B73" w14:textId="77777777" w:rsidR="007D1693" w:rsidRDefault="007D1693" w:rsidP="007D1693"/>
    <w:p w14:paraId="040A6C92" w14:textId="77777777" w:rsidR="007D1693" w:rsidRDefault="007D1693" w:rsidP="007D1693">
      <w:pPr>
        <w:pStyle w:val="Quote"/>
      </w:pPr>
      <w:r>
        <w:t>…</w:t>
      </w:r>
      <w:r>
        <w:rPr>
          <w:rFonts w:hint="eastAsia"/>
        </w:rPr>
        <w:t xml:space="preserve">the current AMA amendment bill was drafted under the leadership of the Parliamentary Secretary. It was written in the excited period just after government change.  </w:t>
      </w:r>
      <w:r>
        <w:t>…</w:t>
      </w:r>
      <w:r>
        <w:rPr>
          <w:rFonts w:hint="eastAsia"/>
        </w:rPr>
        <w:t xml:space="preserve"> 2009 saw </w:t>
      </w:r>
      <w:r>
        <w:t>government</w:t>
      </w:r>
      <w:r>
        <w:rPr>
          <w:rFonts w:hint="eastAsia"/>
        </w:rPr>
        <w:t xml:space="preserve"> change, so from that autumn; on 9 December 2009 the direction was issued in the form of the </w:t>
      </w:r>
      <w:r w:rsidRPr="00AB0A67">
        <w:rPr>
          <w:rFonts w:hint="eastAsia"/>
          <w:i/>
        </w:rPr>
        <w:t>Seim</w:t>
      </w:r>
      <w:r w:rsidR="00083ACC">
        <w:rPr>
          <w:i/>
        </w:rPr>
        <w:t>u</w:t>
      </w:r>
      <w:r w:rsidRPr="00AB0A67">
        <w:rPr>
          <w:rFonts w:hint="eastAsia"/>
          <w:i/>
        </w:rPr>
        <w:t xml:space="preserve"> Sanyaku</w:t>
      </w:r>
      <w:r w:rsidRPr="005B02F4">
        <w:rPr>
          <w:rStyle w:val="FootnoteReference"/>
          <w:rFonts w:eastAsiaTheme="majorEastAsia"/>
        </w:rPr>
        <w:footnoteReference w:id="79"/>
      </w:r>
      <w:r w:rsidRPr="005B02F4">
        <w:rPr>
          <w:rFonts w:hint="eastAsia"/>
        </w:rPr>
        <w:t xml:space="preserve"> </w:t>
      </w:r>
      <w:r>
        <w:rPr>
          <w:rFonts w:hint="eastAsia"/>
        </w:rPr>
        <w:t>paper, and between these points the direction was contemplated under the leadership of the Parliamentary Secretary. This was distinctively led by the Parliamentary Secretary. (</w:t>
      </w:r>
      <w:r w:rsidR="007634ED">
        <w:rPr>
          <w:rFonts w:hint="eastAsia"/>
        </w:rPr>
        <w:t>Interview with</w:t>
      </w:r>
      <w:r>
        <w:rPr>
          <w:rFonts w:hint="eastAsia"/>
        </w:rPr>
        <w:t xml:space="preserve"> a JFTC senior civil servant)</w:t>
      </w:r>
    </w:p>
    <w:p w14:paraId="1EF3BC96" w14:textId="77777777" w:rsidR="007D1693" w:rsidRPr="00AB0A67" w:rsidRDefault="007D1693" w:rsidP="007D1693"/>
    <w:p w14:paraId="07968C08" w14:textId="6E48D518" w:rsidR="007D1693" w:rsidRDefault="007D1693" w:rsidP="007D1693">
      <w:r>
        <w:rPr>
          <w:rFonts w:hint="eastAsia"/>
        </w:rPr>
        <w:t xml:space="preserve">This changing </w:t>
      </w:r>
      <w:r>
        <w:t>relationship</w:t>
      </w:r>
      <w:r>
        <w:rPr>
          <w:rFonts w:hint="eastAsia"/>
        </w:rPr>
        <w:t xml:space="preserve"> between party politicians and civil servants was also explained </w:t>
      </w:r>
      <w:r>
        <w:t xml:space="preserve">by a </w:t>
      </w:r>
      <w:r>
        <w:rPr>
          <w:rFonts w:hint="eastAsia"/>
        </w:rPr>
        <w:t>DPJ</w:t>
      </w:r>
      <w:r>
        <w:t xml:space="preserve"> politician</w:t>
      </w:r>
      <w:r>
        <w:rPr>
          <w:rFonts w:hint="eastAsia"/>
        </w:rPr>
        <w:t xml:space="preserve"> who was in </w:t>
      </w:r>
      <w:r w:rsidR="00083ACC">
        <w:rPr>
          <w:rFonts w:hint="eastAsia"/>
          <w:i/>
        </w:rPr>
        <w:t>Seimu Sanyaku</w:t>
      </w:r>
      <w:r>
        <w:rPr>
          <w:rFonts w:hint="eastAsia"/>
        </w:rPr>
        <w:t xml:space="preserve"> in charge of the JFTC:</w:t>
      </w:r>
    </w:p>
    <w:p w14:paraId="3586B199" w14:textId="77777777" w:rsidR="007D1693" w:rsidRDefault="007D1693" w:rsidP="007D1693"/>
    <w:p w14:paraId="0B58183F" w14:textId="220B3929" w:rsidR="007D1693" w:rsidRDefault="007D1693" w:rsidP="007D1693">
      <w:pPr>
        <w:pStyle w:val="Quote"/>
      </w:pPr>
      <w:r>
        <w:t>…</w:t>
      </w:r>
      <w:r>
        <w:rPr>
          <w:rFonts w:hint="eastAsia"/>
        </w:rPr>
        <w:t>the LDP governments did</w:t>
      </w:r>
      <w:r>
        <w:t>n’t</w:t>
      </w:r>
      <w:r>
        <w:rPr>
          <w:rFonts w:hint="eastAsia"/>
        </w:rPr>
        <w:t xml:space="preserve"> </w:t>
      </w:r>
      <w:r>
        <w:t>assign</w:t>
      </w:r>
      <w:r>
        <w:rPr>
          <w:rFonts w:hint="eastAsia"/>
        </w:rPr>
        <w:t xml:space="preserve"> </w:t>
      </w:r>
      <w:r>
        <w:t xml:space="preserve">the </w:t>
      </w:r>
      <w:r>
        <w:rPr>
          <w:rFonts w:hint="eastAsia"/>
        </w:rPr>
        <w:t>responsible Senior V</w:t>
      </w:r>
      <w:r>
        <w:t>ice-</w:t>
      </w:r>
      <w:r>
        <w:rPr>
          <w:rFonts w:hint="eastAsia"/>
        </w:rPr>
        <w:t>Ministers and Parliamentary Secretaries. They assigned only the Chief Cabinet Secretar</w:t>
      </w:r>
      <w:r>
        <w:t>ies</w:t>
      </w:r>
      <w:r>
        <w:rPr>
          <w:rFonts w:hint="eastAsia"/>
        </w:rPr>
        <w:t xml:space="preserve"> as the responsible Cabinet Ministers. The DPJ government decided to create responsible </w:t>
      </w:r>
      <w:r w:rsidR="00083ACC">
        <w:rPr>
          <w:rFonts w:hint="eastAsia"/>
          <w:i/>
        </w:rPr>
        <w:t>Seimu Sanyaku</w:t>
      </w:r>
      <w:r>
        <w:rPr>
          <w:rFonts w:hint="eastAsia"/>
        </w:rPr>
        <w:t xml:space="preserve"> and </w:t>
      </w:r>
      <w:r>
        <w:t>a</w:t>
      </w:r>
      <w:r>
        <w:rPr>
          <w:rFonts w:hint="eastAsia"/>
        </w:rPr>
        <w:t xml:space="preserve">ppointed those responsible for the JFTC. </w:t>
      </w:r>
      <w:r>
        <w:t>B</w:t>
      </w:r>
      <w:r>
        <w:rPr>
          <w:rFonts w:hint="eastAsia"/>
        </w:rPr>
        <w:t xml:space="preserve">ut it naturally has the independent authority, so basically the job was the law by the Diet: the </w:t>
      </w:r>
      <w:r w:rsidR="00083ACC">
        <w:rPr>
          <w:rFonts w:hint="eastAsia"/>
          <w:i/>
        </w:rPr>
        <w:t>Seimu Sanyaku</w:t>
      </w:r>
      <w:r>
        <w:rPr>
          <w:rFonts w:hint="eastAsia"/>
        </w:rPr>
        <w:t xml:space="preserve"> is involved in what should be done about the law, but each member of </w:t>
      </w:r>
      <w:r w:rsidR="00083ACC">
        <w:rPr>
          <w:rFonts w:hint="eastAsia"/>
          <w:i/>
        </w:rPr>
        <w:t>Seimu Sanyaku</w:t>
      </w:r>
      <w:r w:rsidRPr="0060346F">
        <w:rPr>
          <w:rFonts w:hint="eastAsia"/>
        </w:rPr>
        <w:t xml:space="preserve"> had their respective idea on to </w:t>
      </w:r>
      <w:r>
        <w:rPr>
          <w:rFonts w:hint="eastAsia"/>
        </w:rPr>
        <w:t>what extent he should be involved in the daily business, and my approach was a restrained one. (</w:t>
      </w:r>
      <w:r w:rsidR="007634ED">
        <w:rPr>
          <w:rFonts w:hint="eastAsia"/>
        </w:rPr>
        <w:t>Interview with</w:t>
      </w:r>
      <w:r>
        <w:rPr>
          <w:rFonts w:hint="eastAsia"/>
        </w:rPr>
        <w:t xml:space="preserve"> a member of the House of Representatives (DPJ))</w:t>
      </w:r>
    </w:p>
    <w:p w14:paraId="4DA6DE4F" w14:textId="77777777" w:rsidR="007D1693" w:rsidRDefault="007D1693" w:rsidP="007D1693"/>
    <w:p w14:paraId="15AB6A19" w14:textId="4B15C296" w:rsidR="007D1693" w:rsidRDefault="007D1693" w:rsidP="00B5226C">
      <w:r>
        <w:rPr>
          <w:rFonts w:hint="eastAsia"/>
        </w:rPr>
        <w:t>T</w:t>
      </w:r>
      <w:r>
        <w:t>o</w:t>
      </w:r>
      <w:r>
        <w:rPr>
          <w:rFonts w:hint="eastAsia"/>
        </w:rPr>
        <w:t xml:space="preserve">gether with the previous account by a senior JFTC civil servant, this account implies that the </w:t>
      </w:r>
      <w:r w:rsidR="00D10247">
        <w:rPr>
          <w:rFonts w:eastAsia="MS Mincho" w:hint="eastAsia"/>
          <w:lang w:eastAsia="ja-JP"/>
        </w:rPr>
        <w:t xml:space="preserve">elected </w:t>
      </w:r>
      <w:r>
        <w:rPr>
          <w:rFonts w:hint="eastAsia"/>
        </w:rPr>
        <w:t>officials (</w:t>
      </w:r>
      <w:r w:rsidR="00083ACC">
        <w:rPr>
          <w:rFonts w:hint="eastAsia"/>
          <w:i/>
        </w:rPr>
        <w:t>Seimu Sanyaku</w:t>
      </w:r>
      <w:r>
        <w:rPr>
          <w:rFonts w:hint="eastAsia"/>
        </w:rPr>
        <w:t xml:space="preserve">) of the DPJ played a significant role in </w:t>
      </w:r>
      <w:r w:rsidR="00B5226C">
        <w:t xml:space="preserve">policy making of </w:t>
      </w:r>
      <w:r>
        <w:rPr>
          <w:rFonts w:hint="eastAsia"/>
        </w:rPr>
        <w:t>the antimonopoly field. This reveals a difference from the previous LDP governments, where the LDP Chief Cabinet Secretaries, who were formally responsible Cabinet Ministers, played only a ceremonial role. The DPJ</w:t>
      </w:r>
      <w:r>
        <w:t>’</w:t>
      </w:r>
      <w:r>
        <w:rPr>
          <w:rFonts w:hint="eastAsia"/>
        </w:rPr>
        <w:t xml:space="preserve">s different approach </w:t>
      </w:r>
      <w:r w:rsidR="007E1D09">
        <w:t>was</w:t>
      </w:r>
      <w:r>
        <w:rPr>
          <w:rFonts w:hint="eastAsia"/>
        </w:rPr>
        <w:t xml:space="preserve"> explained by Yukio Edano, the first DPJ Cabinet Minister assigned </w:t>
      </w:r>
      <w:r w:rsidR="00034D68">
        <w:t xml:space="preserve">to </w:t>
      </w:r>
      <w:r>
        <w:rPr>
          <w:rFonts w:hint="eastAsia"/>
        </w:rPr>
        <w:t xml:space="preserve">the JFTC: </w:t>
      </w:r>
      <w:r>
        <w:t>‘</w:t>
      </w:r>
      <w:r>
        <w:rPr>
          <w:rFonts w:hint="eastAsia"/>
        </w:rPr>
        <w:t xml:space="preserve">after the recent government change the </w:t>
      </w:r>
      <w:r w:rsidR="00083ACC">
        <w:rPr>
          <w:rFonts w:hint="eastAsia"/>
          <w:i/>
        </w:rPr>
        <w:t>Seimu Sanyaku</w:t>
      </w:r>
      <w:r>
        <w:rPr>
          <w:rFonts w:hint="eastAsia"/>
        </w:rPr>
        <w:t xml:space="preserve"> of the Cabinet Office to which the JFTC is administratively attached ... has been assigned </w:t>
      </w:r>
      <w:r w:rsidR="00034D68">
        <w:t xml:space="preserve">to </w:t>
      </w:r>
      <w:r>
        <w:rPr>
          <w:rFonts w:hint="eastAsia"/>
        </w:rPr>
        <w:t>the JFTC. ...I</w:t>
      </w:r>
      <w:r>
        <w:t>’</w:t>
      </w:r>
      <w:r>
        <w:rPr>
          <w:rFonts w:hint="eastAsia"/>
        </w:rPr>
        <w:t xml:space="preserve">ll </w:t>
      </w:r>
      <w:r w:rsidR="00034D68">
        <w:t>do</w:t>
      </w:r>
      <w:r>
        <w:rPr>
          <w:rFonts w:hint="eastAsia"/>
        </w:rPr>
        <w:t xml:space="preserve"> my best to realise fair markets by strengthening the function and organisation of the JFTC. In particular, I</w:t>
      </w:r>
      <w:r>
        <w:t>’</w:t>
      </w:r>
      <w:r>
        <w:rPr>
          <w:rFonts w:hint="eastAsia"/>
        </w:rPr>
        <w:t>ll make</w:t>
      </w:r>
      <w:r w:rsidR="00034D68">
        <w:t xml:space="preserve"> </w:t>
      </w:r>
      <w:r>
        <w:rPr>
          <w:rFonts w:hint="eastAsia"/>
        </w:rPr>
        <w:t>efforts to have Japanese industries develop under fair market competition in a significant change of global environment and markets</w:t>
      </w:r>
      <w:r>
        <w:t>’</w:t>
      </w:r>
      <w:r>
        <w:rPr>
          <w:rFonts w:hint="eastAsia"/>
        </w:rPr>
        <w:t xml:space="preserve"> (</w:t>
      </w:r>
      <w:r w:rsidR="00B5226C">
        <w:t>T</w:t>
      </w:r>
      <w:r>
        <w:t xml:space="preserve">he </w:t>
      </w:r>
      <w:r w:rsidRPr="0055646B">
        <w:t>House of Representative</w:t>
      </w:r>
      <w:r>
        <w:rPr>
          <w:rFonts w:hint="eastAsia"/>
        </w:rPr>
        <w:t>s</w:t>
      </w:r>
      <w:r w:rsidRPr="0055646B">
        <w:t xml:space="preserve"> </w:t>
      </w:r>
      <w:r>
        <w:rPr>
          <w:rFonts w:hint="eastAsia"/>
        </w:rPr>
        <w:t>2010a</w:t>
      </w:r>
      <w:r w:rsidRPr="0055646B">
        <w:t>)</w:t>
      </w:r>
      <w:r>
        <w:rPr>
          <w:rFonts w:hint="eastAsia"/>
        </w:rPr>
        <w:t xml:space="preserve">. He also referred to the limitation of his remit: </w:t>
      </w:r>
      <w:r>
        <w:t>‘</w:t>
      </w:r>
      <w:r>
        <w:rPr>
          <w:rFonts w:hint="eastAsia"/>
        </w:rPr>
        <w:t>because the JFTC is an independent administrative commission as the law enforcement organisation, I can</w:t>
      </w:r>
      <w:r>
        <w:t>’</w:t>
      </w:r>
      <w:r>
        <w:rPr>
          <w:rFonts w:hint="eastAsia"/>
        </w:rPr>
        <w:t xml:space="preserve">t directly </w:t>
      </w:r>
      <w:r>
        <w:t>command</w:t>
      </w:r>
      <w:r>
        <w:rPr>
          <w:rFonts w:hint="eastAsia"/>
        </w:rPr>
        <w:t xml:space="preserve"> and control it</w:t>
      </w:r>
      <w:r>
        <w:t>’</w:t>
      </w:r>
      <w:r>
        <w:rPr>
          <w:rFonts w:hint="eastAsia"/>
        </w:rPr>
        <w:t xml:space="preserve"> (</w:t>
      </w:r>
      <w:r w:rsidR="00B5226C">
        <w:t>T</w:t>
      </w:r>
      <w:r>
        <w:t xml:space="preserve">he </w:t>
      </w:r>
      <w:r w:rsidRPr="0055646B">
        <w:t>House of Representative</w:t>
      </w:r>
      <w:r>
        <w:rPr>
          <w:rFonts w:hint="eastAsia"/>
        </w:rPr>
        <w:t>s</w:t>
      </w:r>
      <w:r w:rsidRPr="0055646B">
        <w:t xml:space="preserve"> </w:t>
      </w:r>
      <w:r>
        <w:rPr>
          <w:rFonts w:hint="eastAsia"/>
        </w:rPr>
        <w:t>2010b</w:t>
      </w:r>
      <w:r w:rsidRPr="0055646B">
        <w:t>)</w:t>
      </w:r>
      <w:r>
        <w:rPr>
          <w:rFonts w:hint="eastAsia"/>
        </w:rPr>
        <w:t>.</w:t>
      </w:r>
    </w:p>
    <w:p w14:paraId="6C11FC0C" w14:textId="77777777" w:rsidR="007D1693" w:rsidRDefault="007D1693" w:rsidP="007D1693">
      <w:pPr>
        <w:ind w:firstLine="284"/>
      </w:pPr>
      <w:r>
        <w:rPr>
          <w:rFonts w:hint="eastAsia"/>
        </w:rPr>
        <w:t>A</w:t>
      </w:r>
      <w:r>
        <w:t>l</w:t>
      </w:r>
      <w:r>
        <w:rPr>
          <w:rFonts w:hint="eastAsia"/>
        </w:rPr>
        <w:t xml:space="preserve">so, the above account indicates that </w:t>
      </w:r>
      <w:r>
        <w:t>DPJ</w:t>
      </w:r>
      <w:r>
        <w:rPr>
          <w:rFonts w:hint="eastAsia"/>
        </w:rPr>
        <w:t xml:space="preserve"> politicians</w:t>
      </w:r>
      <w:r>
        <w:t>’</w:t>
      </w:r>
      <w:r>
        <w:rPr>
          <w:rFonts w:hint="eastAsia"/>
        </w:rPr>
        <w:t xml:space="preserve"> approaches were not unified</w:t>
      </w:r>
      <w:r>
        <w:t>;</w:t>
      </w:r>
      <w:r>
        <w:rPr>
          <w:rFonts w:hint="eastAsia"/>
        </w:rPr>
        <w:t xml:space="preserve"> some of them argued for </w:t>
      </w:r>
      <w:r w:rsidR="004C7438">
        <w:t xml:space="preserve">a </w:t>
      </w:r>
      <w:r>
        <w:rPr>
          <w:rFonts w:hint="eastAsia"/>
        </w:rPr>
        <w:t xml:space="preserve">more proactive approach to antimonopoly policies, while others preferred </w:t>
      </w:r>
      <w:r w:rsidR="004C7438">
        <w:t xml:space="preserve">a </w:t>
      </w:r>
      <w:r>
        <w:rPr>
          <w:rFonts w:hint="eastAsia"/>
        </w:rPr>
        <w:t xml:space="preserve">more reserved one. </w:t>
      </w:r>
      <w:r>
        <w:t>T</w:t>
      </w:r>
      <w:r>
        <w:rPr>
          <w:rFonts w:hint="eastAsia"/>
        </w:rPr>
        <w:t>he politician offere</w:t>
      </w:r>
      <w:r>
        <w:t>d</w:t>
      </w:r>
      <w:r>
        <w:rPr>
          <w:rFonts w:hint="eastAsia"/>
        </w:rPr>
        <w:t xml:space="preserve"> an explanation:</w:t>
      </w:r>
    </w:p>
    <w:p w14:paraId="08FF56B1" w14:textId="77777777" w:rsidR="007D1693" w:rsidRDefault="007D1693" w:rsidP="007D1693"/>
    <w:p w14:paraId="46AD815E" w14:textId="1CD6BE86" w:rsidR="007D1693" w:rsidRPr="00D058BF" w:rsidRDefault="007D1693" w:rsidP="007D1693">
      <w:pPr>
        <w:pStyle w:val="Quote"/>
      </w:pPr>
      <w:r w:rsidRPr="00D058BF">
        <w:t>…</w:t>
      </w:r>
      <w:r w:rsidRPr="00D058BF">
        <w:rPr>
          <w:rFonts w:hint="eastAsia"/>
        </w:rPr>
        <w:t>there is a debate whether Senior Vice</w:t>
      </w:r>
      <w:r w:rsidRPr="00D058BF">
        <w:t>-</w:t>
      </w:r>
      <w:r w:rsidRPr="00D058BF">
        <w:rPr>
          <w:rFonts w:hint="eastAsia"/>
        </w:rPr>
        <w:t xml:space="preserve">Ministers and Parliamentary Secretaries are really necessary. A JFTC Chairman endorsed by the administration will solve the problem. </w:t>
      </w:r>
      <w:r w:rsidRPr="00D058BF">
        <w:t>A</w:t>
      </w:r>
      <w:r w:rsidRPr="00D058BF">
        <w:rPr>
          <w:rFonts w:hint="eastAsia"/>
        </w:rPr>
        <w:t>nd the Chairman sufficiently communicates with the administration. But the Chairman is from bureaucracy, from the finance ministry</w:t>
      </w:r>
      <w:r w:rsidRPr="00D058BF">
        <w:t>…</w:t>
      </w:r>
      <w:r w:rsidRPr="00D058BF">
        <w:rPr>
          <w:rFonts w:hint="eastAsia"/>
        </w:rPr>
        <w:t>basically Mr Takeshima wasn</w:t>
      </w:r>
      <w:r w:rsidRPr="00D058BF">
        <w:t>’</w:t>
      </w:r>
      <w:r w:rsidRPr="00D058BF">
        <w:rPr>
          <w:rFonts w:hint="eastAsia"/>
        </w:rPr>
        <w:t xml:space="preserve">t appointed because of </w:t>
      </w:r>
      <w:r w:rsidR="00D10247">
        <w:rPr>
          <w:rFonts w:eastAsia="MS Mincho" w:hint="eastAsia"/>
          <w:lang w:eastAsia="ja-JP"/>
        </w:rPr>
        <w:t xml:space="preserve">the </w:t>
      </w:r>
      <w:r w:rsidRPr="00D058BF">
        <w:rPr>
          <w:rFonts w:hint="eastAsia"/>
        </w:rPr>
        <w:t>DPJ</w:t>
      </w:r>
      <w:r w:rsidRPr="00D058BF">
        <w:t>’</w:t>
      </w:r>
      <w:r w:rsidRPr="00D058BF">
        <w:rPr>
          <w:rFonts w:hint="eastAsia"/>
        </w:rPr>
        <w:t xml:space="preserve">s wish. </w:t>
      </w:r>
      <w:r w:rsidRPr="00D058BF">
        <w:t>S</w:t>
      </w:r>
      <w:r w:rsidRPr="00D058BF">
        <w:rPr>
          <w:rFonts w:hint="eastAsia"/>
        </w:rPr>
        <w:t xml:space="preserve">o as an interim approach, it is acceptable </w:t>
      </w:r>
      <w:r w:rsidR="00083ACC">
        <w:rPr>
          <w:rFonts w:hint="eastAsia"/>
          <w:i/>
        </w:rPr>
        <w:t>Seimu Sanyaku</w:t>
      </w:r>
      <w:r w:rsidRPr="00D058BF">
        <w:rPr>
          <w:rFonts w:hint="eastAsia"/>
        </w:rPr>
        <w:t xml:space="preserve"> get involved so that the JFTC work in line with the policies of the DPJ (</w:t>
      </w:r>
      <w:r w:rsidR="007634ED">
        <w:rPr>
          <w:rFonts w:hint="eastAsia"/>
        </w:rPr>
        <w:t>Interview with</w:t>
      </w:r>
      <w:r w:rsidRPr="00D058BF">
        <w:rPr>
          <w:rFonts w:hint="eastAsia"/>
        </w:rPr>
        <w:t xml:space="preserve"> a member of the House of Representatives (DPJ</w:t>
      </w:r>
      <w:r w:rsidRPr="00D058BF">
        <w:t>)</w:t>
      </w:r>
      <w:r w:rsidRPr="00D058BF">
        <w:rPr>
          <w:rFonts w:hint="eastAsia"/>
        </w:rPr>
        <w:t>)</w:t>
      </w:r>
    </w:p>
    <w:p w14:paraId="0948CE6A" w14:textId="77777777" w:rsidR="007D1693" w:rsidRDefault="007D1693" w:rsidP="007D1693"/>
    <w:p w14:paraId="49237520" w14:textId="77777777" w:rsidR="007D1693" w:rsidRDefault="007D1693" w:rsidP="00F01910">
      <w:r w:rsidRPr="00BD44A8">
        <w:rPr>
          <w:rFonts w:hint="eastAsia"/>
        </w:rPr>
        <w:t xml:space="preserve">His account reveals that </w:t>
      </w:r>
      <w:r>
        <w:rPr>
          <w:rFonts w:hint="eastAsia"/>
        </w:rPr>
        <w:t xml:space="preserve">the </w:t>
      </w:r>
      <w:r w:rsidRPr="00BD44A8">
        <w:rPr>
          <w:rFonts w:hint="eastAsia"/>
        </w:rPr>
        <w:t>DPJ</w:t>
      </w:r>
      <w:r w:rsidRPr="00BD44A8">
        <w:t>’</w:t>
      </w:r>
      <w:r w:rsidRPr="00BD44A8">
        <w:rPr>
          <w:rFonts w:hint="eastAsia"/>
        </w:rPr>
        <w:t xml:space="preserve">s approach </w:t>
      </w:r>
      <w:r w:rsidR="007E1D09">
        <w:t>was</w:t>
      </w:r>
      <w:r>
        <w:rPr>
          <w:rFonts w:hint="eastAsia"/>
        </w:rPr>
        <w:t xml:space="preserve"> a set of trials based on each politician</w:t>
      </w:r>
      <w:r>
        <w:t>’</w:t>
      </w:r>
      <w:r>
        <w:rPr>
          <w:rFonts w:hint="eastAsia"/>
        </w:rPr>
        <w:t xml:space="preserve">s </w:t>
      </w:r>
      <w:r w:rsidR="00F01910">
        <w:t>method</w:t>
      </w:r>
      <w:r>
        <w:rPr>
          <w:rFonts w:hint="eastAsia"/>
        </w:rPr>
        <w:t xml:space="preserve"> rather than a coordinated approach. </w:t>
      </w:r>
      <w:r>
        <w:t>A</w:t>
      </w:r>
      <w:r>
        <w:rPr>
          <w:rFonts w:hint="eastAsia"/>
        </w:rPr>
        <w:t xml:space="preserve">lso, he highlighted the problem of accountability; because the current JFTC Chairman was selected by the LDP, the DPJ governments </w:t>
      </w:r>
      <w:r w:rsidR="00F01910">
        <w:t>were</w:t>
      </w:r>
      <w:r w:rsidR="002216DD">
        <w:t xml:space="preserve"> distrustful of </w:t>
      </w:r>
      <w:r>
        <w:rPr>
          <w:rFonts w:hint="eastAsia"/>
        </w:rPr>
        <w:t xml:space="preserve">the Chairman as their agent. At the same time the DPJ </w:t>
      </w:r>
      <w:r w:rsidR="00F01910">
        <w:t>was</w:t>
      </w:r>
      <w:r>
        <w:rPr>
          <w:rFonts w:hint="eastAsia"/>
        </w:rPr>
        <w:t xml:space="preserve"> unable to sack the Chairman because the AMA protects the Chairman</w:t>
      </w:r>
      <w:r>
        <w:t>’</w:t>
      </w:r>
      <w:r>
        <w:rPr>
          <w:rFonts w:hint="eastAsia"/>
        </w:rPr>
        <w:t xml:space="preserve">s tenure to </w:t>
      </w:r>
      <w:r w:rsidR="00F01910">
        <w:t>safeguard</w:t>
      </w:r>
      <w:r>
        <w:rPr>
          <w:rFonts w:hint="eastAsia"/>
        </w:rPr>
        <w:t xml:space="preserve"> the JFTC</w:t>
      </w:r>
      <w:r>
        <w:t>’</w:t>
      </w:r>
      <w:r>
        <w:rPr>
          <w:rFonts w:hint="eastAsia"/>
        </w:rPr>
        <w:t xml:space="preserve">s independence. </w:t>
      </w:r>
      <w:r>
        <w:t>T</w:t>
      </w:r>
      <w:r>
        <w:rPr>
          <w:rFonts w:hint="eastAsia"/>
        </w:rPr>
        <w:t xml:space="preserve">his </w:t>
      </w:r>
      <w:r>
        <w:t xml:space="preserve">suggests </w:t>
      </w:r>
      <w:r>
        <w:rPr>
          <w:rFonts w:hint="eastAsia"/>
        </w:rPr>
        <w:t>that the independence of authority created a new governance problem which the LDP never had during its long tenure.</w:t>
      </w:r>
    </w:p>
    <w:p w14:paraId="70512470" w14:textId="77777777" w:rsidR="007D1693" w:rsidRDefault="007D1693" w:rsidP="00B5226C">
      <w:pPr>
        <w:ind w:firstLine="284"/>
      </w:pPr>
      <w:r>
        <w:t xml:space="preserve">The </w:t>
      </w:r>
      <w:r>
        <w:rPr>
          <w:rFonts w:hint="eastAsia"/>
        </w:rPr>
        <w:t>approach by the DPJ encountered criticism from observers outside the core executive. F</w:t>
      </w:r>
      <w:r>
        <w:t>o</w:t>
      </w:r>
      <w:r>
        <w:rPr>
          <w:rFonts w:hint="eastAsia"/>
        </w:rPr>
        <w:t xml:space="preserve">r example, a business organisation official </w:t>
      </w:r>
      <w:r>
        <w:t>describes</w:t>
      </w:r>
      <w:r>
        <w:rPr>
          <w:rFonts w:hint="eastAsia"/>
        </w:rPr>
        <w:t xml:space="preserve">: </w:t>
      </w:r>
      <w:r>
        <w:t>‘…</w:t>
      </w:r>
      <w:r>
        <w:rPr>
          <w:rFonts w:hint="eastAsia"/>
        </w:rPr>
        <w:t>surprisingly, I think nothing has emerged after government change. Nothing has changed in competition policies and antimonopoly</w:t>
      </w:r>
      <w:r>
        <w:t>’</w:t>
      </w:r>
      <w:r>
        <w:rPr>
          <w:rFonts w:hint="eastAsia"/>
        </w:rPr>
        <w:t xml:space="preserve"> (</w:t>
      </w:r>
      <w:r w:rsidR="007634ED">
        <w:rPr>
          <w:rFonts w:hint="eastAsia"/>
        </w:rPr>
        <w:t>Interview with</w:t>
      </w:r>
      <w:r>
        <w:rPr>
          <w:rFonts w:hint="eastAsia"/>
        </w:rPr>
        <w:t xml:space="preserve"> a </w:t>
      </w:r>
      <w:r w:rsidRPr="00191CFE">
        <w:rPr>
          <w:rFonts w:hint="eastAsia"/>
          <w:i/>
        </w:rPr>
        <w:t>K</w:t>
      </w:r>
      <w:r w:rsidRPr="00191CFE">
        <w:rPr>
          <w:i/>
        </w:rPr>
        <w:t>e</w:t>
      </w:r>
      <w:r w:rsidRPr="00191CFE">
        <w:rPr>
          <w:rFonts w:hint="eastAsia"/>
          <w:i/>
        </w:rPr>
        <w:t>idanren</w:t>
      </w:r>
      <w:r>
        <w:rPr>
          <w:rFonts w:hint="eastAsia"/>
        </w:rPr>
        <w:t xml:space="preserve"> official). This critical view was shared by an academic specialising in AMA:</w:t>
      </w:r>
    </w:p>
    <w:p w14:paraId="73EFD864" w14:textId="77777777" w:rsidR="007D1693" w:rsidRDefault="007D1693" w:rsidP="007D1693"/>
    <w:p w14:paraId="534D7055" w14:textId="77777777" w:rsidR="007D1693" w:rsidRDefault="007D1693" w:rsidP="007D1693">
      <w:pPr>
        <w:pStyle w:val="Quote"/>
      </w:pPr>
      <w:r>
        <w:t>…</w:t>
      </w:r>
      <w:r>
        <w:rPr>
          <w:rFonts w:hint="eastAsia"/>
        </w:rPr>
        <w:t>in most cases they stopped listening to specialists</w:t>
      </w:r>
      <w:r>
        <w:t>’</w:t>
      </w:r>
      <w:r>
        <w:rPr>
          <w:rFonts w:hint="eastAsia"/>
        </w:rPr>
        <w:t xml:space="preserve"> opinions. </w:t>
      </w:r>
      <w:r>
        <w:t>A</w:t>
      </w:r>
      <w:r>
        <w:rPr>
          <w:rFonts w:hint="eastAsia"/>
        </w:rPr>
        <w:t xml:space="preserve">nd all consulting committees, including those related law amendments and policy or law drafting, were stopped. </w:t>
      </w:r>
      <w:r>
        <w:t>…</w:t>
      </w:r>
      <w:r>
        <w:rPr>
          <w:rFonts w:hint="eastAsia"/>
        </w:rPr>
        <w:t>but debates have taken place nowhere. In such a way, policies have stopped in the antimonopoly field in the 2000s. (</w:t>
      </w:r>
      <w:r w:rsidR="007634ED">
        <w:rPr>
          <w:rFonts w:hint="eastAsia"/>
        </w:rPr>
        <w:t>Interview with</w:t>
      </w:r>
      <w:r>
        <w:rPr>
          <w:rFonts w:hint="eastAsia"/>
        </w:rPr>
        <w:t xml:space="preserve"> an AMA academic)</w:t>
      </w:r>
    </w:p>
    <w:p w14:paraId="5CDB5E65" w14:textId="77777777" w:rsidR="007D1693" w:rsidRDefault="007D1693" w:rsidP="007D1693"/>
    <w:p w14:paraId="66C129A6" w14:textId="77777777" w:rsidR="007D1693" w:rsidRDefault="007D1693" w:rsidP="007D1693">
      <w:r>
        <w:t>A</w:t>
      </w:r>
      <w:r>
        <w:rPr>
          <w:rFonts w:hint="eastAsia"/>
        </w:rPr>
        <w:t xml:space="preserve"> consumer group leader commented a similar thing as the event emerged throughout government ministries:</w:t>
      </w:r>
    </w:p>
    <w:p w14:paraId="1B67A0CB" w14:textId="77777777" w:rsidR="007D1693" w:rsidRDefault="007D1693" w:rsidP="007D1693"/>
    <w:p w14:paraId="71905D44" w14:textId="7557DFD6" w:rsidR="007D1693" w:rsidRDefault="007D1693" w:rsidP="007D1693">
      <w:pPr>
        <w:pStyle w:val="Quote"/>
      </w:pPr>
      <w:r>
        <w:t>…</w:t>
      </w:r>
      <w:r>
        <w:rPr>
          <w:rFonts w:hint="eastAsia"/>
        </w:rPr>
        <w:t>after the DPJ took power the executive branch haven</w:t>
      </w:r>
      <w:r>
        <w:t>’</w:t>
      </w:r>
      <w:r>
        <w:rPr>
          <w:rFonts w:hint="eastAsia"/>
        </w:rPr>
        <w:t xml:space="preserve">t worked. In short </w:t>
      </w:r>
      <w:r w:rsidR="00083ACC">
        <w:rPr>
          <w:rFonts w:hint="eastAsia"/>
          <w:i/>
        </w:rPr>
        <w:t>Seimu Sanyaku</w:t>
      </w:r>
      <w:r>
        <w:rPr>
          <w:rFonts w:hint="eastAsia"/>
        </w:rPr>
        <w:t xml:space="preserve"> </w:t>
      </w:r>
      <w:r>
        <w:t>decides</w:t>
      </w:r>
      <w:r>
        <w:rPr>
          <w:rFonts w:hint="eastAsia"/>
        </w:rPr>
        <w:t xml:space="preserve"> things, and councils and committees in each government ministry almost stopped and became their own committees and examination meetings, and they have been working instead. </w:t>
      </w:r>
      <w:r>
        <w:t>…</w:t>
      </w:r>
      <w:r>
        <w:rPr>
          <w:rFonts w:hint="eastAsia"/>
        </w:rPr>
        <w:t>civil servants had difficulty to move and work and they have been waiting, I heard. I suggested such a situation undermined their morale. (</w:t>
      </w:r>
      <w:r w:rsidR="007634ED">
        <w:rPr>
          <w:rFonts w:hint="eastAsia"/>
        </w:rPr>
        <w:t>Interview with</w:t>
      </w:r>
      <w:r>
        <w:rPr>
          <w:rFonts w:hint="eastAsia"/>
        </w:rPr>
        <w:t xml:space="preserve"> a consumer group leader)</w:t>
      </w:r>
    </w:p>
    <w:p w14:paraId="4A56EB85" w14:textId="77777777" w:rsidR="007D1693" w:rsidRDefault="007D1693" w:rsidP="007D1693"/>
    <w:p w14:paraId="039623DD" w14:textId="77777777" w:rsidR="007D1693" w:rsidRDefault="007D1693" w:rsidP="007D1693">
      <w:r>
        <w:rPr>
          <w:rFonts w:hint="eastAsia"/>
        </w:rPr>
        <w:t>This set of accounts from outside observers indicates that the DPJ dismantled the LDP</w:t>
      </w:r>
      <w:r>
        <w:t>’</w:t>
      </w:r>
      <w:r>
        <w:rPr>
          <w:rFonts w:hint="eastAsia"/>
        </w:rPr>
        <w:t xml:space="preserve">s governing system and failed to establish their own. The result </w:t>
      </w:r>
      <w:r w:rsidR="002216DD">
        <w:t>suggests</w:t>
      </w:r>
      <w:r>
        <w:rPr>
          <w:rFonts w:hint="eastAsia"/>
        </w:rPr>
        <w:t xml:space="preserve"> an unstable situation where no established rules </w:t>
      </w:r>
      <w:r>
        <w:t>controlled</w:t>
      </w:r>
      <w:r>
        <w:rPr>
          <w:rFonts w:hint="eastAsia"/>
        </w:rPr>
        <w:t xml:space="preserve"> the governing machine such as bureaucracy.</w:t>
      </w:r>
    </w:p>
    <w:p w14:paraId="31EA80E5" w14:textId="77777777" w:rsidR="007D1693" w:rsidRDefault="007D1693" w:rsidP="008F1E8E">
      <w:pPr>
        <w:ind w:firstLine="284"/>
      </w:pPr>
      <w:r>
        <w:t>In drawing these arguments together</w:t>
      </w:r>
      <w:r>
        <w:rPr>
          <w:rFonts w:hint="eastAsia"/>
        </w:rPr>
        <w:t xml:space="preserve">, what emerges is </w:t>
      </w:r>
      <w:r>
        <w:t>the</w:t>
      </w:r>
      <w:r>
        <w:rPr>
          <w:rFonts w:hint="eastAsia"/>
        </w:rPr>
        <w:t xml:space="preserve"> sustained dominance of the core executive. Party politicians have retained their decision making role. During LDP governments</w:t>
      </w:r>
      <w:r>
        <w:t>,</w:t>
      </w:r>
      <w:r>
        <w:rPr>
          <w:rFonts w:hint="eastAsia"/>
        </w:rPr>
        <w:t xml:space="preserve"> this role was played by key party politicians including Yamanaka. </w:t>
      </w:r>
      <w:r w:rsidR="009B548C">
        <w:t>G</w:t>
      </w:r>
      <w:r>
        <w:rPr>
          <w:rFonts w:hint="eastAsia"/>
        </w:rPr>
        <w:t>overnment change in 2009 dismantled the LDP</w:t>
      </w:r>
      <w:r>
        <w:t>’</w:t>
      </w:r>
      <w:r>
        <w:rPr>
          <w:rFonts w:hint="eastAsia"/>
        </w:rPr>
        <w:t>s traditional governing machine</w:t>
      </w:r>
      <w:r w:rsidR="00A72D5B">
        <w:t>, during its tenure at least</w:t>
      </w:r>
      <w:r>
        <w:rPr>
          <w:rFonts w:hint="eastAsia"/>
        </w:rPr>
        <w:t xml:space="preserve">. What emerged instead is an </w:t>
      </w:r>
      <w:r>
        <w:t>uncoordinated</w:t>
      </w:r>
      <w:r>
        <w:rPr>
          <w:rFonts w:hint="eastAsia"/>
        </w:rPr>
        <w:t xml:space="preserve"> intervention from party </w:t>
      </w:r>
      <w:r>
        <w:t>politicians</w:t>
      </w:r>
      <w:r>
        <w:rPr>
          <w:rFonts w:hint="eastAsia"/>
        </w:rPr>
        <w:t xml:space="preserve"> in the Cabinet. T</w:t>
      </w:r>
      <w:r>
        <w:t>h</w:t>
      </w:r>
      <w:r>
        <w:rPr>
          <w:rFonts w:hint="eastAsia"/>
        </w:rPr>
        <w:t xml:space="preserve">e principal-agent </w:t>
      </w:r>
      <w:r>
        <w:t>relationship</w:t>
      </w:r>
      <w:r>
        <w:rPr>
          <w:rFonts w:hint="eastAsia"/>
        </w:rPr>
        <w:t xml:space="preserve"> between party politicians and civil servants in the JFTC encountered a challenge as the JFTC Chairman selected by the LDP had an awkward relationship with the new DPJ governments; he did not have their trust. T</w:t>
      </w:r>
      <w:r>
        <w:t>h</w:t>
      </w:r>
      <w:r>
        <w:rPr>
          <w:rFonts w:hint="eastAsia"/>
        </w:rPr>
        <w:t>e JFTC has employed an approach different from that of other government ministries such as the MITI and the MPT/MIC</w:t>
      </w:r>
      <w:r>
        <w:t xml:space="preserve"> (Ministry of Internal Affairs and Communications)</w:t>
      </w:r>
      <w:r>
        <w:rPr>
          <w:rFonts w:hint="eastAsia"/>
        </w:rPr>
        <w:t xml:space="preserve">. </w:t>
      </w:r>
      <w:r>
        <w:t>I</w:t>
      </w:r>
      <w:r>
        <w:rPr>
          <w:rFonts w:hint="eastAsia"/>
        </w:rPr>
        <w:t xml:space="preserve">ts policy making activities were not </w:t>
      </w:r>
      <w:r w:rsidR="002216DD">
        <w:t xml:space="preserve">particularly </w:t>
      </w:r>
      <w:r>
        <w:rPr>
          <w:rFonts w:hint="eastAsia"/>
        </w:rPr>
        <w:t xml:space="preserve">strategic; ideas for AMA amendments have not always come from the JFTC. </w:t>
      </w:r>
      <w:r>
        <w:t>T</w:t>
      </w:r>
      <w:r>
        <w:rPr>
          <w:rFonts w:hint="eastAsia"/>
        </w:rPr>
        <w:t xml:space="preserve">he </w:t>
      </w:r>
      <w:r>
        <w:t>skilful</w:t>
      </w:r>
      <w:r>
        <w:rPr>
          <w:rFonts w:hint="eastAsia"/>
        </w:rPr>
        <w:t xml:space="preserve"> management of the JFTC, however, enabled itself to control the antimonopoly policies in detail (see </w:t>
      </w:r>
      <w:r w:rsidR="0024071A">
        <w:rPr>
          <w:rFonts w:hint="eastAsia"/>
        </w:rPr>
        <w:t>Table 6.7</w:t>
      </w:r>
      <w:r>
        <w:rPr>
          <w:rFonts w:hint="eastAsia"/>
        </w:rPr>
        <w:t>).</w:t>
      </w:r>
    </w:p>
    <w:p w14:paraId="0C5FA018" w14:textId="77777777" w:rsidR="007D1693" w:rsidRPr="00A72477" w:rsidRDefault="007D1693" w:rsidP="007D1693"/>
    <w:p w14:paraId="4B8D7676" w14:textId="77777777" w:rsidR="007D1693" w:rsidRPr="00955801" w:rsidRDefault="0024071A" w:rsidP="008F1E8E">
      <w:pPr>
        <w:pStyle w:val="Heading4"/>
      </w:pPr>
      <w:r>
        <w:t>Table 6.7</w:t>
      </w:r>
      <w:r w:rsidR="007D1693" w:rsidRPr="00955801">
        <w:t xml:space="preserve">: Relative </w:t>
      </w:r>
      <w:r w:rsidR="007D1693" w:rsidRPr="00955801">
        <w:rPr>
          <w:rFonts w:hint="eastAsia"/>
        </w:rPr>
        <w:t>s</w:t>
      </w:r>
      <w:r w:rsidR="007D1693" w:rsidRPr="00955801">
        <w:t xml:space="preserve">trength among </w:t>
      </w:r>
      <w:r w:rsidR="007D1693" w:rsidRPr="00955801">
        <w:rPr>
          <w:rFonts w:hint="eastAsia"/>
        </w:rPr>
        <w:t>a</w:t>
      </w:r>
      <w:r w:rsidR="007D1693" w:rsidRPr="00955801">
        <w:t xml:space="preserve">ctors in </w:t>
      </w:r>
      <w:r w:rsidR="007D1693" w:rsidRPr="00955801">
        <w:rPr>
          <w:rFonts w:hint="eastAsia"/>
        </w:rPr>
        <w:t>the antimonopoly field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4"/>
        <w:gridCol w:w="1727"/>
        <w:gridCol w:w="1726"/>
        <w:gridCol w:w="1727"/>
        <w:gridCol w:w="1606"/>
      </w:tblGrid>
      <w:tr w:rsidR="007D1693" w:rsidRPr="00E03281" w14:paraId="1870F281" w14:textId="77777777" w:rsidTr="0030198F">
        <w:tc>
          <w:tcPr>
            <w:tcW w:w="2093" w:type="dxa"/>
            <w:tcBorders>
              <w:right w:val="double" w:sz="4" w:space="0" w:color="auto"/>
            </w:tcBorders>
          </w:tcPr>
          <w:p w14:paraId="0D065A1F" w14:textId="77777777" w:rsidR="007D1693" w:rsidRPr="00E03281" w:rsidRDefault="007D1693" w:rsidP="0030198F">
            <w:pPr>
              <w:pStyle w:val="NoSpacing"/>
              <w:jc w:val="center"/>
            </w:pPr>
          </w:p>
        </w:tc>
        <w:tc>
          <w:tcPr>
            <w:tcW w:w="1843" w:type="dxa"/>
            <w:tcBorders>
              <w:left w:val="double" w:sz="4" w:space="0" w:color="auto"/>
              <w:bottom w:val="single" w:sz="4" w:space="0" w:color="000000"/>
            </w:tcBorders>
          </w:tcPr>
          <w:p w14:paraId="47BC1527" w14:textId="77777777" w:rsidR="007D1693" w:rsidRDefault="007D1693" w:rsidP="0030198F">
            <w:pPr>
              <w:pStyle w:val="NoSpacing"/>
              <w:jc w:val="center"/>
            </w:pPr>
            <w:r>
              <w:t>T</w:t>
            </w:r>
            <w:r>
              <w:rPr>
                <w:rFonts w:hint="eastAsia"/>
              </w:rPr>
              <w:t>he 1980s-1989</w:t>
            </w:r>
          </w:p>
          <w:p w14:paraId="1584545C" w14:textId="77777777" w:rsidR="007D1693" w:rsidRDefault="007D1693" w:rsidP="0030198F">
            <w:pPr>
              <w:pStyle w:val="NoSpacing"/>
              <w:jc w:val="center"/>
            </w:pPr>
          </w:p>
          <w:p w14:paraId="10A50313" w14:textId="77777777" w:rsidR="007D1693" w:rsidRPr="003A270E" w:rsidRDefault="007D1693" w:rsidP="0030198F">
            <w:pPr>
              <w:pStyle w:val="NoSpacing"/>
              <w:jc w:val="center"/>
              <w:rPr>
                <w:i/>
                <w:sz w:val="20"/>
                <w:szCs w:val="20"/>
              </w:rPr>
            </w:pPr>
            <w:r w:rsidRPr="003A270E">
              <w:rPr>
                <w:rFonts w:hint="eastAsia"/>
                <w:i/>
                <w:sz w:val="20"/>
                <w:szCs w:val="20"/>
              </w:rPr>
              <w:t>LDP governments</w:t>
            </w:r>
          </w:p>
          <w:p w14:paraId="2573A57A" w14:textId="77777777" w:rsidR="007D1693" w:rsidRPr="00E03281" w:rsidRDefault="007D1693" w:rsidP="0030198F">
            <w:pPr>
              <w:pStyle w:val="NoSpacing"/>
              <w:jc w:val="center"/>
            </w:pPr>
            <w:r w:rsidRPr="003A270E">
              <w:rPr>
                <w:rFonts w:hint="eastAsia"/>
                <w:i/>
                <w:sz w:val="20"/>
                <w:szCs w:val="20"/>
              </w:rPr>
              <w:t>Yamanaka Period</w:t>
            </w:r>
          </w:p>
        </w:tc>
        <w:tc>
          <w:tcPr>
            <w:tcW w:w="1842" w:type="dxa"/>
            <w:tcBorders>
              <w:bottom w:val="single" w:sz="4" w:space="0" w:color="000000"/>
            </w:tcBorders>
          </w:tcPr>
          <w:p w14:paraId="60A00E4A" w14:textId="77777777" w:rsidR="007D1693" w:rsidRDefault="007D1693" w:rsidP="0030198F">
            <w:pPr>
              <w:pStyle w:val="NoSpacing"/>
              <w:jc w:val="center"/>
            </w:pPr>
            <w:r>
              <w:t>T</w:t>
            </w:r>
            <w:r>
              <w:rPr>
                <w:rFonts w:hint="eastAsia"/>
              </w:rPr>
              <w:t>he 1990s-2004</w:t>
            </w:r>
          </w:p>
          <w:p w14:paraId="775105F8" w14:textId="77777777" w:rsidR="007D1693" w:rsidRDefault="007D1693" w:rsidP="0030198F">
            <w:pPr>
              <w:pStyle w:val="NoSpacing"/>
              <w:jc w:val="center"/>
            </w:pPr>
          </w:p>
          <w:p w14:paraId="7A5EFA2B" w14:textId="77777777" w:rsidR="007D1693" w:rsidRPr="003A270E" w:rsidRDefault="007D1693" w:rsidP="0030198F">
            <w:pPr>
              <w:pStyle w:val="NoSpacing"/>
              <w:jc w:val="center"/>
              <w:rPr>
                <w:i/>
                <w:sz w:val="20"/>
                <w:szCs w:val="20"/>
              </w:rPr>
            </w:pPr>
            <w:r w:rsidRPr="003A270E">
              <w:rPr>
                <w:rFonts w:hint="eastAsia"/>
                <w:i/>
                <w:sz w:val="20"/>
                <w:szCs w:val="20"/>
              </w:rPr>
              <w:t>LDP governments</w:t>
            </w:r>
          </w:p>
          <w:p w14:paraId="28B04639" w14:textId="77777777" w:rsidR="007D1693" w:rsidRDefault="007D1693" w:rsidP="0030198F">
            <w:pPr>
              <w:pStyle w:val="NoSpacing"/>
              <w:jc w:val="center"/>
            </w:pPr>
            <w:r w:rsidRPr="003A270E">
              <w:rPr>
                <w:rFonts w:hint="eastAsia"/>
                <w:i/>
                <w:sz w:val="20"/>
                <w:szCs w:val="20"/>
              </w:rPr>
              <w:t>Yamanaka Period</w:t>
            </w:r>
          </w:p>
        </w:tc>
        <w:tc>
          <w:tcPr>
            <w:tcW w:w="1843" w:type="dxa"/>
            <w:tcBorders>
              <w:bottom w:val="single" w:sz="4" w:space="0" w:color="000000"/>
            </w:tcBorders>
          </w:tcPr>
          <w:p w14:paraId="0D82C344" w14:textId="77777777" w:rsidR="007D1693" w:rsidRDefault="007D1693" w:rsidP="0030198F">
            <w:pPr>
              <w:pStyle w:val="NoSpacing"/>
              <w:jc w:val="center"/>
            </w:pPr>
            <w:r>
              <w:rPr>
                <w:rFonts w:hint="eastAsia"/>
              </w:rPr>
              <w:t>2004-2009</w:t>
            </w:r>
          </w:p>
          <w:p w14:paraId="6C89B0E9" w14:textId="77777777" w:rsidR="007D1693" w:rsidRDefault="007D1693" w:rsidP="0030198F">
            <w:pPr>
              <w:pStyle w:val="NoSpacing"/>
              <w:jc w:val="center"/>
            </w:pPr>
          </w:p>
          <w:p w14:paraId="7954D719" w14:textId="77777777" w:rsidR="007D1693" w:rsidRPr="003A270E" w:rsidRDefault="007D1693" w:rsidP="0030198F">
            <w:pPr>
              <w:pStyle w:val="NoSpacing"/>
              <w:jc w:val="center"/>
              <w:rPr>
                <w:i/>
                <w:sz w:val="20"/>
                <w:szCs w:val="20"/>
              </w:rPr>
            </w:pPr>
            <w:r w:rsidRPr="003A270E">
              <w:rPr>
                <w:rFonts w:hint="eastAsia"/>
                <w:i/>
                <w:sz w:val="20"/>
                <w:szCs w:val="20"/>
              </w:rPr>
              <w:t>LDP government</w:t>
            </w:r>
            <w:r>
              <w:rPr>
                <w:rFonts w:hint="eastAsia"/>
                <w:i/>
                <w:sz w:val="20"/>
                <w:szCs w:val="20"/>
              </w:rPr>
              <w:t>s</w:t>
            </w:r>
          </w:p>
        </w:tc>
        <w:tc>
          <w:tcPr>
            <w:tcW w:w="1665" w:type="dxa"/>
            <w:tcBorders>
              <w:bottom w:val="single" w:sz="4" w:space="0" w:color="000000"/>
            </w:tcBorders>
          </w:tcPr>
          <w:p w14:paraId="46CCCF0C" w14:textId="77777777" w:rsidR="007D1693" w:rsidRDefault="007D1693" w:rsidP="0030198F">
            <w:pPr>
              <w:pStyle w:val="NoSpacing"/>
              <w:jc w:val="center"/>
            </w:pPr>
            <w:r w:rsidRPr="00E03281">
              <w:t>200</w:t>
            </w:r>
            <w:r>
              <w:rPr>
                <w:rFonts w:hint="eastAsia"/>
              </w:rPr>
              <w:t>9</w:t>
            </w:r>
            <w:r w:rsidRPr="00E03281">
              <w:t>-</w:t>
            </w:r>
          </w:p>
          <w:p w14:paraId="3A2FC7AA" w14:textId="77777777" w:rsidR="007D1693" w:rsidRDefault="007D1693" w:rsidP="0030198F">
            <w:pPr>
              <w:pStyle w:val="NoSpacing"/>
              <w:jc w:val="center"/>
            </w:pPr>
          </w:p>
          <w:p w14:paraId="560BA976" w14:textId="77777777" w:rsidR="007D1693" w:rsidRPr="003A270E" w:rsidRDefault="007D1693" w:rsidP="0030198F">
            <w:pPr>
              <w:pStyle w:val="NoSpacing"/>
              <w:jc w:val="center"/>
              <w:rPr>
                <w:i/>
                <w:sz w:val="20"/>
                <w:szCs w:val="20"/>
              </w:rPr>
            </w:pPr>
            <w:r>
              <w:rPr>
                <w:rFonts w:hint="eastAsia"/>
                <w:i/>
                <w:sz w:val="20"/>
                <w:szCs w:val="20"/>
              </w:rPr>
              <w:t>DPJ</w:t>
            </w:r>
            <w:r w:rsidRPr="003A270E">
              <w:rPr>
                <w:rFonts w:hint="eastAsia"/>
                <w:i/>
                <w:sz w:val="20"/>
                <w:szCs w:val="20"/>
              </w:rPr>
              <w:t xml:space="preserve"> governments</w:t>
            </w:r>
          </w:p>
        </w:tc>
      </w:tr>
      <w:tr w:rsidR="007D1693" w:rsidRPr="00E03281" w14:paraId="503658CE" w14:textId="77777777" w:rsidTr="0030198F">
        <w:tc>
          <w:tcPr>
            <w:tcW w:w="2093" w:type="dxa"/>
            <w:tcBorders>
              <w:right w:val="double" w:sz="4" w:space="0" w:color="auto"/>
            </w:tcBorders>
          </w:tcPr>
          <w:p w14:paraId="40140226" w14:textId="77777777" w:rsidR="007D1693" w:rsidRPr="00E03281" w:rsidRDefault="007D1693" w:rsidP="0030198F">
            <w:pPr>
              <w:pStyle w:val="NoSpacing"/>
            </w:pPr>
            <w:r>
              <w:t>Cabinet</w:t>
            </w:r>
            <w:r w:rsidRPr="00E03281">
              <w:t xml:space="preserve"> Ministers and their staff</w:t>
            </w:r>
          </w:p>
        </w:tc>
        <w:tc>
          <w:tcPr>
            <w:tcW w:w="1843" w:type="dxa"/>
            <w:tcBorders>
              <w:left w:val="double" w:sz="4" w:space="0" w:color="auto"/>
            </w:tcBorders>
            <w:shd w:val="clear" w:color="auto" w:fill="auto"/>
          </w:tcPr>
          <w:p w14:paraId="5AA349FD" w14:textId="77777777" w:rsidR="007D1693" w:rsidRPr="00E03281" w:rsidRDefault="007D1693" w:rsidP="0030198F">
            <w:pPr>
              <w:pStyle w:val="NoSpacing"/>
            </w:pPr>
            <w:r>
              <w:rPr>
                <w:rFonts w:hint="eastAsia"/>
              </w:rPr>
              <w:t>Negligible</w:t>
            </w:r>
          </w:p>
        </w:tc>
        <w:tc>
          <w:tcPr>
            <w:tcW w:w="1842" w:type="dxa"/>
          </w:tcPr>
          <w:p w14:paraId="455A551D" w14:textId="77777777" w:rsidR="007D1693" w:rsidRDefault="007D1693" w:rsidP="0030198F">
            <w:pPr>
              <w:pStyle w:val="NoSpacing"/>
            </w:pPr>
            <w:r>
              <w:rPr>
                <w:rFonts w:hint="eastAsia"/>
              </w:rPr>
              <w:t>Negligible</w:t>
            </w:r>
          </w:p>
        </w:tc>
        <w:tc>
          <w:tcPr>
            <w:tcW w:w="1843" w:type="dxa"/>
            <w:shd w:val="clear" w:color="auto" w:fill="auto"/>
          </w:tcPr>
          <w:p w14:paraId="35800A16" w14:textId="77777777" w:rsidR="007D1693" w:rsidRPr="00E03281" w:rsidRDefault="007D1693" w:rsidP="0030198F">
            <w:pPr>
              <w:pStyle w:val="NoSpacing"/>
            </w:pPr>
            <w:r>
              <w:rPr>
                <w:rFonts w:hint="eastAsia"/>
              </w:rPr>
              <w:t>Negligible</w:t>
            </w:r>
          </w:p>
        </w:tc>
        <w:tc>
          <w:tcPr>
            <w:tcW w:w="1665" w:type="dxa"/>
            <w:shd w:val="clear" w:color="auto" w:fill="auto"/>
          </w:tcPr>
          <w:p w14:paraId="0C0FAB96" w14:textId="77777777" w:rsidR="007D1693" w:rsidRPr="00E03281" w:rsidRDefault="007D1693" w:rsidP="0030198F">
            <w:pPr>
              <w:pStyle w:val="NoSpacing"/>
            </w:pPr>
            <w:r w:rsidRPr="00E03281">
              <w:t>Enhanced</w:t>
            </w:r>
          </w:p>
        </w:tc>
      </w:tr>
      <w:tr w:rsidR="007D1693" w:rsidRPr="00E03281" w14:paraId="7F463440" w14:textId="77777777" w:rsidTr="0030198F">
        <w:tc>
          <w:tcPr>
            <w:tcW w:w="2093" w:type="dxa"/>
            <w:tcBorders>
              <w:right w:val="double" w:sz="4" w:space="0" w:color="auto"/>
            </w:tcBorders>
          </w:tcPr>
          <w:p w14:paraId="4FF9C355" w14:textId="77777777" w:rsidR="007D1693" w:rsidRPr="00E03281" w:rsidRDefault="007D1693" w:rsidP="0030198F">
            <w:pPr>
              <w:pStyle w:val="NoSpacing"/>
            </w:pPr>
            <w:r w:rsidRPr="00E03281">
              <w:t xml:space="preserve">Party politicians outside the </w:t>
            </w:r>
            <w:r>
              <w:t>Cabinet</w:t>
            </w:r>
            <w:r>
              <w:rPr>
                <w:rStyle w:val="FootnoteReference"/>
              </w:rPr>
              <w:footnoteReference w:id="80"/>
            </w:r>
          </w:p>
        </w:tc>
        <w:tc>
          <w:tcPr>
            <w:tcW w:w="1843" w:type="dxa"/>
            <w:tcBorders>
              <w:left w:val="double" w:sz="4" w:space="0" w:color="auto"/>
            </w:tcBorders>
            <w:shd w:val="clear" w:color="auto" w:fill="auto"/>
          </w:tcPr>
          <w:p w14:paraId="3BC76E51" w14:textId="77777777" w:rsidR="007D1693" w:rsidRDefault="007D1693" w:rsidP="0030198F">
            <w:pPr>
              <w:pStyle w:val="NoSpacing"/>
            </w:pPr>
            <w:r>
              <w:rPr>
                <w:rFonts w:hint="eastAsia"/>
              </w:rPr>
              <w:t>Dominant</w:t>
            </w:r>
          </w:p>
          <w:p w14:paraId="6CDFFC7B" w14:textId="77777777" w:rsidR="007D1693" w:rsidRPr="00E03281" w:rsidRDefault="007D1693" w:rsidP="0030198F">
            <w:pPr>
              <w:pStyle w:val="NoSpacing"/>
            </w:pPr>
          </w:p>
        </w:tc>
        <w:tc>
          <w:tcPr>
            <w:tcW w:w="1842" w:type="dxa"/>
          </w:tcPr>
          <w:p w14:paraId="67E5D977" w14:textId="77777777" w:rsidR="007D1693" w:rsidRDefault="007D1693" w:rsidP="0030198F">
            <w:pPr>
              <w:pStyle w:val="NoSpacing"/>
            </w:pPr>
            <w:r>
              <w:rPr>
                <w:rFonts w:hint="eastAsia"/>
              </w:rPr>
              <w:t>Dominant</w:t>
            </w:r>
          </w:p>
        </w:tc>
        <w:tc>
          <w:tcPr>
            <w:tcW w:w="1843" w:type="dxa"/>
            <w:shd w:val="clear" w:color="auto" w:fill="auto"/>
          </w:tcPr>
          <w:p w14:paraId="77D4A1E3" w14:textId="77777777" w:rsidR="007D1693" w:rsidRDefault="007D1693" w:rsidP="0030198F">
            <w:pPr>
              <w:pStyle w:val="NoSpacing"/>
            </w:pPr>
            <w:r>
              <w:rPr>
                <w:rFonts w:hint="eastAsia"/>
              </w:rPr>
              <w:t xml:space="preserve">Dominant </w:t>
            </w:r>
          </w:p>
          <w:p w14:paraId="335384BE" w14:textId="77777777" w:rsidR="007D1693" w:rsidRPr="00E03281" w:rsidRDefault="007D1693" w:rsidP="0030198F">
            <w:pPr>
              <w:pStyle w:val="NoSpacing"/>
            </w:pPr>
            <w:r>
              <w:rPr>
                <w:rFonts w:hint="eastAsia"/>
              </w:rPr>
              <w:t>(bec</w:t>
            </w:r>
            <w:r>
              <w:t>a</w:t>
            </w:r>
            <w:r>
              <w:rPr>
                <w:rFonts w:hint="eastAsia"/>
              </w:rPr>
              <w:t>me unstable)</w:t>
            </w:r>
          </w:p>
        </w:tc>
        <w:tc>
          <w:tcPr>
            <w:tcW w:w="1665" w:type="dxa"/>
            <w:shd w:val="clear" w:color="auto" w:fill="auto"/>
          </w:tcPr>
          <w:p w14:paraId="2618297E" w14:textId="77777777" w:rsidR="007D1693" w:rsidRDefault="007D1693" w:rsidP="0030198F">
            <w:pPr>
              <w:pStyle w:val="NoSpacing"/>
            </w:pPr>
            <w:r>
              <w:rPr>
                <w:rFonts w:hint="eastAsia"/>
              </w:rPr>
              <w:t>Significantly</w:t>
            </w:r>
          </w:p>
          <w:p w14:paraId="07FC90A8" w14:textId="77777777" w:rsidR="007D1693" w:rsidRPr="00E03281" w:rsidRDefault="007D1693" w:rsidP="0030198F">
            <w:pPr>
              <w:pStyle w:val="NoSpacing"/>
            </w:pPr>
            <w:r>
              <w:rPr>
                <w:rFonts w:hint="eastAsia"/>
              </w:rPr>
              <w:t>decline</w:t>
            </w:r>
            <w:r w:rsidR="005D6D46">
              <w:t>d</w:t>
            </w:r>
          </w:p>
        </w:tc>
      </w:tr>
      <w:tr w:rsidR="007D1693" w:rsidRPr="00E03281" w14:paraId="0F73D83A" w14:textId="77777777" w:rsidTr="0030198F">
        <w:tc>
          <w:tcPr>
            <w:tcW w:w="2093" w:type="dxa"/>
            <w:tcBorders>
              <w:right w:val="double" w:sz="4" w:space="0" w:color="auto"/>
            </w:tcBorders>
          </w:tcPr>
          <w:p w14:paraId="434F766F" w14:textId="77777777" w:rsidR="007D1693" w:rsidRDefault="007D1693" w:rsidP="0030198F">
            <w:pPr>
              <w:pStyle w:val="NoSpacing"/>
            </w:pPr>
            <w:r w:rsidRPr="00E03281">
              <w:t xml:space="preserve">The </w:t>
            </w:r>
            <w:r>
              <w:rPr>
                <w:rFonts w:hint="eastAsia"/>
              </w:rPr>
              <w:t>JFTC</w:t>
            </w:r>
          </w:p>
          <w:p w14:paraId="5A7F4B7A" w14:textId="77777777" w:rsidR="007D1693" w:rsidRPr="00E03281" w:rsidRDefault="007D1693" w:rsidP="0030198F">
            <w:pPr>
              <w:pStyle w:val="NoSpacing"/>
            </w:pPr>
          </w:p>
        </w:tc>
        <w:tc>
          <w:tcPr>
            <w:tcW w:w="1843" w:type="dxa"/>
            <w:tcBorders>
              <w:left w:val="double" w:sz="4" w:space="0" w:color="auto"/>
            </w:tcBorders>
            <w:shd w:val="clear" w:color="auto" w:fill="auto"/>
          </w:tcPr>
          <w:p w14:paraId="607F6847" w14:textId="77777777" w:rsidR="007D1693" w:rsidRDefault="007D1693" w:rsidP="0030198F">
            <w:pPr>
              <w:pStyle w:val="NoSpacing"/>
            </w:pPr>
            <w:r>
              <w:rPr>
                <w:rFonts w:hint="eastAsia"/>
              </w:rPr>
              <w:t>Weak</w:t>
            </w:r>
          </w:p>
          <w:p w14:paraId="12D04749" w14:textId="77777777" w:rsidR="007D1693" w:rsidRPr="00E03281" w:rsidRDefault="007D1693" w:rsidP="0030198F">
            <w:pPr>
              <w:pStyle w:val="NoSpacing"/>
            </w:pPr>
            <w:r>
              <w:rPr>
                <w:rFonts w:hint="eastAsia"/>
              </w:rPr>
              <w:t>Stagnated</w:t>
            </w:r>
          </w:p>
        </w:tc>
        <w:tc>
          <w:tcPr>
            <w:tcW w:w="1842" w:type="dxa"/>
          </w:tcPr>
          <w:p w14:paraId="5B4B66AD" w14:textId="77777777" w:rsidR="007D1693" w:rsidRPr="00E03281" w:rsidRDefault="007D1693" w:rsidP="0030198F">
            <w:pPr>
              <w:pStyle w:val="NoSpacing"/>
            </w:pPr>
            <w:r>
              <w:rPr>
                <w:rFonts w:hint="eastAsia"/>
              </w:rPr>
              <w:t>Enhanced</w:t>
            </w:r>
          </w:p>
        </w:tc>
        <w:tc>
          <w:tcPr>
            <w:tcW w:w="1843" w:type="dxa"/>
            <w:shd w:val="clear" w:color="auto" w:fill="auto"/>
          </w:tcPr>
          <w:p w14:paraId="76AEECA9" w14:textId="77777777" w:rsidR="007D1693" w:rsidRPr="00E03281" w:rsidRDefault="007D1693" w:rsidP="0030198F">
            <w:pPr>
              <w:pStyle w:val="NoSpacing"/>
            </w:pPr>
            <w:r w:rsidRPr="00E03281">
              <w:t>Enhanced</w:t>
            </w:r>
          </w:p>
        </w:tc>
        <w:tc>
          <w:tcPr>
            <w:tcW w:w="1665" w:type="dxa"/>
            <w:shd w:val="clear" w:color="auto" w:fill="auto"/>
          </w:tcPr>
          <w:p w14:paraId="2FBA0C3A" w14:textId="77777777" w:rsidR="007D1693" w:rsidRPr="00E03281" w:rsidRDefault="007D1693" w:rsidP="0030198F">
            <w:pPr>
              <w:pStyle w:val="NoSpacing"/>
            </w:pPr>
            <w:r>
              <w:rPr>
                <w:rFonts w:hint="eastAsia"/>
              </w:rPr>
              <w:t>Enhanced</w:t>
            </w:r>
          </w:p>
        </w:tc>
      </w:tr>
    </w:tbl>
    <w:p w14:paraId="6A3AE3A9" w14:textId="77777777" w:rsidR="007D1693" w:rsidRDefault="007D1693" w:rsidP="007D1693"/>
    <w:p w14:paraId="703CCC3E" w14:textId="77777777" w:rsidR="007D1693" w:rsidRDefault="007D1693" w:rsidP="00F32745">
      <w:pPr>
        <w:ind w:firstLine="284"/>
      </w:pPr>
      <w:r>
        <w:t xml:space="preserve">Unlike the case </w:t>
      </w:r>
      <w:r>
        <w:rPr>
          <w:rFonts w:hint="eastAsia"/>
        </w:rPr>
        <w:t>of the ICT sector</w:t>
      </w:r>
      <w:r w:rsidR="002216DD">
        <w:t>,</w:t>
      </w:r>
      <w:r>
        <w:rPr>
          <w:rFonts w:hint="eastAsia"/>
        </w:rPr>
        <w:t xml:space="preserve"> the </w:t>
      </w:r>
      <w:r>
        <w:t>antimonopoly</w:t>
      </w:r>
      <w:r>
        <w:rPr>
          <w:rFonts w:hint="eastAsia"/>
        </w:rPr>
        <w:t xml:space="preserve"> field ha</w:t>
      </w:r>
      <w:r>
        <w:t>s</w:t>
      </w:r>
      <w:r>
        <w:rPr>
          <w:rFonts w:hint="eastAsia"/>
        </w:rPr>
        <w:t xml:space="preserve"> not seen the emergence of a new actor. Instead</w:t>
      </w:r>
      <w:r w:rsidR="00752548">
        <w:t>,</w:t>
      </w:r>
      <w:r>
        <w:rPr>
          <w:rFonts w:hint="eastAsia"/>
        </w:rPr>
        <w:t xml:space="preserve"> </w:t>
      </w:r>
      <w:r w:rsidR="005D6D46">
        <w:t>a</w:t>
      </w:r>
      <w:r>
        <w:rPr>
          <w:rFonts w:hint="eastAsia"/>
        </w:rPr>
        <w:t xml:space="preserve"> traditional </w:t>
      </w:r>
      <w:r w:rsidR="005D6D46">
        <w:t>core executive</w:t>
      </w:r>
      <w:r>
        <w:rPr>
          <w:rFonts w:hint="eastAsia"/>
        </w:rPr>
        <w:t xml:space="preserve"> actor (JFTC) gradually enhanced</w:t>
      </w:r>
      <w:r>
        <w:t xml:space="preserve"> its organisation and policy tools</w:t>
      </w:r>
      <w:r>
        <w:rPr>
          <w:rFonts w:hint="eastAsia"/>
        </w:rPr>
        <w:t xml:space="preserve"> within the community of the core executive actors. Elsewhere, government change and the emergence of Cabinet Ministers </w:t>
      </w:r>
      <w:r w:rsidR="00D40F07">
        <w:t xml:space="preserve">have </w:t>
      </w:r>
      <w:r>
        <w:rPr>
          <w:rFonts w:hint="eastAsia"/>
        </w:rPr>
        <w:t>provoke</w:t>
      </w:r>
      <w:r w:rsidR="00D40F07">
        <w:t>d</w:t>
      </w:r>
      <w:r>
        <w:rPr>
          <w:rFonts w:hint="eastAsia"/>
        </w:rPr>
        <w:t xml:space="preserve"> a challenge to the independence of the JFTC. The independent </w:t>
      </w:r>
      <w:r>
        <w:t>authority of the JFTC fends</w:t>
      </w:r>
      <w:r>
        <w:rPr>
          <w:rFonts w:hint="eastAsia"/>
        </w:rPr>
        <w:t xml:space="preserve"> off the intervention of politics concerning policy implementation</w:t>
      </w:r>
      <w:r w:rsidR="002269DB">
        <w:t xml:space="preserve">, the major elements of which are </w:t>
      </w:r>
      <w:r w:rsidR="00942331">
        <w:t>law enforcement issues (</w:t>
      </w:r>
      <w:r w:rsidR="002269DB">
        <w:t>AMA breaches investigation and following administrative proceedings on the breaches</w:t>
      </w:r>
      <w:r w:rsidR="00942331">
        <w:t>)</w:t>
      </w:r>
      <w:r>
        <w:rPr>
          <w:rFonts w:hint="eastAsia"/>
        </w:rPr>
        <w:t xml:space="preserve">. </w:t>
      </w:r>
      <w:r>
        <w:t>T</w:t>
      </w:r>
      <w:r>
        <w:rPr>
          <w:rFonts w:hint="eastAsia"/>
        </w:rPr>
        <w:t xml:space="preserve">he JFTC Chairman selected by the Cabinet can be regarded as an agent assigned its tasks by the Cabinet as a principal. Under </w:t>
      </w:r>
      <w:r w:rsidR="00752548">
        <w:t xml:space="preserve">an </w:t>
      </w:r>
      <w:r>
        <w:rPr>
          <w:rFonts w:hint="eastAsia"/>
        </w:rPr>
        <w:t xml:space="preserve">LDP government this caused </w:t>
      </w:r>
      <w:r w:rsidR="002216DD">
        <w:t>few</w:t>
      </w:r>
      <w:r>
        <w:rPr>
          <w:rFonts w:hint="eastAsia"/>
        </w:rPr>
        <w:t xml:space="preserve"> problem</w:t>
      </w:r>
      <w:r w:rsidR="002216DD">
        <w:t>s</w:t>
      </w:r>
      <w:r>
        <w:rPr>
          <w:rFonts w:hint="eastAsia"/>
        </w:rPr>
        <w:t xml:space="preserve"> because the Chairmen were selected by the LDP</w:t>
      </w:r>
      <w:r w:rsidR="004C2C75">
        <w:t>’s</w:t>
      </w:r>
      <w:r>
        <w:rPr>
          <w:rFonts w:hint="eastAsia"/>
        </w:rPr>
        <w:t xml:space="preserve"> Cabinets. </w:t>
      </w:r>
      <w:r w:rsidR="004C2C75">
        <w:t>G</w:t>
      </w:r>
      <w:r>
        <w:rPr>
          <w:rFonts w:hint="eastAsia"/>
        </w:rPr>
        <w:t>overnment change in 2009 dismantled this precondition and transformed the JFTC</w:t>
      </w:r>
      <w:r>
        <w:t>’</w:t>
      </w:r>
      <w:r>
        <w:rPr>
          <w:rFonts w:hint="eastAsia"/>
        </w:rPr>
        <w:t>s independence of authority to a challenge to democratic accountability.</w:t>
      </w:r>
    </w:p>
    <w:p w14:paraId="67745E68" w14:textId="0BBA90A1" w:rsidR="007D1693" w:rsidRDefault="007D1693" w:rsidP="00E47002">
      <w:pPr>
        <w:ind w:firstLine="284"/>
      </w:pPr>
      <w:r>
        <w:rPr>
          <w:rFonts w:hint="eastAsia"/>
        </w:rPr>
        <w:t>What can be observed in the case of antimonopoly regulation in Japan is a version of the fluid change of power within the core executive. The dominance of party politicians is distinctive. Under the LDP</w:t>
      </w:r>
      <w:r w:rsidR="002216DD">
        <w:t>,</w:t>
      </w:r>
      <w:r>
        <w:rPr>
          <w:rFonts w:hint="eastAsia"/>
        </w:rPr>
        <w:t xml:space="preserve"> </w:t>
      </w:r>
      <w:r w:rsidR="00752548">
        <w:t xml:space="preserve">the </w:t>
      </w:r>
      <w:r>
        <w:rPr>
          <w:rFonts w:hint="eastAsia"/>
        </w:rPr>
        <w:t>government</w:t>
      </w:r>
      <w:r w:rsidR="00773AA3">
        <w:t>’s</w:t>
      </w:r>
      <w:r>
        <w:rPr>
          <w:rFonts w:hint="eastAsia"/>
        </w:rPr>
        <w:t xml:space="preserve"> key decision makers such as Yamanaka demonstrated their dominant power in the policy making process. This framework </w:t>
      </w:r>
      <w:r w:rsidR="00752548">
        <w:t>was</w:t>
      </w:r>
      <w:r>
        <w:rPr>
          <w:rFonts w:hint="eastAsia"/>
        </w:rPr>
        <w:t xml:space="preserve"> retained after Yamanaka</w:t>
      </w:r>
      <w:r>
        <w:t>’</w:t>
      </w:r>
      <w:r>
        <w:rPr>
          <w:rFonts w:hint="eastAsia"/>
        </w:rPr>
        <w:t>s departure in 2004. T</w:t>
      </w:r>
      <w:r>
        <w:t>h</w:t>
      </w:r>
      <w:r>
        <w:rPr>
          <w:rFonts w:hint="eastAsia"/>
        </w:rPr>
        <w:t>e DPJ established</w:t>
      </w:r>
      <w:r w:rsidR="002216DD">
        <w:t xml:space="preserve"> a</w:t>
      </w:r>
      <w:r>
        <w:rPr>
          <w:rFonts w:hint="eastAsia"/>
        </w:rPr>
        <w:t xml:space="preserve"> new framework of governing after </w:t>
      </w:r>
      <w:r w:rsidR="00752548">
        <w:t xml:space="preserve">the </w:t>
      </w:r>
      <w:r>
        <w:rPr>
          <w:rFonts w:hint="eastAsia"/>
        </w:rPr>
        <w:t>2009 government change by designating responsible Cabinet Ministers and their team (</w:t>
      </w:r>
      <w:r w:rsidR="00083ACC">
        <w:rPr>
          <w:rFonts w:hint="eastAsia"/>
          <w:i/>
        </w:rPr>
        <w:t>Seimu Sanyaku</w:t>
      </w:r>
      <w:r>
        <w:rPr>
          <w:rFonts w:hint="eastAsia"/>
        </w:rPr>
        <w:t>). T</w:t>
      </w:r>
      <w:r>
        <w:t>h</w:t>
      </w:r>
      <w:r>
        <w:rPr>
          <w:rFonts w:hint="eastAsia"/>
        </w:rPr>
        <w:t xml:space="preserve">e change of the dominant actor </w:t>
      </w:r>
      <w:r>
        <w:t>occurred</w:t>
      </w:r>
      <w:r>
        <w:rPr>
          <w:rFonts w:hint="eastAsia"/>
        </w:rPr>
        <w:t xml:space="preserve"> within the group of party politicians. T</w:t>
      </w:r>
      <w:r>
        <w:t>h</w:t>
      </w:r>
      <w:r>
        <w:rPr>
          <w:rFonts w:hint="eastAsia"/>
        </w:rPr>
        <w:t xml:space="preserve">e continuous </w:t>
      </w:r>
      <w:r>
        <w:t>characteristic</w:t>
      </w:r>
      <w:r>
        <w:rPr>
          <w:rFonts w:hint="eastAsia"/>
        </w:rPr>
        <w:t xml:space="preserve"> of this set of frameworks is the dominant nature of party politicians as the key decision maker. T</w:t>
      </w:r>
      <w:r>
        <w:t>h</w:t>
      </w:r>
      <w:r>
        <w:rPr>
          <w:rFonts w:hint="eastAsia"/>
        </w:rPr>
        <w:t xml:space="preserve">e power and role of the JFTC </w:t>
      </w:r>
      <w:r w:rsidR="00286683">
        <w:t xml:space="preserve">in </w:t>
      </w:r>
      <w:r w:rsidR="00501E48">
        <w:t xml:space="preserve">antimonopoly regulation </w:t>
      </w:r>
      <w:r w:rsidR="00286683">
        <w:t xml:space="preserve">policy making processes </w:t>
      </w:r>
      <w:r>
        <w:rPr>
          <w:rFonts w:hint="eastAsia"/>
        </w:rPr>
        <w:t xml:space="preserve">is subject to the dominance of party politicians. The nature of </w:t>
      </w:r>
      <w:r w:rsidR="007B6C09">
        <w:t xml:space="preserve">the </w:t>
      </w:r>
      <w:r>
        <w:rPr>
          <w:rFonts w:hint="eastAsia"/>
        </w:rPr>
        <w:t>JFTC</w:t>
      </w:r>
      <w:r>
        <w:t>’</w:t>
      </w:r>
      <w:r>
        <w:rPr>
          <w:rFonts w:hint="eastAsia"/>
        </w:rPr>
        <w:t>s power has been policy implementation and a limited range of policy steering within the LDP</w:t>
      </w:r>
      <w:r>
        <w:t>’</w:t>
      </w:r>
      <w:r>
        <w:rPr>
          <w:rFonts w:hint="eastAsia"/>
        </w:rPr>
        <w:t xml:space="preserve">s decisions. In contrast to the change </w:t>
      </w:r>
      <w:r w:rsidR="00752548">
        <w:t xml:space="preserve">that had </w:t>
      </w:r>
      <w:r>
        <w:rPr>
          <w:rFonts w:hint="eastAsia"/>
        </w:rPr>
        <w:t xml:space="preserve">taken place within the group of party politicians, no significant change can be observed in the relative strength of the JFTC </w:t>
      </w:r>
      <w:r>
        <w:t>vis-à-vis</w:t>
      </w:r>
      <w:r>
        <w:rPr>
          <w:rFonts w:hint="eastAsia"/>
        </w:rPr>
        <w:t xml:space="preserve"> party politicians. Its bureaucratic management and independent implementation of the AMA </w:t>
      </w:r>
      <w:r w:rsidR="00E47002">
        <w:t xml:space="preserve">have </w:t>
      </w:r>
      <w:r>
        <w:rPr>
          <w:rFonts w:hint="eastAsia"/>
        </w:rPr>
        <w:t>shape</w:t>
      </w:r>
      <w:r w:rsidR="00E47002">
        <w:t>d</w:t>
      </w:r>
      <w:r>
        <w:rPr>
          <w:rFonts w:hint="eastAsia"/>
        </w:rPr>
        <w:t xml:space="preserve"> the detail of antimonopoly regulation under the supervision and dominance of party politicians. Party politicians have had access to not only the JFTC but also its adversaries such as the MITI and </w:t>
      </w:r>
      <w:r w:rsidRPr="00E3243B">
        <w:rPr>
          <w:rFonts w:hint="eastAsia"/>
          <w:i/>
        </w:rPr>
        <w:t>Keidanren</w:t>
      </w:r>
      <w:r>
        <w:rPr>
          <w:rFonts w:hint="eastAsia"/>
        </w:rPr>
        <w:t>. F</w:t>
      </w:r>
      <w:r>
        <w:t>o</w:t>
      </w:r>
      <w:r>
        <w:rPr>
          <w:rFonts w:hint="eastAsia"/>
        </w:rPr>
        <w:t xml:space="preserve">r the actors such as the MITI and </w:t>
      </w:r>
      <w:r w:rsidRPr="00197880">
        <w:rPr>
          <w:rFonts w:hint="eastAsia"/>
          <w:i/>
        </w:rPr>
        <w:t>Keidanren</w:t>
      </w:r>
      <w:r>
        <w:rPr>
          <w:rFonts w:hint="eastAsia"/>
        </w:rPr>
        <w:t xml:space="preserve">, one of </w:t>
      </w:r>
      <w:r w:rsidR="00055B37">
        <w:t xml:space="preserve">the </w:t>
      </w:r>
      <w:r>
        <w:rPr>
          <w:rFonts w:hint="eastAsia"/>
        </w:rPr>
        <w:t>major ways of opposing the JFTC was lobbying party politicians. Key party politicians such as Yamanaka have been in a position to make decision</w:t>
      </w:r>
      <w:r w:rsidR="00055B37">
        <w:t>s</w:t>
      </w:r>
      <w:r>
        <w:rPr>
          <w:rFonts w:hint="eastAsia"/>
        </w:rPr>
        <w:t xml:space="preserve"> taking account of the views of the related actors such as the JFTC, the MITI, and </w:t>
      </w:r>
      <w:r w:rsidRPr="00197880">
        <w:rPr>
          <w:rFonts w:hint="eastAsia"/>
          <w:i/>
        </w:rPr>
        <w:t>Keidanren</w:t>
      </w:r>
      <w:r>
        <w:rPr>
          <w:rFonts w:hint="eastAsia"/>
        </w:rPr>
        <w:t xml:space="preserve">. This system reveals a similarity to the British core executive analysed by Smith (1999 p.251). </w:t>
      </w:r>
      <w:r>
        <w:t>Party politicians’</w:t>
      </w:r>
      <w:r>
        <w:rPr>
          <w:rFonts w:hint="eastAsia"/>
        </w:rPr>
        <w:t xml:space="preserve"> role as the key decision maker renders them to be the centre of the policy community on antimonopoly regulation. It is party politicians such as Yamanaka who decide which direction and views the government </w:t>
      </w:r>
      <w:r w:rsidR="00196688">
        <w:t>wil</w:t>
      </w:r>
      <w:r>
        <w:rPr>
          <w:rFonts w:hint="eastAsia"/>
        </w:rPr>
        <w:t xml:space="preserve">l employ. </w:t>
      </w:r>
      <w:r w:rsidR="00083ACC">
        <w:rPr>
          <w:i/>
          <w:iCs/>
        </w:rPr>
        <w:t>Seimu Sanyaku</w:t>
      </w:r>
      <w:r w:rsidR="00190C97">
        <w:t xml:space="preserve"> in </w:t>
      </w:r>
      <w:r w:rsidR="00055B37">
        <w:t xml:space="preserve">the </w:t>
      </w:r>
      <w:r w:rsidR="00190C97">
        <w:t>DPJ government played a similar role to Yamanaka because it made key decisions on antimonopoly regulation such as formulating bills. T</w:t>
      </w:r>
      <w:r w:rsidR="0098200B">
        <w:t xml:space="preserve">he group of party politicians including Liberal Democrats and Democrats has decided key policy issues such as </w:t>
      </w:r>
      <w:r w:rsidR="00190C97">
        <w:t>the final contents of bills. Other actors including civil servants have lobbied party politicians to realise their goals. This implies that t</w:t>
      </w:r>
      <w:r w:rsidR="00190C97">
        <w:rPr>
          <w:rFonts w:hint="eastAsia"/>
        </w:rPr>
        <w:t xml:space="preserve">he relationship between the group of party politicians and other actors </w:t>
      </w:r>
      <w:r w:rsidR="00190C97">
        <w:t>has been</w:t>
      </w:r>
      <w:r w:rsidR="00190C97">
        <w:rPr>
          <w:rFonts w:hint="eastAsia"/>
        </w:rPr>
        <w:t xml:space="preserve"> asymmetric; </w:t>
      </w:r>
      <w:r>
        <w:rPr>
          <w:rFonts w:hint="eastAsia"/>
        </w:rPr>
        <w:t xml:space="preserve">the former has </w:t>
      </w:r>
      <w:r w:rsidR="00395F7D">
        <w:t xml:space="preserve">had </w:t>
      </w:r>
      <w:r>
        <w:rPr>
          <w:rFonts w:hint="eastAsia"/>
        </w:rPr>
        <w:t>the discretion to make final decisions.</w:t>
      </w:r>
    </w:p>
    <w:p w14:paraId="7656AD98" w14:textId="77777777" w:rsidR="007D1693" w:rsidRDefault="00FD192A" w:rsidP="00FE648C">
      <w:pPr>
        <w:ind w:firstLine="284"/>
      </w:pPr>
      <w:r>
        <w:rPr>
          <w:rFonts w:eastAsia="MS Mincho" w:hint="eastAsia"/>
          <w:lang w:eastAsia="ja-JP"/>
        </w:rPr>
        <w:t>A</w:t>
      </w:r>
      <w:r w:rsidR="007D1693">
        <w:rPr>
          <w:rFonts w:hint="eastAsia"/>
        </w:rPr>
        <w:t xml:space="preserve"> key characteristic of the core executive in Japan</w:t>
      </w:r>
      <w:r w:rsidR="007D1693">
        <w:t>’</w:t>
      </w:r>
      <w:r w:rsidR="007D1693">
        <w:rPr>
          <w:rFonts w:hint="eastAsia"/>
        </w:rPr>
        <w:t xml:space="preserve">s antimonopoly regulation can be understood as its asymmetric dominance mobilised by ruling party politicians. The strategic management in antimonopoly regulation by officials has been limited; the major decisions shaping the regulatory framework have been decided by the key party </w:t>
      </w:r>
      <w:r w:rsidR="007D1693">
        <w:t>politicians</w:t>
      </w:r>
      <w:r w:rsidR="007D1693">
        <w:rPr>
          <w:rFonts w:hint="eastAsia"/>
        </w:rPr>
        <w:t xml:space="preserve">. </w:t>
      </w:r>
      <w:r w:rsidR="007D1693" w:rsidRPr="00CB0169">
        <w:rPr>
          <w:rFonts w:hint="eastAsia"/>
        </w:rPr>
        <w:t xml:space="preserve">The power of the JFTC stemmed from its institutional authority as an </w:t>
      </w:r>
      <w:r w:rsidR="00FE648C">
        <w:t xml:space="preserve">independent </w:t>
      </w:r>
      <w:r w:rsidR="007D1693" w:rsidRPr="00CB0169">
        <w:rPr>
          <w:rFonts w:hint="eastAsia"/>
        </w:rPr>
        <w:t>antimonopoly regulator.</w:t>
      </w:r>
      <w:r w:rsidR="007D1693">
        <w:rPr>
          <w:rFonts w:hint="eastAsia"/>
        </w:rPr>
        <w:t xml:space="preserve"> Their power in legislation was not dominant and its scope was within the decisions made by the LDP; it had no capacity to counter the LDP</w:t>
      </w:r>
      <w:r w:rsidR="007D1693">
        <w:t>’</w:t>
      </w:r>
      <w:r w:rsidR="007D1693">
        <w:rPr>
          <w:rFonts w:hint="eastAsia"/>
        </w:rPr>
        <w:t xml:space="preserve">s decisions. What it did was </w:t>
      </w:r>
      <w:r w:rsidR="00627491">
        <w:t xml:space="preserve">to </w:t>
      </w:r>
      <w:r w:rsidR="002216DD">
        <w:t>manoeuvre</w:t>
      </w:r>
      <w:r w:rsidR="002216DD">
        <w:rPr>
          <w:rFonts w:hint="eastAsia"/>
        </w:rPr>
        <w:t xml:space="preserve"> </w:t>
      </w:r>
      <w:r w:rsidR="007D1693">
        <w:rPr>
          <w:rFonts w:hint="eastAsia"/>
        </w:rPr>
        <w:t xml:space="preserve">the </w:t>
      </w:r>
      <w:r w:rsidR="002216DD">
        <w:rPr>
          <w:rFonts w:hint="eastAsia"/>
        </w:rPr>
        <w:t>legislati</w:t>
      </w:r>
      <w:r w:rsidR="002216DD">
        <w:t>ve</w:t>
      </w:r>
      <w:r w:rsidR="002216DD">
        <w:rPr>
          <w:rFonts w:hint="eastAsia"/>
        </w:rPr>
        <w:t xml:space="preserve"> </w:t>
      </w:r>
      <w:r w:rsidR="007D1693">
        <w:rPr>
          <w:rFonts w:hint="eastAsia"/>
        </w:rPr>
        <w:t>process as well as monopolis</w:t>
      </w:r>
      <w:r w:rsidR="00055B37">
        <w:t>e</w:t>
      </w:r>
      <w:r w:rsidR="007D1693">
        <w:rPr>
          <w:rFonts w:hint="eastAsia"/>
        </w:rPr>
        <w:t xml:space="preserve"> the implementation. </w:t>
      </w:r>
    </w:p>
    <w:p w14:paraId="764E9D0C" w14:textId="77777777" w:rsidR="007D1693" w:rsidRDefault="007D1693" w:rsidP="007D1693">
      <w:pPr>
        <w:ind w:firstLine="284"/>
      </w:pPr>
      <w:r>
        <w:rPr>
          <w:rFonts w:hint="eastAsia"/>
        </w:rPr>
        <w:t>H</w:t>
      </w:r>
      <w:r>
        <w:t>e</w:t>
      </w:r>
      <w:r>
        <w:rPr>
          <w:rFonts w:hint="eastAsia"/>
        </w:rPr>
        <w:t>re t</w:t>
      </w:r>
      <w:r>
        <w:t>h</w:t>
      </w:r>
      <w:r>
        <w:rPr>
          <w:rFonts w:hint="eastAsia"/>
        </w:rPr>
        <w:t>e nature of the JFTC</w:t>
      </w:r>
      <w:r>
        <w:t>’</w:t>
      </w:r>
      <w:r>
        <w:rPr>
          <w:rFonts w:hint="eastAsia"/>
        </w:rPr>
        <w:t xml:space="preserve">s independence becomes a topic of scrutiny. How the JFTC has retained its independent status as a rare independent regulator in Japan is key for exploring its transformation. </w:t>
      </w:r>
      <w:r>
        <w:t>T</w:t>
      </w:r>
      <w:r>
        <w:rPr>
          <w:rFonts w:hint="eastAsia"/>
        </w:rPr>
        <w:t>he next section examines the independent status of the JFTC and its impact on antimonopoly policies.</w:t>
      </w:r>
    </w:p>
    <w:p w14:paraId="40EBC6E0" w14:textId="77777777" w:rsidR="007D1693" w:rsidRDefault="007D1693" w:rsidP="007D1693"/>
    <w:p w14:paraId="30396069" w14:textId="77777777" w:rsidR="007D1693" w:rsidRPr="00BA0CD7" w:rsidRDefault="007D1693" w:rsidP="007D1693"/>
    <w:p w14:paraId="2434583D" w14:textId="77777777" w:rsidR="007D1693" w:rsidRPr="00955801" w:rsidRDefault="007D1693" w:rsidP="00050D4B">
      <w:pPr>
        <w:pStyle w:val="Heading2"/>
      </w:pPr>
      <w:bookmarkStart w:id="59" w:name="_Toc349741381"/>
      <w:r w:rsidRPr="00955801">
        <w:t>6.4</w:t>
      </w:r>
      <w:r w:rsidRPr="00955801">
        <w:tab/>
        <w:t xml:space="preserve">The </w:t>
      </w:r>
      <w:r w:rsidRPr="00955801">
        <w:rPr>
          <w:rFonts w:hint="eastAsia"/>
        </w:rPr>
        <w:t>e</w:t>
      </w:r>
      <w:r w:rsidRPr="00955801">
        <w:t xml:space="preserve">mbeddedness of the </w:t>
      </w:r>
      <w:r w:rsidRPr="00955801">
        <w:rPr>
          <w:rFonts w:hint="eastAsia"/>
        </w:rPr>
        <w:t>i</w:t>
      </w:r>
      <w:r w:rsidRPr="00955801">
        <w:t xml:space="preserve">ndependent </w:t>
      </w:r>
      <w:r w:rsidRPr="00955801">
        <w:rPr>
          <w:rFonts w:hint="eastAsia"/>
        </w:rPr>
        <w:t>a</w:t>
      </w:r>
      <w:r w:rsidRPr="00955801">
        <w:t xml:space="preserve">ntimonopoly </w:t>
      </w:r>
      <w:r w:rsidRPr="00955801">
        <w:rPr>
          <w:rFonts w:hint="eastAsia"/>
        </w:rPr>
        <w:t>r</w:t>
      </w:r>
      <w:r w:rsidRPr="00955801">
        <w:t>egulator</w:t>
      </w:r>
      <w:bookmarkEnd w:id="59"/>
    </w:p>
    <w:p w14:paraId="0729E991" w14:textId="77777777" w:rsidR="007D1693" w:rsidRDefault="007D1693" w:rsidP="007D1693">
      <w:pPr>
        <w:rPr>
          <w:lang w:eastAsia="ja-JP"/>
        </w:rPr>
      </w:pPr>
      <w:r>
        <w:rPr>
          <w:rFonts w:hint="eastAsia"/>
          <w:lang w:eastAsia="ja-JP"/>
        </w:rPr>
        <w:t>When the focus of the interview moved to the JFTC</w:t>
      </w:r>
      <w:r>
        <w:rPr>
          <w:lang w:eastAsia="ja-JP"/>
        </w:rPr>
        <w:t>’</w:t>
      </w:r>
      <w:r>
        <w:rPr>
          <w:rFonts w:hint="eastAsia"/>
          <w:lang w:eastAsia="ja-JP"/>
        </w:rPr>
        <w:t xml:space="preserve">s independence, the majority of interviewees offered </w:t>
      </w:r>
      <w:r>
        <w:rPr>
          <w:lang w:eastAsia="ja-JP"/>
        </w:rPr>
        <w:t>cautious and reserved</w:t>
      </w:r>
      <w:r>
        <w:rPr>
          <w:rFonts w:hint="eastAsia"/>
          <w:lang w:eastAsia="ja-JP"/>
        </w:rPr>
        <w:t xml:space="preserve"> views</w:t>
      </w:r>
      <w:r>
        <w:rPr>
          <w:lang w:eastAsia="ja-JP"/>
        </w:rPr>
        <w:t xml:space="preserve">, if not critical. </w:t>
      </w:r>
      <w:r>
        <w:rPr>
          <w:rFonts w:hint="eastAsia"/>
          <w:lang w:eastAsia="ja-JP"/>
        </w:rPr>
        <w:t xml:space="preserve">With respect to the reason why </w:t>
      </w:r>
      <w:r>
        <w:rPr>
          <w:lang w:eastAsia="ja-JP"/>
        </w:rPr>
        <w:t xml:space="preserve">the JFTC has </w:t>
      </w:r>
      <w:r>
        <w:rPr>
          <w:rFonts w:hint="eastAsia"/>
          <w:lang w:eastAsia="ja-JP"/>
        </w:rPr>
        <w:t xml:space="preserve">retained its </w:t>
      </w:r>
      <w:r>
        <w:rPr>
          <w:lang w:eastAsia="ja-JP"/>
        </w:rPr>
        <w:t xml:space="preserve">independent </w:t>
      </w:r>
      <w:r>
        <w:rPr>
          <w:rFonts w:hint="eastAsia"/>
          <w:lang w:eastAsia="ja-JP"/>
        </w:rPr>
        <w:t>status</w:t>
      </w:r>
      <w:r>
        <w:rPr>
          <w:lang w:eastAsia="ja-JP"/>
        </w:rPr>
        <w:t xml:space="preserve">, a retired JFTC civil servant offered an explanation based on its </w:t>
      </w:r>
      <w:r>
        <w:rPr>
          <w:rFonts w:hint="eastAsia"/>
          <w:lang w:eastAsia="ja-JP"/>
        </w:rPr>
        <w:t xml:space="preserve">historical background; </w:t>
      </w:r>
      <w:r>
        <w:rPr>
          <w:lang w:eastAsia="ja-JP"/>
        </w:rPr>
        <w:t xml:space="preserve">the JFTC has retained its independent commission status because it had no predecessor before World War II: </w:t>
      </w:r>
    </w:p>
    <w:p w14:paraId="6DF20523" w14:textId="77777777" w:rsidR="007D1693" w:rsidRPr="00A020A5" w:rsidRDefault="007D1693" w:rsidP="007D1693">
      <w:pPr>
        <w:rPr>
          <w:lang w:eastAsia="ja-JP"/>
        </w:rPr>
      </w:pPr>
    </w:p>
    <w:p w14:paraId="78BC0905" w14:textId="77777777" w:rsidR="007D1693" w:rsidRDefault="007D1693" w:rsidP="007D1693">
      <w:pPr>
        <w:pStyle w:val="Quote"/>
        <w:rPr>
          <w:lang w:eastAsia="ja-JP"/>
        </w:rPr>
      </w:pPr>
      <w:r>
        <w:rPr>
          <w:lang w:eastAsia="ja-JP"/>
        </w:rPr>
        <w:t xml:space="preserve">…the meaning of the independence and independent organisation wasn’t understood at that time (in the 1940s-50s). </w:t>
      </w:r>
      <w:r>
        <w:rPr>
          <w:rFonts w:hint="eastAsia"/>
          <w:lang w:eastAsia="ja-JP"/>
        </w:rPr>
        <w:t>T</w:t>
      </w:r>
      <w:r>
        <w:rPr>
          <w:lang w:eastAsia="ja-JP"/>
        </w:rPr>
        <w:t>he JFTC happened to survive</w:t>
      </w:r>
      <w:r>
        <w:rPr>
          <w:rFonts w:hint="eastAsia"/>
          <w:lang w:eastAsia="ja-JP"/>
        </w:rPr>
        <w:t xml:space="preserve"> in this period</w:t>
      </w:r>
      <w:r>
        <w:rPr>
          <w:lang w:eastAsia="ja-JP"/>
        </w:rPr>
        <w:t xml:space="preserve">, for no government ministry accepted its tasks. The MITI said it wanted that in the 1950s and 1960s, but it took time </w:t>
      </w:r>
      <w:r>
        <w:rPr>
          <w:rFonts w:hint="eastAsia"/>
          <w:lang w:eastAsia="ja-JP"/>
        </w:rPr>
        <w:t>(since the JFTC</w:t>
      </w:r>
      <w:r>
        <w:rPr>
          <w:lang w:eastAsia="ja-JP"/>
        </w:rPr>
        <w:t>’</w:t>
      </w:r>
      <w:r>
        <w:rPr>
          <w:rFonts w:hint="eastAsia"/>
          <w:lang w:eastAsia="ja-JP"/>
        </w:rPr>
        <w:t xml:space="preserve">s establishment) </w:t>
      </w:r>
      <w:r>
        <w:rPr>
          <w:lang w:eastAsia="ja-JP"/>
        </w:rPr>
        <w:t>and transferring the JFTC to the MITI would probably have</w:t>
      </w:r>
      <w:r>
        <w:rPr>
          <w:rFonts w:hint="eastAsia"/>
          <w:lang w:eastAsia="ja-JP"/>
        </w:rPr>
        <w:t xml:space="preserve"> </w:t>
      </w:r>
      <w:r>
        <w:rPr>
          <w:lang w:eastAsia="ja-JP"/>
        </w:rPr>
        <w:t>provoke</w:t>
      </w:r>
      <w:r>
        <w:rPr>
          <w:rFonts w:hint="eastAsia"/>
          <w:lang w:eastAsia="ja-JP"/>
        </w:rPr>
        <w:t>d</w:t>
      </w:r>
      <w:r>
        <w:rPr>
          <w:lang w:eastAsia="ja-JP"/>
        </w:rPr>
        <w:t xml:space="preserve"> a significant resistance in society, so it </w:t>
      </w:r>
      <w:r w:rsidR="006B5ABA">
        <w:rPr>
          <w:lang w:eastAsia="ja-JP"/>
        </w:rPr>
        <w:t>didn’t</w:t>
      </w:r>
      <w:r>
        <w:rPr>
          <w:lang w:eastAsia="ja-JP"/>
        </w:rPr>
        <w:t xml:space="preserve"> materialise… (</w:t>
      </w:r>
      <w:r w:rsidR="007634ED">
        <w:rPr>
          <w:lang w:eastAsia="ja-JP"/>
        </w:rPr>
        <w:t>Interview with</w:t>
      </w:r>
      <w:r>
        <w:rPr>
          <w:lang w:eastAsia="ja-JP"/>
        </w:rPr>
        <w:t xml:space="preserve"> a retired </w:t>
      </w:r>
      <w:r>
        <w:rPr>
          <w:rFonts w:hint="eastAsia"/>
          <w:lang w:eastAsia="ja-JP"/>
        </w:rPr>
        <w:t xml:space="preserve">JFTC </w:t>
      </w:r>
      <w:r>
        <w:rPr>
          <w:lang w:eastAsia="ja-JP"/>
        </w:rPr>
        <w:t>senior civil servant)</w:t>
      </w:r>
    </w:p>
    <w:p w14:paraId="60B30804" w14:textId="77777777" w:rsidR="007D1693" w:rsidRDefault="007D1693" w:rsidP="007D1693">
      <w:pPr>
        <w:rPr>
          <w:lang w:eastAsia="ja-JP"/>
        </w:rPr>
      </w:pPr>
    </w:p>
    <w:p w14:paraId="4F475D64" w14:textId="77777777" w:rsidR="007D1693" w:rsidRDefault="007D1693" w:rsidP="007D1693">
      <w:pPr>
        <w:rPr>
          <w:lang w:eastAsia="ja-JP"/>
        </w:rPr>
      </w:pPr>
      <w:r w:rsidRPr="00DB3002">
        <w:rPr>
          <w:lang w:eastAsia="ja-JP"/>
        </w:rPr>
        <w:t>Another retired senior civil servant also offered a similar view:</w:t>
      </w:r>
    </w:p>
    <w:p w14:paraId="7FD69A4B" w14:textId="77777777" w:rsidR="007D1693" w:rsidRDefault="007D1693" w:rsidP="007D1693">
      <w:pPr>
        <w:rPr>
          <w:lang w:eastAsia="ja-JP"/>
        </w:rPr>
      </w:pPr>
    </w:p>
    <w:p w14:paraId="66EA2EB2" w14:textId="77777777" w:rsidR="007D1693" w:rsidRDefault="007D1693" w:rsidP="007D1693">
      <w:pPr>
        <w:pStyle w:val="Quote"/>
        <w:rPr>
          <w:lang w:eastAsia="ja-JP"/>
        </w:rPr>
      </w:pPr>
      <w:r>
        <w:rPr>
          <w:lang w:eastAsia="ja-JP"/>
        </w:rPr>
        <w:t>…the reason why only the JFTC remained (as an independent commission</w:t>
      </w:r>
      <w:r w:rsidR="006B5ABA">
        <w:rPr>
          <w:lang w:eastAsia="ja-JP"/>
        </w:rPr>
        <w:t xml:space="preserve"> </w:t>
      </w:r>
      <w:r>
        <w:rPr>
          <w:lang w:eastAsia="ja-JP"/>
        </w:rPr>
        <w:t>in the 19</w:t>
      </w:r>
      <w:r>
        <w:rPr>
          <w:rFonts w:hint="eastAsia"/>
          <w:lang w:eastAsia="ja-JP"/>
        </w:rPr>
        <w:t>50</w:t>
      </w:r>
      <w:r>
        <w:rPr>
          <w:lang w:eastAsia="ja-JP"/>
        </w:rPr>
        <w:t xml:space="preserve">s) is, competition and antimonopoly policies </w:t>
      </w:r>
      <w:r>
        <w:rPr>
          <w:rFonts w:hint="eastAsia"/>
          <w:lang w:eastAsia="ja-JP"/>
        </w:rPr>
        <w:t>undertaken</w:t>
      </w:r>
      <w:r>
        <w:rPr>
          <w:lang w:eastAsia="ja-JP"/>
        </w:rPr>
        <w:t xml:space="preserve"> by the JFTC emerged </w:t>
      </w:r>
      <w:r>
        <w:rPr>
          <w:rFonts w:hint="eastAsia"/>
          <w:lang w:eastAsia="ja-JP"/>
        </w:rPr>
        <w:t>after</w:t>
      </w:r>
      <w:r>
        <w:rPr>
          <w:lang w:eastAsia="ja-JP"/>
        </w:rPr>
        <w:t xml:space="preserve"> World War II and didn’t exist before th</w:t>
      </w:r>
      <w:r>
        <w:rPr>
          <w:rFonts w:hint="eastAsia"/>
          <w:lang w:eastAsia="ja-JP"/>
        </w:rPr>
        <w:t>at</w:t>
      </w:r>
      <w:r>
        <w:rPr>
          <w:lang w:eastAsia="ja-JP"/>
        </w:rPr>
        <w:t xml:space="preserve">. </w:t>
      </w:r>
      <w:r>
        <w:rPr>
          <w:rFonts w:hint="eastAsia"/>
          <w:lang w:eastAsia="ja-JP"/>
        </w:rPr>
        <w:t>T</w:t>
      </w:r>
      <w:r>
        <w:rPr>
          <w:lang w:eastAsia="ja-JP"/>
        </w:rPr>
        <w:t>h</w:t>
      </w:r>
      <w:r>
        <w:rPr>
          <w:rFonts w:hint="eastAsia"/>
          <w:lang w:eastAsia="ja-JP"/>
        </w:rPr>
        <w:t>erefore</w:t>
      </w:r>
      <w:r>
        <w:rPr>
          <w:lang w:eastAsia="ja-JP"/>
        </w:rPr>
        <w:t xml:space="preserve">, nobody </w:t>
      </w:r>
      <w:r>
        <w:rPr>
          <w:rFonts w:hint="eastAsia"/>
          <w:lang w:eastAsia="ja-JP"/>
        </w:rPr>
        <w:t>did the job before the war</w:t>
      </w:r>
      <w:r>
        <w:rPr>
          <w:lang w:eastAsia="ja-JP"/>
        </w:rPr>
        <w:t xml:space="preserve">. </w:t>
      </w:r>
      <w:r>
        <w:rPr>
          <w:rFonts w:hint="eastAsia"/>
          <w:lang w:eastAsia="ja-JP"/>
        </w:rPr>
        <w:t>T</w:t>
      </w:r>
      <w:r>
        <w:rPr>
          <w:lang w:eastAsia="ja-JP"/>
        </w:rPr>
        <w:t xml:space="preserve">he JFTC </w:t>
      </w:r>
      <w:r>
        <w:rPr>
          <w:rFonts w:hint="eastAsia"/>
          <w:lang w:eastAsia="ja-JP"/>
        </w:rPr>
        <w:t>administered</w:t>
      </w:r>
      <w:r>
        <w:rPr>
          <w:lang w:eastAsia="ja-JP"/>
        </w:rPr>
        <w:t xml:space="preserve"> antimonopoly policies, so no</w:t>
      </w:r>
      <w:r>
        <w:rPr>
          <w:rFonts w:hint="eastAsia"/>
          <w:lang w:eastAsia="ja-JP"/>
        </w:rPr>
        <w:t xml:space="preserve">body would </w:t>
      </w:r>
      <w:r>
        <w:rPr>
          <w:lang w:eastAsia="ja-JP"/>
        </w:rPr>
        <w:t>accept</w:t>
      </w:r>
      <w:r>
        <w:rPr>
          <w:rFonts w:hint="eastAsia"/>
          <w:lang w:eastAsia="ja-JP"/>
        </w:rPr>
        <w:t xml:space="preserve"> t</w:t>
      </w:r>
      <w:r>
        <w:rPr>
          <w:lang w:eastAsia="ja-JP"/>
        </w:rPr>
        <w:t>he JFTC’s tasks if it were abolished. Such a background may have led to a conclusion that some kind of organisation</w:t>
      </w:r>
      <w:r>
        <w:rPr>
          <w:rFonts w:hint="eastAsia"/>
          <w:lang w:eastAsia="ja-JP"/>
        </w:rPr>
        <w:t xml:space="preserve"> was</w:t>
      </w:r>
      <w:r>
        <w:rPr>
          <w:lang w:eastAsia="ja-JP"/>
        </w:rPr>
        <w:t xml:space="preserve"> necessary, and the JFTC may have survived. (</w:t>
      </w:r>
      <w:r w:rsidR="007634ED">
        <w:rPr>
          <w:lang w:eastAsia="ja-JP"/>
        </w:rPr>
        <w:t>Interview with</w:t>
      </w:r>
      <w:r>
        <w:rPr>
          <w:lang w:eastAsia="ja-JP"/>
        </w:rPr>
        <w:t xml:space="preserve"> a retired JFTC senior civil servant)</w:t>
      </w:r>
    </w:p>
    <w:p w14:paraId="410E61D1" w14:textId="77777777" w:rsidR="007D1693" w:rsidRDefault="007D1693" w:rsidP="007D1693">
      <w:pPr>
        <w:rPr>
          <w:lang w:eastAsia="ja-JP"/>
        </w:rPr>
      </w:pPr>
    </w:p>
    <w:p w14:paraId="5FCB7221" w14:textId="77777777" w:rsidR="007D1693" w:rsidRDefault="007D1693" w:rsidP="007D1693">
      <w:pPr>
        <w:rPr>
          <w:lang w:eastAsia="ja-JP"/>
        </w:rPr>
      </w:pPr>
      <w:r w:rsidRPr="0030223A">
        <w:rPr>
          <w:lang w:eastAsia="ja-JP"/>
        </w:rPr>
        <w:t xml:space="preserve">He argued that </w:t>
      </w:r>
      <w:r>
        <w:rPr>
          <w:rFonts w:hint="eastAsia"/>
          <w:lang w:eastAsia="ja-JP"/>
        </w:rPr>
        <w:t xml:space="preserve">the </w:t>
      </w:r>
      <w:r w:rsidRPr="0030223A">
        <w:rPr>
          <w:lang w:eastAsia="ja-JP"/>
        </w:rPr>
        <w:t xml:space="preserve">benefit of independence was to counter the pressure from </w:t>
      </w:r>
      <w:r w:rsidR="006B5ABA">
        <w:rPr>
          <w:lang w:eastAsia="ja-JP"/>
        </w:rPr>
        <w:t>the</w:t>
      </w:r>
      <w:r w:rsidRPr="0030223A">
        <w:rPr>
          <w:lang w:eastAsia="ja-JP"/>
        </w:rPr>
        <w:t xml:space="preserve"> opponents including other</w:t>
      </w:r>
      <w:r>
        <w:rPr>
          <w:lang w:eastAsia="ja-JP"/>
        </w:rPr>
        <w:t xml:space="preserve"> government ministries and party politicians captured by vested interests: ‘…because the AMA </w:t>
      </w:r>
      <w:r w:rsidR="00FD192A">
        <w:rPr>
          <w:rFonts w:eastAsia="MS Mincho" w:hint="eastAsia"/>
          <w:lang w:eastAsia="ja-JP"/>
        </w:rPr>
        <w:t xml:space="preserve">covers </w:t>
      </w:r>
      <w:r>
        <w:rPr>
          <w:lang w:eastAsia="ja-JP"/>
        </w:rPr>
        <w:t>all sectors and corporations, each investigative raid involves some members of the Diet; accept</w:t>
      </w:r>
      <w:r>
        <w:rPr>
          <w:rFonts w:hint="eastAsia"/>
          <w:lang w:eastAsia="ja-JP"/>
        </w:rPr>
        <w:t>ing</w:t>
      </w:r>
      <w:r>
        <w:rPr>
          <w:lang w:eastAsia="ja-JP"/>
        </w:rPr>
        <w:t xml:space="preserve"> such politicians’</w:t>
      </w:r>
      <w:r>
        <w:rPr>
          <w:rFonts w:hint="eastAsia"/>
          <w:lang w:eastAsia="ja-JP"/>
        </w:rPr>
        <w:t xml:space="preserve"> claim</w:t>
      </w:r>
      <w:r>
        <w:rPr>
          <w:lang w:eastAsia="ja-JP"/>
        </w:rPr>
        <w:t xml:space="preserve"> every time</w:t>
      </w:r>
      <w:r>
        <w:rPr>
          <w:rFonts w:hint="eastAsia"/>
          <w:lang w:eastAsia="ja-JP"/>
        </w:rPr>
        <w:t xml:space="preserve"> would</w:t>
      </w:r>
      <w:r>
        <w:rPr>
          <w:lang w:eastAsia="ja-JP"/>
        </w:rPr>
        <w:t xml:space="preserve"> significantly undermine </w:t>
      </w:r>
      <w:r>
        <w:rPr>
          <w:rFonts w:hint="eastAsia"/>
          <w:lang w:eastAsia="ja-JP"/>
        </w:rPr>
        <w:t>the</w:t>
      </w:r>
      <w:r>
        <w:rPr>
          <w:lang w:eastAsia="ja-JP"/>
        </w:rPr>
        <w:t xml:space="preserve"> JFTC’s job’ (</w:t>
      </w:r>
      <w:r w:rsidR="007634ED">
        <w:rPr>
          <w:lang w:eastAsia="ja-JP"/>
        </w:rPr>
        <w:t>Interview with</w:t>
      </w:r>
      <w:r>
        <w:rPr>
          <w:lang w:eastAsia="ja-JP"/>
        </w:rPr>
        <w:t xml:space="preserve"> a retired JFTC senior civil servant). The independence of authority could fend off such external interventions. </w:t>
      </w:r>
      <w:r>
        <w:rPr>
          <w:rFonts w:hint="eastAsia"/>
          <w:lang w:eastAsia="ja-JP"/>
        </w:rPr>
        <w:t xml:space="preserve">Referring to the fact </w:t>
      </w:r>
      <w:r>
        <w:rPr>
          <w:lang w:eastAsia="ja-JP"/>
        </w:rPr>
        <w:t>that the JFTC was politically weak compar</w:t>
      </w:r>
      <w:r>
        <w:rPr>
          <w:rFonts w:hint="eastAsia"/>
          <w:lang w:eastAsia="ja-JP"/>
        </w:rPr>
        <w:t>ed</w:t>
      </w:r>
      <w:r>
        <w:rPr>
          <w:lang w:eastAsia="ja-JP"/>
        </w:rPr>
        <w:t xml:space="preserve"> with its opponents</w:t>
      </w:r>
      <w:r>
        <w:rPr>
          <w:rFonts w:hint="eastAsia"/>
          <w:lang w:eastAsia="ja-JP"/>
        </w:rPr>
        <w:t xml:space="preserve"> in the past, he argued</w:t>
      </w:r>
      <w:r>
        <w:rPr>
          <w:lang w:eastAsia="ja-JP"/>
        </w:rPr>
        <w:t>: ‘the JFTC has become very large and powerful. In the past it was the government office which could be crushed or transferred at any time. Comparing with that, now nobody will agree if someone argues for abolishing the JFTC. Such a guy himself could be kicked out’ (</w:t>
      </w:r>
      <w:r w:rsidR="007634ED">
        <w:rPr>
          <w:lang w:eastAsia="ja-JP"/>
        </w:rPr>
        <w:t>Interview with</w:t>
      </w:r>
      <w:r>
        <w:rPr>
          <w:lang w:eastAsia="ja-JP"/>
        </w:rPr>
        <w:t xml:space="preserve"> a retired JFTC senior civil servant). In his view, the new challenge for the enhanced JFTC is policy making as well as implement</w:t>
      </w:r>
      <w:r>
        <w:rPr>
          <w:rFonts w:hint="eastAsia"/>
          <w:lang w:eastAsia="ja-JP"/>
        </w:rPr>
        <w:t>ing</w:t>
      </w:r>
      <w:r>
        <w:rPr>
          <w:lang w:eastAsia="ja-JP"/>
        </w:rPr>
        <w:t xml:space="preserve"> AMA. Transforming to a policy making organisation needs the re</w:t>
      </w:r>
      <w:r>
        <w:rPr>
          <w:rFonts w:hint="eastAsia"/>
          <w:lang w:eastAsia="ja-JP"/>
        </w:rPr>
        <w:t>-evaluation</w:t>
      </w:r>
      <w:r>
        <w:rPr>
          <w:lang w:eastAsia="ja-JP"/>
        </w:rPr>
        <w:t xml:space="preserve"> of the JFTC’s status as an independent commission, because: ‘law enforcement is based on the independent authority, but policy (making) can’t be independent. Independent policy making is a kind of dictatorship’ (</w:t>
      </w:r>
      <w:r w:rsidR="007634ED">
        <w:rPr>
          <w:lang w:eastAsia="ja-JP"/>
        </w:rPr>
        <w:t>Interview with</w:t>
      </w:r>
      <w:r>
        <w:rPr>
          <w:lang w:eastAsia="ja-JP"/>
        </w:rPr>
        <w:t xml:space="preserve"> a retired JFTC senior civil servant).</w:t>
      </w:r>
    </w:p>
    <w:p w14:paraId="1AE648B6" w14:textId="77777777" w:rsidR="007D1693" w:rsidRDefault="007D1693" w:rsidP="007D1693">
      <w:pPr>
        <w:ind w:firstLine="284"/>
        <w:rPr>
          <w:lang w:eastAsia="ja-JP"/>
        </w:rPr>
      </w:pPr>
      <w:r>
        <w:rPr>
          <w:lang w:eastAsia="ja-JP"/>
        </w:rPr>
        <w:t xml:space="preserve">Another retired JFTC civil servant offered </w:t>
      </w:r>
      <w:r>
        <w:rPr>
          <w:rFonts w:hint="eastAsia"/>
          <w:lang w:eastAsia="ja-JP"/>
        </w:rPr>
        <w:t>a view</w:t>
      </w:r>
      <w:r>
        <w:rPr>
          <w:lang w:eastAsia="ja-JP"/>
        </w:rPr>
        <w:t xml:space="preserve"> that </w:t>
      </w:r>
      <w:r>
        <w:rPr>
          <w:rFonts w:hint="eastAsia"/>
          <w:lang w:eastAsia="ja-JP"/>
        </w:rPr>
        <w:t>the</w:t>
      </w:r>
      <w:r>
        <w:rPr>
          <w:lang w:eastAsia="ja-JP"/>
        </w:rPr>
        <w:t xml:space="preserve"> JFTC’s independent status made it apolitical and saved it as a government organisation</w:t>
      </w:r>
      <w:r>
        <w:rPr>
          <w:rFonts w:hint="eastAsia"/>
          <w:lang w:eastAsia="ja-JP"/>
        </w:rPr>
        <w:t>, taking the past pressure to the JFTC seriously</w:t>
      </w:r>
      <w:r>
        <w:rPr>
          <w:lang w:eastAsia="ja-JP"/>
        </w:rPr>
        <w:t xml:space="preserve">: ‘…the 1950s was </w:t>
      </w:r>
      <w:r>
        <w:rPr>
          <w:rFonts w:hint="eastAsia"/>
          <w:lang w:eastAsia="ja-JP"/>
        </w:rPr>
        <w:t>the</w:t>
      </w:r>
      <w:r>
        <w:rPr>
          <w:lang w:eastAsia="ja-JP"/>
        </w:rPr>
        <w:t xml:space="preserve"> JFTC’s most severe “winter”. So it (the independent status) protected the JFTC from being crushed. If the JFTC were nois</w:t>
      </w:r>
      <w:r w:rsidR="00504839">
        <w:rPr>
          <w:lang w:eastAsia="ja-JP"/>
        </w:rPr>
        <w:t>ier</w:t>
      </w:r>
      <w:r>
        <w:rPr>
          <w:lang w:eastAsia="ja-JP"/>
        </w:rPr>
        <w:t xml:space="preserve">, like a noisy puppy, or if it had </w:t>
      </w:r>
      <w:r w:rsidR="00504839">
        <w:rPr>
          <w:lang w:eastAsia="ja-JP"/>
        </w:rPr>
        <w:t xml:space="preserve">a </w:t>
      </w:r>
      <w:r>
        <w:rPr>
          <w:lang w:eastAsia="ja-JP"/>
        </w:rPr>
        <w:t xml:space="preserve">more substantial presence to the extent that </w:t>
      </w:r>
      <w:r w:rsidR="00504839">
        <w:rPr>
          <w:lang w:eastAsia="ja-JP"/>
        </w:rPr>
        <w:t xml:space="preserve">it </w:t>
      </w:r>
      <w:r>
        <w:rPr>
          <w:lang w:eastAsia="ja-JP"/>
        </w:rPr>
        <w:t>couldn’t be left, it could have been crushed’ (</w:t>
      </w:r>
      <w:r w:rsidR="007634ED">
        <w:rPr>
          <w:lang w:eastAsia="ja-JP"/>
        </w:rPr>
        <w:t>Interview with</w:t>
      </w:r>
      <w:r>
        <w:rPr>
          <w:lang w:eastAsia="ja-JP"/>
        </w:rPr>
        <w:t xml:space="preserve"> a retired JFTC senior civil servant).</w:t>
      </w:r>
    </w:p>
    <w:p w14:paraId="0F80371A" w14:textId="77777777" w:rsidR="007D1693" w:rsidRDefault="007D1693" w:rsidP="007D1693">
      <w:pPr>
        <w:ind w:firstLine="284"/>
        <w:rPr>
          <w:lang w:eastAsia="ja-JP"/>
        </w:rPr>
      </w:pPr>
      <w:r>
        <w:rPr>
          <w:lang w:eastAsia="ja-JP"/>
        </w:rPr>
        <w:t xml:space="preserve">A similar view was offered by a major business organisation official who argued that the distance from party politicians and the basis to confront other government ministries are the major benefits of the JFTC’s independence: ‘the most important thing is that </w:t>
      </w:r>
      <w:r>
        <w:rPr>
          <w:rFonts w:hint="eastAsia"/>
          <w:lang w:eastAsia="ja-JP"/>
        </w:rPr>
        <w:t>t</w:t>
      </w:r>
      <w:r>
        <w:rPr>
          <w:lang w:eastAsia="ja-JP"/>
        </w:rPr>
        <w:t xml:space="preserve">he JFTC’s status as an Article 3 organisation independent from the Cabinet prevents the JFTC from </w:t>
      </w:r>
      <w:r w:rsidR="00504839">
        <w:rPr>
          <w:lang w:eastAsia="ja-JP"/>
        </w:rPr>
        <w:t xml:space="preserve">being </w:t>
      </w:r>
      <w:r>
        <w:rPr>
          <w:lang w:eastAsia="ja-JP"/>
        </w:rPr>
        <w:t>influenced by an idiot when he becomes the Prime Minister…and it enables the JFTC to confront the METI (Ministry of Economy, Trade</w:t>
      </w:r>
      <w:r>
        <w:rPr>
          <w:rFonts w:hint="eastAsia"/>
          <w:lang w:eastAsia="ja-JP"/>
        </w:rPr>
        <w:t>,</w:t>
      </w:r>
      <w:r>
        <w:rPr>
          <w:lang w:eastAsia="ja-JP"/>
        </w:rPr>
        <w:t xml:space="preserve"> and Industry)’ (</w:t>
      </w:r>
      <w:r w:rsidR="007634ED">
        <w:rPr>
          <w:lang w:eastAsia="ja-JP"/>
        </w:rPr>
        <w:t>Interview with</w:t>
      </w:r>
      <w:r>
        <w:rPr>
          <w:lang w:eastAsia="ja-JP"/>
        </w:rPr>
        <w:t xml:space="preserve"> a </w:t>
      </w:r>
      <w:r w:rsidRPr="00870C2C">
        <w:rPr>
          <w:i/>
          <w:iCs/>
          <w:lang w:eastAsia="ja-JP"/>
        </w:rPr>
        <w:t>Keidanren</w:t>
      </w:r>
      <w:r>
        <w:rPr>
          <w:lang w:eastAsia="ja-JP"/>
        </w:rPr>
        <w:t xml:space="preserve"> official). This perspective was concurred by an AMA lawyer: ‘…I suggest independence enabled the JFTC to resist pressures from various interest groups and other government organisations’ (</w:t>
      </w:r>
      <w:r w:rsidR="007634ED">
        <w:rPr>
          <w:lang w:eastAsia="ja-JP"/>
        </w:rPr>
        <w:t>Interview with</w:t>
      </w:r>
      <w:r w:rsidRPr="009F7F83">
        <w:rPr>
          <w:lang w:eastAsia="ja-JP"/>
        </w:rPr>
        <w:t xml:space="preserve"> an AMA lawyer</w:t>
      </w:r>
      <w:r>
        <w:rPr>
          <w:lang w:eastAsia="ja-JP"/>
        </w:rPr>
        <w:t xml:space="preserve">). The relationship between the Cabinet and the JFTC was elaborated </w:t>
      </w:r>
      <w:r>
        <w:rPr>
          <w:rFonts w:hint="eastAsia"/>
          <w:lang w:eastAsia="ja-JP"/>
        </w:rPr>
        <w:t xml:space="preserve">on </w:t>
      </w:r>
      <w:r>
        <w:rPr>
          <w:lang w:eastAsia="ja-JP"/>
        </w:rPr>
        <w:t xml:space="preserve">by a DPJ politician </w:t>
      </w:r>
      <w:r w:rsidR="00FB52FB">
        <w:rPr>
          <w:lang w:eastAsia="ja-JP"/>
        </w:rPr>
        <w:t xml:space="preserve">previously </w:t>
      </w:r>
      <w:r>
        <w:rPr>
          <w:lang w:eastAsia="ja-JP"/>
        </w:rPr>
        <w:t>responsible for the JFTC:</w:t>
      </w:r>
    </w:p>
    <w:p w14:paraId="44CE90C6" w14:textId="77777777" w:rsidR="007D1693" w:rsidRDefault="007D1693" w:rsidP="007D1693">
      <w:pPr>
        <w:rPr>
          <w:lang w:eastAsia="ja-JP"/>
        </w:rPr>
      </w:pPr>
    </w:p>
    <w:p w14:paraId="4394DBD7" w14:textId="77777777" w:rsidR="007D1693" w:rsidRDefault="007D1693" w:rsidP="007D1693">
      <w:pPr>
        <w:pStyle w:val="Quote"/>
        <w:rPr>
          <w:lang w:eastAsia="ja-JP"/>
        </w:rPr>
      </w:pPr>
      <w:r>
        <w:rPr>
          <w:lang w:eastAsia="ja-JP"/>
        </w:rPr>
        <w:t xml:space="preserve">… a commission can have </w:t>
      </w:r>
      <w:r w:rsidR="00504839">
        <w:rPr>
          <w:lang w:eastAsia="ja-JP"/>
        </w:rPr>
        <w:t>the</w:t>
      </w:r>
      <w:r>
        <w:rPr>
          <w:lang w:eastAsia="ja-JP"/>
        </w:rPr>
        <w:t xml:space="preserve"> merit of having </w:t>
      </w:r>
      <w:r w:rsidR="00504839">
        <w:rPr>
          <w:lang w:eastAsia="ja-JP"/>
        </w:rPr>
        <w:t xml:space="preserve">a </w:t>
      </w:r>
      <w:r>
        <w:rPr>
          <w:lang w:eastAsia="ja-JP"/>
        </w:rPr>
        <w:t>more transparent process of selecting a chairman than an agency; the nature of the difference is such an appointment issue, I guess. But in my view a commission will have less inadequate political interventions. In an agency a crap Cabinet Minister can make a crap instruction, and everyone ha</w:t>
      </w:r>
      <w:r w:rsidR="00504839">
        <w:rPr>
          <w:lang w:eastAsia="ja-JP"/>
        </w:rPr>
        <w:t>s</w:t>
      </w:r>
      <w:r>
        <w:rPr>
          <w:lang w:eastAsia="ja-JP"/>
        </w:rPr>
        <w:t xml:space="preserve"> to obey that; such a thing can happen…but if a respectable private sector person is appointed as the head of an agency things should be the same (with a commission style organisation). I think so, but we haven’t yet done </w:t>
      </w:r>
      <w:r w:rsidR="00504839">
        <w:rPr>
          <w:lang w:eastAsia="ja-JP"/>
        </w:rPr>
        <w:t xml:space="preserve">it </w:t>
      </w:r>
      <w:r>
        <w:rPr>
          <w:lang w:eastAsia="ja-JP"/>
        </w:rPr>
        <w:t>to that extent in Japan; even employing external resources in government offices hasn’t been done yet… (</w:t>
      </w:r>
      <w:r w:rsidR="007634ED">
        <w:rPr>
          <w:lang w:eastAsia="ja-JP"/>
        </w:rPr>
        <w:t>Interview with</w:t>
      </w:r>
      <w:r>
        <w:rPr>
          <w:lang w:eastAsia="ja-JP"/>
        </w:rPr>
        <w:t xml:space="preserve"> a member of the House of Representatives (DPJ))</w:t>
      </w:r>
    </w:p>
    <w:p w14:paraId="40C28DC3" w14:textId="77777777" w:rsidR="007D1693" w:rsidRDefault="007D1693" w:rsidP="007D1693">
      <w:pPr>
        <w:rPr>
          <w:lang w:eastAsia="ja-JP"/>
        </w:rPr>
      </w:pPr>
    </w:p>
    <w:p w14:paraId="02C556B3" w14:textId="77777777" w:rsidR="007D1693" w:rsidRDefault="007D1693" w:rsidP="007D1693">
      <w:pPr>
        <w:rPr>
          <w:lang w:eastAsia="ja-JP"/>
        </w:rPr>
      </w:pPr>
      <w:r>
        <w:rPr>
          <w:lang w:eastAsia="ja-JP"/>
        </w:rPr>
        <w:t xml:space="preserve">To pull these accounts together, a significant benefit of the JFTC’s independence was the distance it creates from the Cabinet. This distance </w:t>
      </w:r>
      <w:r w:rsidR="00691403">
        <w:rPr>
          <w:lang w:eastAsia="ja-JP"/>
        </w:rPr>
        <w:t xml:space="preserve">has </w:t>
      </w:r>
      <w:r>
        <w:rPr>
          <w:lang w:eastAsia="ja-JP"/>
        </w:rPr>
        <w:t>contributed to enhancing the JFTC’s power in its confrontations to adversaries such as other government ministries.</w:t>
      </w:r>
    </w:p>
    <w:p w14:paraId="679BB0DF" w14:textId="0F4B31FB" w:rsidR="007D1693" w:rsidRDefault="007D1693" w:rsidP="00BF2553">
      <w:pPr>
        <w:ind w:firstLine="284"/>
        <w:rPr>
          <w:lang w:eastAsia="ja-JP"/>
        </w:rPr>
      </w:pPr>
      <w:r>
        <w:rPr>
          <w:rFonts w:hint="eastAsia"/>
          <w:lang w:eastAsia="ja-JP"/>
        </w:rPr>
        <w:t>A</w:t>
      </w:r>
      <w:r>
        <w:rPr>
          <w:lang w:eastAsia="ja-JP"/>
        </w:rPr>
        <w:t xml:space="preserve"> group of interviewees </w:t>
      </w:r>
      <w:r w:rsidR="00515A89">
        <w:rPr>
          <w:lang w:eastAsia="ja-JP"/>
        </w:rPr>
        <w:t>including</w:t>
      </w:r>
      <w:r w:rsidR="002D2EB3">
        <w:rPr>
          <w:lang w:eastAsia="ja-JP"/>
        </w:rPr>
        <w:t xml:space="preserve"> a law professor (AMA), a</w:t>
      </w:r>
      <w:r w:rsidR="00C12C4E">
        <w:rPr>
          <w:lang w:eastAsia="ja-JP"/>
        </w:rPr>
        <w:t>n AMA</w:t>
      </w:r>
      <w:r w:rsidR="002D2EB3">
        <w:rPr>
          <w:lang w:eastAsia="ja-JP"/>
        </w:rPr>
        <w:t xml:space="preserve"> lawyer, and a former civil servant </w:t>
      </w:r>
      <w:r>
        <w:rPr>
          <w:lang w:eastAsia="ja-JP"/>
        </w:rPr>
        <w:t xml:space="preserve">argued </w:t>
      </w:r>
      <w:r>
        <w:rPr>
          <w:rFonts w:hint="eastAsia"/>
          <w:lang w:eastAsia="ja-JP"/>
        </w:rPr>
        <w:t xml:space="preserve">that </w:t>
      </w:r>
      <w:r>
        <w:rPr>
          <w:lang w:eastAsia="ja-JP"/>
        </w:rPr>
        <w:t>another benefit of an independent commission</w:t>
      </w:r>
      <w:r>
        <w:rPr>
          <w:rFonts w:hint="eastAsia"/>
          <w:lang w:eastAsia="ja-JP"/>
        </w:rPr>
        <w:t xml:space="preserve"> was</w:t>
      </w:r>
      <w:r>
        <w:rPr>
          <w:lang w:eastAsia="ja-JP"/>
        </w:rPr>
        <w:t xml:space="preserve"> that it suits a complaint system (</w:t>
      </w:r>
      <w:r w:rsidRPr="00566A3F">
        <w:rPr>
          <w:i/>
          <w:iCs/>
          <w:lang w:eastAsia="ja-JP"/>
        </w:rPr>
        <w:t>Shi</w:t>
      </w:r>
      <w:r>
        <w:rPr>
          <w:i/>
          <w:iCs/>
          <w:lang w:eastAsia="ja-JP"/>
        </w:rPr>
        <w:t>n</w:t>
      </w:r>
      <w:r w:rsidRPr="00566A3F">
        <w:rPr>
          <w:i/>
          <w:iCs/>
          <w:lang w:eastAsia="ja-JP"/>
        </w:rPr>
        <w:t xml:space="preserve">pan </w:t>
      </w:r>
      <w:r w:rsidR="00FD192A">
        <w:rPr>
          <w:rFonts w:eastAsia="MS Mincho" w:hint="eastAsia"/>
          <w:i/>
          <w:iCs/>
          <w:lang w:eastAsia="ja-JP"/>
        </w:rPr>
        <w:t>S</w:t>
      </w:r>
      <w:r w:rsidRPr="00566A3F">
        <w:rPr>
          <w:i/>
          <w:iCs/>
          <w:lang w:eastAsia="ja-JP"/>
        </w:rPr>
        <w:t>eido</w:t>
      </w:r>
      <w:r>
        <w:rPr>
          <w:lang w:eastAsia="ja-JP"/>
        </w:rPr>
        <w:t>)</w:t>
      </w:r>
      <w:r w:rsidR="00FD192A">
        <w:rPr>
          <w:rFonts w:eastAsia="MS Mincho" w:hint="eastAsia"/>
          <w:lang w:eastAsia="ja-JP"/>
        </w:rPr>
        <w:t xml:space="preserve"> </w:t>
      </w:r>
      <w:r w:rsidR="00FD192A">
        <w:rPr>
          <w:rFonts w:eastAsia="MS Mincho"/>
          <w:lang w:eastAsia="ja-JP"/>
        </w:rPr>
        <w:t>–</w:t>
      </w:r>
      <w:r w:rsidR="00FD192A">
        <w:rPr>
          <w:rFonts w:eastAsia="MS Mincho" w:hint="eastAsia"/>
          <w:lang w:eastAsia="ja-JP"/>
        </w:rPr>
        <w:t xml:space="preserve"> the </w:t>
      </w:r>
      <w:r>
        <w:rPr>
          <w:lang w:eastAsia="ja-JP"/>
        </w:rPr>
        <w:t>JFTC’s quasi-judicial system. Until 2005</w:t>
      </w:r>
      <w:r w:rsidR="00525D72">
        <w:rPr>
          <w:lang w:eastAsia="ja-JP"/>
        </w:rPr>
        <w:t>,</w:t>
      </w:r>
      <w:r>
        <w:rPr>
          <w:lang w:eastAsia="ja-JP"/>
        </w:rPr>
        <w:t xml:space="preserve"> the majority of cases that </w:t>
      </w:r>
      <w:r>
        <w:rPr>
          <w:rFonts w:hint="eastAsia"/>
          <w:lang w:eastAsia="ja-JP"/>
        </w:rPr>
        <w:t xml:space="preserve">the </w:t>
      </w:r>
      <w:r>
        <w:rPr>
          <w:lang w:eastAsia="ja-JP"/>
        </w:rPr>
        <w:t xml:space="preserve">JFTC found substantial violations with evidence were referred to </w:t>
      </w:r>
      <w:r w:rsidR="00504839">
        <w:rPr>
          <w:lang w:eastAsia="ja-JP"/>
        </w:rPr>
        <w:t xml:space="preserve">as </w:t>
      </w:r>
      <w:r>
        <w:rPr>
          <w:lang w:eastAsia="ja-JP"/>
        </w:rPr>
        <w:t xml:space="preserve">complaints, where identified private firms could submit their arguments in writing. If the private firms alleged by the JFTC as AMA violators accepted the allegation, the following complaint process would be short; it would be terminated by recommendation decisions typically with </w:t>
      </w:r>
      <w:r>
        <w:rPr>
          <w:rFonts w:hint="eastAsia"/>
          <w:lang w:eastAsia="ja-JP"/>
        </w:rPr>
        <w:t>t</w:t>
      </w:r>
      <w:r>
        <w:rPr>
          <w:lang w:eastAsia="ja-JP"/>
        </w:rPr>
        <w:t>he JFTC’s cease-and-desist orders (Schaede 2000 p.116). If the alleged firms did not accept the allegation, the complaint process would be substantial with hearings from the alleged private firms and concluded consent decisions (</w:t>
      </w:r>
      <w:r w:rsidRPr="008D7307">
        <w:rPr>
          <w:i/>
          <w:iCs/>
          <w:lang w:eastAsia="ja-JP"/>
        </w:rPr>
        <w:t>Doi shinketsu</w:t>
      </w:r>
      <w:r>
        <w:rPr>
          <w:lang w:eastAsia="ja-JP"/>
        </w:rPr>
        <w:t>: if the JFTC and the firm agreed the terms) or complaint decisions (</w:t>
      </w:r>
      <w:r w:rsidRPr="008D7307">
        <w:rPr>
          <w:i/>
          <w:iCs/>
          <w:lang w:eastAsia="ja-JP"/>
        </w:rPr>
        <w:t>Shinpan shinketsu</w:t>
      </w:r>
      <w:r>
        <w:rPr>
          <w:lang w:eastAsia="ja-JP"/>
        </w:rPr>
        <w:t>) (if no agreement was reached) (Schaede 2000 p.114, p.116). The nature of this complaint system was quasi judicial.</w:t>
      </w:r>
      <w:r>
        <w:rPr>
          <w:rFonts w:hint="eastAsia"/>
          <w:lang w:eastAsia="ja-JP"/>
        </w:rPr>
        <w:t xml:space="preserve"> An AMA lawyer described the complaint system as: </w:t>
      </w:r>
      <w:r>
        <w:rPr>
          <w:lang w:eastAsia="ja-JP"/>
        </w:rPr>
        <w:t>‘</w:t>
      </w:r>
      <w:r>
        <w:rPr>
          <w:rFonts w:hint="eastAsia"/>
          <w:lang w:eastAsia="ja-JP"/>
        </w:rPr>
        <w:t xml:space="preserve">a quasi judicial system under which the cases of AMA violation </w:t>
      </w:r>
      <w:r>
        <w:rPr>
          <w:lang w:eastAsia="ja-JP"/>
        </w:rPr>
        <w:t>we</w:t>
      </w:r>
      <w:r>
        <w:rPr>
          <w:rFonts w:hint="eastAsia"/>
          <w:lang w:eastAsia="ja-JP"/>
        </w:rPr>
        <w:t>re judged by the authority with expertise</w:t>
      </w:r>
      <w:r>
        <w:rPr>
          <w:lang w:eastAsia="ja-JP"/>
        </w:rPr>
        <w:t>’</w:t>
      </w:r>
      <w:r>
        <w:rPr>
          <w:rFonts w:hint="eastAsia"/>
          <w:lang w:eastAsia="ja-JP"/>
        </w:rPr>
        <w:t xml:space="preserve"> (</w:t>
      </w:r>
      <w:r w:rsidR="007634ED">
        <w:rPr>
          <w:rFonts w:hint="eastAsia"/>
          <w:lang w:eastAsia="ja-JP"/>
        </w:rPr>
        <w:t>Interview with</w:t>
      </w:r>
      <w:r>
        <w:rPr>
          <w:rFonts w:hint="eastAsia"/>
          <w:lang w:eastAsia="ja-JP"/>
        </w:rPr>
        <w:t xml:space="preserve"> a</w:t>
      </w:r>
      <w:r w:rsidR="00504839">
        <w:rPr>
          <w:lang w:eastAsia="ja-JP"/>
        </w:rPr>
        <w:t>n</w:t>
      </w:r>
      <w:r>
        <w:rPr>
          <w:rFonts w:hint="eastAsia"/>
          <w:lang w:eastAsia="ja-JP"/>
        </w:rPr>
        <w:t xml:space="preserve"> AMA lawyer). </w:t>
      </w:r>
      <w:r>
        <w:rPr>
          <w:lang w:eastAsia="ja-JP"/>
        </w:rPr>
        <w:t xml:space="preserve">This ex ante based complaint system was transformed into an ex post based complaint system by the AMA amendment in 2005 (see </w:t>
      </w:r>
      <w:r w:rsidR="0024071A">
        <w:rPr>
          <w:rFonts w:hint="eastAsia"/>
          <w:lang w:eastAsia="ja-JP"/>
        </w:rPr>
        <w:t>Table 6.4</w:t>
      </w:r>
      <w:r>
        <w:rPr>
          <w:rFonts w:hint="eastAsia"/>
          <w:lang w:eastAsia="ja-JP"/>
        </w:rPr>
        <w:t xml:space="preserve"> and Appendix </w:t>
      </w:r>
      <w:r w:rsidR="00136ED3">
        <w:rPr>
          <w:rFonts w:eastAsia="MS Mincho" w:hint="eastAsia"/>
          <w:lang w:eastAsia="ja-JP"/>
        </w:rPr>
        <w:t>5</w:t>
      </w:r>
      <w:r>
        <w:rPr>
          <w:lang w:eastAsia="ja-JP"/>
        </w:rPr>
        <w:t xml:space="preserve">). After </w:t>
      </w:r>
      <w:r>
        <w:rPr>
          <w:rFonts w:hint="eastAsia"/>
          <w:lang w:eastAsia="ja-JP"/>
        </w:rPr>
        <w:t>the 2005</w:t>
      </w:r>
      <w:r>
        <w:rPr>
          <w:lang w:eastAsia="ja-JP"/>
        </w:rPr>
        <w:t xml:space="preserve"> AMA amendment, the alleged private firms receive the JFTC’s cease-and-desist orders first, and then file complaints if they disagree with the orders.</w:t>
      </w:r>
    </w:p>
    <w:p w14:paraId="5ADD3C6B" w14:textId="77777777" w:rsidR="007D1693" w:rsidRDefault="007D1693" w:rsidP="007D1693">
      <w:pPr>
        <w:ind w:firstLine="284"/>
        <w:rPr>
          <w:lang w:eastAsia="ja-JP"/>
        </w:rPr>
      </w:pPr>
      <w:r>
        <w:rPr>
          <w:rFonts w:hint="eastAsia"/>
          <w:lang w:eastAsia="ja-JP"/>
        </w:rPr>
        <w:t xml:space="preserve">The quasi judicial nature of the complaint system </w:t>
      </w:r>
      <w:r w:rsidR="00AB173B">
        <w:rPr>
          <w:rFonts w:eastAsia="MS Mincho" w:hint="eastAsia"/>
          <w:lang w:eastAsia="ja-JP"/>
        </w:rPr>
        <w:t>has been</w:t>
      </w:r>
      <w:r>
        <w:rPr>
          <w:lang w:eastAsia="ja-JP"/>
        </w:rPr>
        <w:t xml:space="preserve"> regarded as a </w:t>
      </w:r>
      <w:r>
        <w:rPr>
          <w:rFonts w:hint="eastAsia"/>
          <w:lang w:eastAsia="ja-JP"/>
        </w:rPr>
        <w:t>reason</w:t>
      </w:r>
      <w:r>
        <w:rPr>
          <w:lang w:eastAsia="ja-JP"/>
        </w:rPr>
        <w:t xml:space="preserve"> </w:t>
      </w:r>
      <w:r>
        <w:rPr>
          <w:rFonts w:hint="eastAsia"/>
          <w:lang w:eastAsia="ja-JP"/>
        </w:rPr>
        <w:t xml:space="preserve">why the JFTC has to be independent. For instance, the above AMA lawyer commented that: </w:t>
      </w:r>
      <w:r>
        <w:rPr>
          <w:lang w:eastAsia="ja-JP"/>
        </w:rPr>
        <w:t>‘…</w:t>
      </w:r>
      <w:r>
        <w:rPr>
          <w:rFonts w:hint="eastAsia"/>
          <w:lang w:eastAsia="ja-JP"/>
        </w:rPr>
        <w:t xml:space="preserve">the JFTC has been independent to have a quasi judicial </w:t>
      </w:r>
      <w:r>
        <w:rPr>
          <w:lang w:eastAsia="ja-JP"/>
        </w:rPr>
        <w:t>function</w:t>
      </w:r>
      <w:r>
        <w:rPr>
          <w:rFonts w:hint="eastAsia"/>
          <w:lang w:eastAsia="ja-JP"/>
        </w:rPr>
        <w:t>, for the judicial function can be compromised if it were in the executive branch</w:t>
      </w:r>
      <w:r>
        <w:rPr>
          <w:lang w:eastAsia="ja-JP"/>
        </w:rPr>
        <w:t>;</w:t>
      </w:r>
      <w:r>
        <w:rPr>
          <w:rFonts w:hint="eastAsia"/>
          <w:lang w:eastAsia="ja-JP"/>
        </w:rPr>
        <w:t xml:space="preserve"> </w:t>
      </w:r>
      <w:r>
        <w:rPr>
          <w:lang w:eastAsia="ja-JP"/>
        </w:rPr>
        <w:t xml:space="preserve">it’s </w:t>
      </w:r>
      <w:r>
        <w:rPr>
          <w:rFonts w:hint="eastAsia"/>
          <w:lang w:eastAsia="ja-JP"/>
        </w:rPr>
        <w:t>like a kind of separation of powers</w:t>
      </w:r>
      <w:r>
        <w:rPr>
          <w:lang w:eastAsia="ja-JP"/>
        </w:rPr>
        <w:t>’</w:t>
      </w:r>
      <w:r>
        <w:rPr>
          <w:rFonts w:hint="eastAsia"/>
          <w:lang w:eastAsia="ja-JP"/>
        </w:rPr>
        <w:t xml:space="preserve"> (</w:t>
      </w:r>
      <w:r w:rsidR="007634ED">
        <w:rPr>
          <w:rFonts w:hint="eastAsia"/>
          <w:lang w:eastAsia="ja-JP"/>
        </w:rPr>
        <w:t>Interview with</w:t>
      </w:r>
      <w:r>
        <w:rPr>
          <w:rFonts w:hint="eastAsia"/>
          <w:lang w:eastAsia="ja-JP"/>
        </w:rPr>
        <w:t xml:space="preserve"> </w:t>
      </w:r>
      <w:r>
        <w:rPr>
          <w:lang w:eastAsia="ja-JP"/>
        </w:rPr>
        <w:t>an</w:t>
      </w:r>
      <w:r>
        <w:rPr>
          <w:rFonts w:hint="eastAsia"/>
          <w:lang w:eastAsia="ja-JP"/>
        </w:rPr>
        <w:t xml:space="preserve"> AMA lawyer).</w:t>
      </w:r>
      <w:r>
        <w:rPr>
          <w:lang w:eastAsia="ja-JP"/>
        </w:rPr>
        <w:t xml:space="preserve"> </w:t>
      </w:r>
      <w:r>
        <w:rPr>
          <w:rFonts w:hint="eastAsia"/>
          <w:lang w:eastAsia="ja-JP"/>
        </w:rPr>
        <w:t>T</w:t>
      </w:r>
      <w:r>
        <w:rPr>
          <w:lang w:eastAsia="ja-JP"/>
        </w:rPr>
        <w:t>h</w:t>
      </w:r>
      <w:r>
        <w:rPr>
          <w:rFonts w:hint="eastAsia"/>
          <w:lang w:eastAsia="ja-JP"/>
        </w:rPr>
        <w:t xml:space="preserve">is view is concurred by a law professor specialising in the AMA: </w:t>
      </w:r>
      <w:r>
        <w:rPr>
          <w:lang w:eastAsia="ja-JP"/>
        </w:rPr>
        <w:t>‘…</w:t>
      </w:r>
      <w:r>
        <w:rPr>
          <w:rFonts w:hint="eastAsia"/>
          <w:lang w:eastAsia="ja-JP"/>
        </w:rPr>
        <w:t>it is called the complaint system; it</w:t>
      </w:r>
      <w:r>
        <w:rPr>
          <w:lang w:eastAsia="ja-JP"/>
        </w:rPr>
        <w:t>’</w:t>
      </w:r>
      <w:r>
        <w:rPr>
          <w:rFonts w:hint="eastAsia"/>
          <w:lang w:eastAsia="ja-JP"/>
        </w:rPr>
        <w:t>s a framework in which things like the court system are done within the administrative system. It</w:t>
      </w:r>
      <w:r>
        <w:rPr>
          <w:lang w:eastAsia="ja-JP"/>
        </w:rPr>
        <w:t>’</w:t>
      </w:r>
      <w:r>
        <w:rPr>
          <w:rFonts w:hint="eastAsia"/>
          <w:lang w:eastAsia="ja-JP"/>
        </w:rPr>
        <w:t>s done because the JFTC is an independent administrative commission.</w:t>
      </w:r>
      <w:r>
        <w:rPr>
          <w:lang w:eastAsia="ja-JP"/>
        </w:rPr>
        <w:t>’</w:t>
      </w:r>
      <w:r>
        <w:rPr>
          <w:rFonts w:hint="eastAsia"/>
          <w:lang w:eastAsia="ja-JP"/>
        </w:rPr>
        <w:t xml:space="preserve"> (</w:t>
      </w:r>
      <w:r w:rsidR="007634ED">
        <w:rPr>
          <w:rFonts w:hint="eastAsia"/>
        </w:rPr>
        <w:t>Interview with</w:t>
      </w:r>
      <w:r>
        <w:rPr>
          <w:rFonts w:hint="eastAsia"/>
        </w:rPr>
        <w:t xml:space="preserve"> a law professor (AMA)</w:t>
      </w:r>
      <w:r>
        <w:rPr>
          <w:rFonts w:hint="eastAsia"/>
          <w:lang w:eastAsia="ja-JP"/>
        </w:rPr>
        <w:t xml:space="preserve">). </w:t>
      </w:r>
      <w:r>
        <w:rPr>
          <w:lang w:eastAsia="ja-JP"/>
        </w:rPr>
        <w:t>T</w:t>
      </w:r>
      <w:r>
        <w:rPr>
          <w:rFonts w:hint="eastAsia"/>
          <w:lang w:eastAsia="ja-JP"/>
        </w:rPr>
        <w:t>hese accounts regard the quasi-judicial function of the JFTC as a significant reason for its independence.</w:t>
      </w:r>
    </w:p>
    <w:p w14:paraId="7463CACE" w14:textId="77777777" w:rsidR="007D1693" w:rsidRDefault="007D1693" w:rsidP="007D1693">
      <w:pPr>
        <w:ind w:firstLine="284"/>
        <w:rPr>
          <w:lang w:eastAsia="ja-JP"/>
        </w:rPr>
      </w:pPr>
      <w:r>
        <w:rPr>
          <w:rFonts w:hint="eastAsia"/>
          <w:lang w:eastAsia="ja-JP"/>
        </w:rPr>
        <w:t xml:space="preserve">In a similar line, a </w:t>
      </w:r>
      <w:r>
        <w:rPr>
          <w:lang w:eastAsia="ja-JP"/>
        </w:rPr>
        <w:t xml:space="preserve">current JFTC senior civil servant </w:t>
      </w:r>
      <w:r>
        <w:rPr>
          <w:rFonts w:hint="eastAsia"/>
          <w:lang w:eastAsia="ja-JP"/>
        </w:rPr>
        <w:t xml:space="preserve">revealed a view </w:t>
      </w:r>
      <w:r>
        <w:rPr>
          <w:lang w:eastAsia="ja-JP"/>
        </w:rPr>
        <w:t>highlight</w:t>
      </w:r>
      <w:r>
        <w:rPr>
          <w:rFonts w:hint="eastAsia"/>
          <w:lang w:eastAsia="ja-JP"/>
        </w:rPr>
        <w:t>ing</w:t>
      </w:r>
      <w:r>
        <w:rPr>
          <w:lang w:eastAsia="ja-JP"/>
        </w:rPr>
        <w:t xml:space="preserve"> the nature of the AMA and the JFTC’s independence:</w:t>
      </w:r>
    </w:p>
    <w:p w14:paraId="33683D4B" w14:textId="77777777" w:rsidR="007D1693" w:rsidRDefault="007D1693" w:rsidP="007D1693">
      <w:pPr>
        <w:rPr>
          <w:lang w:eastAsia="ja-JP"/>
        </w:rPr>
      </w:pPr>
    </w:p>
    <w:p w14:paraId="410434D9" w14:textId="77777777" w:rsidR="007D1693" w:rsidRDefault="007D1693" w:rsidP="007D1693">
      <w:pPr>
        <w:pStyle w:val="Quote"/>
        <w:rPr>
          <w:lang w:eastAsia="ja-JP"/>
        </w:rPr>
      </w:pPr>
      <w:r>
        <w:rPr>
          <w:lang w:eastAsia="ja-JP"/>
        </w:rPr>
        <w:t xml:space="preserve">The independence of the JFTC is not only because of the provision of Article 28 that it </w:t>
      </w:r>
      <w:r w:rsidRPr="009773EC">
        <w:rPr>
          <w:lang w:eastAsia="ja-JP"/>
        </w:rPr>
        <w:t xml:space="preserve">shall perform </w:t>
      </w:r>
      <w:r>
        <w:rPr>
          <w:lang w:eastAsia="ja-JP"/>
        </w:rPr>
        <w:t>its</w:t>
      </w:r>
      <w:r w:rsidRPr="009773EC">
        <w:rPr>
          <w:lang w:eastAsia="ja-JP"/>
        </w:rPr>
        <w:t xml:space="preserve"> authority independently</w:t>
      </w:r>
      <w:r>
        <w:rPr>
          <w:lang w:eastAsia="ja-JP"/>
        </w:rPr>
        <w:t xml:space="preserve">; this provision emphasises the framer’s intention, but it is rather explained that the independence stems from the nature of </w:t>
      </w:r>
      <w:r w:rsidR="00743099">
        <w:rPr>
          <w:lang w:eastAsia="ja-JP"/>
        </w:rPr>
        <w:t>the</w:t>
      </w:r>
      <w:r>
        <w:rPr>
          <w:lang w:eastAsia="ja-JP"/>
        </w:rPr>
        <w:t xml:space="preserve"> assignment, and ensured by a number of ways…discussed by five commissioners, who are specialists in their respective fields. And the discussion reaches adequate settlements. This is how things work. I think there is an understanding that AMA violation cases should be sorted out in such a way. Analyses from various angles and the resulting debates should be the basis of a conclusion. (</w:t>
      </w:r>
      <w:r w:rsidR="007634ED">
        <w:rPr>
          <w:lang w:eastAsia="ja-JP"/>
        </w:rPr>
        <w:t>Interview with</w:t>
      </w:r>
      <w:r>
        <w:rPr>
          <w:lang w:eastAsia="ja-JP"/>
        </w:rPr>
        <w:t xml:space="preserve"> a senior civil servant)</w:t>
      </w:r>
    </w:p>
    <w:p w14:paraId="596C3110" w14:textId="77777777" w:rsidR="007D1693" w:rsidRDefault="007D1693" w:rsidP="007D1693">
      <w:pPr>
        <w:rPr>
          <w:lang w:eastAsia="ja-JP"/>
        </w:rPr>
      </w:pPr>
    </w:p>
    <w:p w14:paraId="26A3108D" w14:textId="77777777" w:rsidR="007D1693" w:rsidRDefault="007D1693" w:rsidP="007D1693">
      <w:pPr>
        <w:rPr>
          <w:lang w:eastAsia="ja-JP"/>
        </w:rPr>
      </w:pPr>
      <w:r w:rsidRPr="00BE1C29">
        <w:rPr>
          <w:lang w:eastAsia="ja-JP"/>
        </w:rPr>
        <w:t xml:space="preserve">Her viewpoints focusing on the nature of the AMA </w:t>
      </w:r>
      <w:r w:rsidR="00525D72" w:rsidRPr="00BE1C29">
        <w:rPr>
          <w:lang w:eastAsia="ja-JP"/>
        </w:rPr>
        <w:t>w</w:t>
      </w:r>
      <w:r w:rsidR="00525D72">
        <w:rPr>
          <w:lang w:eastAsia="ja-JP"/>
        </w:rPr>
        <w:t>ere</w:t>
      </w:r>
      <w:r w:rsidR="00525D72" w:rsidRPr="00BE1C29">
        <w:rPr>
          <w:lang w:eastAsia="ja-JP"/>
        </w:rPr>
        <w:t xml:space="preserve"> </w:t>
      </w:r>
      <w:r w:rsidRPr="00BE1C29">
        <w:rPr>
          <w:lang w:eastAsia="ja-JP"/>
        </w:rPr>
        <w:t>shared by another JFTC official: ‘…the</w:t>
      </w:r>
      <w:r>
        <w:rPr>
          <w:lang w:eastAsia="ja-JP"/>
        </w:rPr>
        <w:t xml:space="preserve"> AMA, which is called the constitution of economy, is a basic legal document for maintaining the liberalist, or capitalist economy. </w:t>
      </w:r>
      <w:r>
        <w:rPr>
          <w:rFonts w:hint="eastAsia"/>
          <w:lang w:eastAsia="ja-JP"/>
        </w:rPr>
        <w:t>Such a characteristic</w:t>
      </w:r>
      <w:r>
        <w:rPr>
          <w:lang w:eastAsia="ja-JP"/>
        </w:rPr>
        <w:t xml:space="preserve"> requires neutral law enforcement based on economic theories…I suggest there is a consensus on this in Japan…’ (</w:t>
      </w:r>
      <w:r w:rsidR="007634ED">
        <w:rPr>
          <w:lang w:eastAsia="ja-JP"/>
        </w:rPr>
        <w:t>Interview with</w:t>
      </w:r>
      <w:r>
        <w:rPr>
          <w:lang w:eastAsia="ja-JP"/>
        </w:rPr>
        <w:t xml:space="preserve"> a JFTC civil servant). He also </w:t>
      </w:r>
      <w:r>
        <w:rPr>
          <w:rFonts w:hint="eastAsia"/>
          <w:lang w:eastAsia="ja-JP"/>
        </w:rPr>
        <w:t>differentiated</w:t>
      </w:r>
      <w:r>
        <w:rPr>
          <w:lang w:eastAsia="ja-JP"/>
        </w:rPr>
        <w:t xml:space="preserve"> the AMA from other regulatory law</w:t>
      </w:r>
      <w:r>
        <w:rPr>
          <w:rFonts w:hint="eastAsia"/>
          <w:lang w:eastAsia="ja-JP"/>
        </w:rPr>
        <w:t>s</w:t>
      </w:r>
      <w:r>
        <w:rPr>
          <w:lang w:eastAsia="ja-JP"/>
        </w:rPr>
        <w:t xml:space="preserve">: ‘…the JFTC has got various criticisms such as “it doesn’t know the industry”, but because what is a law violation is evident, it can apply the law to whatever the product and whatever the boundaries (between the </w:t>
      </w:r>
      <w:r>
        <w:rPr>
          <w:rFonts w:hint="eastAsia"/>
          <w:lang w:eastAsia="ja-JP"/>
        </w:rPr>
        <w:t>product</w:t>
      </w:r>
      <w:r>
        <w:rPr>
          <w:lang w:eastAsia="ja-JP"/>
        </w:rPr>
        <w:t>’</w:t>
      </w:r>
      <w:r>
        <w:rPr>
          <w:rFonts w:hint="eastAsia"/>
          <w:lang w:eastAsia="ja-JP"/>
        </w:rPr>
        <w:t xml:space="preserve">s </w:t>
      </w:r>
      <w:r>
        <w:rPr>
          <w:lang w:eastAsia="ja-JP"/>
        </w:rPr>
        <w:t>market)’ (</w:t>
      </w:r>
      <w:r w:rsidR="007634ED">
        <w:rPr>
          <w:lang w:eastAsia="ja-JP"/>
        </w:rPr>
        <w:t>Interview with</w:t>
      </w:r>
      <w:r>
        <w:rPr>
          <w:lang w:eastAsia="ja-JP"/>
        </w:rPr>
        <w:t xml:space="preserve"> a JFTC civil servant). In a similar vein, a senior JFTC civil servant </w:t>
      </w:r>
      <w:r>
        <w:rPr>
          <w:rFonts w:hint="eastAsia"/>
          <w:lang w:eastAsia="ja-JP"/>
        </w:rPr>
        <w:t xml:space="preserve">highlighted a characteristic of </w:t>
      </w:r>
      <w:r>
        <w:rPr>
          <w:lang w:eastAsia="ja-JP"/>
        </w:rPr>
        <w:t xml:space="preserve">the JFTC </w:t>
      </w:r>
      <w:r>
        <w:rPr>
          <w:rFonts w:hint="eastAsia"/>
          <w:lang w:eastAsia="ja-JP"/>
        </w:rPr>
        <w:t xml:space="preserve">as </w:t>
      </w:r>
      <w:r>
        <w:rPr>
          <w:lang w:eastAsia="ja-JP"/>
        </w:rPr>
        <w:t>concentrat</w:t>
      </w:r>
      <w:r>
        <w:rPr>
          <w:rFonts w:hint="eastAsia"/>
          <w:lang w:eastAsia="ja-JP"/>
        </w:rPr>
        <w:t>ing</w:t>
      </w:r>
      <w:r>
        <w:rPr>
          <w:lang w:eastAsia="ja-JP"/>
        </w:rPr>
        <w:t xml:space="preserve"> on regulation:</w:t>
      </w:r>
    </w:p>
    <w:p w14:paraId="58BEAD9D" w14:textId="77777777" w:rsidR="007D1693" w:rsidRDefault="007D1693" w:rsidP="007D1693">
      <w:pPr>
        <w:rPr>
          <w:lang w:eastAsia="ja-JP"/>
        </w:rPr>
      </w:pPr>
    </w:p>
    <w:p w14:paraId="26174950" w14:textId="77777777" w:rsidR="007D1693" w:rsidRDefault="007D1693" w:rsidP="007D1693">
      <w:pPr>
        <w:pStyle w:val="Quote"/>
        <w:rPr>
          <w:lang w:eastAsia="ja-JP"/>
        </w:rPr>
      </w:pPr>
      <w:r>
        <w:rPr>
          <w:lang w:eastAsia="ja-JP"/>
        </w:rPr>
        <w:t>…if the JFTC were such a government organisation as overseeing and developing responsible industries it would have two kind</w:t>
      </w:r>
      <w:r>
        <w:rPr>
          <w:rFonts w:hint="eastAsia"/>
          <w:lang w:eastAsia="ja-JP"/>
        </w:rPr>
        <w:t>s</w:t>
      </w:r>
      <w:r>
        <w:rPr>
          <w:lang w:eastAsia="ja-JP"/>
        </w:rPr>
        <w:t xml:space="preserve"> of responsibilities and have conflicts (of interests), but the JFTC doesn’t have responsible industries, and just implement</w:t>
      </w:r>
      <w:r w:rsidR="009B3805">
        <w:rPr>
          <w:lang w:eastAsia="ja-JP"/>
        </w:rPr>
        <w:t>s</w:t>
      </w:r>
      <w:r>
        <w:rPr>
          <w:lang w:eastAsia="ja-JP"/>
        </w:rPr>
        <w:t xml:space="preserve"> so-called regulation; in that way, it just regulates and can decide and implement according to the provisions of the AMA. (</w:t>
      </w:r>
      <w:r w:rsidR="007634ED">
        <w:rPr>
          <w:lang w:eastAsia="ja-JP"/>
        </w:rPr>
        <w:t>Interview with</w:t>
      </w:r>
      <w:r>
        <w:rPr>
          <w:lang w:eastAsia="ja-JP"/>
        </w:rPr>
        <w:t xml:space="preserve"> a senior JFTC civil servant) </w:t>
      </w:r>
    </w:p>
    <w:p w14:paraId="66643D67" w14:textId="77777777" w:rsidR="007D1693" w:rsidRDefault="007D1693" w:rsidP="007D1693">
      <w:pPr>
        <w:rPr>
          <w:lang w:eastAsia="ja-JP"/>
        </w:rPr>
      </w:pPr>
    </w:p>
    <w:p w14:paraId="2E94933A" w14:textId="77777777" w:rsidR="007D1693" w:rsidRDefault="007D1693" w:rsidP="007D1693">
      <w:pPr>
        <w:rPr>
          <w:lang w:eastAsia="ja-JP"/>
        </w:rPr>
      </w:pPr>
      <w:r>
        <w:rPr>
          <w:rFonts w:hint="eastAsia"/>
          <w:lang w:eastAsia="ja-JP"/>
        </w:rPr>
        <w:t>According to these accounts, the AMA was a basic law which could be applied in a generalised manner and concentrating on the AMA the JFTC was free from a conflict of interest between a</w:t>
      </w:r>
      <w:r>
        <w:rPr>
          <w:lang w:eastAsia="ja-JP"/>
        </w:rPr>
        <w:t xml:space="preserve"> developmental orientation described by Johnson (1982)</w:t>
      </w:r>
      <w:r>
        <w:rPr>
          <w:rFonts w:hint="eastAsia"/>
          <w:lang w:eastAsia="ja-JP"/>
        </w:rPr>
        <w:t xml:space="preserve"> and a regulatory orientation</w:t>
      </w:r>
      <w:r>
        <w:rPr>
          <w:lang w:eastAsia="ja-JP"/>
        </w:rPr>
        <w:t>.</w:t>
      </w:r>
    </w:p>
    <w:p w14:paraId="14E0E6BF" w14:textId="77777777" w:rsidR="007D1693" w:rsidRDefault="007D1693" w:rsidP="00C20866">
      <w:pPr>
        <w:ind w:firstLineChars="122" w:firstLine="277"/>
        <w:rPr>
          <w:lang w:eastAsia="ja-JP"/>
        </w:rPr>
      </w:pPr>
      <w:r w:rsidRPr="003636D0">
        <w:rPr>
          <w:lang w:eastAsia="ja-JP"/>
        </w:rPr>
        <w:t>T</w:t>
      </w:r>
      <w:r w:rsidRPr="003636D0">
        <w:rPr>
          <w:rFonts w:hint="eastAsia"/>
          <w:lang w:eastAsia="ja-JP"/>
        </w:rPr>
        <w:t xml:space="preserve">he above accounts reveal </w:t>
      </w:r>
      <w:r w:rsidR="00D528A0">
        <w:rPr>
          <w:lang w:eastAsia="ja-JP"/>
        </w:rPr>
        <w:t xml:space="preserve">the points related to </w:t>
      </w:r>
      <w:r w:rsidRPr="003636D0">
        <w:rPr>
          <w:rFonts w:hint="eastAsia"/>
          <w:lang w:eastAsia="ja-JP"/>
        </w:rPr>
        <w:t>the JFTC</w:t>
      </w:r>
      <w:r w:rsidRPr="003636D0">
        <w:rPr>
          <w:lang w:eastAsia="ja-JP"/>
        </w:rPr>
        <w:t>’</w:t>
      </w:r>
      <w:r w:rsidRPr="003636D0">
        <w:rPr>
          <w:rFonts w:hint="eastAsia"/>
          <w:lang w:eastAsia="ja-JP"/>
        </w:rPr>
        <w:t>s independence</w:t>
      </w:r>
      <w:r w:rsidR="00D528A0">
        <w:rPr>
          <w:lang w:eastAsia="ja-JP"/>
        </w:rPr>
        <w:t>:</w:t>
      </w:r>
      <w:r w:rsidRPr="003636D0">
        <w:rPr>
          <w:rFonts w:hint="eastAsia"/>
          <w:lang w:eastAsia="ja-JP"/>
        </w:rPr>
        <w:t xml:space="preserve"> </w:t>
      </w:r>
      <w:r w:rsidR="00D528A0">
        <w:rPr>
          <w:lang w:eastAsia="ja-JP"/>
        </w:rPr>
        <w:t>the JFTC’s</w:t>
      </w:r>
      <w:r w:rsidRPr="003636D0">
        <w:rPr>
          <w:rFonts w:hint="eastAsia"/>
          <w:lang w:eastAsia="ja-JP"/>
        </w:rPr>
        <w:t xml:space="preserve"> </w:t>
      </w:r>
      <w:r w:rsidRPr="003636D0">
        <w:rPr>
          <w:lang w:eastAsia="ja-JP"/>
        </w:rPr>
        <w:t>unique</w:t>
      </w:r>
      <w:r w:rsidRPr="003636D0">
        <w:rPr>
          <w:rFonts w:hint="eastAsia"/>
          <w:lang w:eastAsia="ja-JP"/>
        </w:rPr>
        <w:t xml:space="preserve"> responsibilities</w:t>
      </w:r>
      <w:r>
        <w:rPr>
          <w:rFonts w:hint="eastAsia"/>
          <w:lang w:eastAsia="ja-JP"/>
        </w:rPr>
        <w:t xml:space="preserve"> which </w:t>
      </w:r>
      <w:r w:rsidR="00525D72">
        <w:rPr>
          <w:lang w:eastAsia="ja-JP"/>
        </w:rPr>
        <w:t>cannot be assumed by others</w:t>
      </w:r>
      <w:r>
        <w:rPr>
          <w:rFonts w:hint="eastAsia"/>
          <w:lang w:eastAsia="ja-JP"/>
        </w:rPr>
        <w:t xml:space="preserve">, an </w:t>
      </w:r>
      <w:r>
        <w:rPr>
          <w:lang w:eastAsia="ja-JP"/>
        </w:rPr>
        <w:t xml:space="preserve">institutional </w:t>
      </w:r>
      <w:r>
        <w:rPr>
          <w:rFonts w:hint="eastAsia"/>
          <w:lang w:eastAsia="ja-JP"/>
        </w:rPr>
        <w:t>necessity as a quasi judicial organisation, and</w:t>
      </w:r>
      <w:r w:rsidRPr="005A6001">
        <w:rPr>
          <w:rFonts w:hint="eastAsia"/>
          <w:lang w:eastAsia="ja-JP"/>
        </w:rPr>
        <w:t xml:space="preserve"> </w:t>
      </w:r>
      <w:r>
        <w:rPr>
          <w:rFonts w:hint="eastAsia"/>
          <w:lang w:eastAsia="ja-JP"/>
        </w:rPr>
        <w:t xml:space="preserve">a </w:t>
      </w:r>
      <w:r w:rsidR="00147583">
        <w:rPr>
          <w:lang w:eastAsia="ja-JP"/>
        </w:rPr>
        <w:t>shield</w:t>
      </w:r>
      <w:r w:rsidR="003B4C1E">
        <w:rPr>
          <w:lang w:eastAsia="ja-JP"/>
        </w:rPr>
        <w:t xml:space="preserve"> that the distance from the Cabinet </w:t>
      </w:r>
      <w:r w:rsidR="00147583">
        <w:rPr>
          <w:lang w:eastAsia="ja-JP"/>
        </w:rPr>
        <w:t>offered</w:t>
      </w:r>
      <w:r w:rsidR="003B4C1E">
        <w:rPr>
          <w:lang w:eastAsia="ja-JP"/>
        </w:rPr>
        <w:t xml:space="preserve"> by the JFTC’s independent status </w:t>
      </w:r>
      <w:r w:rsidR="00FA21DB">
        <w:rPr>
          <w:lang w:eastAsia="ja-JP"/>
        </w:rPr>
        <w:t xml:space="preserve">against its adversaries </w:t>
      </w:r>
      <w:r w:rsidR="003B4C1E">
        <w:rPr>
          <w:lang w:eastAsia="ja-JP"/>
        </w:rPr>
        <w:t>contributed to enhancing the JFTC’s power in its confrontations to adversaries such as other government ministries.</w:t>
      </w:r>
    </w:p>
    <w:p w14:paraId="1300FC97" w14:textId="77777777" w:rsidR="007D1693" w:rsidRDefault="007D1693" w:rsidP="0024471C">
      <w:pPr>
        <w:ind w:firstLineChars="122" w:firstLine="277"/>
        <w:rPr>
          <w:lang w:eastAsia="ja-JP"/>
        </w:rPr>
      </w:pPr>
      <w:r>
        <w:rPr>
          <w:lang w:eastAsia="ja-JP"/>
        </w:rPr>
        <w:t>When Japan’s independent administrative commissions were reorganised</w:t>
      </w:r>
      <w:r>
        <w:rPr>
          <w:rFonts w:hint="eastAsia"/>
          <w:lang w:eastAsia="ja-JP"/>
        </w:rPr>
        <w:t xml:space="preserve"> in the 1950s</w:t>
      </w:r>
      <w:r>
        <w:rPr>
          <w:lang w:eastAsia="ja-JP"/>
        </w:rPr>
        <w:t xml:space="preserve">, no government ministry emerged as a suitable </w:t>
      </w:r>
      <w:r>
        <w:rPr>
          <w:rFonts w:hint="eastAsia"/>
          <w:lang w:eastAsia="ja-JP"/>
        </w:rPr>
        <w:t>successor to the JFTC</w:t>
      </w:r>
      <w:r>
        <w:rPr>
          <w:lang w:eastAsia="ja-JP"/>
        </w:rPr>
        <w:t xml:space="preserve"> with appropriate expertise</w:t>
      </w:r>
      <w:r>
        <w:rPr>
          <w:rFonts w:hint="eastAsia"/>
          <w:lang w:eastAsia="ja-JP"/>
        </w:rPr>
        <w:t>, because the AMA regime was newly established in 1947</w:t>
      </w:r>
      <w:r>
        <w:rPr>
          <w:lang w:eastAsia="ja-JP"/>
        </w:rPr>
        <w:t xml:space="preserve">. This </w:t>
      </w:r>
      <w:r>
        <w:rPr>
          <w:rFonts w:hint="eastAsia"/>
          <w:lang w:eastAsia="ja-JP"/>
        </w:rPr>
        <w:t xml:space="preserve">historical </w:t>
      </w:r>
      <w:r>
        <w:rPr>
          <w:lang w:eastAsia="ja-JP"/>
        </w:rPr>
        <w:t>background can be understood as a reason why no other government organisation absorbed the JFTC and the AMA.</w:t>
      </w:r>
    </w:p>
    <w:p w14:paraId="27E6E01C" w14:textId="77777777" w:rsidR="007D1693" w:rsidRDefault="007D1693" w:rsidP="0024471C">
      <w:pPr>
        <w:ind w:firstLineChars="122" w:firstLine="277"/>
        <w:rPr>
          <w:lang w:eastAsia="ja-JP"/>
        </w:rPr>
      </w:pPr>
      <w:r>
        <w:rPr>
          <w:lang w:eastAsia="ja-JP"/>
        </w:rPr>
        <w:t>The second reason is that the JFTC has a quasi judicial complaint system</w:t>
      </w:r>
      <w:r>
        <w:rPr>
          <w:rFonts w:hint="eastAsia"/>
          <w:lang w:eastAsia="ja-JP"/>
        </w:rPr>
        <w:t xml:space="preserve">, </w:t>
      </w:r>
      <w:r>
        <w:rPr>
          <w:lang w:eastAsia="ja-JP"/>
        </w:rPr>
        <w:t>equipping</w:t>
      </w:r>
      <w:r>
        <w:rPr>
          <w:rFonts w:hint="eastAsia"/>
          <w:lang w:eastAsia="ja-JP"/>
        </w:rPr>
        <w:t xml:space="preserve"> it with </w:t>
      </w:r>
      <w:r>
        <w:rPr>
          <w:lang w:eastAsia="ja-JP"/>
        </w:rPr>
        <w:t>a quasi judicial characteristic</w:t>
      </w:r>
      <w:r>
        <w:rPr>
          <w:rFonts w:hint="eastAsia"/>
          <w:lang w:eastAsia="ja-JP"/>
        </w:rPr>
        <w:t xml:space="preserve">. There has been an understanding that a quasi judicial task such as the complaint system is better to be handled by an independent commission rather than an ordinary government ministry </w:t>
      </w:r>
      <w:r>
        <w:rPr>
          <w:lang w:eastAsia="ja-JP"/>
        </w:rPr>
        <w:t>supervised</w:t>
      </w:r>
      <w:r>
        <w:rPr>
          <w:rFonts w:hint="eastAsia"/>
          <w:lang w:eastAsia="ja-JP"/>
        </w:rPr>
        <w:t xml:space="preserve"> by elected officials</w:t>
      </w:r>
      <w:r>
        <w:rPr>
          <w:lang w:eastAsia="ja-JP"/>
        </w:rPr>
        <w:t>.</w:t>
      </w:r>
    </w:p>
    <w:p w14:paraId="5F304EF0" w14:textId="77777777" w:rsidR="007D1693" w:rsidRDefault="007D1693" w:rsidP="0015338F">
      <w:pPr>
        <w:ind w:firstLineChars="122" w:firstLine="277"/>
        <w:rPr>
          <w:lang w:eastAsia="ja-JP"/>
        </w:rPr>
      </w:pPr>
      <w:r>
        <w:rPr>
          <w:lang w:eastAsia="ja-JP"/>
        </w:rPr>
        <w:t xml:space="preserve">The abolition of the complaint system, which was the major content of the AMA amendment bill put before the Diet </w:t>
      </w:r>
      <w:r w:rsidR="009B3805">
        <w:rPr>
          <w:lang w:eastAsia="ja-JP"/>
        </w:rPr>
        <w:t>o</w:t>
      </w:r>
      <w:r>
        <w:rPr>
          <w:lang w:eastAsia="ja-JP"/>
        </w:rPr>
        <w:t xml:space="preserve">n 12 March 2010, </w:t>
      </w:r>
      <w:r w:rsidR="0015338F">
        <w:rPr>
          <w:lang w:eastAsia="ja-JP"/>
        </w:rPr>
        <w:t>undermines</w:t>
      </w:r>
      <w:r>
        <w:rPr>
          <w:rFonts w:hint="eastAsia"/>
          <w:lang w:eastAsia="ja-JP"/>
        </w:rPr>
        <w:t xml:space="preserve"> the second reason</w:t>
      </w:r>
      <w:r>
        <w:rPr>
          <w:lang w:eastAsia="ja-JP"/>
        </w:rPr>
        <w:t xml:space="preserve">. The abolition stems from the conflict of interest and the growth of the JFTC’s power, as Okiharu Yasuoka (2008 p.120), who was the Chairman of the LDP AMA Examination Committee in 2006 and </w:t>
      </w:r>
      <w:r>
        <w:rPr>
          <w:rFonts w:hint="eastAsia"/>
          <w:lang w:eastAsia="ja-JP"/>
        </w:rPr>
        <w:t xml:space="preserve">led the debate about </w:t>
      </w:r>
      <w:r>
        <w:rPr>
          <w:lang w:eastAsia="ja-JP"/>
        </w:rPr>
        <w:t>the abolition of the complaint system, comments:</w:t>
      </w:r>
    </w:p>
    <w:p w14:paraId="5B5132F0" w14:textId="77777777" w:rsidR="007D1693" w:rsidRDefault="007D1693" w:rsidP="007D1693">
      <w:pPr>
        <w:rPr>
          <w:lang w:eastAsia="ja-JP"/>
        </w:rPr>
      </w:pPr>
    </w:p>
    <w:p w14:paraId="551C14A7" w14:textId="2635082A" w:rsidR="00495655" w:rsidRDefault="007D1693" w:rsidP="005B18BE">
      <w:pPr>
        <w:pStyle w:val="Quote"/>
        <w:rPr>
          <w:lang w:eastAsia="ja-JP"/>
        </w:rPr>
      </w:pPr>
      <w:r>
        <w:rPr>
          <w:lang w:eastAsia="ja-JP"/>
        </w:rPr>
        <w:t xml:space="preserve">…the </w:t>
      </w:r>
      <w:r>
        <w:rPr>
          <w:rFonts w:hint="eastAsia"/>
          <w:lang w:eastAsia="ja-JP"/>
        </w:rPr>
        <w:t>JFTC</w:t>
      </w:r>
      <w:r>
        <w:rPr>
          <w:lang w:eastAsia="ja-JP"/>
        </w:rPr>
        <w:t xml:space="preserve"> has the investigation and complaint functions which resembles ‘a merger between the public prosecutor and the judge’ but no other similar example exists in the world as well as other institutions in Japan…As corporate activities are globalised and trade become</w:t>
      </w:r>
      <w:r w:rsidR="009B3805">
        <w:rPr>
          <w:lang w:eastAsia="ja-JP"/>
        </w:rPr>
        <w:t>s</w:t>
      </w:r>
      <w:r>
        <w:rPr>
          <w:lang w:eastAsia="ja-JP"/>
        </w:rPr>
        <w:t xml:space="preserve"> complicated, the </w:t>
      </w:r>
      <w:r>
        <w:rPr>
          <w:rFonts w:hint="eastAsia"/>
          <w:lang w:eastAsia="ja-JP"/>
        </w:rPr>
        <w:t>JFTC</w:t>
      </w:r>
      <w:r>
        <w:rPr>
          <w:lang w:eastAsia="ja-JP"/>
        </w:rPr>
        <w:t>, which ha</w:t>
      </w:r>
      <w:r w:rsidR="009B3805">
        <w:rPr>
          <w:lang w:eastAsia="ja-JP"/>
        </w:rPr>
        <w:t>s</w:t>
      </w:r>
      <w:r>
        <w:rPr>
          <w:lang w:eastAsia="ja-JP"/>
        </w:rPr>
        <w:t xml:space="preserve"> obtained great power including the surcharge system, </w:t>
      </w:r>
      <w:r>
        <w:rPr>
          <w:rFonts w:hint="eastAsia"/>
          <w:lang w:eastAsia="ja-JP"/>
        </w:rPr>
        <w:t>needs</w:t>
      </w:r>
      <w:r>
        <w:rPr>
          <w:lang w:eastAsia="ja-JP"/>
        </w:rPr>
        <w:t xml:space="preserve"> </w:t>
      </w:r>
      <w:r>
        <w:rPr>
          <w:rFonts w:hint="eastAsia"/>
          <w:lang w:eastAsia="ja-JP"/>
        </w:rPr>
        <w:t xml:space="preserve">a </w:t>
      </w:r>
      <w:r>
        <w:rPr>
          <w:lang w:eastAsia="ja-JP"/>
        </w:rPr>
        <w:t xml:space="preserve">comprehensive review </w:t>
      </w:r>
      <w:r>
        <w:rPr>
          <w:rFonts w:hint="eastAsia"/>
          <w:lang w:eastAsia="ja-JP"/>
        </w:rPr>
        <w:t xml:space="preserve">of </w:t>
      </w:r>
      <w:r>
        <w:rPr>
          <w:lang w:eastAsia="ja-JP"/>
        </w:rPr>
        <w:t>its institutional framework</w:t>
      </w:r>
      <w:r>
        <w:rPr>
          <w:rFonts w:hint="eastAsia"/>
          <w:lang w:eastAsia="ja-JP"/>
        </w:rPr>
        <w:t xml:space="preserve"> and </w:t>
      </w:r>
      <w:r>
        <w:rPr>
          <w:lang w:eastAsia="ja-JP"/>
        </w:rPr>
        <w:t>adequate enhancement</w:t>
      </w:r>
      <w:r>
        <w:rPr>
          <w:rFonts w:hint="eastAsia"/>
          <w:lang w:eastAsia="ja-JP"/>
        </w:rPr>
        <w:t xml:space="preserve"> </w:t>
      </w:r>
      <w:r>
        <w:rPr>
          <w:lang w:eastAsia="ja-JP"/>
        </w:rPr>
        <w:t>and division of power. Therefore, abolishing the complaint system and leaving its function to the revocatory lawsuits in court is an idea.</w:t>
      </w:r>
    </w:p>
    <w:p w14:paraId="315120FD" w14:textId="77777777" w:rsidR="007D1693" w:rsidRDefault="007D1693" w:rsidP="007D1693">
      <w:pPr>
        <w:rPr>
          <w:lang w:eastAsia="ja-JP"/>
        </w:rPr>
      </w:pPr>
    </w:p>
    <w:p w14:paraId="106B46FB" w14:textId="77777777" w:rsidR="007D1693" w:rsidRDefault="007D1693" w:rsidP="00595D22">
      <w:pPr>
        <w:rPr>
          <w:lang w:eastAsia="ja-JP"/>
        </w:rPr>
      </w:pPr>
      <w:r>
        <w:rPr>
          <w:lang w:eastAsia="ja-JP"/>
        </w:rPr>
        <w:t xml:space="preserve">A </w:t>
      </w:r>
      <w:r>
        <w:rPr>
          <w:rFonts w:hint="eastAsia"/>
          <w:lang w:eastAsia="ja-JP"/>
        </w:rPr>
        <w:t xml:space="preserve">view </w:t>
      </w:r>
      <w:r w:rsidR="00525D72">
        <w:rPr>
          <w:lang w:eastAsia="ja-JP"/>
        </w:rPr>
        <w:t>presented</w:t>
      </w:r>
      <w:r>
        <w:rPr>
          <w:rFonts w:hint="eastAsia"/>
          <w:lang w:eastAsia="ja-JP"/>
        </w:rPr>
        <w:t xml:space="preserve"> in the interview</w:t>
      </w:r>
      <w:r w:rsidR="00525D72">
        <w:rPr>
          <w:lang w:eastAsia="ja-JP"/>
        </w:rPr>
        <w:t>s</w:t>
      </w:r>
      <w:r w:rsidR="00595D22">
        <w:rPr>
          <w:lang w:eastAsia="ja-JP"/>
        </w:rPr>
        <w:t xml:space="preserve"> </w:t>
      </w:r>
      <w:r w:rsidR="00525D72">
        <w:rPr>
          <w:lang w:eastAsia="ja-JP"/>
        </w:rPr>
        <w:t>was</w:t>
      </w:r>
      <w:r>
        <w:rPr>
          <w:lang w:eastAsia="ja-JP"/>
        </w:rPr>
        <w:t xml:space="preserve"> that the abolition of the complaint system </w:t>
      </w:r>
      <w:r w:rsidR="00595D22">
        <w:rPr>
          <w:lang w:eastAsia="ja-JP"/>
        </w:rPr>
        <w:t xml:space="preserve">would </w:t>
      </w:r>
      <w:r>
        <w:rPr>
          <w:rFonts w:hint="eastAsia"/>
          <w:lang w:eastAsia="ja-JP"/>
        </w:rPr>
        <w:t>undermine</w:t>
      </w:r>
      <w:r>
        <w:rPr>
          <w:lang w:eastAsia="ja-JP"/>
        </w:rPr>
        <w:t xml:space="preserve"> the meaning of the JFTC as an independent commission, because other government organisations such as the National Tax Agency, the Financial Services Agency, and the Public Prosecutor’s Office also have a</w:t>
      </w:r>
      <w:r w:rsidR="009B3805">
        <w:rPr>
          <w:lang w:eastAsia="ja-JP"/>
        </w:rPr>
        <w:t>n</w:t>
      </w:r>
      <w:r>
        <w:rPr>
          <w:lang w:eastAsia="ja-JP"/>
        </w:rPr>
        <w:t xml:space="preserve"> investigative function based on </w:t>
      </w:r>
      <w:r>
        <w:rPr>
          <w:rFonts w:hint="eastAsia"/>
          <w:lang w:eastAsia="ja-JP"/>
        </w:rPr>
        <w:t xml:space="preserve">the principle of </w:t>
      </w:r>
      <w:r>
        <w:rPr>
          <w:lang w:eastAsia="ja-JP"/>
        </w:rPr>
        <w:t xml:space="preserve">neutral and independent law enforcement. </w:t>
      </w:r>
      <w:r>
        <w:rPr>
          <w:rFonts w:hint="eastAsia"/>
        </w:rPr>
        <w:t xml:space="preserve">For example, a law professor </w:t>
      </w:r>
      <w:r>
        <w:rPr>
          <w:rFonts w:hint="eastAsia"/>
          <w:lang w:eastAsia="ja-JP"/>
        </w:rPr>
        <w:t xml:space="preserve">who </w:t>
      </w:r>
      <w:r>
        <w:rPr>
          <w:rFonts w:hint="eastAsia"/>
        </w:rPr>
        <w:t xml:space="preserve">specialised in the AMA and had a long relationship with the JFTC </w:t>
      </w:r>
      <w:r>
        <w:t xml:space="preserve">commented: ‘…if the complaint system is abolished, </w:t>
      </w:r>
      <w:r>
        <w:rPr>
          <w:rFonts w:hint="eastAsia"/>
          <w:lang w:eastAsia="ja-JP"/>
        </w:rPr>
        <w:t>t</w:t>
      </w:r>
      <w:r>
        <w:t xml:space="preserve">he JFTC’s independence will disappear in the future, I think. In my </w:t>
      </w:r>
      <w:r>
        <w:rPr>
          <w:rFonts w:hint="eastAsia"/>
          <w:lang w:eastAsia="ja-JP"/>
        </w:rPr>
        <w:t>view</w:t>
      </w:r>
      <w:r>
        <w:t xml:space="preserve"> it has independence because its task contains something similar </w:t>
      </w:r>
      <w:r>
        <w:rPr>
          <w:rFonts w:hint="eastAsia"/>
          <w:lang w:eastAsia="ja-JP"/>
        </w:rPr>
        <w:t>to</w:t>
      </w:r>
      <w:r>
        <w:t xml:space="preserve"> a court’</w:t>
      </w:r>
      <w:r>
        <w:rPr>
          <w:rFonts w:hint="eastAsia"/>
          <w:lang w:eastAsia="ja-JP"/>
        </w:rPr>
        <w:t xml:space="preserve"> </w:t>
      </w:r>
      <w:r>
        <w:t>(</w:t>
      </w:r>
      <w:r w:rsidR="007634ED">
        <w:t>Interview with</w:t>
      </w:r>
      <w:r>
        <w:t xml:space="preserve"> a law professor (AMA)). </w:t>
      </w:r>
      <w:r>
        <w:rPr>
          <w:rFonts w:hint="eastAsia"/>
          <w:lang w:eastAsia="ja-JP"/>
        </w:rPr>
        <w:t xml:space="preserve">A similar comment was offered by </w:t>
      </w:r>
      <w:r>
        <w:rPr>
          <w:lang w:eastAsia="ja-JP"/>
        </w:rPr>
        <w:t>an</w:t>
      </w:r>
      <w:r>
        <w:rPr>
          <w:rFonts w:hint="eastAsia"/>
          <w:lang w:eastAsia="ja-JP"/>
        </w:rPr>
        <w:t xml:space="preserve"> AMA lawyer: </w:t>
      </w:r>
      <w:r>
        <w:rPr>
          <w:lang w:eastAsia="ja-JP"/>
        </w:rPr>
        <w:t>‘…</w:t>
      </w:r>
      <w:r>
        <w:rPr>
          <w:rFonts w:hint="eastAsia"/>
          <w:lang w:eastAsia="ja-JP"/>
        </w:rPr>
        <w:t>when the current AMA amendment bill abolishes the complaint system and the private firms directly complain to the court, then the argument that the quasi judicial function should be independent will disappear</w:t>
      </w:r>
      <w:r>
        <w:rPr>
          <w:lang w:eastAsia="ja-JP"/>
        </w:rPr>
        <w:t>’</w:t>
      </w:r>
      <w:r>
        <w:rPr>
          <w:rFonts w:hint="eastAsia"/>
          <w:lang w:eastAsia="ja-JP"/>
        </w:rPr>
        <w:t xml:space="preserve">. </w:t>
      </w:r>
      <w:r>
        <w:t xml:space="preserve">Another </w:t>
      </w:r>
      <w:r>
        <w:rPr>
          <w:rFonts w:hint="eastAsia"/>
          <w:lang w:eastAsia="ja-JP"/>
        </w:rPr>
        <w:t>view highlighted mainly by JFTC officials</w:t>
      </w:r>
      <w:r>
        <w:t xml:space="preserve"> </w:t>
      </w:r>
      <w:r>
        <w:rPr>
          <w:rFonts w:hint="eastAsia"/>
          <w:lang w:eastAsia="ja-JP"/>
        </w:rPr>
        <w:t xml:space="preserve">offers a defence of independence referring to </w:t>
      </w:r>
      <w:r w:rsidR="009B3805">
        <w:t>the</w:t>
      </w:r>
      <w:r>
        <w:t xml:space="preserve"> nature of the AMA which enables a general application to various cases and requires a neutral approach to implementation</w:t>
      </w:r>
      <w:r>
        <w:rPr>
          <w:rFonts w:hint="eastAsia"/>
          <w:lang w:eastAsia="ja-JP"/>
        </w:rPr>
        <w:t>, and the fact that the JFTC has no conflict of interests between regulation and industry promotion until now</w:t>
      </w:r>
      <w:r>
        <w:t xml:space="preserve">. Taking account of the fact </w:t>
      </w:r>
      <w:r>
        <w:rPr>
          <w:rFonts w:hint="eastAsia"/>
          <w:lang w:eastAsia="ja-JP"/>
        </w:rPr>
        <w:t xml:space="preserve">that </w:t>
      </w:r>
      <w:r>
        <w:t>other government organisations also require neutral law enforcement, it does not seem to construct a robust argument to defend the independence of the JFTC.</w:t>
      </w:r>
    </w:p>
    <w:p w14:paraId="7E8EC014" w14:textId="77777777" w:rsidR="007D1693" w:rsidRDefault="007D1693" w:rsidP="0024471C">
      <w:pPr>
        <w:ind w:firstLineChars="122" w:firstLine="277"/>
      </w:pPr>
      <w:r>
        <w:t>Instead, this thesis highlights as the third reason</w:t>
      </w:r>
      <w:r>
        <w:rPr>
          <w:rFonts w:hint="eastAsia"/>
          <w:lang w:eastAsia="ja-JP"/>
        </w:rPr>
        <w:t xml:space="preserve"> emerg</w:t>
      </w:r>
      <w:r w:rsidR="000760C9">
        <w:rPr>
          <w:lang w:eastAsia="ja-JP"/>
        </w:rPr>
        <w:t>ing</w:t>
      </w:r>
      <w:r>
        <w:rPr>
          <w:rFonts w:hint="eastAsia"/>
          <w:lang w:eastAsia="ja-JP"/>
        </w:rPr>
        <w:t xml:space="preserve"> in the interview</w:t>
      </w:r>
      <w:r>
        <w:t xml:space="preserve"> </w:t>
      </w:r>
      <w:r w:rsidR="000760C9">
        <w:t xml:space="preserve">that </w:t>
      </w:r>
      <w:r>
        <w:t xml:space="preserve">the independence has </w:t>
      </w:r>
      <w:r>
        <w:rPr>
          <w:rFonts w:hint="eastAsia"/>
          <w:lang w:eastAsia="ja-JP"/>
        </w:rPr>
        <w:t>offered a kind of shield with which t</w:t>
      </w:r>
      <w:r>
        <w:t>he JFTC confront</w:t>
      </w:r>
      <w:r>
        <w:rPr>
          <w:rFonts w:hint="eastAsia"/>
          <w:lang w:eastAsia="ja-JP"/>
        </w:rPr>
        <w:t>s</w:t>
      </w:r>
      <w:r>
        <w:t xml:space="preserve"> its adversaries such as the METI. </w:t>
      </w:r>
      <w:r>
        <w:rPr>
          <w:rFonts w:hint="eastAsia"/>
          <w:lang w:eastAsia="ja-JP"/>
        </w:rPr>
        <w:t>This was commented on by a</w:t>
      </w:r>
      <w:r>
        <w:t xml:space="preserve"> number of interviewees. This benefit looks important when the JFTC was a low profile government organisation. At the same time, </w:t>
      </w:r>
      <w:r w:rsidR="000760C9">
        <w:t xml:space="preserve">the </w:t>
      </w:r>
      <w:r>
        <w:t xml:space="preserve">more </w:t>
      </w:r>
      <w:r>
        <w:rPr>
          <w:rFonts w:hint="eastAsia"/>
          <w:lang w:eastAsia="ja-JP"/>
        </w:rPr>
        <w:t xml:space="preserve">powerful </w:t>
      </w:r>
      <w:r>
        <w:t xml:space="preserve">the JFTC </w:t>
      </w:r>
      <w:r>
        <w:rPr>
          <w:rFonts w:hint="eastAsia"/>
          <w:lang w:eastAsia="ja-JP"/>
        </w:rPr>
        <w:t>becomes in bureaucracy</w:t>
      </w:r>
      <w:r>
        <w:t xml:space="preserve">, </w:t>
      </w:r>
      <w:r w:rsidR="000760C9">
        <w:t xml:space="preserve">the </w:t>
      </w:r>
      <w:r>
        <w:t>less important this benefit will be.</w:t>
      </w:r>
    </w:p>
    <w:p w14:paraId="456BC89C" w14:textId="77777777" w:rsidR="007D1693" w:rsidRDefault="007D1693" w:rsidP="0024471C">
      <w:pPr>
        <w:ind w:firstLineChars="122" w:firstLine="277"/>
        <w:rPr>
          <w:lang w:eastAsia="ja-JP"/>
        </w:rPr>
      </w:pPr>
      <w:r>
        <w:t xml:space="preserve">Interviews also revealed a problem caused by </w:t>
      </w:r>
      <w:r>
        <w:rPr>
          <w:rFonts w:hint="eastAsia"/>
          <w:lang w:eastAsia="ja-JP"/>
        </w:rPr>
        <w:t>the JFTC</w:t>
      </w:r>
      <w:r>
        <w:rPr>
          <w:lang w:eastAsia="ja-JP"/>
        </w:rPr>
        <w:t>’</w:t>
      </w:r>
      <w:r>
        <w:rPr>
          <w:rFonts w:hint="eastAsia"/>
          <w:lang w:eastAsia="ja-JP"/>
        </w:rPr>
        <w:t xml:space="preserve">s </w:t>
      </w:r>
      <w:r>
        <w:t xml:space="preserve">independent status. </w:t>
      </w:r>
      <w:r>
        <w:rPr>
          <w:rFonts w:hint="eastAsia"/>
          <w:lang w:eastAsia="ja-JP"/>
        </w:rPr>
        <w:t>T</w:t>
      </w:r>
      <w:r>
        <w:t xml:space="preserve">he JFTC </w:t>
      </w:r>
      <w:r>
        <w:rPr>
          <w:rFonts w:hint="eastAsia"/>
          <w:lang w:eastAsia="ja-JP"/>
        </w:rPr>
        <w:t>lacks democratic control in its policy making process, for its senior officials are democratically unaccountable</w:t>
      </w:r>
      <w:r>
        <w:t xml:space="preserve">. This problem is evident when a new policy is introduced. Many of </w:t>
      </w:r>
      <w:r>
        <w:rPr>
          <w:rFonts w:hint="eastAsia"/>
          <w:lang w:eastAsia="ja-JP"/>
        </w:rPr>
        <w:t xml:space="preserve">these </w:t>
      </w:r>
      <w:r>
        <w:t xml:space="preserve">new policies are introduced in the form of law amendments. Because </w:t>
      </w:r>
      <w:r>
        <w:rPr>
          <w:rFonts w:hint="eastAsia"/>
          <w:lang w:eastAsia="ja-JP"/>
        </w:rPr>
        <w:t>the Commission members are</w:t>
      </w:r>
      <w:r>
        <w:t xml:space="preserve"> not elected, there is a possibility that an AMA amendment bill is drafted without substantial supervision by democratically elected official</w:t>
      </w:r>
      <w:r>
        <w:rPr>
          <w:rFonts w:hint="eastAsia"/>
          <w:lang w:eastAsia="ja-JP"/>
        </w:rPr>
        <w:t>s</w:t>
      </w:r>
      <w:r>
        <w:t>.</w:t>
      </w:r>
      <w:r>
        <w:rPr>
          <w:rFonts w:hint="eastAsia"/>
          <w:lang w:eastAsia="ja-JP"/>
        </w:rPr>
        <w:t xml:space="preserve"> The JFTC</w:t>
      </w:r>
      <w:r>
        <w:rPr>
          <w:lang w:eastAsia="ja-JP"/>
        </w:rPr>
        <w:t>’</w:t>
      </w:r>
      <w:r>
        <w:rPr>
          <w:rFonts w:hint="eastAsia"/>
          <w:lang w:eastAsia="ja-JP"/>
        </w:rPr>
        <w:t xml:space="preserve">s official paper justifies this system by arguing that a close relationship between </w:t>
      </w:r>
      <w:r>
        <w:rPr>
          <w:lang w:eastAsia="ja-JP"/>
        </w:rPr>
        <w:t>planning</w:t>
      </w:r>
      <w:r>
        <w:rPr>
          <w:rFonts w:hint="eastAsia"/>
          <w:lang w:eastAsia="ja-JP"/>
        </w:rPr>
        <w:t xml:space="preserve">/formulating and law </w:t>
      </w:r>
      <w:r>
        <w:rPr>
          <w:lang w:eastAsia="ja-JP"/>
        </w:rPr>
        <w:t>enforcement</w:t>
      </w:r>
      <w:r>
        <w:rPr>
          <w:rFonts w:hint="eastAsia"/>
          <w:lang w:eastAsia="ja-JP"/>
        </w:rPr>
        <w:t xml:space="preserve"> is important:</w:t>
      </w:r>
    </w:p>
    <w:p w14:paraId="52FBE090" w14:textId="77777777" w:rsidR="007D1693" w:rsidRDefault="007D1693" w:rsidP="0024471C">
      <w:pPr>
        <w:ind w:firstLineChars="122" w:firstLine="277"/>
        <w:rPr>
          <w:lang w:eastAsia="ja-JP"/>
        </w:rPr>
      </w:pPr>
    </w:p>
    <w:p w14:paraId="23E2D0A0" w14:textId="07197E5D" w:rsidR="00495655" w:rsidRDefault="007D1693" w:rsidP="005B18BE">
      <w:pPr>
        <w:pStyle w:val="Quote"/>
        <w:rPr>
          <w:lang w:eastAsia="ja-JP"/>
        </w:rPr>
      </w:pPr>
      <w:r>
        <w:rPr>
          <w:rFonts w:hint="eastAsia"/>
          <w:lang w:eastAsia="ja-JP"/>
        </w:rPr>
        <w:t xml:space="preserve">in the administration of competition </w:t>
      </w:r>
      <w:r>
        <w:rPr>
          <w:lang w:eastAsia="ja-JP"/>
        </w:rPr>
        <w:t>policy …</w:t>
      </w:r>
      <w:r>
        <w:rPr>
          <w:rFonts w:hint="eastAsia"/>
          <w:lang w:eastAsia="ja-JP"/>
        </w:rPr>
        <w:t xml:space="preserve"> </w:t>
      </w:r>
      <w:r>
        <w:rPr>
          <w:lang w:eastAsia="ja-JP"/>
        </w:rPr>
        <w:t>planning</w:t>
      </w:r>
      <w:r>
        <w:rPr>
          <w:rFonts w:hint="eastAsia"/>
          <w:lang w:eastAsia="ja-JP"/>
        </w:rPr>
        <w:t xml:space="preserve"> and formulating can effectively achieve the goal of competition policy, retaining and promoting fair and free competition, only when it is based on and closely related to the practical usage of law. </w:t>
      </w:r>
      <w:r>
        <w:rPr>
          <w:lang w:eastAsia="ja-JP"/>
        </w:rPr>
        <w:t>T</w:t>
      </w:r>
      <w:r>
        <w:rPr>
          <w:rFonts w:hint="eastAsia"/>
          <w:lang w:eastAsia="ja-JP"/>
        </w:rPr>
        <w:t xml:space="preserve">herefore, in competition policy, the most effective and efficient approach is assigning the JFTC </w:t>
      </w:r>
      <w:r>
        <w:rPr>
          <w:lang w:eastAsia="ja-JP"/>
        </w:rPr>
        <w:t>planning</w:t>
      </w:r>
      <w:r>
        <w:rPr>
          <w:rFonts w:hint="eastAsia"/>
          <w:lang w:eastAsia="ja-JP"/>
        </w:rPr>
        <w:t xml:space="preserve"> and formulating and law enforcement </w:t>
      </w:r>
      <w:r w:rsidR="009465D8">
        <w:rPr>
          <w:lang w:eastAsia="ja-JP"/>
        </w:rPr>
        <w:t>together</w:t>
      </w:r>
      <w:r>
        <w:rPr>
          <w:rFonts w:hint="eastAsia"/>
          <w:lang w:eastAsia="ja-JP"/>
        </w:rPr>
        <w:t>. (JFTC 1997)</w:t>
      </w:r>
    </w:p>
    <w:p w14:paraId="4F6A5B92" w14:textId="77777777" w:rsidR="007D1693" w:rsidRDefault="007D1693" w:rsidP="007D1693">
      <w:pPr>
        <w:ind w:left="284" w:hanging="2"/>
        <w:rPr>
          <w:lang w:eastAsia="ja-JP"/>
        </w:rPr>
      </w:pPr>
    </w:p>
    <w:p w14:paraId="3E47DAE3" w14:textId="37D95EA5" w:rsidR="007D1693" w:rsidRDefault="007D1693" w:rsidP="007D1693">
      <w:pPr>
        <w:ind w:hanging="2"/>
        <w:rPr>
          <w:lang w:eastAsia="ja-JP"/>
        </w:rPr>
      </w:pPr>
      <w:r>
        <w:rPr>
          <w:rFonts w:hint="eastAsia"/>
          <w:lang w:eastAsia="ja-JP"/>
        </w:rPr>
        <w:t xml:space="preserve">It further </w:t>
      </w:r>
      <w:r>
        <w:rPr>
          <w:lang w:eastAsia="ja-JP"/>
        </w:rPr>
        <w:t>refers</w:t>
      </w:r>
      <w:r>
        <w:rPr>
          <w:rFonts w:hint="eastAsia"/>
          <w:lang w:eastAsia="ja-JP"/>
        </w:rPr>
        <w:t xml:space="preserve"> to the relationship between the JFTC</w:t>
      </w:r>
      <w:r>
        <w:rPr>
          <w:lang w:eastAsia="ja-JP"/>
        </w:rPr>
        <w:t>’</w:t>
      </w:r>
      <w:r>
        <w:rPr>
          <w:rFonts w:hint="eastAsia"/>
          <w:lang w:eastAsia="ja-JP"/>
        </w:rPr>
        <w:t>s independence of authority and the Cabinet</w:t>
      </w:r>
      <w:r>
        <w:rPr>
          <w:lang w:eastAsia="ja-JP"/>
        </w:rPr>
        <w:t>’</w:t>
      </w:r>
      <w:r>
        <w:rPr>
          <w:rFonts w:hint="eastAsia"/>
          <w:lang w:eastAsia="ja-JP"/>
        </w:rPr>
        <w:t>s administrative responsibility</w:t>
      </w:r>
      <w:r w:rsidR="00713B96">
        <w:rPr>
          <w:lang w:eastAsia="ja-JP"/>
        </w:rPr>
        <w:t>:</w:t>
      </w:r>
    </w:p>
    <w:p w14:paraId="65A5110D" w14:textId="77777777" w:rsidR="007D1693" w:rsidRDefault="007D1693" w:rsidP="007D1693">
      <w:pPr>
        <w:ind w:left="284" w:hanging="2"/>
        <w:rPr>
          <w:lang w:eastAsia="ja-JP"/>
        </w:rPr>
      </w:pPr>
    </w:p>
    <w:p w14:paraId="088C10B8" w14:textId="78117D57" w:rsidR="00495655" w:rsidRDefault="007D1693" w:rsidP="005B18BE">
      <w:pPr>
        <w:pStyle w:val="Quote"/>
        <w:rPr>
          <w:lang w:eastAsia="ja-JP"/>
        </w:rPr>
      </w:pPr>
      <w:r>
        <w:rPr>
          <w:rFonts w:hint="eastAsia"/>
          <w:lang w:eastAsia="ja-JP"/>
        </w:rPr>
        <w:t>despite the JFTC</w:t>
      </w:r>
      <w:r>
        <w:rPr>
          <w:lang w:eastAsia="ja-JP"/>
        </w:rPr>
        <w:t>’</w:t>
      </w:r>
      <w:r>
        <w:rPr>
          <w:rFonts w:hint="eastAsia"/>
          <w:lang w:eastAsia="ja-JP"/>
        </w:rPr>
        <w:t xml:space="preserve">s independence of authority, policy formulation such as AMA amendments by such an organisation does not create a problem </w:t>
      </w:r>
      <w:r>
        <w:rPr>
          <w:lang w:eastAsia="ja-JP"/>
        </w:rPr>
        <w:t>vis-à-vis</w:t>
      </w:r>
      <w:r>
        <w:rPr>
          <w:rFonts w:hint="eastAsia"/>
          <w:lang w:eastAsia="ja-JP"/>
        </w:rPr>
        <w:t xml:space="preserve"> the Cabinet</w:t>
      </w:r>
      <w:r>
        <w:rPr>
          <w:lang w:eastAsia="ja-JP"/>
        </w:rPr>
        <w:t>’</w:t>
      </w:r>
      <w:r>
        <w:rPr>
          <w:rFonts w:hint="eastAsia"/>
          <w:lang w:eastAsia="ja-JP"/>
        </w:rPr>
        <w:t>s administrative responsibility and the unity of the government</w:t>
      </w:r>
      <w:r>
        <w:rPr>
          <w:lang w:eastAsia="ja-JP"/>
        </w:rPr>
        <w:t>’</w:t>
      </w:r>
      <w:r>
        <w:rPr>
          <w:rFonts w:hint="eastAsia"/>
          <w:lang w:eastAsia="ja-JP"/>
        </w:rPr>
        <w:t>s economic policy</w:t>
      </w:r>
      <w:r>
        <w:t xml:space="preserve"> </w:t>
      </w:r>
      <w:r>
        <w:rPr>
          <w:lang w:eastAsia="ja-JP"/>
        </w:rPr>
        <w:t>…</w:t>
      </w:r>
      <w:r>
        <w:rPr>
          <w:rFonts w:hint="eastAsia"/>
          <w:lang w:eastAsia="ja-JP"/>
        </w:rPr>
        <w:t xml:space="preserve"> the JFTC formulates the draft and sufficiently coordinates with related parties such as other government organisations and the ruling parties; the bill then is put before the Diet </w:t>
      </w:r>
      <w:r>
        <w:rPr>
          <w:lang w:eastAsia="ja-JP"/>
        </w:rPr>
        <w:t>pursuant</w:t>
      </w:r>
      <w:r>
        <w:rPr>
          <w:rFonts w:hint="eastAsia"/>
          <w:lang w:eastAsia="ja-JP"/>
        </w:rPr>
        <w:t xml:space="preserve"> to the formal procedures. (JFTC 1997)</w:t>
      </w:r>
    </w:p>
    <w:p w14:paraId="006A1307" w14:textId="77777777" w:rsidR="007D1693" w:rsidRDefault="007D1693" w:rsidP="0024471C">
      <w:pPr>
        <w:ind w:firstLineChars="122" w:firstLine="277"/>
        <w:rPr>
          <w:lang w:eastAsia="ja-JP"/>
        </w:rPr>
      </w:pPr>
    </w:p>
    <w:p w14:paraId="00689F28" w14:textId="77777777" w:rsidR="007D1693" w:rsidRDefault="007D1693" w:rsidP="007D1693">
      <w:pPr>
        <w:rPr>
          <w:lang w:eastAsia="ja-JP"/>
        </w:rPr>
      </w:pPr>
      <w:r>
        <w:rPr>
          <w:rFonts w:hint="eastAsia"/>
          <w:lang w:eastAsia="ja-JP"/>
        </w:rPr>
        <w:t xml:space="preserve">This argument does not </w:t>
      </w:r>
      <w:r w:rsidR="00525D72">
        <w:rPr>
          <w:lang w:eastAsia="ja-JP"/>
        </w:rPr>
        <w:t>fully address</w:t>
      </w:r>
      <w:r>
        <w:rPr>
          <w:rFonts w:hint="eastAsia"/>
          <w:lang w:eastAsia="ja-JP"/>
        </w:rPr>
        <w:t xml:space="preserve"> the question of democratic accountability: the lack of elected official</w:t>
      </w:r>
      <w:r>
        <w:rPr>
          <w:lang w:eastAsia="ja-JP"/>
        </w:rPr>
        <w:t>s’</w:t>
      </w:r>
      <w:r>
        <w:rPr>
          <w:rFonts w:hint="eastAsia"/>
          <w:lang w:eastAsia="ja-JP"/>
        </w:rPr>
        <w:t xml:space="preserve"> substantial supervision in </w:t>
      </w:r>
      <w:r w:rsidR="004D5B60">
        <w:rPr>
          <w:lang w:eastAsia="ja-JP"/>
        </w:rPr>
        <w:t xml:space="preserve">the </w:t>
      </w:r>
      <w:r>
        <w:rPr>
          <w:rFonts w:hint="eastAsia"/>
          <w:lang w:eastAsia="ja-JP"/>
        </w:rPr>
        <w:t xml:space="preserve">policy making process. </w:t>
      </w:r>
      <w:r>
        <w:t xml:space="preserve">This caused </w:t>
      </w:r>
      <w:r w:rsidR="004D5B60">
        <w:t>few</w:t>
      </w:r>
      <w:r>
        <w:t xml:space="preserve"> problem</w:t>
      </w:r>
      <w:r w:rsidR="004D5B60">
        <w:t>s</w:t>
      </w:r>
      <w:r>
        <w:t xml:space="preserve"> when AMA amendments were infrequent such as the period between the 1950s and the 1980s. </w:t>
      </w:r>
      <w:r>
        <w:rPr>
          <w:rFonts w:hint="eastAsia"/>
          <w:lang w:eastAsia="ja-JP"/>
        </w:rPr>
        <w:t xml:space="preserve">As </w:t>
      </w:r>
      <w:r>
        <w:t xml:space="preserve">antimonopoly policies </w:t>
      </w:r>
      <w:r>
        <w:rPr>
          <w:rFonts w:hint="eastAsia"/>
          <w:lang w:eastAsia="ja-JP"/>
        </w:rPr>
        <w:t>attracted more public attention</w:t>
      </w:r>
      <w:r>
        <w:t xml:space="preserve"> after the SII (1989-90)</w:t>
      </w:r>
      <w:r>
        <w:rPr>
          <w:rFonts w:hint="eastAsia"/>
          <w:lang w:eastAsia="ja-JP"/>
        </w:rPr>
        <w:t>, more demands for AMA amendments emerged</w:t>
      </w:r>
      <w:r>
        <w:t>.</w:t>
      </w:r>
    </w:p>
    <w:p w14:paraId="48AE6A12" w14:textId="77777777" w:rsidR="007D1693" w:rsidRDefault="007D1693" w:rsidP="005E4191">
      <w:pPr>
        <w:ind w:firstLineChars="122" w:firstLine="277"/>
        <w:rPr>
          <w:lang w:eastAsia="ja-JP"/>
        </w:rPr>
      </w:pPr>
      <w:r>
        <w:rPr>
          <w:rFonts w:hint="eastAsia"/>
          <w:lang w:eastAsia="ja-JP"/>
        </w:rPr>
        <w:t xml:space="preserve">If the case of the JFTC is compared with the guidelines of the OECD (2002 pp.95-6: see </w:t>
      </w:r>
      <w:r w:rsidR="0024071A">
        <w:rPr>
          <w:rFonts w:hint="eastAsia"/>
          <w:lang w:eastAsia="ja-JP"/>
        </w:rPr>
        <w:t>Table 6.8</w:t>
      </w:r>
      <w:r>
        <w:rPr>
          <w:rFonts w:hint="eastAsia"/>
          <w:lang w:eastAsia="ja-JP"/>
        </w:rPr>
        <w:t xml:space="preserve">), which are widely disseminated as a consensus formulated </w:t>
      </w:r>
      <w:r w:rsidR="001300EC">
        <w:rPr>
          <w:lang w:eastAsia="ja-JP"/>
        </w:rPr>
        <w:t xml:space="preserve">by </w:t>
      </w:r>
      <w:r>
        <w:rPr>
          <w:rFonts w:hint="eastAsia"/>
          <w:lang w:eastAsia="ja-JP"/>
        </w:rPr>
        <w:t>an international organisation</w:t>
      </w:r>
      <w:r>
        <w:rPr>
          <w:lang w:eastAsia="ja-JP"/>
        </w:rPr>
        <w:t xml:space="preserve">, </w:t>
      </w:r>
      <w:r>
        <w:rPr>
          <w:rFonts w:hint="eastAsia"/>
          <w:lang w:eastAsia="ja-JP"/>
        </w:rPr>
        <w:t xml:space="preserve">one can recognise that: </w:t>
      </w:r>
      <w:r>
        <w:rPr>
          <w:lang w:eastAsia="ja-JP"/>
        </w:rPr>
        <w:t>‘</w:t>
      </w:r>
      <w:r>
        <w:rPr>
          <w:rFonts w:hint="eastAsia"/>
          <w:lang w:eastAsia="ja-JP"/>
        </w:rPr>
        <w:t>t</w:t>
      </w:r>
      <w:r w:rsidRPr="00405053">
        <w:rPr>
          <w:bCs/>
        </w:rPr>
        <w:t>o shield interventions from captured politicians and bureaucrats</w:t>
      </w:r>
      <w:r>
        <w:rPr>
          <w:bCs/>
          <w:lang w:eastAsia="ja-JP"/>
        </w:rPr>
        <w:t>’</w:t>
      </w:r>
      <w:r>
        <w:rPr>
          <w:rFonts w:hint="eastAsia"/>
          <w:bCs/>
          <w:lang w:eastAsia="ja-JP"/>
        </w:rPr>
        <w:t xml:space="preserve"> was highlighted by the interviewees, while democratic </w:t>
      </w:r>
      <w:r>
        <w:rPr>
          <w:bCs/>
          <w:lang w:eastAsia="ja-JP"/>
        </w:rPr>
        <w:t>accountability</w:t>
      </w:r>
      <w:r>
        <w:rPr>
          <w:rFonts w:hint="eastAsia"/>
          <w:bCs/>
          <w:lang w:eastAsia="ja-JP"/>
        </w:rPr>
        <w:t xml:space="preserve"> emerged as a major shortcoming. </w:t>
      </w:r>
      <w:r>
        <w:t xml:space="preserve">The fact that the DPJ appointed a Cabinet Minister responsible for the JFTC can be understood as a trial to cope with this challenge. </w:t>
      </w:r>
      <w:r>
        <w:rPr>
          <w:rFonts w:hint="eastAsia"/>
          <w:lang w:eastAsia="ja-JP"/>
        </w:rPr>
        <w:t>Its real impact is a topic of future research</w:t>
      </w:r>
      <w:r>
        <w:t>.</w:t>
      </w:r>
    </w:p>
    <w:p w14:paraId="6627FDC7" w14:textId="77777777" w:rsidR="007D1693" w:rsidRPr="00D570D9" w:rsidRDefault="007D1693" w:rsidP="006B7941">
      <w:pPr>
        <w:pStyle w:val="NoSpacing"/>
        <w:rPr>
          <w:lang w:eastAsia="ja-JP"/>
        </w:rPr>
      </w:pPr>
    </w:p>
    <w:p w14:paraId="273FA970" w14:textId="3FEA8454" w:rsidR="007D1693" w:rsidRPr="00AE0607" w:rsidRDefault="0024071A" w:rsidP="005E4191">
      <w:pPr>
        <w:pStyle w:val="Heading4"/>
        <w:rPr>
          <w:lang w:eastAsia="ja-JP"/>
        </w:rPr>
      </w:pPr>
      <w:r>
        <w:rPr>
          <w:rFonts w:hint="eastAsia"/>
          <w:lang w:eastAsia="ja-JP"/>
        </w:rPr>
        <w:t>Table 6.8</w:t>
      </w:r>
      <w:r w:rsidR="007D1693" w:rsidRPr="00AE0607">
        <w:rPr>
          <w:rFonts w:hint="eastAsia"/>
          <w:lang w:eastAsia="ja-JP"/>
        </w:rPr>
        <w:t xml:space="preserve">: The </w:t>
      </w:r>
      <w:r w:rsidR="004D5B60">
        <w:rPr>
          <w:lang w:eastAsia="ja-JP"/>
        </w:rPr>
        <w:t>m</w:t>
      </w:r>
      <w:r w:rsidR="007D1693" w:rsidRPr="00AE0607">
        <w:rPr>
          <w:rFonts w:hint="eastAsia"/>
          <w:lang w:eastAsia="ja-JP"/>
        </w:rPr>
        <w:t xml:space="preserve">erits and demerits of an independent regulator (based on OECD (2002 pp.95-6). </w:t>
      </w:r>
      <w:r w:rsidR="007D1693" w:rsidRPr="00AE0607">
        <w:rPr>
          <w:lang w:eastAsia="ja-JP"/>
        </w:rPr>
        <w:t>A</w:t>
      </w:r>
      <w:r w:rsidR="007D1693" w:rsidRPr="00AE0607">
        <w:rPr>
          <w:rFonts w:hint="eastAsia"/>
          <w:lang w:eastAsia="ja-JP"/>
        </w:rPr>
        <w:t xml:space="preserve">lso see </w:t>
      </w:r>
      <w:r w:rsidR="00B22A07">
        <w:rPr>
          <w:rFonts w:hint="eastAsia"/>
          <w:lang w:eastAsia="ja-JP"/>
        </w:rPr>
        <w:t>Table 5.5</w:t>
      </w:r>
      <w:r w:rsidR="007D1693" w:rsidRPr="00AE0607">
        <w:rPr>
          <w:rFonts w:hint="eastAsia"/>
          <w:lang w:eastAsia="ja-JP"/>
        </w:rPr>
        <w:t>)</w:t>
      </w:r>
    </w:p>
    <w:tbl>
      <w:tblPr>
        <w:tblStyle w:val="TableGrid"/>
        <w:tblW w:w="0" w:type="auto"/>
        <w:tblLook w:val="04A0" w:firstRow="1" w:lastRow="0" w:firstColumn="1" w:lastColumn="0" w:noHBand="0" w:noVBand="1"/>
      </w:tblPr>
      <w:tblGrid>
        <w:gridCol w:w="8720"/>
      </w:tblGrid>
      <w:tr w:rsidR="007D1693" w14:paraId="262875D4" w14:textId="77777777" w:rsidTr="0030198F">
        <w:tc>
          <w:tcPr>
            <w:tcW w:w="9268" w:type="dxa"/>
          </w:tcPr>
          <w:p w14:paraId="505407FA" w14:textId="77777777" w:rsidR="007D1693" w:rsidRDefault="007D1693" w:rsidP="0030198F">
            <w:pPr>
              <w:pStyle w:val="NoSpacing"/>
              <w:rPr>
                <w:b/>
                <w:lang w:eastAsia="ja-JP"/>
              </w:rPr>
            </w:pPr>
          </w:p>
          <w:p w14:paraId="42C2D6F0" w14:textId="77777777" w:rsidR="007D1693" w:rsidRPr="00405053" w:rsidRDefault="007D1693" w:rsidP="0030198F">
            <w:pPr>
              <w:pStyle w:val="NoSpacing"/>
              <w:rPr>
                <w:b/>
                <w:lang w:eastAsia="ja-JP"/>
              </w:rPr>
            </w:pPr>
            <w:r w:rsidRPr="00405053">
              <w:rPr>
                <w:rFonts w:hint="eastAsia"/>
                <w:b/>
                <w:lang w:eastAsia="ja-JP"/>
              </w:rPr>
              <w:t>Merits:</w:t>
            </w:r>
          </w:p>
          <w:p w14:paraId="47BC9C37" w14:textId="77777777" w:rsidR="007D1693" w:rsidRPr="00405053" w:rsidRDefault="007D1693" w:rsidP="001B6C05">
            <w:pPr>
              <w:pStyle w:val="NoSpacing"/>
              <w:numPr>
                <w:ilvl w:val="0"/>
                <w:numId w:val="57"/>
              </w:numPr>
              <w:ind w:left="284" w:hanging="284"/>
              <w:rPr>
                <w:bCs/>
              </w:rPr>
            </w:pPr>
            <w:r>
              <w:rPr>
                <w:rFonts w:hint="eastAsia"/>
              </w:rPr>
              <w:t>T</w:t>
            </w:r>
            <w:r w:rsidRPr="00405053">
              <w:rPr>
                <w:bCs/>
              </w:rPr>
              <w:t>o shield interventions from captured politicians and bureaucrats</w:t>
            </w:r>
          </w:p>
          <w:p w14:paraId="29C1BA75" w14:textId="77777777" w:rsidR="007D1693" w:rsidRDefault="007D1693" w:rsidP="001B6C05">
            <w:pPr>
              <w:pStyle w:val="NoSpacing"/>
              <w:numPr>
                <w:ilvl w:val="0"/>
                <w:numId w:val="57"/>
              </w:numPr>
              <w:ind w:left="284" w:hanging="284"/>
              <w:rPr>
                <w:bCs/>
              </w:rPr>
            </w:pPr>
            <w:r>
              <w:rPr>
                <w:rFonts w:hint="eastAsia"/>
                <w:bCs/>
              </w:rPr>
              <w:t>I</w:t>
            </w:r>
            <w:r w:rsidRPr="00405053">
              <w:rPr>
                <w:bCs/>
              </w:rPr>
              <w:t>mproved  transparency</w:t>
            </w:r>
          </w:p>
          <w:p w14:paraId="081AD121" w14:textId="77777777" w:rsidR="007D1693" w:rsidRPr="00405053" w:rsidRDefault="007D1693" w:rsidP="001B6C05">
            <w:pPr>
              <w:pStyle w:val="NoSpacing"/>
              <w:numPr>
                <w:ilvl w:val="0"/>
                <w:numId w:val="57"/>
              </w:numPr>
              <w:ind w:left="284" w:hanging="284"/>
              <w:rPr>
                <w:bCs/>
              </w:rPr>
            </w:pPr>
            <w:r>
              <w:rPr>
                <w:rFonts w:hint="eastAsia"/>
                <w:bCs/>
              </w:rPr>
              <w:t>M</w:t>
            </w:r>
            <w:r w:rsidRPr="00405053">
              <w:rPr>
                <w:bCs/>
              </w:rPr>
              <w:t>ore stable regulation</w:t>
            </w:r>
          </w:p>
          <w:p w14:paraId="07D5A26D" w14:textId="77777777" w:rsidR="007D1693" w:rsidRPr="00405053" w:rsidRDefault="007D1693" w:rsidP="001B6C05">
            <w:pPr>
              <w:pStyle w:val="NoSpacing"/>
              <w:numPr>
                <w:ilvl w:val="0"/>
                <w:numId w:val="57"/>
              </w:numPr>
              <w:ind w:left="284" w:hanging="284"/>
              <w:rPr>
                <w:bCs/>
              </w:rPr>
            </w:pPr>
            <w:r>
              <w:rPr>
                <w:rFonts w:hint="eastAsia"/>
                <w:bCs/>
              </w:rPr>
              <w:t>A</w:t>
            </w:r>
            <w:r w:rsidRPr="00405053">
              <w:rPr>
                <w:bCs/>
              </w:rPr>
              <w:t xml:space="preserve"> better condition for having expertise</w:t>
            </w:r>
          </w:p>
          <w:p w14:paraId="29C4F55C" w14:textId="77777777" w:rsidR="007D1693" w:rsidRDefault="007D1693" w:rsidP="001B6C05">
            <w:pPr>
              <w:pStyle w:val="NoSpacing"/>
              <w:numPr>
                <w:ilvl w:val="0"/>
                <w:numId w:val="57"/>
              </w:numPr>
              <w:ind w:left="284" w:hanging="284"/>
            </w:pPr>
            <w:r>
              <w:rPr>
                <w:rFonts w:hint="eastAsia"/>
                <w:bCs/>
              </w:rPr>
              <w:t>A</w:t>
            </w:r>
            <w:r w:rsidRPr="00405053">
              <w:rPr>
                <w:bCs/>
              </w:rPr>
              <w:t xml:space="preserve"> possibility of improved accountability if an independent regulator has explicit objectives and a specific report system</w:t>
            </w:r>
            <w:r w:rsidRPr="00405053">
              <w:t xml:space="preserve"> to the government or parliament.</w:t>
            </w:r>
          </w:p>
          <w:p w14:paraId="04058206" w14:textId="77777777" w:rsidR="007D1693" w:rsidRPr="00405053" w:rsidRDefault="007D1693" w:rsidP="0030198F">
            <w:pPr>
              <w:pStyle w:val="NoSpacing"/>
            </w:pPr>
          </w:p>
          <w:p w14:paraId="6259CB1D" w14:textId="77777777" w:rsidR="007D1693" w:rsidRPr="00405053" w:rsidRDefault="007D1693" w:rsidP="0030198F">
            <w:pPr>
              <w:pStyle w:val="NoSpacing"/>
              <w:rPr>
                <w:b/>
                <w:lang w:eastAsia="ja-JP"/>
              </w:rPr>
            </w:pPr>
            <w:r w:rsidRPr="00405053">
              <w:rPr>
                <w:rFonts w:hint="eastAsia"/>
                <w:b/>
                <w:lang w:eastAsia="ja-JP"/>
              </w:rPr>
              <w:t>Demerits:</w:t>
            </w:r>
          </w:p>
          <w:p w14:paraId="29D1F473" w14:textId="77777777" w:rsidR="007D1693" w:rsidRPr="0044674F" w:rsidRDefault="007D1693" w:rsidP="001B6C05">
            <w:pPr>
              <w:pStyle w:val="NoSpacing"/>
              <w:numPr>
                <w:ilvl w:val="0"/>
                <w:numId w:val="58"/>
              </w:numPr>
              <w:ind w:left="284" w:hanging="284"/>
            </w:pPr>
            <w:r w:rsidRPr="0044674F">
              <w:rPr>
                <w:rFonts w:hint="eastAsia"/>
                <w:bCs/>
              </w:rPr>
              <w:t>A possibility of slowing</w:t>
            </w:r>
            <w:r w:rsidRPr="0044674F">
              <w:rPr>
                <w:bCs/>
              </w:rPr>
              <w:t xml:space="preserve"> structural changes,</w:t>
            </w:r>
            <w:r w:rsidRPr="0044674F">
              <w:t xml:space="preserve"> losing potential gains to consumers.</w:t>
            </w:r>
          </w:p>
          <w:p w14:paraId="769B9C3E" w14:textId="77777777" w:rsidR="007D1693" w:rsidRPr="0044674F" w:rsidRDefault="007D1693" w:rsidP="001B6C05">
            <w:pPr>
              <w:pStyle w:val="NoSpacing"/>
              <w:numPr>
                <w:ilvl w:val="0"/>
                <w:numId w:val="58"/>
              </w:numPr>
              <w:ind w:left="284" w:hanging="284"/>
            </w:pPr>
            <w:r w:rsidRPr="0044674F">
              <w:rPr>
                <w:bCs/>
              </w:rPr>
              <w:t xml:space="preserve">The </w:t>
            </w:r>
            <w:r w:rsidRPr="0044674F">
              <w:rPr>
                <w:rFonts w:hint="eastAsia"/>
                <w:bCs/>
              </w:rPr>
              <w:t xml:space="preserve">remaining </w:t>
            </w:r>
            <w:r w:rsidRPr="0044674F">
              <w:rPr>
                <w:bCs/>
              </w:rPr>
              <w:t>risk of capture if the regulator faces structural weaknesses</w:t>
            </w:r>
            <w:r w:rsidRPr="0044674F">
              <w:t>.</w:t>
            </w:r>
          </w:p>
          <w:p w14:paraId="4AC5E6C4" w14:textId="77777777" w:rsidR="007D1693" w:rsidRPr="0044674F" w:rsidRDefault="007D1693" w:rsidP="001B6C05">
            <w:pPr>
              <w:pStyle w:val="NoSpacing"/>
              <w:numPr>
                <w:ilvl w:val="0"/>
                <w:numId w:val="58"/>
              </w:numPr>
              <w:ind w:left="284" w:hanging="284"/>
            </w:pPr>
            <w:r w:rsidRPr="0044674F">
              <w:rPr>
                <w:bCs/>
              </w:rPr>
              <w:t>A</w:t>
            </w:r>
            <w:r w:rsidRPr="0044674F">
              <w:rPr>
                <w:rFonts w:hint="eastAsia"/>
                <w:bCs/>
              </w:rPr>
              <w:t xml:space="preserve"> possibility of having inadequate d</w:t>
            </w:r>
            <w:r w:rsidRPr="0044674F">
              <w:rPr>
                <w:bCs/>
              </w:rPr>
              <w:t>emocratic accountability</w:t>
            </w:r>
          </w:p>
          <w:p w14:paraId="2532CAF1" w14:textId="77777777" w:rsidR="007D1693" w:rsidRDefault="007D1693" w:rsidP="001B6C05">
            <w:pPr>
              <w:pStyle w:val="NoSpacing"/>
              <w:numPr>
                <w:ilvl w:val="0"/>
                <w:numId w:val="58"/>
              </w:numPr>
              <w:ind w:left="284" w:hanging="284"/>
            </w:pPr>
            <w:r w:rsidRPr="0044674F">
              <w:rPr>
                <w:bCs/>
              </w:rPr>
              <w:t>A</w:t>
            </w:r>
            <w:r w:rsidRPr="0044674F">
              <w:rPr>
                <w:rFonts w:hint="eastAsia"/>
                <w:bCs/>
              </w:rPr>
              <w:t xml:space="preserve"> possibility of </w:t>
            </w:r>
            <w:r w:rsidRPr="0044674F">
              <w:rPr>
                <w:bCs/>
              </w:rPr>
              <w:t>fragment</w:t>
            </w:r>
            <w:r w:rsidRPr="0044674F">
              <w:rPr>
                <w:rFonts w:hint="eastAsia"/>
                <w:bCs/>
              </w:rPr>
              <w:t xml:space="preserve">ing </w:t>
            </w:r>
            <w:r w:rsidRPr="0044674F">
              <w:rPr>
                <w:bCs/>
              </w:rPr>
              <w:t>governmental policies and actions</w:t>
            </w:r>
            <w:r w:rsidRPr="0044674F">
              <w:t>.</w:t>
            </w:r>
          </w:p>
          <w:p w14:paraId="28A03BF2" w14:textId="77777777" w:rsidR="007D1693" w:rsidRPr="00140D3F" w:rsidRDefault="007D1693" w:rsidP="0030198F">
            <w:pPr>
              <w:pStyle w:val="NoSpacing"/>
            </w:pPr>
          </w:p>
        </w:tc>
      </w:tr>
    </w:tbl>
    <w:p w14:paraId="793D015B" w14:textId="77777777" w:rsidR="007D1693" w:rsidRDefault="007D1693" w:rsidP="007D1693"/>
    <w:p w14:paraId="3469FADE" w14:textId="77777777" w:rsidR="007D1693" w:rsidRDefault="007D1693" w:rsidP="00DD6206">
      <w:pPr>
        <w:ind w:firstLineChars="122" w:firstLine="277"/>
        <w:rPr>
          <w:lang w:eastAsia="ja-JP"/>
        </w:rPr>
      </w:pPr>
      <w:r>
        <w:rPr>
          <w:rFonts w:hint="eastAsia"/>
          <w:lang w:eastAsia="ja-JP"/>
        </w:rPr>
        <w:t>T</w:t>
      </w:r>
      <w:r>
        <w:rPr>
          <w:lang w:eastAsia="ja-JP"/>
        </w:rPr>
        <w:t>h</w:t>
      </w:r>
      <w:r>
        <w:rPr>
          <w:rFonts w:hint="eastAsia"/>
          <w:lang w:eastAsia="ja-JP"/>
        </w:rPr>
        <w:t>e independence of the JFTC was shaped by an external factor (the SCAP</w:t>
      </w:r>
      <w:r>
        <w:rPr>
          <w:lang w:eastAsia="ja-JP"/>
        </w:rPr>
        <w:t>’</w:t>
      </w:r>
      <w:r>
        <w:rPr>
          <w:rFonts w:hint="eastAsia"/>
          <w:lang w:eastAsia="ja-JP"/>
        </w:rPr>
        <w:t xml:space="preserve">s policy). </w:t>
      </w:r>
      <w:r>
        <w:rPr>
          <w:lang w:eastAsia="ja-JP"/>
        </w:rPr>
        <w:t>T</w:t>
      </w:r>
      <w:r>
        <w:rPr>
          <w:rFonts w:hint="eastAsia"/>
          <w:lang w:eastAsia="ja-JP"/>
        </w:rPr>
        <w:t xml:space="preserve">he following path to retain this organisational characteristic </w:t>
      </w:r>
      <w:r w:rsidR="0054591C">
        <w:rPr>
          <w:lang w:eastAsia="ja-JP"/>
        </w:rPr>
        <w:t xml:space="preserve">was shaped by the JFTC’s preference to retain the </w:t>
      </w:r>
      <w:r w:rsidR="009F142E">
        <w:rPr>
          <w:lang w:eastAsia="ja-JP"/>
        </w:rPr>
        <w:t>status</w:t>
      </w:r>
      <w:r w:rsidR="0054591C">
        <w:rPr>
          <w:lang w:eastAsia="ja-JP"/>
        </w:rPr>
        <w:t xml:space="preserve"> quo and other core executive actors’ indifference</w:t>
      </w:r>
      <w:r w:rsidR="004D5B60">
        <w:rPr>
          <w:lang w:eastAsia="ja-JP"/>
        </w:rPr>
        <w:t>s</w:t>
      </w:r>
      <w:r w:rsidR="0054591C">
        <w:rPr>
          <w:lang w:eastAsia="ja-JP"/>
        </w:rPr>
        <w:t>. This sequence can be regarded as</w:t>
      </w:r>
      <w:r>
        <w:rPr>
          <w:rFonts w:hint="eastAsia"/>
          <w:lang w:eastAsia="ja-JP"/>
        </w:rPr>
        <w:t xml:space="preserve"> a</w:t>
      </w:r>
      <w:r w:rsidR="005B10FE">
        <w:rPr>
          <w:lang w:eastAsia="ja-JP"/>
        </w:rPr>
        <w:t>n example</w:t>
      </w:r>
      <w:r>
        <w:rPr>
          <w:rFonts w:hint="eastAsia"/>
          <w:lang w:eastAsia="ja-JP"/>
        </w:rPr>
        <w:t xml:space="preserve"> of self-reinforcing path dependency</w:t>
      </w:r>
      <w:r w:rsidR="00DD6206">
        <w:rPr>
          <w:lang w:eastAsia="ja-JP"/>
        </w:rPr>
        <w:t xml:space="preserve"> formed by the consensus among the core executive</w:t>
      </w:r>
      <w:r>
        <w:rPr>
          <w:rFonts w:hint="eastAsia"/>
          <w:lang w:eastAsia="ja-JP"/>
        </w:rPr>
        <w:t>. T</w:t>
      </w:r>
      <w:r>
        <w:rPr>
          <w:lang w:eastAsia="ja-JP"/>
        </w:rPr>
        <w:t>h</w:t>
      </w:r>
      <w:r>
        <w:rPr>
          <w:rFonts w:hint="eastAsia"/>
          <w:lang w:eastAsia="ja-JP"/>
        </w:rPr>
        <w:t xml:space="preserve">e JFTC has been in favour of retaining antimonopoly regulation by an independent administrative commission, because independence gives it a shield </w:t>
      </w:r>
      <w:r w:rsidR="00525D72">
        <w:rPr>
          <w:lang w:eastAsia="ja-JP"/>
        </w:rPr>
        <w:t xml:space="preserve">from </w:t>
      </w:r>
      <w:r>
        <w:rPr>
          <w:rFonts w:hint="eastAsia"/>
          <w:lang w:eastAsia="ja-JP"/>
        </w:rPr>
        <w:t>the JFTC to its adversaries and suits the JFTC</w:t>
      </w:r>
      <w:r>
        <w:rPr>
          <w:lang w:eastAsia="ja-JP"/>
        </w:rPr>
        <w:t>’</w:t>
      </w:r>
      <w:r>
        <w:rPr>
          <w:rFonts w:hint="eastAsia"/>
          <w:lang w:eastAsia="ja-JP"/>
        </w:rPr>
        <w:t>s quasi-</w:t>
      </w:r>
      <w:r>
        <w:rPr>
          <w:lang w:eastAsia="ja-JP"/>
        </w:rPr>
        <w:t>judicial</w:t>
      </w:r>
      <w:r>
        <w:rPr>
          <w:rFonts w:hint="eastAsia"/>
          <w:lang w:eastAsia="ja-JP"/>
        </w:rPr>
        <w:t xml:space="preserve"> function (the complaint system). After the 1980s</w:t>
      </w:r>
      <w:r w:rsidR="00525D72">
        <w:rPr>
          <w:lang w:eastAsia="ja-JP"/>
        </w:rPr>
        <w:t>,</w:t>
      </w:r>
      <w:r>
        <w:rPr>
          <w:rFonts w:hint="eastAsia"/>
          <w:lang w:eastAsia="ja-JP"/>
        </w:rPr>
        <w:t xml:space="preserve"> the core executive actors such as party politicians have been indifferent to the JFTC</w:t>
      </w:r>
      <w:r>
        <w:rPr>
          <w:lang w:eastAsia="ja-JP"/>
        </w:rPr>
        <w:t>’</w:t>
      </w:r>
      <w:r>
        <w:rPr>
          <w:rFonts w:hint="eastAsia"/>
          <w:lang w:eastAsia="ja-JP"/>
        </w:rPr>
        <w:t xml:space="preserve">s </w:t>
      </w:r>
      <w:r>
        <w:rPr>
          <w:lang w:eastAsia="ja-JP"/>
        </w:rPr>
        <w:t>independence of authority.</w:t>
      </w:r>
      <w:r>
        <w:rPr>
          <w:rFonts w:hint="eastAsia"/>
          <w:lang w:eastAsia="ja-JP"/>
        </w:rPr>
        <w:t xml:space="preserve"> No government organisation was interested in absorbing the JFTC</w:t>
      </w:r>
      <w:r>
        <w:rPr>
          <w:lang w:eastAsia="ja-JP"/>
        </w:rPr>
        <w:t>’</w:t>
      </w:r>
      <w:r>
        <w:rPr>
          <w:rFonts w:hint="eastAsia"/>
          <w:lang w:eastAsia="ja-JP"/>
        </w:rPr>
        <w:t>s function. This set of factors has shaped the path of retaining the JFTC</w:t>
      </w:r>
      <w:r>
        <w:rPr>
          <w:lang w:eastAsia="ja-JP"/>
        </w:rPr>
        <w:t>’</w:t>
      </w:r>
      <w:r>
        <w:rPr>
          <w:rFonts w:hint="eastAsia"/>
          <w:lang w:eastAsia="ja-JP"/>
        </w:rPr>
        <w:t>s independent status.</w:t>
      </w:r>
      <w:r>
        <w:rPr>
          <w:lang w:eastAsia="ja-JP"/>
        </w:rPr>
        <w:t xml:space="preserve"> </w:t>
      </w:r>
      <w:r>
        <w:rPr>
          <w:rFonts w:hint="eastAsia"/>
          <w:lang w:eastAsia="ja-JP"/>
        </w:rPr>
        <w:t>T</w:t>
      </w:r>
      <w:r>
        <w:rPr>
          <w:lang w:eastAsia="ja-JP"/>
        </w:rPr>
        <w:t>h</w:t>
      </w:r>
      <w:r>
        <w:rPr>
          <w:rFonts w:hint="eastAsia"/>
          <w:lang w:eastAsia="ja-JP"/>
        </w:rPr>
        <w:t>e response of the core executive on this issue is retaining the status quo with the key actor</w:t>
      </w:r>
      <w:r>
        <w:rPr>
          <w:lang w:eastAsia="ja-JP"/>
        </w:rPr>
        <w:t>’</w:t>
      </w:r>
      <w:r>
        <w:rPr>
          <w:rFonts w:hint="eastAsia"/>
          <w:lang w:eastAsia="ja-JP"/>
        </w:rPr>
        <w:t>s (JFTC) strong will and the indifference of others.</w:t>
      </w:r>
    </w:p>
    <w:p w14:paraId="60C9E565" w14:textId="77777777" w:rsidR="007D1693" w:rsidRDefault="007D1693" w:rsidP="00914B1B">
      <w:pPr>
        <w:ind w:firstLineChars="122" w:firstLine="277"/>
      </w:pPr>
      <w:r>
        <w:rPr>
          <w:rFonts w:hint="eastAsia"/>
          <w:lang w:eastAsia="ja-JP"/>
        </w:rPr>
        <w:t>In analysing the independence of the JFTC</w:t>
      </w:r>
      <w:r w:rsidR="00893A05">
        <w:rPr>
          <w:lang w:eastAsia="ja-JP"/>
        </w:rPr>
        <w:t>, there</w:t>
      </w:r>
      <w:r>
        <w:rPr>
          <w:rFonts w:hint="eastAsia"/>
          <w:lang w:eastAsia="ja-JP"/>
        </w:rPr>
        <w:t xml:space="preserve"> emerges a possibility that the expansion of the role of antimonopoly regulation has significantly changed the traditional framework. </w:t>
      </w:r>
      <w:r>
        <w:rPr>
          <w:lang w:eastAsia="ja-JP"/>
        </w:rPr>
        <w:t>A</w:t>
      </w:r>
      <w:r>
        <w:rPr>
          <w:rFonts w:hint="eastAsia"/>
          <w:lang w:eastAsia="ja-JP"/>
        </w:rPr>
        <w:t xml:space="preserve"> significant cause of such </w:t>
      </w:r>
      <w:r>
        <w:rPr>
          <w:lang w:eastAsia="ja-JP"/>
        </w:rPr>
        <w:t>transformation</w:t>
      </w:r>
      <w:r>
        <w:rPr>
          <w:rFonts w:hint="eastAsia"/>
          <w:lang w:eastAsia="ja-JP"/>
        </w:rPr>
        <w:t xml:space="preserve"> pointed out by interviewees and the literature is the </w:t>
      </w:r>
      <w:r w:rsidR="00893A05">
        <w:rPr>
          <w:lang w:eastAsia="ja-JP"/>
        </w:rPr>
        <w:t>growth</w:t>
      </w:r>
      <w:r w:rsidR="00893A05">
        <w:rPr>
          <w:rFonts w:hint="eastAsia"/>
          <w:lang w:eastAsia="ja-JP"/>
        </w:rPr>
        <w:t xml:space="preserve"> </w:t>
      </w:r>
      <w:r>
        <w:rPr>
          <w:rFonts w:hint="eastAsia"/>
          <w:lang w:eastAsia="ja-JP"/>
        </w:rPr>
        <w:t>of the enhanced JFTC after the SII (1989-90). T</w:t>
      </w:r>
      <w:r>
        <w:rPr>
          <w:lang w:eastAsia="ja-JP"/>
        </w:rPr>
        <w:t>h</w:t>
      </w:r>
      <w:r>
        <w:rPr>
          <w:rFonts w:hint="eastAsia"/>
          <w:lang w:eastAsia="ja-JP"/>
        </w:rPr>
        <w:t xml:space="preserve">e capacity of the state in antimonopoly </w:t>
      </w:r>
      <w:r w:rsidR="00136ED3">
        <w:rPr>
          <w:rFonts w:eastAsia="MS Mincho"/>
          <w:lang w:eastAsia="ja-JP"/>
        </w:rPr>
        <w:t>regulation</w:t>
      </w:r>
      <w:r w:rsidR="00136ED3">
        <w:rPr>
          <w:rFonts w:eastAsia="MS Mincho" w:hint="eastAsia"/>
          <w:lang w:eastAsia="ja-JP"/>
        </w:rPr>
        <w:t xml:space="preserve"> </w:t>
      </w:r>
      <w:r>
        <w:rPr>
          <w:rFonts w:hint="eastAsia"/>
          <w:lang w:eastAsia="ja-JP"/>
        </w:rPr>
        <w:t>including the JFTC is therefore key to explore how the field has been transformed.</w:t>
      </w:r>
      <w:r>
        <w:t xml:space="preserve"> The next section </w:t>
      </w:r>
      <w:r w:rsidR="00914B1B">
        <w:t>examines</w:t>
      </w:r>
      <w:r>
        <w:t xml:space="preserve"> this change of state capacity </w:t>
      </w:r>
      <w:r>
        <w:rPr>
          <w:rFonts w:hint="eastAsia"/>
          <w:lang w:eastAsia="ja-JP"/>
        </w:rPr>
        <w:t xml:space="preserve">in antimonopoly </w:t>
      </w:r>
      <w:r w:rsidR="00136ED3">
        <w:rPr>
          <w:rFonts w:eastAsia="MS Mincho" w:hint="eastAsia"/>
          <w:lang w:eastAsia="ja-JP"/>
        </w:rPr>
        <w:t>regulation</w:t>
      </w:r>
      <w:r>
        <w:t>.</w:t>
      </w:r>
    </w:p>
    <w:p w14:paraId="3C725039" w14:textId="77777777" w:rsidR="007D1693" w:rsidRPr="00136ED3" w:rsidRDefault="007D1693" w:rsidP="007D1693">
      <w:pPr>
        <w:rPr>
          <w:lang w:eastAsia="ja-JP"/>
        </w:rPr>
      </w:pPr>
    </w:p>
    <w:p w14:paraId="087C7034" w14:textId="77777777" w:rsidR="007D1693" w:rsidRDefault="007D1693" w:rsidP="007D1693">
      <w:pPr>
        <w:rPr>
          <w:lang w:eastAsia="ja-JP"/>
        </w:rPr>
      </w:pPr>
    </w:p>
    <w:p w14:paraId="28E93809" w14:textId="77777777" w:rsidR="007D1693" w:rsidRPr="00FA128D" w:rsidRDefault="007D1693" w:rsidP="007D1693">
      <w:pPr>
        <w:pStyle w:val="Heading2"/>
      </w:pPr>
      <w:bookmarkStart w:id="60" w:name="_Toc349741382"/>
      <w:r w:rsidRPr="00FA128D">
        <w:t>6</w:t>
      </w:r>
      <w:r>
        <w:t>.5</w:t>
      </w:r>
      <w:r>
        <w:tab/>
        <w:t xml:space="preserve">A </w:t>
      </w:r>
      <w:r>
        <w:rPr>
          <w:rFonts w:hint="eastAsia"/>
          <w:lang w:eastAsia="ja-JP"/>
        </w:rPr>
        <w:t>g</w:t>
      </w:r>
      <w:r>
        <w:t xml:space="preserve">rowing </w:t>
      </w:r>
      <w:r>
        <w:rPr>
          <w:rFonts w:hint="eastAsia"/>
          <w:lang w:eastAsia="ja-JP"/>
        </w:rPr>
        <w:t>a</w:t>
      </w:r>
      <w:r>
        <w:t xml:space="preserve">ntimonopoly </w:t>
      </w:r>
      <w:r>
        <w:rPr>
          <w:rFonts w:hint="eastAsia"/>
          <w:lang w:eastAsia="ja-JP"/>
        </w:rPr>
        <w:t>w</w:t>
      </w:r>
      <w:r>
        <w:t>atchdog</w:t>
      </w:r>
      <w:r w:rsidRPr="00FA128D">
        <w:t xml:space="preserve">? </w:t>
      </w:r>
      <w:r>
        <w:rPr>
          <w:rFonts w:hint="eastAsia"/>
          <w:lang w:eastAsia="ja-JP"/>
        </w:rPr>
        <w:t>The c</w:t>
      </w:r>
      <w:r w:rsidRPr="00FA128D">
        <w:t xml:space="preserve">apacity of the </w:t>
      </w:r>
      <w:r>
        <w:rPr>
          <w:rFonts w:hint="eastAsia"/>
          <w:lang w:eastAsia="ja-JP"/>
        </w:rPr>
        <w:t>c</w:t>
      </w:r>
      <w:r w:rsidRPr="00FA128D">
        <w:t xml:space="preserve">ore </w:t>
      </w:r>
      <w:r>
        <w:rPr>
          <w:rFonts w:hint="eastAsia"/>
          <w:lang w:eastAsia="ja-JP"/>
        </w:rPr>
        <w:t>e</w:t>
      </w:r>
      <w:r w:rsidRPr="00FA128D">
        <w:t>xecutive</w:t>
      </w:r>
      <w:bookmarkEnd w:id="60"/>
    </w:p>
    <w:p w14:paraId="16176D24" w14:textId="77777777" w:rsidR="007D1693" w:rsidRDefault="007D1693" w:rsidP="00CE37BF">
      <w:pPr>
        <w:rPr>
          <w:lang w:eastAsia="ja-JP"/>
        </w:rPr>
      </w:pPr>
      <w:r w:rsidRPr="00766978">
        <w:rPr>
          <w:rFonts w:hint="eastAsia"/>
          <w:lang w:eastAsia="ja-JP"/>
        </w:rPr>
        <w:t xml:space="preserve">As </w:t>
      </w:r>
      <w:r w:rsidR="00893A05">
        <w:rPr>
          <w:lang w:eastAsia="ja-JP"/>
        </w:rPr>
        <w:t>in</w:t>
      </w:r>
      <w:r w:rsidR="00893A05" w:rsidRPr="00766978">
        <w:rPr>
          <w:rFonts w:hint="eastAsia"/>
          <w:lang w:eastAsia="ja-JP"/>
        </w:rPr>
        <w:t xml:space="preserve"> </w:t>
      </w:r>
      <w:r w:rsidRPr="00766978">
        <w:rPr>
          <w:rFonts w:hint="eastAsia"/>
          <w:lang w:eastAsia="ja-JP"/>
        </w:rPr>
        <w:t>the case identified in C</w:t>
      </w:r>
      <w:r w:rsidRPr="00766978">
        <w:rPr>
          <w:lang w:eastAsia="ja-JP"/>
        </w:rPr>
        <w:t>h</w:t>
      </w:r>
      <w:r w:rsidRPr="00766978">
        <w:rPr>
          <w:rFonts w:hint="eastAsia"/>
          <w:lang w:eastAsia="ja-JP"/>
        </w:rPr>
        <w:t xml:space="preserve">apter 5, interviewees focused on the JFTC in their </w:t>
      </w:r>
      <w:r w:rsidRPr="00766978">
        <w:rPr>
          <w:lang w:eastAsia="ja-JP"/>
        </w:rPr>
        <w:t>description</w:t>
      </w:r>
      <w:r w:rsidRPr="00766978">
        <w:rPr>
          <w:rFonts w:hint="eastAsia"/>
          <w:lang w:eastAsia="ja-JP"/>
        </w:rPr>
        <w:t xml:space="preserve"> </w:t>
      </w:r>
      <w:r w:rsidR="00EE4C93">
        <w:rPr>
          <w:lang w:eastAsia="ja-JP"/>
        </w:rPr>
        <w:t>on</w:t>
      </w:r>
      <w:r w:rsidRPr="00766978">
        <w:rPr>
          <w:rFonts w:hint="eastAsia"/>
          <w:lang w:eastAsia="ja-JP"/>
        </w:rPr>
        <w:t xml:space="preserve"> t</w:t>
      </w:r>
      <w:r w:rsidRPr="00766978">
        <w:rPr>
          <w:lang w:eastAsia="ja-JP"/>
        </w:rPr>
        <w:t>h</w:t>
      </w:r>
      <w:r w:rsidRPr="00766978">
        <w:rPr>
          <w:rFonts w:hint="eastAsia"/>
          <w:lang w:eastAsia="ja-JP"/>
        </w:rPr>
        <w:t>e capacity of the Japanese state in</w:t>
      </w:r>
      <w:r>
        <w:rPr>
          <w:rFonts w:hint="eastAsia"/>
          <w:lang w:eastAsia="ja-JP"/>
        </w:rPr>
        <w:t xml:space="preserve"> the antimonopoly field. Appendix </w:t>
      </w:r>
      <w:r w:rsidR="00136ED3">
        <w:rPr>
          <w:rFonts w:eastAsia="MS Mincho" w:hint="eastAsia"/>
          <w:lang w:eastAsia="ja-JP"/>
        </w:rPr>
        <w:t>4</w:t>
      </w:r>
      <w:r>
        <w:rPr>
          <w:rFonts w:hint="eastAsia"/>
          <w:lang w:eastAsia="ja-JP"/>
        </w:rPr>
        <w:t xml:space="preserve"> shows the number of JFTC staff has continuously grown during the period between the 1980s and the 2000s. The majority of interviewees view this growth as a significant enhancement of the state in </w:t>
      </w:r>
      <w:r w:rsidR="00CE37BF">
        <w:rPr>
          <w:lang w:eastAsia="ja-JP"/>
        </w:rPr>
        <w:t>antimonopoly regulation</w:t>
      </w:r>
      <w:r>
        <w:rPr>
          <w:rFonts w:hint="eastAsia"/>
          <w:lang w:eastAsia="ja-JP"/>
        </w:rPr>
        <w:t>.</w:t>
      </w:r>
    </w:p>
    <w:p w14:paraId="1BC2B694" w14:textId="77777777" w:rsidR="007D1693" w:rsidRDefault="007D1693" w:rsidP="008F1E8E">
      <w:pPr>
        <w:ind w:firstLineChars="122" w:firstLine="277"/>
        <w:rPr>
          <w:lang w:eastAsia="ja-JP"/>
        </w:rPr>
      </w:pPr>
      <w:r w:rsidRPr="008C03F2">
        <w:rPr>
          <w:rFonts w:hint="eastAsia"/>
          <w:lang w:eastAsia="ja-JP"/>
        </w:rPr>
        <w:t>Enhancing the JFTC has been viewed as having limited salience for party politicians in general because enhancing a government organisation does not have a significant impact on their respective</w:t>
      </w:r>
      <w:r>
        <w:rPr>
          <w:rFonts w:hint="eastAsia"/>
          <w:lang w:eastAsia="ja-JP"/>
        </w:rPr>
        <w:t xml:space="preserve"> constituencies. A former Cabinet Minister witnessed this point, referring to a case of another government organisation (Ministry of Justice): </w:t>
      </w:r>
      <w:r>
        <w:rPr>
          <w:lang w:eastAsia="ja-JP"/>
        </w:rPr>
        <w:t>‘…</w:t>
      </w:r>
      <w:r>
        <w:rPr>
          <w:rFonts w:hint="eastAsia"/>
          <w:lang w:eastAsia="ja-JP"/>
        </w:rPr>
        <w:t>we tried hard to increase the staff of the Ministry of Justice, judges, and the sum of the justice related budget. Not many politicians do such a thing, because it doesn</w:t>
      </w:r>
      <w:r>
        <w:rPr>
          <w:lang w:eastAsia="ja-JP"/>
        </w:rPr>
        <w:t>’</w:t>
      </w:r>
      <w:r>
        <w:rPr>
          <w:rFonts w:hint="eastAsia"/>
          <w:lang w:eastAsia="ja-JP"/>
        </w:rPr>
        <w:t>t attract votes</w:t>
      </w:r>
      <w:r>
        <w:rPr>
          <w:lang w:eastAsia="ja-JP"/>
        </w:rPr>
        <w:t>…’</w:t>
      </w:r>
      <w:r>
        <w:rPr>
          <w:rFonts w:hint="eastAsia"/>
          <w:lang w:eastAsia="ja-JP"/>
        </w:rPr>
        <w:t xml:space="preserve"> (</w:t>
      </w:r>
      <w:r w:rsidR="007634ED">
        <w:rPr>
          <w:rFonts w:hint="eastAsia"/>
          <w:lang w:eastAsia="ja-JP"/>
        </w:rPr>
        <w:t>Interview with</w:t>
      </w:r>
      <w:r>
        <w:rPr>
          <w:rFonts w:hint="eastAsia"/>
          <w:lang w:eastAsia="ja-JP"/>
        </w:rPr>
        <w:t xml:space="preserve"> a former Cabinet Minister (LDP)). Rather, some of them opposed strengthening the JFTC, as a retired JFTC senior civil servant commented: </w:t>
      </w:r>
      <w:r>
        <w:rPr>
          <w:lang w:eastAsia="ja-JP"/>
        </w:rPr>
        <w:t>‘…</w:t>
      </w:r>
      <w:r>
        <w:rPr>
          <w:rFonts w:hint="eastAsia"/>
          <w:lang w:eastAsia="ja-JP"/>
        </w:rPr>
        <w:t xml:space="preserve">around the 1980s and before some politicians opposed enhancing the JFTC </w:t>
      </w:r>
      <w:r>
        <w:rPr>
          <w:lang w:eastAsia="ja-JP"/>
        </w:rPr>
        <w:t>…</w:t>
      </w:r>
      <w:r>
        <w:rPr>
          <w:rFonts w:hint="eastAsia"/>
          <w:lang w:eastAsia="ja-JP"/>
        </w:rPr>
        <w:t xml:space="preserve">when we explained the draft </w:t>
      </w:r>
      <w:r w:rsidR="004D5B60">
        <w:rPr>
          <w:lang w:eastAsia="ja-JP"/>
        </w:rPr>
        <w:t xml:space="preserve">of the </w:t>
      </w:r>
      <w:r>
        <w:rPr>
          <w:rFonts w:hint="eastAsia"/>
          <w:lang w:eastAsia="ja-JP"/>
        </w:rPr>
        <w:t>next financial year budget, they said that</w:t>
      </w:r>
      <w:r>
        <w:rPr>
          <w:lang w:eastAsia="ja-JP"/>
        </w:rPr>
        <w:t>’</w:t>
      </w:r>
      <w:r>
        <w:rPr>
          <w:rFonts w:hint="eastAsia"/>
          <w:lang w:eastAsia="ja-JP"/>
        </w:rPr>
        <w:t>s too much; some politicians opposed like that</w:t>
      </w:r>
      <w:r>
        <w:rPr>
          <w:lang w:eastAsia="ja-JP"/>
        </w:rPr>
        <w:t>’</w:t>
      </w:r>
      <w:r>
        <w:rPr>
          <w:rFonts w:hint="eastAsia"/>
          <w:lang w:eastAsia="ja-JP"/>
        </w:rPr>
        <w:t xml:space="preserve"> (</w:t>
      </w:r>
      <w:r w:rsidR="007634ED">
        <w:rPr>
          <w:rFonts w:hint="eastAsia"/>
          <w:lang w:eastAsia="ja-JP"/>
        </w:rPr>
        <w:t>Interview with</w:t>
      </w:r>
      <w:r>
        <w:rPr>
          <w:rFonts w:hint="eastAsia"/>
          <w:lang w:eastAsia="ja-JP"/>
        </w:rPr>
        <w:t xml:space="preserve"> a retired senior JFTC civil servant). </w:t>
      </w:r>
      <w:r>
        <w:rPr>
          <w:lang w:eastAsia="ja-JP"/>
        </w:rPr>
        <w:t>A</w:t>
      </w:r>
      <w:r>
        <w:rPr>
          <w:rFonts w:hint="eastAsia"/>
          <w:lang w:eastAsia="ja-JP"/>
        </w:rPr>
        <w:t xml:space="preserve">s </w:t>
      </w:r>
      <w:r w:rsidR="0024071A">
        <w:rPr>
          <w:rFonts w:hint="eastAsia"/>
          <w:lang w:eastAsia="ja-JP"/>
        </w:rPr>
        <w:t>Table 6.6</w:t>
      </w:r>
      <w:r w:rsidR="0014150B">
        <w:rPr>
          <w:lang w:eastAsia="ja-JP"/>
        </w:rPr>
        <w:t xml:space="preserve"> and Appendix 4 </w:t>
      </w:r>
      <w:r>
        <w:rPr>
          <w:rFonts w:hint="eastAsia"/>
          <w:lang w:eastAsia="ja-JP"/>
        </w:rPr>
        <w:t>indicate the JFTC has steadily increased its staff between the 1980s and 2000s. A retired JFTC senior civil servant highlighted as the most significant event during this period the emergence of the Koizumi Government (2001-06):</w:t>
      </w:r>
    </w:p>
    <w:p w14:paraId="17E2FD99" w14:textId="77777777" w:rsidR="007D1693" w:rsidRDefault="007D1693" w:rsidP="007D1693">
      <w:pPr>
        <w:rPr>
          <w:lang w:eastAsia="ja-JP"/>
        </w:rPr>
      </w:pPr>
    </w:p>
    <w:p w14:paraId="7A27820A" w14:textId="2EF8475D" w:rsidR="007D1693" w:rsidRDefault="0034681C" w:rsidP="00A94FC5">
      <w:pPr>
        <w:pStyle w:val="Quote"/>
        <w:rPr>
          <w:lang w:eastAsia="ja-JP"/>
        </w:rPr>
      </w:pPr>
      <w:r>
        <w:rPr>
          <w:lang w:eastAsia="ja-JP"/>
        </w:rPr>
        <w:t>He</w:t>
      </w:r>
      <w:r w:rsidR="007D1693">
        <w:rPr>
          <w:rFonts w:hint="eastAsia"/>
          <w:lang w:eastAsia="ja-JP"/>
        </w:rPr>
        <w:t xml:space="preserve"> (Koizumi) increased 30 officials a year, 150 in 5 years, and he, or his </w:t>
      </w:r>
      <w:r w:rsidR="00225450">
        <w:rPr>
          <w:lang w:eastAsia="ja-JP"/>
        </w:rPr>
        <w:t>staff</w:t>
      </w:r>
      <w:r w:rsidR="007D1693">
        <w:rPr>
          <w:rFonts w:hint="eastAsia"/>
          <w:lang w:eastAsia="ja-JP"/>
        </w:rPr>
        <w:t xml:space="preserve">, or the Koizumi Government had a significant impact (on the AMA). </w:t>
      </w:r>
      <w:r w:rsidR="007D1693">
        <w:rPr>
          <w:lang w:eastAsia="ja-JP"/>
        </w:rPr>
        <w:t>E</w:t>
      </w:r>
      <w:r w:rsidR="007D1693">
        <w:rPr>
          <w:rFonts w:hint="eastAsia"/>
          <w:lang w:eastAsia="ja-JP"/>
        </w:rPr>
        <w:t xml:space="preserve">nforcement by a very small number of staff has a limitation. In addition, it said </w:t>
      </w:r>
      <w:r w:rsidR="00A94FC5">
        <w:rPr>
          <w:lang w:eastAsia="ja-JP"/>
        </w:rPr>
        <w:t>‘</w:t>
      </w:r>
      <w:r w:rsidR="007D1693">
        <w:rPr>
          <w:rFonts w:hint="eastAsia"/>
          <w:lang w:eastAsia="ja-JP"/>
        </w:rPr>
        <w:t>unacceptable is unacceptable</w:t>
      </w:r>
      <w:r w:rsidR="00A94FC5">
        <w:rPr>
          <w:lang w:eastAsia="ja-JP"/>
        </w:rPr>
        <w:t>’</w:t>
      </w:r>
      <w:r w:rsidR="007D1693">
        <w:rPr>
          <w:rFonts w:hint="eastAsia"/>
          <w:lang w:eastAsia="ja-JP"/>
        </w:rPr>
        <w:t xml:space="preserve"> to something about the regulatory methods, like the case of the </w:t>
      </w:r>
      <w:r w:rsidR="007D1693">
        <w:rPr>
          <w:lang w:eastAsia="ja-JP"/>
        </w:rPr>
        <w:t>post</w:t>
      </w:r>
      <w:r w:rsidR="007D1693">
        <w:rPr>
          <w:rFonts w:hint="eastAsia"/>
          <w:lang w:eastAsia="ja-JP"/>
        </w:rPr>
        <w:t xml:space="preserve"> office. These two were a significant assistance (to the JFTC). (</w:t>
      </w:r>
      <w:r w:rsidR="007634ED">
        <w:rPr>
          <w:rFonts w:hint="eastAsia"/>
          <w:lang w:eastAsia="ja-JP"/>
        </w:rPr>
        <w:t>Interview with</w:t>
      </w:r>
      <w:r w:rsidR="007D1693">
        <w:rPr>
          <w:rFonts w:hint="eastAsia"/>
          <w:lang w:eastAsia="ja-JP"/>
        </w:rPr>
        <w:t xml:space="preserve"> a retired JFTC senior civil servant)</w:t>
      </w:r>
    </w:p>
    <w:p w14:paraId="58B4A0F5" w14:textId="77777777" w:rsidR="007D1693" w:rsidRDefault="007D1693" w:rsidP="007D1693">
      <w:pPr>
        <w:rPr>
          <w:lang w:eastAsia="ja-JP"/>
        </w:rPr>
      </w:pPr>
    </w:p>
    <w:p w14:paraId="248FC36D" w14:textId="77777777" w:rsidR="007D1693" w:rsidRDefault="007D1693" w:rsidP="007D1693">
      <w:pPr>
        <w:rPr>
          <w:lang w:eastAsia="ja-JP"/>
        </w:rPr>
      </w:pPr>
      <w:r>
        <w:rPr>
          <w:lang w:eastAsia="ja-JP"/>
        </w:rPr>
        <w:t>A</w:t>
      </w:r>
      <w:r>
        <w:rPr>
          <w:rFonts w:hint="eastAsia"/>
          <w:lang w:eastAsia="ja-JP"/>
        </w:rPr>
        <w:t>nother party politician argued that appointing an appropriate JFTC Chairman was vital for establishing a capacity:</w:t>
      </w:r>
    </w:p>
    <w:p w14:paraId="3A490012" w14:textId="77777777" w:rsidR="007D1693" w:rsidRDefault="007D1693" w:rsidP="007D1693">
      <w:pPr>
        <w:rPr>
          <w:lang w:eastAsia="ja-JP"/>
        </w:rPr>
      </w:pPr>
    </w:p>
    <w:p w14:paraId="1D94735B" w14:textId="77777777" w:rsidR="00AC31BB" w:rsidRPr="005B18BE" w:rsidRDefault="00F77E54" w:rsidP="00D74648">
      <w:pPr>
        <w:pStyle w:val="Quote"/>
      </w:pPr>
      <w:r w:rsidRPr="005B18BE">
        <w:t>We need to properly appoint such key persons in, not only the JFTC’s but also other government organisations’. In the case of the JFTC, we appoint as the Chairman somebody from the private sector who has such an intention; so replacing with some private sector guy and let him do his appointments: an indirect political intervention. Or, it may be no political intervention; under a Chairman who will do that (gathering competent staff including private sector specialists) things will be easier than other government offices. That can be done in other government offices if Ministers want… (Interview with a member of the House of Representatives (DPJ))</w:t>
      </w:r>
    </w:p>
    <w:p w14:paraId="631A221A" w14:textId="77777777" w:rsidR="007D1693" w:rsidRDefault="007D1693" w:rsidP="007D1693">
      <w:pPr>
        <w:rPr>
          <w:lang w:eastAsia="ja-JP"/>
        </w:rPr>
      </w:pPr>
    </w:p>
    <w:p w14:paraId="7C9B3A8D" w14:textId="77777777" w:rsidR="007D1693" w:rsidRDefault="007D1693" w:rsidP="009166DA">
      <w:pPr>
        <w:rPr>
          <w:lang w:eastAsia="ja-JP"/>
        </w:rPr>
      </w:pPr>
      <w:r>
        <w:rPr>
          <w:rFonts w:hint="eastAsia"/>
          <w:lang w:eastAsia="ja-JP"/>
        </w:rPr>
        <w:t>These accounts argue that party politicians</w:t>
      </w:r>
      <w:r>
        <w:rPr>
          <w:lang w:eastAsia="ja-JP"/>
        </w:rPr>
        <w:t>’</w:t>
      </w:r>
      <w:r>
        <w:rPr>
          <w:rFonts w:hint="eastAsia"/>
          <w:lang w:eastAsia="ja-JP"/>
        </w:rPr>
        <w:t xml:space="preserve"> influence in enhancing the JFTC has been insignificant in general. However, the accounts also reveal that party politicians</w:t>
      </w:r>
      <w:r>
        <w:rPr>
          <w:lang w:eastAsia="ja-JP"/>
        </w:rPr>
        <w:t>’</w:t>
      </w:r>
      <w:r>
        <w:rPr>
          <w:rFonts w:hint="eastAsia"/>
          <w:lang w:eastAsia="ja-JP"/>
        </w:rPr>
        <w:t xml:space="preserve"> impact was significant when they expressed a clear will of strengthening the JFTC, as the case of the Koizumi Government</w:t>
      </w:r>
      <w:r w:rsidR="009166DA">
        <w:rPr>
          <w:lang w:eastAsia="ja-JP"/>
        </w:rPr>
        <w:t xml:space="preserve"> (2001-06)</w:t>
      </w:r>
      <w:r>
        <w:rPr>
          <w:rFonts w:hint="eastAsia"/>
          <w:lang w:eastAsia="ja-JP"/>
        </w:rPr>
        <w:t xml:space="preserve"> shows.</w:t>
      </w:r>
    </w:p>
    <w:p w14:paraId="6A221DC5" w14:textId="77777777" w:rsidR="007D1693" w:rsidRDefault="007D1693" w:rsidP="000F4DDF">
      <w:pPr>
        <w:ind w:firstLineChars="125" w:firstLine="283"/>
        <w:rPr>
          <w:lang w:eastAsia="ja-JP"/>
        </w:rPr>
      </w:pPr>
      <w:r>
        <w:rPr>
          <w:rFonts w:hint="eastAsia"/>
          <w:lang w:eastAsia="ja-JP"/>
        </w:rPr>
        <w:t>Elsewhere, a group of interviewees recognised the intention of the state as a whole to enhance the JFTC:</w:t>
      </w:r>
    </w:p>
    <w:p w14:paraId="39DCF3CC" w14:textId="77777777" w:rsidR="007D1693" w:rsidRDefault="007D1693" w:rsidP="007D1693">
      <w:pPr>
        <w:rPr>
          <w:lang w:eastAsia="ja-JP"/>
        </w:rPr>
      </w:pPr>
    </w:p>
    <w:p w14:paraId="6C819BCB" w14:textId="77777777" w:rsidR="007D1693" w:rsidRDefault="007D1693" w:rsidP="00AE2CC8">
      <w:pPr>
        <w:pStyle w:val="Quote"/>
        <w:rPr>
          <w:lang w:eastAsia="ja-JP"/>
        </w:rPr>
      </w:pPr>
      <w:r>
        <w:rPr>
          <w:lang w:eastAsia="ja-JP"/>
        </w:rPr>
        <w:t>…</w:t>
      </w:r>
      <w:r>
        <w:rPr>
          <w:rFonts w:hint="eastAsia"/>
          <w:lang w:eastAsia="ja-JP"/>
        </w:rPr>
        <w:t xml:space="preserve"> the fact that we have got significant manpower under the severe budget condition of the state means we have got sufficient attention. </w:t>
      </w:r>
      <w:r>
        <w:rPr>
          <w:lang w:eastAsia="ja-JP"/>
        </w:rPr>
        <w:t>W</w:t>
      </w:r>
      <w:r>
        <w:rPr>
          <w:rFonts w:hint="eastAsia"/>
          <w:lang w:eastAsia="ja-JP"/>
        </w:rPr>
        <w:t>hen I entered the Commission we had 506; now we ha</w:t>
      </w:r>
      <w:r w:rsidR="00F204C0">
        <w:rPr>
          <w:lang w:eastAsia="ja-JP"/>
        </w:rPr>
        <w:t>ve</w:t>
      </w:r>
      <w:r>
        <w:rPr>
          <w:rFonts w:hint="eastAsia"/>
          <w:lang w:eastAsia="ja-JP"/>
        </w:rPr>
        <w:t xml:space="preserve"> 799 officials; I suggest the </w:t>
      </w:r>
      <w:r>
        <w:rPr>
          <w:lang w:eastAsia="ja-JP"/>
        </w:rPr>
        <w:t>increase</w:t>
      </w:r>
      <w:r>
        <w:rPr>
          <w:rFonts w:hint="eastAsia"/>
          <w:lang w:eastAsia="ja-JP"/>
        </w:rPr>
        <w:t xml:space="preserve"> is significant. 60</w:t>
      </w:r>
      <w:r w:rsidR="00AE2CC8">
        <w:rPr>
          <w:lang w:eastAsia="ja-JP"/>
        </w:rPr>
        <w:t xml:space="preserve"> percent,</w:t>
      </w:r>
      <w:r>
        <w:rPr>
          <w:rFonts w:hint="eastAsia"/>
          <w:lang w:eastAsia="ja-JP"/>
        </w:rPr>
        <w:t xml:space="preserve"> so it</w:t>
      </w:r>
      <w:r>
        <w:rPr>
          <w:lang w:eastAsia="ja-JP"/>
        </w:rPr>
        <w:t>’</w:t>
      </w:r>
      <w:r>
        <w:rPr>
          <w:rFonts w:hint="eastAsia"/>
          <w:lang w:eastAsia="ja-JP"/>
        </w:rPr>
        <w:t>s significant</w:t>
      </w:r>
      <w:r>
        <w:rPr>
          <w:lang w:eastAsia="ja-JP"/>
        </w:rPr>
        <w:t xml:space="preserve"> …</w:t>
      </w:r>
      <w:r>
        <w:rPr>
          <w:rFonts w:hint="eastAsia"/>
          <w:lang w:eastAsia="ja-JP"/>
        </w:rPr>
        <w:t xml:space="preserve"> (</w:t>
      </w:r>
      <w:r w:rsidR="007634ED">
        <w:rPr>
          <w:rFonts w:hint="eastAsia"/>
          <w:lang w:eastAsia="ja-JP"/>
        </w:rPr>
        <w:t>Interview with</w:t>
      </w:r>
      <w:r>
        <w:rPr>
          <w:rFonts w:hint="eastAsia"/>
          <w:lang w:eastAsia="ja-JP"/>
        </w:rPr>
        <w:t xml:space="preserve"> a JFTC civil servant) </w:t>
      </w:r>
    </w:p>
    <w:p w14:paraId="4342ADE9" w14:textId="77777777" w:rsidR="007D1693" w:rsidRDefault="007D1693" w:rsidP="007D1693">
      <w:pPr>
        <w:rPr>
          <w:lang w:eastAsia="ja-JP"/>
        </w:rPr>
      </w:pPr>
    </w:p>
    <w:p w14:paraId="7016A486" w14:textId="77777777" w:rsidR="007D1693" w:rsidRDefault="007D1693" w:rsidP="007D1693">
      <w:pPr>
        <w:rPr>
          <w:lang w:eastAsia="ja-JP"/>
        </w:rPr>
      </w:pPr>
      <w:r>
        <w:rPr>
          <w:rFonts w:hint="eastAsia"/>
          <w:lang w:eastAsia="ja-JP"/>
        </w:rPr>
        <w:t>T</w:t>
      </w:r>
      <w:r>
        <w:rPr>
          <w:lang w:eastAsia="ja-JP"/>
        </w:rPr>
        <w:t>h</w:t>
      </w:r>
      <w:r>
        <w:rPr>
          <w:rFonts w:hint="eastAsia"/>
          <w:lang w:eastAsia="ja-JP"/>
        </w:rPr>
        <w:t xml:space="preserve">is observation was shared by an outside observer: </w:t>
      </w:r>
      <w:r>
        <w:rPr>
          <w:lang w:eastAsia="ja-JP"/>
        </w:rPr>
        <w:t>‘…</w:t>
      </w:r>
      <w:r>
        <w:rPr>
          <w:rFonts w:hint="eastAsia"/>
          <w:lang w:eastAsia="ja-JP"/>
        </w:rPr>
        <w:t>manpower has increased as the statistical data indicates, even under tax revenue shortage resulting from the recession. This means the JFTC</w:t>
      </w:r>
      <w:r>
        <w:rPr>
          <w:lang w:eastAsia="ja-JP"/>
        </w:rPr>
        <w:t>’</w:t>
      </w:r>
      <w:r>
        <w:rPr>
          <w:rFonts w:hint="eastAsia"/>
          <w:lang w:eastAsia="ja-JP"/>
        </w:rPr>
        <w:t>s capacity is needed so much and politicians</w:t>
      </w:r>
      <w:r>
        <w:rPr>
          <w:lang w:eastAsia="ja-JP"/>
        </w:rPr>
        <w:t xml:space="preserve"> have understood that, I guess’ </w:t>
      </w:r>
      <w:r>
        <w:rPr>
          <w:rFonts w:hint="eastAsia"/>
          <w:lang w:eastAsia="ja-JP"/>
        </w:rPr>
        <w:t>(</w:t>
      </w:r>
      <w:r w:rsidR="007634ED">
        <w:rPr>
          <w:rFonts w:hint="eastAsia"/>
          <w:lang w:eastAsia="ja-JP"/>
        </w:rPr>
        <w:t>Interview with</w:t>
      </w:r>
      <w:r>
        <w:rPr>
          <w:rFonts w:hint="eastAsia"/>
          <w:lang w:eastAsia="ja-JP"/>
        </w:rPr>
        <w:t xml:space="preserve"> </w:t>
      </w:r>
      <w:r>
        <w:rPr>
          <w:lang w:eastAsia="ja-JP"/>
        </w:rPr>
        <w:t>an</w:t>
      </w:r>
      <w:r>
        <w:rPr>
          <w:rFonts w:hint="eastAsia"/>
          <w:lang w:eastAsia="ja-JP"/>
        </w:rPr>
        <w:t xml:space="preserve"> AMA lawyer). This set of accounts indicates that the JFTC</w:t>
      </w:r>
      <w:r>
        <w:rPr>
          <w:lang w:eastAsia="ja-JP"/>
        </w:rPr>
        <w:t>’</w:t>
      </w:r>
      <w:r>
        <w:rPr>
          <w:rFonts w:hint="eastAsia"/>
          <w:lang w:eastAsia="ja-JP"/>
        </w:rPr>
        <w:t>s organisational expansion is interpreted as the government</w:t>
      </w:r>
      <w:r>
        <w:rPr>
          <w:lang w:eastAsia="ja-JP"/>
        </w:rPr>
        <w:t>’</w:t>
      </w:r>
      <w:r>
        <w:rPr>
          <w:rFonts w:hint="eastAsia"/>
          <w:lang w:eastAsia="ja-JP"/>
        </w:rPr>
        <w:t>s intention to strengthen its antimonopoly regulation capacity by a group of people in the field.</w:t>
      </w:r>
    </w:p>
    <w:p w14:paraId="2FB2A390" w14:textId="77777777" w:rsidR="007D1693" w:rsidRDefault="007D1693" w:rsidP="0024471C">
      <w:pPr>
        <w:ind w:firstLineChars="122" w:firstLine="277"/>
        <w:rPr>
          <w:lang w:eastAsia="ja-JP"/>
        </w:rPr>
      </w:pPr>
      <w:r>
        <w:rPr>
          <w:lang w:eastAsia="ja-JP"/>
        </w:rPr>
        <w:t>A</w:t>
      </w:r>
      <w:r>
        <w:rPr>
          <w:rFonts w:hint="eastAsia"/>
          <w:lang w:eastAsia="ja-JP"/>
        </w:rPr>
        <w:t xml:space="preserve">s Appendix </w:t>
      </w:r>
      <w:r w:rsidR="00136ED3">
        <w:rPr>
          <w:rFonts w:eastAsia="MS Mincho" w:hint="eastAsia"/>
          <w:lang w:eastAsia="ja-JP"/>
        </w:rPr>
        <w:t>4</w:t>
      </w:r>
      <w:r>
        <w:rPr>
          <w:rFonts w:hint="eastAsia"/>
          <w:lang w:eastAsia="ja-JP"/>
        </w:rPr>
        <w:t xml:space="preserve"> reveals</w:t>
      </w:r>
      <w:r w:rsidR="00F204C0">
        <w:rPr>
          <w:lang w:eastAsia="ja-JP"/>
        </w:rPr>
        <w:t>,</w:t>
      </w:r>
      <w:r>
        <w:rPr>
          <w:rFonts w:hint="eastAsia"/>
          <w:lang w:eastAsia="ja-JP"/>
        </w:rPr>
        <w:t xml:space="preserve"> the JFTC increased its budget and number of staff between the 1980s and 2000s. The impact of staff increase was witnessed by a retired JFTC senior civil servant:</w:t>
      </w:r>
    </w:p>
    <w:p w14:paraId="7339A0F4" w14:textId="77777777" w:rsidR="007D1693" w:rsidRDefault="007D1693" w:rsidP="007D1693">
      <w:pPr>
        <w:rPr>
          <w:lang w:eastAsia="ja-JP"/>
        </w:rPr>
      </w:pPr>
    </w:p>
    <w:p w14:paraId="04E0A216" w14:textId="77777777" w:rsidR="007D1693" w:rsidRPr="003C6815" w:rsidRDefault="007D1693" w:rsidP="007D1693">
      <w:pPr>
        <w:pStyle w:val="Quote"/>
        <w:rPr>
          <w:lang w:eastAsia="ja-JP"/>
        </w:rPr>
      </w:pPr>
      <w:r>
        <w:rPr>
          <w:lang w:eastAsia="ja-JP"/>
        </w:rPr>
        <w:t>…</w:t>
      </w:r>
      <w:r>
        <w:rPr>
          <w:rFonts w:hint="eastAsia"/>
          <w:lang w:eastAsia="ja-JP"/>
        </w:rPr>
        <w:t>although we needed more people to fully function antimonopoly regulation we had about 400 or 450; therefore, we could</w:t>
      </w:r>
      <w:r>
        <w:rPr>
          <w:lang w:eastAsia="ja-JP"/>
        </w:rPr>
        <w:t>n’</w:t>
      </w:r>
      <w:r>
        <w:rPr>
          <w:rFonts w:hint="eastAsia"/>
          <w:lang w:eastAsia="ja-JP"/>
        </w:rPr>
        <w:t>t actively undertake various things</w:t>
      </w:r>
      <w:r>
        <w:rPr>
          <w:lang w:eastAsia="ja-JP"/>
        </w:rPr>
        <w:t>…</w:t>
      </w:r>
      <w:r>
        <w:rPr>
          <w:rFonts w:hint="eastAsia"/>
          <w:lang w:eastAsia="ja-JP"/>
        </w:rPr>
        <w:t xml:space="preserve">enhancing the authority is important, but for instance, we </w:t>
      </w:r>
      <w:r>
        <w:rPr>
          <w:lang w:eastAsia="ja-JP"/>
        </w:rPr>
        <w:t>significantly</w:t>
      </w:r>
      <w:r>
        <w:rPr>
          <w:rFonts w:hint="eastAsia"/>
          <w:lang w:eastAsia="ja-JP"/>
        </w:rPr>
        <w:t xml:space="preserve"> enhanced authority in 1977, but with the staff increase of several officials a year, we couldn</w:t>
      </w:r>
      <w:r>
        <w:rPr>
          <w:lang w:eastAsia="ja-JP"/>
        </w:rPr>
        <w:t>’</w:t>
      </w:r>
      <w:r>
        <w:rPr>
          <w:rFonts w:hint="eastAsia"/>
          <w:lang w:eastAsia="ja-JP"/>
        </w:rPr>
        <w:t>t do so many things</w:t>
      </w:r>
      <w:r>
        <w:rPr>
          <w:lang w:eastAsia="ja-JP"/>
        </w:rPr>
        <w:t>…</w:t>
      </w:r>
      <w:r>
        <w:rPr>
          <w:rFonts w:hint="eastAsia"/>
          <w:lang w:eastAsia="ja-JP"/>
        </w:rPr>
        <w:t>about authority and manpower, we</w:t>
      </w:r>
      <w:r>
        <w:rPr>
          <w:lang w:eastAsia="ja-JP"/>
        </w:rPr>
        <w:t>’</w:t>
      </w:r>
      <w:r>
        <w:rPr>
          <w:rFonts w:hint="eastAsia"/>
          <w:lang w:eastAsia="ja-JP"/>
        </w:rPr>
        <w:t>ve enhanced authority through a series of debates, but without manpower we couldn</w:t>
      </w:r>
      <w:r>
        <w:rPr>
          <w:lang w:eastAsia="ja-JP"/>
        </w:rPr>
        <w:t>’</w:t>
      </w:r>
      <w:r>
        <w:rPr>
          <w:rFonts w:hint="eastAsia"/>
          <w:lang w:eastAsia="ja-JP"/>
        </w:rPr>
        <w:t>t do so much, in my impression. (</w:t>
      </w:r>
      <w:r w:rsidR="007634ED">
        <w:rPr>
          <w:rFonts w:hint="eastAsia"/>
          <w:lang w:eastAsia="ja-JP"/>
        </w:rPr>
        <w:t>Interview with</w:t>
      </w:r>
      <w:r>
        <w:rPr>
          <w:rFonts w:hint="eastAsia"/>
          <w:lang w:eastAsia="ja-JP"/>
        </w:rPr>
        <w:t xml:space="preserve"> a retired JFTC senior civil servant)</w:t>
      </w:r>
    </w:p>
    <w:p w14:paraId="38B6D9C5" w14:textId="77777777" w:rsidR="007D1693" w:rsidRDefault="007D1693" w:rsidP="007D1693">
      <w:pPr>
        <w:rPr>
          <w:lang w:eastAsia="ja-JP"/>
        </w:rPr>
      </w:pPr>
    </w:p>
    <w:p w14:paraId="59CD21BF" w14:textId="77777777" w:rsidR="007D1693" w:rsidRDefault="007D1693" w:rsidP="007D1693">
      <w:pPr>
        <w:rPr>
          <w:lang w:eastAsia="ja-JP"/>
        </w:rPr>
      </w:pPr>
      <w:r>
        <w:rPr>
          <w:rFonts w:hint="eastAsia"/>
          <w:lang w:eastAsia="ja-JP"/>
        </w:rPr>
        <w:t xml:space="preserve">He also compared the current situation with that in the early 1990s: </w:t>
      </w:r>
      <w:r>
        <w:rPr>
          <w:lang w:eastAsia="ja-JP"/>
        </w:rPr>
        <w:t>‘…</w:t>
      </w:r>
      <w:r>
        <w:rPr>
          <w:rFonts w:hint="eastAsia"/>
          <w:lang w:eastAsia="ja-JP"/>
        </w:rPr>
        <w:t>probably they don</w:t>
      </w:r>
      <w:r>
        <w:rPr>
          <w:lang w:eastAsia="ja-JP"/>
        </w:rPr>
        <w:t>’</w:t>
      </w:r>
      <w:r>
        <w:rPr>
          <w:rFonts w:hint="eastAsia"/>
          <w:lang w:eastAsia="ja-JP"/>
        </w:rPr>
        <w:t>t stop proceeding cases because of manpower or money shortage today. I did such kind of things in the early 1990s. At that time the situation was like that, and it was the largest obstacle for actual enforcement</w:t>
      </w:r>
      <w:r>
        <w:rPr>
          <w:lang w:eastAsia="ja-JP"/>
        </w:rPr>
        <w:t>’</w:t>
      </w:r>
      <w:r>
        <w:rPr>
          <w:rFonts w:hint="eastAsia"/>
          <w:lang w:eastAsia="ja-JP"/>
        </w:rPr>
        <w:t xml:space="preserve"> (</w:t>
      </w:r>
      <w:r w:rsidR="007634ED">
        <w:rPr>
          <w:rFonts w:hint="eastAsia"/>
          <w:lang w:eastAsia="ja-JP"/>
        </w:rPr>
        <w:t>Interview with</w:t>
      </w:r>
      <w:r>
        <w:rPr>
          <w:rFonts w:hint="eastAsia"/>
          <w:lang w:eastAsia="ja-JP"/>
        </w:rPr>
        <w:t xml:space="preserve"> a retired JFTC senior civil servant). This witnesses the actual impact of staff </w:t>
      </w:r>
      <w:r>
        <w:rPr>
          <w:lang w:eastAsia="ja-JP"/>
        </w:rPr>
        <w:t>increase</w:t>
      </w:r>
      <w:r>
        <w:rPr>
          <w:rFonts w:hint="eastAsia"/>
          <w:lang w:eastAsia="ja-JP"/>
        </w:rPr>
        <w:t xml:space="preserve"> to the JFTC</w:t>
      </w:r>
      <w:r>
        <w:rPr>
          <w:lang w:eastAsia="ja-JP"/>
        </w:rPr>
        <w:t>’</w:t>
      </w:r>
      <w:r>
        <w:rPr>
          <w:rFonts w:hint="eastAsia"/>
          <w:lang w:eastAsia="ja-JP"/>
        </w:rPr>
        <w:t>s capacity and backs a view that the JFTC</w:t>
      </w:r>
      <w:r>
        <w:rPr>
          <w:lang w:eastAsia="ja-JP"/>
        </w:rPr>
        <w:t>’</w:t>
      </w:r>
      <w:r>
        <w:rPr>
          <w:rFonts w:hint="eastAsia"/>
          <w:lang w:eastAsia="ja-JP"/>
        </w:rPr>
        <w:t>s organisational expansion can be understood as effective to enhance Japan</w:t>
      </w:r>
      <w:r>
        <w:rPr>
          <w:lang w:eastAsia="ja-JP"/>
        </w:rPr>
        <w:t>’</w:t>
      </w:r>
      <w:r>
        <w:rPr>
          <w:rFonts w:hint="eastAsia"/>
          <w:lang w:eastAsia="ja-JP"/>
        </w:rPr>
        <w:t>s antimonopoly regulation capacity.</w:t>
      </w:r>
    </w:p>
    <w:p w14:paraId="2D948BA8" w14:textId="77777777" w:rsidR="007D1693" w:rsidRDefault="007D1693" w:rsidP="007C3BC8">
      <w:pPr>
        <w:ind w:firstLineChars="122" w:firstLine="277"/>
        <w:rPr>
          <w:lang w:eastAsia="ja-JP"/>
        </w:rPr>
      </w:pPr>
      <w:r>
        <w:rPr>
          <w:rFonts w:hint="eastAsia"/>
          <w:lang w:eastAsia="ja-JP"/>
        </w:rPr>
        <w:t xml:space="preserve">The steady staff and budget increase of </w:t>
      </w:r>
      <w:r>
        <w:rPr>
          <w:lang w:eastAsia="ja-JP"/>
        </w:rPr>
        <w:t>t</w:t>
      </w:r>
      <w:r>
        <w:rPr>
          <w:rFonts w:hint="eastAsia"/>
          <w:lang w:eastAsia="ja-JP"/>
        </w:rPr>
        <w:t>he JFTC</w:t>
      </w:r>
      <w:r>
        <w:rPr>
          <w:lang w:eastAsia="ja-JP"/>
        </w:rPr>
        <w:t>’</w:t>
      </w:r>
      <w:r>
        <w:rPr>
          <w:rFonts w:hint="eastAsia"/>
          <w:lang w:eastAsia="ja-JP"/>
        </w:rPr>
        <w:t>s manpower offers a contrast to the professional expertise of the JFTC</w:t>
      </w:r>
      <w:r>
        <w:rPr>
          <w:lang w:eastAsia="ja-JP"/>
        </w:rPr>
        <w:t>’</w:t>
      </w:r>
      <w:r>
        <w:rPr>
          <w:rFonts w:hint="eastAsia"/>
          <w:lang w:eastAsia="ja-JP"/>
        </w:rPr>
        <w:t xml:space="preserve">s </w:t>
      </w:r>
      <w:r w:rsidR="008F176E">
        <w:rPr>
          <w:lang w:eastAsia="ja-JP"/>
        </w:rPr>
        <w:t>staff</w:t>
      </w:r>
      <w:r>
        <w:rPr>
          <w:rFonts w:hint="eastAsia"/>
          <w:lang w:eastAsia="ja-JP"/>
        </w:rPr>
        <w:t xml:space="preserve">. </w:t>
      </w:r>
      <w:r>
        <w:rPr>
          <w:lang w:eastAsia="ja-JP"/>
        </w:rPr>
        <w:t>A</w:t>
      </w:r>
      <w:r>
        <w:rPr>
          <w:rFonts w:hint="eastAsia"/>
          <w:lang w:eastAsia="ja-JP"/>
        </w:rPr>
        <w:t xml:space="preserve"> number of interviewees offered negative views </w:t>
      </w:r>
      <w:r w:rsidR="007C3BC8">
        <w:rPr>
          <w:lang w:eastAsia="ja-JP"/>
        </w:rPr>
        <w:t>on</w:t>
      </w:r>
      <w:r>
        <w:rPr>
          <w:rFonts w:hint="eastAsia"/>
          <w:lang w:eastAsia="ja-JP"/>
        </w:rPr>
        <w:t xml:space="preserve"> the professional expertise of the JFTC</w:t>
      </w:r>
      <w:r>
        <w:rPr>
          <w:lang w:eastAsia="ja-JP"/>
        </w:rPr>
        <w:t>’</w:t>
      </w:r>
      <w:r>
        <w:rPr>
          <w:rFonts w:hint="eastAsia"/>
          <w:lang w:eastAsia="ja-JP"/>
        </w:rPr>
        <w:t xml:space="preserve">s staff from a couple of viewpoints. </w:t>
      </w:r>
      <w:r>
        <w:rPr>
          <w:lang w:eastAsia="ja-JP"/>
        </w:rPr>
        <w:t>T</w:t>
      </w:r>
      <w:r>
        <w:rPr>
          <w:rFonts w:hint="eastAsia"/>
          <w:lang w:eastAsia="ja-JP"/>
        </w:rPr>
        <w:t xml:space="preserve">he above retired JFTC senior </w:t>
      </w:r>
      <w:r w:rsidRPr="00A11D78">
        <w:rPr>
          <w:rFonts w:hint="eastAsia"/>
          <w:lang w:eastAsia="ja-JP"/>
        </w:rPr>
        <w:t>civil servant, for instance, highlighted the lack of employees with professional training:</w:t>
      </w:r>
    </w:p>
    <w:p w14:paraId="36BE7BC1" w14:textId="77777777" w:rsidR="007D1693" w:rsidRDefault="007D1693" w:rsidP="007D1693">
      <w:pPr>
        <w:rPr>
          <w:lang w:eastAsia="ja-JP"/>
        </w:rPr>
      </w:pPr>
    </w:p>
    <w:p w14:paraId="449E7F25" w14:textId="77777777" w:rsidR="007D1693" w:rsidRDefault="007D1693" w:rsidP="007D1693">
      <w:pPr>
        <w:pStyle w:val="Quote"/>
        <w:rPr>
          <w:lang w:eastAsia="ja-JP"/>
        </w:rPr>
      </w:pPr>
      <w:r>
        <w:rPr>
          <w:lang w:eastAsia="ja-JP"/>
        </w:rPr>
        <w:t>…</w:t>
      </w:r>
      <w:r>
        <w:rPr>
          <w:rFonts w:hint="eastAsia"/>
          <w:lang w:eastAsia="ja-JP"/>
        </w:rPr>
        <w:t xml:space="preserve">the JFTC officials are a kind of generalists, and their posts frequently change. So, it is hard to grow people like those specialised in and very good at mergers and acquisitions. </w:t>
      </w:r>
      <w:r>
        <w:rPr>
          <w:lang w:eastAsia="ja-JP"/>
        </w:rPr>
        <w:t>B</w:t>
      </w:r>
      <w:r>
        <w:rPr>
          <w:rFonts w:hint="eastAsia"/>
          <w:lang w:eastAsia="ja-JP"/>
        </w:rPr>
        <w:t>ut other countries have already employed such professionals, including those with a ten year history or so, with which it</w:t>
      </w:r>
      <w:r>
        <w:rPr>
          <w:lang w:eastAsia="ja-JP"/>
        </w:rPr>
        <w:t>’</w:t>
      </w:r>
      <w:r>
        <w:rPr>
          <w:rFonts w:hint="eastAsia"/>
          <w:lang w:eastAsia="ja-JP"/>
        </w:rPr>
        <w:t xml:space="preserve">s difficult for Japan to cope. </w:t>
      </w:r>
      <w:r>
        <w:rPr>
          <w:lang w:eastAsia="ja-JP"/>
        </w:rPr>
        <w:t>W</w:t>
      </w:r>
      <w:r>
        <w:rPr>
          <w:rFonts w:hint="eastAsia"/>
          <w:lang w:eastAsia="ja-JP"/>
        </w:rPr>
        <w:t xml:space="preserve">e need to offer better treatments and invite competent, </w:t>
      </w:r>
      <w:r>
        <w:rPr>
          <w:lang w:eastAsia="ja-JP"/>
        </w:rPr>
        <w:t>qualified,</w:t>
      </w:r>
      <w:r>
        <w:rPr>
          <w:rFonts w:hint="eastAsia"/>
          <w:lang w:eastAsia="ja-JP"/>
        </w:rPr>
        <w:t xml:space="preserve"> and able people; they may go to somewhere like universities, but we need to increase such people; within Japan the JFTC </w:t>
      </w:r>
      <w:r>
        <w:rPr>
          <w:lang w:eastAsia="ja-JP"/>
        </w:rPr>
        <w:t>staff is</w:t>
      </w:r>
      <w:r>
        <w:rPr>
          <w:rFonts w:hint="eastAsia"/>
          <w:lang w:eastAsia="ja-JP"/>
        </w:rPr>
        <w:t xml:space="preserve"> not so inferior; because other government offices employ the same approach. </w:t>
      </w:r>
      <w:r>
        <w:rPr>
          <w:lang w:eastAsia="ja-JP"/>
        </w:rPr>
        <w:t>W</w:t>
      </w:r>
      <w:r>
        <w:rPr>
          <w:rFonts w:hint="eastAsia"/>
          <w:lang w:eastAsia="ja-JP"/>
        </w:rPr>
        <w:t>e do business in international conferences, or investigate and cope with the same case together; in such cases counterparts are those like PhDs. Our people are university graduates, some of who</w:t>
      </w:r>
      <w:r w:rsidR="004769D9">
        <w:rPr>
          <w:lang w:eastAsia="ja-JP"/>
        </w:rPr>
        <w:t>m</w:t>
      </w:r>
      <w:r>
        <w:rPr>
          <w:rFonts w:hint="eastAsia"/>
          <w:lang w:eastAsia="ja-JP"/>
        </w:rPr>
        <w:t xml:space="preserve"> don</w:t>
      </w:r>
      <w:r>
        <w:rPr>
          <w:lang w:eastAsia="ja-JP"/>
        </w:rPr>
        <w:t>’</w:t>
      </w:r>
      <w:r>
        <w:rPr>
          <w:rFonts w:hint="eastAsia"/>
          <w:lang w:eastAsia="ja-JP"/>
        </w:rPr>
        <w:t>t have even Masters; is this really all right? (</w:t>
      </w:r>
      <w:r w:rsidR="007634ED">
        <w:rPr>
          <w:rFonts w:hint="eastAsia"/>
          <w:lang w:eastAsia="ja-JP"/>
        </w:rPr>
        <w:t>Interview with</w:t>
      </w:r>
      <w:r>
        <w:rPr>
          <w:rFonts w:hint="eastAsia"/>
          <w:lang w:eastAsia="ja-JP"/>
        </w:rPr>
        <w:t xml:space="preserve"> a retired JFTC senior civil servant)</w:t>
      </w:r>
    </w:p>
    <w:p w14:paraId="0F8074BA" w14:textId="77777777" w:rsidR="007D1693" w:rsidRDefault="007D1693" w:rsidP="007D1693">
      <w:pPr>
        <w:rPr>
          <w:lang w:eastAsia="ja-JP"/>
        </w:rPr>
      </w:pPr>
    </w:p>
    <w:p w14:paraId="4E0AC595" w14:textId="77777777" w:rsidR="007D1693" w:rsidRDefault="007D1693" w:rsidP="007D1693">
      <w:pPr>
        <w:rPr>
          <w:lang w:eastAsia="ja-JP"/>
        </w:rPr>
      </w:pPr>
      <w:r>
        <w:rPr>
          <w:rFonts w:hint="eastAsia"/>
          <w:lang w:eastAsia="ja-JP"/>
        </w:rPr>
        <w:t xml:space="preserve">He also highlighted the difference between </w:t>
      </w:r>
      <w:r>
        <w:rPr>
          <w:lang w:eastAsia="ja-JP"/>
        </w:rPr>
        <w:t>the</w:t>
      </w:r>
      <w:r>
        <w:rPr>
          <w:rFonts w:hint="eastAsia"/>
          <w:lang w:eastAsia="ja-JP"/>
        </w:rPr>
        <w:t xml:space="preserve"> JFTC and its American counterpart:</w:t>
      </w:r>
    </w:p>
    <w:p w14:paraId="0E4ABFF2" w14:textId="77777777" w:rsidR="007D1693" w:rsidRDefault="007D1693" w:rsidP="007D1693">
      <w:pPr>
        <w:rPr>
          <w:lang w:eastAsia="ja-JP"/>
        </w:rPr>
      </w:pPr>
    </w:p>
    <w:p w14:paraId="64B26015" w14:textId="77777777" w:rsidR="007D1693" w:rsidRDefault="007D1693" w:rsidP="007D1693">
      <w:pPr>
        <w:pStyle w:val="Quote"/>
        <w:rPr>
          <w:lang w:eastAsia="ja-JP"/>
        </w:rPr>
      </w:pPr>
      <w:r>
        <w:rPr>
          <w:lang w:eastAsia="ja-JP"/>
        </w:rPr>
        <w:t>A</w:t>
      </w:r>
      <w:r>
        <w:rPr>
          <w:rFonts w:hint="eastAsia"/>
          <w:lang w:eastAsia="ja-JP"/>
        </w:rPr>
        <w:t xml:space="preserve">ntimonopoly policies include mergers and </w:t>
      </w:r>
      <w:r>
        <w:rPr>
          <w:lang w:eastAsia="ja-JP"/>
        </w:rPr>
        <w:t>acquisition</w:t>
      </w:r>
      <w:r>
        <w:rPr>
          <w:rFonts w:hint="eastAsia"/>
          <w:lang w:eastAsia="ja-JP"/>
        </w:rPr>
        <w:t xml:space="preserve"> regulation; the US counterpart employs more than 100 PhD holders engaging in such tasks. In Japan, commissioners may have a PhD but they don</w:t>
      </w:r>
      <w:r>
        <w:rPr>
          <w:lang w:eastAsia="ja-JP"/>
        </w:rPr>
        <w:t>’</w:t>
      </w:r>
      <w:r>
        <w:rPr>
          <w:rFonts w:hint="eastAsia"/>
          <w:lang w:eastAsia="ja-JP"/>
        </w:rPr>
        <w:t xml:space="preserve">t directly engage in mergers and </w:t>
      </w:r>
      <w:r>
        <w:rPr>
          <w:lang w:eastAsia="ja-JP"/>
        </w:rPr>
        <w:t>acquisitions</w:t>
      </w:r>
      <w:r>
        <w:rPr>
          <w:rFonts w:hint="eastAsia"/>
          <w:lang w:eastAsia="ja-JP"/>
        </w:rPr>
        <w:t xml:space="preserve"> regulation cases, so one PhD holder, a post Doctor or PhD holder; the reality is something like that. (</w:t>
      </w:r>
      <w:r w:rsidR="007634ED">
        <w:rPr>
          <w:rFonts w:hint="eastAsia"/>
          <w:lang w:eastAsia="ja-JP"/>
        </w:rPr>
        <w:t>Interview with</w:t>
      </w:r>
      <w:r>
        <w:rPr>
          <w:rFonts w:hint="eastAsia"/>
          <w:lang w:eastAsia="ja-JP"/>
        </w:rPr>
        <w:t xml:space="preserve"> a JFTC senior civil servant)</w:t>
      </w:r>
    </w:p>
    <w:p w14:paraId="2A1CF62C" w14:textId="77777777" w:rsidR="007D1693" w:rsidRDefault="007D1693" w:rsidP="007D1693">
      <w:pPr>
        <w:rPr>
          <w:lang w:eastAsia="ja-JP"/>
        </w:rPr>
      </w:pPr>
    </w:p>
    <w:p w14:paraId="341CC915" w14:textId="77777777" w:rsidR="007D1693" w:rsidRPr="00662AFB" w:rsidRDefault="007D1693" w:rsidP="007D1693">
      <w:pPr>
        <w:rPr>
          <w:lang w:eastAsia="ja-JP"/>
        </w:rPr>
      </w:pPr>
      <w:r>
        <w:rPr>
          <w:rFonts w:hint="eastAsia"/>
          <w:lang w:eastAsia="ja-JP"/>
        </w:rPr>
        <w:t xml:space="preserve">Such a lack of </w:t>
      </w:r>
      <w:r>
        <w:rPr>
          <w:lang w:eastAsia="ja-JP"/>
        </w:rPr>
        <w:t>trained</w:t>
      </w:r>
      <w:r>
        <w:rPr>
          <w:rFonts w:hint="eastAsia"/>
          <w:lang w:eastAsia="ja-JP"/>
        </w:rPr>
        <w:t xml:space="preserve"> specialists was pointed out by another JFTC civil servant: </w:t>
      </w:r>
    </w:p>
    <w:p w14:paraId="4F5AEEF7" w14:textId="77777777" w:rsidR="007D1693" w:rsidRDefault="007D1693" w:rsidP="007D1693">
      <w:pPr>
        <w:rPr>
          <w:lang w:eastAsia="ja-JP"/>
        </w:rPr>
      </w:pPr>
    </w:p>
    <w:p w14:paraId="6E8E4661" w14:textId="77777777" w:rsidR="007D1693" w:rsidRPr="00257E51" w:rsidRDefault="007D1693" w:rsidP="007D1693">
      <w:pPr>
        <w:pStyle w:val="Quote"/>
        <w:rPr>
          <w:lang w:eastAsia="ja-JP"/>
        </w:rPr>
      </w:pPr>
      <w:r>
        <w:rPr>
          <w:rFonts w:hint="eastAsia"/>
          <w:lang w:eastAsia="ja-JP"/>
        </w:rPr>
        <w:t>Focusing staff</w:t>
      </w:r>
      <w:r>
        <w:rPr>
          <w:lang w:eastAsia="ja-JP"/>
        </w:rPr>
        <w:t>’</w:t>
      </w:r>
      <w:r>
        <w:rPr>
          <w:rFonts w:hint="eastAsia"/>
          <w:lang w:eastAsia="ja-JP"/>
        </w:rPr>
        <w:t xml:space="preserve">s professional expertise is very important when compared with the US and the EU, I think. Because for instance public prosecutors implement antimonopoly law and economists analyse the economy; the EU is also an international organisation so holding a PhD or a Master in law is common among its staff. </w:t>
      </w:r>
      <w:r>
        <w:rPr>
          <w:lang w:eastAsia="ja-JP"/>
        </w:rPr>
        <w:t>S</w:t>
      </w:r>
      <w:r>
        <w:rPr>
          <w:rFonts w:hint="eastAsia"/>
          <w:lang w:eastAsia="ja-JP"/>
        </w:rPr>
        <w:t xml:space="preserve">uch people are examining. </w:t>
      </w:r>
      <w:r>
        <w:rPr>
          <w:lang w:eastAsia="ja-JP"/>
        </w:rPr>
        <w:t>…</w:t>
      </w:r>
      <w:r>
        <w:rPr>
          <w:rFonts w:hint="eastAsia"/>
          <w:lang w:eastAsia="ja-JP"/>
        </w:rPr>
        <w:t xml:space="preserve">I </w:t>
      </w:r>
      <w:r w:rsidR="004769D9">
        <w:rPr>
          <w:lang w:eastAsia="ja-JP"/>
        </w:rPr>
        <w:t>worry</w:t>
      </w:r>
      <w:r>
        <w:rPr>
          <w:rFonts w:hint="eastAsia"/>
          <w:lang w:eastAsia="ja-JP"/>
        </w:rPr>
        <w:t xml:space="preserve"> if our professional expertise (of the staff) is inferior to the US</w:t>
      </w:r>
      <w:r>
        <w:rPr>
          <w:lang w:eastAsia="ja-JP"/>
        </w:rPr>
        <w:t>’</w:t>
      </w:r>
      <w:r>
        <w:rPr>
          <w:rFonts w:hint="eastAsia"/>
          <w:lang w:eastAsia="ja-JP"/>
        </w:rPr>
        <w:t xml:space="preserve"> and the EU</w:t>
      </w:r>
      <w:r>
        <w:rPr>
          <w:lang w:eastAsia="ja-JP"/>
        </w:rPr>
        <w:t>’</w:t>
      </w:r>
      <w:r>
        <w:rPr>
          <w:rFonts w:hint="eastAsia"/>
          <w:lang w:eastAsia="ja-JP"/>
        </w:rPr>
        <w:t>s. (</w:t>
      </w:r>
      <w:r w:rsidR="007634ED">
        <w:rPr>
          <w:rFonts w:hint="eastAsia"/>
          <w:lang w:eastAsia="ja-JP"/>
        </w:rPr>
        <w:t>Interview with</w:t>
      </w:r>
      <w:r>
        <w:rPr>
          <w:rFonts w:hint="eastAsia"/>
          <w:lang w:eastAsia="ja-JP"/>
        </w:rPr>
        <w:t xml:space="preserve"> a JFTC civil servant)</w:t>
      </w:r>
    </w:p>
    <w:p w14:paraId="632EF078" w14:textId="77777777" w:rsidR="007D1693" w:rsidRPr="00F01E2D" w:rsidRDefault="007D1693" w:rsidP="007D1693">
      <w:pPr>
        <w:rPr>
          <w:lang w:eastAsia="ja-JP"/>
        </w:rPr>
      </w:pPr>
    </w:p>
    <w:p w14:paraId="1ACC27E7" w14:textId="77777777" w:rsidR="007D1693" w:rsidRDefault="007D1693" w:rsidP="007D1693">
      <w:pPr>
        <w:rPr>
          <w:lang w:eastAsia="ja-JP"/>
        </w:rPr>
      </w:pPr>
      <w:r>
        <w:rPr>
          <w:lang w:eastAsia="ja-JP"/>
        </w:rPr>
        <w:t>T</w:t>
      </w:r>
      <w:r>
        <w:rPr>
          <w:rFonts w:hint="eastAsia"/>
          <w:lang w:eastAsia="ja-JP"/>
        </w:rPr>
        <w:t xml:space="preserve">his observation was shared by </w:t>
      </w:r>
      <w:r>
        <w:rPr>
          <w:lang w:eastAsia="ja-JP"/>
        </w:rPr>
        <w:t>an</w:t>
      </w:r>
      <w:r>
        <w:rPr>
          <w:rFonts w:hint="eastAsia"/>
          <w:lang w:eastAsia="ja-JP"/>
        </w:rPr>
        <w:t xml:space="preserve"> AMA lawyer:</w:t>
      </w:r>
    </w:p>
    <w:p w14:paraId="25238982" w14:textId="77777777" w:rsidR="007D1693" w:rsidRDefault="007D1693" w:rsidP="007D1693">
      <w:pPr>
        <w:rPr>
          <w:lang w:eastAsia="ja-JP"/>
        </w:rPr>
      </w:pPr>
    </w:p>
    <w:p w14:paraId="5F5F09BB" w14:textId="05D697ED" w:rsidR="007D1693" w:rsidRDefault="007D1693" w:rsidP="00D4325F">
      <w:pPr>
        <w:pStyle w:val="Quote"/>
        <w:rPr>
          <w:lang w:eastAsia="ja-JP"/>
        </w:rPr>
      </w:pPr>
      <w:r>
        <w:rPr>
          <w:rFonts w:hint="eastAsia"/>
          <w:lang w:eastAsia="ja-JP"/>
        </w:rPr>
        <w:t>the JFTC should be a specialist organisation, but it doesn</w:t>
      </w:r>
      <w:r>
        <w:rPr>
          <w:lang w:eastAsia="ja-JP"/>
        </w:rPr>
        <w:t>’</w:t>
      </w:r>
      <w:r>
        <w:rPr>
          <w:rFonts w:hint="eastAsia"/>
          <w:lang w:eastAsia="ja-JP"/>
        </w:rPr>
        <w:t xml:space="preserve">t employ sufficient professionals. </w:t>
      </w:r>
      <w:r>
        <w:rPr>
          <w:lang w:eastAsia="ja-JP"/>
        </w:rPr>
        <w:t>F</w:t>
      </w:r>
      <w:r>
        <w:rPr>
          <w:rFonts w:hint="eastAsia"/>
          <w:lang w:eastAsia="ja-JP"/>
        </w:rPr>
        <w:t>or example I don</w:t>
      </w:r>
      <w:r>
        <w:rPr>
          <w:lang w:eastAsia="ja-JP"/>
        </w:rPr>
        <w:t>’</w:t>
      </w:r>
      <w:r>
        <w:rPr>
          <w:rFonts w:hint="eastAsia"/>
          <w:lang w:eastAsia="ja-JP"/>
        </w:rPr>
        <w:t xml:space="preserve">t think 16 lawyers are enough, and about economists, one </w:t>
      </w:r>
      <w:r w:rsidR="004769D9">
        <w:rPr>
          <w:lang w:eastAsia="ja-JP"/>
        </w:rPr>
        <w:t xml:space="preserve">piece </w:t>
      </w:r>
      <w:r>
        <w:rPr>
          <w:rFonts w:hint="eastAsia"/>
          <w:lang w:eastAsia="ja-JP"/>
        </w:rPr>
        <w:t>of evidence that the JFTC doesn</w:t>
      </w:r>
      <w:r>
        <w:rPr>
          <w:lang w:eastAsia="ja-JP"/>
        </w:rPr>
        <w:t>’</w:t>
      </w:r>
      <w:r>
        <w:rPr>
          <w:rFonts w:hint="eastAsia"/>
          <w:lang w:eastAsia="ja-JP"/>
        </w:rPr>
        <w:t xml:space="preserve">t take economic analysis seriously is it employs only a few economists. </w:t>
      </w:r>
      <w:r>
        <w:rPr>
          <w:lang w:eastAsia="ja-JP"/>
        </w:rPr>
        <w:t>I</w:t>
      </w:r>
      <w:r>
        <w:rPr>
          <w:rFonts w:hint="eastAsia"/>
          <w:lang w:eastAsia="ja-JP"/>
        </w:rPr>
        <w:t>t doesn</w:t>
      </w:r>
      <w:r>
        <w:rPr>
          <w:lang w:eastAsia="ja-JP"/>
        </w:rPr>
        <w:t>’</w:t>
      </w:r>
      <w:r>
        <w:rPr>
          <w:rFonts w:hint="eastAsia"/>
          <w:lang w:eastAsia="ja-JP"/>
        </w:rPr>
        <w:t xml:space="preserve">t think </w:t>
      </w:r>
      <w:r w:rsidR="00D4325F">
        <w:rPr>
          <w:lang w:eastAsia="ja-JP"/>
        </w:rPr>
        <w:t>about</w:t>
      </w:r>
      <w:r>
        <w:rPr>
          <w:rFonts w:hint="eastAsia"/>
          <w:lang w:eastAsia="ja-JP"/>
        </w:rPr>
        <w:t xml:space="preserve"> identify</w:t>
      </w:r>
      <w:r w:rsidR="00D4325F">
        <w:rPr>
          <w:lang w:eastAsia="ja-JP"/>
        </w:rPr>
        <w:t>ing</w:t>
      </w:r>
      <w:r>
        <w:rPr>
          <w:rFonts w:hint="eastAsia"/>
          <w:lang w:eastAsia="ja-JP"/>
        </w:rPr>
        <w:t xml:space="preserve"> AMA breaches by economic analysis. In other countries, </w:t>
      </w:r>
      <w:r w:rsidR="00D4325F">
        <w:rPr>
          <w:lang w:eastAsia="ja-JP"/>
        </w:rPr>
        <w:t xml:space="preserve">half of </w:t>
      </w:r>
      <w:r w:rsidR="004769D9">
        <w:rPr>
          <w:lang w:eastAsia="ja-JP"/>
        </w:rPr>
        <w:t xml:space="preserve">the </w:t>
      </w:r>
      <w:r w:rsidR="00D4325F">
        <w:rPr>
          <w:lang w:eastAsia="ja-JP"/>
        </w:rPr>
        <w:t xml:space="preserve">US FTC’s staff </w:t>
      </w:r>
      <w:r w:rsidR="004769D9">
        <w:rPr>
          <w:lang w:eastAsia="ja-JP"/>
        </w:rPr>
        <w:t>are</w:t>
      </w:r>
      <w:r>
        <w:rPr>
          <w:rFonts w:hint="eastAsia"/>
          <w:lang w:eastAsia="ja-JP"/>
        </w:rPr>
        <w:t xml:space="preserve"> economists. </w:t>
      </w:r>
      <w:r>
        <w:rPr>
          <w:lang w:eastAsia="ja-JP"/>
        </w:rPr>
        <w:t>T</w:t>
      </w:r>
      <w:r>
        <w:rPr>
          <w:rFonts w:hint="eastAsia"/>
          <w:lang w:eastAsia="ja-JP"/>
        </w:rPr>
        <w:t>his is a problem. (</w:t>
      </w:r>
      <w:r w:rsidR="007634ED">
        <w:rPr>
          <w:rFonts w:hint="eastAsia"/>
          <w:lang w:eastAsia="ja-JP"/>
        </w:rPr>
        <w:t>Interview with</w:t>
      </w:r>
      <w:r>
        <w:rPr>
          <w:rFonts w:hint="eastAsia"/>
          <w:lang w:eastAsia="ja-JP"/>
        </w:rPr>
        <w:t xml:space="preserve"> a</w:t>
      </w:r>
      <w:r w:rsidR="004769D9">
        <w:rPr>
          <w:lang w:eastAsia="ja-JP"/>
        </w:rPr>
        <w:t>n</w:t>
      </w:r>
      <w:r>
        <w:rPr>
          <w:rFonts w:hint="eastAsia"/>
          <w:lang w:eastAsia="ja-JP"/>
        </w:rPr>
        <w:t xml:space="preserve"> AMA lawyer)</w:t>
      </w:r>
    </w:p>
    <w:p w14:paraId="5C052C0A" w14:textId="77777777" w:rsidR="007D1693" w:rsidRDefault="007D1693" w:rsidP="007D1693">
      <w:pPr>
        <w:rPr>
          <w:lang w:eastAsia="ja-JP"/>
        </w:rPr>
      </w:pPr>
    </w:p>
    <w:p w14:paraId="4D77650E" w14:textId="77777777" w:rsidR="007D1693" w:rsidRPr="00A9695F" w:rsidRDefault="007D1693" w:rsidP="007D1693">
      <w:pPr>
        <w:rPr>
          <w:lang w:eastAsia="ja-JP"/>
        </w:rPr>
      </w:pPr>
      <w:r>
        <w:rPr>
          <w:lang w:eastAsia="ja-JP"/>
        </w:rPr>
        <w:t>S</w:t>
      </w:r>
      <w:r>
        <w:rPr>
          <w:rFonts w:hint="eastAsia"/>
          <w:lang w:eastAsia="ja-JP"/>
        </w:rPr>
        <w:t xml:space="preserve">uch a situation can be summarised in the following comment: </w:t>
      </w:r>
      <w:r>
        <w:rPr>
          <w:lang w:eastAsia="ja-JP"/>
        </w:rPr>
        <w:t>‘…</w:t>
      </w:r>
      <w:r>
        <w:rPr>
          <w:rFonts w:hint="eastAsia"/>
          <w:lang w:eastAsia="ja-JP"/>
        </w:rPr>
        <w:t>the organisational size can quickly be strengthened but professional expertise can</w:t>
      </w:r>
      <w:r>
        <w:rPr>
          <w:lang w:eastAsia="ja-JP"/>
        </w:rPr>
        <w:t>’</w:t>
      </w:r>
      <w:r>
        <w:rPr>
          <w:rFonts w:hint="eastAsia"/>
          <w:lang w:eastAsia="ja-JP"/>
        </w:rPr>
        <w:t>t</w:t>
      </w:r>
      <w:r>
        <w:rPr>
          <w:lang w:eastAsia="ja-JP"/>
        </w:rPr>
        <w:t>’ (</w:t>
      </w:r>
      <w:r w:rsidR="007634ED">
        <w:rPr>
          <w:lang w:eastAsia="ja-JP"/>
        </w:rPr>
        <w:t>Interview with</w:t>
      </w:r>
      <w:r>
        <w:rPr>
          <w:lang w:eastAsia="ja-JP"/>
        </w:rPr>
        <w:t xml:space="preserve"> a </w:t>
      </w:r>
      <w:r w:rsidRPr="00030586">
        <w:rPr>
          <w:rFonts w:hint="eastAsia"/>
          <w:i/>
          <w:lang w:eastAsia="ja-JP"/>
        </w:rPr>
        <w:t>Keidanren</w:t>
      </w:r>
      <w:r>
        <w:rPr>
          <w:rFonts w:hint="eastAsia"/>
          <w:lang w:eastAsia="ja-JP"/>
        </w:rPr>
        <w:t xml:space="preserve"> official). A</w:t>
      </w:r>
      <w:r>
        <w:rPr>
          <w:lang w:eastAsia="ja-JP"/>
        </w:rPr>
        <w:t>l</w:t>
      </w:r>
      <w:r>
        <w:rPr>
          <w:rFonts w:hint="eastAsia"/>
          <w:lang w:eastAsia="ja-JP"/>
        </w:rPr>
        <w:t>l these views highlight the insufficient professional expertise of the JFTC</w:t>
      </w:r>
      <w:r>
        <w:rPr>
          <w:lang w:eastAsia="ja-JP"/>
        </w:rPr>
        <w:t>’</w:t>
      </w:r>
      <w:r>
        <w:rPr>
          <w:rFonts w:hint="eastAsia"/>
          <w:lang w:eastAsia="ja-JP"/>
        </w:rPr>
        <w:t xml:space="preserve">s staff, in contrast </w:t>
      </w:r>
      <w:r w:rsidR="004769D9">
        <w:rPr>
          <w:lang w:eastAsia="ja-JP"/>
        </w:rPr>
        <w:t>to</w:t>
      </w:r>
      <w:r>
        <w:rPr>
          <w:rFonts w:hint="eastAsia"/>
          <w:lang w:eastAsia="ja-JP"/>
        </w:rPr>
        <w:t xml:space="preserve"> enhanc</w:t>
      </w:r>
      <w:r w:rsidR="004769D9">
        <w:rPr>
          <w:lang w:eastAsia="ja-JP"/>
        </w:rPr>
        <w:t>ing</w:t>
      </w:r>
      <w:r>
        <w:rPr>
          <w:rFonts w:hint="eastAsia"/>
          <w:lang w:eastAsia="ja-JP"/>
        </w:rPr>
        <w:t xml:space="preserve"> the JFTC</w:t>
      </w:r>
      <w:r>
        <w:rPr>
          <w:lang w:eastAsia="ja-JP"/>
        </w:rPr>
        <w:t>’</w:t>
      </w:r>
      <w:r>
        <w:rPr>
          <w:rFonts w:hint="eastAsia"/>
          <w:lang w:eastAsia="ja-JP"/>
        </w:rPr>
        <w:t>s staff number and budget.</w:t>
      </w:r>
    </w:p>
    <w:p w14:paraId="786CB9BA" w14:textId="77777777" w:rsidR="007D1693" w:rsidRDefault="007D1693" w:rsidP="004359CF">
      <w:pPr>
        <w:ind w:firstLineChars="122" w:firstLine="277"/>
        <w:rPr>
          <w:lang w:eastAsia="ja-JP"/>
        </w:rPr>
      </w:pPr>
      <w:r>
        <w:rPr>
          <w:rFonts w:hint="eastAsia"/>
          <w:lang w:eastAsia="ja-JP"/>
        </w:rPr>
        <w:t>In pulling t</w:t>
      </w:r>
      <w:r w:rsidRPr="008070E3">
        <w:rPr>
          <w:rFonts w:hint="eastAsia"/>
          <w:lang w:eastAsia="ja-JP"/>
        </w:rPr>
        <w:t xml:space="preserve">he above </w:t>
      </w:r>
      <w:r>
        <w:rPr>
          <w:rFonts w:hint="eastAsia"/>
          <w:lang w:eastAsia="ja-JP"/>
        </w:rPr>
        <w:t xml:space="preserve">interview comments together, what </w:t>
      </w:r>
      <w:r w:rsidR="00893A05">
        <w:rPr>
          <w:lang w:eastAsia="ja-JP"/>
        </w:rPr>
        <w:t>emerges is</w:t>
      </w:r>
      <w:r w:rsidRPr="008070E3">
        <w:rPr>
          <w:rFonts w:hint="eastAsia"/>
          <w:lang w:eastAsia="ja-JP"/>
        </w:rPr>
        <w:t xml:space="preserve"> the lack of party politicians</w:t>
      </w:r>
      <w:r w:rsidRPr="008070E3">
        <w:rPr>
          <w:lang w:eastAsia="ja-JP"/>
        </w:rPr>
        <w:t>’</w:t>
      </w:r>
      <w:r w:rsidRPr="008070E3">
        <w:rPr>
          <w:rFonts w:hint="eastAsia"/>
          <w:lang w:eastAsia="ja-JP"/>
        </w:rPr>
        <w:t xml:space="preserve"> </w:t>
      </w:r>
      <w:r w:rsidR="004359CF">
        <w:rPr>
          <w:lang w:eastAsia="ja-JP"/>
        </w:rPr>
        <w:t xml:space="preserve">explicit </w:t>
      </w:r>
      <w:r w:rsidRPr="008070E3">
        <w:rPr>
          <w:rFonts w:hint="eastAsia"/>
          <w:lang w:eastAsia="ja-JP"/>
        </w:rPr>
        <w:t>presence, the organisational expansion in terms of the number of staff and the size of the budget, and their insufficient professional expertise.</w:t>
      </w:r>
      <w:r>
        <w:rPr>
          <w:rFonts w:hint="eastAsia"/>
          <w:lang w:eastAsia="ja-JP"/>
        </w:rPr>
        <w:t xml:space="preserve"> </w:t>
      </w:r>
      <w:r>
        <w:rPr>
          <w:lang w:eastAsia="ja-JP"/>
        </w:rPr>
        <w:t>A</w:t>
      </w:r>
      <w:r>
        <w:rPr>
          <w:rFonts w:hint="eastAsia"/>
          <w:lang w:eastAsia="ja-JP"/>
        </w:rPr>
        <w:t>t the beginning of the 1980s</w:t>
      </w:r>
      <w:r w:rsidR="00893A05">
        <w:rPr>
          <w:lang w:eastAsia="ja-JP"/>
        </w:rPr>
        <w:t>,</w:t>
      </w:r>
      <w:r>
        <w:rPr>
          <w:rFonts w:hint="eastAsia"/>
          <w:lang w:eastAsia="ja-JP"/>
        </w:rPr>
        <w:t xml:space="preserve"> party politicians were not actively involved themselves in the antimonopoly policies and their support to strengthen the JFTC was small. </w:t>
      </w:r>
      <w:r w:rsidR="00731904">
        <w:rPr>
          <w:rFonts w:eastAsia="MS Mincho" w:hint="eastAsia"/>
          <w:lang w:eastAsia="ja-JP"/>
        </w:rPr>
        <w:t>S</w:t>
      </w:r>
      <w:r>
        <w:rPr>
          <w:rFonts w:hint="eastAsia"/>
          <w:lang w:eastAsia="ja-JP"/>
        </w:rPr>
        <w:t xml:space="preserve">tate </w:t>
      </w:r>
      <w:r w:rsidR="004359CF">
        <w:rPr>
          <w:lang w:eastAsia="ja-JP"/>
        </w:rPr>
        <w:t>capacity (</w:t>
      </w:r>
      <w:r>
        <w:rPr>
          <w:rFonts w:hint="eastAsia"/>
          <w:lang w:eastAsia="ja-JP"/>
        </w:rPr>
        <w:t>power</w:t>
      </w:r>
      <w:r w:rsidR="004359CF">
        <w:rPr>
          <w:lang w:eastAsia="ja-JP"/>
        </w:rPr>
        <w:t>)</w:t>
      </w:r>
      <w:r>
        <w:rPr>
          <w:rFonts w:hint="eastAsia"/>
          <w:lang w:eastAsia="ja-JP"/>
        </w:rPr>
        <w:t xml:space="preserve"> in antimonopoly </w:t>
      </w:r>
      <w:r w:rsidR="004359CF">
        <w:rPr>
          <w:lang w:eastAsia="ja-JP"/>
        </w:rPr>
        <w:t>regulation was</w:t>
      </w:r>
      <w:r>
        <w:rPr>
          <w:rFonts w:hint="eastAsia"/>
          <w:lang w:eastAsia="ja-JP"/>
        </w:rPr>
        <w:t xml:space="preserve"> limited because of the staff shortage.  </w:t>
      </w:r>
      <w:r>
        <w:rPr>
          <w:lang w:eastAsia="ja-JP"/>
        </w:rPr>
        <w:t>T</w:t>
      </w:r>
      <w:r>
        <w:rPr>
          <w:rFonts w:hint="eastAsia"/>
          <w:lang w:eastAsia="ja-JP"/>
        </w:rPr>
        <w:t>he change of state power emerged in the form of organisational expansion of the JFTC in terms of its staff number and budget size</w:t>
      </w:r>
      <w:r w:rsidR="00256546">
        <w:rPr>
          <w:lang w:eastAsia="ja-JP"/>
        </w:rPr>
        <w:t xml:space="preserve"> as Appendix 4 indicates</w:t>
      </w:r>
      <w:r>
        <w:rPr>
          <w:rFonts w:hint="eastAsia"/>
          <w:lang w:eastAsia="ja-JP"/>
        </w:rPr>
        <w:t xml:space="preserve">. </w:t>
      </w:r>
      <w:r>
        <w:rPr>
          <w:lang w:eastAsia="ja-JP"/>
        </w:rPr>
        <w:t>T</w:t>
      </w:r>
      <w:r>
        <w:rPr>
          <w:rFonts w:hint="eastAsia"/>
          <w:lang w:eastAsia="ja-JP"/>
        </w:rPr>
        <w:t xml:space="preserve">his trend continues throughout the period between the 1980s and 2000s. Although the influence of the majority has been </w:t>
      </w:r>
      <w:r w:rsidR="00ED63A4">
        <w:rPr>
          <w:lang w:eastAsia="ja-JP"/>
        </w:rPr>
        <w:t>small</w:t>
      </w:r>
      <w:r>
        <w:rPr>
          <w:rFonts w:hint="eastAsia"/>
          <w:lang w:eastAsia="ja-JP"/>
        </w:rPr>
        <w:t>, some party politicians such as Koizumi made a significant impact.</w:t>
      </w:r>
      <w:r>
        <w:rPr>
          <w:lang w:eastAsia="ja-JP"/>
        </w:rPr>
        <w:t xml:space="preserve"> </w:t>
      </w:r>
      <w:r>
        <w:rPr>
          <w:rFonts w:hint="eastAsia"/>
          <w:lang w:eastAsia="ja-JP"/>
        </w:rPr>
        <w:t>The state in antimonopoly regulation has therefore grown in the form of the JFTC</w:t>
      </w:r>
      <w:r>
        <w:rPr>
          <w:lang w:eastAsia="ja-JP"/>
        </w:rPr>
        <w:t>’</w:t>
      </w:r>
      <w:r>
        <w:rPr>
          <w:rFonts w:hint="eastAsia"/>
          <w:lang w:eastAsia="ja-JP"/>
        </w:rPr>
        <w:t>s bureaucratic expansion. Similar to the case of ICT regulation t</w:t>
      </w:r>
      <w:r w:rsidRPr="001D458E">
        <w:rPr>
          <w:rFonts w:hint="eastAsia"/>
        </w:rPr>
        <w:t xml:space="preserve">he transformation of </w:t>
      </w:r>
      <w:r>
        <w:rPr>
          <w:rFonts w:hint="eastAsia"/>
          <w:lang w:eastAsia="ja-JP"/>
        </w:rPr>
        <w:t xml:space="preserve">it </w:t>
      </w:r>
      <w:r w:rsidRPr="001D458E">
        <w:rPr>
          <w:rFonts w:hint="eastAsia"/>
        </w:rPr>
        <w:t xml:space="preserve">can be understood as the </w:t>
      </w:r>
      <w:r>
        <w:rPr>
          <w:lang w:eastAsia="ja-JP"/>
        </w:rPr>
        <w:t>expansion</w:t>
      </w:r>
      <w:r w:rsidRPr="001D458E">
        <w:t xml:space="preserve"> or the adaptation</w:t>
      </w:r>
      <w:r w:rsidRPr="001D458E">
        <w:rPr>
          <w:rFonts w:hint="eastAsia"/>
        </w:rPr>
        <w:t xml:space="preserve"> of responsible civil servants (</w:t>
      </w:r>
      <w:r>
        <w:rPr>
          <w:rFonts w:hint="eastAsia"/>
          <w:lang w:eastAsia="ja-JP"/>
        </w:rPr>
        <w:t>JFTC</w:t>
      </w:r>
      <w:r w:rsidRPr="001D458E">
        <w:rPr>
          <w:rFonts w:hint="eastAsia"/>
        </w:rPr>
        <w:t>)</w:t>
      </w:r>
      <w:r w:rsidRPr="001D458E">
        <w:t xml:space="preserve"> between the 1980s and 2000s</w:t>
      </w:r>
      <w:r>
        <w:rPr>
          <w:rFonts w:hint="eastAsia"/>
          <w:lang w:eastAsia="ja-JP"/>
        </w:rPr>
        <w:t xml:space="preserve"> with</w:t>
      </w:r>
      <w:r w:rsidRPr="001D458E">
        <w:t xml:space="preserve"> a kind of </w:t>
      </w:r>
      <w:r>
        <w:rPr>
          <w:rFonts w:hint="eastAsia"/>
          <w:lang w:eastAsia="ja-JP"/>
        </w:rPr>
        <w:t xml:space="preserve">gradual shift from drift to </w:t>
      </w:r>
      <w:r w:rsidRPr="001D458E">
        <w:t>conversion</w:t>
      </w:r>
      <w:r>
        <w:rPr>
          <w:rFonts w:hint="eastAsia"/>
          <w:lang w:eastAsia="ja-JP"/>
        </w:rPr>
        <w:t xml:space="preserve">; the resistance to strengthen </w:t>
      </w:r>
      <w:r w:rsidR="00731904">
        <w:rPr>
          <w:rFonts w:eastAsia="MS Mincho" w:hint="eastAsia"/>
          <w:lang w:eastAsia="ja-JP"/>
        </w:rPr>
        <w:t>antimonopoly regulation</w:t>
      </w:r>
      <w:r>
        <w:rPr>
          <w:rFonts w:hint="eastAsia"/>
          <w:lang w:eastAsia="ja-JP"/>
        </w:rPr>
        <w:t xml:space="preserve"> has </w:t>
      </w:r>
      <w:r>
        <w:rPr>
          <w:lang w:eastAsia="ja-JP"/>
        </w:rPr>
        <w:t xml:space="preserve">gradually waned and the JFTC </w:t>
      </w:r>
      <w:r>
        <w:rPr>
          <w:rFonts w:hint="eastAsia"/>
          <w:lang w:eastAsia="ja-JP"/>
        </w:rPr>
        <w:t xml:space="preserve">has retained </w:t>
      </w:r>
      <w:r w:rsidRPr="001D458E">
        <w:t>a significant discretion in the detail of the regulatory function.</w:t>
      </w:r>
    </w:p>
    <w:p w14:paraId="7E1E0722" w14:textId="77777777" w:rsidR="007D1693" w:rsidRDefault="007D1693" w:rsidP="004359CF">
      <w:pPr>
        <w:ind w:firstLineChars="122" w:firstLine="277"/>
        <w:rPr>
          <w:lang w:eastAsia="ja-JP"/>
        </w:rPr>
      </w:pPr>
      <w:r>
        <w:rPr>
          <w:rFonts w:hint="eastAsia"/>
          <w:lang w:eastAsia="ja-JP"/>
        </w:rPr>
        <w:t>Within the community of the core executive, the JFTC</w:t>
      </w:r>
      <w:r>
        <w:rPr>
          <w:lang w:eastAsia="ja-JP"/>
        </w:rPr>
        <w:t>’</w:t>
      </w:r>
      <w:r>
        <w:rPr>
          <w:rFonts w:hint="eastAsia"/>
          <w:lang w:eastAsia="ja-JP"/>
        </w:rPr>
        <w:t>s power has gradually grown in relation to other actors. With supervision by party politicians to the JFTC, the expansion of the JFTC</w:t>
      </w:r>
      <w:r>
        <w:rPr>
          <w:lang w:eastAsia="ja-JP"/>
        </w:rPr>
        <w:t>’</w:t>
      </w:r>
      <w:r>
        <w:rPr>
          <w:rFonts w:hint="eastAsia"/>
          <w:lang w:eastAsia="ja-JP"/>
        </w:rPr>
        <w:t>s power can be understood as a policy endorsed by party politicians</w:t>
      </w:r>
      <w:r w:rsidR="004359CF">
        <w:rPr>
          <w:lang w:eastAsia="ja-JP"/>
        </w:rPr>
        <w:t>, although all but a few exceptions such as Koizumi have showed no explicit interest</w:t>
      </w:r>
      <w:r>
        <w:rPr>
          <w:rFonts w:hint="eastAsia"/>
          <w:lang w:eastAsia="ja-JP"/>
        </w:rPr>
        <w:t>. This process of change can be viewed as the gradual growth of state power initiated by the core executive in antimonopoly regulation.</w:t>
      </w:r>
      <w:r w:rsidR="00703124">
        <w:rPr>
          <w:lang w:eastAsia="ja-JP"/>
        </w:rPr>
        <w:t xml:space="preserve"> </w:t>
      </w:r>
      <w:r w:rsidR="006B4E41">
        <w:rPr>
          <w:lang w:eastAsia="ja-JP"/>
        </w:rPr>
        <w:t xml:space="preserve">With the rise of the JFTC’s power, state power in antimonopoly regulation has also become stronger. </w:t>
      </w:r>
    </w:p>
    <w:p w14:paraId="61049936" w14:textId="77777777" w:rsidR="007D1693" w:rsidRDefault="007D1693" w:rsidP="00E82751">
      <w:pPr>
        <w:ind w:firstLineChars="122" w:firstLine="277"/>
        <w:rPr>
          <w:lang w:eastAsia="ja-JP"/>
        </w:rPr>
      </w:pPr>
      <w:r>
        <w:rPr>
          <w:rFonts w:hint="eastAsia"/>
          <w:lang w:eastAsia="ja-JP"/>
        </w:rPr>
        <w:t xml:space="preserve">The nature of state power in antimonopoly regulation has not changed. </w:t>
      </w:r>
      <w:r>
        <w:rPr>
          <w:lang w:eastAsia="ja-JP"/>
        </w:rPr>
        <w:t>I</w:t>
      </w:r>
      <w:r>
        <w:rPr>
          <w:rFonts w:hint="eastAsia"/>
          <w:lang w:eastAsia="ja-JP"/>
        </w:rPr>
        <w:t xml:space="preserve">t is not easy to identify who has steered </w:t>
      </w:r>
      <w:r w:rsidR="00E82751">
        <w:rPr>
          <w:lang w:eastAsia="ja-JP"/>
        </w:rPr>
        <w:t>controlling</w:t>
      </w:r>
      <w:r w:rsidR="004E0D94">
        <w:rPr>
          <w:lang w:eastAsia="ja-JP"/>
        </w:rPr>
        <w:t xml:space="preserve"> state power in </w:t>
      </w:r>
      <w:r>
        <w:rPr>
          <w:rFonts w:hint="eastAsia"/>
          <w:lang w:eastAsia="ja-JP"/>
        </w:rPr>
        <w:t xml:space="preserve">antimonopoly </w:t>
      </w:r>
      <w:r w:rsidR="004E0D94">
        <w:rPr>
          <w:lang w:eastAsia="ja-JP"/>
        </w:rPr>
        <w:t>regulation</w:t>
      </w:r>
      <w:r>
        <w:rPr>
          <w:rFonts w:hint="eastAsia"/>
          <w:lang w:eastAsia="ja-JP"/>
        </w:rPr>
        <w:t xml:space="preserve">. </w:t>
      </w:r>
      <w:r>
        <w:rPr>
          <w:lang w:eastAsia="ja-JP"/>
        </w:rPr>
        <w:t>T</w:t>
      </w:r>
      <w:r>
        <w:rPr>
          <w:rFonts w:hint="eastAsia"/>
          <w:lang w:eastAsia="ja-JP"/>
        </w:rPr>
        <w:t xml:space="preserve">he approach of </w:t>
      </w:r>
      <w:r w:rsidR="00ED63A4">
        <w:rPr>
          <w:lang w:eastAsia="ja-JP"/>
        </w:rPr>
        <w:t xml:space="preserve">the </w:t>
      </w:r>
      <w:r>
        <w:rPr>
          <w:rFonts w:hint="eastAsia"/>
          <w:lang w:eastAsia="ja-JP"/>
        </w:rPr>
        <w:t>emerging Cabinet Minister after the government change in 2009 was an indirect control through the JFTC Chairman. A</w:t>
      </w:r>
      <w:r>
        <w:rPr>
          <w:lang w:eastAsia="ja-JP"/>
        </w:rPr>
        <w:t>l</w:t>
      </w:r>
      <w:r>
        <w:rPr>
          <w:rFonts w:hint="eastAsia"/>
          <w:lang w:eastAsia="ja-JP"/>
        </w:rPr>
        <w:t xml:space="preserve">though Cabinet Ministers have played </w:t>
      </w:r>
      <w:r w:rsidR="00ED63A4">
        <w:rPr>
          <w:lang w:eastAsia="ja-JP"/>
        </w:rPr>
        <w:t xml:space="preserve">a </w:t>
      </w:r>
      <w:r>
        <w:rPr>
          <w:rFonts w:hint="eastAsia"/>
          <w:lang w:eastAsia="ja-JP"/>
        </w:rPr>
        <w:t>more active role in the policy making process than their LDP counterparts (Chief Cabinet Secretaries), their impact does not seem significant on the state power in antimonopoly regulation so far.</w:t>
      </w:r>
    </w:p>
    <w:p w14:paraId="0876A22F" w14:textId="77777777" w:rsidR="004A7F6B" w:rsidRDefault="004A7F6B" w:rsidP="00256546">
      <w:pPr>
        <w:rPr>
          <w:lang w:eastAsia="ja-JP"/>
        </w:rPr>
      </w:pPr>
    </w:p>
    <w:p w14:paraId="4A389853" w14:textId="77777777" w:rsidR="007D1693" w:rsidRPr="00030586" w:rsidRDefault="007D1693" w:rsidP="007D1693">
      <w:pPr>
        <w:rPr>
          <w:lang w:eastAsia="ja-JP"/>
        </w:rPr>
      </w:pPr>
    </w:p>
    <w:p w14:paraId="78388B48" w14:textId="77777777" w:rsidR="007D1693" w:rsidRDefault="007D1693" w:rsidP="00050D4B">
      <w:pPr>
        <w:pStyle w:val="Heading2"/>
      </w:pPr>
      <w:bookmarkStart w:id="61" w:name="_Toc349741383"/>
      <w:r>
        <w:t>6.6</w:t>
      </w:r>
      <w:r w:rsidRPr="00FA128D">
        <w:tab/>
        <w:t>Conclusion</w:t>
      </w:r>
      <w:bookmarkEnd w:id="61"/>
    </w:p>
    <w:p w14:paraId="2C442EE9" w14:textId="77777777" w:rsidR="007D1693" w:rsidRDefault="007D1693" w:rsidP="001973D0">
      <w:r>
        <w:rPr>
          <w:rFonts w:hint="eastAsia"/>
        </w:rPr>
        <w:t>Antimonopoly regulation</w:t>
      </w:r>
      <w:r w:rsidRPr="00D109DA">
        <w:rPr>
          <w:rFonts w:hint="eastAsia"/>
        </w:rPr>
        <w:t xml:space="preserve"> </w:t>
      </w:r>
      <w:r>
        <w:rPr>
          <w:rFonts w:hint="eastAsia"/>
        </w:rPr>
        <w:t xml:space="preserve">in Japan </w:t>
      </w:r>
      <w:r w:rsidRPr="00D109DA">
        <w:rPr>
          <w:rFonts w:hint="eastAsia"/>
        </w:rPr>
        <w:t xml:space="preserve">has not experienced a significant disjuncture such as </w:t>
      </w:r>
      <w:r>
        <w:rPr>
          <w:rFonts w:hint="eastAsia"/>
        </w:rPr>
        <w:t xml:space="preserve">the 1985 </w:t>
      </w:r>
      <w:r w:rsidRPr="00D109DA">
        <w:rPr>
          <w:rFonts w:hint="eastAsia"/>
        </w:rPr>
        <w:t>regulatory</w:t>
      </w:r>
      <w:r>
        <w:rPr>
          <w:rFonts w:hint="eastAsia"/>
        </w:rPr>
        <w:t xml:space="preserve"> reform in ICT. Instead, the relative strength of the state has grown between the 1980s and 2000s by enhancing </w:t>
      </w:r>
      <w:r>
        <w:t>the</w:t>
      </w:r>
      <w:r>
        <w:rPr>
          <w:rFonts w:hint="eastAsia"/>
        </w:rPr>
        <w:t xml:space="preserve"> JFTC and the AMA. T</w:t>
      </w:r>
      <w:r>
        <w:t>h</w:t>
      </w:r>
      <w:r>
        <w:rPr>
          <w:rFonts w:hint="eastAsia"/>
        </w:rPr>
        <w:t xml:space="preserve">is </w:t>
      </w:r>
      <w:r w:rsidR="00893A05">
        <w:t xml:space="preserve">has led to </w:t>
      </w:r>
      <w:r>
        <w:t>a gradual</w:t>
      </w:r>
      <w:r>
        <w:rPr>
          <w:rFonts w:hint="eastAsia"/>
        </w:rPr>
        <w:t xml:space="preserve"> change </w:t>
      </w:r>
      <w:r w:rsidR="00893A05">
        <w:t>in</w:t>
      </w:r>
      <w:r w:rsidR="00572AD5">
        <w:t xml:space="preserve"> </w:t>
      </w:r>
      <w:r>
        <w:rPr>
          <w:rFonts w:hint="eastAsia"/>
        </w:rPr>
        <w:t xml:space="preserve">the framework of antimonopoly </w:t>
      </w:r>
      <w:r>
        <w:t>regulation</w:t>
      </w:r>
      <w:r>
        <w:rPr>
          <w:rFonts w:hint="eastAsia"/>
        </w:rPr>
        <w:t>.</w:t>
      </w:r>
    </w:p>
    <w:p w14:paraId="4EC86DE5" w14:textId="4E8391B0" w:rsidR="007D1693" w:rsidRDefault="007D1693" w:rsidP="00BF2553">
      <w:pPr>
        <w:ind w:firstLine="284"/>
      </w:pPr>
      <w:r>
        <w:rPr>
          <w:rFonts w:hint="eastAsia"/>
        </w:rPr>
        <w:t xml:space="preserve">The role of party politicians in antimonopoly regulation has been </w:t>
      </w:r>
      <w:r w:rsidR="00BF2553">
        <w:t>remarkable</w:t>
      </w:r>
      <w:r>
        <w:rPr>
          <w:rFonts w:hint="eastAsia"/>
        </w:rPr>
        <w:t xml:space="preserve">. A limited number of LDP politicians surrounding LDP Member of the House of Representatives Sadanori Yamanaka dominated the decision making </w:t>
      </w:r>
      <w:r>
        <w:t xml:space="preserve">process </w:t>
      </w:r>
      <w:r>
        <w:rPr>
          <w:rFonts w:hint="eastAsia"/>
        </w:rPr>
        <w:t xml:space="preserve">of antimonopoly </w:t>
      </w:r>
      <w:r>
        <w:t>policies</w:t>
      </w:r>
      <w:r>
        <w:rPr>
          <w:rFonts w:hint="eastAsia"/>
        </w:rPr>
        <w:t xml:space="preserve">. </w:t>
      </w:r>
      <w:r>
        <w:t>T</w:t>
      </w:r>
      <w:r>
        <w:rPr>
          <w:rFonts w:hint="eastAsia"/>
        </w:rPr>
        <w:t xml:space="preserve">heir influence aimed at key decision making such as endorsing AMA amendment bills and left the detail of the </w:t>
      </w:r>
      <w:r>
        <w:t>policies</w:t>
      </w:r>
      <w:r>
        <w:rPr>
          <w:rFonts w:hint="eastAsia"/>
        </w:rPr>
        <w:t xml:space="preserve"> untouched. In addition, antimonopoly regulation in Japan until the late 1980s was not in the mode of change</w:t>
      </w:r>
      <w:r w:rsidR="00967640">
        <w:t>, as the fact that t</w:t>
      </w:r>
      <w:r>
        <w:rPr>
          <w:rFonts w:hint="eastAsia"/>
        </w:rPr>
        <w:t>he impact of the significant AMA amendment in 1977 was compromised</w:t>
      </w:r>
      <w:r w:rsidR="00967640">
        <w:t xml:space="preserve"> reveals</w:t>
      </w:r>
      <w:r>
        <w:rPr>
          <w:rFonts w:hint="eastAsia"/>
        </w:rPr>
        <w:t>. T</w:t>
      </w:r>
      <w:r>
        <w:t>h</w:t>
      </w:r>
      <w:r>
        <w:rPr>
          <w:rFonts w:hint="eastAsia"/>
        </w:rPr>
        <w:t xml:space="preserve">is can be interpreted </w:t>
      </w:r>
      <w:r w:rsidR="00ED63A4">
        <w:t>as</w:t>
      </w:r>
      <w:r>
        <w:rPr>
          <w:rFonts w:hint="eastAsia"/>
        </w:rPr>
        <w:t xml:space="preserve"> the significant power of opponents deterred the development of antimonopoly policy. If Mahoney and Thelen</w:t>
      </w:r>
      <w:r>
        <w:t>’</w:t>
      </w:r>
      <w:r>
        <w:rPr>
          <w:rFonts w:hint="eastAsia"/>
        </w:rPr>
        <w:t xml:space="preserve">s (2010) typology is applied here, the mode of change can be understood as </w:t>
      </w:r>
      <w:r>
        <w:t>‘</w:t>
      </w:r>
      <w:r>
        <w:rPr>
          <w:rFonts w:hint="eastAsia"/>
        </w:rPr>
        <w:t>drift</w:t>
      </w:r>
      <w:r>
        <w:t>’</w:t>
      </w:r>
      <w:r>
        <w:rPr>
          <w:rFonts w:hint="eastAsia"/>
        </w:rPr>
        <w:t>. T</w:t>
      </w:r>
      <w:r>
        <w:t>h</w:t>
      </w:r>
      <w:r>
        <w:rPr>
          <w:rFonts w:hint="eastAsia"/>
        </w:rPr>
        <w:t>is mode can be based on the fact that the core executive did not form a uniform will to impose enhanced antimonopoly regulation; a significant portion of the core executive actors (e.g. some LDP politicians, the MITI)</w:t>
      </w:r>
      <w:r w:rsidR="00572AD5">
        <w:t xml:space="preserve"> w</w:t>
      </w:r>
      <w:r w:rsidR="001973D0">
        <w:t>as</w:t>
      </w:r>
      <w:r>
        <w:rPr>
          <w:rFonts w:hint="eastAsia"/>
        </w:rPr>
        <w:t xml:space="preserve"> rather opposed to the strict enforcement of antimonopoly regulation. </w:t>
      </w:r>
    </w:p>
    <w:p w14:paraId="7A2CCE71" w14:textId="77777777" w:rsidR="007D1693" w:rsidRDefault="007D1693" w:rsidP="0085525E">
      <w:pPr>
        <w:ind w:firstLine="284"/>
      </w:pPr>
      <w:r>
        <w:rPr>
          <w:rFonts w:hint="eastAsia"/>
        </w:rPr>
        <w:t xml:space="preserve"> Important</w:t>
      </w:r>
      <w:r>
        <w:t xml:space="preserve"> turning points were brought by the SII (1989-90) and the emergence of t</w:t>
      </w:r>
      <w:r>
        <w:rPr>
          <w:rFonts w:hint="eastAsia"/>
        </w:rPr>
        <w:t>he Koizumi Cabinet (2001-06)</w:t>
      </w:r>
      <w:r>
        <w:t>. This set of events contributed to the</w:t>
      </w:r>
      <w:r>
        <w:rPr>
          <w:rFonts w:hint="eastAsia"/>
        </w:rPr>
        <w:t xml:space="preserve"> development of state capacity in antimonopoly regulation. </w:t>
      </w:r>
      <w:r>
        <w:t>T</w:t>
      </w:r>
      <w:r>
        <w:rPr>
          <w:rFonts w:hint="eastAsia"/>
        </w:rPr>
        <w:t xml:space="preserve">he bureaucratic machine of the JFTC was significantly enhanced in terms of its budget and staff. </w:t>
      </w:r>
      <w:r w:rsidR="00686F4C">
        <w:t>G</w:t>
      </w:r>
      <w:r>
        <w:rPr>
          <w:rFonts w:hint="eastAsia"/>
        </w:rPr>
        <w:t>overnment change from the LDP to the DPJ in 2009</w:t>
      </w:r>
      <w:r>
        <w:t xml:space="preserve"> transformed </w:t>
      </w:r>
      <w:r w:rsidR="00ED63A4">
        <w:t xml:space="preserve">the </w:t>
      </w:r>
      <w:r>
        <w:t>party politicians’ approach to antimonopoly policies.</w:t>
      </w:r>
      <w:r>
        <w:rPr>
          <w:rFonts w:hint="eastAsia"/>
        </w:rPr>
        <w:t xml:space="preserve"> However, its impact on the relationship between party politicians and civil servants has not been very distinctive. T</w:t>
      </w:r>
      <w:r>
        <w:t>h</w:t>
      </w:r>
      <w:r>
        <w:rPr>
          <w:rFonts w:hint="eastAsia"/>
        </w:rPr>
        <w:t>roughout the period after the SII, Japan</w:t>
      </w:r>
      <w:r>
        <w:t>’</w:t>
      </w:r>
      <w:r>
        <w:rPr>
          <w:rFonts w:hint="eastAsia"/>
        </w:rPr>
        <w:t>s antimonopoly regulation has emerged as a changing sector; in Mahoney and Thelen</w:t>
      </w:r>
      <w:r>
        <w:t>’</w:t>
      </w:r>
      <w:r>
        <w:rPr>
          <w:rFonts w:hint="eastAsia"/>
        </w:rPr>
        <w:t xml:space="preserve">s (2010) mode of change, it emerged in the mode of conversion, with the fact that most of the actors (both inside and outside the core executive) </w:t>
      </w:r>
      <w:r w:rsidR="0085525E">
        <w:t>w</w:t>
      </w:r>
      <w:r w:rsidR="00ED63A4">
        <w:t>ere</w:t>
      </w:r>
      <w:r>
        <w:rPr>
          <w:rFonts w:hint="eastAsia"/>
        </w:rPr>
        <w:t xml:space="preserve"> not strongly opposed to enhancing the AMA and the JFTC.</w:t>
      </w:r>
    </w:p>
    <w:p w14:paraId="23F8C69B" w14:textId="707C8D03" w:rsidR="007D1693" w:rsidRDefault="007D1693" w:rsidP="00BF2553">
      <w:pPr>
        <w:ind w:firstLine="284"/>
      </w:pPr>
      <w:r>
        <w:rPr>
          <w:rFonts w:hint="eastAsia"/>
        </w:rPr>
        <w:t xml:space="preserve">The exploration of the internal relationship within the core executive in antimonopoly regulation </w:t>
      </w:r>
      <w:r w:rsidR="00572AD5">
        <w:t>reveals</w:t>
      </w:r>
      <w:r w:rsidR="00572AD5">
        <w:rPr>
          <w:rFonts w:hint="eastAsia"/>
        </w:rPr>
        <w:t xml:space="preserve"> </w:t>
      </w:r>
      <w:r>
        <w:rPr>
          <w:rFonts w:hint="eastAsia"/>
        </w:rPr>
        <w:t xml:space="preserve">a </w:t>
      </w:r>
      <w:r w:rsidR="00BF2553">
        <w:t>remarkable</w:t>
      </w:r>
      <w:r>
        <w:rPr>
          <w:rFonts w:hint="eastAsia"/>
        </w:rPr>
        <w:t xml:space="preserve"> </w:t>
      </w:r>
      <w:r w:rsidR="00572AD5">
        <w:t>feature</w:t>
      </w:r>
      <w:r>
        <w:rPr>
          <w:rFonts w:hint="eastAsia"/>
        </w:rPr>
        <w:t>. Party politicians outside the Cabinet had dominant power until 2004, when Yamanaka passed away. T</w:t>
      </w:r>
      <w:r>
        <w:t>h</w:t>
      </w:r>
      <w:r>
        <w:rPr>
          <w:rFonts w:hint="eastAsia"/>
        </w:rPr>
        <w:t xml:space="preserve">e Chief Cabinet Secretaries, who were delegated by the Prime Minister to be in charge of the antimonopoly field and the JFTC, engaged in </w:t>
      </w:r>
      <w:r>
        <w:t>ceremonial</w:t>
      </w:r>
      <w:r>
        <w:rPr>
          <w:rFonts w:hint="eastAsia"/>
        </w:rPr>
        <w:t xml:space="preserve"> tasks rather than substantial supervision. This policy making framework was retained after t</w:t>
      </w:r>
      <w:r>
        <w:t>h</w:t>
      </w:r>
      <w:r>
        <w:rPr>
          <w:rFonts w:hint="eastAsia"/>
        </w:rPr>
        <w:t xml:space="preserve">e departure of Yamanaka. </w:t>
      </w:r>
      <w:r>
        <w:t>I</w:t>
      </w:r>
      <w:r>
        <w:rPr>
          <w:rFonts w:hint="eastAsia"/>
        </w:rPr>
        <w:t>t was the emergence of DPJ governments which changed the framework under the LDP. DPJ governments dismantled the LDP</w:t>
      </w:r>
      <w:r>
        <w:t>’</w:t>
      </w:r>
      <w:r>
        <w:rPr>
          <w:rFonts w:hint="eastAsia"/>
        </w:rPr>
        <w:t xml:space="preserve">s internal examination system and </w:t>
      </w:r>
      <w:r>
        <w:t>assigned</w:t>
      </w:r>
      <w:r>
        <w:rPr>
          <w:rFonts w:hint="eastAsia"/>
        </w:rPr>
        <w:t xml:space="preserve"> separately competent </w:t>
      </w:r>
      <w:r>
        <w:t>Cabinet</w:t>
      </w:r>
      <w:r>
        <w:rPr>
          <w:rFonts w:hint="eastAsia"/>
        </w:rPr>
        <w:t xml:space="preserve"> Ministers responsible for the JFTC. </w:t>
      </w:r>
      <w:r>
        <w:t>T</w:t>
      </w:r>
      <w:r>
        <w:rPr>
          <w:rFonts w:hint="eastAsia"/>
        </w:rPr>
        <w:t xml:space="preserve">he team of elected officials headed by Cabinet Ministers, </w:t>
      </w:r>
      <w:r w:rsidR="00083ACC">
        <w:rPr>
          <w:rFonts w:hint="eastAsia"/>
          <w:i/>
        </w:rPr>
        <w:t>Seimu Sanyaku</w:t>
      </w:r>
      <w:r>
        <w:rPr>
          <w:rFonts w:hint="eastAsia"/>
        </w:rPr>
        <w:t>, bec</w:t>
      </w:r>
      <w:r w:rsidR="000D59C9">
        <w:t>a</w:t>
      </w:r>
      <w:r>
        <w:rPr>
          <w:rFonts w:hint="eastAsia"/>
        </w:rPr>
        <w:t xml:space="preserve">me involved in drafting AMA amendment bills. This </w:t>
      </w:r>
      <w:r w:rsidR="00572AD5">
        <w:t>suggests</w:t>
      </w:r>
      <w:r>
        <w:rPr>
          <w:rFonts w:hint="eastAsia"/>
        </w:rPr>
        <w:t xml:space="preserve"> that the dominance of party politicians in antimonopoly regulation has become stronger.</w:t>
      </w:r>
    </w:p>
    <w:p w14:paraId="19E7DE09" w14:textId="77777777" w:rsidR="00572AD5" w:rsidRDefault="007D1693" w:rsidP="007D1693">
      <w:pPr>
        <w:ind w:firstLine="284"/>
      </w:pPr>
      <w:r>
        <w:rPr>
          <w:rFonts w:hint="eastAsia"/>
        </w:rPr>
        <w:t>T</w:t>
      </w:r>
      <w:r>
        <w:t>h</w:t>
      </w:r>
      <w:r>
        <w:rPr>
          <w:rFonts w:hint="eastAsia"/>
        </w:rPr>
        <w:t>e relationship between party politicians and civil servants is significantly influenced by the JFTC</w:t>
      </w:r>
      <w:r>
        <w:t>’</w:t>
      </w:r>
      <w:r>
        <w:rPr>
          <w:rFonts w:hint="eastAsia"/>
        </w:rPr>
        <w:t>s status as an independen</w:t>
      </w:r>
      <w:r w:rsidR="002A3DFF">
        <w:t>t</w:t>
      </w:r>
      <w:r>
        <w:rPr>
          <w:rFonts w:hint="eastAsia"/>
        </w:rPr>
        <w:t xml:space="preserve"> regulator. Different from other government ministries, Article 28 of the AMA requires the JFTC to independently perform its authority. </w:t>
      </w:r>
      <w:r>
        <w:t>T</w:t>
      </w:r>
      <w:r>
        <w:rPr>
          <w:rFonts w:hint="eastAsia"/>
        </w:rPr>
        <w:t>his fends off party politician</w:t>
      </w:r>
      <w:r>
        <w:t>’</w:t>
      </w:r>
      <w:r>
        <w:rPr>
          <w:rFonts w:hint="eastAsia"/>
        </w:rPr>
        <w:t xml:space="preserve">s intervention in the AMA enforcement by the JFTC. </w:t>
      </w:r>
    </w:p>
    <w:p w14:paraId="6F3DBBCF" w14:textId="77777777" w:rsidR="00572AD5" w:rsidRDefault="007D1693" w:rsidP="00B91725">
      <w:pPr>
        <w:ind w:firstLine="284"/>
      </w:pPr>
      <w:r>
        <w:rPr>
          <w:rFonts w:hint="eastAsia"/>
        </w:rPr>
        <w:t xml:space="preserve">The analyses revealed that the initial decisions that the JFTC </w:t>
      </w:r>
      <w:r>
        <w:t>be</w:t>
      </w:r>
      <w:r>
        <w:rPr>
          <w:rFonts w:hint="eastAsia"/>
        </w:rPr>
        <w:t xml:space="preserve"> left independent have shaped the JFTC</w:t>
      </w:r>
      <w:r>
        <w:t>’</w:t>
      </w:r>
      <w:r>
        <w:rPr>
          <w:rFonts w:hint="eastAsia"/>
        </w:rPr>
        <w:t xml:space="preserve">s path as an independent administrative commission. This can be understood as an example of self-reinforcing path dependent cases. </w:t>
      </w:r>
      <w:r>
        <w:t>Th</w:t>
      </w:r>
      <w:r>
        <w:rPr>
          <w:rFonts w:hint="eastAsia"/>
        </w:rPr>
        <w:t xml:space="preserve">e political circumstances surrounding the JFTC until the 1980s suited the JFTC as an independent </w:t>
      </w:r>
      <w:r>
        <w:t>administrative commission</w:t>
      </w:r>
      <w:r>
        <w:rPr>
          <w:rFonts w:hint="eastAsia"/>
        </w:rPr>
        <w:t xml:space="preserve">. The independent status </w:t>
      </w:r>
      <w:r>
        <w:t xml:space="preserve">offered the JFTC a shield </w:t>
      </w:r>
      <w:r>
        <w:rPr>
          <w:rFonts w:hint="eastAsia"/>
        </w:rPr>
        <w:t>in its confrontation to opponents such as the MIT</w:t>
      </w:r>
      <w:r>
        <w:t>I</w:t>
      </w:r>
      <w:r>
        <w:rPr>
          <w:rFonts w:hint="eastAsia"/>
        </w:rPr>
        <w:t xml:space="preserve"> and its concentration on </w:t>
      </w:r>
      <w:r>
        <w:t>enforcing</w:t>
      </w:r>
      <w:r>
        <w:rPr>
          <w:rFonts w:hint="eastAsia"/>
        </w:rPr>
        <w:t xml:space="preserve"> the AMA, fending off the interventions from party politicians. With few law amendments, the JFTC did not need frequent access</w:t>
      </w:r>
      <w:r w:rsidR="002A3DFF">
        <w:t xml:space="preserve"> </w:t>
      </w:r>
      <w:r>
        <w:rPr>
          <w:rFonts w:hint="eastAsia"/>
        </w:rPr>
        <w:t>to ruling party politicians in the 1980s</w:t>
      </w:r>
      <w:r>
        <w:t xml:space="preserve">; this means party politicians did not exercise significant power over the JFTC with a limited exchange of resources (opportunities to consult with party politicians </w:t>
      </w:r>
      <w:r w:rsidR="00B91725">
        <w:t>on</w:t>
      </w:r>
      <w:r>
        <w:t xml:space="preserve"> AMA amendment bills) if Smith’s (1999 p.31) concept of power is employed (power emerges from the exchange of resources within the core executive)</w:t>
      </w:r>
      <w:r>
        <w:rPr>
          <w:rFonts w:hint="eastAsia"/>
        </w:rPr>
        <w:t>.</w:t>
      </w:r>
    </w:p>
    <w:p w14:paraId="2E5AEB69" w14:textId="77777777" w:rsidR="007D1693" w:rsidRPr="00E5480A" w:rsidRDefault="00572AD5" w:rsidP="00B91725">
      <w:pPr>
        <w:ind w:firstLine="284"/>
      </w:pPr>
      <w:r>
        <w:t>Additionally</w:t>
      </w:r>
      <w:r w:rsidR="007D1693">
        <w:rPr>
          <w:rFonts w:hint="eastAsia"/>
        </w:rPr>
        <w:t>, the quasi-judicial nature of the complaint system, through which AMA breach cases were processed, was regarded as requiring the JFTC to be at arm</w:t>
      </w:r>
      <w:r w:rsidR="007D1693">
        <w:t>’</w:t>
      </w:r>
      <w:r w:rsidR="007D1693">
        <w:rPr>
          <w:rFonts w:hint="eastAsia"/>
        </w:rPr>
        <w:t>s length with the executive branch.</w:t>
      </w:r>
      <w:r w:rsidR="007D1693">
        <w:rPr>
          <w:rFonts w:hint="eastAsia"/>
          <w:lang w:eastAsia="ja-JP"/>
        </w:rPr>
        <w:t xml:space="preserve"> </w:t>
      </w:r>
      <w:r w:rsidR="007D1693">
        <w:rPr>
          <w:rFonts w:hint="eastAsia"/>
        </w:rPr>
        <w:t xml:space="preserve">After the SII in 1989 and 1990, these circumstances </w:t>
      </w:r>
      <w:r w:rsidR="007D1693" w:rsidRPr="009F1F23">
        <w:rPr>
          <w:rFonts w:hint="eastAsia"/>
        </w:rPr>
        <w:t>significantly changed.</w:t>
      </w:r>
      <w:r w:rsidR="007D1693" w:rsidRPr="009F1F23">
        <w:t xml:space="preserve"> As the JFTC gained more power, the benefit of the independent status as a tool to</w:t>
      </w:r>
      <w:r w:rsidR="007D1693">
        <w:t xml:space="preserve"> confront adversaries waned. </w:t>
      </w:r>
      <w:r w:rsidR="007D1693">
        <w:rPr>
          <w:rFonts w:hint="eastAsia"/>
        </w:rPr>
        <w:t>M</w:t>
      </w:r>
      <w:r w:rsidR="007D1693">
        <w:t xml:space="preserve">ore active policy making inspired by the SII has developed a potential of creating a problem of democratic accountability </w:t>
      </w:r>
      <w:r w:rsidR="007D1693">
        <w:rPr>
          <w:rFonts w:hint="eastAsia"/>
        </w:rPr>
        <w:t>because draft bills have no supervision from elected supervisors such as Cabinet Ministers</w:t>
      </w:r>
      <w:r w:rsidR="007D1693">
        <w:t>.</w:t>
      </w:r>
      <w:r w:rsidR="007D1693">
        <w:rPr>
          <w:rFonts w:hint="eastAsia"/>
        </w:rPr>
        <w:t xml:space="preserve"> </w:t>
      </w:r>
      <w:r w:rsidR="007D1693" w:rsidRPr="00E5480A">
        <w:t xml:space="preserve">A more robust system of democratic accountability </w:t>
      </w:r>
      <w:r w:rsidR="007D1693" w:rsidRPr="00E5480A">
        <w:rPr>
          <w:rFonts w:hint="eastAsia"/>
        </w:rPr>
        <w:t>could</w:t>
      </w:r>
      <w:r w:rsidR="007D1693" w:rsidRPr="00E5480A">
        <w:t xml:space="preserve"> better contribute to the democratic governance of antimonopoly policy making.</w:t>
      </w:r>
    </w:p>
    <w:p w14:paraId="7105F4AE" w14:textId="77777777" w:rsidR="007D1693" w:rsidRDefault="007D1693" w:rsidP="007D1693">
      <w:pPr>
        <w:ind w:firstLine="284"/>
      </w:pPr>
      <w:r>
        <w:t xml:space="preserve">The gradual expansion of the JFTC indicates the steady growth of state power in the antimonopoly field. Elsewhere, the lack of adequate </w:t>
      </w:r>
      <w:r>
        <w:rPr>
          <w:rFonts w:hint="eastAsia"/>
        </w:rPr>
        <w:t>professional expertise</w:t>
      </w:r>
      <w:r>
        <w:t xml:space="preserve"> </w:t>
      </w:r>
      <w:r w:rsidR="002C1CD4">
        <w:t xml:space="preserve">among the JFTC’s staff </w:t>
      </w:r>
      <w:r w:rsidR="002556B2">
        <w:t xml:space="preserve">emerged </w:t>
      </w:r>
      <w:r>
        <w:t>as a significant challenge.</w:t>
      </w:r>
    </w:p>
    <w:p w14:paraId="0C88B9BD" w14:textId="77777777" w:rsidR="007D1693" w:rsidRDefault="007D1693" w:rsidP="007D1693">
      <w:pPr>
        <w:ind w:firstLine="284"/>
        <w:rPr>
          <w:lang w:eastAsia="ja-JP"/>
        </w:rPr>
      </w:pPr>
      <w:r>
        <w:t xml:space="preserve">The case of Japan’s antimonopoly </w:t>
      </w:r>
      <w:r w:rsidR="00731904">
        <w:rPr>
          <w:rFonts w:eastAsia="MS Mincho" w:hint="eastAsia"/>
          <w:lang w:eastAsia="ja-JP"/>
        </w:rPr>
        <w:t>regulation</w:t>
      </w:r>
      <w:r>
        <w:t xml:space="preserve"> reveals a different type of state transformation. The growing state is now confronting a challenge resulting from its own growth. The JFTC until the 1980s concentrated on the AMA enforcement with </w:t>
      </w:r>
      <w:r>
        <w:rPr>
          <w:rFonts w:hint="eastAsia"/>
        </w:rPr>
        <w:t>relatively</w:t>
      </w:r>
      <w:r>
        <w:t xml:space="preserve"> fewer </w:t>
      </w:r>
      <w:r>
        <w:rPr>
          <w:rFonts w:hint="eastAsia"/>
        </w:rPr>
        <w:t>law amendments, although the AMA had a first substantial enhancement including the introduction of the surcharge system through its amendment in 1977</w:t>
      </w:r>
      <w:r>
        <w:t>. These circumstances</w:t>
      </w:r>
      <w:r>
        <w:rPr>
          <w:rFonts w:hint="eastAsia"/>
        </w:rPr>
        <w:t xml:space="preserve"> suited the JFTC</w:t>
      </w:r>
      <w:r>
        <w:t>’</w:t>
      </w:r>
      <w:r>
        <w:rPr>
          <w:rFonts w:hint="eastAsia"/>
        </w:rPr>
        <w:t xml:space="preserve">s institutional framework as an independent </w:t>
      </w:r>
      <w:r>
        <w:t xml:space="preserve">administrative </w:t>
      </w:r>
      <w:r>
        <w:rPr>
          <w:rFonts w:hint="eastAsia"/>
        </w:rPr>
        <w:t xml:space="preserve">commission. </w:t>
      </w:r>
      <w:r>
        <w:rPr>
          <w:rFonts w:hint="eastAsia"/>
          <w:lang w:eastAsia="ja-JP"/>
        </w:rPr>
        <w:t>T</w:t>
      </w:r>
      <w:r>
        <w:rPr>
          <w:lang w:eastAsia="ja-JP"/>
        </w:rPr>
        <w:t>h</w:t>
      </w:r>
      <w:r>
        <w:rPr>
          <w:rFonts w:hint="eastAsia"/>
          <w:lang w:eastAsia="ja-JP"/>
        </w:rPr>
        <w:t xml:space="preserve">e response of the core executive </w:t>
      </w:r>
      <w:r w:rsidR="002556B2">
        <w:rPr>
          <w:lang w:eastAsia="ja-JP"/>
        </w:rPr>
        <w:t>to</w:t>
      </w:r>
      <w:r w:rsidR="002556B2">
        <w:rPr>
          <w:rFonts w:hint="eastAsia"/>
          <w:lang w:eastAsia="ja-JP"/>
        </w:rPr>
        <w:t xml:space="preserve"> </w:t>
      </w:r>
      <w:r>
        <w:rPr>
          <w:rFonts w:hint="eastAsia"/>
          <w:lang w:eastAsia="ja-JP"/>
        </w:rPr>
        <w:t>the JFTC</w:t>
      </w:r>
      <w:r>
        <w:rPr>
          <w:lang w:eastAsia="ja-JP"/>
        </w:rPr>
        <w:t>’</w:t>
      </w:r>
      <w:r>
        <w:rPr>
          <w:rFonts w:hint="eastAsia"/>
          <w:lang w:eastAsia="ja-JP"/>
        </w:rPr>
        <w:t>s status as an independent administrative commission is retaining the status quo with the key actor</w:t>
      </w:r>
      <w:r>
        <w:rPr>
          <w:lang w:eastAsia="ja-JP"/>
        </w:rPr>
        <w:t>’</w:t>
      </w:r>
      <w:r>
        <w:rPr>
          <w:rFonts w:hint="eastAsia"/>
          <w:lang w:eastAsia="ja-JP"/>
        </w:rPr>
        <w:t>s (JFTC) strong will and the indifference of others.</w:t>
      </w:r>
    </w:p>
    <w:p w14:paraId="744A4B51" w14:textId="77777777" w:rsidR="007D1693" w:rsidRDefault="007D1693" w:rsidP="00AF4264">
      <w:pPr>
        <w:ind w:firstLine="284"/>
      </w:pPr>
      <w:r w:rsidRPr="006707FE">
        <w:rPr>
          <w:rFonts w:hint="eastAsia"/>
        </w:rPr>
        <w:t>The circumstances changed with the increasing demand on antimonopoly policies. The end of the 1980s</w:t>
      </w:r>
      <w:r>
        <w:rPr>
          <w:rFonts w:hint="eastAsia"/>
        </w:rPr>
        <w:t xml:space="preserve"> was the period when enhancing the AMA became a </w:t>
      </w:r>
      <w:r w:rsidR="00AF4264">
        <w:t>prioritised</w:t>
      </w:r>
      <w:r>
        <w:rPr>
          <w:rFonts w:hint="eastAsia"/>
        </w:rPr>
        <w:t xml:space="preserve"> policy issue by the SII between 1989 and 1990. Such a change required the JFTC to access party politicians more frequently than before, because a substantial portion of policy making needed law amendments. </w:t>
      </w:r>
      <w:r>
        <w:t>Also, the JFTC has significantly enhanced its organisational capacity including its staff and budget. These external and internal changes of circumstances have gradually affected the institutional framework of antimonopoly policies</w:t>
      </w:r>
      <w:r>
        <w:rPr>
          <w:rFonts w:hint="eastAsia"/>
        </w:rPr>
        <w:t>. T</w:t>
      </w:r>
      <w:r>
        <w:t>he change and abolition of the complaint system</w:t>
      </w:r>
      <w:r>
        <w:rPr>
          <w:rFonts w:hint="eastAsia"/>
        </w:rPr>
        <w:t xml:space="preserve"> is an example</w:t>
      </w:r>
      <w:r>
        <w:t>.</w:t>
      </w:r>
    </w:p>
    <w:p w14:paraId="61386373" w14:textId="77777777" w:rsidR="007D1693" w:rsidRDefault="007D1693" w:rsidP="007D1693">
      <w:pPr>
        <w:ind w:firstLine="284"/>
      </w:pPr>
      <w:r>
        <w:t>What emerges here is the transformation of the state through the change of circumstances surrounding the regulator. The independent status has fended off party politicians’</w:t>
      </w:r>
      <w:r>
        <w:rPr>
          <w:rFonts w:hint="eastAsia"/>
        </w:rPr>
        <w:t xml:space="preserve"> intervention</w:t>
      </w:r>
      <w:r>
        <w:t xml:space="preserve"> to the JFTC, whose primary focus was implement</w:t>
      </w:r>
      <w:r>
        <w:rPr>
          <w:rFonts w:hint="eastAsia"/>
        </w:rPr>
        <w:t xml:space="preserve">ing </w:t>
      </w:r>
      <w:r>
        <w:t>the AMA. The</w:t>
      </w:r>
      <w:r>
        <w:rPr>
          <w:rFonts w:hint="eastAsia"/>
        </w:rPr>
        <w:t xml:space="preserve"> </w:t>
      </w:r>
      <w:r>
        <w:t>JFTC’</w:t>
      </w:r>
      <w:r>
        <w:rPr>
          <w:rFonts w:hint="eastAsia"/>
        </w:rPr>
        <w:t xml:space="preserve">s increasing involvement in </w:t>
      </w:r>
      <w:r>
        <w:t xml:space="preserve">the policy making process </w:t>
      </w:r>
      <w:r>
        <w:rPr>
          <w:rFonts w:hint="eastAsia"/>
        </w:rPr>
        <w:t>as an independent administrative commission has provoked a potential challenge:</w:t>
      </w:r>
      <w:r>
        <w:t xml:space="preserve"> establishing a clear democratic accountability for policy</w:t>
      </w:r>
      <w:r>
        <w:rPr>
          <w:rFonts w:hint="eastAsia"/>
        </w:rPr>
        <w:t xml:space="preserve"> making</w:t>
      </w:r>
      <w:r>
        <w:t xml:space="preserve">. </w:t>
      </w:r>
      <w:r>
        <w:rPr>
          <w:rFonts w:hint="eastAsia"/>
        </w:rPr>
        <w:t xml:space="preserve">The growing power of the JFTC has also gradually undermined the need for the independent status as a shield to its adversaries. </w:t>
      </w:r>
      <w:r>
        <w:t>Th</w:t>
      </w:r>
      <w:r>
        <w:rPr>
          <w:rFonts w:hint="eastAsia"/>
        </w:rPr>
        <w:t>ese</w:t>
      </w:r>
      <w:r>
        <w:t xml:space="preserve"> </w:t>
      </w:r>
      <w:r>
        <w:rPr>
          <w:rFonts w:hint="eastAsia"/>
        </w:rPr>
        <w:t xml:space="preserve">changes can lead to a </w:t>
      </w:r>
      <w:r>
        <w:t xml:space="preserve">review on </w:t>
      </w:r>
      <w:r>
        <w:rPr>
          <w:rFonts w:hint="eastAsia"/>
        </w:rPr>
        <w:t>the JFTC</w:t>
      </w:r>
      <w:r>
        <w:t>’</w:t>
      </w:r>
      <w:r>
        <w:rPr>
          <w:rFonts w:hint="eastAsia"/>
        </w:rPr>
        <w:t>s</w:t>
      </w:r>
      <w:r>
        <w:t xml:space="preserve"> nature of independence.</w:t>
      </w:r>
      <w:r>
        <w:rPr>
          <w:rFonts w:hint="eastAsia"/>
        </w:rPr>
        <w:t xml:space="preserve"> By enhancing its power and obtaining opportunities to more frequent policy making through law amendments, the JFTC has obtained the potential </w:t>
      </w:r>
      <w:r w:rsidR="00537A3E">
        <w:t>for</w:t>
      </w:r>
      <w:r>
        <w:rPr>
          <w:rFonts w:hint="eastAsia"/>
        </w:rPr>
        <w:t xml:space="preserve"> developing its activities beyond its traditional institutional framework.</w:t>
      </w:r>
    </w:p>
    <w:p w14:paraId="4B4C2AE3" w14:textId="753A92AA" w:rsidR="007D1693" w:rsidRDefault="007D1693" w:rsidP="00295AE8">
      <w:pPr>
        <w:ind w:firstLine="284"/>
      </w:pPr>
      <w:r>
        <w:t>In spite of the fact that the independence of authority has fended off the interventions of party politicians, key decisions needed the</w:t>
      </w:r>
      <w:r>
        <w:rPr>
          <w:rFonts w:hint="eastAsia"/>
        </w:rPr>
        <w:t xml:space="preserve"> </w:t>
      </w:r>
      <w:r>
        <w:t xml:space="preserve">endorsement of party politicians including key figures such as Yamanaka. The change of </w:t>
      </w:r>
      <w:r w:rsidR="00295AE8">
        <w:t xml:space="preserve">the </w:t>
      </w:r>
      <w:r>
        <w:t xml:space="preserve">institutional framework </w:t>
      </w:r>
      <w:r>
        <w:rPr>
          <w:rFonts w:hint="eastAsia"/>
        </w:rPr>
        <w:t xml:space="preserve">was steered by </w:t>
      </w:r>
      <w:r>
        <w:t xml:space="preserve">party politicians such as those in the LDP AMA Examination Committee. </w:t>
      </w:r>
      <w:r w:rsidR="00295AE8">
        <w:t>G</w:t>
      </w:r>
      <w:r>
        <w:t xml:space="preserve">overnment change in 2009 enhanced party politicians’ involvement in antimonopoly policies through assigning </w:t>
      </w:r>
      <w:r w:rsidR="00083ACC">
        <w:rPr>
          <w:i/>
          <w:iCs/>
        </w:rPr>
        <w:t>Seimu Sanyaku</w:t>
      </w:r>
      <w:r>
        <w:t xml:space="preserve"> responsible for the JFTC. What is emerging here is a different version of dominance of the core executive. Party politicians have dominated policy making decisions, leaving investigative cases to civil servant</w:t>
      </w:r>
      <w:r w:rsidR="00486C2E">
        <w:t>s</w:t>
      </w:r>
      <w:r>
        <w:t xml:space="preserve"> in the JFTC. </w:t>
      </w:r>
      <w:r>
        <w:rPr>
          <w:rFonts w:hint="eastAsia"/>
        </w:rPr>
        <w:t>Increasingly prioritised antimonopoly regulation needs intensified policy making; this leads to the increasing involvement of party politicians.</w:t>
      </w:r>
    </w:p>
    <w:p w14:paraId="441626D3" w14:textId="77777777" w:rsidR="007D1693" w:rsidRDefault="007D1693" w:rsidP="00457EB3">
      <w:pPr>
        <w:ind w:firstLine="284"/>
      </w:pPr>
      <w:r>
        <w:t xml:space="preserve">Overall, in the field of antimonopoly policies, the core executive has successfully dominated policy making and implementation. The decision making process has been discretional negotiations within the core executive: party (typically the LDP) politicians and JFTC civil servants. </w:t>
      </w:r>
      <w:r w:rsidR="00295AE8">
        <w:t>G</w:t>
      </w:r>
      <w:r>
        <w:t>overnment change in 2009 created a change inside the core executive, whose impact is not yet clear.</w:t>
      </w:r>
    </w:p>
    <w:p w14:paraId="20DC36C2" w14:textId="77777777" w:rsidR="002556B2" w:rsidRDefault="007D1693" w:rsidP="007D1693">
      <w:pPr>
        <w:ind w:firstLine="284"/>
      </w:pPr>
      <w:r>
        <w:rPr>
          <w:rFonts w:hint="eastAsia"/>
        </w:rPr>
        <w:t>T</w:t>
      </w:r>
      <w:r w:rsidRPr="004F1647">
        <w:rPr>
          <w:rFonts w:hint="eastAsia"/>
        </w:rPr>
        <w:t>he fluid change of power within the core executive has shaped the power of</w:t>
      </w:r>
      <w:r>
        <w:rPr>
          <w:rFonts w:hint="eastAsia"/>
        </w:rPr>
        <w:t xml:space="preserve"> the state in antimonopoly regulation. Growing state power in antimonopoly regulation reflects the enhanced relative strength of the JFTC within the core executive result</w:t>
      </w:r>
      <w:r w:rsidR="00AD0060">
        <w:t>ing</w:t>
      </w:r>
      <w:r>
        <w:rPr>
          <w:rFonts w:hint="eastAsia"/>
        </w:rPr>
        <w:t xml:space="preserve"> from the prioritisation of antimonopoly regulation. In spite of its internal shift of power </w:t>
      </w:r>
      <w:r w:rsidR="00731904">
        <w:rPr>
          <w:rFonts w:eastAsia="MS Mincho" w:hint="eastAsia"/>
          <w:lang w:eastAsia="ja-JP"/>
        </w:rPr>
        <w:t xml:space="preserve">and legitimacy </w:t>
      </w:r>
      <w:r>
        <w:rPr>
          <w:rFonts w:hint="eastAsia"/>
        </w:rPr>
        <w:t>from those outside the Cabinet to Cabinet M</w:t>
      </w:r>
      <w:r>
        <w:t>i</w:t>
      </w:r>
      <w:r>
        <w:rPr>
          <w:rFonts w:hint="eastAsia"/>
        </w:rPr>
        <w:t xml:space="preserve">nisters and elected officials, the group of party politicians has retained its role of steering as the key decision maker. </w:t>
      </w:r>
    </w:p>
    <w:p w14:paraId="3B2D7C9B" w14:textId="77777777" w:rsidR="007D1693" w:rsidRPr="001D458E" w:rsidRDefault="007D1693" w:rsidP="007D1693">
      <w:pPr>
        <w:ind w:firstLine="284"/>
      </w:pPr>
      <w:r>
        <w:rPr>
          <w:rFonts w:hint="eastAsia"/>
        </w:rPr>
        <w:t>The governing of the core executive in Japan</w:t>
      </w:r>
      <w:r>
        <w:t>’</w:t>
      </w:r>
      <w:r>
        <w:rPr>
          <w:rFonts w:hint="eastAsia"/>
        </w:rPr>
        <w:t xml:space="preserve">s </w:t>
      </w:r>
      <w:r>
        <w:t>antimonopoly</w:t>
      </w:r>
      <w:r>
        <w:rPr>
          <w:rFonts w:hint="eastAsia"/>
        </w:rPr>
        <w:t xml:space="preserve"> regulation in which party politicians and civil servants exchange their resources reveals a variation of the model proposed by Smith (1999). The impact of prioritising antimonopoly regulation </w:t>
      </w:r>
      <w:r w:rsidR="00731904">
        <w:rPr>
          <w:rFonts w:eastAsia="MS Mincho" w:hint="eastAsia"/>
          <w:lang w:eastAsia="ja-JP"/>
        </w:rPr>
        <w:t>wa</w:t>
      </w:r>
      <w:r>
        <w:rPr>
          <w:rFonts w:hint="eastAsia"/>
        </w:rPr>
        <w:t>s a significant factor to transform the field. This leads to the expansion of state power in antimonopoly regulation through enhancing the JFTC. Elsewhere, more frequent involvement of party politicians in policy making has the potential of reshaping the previous institutional framework based on the JFTC</w:t>
      </w:r>
      <w:r>
        <w:t>’</w:t>
      </w:r>
      <w:r>
        <w:rPr>
          <w:rFonts w:hint="eastAsia"/>
        </w:rPr>
        <w:t xml:space="preserve">s independence of authority as an independent administrative commission. This observation reveals an asymmetric dominance of the core executive to society in antimonopoly regulation. </w:t>
      </w:r>
      <w:r>
        <w:t>T</w:t>
      </w:r>
      <w:r>
        <w:rPr>
          <w:rFonts w:hint="eastAsia"/>
        </w:rPr>
        <w:t>he key of the dominance is the core executive</w:t>
      </w:r>
      <w:r>
        <w:t>’</w:t>
      </w:r>
      <w:r>
        <w:rPr>
          <w:rFonts w:hint="eastAsia"/>
        </w:rPr>
        <w:t>s role as the decision maker. State power in the sector has also changed in response to the change of power within the core executive.</w:t>
      </w:r>
    </w:p>
    <w:p w14:paraId="5B120EC3" w14:textId="77777777" w:rsidR="007D1693" w:rsidRDefault="007D1693" w:rsidP="006B0625">
      <w:pPr>
        <w:ind w:firstLine="284"/>
      </w:pPr>
      <w:r>
        <w:rPr>
          <w:rFonts w:hint="eastAsia"/>
        </w:rPr>
        <w:t xml:space="preserve">Turning to the core theme and the research questions, this thesis </w:t>
      </w:r>
      <w:r w:rsidR="002556B2">
        <w:rPr>
          <w:rFonts w:hint="eastAsia"/>
        </w:rPr>
        <w:t>d</w:t>
      </w:r>
      <w:r w:rsidR="002556B2">
        <w:t>epict</w:t>
      </w:r>
      <w:r w:rsidR="002556B2">
        <w:rPr>
          <w:rFonts w:hint="eastAsia"/>
        </w:rPr>
        <w:t xml:space="preserve">s </w:t>
      </w:r>
      <w:r w:rsidR="00AD0060">
        <w:t xml:space="preserve">that </w:t>
      </w:r>
      <w:r>
        <w:rPr>
          <w:rFonts w:hint="eastAsia"/>
        </w:rPr>
        <w:t>the evolution of Japan</w:t>
      </w:r>
      <w:r>
        <w:t>’</w:t>
      </w:r>
      <w:r>
        <w:rPr>
          <w:rFonts w:hint="eastAsia"/>
        </w:rPr>
        <w:t xml:space="preserve">s antimonopoly regulatory </w:t>
      </w:r>
      <w:r w:rsidRPr="00D109DA">
        <w:rPr>
          <w:rFonts w:hint="eastAsia"/>
        </w:rPr>
        <w:t>framework</w:t>
      </w:r>
      <w:r>
        <w:rPr>
          <w:rFonts w:hint="eastAsia"/>
        </w:rPr>
        <w:t xml:space="preserve"> as a gradual enhancement of state power started from a significant turning point. With respect to the first research question </w:t>
      </w:r>
      <w:r>
        <w:t>‘</w:t>
      </w:r>
      <w:r w:rsidR="0015452E">
        <w:rPr>
          <w:rFonts w:hint="eastAsia"/>
        </w:rPr>
        <w:t>How has Japan</w:t>
      </w:r>
      <w:r w:rsidR="006B0625">
        <w:t>’</w:t>
      </w:r>
      <w:r w:rsidR="0015452E">
        <w:rPr>
          <w:rFonts w:hint="eastAsia"/>
        </w:rPr>
        <w:t>s regulatory framework evolved over the last three decades</w:t>
      </w:r>
      <w:r w:rsidRPr="00EE00E8">
        <w:t>?</w:t>
      </w:r>
      <w:r>
        <w:t>’</w:t>
      </w:r>
      <w:r>
        <w:rPr>
          <w:rFonts w:hint="eastAsia"/>
        </w:rPr>
        <w:t xml:space="preserve"> the process can be evaluated as the expansion of the state, </w:t>
      </w:r>
      <w:r>
        <w:t>which</w:t>
      </w:r>
      <w:r>
        <w:rPr>
          <w:rFonts w:hint="eastAsia"/>
        </w:rPr>
        <w:t xml:space="preserve"> can be characterised as a process in which the government machine (JFCT) and demand for accountability have grown. The development of state capacity in the antimonopoly field has forced the institutional framework of antimonopoly </w:t>
      </w:r>
      <w:r w:rsidR="006B0625">
        <w:t>regulation</w:t>
      </w:r>
      <w:r>
        <w:rPr>
          <w:rFonts w:hint="eastAsia"/>
        </w:rPr>
        <w:t xml:space="preserve"> to face a challenge of democratic control. The change has been gradual rather than strikingly rapid after a significant disjuncture (SII).</w:t>
      </w:r>
    </w:p>
    <w:p w14:paraId="5ECD417B" w14:textId="77777777" w:rsidR="007D1693" w:rsidRDefault="007D1693" w:rsidP="007D1693">
      <w:pPr>
        <w:ind w:firstLine="284"/>
      </w:pPr>
      <w:r>
        <w:rPr>
          <w:rFonts w:hint="eastAsia"/>
        </w:rPr>
        <w:t xml:space="preserve">The change of the regulatory framework relates to the second research question </w:t>
      </w:r>
      <w:r>
        <w:t>‘</w:t>
      </w:r>
      <w:r>
        <w:rPr>
          <w:rFonts w:hint="eastAsia"/>
        </w:rPr>
        <w:t>how ha</w:t>
      </w:r>
      <w:r w:rsidR="00BD653F">
        <w:rPr>
          <w:rFonts w:hint="eastAsia"/>
          <w:lang w:eastAsia="ja-JP"/>
        </w:rPr>
        <w:t>s</w:t>
      </w:r>
      <w:r>
        <w:rPr>
          <w:rFonts w:hint="eastAsia"/>
        </w:rPr>
        <w:t xml:space="preserve"> </w:t>
      </w:r>
      <w:r w:rsidR="00BD653F">
        <w:rPr>
          <w:rFonts w:hint="eastAsia"/>
          <w:lang w:eastAsia="ja-JP"/>
        </w:rPr>
        <w:t>the core executive</w:t>
      </w:r>
      <w:r>
        <w:rPr>
          <w:rFonts w:hint="eastAsia"/>
        </w:rPr>
        <w:t xml:space="preserve"> been successful in imposing their will on regulation?</w:t>
      </w:r>
      <w:r>
        <w:t>’</w:t>
      </w:r>
      <w:r>
        <w:rPr>
          <w:rFonts w:hint="eastAsia"/>
        </w:rPr>
        <w:t xml:space="preserve"> The change of the regulatory framework was realised with the consensus among the core executive actors. It was the core executive who steered and implemented enhancing antimonopoly regulation. Throughout the period between the 1980s and 2000s the core executive has held a dominant position of steering regulation. It can be </w:t>
      </w:r>
      <w:r>
        <w:t>understood</w:t>
      </w:r>
      <w:r>
        <w:rPr>
          <w:rFonts w:hint="eastAsia"/>
        </w:rPr>
        <w:t xml:space="preserve"> as an example of the asymmetric dominance of the core executive.</w:t>
      </w:r>
    </w:p>
    <w:p w14:paraId="0355E214" w14:textId="77777777" w:rsidR="007D1693" w:rsidRDefault="007D1693" w:rsidP="007D1693">
      <w:pPr>
        <w:ind w:firstLine="284"/>
      </w:pPr>
      <w:r>
        <w:rPr>
          <w:rFonts w:hint="eastAsia"/>
        </w:rPr>
        <w:t xml:space="preserve">The third question </w:t>
      </w:r>
      <w:r>
        <w:t>‘</w:t>
      </w:r>
      <w:r>
        <w:rPr>
          <w:rFonts w:hint="eastAsia"/>
        </w:rPr>
        <w:t>how have Japan</w:t>
      </w:r>
      <w:r>
        <w:t>’</w:t>
      </w:r>
      <w:r>
        <w:rPr>
          <w:rFonts w:hint="eastAsia"/>
        </w:rPr>
        <w:t xml:space="preserve">s ministries shaped </w:t>
      </w:r>
      <w:r w:rsidR="00AD0060">
        <w:t>the</w:t>
      </w:r>
      <w:r>
        <w:rPr>
          <w:rFonts w:hint="eastAsia"/>
        </w:rPr>
        <w:t xml:space="preserve"> organisational design of regulatory functions?</w:t>
      </w:r>
      <w:r>
        <w:t>’</w:t>
      </w:r>
      <w:r>
        <w:rPr>
          <w:rFonts w:hint="eastAsia"/>
        </w:rPr>
        <w:t xml:space="preserve"> offers an example of the core executive</w:t>
      </w:r>
      <w:r>
        <w:t>’</w:t>
      </w:r>
      <w:r>
        <w:rPr>
          <w:rFonts w:hint="eastAsia"/>
        </w:rPr>
        <w:t xml:space="preserve">s response to the transformation of antimonopoly regulation. </w:t>
      </w:r>
      <w:r>
        <w:t>T</w:t>
      </w:r>
      <w:r>
        <w:rPr>
          <w:rFonts w:hint="eastAsia"/>
        </w:rPr>
        <w:t xml:space="preserve">he case of the JFTC as an independent regulator </w:t>
      </w:r>
      <w:r>
        <w:t>reveals</w:t>
      </w:r>
      <w:r>
        <w:rPr>
          <w:rFonts w:hint="eastAsia"/>
        </w:rPr>
        <w:t xml:space="preserve"> a self-reinforcing path dependent story. The initial decisions that antimonopoly regulation be administered by an independent administrative commission played a significant role to shape the following sequence characterised by antimonopoly regulation administered by the JFTC. T</w:t>
      </w:r>
      <w:r>
        <w:t>h</w:t>
      </w:r>
      <w:r>
        <w:rPr>
          <w:rFonts w:hint="eastAsia"/>
        </w:rPr>
        <w:t>is result offers a contrast with the case of ICT</w:t>
      </w:r>
      <w:r>
        <w:t xml:space="preserve"> regulation</w:t>
      </w:r>
      <w:r>
        <w:rPr>
          <w:rFonts w:hint="eastAsia"/>
        </w:rPr>
        <w:t xml:space="preserve">, where the initial decision that the regulatory function inside the MPT be retained </w:t>
      </w:r>
      <w:r>
        <w:t>after</w:t>
      </w:r>
      <w:r>
        <w:rPr>
          <w:rFonts w:hint="eastAsia"/>
        </w:rPr>
        <w:t xml:space="preserve"> the NTT privatisation in 1985 has shaped the organisational </w:t>
      </w:r>
      <w:r>
        <w:t>framework</w:t>
      </w:r>
      <w:r>
        <w:rPr>
          <w:rFonts w:hint="eastAsia"/>
        </w:rPr>
        <w:t xml:space="preserve"> of Japan</w:t>
      </w:r>
      <w:r>
        <w:t>’</w:t>
      </w:r>
      <w:r>
        <w:rPr>
          <w:rFonts w:hint="eastAsia"/>
        </w:rPr>
        <w:t>s ICT regulator.</w:t>
      </w:r>
    </w:p>
    <w:p w14:paraId="10CEDD4E" w14:textId="62FF9C19" w:rsidR="007D1693" w:rsidRDefault="00274370" w:rsidP="00BF2553">
      <w:pPr>
        <w:ind w:firstLine="284"/>
      </w:pPr>
      <w:r>
        <w:t xml:space="preserve">Finally, </w:t>
      </w:r>
      <w:r w:rsidR="007D1693">
        <w:rPr>
          <w:rFonts w:hint="eastAsia"/>
        </w:rPr>
        <w:t xml:space="preserve">the fourth research question </w:t>
      </w:r>
      <w:r w:rsidR="007D1693">
        <w:t>‘</w:t>
      </w:r>
      <w:r w:rsidR="007D1693">
        <w:rPr>
          <w:rFonts w:hint="eastAsia"/>
        </w:rPr>
        <w:t>how has the state</w:t>
      </w:r>
      <w:r w:rsidR="007D1693">
        <w:t>’</w:t>
      </w:r>
      <w:r w:rsidR="007D1693">
        <w:rPr>
          <w:rFonts w:hint="eastAsia"/>
        </w:rPr>
        <w:t>s regulatory capacity changed?</w:t>
      </w:r>
      <w:r w:rsidR="007D1693">
        <w:t>’</w:t>
      </w:r>
      <w:r w:rsidR="007D1693">
        <w:rPr>
          <w:rFonts w:hint="eastAsia"/>
        </w:rPr>
        <w:t xml:space="preserve"> offers a perspective that explains a </w:t>
      </w:r>
      <w:r w:rsidR="00BF2553">
        <w:t>characteristic</w:t>
      </w:r>
      <w:r w:rsidR="007D1693">
        <w:rPr>
          <w:rFonts w:hint="eastAsia"/>
        </w:rPr>
        <w:t xml:space="preserve"> of state transformation in Japan</w:t>
      </w:r>
      <w:r w:rsidR="007D1693">
        <w:t>’</w:t>
      </w:r>
      <w:r w:rsidR="007D1693">
        <w:rPr>
          <w:rFonts w:hint="eastAsia"/>
        </w:rPr>
        <w:t xml:space="preserve">s antimonopoly </w:t>
      </w:r>
      <w:r w:rsidR="005C5288">
        <w:t>regulation</w:t>
      </w:r>
      <w:r w:rsidR="007D1693">
        <w:rPr>
          <w:rFonts w:hint="eastAsia"/>
        </w:rPr>
        <w:t xml:space="preserve">. The Japanese state has expanded its state power to respond to the </w:t>
      </w:r>
      <w:r w:rsidR="007D1693">
        <w:t>circumstantial</w:t>
      </w:r>
      <w:r w:rsidR="007D1693">
        <w:rPr>
          <w:rFonts w:hint="eastAsia"/>
        </w:rPr>
        <w:t xml:space="preserve"> changes by strengthening its antimonopoly bureaucratic machine (i.e. new law provisions, staff increase, </w:t>
      </w:r>
      <w:r w:rsidR="007D1693">
        <w:t>and budget</w:t>
      </w:r>
      <w:r w:rsidR="007D1693">
        <w:rPr>
          <w:rFonts w:hint="eastAsia"/>
        </w:rPr>
        <w:t xml:space="preserve"> increase). The transformation can be </w:t>
      </w:r>
      <w:r w:rsidR="000F78D8">
        <w:t>described</w:t>
      </w:r>
      <w:r w:rsidR="007D1693">
        <w:rPr>
          <w:rFonts w:hint="eastAsia"/>
        </w:rPr>
        <w:t xml:space="preserve"> as the enhancement of law enforcement capacity</w:t>
      </w:r>
      <w:r w:rsidR="000F78D8">
        <w:t xml:space="preserve"> through enlarging the JFTC’s organisation and responsibilities</w:t>
      </w:r>
      <w:r w:rsidR="007D1693">
        <w:rPr>
          <w:rFonts w:hint="eastAsia"/>
        </w:rPr>
        <w:t xml:space="preserve">. Since relying on law enforcement is a </w:t>
      </w:r>
      <w:r w:rsidR="007D1693">
        <w:t>characteristic</w:t>
      </w:r>
      <w:r w:rsidR="007D1693">
        <w:rPr>
          <w:rFonts w:hint="eastAsia"/>
        </w:rPr>
        <w:t xml:space="preserve"> of the regulatory state, the nature of the transformation of Japan</w:t>
      </w:r>
      <w:r w:rsidR="007D1693">
        <w:t>’</w:t>
      </w:r>
      <w:r w:rsidR="007D1693">
        <w:rPr>
          <w:rFonts w:hint="eastAsia"/>
        </w:rPr>
        <w:t xml:space="preserve">s antimonopoly regulation can be viewed as an </w:t>
      </w:r>
      <w:r w:rsidR="005C5288">
        <w:t xml:space="preserve">example of the </w:t>
      </w:r>
      <w:r w:rsidR="007D1693">
        <w:rPr>
          <w:rFonts w:hint="eastAsia"/>
        </w:rPr>
        <w:t>emergent Japanese regulatory state.</w:t>
      </w:r>
    </w:p>
    <w:p w14:paraId="6B0CAA1D" w14:textId="77777777" w:rsidR="003126E5" w:rsidRDefault="007D1693" w:rsidP="005C5288">
      <w:pPr>
        <w:ind w:firstLine="284"/>
      </w:pPr>
      <w:r>
        <w:t xml:space="preserve">The </w:t>
      </w:r>
      <w:r w:rsidR="00274370">
        <w:t>evidence drawn fr</w:t>
      </w:r>
      <w:r w:rsidR="000721A5">
        <w:t>o</w:t>
      </w:r>
      <w:r w:rsidR="00274370">
        <w:t>m</w:t>
      </w:r>
      <w:r>
        <w:t xml:space="preserve"> this chapter</w:t>
      </w:r>
      <w:r w:rsidR="00274370">
        <w:t xml:space="preserve"> can be seen to</w:t>
      </w:r>
      <w:r>
        <w:t xml:space="preserve"> </w:t>
      </w:r>
      <w:r w:rsidR="00274370">
        <w:t xml:space="preserve">corroborate </w:t>
      </w:r>
      <w:r>
        <w:t xml:space="preserve">the </w:t>
      </w:r>
      <w:r w:rsidR="00274370">
        <w:t xml:space="preserve">key </w:t>
      </w:r>
      <w:r>
        <w:t>proposition of this thesis</w:t>
      </w:r>
      <w:r w:rsidR="00643AAD">
        <w:rPr>
          <w:rFonts w:eastAsia="MS Mincho" w:hint="eastAsia"/>
          <w:lang w:eastAsia="ja-JP"/>
        </w:rPr>
        <w:t>:</w:t>
      </w:r>
      <w:r>
        <w:t xml:space="preserve"> ‘</w:t>
      </w:r>
      <w:r w:rsidR="00643AAD" w:rsidRPr="00FB6BE4">
        <w:t xml:space="preserve">During the era of Liberal Democratic Party (LDP) </w:t>
      </w:r>
      <w:r w:rsidR="00643AAD">
        <w:rPr>
          <w:rFonts w:hint="eastAsia"/>
        </w:rPr>
        <w:t>g</w:t>
      </w:r>
      <w:r w:rsidR="00643AAD" w:rsidRPr="00FB6BE4">
        <w:t xml:space="preserve">overnment, the core executive pursued discretional regulation within inner regulatory policy communities as a strategy to sustain its position of asymmetric dominance over </w:t>
      </w:r>
      <w:r w:rsidR="00643AAD">
        <w:t xml:space="preserve">actors within </w:t>
      </w:r>
      <w:r w:rsidR="00643AAD" w:rsidRPr="00FB6BE4">
        <w:t>key policy sectors</w:t>
      </w:r>
      <w:r w:rsidR="00643AAD">
        <w:rPr>
          <w:rFonts w:hint="eastAsia"/>
        </w:rPr>
        <w:t xml:space="preserve">, with their actions shaped by a </w:t>
      </w:r>
      <w:r w:rsidR="00643AAD">
        <w:t>particular</w:t>
      </w:r>
      <w:r w:rsidR="00643AAD">
        <w:rPr>
          <w:rFonts w:hint="eastAsia"/>
        </w:rPr>
        <w:t xml:space="preserve"> set of structures</w:t>
      </w:r>
      <w:r>
        <w:t xml:space="preserve">’. The policy making system under the LDP administration </w:t>
      </w:r>
      <w:r w:rsidR="005C5288">
        <w:t>wa</w:t>
      </w:r>
      <w:r>
        <w:t xml:space="preserve">s controlled by the AMA Examination Committee, where limited members exercised significant influence over decision making. Civil servants (JFTC) were subject to the LDP’s decision; they can rather be understood as a facilitator and the implementer of the LDP’s decisions. </w:t>
      </w:r>
      <w:r>
        <w:rPr>
          <w:rFonts w:hint="eastAsia"/>
        </w:rPr>
        <w:t xml:space="preserve">The interdependent relationship between party politicians and JFTC civil servants can be understood as a variation of the model proposed by Smith (1999). </w:t>
      </w:r>
      <w:r>
        <w:t>The core executive can be recognised as the asymmetrically dominant actor in this field</w:t>
      </w:r>
      <w:r>
        <w:rPr>
          <w:rFonts w:hint="eastAsia"/>
        </w:rPr>
        <w:t xml:space="preserve"> retaining the role of the key decision maker</w:t>
      </w:r>
      <w:r>
        <w:t>.</w:t>
      </w:r>
    </w:p>
    <w:p w14:paraId="5FE6FDE3" w14:textId="77777777" w:rsidR="000579A2" w:rsidRDefault="00FE4BA0" w:rsidP="007A59CF">
      <w:pPr>
        <w:ind w:firstLine="284"/>
      </w:pPr>
      <w:r>
        <w:t xml:space="preserve">By focusing on the core executive in antimonopoly regulation, this chapter </w:t>
      </w:r>
      <w:r w:rsidR="006C008B">
        <w:t xml:space="preserve">reveals the asymmetric dominance of the core executive based on the state’s unique set of resources (e.g. legitimacy, state bureaucracy, legislation) </w:t>
      </w:r>
      <w:r w:rsidR="007A59CF">
        <w:t xml:space="preserve">in the state </w:t>
      </w:r>
      <w:r w:rsidR="006C008B">
        <w:t xml:space="preserve">at a macro level (Marsh et al 2001 p.248). </w:t>
      </w:r>
      <w:r w:rsidR="00A26BBE">
        <w:t>What is emerging is an example of a state reconstituting itself through establishing a variation of the regulatory state.</w:t>
      </w:r>
      <w:r w:rsidR="006D4B67">
        <w:t xml:space="preserve"> </w:t>
      </w:r>
      <w:r w:rsidR="00A26BBE">
        <w:t>The transformative process in antimonopoly regulation after the 1980s offered challenges and opportunities to the existing antimonopoly regulatory framework. A</w:t>
      </w:r>
      <w:r w:rsidR="00AB6B56">
        <w:t xml:space="preserve">n outcome of the reconstituting process is the enhanced JFTC; it can be regarded as a key event of constructing a form of the </w:t>
      </w:r>
      <w:r w:rsidR="00A60BE5">
        <w:t xml:space="preserve">antimonopoly </w:t>
      </w:r>
      <w:r w:rsidR="00AB6B56">
        <w:t xml:space="preserve">regulatory state </w:t>
      </w:r>
      <w:r w:rsidR="00A60BE5">
        <w:t xml:space="preserve">in Japan </w:t>
      </w:r>
      <w:r w:rsidR="00AB6B56">
        <w:t xml:space="preserve">in response to the changes after the 1980s highlighted by the </w:t>
      </w:r>
      <w:r w:rsidR="00A60BE5">
        <w:t xml:space="preserve">SII between 1989 and 1990. </w:t>
      </w:r>
      <w:r w:rsidR="00990589">
        <w:t>The approach of this thesis employing an elitist position has successfully expose</w:t>
      </w:r>
      <w:r w:rsidR="00474847">
        <w:t>d</w:t>
      </w:r>
      <w:r w:rsidR="00990589">
        <w:t xml:space="preserve"> how the Japanese state has been </w:t>
      </w:r>
      <w:r w:rsidR="00474847">
        <w:t>reconstituted</w:t>
      </w:r>
      <w:r w:rsidR="00990589">
        <w:t xml:space="preserve"> in a sector </w:t>
      </w:r>
      <w:r w:rsidR="00474847">
        <w:t>where</w:t>
      </w:r>
      <w:r w:rsidR="00990589">
        <w:t xml:space="preserve"> a </w:t>
      </w:r>
      <w:r w:rsidR="00474847">
        <w:t xml:space="preserve">crucial and </w:t>
      </w:r>
      <w:r w:rsidR="00990589">
        <w:t xml:space="preserve">salient </w:t>
      </w:r>
      <w:r w:rsidR="00474847">
        <w:t>issue of state transformation (regulation) is administered by illuminating the dominance of the core executive.</w:t>
      </w:r>
    </w:p>
    <w:p w14:paraId="3BA6E846" w14:textId="77777777" w:rsidR="007D1693" w:rsidRDefault="00274370" w:rsidP="005C5288">
      <w:pPr>
        <w:ind w:firstLine="284"/>
      </w:pPr>
      <w:r>
        <w:t>As was the case in Chapter 5</w:t>
      </w:r>
      <w:r w:rsidR="007D1693">
        <w:t>, this chapter reveals how dominant the core executive has been in another key regulatory field</w:t>
      </w:r>
      <w:r w:rsidR="007D1693">
        <w:rPr>
          <w:rFonts w:hint="eastAsia"/>
        </w:rPr>
        <w:t>:</w:t>
      </w:r>
      <w:r w:rsidR="007D1693">
        <w:t xml:space="preserve"> antimonopoly</w:t>
      </w:r>
      <w:r w:rsidR="007D1693">
        <w:rPr>
          <w:rFonts w:hint="eastAsia"/>
        </w:rPr>
        <w:t xml:space="preserve"> regulation</w:t>
      </w:r>
      <w:r w:rsidR="007D1693">
        <w:t xml:space="preserve">. </w:t>
      </w:r>
      <w:r>
        <w:t>T</w:t>
      </w:r>
      <w:r w:rsidR="007D1693">
        <w:t xml:space="preserve">he final chapter </w:t>
      </w:r>
      <w:r>
        <w:t xml:space="preserve">draws together and analyses the </w:t>
      </w:r>
      <w:r w:rsidR="005C5288">
        <w:t>implications</w:t>
      </w:r>
      <w:r>
        <w:t xml:space="preserve"> of th</w:t>
      </w:r>
      <w:r w:rsidR="003126E5">
        <w:t>e</w:t>
      </w:r>
      <w:r>
        <w:t xml:space="preserve">se findings in relation to both the literature on and current approaches to understanding the nature of the Japanese state and the impact of </w:t>
      </w:r>
      <w:r w:rsidR="005C5288">
        <w:t>transformation</w:t>
      </w:r>
      <w:r>
        <w:t xml:space="preserve"> over the last thirty years.</w:t>
      </w:r>
    </w:p>
    <w:p w14:paraId="0D29941C" w14:textId="77777777" w:rsidR="007D1693" w:rsidRPr="007D1693" w:rsidRDefault="007D1693" w:rsidP="007D1693">
      <w:pPr>
        <w:rPr>
          <w:rFonts w:eastAsia="MS Mincho"/>
          <w:lang w:eastAsia="ja-JP"/>
        </w:rPr>
      </w:pPr>
    </w:p>
    <w:p w14:paraId="0F239F03" w14:textId="77777777" w:rsidR="00D07783" w:rsidRDefault="00D07783">
      <w:pPr>
        <w:spacing w:line="240" w:lineRule="auto"/>
        <w:rPr>
          <w:rFonts w:eastAsia="Times New Roman" w:cstheme="majorBidi"/>
          <w:b/>
          <w:bCs/>
          <w:szCs w:val="28"/>
          <w:u w:val="single"/>
        </w:rPr>
      </w:pPr>
      <w:r>
        <w:br w:type="page"/>
      </w:r>
    </w:p>
    <w:p w14:paraId="6497E957" w14:textId="77777777" w:rsidR="007D1693" w:rsidRPr="00DF1741" w:rsidRDefault="007D1693" w:rsidP="007D1693">
      <w:pPr>
        <w:pStyle w:val="Heading1"/>
      </w:pPr>
      <w:bookmarkStart w:id="62" w:name="_Toc349741384"/>
      <w:r w:rsidRPr="00DF1741">
        <w:t>Chapter 7</w:t>
      </w:r>
      <w:r w:rsidRPr="00DF1741">
        <w:tab/>
        <w:t>Conclusion</w:t>
      </w:r>
      <w:bookmarkEnd w:id="62"/>
    </w:p>
    <w:p w14:paraId="32DF91BD" w14:textId="77777777" w:rsidR="007D1693" w:rsidRDefault="007D1693" w:rsidP="007D1693"/>
    <w:p w14:paraId="45E6BF0D" w14:textId="77777777" w:rsidR="007D1693" w:rsidRPr="00BE2A73" w:rsidRDefault="007D1693" w:rsidP="007D1693"/>
    <w:p w14:paraId="403C22D3" w14:textId="77777777" w:rsidR="007D1693" w:rsidRPr="007F1BC2" w:rsidRDefault="007D1693" w:rsidP="00050D4B">
      <w:pPr>
        <w:pStyle w:val="Heading2"/>
      </w:pPr>
      <w:bookmarkStart w:id="63" w:name="_Toc349741385"/>
      <w:r>
        <w:t>7</w:t>
      </w:r>
      <w:r>
        <w:rPr>
          <w:rFonts w:eastAsiaTheme="minorEastAsia" w:hint="eastAsia"/>
        </w:rPr>
        <w:t>.1</w:t>
      </w:r>
      <w:r>
        <w:rPr>
          <w:rFonts w:eastAsiaTheme="minorEastAsia" w:hint="eastAsia"/>
        </w:rPr>
        <w:tab/>
      </w:r>
      <w:r w:rsidRPr="007F1BC2">
        <w:rPr>
          <w:rFonts w:hint="eastAsia"/>
        </w:rPr>
        <w:t>Introduction</w:t>
      </w:r>
      <w:bookmarkEnd w:id="63"/>
    </w:p>
    <w:p w14:paraId="5E10CEF8" w14:textId="77777777" w:rsidR="007D1693" w:rsidRDefault="007D1693" w:rsidP="007D1693">
      <w:r>
        <w:rPr>
          <w:rFonts w:hint="eastAsia"/>
        </w:rPr>
        <w:t>T</w:t>
      </w:r>
      <w:r>
        <w:t>h</w:t>
      </w:r>
      <w:r>
        <w:rPr>
          <w:rFonts w:hint="eastAsia"/>
        </w:rPr>
        <w:t>is thesis set out to address the transformation of the Japanese state</w:t>
      </w:r>
      <w:r>
        <w:t xml:space="preserve"> after the 1980s, exploring as the key theme the </w:t>
      </w:r>
      <w:r>
        <w:rPr>
          <w:rFonts w:hint="eastAsia"/>
        </w:rPr>
        <w:t>core executive</w:t>
      </w:r>
      <w:r>
        <w:t>’</w:t>
      </w:r>
      <w:r>
        <w:rPr>
          <w:rFonts w:hint="eastAsia"/>
        </w:rPr>
        <w:t xml:space="preserve">s asymmetric dominance over key policy sectors by pursuing </w:t>
      </w:r>
      <w:r>
        <w:t>discretional</w:t>
      </w:r>
      <w:r>
        <w:rPr>
          <w:rFonts w:hint="eastAsia"/>
        </w:rPr>
        <w:t xml:space="preserve"> regulation within </w:t>
      </w:r>
      <w:r w:rsidR="00AD0060">
        <w:t xml:space="preserve">an </w:t>
      </w:r>
      <w:r>
        <w:rPr>
          <w:rFonts w:hint="eastAsia"/>
        </w:rPr>
        <w:t xml:space="preserve">inner regulatory policy community. In doing so, it </w:t>
      </w:r>
      <w:r>
        <w:t>set up</w:t>
      </w:r>
      <w:r>
        <w:rPr>
          <w:rFonts w:hint="eastAsia"/>
        </w:rPr>
        <w:t xml:space="preserve"> a seri</w:t>
      </w:r>
      <w:r>
        <w:t>e</w:t>
      </w:r>
      <w:r>
        <w:rPr>
          <w:rFonts w:hint="eastAsia"/>
        </w:rPr>
        <w:t>s of research questions</w:t>
      </w:r>
      <w:r>
        <w:t xml:space="preserve"> focusing on fluid change of power within the core executive, the independence of the regulator as a specific characteristic of the field, and state capacity</w:t>
      </w:r>
      <w:r>
        <w:rPr>
          <w:rFonts w:hint="eastAsia"/>
        </w:rPr>
        <w:t>.</w:t>
      </w:r>
    </w:p>
    <w:p w14:paraId="45E0E386" w14:textId="77777777" w:rsidR="007D1693" w:rsidRDefault="007D1693" w:rsidP="00FB759F">
      <w:pPr>
        <w:ind w:firstLine="284"/>
      </w:pPr>
      <w:r>
        <w:t xml:space="preserve">This set of research questions examined two specific key regulatory fields as case studies: ICT regulation and antimonopoly regulation between the 1980s and 2000s. The </w:t>
      </w:r>
      <w:r w:rsidR="003C0190">
        <w:t xml:space="preserve">result of these case studies has </w:t>
      </w:r>
      <w:r w:rsidR="009C3B4F">
        <w:t>corroborated</w:t>
      </w:r>
      <w:r w:rsidR="003C0190">
        <w:t xml:space="preserve"> </w:t>
      </w:r>
      <w:r w:rsidR="0093223B">
        <w:t xml:space="preserve">the </w:t>
      </w:r>
      <w:r w:rsidR="009C3B4F">
        <w:t>reconstitution of the Japanese state in two chose</w:t>
      </w:r>
      <w:r w:rsidR="00AD0060">
        <w:t>n</w:t>
      </w:r>
      <w:r w:rsidR="009C3B4F">
        <w:t xml:space="preserve"> sector</w:t>
      </w:r>
      <w:r w:rsidR="00AD0060">
        <w:t>s</w:t>
      </w:r>
      <w:r w:rsidR="009C3B4F">
        <w:t xml:space="preserve"> (ICT regulation, antimonopoly regulation)</w:t>
      </w:r>
      <w:r>
        <w:t>.</w:t>
      </w:r>
    </w:p>
    <w:p w14:paraId="5F8566F1" w14:textId="77777777" w:rsidR="007D1693" w:rsidRDefault="007D1693" w:rsidP="001644AF">
      <w:pPr>
        <w:ind w:firstLine="284"/>
        <w:rPr>
          <w:bCs/>
        </w:rPr>
      </w:pPr>
      <w:r>
        <w:t xml:space="preserve">The thesis </w:t>
      </w:r>
      <w:r w:rsidR="00274370">
        <w:t>set</w:t>
      </w:r>
      <w:r w:rsidR="00FB759F">
        <w:t>s</w:t>
      </w:r>
      <w:r w:rsidR="00274370">
        <w:t xml:space="preserve"> out to </w:t>
      </w:r>
      <w:r>
        <w:t xml:space="preserve">address an existing lacuna in the literature </w:t>
      </w:r>
      <w:r w:rsidR="00274370">
        <w:t>on the</w:t>
      </w:r>
      <w:r>
        <w:t xml:space="preserve"> Japan</w:t>
      </w:r>
      <w:r w:rsidR="00274370">
        <w:t>ese</w:t>
      </w:r>
      <w:r>
        <w:t xml:space="preserve"> state. With the dominance of pluralist and rational choice perspectives, the previous literature focuses on the specific issues in Japan, leaving the Japanese state at a macro level untouched. As such, this thesis adopted as its theoretical framework </w:t>
      </w:r>
      <w:r w:rsidR="00A70F83">
        <w:rPr>
          <w:rFonts w:eastAsia="MS Mincho" w:hint="eastAsia"/>
          <w:lang w:eastAsia="ja-JP"/>
        </w:rPr>
        <w:t xml:space="preserve">the </w:t>
      </w:r>
      <w:r>
        <w:t xml:space="preserve">theories of the core executive, regulatory state, </w:t>
      </w:r>
      <w:r w:rsidR="00284E39">
        <w:t>and historical institutionalists</w:t>
      </w:r>
      <w:r>
        <w:t xml:space="preserve">, based on the </w:t>
      </w:r>
      <w:r w:rsidR="00A70F83">
        <w:rPr>
          <w:rFonts w:eastAsia="MS Mincho" w:hint="eastAsia"/>
          <w:lang w:eastAsia="ja-JP"/>
        </w:rPr>
        <w:t>premise</w:t>
      </w:r>
      <w:r>
        <w:t xml:space="preserve"> that the state </w:t>
      </w:r>
      <w:r w:rsidR="00BC01BB">
        <w:t xml:space="preserve">has been </w:t>
      </w:r>
      <w:r>
        <w:t>reconstituted</w:t>
      </w:r>
      <w:r w:rsidR="00BC01BB" w:rsidRPr="00BC01BB">
        <w:t xml:space="preserve"> </w:t>
      </w:r>
      <w:r w:rsidR="00BC01BB">
        <w:t>rather than hollowed out in responding to the chang</w:t>
      </w:r>
      <w:r w:rsidR="00AD0060">
        <w:t>ing</w:t>
      </w:r>
      <w:r w:rsidR="00BC01BB">
        <w:t xml:space="preserve"> nature of governance. In so doing, the thesis argues the core executive has sustained a position of asymmetric </w:t>
      </w:r>
      <w:r>
        <w:t xml:space="preserve">dominance </w:t>
      </w:r>
      <w:r w:rsidR="00BC01BB">
        <w:t>in relation to</w:t>
      </w:r>
      <w:r>
        <w:t xml:space="preserve"> state</w:t>
      </w:r>
      <w:r w:rsidR="00BC01BB">
        <w:t>-</w:t>
      </w:r>
      <w:r>
        <w:t>society</w:t>
      </w:r>
      <w:r w:rsidR="00BC01BB">
        <w:t xml:space="preserve"> relations</w:t>
      </w:r>
      <w:r>
        <w:t xml:space="preserve">. </w:t>
      </w:r>
      <w:r w:rsidR="000D6849">
        <w:t>T</w:t>
      </w:r>
      <w:r>
        <w:t xml:space="preserve">his final chapter </w:t>
      </w:r>
      <w:r w:rsidR="000D6849">
        <w:t>draws together the findings from the two empirical chapters</w:t>
      </w:r>
      <w:r>
        <w:t xml:space="preserve"> </w:t>
      </w:r>
      <w:r w:rsidR="000D6849">
        <w:t xml:space="preserve">in relation to the </w:t>
      </w:r>
      <w:r>
        <w:t>research questions</w:t>
      </w:r>
      <w:r w:rsidR="000D6849">
        <w:t xml:space="preserve"> posited</w:t>
      </w:r>
      <w:r>
        <w:t xml:space="preserve">. This is followed by setting out the </w:t>
      </w:r>
      <w:r w:rsidR="00A1303C">
        <w:t>implications of this thesis: the reconstituted Japanese state after the 1980s and the nature of the Japanese regulatory state</w:t>
      </w:r>
      <w:r>
        <w:t>. Lastly</w:t>
      </w:r>
      <w:r>
        <w:rPr>
          <w:rFonts w:hint="eastAsia"/>
          <w:bCs/>
        </w:rPr>
        <w:t xml:space="preserve">, this thesis </w:t>
      </w:r>
      <w:r w:rsidR="001644AF">
        <w:rPr>
          <w:bCs/>
        </w:rPr>
        <w:t>suggest</w:t>
      </w:r>
      <w:r w:rsidR="000D6849">
        <w:rPr>
          <w:bCs/>
        </w:rPr>
        <w:t xml:space="preserve">s the potential </w:t>
      </w:r>
      <w:r>
        <w:rPr>
          <w:rFonts w:hint="eastAsia"/>
          <w:bCs/>
        </w:rPr>
        <w:t xml:space="preserve">future research </w:t>
      </w:r>
      <w:r w:rsidR="000D6849">
        <w:rPr>
          <w:bCs/>
        </w:rPr>
        <w:t>themes that emerge from the contribution made here.</w:t>
      </w:r>
    </w:p>
    <w:p w14:paraId="1BCB0E89" w14:textId="77777777" w:rsidR="007D1693" w:rsidRDefault="007D1693" w:rsidP="007D1693"/>
    <w:p w14:paraId="57F94F39" w14:textId="77777777" w:rsidR="000A73B5" w:rsidRDefault="000A73B5" w:rsidP="007D1693"/>
    <w:p w14:paraId="1261130E" w14:textId="77777777" w:rsidR="007D1693" w:rsidRPr="007F1BC2" w:rsidRDefault="007D1693" w:rsidP="00050D4B">
      <w:pPr>
        <w:pStyle w:val="Heading2"/>
      </w:pPr>
      <w:bookmarkStart w:id="64" w:name="_Toc349741386"/>
      <w:r>
        <w:t>7</w:t>
      </w:r>
      <w:r>
        <w:rPr>
          <w:rFonts w:hint="eastAsia"/>
        </w:rPr>
        <w:t>.2</w:t>
      </w:r>
      <w:r>
        <w:rPr>
          <w:rFonts w:hint="eastAsia"/>
        </w:rPr>
        <w:tab/>
      </w:r>
      <w:r>
        <w:t xml:space="preserve">The </w:t>
      </w:r>
      <w:r>
        <w:rPr>
          <w:rFonts w:hint="eastAsia"/>
          <w:lang w:eastAsia="ja-JP"/>
        </w:rPr>
        <w:t>regulatory t</w:t>
      </w:r>
      <w:r>
        <w:t xml:space="preserve">ransformation </w:t>
      </w:r>
      <w:r>
        <w:rPr>
          <w:rFonts w:hint="eastAsia"/>
          <w:lang w:eastAsia="ja-JP"/>
        </w:rPr>
        <w:t>and the core executive</w:t>
      </w:r>
      <w:bookmarkEnd w:id="64"/>
    </w:p>
    <w:p w14:paraId="3124AF4B" w14:textId="77777777" w:rsidR="007D1693" w:rsidRDefault="007D1693" w:rsidP="007D1693">
      <w:r>
        <w:t xml:space="preserve">The evolution of Japan’s regulatory framework in ICT </w:t>
      </w:r>
      <w:r w:rsidR="00602E63">
        <w:t xml:space="preserve">regulation </w:t>
      </w:r>
      <w:r>
        <w:t>and antimonopoly regulation reveals an example of state transformation dominated by a loose network of the Japanese core executive.</w:t>
      </w:r>
    </w:p>
    <w:p w14:paraId="6765945B" w14:textId="77777777" w:rsidR="007D1693" w:rsidRDefault="007D1693" w:rsidP="005B18BE">
      <w:pPr>
        <w:ind w:firstLine="284"/>
      </w:pPr>
      <w:r>
        <w:rPr>
          <w:rFonts w:hint="eastAsia"/>
        </w:rPr>
        <w:t>T</w:t>
      </w:r>
      <w:r>
        <w:t>u</w:t>
      </w:r>
      <w:r>
        <w:rPr>
          <w:rFonts w:hint="eastAsia"/>
        </w:rPr>
        <w:t xml:space="preserve">rning to the core theme and research questions, what </w:t>
      </w:r>
      <w:r>
        <w:t>w</w:t>
      </w:r>
      <w:r>
        <w:rPr>
          <w:rFonts w:hint="eastAsia"/>
        </w:rPr>
        <w:t>as revealed is that i</w:t>
      </w:r>
      <w:r>
        <w:t>n both regulatory fields the regulatory framework has evolved in response to the change of circumstances</w:t>
      </w:r>
      <w:r w:rsidR="003A755E">
        <w:t xml:space="preserve"> such as </w:t>
      </w:r>
      <w:r w:rsidR="003B4ABE">
        <w:t xml:space="preserve">the </w:t>
      </w:r>
      <w:r w:rsidR="003A755E">
        <w:t>1985 telecommunications privatisation</w:t>
      </w:r>
      <w:r w:rsidR="00602E63">
        <w:t xml:space="preserve">, </w:t>
      </w:r>
      <w:r w:rsidR="003A755E">
        <w:t>the SII (</w:t>
      </w:r>
      <w:r w:rsidR="003A755E">
        <w:rPr>
          <w:rFonts w:hint="eastAsia"/>
        </w:rPr>
        <w:t>Structural Impediments Initiative</w:t>
      </w:r>
      <w:r w:rsidR="003A755E">
        <w:t>)</w:t>
      </w:r>
      <w:r w:rsidR="00602E63">
        <w:t>, and concomitant changes of power relations within the core executive</w:t>
      </w:r>
      <w:r>
        <w:t>. The following part of this section discusses the results of research questions based on the exploration in Chapter</w:t>
      </w:r>
      <w:r w:rsidR="00E37E84">
        <w:rPr>
          <w:rFonts w:eastAsia="MS Mincho" w:hint="eastAsia"/>
          <w:lang w:eastAsia="ja-JP"/>
        </w:rPr>
        <w:t>s</w:t>
      </w:r>
      <w:r>
        <w:t xml:space="preserve"> 5 and 6.</w:t>
      </w:r>
    </w:p>
    <w:p w14:paraId="3EF9452B" w14:textId="77777777" w:rsidR="007D1693" w:rsidRDefault="007D1693" w:rsidP="007D1693"/>
    <w:p w14:paraId="7BDF61DA" w14:textId="77777777" w:rsidR="009519A8" w:rsidRDefault="003B4ABE" w:rsidP="00050D4B">
      <w:pPr>
        <w:pStyle w:val="Heading3"/>
      </w:pPr>
      <w:bookmarkStart w:id="65" w:name="_Toc349741387"/>
      <w:r>
        <w:t>7.2.1</w:t>
      </w:r>
      <w:r>
        <w:tab/>
      </w:r>
      <w:r w:rsidR="0015452E">
        <w:t>How has Japan</w:t>
      </w:r>
      <w:r w:rsidR="00A736FD">
        <w:t>’</w:t>
      </w:r>
      <w:r w:rsidR="0015452E">
        <w:t>s regulatory framework evolved over the last three decades</w:t>
      </w:r>
      <w:r w:rsidR="007D1693" w:rsidRPr="00EE00E8">
        <w:t>?</w:t>
      </w:r>
      <w:bookmarkEnd w:id="65"/>
    </w:p>
    <w:p w14:paraId="43B9E33A" w14:textId="77777777" w:rsidR="007D1693" w:rsidRDefault="007D1693" w:rsidP="006C0B14">
      <w:r>
        <w:t>The case of ICT regulation can be characterised by a significant disjuncture by the 1985 regulatory reform and the emergence of a new regulator (MPT/MIC</w:t>
      </w:r>
      <w:r>
        <w:rPr>
          <w:rStyle w:val="FootnoteReference"/>
        </w:rPr>
        <w:footnoteReference w:id="81"/>
      </w:r>
      <w:r>
        <w:t xml:space="preserve">). The direct management through a state corporation before 1985 changed to principal-agent regulation through the executive branch. The regulatory approach changed from interventionist or ex ante oriented to ex post oriented. Party politicians also shifted their approach from direct commitment by </w:t>
      </w:r>
      <w:r>
        <w:rPr>
          <w:rFonts w:hint="eastAsia"/>
        </w:rPr>
        <w:t>intervening</w:t>
      </w:r>
      <w:r>
        <w:t xml:space="preserve"> </w:t>
      </w:r>
      <w:r w:rsidR="00E37E84">
        <w:rPr>
          <w:rFonts w:eastAsia="MS Mincho" w:hint="eastAsia"/>
          <w:lang w:eastAsia="ja-JP"/>
        </w:rPr>
        <w:t xml:space="preserve">the </w:t>
      </w:r>
      <w:r>
        <w:t>NTT’s</w:t>
      </w:r>
      <w:r>
        <w:rPr>
          <w:rStyle w:val="FootnoteReference"/>
        </w:rPr>
        <w:footnoteReference w:id="82"/>
      </w:r>
      <w:r>
        <w:t xml:space="preserve"> management issues to more </w:t>
      </w:r>
      <w:r w:rsidR="006C0B14">
        <w:t>indirect control through the MPT/MIC’s principal-agent regulation</w:t>
      </w:r>
      <w:r>
        <w:t xml:space="preserve">. The </w:t>
      </w:r>
      <w:r>
        <w:rPr>
          <w:rFonts w:hint="eastAsia"/>
        </w:rPr>
        <w:t xml:space="preserve">emergence of the </w:t>
      </w:r>
      <w:r>
        <w:t xml:space="preserve">MPT as a </w:t>
      </w:r>
      <w:r>
        <w:rPr>
          <w:rFonts w:hint="eastAsia"/>
        </w:rPr>
        <w:t>key</w:t>
      </w:r>
      <w:r>
        <w:t xml:space="preserve"> regulator</w:t>
      </w:r>
      <w:r>
        <w:rPr>
          <w:rFonts w:hint="eastAsia"/>
        </w:rPr>
        <w:t xml:space="preserve"> </w:t>
      </w:r>
      <w:r>
        <w:t>after privatisation</w:t>
      </w:r>
      <w:r>
        <w:rPr>
          <w:rFonts w:hint="eastAsia"/>
        </w:rPr>
        <w:t xml:space="preserve"> was followed by the evolution of its </w:t>
      </w:r>
      <w:r>
        <w:t>regulatory approach</w:t>
      </w:r>
      <w:r>
        <w:rPr>
          <w:rFonts w:hint="eastAsia"/>
        </w:rPr>
        <w:t xml:space="preserve"> </w:t>
      </w:r>
      <w:r>
        <w:t>in response to the development of competition and ICT.</w:t>
      </w:r>
    </w:p>
    <w:p w14:paraId="4D4F0BCD" w14:textId="77777777" w:rsidR="007D1693" w:rsidRDefault="007D1693" w:rsidP="00CB6CE9">
      <w:pPr>
        <w:ind w:firstLine="284"/>
      </w:pPr>
      <w:r>
        <w:t xml:space="preserve">Elsewhere, the relative strength among private sector actors has reflected the fluid change of power; although the NTT has retained its dominant position in markets, </w:t>
      </w:r>
      <w:r w:rsidR="000D6849">
        <w:t xml:space="preserve">its </w:t>
      </w:r>
      <w:r>
        <w:t xml:space="preserve">evolution has enabled new entrants such as NCCs </w:t>
      </w:r>
      <w:r w:rsidR="005F318E">
        <w:t xml:space="preserve">(New Common Carriers) </w:t>
      </w:r>
      <w:r>
        <w:rPr>
          <w:rFonts w:hint="eastAsia"/>
        </w:rPr>
        <w:t xml:space="preserve">to </w:t>
      </w:r>
      <w:r>
        <w:t xml:space="preserve">challenge </w:t>
      </w:r>
      <w:r>
        <w:rPr>
          <w:rFonts w:hint="eastAsia"/>
        </w:rPr>
        <w:t xml:space="preserve">the </w:t>
      </w:r>
      <w:r>
        <w:t xml:space="preserve">NTT’s position. </w:t>
      </w:r>
      <w:r>
        <w:rPr>
          <w:rFonts w:hint="eastAsia"/>
        </w:rPr>
        <w:t>T</w:t>
      </w:r>
      <w:r>
        <w:t>h</w:t>
      </w:r>
      <w:r>
        <w:rPr>
          <w:rFonts w:hint="eastAsia"/>
        </w:rPr>
        <w:t xml:space="preserve">e focus of the state shifted from </w:t>
      </w:r>
      <w:r>
        <w:t>the direct management of telecommunications service provision</w:t>
      </w:r>
      <w:r>
        <w:rPr>
          <w:rFonts w:hint="eastAsia"/>
        </w:rPr>
        <w:t xml:space="preserve"> to market entry and price control regulation, then to </w:t>
      </w:r>
      <w:r>
        <w:t>new regulatory measures such as rules for telecommunications network interconnection. Th</w:t>
      </w:r>
      <w:r>
        <w:rPr>
          <w:rFonts w:hint="eastAsia"/>
        </w:rPr>
        <w:t xml:space="preserve">is set of </w:t>
      </w:r>
      <w:r>
        <w:t>changes can be understood as the state’s adaptation processes to the evolving circumstances</w:t>
      </w:r>
      <w:r>
        <w:rPr>
          <w:rFonts w:hint="eastAsia"/>
        </w:rPr>
        <w:t xml:space="preserve"> with the shift of the change mode proposed by Mahoney and Thelen (2010)</w:t>
      </w:r>
      <w:r>
        <w:t>.</w:t>
      </w:r>
    </w:p>
    <w:p w14:paraId="6C84883E" w14:textId="77777777" w:rsidR="007D1693" w:rsidRDefault="007D1693" w:rsidP="00971618">
      <w:pPr>
        <w:ind w:firstLine="284"/>
      </w:pPr>
      <w:r>
        <w:rPr>
          <w:rFonts w:hint="eastAsia"/>
        </w:rPr>
        <w:t xml:space="preserve">In the period around the 1985 Regulatory Reform </w:t>
      </w:r>
      <w:r>
        <w:t xml:space="preserve">the </w:t>
      </w:r>
      <w:r>
        <w:rPr>
          <w:rFonts w:hint="eastAsia"/>
        </w:rPr>
        <w:t>major</w:t>
      </w:r>
      <w:r>
        <w:t xml:space="preserve"> protector of the previous system (NTT) did not have or exercise a strong veto power to the decisions by the dominant actor (LDP</w:t>
      </w:r>
      <w:r w:rsidR="005F318E">
        <w:t>: Liberal Democratic Party</w:t>
      </w:r>
      <w:r>
        <w:t xml:space="preserve">). The NTT also did not have discretion to flexibly interpret or enforce existing rules; most of the existing rules were under the supervision of the Diet (party politicians). The mode </w:t>
      </w:r>
      <w:r>
        <w:rPr>
          <w:rFonts w:hint="eastAsia"/>
        </w:rPr>
        <w:t xml:space="preserve">of change </w:t>
      </w:r>
      <w:r>
        <w:t>here can be understood as Mahoney and Thelen’s (2010 p.15) ‘</w:t>
      </w:r>
      <w:r>
        <w:rPr>
          <w:rFonts w:hint="eastAsia"/>
        </w:rPr>
        <w:t>d</w:t>
      </w:r>
      <w:r>
        <w:t>isplacement’: re</w:t>
      </w:r>
      <w:r>
        <w:rPr>
          <w:rFonts w:hint="eastAsia"/>
        </w:rPr>
        <w:t>placing</w:t>
      </w:r>
      <w:r>
        <w:t xml:space="preserve"> the existing rules </w:t>
      </w:r>
      <w:r>
        <w:rPr>
          <w:rFonts w:hint="eastAsia"/>
        </w:rPr>
        <w:t>with</w:t>
      </w:r>
      <w:r>
        <w:t xml:space="preserve"> new one</w:t>
      </w:r>
      <w:r>
        <w:rPr>
          <w:rFonts w:hint="eastAsia"/>
        </w:rPr>
        <w:t>s</w:t>
      </w:r>
      <w:r>
        <w:t xml:space="preserve">. </w:t>
      </w:r>
      <w:r>
        <w:rPr>
          <w:rFonts w:hint="eastAsia"/>
        </w:rPr>
        <w:t xml:space="preserve">In the post 1985 Regulatory Reform period </w:t>
      </w:r>
      <w:r>
        <w:t xml:space="preserve">the emergent MPT/MIC gained significant discretion in interpreting and enforcing the rules as </w:t>
      </w:r>
      <w:r>
        <w:rPr>
          <w:rFonts w:hint="eastAsia"/>
        </w:rPr>
        <w:t>the</w:t>
      </w:r>
      <w:r>
        <w:t xml:space="preserve"> responsible executive ministry (See Table 5.1 in Chapter 5). However, the unchanged dominance of party politicians has </w:t>
      </w:r>
      <w:r>
        <w:rPr>
          <w:rFonts w:hint="eastAsia"/>
        </w:rPr>
        <w:t xml:space="preserve">made the veto power of </w:t>
      </w:r>
      <w:r>
        <w:t>the possible defenders of the institution (MPT, NTT) weak. This situation shifted the mode of institution</w:t>
      </w:r>
      <w:r w:rsidR="00971618">
        <w:t>al change</w:t>
      </w:r>
      <w:r>
        <w:t xml:space="preserve"> to ‘</w:t>
      </w:r>
      <w:r>
        <w:rPr>
          <w:rFonts w:hint="eastAsia"/>
        </w:rPr>
        <w:t>c</w:t>
      </w:r>
      <w:r>
        <w:t>onversion’</w:t>
      </w:r>
      <w:r>
        <w:rPr>
          <w:rFonts w:hint="eastAsia"/>
        </w:rPr>
        <w:t xml:space="preserve">, under which </w:t>
      </w:r>
      <w:r>
        <w:t xml:space="preserve">changing enactment of existing rules </w:t>
      </w:r>
      <w:r w:rsidR="00971618">
        <w:t>alter</w:t>
      </w:r>
      <w:r>
        <w:rPr>
          <w:rFonts w:hint="eastAsia"/>
        </w:rPr>
        <w:t xml:space="preserve"> </w:t>
      </w:r>
      <w:r>
        <w:t>due to their strategic redeployment (Mahoney and Thelen 2010 p.16). Under this mode ICT regulation has retained its approach of employing a government ministry as the regulator.</w:t>
      </w:r>
    </w:p>
    <w:p w14:paraId="336BAB62" w14:textId="0314557C" w:rsidR="007D1693" w:rsidRDefault="007D1693" w:rsidP="005E3B1F">
      <w:pPr>
        <w:ind w:firstLine="284"/>
      </w:pPr>
      <w:r>
        <w:t xml:space="preserve">Antimonopoly regulation has seen a gradual expansion of its independent regulator and the AMA (Antimonopoly Act). The process of the institutional expansion has been piecemeal rather than striking. The 1977 AMA amendment, the first move of substantially enhancing the AMA, did not have a significant impact on the actual law enforcement of the field. Rather, commentators highlight the significance of the SII to Japan’s antimonopoly </w:t>
      </w:r>
      <w:r w:rsidR="00A73FBA">
        <w:t>regulation</w:t>
      </w:r>
      <w:r>
        <w:t xml:space="preserve">. The impact of the SII on Japan’s antimonopoly regime since the 1990s was regarded as significant by both US and Japanese antitrust authorities (Freyer 2006 p.243). Both Japanese and American specialists appraise that since the 1990s Japan’s antimonopoly enforcement has been effective (Freyer 2006 p.243). </w:t>
      </w:r>
      <w:r w:rsidR="00023371">
        <w:t>In summary</w:t>
      </w:r>
      <w:r>
        <w:t xml:space="preserve">, Japan has gradually strengthened antimonopoly regulation since the 1990s. If Mahoney and Thelen’s (2010) model </w:t>
      </w:r>
      <w:r w:rsidR="005E3B1F">
        <w:t>is</w:t>
      </w:r>
      <w:r>
        <w:t xml:space="preserve"> referred to here, with weak veto power and significant discretion of interpretation and enforcement of the JFTC</w:t>
      </w:r>
      <w:r>
        <w:rPr>
          <w:rFonts w:hint="eastAsia"/>
        </w:rPr>
        <w:t xml:space="preserve"> (Fair Trade Commission, Japan)</w:t>
      </w:r>
      <w:r>
        <w:t xml:space="preserve">, antimonopoly regulation between the 1990s and 2000s can be categorised as in the mode of </w:t>
      </w:r>
      <w:r>
        <w:rPr>
          <w:rFonts w:hint="eastAsia"/>
        </w:rPr>
        <w:t>c</w:t>
      </w:r>
      <w:r>
        <w:t>onversion</w:t>
      </w:r>
      <w:r>
        <w:rPr>
          <w:rFonts w:hint="eastAsia"/>
        </w:rPr>
        <w:t xml:space="preserve">, while the period around the 1977 AMA amendment exemplifies the change mode of drift, in which the JFTC had significant discretion of enforcing and </w:t>
      </w:r>
      <w:r>
        <w:t>interpreting</w:t>
      </w:r>
      <w:r>
        <w:rPr>
          <w:rFonts w:hint="eastAsia"/>
        </w:rPr>
        <w:t xml:space="preserve"> the AMA but significantly powerful actors (e.g. </w:t>
      </w:r>
      <w:r w:rsidR="00461083">
        <w:t>some</w:t>
      </w:r>
      <w:r>
        <w:rPr>
          <w:rFonts w:hint="eastAsia"/>
        </w:rPr>
        <w:t xml:space="preserve"> LDP politicians, the MITI</w:t>
      </w:r>
      <w:r w:rsidR="000D2AAB">
        <w:t xml:space="preserve"> (Ministry of International Trade and Industry)</w:t>
      </w:r>
      <w:r>
        <w:rPr>
          <w:rFonts w:hint="eastAsia"/>
        </w:rPr>
        <w:t>, business) compromised enhancing antimonopoly regulation</w:t>
      </w:r>
      <w:r>
        <w:t>.</w:t>
      </w:r>
      <w:r>
        <w:rPr>
          <w:rFonts w:hint="eastAsia"/>
        </w:rPr>
        <w:t xml:space="preserve"> T</w:t>
      </w:r>
      <w:r>
        <w:t>h</w:t>
      </w:r>
      <w:r>
        <w:rPr>
          <w:rFonts w:hint="eastAsia"/>
        </w:rPr>
        <w:t xml:space="preserve">is set of change sequences in both </w:t>
      </w:r>
      <w:r>
        <w:t>cases</w:t>
      </w:r>
      <w:r>
        <w:rPr>
          <w:rFonts w:hint="eastAsia"/>
        </w:rPr>
        <w:t xml:space="preserve"> </w:t>
      </w:r>
      <w:r>
        <w:t>reflects the fluid change of power within the core executive</w:t>
      </w:r>
      <w:r>
        <w:rPr>
          <w:rFonts w:hint="eastAsia"/>
        </w:rPr>
        <w:t xml:space="preserve">. It is the key core executive actors (defenders of the status quo, those in charge of rules) who determine the mode of change. </w:t>
      </w:r>
      <w:r>
        <w:t>T</w:t>
      </w:r>
      <w:r>
        <w:rPr>
          <w:rFonts w:hint="eastAsia"/>
        </w:rPr>
        <w:t xml:space="preserve">he transformative </w:t>
      </w:r>
      <w:r>
        <w:t>processes have</w:t>
      </w:r>
      <w:r>
        <w:rPr>
          <w:rFonts w:hint="eastAsia"/>
        </w:rPr>
        <w:t xml:space="preserve"> been decided by the relative strength of key core executive actors.</w:t>
      </w:r>
    </w:p>
    <w:p w14:paraId="449AA7FE" w14:textId="77777777" w:rsidR="007D1693" w:rsidRPr="000012C4" w:rsidRDefault="007D1693" w:rsidP="007D1693"/>
    <w:p w14:paraId="7C2B897F" w14:textId="77777777" w:rsidR="009519A8" w:rsidRDefault="003B4ABE" w:rsidP="00050D4B">
      <w:pPr>
        <w:pStyle w:val="Heading3"/>
      </w:pPr>
      <w:bookmarkStart w:id="66" w:name="_Toc349741388"/>
      <w:r>
        <w:t>7.2.2</w:t>
      </w:r>
      <w:r>
        <w:tab/>
      </w:r>
      <w:r w:rsidR="00023371">
        <w:t>H</w:t>
      </w:r>
      <w:r w:rsidR="00023371" w:rsidRPr="00EE00E8">
        <w:t xml:space="preserve">ow </w:t>
      </w:r>
      <w:r w:rsidR="007C0666">
        <w:t>h</w:t>
      </w:r>
      <w:r w:rsidR="00023371" w:rsidRPr="00EE00E8">
        <w:t>a</w:t>
      </w:r>
      <w:r w:rsidR="00BD653F">
        <w:rPr>
          <w:rFonts w:hint="eastAsia"/>
        </w:rPr>
        <w:t>s</w:t>
      </w:r>
      <w:r w:rsidR="00023371" w:rsidRPr="00EE00E8">
        <w:t xml:space="preserve"> </w:t>
      </w:r>
      <w:r w:rsidR="007C0666">
        <w:t>t</w:t>
      </w:r>
      <w:r w:rsidR="00BD653F">
        <w:rPr>
          <w:rFonts w:hint="eastAsia"/>
        </w:rPr>
        <w:t xml:space="preserve">he </w:t>
      </w:r>
      <w:r w:rsidR="007C0666">
        <w:t>c</w:t>
      </w:r>
      <w:r w:rsidR="00BD653F">
        <w:rPr>
          <w:rFonts w:hint="eastAsia"/>
        </w:rPr>
        <w:t xml:space="preserve">ore </w:t>
      </w:r>
      <w:r w:rsidR="007C0666">
        <w:t>e</w:t>
      </w:r>
      <w:r w:rsidR="00BD653F">
        <w:rPr>
          <w:rFonts w:hint="eastAsia"/>
        </w:rPr>
        <w:t>xecutive</w:t>
      </w:r>
      <w:r w:rsidR="00023371" w:rsidRPr="00EE00E8">
        <w:t xml:space="preserve"> </w:t>
      </w:r>
      <w:r w:rsidR="007C0666">
        <w:t>b</w:t>
      </w:r>
      <w:r w:rsidR="00023371" w:rsidRPr="00EE00E8">
        <w:t xml:space="preserve">een </w:t>
      </w:r>
      <w:r w:rsidR="007C0666">
        <w:t>s</w:t>
      </w:r>
      <w:r w:rsidR="00023371" w:rsidRPr="00EE00E8">
        <w:t xml:space="preserve">uccessful </w:t>
      </w:r>
      <w:r w:rsidR="007C0666">
        <w:t>i</w:t>
      </w:r>
      <w:r w:rsidR="00023371" w:rsidRPr="00EE00E8">
        <w:t xml:space="preserve">n </w:t>
      </w:r>
      <w:r w:rsidR="007C0666">
        <w:t>i</w:t>
      </w:r>
      <w:r w:rsidR="00023371" w:rsidRPr="00EE00E8">
        <w:t xml:space="preserve">mposing </w:t>
      </w:r>
      <w:r w:rsidR="007C0666">
        <w:t>its</w:t>
      </w:r>
      <w:r w:rsidR="00023371" w:rsidRPr="00EE00E8">
        <w:t xml:space="preserve"> </w:t>
      </w:r>
      <w:r w:rsidR="007C0666">
        <w:t>w</w:t>
      </w:r>
      <w:r w:rsidR="00023371" w:rsidRPr="00EE00E8">
        <w:t xml:space="preserve">ill </w:t>
      </w:r>
      <w:r w:rsidR="007C0666">
        <w:t>o</w:t>
      </w:r>
      <w:r w:rsidR="00023371" w:rsidRPr="00EE00E8">
        <w:t xml:space="preserve">n </w:t>
      </w:r>
      <w:r w:rsidR="007C0666">
        <w:t>r</w:t>
      </w:r>
      <w:r w:rsidR="00023371" w:rsidRPr="00EE00E8">
        <w:t>egulation?</w:t>
      </w:r>
      <w:bookmarkEnd w:id="66"/>
    </w:p>
    <w:p w14:paraId="2D46BF41" w14:textId="77777777" w:rsidR="007D1693" w:rsidRDefault="007D1693" w:rsidP="004951BB">
      <w:r>
        <w:t>In both ICT regulation and antimonopoly regulation</w:t>
      </w:r>
      <w:r w:rsidR="002F09A7">
        <w:t>,</w:t>
      </w:r>
      <w:r>
        <w:t xml:space="preserve"> the group of party politicians (either those outside the Cabinet or Cabinet Ministers) has retained their position as the key decision maker. This has resulted in their dominance to civil servants as well as the core executive’s dominance </w:t>
      </w:r>
      <w:r w:rsidR="00023371">
        <w:t>in the context of state-society relations</w:t>
      </w:r>
      <w:r>
        <w:t>.</w:t>
      </w:r>
    </w:p>
    <w:p w14:paraId="0E23ECAB" w14:textId="3E2026D3" w:rsidR="007D1693" w:rsidRDefault="007D1693" w:rsidP="00FD603A">
      <w:pPr>
        <w:ind w:firstLine="283"/>
      </w:pPr>
      <w:r>
        <w:t xml:space="preserve">The decision making process </w:t>
      </w:r>
      <w:r>
        <w:rPr>
          <w:rFonts w:hint="eastAsia"/>
        </w:rPr>
        <w:t xml:space="preserve">under </w:t>
      </w:r>
      <w:r w:rsidR="00461083">
        <w:t xml:space="preserve">the </w:t>
      </w:r>
      <w:r>
        <w:rPr>
          <w:rFonts w:hint="eastAsia"/>
        </w:rPr>
        <w:t xml:space="preserve">LDP </w:t>
      </w:r>
      <w:r>
        <w:t xml:space="preserve">government </w:t>
      </w:r>
      <w:r>
        <w:rPr>
          <w:rFonts w:hint="eastAsia"/>
        </w:rPr>
        <w:t>was</w:t>
      </w:r>
      <w:r>
        <w:t xml:space="preserve"> dominated by party politicians outside the </w:t>
      </w:r>
      <w:r w:rsidR="00315FA0">
        <w:t>C</w:t>
      </w:r>
      <w:r>
        <w:t>abinet in the 1980s and 1990s. The</w:t>
      </w:r>
      <w:r>
        <w:rPr>
          <w:rFonts w:hint="eastAsia"/>
        </w:rPr>
        <w:t xml:space="preserve">ir </w:t>
      </w:r>
      <w:r>
        <w:t xml:space="preserve">dominant </w:t>
      </w:r>
      <w:r>
        <w:rPr>
          <w:rFonts w:hint="eastAsia"/>
        </w:rPr>
        <w:t xml:space="preserve">position lasted </w:t>
      </w:r>
      <w:r>
        <w:t xml:space="preserve">until the end of </w:t>
      </w:r>
      <w:r w:rsidR="00461083">
        <w:t xml:space="preserve">the </w:t>
      </w:r>
      <w:r>
        <w:t xml:space="preserve">LDP government, although this traditional system was gradually undermined by a set of administrative reforms including </w:t>
      </w:r>
      <w:r>
        <w:rPr>
          <w:rFonts w:hint="eastAsia"/>
        </w:rPr>
        <w:t xml:space="preserve">the </w:t>
      </w:r>
      <w:r>
        <w:t>introduc</w:t>
      </w:r>
      <w:r>
        <w:rPr>
          <w:rFonts w:hint="eastAsia"/>
        </w:rPr>
        <w:t xml:space="preserve">tion of </w:t>
      </w:r>
      <w:r>
        <w:t xml:space="preserve">the </w:t>
      </w:r>
      <w:r w:rsidR="00083ACC">
        <w:rPr>
          <w:i/>
          <w:iCs/>
        </w:rPr>
        <w:t>Seimu Sanyaku</w:t>
      </w:r>
      <w:r>
        <w:t xml:space="preserve"> system. Government change in 2009 ended the dominance of party politicians outside the </w:t>
      </w:r>
      <w:r w:rsidR="00FD603A">
        <w:t>C</w:t>
      </w:r>
      <w:r>
        <w:t>abinet and intensified</w:t>
      </w:r>
      <w:r>
        <w:rPr>
          <w:rFonts w:hint="eastAsia"/>
        </w:rPr>
        <w:t xml:space="preserve"> the influence of </w:t>
      </w:r>
      <w:r>
        <w:t xml:space="preserve">Cabinet Ministers. </w:t>
      </w:r>
      <w:r w:rsidR="00E37E84">
        <w:rPr>
          <w:rFonts w:eastAsia="MS Mincho" w:hint="eastAsia"/>
          <w:lang w:eastAsia="ja-JP"/>
        </w:rPr>
        <w:t xml:space="preserve">This can be understood </w:t>
      </w:r>
      <w:r w:rsidR="00023371">
        <w:rPr>
          <w:rFonts w:eastAsia="MS Mincho"/>
          <w:lang w:eastAsia="ja-JP"/>
        </w:rPr>
        <w:t xml:space="preserve">in terms of the </w:t>
      </w:r>
      <w:r w:rsidR="00E37E84">
        <w:rPr>
          <w:rFonts w:eastAsia="MS Mincho" w:hint="eastAsia"/>
          <w:lang w:eastAsia="ja-JP"/>
        </w:rPr>
        <w:t xml:space="preserve">fluid change of power within the group of party politicians. </w:t>
      </w:r>
      <w:r>
        <w:rPr>
          <w:rFonts w:hint="eastAsia"/>
        </w:rPr>
        <w:t xml:space="preserve">Regulatory approaches have also changed. </w:t>
      </w:r>
      <w:r>
        <w:t xml:space="preserve">ICT regulation has shifted its approach from direct service provision to ex ante regulation to ex post regulation. Antimonopoly regulation has significantly expanded after the SII. The change of approaches </w:t>
      </w:r>
      <w:r w:rsidR="00023371">
        <w:t>ident</w:t>
      </w:r>
      <w:r w:rsidR="001A6F85">
        <w:t>i</w:t>
      </w:r>
      <w:r w:rsidR="00023371">
        <w:t>fie</w:t>
      </w:r>
      <w:r w:rsidR="005D7510">
        <w:t>d</w:t>
      </w:r>
      <w:r w:rsidR="00023371">
        <w:t xml:space="preserve"> above</w:t>
      </w:r>
      <w:r>
        <w:t xml:space="preserve"> is a response to the challenges of the fields as well as the cause of change of power. </w:t>
      </w:r>
      <w:r>
        <w:rPr>
          <w:rFonts w:hint="eastAsia"/>
        </w:rPr>
        <w:t>ICT</w:t>
      </w:r>
      <w:r>
        <w:t xml:space="preserve"> regulation</w:t>
      </w:r>
      <w:r>
        <w:rPr>
          <w:rFonts w:hint="eastAsia"/>
        </w:rPr>
        <w:t xml:space="preserve"> </w:t>
      </w:r>
      <w:r>
        <w:t xml:space="preserve">saw the rapidly growing power of the </w:t>
      </w:r>
      <w:r>
        <w:rPr>
          <w:rFonts w:hint="eastAsia"/>
        </w:rPr>
        <w:t>new regulator (</w:t>
      </w:r>
      <w:r>
        <w:t>MPT</w:t>
      </w:r>
      <w:r>
        <w:rPr>
          <w:rFonts w:hint="eastAsia"/>
        </w:rPr>
        <w:t>)</w:t>
      </w:r>
      <w:r>
        <w:t xml:space="preserve">. </w:t>
      </w:r>
      <w:r w:rsidRPr="002F79E3">
        <w:t xml:space="preserve">The </w:t>
      </w:r>
      <w:r>
        <w:t xml:space="preserve">emergence of this </w:t>
      </w:r>
      <w:r w:rsidRPr="002F79E3">
        <w:t>new regulat</w:t>
      </w:r>
      <w:r>
        <w:t>ory ministry</w:t>
      </w:r>
      <w:r w:rsidRPr="002F79E3">
        <w:t xml:space="preserve"> (MPT/MIC) </w:t>
      </w:r>
      <w:r>
        <w:t xml:space="preserve">took place </w:t>
      </w:r>
      <w:r w:rsidRPr="002F79E3">
        <w:t xml:space="preserve">under the </w:t>
      </w:r>
      <w:r>
        <w:t>supervision</w:t>
      </w:r>
      <w:r w:rsidRPr="002F79E3">
        <w:t xml:space="preserve"> </w:t>
      </w:r>
      <w:r>
        <w:t xml:space="preserve">and steering </w:t>
      </w:r>
      <w:r w:rsidRPr="002F79E3">
        <w:t xml:space="preserve">of party politicians. </w:t>
      </w:r>
      <w:r>
        <w:t>The same can be said about the gradual expansion of the JFTC in terms of its staff and budget. The rise of the bureaucratic machine has happened under the control of party politicians. This can be understood</w:t>
      </w:r>
      <w:r w:rsidR="00023371">
        <w:t xml:space="preserve"> in terms of</w:t>
      </w:r>
      <w:r w:rsidR="00D53108">
        <w:t xml:space="preserve"> </w:t>
      </w:r>
      <w:r>
        <w:t>the core executive expand</w:t>
      </w:r>
      <w:r w:rsidR="00461083">
        <w:t>ing</w:t>
      </w:r>
      <w:r>
        <w:t xml:space="preserve"> </w:t>
      </w:r>
      <w:r w:rsidR="00023371">
        <w:t>its capacity and power</w:t>
      </w:r>
      <w:r>
        <w:t xml:space="preserve"> in </w:t>
      </w:r>
      <w:r w:rsidR="005D7510">
        <w:t>ICT regulation and antimonopoly regulation</w:t>
      </w:r>
      <w:r>
        <w:t xml:space="preserve">. </w:t>
      </w:r>
    </w:p>
    <w:p w14:paraId="133B1D9D" w14:textId="77777777" w:rsidR="007D1693" w:rsidRDefault="000A3108" w:rsidP="000A3108">
      <w:pPr>
        <w:ind w:firstLine="283"/>
      </w:pPr>
      <w:r>
        <w:t xml:space="preserve">The change within the core executive described above </w:t>
      </w:r>
      <w:r w:rsidR="007D1693" w:rsidRPr="002F79E3">
        <w:t>indicates not only the</w:t>
      </w:r>
      <w:r w:rsidR="007D1693" w:rsidRPr="00F0451A">
        <w:t xml:space="preserve"> dominance</w:t>
      </w:r>
      <w:r w:rsidR="007D1693">
        <w:t xml:space="preserve"> of party politicians but also the fact </w:t>
      </w:r>
      <w:r w:rsidR="007D1693">
        <w:rPr>
          <w:rFonts w:hint="eastAsia"/>
        </w:rPr>
        <w:t xml:space="preserve">that </w:t>
      </w:r>
      <w:r w:rsidR="007D1693">
        <w:t xml:space="preserve">the MPT has been transformed under the steering </w:t>
      </w:r>
      <w:r w:rsidR="007D1693">
        <w:rPr>
          <w:rFonts w:hint="eastAsia"/>
        </w:rPr>
        <w:t>of</w:t>
      </w:r>
      <w:r w:rsidR="007D1693">
        <w:t xml:space="preserve"> party politicians.</w:t>
      </w:r>
      <w:r w:rsidR="007D1693">
        <w:rPr>
          <w:rFonts w:hint="eastAsia"/>
        </w:rPr>
        <w:t xml:space="preserve"> What </w:t>
      </w:r>
      <w:r w:rsidR="00023371">
        <w:t>it reveals</w:t>
      </w:r>
      <w:r w:rsidR="007D1693">
        <w:rPr>
          <w:rFonts w:hint="eastAsia"/>
        </w:rPr>
        <w:t xml:space="preserve"> is the emergence </w:t>
      </w:r>
      <w:r w:rsidR="007D1693">
        <w:t xml:space="preserve">(MPT, Cabinet Ministers) </w:t>
      </w:r>
      <w:r w:rsidR="007D1693">
        <w:rPr>
          <w:rFonts w:hint="eastAsia"/>
        </w:rPr>
        <w:t xml:space="preserve">and decline </w:t>
      </w:r>
      <w:r w:rsidR="007D1693">
        <w:t xml:space="preserve">(party politicians outside the Cabinet) </w:t>
      </w:r>
      <w:r w:rsidR="007D1693">
        <w:rPr>
          <w:rFonts w:hint="eastAsia"/>
        </w:rPr>
        <w:t xml:space="preserve">of the major actors within the core executive based on fluid and relational nature of power, depicting the transformation of the state at a macro level. A similar situation emerged in antimonopoly regulation through the change of relative strength between party politicians and the rise of the regulator. A limited number of LDP politicians surrounding LDP Member of the House of Representatives Sadanori Yamanaka dominated the decision making </w:t>
      </w:r>
      <w:r w:rsidR="007D1693">
        <w:t xml:space="preserve">process </w:t>
      </w:r>
      <w:r w:rsidR="007D1693">
        <w:rPr>
          <w:rFonts w:hint="eastAsia"/>
        </w:rPr>
        <w:t xml:space="preserve">of antimonopoly regulation in the 1980s and 1990s. </w:t>
      </w:r>
      <w:r w:rsidR="007D1693">
        <w:t>U</w:t>
      </w:r>
      <w:r w:rsidR="007D1693">
        <w:rPr>
          <w:rFonts w:hint="eastAsia"/>
        </w:rPr>
        <w:t>nder this regime</w:t>
      </w:r>
      <w:r w:rsidR="00A75003">
        <w:t>,</w:t>
      </w:r>
      <w:r w:rsidR="007D1693">
        <w:rPr>
          <w:rFonts w:hint="eastAsia"/>
        </w:rPr>
        <w:t xml:space="preserve"> s</w:t>
      </w:r>
      <w:r w:rsidR="007D1693">
        <w:t>ignificant turning points were brought by the SII (1989-90) a</w:t>
      </w:r>
      <w:r w:rsidR="00461083">
        <w:t>long with</w:t>
      </w:r>
      <w:r w:rsidR="007D1693">
        <w:t xml:space="preserve"> the emergence of t</w:t>
      </w:r>
      <w:r w:rsidR="007D1693">
        <w:rPr>
          <w:rFonts w:hint="eastAsia"/>
        </w:rPr>
        <w:t>he Koizumi Cabinet (2001-06)</w:t>
      </w:r>
      <w:r w:rsidR="007D1693">
        <w:t>. This set of events contributed to the</w:t>
      </w:r>
      <w:r w:rsidR="007D1693">
        <w:rPr>
          <w:rFonts w:hint="eastAsia"/>
        </w:rPr>
        <w:t xml:space="preserve"> development of the state capacity in antimonopoly regulation. </w:t>
      </w:r>
      <w:r w:rsidR="007D1693">
        <w:t>T</w:t>
      </w:r>
      <w:r w:rsidR="007D1693">
        <w:rPr>
          <w:rFonts w:hint="eastAsia"/>
        </w:rPr>
        <w:t>he bureaucratic machine of the JFTC has been significantly enhanced in terms of its budget and staff.</w:t>
      </w:r>
    </w:p>
    <w:p w14:paraId="5DEBBA12" w14:textId="77777777" w:rsidR="007D1693" w:rsidRDefault="00CF2386" w:rsidP="00EA272D">
      <w:pPr>
        <w:ind w:firstLine="283"/>
        <w:rPr>
          <w:lang w:eastAsia="ja-JP"/>
        </w:rPr>
      </w:pPr>
      <w:r>
        <w:t>G</w:t>
      </w:r>
      <w:r w:rsidR="007D1693">
        <w:rPr>
          <w:rFonts w:hint="eastAsia"/>
        </w:rPr>
        <w:t xml:space="preserve">overnment change from the LDP to the DPJ </w:t>
      </w:r>
      <w:r w:rsidR="005F318E">
        <w:t xml:space="preserve">(Democratic Party of Japan) </w:t>
      </w:r>
      <w:r w:rsidR="007D1693">
        <w:rPr>
          <w:rFonts w:hint="eastAsia"/>
        </w:rPr>
        <w:t>in 2009</w:t>
      </w:r>
      <w:r w:rsidR="007D1693">
        <w:t xml:space="preserve"> transformed party politicians’ approach and </w:t>
      </w:r>
      <w:r w:rsidR="007D7549">
        <w:t xml:space="preserve">highlighted </w:t>
      </w:r>
      <w:r w:rsidR="007D1693">
        <w:t xml:space="preserve">the power of </w:t>
      </w:r>
      <w:r w:rsidR="00461083">
        <w:t xml:space="preserve">the </w:t>
      </w:r>
      <w:r w:rsidR="007D1693">
        <w:t>Cabinet Minister. It</w:t>
      </w:r>
      <w:r w:rsidR="007D1693" w:rsidRPr="001D458E">
        <w:t xml:space="preserve"> exacerbated th</w:t>
      </w:r>
      <w:r w:rsidR="00062A84">
        <w:t>e</w:t>
      </w:r>
      <w:r w:rsidR="007D1693" w:rsidRPr="001D458E">
        <w:t xml:space="preserve"> internal change of party politicia</w:t>
      </w:r>
      <w:r w:rsidR="007D1693">
        <w:t>ns by eradicating those outside the Cabinet</w:t>
      </w:r>
      <w:r w:rsidR="007D1693" w:rsidRPr="001D458E">
        <w:t xml:space="preserve"> but within the ruling party in Japanese politics</w:t>
      </w:r>
      <w:r w:rsidR="007D1693" w:rsidRPr="001D458E">
        <w:rPr>
          <w:rFonts w:hint="eastAsia"/>
        </w:rPr>
        <w:t>.</w:t>
      </w:r>
      <w:r w:rsidR="007D1693" w:rsidRPr="001D458E">
        <w:t xml:space="preserve"> </w:t>
      </w:r>
      <w:r w:rsidR="007D1693" w:rsidRPr="001D458E">
        <w:rPr>
          <w:rFonts w:hint="eastAsia"/>
        </w:rPr>
        <w:t>Yet</w:t>
      </w:r>
      <w:r w:rsidR="007D1693" w:rsidRPr="001D458E">
        <w:t xml:space="preserve"> this gap </w:t>
      </w:r>
      <w:r w:rsidR="007D7549">
        <w:t>was not</w:t>
      </w:r>
      <w:r w:rsidR="007D1693" w:rsidRPr="001D458E">
        <w:t xml:space="preserve"> filled by other actors</w:t>
      </w:r>
      <w:r w:rsidR="007D1693" w:rsidRPr="001D458E">
        <w:rPr>
          <w:rFonts w:hint="eastAsia"/>
        </w:rPr>
        <w:t xml:space="preserve"> such as Cabinet Ministers</w:t>
      </w:r>
      <w:r w:rsidR="007D1693" w:rsidRPr="001D458E">
        <w:t>. What emerged is a power vacuum; while party politicians reorganis</w:t>
      </w:r>
      <w:r w:rsidR="007D7549">
        <w:t>ed</w:t>
      </w:r>
      <w:r w:rsidR="007D1693" w:rsidRPr="001D458E">
        <w:t xml:space="preserve"> their </w:t>
      </w:r>
      <w:r w:rsidR="007D1693" w:rsidRPr="001D458E">
        <w:rPr>
          <w:rFonts w:hint="eastAsia"/>
        </w:rPr>
        <w:t>internal structure</w:t>
      </w:r>
      <w:r w:rsidR="007D1693" w:rsidRPr="001D458E">
        <w:t>, civil servants and private sector</w:t>
      </w:r>
      <w:r w:rsidR="007D1693" w:rsidRPr="001D458E">
        <w:rPr>
          <w:rFonts w:hint="eastAsia"/>
        </w:rPr>
        <w:t xml:space="preserve"> actor</w:t>
      </w:r>
      <w:r w:rsidR="007D1693" w:rsidRPr="001D458E">
        <w:t xml:space="preserve">s </w:t>
      </w:r>
      <w:r w:rsidR="007D7549">
        <w:t>did</w:t>
      </w:r>
      <w:r w:rsidR="007D1693" w:rsidRPr="001D458E">
        <w:t xml:space="preserve"> not fill the gap created by this change among party politicians.</w:t>
      </w:r>
      <w:r w:rsidR="007D1693">
        <w:t xml:space="preserve"> </w:t>
      </w:r>
      <w:r w:rsidR="007D1693" w:rsidRPr="001D458E">
        <w:t xml:space="preserve">The internal change of the LDP had a significant impact on the decision making mechanism within party politicians, but this </w:t>
      </w:r>
      <w:r w:rsidR="007D7549">
        <w:t>did</w:t>
      </w:r>
      <w:r w:rsidR="007D1693" w:rsidRPr="001D458E">
        <w:t xml:space="preserve"> not change the relative strength of party politicians as a whole to their bureaucratic and private sector counterparts. </w:t>
      </w:r>
      <w:r w:rsidR="007D1693">
        <w:t>T</w:t>
      </w:r>
      <w:r w:rsidR="007D1693">
        <w:rPr>
          <w:rFonts w:hint="eastAsia"/>
        </w:rPr>
        <w:t xml:space="preserve">he </w:t>
      </w:r>
      <w:r w:rsidR="007D1693">
        <w:t>change caused by</w:t>
      </w:r>
      <w:r w:rsidR="007D1693">
        <w:rPr>
          <w:rFonts w:hint="eastAsia"/>
        </w:rPr>
        <w:t xml:space="preserve"> </w:t>
      </w:r>
      <w:r w:rsidR="00A75003">
        <w:t xml:space="preserve">the </w:t>
      </w:r>
      <w:r w:rsidR="001A6F85">
        <w:t>introduction</w:t>
      </w:r>
      <w:r w:rsidR="00A75003">
        <w:t xml:space="preserve"> of a new </w:t>
      </w:r>
      <w:r w:rsidR="007D1693">
        <w:rPr>
          <w:rFonts w:hint="eastAsia"/>
        </w:rPr>
        <w:t xml:space="preserve">government in 2009 on the relationship between party politicians and civil servants </w:t>
      </w:r>
      <w:r w:rsidR="007D7549">
        <w:t>was</w:t>
      </w:r>
      <w:r w:rsidR="007D1693">
        <w:t xml:space="preserve"> ongoing</w:t>
      </w:r>
      <w:r w:rsidR="007D7549">
        <w:t xml:space="preserve"> during the interview</w:t>
      </w:r>
      <w:r w:rsidR="00461083">
        <w:t>s</w:t>
      </w:r>
      <w:r w:rsidR="007D7549">
        <w:t xml:space="preserve"> of this thesis in 2011, and needs further research and debate</w:t>
      </w:r>
      <w:r w:rsidR="007D1693">
        <w:rPr>
          <w:rFonts w:hint="eastAsia"/>
        </w:rPr>
        <w:t>.</w:t>
      </w:r>
      <w:r w:rsidR="00324C21">
        <w:rPr>
          <w:rFonts w:hint="eastAsia"/>
          <w:lang w:eastAsia="ja-JP"/>
        </w:rPr>
        <w:t xml:space="preserve"> Recent government change in 2012 from the DPJ to the LDP offers an opportunity to </w:t>
      </w:r>
      <w:r w:rsidR="00EA272D">
        <w:rPr>
          <w:lang w:eastAsia="ja-JP"/>
        </w:rPr>
        <w:t xml:space="preserve">collectively </w:t>
      </w:r>
      <w:r w:rsidR="00324C21">
        <w:rPr>
          <w:rFonts w:hint="eastAsia"/>
          <w:lang w:eastAsia="ja-JP"/>
        </w:rPr>
        <w:t xml:space="preserve">examine </w:t>
      </w:r>
      <w:r w:rsidR="00EA272D">
        <w:rPr>
          <w:lang w:eastAsia="ja-JP"/>
        </w:rPr>
        <w:t xml:space="preserve">the </w:t>
      </w:r>
      <w:r w:rsidR="00324C21">
        <w:rPr>
          <w:rFonts w:hint="eastAsia"/>
          <w:lang w:eastAsia="ja-JP"/>
        </w:rPr>
        <w:t>impact of the DPJ government to Japan</w:t>
      </w:r>
      <w:r w:rsidR="00324C21">
        <w:rPr>
          <w:lang w:eastAsia="ja-JP"/>
        </w:rPr>
        <w:t>’</w:t>
      </w:r>
      <w:r w:rsidR="00324C21">
        <w:rPr>
          <w:rFonts w:hint="eastAsia"/>
          <w:lang w:eastAsia="ja-JP"/>
        </w:rPr>
        <w:t xml:space="preserve">s </w:t>
      </w:r>
      <w:r w:rsidR="00324C21">
        <w:rPr>
          <w:lang w:eastAsia="ja-JP"/>
        </w:rPr>
        <w:t>governing</w:t>
      </w:r>
      <w:r w:rsidR="00324C21">
        <w:rPr>
          <w:rFonts w:hint="eastAsia"/>
          <w:lang w:eastAsia="ja-JP"/>
        </w:rPr>
        <w:t xml:space="preserve"> system.</w:t>
      </w:r>
    </w:p>
    <w:p w14:paraId="374E1A8F" w14:textId="77777777" w:rsidR="007D1693" w:rsidRPr="001D458E" w:rsidRDefault="007D1693" w:rsidP="0006668F">
      <w:pPr>
        <w:ind w:firstLine="283"/>
      </w:pPr>
      <w:r w:rsidRPr="001D458E">
        <w:t xml:space="preserve">In drawing the analyses together, </w:t>
      </w:r>
      <w:r>
        <w:t>in both ICT regulation and antimonopoly regulation between the 1980s and 2000s</w:t>
      </w:r>
      <w:r w:rsidRPr="001D458E">
        <w:t xml:space="preserve">, </w:t>
      </w:r>
      <w:r w:rsidR="00810759">
        <w:rPr>
          <w:rFonts w:eastAsia="MS Mincho" w:hint="eastAsia"/>
          <w:lang w:eastAsia="ja-JP"/>
        </w:rPr>
        <w:t xml:space="preserve">the fluid and relational change of power took place between the core executive actors. </w:t>
      </w:r>
      <w:r w:rsidR="00CD7C32">
        <w:t xml:space="preserve">With the change, the core executive has retained control over ICT regulation and antimonopoly regulation. The control was asymmetrical because the </w:t>
      </w:r>
      <w:r w:rsidR="0006668F">
        <w:t xml:space="preserve">core executive actors </w:t>
      </w:r>
      <w:r w:rsidR="00CD7C32">
        <w:t>ha</w:t>
      </w:r>
      <w:r w:rsidR="0006668F">
        <w:t>ve</w:t>
      </w:r>
      <w:r w:rsidR="00CD7C32">
        <w:t xml:space="preserve"> held</w:t>
      </w:r>
      <w:r w:rsidR="0006668F">
        <w:t xml:space="preserve"> power and dominated the sectors, while other actors have not had power to counter the core executive’s dominance</w:t>
      </w:r>
      <w:r w:rsidR="00CD7C32">
        <w:t xml:space="preserve">.  </w:t>
      </w:r>
    </w:p>
    <w:p w14:paraId="4A5DA781" w14:textId="77777777" w:rsidR="007D1693" w:rsidRDefault="007D1693" w:rsidP="007D1693"/>
    <w:p w14:paraId="05EFEB9D" w14:textId="77777777" w:rsidR="007D1693" w:rsidRDefault="001A6F85" w:rsidP="00050D4B">
      <w:pPr>
        <w:pStyle w:val="Heading3"/>
      </w:pPr>
      <w:bookmarkStart w:id="67" w:name="_Toc349741389"/>
      <w:r>
        <w:t>7.2.3</w:t>
      </w:r>
      <w:r>
        <w:tab/>
      </w:r>
      <w:r w:rsidR="00A75003">
        <w:t>H</w:t>
      </w:r>
      <w:r w:rsidR="00A75003" w:rsidRPr="00EE00E8">
        <w:t xml:space="preserve">ow </w:t>
      </w:r>
      <w:r>
        <w:t>h</w:t>
      </w:r>
      <w:r w:rsidR="00A75003" w:rsidRPr="00EE00E8">
        <w:t xml:space="preserve">ave </w:t>
      </w:r>
      <w:r w:rsidR="007D1693" w:rsidRPr="00EE00E8">
        <w:t xml:space="preserve">Japan’s </w:t>
      </w:r>
      <w:r>
        <w:t>m</w:t>
      </w:r>
      <w:r w:rsidR="00A75003" w:rsidRPr="00EE00E8">
        <w:t xml:space="preserve">inistries </w:t>
      </w:r>
      <w:r>
        <w:t>s</w:t>
      </w:r>
      <w:r w:rsidR="00A75003" w:rsidRPr="00EE00E8">
        <w:t xml:space="preserve">haped </w:t>
      </w:r>
      <w:r w:rsidR="00461083">
        <w:t>the</w:t>
      </w:r>
      <w:r w:rsidR="00A75003" w:rsidRPr="00EE00E8">
        <w:t xml:space="preserve"> </w:t>
      </w:r>
      <w:r>
        <w:t>o</w:t>
      </w:r>
      <w:r w:rsidR="00A75003" w:rsidRPr="00EE00E8">
        <w:t xml:space="preserve">rganisational </w:t>
      </w:r>
      <w:r>
        <w:t>d</w:t>
      </w:r>
      <w:r w:rsidR="00A75003" w:rsidRPr="00EE00E8">
        <w:t xml:space="preserve">esign </w:t>
      </w:r>
      <w:r>
        <w:t>o</w:t>
      </w:r>
      <w:r w:rsidR="00A75003" w:rsidRPr="00EE00E8">
        <w:t xml:space="preserve">f </w:t>
      </w:r>
      <w:r>
        <w:t>r</w:t>
      </w:r>
      <w:r w:rsidR="00A75003" w:rsidRPr="00EE00E8">
        <w:t xml:space="preserve">egulatory </w:t>
      </w:r>
      <w:r>
        <w:t>f</w:t>
      </w:r>
      <w:r w:rsidR="00A75003" w:rsidRPr="00EE00E8">
        <w:t>unctions?</w:t>
      </w:r>
      <w:bookmarkEnd w:id="67"/>
    </w:p>
    <w:p w14:paraId="602EA127" w14:textId="77777777" w:rsidR="00461083" w:rsidRDefault="007D1693" w:rsidP="007A3609">
      <w:r>
        <w:rPr>
          <w:rFonts w:hint="eastAsia"/>
        </w:rPr>
        <w:t xml:space="preserve">The difference between ICT regulation and antimonopoly regulation is highlighted by the third research question </w:t>
      </w:r>
      <w:r>
        <w:t xml:space="preserve">through </w:t>
      </w:r>
      <w:r>
        <w:rPr>
          <w:rFonts w:hint="eastAsia"/>
        </w:rPr>
        <w:t>explor</w:t>
      </w:r>
      <w:r>
        <w:t>ing</w:t>
      </w:r>
      <w:r>
        <w:rPr>
          <w:rFonts w:hint="eastAsia"/>
        </w:rPr>
        <w:t xml:space="preserve"> the </w:t>
      </w:r>
      <w:r>
        <w:t>issue</w:t>
      </w:r>
      <w:r>
        <w:rPr>
          <w:rFonts w:hint="eastAsia"/>
        </w:rPr>
        <w:t xml:space="preserve"> of an independent regulator. </w:t>
      </w:r>
      <w:r>
        <w:t>T</w:t>
      </w:r>
      <w:r>
        <w:rPr>
          <w:rFonts w:hint="eastAsia"/>
        </w:rPr>
        <w:t xml:space="preserve">here is a striking contrast between ICT regulation (a ministerial regulator) and antimonopoly regulation (an independent administrative </w:t>
      </w:r>
      <w:r>
        <w:t>comm</w:t>
      </w:r>
      <w:r>
        <w:rPr>
          <w:rFonts w:hint="eastAsia"/>
        </w:rPr>
        <w:t>ission)</w:t>
      </w:r>
      <w:r>
        <w:t xml:space="preserve"> on this topic</w:t>
      </w:r>
      <w:r>
        <w:rPr>
          <w:rFonts w:hint="eastAsia"/>
        </w:rPr>
        <w:t>. In ICT regulation, t</w:t>
      </w:r>
      <w:r>
        <w:t xml:space="preserve">he abolition of </w:t>
      </w:r>
      <w:r w:rsidR="00810759">
        <w:rPr>
          <w:rFonts w:eastAsia="MS Mincho" w:hint="eastAsia"/>
          <w:lang w:eastAsia="ja-JP"/>
        </w:rPr>
        <w:t xml:space="preserve">a </w:t>
      </w:r>
      <w:r>
        <w:t xml:space="preserve">US style independent </w:t>
      </w:r>
      <w:r w:rsidR="00810759">
        <w:rPr>
          <w:rFonts w:eastAsia="MS Mincho" w:hint="eastAsia"/>
          <w:lang w:eastAsia="ja-JP"/>
        </w:rPr>
        <w:t xml:space="preserve">administrative </w:t>
      </w:r>
      <w:r>
        <w:t xml:space="preserve">commission </w:t>
      </w:r>
      <w:r>
        <w:rPr>
          <w:rFonts w:hint="eastAsia"/>
        </w:rPr>
        <w:t>in radio regulation in 1952 significantly impacted on</w:t>
      </w:r>
      <w:r>
        <w:t xml:space="preserve"> the core executive’s perspective </w:t>
      </w:r>
      <w:r w:rsidR="007F0552">
        <w:t>on</w:t>
      </w:r>
      <w:r>
        <w:t xml:space="preserve"> </w:t>
      </w:r>
      <w:r>
        <w:rPr>
          <w:rFonts w:hint="eastAsia"/>
        </w:rPr>
        <w:t xml:space="preserve">having an </w:t>
      </w:r>
      <w:r>
        <w:t xml:space="preserve">independent </w:t>
      </w:r>
      <w:r>
        <w:rPr>
          <w:rFonts w:hint="eastAsia"/>
        </w:rPr>
        <w:t xml:space="preserve">ICT </w:t>
      </w:r>
      <w:r>
        <w:t>regulator</w:t>
      </w:r>
      <w:r>
        <w:rPr>
          <w:rFonts w:hint="eastAsia"/>
        </w:rPr>
        <w:t xml:space="preserve">, shaping a </w:t>
      </w:r>
      <w:r>
        <w:t xml:space="preserve">self-reinforcing </w:t>
      </w:r>
      <w:r>
        <w:rPr>
          <w:rFonts w:hint="eastAsia"/>
        </w:rPr>
        <w:t xml:space="preserve">path dependent sequence </w:t>
      </w:r>
      <w:r>
        <w:t xml:space="preserve">of </w:t>
      </w:r>
      <w:r>
        <w:rPr>
          <w:rFonts w:hint="eastAsia"/>
        </w:rPr>
        <w:t>retaining the ministerial regulation</w:t>
      </w:r>
      <w:r>
        <w:t xml:space="preserve">. The institutional </w:t>
      </w:r>
      <w:r>
        <w:rPr>
          <w:rFonts w:hint="eastAsia"/>
        </w:rPr>
        <w:t>characteristics</w:t>
      </w:r>
      <w:r>
        <w:t xml:space="preserve"> </w:t>
      </w:r>
      <w:r>
        <w:rPr>
          <w:rFonts w:hint="eastAsia"/>
        </w:rPr>
        <w:t>such as</w:t>
      </w:r>
      <w:r>
        <w:t xml:space="preserve"> the constitutional framework and the inflexible nature of Japanese law also </w:t>
      </w:r>
      <w:r>
        <w:rPr>
          <w:rFonts w:hint="eastAsia"/>
        </w:rPr>
        <w:t xml:space="preserve">contributed to </w:t>
      </w:r>
      <w:r>
        <w:t xml:space="preserve">this </w:t>
      </w:r>
      <w:r w:rsidR="00A75003">
        <w:t>process</w:t>
      </w:r>
      <w:r>
        <w:rPr>
          <w:rFonts w:hint="eastAsia"/>
        </w:rPr>
        <w:t xml:space="preserve">; the constitution requires </w:t>
      </w:r>
      <w:r>
        <w:t xml:space="preserve">all executive organisations </w:t>
      </w:r>
      <w:r>
        <w:rPr>
          <w:rFonts w:hint="eastAsia"/>
        </w:rPr>
        <w:t xml:space="preserve">to be </w:t>
      </w:r>
      <w:r>
        <w:t>under the supervision of the Cabinet</w:t>
      </w:r>
      <w:r>
        <w:rPr>
          <w:rFonts w:hint="eastAsia"/>
        </w:rPr>
        <w:t>; the inflexible interpretation of existing laws limits the possibility of the executive branch making policies within its own jurisdiction and requires frequent consultations to the Diet through law amendments</w:t>
      </w:r>
      <w:r>
        <w:t xml:space="preserve">. </w:t>
      </w:r>
      <w:r>
        <w:rPr>
          <w:rFonts w:hint="eastAsia"/>
        </w:rPr>
        <w:t xml:space="preserve">Establishing an independent ICT regulator </w:t>
      </w:r>
      <w:r w:rsidR="00461083">
        <w:t xml:space="preserve">also </w:t>
      </w:r>
      <w:r>
        <w:rPr>
          <w:rFonts w:hint="eastAsia"/>
        </w:rPr>
        <w:t xml:space="preserve">does not </w:t>
      </w:r>
      <w:r w:rsidR="00C41B26">
        <w:t>offer</w:t>
      </w:r>
      <w:r>
        <w:rPr>
          <w:rFonts w:hint="eastAsia"/>
        </w:rPr>
        <w:t xml:space="preserve"> a </w:t>
      </w:r>
      <w:r>
        <w:t>clear benefit</w:t>
      </w:r>
      <w:r>
        <w:rPr>
          <w:rFonts w:hint="eastAsia"/>
        </w:rPr>
        <w:t xml:space="preserve"> to the core executive</w:t>
      </w:r>
      <w:r>
        <w:t xml:space="preserve">. A </w:t>
      </w:r>
      <w:r w:rsidR="00A75003">
        <w:t xml:space="preserve">number </w:t>
      </w:r>
      <w:r>
        <w:t xml:space="preserve">of </w:t>
      </w:r>
      <w:r>
        <w:rPr>
          <w:rFonts w:hint="eastAsia"/>
        </w:rPr>
        <w:t>interviewees revealed their concern that independent regulation c</w:t>
      </w:r>
      <w:r w:rsidR="00BD734D">
        <w:t>ould</w:t>
      </w:r>
      <w:r>
        <w:rPr>
          <w:rFonts w:hint="eastAsia"/>
        </w:rPr>
        <w:t xml:space="preserve"> </w:t>
      </w:r>
      <w:r>
        <w:t>jeopardise</w:t>
      </w:r>
      <w:r>
        <w:rPr>
          <w:rFonts w:hint="eastAsia"/>
        </w:rPr>
        <w:t xml:space="preserve"> a close interaction between regulation and industry promotion, including the information </w:t>
      </w:r>
      <w:r>
        <w:t>sharing</w:t>
      </w:r>
      <w:r>
        <w:rPr>
          <w:rFonts w:hint="eastAsia"/>
        </w:rPr>
        <w:t xml:space="preserve"> </w:t>
      </w:r>
      <w:r w:rsidR="00D750DE">
        <w:t>on</w:t>
      </w:r>
      <w:r>
        <w:rPr>
          <w:rFonts w:hint="eastAsia"/>
        </w:rPr>
        <w:t xml:space="preserve"> technological development. What emerges from the views</w:t>
      </w:r>
      <w:r w:rsidR="00A75003">
        <w:t xml:space="preserve"> of those</w:t>
      </w:r>
      <w:r>
        <w:rPr>
          <w:rFonts w:hint="eastAsia"/>
        </w:rPr>
        <w:t xml:space="preserve"> </w:t>
      </w:r>
      <w:r w:rsidR="00A75003">
        <w:rPr>
          <w:rFonts w:hint="eastAsia"/>
        </w:rPr>
        <w:t>oppos</w:t>
      </w:r>
      <w:r w:rsidR="00A75003">
        <w:t>ed to the creation of</w:t>
      </w:r>
      <w:r>
        <w:rPr>
          <w:rFonts w:hint="eastAsia"/>
        </w:rPr>
        <w:t xml:space="preserve"> an independent ICT regulator </w:t>
      </w:r>
      <w:r w:rsidR="007A3609">
        <w:t>is</w:t>
      </w:r>
      <w:r>
        <w:rPr>
          <w:rFonts w:hint="eastAsia"/>
        </w:rPr>
        <w:t xml:space="preserve"> an established political context, which started from an initial decision that the regulatory functions </w:t>
      </w:r>
      <w:r w:rsidR="007A3609">
        <w:t>be</w:t>
      </w:r>
      <w:r>
        <w:rPr>
          <w:rFonts w:hint="eastAsia"/>
        </w:rPr>
        <w:t xml:space="preserve"> retained within the MPT. </w:t>
      </w:r>
    </w:p>
    <w:p w14:paraId="77E93B11" w14:textId="77777777" w:rsidR="007D1693" w:rsidRDefault="007D1693" w:rsidP="005B18BE">
      <w:pPr>
        <w:ind w:firstLine="284"/>
      </w:pPr>
      <w:r>
        <w:rPr>
          <w:rFonts w:hint="eastAsia"/>
        </w:rPr>
        <w:t xml:space="preserve">A similar pattern can be found in the case of antimonopoly regulation. </w:t>
      </w:r>
      <w:r>
        <w:t>A</w:t>
      </w:r>
      <w:r>
        <w:rPr>
          <w:rFonts w:hint="eastAsia"/>
        </w:rPr>
        <w:t xml:space="preserve">ntimonopoly regulation was newly introduced </w:t>
      </w:r>
      <w:r>
        <w:t>in 1947</w:t>
      </w:r>
      <w:r>
        <w:rPr>
          <w:rFonts w:hint="eastAsia"/>
        </w:rPr>
        <w:t>. This contingent fact</w:t>
      </w:r>
      <w:r w:rsidR="00A75003">
        <w:t xml:space="preserve">or ensured that </w:t>
      </w:r>
      <w:r>
        <w:rPr>
          <w:rFonts w:hint="eastAsia"/>
        </w:rPr>
        <w:t>the JFTC</w:t>
      </w:r>
      <w:r w:rsidR="00A75003">
        <w:t xml:space="preserve"> remained</w:t>
      </w:r>
      <w:r>
        <w:rPr>
          <w:rFonts w:hint="eastAsia"/>
        </w:rPr>
        <w:t xml:space="preserve"> independent; no government organisation </w:t>
      </w:r>
      <w:r w:rsidR="006458DF">
        <w:t xml:space="preserve">had an experience on antimonopoly regulation and </w:t>
      </w:r>
      <w:r>
        <w:rPr>
          <w:rFonts w:hint="eastAsia"/>
        </w:rPr>
        <w:t>was willing to take over the JFTC</w:t>
      </w:r>
      <w:r>
        <w:t>’</w:t>
      </w:r>
      <w:r>
        <w:rPr>
          <w:rFonts w:hint="eastAsia"/>
        </w:rPr>
        <w:t>s responsibility. What ha</w:t>
      </w:r>
      <w:r w:rsidR="00461083">
        <w:t>s</w:t>
      </w:r>
      <w:r>
        <w:rPr>
          <w:rFonts w:hint="eastAsia"/>
        </w:rPr>
        <w:t xml:space="preserve"> appeared in these </w:t>
      </w:r>
      <w:r>
        <w:t>case</w:t>
      </w:r>
      <w:r>
        <w:rPr>
          <w:rFonts w:hint="eastAsia"/>
        </w:rPr>
        <w:t xml:space="preserve">s </w:t>
      </w:r>
      <w:r w:rsidR="00461083">
        <w:t>is</w:t>
      </w:r>
      <w:r>
        <w:rPr>
          <w:rFonts w:hint="eastAsia"/>
        </w:rPr>
        <w:t xml:space="preserve"> </w:t>
      </w:r>
      <w:r w:rsidR="004C334A">
        <w:t xml:space="preserve">a set of </w:t>
      </w:r>
      <w:r>
        <w:t xml:space="preserve">self-reinforcing </w:t>
      </w:r>
      <w:r>
        <w:rPr>
          <w:rFonts w:hint="eastAsia"/>
        </w:rPr>
        <w:t xml:space="preserve">path dependent </w:t>
      </w:r>
      <w:r w:rsidR="004C334A">
        <w:t>dynamics</w:t>
      </w:r>
      <w:r>
        <w:rPr>
          <w:rFonts w:hint="eastAsia"/>
        </w:rPr>
        <w:t>. The sequence of events w</w:t>
      </w:r>
      <w:r w:rsidR="00461083">
        <w:t>as</w:t>
      </w:r>
      <w:r>
        <w:rPr>
          <w:rFonts w:hint="eastAsia"/>
        </w:rPr>
        <w:t xml:space="preserve"> determined by the initial contingent events. The chosen paths have been </w:t>
      </w:r>
      <w:r>
        <w:t>persistent</w:t>
      </w:r>
      <w:r>
        <w:rPr>
          <w:rFonts w:hint="eastAsia"/>
        </w:rPr>
        <w:t xml:space="preserve">; in both cases, no substantial institutional change </w:t>
      </w:r>
      <w:r>
        <w:t>occurred</w:t>
      </w:r>
      <w:r>
        <w:rPr>
          <w:rFonts w:hint="eastAsia"/>
        </w:rPr>
        <w:t xml:space="preserve"> after the initial contingent events (ICT regulation: 1985 regulatory reform, Antimonopoly regulation: </w:t>
      </w:r>
      <w:r>
        <w:t>establishment</w:t>
      </w:r>
      <w:r>
        <w:rPr>
          <w:rFonts w:hint="eastAsia"/>
        </w:rPr>
        <w:t xml:space="preserve"> of the JFTC in 1947). The </w:t>
      </w:r>
      <w:r>
        <w:t>circumstantial</w:t>
      </w:r>
      <w:r>
        <w:rPr>
          <w:rFonts w:hint="eastAsia"/>
        </w:rPr>
        <w:t xml:space="preserve"> change in antimonopoly regulation may be creating the potential </w:t>
      </w:r>
      <w:r w:rsidR="004C334A">
        <w:t>for</w:t>
      </w:r>
      <w:r w:rsidR="004C334A">
        <w:rPr>
          <w:rFonts w:hint="eastAsia"/>
        </w:rPr>
        <w:t xml:space="preserve"> </w:t>
      </w:r>
      <w:r>
        <w:rPr>
          <w:rFonts w:hint="eastAsia"/>
        </w:rPr>
        <w:t xml:space="preserve">future change; the frequent law amendments do not suit the </w:t>
      </w:r>
      <w:r w:rsidR="004040CD">
        <w:t xml:space="preserve">institutional framework of an </w:t>
      </w:r>
      <w:r>
        <w:rPr>
          <w:rFonts w:hint="eastAsia"/>
        </w:rPr>
        <w:t>independent administrative commission</w:t>
      </w:r>
      <w:r w:rsidR="004040CD">
        <w:t xml:space="preserve">, because </w:t>
      </w:r>
      <w:r w:rsidR="008351EC">
        <w:t>being</w:t>
      </w:r>
      <w:r w:rsidR="004040CD">
        <w:t xml:space="preserve"> independent of politic</w:t>
      </w:r>
      <w:r w:rsidR="008351EC">
        <w:t xml:space="preserve">s can be an obstacle for policymaking issues such as </w:t>
      </w:r>
      <w:r w:rsidR="00893C9B">
        <w:t>legislation, wh</w:t>
      </w:r>
      <w:r w:rsidR="008351EC">
        <w:t>ose process requires a significant extent of political coordination</w:t>
      </w:r>
      <w:r>
        <w:rPr>
          <w:rFonts w:hint="eastAsia"/>
        </w:rPr>
        <w:t xml:space="preserve">. Strengthening the AMA and the JFTC could undermine the previous system by </w:t>
      </w:r>
      <w:r w:rsidR="008351EC">
        <w:t>increasing</w:t>
      </w:r>
      <w:r>
        <w:rPr>
          <w:rFonts w:hint="eastAsia"/>
        </w:rPr>
        <w:t xml:space="preserve"> contact to politics through more frequent law amendments.</w:t>
      </w:r>
    </w:p>
    <w:p w14:paraId="498BFC94" w14:textId="77777777" w:rsidR="007D1693" w:rsidRPr="001D458E" w:rsidRDefault="007D1693" w:rsidP="001171EA">
      <w:pPr>
        <w:ind w:firstLineChars="122" w:firstLine="277"/>
        <w:rPr>
          <w:lang w:eastAsia="ja-JP"/>
        </w:rPr>
      </w:pPr>
      <w:r>
        <w:t>What has contributed to shaping the path is the initial events and the political tradition rather than power relations within the core executive. In both cases the initial decisions (retaining the regulatory function within the MPT, establishing and retaining the JFTC as an independent administrative commission) ha</w:t>
      </w:r>
      <w:r w:rsidR="00810759">
        <w:rPr>
          <w:rFonts w:eastAsia="MS Mincho" w:hint="eastAsia"/>
          <w:lang w:eastAsia="ja-JP"/>
        </w:rPr>
        <w:t>d</w:t>
      </w:r>
      <w:r>
        <w:t xml:space="preserve"> a significant impact on the following sequences. The political tradition such as </w:t>
      </w:r>
      <w:r w:rsidR="007A3609">
        <w:t xml:space="preserve">the </w:t>
      </w:r>
      <w:r>
        <w:t xml:space="preserve">narrow interpretation of law and the frequency of law amendments formed self-reinforcing path dependent sequences. </w:t>
      </w:r>
      <w:r w:rsidRPr="001D458E">
        <w:rPr>
          <w:lang w:eastAsia="ja-JP"/>
        </w:rPr>
        <w:t>The core executive</w:t>
      </w:r>
      <w:r w:rsidR="001171EA">
        <w:rPr>
          <w:lang w:eastAsia="ja-JP"/>
        </w:rPr>
        <w:t>’s decision of retaining</w:t>
      </w:r>
      <w:r w:rsidRPr="001D458E">
        <w:rPr>
          <w:lang w:eastAsia="ja-JP"/>
        </w:rPr>
        <w:t xml:space="preserve"> its regulatory functions within the government ministry</w:t>
      </w:r>
      <w:r w:rsidR="001171EA">
        <w:rPr>
          <w:lang w:eastAsia="ja-JP"/>
        </w:rPr>
        <w:t xml:space="preserve"> in ICT regulation reveals </w:t>
      </w:r>
      <w:r w:rsidRPr="001D458E">
        <w:rPr>
          <w:lang w:eastAsia="ja-JP"/>
        </w:rPr>
        <w:t xml:space="preserve">an example that no endogenous incentive to change has emerged within the core executive. The disjuncture </w:t>
      </w:r>
      <w:r>
        <w:rPr>
          <w:lang w:eastAsia="ja-JP"/>
        </w:rPr>
        <w:t>such as the 1985 telecommunications regulatory reform</w:t>
      </w:r>
      <w:r w:rsidRPr="001D458E">
        <w:rPr>
          <w:lang w:eastAsia="ja-JP"/>
        </w:rPr>
        <w:t xml:space="preserve"> did not offer an opportunity to debate the independent implementation of regulation and the establishment of the independent ICT regulator, </w:t>
      </w:r>
      <w:r w:rsidR="001171EA">
        <w:rPr>
          <w:lang w:eastAsia="ja-JP"/>
        </w:rPr>
        <w:t>in contrast to the cases in Europe</w:t>
      </w:r>
      <w:r w:rsidRPr="001D458E">
        <w:rPr>
          <w:lang w:eastAsia="ja-JP"/>
        </w:rPr>
        <w:t>. The lack of endogenous incentives and exogenous pressures contributed to retain</w:t>
      </w:r>
      <w:r w:rsidR="006D513C">
        <w:rPr>
          <w:lang w:eastAsia="ja-JP"/>
        </w:rPr>
        <w:t>ing</w:t>
      </w:r>
      <w:r w:rsidRPr="001D458E">
        <w:rPr>
          <w:lang w:eastAsia="ja-JP"/>
        </w:rPr>
        <w:t xml:space="preserve"> the regulatory approach.</w:t>
      </w:r>
    </w:p>
    <w:p w14:paraId="1A6587EB" w14:textId="77777777" w:rsidR="007D1693" w:rsidRDefault="007D1693" w:rsidP="007D1693"/>
    <w:p w14:paraId="441C0728" w14:textId="77777777" w:rsidR="007D1693" w:rsidRDefault="000B6055" w:rsidP="00050D4B">
      <w:pPr>
        <w:pStyle w:val="Heading3"/>
        <w:rPr>
          <w:lang w:eastAsia="ja-JP"/>
        </w:rPr>
      </w:pPr>
      <w:bookmarkStart w:id="68" w:name="_Toc349741390"/>
      <w:r>
        <w:rPr>
          <w:rFonts w:hint="eastAsia"/>
        </w:rPr>
        <w:t>7.2.4</w:t>
      </w:r>
      <w:r>
        <w:rPr>
          <w:rFonts w:hint="eastAsia"/>
        </w:rPr>
        <w:tab/>
      </w:r>
      <w:r w:rsidR="004C334A">
        <w:t>H</w:t>
      </w:r>
      <w:r w:rsidR="004C334A" w:rsidRPr="00EE00E8">
        <w:t xml:space="preserve">ow </w:t>
      </w:r>
      <w:r>
        <w:rPr>
          <w:rFonts w:hint="eastAsia"/>
          <w:lang w:eastAsia="ja-JP"/>
        </w:rPr>
        <w:t>h</w:t>
      </w:r>
      <w:r w:rsidR="004C334A" w:rsidRPr="00EE00E8">
        <w:t xml:space="preserve">as </w:t>
      </w:r>
      <w:r>
        <w:rPr>
          <w:rFonts w:hint="eastAsia"/>
          <w:lang w:eastAsia="ja-JP"/>
        </w:rPr>
        <w:t>the s</w:t>
      </w:r>
      <w:r w:rsidR="004C334A" w:rsidRPr="00EE00E8">
        <w:t xml:space="preserve">tate’s </w:t>
      </w:r>
      <w:r>
        <w:rPr>
          <w:rFonts w:hint="eastAsia"/>
          <w:lang w:eastAsia="ja-JP"/>
        </w:rPr>
        <w:t>r</w:t>
      </w:r>
      <w:r w:rsidR="004C334A" w:rsidRPr="00EE00E8">
        <w:t xml:space="preserve">egulatory </w:t>
      </w:r>
      <w:r>
        <w:rPr>
          <w:rFonts w:hint="eastAsia"/>
          <w:lang w:eastAsia="ja-JP"/>
        </w:rPr>
        <w:t>c</w:t>
      </w:r>
      <w:r w:rsidR="004C334A" w:rsidRPr="00EE00E8">
        <w:t xml:space="preserve">apacity </w:t>
      </w:r>
      <w:r>
        <w:rPr>
          <w:rFonts w:hint="eastAsia"/>
          <w:lang w:eastAsia="ja-JP"/>
        </w:rPr>
        <w:t>c</w:t>
      </w:r>
      <w:r w:rsidR="004C334A" w:rsidRPr="00EE00E8">
        <w:t>hanged</w:t>
      </w:r>
      <w:r w:rsidR="007D1693" w:rsidRPr="00EE00E8">
        <w:t>?</w:t>
      </w:r>
      <w:bookmarkEnd w:id="68"/>
    </w:p>
    <w:p w14:paraId="024B59A2" w14:textId="77777777" w:rsidR="007D1693" w:rsidRDefault="007D1693" w:rsidP="00B94A93">
      <w:pPr>
        <w:rPr>
          <w:lang w:eastAsia="ja-JP"/>
        </w:rPr>
      </w:pPr>
      <w:r>
        <w:rPr>
          <w:rFonts w:hint="eastAsia"/>
        </w:rPr>
        <w:t xml:space="preserve">The capacity of the state </w:t>
      </w:r>
      <w:r w:rsidR="00ED2BDC">
        <w:rPr>
          <w:rFonts w:hint="eastAsia"/>
          <w:lang w:eastAsia="ja-JP"/>
        </w:rPr>
        <w:t xml:space="preserve">in both ICT regulation and antimonopoly regulation </w:t>
      </w:r>
      <w:r>
        <w:rPr>
          <w:rFonts w:hint="eastAsia"/>
        </w:rPr>
        <w:t xml:space="preserve">was regarded as that of </w:t>
      </w:r>
      <w:r w:rsidR="00ED2BDC">
        <w:rPr>
          <w:rFonts w:hint="eastAsia"/>
          <w:lang w:eastAsia="ja-JP"/>
        </w:rPr>
        <w:t xml:space="preserve">the bureaucratic machine: the manpower, financial resources and statutory authority of the MPC/MIC and the JFTC. </w:t>
      </w:r>
    </w:p>
    <w:p w14:paraId="1FBA5600" w14:textId="77777777" w:rsidR="002F2E17" w:rsidRDefault="00F46BA9" w:rsidP="00D177B8">
      <w:pPr>
        <w:ind w:firstLine="284"/>
      </w:pPr>
      <w:r>
        <w:rPr>
          <w:rFonts w:hint="eastAsia"/>
          <w:lang w:eastAsia="ja-JP"/>
        </w:rPr>
        <w:t xml:space="preserve">In </w:t>
      </w:r>
      <w:r w:rsidR="006D513C">
        <w:rPr>
          <w:lang w:eastAsia="ja-JP"/>
        </w:rPr>
        <w:t xml:space="preserve">the </w:t>
      </w:r>
      <w:r>
        <w:rPr>
          <w:rFonts w:hint="eastAsia"/>
          <w:lang w:eastAsia="ja-JP"/>
        </w:rPr>
        <w:t>case of ICT regulation, t</w:t>
      </w:r>
      <w:r w:rsidR="002F2E17" w:rsidRPr="001D458E">
        <w:rPr>
          <w:rFonts w:hint="eastAsia"/>
        </w:rPr>
        <w:t xml:space="preserve">he decline of the capacity of civil servants can directly </w:t>
      </w:r>
      <w:r w:rsidR="002F2E17" w:rsidRPr="001D458E">
        <w:t xml:space="preserve">be regarded as </w:t>
      </w:r>
      <w:r w:rsidR="002F2E17" w:rsidRPr="001D458E">
        <w:rPr>
          <w:rFonts w:hint="eastAsia"/>
        </w:rPr>
        <w:t xml:space="preserve">the </w:t>
      </w:r>
      <w:r w:rsidR="002F2E17" w:rsidRPr="001D458E">
        <w:t>decline</w:t>
      </w:r>
      <w:r w:rsidR="002F2E17" w:rsidRPr="001D458E">
        <w:rPr>
          <w:rFonts w:hint="eastAsia"/>
        </w:rPr>
        <w:t xml:space="preserve"> of regulatory capacity. The rise of Cabinet Ministers as party politicians in bureaucracy, has not </w:t>
      </w:r>
      <w:r w:rsidR="00231733">
        <w:rPr>
          <w:rFonts w:hint="eastAsia"/>
          <w:lang w:eastAsia="ja-JP"/>
        </w:rPr>
        <w:t>filled</w:t>
      </w:r>
      <w:r w:rsidR="002F2E17" w:rsidRPr="001D458E">
        <w:rPr>
          <w:rFonts w:hint="eastAsia"/>
        </w:rPr>
        <w:t xml:space="preserve"> the vacuum created by the </w:t>
      </w:r>
      <w:r w:rsidR="002F2E17" w:rsidRPr="001D458E">
        <w:t>retreat</w:t>
      </w:r>
      <w:r w:rsidR="002F2E17" w:rsidRPr="001D458E">
        <w:rPr>
          <w:rFonts w:hint="eastAsia"/>
        </w:rPr>
        <w:t xml:space="preserve"> of civil servants</w:t>
      </w:r>
      <w:r w:rsidR="00231733">
        <w:rPr>
          <w:rFonts w:hint="eastAsia"/>
          <w:lang w:eastAsia="ja-JP"/>
        </w:rPr>
        <w:t xml:space="preserve"> but brought </w:t>
      </w:r>
      <w:r w:rsidR="002F2E17" w:rsidRPr="001D458E">
        <w:rPr>
          <w:rFonts w:hint="eastAsia"/>
        </w:rPr>
        <w:t xml:space="preserve">an unstable </w:t>
      </w:r>
      <w:r w:rsidR="002F2E17" w:rsidRPr="001D458E">
        <w:t xml:space="preserve">situation, because </w:t>
      </w:r>
      <w:r w:rsidR="002F2E17" w:rsidRPr="001D458E">
        <w:rPr>
          <w:rFonts w:hint="eastAsia"/>
        </w:rPr>
        <w:t>Cabinet Ministers have failed to consolidate their resources and tak</w:t>
      </w:r>
      <w:r w:rsidR="00EA6CD3">
        <w:rPr>
          <w:rFonts w:hint="eastAsia"/>
          <w:lang w:eastAsia="ja-JP"/>
        </w:rPr>
        <w:t>e</w:t>
      </w:r>
      <w:r w:rsidR="002F2E17" w:rsidRPr="001D458E">
        <w:rPr>
          <w:rFonts w:hint="eastAsia"/>
        </w:rPr>
        <w:t xml:space="preserve"> over the role of civil servants. This failure of Cabinet Ministers can be explained by two features: their short tenure in office and their lack of experience. T</w:t>
      </w:r>
      <w:r w:rsidR="002F2E17" w:rsidRPr="001D458E">
        <w:t>h</w:t>
      </w:r>
      <w:r w:rsidR="002F2E17" w:rsidRPr="001D458E">
        <w:rPr>
          <w:rFonts w:hint="eastAsia"/>
        </w:rPr>
        <w:t xml:space="preserve">ese obstacles have prevented Cabinet Ministers from </w:t>
      </w:r>
      <w:r w:rsidR="002F2E17" w:rsidRPr="001D458E">
        <w:t>manag</w:t>
      </w:r>
      <w:r w:rsidR="002F2E17" w:rsidRPr="001D458E">
        <w:rPr>
          <w:rFonts w:hint="eastAsia"/>
        </w:rPr>
        <w:t>ing</w:t>
      </w:r>
      <w:r w:rsidR="002F2E17" w:rsidRPr="001D458E">
        <w:t xml:space="preserve"> regulatory policy making.</w:t>
      </w:r>
    </w:p>
    <w:p w14:paraId="4A81EFAE" w14:textId="727E5002" w:rsidR="00D177B8" w:rsidRDefault="002F2E17" w:rsidP="009230B6">
      <w:pPr>
        <w:ind w:firstLine="284"/>
        <w:rPr>
          <w:lang w:eastAsia="ja-JP"/>
        </w:rPr>
      </w:pPr>
      <w:r w:rsidRPr="001D458E">
        <w:rPr>
          <w:rFonts w:hint="eastAsia"/>
        </w:rPr>
        <w:t>It is within this complex environment that a significant contention emerges on evaluating h</w:t>
      </w:r>
      <w:r w:rsidRPr="001D458E">
        <w:t xml:space="preserve">ow the capacity of the state has been developed in ICT regulation. </w:t>
      </w:r>
      <w:r w:rsidRPr="001D458E">
        <w:rPr>
          <w:rFonts w:hint="eastAsia"/>
        </w:rPr>
        <w:t>A group of i</w:t>
      </w:r>
      <w:r w:rsidRPr="001D458E">
        <w:t xml:space="preserve">nterviewees </w:t>
      </w:r>
      <w:r w:rsidRPr="001D458E">
        <w:rPr>
          <w:rFonts w:hint="eastAsia"/>
        </w:rPr>
        <w:t xml:space="preserve">composed of </w:t>
      </w:r>
      <w:r w:rsidRPr="001D458E">
        <w:t>p</w:t>
      </w:r>
      <w:r w:rsidRPr="001D458E">
        <w:rPr>
          <w:rFonts w:hint="eastAsia"/>
        </w:rPr>
        <w:t xml:space="preserve">arty politicians, </w:t>
      </w:r>
      <w:r w:rsidRPr="001D458E">
        <w:t xml:space="preserve">a </w:t>
      </w:r>
      <w:r w:rsidRPr="001D458E">
        <w:rPr>
          <w:rFonts w:hint="eastAsia"/>
        </w:rPr>
        <w:t xml:space="preserve">senior </w:t>
      </w:r>
      <w:r w:rsidRPr="001D458E">
        <w:t>official of an incumbent operator</w:t>
      </w:r>
      <w:r w:rsidRPr="001D458E">
        <w:rPr>
          <w:rFonts w:hint="eastAsia"/>
        </w:rPr>
        <w:t xml:space="preserve">, and some </w:t>
      </w:r>
      <w:r w:rsidR="009230B6">
        <w:t xml:space="preserve">former and current </w:t>
      </w:r>
      <w:r w:rsidRPr="001D458E">
        <w:rPr>
          <w:rFonts w:hint="eastAsia"/>
        </w:rPr>
        <w:t xml:space="preserve">civil servants </w:t>
      </w:r>
      <w:r w:rsidRPr="001D458E">
        <w:t>argue</w:t>
      </w:r>
      <w:r w:rsidRPr="001D458E">
        <w:rPr>
          <w:rFonts w:hint="eastAsia"/>
        </w:rPr>
        <w:t>d</w:t>
      </w:r>
      <w:r w:rsidRPr="001D458E">
        <w:t xml:space="preserve"> that a significant regulatory capacity has been developed</w:t>
      </w:r>
      <w:r w:rsidRPr="001D458E">
        <w:rPr>
          <w:rFonts w:hint="eastAsia"/>
        </w:rPr>
        <w:t xml:space="preserve"> mainly in the </w:t>
      </w:r>
      <w:r w:rsidRPr="001D458E">
        <w:t>government</w:t>
      </w:r>
      <w:r w:rsidRPr="001D458E">
        <w:rPr>
          <w:rFonts w:hint="eastAsia"/>
        </w:rPr>
        <w:t xml:space="preserve"> ministry and based on a newly established bureaucratic power base. Another group of interviewees, including senior officials of the NCCs, </w:t>
      </w:r>
      <w:r w:rsidRPr="001D458E">
        <w:t xml:space="preserve">a </w:t>
      </w:r>
      <w:r w:rsidRPr="001D458E">
        <w:rPr>
          <w:rFonts w:hint="eastAsia"/>
        </w:rPr>
        <w:t xml:space="preserve">consumer group leader, and a number of </w:t>
      </w:r>
      <w:r w:rsidR="009230B6">
        <w:t xml:space="preserve">former and current </w:t>
      </w:r>
      <w:r w:rsidRPr="001D458E">
        <w:rPr>
          <w:rFonts w:hint="eastAsia"/>
        </w:rPr>
        <w:t xml:space="preserve">civil servants, highlighted different aspects of regulatory capacity, including </w:t>
      </w:r>
      <w:r w:rsidR="006D513C">
        <w:t xml:space="preserve">the </w:t>
      </w:r>
      <w:r w:rsidRPr="001D458E">
        <w:t>inconsisten</w:t>
      </w:r>
      <w:r w:rsidRPr="001D458E">
        <w:rPr>
          <w:rFonts w:hint="eastAsia"/>
        </w:rPr>
        <w:t xml:space="preserve">t approach </w:t>
      </w:r>
      <w:r w:rsidRPr="001D458E">
        <w:t xml:space="preserve">of civil servants </w:t>
      </w:r>
      <w:r w:rsidRPr="001D458E">
        <w:rPr>
          <w:rFonts w:hint="eastAsia"/>
        </w:rPr>
        <w:t xml:space="preserve">stemming from </w:t>
      </w:r>
      <w:r w:rsidRPr="001D458E">
        <w:t>their short tenure</w:t>
      </w:r>
      <w:r w:rsidRPr="001D458E">
        <w:rPr>
          <w:rFonts w:hint="eastAsia"/>
        </w:rPr>
        <w:t>, and the retreat of government ministry</w:t>
      </w:r>
      <w:r w:rsidRPr="001D458E">
        <w:t>’</w:t>
      </w:r>
      <w:r w:rsidRPr="001D458E">
        <w:rPr>
          <w:rFonts w:hint="eastAsia"/>
        </w:rPr>
        <w:t>s legal authority, and the lack of political will to impose strict measures.</w:t>
      </w:r>
      <w:r>
        <w:rPr>
          <w:rFonts w:hint="eastAsia"/>
          <w:lang w:eastAsia="ja-JP"/>
        </w:rPr>
        <w:t xml:space="preserve"> </w:t>
      </w:r>
    </w:p>
    <w:p w14:paraId="75D4C119" w14:textId="77777777" w:rsidR="002F2E17" w:rsidRDefault="0067235E" w:rsidP="002F2E17">
      <w:pPr>
        <w:ind w:firstLine="284"/>
      </w:pPr>
      <w:r>
        <w:rPr>
          <w:rFonts w:hint="eastAsia"/>
          <w:lang w:eastAsia="ja-JP"/>
        </w:rPr>
        <w:t>In antimonopoly regulation, t</w:t>
      </w:r>
      <w:r w:rsidR="002F2E17">
        <w:rPr>
          <w:rFonts w:hint="eastAsia"/>
        </w:rPr>
        <w:t xml:space="preserve">he Japanese state has expanded its state power to respond to the </w:t>
      </w:r>
      <w:r w:rsidR="002F2E17">
        <w:t>circumstantial</w:t>
      </w:r>
      <w:r w:rsidR="002F2E17">
        <w:rPr>
          <w:rFonts w:hint="eastAsia"/>
        </w:rPr>
        <w:t xml:space="preserve"> changes by strengthening </w:t>
      </w:r>
      <w:r w:rsidR="006D513C">
        <w:t xml:space="preserve">the </w:t>
      </w:r>
      <w:r w:rsidR="002F2E17">
        <w:rPr>
          <w:rFonts w:hint="eastAsia"/>
        </w:rPr>
        <w:t xml:space="preserve">bureaucratic machine (i.e. new law provisions, staff increase, </w:t>
      </w:r>
      <w:r w:rsidR="002F2E17">
        <w:t>and budget</w:t>
      </w:r>
      <w:r w:rsidR="002F2E17">
        <w:rPr>
          <w:rFonts w:hint="eastAsia"/>
        </w:rPr>
        <w:t xml:space="preserve"> increase). </w:t>
      </w:r>
      <w:r w:rsidR="005D2A6E">
        <w:rPr>
          <w:rFonts w:hint="eastAsia"/>
          <w:lang w:eastAsia="ja-JP"/>
        </w:rPr>
        <w:t xml:space="preserve">It has been </w:t>
      </w:r>
      <w:r w:rsidR="002F2E17">
        <w:rPr>
          <w:rFonts w:hint="eastAsia"/>
        </w:rPr>
        <w:t>the enhancement of law enforcement capacity</w:t>
      </w:r>
      <w:r w:rsidR="002F2E17">
        <w:t xml:space="preserve"> through enlarging the JFTC’s organisation and responsibilities</w:t>
      </w:r>
      <w:r w:rsidR="002F2E17">
        <w:rPr>
          <w:rFonts w:hint="eastAsia"/>
        </w:rPr>
        <w:t xml:space="preserve">. Since relying on law enforcement is a </w:t>
      </w:r>
      <w:r w:rsidR="002F2E17">
        <w:t>characteristic</w:t>
      </w:r>
      <w:r w:rsidR="002F2E17">
        <w:rPr>
          <w:rFonts w:hint="eastAsia"/>
        </w:rPr>
        <w:t xml:space="preserve"> of the regulatory state</w:t>
      </w:r>
      <w:r w:rsidR="005D2A6E">
        <w:rPr>
          <w:rFonts w:hint="eastAsia"/>
          <w:lang w:eastAsia="ja-JP"/>
        </w:rPr>
        <w:t xml:space="preserve"> (e.g. Levi-Faur 2012)</w:t>
      </w:r>
      <w:r w:rsidR="002F2E17">
        <w:rPr>
          <w:rFonts w:hint="eastAsia"/>
        </w:rPr>
        <w:t>, the nature of the transformation of Japan</w:t>
      </w:r>
      <w:r w:rsidR="002F2E17">
        <w:t>’</w:t>
      </w:r>
      <w:r w:rsidR="002F2E17">
        <w:rPr>
          <w:rFonts w:hint="eastAsia"/>
        </w:rPr>
        <w:t xml:space="preserve">s antimonopoly regulation can be viewed as </w:t>
      </w:r>
      <w:r w:rsidR="00E36F3C">
        <w:rPr>
          <w:rFonts w:hint="eastAsia"/>
          <w:lang w:eastAsia="ja-JP"/>
        </w:rPr>
        <w:t xml:space="preserve">the </w:t>
      </w:r>
      <w:r w:rsidR="002F2E17">
        <w:rPr>
          <w:rFonts w:hint="eastAsia"/>
        </w:rPr>
        <w:t>emergent Japanese regulatory state.</w:t>
      </w:r>
    </w:p>
    <w:p w14:paraId="7E00C295" w14:textId="77777777" w:rsidR="00D177B8" w:rsidRPr="001D458E" w:rsidRDefault="00D177B8" w:rsidP="00D177B8">
      <w:pPr>
        <w:ind w:firstLine="284"/>
      </w:pPr>
      <w:r>
        <w:rPr>
          <w:rFonts w:hint="eastAsia"/>
          <w:lang w:eastAsia="ja-JP"/>
        </w:rPr>
        <w:t xml:space="preserve">If the process of regulatory capacity building within ICT regulation </w:t>
      </w:r>
      <w:r w:rsidR="005D2A6E">
        <w:rPr>
          <w:rFonts w:hint="eastAsia"/>
          <w:lang w:eastAsia="ja-JP"/>
        </w:rPr>
        <w:t xml:space="preserve">after 1985 and antimonopoly regulation after the SII </w:t>
      </w:r>
      <w:r>
        <w:rPr>
          <w:rFonts w:hint="eastAsia"/>
          <w:lang w:eastAsia="ja-JP"/>
        </w:rPr>
        <w:t>is analysed with the framework of Mahoney and Thelen (2010), what emerge</w:t>
      </w:r>
      <w:r w:rsidR="00597EFF">
        <w:rPr>
          <w:rFonts w:hint="eastAsia"/>
          <w:lang w:eastAsia="ja-JP"/>
        </w:rPr>
        <w:t>s</w:t>
      </w:r>
      <w:r>
        <w:rPr>
          <w:rFonts w:hint="eastAsia"/>
          <w:lang w:eastAsia="ja-JP"/>
        </w:rPr>
        <w:t xml:space="preserve"> is that t</w:t>
      </w:r>
      <w:r w:rsidRPr="001D458E">
        <w:rPr>
          <w:rFonts w:hint="eastAsia"/>
        </w:rPr>
        <w:t xml:space="preserve">he process has been under the mode of conversion, with weak veto power to the opponents to the transformation of regulatory capacity. </w:t>
      </w:r>
      <w:r w:rsidR="003F7889">
        <w:t xml:space="preserve">The bureaucratic machine has been transformed under the supervision of the group of party politicians; it is a policy endorsed by party politicians. </w:t>
      </w:r>
      <w:r w:rsidR="003F7889" w:rsidRPr="001D458E">
        <w:t>T</w:t>
      </w:r>
      <w:r w:rsidR="003F7889" w:rsidRPr="001D458E">
        <w:rPr>
          <w:rFonts w:hint="eastAsia"/>
        </w:rPr>
        <w:t xml:space="preserve">he </w:t>
      </w:r>
      <w:r w:rsidR="003F7889">
        <w:rPr>
          <w:rFonts w:hint="eastAsia"/>
          <w:lang w:eastAsia="ja-JP"/>
        </w:rPr>
        <w:t xml:space="preserve">fact that the </w:t>
      </w:r>
      <w:r w:rsidR="003F7889" w:rsidRPr="001D458E">
        <w:rPr>
          <w:rFonts w:hint="eastAsia"/>
        </w:rPr>
        <w:t xml:space="preserve">issue of the regulatory capacity has been </w:t>
      </w:r>
      <w:r w:rsidR="003F7889">
        <w:rPr>
          <w:rFonts w:hint="eastAsia"/>
          <w:lang w:eastAsia="ja-JP"/>
        </w:rPr>
        <w:t>determined</w:t>
      </w:r>
      <w:r w:rsidR="003F7889" w:rsidRPr="001D458E">
        <w:rPr>
          <w:rFonts w:hint="eastAsia"/>
        </w:rPr>
        <w:t xml:space="preserve"> </w:t>
      </w:r>
      <w:r w:rsidR="003F7889">
        <w:rPr>
          <w:rFonts w:hint="eastAsia"/>
          <w:lang w:eastAsia="ja-JP"/>
        </w:rPr>
        <w:t xml:space="preserve">within the core executive (planned by civil servants and authorised by party politicians) can imply that the core executive </w:t>
      </w:r>
      <w:r w:rsidR="003F7889" w:rsidRPr="001D458E">
        <w:rPr>
          <w:rFonts w:hint="eastAsia"/>
        </w:rPr>
        <w:t>has retained a significant extent of discretion on this issue.</w:t>
      </w:r>
      <w:r w:rsidR="003F7889">
        <w:rPr>
          <w:rFonts w:hint="eastAsia"/>
          <w:lang w:eastAsia="ja-JP"/>
        </w:rPr>
        <w:t xml:space="preserve"> </w:t>
      </w:r>
      <w:r w:rsidR="00597EFF">
        <w:rPr>
          <w:rFonts w:hint="eastAsia"/>
          <w:lang w:eastAsia="ja-JP"/>
        </w:rPr>
        <w:t>The transformation of state capacity in ICT regulation and antimonopoly regulation</w:t>
      </w:r>
      <w:r w:rsidRPr="001D458E">
        <w:rPr>
          <w:rFonts w:hint="eastAsia"/>
        </w:rPr>
        <w:t xml:space="preserve"> can be viewed as </w:t>
      </w:r>
      <w:r w:rsidR="00597EFF">
        <w:rPr>
          <w:rFonts w:hint="eastAsia"/>
          <w:lang w:eastAsia="ja-JP"/>
        </w:rPr>
        <w:t>an</w:t>
      </w:r>
      <w:r w:rsidRPr="001D458E">
        <w:rPr>
          <w:rFonts w:hint="eastAsia"/>
        </w:rPr>
        <w:t xml:space="preserve"> adaption of the core executive to the regulatory challenges of the period</w:t>
      </w:r>
      <w:r w:rsidR="002D203F">
        <w:rPr>
          <w:rFonts w:hint="eastAsia"/>
          <w:lang w:eastAsia="ja-JP"/>
        </w:rPr>
        <w:t>,</w:t>
      </w:r>
      <w:r w:rsidR="005D2A6E">
        <w:t xml:space="preserve"> reflecting </w:t>
      </w:r>
      <w:r w:rsidR="006D513C">
        <w:t xml:space="preserve">a </w:t>
      </w:r>
      <w:r w:rsidR="005D2A6E">
        <w:t>fluid change of power within the core executive</w:t>
      </w:r>
      <w:r w:rsidR="00597EFF">
        <w:rPr>
          <w:rFonts w:hint="eastAsia"/>
          <w:lang w:eastAsia="ja-JP"/>
        </w:rPr>
        <w:t xml:space="preserve"> as observed in the case of ICT regulation</w:t>
      </w:r>
      <w:r w:rsidR="005D2A6E">
        <w:t xml:space="preserve">. </w:t>
      </w:r>
    </w:p>
    <w:p w14:paraId="7E35BA8C" w14:textId="77777777" w:rsidR="005D2A6E" w:rsidRDefault="002D203F" w:rsidP="005D2A6E">
      <w:pPr>
        <w:ind w:firstLine="284"/>
        <w:rPr>
          <w:lang w:eastAsia="ja-JP"/>
        </w:rPr>
      </w:pPr>
      <w:r>
        <w:rPr>
          <w:rFonts w:hint="eastAsia"/>
          <w:lang w:eastAsia="ja-JP"/>
        </w:rPr>
        <w:t xml:space="preserve">What emerges in the above analysis is the </w:t>
      </w:r>
      <w:r w:rsidR="00BF1697">
        <w:rPr>
          <w:rFonts w:hint="eastAsia"/>
          <w:lang w:eastAsia="ja-JP"/>
        </w:rPr>
        <w:t>enhanced</w:t>
      </w:r>
      <w:r>
        <w:rPr>
          <w:rFonts w:hint="eastAsia"/>
          <w:lang w:eastAsia="ja-JP"/>
        </w:rPr>
        <w:t xml:space="preserve"> regulatory capacity </w:t>
      </w:r>
      <w:r w:rsidR="00BF1697">
        <w:rPr>
          <w:rFonts w:hint="eastAsia"/>
          <w:lang w:eastAsia="ja-JP"/>
        </w:rPr>
        <w:t xml:space="preserve">and regulatory organisations </w:t>
      </w:r>
      <w:r>
        <w:rPr>
          <w:rFonts w:hint="eastAsia"/>
          <w:lang w:eastAsia="ja-JP"/>
        </w:rPr>
        <w:t xml:space="preserve">in both sectors. </w:t>
      </w:r>
      <w:r w:rsidR="00BF1697">
        <w:rPr>
          <w:rFonts w:hint="eastAsia"/>
          <w:lang w:eastAsia="ja-JP"/>
        </w:rPr>
        <w:t>Referring to Levi-Faur</w:t>
      </w:r>
      <w:r w:rsidR="00DF3F49">
        <w:rPr>
          <w:lang w:eastAsia="ja-JP"/>
        </w:rPr>
        <w:t>’</w:t>
      </w:r>
      <w:r w:rsidR="00DF3F49">
        <w:rPr>
          <w:rFonts w:hint="eastAsia"/>
          <w:lang w:eastAsia="ja-JP"/>
        </w:rPr>
        <w:t>s</w:t>
      </w:r>
      <w:r w:rsidR="00BF1697">
        <w:rPr>
          <w:rFonts w:hint="eastAsia"/>
          <w:lang w:eastAsia="ja-JP"/>
        </w:rPr>
        <w:t xml:space="preserve"> (2012) </w:t>
      </w:r>
      <w:r w:rsidR="00DF3F49">
        <w:rPr>
          <w:rFonts w:hint="eastAsia"/>
          <w:lang w:eastAsia="ja-JP"/>
        </w:rPr>
        <w:t xml:space="preserve">definition of the regulatory state </w:t>
      </w:r>
      <w:r w:rsidR="00DF3F49">
        <w:t>‘a state that applies and extends rule making, monitoring and enforcement either directly or indirectly’</w:t>
      </w:r>
      <w:r w:rsidR="00DF3F49">
        <w:rPr>
          <w:rFonts w:hint="eastAsia"/>
          <w:lang w:eastAsia="ja-JP"/>
        </w:rPr>
        <w:t xml:space="preserve">, the development in ICT regulation and antimonopoly regulation between the 1980s and 2000s in Japan can be described as the emergence of </w:t>
      </w:r>
      <w:r w:rsidR="005D2A6E">
        <w:t>a v</w:t>
      </w:r>
      <w:r w:rsidR="005D2A6E">
        <w:rPr>
          <w:rFonts w:hint="eastAsia"/>
          <w:lang w:eastAsia="ja-JP"/>
        </w:rPr>
        <w:t>a</w:t>
      </w:r>
      <w:r w:rsidR="005D2A6E">
        <w:t>r</w:t>
      </w:r>
      <w:r w:rsidR="005D2A6E">
        <w:rPr>
          <w:rFonts w:hint="eastAsia"/>
          <w:lang w:eastAsia="ja-JP"/>
        </w:rPr>
        <w:t>iation</w:t>
      </w:r>
      <w:r w:rsidR="005D2A6E">
        <w:t xml:space="preserve"> of the regulatory state</w:t>
      </w:r>
      <w:r w:rsidR="005D2A6E">
        <w:rPr>
          <w:rFonts w:hint="eastAsia"/>
          <w:lang w:eastAsia="ja-JP"/>
        </w:rPr>
        <w:t xml:space="preserve"> under</w:t>
      </w:r>
      <w:r w:rsidR="005D2A6E">
        <w:t xml:space="preserve"> the initiative of the core executive to respond to the challenges in the fields.</w:t>
      </w:r>
    </w:p>
    <w:p w14:paraId="6E4286C4" w14:textId="77777777" w:rsidR="002F2E17" w:rsidRPr="002F2E17" w:rsidRDefault="002F2E17" w:rsidP="007D1693">
      <w:pPr>
        <w:rPr>
          <w:lang w:eastAsia="ja-JP"/>
        </w:rPr>
      </w:pPr>
    </w:p>
    <w:p w14:paraId="0938FB6D" w14:textId="77777777" w:rsidR="007D1693" w:rsidRDefault="00607BFD" w:rsidP="00050D4B">
      <w:pPr>
        <w:pStyle w:val="Heading3"/>
      </w:pPr>
      <w:bookmarkStart w:id="69" w:name="_Toc349741391"/>
      <w:r>
        <w:rPr>
          <w:rFonts w:hint="eastAsia"/>
        </w:rPr>
        <w:t>7.2.5</w:t>
      </w:r>
      <w:r>
        <w:rPr>
          <w:rFonts w:hint="eastAsia"/>
        </w:rPr>
        <w:tab/>
      </w:r>
      <w:r w:rsidR="007D1693">
        <w:t xml:space="preserve"> </w:t>
      </w:r>
      <w:r w:rsidR="004C334A">
        <w:t xml:space="preserve">Why </w:t>
      </w:r>
      <w:r>
        <w:rPr>
          <w:rFonts w:hint="eastAsia"/>
          <w:lang w:eastAsia="ja-JP"/>
        </w:rPr>
        <w:t>h</w:t>
      </w:r>
      <w:r w:rsidR="004C334A">
        <w:t xml:space="preserve">ave </w:t>
      </w:r>
      <w:r>
        <w:rPr>
          <w:rFonts w:hint="eastAsia"/>
          <w:lang w:eastAsia="ja-JP"/>
        </w:rPr>
        <w:t>t</w:t>
      </w:r>
      <w:r w:rsidR="004C334A">
        <w:t xml:space="preserve">he </w:t>
      </w:r>
      <w:r>
        <w:rPr>
          <w:rFonts w:hint="eastAsia"/>
          <w:lang w:eastAsia="ja-JP"/>
        </w:rPr>
        <w:t>p</w:t>
      </w:r>
      <w:r w:rsidR="004C334A">
        <w:t xml:space="preserve">resent </w:t>
      </w:r>
      <w:r>
        <w:rPr>
          <w:rFonts w:hint="eastAsia"/>
          <w:lang w:eastAsia="ja-JP"/>
        </w:rPr>
        <w:t>p</w:t>
      </w:r>
      <w:r w:rsidR="004C334A">
        <w:t xml:space="preserve">ower </w:t>
      </w:r>
      <w:r>
        <w:rPr>
          <w:rFonts w:hint="eastAsia"/>
          <w:lang w:eastAsia="ja-JP"/>
        </w:rPr>
        <w:t>r</w:t>
      </w:r>
      <w:r w:rsidR="004C334A">
        <w:t xml:space="preserve">elations </w:t>
      </w:r>
      <w:r>
        <w:rPr>
          <w:rFonts w:hint="eastAsia"/>
          <w:lang w:eastAsia="ja-JP"/>
        </w:rPr>
        <w:t>b</w:t>
      </w:r>
      <w:r w:rsidR="004C334A">
        <w:t xml:space="preserve">een </w:t>
      </w:r>
      <w:r>
        <w:rPr>
          <w:rFonts w:hint="eastAsia"/>
          <w:lang w:eastAsia="ja-JP"/>
        </w:rPr>
        <w:t>c</w:t>
      </w:r>
      <w:r w:rsidR="004C334A">
        <w:t xml:space="preserve">onstructed </w:t>
      </w:r>
      <w:r>
        <w:rPr>
          <w:rFonts w:hint="eastAsia"/>
          <w:lang w:eastAsia="ja-JP"/>
        </w:rPr>
        <w:t>i</w:t>
      </w:r>
      <w:r w:rsidR="004C334A">
        <w:t xml:space="preserve">n </w:t>
      </w:r>
      <w:r>
        <w:rPr>
          <w:rFonts w:hint="eastAsia"/>
          <w:lang w:eastAsia="ja-JP"/>
        </w:rPr>
        <w:t>t</w:t>
      </w:r>
      <w:r w:rsidR="004C334A">
        <w:t xml:space="preserve">he </w:t>
      </w:r>
      <w:r>
        <w:rPr>
          <w:rFonts w:hint="eastAsia"/>
          <w:lang w:eastAsia="ja-JP"/>
        </w:rPr>
        <w:t>c</w:t>
      </w:r>
      <w:r w:rsidR="004C334A">
        <w:t xml:space="preserve">hosen </w:t>
      </w:r>
      <w:r>
        <w:rPr>
          <w:rFonts w:hint="eastAsia"/>
          <w:lang w:eastAsia="ja-JP"/>
        </w:rPr>
        <w:t>r</w:t>
      </w:r>
      <w:r w:rsidR="004C334A">
        <w:t xml:space="preserve">egulatory </w:t>
      </w:r>
      <w:r>
        <w:rPr>
          <w:rFonts w:hint="eastAsia"/>
          <w:lang w:eastAsia="ja-JP"/>
        </w:rPr>
        <w:t>f</w:t>
      </w:r>
      <w:r w:rsidR="004C334A">
        <w:t>ields</w:t>
      </w:r>
      <w:r w:rsidR="007D1693">
        <w:rPr>
          <w:rFonts w:hint="eastAsia"/>
        </w:rPr>
        <w:t>?</w:t>
      </w:r>
      <w:bookmarkEnd w:id="69"/>
    </w:p>
    <w:p w14:paraId="6A123F90" w14:textId="77777777" w:rsidR="007D1693" w:rsidRDefault="00810759" w:rsidP="0096459A">
      <w:r>
        <w:rPr>
          <w:rFonts w:eastAsia="MS Mincho" w:hint="eastAsia"/>
          <w:lang w:eastAsia="ja-JP"/>
        </w:rPr>
        <w:t>Exploring</w:t>
      </w:r>
      <w:r w:rsidR="007D1693">
        <w:rPr>
          <w:rFonts w:hint="eastAsia"/>
        </w:rPr>
        <w:t xml:space="preserve"> power relations behind the rise of the Japanese regulatory state </w:t>
      </w:r>
      <w:r>
        <w:rPr>
          <w:rFonts w:eastAsia="MS Mincho" w:hint="eastAsia"/>
          <w:lang w:eastAsia="ja-JP"/>
        </w:rPr>
        <w:t>is</w:t>
      </w:r>
      <w:r w:rsidR="007D1693">
        <w:rPr>
          <w:rFonts w:hint="eastAsia"/>
        </w:rPr>
        <w:t xml:space="preserve"> crucial </w:t>
      </w:r>
      <w:r>
        <w:rPr>
          <w:rFonts w:eastAsia="MS Mincho" w:hint="eastAsia"/>
          <w:lang w:eastAsia="ja-JP"/>
        </w:rPr>
        <w:t>to address the last research question</w:t>
      </w:r>
      <w:r w:rsidR="007D1693">
        <w:rPr>
          <w:rFonts w:hint="eastAsia"/>
        </w:rPr>
        <w:t xml:space="preserve">. </w:t>
      </w:r>
      <w:r w:rsidR="006D513C">
        <w:t xml:space="preserve">The </w:t>
      </w:r>
      <w:r w:rsidR="0096459A">
        <w:t xml:space="preserve"> key point</w:t>
      </w:r>
      <w:r w:rsidR="006D513C">
        <w:t>s</w:t>
      </w:r>
      <w:r w:rsidR="0096459A">
        <w:t xml:space="preserve"> of </w:t>
      </w:r>
      <w:r w:rsidR="007D1693">
        <w:rPr>
          <w:rFonts w:hint="eastAsia"/>
        </w:rPr>
        <w:t xml:space="preserve">power relations behind the </w:t>
      </w:r>
      <w:r w:rsidR="007D1693">
        <w:t xml:space="preserve">Japanese regulatory state </w:t>
      </w:r>
      <w:r w:rsidR="006D513C">
        <w:t>are</w:t>
      </w:r>
      <w:r w:rsidR="007D1693">
        <w:t xml:space="preserve"> asymmetric dominance of the core executive in the Japanese state characterised by the role of party politicians as the key decision maker, the </w:t>
      </w:r>
      <w:r w:rsidR="007D1693">
        <w:rPr>
          <w:rFonts w:hint="eastAsia"/>
        </w:rPr>
        <w:t xml:space="preserve">change of dominant actors </w:t>
      </w:r>
      <w:r w:rsidR="007D1693">
        <w:t>within the group of party politicians (</w:t>
      </w:r>
      <w:r w:rsidR="007D1693">
        <w:rPr>
          <w:rFonts w:hint="eastAsia"/>
        </w:rPr>
        <w:t xml:space="preserve">from party politicians outside the </w:t>
      </w:r>
      <w:r w:rsidR="007D1693">
        <w:t>C</w:t>
      </w:r>
      <w:r w:rsidR="007D1693">
        <w:rPr>
          <w:rFonts w:hint="eastAsia"/>
        </w:rPr>
        <w:t xml:space="preserve">abinet to </w:t>
      </w:r>
      <w:r w:rsidR="007D1693">
        <w:t>Cabinet Ministers), and the transformation of the bureaucratic machine in response to the change of circumstances under the supervision of the group of party politicians.</w:t>
      </w:r>
    </w:p>
    <w:p w14:paraId="591D75A4" w14:textId="72D04805" w:rsidR="007D1693" w:rsidRDefault="00DC3344" w:rsidP="006E4B94">
      <w:pPr>
        <w:ind w:firstLine="283"/>
      </w:pPr>
      <w:r>
        <w:rPr>
          <w:rFonts w:hint="eastAsia"/>
          <w:lang w:eastAsia="ja-JP"/>
        </w:rPr>
        <w:t>ICT regulation and antimonopoly regulation</w:t>
      </w:r>
      <w:r w:rsidR="007D1693">
        <w:rPr>
          <w:rFonts w:hint="eastAsia"/>
        </w:rPr>
        <w:t xml:space="preserve"> ha</w:t>
      </w:r>
      <w:r>
        <w:rPr>
          <w:rFonts w:hint="eastAsia"/>
          <w:lang w:eastAsia="ja-JP"/>
        </w:rPr>
        <w:t>ve</w:t>
      </w:r>
      <w:r w:rsidR="007D1693">
        <w:rPr>
          <w:rFonts w:hint="eastAsia"/>
        </w:rPr>
        <w:t xml:space="preserve"> continuously been subject to steering by party politicians. </w:t>
      </w:r>
      <w:r w:rsidR="007D1693">
        <w:t>Under the supervision of party politicians t</w:t>
      </w:r>
      <w:r w:rsidR="007D1693">
        <w:rPr>
          <w:rFonts w:hint="eastAsia"/>
        </w:rPr>
        <w:t xml:space="preserve">he regulatory capacity has been </w:t>
      </w:r>
      <w:r w:rsidR="007D1693">
        <w:t>strengthened</w:t>
      </w:r>
      <w:r w:rsidR="007D1693">
        <w:rPr>
          <w:rFonts w:hint="eastAsia"/>
        </w:rPr>
        <w:t xml:space="preserve"> through the adaptation process of the bureaucratic machine. In antimonopoly regulation the bureaucratic machine has continuously expanded; the regulatory function in ICT has been transformed to cope with the changing regulatory environment. </w:t>
      </w:r>
      <w:r w:rsidR="007D1693">
        <w:t xml:space="preserve">Within the group of party politicians power has shifted from those outside the Cabinet to Cabinet Ministers. The rise of the Cabinet (Cabinet Ministers) </w:t>
      </w:r>
      <w:r w:rsidR="00945EAD">
        <w:rPr>
          <w:rFonts w:eastAsia="MS Mincho" w:hint="eastAsia"/>
          <w:lang w:eastAsia="ja-JP"/>
        </w:rPr>
        <w:t xml:space="preserve">characterises the recent </w:t>
      </w:r>
      <w:r w:rsidR="007D1693">
        <w:t xml:space="preserve">power relations </w:t>
      </w:r>
      <w:r w:rsidR="00945EAD">
        <w:rPr>
          <w:rFonts w:eastAsia="MS Mincho" w:hint="eastAsia"/>
          <w:lang w:eastAsia="ja-JP"/>
        </w:rPr>
        <w:t>within the core executive</w:t>
      </w:r>
      <w:r w:rsidR="007D1693">
        <w:t xml:space="preserve">. The move to enhance the Cabinet could be observed under </w:t>
      </w:r>
      <w:r w:rsidR="006D513C">
        <w:t xml:space="preserve">the </w:t>
      </w:r>
      <w:r w:rsidR="007D1693">
        <w:t xml:space="preserve">LDP government; an example of such a move can be the introduction of the </w:t>
      </w:r>
      <w:r w:rsidR="00083ACC">
        <w:rPr>
          <w:i/>
          <w:iCs/>
        </w:rPr>
        <w:t>Seimu Sanyaku</w:t>
      </w:r>
      <w:r w:rsidR="007D1693">
        <w:t xml:space="preserve"> system under the Obuchi Government (1998-2000) (Neary 2002 p.127). This move was intensified by government change </w:t>
      </w:r>
      <w:r w:rsidR="007D1693">
        <w:rPr>
          <w:rFonts w:hint="eastAsia"/>
        </w:rPr>
        <w:t xml:space="preserve">in 2009 </w:t>
      </w:r>
      <w:r w:rsidR="007D1693">
        <w:t>together with dismantling the previously powerful LDP politicians outside the cabinet.</w:t>
      </w:r>
    </w:p>
    <w:p w14:paraId="5A36F7DB" w14:textId="77777777" w:rsidR="007D1693" w:rsidRDefault="007D1693" w:rsidP="00854E12">
      <w:pPr>
        <w:ind w:firstLine="283"/>
        <w:rPr>
          <w:lang w:eastAsia="ja-JP"/>
        </w:rPr>
      </w:pPr>
      <w:r>
        <w:t>In sum, the present power relations are the result of the fluid change of power within the core executive and the core executive’s response to the challenges in the fields (ICT regulation, antimonopoly regulation).</w:t>
      </w:r>
    </w:p>
    <w:p w14:paraId="09CF8040" w14:textId="77777777" w:rsidR="008151B4" w:rsidRDefault="008151B4" w:rsidP="007D1693">
      <w:pPr>
        <w:ind w:left="284" w:firstLine="283"/>
        <w:rPr>
          <w:lang w:eastAsia="ja-JP"/>
        </w:rPr>
      </w:pPr>
    </w:p>
    <w:p w14:paraId="7877DC1B" w14:textId="77777777" w:rsidR="008A5EAB" w:rsidRDefault="008A5EAB" w:rsidP="007D1693">
      <w:pPr>
        <w:ind w:left="284" w:firstLine="283"/>
        <w:rPr>
          <w:lang w:eastAsia="ja-JP"/>
        </w:rPr>
      </w:pPr>
    </w:p>
    <w:p w14:paraId="2943F53E" w14:textId="77777777" w:rsidR="007D1693" w:rsidRDefault="00A95D95" w:rsidP="00050D4B">
      <w:pPr>
        <w:pStyle w:val="Heading2"/>
      </w:pPr>
      <w:bookmarkStart w:id="70" w:name="_Toc349741392"/>
      <w:r>
        <w:rPr>
          <w:rFonts w:hint="eastAsia"/>
          <w:lang w:eastAsia="ja-JP"/>
        </w:rPr>
        <w:t>7.3</w:t>
      </w:r>
      <w:r>
        <w:rPr>
          <w:rFonts w:hint="eastAsia"/>
          <w:lang w:eastAsia="ja-JP"/>
        </w:rPr>
        <w:tab/>
      </w:r>
      <w:r>
        <w:rPr>
          <w:lang w:eastAsia="ja-JP"/>
        </w:rPr>
        <w:t>Corroborating</w:t>
      </w:r>
      <w:r>
        <w:rPr>
          <w:rFonts w:hint="eastAsia"/>
          <w:lang w:eastAsia="ja-JP"/>
        </w:rPr>
        <w:t xml:space="preserve"> the </w:t>
      </w:r>
      <w:r>
        <w:rPr>
          <w:lang w:eastAsia="ja-JP"/>
        </w:rPr>
        <w:t>proposition</w:t>
      </w:r>
      <w:r>
        <w:rPr>
          <w:rFonts w:hint="eastAsia"/>
          <w:lang w:eastAsia="ja-JP"/>
        </w:rPr>
        <w:t>: a</w:t>
      </w:r>
      <w:r>
        <w:rPr>
          <w:lang w:eastAsia="ja-JP"/>
        </w:rPr>
        <w:t>symmetric</w:t>
      </w:r>
      <w:r>
        <w:rPr>
          <w:rFonts w:hint="eastAsia"/>
          <w:lang w:eastAsia="ja-JP"/>
        </w:rPr>
        <w:t xml:space="preserve"> dominance of Japan</w:t>
      </w:r>
      <w:r>
        <w:rPr>
          <w:lang w:eastAsia="ja-JP"/>
        </w:rPr>
        <w:t>’</w:t>
      </w:r>
      <w:r>
        <w:rPr>
          <w:rFonts w:hint="eastAsia"/>
          <w:lang w:eastAsia="ja-JP"/>
        </w:rPr>
        <w:t>s core executive in two regulatory cases</w:t>
      </w:r>
      <w:bookmarkEnd w:id="70"/>
    </w:p>
    <w:p w14:paraId="2F2401B3" w14:textId="77777777" w:rsidR="007D1693" w:rsidRDefault="007D1693" w:rsidP="00A95D95">
      <w:pPr>
        <w:rPr>
          <w:lang w:eastAsia="ja-JP"/>
        </w:rPr>
      </w:pPr>
      <w:r>
        <w:rPr>
          <w:rFonts w:hint="eastAsia"/>
          <w:lang w:eastAsia="ja-JP"/>
        </w:rPr>
        <w:t>The above analysis reveals the dominance of the core executive underpinned by a number of factors.</w:t>
      </w:r>
    </w:p>
    <w:p w14:paraId="1361F005" w14:textId="77777777" w:rsidR="007D1693" w:rsidRDefault="007D1693" w:rsidP="007D1693">
      <w:pPr>
        <w:rPr>
          <w:lang w:eastAsia="ja-JP"/>
        </w:rPr>
      </w:pPr>
      <w:r>
        <w:rPr>
          <w:lang w:eastAsia="ja-JP"/>
        </w:rPr>
        <w:t>A</w:t>
      </w:r>
      <w:r>
        <w:rPr>
          <w:rFonts w:hint="eastAsia"/>
          <w:lang w:eastAsia="ja-JP"/>
        </w:rPr>
        <w:t>n important factor is party politicians</w:t>
      </w:r>
      <w:r>
        <w:rPr>
          <w:lang w:eastAsia="ja-JP"/>
        </w:rPr>
        <w:t>’</w:t>
      </w:r>
      <w:r>
        <w:rPr>
          <w:rFonts w:hint="eastAsia"/>
          <w:lang w:eastAsia="ja-JP"/>
        </w:rPr>
        <w:t xml:space="preserve"> dominant position as the key decision maker in both ICT regulation and antimonopoly regulation. T</w:t>
      </w:r>
      <w:r>
        <w:rPr>
          <w:lang w:eastAsia="ja-JP"/>
        </w:rPr>
        <w:t>h</w:t>
      </w:r>
      <w:r>
        <w:rPr>
          <w:rFonts w:hint="eastAsia"/>
          <w:lang w:eastAsia="ja-JP"/>
        </w:rPr>
        <w:t xml:space="preserve">e relationships between party politicians and other actors are asymmetric; party politicians determine, and other actors have no other option than </w:t>
      </w:r>
      <w:r w:rsidR="006D513C">
        <w:rPr>
          <w:lang w:eastAsia="ja-JP"/>
        </w:rPr>
        <w:t xml:space="preserve">to </w:t>
      </w:r>
      <w:r>
        <w:rPr>
          <w:rFonts w:hint="eastAsia"/>
          <w:lang w:eastAsia="ja-JP"/>
        </w:rPr>
        <w:t xml:space="preserve">follow the decision. Party politicians have had an interdependent relationship with civil servants and been lobbied by societal groups such as the NTT and </w:t>
      </w:r>
      <w:r w:rsidRPr="00DB1137">
        <w:rPr>
          <w:rFonts w:hint="eastAsia"/>
          <w:i/>
          <w:lang w:eastAsia="ja-JP"/>
        </w:rPr>
        <w:t>Keidanren</w:t>
      </w:r>
      <w:r>
        <w:rPr>
          <w:i/>
          <w:lang w:eastAsia="ja-JP"/>
        </w:rPr>
        <w:t>.</w:t>
      </w:r>
      <w:r w:rsidRPr="00CA7322">
        <w:rPr>
          <w:rFonts w:hint="eastAsia"/>
          <w:lang w:eastAsia="ja-JP"/>
        </w:rPr>
        <w:t xml:space="preserve"> </w:t>
      </w:r>
      <w:r w:rsidRPr="00CA7322">
        <w:rPr>
          <w:lang w:eastAsia="ja-JP"/>
        </w:rPr>
        <w:t>I</w:t>
      </w:r>
      <w:r w:rsidRPr="00CA7322">
        <w:rPr>
          <w:rFonts w:hint="eastAsia"/>
          <w:lang w:eastAsia="ja-JP"/>
        </w:rPr>
        <w:t xml:space="preserve">n both cases, </w:t>
      </w:r>
      <w:r>
        <w:rPr>
          <w:rFonts w:hint="eastAsia"/>
          <w:lang w:eastAsia="ja-JP"/>
        </w:rPr>
        <w:t>things work within the scope of decisions made by party politicians. Party politicians need civil servants to mobilise bureaucratic machines.</w:t>
      </w:r>
    </w:p>
    <w:p w14:paraId="2F41A7F0" w14:textId="1CDDD253" w:rsidR="007D1693" w:rsidRPr="001D458E" w:rsidRDefault="007D1693" w:rsidP="00BF2553">
      <w:pPr>
        <w:ind w:firstLine="284"/>
      </w:pPr>
      <w:r>
        <w:rPr>
          <w:rFonts w:hint="eastAsia"/>
          <w:lang w:eastAsia="ja-JP"/>
        </w:rPr>
        <w:t xml:space="preserve">A </w:t>
      </w:r>
      <w:r>
        <w:rPr>
          <w:lang w:eastAsia="ja-JP"/>
        </w:rPr>
        <w:t>difference</w:t>
      </w:r>
      <w:r>
        <w:rPr>
          <w:rFonts w:hint="eastAsia"/>
          <w:lang w:eastAsia="ja-JP"/>
        </w:rPr>
        <w:t xml:space="preserve"> emerging from two Japanese cases </w:t>
      </w:r>
      <w:r w:rsidRPr="001D458E">
        <w:rPr>
          <w:rFonts w:hint="eastAsia"/>
        </w:rPr>
        <w:t xml:space="preserve">between the 1980s and 2000s </w:t>
      </w:r>
      <w:r>
        <w:rPr>
          <w:rFonts w:hint="eastAsia"/>
          <w:lang w:eastAsia="ja-JP"/>
        </w:rPr>
        <w:t xml:space="preserve">from the British one analysed by Smith (1999pp.115-30) is </w:t>
      </w:r>
      <w:r w:rsidRPr="001D458E">
        <w:rPr>
          <w:rFonts w:hint="eastAsia"/>
        </w:rPr>
        <w:t>the impact of the ruling parties</w:t>
      </w:r>
      <w:r w:rsidRPr="001D458E">
        <w:t>’</w:t>
      </w:r>
      <w:r w:rsidRPr="001D458E">
        <w:rPr>
          <w:rFonts w:hint="eastAsia"/>
        </w:rPr>
        <w:t xml:space="preserve"> internal rules resulting from the long dominance of the LDP within the administration. </w:t>
      </w:r>
      <w:r>
        <w:rPr>
          <w:rFonts w:hint="eastAsia"/>
          <w:lang w:eastAsia="ja-JP"/>
        </w:rPr>
        <w:t xml:space="preserve">Shaped by </w:t>
      </w:r>
      <w:r w:rsidRPr="001D458E">
        <w:rPr>
          <w:rFonts w:hint="eastAsia"/>
        </w:rPr>
        <w:t>political parties outside the formal institution of the state</w:t>
      </w:r>
      <w:r>
        <w:rPr>
          <w:rFonts w:hint="eastAsia"/>
          <w:lang w:eastAsia="ja-JP"/>
        </w:rPr>
        <w:t>, t</w:t>
      </w:r>
      <w:r w:rsidRPr="001D458E">
        <w:rPr>
          <w:rFonts w:hint="eastAsia"/>
        </w:rPr>
        <w:t>he ruling parties</w:t>
      </w:r>
      <w:r w:rsidRPr="001D458E">
        <w:t>’</w:t>
      </w:r>
      <w:r w:rsidRPr="001D458E">
        <w:rPr>
          <w:rFonts w:hint="eastAsia"/>
        </w:rPr>
        <w:t xml:space="preserve"> internal rules are </w:t>
      </w:r>
      <w:r>
        <w:rPr>
          <w:rFonts w:hint="eastAsia"/>
          <w:lang w:eastAsia="ja-JP"/>
        </w:rPr>
        <w:t>informal</w:t>
      </w:r>
      <w:r w:rsidRPr="001D458E">
        <w:rPr>
          <w:rFonts w:hint="eastAsia"/>
        </w:rPr>
        <w:t>. The impact of the informal rule</w:t>
      </w:r>
      <w:r>
        <w:rPr>
          <w:rFonts w:hint="eastAsia"/>
          <w:lang w:eastAsia="ja-JP"/>
        </w:rPr>
        <w:t>s,</w:t>
      </w:r>
      <w:r w:rsidRPr="001D458E">
        <w:rPr>
          <w:rFonts w:hint="eastAsia"/>
        </w:rPr>
        <w:t xml:space="preserve"> in particular the LDP</w:t>
      </w:r>
      <w:r>
        <w:rPr>
          <w:lang w:eastAsia="ja-JP"/>
        </w:rPr>
        <w:t>’</w:t>
      </w:r>
      <w:r>
        <w:rPr>
          <w:rFonts w:hint="eastAsia"/>
          <w:lang w:eastAsia="ja-JP"/>
        </w:rPr>
        <w:t>s</w:t>
      </w:r>
      <w:r w:rsidRPr="001D458E">
        <w:rPr>
          <w:rFonts w:hint="eastAsia"/>
        </w:rPr>
        <w:t xml:space="preserve">, can be </w:t>
      </w:r>
      <w:r>
        <w:rPr>
          <w:rFonts w:hint="eastAsia"/>
          <w:lang w:eastAsia="ja-JP"/>
        </w:rPr>
        <w:t xml:space="preserve">observed in the </w:t>
      </w:r>
      <w:r w:rsidRPr="001D458E">
        <w:rPr>
          <w:rFonts w:hint="eastAsia"/>
        </w:rPr>
        <w:t>power of party politicians outside the Cabinet (</w:t>
      </w:r>
      <w:r w:rsidRPr="001D458E">
        <w:rPr>
          <w:rFonts w:hint="eastAsia"/>
          <w:i/>
        </w:rPr>
        <w:t>Zoku Gi</w:t>
      </w:r>
      <w:r w:rsidRPr="001D458E">
        <w:rPr>
          <w:i/>
        </w:rPr>
        <w:t>’</w:t>
      </w:r>
      <w:r w:rsidRPr="001D458E">
        <w:rPr>
          <w:rFonts w:hint="eastAsia"/>
          <w:i/>
        </w:rPr>
        <w:t>in</w:t>
      </w:r>
      <w:r w:rsidRPr="001D458E">
        <w:rPr>
          <w:rFonts w:hint="eastAsia"/>
        </w:rPr>
        <w:t>)</w:t>
      </w:r>
      <w:r>
        <w:rPr>
          <w:rFonts w:hint="eastAsia"/>
          <w:lang w:eastAsia="ja-JP"/>
        </w:rPr>
        <w:t xml:space="preserve"> as an example</w:t>
      </w:r>
      <w:r w:rsidRPr="001D458E">
        <w:rPr>
          <w:rFonts w:hint="eastAsia"/>
        </w:rPr>
        <w:t xml:space="preserve">. </w:t>
      </w:r>
      <w:r>
        <w:rPr>
          <w:rFonts w:hint="eastAsia"/>
          <w:lang w:eastAsia="ja-JP"/>
        </w:rPr>
        <w:t xml:space="preserve">This example demonstrates the impact of informal rules at the core of </w:t>
      </w:r>
      <w:r w:rsidR="006D513C">
        <w:rPr>
          <w:lang w:eastAsia="ja-JP"/>
        </w:rPr>
        <w:t xml:space="preserve">the </w:t>
      </w:r>
      <w:r>
        <w:rPr>
          <w:rFonts w:hint="eastAsia"/>
          <w:lang w:eastAsia="ja-JP"/>
        </w:rPr>
        <w:t xml:space="preserve">political arena, where the key decisions of the field </w:t>
      </w:r>
      <w:r w:rsidR="006D513C">
        <w:rPr>
          <w:lang w:eastAsia="ja-JP"/>
        </w:rPr>
        <w:t>are</w:t>
      </w:r>
      <w:r>
        <w:rPr>
          <w:rFonts w:hint="eastAsia"/>
          <w:lang w:eastAsia="ja-JP"/>
        </w:rPr>
        <w:t xml:space="preserve"> shaped. </w:t>
      </w:r>
      <w:r w:rsidRPr="001D458E">
        <w:rPr>
          <w:rFonts w:hint="eastAsia"/>
        </w:rPr>
        <w:t xml:space="preserve">The </w:t>
      </w:r>
      <w:r>
        <w:rPr>
          <w:rFonts w:hint="eastAsia"/>
          <w:lang w:eastAsia="ja-JP"/>
        </w:rPr>
        <w:t xml:space="preserve">gradual decline of their power together with the emergence of </w:t>
      </w:r>
      <w:r w:rsidRPr="001D458E">
        <w:rPr>
          <w:rFonts w:hint="eastAsia"/>
        </w:rPr>
        <w:t xml:space="preserve">Cabinet Ministers and their teams was intensified by government change in 2009. </w:t>
      </w:r>
      <w:r w:rsidRPr="001D458E">
        <w:t>T</w:t>
      </w:r>
      <w:r w:rsidRPr="001D458E">
        <w:rPr>
          <w:rFonts w:hint="eastAsia"/>
        </w:rPr>
        <w:t xml:space="preserve">his change of power within </w:t>
      </w:r>
      <w:r>
        <w:rPr>
          <w:rFonts w:hint="eastAsia"/>
          <w:lang w:eastAsia="ja-JP"/>
        </w:rPr>
        <w:t xml:space="preserve">the group of </w:t>
      </w:r>
      <w:r w:rsidRPr="001D458E">
        <w:rPr>
          <w:rFonts w:hint="eastAsia"/>
        </w:rPr>
        <w:t xml:space="preserve">party politicians offers an example of </w:t>
      </w:r>
      <w:r w:rsidR="006D513C">
        <w:t xml:space="preserve">the </w:t>
      </w:r>
      <w:r w:rsidRPr="001D458E">
        <w:rPr>
          <w:rFonts w:hint="eastAsia"/>
        </w:rPr>
        <w:t>fluid change of power within the core executive</w:t>
      </w:r>
      <w:r>
        <w:rPr>
          <w:rFonts w:hint="eastAsia"/>
          <w:lang w:eastAsia="ja-JP"/>
        </w:rPr>
        <w:t xml:space="preserve"> in Japan</w:t>
      </w:r>
      <w:r w:rsidRPr="001D458E">
        <w:rPr>
          <w:rFonts w:hint="eastAsia"/>
        </w:rPr>
        <w:t>.</w:t>
      </w:r>
    </w:p>
    <w:p w14:paraId="04D47DE7" w14:textId="77777777" w:rsidR="007D1693" w:rsidRDefault="007D1693" w:rsidP="007D1693">
      <w:pPr>
        <w:ind w:firstLine="284"/>
        <w:rPr>
          <w:lang w:eastAsia="ja-JP"/>
        </w:rPr>
      </w:pPr>
      <w:r>
        <w:rPr>
          <w:rFonts w:hint="eastAsia"/>
          <w:lang w:eastAsia="ja-JP"/>
        </w:rPr>
        <w:t>T</w:t>
      </w:r>
      <w:r>
        <w:rPr>
          <w:lang w:eastAsia="ja-JP"/>
        </w:rPr>
        <w:t>h</w:t>
      </w:r>
      <w:r>
        <w:rPr>
          <w:rFonts w:hint="eastAsia"/>
          <w:lang w:eastAsia="ja-JP"/>
        </w:rPr>
        <w:t xml:space="preserve">e nature of civil servants is different. </w:t>
      </w:r>
      <w:r>
        <w:rPr>
          <w:lang w:eastAsia="ja-JP"/>
        </w:rPr>
        <w:t>R</w:t>
      </w:r>
      <w:r>
        <w:rPr>
          <w:rFonts w:hint="eastAsia"/>
          <w:lang w:eastAsia="ja-JP"/>
        </w:rPr>
        <w:t>epresenting state power in particular in relation to societal actors such as private firms, the impact of civil servants has been significant (e.g. Johnson 1982, Vogel 1996). However, the nature of civil servants</w:t>
      </w:r>
      <w:r>
        <w:rPr>
          <w:lang w:eastAsia="ja-JP"/>
        </w:rPr>
        <w:t>’</w:t>
      </w:r>
      <w:r>
        <w:rPr>
          <w:rFonts w:hint="eastAsia"/>
          <w:lang w:eastAsia="ja-JP"/>
        </w:rPr>
        <w:t xml:space="preserve"> power in both case studies is in line with the analysis of Smith (1999). Their power has been under the supervision of party politicians. Party politicians</w:t>
      </w:r>
      <w:r>
        <w:rPr>
          <w:lang w:eastAsia="ja-JP"/>
        </w:rPr>
        <w:t>’</w:t>
      </w:r>
      <w:r>
        <w:rPr>
          <w:rFonts w:hint="eastAsia"/>
          <w:lang w:eastAsia="ja-JP"/>
        </w:rPr>
        <w:t xml:space="preserve"> authorisation was vital for civil servants to exercise their power.</w:t>
      </w:r>
    </w:p>
    <w:p w14:paraId="66EEC6FB" w14:textId="77777777" w:rsidR="00D85266" w:rsidRDefault="007D1693" w:rsidP="007D1693">
      <w:pPr>
        <w:ind w:firstLine="284"/>
        <w:rPr>
          <w:lang w:eastAsia="ja-JP"/>
        </w:rPr>
      </w:pPr>
      <w:r>
        <w:rPr>
          <w:rFonts w:hint="eastAsia"/>
          <w:lang w:eastAsia="ja-JP"/>
        </w:rPr>
        <w:t xml:space="preserve">Societal groups have the potential of mobilising the core executive, as </w:t>
      </w:r>
      <w:r>
        <w:rPr>
          <w:lang w:eastAsia="ja-JP"/>
        </w:rPr>
        <w:t>demonstrated</w:t>
      </w:r>
      <w:r>
        <w:rPr>
          <w:rFonts w:hint="eastAsia"/>
          <w:lang w:eastAsia="ja-JP"/>
        </w:rPr>
        <w:t xml:space="preserve"> in the cases of the 1977 AMA amendment and the 1997 NTT break-up. This can be understood as </w:t>
      </w:r>
      <w:r w:rsidR="00D85266">
        <w:rPr>
          <w:lang w:eastAsia="ja-JP"/>
        </w:rPr>
        <w:t>analogous</w:t>
      </w:r>
      <w:r>
        <w:rPr>
          <w:rFonts w:hint="eastAsia"/>
          <w:lang w:eastAsia="ja-JP"/>
        </w:rPr>
        <w:t xml:space="preserve"> to the British case introduced by Smith (1999 pp.226-7), which reveals the impact of pressure groups to the core executive and policy making. The actors such as the NTT, </w:t>
      </w:r>
      <w:r w:rsidRPr="00945EAD">
        <w:rPr>
          <w:rFonts w:hint="eastAsia"/>
          <w:i/>
          <w:lang w:eastAsia="ja-JP"/>
        </w:rPr>
        <w:t>Keidanren</w:t>
      </w:r>
      <w:r>
        <w:rPr>
          <w:rFonts w:hint="eastAsia"/>
          <w:lang w:eastAsia="ja-JP"/>
        </w:rPr>
        <w:t xml:space="preserve">, </w:t>
      </w:r>
      <w:r>
        <w:rPr>
          <w:lang w:eastAsia="ja-JP"/>
        </w:rPr>
        <w:t xml:space="preserve">and </w:t>
      </w:r>
      <w:r>
        <w:rPr>
          <w:rFonts w:hint="eastAsia"/>
          <w:lang w:eastAsia="ja-JP"/>
        </w:rPr>
        <w:t xml:space="preserve">consumer groups can be understood as </w:t>
      </w:r>
      <w:r>
        <w:rPr>
          <w:lang w:eastAsia="ja-JP"/>
        </w:rPr>
        <w:t>member</w:t>
      </w:r>
      <w:r>
        <w:rPr>
          <w:rFonts w:hint="eastAsia"/>
          <w:lang w:eastAsia="ja-JP"/>
        </w:rPr>
        <w:t xml:space="preserve">s of the policy </w:t>
      </w:r>
      <w:r>
        <w:rPr>
          <w:lang w:eastAsia="ja-JP"/>
        </w:rPr>
        <w:t>networks</w:t>
      </w:r>
      <w:r>
        <w:rPr>
          <w:rFonts w:hint="eastAsia"/>
          <w:lang w:eastAsia="ja-JP"/>
        </w:rPr>
        <w:t>.</w:t>
      </w:r>
      <w:r>
        <w:rPr>
          <w:lang w:eastAsia="ja-JP"/>
        </w:rPr>
        <w:t xml:space="preserve"> Actors such as the NTT and </w:t>
      </w:r>
      <w:r w:rsidRPr="00886E91">
        <w:rPr>
          <w:i/>
          <w:lang w:eastAsia="ja-JP"/>
        </w:rPr>
        <w:t>Keidanren</w:t>
      </w:r>
      <w:r>
        <w:rPr>
          <w:lang w:eastAsia="ja-JP"/>
        </w:rPr>
        <w:t xml:space="preserve"> directly lobby party politicians.</w:t>
      </w:r>
      <w:r>
        <w:rPr>
          <w:rFonts w:hint="eastAsia"/>
          <w:lang w:eastAsia="ja-JP"/>
        </w:rPr>
        <w:t xml:space="preserve"> </w:t>
      </w:r>
      <w:r>
        <w:rPr>
          <w:lang w:eastAsia="ja-JP"/>
        </w:rPr>
        <w:t xml:space="preserve">Others such as consumer groups and academics tend to access bureaucracy rather than party politicians. Their approach includes joining </w:t>
      </w:r>
      <w:r w:rsidR="00945EAD">
        <w:rPr>
          <w:rFonts w:eastAsia="MS Mincho" w:hint="eastAsia"/>
          <w:lang w:eastAsia="ja-JP"/>
        </w:rPr>
        <w:t>the government</w:t>
      </w:r>
      <w:r w:rsidR="00945EAD">
        <w:rPr>
          <w:rFonts w:eastAsia="MS Mincho"/>
          <w:lang w:eastAsia="ja-JP"/>
        </w:rPr>
        <w:t>’</w:t>
      </w:r>
      <w:r w:rsidR="00945EAD">
        <w:rPr>
          <w:rFonts w:eastAsia="MS Mincho" w:hint="eastAsia"/>
          <w:lang w:eastAsia="ja-JP"/>
        </w:rPr>
        <w:t>s p</w:t>
      </w:r>
      <w:r>
        <w:rPr>
          <w:lang w:eastAsia="ja-JP"/>
        </w:rPr>
        <w:t xml:space="preserve">olicy </w:t>
      </w:r>
      <w:r w:rsidR="00945EAD">
        <w:rPr>
          <w:rFonts w:eastAsia="MS Mincho" w:hint="eastAsia"/>
          <w:lang w:eastAsia="ja-JP"/>
        </w:rPr>
        <w:t>d</w:t>
      </w:r>
      <w:r>
        <w:rPr>
          <w:lang w:eastAsia="ja-JP"/>
        </w:rPr>
        <w:t xml:space="preserve">eliberation </w:t>
      </w:r>
      <w:r w:rsidR="00945EAD">
        <w:rPr>
          <w:rFonts w:eastAsia="MS Mincho" w:hint="eastAsia"/>
          <w:lang w:eastAsia="ja-JP"/>
        </w:rPr>
        <w:t>c</w:t>
      </w:r>
      <w:r>
        <w:rPr>
          <w:lang w:eastAsia="ja-JP"/>
        </w:rPr>
        <w:t>ouncils such as the Information and Communications Council. The fact that key decisions such as the contents of the government bills are finalised by party politicians indicates that bureaucracy works as a mediator.</w:t>
      </w:r>
      <w:r w:rsidR="00D85266">
        <w:rPr>
          <w:rFonts w:hint="eastAsia"/>
          <w:lang w:eastAsia="ja-JP"/>
        </w:rPr>
        <w:t xml:space="preserve"> In line with Smith</w:t>
      </w:r>
      <w:r w:rsidR="00D85266">
        <w:rPr>
          <w:lang w:eastAsia="ja-JP"/>
        </w:rPr>
        <w:t>’</w:t>
      </w:r>
      <w:r w:rsidR="00D85266">
        <w:rPr>
          <w:rFonts w:hint="eastAsia"/>
          <w:lang w:eastAsia="ja-JP"/>
        </w:rPr>
        <w:t xml:space="preserve">s (1999) analysis on the British core executive, party politicians and civil servants in Japan need each other within the community of the core executive. Elsewhere, other </w:t>
      </w:r>
      <w:r w:rsidR="00D85266">
        <w:rPr>
          <w:lang w:eastAsia="ja-JP"/>
        </w:rPr>
        <w:t>actors</w:t>
      </w:r>
      <w:r w:rsidR="00D85266">
        <w:rPr>
          <w:rFonts w:hint="eastAsia"/>
          <w:lang w:eastAsia="ja-JP"/>
        </w:rPr>
        <w:t xml:space="preserve"> do not have the resources </w:t>
      </w:r>
      <w:r w:rsidR="00D85266">
        <w:rPr>
          <w:lang w:eastAsia="ja-JP"/>
        </w:rPr>
        <w:t>indispensable</w:t>
      </w:r>
      <w:r w:rsidR="00D85266">
        <w:rPr>
          <w:rFonts w:hint="eastAsia"/>
          <w:lang w:eastAsia="ja-JP"/>
        </w:rPr>
        <w:t xml:space="preserve"> for the core executive actors. The relationship between the core executive actors and other societal actors </w:t>
      </w:r>
      <w:r w:rsidR="006D513C">
        <w:rPr>
          <w:lang w:eastAsia="ja-JP"/>
        </w:rPr>
        <w:t>is</w:t>
      </w:r>
      <w:r w:rsidR="00D85266">
        <w:rPr>
          <w:rFonts w:hint="eastAsia"/>
          <w:lang w:eastAsia="ja-JP"/>
        </w:rPr>
        <w:t xml:space="preserve"> asymmetric. The core executive has the </w:t>
      </w:r>
      <w:r w:rsidR="00D85266">
        <w:rPr>
          <w:lang w:eastAsia="ja-JP"/>
        </w:rPr>
        <w:t>discretion</w:t>
      </w:r>
      <w:r w:rsidR="00D85266">
        <w:rPr>
          <w:rFonts w:hint="eastAsia"/>
          <w:lang w:eastAsia="ja-JP"/>
        </w:rPr>
        <w:t xml:space="preserve"> to control other actors</w:t>
      </w:r>
      <w:r w:rsidR="00D85266">
        <w:rPr>
          <w:lang w:eastAsia="ja-JP"/>
        </w:rPr>
        <w:t>’</w:t>
      </w:r>
      <w:r w:rsidR="00D85266">
        <w:rPr>
          <w:rFonts w:hint="eastAsia"/>
          <w:lang w:eastAsia="ja-JP"/>
        </w:rPr>
        <w:t xml:space="preserve"> access to policymaking and implementation.</w:t>
      </w:r>
    </w:p>
    <w:p w14:paraId="715470A2" w14:textId="04DA738D" w:rsidR="007D1693" w:rsidRPr="00622890" w:rsidRDefault="007D1693" w:rsidP="007D1693">
      <w:pPr>
        <w:ind w:firstLine="284"/>
        <w:rPr>
          <w:lang w:eastAsia="ja-JP"/>
        </w:rPr>
      </w:pPr>
      <w:r>
        <w:rPr>
          <w:lang w:eastAsia="ja-JP"/>
        </w:rPr>
        <w:t>T</w:t>
      </w:r>
      <w:r>
        <w:rPr>
          <w:rFonts w:hint="eastAsia"/>
          <w:lang w:eastAsia="ja-JP"/>
        </w:rPr>
        <w:t xml:space="preserve">he change </w:t>
      </w:r>
      <w:r w:rsidR="0046334D">
        <w:rPr>
          <w:lang w:eastAsia="ja-JP"/>
        </w:rPr>
        <w:t xml:space="preserve">that </w:t>
      </w:r>
      <w:r>
        <w:rPr>
          <w:rFonts w:hint="eastAsia"/>
          <w:lang w:eastAsia="ja-JP"/>
        </w:rPr>
        <w:t xml:space="preserve">emerged within the two case studies varies. In ICT regulation, the 1985 regulatory reform can be understood under the mode of displacement, with few strong veto actors and the narrow extent of </w:t>
      </w:r>
      <w:r>
        <w:rPr>
          <w:lang w:eastAsia="ja-JP"/>
        </w:rPr>
        <w:t>interpretation</w:t>
      </w:r>
      <w:r>
        <w:rPr>
          <w:rFonts w:hint="eastAsia"/>
          <w:lang w:eastAsia="ja-JP"/>
        </w:rPr>
        <w:t xml:space="preserve"> </w:t>
      </w:r>
      <w:r w:rsidR="00945EAD">
        <w:rPr>
          <w:rFonts w:eastAsia="MS Mincho" w:hint="eastAsia"/>
          <w:lang w:eastAsia="ja-JP"/>
        </w:rPr>
        <w:t>on</w:t>
      </w:r>
      <w:r>
        <w:rPr>
          <w:rFonts w:hint="eastAsia"/>
          <w:lang w:eastAsia="ja-JP"/>
        </w:rPr>
        <w:t xml:space="preserve"> privatisation and liberalisation. W</w:t>
      </w:r>
      <w:r>
        <w:rPr>
          <w:lang w:eastAsia="ja-JP"/>
        </w:rPr>
        <w:t>i</w:t>
      </w:r>
      <w:r>
        <w:rPr>
          <w:rFonts w:hint="eastAsia"/>
          <w:lang w:eastAsia="ja-JP"/>
        </w:rPr>
        <w:t>th the emergence of the regulatory ministry (MPT/MIC), the change mode shifted to conversion with a few exception</w:t>
      </w:r>
      <w:r w:rsidR="0046334D">
        <w:rPr>
          <w:lang w:eastAsia="ja-JP"/>
        </w:rPr>
        <w:t>s</w:t>
      </w:r>
      <w:r>
        <w:rPr>
          <w:rFonts w:hint="eastAsia"/>
          <w:lang w:eastAsia="ja-JP"/>
        </w:rPr>
        <w:t xml:space="preserve"> such as NTT break-up, whose change mode was drift with the strong opposition of the NTT. In </w:t>
      </w:r>
      <w:r>
        <w:rPr>
          <w:lang w:eastAsia="ja-JP"/>
        </w:rPr>
        <w:t>antimonopoly</w:t>
      </w:r>
      <w:r>
        <w:rPr>
          <w:rFonts w:hint="eastAsia"/>
          <w:lang w:eastAsia="ja-JP"/>
        </w:rPr>
        <w:t xml:space="preserve"> regulation, the period before the SII saw a significant </w:t>
      </w:r>
      <w:r w:rsidR="0046334D">
        <w:rPr>
          <w:lang w:eastAsia="ja-JP"/>
        </w:rPr>
        <w:t>number</w:t>
      </w:r>
      <w:r>
        <w:rPr>
          <w:rFonts w:hint="eastAsia"/>
          <w:lang w:eastAsia="ja-JP"/>
        </w:rPr>
        <w:t xml:space="preserve"> of opponents (e.g. a part of Liberal Democrats, the MITI, </w:t>
      </w:r>
      <w:r w:rsidRPr="00047838">
        <w:rPr>
          <w:rFonts w:hint="eastAsia"/>
          <w:i/>
          <w:lang w:eastAsia="ja-JP"/>
        </w:rPr>
        <w:t>Keidanren</w:t>
      </w:r>
      <w:r>
        <w:rPr>
          <w:rFonts w:hint="eastAsia"/>
          <w:lang w:eastAsia="ja-JP"/>
        </w:rPr>
        <w:t xml:space="preserve">) enhancing antimonopoly regulation. The change mode in this period can be understood as drift. After the SII the mode shifted to conversion, with the former opponents </w:t>
      </w:r>
      <w:r>
        <w:rPr>
          <w:lang w:eastAsia="ja-JP"/>
        </w:rPr>
        <w:t>gradually</w:t>
      </w:r>
      <w:r>
        <w:rPr>
          <w:rFonts w:hint="eastAsia"/>
          <w:lang w:eastAsia="ja-JP"/>
        </w:rPr>
        <w:t xml:space="preserve"> </w:t>
      </w:r>
      <w:r w:rsidR="00AB32F2">
        <w:rPr>
          <w:rFonts w:hint="eastAsia"/>
          <w:lang w:eastAsia="ja-JP"/>
        </w:rPr>
        <w:t>chang</w:t>
      </w:r>
      <w:r w:rsidR="00AB32F2">
        <w:rPr>
          <w:lang w:eastAsia="ja-JP"/>
        </w:rPr>
        <w:t>ing</w:t>
      </w:r>
      <w:r w:rsidR="00AB32F2">
        <w:rPr>
          <w:rFonts w:hint="eastAsia"/>
          <w:lang w:eastAsia="ja-JP"/>
        </w:rPr>
        <w:t xml:space="preserve"> </w:t>
      </w:r>
      <w:r>
        <w:rPr>
          <w:rFonts w:hint="eastAsia"/>
          <w:lang w:eastAsia="ja-JP"/>
        </w:rPr>
        <w:t xml:space="preserve">their views. With a significant extent of discretion of </w:t>
      </w:r>
      <w:r w:rsidR="00945EAD">
        <w:rPr>
          <w:rFonts w:eastAsia="MS Mincho" w:hint="eastAsia"/>
          <w:lang w:eastAsia="ja-JP"/>
        </w:rPr>
        <w:t xml:space="preserve">the </w:t>
      </w:r>
      <w:r>
        <w:rPr>
          <w:rFonts w:hint="eastAsia"/>
          <w:lang w:eastAsia="ja-JP"/>
        </w:rPr>
        <w:t>core executive actors, the mode of change in these two regulatory cases</w:t>
      </w:r>
      <w:r w:rsidR="00AB32F2">
        <w:rPr>
          <w:lang w:eastAsia="ja-JP"/>
        </w:rPr>
        <w:t xml:space="preserve"> reflects </w:t>
      </w:r>
      <w:r>
        <w:rPr>
          <w:rFonts w:hint="eastAsia"/>
          <w:lang w:eastAsia="ja-JP"/>
        </w:rPr>
        <w:t xml:space="preserve">conversion with a few </w:t>
      </w:r>
      <w:r>
        <w:rPr>
          <w:lang w:eastAsia="ja-JP"/>
        </w:rPr>
        <w:t>exception</w:t>
      </w:r>
      <w:r>
        <w:rPr>
          <w:rFonts w:hint="eastAsia"/>
          <w:lang w:eastAsia="ja-JP"/>
        </w:rPr>
        <w:t xml:space="preserve">al examples. </w:t>
      </w:r>
      <w:r>
        <w:rPr>
          <w:lang w:eastAsia="ja-JP"/>
        </w:rPr>
        <w:t>I</w:t>
      </w:r>
      <w:r>
        <w:rPr>
          <w:rFonts w:hint="eastAsia"/>
          <w:lang w:eastAsia="ja-JP"/>
        </w:rPr>
        <w:t>n the issues where endogenous changes have not emerge</w:t>
      </w:r>
      <w:r w:rsidR="0046334D">
        <w:rPr>
          <w:lang w:eastAsia="ja-JP"/>
        </w:rPr>
        <w:t>d</w:t>
      </w:r>
      <w:r>
        <w:rPr>
          <w:rFonts w:hint="eastAsia"/>
          <w:lang w:eastAsia="ja-JP"/>
        </w:rPr>
        <w:t xml:space="preserve">, the self-reinforcing path dependency has shaped the following sequences. </w:t>
      </w:r>
      <w:r>
        <w:rPr>
          <w:lang w:eastAsia="ja-JP"/>
        </w:rPr>
        <w:t>A</w:t>
      </w:r>
      <w:r>
        <w:rPr>
          <w:rFonts w:hint="eastAsia"/>
          <w:lang w:eastAsia="ja-JP"/>
        </w:rPr>
        <w:t xml:space="preserve">n example is the issue of the independent regulator. In ICT regulation the initial selection of having a ministerial regulator has shaped the following path. </w:t>
      </w:r>
      <w:r>
        <w:rPr>
          <w:lang w:eastAsia="ja-JP"/>
        </w:rPr>
        <w:t>A</w:t>
      </w:r>
      <w:r>
        <w:rPr>
          <w:rFonts w:hint="eastAsia"/>
          <w:lang w:eastAsia="ja-JP"/>
        </w:rPr>
        <w:t xml:space="preserve"> contrasting case can be found in antimonopoly regulation, where the establishment of the JFTC in 1947 has shaped the path of regulating antimonopoly cases by a rare independent administrative commission in Japan.</w:t>
      </w:r>
      <w:r w:rsidRPr="00622890">
        <w:rPr>
          <w:rFonts w:hint="eastAsia"/>
          <w:lang w:eastAsia="ja-JP"/>
        </w:rPr>
        <w:t xml:space="preserve"> </w:t>
      </w:r>
      <w:r>
        <w:rPr>
          <w:rFonts w:hint="eastAsia"/>
          <w:lang w:eastAsia="ja-JP"/>
        </w:rPr>
        <w:t>In both cases the initial selections have been reinforced by the following political contexts such as the established views of the core executive actors (e.g. civil servants in the MPT/MIC and the JFTC).</w:t>
      </w:r>
    </w:p>
    <w:p w14:paraId="4F71F4CE" w14:textId="77777777" w:rsidR="007D1693" w:rsidRDefault="007D1693" w:rsidP="00614332">
      <w:pPr>
        <w:ind w:firstLine="284"/>
        <w:rPr>
          <w:lang w:eastAsia="ja-JP"/>
        </w:rPr>
      </w:pPr>
      <w:r>
        <w:rPr>
          <w:rFonts w:hint="eastAsia"/>
          <w:lang w:eastAsia="ja-JP"/>
        </w:rPr>
        <w:t>In turning to the core theme of this thesis, the</w:t>
      </w:r>
      <w:r w:rsidR="005768C0">
        <w:rPr>
          <w:lang w:eastAsia="ja-JP"/>
        </w:rPr>
        <w:t xml:space="preserve"> evidence drawn from the case</w:t>
      </w:r>
      <w:r w:rsidR="00614332">
        <w:rPr>
          <w:lang w:eastAsia="ja-JP"/>
        </w:rPr>
        <w:t xml:space="preserve"> </w:t>
      </w:r>
      <w:r w:rsidR="005768C0">
        <w:rPr>
          <w:lang w:eastAsia="ja-JP"/>
        </w:rPr>
        <w:t>study chapters supports the</w:t>
      </w:r>
      <w:r>
        <w:rPr>
          <w:rFonts w:hint="eastAsia"/>
          <w:lang w:eastAsia="ja-JP"/>
        </w:rPr>
        <w:t xml:space="preserve"> proposition </w:t>
      </w:r>
      <w:r w:rsidR="005768C0">
        <w:rPr>
          <w:lang w:eastAsia="ja-JP"/>
        </w:rPr>
        <w:t>outlined in the introduction</w:t>
      </w:r>
      <w:r>
        <w:rPr>
          <w:rFonts w:hint="eastAsia"/>
          <w:lang w:eastAsia="ja-JP"/>
        </w:rPr>
        <w:t>:</w:t>
      </w:r>
    </w:p>
    <w:p w14:paraId="61C969B6" w14:textId="77777777" w:rsidR="007D1693" w:rsidRDefault="007D1693" w:rsidP="007D1693">
      <w:pPr>
        <w:ind w:firstLine="284"/>
        <w:rPr>
          <w:lang w:eastAsia="ja-JP"/>
        </w:rPr>
      </w:pPr>
    </w:p>
    <w:p w14:paraId="06E95405" w14:textId="77777777" w:rsidR="00495655" w:rsidRDefault="00945EAD" w:rsidP="005B18BE">
      <w:pPr>
        <w:pStyle w:val="Quote"/>
        <w:rPr>
          <w:rFonts w:eastAsia="MS Mincho"/>
          <w:lang w:eastAsia="ja-JP"/>
        </w:rPr>
      </w:pPr>
      <w:r w:rsidRPr="00FB6BE4">
        <w:t xml:space="preserve">During the era of </w:t>
      </w:r>
      <w:r w:rsidR="008712DB">
        <w:t xml:space="preserve">the </w:t>
      </w:r>
      <w:r w:rsidRPr="00FB6BE4">
        <w:t xml:space="preserve">Liberal Democratic Party (LDP) </w:t>
      </w:r>
      <w:r>
        <w:rPr>
          <w:rFonts w:hint="eastAsia"/>
        </w:rPr>
        <w:t>g</w:t>
      </w:r>
      <w:r w:rsidRPr="00FB6BE4">
        <w:t xml:space="preserve">overnment, the core executive pursued discretional regulation within inner regulatory policy communities as a strategy to sustain its position of asymmetric dominance over </w:t>
      </w:r>
      <w:r>
        <w:t xml:space="preserve">actors within </w:t>
      </w:r>
      <w:r w:rsidRPr="00FB6BE4">
        <w:t>key policy sectors</w:t>
      </w:r>
      <w:r>
        <w:rPr>
          <w:rFonts w:hint="eastAsia"/>
        </w:rPr>
        <w:t xml:space="preserve">, with their actions shaped by a </w:t>
      </w:r>
      <w:r>
        <w:t>particular</w:t>
      </w:r>
      <w:r>
        <w:rPr>
          <w:rFonts w:hint="eastAsia"/>
        </w:rPr>
        <w:t xml:space="preserve"> set of structures</w:t>
      </w:r>
      <w:r>
        <w:rPr>
          <w:rFonts w:eastAsia="MS Mincho" w:hint="eastAsia"/>
          <w:lang w:eastAsia="ja-JP"/>
        </w:rPr>
        <w:t>.</w:t>
      </w:r>
    </w:p>
    <w:p w14:paraId="404902AE" w14:textId="77777777" w:rsidR="007D1693" w:rsidRDefault="007D1693" w:rsidP="007D1693">
      <w:pPr>
        <w:ind w:firstLine="284"/>
        <w:rPr>
          <w:lang w:eastAsia="ja-JP"/>
        </w:rPr>
      </w:pPr>
    </w:p>
    <w:p w14:paraId="4BF8B643" w14:textId="0056E7C4" w:rsidR="007D1693" w:rsidRPr="00945EAD" w:rsidRDefault="007D1693" w:rsidP="001F26AC">
      <w:pPr>
        <w:rPr>
          <w:rFonts w:eastAsia="MS Mincho"/>
          <w:lang w:eastAsia="ja-JP"/>
        </w:rPr>
      </w:pPr>
      <w:r>
        <w:rPr>
          <w:rFonts w:hint="eastAsia"/>
          <w:lang w:eastAsia="ja-JP"/>
        </w:rPr>
        <w:t xml:space="preserve">The core executive under </w:t>
      </w:r>
      <w:r w:rsidR="0046334D">
        <w:rPr>
          <w:lang w:eastAsia="ja-JP"/>
        </w:rPr>
        <w:t xml:space="preserve">the </w:t>
      </w:r>
      <w:r>
        <w:rPr>
          <w:rFonts w:hint="eastAsia"/>
          <w:lang w:eastAsia="ja-JP"/>
        </w:rPr>
        <w:t>LDP g</w:t>
      </w:r>
      <w:r>
        <w:rPr>
          <w:lang w:eastAsia="ja-JP"/>
        </w:rPr>
        <w:t>o</w:t>
      </w:r>
      <w:r>
        <w:rPr>
          <w:rFonts w:hint="eastAsia"/>
          <w:lang w:eastAsia="ja-JP"/>
        </w:rPr>
        <w:t xml:space="preserve">vernment sustained its asymmetric dominance in ICT regulation and antimonopoly regulation through its decision making process, in which key decisions were </w:t>
      </w:r>
      <w:r w:rsidR="00614332">
        <w:rPr>
          <w:lang w:eastAsia="ja-JP"/>
        </w:rPr>
        <w:t>shaped</w:t>
      </w:r>
      <w:r>
        <w:rPr>
          <w:rFonts w:hint="eastAsia"/>
          <w:lang w:eastAsia="ja-JP"/>
        </w:rPr>
        <w:t xml:space="preserve"> within a closed community composed of key party politicians. </w:t>
      </w:r>
      <w:r w:rsidR="008B5759">
        <w:rPr>
          <w:lang w:eastAsia="ja-JP"/>
        </w:rPr>
        <w:t xml:space="preserve">Operating in </w:t>
      </w:r>
      <w:r>
        <w:rPr>
          <w:rFonts w:hint="eastAsia"/>
          <w:lang w:eastAsia="ja-JP"/>
        </w:rPr>
        <w:t>an interdependent relationship with civil servants in line with Smith</w:t>
      </w:r>
      <w:r>
        <w:rPr>
          <w:lang w:eastAsia="ja-JP"/>
        </w:rPr>
        <w:t>’</w:t>
      </w:r>
      <w:r>
        <w:rPr>
          <w:rFonts w:hint="eastAsia"/>
          <w:lang w:eastAsia="ja-JP"/>
        </w:rPr>
        <w:t xml:space="preserve">s (1999) analysis, party politicians under </w:t>
      </w:r>
      <w:r w:rsidR="0046334D">
        <w:rPr>
          <w:lang w:eastAsia="ja-JP"/>
        </w:rPr>
        <w:t xml:space="preserve">the </w:t>
      </w:r>
      <w:r>
        <w:rPr>
          <w:rFonts w:hint="eastAsia"/>
          <w:lang w:eastAsia="ja-JP"/>
        </w:rPr>
        <w:t xml:space="preserve">LDP government exercised their discretional </w:t>
      </w:r>
      <w:r w:rsidR="00945EAD">
        <w:rPr>
          <w:rFonts w:eastAsia="MS Mincho" w:hint="eastAsia"/>
          <w:lang w:eastAsia="ja-JP"/>
        </w:rPr>
        <w:t xml:space="preserve">policy making </w:t>
      </w:r>
      <w:r>
        <w:rPr>
          <w:rFonts w:hint="eastAsia"/>
          <w:lang w:eastAsia="ja-JP"/>
        </w:rPr>
        <w:t>in the political parties</w:t>
      </w:r>
      <w:r>
        <w:rPr>
          <w:lang w:eastAsia="ja-JP"/>
        </w:rPr>
        <w:t>’</w:t>
      </w:r>
      <w:r>
        <w:rPr>
          <w:rFonts w:hint="eastAsia"/>
          <w:lang w:eastAsia="ja-JP"/>
        </w:rPr>
        <w:t xml:space="preserve"> internal organisations such as the LDP PARC </w:t>
      </w:r>
      <w:r w:rsidR="00BB46CB">
        <w:rPr>
          <w:rFonts w:hint="eastAsia"/>
          <w:lang w:eastAsia="ja-JP"/>
        </w:rPr>
        <w:t>(</w:t>
      </w:r>
      <w:r w:rsidR="00BB46CB">
        <w:rPr>
          <w:lang w:eastAsia="ja-JP"/>
        </w:rPr>
        <w:t>Policy Affairs Research Council</w:t>
      </w:r>
      <w:r w:rsidR="00BB46CB">
        <w:rPr>
          <w:rFonts w:hint="eastAsia"/>
          <w:lang w:eastAsia="ja-JP"/>
        </w:rPr>
        <w:t>)</w:t>
      </w:r>
      <w:r w:rsidR="008B5759">
        <w:rPr>
          <w:lang w:eastAsia="ja-JP"/>
        </w:rPr>
        <w:t xml:space="preserve">. </w:t>
      </w:r>
      <w:r w:rsidR="000E5CDC">
        <w:rPr>
          <w:lang w:eastAsia="ja-JP"/>
        </w:rPr>
        <w:t xml:space="preserve">Ruling parties’ internal organisations functioned </w:t>
      </w:r>
      <w:r w:rsidR="009B29E0">
        <w:rPr>
          <w:lang w:eastAsia="ja-JP"/>
        </w:rPr>
        <w:t xml:space="preserve">as a key governing tool </w:t>
      </w:r>
      <w:r w:rsidR="00D2691F">
        <w:rPr>
          <w:lang w:eastAsia="ja-JP"/>
        </w:rPr>
        <w:t xml:space="preserve">for the core executive </w:t>
      </w:r>
      <w:r w:rsidR="009B29E0">
        <w:rPr>
          <w:lang w:eastAsia="ja-JP"/>
        </w:rPr>
        <w:t xml:space="preserve">within the sectors such as ICT regulation and antimonopoly regulation </w:t>
      </w:r>
      <w:r w:rsidR="002E66AC">
        <w:rPr>
          <w:lang w:eastAsia="ja-JP"/>
        </w:rPr>
        <w:t>in an earl</w:t>
      </w:r>
      <w:r w:rsidR="00D2691F">
        <w:rPr>
          <w:lang w:eastAsia="ja-JP"/>
        </w:rPr>
        <w:t>y</w:t>
      </w:r>
      <w:r w:rsidR="002E66AC">
        <w:rPr>
          <w:lang w:eastAsia="ja-JP"/>
        </w:rPr>
        <w:t xml:space="preserve"> part of the period between the 1980s and 2000s</w:t>
      </w:r>
      <w:r w:rsidR="007F3E8F">
        <w:rPr>
          <w:lang w:eastAsia="ja-JP"/>
        </w:rPr>
        <w:t xml:space="preserve">. As </w:t>
      </w:r>
      <w:r w:rsidR="00DB07C3">
        <w:rPr>
          <w:lang w:eastAsia="ja-JP"/>
        </w:rPr>
        <w:t>time passed</w:t>
      </w:r>
      <w:r w:rsidR="007F3E8F">
        <w:rPr>
          <w:lang w:eastAsia="ja-JP"/>
        </w:rPr>
        <w:t xml:space="preserve">, </w:t>
      </w:r>
      <w:r w:rsidR="002E66AC">
        <w:rPr>
          <w:lang w:eastAsia="ja-JP"/>
        </w:rPr>
        <w:t xml:space="preserve">actors with </w:t>
      </w:r>
      <w:r w:rsidR="00A14708">
        <w:rPr>
          <w:lang w:eastAsia="ja-JP"/>
        </w:rPr>
        <w:t xml:space="preserve">a </w:t>
      </w:r>
      <w:r w:rsidR="002E66AC">
        <w:rPr>
          <w:lang w:eastAsia="ja-JP"/>
        </w:rPr>
        <w:t>formal institutional basis such as Prime Ministers and Cabinet Ministers became more significant</w:t>
      </w:r>
      <w:r w:rsidR="002B2CF6">
        <w:rPr>
          <w:lang w:eastAsia="ja-JP"/>
        </w:rPr>
        <w:t xml:space="preserve"> and</w:t>
      </w:r>
      <w:r w:rsidR="007F3E8F">
        <w:rPr>
          <w:lang w:eastAsia="ja-JP"/>
        </w:rPr>
        <w:t xml:space="preserve"> </w:t>
      </w:r>
      <w:r w:rsidR="002E66AC">
        <w:rPr>
          <w:lang w:eastAsia="ja-JP"/>
        </w:rPr>
        <w:t xml:space="preserve">previous key governing tools such as the PARC lost their </w:t>
      </w:r>
      <w:r w:rsidR="006F51B8">
        <w:rPr>
          <w:lang w:eastAsia="ja-JP"/>
        </w:rPr>
        <w:t>influence</w:t>
      </w:r>
      <w:r w:rsidR="002E66AC">
        <w:rPr>
          <w:lang w:eastAsia="ja-JP"/>
        </w:rPr>
        <w:t xml:space="preserve"> (Krauss and Pekkanen 2002 p.24</w:t>
      </w:r>
      <w:r w:rsidR="00D2691F">
        <w:rPr>
          <w:lang w:eastAsia="ja-JP"/>
        </w:rPr>
        <w:t>2</w:t>
      </w:r>
      <w:r w:rsidR="002E66AC">
        <w:rPr>
          <w:lang w:eastAsia="ja-JP"/>
        </w:rPr>
        <w:t xml:space="preserve">). </w:t>
      </w:r>
      <w:r w:rsidR="002B2CF6">
        <w:rPr>
          <w:lang w:eastAsia="ja-JP"/>
        </w:rPr>
        <w:t xml:space="preserve">This set of change was highlighted by longitudinal data obtained by Muramatsu and his associate, which reveal that civil servants recognised the decline of </w:t>
      </w:r>
      <w:r w:rsidR="002B2CF6" w:rsidRPr="005B18BE">
        <w:rPr>
          <w:i/>
          <w:iCs/>
          <w:lang w:eastAsia="ja-JP"/>
        </w:rPr>
        <w:t>Zoku Gi’in</w:t>
      </w:r>
      <w:r w:rsidR="002B2CF6">
        <w:rPr>
          <w:lang w:eastAsia="ja-JP"/>
        </w:rPr>
        <w:t xml:space="preserve"> and the PARC</w:t>
      </w:r>
      <w:r w:rsidR="008523A5">
        <w:rPr>
          <w:lang w:eastAsia="ja-JP"/>
        </w:rPr>
        <w:t xml:space="preserve"> between 1987 and 2002</w:t>
      </w:r>
      <w:r w:rsidR="002B2CF6">
        <w:rPr>
          <w:lang w:eastAsia="ja-JP"/>
        </w:rPr>
        <w:t xml:space="preserve"> (Krauss and Pekkanen 2011 p.242). </w:t>
      </w:r>
      <w:r w:rsidR="002E66AC">
        <w:rPr>
          <w:lang w:eastAsia="ja-JP"/>
        </w:rPr>
        <w:t xml:space="preserve">However, </w:t>
      </w:r>
      <w:r w:rsidR="00C43614">
        <w:rPr>
          <w:lang w:eastAsia="ja-JP"/>
        </w:rPr>
        <w:t xml:space="preserve">despite </w:t>
      </w:r>
      <w:r w:rsidR="00A14708">
        <w:rPr>
          <w:lang w:eastAsia="ja-JP"/>
        </w:rPr>
        <w:t>its internal change</w:t>
      </w:r>
      <w:r w:rsidR="00C43614">
        <w:rPr>
          <w:lang w:eastAsia="ja-JP"/>
        </w:rPr>
        <w:t xml:space="preserve">, </w:t>
      </w:r>
      <w:r w:rsidR="002E66AC">
        <w:rPr>
          <w:lang w:eastAsia="ja-JP"/>
        </w:rPr>
        <w:t xml:space="preserve">the group of ruling party politicians as a whole has </w:t>
      </w:r>
      <w:r w:rsidR="00C43614">
        <w:rPr>
          <w:lang w:eastAsia="ja-JP"/>
        </w:rPr>
        <w:t xml:space="preserve">sustained </w:t>
      </w:r>
      <w:r w:rsidR="00A14708">
        <w:rPr>
          <w:lang w:eastAsia="ja-JP"/>
        </w:rPr>
        <w:t>its</w:t>
      </w:r>
      <w:r w:rsidR="00C43614">
        <w:rPr>
          <w:lang w:eastAsia="ja-JP"/>
        </w:rPr>
        <w:t xml:space="preserve"> position of asymmetric dominance in ICT regulation and antimonopoly regulation</w:t>
      </w:r>
      <w:r w:rsidR="007A2DD6">
        <w:rPr>
          <w:lang w:eastAsia="ja-JP"/>
        </w:rPr>
        <w:t xml:space="preserve">, </w:t>
      </w:r>
      <w:r w:rsidR="006F51B8">
        <w:rPr>
          <w:lang w:eastAsia="ja-JP"/>
        </w:rPr>
        <w:t>in conjunction</w:t>
      </w:r>
      <w:r w:rsidR="007A2DD6">
        <w:rPr>
          <w:lang w:eastAsia="ja-JP"/>
        </w:rPr>
        <w:t xml:space="preserve"> with their civil servant counterparts</w:t>
      </w:r>
      <w:r w:rsidR="00C43614">
        <w:rPr>
          <w:lang w:eastAsia="ja-JP"/>
        </w:rPr>
        <w:t>.</w:t>
      </w:r>
      <w:r w:rsidR="002E66AC">
        <w:rPr>
          <w:lang w:eastAsia="ja-JP"/>
        </w:rPr>
        <w:t xml:space="preserve"> </w:t>
      </w:r>
      <w:r>
        <w:rPr>
          <w:rFonts w:hint="eastAsia"/>
          <w:lang w:eastAsia="ja-JP"/>
        </w:rPr>
        <w:t>T</w:t>
      </w:r>
      <w:r>
        <w:rPr>
          <w:lang w:eastAsia="ja-JP"/>
        </w:rPr>
        <w:t>h</w:t>
      </w:r>
      <w:r>
        <w:rPr>
          <w:rFonts w:hint="eastAsia"/>
          <w:lang w:eastAsia="ja-JP"/>
        </w:rPr>
        <w:t>is can be understood as a version of asymmetric dominance of Japan</w:t>
      </w:r>
      <w:r>
        <w:rPr>
          <w:lang w:eastAsia="ja-JP"/>
        </w:rPr>
        <w:t>’</w:t>
      </w:r>
      <w:r>
        <w:rPr>
          <w:rFonts w:hint="eastAsia"/>
          <w:lang w:eastAsia="ja-JP"/>
        </w:rPr>
        <w:t>s core executive between the 1980s and 2000s.</w:t>
      </w:r>
      <w:r w:rsidR="00945EAD">
        <w:rPr>
          <w:rFonts w:eastAsia="MS Mincho" w:hint="eastAsia"/>
          <w:lang w:eastAsia="ja-JP"/>
        </w:rPr>
        <w:t xml:space="preserve"> </w:t>
      </w:r>
      <w:r w:rsidR="00945EAD">
        <w:t>The nature</w:t>
      </w:r>
      <w:r w:rsidR="00945EAD" w:rsidRPr="00A94D47">
        <w:rPr>
          <w:rFonts w:hint="eastAsia"/>
        </w:rPr>
        <w:t xml:space="preserve"> of the Japanese regulatory state </w:t>
      </w:r>
      <w:r w:rsidR="00945EAD">
        <w:t>is</w:t>
      </w:r>
      <w:r w:rsidR="00945EAD" w:rsidRPr="00A94D47">
        <w:rPr>
          <w:rFonts w:hint="eastAsia"/>
        </w:rPr>
        <w:t xml:space="preserve"> the </w:t>
      </w:r>
      <w:r w:rsidR="00945EAD">
        <w:rPr>
          <w:rFonts w:hint="eastAsia"/>
        </w:rPr>
        <w:t xml:space="preserve">asymmetric </w:t>
      </w:r>
      <w:r w:rsidR="00945EAD" w:rsidRPr="00A94D47">
        <w:rPr>
          <w:rFonts w:hint="eastAsia"/>
        </w:rPr>
        <w:t>dominance of the core</w:t>
      </w:r>
      <w:r w:rsidR="00945EAD">
        <w:rPr>
          <w:rFonts w:hint="eastAsia"/>
        </w:rPr>
        <w:t xml:space="preserve"> executive.</w:t>
      </w:r>
    </w:p>
    <w:p w14:paraId="1F74F525" w14:textId="77777777" w:rsidR="007D1693" w:rsidRDefault="007D1693" w:rsidP="007D1693">
      <w:pPr>
        <w:rPr>
          <w:lang w:eastAsia="ja-JP"/>
        </w:rPr>
      </w:pPr>
    </w:p>
    <w:p w14:paraId="64ED46E2" w14:textId="77777777" w:rsidR="007D1693" w:rsidRDefault="007D1693" w:rsidP="007D1693">
      <w:pPr>
        <w:rPr>
          <w:lang w:eastAsia="ja-JP"/>
        </w:rPr>
      </w:pPr>
    </w:p>
    <w:p w14:paraId="7DC54003" w14:textId="77777777" w:rsidR="008A5EAB" w:rsidRPr="007F1BC2" w:rsidRDefault="008A5EAB" w:rsidP="00050D4B">
      <w:pPr>
        <w:pStyle w:val="Heading2"/>
      </w:pPr>
      <w:bookmarkStart w:id="71" w:name="_Toc349741393"/>
      <w:r>
        <w:t>7</w:t>
      </w:r>
      <w:r>
        <w:rPr>
          <w:rFonts w:hint="eastAsia"/>
        </w:rPr>
        <w:t>.4</w:t>
      </w:r>
      <w:r>
        <w:rPr>
          <w:rFonts w:hint="eastAsia"/>
        </w:rPr>
        <w:tab/>
        <w:t>The implication of this research</w:t>
      </w:r>
      <w:bookmarkEnd w:id="71"/>
    </w:p>
    <w:p w14:paraId="1335B338" w14:textId="77777777" w:rsidR="008A5EAB" w:rsidRDefault="008A5EAB" w:rsidP="004576EF">
      <w:r>
        <w:rPr>
          <w:rFonts w:hint="eastAsia"/>
        </w:rPr>
        <w:t>The exploration of this thesis has revealed the asym</w:t>
      </w:r>
      <w:r>
        <w:rPr>
          <w:rFonts w:hint="eastAsia"/>
          <w:lang w:eastAsia="ja-JP"/>
        </w:rPr>
        <w:t>m</w:t>
      </w:r>
      <w:r>
        <w:rPr>
          <w:rFonts w:hint="eastAsia"/>
        </w:rPr>
        <w:t xml:space="preserve">etric dominance of the core executive in both ICT regulation and antimonopoly regulation between the 1980s and 2000s in Japan. The key decision making process was </w:t>
      </w:r>
      <w:r>
        <w:t>occupied</w:t>
      </w:r>
      <w:r>
        <w:rPr>
          <w:rFonts w:hint="eastAsia"/>
        </w:rPr>
        <w:t xml:space="preserve"> by the community of the core executive. The group of ruling party politicians outside the </w:t>
      </w:r>
      <w:r w:rsidR="004576EF">
        <w:t>C</w:t>
      </w:r>
      <w:r>
        <w:rPr>
          <w:rFonts w:hint="eastAsia"/>
        </w:rPr>
        <w:t>abinet and civil servants responsible for the fields (MPT/MIC, JFTC) formed the community which other societal actors had difficulty join</w:t>
      </w:r>
      <w:r w:rsidR="0046334D">
        <w:t>ing</w:t>
      </w:r>
      <w:r>
        <w:rPr>
          <w:rFonts w:hint="eastAsia"/>
        </w:rPr>
        <w:t xml:space="preserve"> (although lobbying to them was possible). </w:t>
      </w:r>
      <w:r>
        <w:t>T</w:t>
      </w:r>
      <w:r>
        <w:rPr>
          <w:rFonts w:hint="eastAsia"/>
        </w:rPr>
        <w:t>he outcome of this thesis therefore endorses its proposition.</w:t>
      </w:r>
    </w:p>
    <w:p w14:paraId="0E293633" w14:textId="001254AC" w:rsidR="008A5EAB" w:rsidRDefault="008A5EAB" w:rsidP="001F052A">
      <w:pPr>
        <w:ind w:firstLine="284"/>
      </w:pPr>
      <w:r>
        <w:rPr>
          <w:rFonts w:hint="eastAsia"/>
        </w:rPr>
        <w:t xml:space="preserve">By focusing on the transformation of the Japanese state in two regulatory fields (ICT regulation, antimonopoly regulation), this thesis has revealed how the Japanese state has been </w:t>
      </w:r>
      <w:r>
        <w:t>transformed</w:t>
      </w:r>
      <w:r>
        <w:rPr>
          <w:rFonts w:hint="eastAsia"/>
        </w:rPr>
        <w:t xml:space="preserve"> in order t</w:t>
      </w:r>
      <w:r w:rsidR="0046334D">
        <w:t>o</w:t>
      </w:r>
      <w:r>
        <w:rPr>
          <w:rFonts w:hint="eastAsia"/>
        </w:rPr>
        <w:t xml:space="preserve"> respond to the challenges. </w:t>
      </w:r>
      <w:r w:rsidR="000F17C7">
        <w:t>In these sectors, the</w:t>
      </w:r>
      <w:r w:rsidR="009D789F">
        <w:rPr>
          <w:rFonts w:hint="eastAsia"/>
          <w:lang w:eastAsia="ja-JP"/>
        </w:rPr>
        <w:t xml:space="preserve"> change of governance in Japan </w:t>
      </w:r>
      <w:r w:rsidR="009C3C11">
        <w:rPr>
          <w:rFonts w:hint="eastAsia"/>
          <w:lang w:eastAsia="ja-JP"/>
        </w:rPr>
        <w:t xml:space="preserve">prompted the Japanese state to reconstitute itself through the adaptation process of the core executive to the emerging challenges. Exploring the two case studies in ICT regulation and antimonopoly regulation </w:t>
      </w:r>
      <w:r w:rsidR="00EF5A45">
        <w:rPr>
          <w:rFonts w:hint="eastAsia"/>
          <w:lang w:eastAsia="ja-JP"/>
        </w:rPr>
        <w:t xml:space="preserve">between the 1980s and 2000s </w:t>
      </w:r>
      <w:r w:rsidR="009C3C11">
        <w:rPr>
          <w:rFonts w:hint="eastAsia"/>
          <w:lang w:eastAsia="ja-JP"/>
        </w:rPr>
        <w:t>ha</w:t>
      </w:r>
      <w:r w:rsidR="0046334D">
        <w:rPr>
          <w:lang w:eastAsia="ja-JP"/>
        </w:rPr>
        <w:t>s</w:t>
      </w:r>
      <w:r w:rsidR="009C3C11">
        <w:rPr>
          <w:rFonts w:hint="eastAsia"/>
          <w:lang w:eastAsia="ja-JP"/>
        </w:rPr>
        <w:t xml:space="preserve"> revealed </w:t>
      </w:r>
      <w:r w:rsidR="00724558">
        <w:rPr>
          <w:rFonts w:hint="eastAsia"/>
          <w:lang w:eastAsia="ja-JP"/>
        </w:rPr>
        <w:t>that the Japanese state at a macro level has been transformed through the core executive</w:t>
      </w:r>
      <w:r w:rsidR="00724558">
        <w:rPr>
          <w:lang w:eastAsia="ja-JP"/>
        </w:rPr>
        <w:t>’</w:t>
      </w:r>
      <w:r w:rsidR="00724558">
        <w:rPr>
          <w:rFonts w:hint="eastAsia"/>
          <w:lang w:eastAsia="ja-JP"/>
        </w:rPr>
        <w:t xml:space="preserve">s response to the challenges in the sectors based on the fluid change of power within the core executive. </w:t>
      </w:r>
      <w:r w:rsidR="005F5930">
        <w:rPr>
          <w:lang w:eastAsia="ja-JP"/>
        </w:rPr>
        <w:t xml:space="preserve">This finding drawn from the two case studies </w:t>
      </w:r>
      <w:r w:rsidR="001E2BE9">
        <w:rPr>
          <w:lang w:eastAsia="ja-JP"/>
        </w:rPr>
        <w:t xml:space="preserve">can be highlighted </w:t>
      </w:r>
      <w:r w:rsidR="009F25A3">
        <w:rPr>
          <w:lang w:eastAsia="ja-JP"/>
        </w:rPr>
        <w:t xml:space="preserve">with reference to the </w:t>
      </w:r>
      <w:r w:rsidR="001E2BE9">
        <w:rPr>
          <w:lang w:eastAsia="ja-JP"/>
        </w:rPr>
        <w:t xml:space="preserve">literature on Japan and its state system in the 2000s. </w:t>
      </w:r>
      <w:r w:rsidR="000F17C7">
        <w:rPr>
          <w:lang w:eastAsia="ja-JP"/>
        </w:rPr>
        <w:t xml:space="preserve">If one </w:t>
      </w:r>
      <w:r w:rsidR="009F25A3">
        <w:rPr>
          <w:lang w:eastAsia="ja-JP"/>
        </w:rPr>
        <w:t xml:space="preserve">draws on both </w:t>
      </w:r>
      <w:r w:rsidR="002B2B2F">
        <w:rPr>
          <w:lang w:eastAsia="ja-JP"/>
        </w:rPr>
        <w:t xml:space="preserve">the </w:t>
      </w:r>
      <w:r w:rsidR="009F25A3">
        <w:rPr>
          <w:lang w:eastAsia="ja-JP"/>
        </w:rPr>
        <w:t xml:space="preserve">analyses presented in Chapter 5 and 6 alongside other literature on </w:t>
      </w:r>
      <w:r w:rsidR="000F17C7">
        <w:rPr>
          <w:lang w:eastAsia="ja-JP"/>
        </w:rPr>
        <w:t>the Japanese state (e.g. Wright 2002, George</w:t>
      </w:r>
      <w:r w:rsidR="00B70991">
        <w:rPr>
          <w:lang w:eastAsia="ja-JP"/>
        </w:rPr>
        <w:t xml:space="preserve"> </w:t>
      </w:r>
      <w:r w:rsidR="000F17C7">
        <w:rPr>
          <w:lang w:eastAsia="ja-JP"/>
        </w:rPr>
        <w:t xml:space="preserve">Mulgan 2005, 2006), what </w:t>
      </w:r>
      <w:r w:rsidR="009F25A3">
        <w:rPr>
          <w:lang w:eastAsia="ja-JP"/>
        </w:rPr>
        <w:t xml:space="preserve">emerges is </w:t>
      </w:r>
      <w:r w:rsidR="002B2B2F">
        <w:rPr>
          <w:lang w:eastAsia="ja-JP"/>
        </w:rPr>
        <w:t xml:space="preserve">the dominant power of the core executive. </w:t>
      </w:r>
      <w:r w:rsidR="009F25A3">
        <w:rPr>
          <w:lang w:eastAsia="ja-JP"/>
        </w:rPr>
        <w:t>For example, t</w:t>
      </w:r>
      <w:r w:rsidR="002B2B2F">
        <w:rPr>
          <w:lang w:eastAsia="ja-JP"/>
        </w:rPr>
        <w:t xml:space="preserve">hroughout his exploration of Japan’s fiscal policy between the 1970s and 2000s, </w:t>
      </w:r>
      <w:r w:rsidR="0047535E">
        <w:rPr>
          <w:lang w:eastAsia="ja-JP"/>
        </w:rPr>
        <w:t xml:space="preserve">Wright (2002) illuminates the complicated decision making mechanism of Japan’s fiscal policy, in which </w:t>
      </w:r>
      <w:r w:rsidR="002B2B2F">
        <w:rPr>
          <w:lang w:eastAsia="ja-JP"/>
        </w:rPr>
        <w:t xml:space="preserve">negotiation </w:t>
      </w:r>
      <w:r w:rsidR="0047535E">
        <w:rPr>
          <w:lang w:eastAsia="ja-JP"/>
        </w:rPr>
        <w:t>involving</w:t>
      </w:r>
      <w:r w:rsidR="002B2B2F">
        <w:rPr>
          <w:lang w:eastAsia="ja-JP"/>
        </w:rPr>
        <w:t xml:space="preserve"> the community of the MOF (Ministry of Finance), Spending Ministries</w:t>
      </w:r>
      <w:r w:rsidR="0047535E">
        <w:rPr>
          <w:lang w:eastAsia="ja-JP"/>
        </w:rPr>
        <w:t xml:space="preserve"> and Agencies</w:t>
      </w:r>
      <w:r w:rsidR="002B2B2F">
        <w:rPr>
          <w:lang w:eastAsia="ja-JP"/>
        </w:rPr>
        <w:t xml:space="preserve"> such as the Ministry of Land, Infrastructure, Transport, and Tourism</w:t>
      </w:r>
      <w:r w:rsidR="0047535E">
        <w:rPr>
          <w:lang w:eastAsia="ja-JP"/>
        </w:rPr>
        <w:t xml:space="preserve">, 50-60 FILP </w:t>
      </w:r>
      <w:r w:rsidR="005F5930">
        <w:rPr>
          <w:lang w:eastAsia="ja-JP"/>
        </w:rPr>
        <w:t xml:space="preserve">(Fiscal Investment and Loan Programme) </w:t>
      </w:r>
      <w:r w:rsidR="0047535E">
        <w:rPr>
          <w:lang w:eastAsia="ja-JP"/>
        </w:rPr>
        <w:t>agencies, a host of statu</w:t>
      </w:r>
      <w:r w:rsidR="001E2BE9">
        <w:rPr>
          <w:lang w:eastAsia="ja-JP"/>
        </w:rPr>
        <w:t>tory</w:t>
      </w:r>
      <w:r w:rsidR="0047535E">
        <w:rPr>
          <w:lang w:eastAsia="ja-JP"/>
        </w:rPr>
        <w:t xml:space="preserve"> and ad hoc advisory councils, formal and informal LDP organisations, representative associations of producer groups, and prefectural and local governments. </w:t>
      </w:r>
      <w:r w:rsidR="00891CAC">
        <w:rPr>
          <w:lang w:eastAsia="ja-JP"/>
        </w:rPr>
        <w:t xml:space="preserve">His account reveals the </w:t>
      </w:r>
      <w:r w:rsidR="001E2BE9">
        <w:rPr>
          <w:lang w:eastAsia="ja-JP"/>
        </w:rPr>
        <w:t>persistent</w:t>
      </w:r>
      <w:r w:rsidR="00891CAC">
        <w:rPr>
          <w:lang w:eastAsia="ja-JP"/>
        </w:rPr>
        <w:t xml:space="preserve"> dominance of the core executive </w:t>
      </w:r>
      <w:r w:rsidR="009F25A3">
        <w:rPr>
          <w:lang w:eastAsia="ja-JP"/>
        </w:rPr>
        <w:t xml:space="preserve">within this </w:t>
      </w:r>
      <w:r w:rsidR="001E2BE9">
        <w:rPr>
          <w:lang w:eastAsia="ja-JP"/>
        </w:rPr>
        <w:t>sector</w:t>
      </w:r>
      <w:r w:rsidR="00891CAC">
        <w:rPr>
          <w:lang w:eastAsia="ja-JP"/>
        </w:rPr>
        <w:t xml:space="preserve">, which can be exemplified by the MOF. </w:t>
      </w:r>
      <w:r w:rsidR="009F25A3">
        <w:rPr>
          <w:lang w:eastAsia="ja-JP"/>
        </w:rPr>
        <w:t xml:space="preserve">Elsewhere, </w:t>
      </w:r>
      <w:r w:rsidR="00B205A6">
        <w:rPr>
          <w:lang w:eastAsia="ja-JP"/>
        </w:rPr>
        <w:t xml:space="preserve">George </w:t>
      </w:r>
      <w:r w:rsidR="00891CAC">
        <w:rPr>
          <w:lang w:eastAsia="ja-JP"/>
        </w:rPr>
        <w:t>Mulgan (2005, 2006) i</w:t>
      </w:r>
      <w:r w:rsidR="009F25A3">
        <w:rPr>
          <w:lang w:eastAsia="ja-JP"/>
        </w:rPr>
        <w:t xml:space="preserve">n a similar vein identifies </w:t>
      </w:r>
      <w:r w:rsidR="00891CAC">
        <w:rPr>
          <w:lang w:eastAsia="ja-JP"/>
        </w:rPr>
        <w:t>the MAFF (</w:t>
      </w:r>
      <w:r w:rsidR="005D485D">
        <w:rPr>
          <w:lang w:eastAsia="ja-JP"/>
        </w:rPr>
        <w:t>Ministry</w:t>
      </w:r>
      <w:r w:rsidR="00891CAC">
        <w:rPr>
          <w:lang w:eastAsia="ja-JP"/>
        </w:rPr>
        <w:t xml:space="preserve"> of Agriculture, Forestry, and Fisheries) as a significant actor in shaping policies in Agriculture. </w:t>
      </w:r>
      <w:r w:rsidR="00675EE3">
        <w:rPr>
          <w:lang w:eastAsia="ja-JP"/>
        </w:rPr>
        <w:t xml:space="preserve">By highlighting the civil servants responsible for the sector (MAFF), </w:t>
      </w:r>
      <w:r w:rsidR="002726D5">
        <w:rPr>
          <w:lang w:eastAsia="ja-JP"/>
        </w:rPr>
        <w:t xml:space="preserve">her analysis reveals the MAFF’s skilful </w:t>
      </w:r>
      <w:r w:rsidR="00B70991">
        <w:rPr>
          <w:lang w:eastAsia="ja-JP"/>
        </w:rPr>
        <w:t>approach to retain its power and what she calls the ‘interventionis</w:t>
      </w:r>
      <w:r w:rsidR="007604D2">
        <w:rPr>
          <w:lang w:eastAsia="ja-JP"/>
        </w:rPr>
        <w:t>t</w:t>
      </w:r>
      <w:r w:rsidR="00B70991">
        <w:rPr>
          <w:lang w:eastAsia="ja-JP"/>
        </w:rPr>
        <w:t xml:space="preserve"> state’</w:t>
      </w:r>
      <w:r w:rsidR="001F052A">
        <w:rPr>
          <w:lang w:eastAsia="ja-JP"/>
        </w:rPr>
        <w:t xml:space="preserve"> </w:t>
      </w:r>
      <w:r w:rsidR="00B70991">
        <w:rPr>
          <w:lang w:eastAsia="ja-JP"/>
        </w:rPr>
        <w:t>(George Mulgan 2005 pp.9-44)</w:t>
      </w:r>
      <w:r w:rsidR="009F25A3">
        <w:rPr>
          <w:lang w:eastAsia="ja-JP"/>
        </w:rPr>
        <w:t xml:space="preserve">. Here, </w:t>
      </w:r>
      <w:r w:rsidR="00B70991">
        <w:rPr>
          <w:lang w:eastAsia="ja-JP"/>
        </w:rPr>
        <w:t>the MAFF act</w:t>
      </w:r>
      <w:r w:rsidR="001E2BE9">
        <w:rPr>
          <w:lang w:eastAsia="ja-JP"/>
        </w:rPr>
        <w:t>ed</w:t>
      </w:r>
      <w:r w:rsidR="00B70991">
        <w:rPr>
          <w:lang w:eastAsia="ja-JP"/>
        </w:rPr>
        <w:t xml:space="preserve"> to maximise its intervention power through coping with </w:t>
      </w:r>
      <w:r w:rsidR="009F25A3">
        <w:rPr>
          <w:lang w:eastAsia="ja-JP"/>
        </w:rPr>
        <w:t xml:space="preserve">the </w:t>
      </w:r>
      <w:r w:rsidR="00B70991">
        <w:rPr>
          <w:lang w:eastAsia="ja-JP"/>
        </w:rPr>
        <w:t xml:space="preserve">challenges of the day (George Mulgan 2006 p.178-83). </w:t>
      </w:r>
      <w:r w:rsidR="001A4B14">
        <w:rPr>
          <w:lang w:eastAsia="ja-JP"/>
        </w:rPr>
        <w:t xml:space="preserve">What is common between this set of literature and the research </w:t>
      </w:r>
      <w:r w:rsidR="00465731">
        <w:rPr>
          <w:lang w:eastAsia="ja-JP"/>
        </w:rPr>
        <w:t>findings</w:t>
      </w:r>
      <w:r w:rsidR="009F25A3">
        <w:rPr>
          <w:lang w:eastAsia="ja-JP"/>
        </w:rPr>
        <w:t xml:space="preserve"> presented in </w:t>
      </w:r>
      <w:r w:rsidR="001A4B14">
        <w:rPr>
          <w:lang w:eastAsia="ja-JP"/>
        </w:rPr>
        <w:t xml:space="preserve">this thesis is that </w:t>
      </w:r>
      <w:r w:rsidR="009F25A3">
        <w:rPr>
          <w:lang w:eastAsia="ja-JP"/>
        </w:rPr>
        <w:t xml:space="preserve">the </w:t>
      </w:r>
      <w:r w:rsidR="00465731">
        <w:rPr>
          <w:lang w:eastAsia="ja-JP"/>
        </w:rPr>
        <w:t xml:space="preserve">policies in </w:t>
      </w:r>
      <w:r w:rsidR="009F25A3">
        <w:rPr>
          <w:lang w:eastAsia="ja-JP"/>
        </w:rPr>
        <w:t xml:space="preserve">the case studies above </w:t>
      </w:r>
      <w:r w:rsidR="00465731">
        <w:rPr>
          <w:lang w:eastAsia="ja-JP"/>
        </w:rPr>
        <w:t xml:space="preserve">have been formulated through negotiation within </w:t>
      </w:r>
      <w:r w:rsidR="009F25A3">
        <w:rPr>
          <w:lang w:eastAsia="ja-JP"/>
        </w:rPr>
        <w:t>each</w:t>
      </w:r>
      <w:r w:rsidR="00465731">
        <w:rPr>
          <w:lang w:eastAsia="ja-JP"/>
        </w:rPr>
        <w:t xml:space="preserve"> sectors’ core executive.</w:t>
      </w:r>
      <w:r w:rsidR="001F052A">
        <w:rPr>
          <w:lang w:eastAsia="ja-JP"/>
        </w:rPr>
        <w:t xml:space="preserve"> </w:t>
      </w:r>
      <w:r w:rsidR="009F25A3">
        <w:rPr>
          <w:lang w:eastAsia="ja-JP"/>
        </w:rPr>
        <w:t xml:space="preserve">Drawing on both </w:t>
      </w:r>
      <w:r w:rsidR="00D7062C">
        <w:rPr>
          <w:lang w:eastAsia="ja-JP"/>
        </w:rPr>
        <w:t xml:space="preserve">the literature </w:t>
      </w:r>
      <w:r w:rsidR="001E2BE9">
        <w:rPr>
          <w:lang w:eastAsia="ja-JP"/>
        </w:rPr>
        <w:t xml:space="preserve">highlighted above and </w:t>
      </w:r>
      <w:r w:rsidR="009F25A3">
        <w:rPr>
          <w:lang w:eastAsia="ja-JP"/>
        </w:rPr>
        <w:t xml:space="preserve">the findings in </w:t>
      </w:r>
      <w:r w:rsidR="001E2BE9">
        <w:rPr>
          <w:lang w:eastAsia="ja-JP"/>
        </w:rPr>
        <w:t>Chapters 5 and 6</w:t>
      </w:r>
      <w:r w:rsidR="00D7062C">
        <w:rPr>
          <w:lang w:eastAsia="ja-JP"/>
        </w:rPr>
        <w:t xml:space="preserve">, </w:t>
      </w:r>
      <w:r w:rsidR="001E2BE9">
        <w:rPr>
          <w:lang w:eastAsia="ja-JP"/>
        </w:rPr>
        <w:t xml:space="preserve">this </w:t>
      </w:r>
      <w:r w:rsidR="00D7062C">
        <w:rPr>
          <w:lang w:eastAsia="ja-JP"/>
        </w:rPr>
        <w:t>thesis argues that the</w:t>
      </w:r>
      <w:r w:rsidR="00724558">
        <w:rPr>
          <w:rFonts w:hint="eastAsia"/>
          <w:lang w:eastAsia="ja-JP"/>
        </w:rPr>
        <w:t xml:space="preserve"> Japanese state at a macro level has retained its control over society</w:t>
      </w:r>
      <w:r w:rsidR="00A435FC">
        <w:rPr>
          <w:rFonts w:hint="eastAsia"/>
          <w:lang w:eastAsia="ja-JP"/>
        </w:rPr>
        <w:t xml:space="preserve"> </w:t>
      </w:r>
      <w:r w:rsidR="00CC084B">
        <w:rPr>
          <w:rFonts w:hint="eastAsia"/>
          <w:lang w:eastAsia="ja-JP"/>
        </w:rPr>
        <w:t>by its reconstitution</w:t>
      </w:r>
      <w:r w:rsidR="00D7062C">
        <w:rPr>
          <w:lang w:eastAsia="ja-JP"/>
        </w:rPr>
        <w:t xml:space="preserve">; </w:t>
      </w:r>
      <w:r w:rsidR="00C93814">
        <w:rPr>
          <w:lang w:eastAsia="ja-JP"/>
        </w:rPr>
        <w:t xml:space="preserve">the </w:t>
      </w:r>
      <w:r w:rsidR="0040084B">
        <w:rPr>
          <w:lang w:eastAsia="ja-JP"/>
        </w:rPr>
        <w:t xml:space="preserve">empirical </w:t>
      </w:r>
      <w:r w:rsidR="00C93814">
        <w:rPr>
          <w:lang w:eastAsia="ja-JP"/>
        </w:rPr>
        <w:t>evidence to emerge from both the case</w:t>
      </w:r>
      <w:r w:rsidR="009F25A3">
        <w:rPr>
          <w:lang w:eastAsia="ja-JP"/>
        </w:rPr>
        <w:t xml:space="preserve"> </w:t>
      </w:r>
      <w:r w:rsidR="00C93814">
        <w:rPr>
          <w:lang w:eastAsia="ja-JP"/>
        </w:rPr>
        <w:t>studies</w:t>
      </w:r>
      <w:r w:rsidR="009F25A3">
        <w:rPr>
          <w:lang w:eastAsia="ja-JP"/>
        </w:rPr>
        <w:t xml:space="preserve"> – ICT </w:t>
      </w:r>
      <w:r w:rsidR="00D7062C">
        <w:rPr>
          <w:lang w:eastAsia="ja-JP"/>
        </w:rPr>
        <w:t xml:space="preserve">regulation and antimonopoly regulation </w:t>
      </w:r>
      <w:r w:rsidR="00872BDB">
        <w:rPr>
          <w:lang w:eastAsia="ja-JP"/>
        </w:rPr>
        <w:t>between the 1980s and 2000s</w:t>
      </w:r>
      <w:r w:rsidR="009F25A3">
        <w:rPr>
          <w:lang w:eastAsia="ja-JP"/>
        </w:rPr>
        <w:t xml:space="preserve"> – </w:t>
      </w:r>
      <w:r w:rsidR="00C93814">
        <w:rPr>
          <w:lang w:eastAsia="ja-JP"/>
        </w:rPr>
        <w:t>supports this claim</w:t>
      </w:r>
      <w:r w:rsidR="00A435FC">
        <w:rPr>
          <w:rFonts w:hint="eastAsia"/>
          <w:lang w:eastAsia="ja-JP"/>
        </w:rPr>
        <w:t xml:space="preserve">. </w:t>
      </w:r>
      <w:r w:rsidR="0040084B">
        <w:rPr>
          <w:lang w:eastAsia="ja-JP"/>
        </w:rPr>
        <w:t xml:space="preserve">In so doing it challenges the main thrust of the approach and arguments presented by both the </w:t>
      </w:r>
      <w:r>
        <w:rPr>
          <w:rFonts w:hint="eastAsia"/>
        </w:rPr>
        <w:t xml:space="preserve">pluralist </w:t>
      </w:r>
      <w:r w:rsidR="0040084B">
        <w:rPr>
          <w:rFonts w:hint="eastAsia"/>
        </w:rPr>
        <w:t xml:space="preserve">and rational choice literature </w:t>
      </w:r>
      <w:r w:rsidR="0040084B">
        <w:t>on</w:t>
      </w:r>
      <w:r>
        <w:rPr>
          <w:rFonts w:hint="eastAsia"/>
        </w:rPr>
        <w:t xml:space="preserve"> Japan </w:t>
      </w:r>
      <w:r w:rsidR="0040084B">
        <w:t>discussed in Chapter 2</w:t>
      </w:r>
      <w:r>
        <w:rPr>
          <w:rFonts w:hint="eastAsia"/>
        </w:rPr>
        <w:t>.</w:t>
      </w:r>
    </w:p>
    <w:p w14:paraId="5E11079C" w14:textId="77777777" w:rsidR="00F45586" w:rsidRDefault="00CA0DF9" w:rsidP="007F1636">
      <w:pPr>
        <w:ind w:firstLine="284"/>
        <w:rPr>
          <w:lang w:eastAsia="ja-JP"/>
        </w:rPr>
      </w:pPr>
      <w:r>
        <w:rPr>
          <w:rFonts w:hint="eastAsia"/>
          <w:lang w:eastAsia="ja-JP"/>
        </w:rPr>
        <w:t xml:space="preserve">The following </w:t>
      </w:r>
      <w:r w:rsidR="004576EF">
        <w:rPr>
          <w:lang w:eastAsia="ja-JP"/>
        </w:rPr>
        <w:t xml:space="preserve">elaborates the </w:t>
      </w:r>
      <w:r>
        <w:rPr>
          <w:rFonts w:hint="eastAsia"/>
          <w:lang w:eastAsia="ja-JP"/>
        </w:rPr>
        <w:t xml:space="preserve">implications </w:t>
      </w:r>
      <w:r w:rsidR="0046334D">
        <w:rPr>
          <w:lang w:eastAsia="ja-JP"/>
        </w:rPr>
        <w:t xml:space="preserve">that </w:t>
      </w:r>
      <w:r>
        <w:rPr>
          <w:rFonts w:hint="eastAsia"/>
          <w:lang w:eastAsia="ja-JP"/>
        </w:rPr>
        <w:t xml:space="preserve">emerged </w:t>
      </w:r>
      <w:r w:rsidR="004576EF">
        <w:rPr>
          <w:lang w:eastAsia="ja-JP"/>
        </w:rPr>
        <w:t xml:space="preserve">in </w:t>
      </w:r>
      <w:r>
        <w:rPr>
          <w:rFonts w:hint="eastAsia"/>
          <w:lang w:eastAsia="ja-JP"/>
        </w:rPr>
        <w:t>this thesis: the reconstituted Japanese state after the 1980s (after Johnson 1982)</w:t>
      </w:r>
      <w:r w:rsidR="00887531">
        <w:rPr>
          <w:rFonts w:hint="eastAsia"/>
          <w:lang w:eastAsia="ja-JP"/>
        </w:rPr>
        <w:t xml:space="preserve"> and</w:t>
      </w:r>
      <w:r>
        <w:rPr>
          <w:rFonts w:hint="eastAsia"/>
          <w:lang w:eastAsia="ja-JP"/>
        </w:rPr>
        <w:t xml:space="preserve"> the </w:t>
      </w:r>
      <w:r w:rsidR="003525B1">
        <w:rPr>
          <w:rFonts w:hint="eastAsia"/>
          <w:lang w:eastAsia="ja-JP"/>
        </w:rPr>
        <w:t>nature</w:t>
      </w:r>
      <w:r>
        <w:rPr>
          <w:rFonts w:hint="eastAsia"/>
          <w:lang w:eastAsia="ja-JP"/>
        </w:rPr>
        <w:t xml:space="preserve"> of the </w:t>
      </w:r>
      <w:r w:rsidR="005640F5">
        <w:rPr>
          <w:lang w:eastAsia="ja-JP"/>
        </w:rPr>
        <w:t>Japanese</w:t>
      </w:r>
      <w:r>
        <w:rPr>
          <w:rFonts w:hint="eastAsia"/>
          <w:lang w:eastAsia="ja-JP"/>
        </w:rPr>
        <w:t xml:space="preserve"> regulatory state</w:t>
      </w:r>
      <w:r w:rsidR="00F45586">
        <w:rPr>
          <w:rFonts w:hint="eastAsia"/>
          <w:lang w:eastAsia="ja-JP"/>
        </w:rPr>
        <w:t>.</w:t>
      </w:r>
    </w:p>
    <w:p w14:paraId="4E5DD7A5" w14:textId="77777777" w:rsidR="00686BD2" w:rsidRDefault="00686BD2" w:rsidP="008A5EAB">
      <w:pPr>
        <w:ind w:firstLine="284"/>
        <w:rPr>
          <w:lang w:eastAsia="ja-JP"/>
        </w:rPr>
      </w:pPr>
    </w:p>
    <w:p w14:paraId="0126A4F8" w14:textId="77777777" w:rsidR="0059361C" w:rsidRDefault="008A50A8" w:rsidP="00050D4B">
      <w:pPr>
        <w:pStyle w:val="Heading3"/>
        <w:rPr>
          <w:lang w:eastAsia="ja-JP"/>
        </w:rPr>
      </w:pPr>
      <w:bookmarkStart w:id="72" w:name="_Toc349741394"/>
      <w:r>
        <w:rPr>
          <w:rFonts w:hint="eastAsia"/>
          <w:lang w:eastAsia="ja-JP"/>
        </w:rPr>
        <w:t>7.4.1</w:t>
      </w:r>
      <w:r w:rsidR="00944795">
        <w:rPr>
          <w:lang w:eastAsia="ja-JP"/>
        </w:rPr>
        <w:tab/>
      </w:r>
      <w:r>
        <w:rPr>
          <w:rFonts w:hint="eastAsia"/>
          <w:lang w:eastAsia="ja-JP"/>
        </w:rPr>
        <w:t>The reconstituted Japanese state after the 1980s</w:t>
      </w:r>
      <w:bookmarkEnd w:id="72"/>
    </w:p>
    <w:p w14:paraId="42937145" w14:textId="77777777" w:rsidR="0059361C" w:rsidRDefault="007E7D79" w:rsidP="000704BD">
      <w:pPr>
        <w:rPr>
          <w:lang w:eastAsia="ja-JP"/>
        </w:rPr>
      </w:pPr>
      <w:r>
        <w:rPr>
          <w:rFonts w:hint="eastAsia"/>
          <w:lang w:eastAsia="ja-JP"/>
        </w:rPr>
        <w:t>The exploration of this thesis has revealed the reconstitut</w:t>
      </w:r>
      <w:r w:rsidR="00407EC7">
        <w:rPr>
          <w:rFonts w:hint="eastAsia"/>
          <w:lang w:eastAsia="ja-JP"/>
        </w:rPr>
        <w:t>ion of the</w:t>
      </w:r>
      <w:r>
        <w:rPr>
          <w:rFonts w:hint="eastAsia"/>
          <w:lang w:eastAsia="ja-JP"/>
        </w:rPr>
        <w:t xml:space="preserve"> Japanese state responding to its challenges after the 1980s.</w:t>
      </w:r>
      <w:r w:rsidR="0078145E">
        <w:rPr>
          <w:rFonts w:hint="eastAsia"/>
          <w:lang w:eastAsia="ja-JP"/>
        </w:rPr>
        <w:t xml:space="preserve"> This thesis sets out a perspective that the reconstituted state is the key characteristic of the Japanese state after the 1980</w:t>
      </w:r>
      <w:r w:rsidR="006B7C17">
        <w:rPr>
          <w:lang w:eastAsia="ja-JP"/>
        </w:rPr>
        <w:t>s</w:t>
      </w:r>
      <w:r w:rsidR="0078145E">
        <w:rPr>
          <w:rFonts w:hint="eastAsia"/>
          <w:lang w:eastAsia="ja-JP"/>
        </w:rPr>
        <w:t xml:space="preserve">, </w:t>
      </w:r>
      <w:r w:rsidR="006B7C17">
        <w:rPr>
          <w:lang w:eastAsia="ja-JP"/>
        </w:rPr>
        <w:t xml:space="preserve">namely, </w:t>
      </w:r>
      <w:r w:rsidR="0078145E">
        <w:rPr>
          <w:rFonts w:hint="eastAsia"/>
          <w:lang w:eastAsia="ja-JP"/>
        </w:rPr>
        <w:t xml:space="preserve">after the developmental state </w:t>
      </w:r>
      <w:r w:rsidR="006B7C17">
        <w:rPr>
          <w:lang w:eastAsia="ja-JP"/>
        </w:rPr>
        <w:t xml:space="preserve">thesis </w:t>
      </w:r>
      <w:r w:rsidR="0078145E">
        <w:rPr>
          <w:rFonts w:hint="eastAsia"/>
          <w:lang w:eastAsia="ja-JP"/>
        </w:rPr>
        <w:t>introduced by Johnson (1982)</w:t>
      </w:r>
      <w:r w:rsidR="00284256">
        <w:rPr>
          <w:lang w:eastAsia="ja-JP"/>
        </w:rPr>
        <w:t>, through the exploration of two case studies on regulation in Japan</w:t>
      </w:r>
      <w:r w:rsidR="0078145E">
        <w:rPr>
          <w:rFonts w:hint="eastAsia"/>
          <w:lang w:eastAsia="ja-JP"/>
        </w:rPr>
        <w:t>.</w:t>
      </w:r>
      <w:r w:rsidR="00C276B7">
        <w:rPr>
          <w:rFonts w:hint="eastAsia"/>
          <w:lang w:eastAsia="ja-JP"/>
        </w:rPr>
        <w:t xml:space="preserve"> </w:t>
      </w:r>
    </w:p>
    <w:p w14:paraId="2D6D403B" w14:textId="77777777" w:rsidR="00C276B7" w:rsidRDefault="00B42B40" w:rsidP="00725A9A">
      <w:pPr>
        <w:ind w:firstLine="284"/>
        <w:rPr>
          <w:lang w:eastAsia="ja-JP"/>
        </w:rPr>
      </w:pPr>
      <w:r>
        <w:rPr>
          <w:rFonts w:hint="eastAsia"/>
          <w:lang w:eastAsia="ja-JP"/>
        </w:rPr>
        <w:t xml:space="preserve">Regulation is a key issue for the </w:t>
      </w:r>
      <w:r>
        <w:rPr>
          <w:lang w:eastAsia="ja-JP"/>
        </w:rPr>
        <w:t>transformed</w:t>
      </w:r>
      <w:r>
        <w:rPr>
          <w:rFonts w:hint="eastAsia"/>
          <w:lang w:eastAsia="ja-JP"/>
        </w:rPr>
        <w:t xml:space="preserve"> modern state; increasing employment of principal-agent regulation by the modern state is one of the </w:t>
      </w:r>
      <w:r w:rsidR="0061040B">
        <w:rPr>
          <w:rFonts w:hint="eastAsia"/>
          <w:lang w:eastAsia="ja-JP"/>
        </w:rPr>
        <w:t>major</w:t>
      </w:r>
      <w:r>
        <w:rPr>
          <w:rFonts w:hint="eastAsia"/>
          <w:lang w:eastAsia="ja-JP"/>
        </w:rPr>
        <w:t xml:space="preserve"> </w:t>
      </w:r>
      <w:r>
        <w:rPr>
          <w:lang w:eastAsia="ja-JP"/>
        </w:rPr>
        <w:t>characteristic</w:t>
      </w:r>
      <w:r w:rsidR="0061040B">
        <w:rPr>
          <w:rFonts w:hint="eastAsia"/>
          <w:lang w:eastAsia="ja-JP"/>
        </w:rPr>
        <w:t>s</w:t>
      </w:r>
      <w:r>
        <w:rPr>
          <w:rFonts w:hint="eastAsia"/>
          <w:lang w:eastAsia="ja-JP"/>
        </w:rPr>
        <w:t xml:space="preserve"> after the 1980s (Sorensen 2004, Smith 2009). Exploring the case of regulation therefore has the potential of </w:t>
      </w:r>
      <w:r w:rsidR="00944795">
        <w:rPr>
          <w:lang w:eastAsia="ja-JP"/>
        </w:rPr>
        <w:t xml:space="preserve">addressing </w:t>
      </w:r>
      <w:r>
        <w:rPr>
          <w:rFonts w:hint="eastAsia"/>
          <w:lang w:eastAsia="ja-JP"/>
        </w:rPr>
        <w:t>how the state has been transformed in response to its challenges</w:t>
      </w:r>
      <w:r w:rsidR="00944795">
        <w:rPr>
          <w:lang w:eastAsia="ja-JP"/>
        </w:rPr>
        <w:t xml:space="preserve"> by focusing on a salient characteristic of the transformed state</w:t>
      </w:r>
      <w:r>
        <w:rPr>
          <w:rFonts w:hint="eastAsia"/>
          <w:lang w:eastAsia="ja-JP"/>
        </w:rPr>
        <w:t>. In particular, regulatory sectors experienc</w:t>
      </w:r>
      <w:r w:rsidR="00A83127">
        <w:rPr>
          <w:lang w:eastAsia="ja-JP"/>
        </w:rPr>
        <w:t>ing</w:t>
      </w:r>
      <w:r>
        <w:rPr>
          <w:rFonts w:hint="eastAsia"/>
          <w:lang w:eastAsia="ja-JP"/>
        </w:rPr>
        <w:t xml:space="preserve"> a significant disjuncture </w:t>
      </w:r>
      <w:r>
        <w:rPr>
          <w:lang w:eastAsia="ja-JP"/>
        </w:rPr>
        <w:t>concomitant</w:t>
      </w:r>
      <w:r>
        <w:rPr>
          <w:rFonts w:hint="eastAsia"/>
          <w:lang w:eastAsia="ja-JP"/>
        </w:rPr>
        <w:t xml:space="preserve"> </w:t>
      </w:r>
      <w:r w:rsidR="001A0E28">
        <w:rPr>
          <w:rFonts w:hint="eastAsia"/>
          <w:lang w:eastAsia="ja-JP"/>
        </w:rPr>
        <w:t>with challenge</w:t>
      </w:r>
      <w:r w:rsidR="0061040B">
        <w:rPr>
          <w:rFonts w:hint="eastAsia"/>
          <w:lang w:eastAsia="ja-JP"/>
        </w:rPr>
        <w:t>s</w:t>
      </w:r>
      <w:r w:rsidR="001A0E28">
        <w:rPr>
          <w:rFonts w:hint="eastAsia"/>
          <w:lang w:eastAsia="ja-JP"/>
        </w:rPr>
        <w:t xml:space="preserve"> to the state </w:t>
      </w:r>
      <w:r w:rsidR="00725A9A">
        <w:rPr>
          <w:lang w:eastAsia="ja-JP"/>
        </w:rPr>
        <w:t xml:space="preserve">such as privatisation </w:t>
      </w:r>
      <w:r w:rsidR="001A0E28">
        <w:rPr>
          <w:rFonts w:hint="eastAsia"/>
          <w:lang w:eastAsia="ja-JP"/>
        </w:rPr>
        <w:t xml:space="preserve">can offer a distinctive example of the transformation of the state to cope with its challenges. </w:t>
      </w:r>
      <w:r w:rsidR="00ED5836">
        <w:rPr>
          <w:rFonts w:hint="eastAsia"/>
          <w:lang w:eastAsia="ja-JP"/>
        </w:rPr>
        <w:t xml:space="preserve">As </w:t>
      </w:r>
      <w:r w:rsidR="008B3109">
        <w:rPr>
          <w:rFonts w:hint="eastAsia"/>
          <w:lang w:eastAsia="ja-JP"/>
        </w:rPr>
        <w:t xml:space="preserve">explained </w:t>
      </w:r>
      <w:r w:rsidR="00ED5836">
        <w:rPr>
          <w:rFonts w:hint="eastAsia"/>
          <w:lang w:eastAsia="ja-JP"/>
        </w:rPr>
        <w:t>in Chapter 3, b</w:t>
      </w:r>
      <w:r w:rsidR="001A0E28">
        <w:rPr>
          <w:rFonts w:hint="eastAsia"/>
          <w:lang w:eastAsia="ja-JP"/>
        </w:rPr>
        <w:t>y exploring ICT regulation and antimonopoly regulation, t</w:t>
      </w:r>
      <w:r w:rsidR="001A0E28">
        <w:rPr>
          <w:lang w:eastAsia="ja-JP"/>
        </w:rPr>
        <w:t>h</w:t>
      </w:r>
      <w:r w:rsidR="001A0E28">
        <w:rPr>
          <w:rFonts w:hint="eastAsia"/>
          <w:lang w:eastAsia="ja-JP"/>
        </w:rPr>
        <w:t xml:space="preserve">is thesis </w:t>
      </w:r>
      <w:r w:rsidR="00944795">
        <w:rPr>
          <w:lang w:eastAsia="ja-JP"/>
        </w:rPr>
        <w:t>gains</w:t>
      </w:r>
      <w:r w:rsidR="001A0E28">
        <w:rPr>
          <w:rFonts w:hint="eastAsia"/>
          <w:lang w:eastAsia="ja-JP"/>
        </w:rPr>
        <w:t xml:space="preserve"> the </w:t>
      </w:r>
      <w:r w:rsidR="001A0E28">
        <w:rPr>
          <w:lang w:eastAsia="ja-JP"/>
        </w:rPr>
        <w:t>potential</w:t>
      </w:r>
      <w:r w:rsidR="001A0E28">
        <w:rPr>
          <w:rFonts w:hint="eastAsia"/>
          <w:lang w:eastAsia="ja-JP"/>
        </w:rPr>
        <w:t xml:space="preserve"> of exposing </w:t>
      </w:r>
      <w:r w:rsidR="00944795">
        <w:rPr>
          <w:lang w:eastAsia="ja-JP"/>
        </w:rPr>
        <w:t>a key</w:t>
      </w:r>
      <w:r w:rsidR="001A0E28">
        <w:rPr>
          <w:rFonts w:hint="eastAsia"/>
          <w:lang w:eastAsia="ja-JP"/>
        </w:rPr>
        <w:t xml:space="preserve"> nature of the transformation of the Japanese state.</w:t>
      </w:r>
    </w:p>
    <w:p w14:paraId="5345E668" w14:textId="77777777" w:rsidR="0078145E" w:rsidRDefault="0078145E" w:rsidP="00BA7211">
      <w:pPr>
        <w:ind w:firstLine="284"/>
        <w:rPr>
          <w:lang w:eastAsia="ja-JP"/>
        </w:rPr>
      </w:pPr>
      <w:r>
        <w:rPr>
          <w:rFonts w:hint="eastAsia"/>
          <w:lang w:eastAsia="ja-JP"/>
        </w:rPr>
        <w:t>Johnson</w:t>
      </w:r>
      <w:r>
        <w:rPr>
          <w:lang w:eastAsia="ja-JP"/>
        </w:rPr>
        <w:t>’</w:t>
      </w:r>
      <w:r>
        <w:rPr>
          <w:rFonts w:hint="eastAsia"/>
          <w:lang w:eastAsia="ja-JP"/>
        </w:rPr>
        <w:t xml:space="preserve">s (1982) developmental state concentrates on the </w:t>
      </w:r>
      <w:r>
        <w:rPr>
          <w:lang w:eastAsia="ja-JP"/>
        </w:rPr>
        <w:t>developmentally</w:t>
      </w:r>
      <w:r>
        <w:rPr>
          <w:rFonts w:hint="eastAsia"/>
          <w:lang w:eastAsia="ja-JP"/>
        </w:rPr>
        <w:t xml:space="preserve"> oriented goal. T</w:t>
      </w:r>
      <w:r>
        <w:rPr>
          <w:lang w:eastAsia="ja-JP"/>
        </w:rPr>
        <w:t>h</w:t>
      </w:r>
      <w:r>
        <w:rPr>
          <w:rFonts w:hint="eastAsia"/>
          <w:lang w:eastAsia="ja-JP"/>
        </w:rPr>
        <w:t>e Japanese state</w:t>
      </w:r>
      <w:r>
        <w:rPr>
          <w:lang w:eastAsia="ja-JP"/>
        </w:rPr>
        <w:t>’</w:t>
      </w:r>
      <w:r>
        <w:rPr>
          <w:rFonts w:hint="eastAsia"/>
          <w:lang w:eastAsia="ja-JP"/>
        </w:rPr>
        <w:t xml:space="preserve">s developmentally oriented approach </w:t>
      </w:r>
      <w:r w:rsidR="00F8215B">
        <w:rPr>
          <w:rFonts w:hint="eastAsia"/>
          <w:lang w:eastAsia="ja-JP"/>
        </w:rPr>
        <w:t>was</w:t>
      </w:r>
      <w:r>
        <w:rPr>
          <w:rFonts w:hint="eastAsia"/>
          <w:lang w:eastAsia="ja-JP"/>
        </w:rPr>
        <w:t xml:space="preserve"> also identified by Vogel</w:t>
      </w:r>
      <w:r w:rsidR="00C8464A">
        <w:rPr>
          <w:lang w:eastAsia="ja-JP"/>
        </w:rPr>
        <w:t>’</w:t>
      </w:r>
      <w:r w:rsidR="00C8464A">
        <w:rPr>
          <w:rFonts w:hint="eastAsia"/>
          <w:lang w:eastAsia="ja-JP"/>
        </w:rPr>
        <w:t xml:space="preserve">s (1996) study on </w:t>
      </w:r>
      <w:r w:rsidR="00F8215B">
        <w:rPr>
          <w:rFonts w:hint="eastAsia"/>
          <w:lang w:eastAsia="ja-JP"/>
        </w:rPr>
        <w:t>Japan</w:t>
      </w:r>
      <w:r w:rsidR="00F8215B">
        <w:rPr>
          <w:lang w:eastAsia="ja-JP"/>
        </w:rPr>
        <w:t>’</w:t>
      </w:r>
      <w:r w:rsidR="00F8215B">
        <w:rPr>
          <w:rFonts w:hint="eastAsia"/>
          <w:lang w:eastAsia="ja-JP"/>
        </w:rPr>
        <w:t xml:space="preserve">s ICT (telecommunications) regulation and financial regulation. </w:t>
      </w:r>
      <w:r w:rsidR="00BA7211">
        <w:rPr>
          <w:lang w:eastAsia="ja-JP"/>
        </w:rPr>
        <w:t>In line with this set of previous literature, t</w:t>
      </w:r>
      <w:r w:rsidR="00F8215B">
        <w:rPr>
          <w:rFonts w:hint="eastAsia"/>
          <w:lang w:eastAsia="ja-JP"/>
        </w:rPr>
        <w:t xml:space="preserve">he evidence of this thesis </w:t>
      </w:r>
      <w:r w:rsidR="00F8215B">
        <w:rPr>
          <w:lang w:eastAsia="ja-JP"/>
        </w:rPr>
        <w:t>identifies</w:t>
      </w:r>
      <w:r w:rsidR="00F8215B">
        <w:rPr>
          <w:rFonts w:hint="eastAsia"/>
          <w:lang w:eastAsia="ja-JP"/>
        </w:rPr>
        <w:t xml:space="preserve"> this </w:t>
      </w:r>
      <w:r w:rsidR="00BA7211">
        <w:rPr>
          <w:lang w:eastAsia="ja-JP"/>
        </w:rPr>
        <w:t xml:space="preserve">traditional </w:t>
      </w:r>
      <w:r w:rsidR="00F8215B">
        <w:rPr>
          <w:rFonts w:hint="eastAsia"/>
          <w:lang w:eastAsia="ja-JP"/>
        </w:rPr>
        <w:t>tendency</w:t>
      </w:r>
      <w:r w:rsidR="00BA7211">
        <w:rPr>
          <w:lang w:eastAsia="ja-JP"/>
        </w:rPr>
        <w:t xml:space="preserve"> through the accounts of </w:t>
      </w:r>
      <w:r w:rsidR="00F8215B">
        <w:rPr>
          <w:rFonts w:hint="eastAsia"/>
          <w:lang w:eastAsia="ja-JP"/>
        </w:rPr>
        <w:t xml:space="preserve">current and former civil servants </w:t>
      </w:r>
      <w:r w:rsidR="00BA7211">
        <w:rPr>
          <w:lang w:eastAsia="ja-JP"/>
        </w:rPr>
        <w:t>revealing</w:t>
      </w:r>
      <w:r w:rsidR="00F8215B">
        <w:rPr>
          <w:rFonts w:hint="eastAsia"/>
          <w:lang w:eastAsia="ja-JP"/>
        </w:rPr>
        <w:t xml:space="preserve"> an orientation to industrial development </w:t>
      </w:r>
      <w:r w:rsidR="00B7036B">
        <w:rPr>
          <w:rFonts w:hint="eastAsia"/>
          <w:lang w:eastAsia="ja-JP"/>
        </w:rPr>
        <w:t xml:space="preserve">in the ICT sector </w:t>
      </w:r>
      <w:r w:rsidR="00F8215B">
        <w:rPr>
          <w:rFonts w:hint="eastAsia"/>
          <w:lang w:eastAsia="ja-JP"/>
        </w:rPr>
        <w:t>in the 1980s and 1990s.</w:t>
      </w:r>
    </w:p>
    <w:p w14:paraId="3BA50EDB" w14:textId="77777777" w:rsidR="004C681E" w:rsidRDefault="007237EE" w:rsidP="00725A9A">
      <w:pPr>
        <w:ind w:firstLine="284"/>
        <w:rPr>
          <w:lang w:eastAsia="ja-JP"/>
        </w:rPr>
      </w:pPr>
      <w:r>
        <w:rPr>
          <w:rFonts w:hint="eastAsia"/>
          <w:lang w:eastAsia="ja-JP"/>
        </w:rPr>
        <w:t xml:space="preserve">The reconstitution </w:t>
      </w:r>
      <w:r w:rsidR="00FF1C1A">
        <w:rPr>
          <w:rFonts w:hint="eastAsia"/>
          <w:lang w:eastAsia="ja-JP"/>
        </w:rPr>
        <w:t xml:space="preserve">of the Japanese state </w:t>
      </w:r>
      <w:r w:rsidR="00D842F6">
        <w:rPr>
          <w:rFonts w:hint="eastAsia"/>
          <w:lang w:eastAsia="ja-JP"/>
        </w:rPr>
        <w:t>has come with the change of power within the core executive actors.</w:t>
      </w:r>
      <w:r w:rsidR="00B20FD9">
        <w:rPr>
          <w:rFonts w:hint="eastAsia"/>
          <w:lang w:eastAsia="ja-JP"/>
        </w:rPr>
        <w:t xml:space="preserve"> The 1980s and 1990s saw the core executive dominated by party politicians outside the Cabinet administered the key sectors such as ICT regulation and antimonopoly regulation (see Chapters 5 and 6, also Muramatsu and Krauss 1987).</w:t>
      </w:r>
      <w:r w:rsidR="00F26C8F">
        <w:rPr>
          <w:rFonts w:hint="eastAsia"/>
          <w:lang w:eastAsia="ja-JP"/>
        </w:rPr>
        <w:t xml:space="preserve"> In the 2000s this set of actors has lost its previous power, and the Cabinet (Cabinet Ministers) </w:t>
      </w:r>
      <w:r w:rsidR="00720D02">
        <w:rPr>
          <w:rFonts w:hint="eastAsia"/>
          <w:lang w:eastAsia="ja-JP"/>
        </w:rPr>
        <w:t xml:space="preserve">has </w:t>
      </w:r>
      <w:r w:rsidR="00A01931">
        <w:rPr>
          <w:rFonts w:hint="eastAsia"/>
          <w:lang w:eastAsia="ja-JP"/>
        </w:rPr>
        <w:t xml:space="preserve">emerged as a dominant actor. Their </w:t>
      </w:r>
      <w:r w:rsidR="00A01931">
        <w:rPr>
          <w:lang w:eastAsia="ja-JP"/>
        </w:rPr>
        <w:t>failure</w:t>
      </w:r>
      <w:r w:rsidR="00A01931">
        <w:rPr>
          <w:rFonts w:hint="eastAsia"/>
          <w:lang w:eastAsia="ja-JP"/>
        </w:rPr>
        <w:t xml:space="preserve"> to take over the </w:t>
      </w:r>
      <w:r w:rsidR="00A01931">
        <w:rPr>
          <w:lang w:eastAsia="ja-JP"/>
        </w:rPr>
        <w:t>‘</w:t>
      </w:r>
      <w:r w:rsidR="00A01931">
        <w:rPr>
          <w:rFonts w:hint="eastAsia"/>
          <w:lang w:eastAsia="ja-JP"/>
        </w:rPr>
        <w:t>strategist</w:t>
      </w:r>
      <w:r w:rsidR="00A01931">
        <w:rPr>
          <w:lang w:eastAsia="ja-JP"/>
        </w:rPr>
        <w:t>’</w:t>
      </w:r>
      <w:r w:rsidR="00A01931">
        <w:rPr>
          <w:rFonts w:hint="eastAsia"/>
          <w:lang w:eastAsia="ja-JP"/>
        </w:rPr>
        <w:t xml:space="preserve"> role of civil servants created </w:t>
      </w:r>
      <w:r w:rsidR="00A83127">
        <w:rPr>
          <w:lang w:eastAsia="ja-JP"/>
        </w:rPr>
        <w:t xml:space="preserve">an </w:t>
      </w:r>
      <w:r w:rsidR="00A01931">
        <w:rPr>
          <w:rFonts w:hint="eastAsia"/>
          <w:lang w:eastAsia="ja-JP"/>
        </w:rPr>
        <w:t xml:space="preserve">unstable situation. </w:t>
      </w:r>
      <w:r w:rsidR="003F1C5D">
        <w:rPr>
          <w:rFonts w:hint="eastAsia"/>
          <w:lang w:eastAsia="ja-JP"/>
        </w:rPr>
        <w:t>This set of transformation has changed the traditional mode of Johnson</w:t>
      </w:r>
      <w:r w:rsidR="003F1C5D">
        <w:rPr>
          <w:lang w:eastAsia="ja-JP"/>
        </w:rPr>
        <w:t>’</w:t>
      </w:r>
      <w:r w:rsidR="003F1C5D">
        <w:rPr>
          <w:rFonts w:hint="eastAsia"/>
          <w:lang w:eastAsia="ja-JP"/>
        </w:rPr>
        <w:t xml:space="preserve">s (1982) </w:t>
      </w:r>
      <w:r w:rsidR="003F1C5D">
        <w:rPr>
          <w:lang w:eastAsia="ja-JP"/>
        </w:rPr>
        <w:t>developmental</w:t>
      </w:r>
      <w:r w:rsidR="003F1C5D">
        <w:rPr>
          <w:rFonts w:hint="eastAsia"/>
          <w:lang w:eastAsia="ja-JP"/>
        </w:rPr>
        <w:t xml:space="preserve"> state. The reconstitution of the Japanese state has transformed </w:t>
      </w:r>
      <w:r w:rsidR="00CF51D9">
        <w:rPr>
          <w:rFonts w:hint="eastAsia"/>
          <w:lang w:eastAsia="ja-JP"/>
        </w:rPr>
        <w:t xml:space="preserve">a key characteristic </w:t>
      </w:r>
      <w:r w:rsidR="003F1C5D">
        <w:rPr>
          <w:rFonts w:hint="eastAsia"/>
          <w:lang w:eastAsia="ja-JP"/>
        </w:rPr>
        <w:t>of the Japanese state</w:t>
      </w:r>
      <w:r w:rsidR="00CF51D9">
        <w:rPr>
          <w:rFonts w:hint="eastAsia"/>
          <w:lang w:eastAsia="ja-JP"/>
        </w:rPr>
        <w:t>:</w:t>
      </w:r>
      <w:r w:rsidR="003F1C5D">
        <w:rPr>
          <w:rFonts w:hint="eastAsia"/>
          <w:lang w:eastAsia="ja-JP"/>
        </w:rPr>
        <w:t xml:space="preserve"> </w:t>
      </w:r>
      <w:r w:rsidR="00CF51D9">
        <w:rPr>
          <w:rFonts w:hint="eastAsia"/>
          <w:lang w:eastAsia="ja-JP"/>
        </w:rPr>
        <w:t xml:space="preserve">a type of the </w:t>
      </w:r>
      <w:r w:rsidR="003F1C5D">
        <w:rPr>
          <w:rFonts w:hint="eastAsia"/>
          <w:lang w:eastAsia="ja-JP"/>
        </w:rPr>
        <w:t>developmental state</w:t>
      </w:r>
      <w:r w:rsidR="00CF51D9">
        <w:rPr>
          <w:rFonts w:hint="eastAsia"/>
          <w:lang w:eastAsia="ja-JP"/>
        </w:rPr>
        <w:t xml:space="preserve"> described by Johnson (1982)</w:t>
      </w:r>
      <w:r w:rsidR="003F1C5D">
        <w:rPr>
          <w:rFonts w:hint="eastAsia"/>
          <w:lang w:eastAsia="ja-JP"/>
        </w:rPr>
        <w:t>.</w:t>
      </w:r>
      <w:r w:rsidR="004C681E">
        <w:rPr>
          <w:rFonts w:hint="eastAsia"/>
          <w:lang w:eastAsia="ja-JP"/>
        </w:rPr>
        <w:t xml:space="preserve"> </w:t>
      </w:r>
      <w:r w:rsidR="0059361C">
        <w:rPr>
          <w:lang w:eastAsia="ja-JP"/>
        </w:rPr>
        <w:t xml:space="preserve">Mobilised by </w:t>
      </w:r>
      <w:r w:rsidR="004C681E">
        <w:rPr>
          <w:rFonts w:hint="eastAsia"/>
          <w:lang w:eastAsia="ja-JP"/>
        </w:rPr>
        <w:t>the change of power within the core executive actors (Cabinet Ministers, party politicians outside the Cabinet, and civil servants)</w:t>
      </w:r>
      <w:r w:rsidR="0059361C">
        <w:rPr>
          <w:lang w:eastAsia="ja-JP"/>
        </w:rPr>
        <w:t xml:space="preserve">, the reconstitution of the Japanese state </w:t>
      </w:r>
      <w:r w:rsidR="000506DE">
        <w:rPr>
          <w:rFonts w:hint="eastAsia"/>
          <w:lang w:eastAsia="ja-JP"/>
        </w:rPr>
        <w:t xml:space="preserve">has transformed </w:t>
      </w:r>
      <w:r w:rsidR="0059361C">
        <w:rPr>
          <w:lang w:eastAsia="ja-JP"/>
        </w:rPr>
        <w:t xml:space="preserve">the developmentally oriented </w:t>
      </w:r>
      <w:r w:rsidR="00CF51D9">
        <w:rPr>
          <w:rFonts w:hint="eastAsia"/>
          <w:lang w:eastAsia="ja-JP"/>
        </w:rPr>
        <w:t>characteristic</w:t>
      </w:r>
      <w:r w:rsidR="000506DE">
        <w:rPr>
          <w:rFonts w:hint="eastAsia"/>
          <w:lang w:eastAsia="ja-JP"/>
        </w:rPr>
        <w:t xml:space="preserve"> of the Japanese state </w:t>
      </w:r>
      <w:r w:rsidR="00725A9A">
        <w:rPr>
          <w:lang w:eastAsia="ja-JP"/>
        </w:rPr>
        <w:t>led by civil servants</w:t>
      </w:r>
      <w:r w:rsidR="000506DE">
        <w:rPr>
          <w:rFonts w:hint="eastAsia"/>
          <w:lang w:eastAsia="ja-JP"/>
        </w:rPr>
        <w:t>.</w:t>
      </w:r>
    </w:p>
    <w:p w14:paraId="4637B0B0" w14:textId="77777777" w:rsidR="00D842F6" w:rsidRDefault="003F1C5D" w:rsidP="005708CE">
      <w:pPr>
        <w:ind w:firstLine="284"/>
        <w:rPr>
          <w:lang w:eastAsia="ja-JP"/>
        </w:rPr>
      </w:pPr>
      <w:r>
        <w:rPr>
          <w:rFonts w:hint="eastAsia"/>
          <w:lang w:eastAsia="ja-JP"/>
        </w:rPr>
        <w:t xml:space="preserve">The </w:t>
      </w:r>
      <w:r w:rsidR="0059361C">
        <w:rPr>
          <w:lang w:eastAsia="ja-JP"/>
        </w:rPr>
        <w:t xml:space="preserve">detail of the </w:t>
      </w:r>
      <w:r>
        <w:rPr>
          <w:rFonts w:hint="eastAsia"/>
          <w:lang w:eastAsia="ja-JP"/>
        </w:rPr>
        <w:t xml:space="preserve">change </w:t>
      </w:r>
      <w:r w:rsidR="0059361C">
        <w:rPr>
          <w:lang w:eastAsia="ja-JP"/>
        </w:rPr>
        <w:t>tak</w:t>
      </w:r>
      <w:r w:rsidR="00A83127">
        <w:rPr>
          <w:lang w:eastAsia="ja-JP"/>
        </w:rPr>
        <w:t>ing</w:t>
      </w:r>
      <w:r w:rsidR="0059361C">
        <w:rPr>
          <w:lang w:eastAsia="ja-JP"/>
        </w:rPr>
        <w:t xml:space="preserve"> place in Japan </w:t>
      </w:r>
      <w:r w:rsidR="00383CA0">
        <w:rPr>
          <w:rFonts w:hint="eastAsia"/>
          <w:lang w:eastAsia="ja-JP"/>
        </w:rPr>
        <w:t>at a</w:t>
      </w:r>
      <w:r>
        <w:rPr>
          <w:rFonts w:hint="eastAsia"/>
          <w:lang w:eastAsia="ja-JP"/>
        </w:rPr>
        <w:t xml:space="preserve"> micro level </w:t>
      </w:r>
      <w:r w:rsidR="00725A9A">
        <w:rPr>
          <w:lang w:eastAsia="ja-JP"/>
        </w:rPr>
        <w:t xml:space="preserve">was </w:t>
      </w:r>
      <w:r w:rsidR="005708CE">
        <w:rPr>
          <w:lang w:eastAsia="ja-JP"/>
        </w:rPr>
        <w:t xml:space="preserve">partially </w:t>
      </w:r>
      <w:r>
        <w:rPr>
          <w:rFonts w:hint="eastAsia"/>
          <w:lang w:eastAsia="ja-JP"/>
        </w:rPr>
        <w:t>reported by V</w:t>
      </w:r>
      <w:r>
        <w:rPr>
          <w:lang w:eastAsia="ja-JP"/>
        </w:rPr>
        <w:t>o</w:t>
      </w:r>
      <w:r>
        <w:rPr>
          <w:rFonts w:hint="eastAsia"/>
          <w:lang w:eastAsia="ja-JP"/>
        </w:rPr>
        <w:t>gel (2006) and Schaede (2008)</w:t>
      </w:r>
      <w:r w:rsidR="006217D0">
        <w:rPr>
          <w:lang w:eastAsia="ja-JP"/>
        </w:rPr>
        <w:t>, although their major concerns were elsewhere</w:t>
      </w:r>
      <w:r>
        <w:rPr>
          <w:rFonts w:hint="eastAsia"/>
          <w:lang w:eastAsia="ja-JP"/>
        </w:rPr>
        <w:t xml:space="preserve">. </w:t>
      </w:r>
      <w:r w:rsidR="00383CA0">
        <w:rPr>
          <w:rFonts w:hint="eastAsia"/>
          <w:lang w:eastAsia="ja-JP"/>
        </w:rPr>
        <w:t>T</w:t>
      </w:r>
      <w:r w:rsidR="00383CA0">
        <w:rPr>
          <w:lang w:eastAsia="ja-JP"/>
        </w:rPr>
        <w:t>h</w:t>
      </w:r>
      <w:r w:rsidR="00383CA0">
        <w:rPr>
          <w:rFonts w:hint="eastAsia"/>
          <w:lang w:eastAsia="ja-JP"/>
        </w:rPr>
        <w:t xml:space="preserve">e retreat of civil servants from </w:t>
      </w:r>
      <w:r w:rsidR="00A83127">
        <w:rPr>
          <w:lang w:eastAsia="ja-JP"/>
        </w:rPr>
        <w:t>their</w:t>
      </w:r>
      <w:r w:rsidR="00383CA0">
        <w:rPr>
          <w:rFonts w:hint="eastAsia"/>
          <w:lang w:eastAsia="ja-JP"/>
        </w:rPr>
        <w:t xml:space="preserve"> role as an economic strategist was a piece of </w:t>
      </w:r>
      <w:r w:rsidR="00A83127">
        <w:rPr>
          <w:lang w:eastAsia="ja-JP"/>
        </w:rPr>
        <w:t xml:space="preserve">the </w:t>
      </w:r>
      <w:r w:rsidR="00383CA0">
        <w:rPr>
          <w:rFonts w:hint="eastAsia"/>
          <w:lang w:eastAsia="ja-JP"/>
        </w:rPr>
        <w:t>puzzle forming the transformation of the Japanese state.</w:t>
      </w:r>
      <w:r w:rsidR="0059361C">
        <w:rPr>
          <w:lang w:eastAsia="ja-JP"/>
        </w:rPr>
        <w:t xml:space="preserve"> In line with </w:t>
      </w:r>
      <w:r w:rsidR="005708CE">
        <w:rPr>
          <w:lang w:eastAsia="ja-JP"/>
        </w:rPr>
        <w:t xml:space="preserve">Vogel (2006) and Schaede (2008), the evidence </w:t>
      </w:r>
      <w:r w:rsidR="0059361C">
        <w:rPr>
          <w:lang w:eastAsia="ja-JP"/>
        </w:rPr>
        <w:t>of this thesis reveals that the mode of the Japanese state led by developmentally oriented civil servants became history.</w:t>
      </w:r>
    </w:p>
    <w:p w14:paraId="61823491" w14:textId="77777777" w:rsidR="00F213BA" w:rsidRDefault="008731B8" w:rsidP="006217D0">
      <w:pPr>
        <w:ind w:firstLine="284"/>
        <w:rPr>
          <w:lang w:eastAsia="ja-JP"/>
        </w:rPr>
      </w:pPr>
      <w:r>
        <w:rPr>
          <w:rFonts w:hint="eastAsia"/>
          <w:lang w:eastAsia="ja-JP"/>
        </w:rPr>
        <w:t xml:space="preserve">The transformation of the Japanese state, however, has not changed the core nature of the Japanese state: the asymmetric dominance of the core executive. Rather, it is the core executive </w:t>
      </w:r>
      <w:r w:rsidR="00A83127">
        <w:rPr>
          <w:lang w:eastAsia="ja-JP"/>
        </w:rPr>
        <w:t>that</w:t>
      </w:r>
      <w:r>
        <w:rPr>
          <w:rFonts w:hint="eastAsia"/>
          <w:lang w:eastAsia="ja-JP"/>
        </w:rPr>
        <w:t xml:space="preserve"> has mobilised the </w:t>
      </w:r>
      <w:r w:rsidR="0059361C">
        <w:rPr>
          <w:lang w:eastAsia="ja-JP"/>
        </w:rPr>
        <w:t>reconstitution</w:t>
      </w:r>
      <w:r>
        <w:rPr>
          <w:rFonts w:hint="eastAsia"/>
          <w:lang w:eastAsia="ja-JP"/>
        </w:rPr>
        <w:t xml:space="preserve"> of the Japanese state. </w:t>
      </w:r>
      <w:r w:rsidR="008D214C">
        <w:rPr>
          <w:lang w:eastAsia="ja-JP"/>
        </w:rPr>
        <w:t>By identifying</w:t>
      </w:r>
      <w:r w:rsidR="001F60E2">
        <w:rPr>
          <w:rFonts w:hint="eastAsia"/>
          <w:lang w:eastAsia="ja-JP"/>
        </w:rPr>
        <w:t xml:space="preserve"> the significance of the core executive in the Japanese state, the exploration of this thesis reveals a different perspective from V</w:t>
      </w:r>
      <w:r w:rsidR="001F60E2">
        <w:rPr>
          <w:lang w:eastAsia="ja-JP"/>
        </w:rPr>
        <w:t>o</w:t>
      </w:r>
      <w:r w:rsidR="001F60E2">
        <w:rPr>
          <w:rFonts w:hint="eastAsia"/>
          <w:lang w:eastAsia="ja-JP"/>
        </w:rPr>
        <w:t>gel</w:t>
      </w:r>
      <w:r w:rsidR="001F60E2">
        <w:rPr>
          <w:lang w:eastAsia="ja-JP"/>
        </w:rPr>
        <w:t>’</w:t>
      </w:r>
      <w:r w:rsidR="001F60E2">
        <w:rPr>
          <w:rFonts w:hint="eastAsia"/>
          <w:lang w:eastAsia="ja-JP"/>
        </w:rPr>
        <w:t xml:space="preserve">s (1996). </w:t>
      </w:r>
      <w:r w:rsidR="008A5EAB">
        <w:rPr>
          <w:rFonts w:hint="eastAsia"/>
        </w:rPr>
        <w:t>V</w:t>
      </w:r>
      <w:r w:rsidR="008A5EAB">
        <w:t>o</w:t>
      </w:r>
      <w:r w:rsidR="008A5EAB">
        <w:rPr>
          <w:rFonts w:hint="eastAsia"/>
        </w:rPr>
        <w:t>gel (1996) set</w:t>
      </w:r>
      <w:r w:rsidR="008A5EAB">
        <w:rPr>
          <w:rFonts w:eastAsia="MS Mincho" w:hint="eastAsia"/>
          <w:lang w:eastAsia="ja-JP"/>
        </w:rPr>
        <w:t>s</w:t>
      </w:r>
      <w:r w:rsidR="008A5EAB">
        <w:rPr>
          <w:rFonts w:hint="eastAsia"/>
        </w:rPr>
        <w:t xml:space="preserve"> out the strategic nature of Japan</w:t>
      </w:r>
      <w:r w:rsidR="008A5EAB">
        <w:t>’</w:t>
      </w:r>
      <w:r w:rsidR="008A5EAB">
        <w:rPr>
          <w:rFonts w:hint="eastAsia"/>
        </w:rPr>
        <w:t xml:space="preserve">s </w:t>
      </w:r>
      <w:r w:rsidR="006217D0">
        <w:t>telecommunications</w:t>
      </w:r>
      <w:r w:rsidR="008A5EAB">
        <w:rPr>
          <w:rFonts w:hint="eastAsia"/>
        </w:rPr>
        <w:t xml:space="preserve"> regulation and financial regulation in the 1980s and 1990s, focusing on state actors (party politicians, civil servants). H</w:t>
      </w:r>
      <w:r w:rsidR="008A5EAB">
        <w:t>i</w:t>
      </w:r>
      <w:r w:rsidR="008A5EAB">
        <w:rPr>
          <w:rFonts w:hint="eastAsia"/>
        </w:rPr>
        <w:t>s analysis highlights Japan</w:t>
      </w:r>
      <w:r w:rsidR="008A5EAB">
        <w:t>’</w:t>
      </w:r>
      <w:r w:rsidR="008A5EAB">
        <w:rPr>
          <w:rFonts w:hint="eastAsia"/>
        </w:rPr>
        <w:t xml:space="preserve">s political tradition in </w:t>
      </w:r>
      <w:r w:rsidR="008D214C">
        <w:t xml:space="preserve">telecommunications </w:t>
      </w:r>
      <w:r w:rsidR="008A5EAB">
        <w:rPr>
          <w:rFonts w:hint="eastAsia"/>
        </w:rPr>
        <w:t xml:space="preserve">and financial regulation, which he calls </w:t>
      </w:r>
      <w:r w:rsidR="008A5EAB">
        <w:t>‘</w:t>
      </w:r>
      <w:r w:rsidR="008A5EAB">
        <w:rPr>
          <w:rFonts w:hint="eastAsia"/>
        </w:rPr>
        <w:t>strategic</w:t>
      </w:r>
      <w:r w:rsidR="008A5EAB">
        <w:t>’</w:t>
      </w:r>
      <w:r w:rsidR="008A5EAB">
        <w:rPr>
          <w:rFonts w:hint="eastAsia"/>
        </w:rPr>
        <w:t>. V</w:t>
      </w:r>
      <w:r w:rsidR="008A5EAB">
        <w:t>o</w:t>
      </w:r>
      <w:r w:rsidR="008A5EAB">
        <w:rPr>
          <w:rFonts w:hint="eastAsia"/>
        </w:rPr>
        <w:t>gel (1996) argues that the strategic nature of Japan</w:t>
      </w:r>
      <w:r w:rsidR="008A5EAB">
        <w:t>’</w:t>
      </w:r>
      <w:r w:rsidR="008A5EAB">
        <w:rPr>
          <w:rFonts w:hint="eastAsia"/>
        </w:rPr>
        <w:t xml:space="preserve">s </w:t>
      </w:r>
      <w:r w:rsidR="008D214C">
        <w:t>telecommunications</w:t>
      </w:r>
      <w:r w:rsidR="008A5EAB">
        <w:rPr>
          <w:rFonts w:hint="eastAsia"/>
        </w:rPr>
        <w:t xml:space="preserve"> and financial regulation offers a striking contrast with that of the UK, where competition promotion was focused. By focusing on the state at a macro level and power relations within the core executive, this thesis highlights the </w:t>
      </w:r>
      <w:r w:rsidR="008A5EAB">
        <w:t>asymmetric</w:t>
      </w:r>
      <w:r w:rsidR="008A5EAB">
        <w:rPr>
          <w:rFonts w:hint="eastAsia"/>
        </w:rPr>
        <w:t xml:space="preserve"> dominance of the core executive </w:t>
      </w:r>
      <w:r w:rsidR="001F60E2">
        <w:rPr>
          <w:rFonts w:hint="eastAsia"/>
          <w:lang w:eastAsia="ja-JP"/>
        </w:rPr>
        <w:t xml:space="preserve">within the Japanese state </w:t>
      </w:r>
      <w:r w:rsidR="008A5EAB">
        <w:rPr>
          <w:rFonts w:hint="eastAsia"/>
        </w:rPr>
        <w:t>in ICT regulation and antim</w:t>
      </w:r>
      <w:r w:rsidR="00CF51D9">
        <w:rPr>
          <w:rFonts w:hint="eastAsia"/>
        </w:rPr>
        <w:t>onopoly regulation.</w:t>
      </w:r>
    </w:p>
    <w:p w14:paraId="5B277657" w14:textId="77777777" w:rsidR="007721EA" w:rsidRDefault="00CF51D9" w:rsidP="0085676D">
      <w:pPr>
        <w:ind w:firstLine="284"/>
        <w:rPr>
          <w:lang w:eastAsia="ja-JP"/>
        </w:rPr>
      </w:pPr>
      <w:r>
        <w:rPr>
          <w:rFonts w:hint="eastAsia"/>
          <w:lang w:eastAsia="ja-JP"/>
        </w:rPr>
        <w:t>Although Vogel (1996) highlights an important characteristic of the Japanese state (strategically oriented approaches) analogous to Johnson</w:t>
      </w:r>
      <w:r>
        <w:rPr>
          <w:lang w:eastAsia="ja-JP"/>
        </w:rPr>
        <w:t>’</w:t>
      </w:r>
      <w:r>
        <w:rPr>
          <w:rFonts w:hint="eastAsia"/>
          <w:lang w:eastAsia="ja-JP"/>
        </w:rPr>
        <w:t>s (1982) model of the developmental state, it fail</w:t>
      </w:r>
      <w:r w:rsidR="00496BCA">
        <w:rPr>
          <w:rFonts w:hint="eastAsia"/>
          <w:lang w:eastAsia="ja-JP"/>
        </w:rPr>
        <w:t>s</w:t>
      </w:r>
      <w:r>
        <w:rPr>
          <w:rFonts w:hint="eastAsia"/>
          <w:lang w:eastAsia="ja-JP"/>
        </w:rPr>
        <w:t xml:space="preserve"> to illuminate the core nature of the Japanese state</w:t>
      </w:r>
      <w:r w:rsidR="0059361C">
        <w:rPr>
          <w:lang w:eastAsia="ja-JP"/>
        </w:rPr>
        <w:t xml:space="preserve">. What the literature such as Johnson (1982) and Vogel (1996) illuminates is </w:t>
      </w:r>
      <w:r w:rsidR="0085676D">
        <w:rPr>
          <w:lang w:eastAsia="ja-JP"/>
        </w:rPr>
        <w:t xml:space="preserve">not the nature of the Japanese state but the approach of the period employed by Japan’s core executive. The Japanese state employed a developmentally oriented approach because the core executive of the time chose that option. If the core executive chose an alternative, the Japanese state would employ a different method. Therefore, the nature of the Japanese state can be explained not </w:t>
      </w:r>
      <w:r w:rsidR="00085595">
        <w:rPr>
          <w:lang w:eastAsia="ja-JP"/>
        </w:rPr>
        <w:t xml:space="preserve">with </w:t>
      </w:r>
      <w:r w:rsidR="0085676D">
        <w:rPr>
          <w:lang w:eastAsia="ja-JP"/>
        </w:rPr>
        <w:t xml:space="preserve">concrete approaches such as a developmental orientation but what the Japanese state </w:t>
      </w:r>
      <w:r w:rsidR="00085595">
        <w:rPr>
          <w:lang w:eastAsia="ja-JP"/>
        </w:rPr>
        <w:t xml:space="preserve">was </w:t>
      </w:r>
      <w:r w:rsidR="0085676D">
        <w:rPr>
          <w:lang w:eastAsia="ja-JP"/>
        </w:rPr>
        <w:t>made to employ</w:t>
      </w:r>
      <w:r w:rsidR="00085595">
        <w:rPr>
          <w:lang w:eastAsia="ja-JP"/>
        </w:rPr>
        <w:t>,</w:t>
      </w:r>
      <w:r w:rsidR="0085676D">
        <w:rPr>
          <w:lang w:eastAsia="ja-JP"/>
        </w:rPr>
        <w:t xml:space="preserve"> a developmentally oriented approach: </w:t>
      </w:r>
      <w:r>
        <w:rPr>
          <w:rFonts w:hint="eastAsia"/>
          <w:lang w:eastAsia="ja-JP"/>
        </w:rPr>
        <w:t>the dominance of the core executive</w:t>
      </w:r>
      <w:r w:rsidR="00496BCA">
        <w:rPr>
          <w:rFonts w:hint="eastAsia"/>
          <w:lang w:eastAsia="ja-JP"/>
        </w:rPr>
        <w:t xml:space="preserve"> in Japanese politics.</w:t>
      </w:r>
    </w:p>
    <w:p w14:paraId="13F3D561" w14:textId="77777777" w:rsidR="007721EA" w:rsidRDefault="007721EA" w:rsidP="006217D0">
      <w:pPr>
        <w:ind w:firstLine="284"/>
        <w:rPr>
          <w:lang w:eastAsia="ja-JP"/>
        </w:rPr>
      </w:pPr>
      <w:r>
        <w:rPr>
          <w:lang w:eastAsia="ja-JP"/>
        </w:rPr>
        <w:t xml:space="preserve">The Japanese state gradually changed its approach and sought </w:t>
      </w:r>
      <w:r w:rsidR="006217D0">
        <w:rPr>
          <w:lang w:eastAsia="ja-JP"/>
        </w:rPr>
        <w:t>alternatives</w:t>
      </w:r>
      <w:r>
        <w:rPr>
          <w:lang w:eastAsia="ja-JP"/>
        </w:rPr>
        <w:t xml:space="preserve"> when the traditional approach of developmentally oriented policy encountered challenges in the 1990s (Yamamura 1997, Vogel 2006, Schaede 2008). This thesis reveals what has happened in the middle of the transformation. The situation at the point of 2011, when the evidence of this thesis was collected, was unstable rather than under equilibrium, and there is a potential </w:t>
      </w:r>
      <w:r w:rsidR="00134FA3">
        <w:rPr>
          <w:lang w:eastAsia="ja-JP"/>
        </w:rPr>
        <w:t xml:space="preserve">that </w:t>
      </w:r>
      <w:r>
        <w:rPr>
          <w:lang w:eastAsia="ja-JP"/>
        </w:rPr>
        <w:t xml:space="preserve">further change will take place in </w:t>
      </w:r>
      <w:r w:rsidR="00085595">
        <w:rPr>
          <w:lang w:eastAsia="ja-JP"/>
        </w:rPr>
        <w:t xml:space="preserve">the </w:t>
      </w:r>
      <w:r>
        <w:rPr>
          <w:lang w:eastAsia="ja-JP"/>
        </w:rPr>
        <w:t xml:space="preserve">future. </w:t>
      </w:r>
      <w:r w:rsidR="001659C7">
        <w:rPr>
          <w:lang w:eastAsia="ja-JP"/>
        </w:rPr>
        <w:t xml:space="preserve">The core characteristic observed in the Japanese state </w:t>
      </w:r>
      <w:r w:rsidR="008D214C">
        <w:rPr>
          <w:lang w:eastAsia="ja-JP"/>
        </w:rPr>
        <w:t>between</w:t>
      </w:r>
      <w:r w:rsidR="001659C7">
        <w:rPr>
          <w:lang w:eastAsia="ja-JP"/>
        </w:rPr>
        <w:t xml:space="preserve"> the 1980s and 2000s is asymmetric dominance of the core executive. It is the core executive who has led </w:t>
      </w:r>
      <w:r w:rsidR="00134FA3">
        <w:rPr>
          <w:lang w:eastAsia="ja-JP"/>
        </w:rPr>
        <w:t>choosing the path of a developmental state</w:t>
      </w:r>
      <w:r w:rsidR="001659C7">
        <w:rPr>
          <w:lang w:eastAsia="ja-JP"/>
        </w:rPr>
        <w:t>. The Japanese state has been reconstituted as a response of the core executive to cope with the challenges</w:t>
      </w:r>
      <w:r w:rsidR="00134FA3">
        <w:rPr>
          <w:lang w:eastAsia="ja-JP"/>
        </w:rPr>
        <w:t xml:space="preserve"> after the 1980s</w:t>
      </w:r>
      <w:r w:rsidR="001659C7">
        <w:rPr>
          <w:lang w:eastAsia="ja-JP"/>
        </w:rPr>
        <w:t xml:space="preserve">. What has taken place in Japan is the reconstitution of the Japanese state led by the core executive; some measures in </w:t>
      </w:r>
      <w:r w:rsidR="00134FA3">
        <w:rPr>
          <w:lang w:eastAsia="ja-JP"/>
        </w:rPr>
        <w:t xml:space="preserve">the </w:t>
      </w:r>
      <w:r w:rsidR="001659C7">
        <w:rPr>
          <w:lang w:eastAsia="ja-JP"/>
        </w:rPr>
        <w:t xml:space="preserve">reconstitution could be market oriented, and others could be </w:t>
      </w:r>
      <w:r w:rsidR="00134FA3">
        <w:rPr>
          <w:lang w:eastAsia="ja-JP"/>
        </w:rPr>
        <w:t>reserved or protectionist</w:t>
      </w:r>
      <w:r w:rsidR="001659C7">
        <w:rPr>
          <w:lang w:eastAsia="ja-JP"/>
        </w:rPr>
        <w:t xml:space="preserve">. However, the nature of what has happened in Japan is </w:t>
      </w:r>
      <w:r w:rsidR="00134FA3">
        <w:rPr>
          <w:lang w:eastAsia="ja-JP"/>
        </w:rPr>
        <w:t>a dynamic process of state reconstitution</w:t>
      </w:r>
      <w:r w:rsidR="008D214C">
        <w:rPr>
          <w:lang w:eastAsia="ja-JP"/>
        </w:rPr>
        <w:t xml:space="preserve"> led by the core executive</w:t>
      </w:r>
      <w:r w:rsidR="00134FA3">
        <w:rPr>
          <w:lang w:eastAsia="ja-JP"/>
        </w:rPr>
        <w:t>. This is the perspective addressing the nature of what has happened in Japan’s political arena after the 1980s.</w:t>
      </w:r>
    </w:p>
    <w:p w14:paraId="0C4DA1B0" w14:textId="77777777" w:rsidR="00F213BA" w:rsidRDefault="008B33E9" w:rsidP="006D77CE">
      <w:pPr>
        <w:ind w:firstLine="284"/>
        <w:rPr>
          <w:lang w:eastAsia="ja-JP"/>
        </w:rPr>
      </w:pPr>
      <w:r>
        <w:rPr>
          <w:lang w:eastAsia="ja-JP"/>
        </w:rPr>
        <w:t>Previous</w:t>
      </w:r>
      <w:r w:rsidR="00496BCA">
        <w:rPr>
          <w:rFonts w:hint="eastAsia"/>
          <w:lang w:eastAsia="ja-JP"/>
        </w:rPr>
        <w:t xml:space="preserve"> literature on Japan </w:t>
      </w:r>
      <w:r w:rsidR="00F5745B">
        <w:rPr>
          <w:rFonts w:hint="eastAsia"/>
          <w:lang w:eastAsia="ja-JP"/>
        </w:rPr>
        <w:t xml:space="preserve">including both pluralist and rational choice </w:t>
      </w:r>
      <w:r w:rsidR="006D77CE">
        <w:rPr>
          <w:lang w:eastAsia="ja-JP"/>
        </w:rPr>
        <w:t xml:space="preserve">literature </w:t>
      </w:r>
      <w:r w:rsidR="00496BCA">
        <w:rPr>
          <w:rFonts w:hint="eastAsia"/>
          <w:lang w:eastAsia="ja-JP"/>
        </w:rPr>
        <w:t xml:space="preserve">has failed to reveal this </w:t>
      </w:r>
      <w:r w:rsidR="00134FA3">
        <w:rPr>
          <w:lang w:eastAsia="ja-JP"/>
        </w:rPr>
        <w:t>core nature of the Japanese state, which is under reconstitution mobilised by the core executive. Th</w:t>
      </w:r>
      <w:r w:rsidR="00F31DA9">
        <w:rPr>
          <w:lang w:eastAsia="ja-JP"/>
        </w:rPr>
        <w:t>e</w:t>
      </w:r>
      <w:r w:rsidR="00134FA3">
        <w:rPr>
          <w:lang w:eastAsia="ja-JP"/>
        </w:rPr>
        <w:t xml:space="preserve"> account </w:t>
      </w:r>
      <w:r w:rsidR="00F31DA9">
        <w:rPr>
          <w:lang w:eastAsia="ja-JP"/>
        </w:rPr>
        <w:t xml:space="preserve">revealing the core of the reconstitution of the Japanese state </w:t>
      </w:r>
      <w:r w:rsidR="00134FA3">
        <w:rPr>
          <w:lang w:eastAsia="ja-JP"/>
        </w:rPr>
        <w:t xml:space="preserve">can be generated by not a pluralist or rational choice framework but an analytical framework addressing the state at a macro level. </w:t>
      </w:r>
      <w:r w:rsidR="009158FA">
        <w:rPr>
          <w:lang w:eastAsia="ja-JP"/>
        </w:rPr>
        <w:t>This thesis argues that its elitist approach offers an account explain</w:t>
      </w:r>
      <w:r w:rsidR="00F31DA9">
        <w:rPr>
          <w:lang w:eastAsia="ja-JP"/>
        </w:rPr>
        <w:t>ing</w:t>
      </w:r>
      <w:r w:rsidR="009158FA">
        <w:rPr>
          <w:lang w:eastAsia="ja-JP"/>
        </w:rPr>
        <w:t xml:space="preserve"> the core nature of Japanese politics after the 1980s</w:t>
      </w:r>
      <w:r w:rsidR="00134FA3">
        <w:rPr>
          <w:lang w:eastAsia="ja-JP"/>
        </w:rPr>
        <w:t xml:space="preserve">, </w:t>
      </w:r>
      <w:r w:rsidR="009158FA">
        <w:rPr>
          <w:lang w:eastAsia="ja-JP"/>
        </w:rPr>
        <w:t>which the previous literature based on a pluralist or rational choice framework has failed to present</w:t>
      </w:r>
      <w:r w:rsidR="00496BCA">
        <w:rPr>
          <w:rFonts w:hint="eastAsia"/>
          <w:lang w:eastAsia="ja-JP"/>
        </w:rPr>
        <w:t>.</w:t>
      </w:r>
      <w:r w:rsidR="00F5745B">
        <w:rPr>
          <w:rFonts w:hint="eastAsia"/>
          <w:lang w:eastAsia="ja-JP"/>
        </w:rPr>
        <w:t xml:space="preserve"> </w:t>
      </w:r>
      <w:r w:rsidR="001659C7">
        <w:rPr>
          <w:lang w:eastAsia="ja-JP"/>
        </w:rPr>
        <w:t>A perspective arguing for t</w:t>
      </w:r>
      <w:r w:rsidR="00F5745B">
        <w:rPr>
          <w:lang w:eastAsia="ja-JP"/>
        </w:rPr>
        <w:t>h</w:t>
      </w:r>
      <w:r w:rsidR="00F5745B">
        <w:rPr>
          <w:rFonts w:hint="eastAsia"/>
          <w:lang w:eastAsia="ja-JP"/>
        </w:rPr>
        <w:t xml:space="preserve">e reconstitution of the Japanese state mobilised by the core executive </w:t>
      </w:r>
      <w:r w:rsidR="00134FA3">
        <w:rPr>
          <w:lang w:eastAsia="ja-JP"/>
        </w:rPr>
        <w:t xml:space="preserve">drawn on the evidence </w:t>
      </w:r>
      <w:r w:rsidR="00F5745B">
        <w:rPr>
          <w:rFonts w:hint="eastAsia"/>
          <w:lang w:eastAsia="ja-JP"/>
        </w:rPr>
        <w:t xml:space="preserve">is </w:t>
      </w:r>
      <w:r w:rsidR="0085676D">
        <w:rPr>
          <w:lang w:eastAsia="ja-JP"/>
        </w:rPr>
        <w:t xml:space="preserve">a </w:t>
      </w:r>
      <w:r w:rsidR="00F5745B">
        <w:rPr>
          <w:rFonts w:hint="eastAsia"/>
          <w:lang w:eastAsia="ja-JP"/>
        </w:rPr>
        <w:t>key contribution by this thesis to knowledge and literature on Japan and its politics.</w:t>
      </w:r>
    </w:p>
    <w:p w14:paraId="1940A04D" w14:textId="77777777" w:rsidR="008A5EAB" w:rsidRDefault="008A5EAB" w:rsidP="008A5EAB">
      <w:pPr>
        <w:rPr>
          <w:lang w:eastAsia="ja-JP"/>
        </w:rPr>
      </w:pPr>
    </w:p>
    <w:p w14:paraId="5F5268C3" w14:textId="77777777" w:rsidR="007D1693" w:rsidRPr="007F1BC2" w:rsidRDefault="007D1693" w:rsidP="00050D4B">
      <w:pPr>
        <w:pStyle w:val="Heading3"/>
      </w:pPr>
      <w:bookmarkStart w:id="73" w:name="_Toc349741395"/>
      <w:r>
        <w:t>7</w:t>
      </w:r>
      <w:r>
        <w:rPr>
          <w:rFonts w:hint="eastAsia"/>
        </w:rPr>
        <w:t>.</w:t>
      </w:r>
      <w:r w:rsidR="0031592C">
        <w:rPr>
          <w:rFonts w:hint="eastAsia"/>
          <w:lang w:eastAsia="ja-JP"/>
        </w:rPr>
        <w:t>4.2</w:t>
      </w:r>
      <w:r>
        <w:rPr>
          <w:rFonts w:hint="eastAsia"/>
        </w:rPr>
        <w:tab/>
      </w:r>
      <w:r w:rsidR="0031592C">
        <w:rPr>
          <w:rFonts w:hint="eastAsia"/>
          <w:lang w:eastAsia="ja-JP"/>
        </w:rPr>
        <w:t xml:space="preserve">The nature of the </w:t>
      </w:r>
      <w:r w:rsidR="0031592C">
        <w:rPr>
          <w:lang w:eastAsia="ja-JP"/>
        </w:rPr>
        <w:t>Japanese</w:t>
      </w:r>
      <w:r w:rsidR="0031592C">
        <w:rPr>
          <w:rFonts w:hint="eastAsia"/>
          <w:lang w:eastAsia="ja-JP"/>
        </w:rPr>
        <w:t xml:space="preserve"> regulatory state</w:t>
      </w:r>
      <w:bookmarkEnd w:id="73"/>
    </w:p>
    <w:p w14:paraId="7789E2EB" w14:textId="77777777" w:rsidR="00017A6F" w:rsidRDefault="00E75F4D" w:rsidP="009B398B">
      <w:pPr>
        <w:rPr>
          <w:lang w:eastAsia="ja-JP"/>
        </w:rPr>
      </w:pPr>
      <w:r>
        <w:rPr>
          <w:rFonts w:hint="eastAsia"/>
          <w:lang w:eastAsia="ja-JP"/>
        </w:rPr>
        <w:t xml:space="preserve">If </w:t>
      </w:r>
      <w:r w:rsidR="007D1693" w:rsidRPr="00733FA2">
        <w:rPr>
          <w:rFonts w:hint="eastAsia"/>
        </w:rPr>
        <w:t>Levi-Faur</w:t>
      </w:r>
      <w:r w:rsidR="007D1693" w:rsidRPr="00733FA2">
        <w:t>’</w:t>
      </w:r>
      <w:r w:rsidR="007D1693" w:rsidRPr="00733FA2">
        <w:rPr>
          <w:rFonts w:hint="eastAsia"/>
        </w:rPr>
        <w:t>s (2012 pp.19-20)</w:t>
      </w:r>
      <w:r w:rsidR="00E977F1">
        <w:rPr>
          <w:rFonts w:hint="eastAsia"/>
          <w:lang w:eastAsia="ja-JP"/>
        </w:rPr>
        <w:t xml:space="preserve"> </w:t>
      </w:r>
      <w:r w:rsidR="007D1693" w:rsidRPr="00733FA2">
        <w:rPr>
          <w:rFonts w:hint="eastAsia"/>
        </w:rPr>
        <w:t>definition of the regulatory state</w:t>
      </w:r>
      <w:r w:rsidR="005768C0">
        <w:t xml:space="preserve"> </w:t>
      </w:r>
      <w:r>
        <w:rPr>
          <w:rFonts w:hint="eastAsia"/>
          <w:lang w:eastAsia="ja-JP"/>
        </w:rPr>
        <w:t>is turned</w:t>
      </w:r>
      <w:r w:rsidR="005768C0">
        <w:t>:</w:t>
      </w:r>
      <w:r w:rsidR="007D1693" w:rsidRPr="00733FA2">
        <w:rPr>
          <w:rFonts w:hint="eastAsia"/>
          <w:lang w:eastAsia="ja-JP"/>
        </w:rPr>
        <w:t xml:space="preserve"> </w:t>
      </w:r>
      <w:r w:rsidR="007D1693" w:rsidRPr="00733FA2">
        <w:t>‘</w:t>
      </w:r>
      <w:r w:rsidR="005768C0">
        <w:t>...</w:t>
      </w:r>
      <w:r w:rsidR="007D1693" w:rsidRPr="00733FA2">
        <w:rPr>
          <w:rFonts w:hint="eastAsia"/>
        </w:rPr>
        <w:t>a state that applies and extends rule making, monitoring and enforcement either directly or indirectly</w:t>
      </w:r>
      <w:r w:rsidR="007D1693" w:rsidRPr="00733FA2">
        <w:t>’</w:t>
      </w:r>
      <w:r w:rsidR="007D1693" w:rsidRPr="00733FA2">
        <w:rPr>
          <w:rFonts w:hint="eastAsia"/>
          <w:lang w:eastAsia="ja-JP"/>
        </w:rPr>
        <w:t xml:space="preserve">, </w:t>
      </w:r>
      <w:r w:rsidR="00E977F1">
        <w:rPr>
          <w:rFonts w:hint="eastAsia"/>
          <w:lang w:eastAsia="ja-JP"/>
        </w:rPr>
        <w:t xml:space="preserve">the Japanese regulatory state is a concept describing an aspect of the Japanese state that administers regulation. </w:t>
      </w:r>
      <w:r w:rsidR="00857449">
        <w:rPr>
          <w:lang w:eastAsia="ja-JP"/>
        </w:rPr>
        <w:t>If his definition is employed, i</w:t>
      </w:r>
      <w:r w:rsidR="00E977F1">
        <w:rPr>
          <w:rFonts w:hint="eastAsia"/>
          <w:lang w:eastAsia="ja-JP"/>
        </w:rPr>
        <w:t>t can be understood even before the 1980s when Johnson (1982) illuminates the impact of the Japanese developmental state, the regulatory state existed in Japan.</w:t>
      </w:r>
      <w:r w:rsidR="00017A6F">
        <w:rPr>
          <w:rFonts w:hint="eastAsia"/>
          <w:lang w:eastAsia="ja-JP"/>
        </w:rPr>
        <w:t xml:space="preserve"> </w:t>
      </w:r>
      <w:r w:rsidR="00E977F1">
        <w:rPr>
          <w:rFonts w:hint="eastAsia"/>
          <w:lang w:eastAsia="ja-JP"/>
        </w:rPr>
        <w:t>After the 1980s</w:t>
      </w:r>
      <w:r w:rsidR="00857449">
        <w:rPr>
          <w:lang w:eastAsia="ja-JP"/>
        </w:rPr>
        <w:t>,</w:t>
      </w:r>
      <w:r w:rsidR="00E977F1">
        <w:rPr>
          <w:rFonts w:hint="eastAsia"/>
          <w:lang w:eastAsia="ja-JP"/>
        </w:rPr>
        <w:t xml:space="preserve"> </w:t>
      </w:r>
      <w:r w:rsidR="008922D2">
        <w:rPr>
          <w:rFonts w:hint="eastAsia"/>
          <w:lang w:eastAsia="ja-JP"/>
        </w:rPr>
        <w:t xml:space="preserve">because of </w:t>
      </w:r>
      <w:r w:rsidR="00265916">
        <w:rPr>
          <w:rFonts w:hint="eastAsia"/>
          <w:lang w:eastAsia="ja-JP"/>
        </w:rPr>
        <w:t>key events such as the 1985 telecommunications regulatory reform and th</w:t>
      </w:r>
      <w:r w:rsidR="008922D2">
        <w:rPr>
          <w:rFonts w:hint="eastAsia"/>
          <w:lang w:eastAsia="ja-JP"/>
        </w:rPr>
        <w:t>e SII</w:t>
      </w:r>
      <w:r w:rsidR="00857449">
        <w:rPr>
          <w:lang w:eastAsia="ja-JP"/>
        </w:rPr>
        <w:t>,</w:t>
      </w:r>
      <w:r w:rsidR="008922D2">
        <w:rPr>
          <w:rFonts w:hint="eastAsia"/>
          <w:lang w:eastAsia="ja-JP"/>
        </w:rPr>
        <w:t xml:space="preserve"> the </w:t>
      </w:r>
      <w:r w:rsidR="00E977F1">
        <w:rPr>
          <w:rFonts w:hint="eastAsia"/>
          <w:lang w:eastAsia="ja-JP"/>
        </w:rPr>
        <w:t xml:space="preserve">regulatory function of the Japanese state </w:t>
      </w:r>
      <w:r w:rsidR="008922D2">
        <w:rPr>
          <w:rFonts w:hint="eastAsia"/>
          <w:lang w:eastAsia="ja-JP"/>
        </w:rPr>
        <w:t xml:space="preserve">has attracted the interest of researchers (e.g. </w:t>
      </w:r>
      <w:r w:rsidR="006F402F">
        <w:rPr>
          <w:lang w:eastAsia="ja-JP"/>
        </w:rPr>
        <w:t xml:space="preserve">I’io 1993, </w:t>
      </w:r>
      <w:r w:rsidR="008922D2">
        <w:rPr>
          <w:rFonts w:hint="eastAsia"/>
          <w:lang w:eastAsia="ja-JP"/>
        </w:rPr>
        <w:t>Vogel 1996).</w:t>
      </w:r>
      <w:r w:rsidR="00D52715">
        <w:rPr>
          <w:lang w:eastAsia="ja-JP"/>
        </w:rPr>
        <w:t xml:space="preserve"> What emerged in ICT </w:t>
      </w:r>
      <w:r w:rsidR="009B398B">
        <w:rPr>
          <w:lang w:eastAsia="ja-JP"/>
        </w:rPr>
        <w:t>regulation</w:t>
      </w:r>
      <w:r w:rsidR="00D52715">
        <w:rPr>
          <w:lang w:eastAsia="ja-JP"/>
        </w:rPr>
        <w:t xml:space="preserve"> after the 1985 </w:t>
      </w:r>
      <w:r w:rsidR="009B398B">
        <w:rPr>
          <w:lang w:eastAsia="ja-JP"/>
        </w:rPr>
        <w:t xml:space="preserve">and in antimonopoly regulation after the SII </w:t>
      </w:r>
      <w:r w:rsidR="0040084B">
        <w:rPr>
          <w:lang w:eastAsia="ja-JP"/>
        </w:rPr>
        <w:t>,</w:t>
      </w:r>
      <w:r w:rsidR="00D52715">
        <w:rPr>
          <w:lang w:eastAsia="ja-JP"/>
        </w:rPr>
        <w:t xml:space="preserve">was a </w:t>
      </w:r>
      <w:r w:rsidR="009B398B">
        <w:rPr>
          <w:lang w:eastAsia="ja-JP"/>
        </w:rPr>
        <w:t xml:space="preserve">new form of regulatory state </w:t>
      </w:r>
      <w:r w:rsidR="0040084B">
        <w:rPr>
          <w:lang w:eastAsia="ja-JP"/>
        </w:rPr>
        <w:t xml:space="preserve">replacing </w:t>
      </w:r>
      <w:r w:rsidR="009B398B">
        <w:rPr>
          <w:lang w:eastAsia="ja-JP"/>
        </w:rPr>
        <w:t xml:space="preserve"> the </w:t>
      </w:r>
      <w:r w:rsidR="004D55B0">
        <w:rPr>
          <w:lang w:eastAsia="ja-JP"/>
        </w:rPr>
        <w:t xml:space="preserve">previous </w:t>
      </w:r>
      <w:r w:rsidR="0040084B">
        <w:rPr>
          <w:lang w:eastAsia="ja-JP"/>
        </w:rPr>
        <w:t>one</w:t>
      </w:r>
      <w:r w:rsidR="009B398B">
        <w:rPr>
          <w:lang w:eastAsia="ja-JP"/>
        </w:rPr>
        <w:t>.</w:t>
      </w:r>
    </w:p>
    <w:p w14:paraId="7FD348A7" w14:textId="5A46E78E" w:rsidR="00525E4B" w:rsidRDefault="00805CB1" w:rsidP="00A1327F">
      <w:pPr>
        <w:ind w:firstLine="284"/>
        <w:rPr>
          <w:lang w:eastAsia="ja-JP"/>
        </w:rPr>
      </w:pPr>
      <w:r>
        <w:rPr>
          <w:rFonts w:hint="eastAsia"/>
          <w:lang w:eastAsia="ja-JP"/>
        </w:rPr>
        <w:t xml:space="preserve">The </w:t>
      </w:r>
      <w:r w:rsidR="00321A5C">
        <w:rPr>
          <w:rFonts w:hint="eastAsia"/>
          <w:lang w:eastAsia="ja-JP"/>
        </w:rPr>
        <w:t>exploration of this thesis on the cases i</w:t>
      </w:r>
      <w:r>
        <w:rPr>
          <w:rFonts w:hint="eastAsia"/>
          <w:lang w:eastAsia="ja-JP"/>
        </w:rPr>
        <w:t xml:space="preserve">n ICT regulation and antimonopoly regulation </w:t>
      </w:r>
      <w:r w:rsidR="00321A5C">
        <w:rPr>
          <w:rFonts w:hint="eastAsia"/>
          <w:lang w:eastAsia="ja-JP"/>
        </w:rPr>
        <w:t xml:space="preserve">reveals </w:t>
      </w:r>
      <w:r w:rsidR="00E845AD">
        <w:rPr>
          <w:rFonts w:hint="eastAsia"/>
          <w:lang w:eastAsia="ja-JP"/>
        </w:rPr>
        <w:t xml:space="preserve">the </w:t>
      </w:r>
      <w:r w:rsidR="00B21B8A">
        <w:rPr>
          <w:rFonts w:hint="eastAsia"/>
          <w:lang w:eastAsia="ja-JP"/>
        </w:rPr>
        <w:t xml:space="preserve">transformation of the Japanese regulatory state. The </w:t>
      </w:r>
      <w:r w:rsidR="00D52715">
        <w:rPr>
          <w:lang w:eastAsia="ja-JP"/>
        </w:rPr>
        <w:t xml:space="preserve">new </w:t>
      </w:r>
      <w:r w:rsidR="004D55B0">
        <w:rPr>
          <w:lang w:eastAsia="ja-JP"/>
        </w:rPr>
        <w:t>form</w:t>
      </w:r>
      <w:r w:rsidR="00D52715">
        <w:rPr>
          <w:lang w:eastAsia="ja-JP"/>
        </w:rPr>
        <w:t xml:space="preserve"> of </w:t>
      </w:r>
      <w:r w:rsidR="00B21B8A">
        <w:rPr>
          <w:rFonts w:hint="eastAsia"/>
          <w:lang w:eastAsia="ja-JP"/>
        </w:rPr>
        <w:t xml:space="preserve">regulatory state emerged after key events such as the telecommunications regulatory reform in 1985 and the SII </w:t>
      </w:r>
      <w:r w:rsidR="00525E4B">
        <w:rPr>
          <w:rFonts w:hint="eastAsia"/>
          <w:lang w:eastAsia="ja-JP"/>
        </w:rPr>
        <w:t>employ</w:t>
      </w:r>
      <w:r w:rsidR="00FF67AA">
        <w:rPr>
          <w:lang w:eastAsia="ja-JP"/>
        </w:rPr>
        <w:t>s</w:t>
      </w:r>
      <w:r w:rsidR="00525E4B">
        <w:rPr>
          <w:rFonts w:hint="eastAsia"/>
          <w:lang w:eastAsia="ja-JP"/>
        </w:rPr>
        <w:t xml:space="preserve"> principal-agent regulation </w:t>
      </w:r>
      <w:r w:rsidR="009F4267">
        <w:rPr>
          <w:lang w:eastAsia="ja-JP"/>
        </w:rPr>
        <w:t>and competition</w:t>
      </w:r>
      <w:r w:rsidR="000314A4">
        <w:rPr>
          <w:lang w:eastAsia="ja-JP"/>
        </w:rPr>
        <w:t xml:space="preserve"> in markets</w:t>
      </w:r>
      <w:r w:rsidR="009F4267">
        <w:rPr>
          <w:lang w:eastAsia="ja-JP"/>
        </w:rPr>
        <w:t xml:space="preserve"> </w:t>
      </w:r>
      <w:r w:rsidR="00525E4B">
        <w:rPr>
          <w:rFonts w:hint="eastAsia"/>
          <w:lang w:eastAsia="ja-JP"/>
        </w:rPr>
        <w:t>as key tool</w:t>
      </w:r>
      <w:r w:rsidR="000314A4">
        <w:rPr>
          <w:lang w:eastAsia="ja-JP"/>
        </w:rPr>
        <w:t>s</w:t>
      </w:r>
      <w:r w:rsidR="00525E4B">
        <w:rPr>
          <w:rFonts w:hint="eastAsia"/>
          <w:lang w:eastAsia="ja-JP"/>
        </w:rPr>
        <w:t xml:space="preserve">. In ICT regulation the intensified usage of principal-agent regulation has emerged in the rise of the MPT/MIC as a key regulatory ministry. In antimonopoly regulation it </w:t>
      </w:r>
      <w:r w:rsidR="00B21B8A">
        <w:rPr>
          <w:rFonts w:hint="eastAsia"/>
          <w:lang w:eastAsia="ja-JP"/>
        </w:rPr>
        <w:t xml:space="preserve">has </w:t>
      </w:r>
      <w:r w:rsidR="00525E4B">
        <w:rPr>
          <w:rFonts w:hint="eastAsia"/>
          <w:lang w:eastAsia="ja-JP"/>
        </w:rPr>
        <w:t xml:space="preserve">come to light with the enhancement of the JFTC. </w:t>
      </w:r>
      <w:r w:rsidR="009F4267">
        <w:rPr>
          <w:lang w:eastAsia="ja-JP"/>
        </w:rPr>
        <w:t>T</w:t>
      </w:r>
      <w:r w:rsidR="009B398B">
        <w:rPr>
          <w:lang w:eastAsia="ja-JP"/>
        </w:rPr>
        <w:t>he previous form of regulatory state was based on service provision based on state corporation monopoly (</w:t>
      </w:r>
      <w:r w:rsidR="007C710A">
        <w:rPr>
          <w:lang w:eastAsia="ja-JP"/>
        </w:rPr>
        <w:t xml:space="preserve">e.g. </w:t>
      </w:r>
      <w:r w:rsidR="009B398B">
        <w:rPr>
          <w:lang w:eastAsia="ja-JP"/>
        </w:rPr>
        <w:t>the NTT</w:t>
      </w:r>
      <w:r w:rsidR="009F4267">
        <w:rPr>
          <w:lang w:eastAsia="ja-JP"/>
        </w:rPr>
        <w:t>’s in</w:t>
      </w:r>
      <w:r w:rsidR="009B398B">
        <w:rPr>
          <w:lang w:eastAsia="ja-JP"/>
        </w:rPr>
        <w:t xml:space="preserve"> </w:t>
      </w:r>
      <w:r w:rsidR="009F4267">
        <w:rPr>
          <w:lang w:eastAsia="ja-JP"/>
        </w:rPr>
        <w:t xml:space="preserve">the </w:t>
      </w:r>
      <w:r w:rsidR="009B398B">
        <w:rPr>
          <w:lang w:eastAsia="ja-JP"/>
        </w:rPr>
        <w:t xml:space="preserve">ICT </w:t>
      </w:r>
      <w:r w:rsidR="009F4267">
        <w:rPr>
          <w:lang w:eastAsia="ja-JP"/>
        </w:rPr>
        <w:t>sector</w:t>
      </w:r>
      <w:r w:rsidR="009B398B">
        <w:rPr>
          <w:lang w:eastAsia="ja-JP"/>
        </w:rPr>
        <w:t>) and cooperation between private firms (</w:t>
      </w:r>
      <w:r w:rsidR="007C710A">
        <w:rPr>
          <w:lang w:eastAsia="ja-JP"/>
        </w:rPr>
        <w:t xml:space="preserve">e.g. </w:t>
      </w:r>
      <w:r w:rsidR="009B398B">
        <w:rPr>
          <w:lang w:eastAsia="ja-JP"/>
        </w:rPr>
        <w:t xml:space="preserve">AMA exemptions in specific sectors) with ex ante approaches by the state (e.g. </w:t>
      </w:r>
      <w:r w:rsidR="00A1327F">
        <w:rPr>
          <w:lang w:eastAsia="ja-JP"/>
        </w:rPr>
        <w:t>entry prohibition in</w:t>
      </w:r>
      <w:r w:rsidR="009B398B">
        <w:rPr>
          <w:lang w:eastAsia="ja-JP"/>
        </w:rPr>
        <w:t xml:space="preserve"> domestic telecommunications</w:t>
      </w:r>
      <w:r w:rsidR="00A1327F">
        <w:rPr>
          <w:lang w:eastAsia="ja-JP"/>
        </w:rPr>
        <w:t xml:space="preserve"> markets</w:t>
      </w:r>
      <w:r w:rsidR="009B398B">
        <w:rPr>
          <w:lang w:eastAsia="ja-JP"/>
        </w:rPr>
        <w:t>, holding company prohibition in antimonopoly regulation) rather than competition</w:t>
      </w:r>
      <w:r w:rsidR="00084B3B">
        <w:rPr>
          <w:lang w:eastAsia="ja-JP"/>
        </w:rPr>
        <w:t xml:space="preserve"> in markets</w:t>
      </w:r>
      <w:r w:rsidR="009B398B">
        <w:rPr>
          <w:lang w:eastAsia="ja-JP"/>
        </w:rPr>
        <w:t>.</w:t>
      </w:r>
    </w:p>
    <w:p w14:paraId="67973576" w14:textId="6D2E1EB5" w:rsidR="002363F9" w:rsidRDefault="00525E4B" w:rsidP="00BF2553">
      <w:pPr>
        <w:ind w:firstLine="284"/>
        <w:rPr>
          <w:lang w:eastAsia="ja-JP"/>
        </w:rPr>
      </w:pPr>
      <w:r>
        <w:rPr>
          <w:rFonts w:hint="eastAsia"/>
          <w:lang w:eastAsia="ja-JP"/>
        </w:rPr>
        <w:t xml:space="preserve">Elsewhere, </w:t>
      </w:r>
      <w:r w:rsidRPr="00733FA2">
        <w:rPr>
          <w:rFonts w:hint="eastAsia"/>
          <w:lang w:eastAsia="ja-JP"/>
        </w:rPr>
        <w:t xml:space="preserve">the analysis of the case studies has </w:t>
      </w:r>
      <w:r>
        <w:rPr>
          <w:lang w:eastAsia="ja-JP"/>
        </w:rPr>
        <w:t>revealed</w:t>
      </w:r>
      <w:r w:rsidRPr="00733FA2">
        <w:rPr>
          <w:rFonts w:hint="eastAsia"/>
          <w:lang w:eastAsia="ja-JP"/>
        </w:rPr>
        <w:t xml:space="preserve"> the core executive</w:t>
      </w:r>
      <w:r w:rsidRPr="00733FA2">
        <w:rPr>
          <w:lang w:eastAsia="ja-JP"/>
        </w:rPr>
        <w:t>’</w:t>
      </w:r>
      <w:r w:rsidRPr="00733FA2">
        <w:rPr>
          <w:rFonts w:hint="eastAsia"/>
          <w:lang w:eastAsia="ja-JP"/>
        </w:rPr>
        <w:t xml:space="preserve">s path dependent view on regulatory independence, in which a significant reluctance to establish flexible independent regulators within the traditional political tradition </w:t>
      </w:r>
      <w:r>
        <w:rPr>
          <w:lang w:eastAsia="ja-JP"/>
        </w:rPr>
        <w:t>was evident</w:t>
      </w:r>
      <w:r>
        <w:rPr>
          <w:rFonts w:eastAsia="MS Mincho" w:hint="eastAsia"/>
          <w:lang w:eastAsia="ja-JP"/>
        </w:rPr>
        <w:t xml:space="preserve"> in ICT regulation</w:t>
      </w:r>
      <w:r w:rsidRPr="00733FA2">
        <w:rPr>
          <w:rFonts w:hint="eastAsia"/>
          <w:lang w:eastAsia="ja-JP"/>
        </w:rPr>
        <w:t xml:space="preserve">. The </w:t>
      </w:r>
      <w:r>
        <w:rPr>
          <w:rFonts w:hint="eastAsia"/>
          <w:lang w:eastAsia="ja-JP"/>
        </w:rPr>
        <w:t>JFTC</w:t>
      </w:r>
      <w:r>
        <w:rPr>
          <w:lang w:eastAsia="ja-JP"/>
        </w:rPr>
        <w:t>’</w:t>
      </w:r>
      <w:r>
        <w:rPr>
          <w:rFonts w:hint="eastAsia"/>
          <w:lang w:eastAsia="ja-JP"/>
        </w:rPr>
        <w:t xml:space="preserve">s </w:t>
      </w:r>
      <w:r w:rsidRPr="00733FA2">
        <w:rPr>
          <w:rFonts w:hint="eastAsia"/>
          <w:lang w:eastAsia="ja-JP"/>
        </w:rPr>
        <w:t xml:space="preserve">independence of authority </w:t>
      </w:r>
      <w:r>
        <w:rPr>
          <w:rFonts w:hint="eastAsia"/>
          <w:lang w:eastAsia="ja-JP"/>
        </w:rPr>
        <w:t>has been retained because of the self-reinforcing path dependency starting from the JFTC</w:t>
      </w:r>
      <w:r>
        <w:rPr>
          <w:lang w:eastAsia="ja-JP"/>
        </w:rPr>
        <w:t>’</w:t>
      </w:r>
      <w:r>
        <w:rPr>
          <w:rFonts w:hint="eastAsia"/>
          <w:lang w:eastAsia="ja-JP"/>
        </w:rPr>
        <w:t>s establishment in 1947.</w:t>
      </w:r>
      <w:r w:rsidR="00ED1FE1">
        <w:rPr>
          <w:rFonts w:hint="eastAsia"/>
          <w:lang w:eastAsia="ja-JP"/>
        </w:rPr>
        <w:t xml:space="preserve"> This set of path dependent history gives the Japanese regulatory state a</w:t>
      </w:r>
      <w:r w:rsidR="00BF2553">
        <w:rPr>
          <w:lang w:eastAsia="ja-JP"/>
        </w:rPr>
        <w:t>n</w:t>
      </w:r>
      <w:r w:rsidR="00ED1FE1">
        <w:rPr>
          <w:rFonts w:hint="eastAsia"/>
          <w:lang w:eastAsia="ja-JP"/>
        </w:rPr>
        <w:t xml:space="preserve"> </w:t>
      </w:r>
      <w:r w:rsidR="00BF2553">
        <w:rPr>
          <w:lang w:eastAsia="ja-JP"/>
        </w:rPr>
        <w:t>unusual</w:t>
      </w:r>
      <w:r w:rsidR="00ED1FE1">
        <w:rPr>
          <w:rFonts w:hint="eastAsia"/>
          <w:lang w:eastAsia="ja-JP"/>
        </w:rPr>
        <w:t xml:space="preserve"> outlook; many of its regulators (e.g. ICT, transport, utility) are still located within government ministries.</w:t>
      </w:r>
      <w:r w:rsidR="002363F9">
        <w:rPr>
          <w:rFonts w:hint="eastAsia"/>
          <w:lang w:eastAsia="ja-JP"/>
        </w:rPr>
        <w:t xml:space="preserve"> </w:t>
      </w:r>
    </w:p>
    <w:p w14:paraId="2EEAE761" w14:textId="77777777" w:rsidR="002363F9" w:rsidRDefault="002363F9" w:rsidP="002363F9">
      <w:pPr>
        <w:ind w:firstLine="284"/>
        <w:rPr>
          <w:lang w:eastAsia="ja-JP"/>
        </w:rPr>
      </w:pPr>
      <w:r w:rsidRPr="00733FA2">
        <w:rPr>
          <w:rFonts w:hint="eastAsia"/>
          <w:lang w:eastAsia="ja-JP"/>
        </w:rPr>
        <w:t xml:space="preserve">Another characteristic is the </w:t>
      </w:r>
      <w:r w:rsidRPr="00733FA2">
        <w:rPr>
          <w:lang w:eastAsia="ja-JP"/>
        </w:rPr>
        <w:t>tendency</w:t>
      </w:r>
      <w:r w:rsidRPr="00733FA2">
        <w:rPr>
          <w:rFonts w:hint="eastAsia"/>
          <w:lang w:eastAsia="ja-JP"/>
        </w:rPr>
        <w:t xml:space="preserve"> that prioritising a regulatory sector requires more relevant law amendments, which increase the involvement of the Diet and party politicians.</w:t>
      </w:r>
      <w:r>
        <w:rPr>
          <w:rFonts w:hint="eastAsia"/>
          <w:lang w:eastAsia="ja-JP"/>
        </w:rPr>
        <w:t xml:space="preserve"> Because of this, </w:t>
      </w:r>
      <w:r w:rsidR="00105FC5">
        <w:rPr>
          <w:lang w:eastAsia="ja-JP"/>
        </w:rPr>
        <w:t>party politicians in Japan have</w:t>
      </w:r>
      <w:r>
        <w:rPr>
          <w:rFonts w:hint="eastAsia"/>
          <w:lang w:eastAsia="ja-JP"/>
        </w:rPr>
        <w:t xml:space="preserve"> had the potential </w:t>
      </w:r>
      <w:r w:rsidR="000D0A7D">
        <w:rPr>
          <w:lang w:eastAsia="ja-JP"/>
        </w:rPr>
        <w:t>for</w:t>
      </w:r>
      <w:r>
        <w:rPr>
          <w:rFonts w:hint="eastAsia"/>
          <w:lang w:eastAsia="ja-JP"/>
        </w:rPr>
        <w:t xml:space="preserve"> having a significant role in the Japanese regulatory state. </w:t>
      </w:r>
      <w:r w:rsidR="000C7243">
        <w:rPr>
          <w:rFonts w:hint="eastAsia"/>
          <w:lang w:eastAsia="ja-JP"/>
        </w:rPr>
        <w:t xml:space="preserve">The regulatory process and </w:t>
      </w:r>
      <w:r w:rsidR="00AE0F5D">
        <w:rPr>
          <w:rFonts w:hint="eastAsia"/>
          <w:lang w:eastAsia="ja-JP"/>
        </w:rPr>
        <w:t>the decision making process within the regulatory state tend to be politicised because of the significant role of party politicians within the core executive.</w:t>
      </w:r>
    </w:p>
    <w:p w14:paraId="04BB4337" w14:textId="77777777" w:rsidR="0082450A" w:rsidRDefault="00ED1FE1" w:rsidP="00ED1FE1">
      <w:pPr>
        <w:ind w:firstLine="284"/>
        <w:rPr>
          <w:lang w:eastAsia="ja-JP"/>
        </w:rPr>
      </w:pPr>
      <w:r>
        <w:rPr>
          <w:rFonts w:hint="eastAsia"/>
          <w:lang w:eastAsia="ja-JP"/>
        </w:rPr>
        <w:t xml:space="preserve">The process of shaping the Japanese regulatory state after the 1980s has been mobilised by the core executive. Indeed, a </w:t>
      </w:r>
      <w:r w:rsidR="00E845AD">
        <w:rPr>
          <w:rFonts w:hint="eastAsia"/>
          <w:lang w:eastAsia="ja-JP"/>
        </w:rPr>
        <w:t xml:space="preserve">key characteristic </w:t>
      </w:r>
      <w:r>
        <w:rPr>
          <w:rFonts w:hint="eastAsia"/>
          <w:lang w:eastAsia="ja-JP"/>
        </w:rPr>
        <w:t xml:space="preserve">of the Japanese </w:t>
      </w:r>
      <w:r>
        <w:rPr>
          <w:lang w:eastAsia="ja-JP"/>
        </w:rPr>
        <w:t>regulatory</w:t>
      </w:r>
      <w:r>
        <w:rPr>
          <w:rFonts w:hint="eastAsia"/>
          <w:lang w:eastAsia="ja-JP"/>
        </w:rPr>
        <w:t xml:space="preserve"> state </w:t>
      </w:r>
      <w:r w:rsidR="00E845AD">
        <w:rPr>
          <w:rFonts w:hint="eastAsia"/>
          <w:lang w:eastAsia="ja-JP"/>
        </w:rPr>
        <w:t xml:space="preserve">is the dominance of the core executive. The core executive has been in a discretional position to administer </w:t>
      </w:r>
      <w:r w:rsidR="00E845AD">
        <w:rPr>
          <w:lang w:eastAsia="ja-JP"/>
        </w:rPr>
        <w:t>regulation and its</w:t>
      </w:r>
      <w:r w:rsidR="00E845AD" w:rsidRPr="00733FA2">
        <w:rPr>
          <w:rFonts w:hint="eastAsia"/>
          <w:lang w:eastAsia="ja-JP"/>
        </w:rPr>
        <w:t xml:space="preserve"> tools (rule</w:t>
      </w:r>
      <w:r w:rsidR="00E845AD">
        <w:rPr>
          <w:lang w:eastAsia="ja-JP"/>
        </w:rPr>
        <w:t xml:space="preserve"> </w:t>
      </w:r>
      <w:r w:rsidR="00E845AD" w:rsidRPr="00733FA2">
        <w:rPr>
          <w:rFonts w:hint="eastAsia"/>
          <w:lang w:eastAsia="ja-JP"/>
        </w:rPr>
        <w:t>making, monitoring, and enforcement)</w:t>
      </w:r>
      <w:r w:rsidR="00E845AD" w:rsidRPr="00733FA2">
        <w:rPr>
          <w:rFonts w:hint="eastAsia"/>
        </w:rPr>
        <w:t>.</w:t>
      </w:r>
      <w:r w:rsidR="00E845AD" w:rsidRPr="00733FA2">
        <w:rPr>
          <w:rFonts w:hint="eastAsia"/>
          <w:lang w:eastAsia="ja-JP"/>
        </w:rPr>
        <w:t xml:space="preserve"> </w:t>
      </w:r>
    </w:p>
    <w:p w14:paraId="1F0E59B1" w14:textId="77777777" w:rsidR="008C6A05" w:rsidRDefault="008C6A05" w:rsidP="008C6A05">
      <w:pPr>
        <w:ind w:firstLine="284"/>
        <w:rPr>
          <w:lang w:eastAsia="ja-JP"/>
        </w:rPr>
      </w:pPr>
      <w:r>
        <w:rPr>
          <w:rFonts w:hint="eastAsia"/>
          <w:lang w:eastAsia="ja-JP"/>
        </w:rPr>
        <w:t xml:space="preserve">The significance of the core executive in shaping a new regulatory state is highlighted by Moran (2003) in his analysis of </w:t>
      </w:r>
      <w:r>
        <w:rPr>
          <w:rFonts w:hint="eastAsia"/>
        </w:rPr>
        <w:t xml:space="preserve">the British regulatory state. </w:t>
      </w:r>
      <w:r>
        <w:rPr>
          <w:rFonts w:hint="eastAsia"/>
          <w:lang w:eastAsia="ja-JP"/>
        </w:rPr>
        <w:t>Commentators such as Kelsey (1995) also illuminate the role of elites in the core executive as key for New Zealand</w:t>
      </w:r>
      <w:r>
        <w:rPr>
          <w:lang w:eastAsia="ja-JP"/>
        </w:rPr>
        <w:t>’</w:t>
      </w:r>
      <w:r>
        <w:rPr>
          <w:rFonts w:hint="eastAsia"/>
          <w:lang w:eastAsia="ja-JP"/>
        </w:rPr>
        <w:t xml:space="preserve">s regulatory reform. The Japanese regulatory state </w:t>
      </w:r>
      <w:r w:rsidR="0099384F">
        <w:rPr>
          <w:rFonts w:hint="eastAsia"/>
          <w:lang w:eastAsia="ja-JP"/>
        </w:rPr>
        <w:t xml:space="preserve">has also been dominated by the core executive </w:t>
      </w:r>
      <w:r>
        <w:rPr>
          <w:rFonts w:hint="eastAsia"/>
          <w:lang w:eastAsia="ja-JP"/>
        </w:rPr>
        <w:t>in shaping its framework</w:t>
      </w:r>
      <w:r w:rsidR="0099384F">
        <w:rPr>
          <w:rFonts w:hint="eastAsia"/>
          <w:lang w:eastAsia="ja-JP"/>
        </w:rPr>
        <w:t xml:space="preserve"> after the 1980s. </w:t>
      </w:r>
      <w:r w:rsidR="00F26B27">
        <w:rPr>
          <w:rFonts w:hint="eastAsia"/>
          <w:lang w:eastAsia="ja-JP"/>
        </w:rPr>
        <w:t xml:space="preserve">The </w:t>
      </w:r>
      <w:r w:rsidR="00A731AB">
        <w:rPr>
          <w:rFonts w:hint="eastAsia"/>
          <w:lang w:eastAsia="ja-JP"/>
        </w:rPr>
        <w:t>transformation</w:t>
      </w:r>
      <w:r w:rsidR="00F26B27">
        <w:rPr>
          <w:rFonts w:hint="eastAsia"/>
          <w:lang w:eastAsia="ja-JP"/>
        </w:rPr>
        <w:t xml:space="preserve"> of </w:t>
      </w:r>
      <w:r w:rsidR="00A731AB">
        <w:rPr>
          <w:rFonts w:hint="eastAsia"/>
          <w:lang w:eastAsia="ja-JP"/>
        </w:rPr>
        <w:t xml:space="preserve">the Japanese </w:t>
      </w:r>
      <w:r w:rsidR="00F26B27">
        <w:rPr>
          <w:rFonts w:hint="eastAsia"/>
          <w:lang w:eastAsia="ja-JP"/>
        </w:rPr>
        <w:t>regulatory state, which Vogel (1996) highlights as the emergence of reregulation as an explicit response of the state a</w:t>
      </w:r>
      <w:r w:rsidR="003F3C98">
        <w:rPr>
          <w:rFonts w:hint="eastAsia"/>
          <w:lang w:eastAsia="ja-JP"/>
        </w:rPr>
        <w:t xml:space="preserve">ctors, can be understood as a response of the core executive </w:t>
      </w:r>
      <w:r w:rsidR="003F3C98">
        <w:rPr>
          <w:lang w:eastAsia="ja-JP"/>
        </w:rPr>
        <w:t>reconstituting</w:t>
      </w:r>
      <w:r w:rsidR="003F3C98">
        <w:rPr>
          <w:rFonts w:hint="eastAsia"/>
          <w:lang w:eastAsia="ja-JP"/>
        </w:rPr>
        <w:t xml:space="preserve"> the new form of the regulatory state with its asymmetric dominance.</w:t>
      </w:r>
    </w:p>
    <w:p w14:paraId="0493A46F" w14:textId="77777777" w:rsidR="007D1693" w:rsidRDefault="00641C54" w:rsidP="00E077AC">
      <w:pPr>
        <w:ind w:firstLine="284"/>
      </w:pPr>
      <w:r>
        <w:rPr>
          <w:rFonts w:hint="eastAsia"/>
          <w:lang w:eastAsia="ja-JP"/>
        </w:rPr>
        <w:t xml:space="preserve">If the dominance of the core executive is a key </w:t>
      </w:r>
      <w:r w:rsidR="00887531">
        <w:rPr>
          <w:rFonts w:hint="eastAsia"/>
          <w:lang w:eastAsia="ja-JP"/>
        </w:rPr>
        <w:t>nature</w:t>
      </w:r>
      <w:r>
        <w:rPr>
          <w:rFonts w:hint="eastAsia"/>
          <w:lang w:eastAsia="ja-JP"/>
        </w:rPr>
        <w:t xml:space="preserve"> of the Japanese regulatory state, </w:t>
      </w:r>
      <w:r w:rsidR="00887531">
        <w:rPr>
          <w:rFonts w:hint="eastAsia"/>
          <w:lang w:eastAsia="ja-JP"/>
        </w:rPr>
        <w:t xml:space="preserve">then </w:t>
      </w:r>
      <w:r>
        <w:rPr>
          <w:rFonts w:hint="eastAsia"/>
          <w:lang w:eastAsia="ja-JP"/>
        </w:rPr>
        <w:t>what</w:t>
      </w:r>
      <w:r w:rsidR="00887531">
        <w:rPr>
          <w:rFonts w:hint="eastAsia"/>
          <w:lang w:eastAsia="ja-JP"/>
        </w:rPr>
        <w:t xml:space="preserve"> </w:t>
      </w:r>
      <w:r>
        <w:rPr>
          <w:rFonts w:hint="eastAsia"/>
          <w:lang w:eastAsia="ja-JP"/>
        </w:rPr>
        <w:t>makes the Japane</w:t>
      </w:r>
      <w:r w:rsidR="00887531">
        <w:rPr>
          <w:rFonts w:hint="eastAsia"/>
          <w:lang w:eastAsia="ja-JP"/>
        </w:rPr>
        <w:t>s</w:t>
      </w:r>
      <w:r>
        <w:rPr>
          <w:rFonts w:hint="eastAsia"/>
          <w:lang w:eastAsia="ja-JP"/>
        </w:rPr>
        <w:t>e regulatory state shape its specific approach to regulation?</w:t>
      </w:r>
      <w:r w:rsidR="00887531">
        <w:rPr>
          <w:rFonts w:hint="eastAsia"/>
          <w:lang w:eastAsia="ja-JP"/>
        </w:rPr>
        <w:t xml:space="preserve"> T</w:t>
      </w:r>
      <w:r>
        <w:rPr>
          <w:rFonts w:hint="eastAsia"/>
          <w:lang w:eastAsia="ja-JP"/>
        </w:rPr>
        <w:t>his thesis</w:t>
      </w:r>
      <w:r w:rsidR="00E077AC">
        <w:rPr>
          <w:lang w:eastAsia="ja-JP"/>
        </w:rPr>
        <w:t xml:space="preserve"> </w:t>
      </w:r>
      <w:r w:rsidR="005768C0">
        <w:rPr>
          <w:lang w:eastAsia="ja-JP"/>
        </w:rPr>
        <w:t xml:space="preserve">concludes </w:t>
      </w:r>
      <w:r w:rsidR="007D1693">
        <w:rPr>
          <w:rFonts w:hint="eastAsia"/>
          <w:lang w:eastAsia="ja-JP"/>
        </w:rPr>
        <w:t xml:space="preserve">that the Japanese regulatory state can be explained as </w:t>
      </w:r>
      <w:r w:rsidR="007D1693">
        <w:rPr>
          <w:rFonts w:hint="eastAsia"/>
        </w:rPr>
        <w:t xml:space="preserve">the </w:t>
      </w:r>
      <w:r w:rsidR="007D1693">
        <w:t>equilibrium</w:t>
      </w:r>
      <w:r w:rsidR="007D1693">
        <w:rPr>
          <w:rFonts w:hint="eastAsia"/>
        </w:rPr>
        <w:t xml:space="preserve"> </w:t>
      </w:r>
      <w:r w:rsidR="007D1693">
        <w:t>between</w:t>
      </w:r>
      <w:r w:rsidR="007D1693">
        <w:rPr>
          <w:rFonts w:hint="eastAsia"/>
        </w:rPr>
        <w:t xml:space="preserve"> the </w:t>
      </w:r>
      <w:r w:rsidR="007D1693">
        <w:t>following</w:t>
      </w:r>
      <w:r w:rsidR="007D1693">
        <w:rPr>
          <w:rFonts w:hint="eastAsia"/>
        </w:rPr>
        <w:t xml:space="preserve"> elements:</w:t>
      </w:r>
    </w:p>
    <w:p w14:paraId="2F17F497" w14:textId="77777777" w:rsidR="007D1693" w:rsidRDefault="007D1693" w:rsidP="001B6C05">
      <w:pPr>
        <w:pStyle w:val="ListParagraph"/>
        <w:numPr>
          <w:ilvl w:val="0"/>
          <w:numId w:val="60"/>
        </w:numPr>
        <w:ind w:left="284" w:hanging="284"/>
      </w:pPr>
      <w:r>
        <w:rPr>
          <w:rFonts w:hint="eastAsia"/>
        </w:rPr>
        <w:t>democratic accountability</w:t>
      </w:r>
    </w:p>
    <w:p w14:paraId="450F1C86" w14:textId="1D5CF15A" w:rsidR="007D1693" w:rsidRDefault="007D1693" w:rsidP="00984429">
      <w:pPr>
        <w:ind w:left="284"/>
        <w:rPr>
          <w:lang w:eastAsia="ja-JP"/>
        </w:rPr>
      </w:pPr>
      <w:r>
        <w:rPr>
          <w:rFonts w:hint="eastAsia"/>
        </w:rPr>
        <w:t xml:space="preserve">A key factor to control the relationship within the core executive is democratic accountability. </w:t>
      </w:r>
      <w:r w:rsidRPr="00640211">
        <w:t xml:space="preserve">This typically means oversights by elected officials such as Cabinet Ministers and </w:t>
      </w:r>
      <w:r>
        <w:rPr>
          <w:rFonts w:hint="eastAsia"/>
        </w:rPr>
        <w:t>legislature</w:t>
      </w:r>
      <w:r w:rsidRPr="00640211">
        <w:t xml:space="preserve">. </w:t>
      </w:r>
      <w:r>
        <w:rPr>
          <w:rFonts w:hint="eastAsia"/>
        </w:rPr>
        <w:t xml:space="preserve">Democratic accountability is an important instrument for party politicians to control the government. </w:t>
      </w:r>
      <w:r>
        <w:t>I</w:t>
      </w:r>
      <w:r>
        <w:rPr>
          <w:rFonts w:hint="eastAsia"/>
        </w:rPr>
        <w:t xml:space="preserve">t offers </w:t>
      </w:r>
      <w:r w:rsidR="005768C0">
        <w:t>the</w:t>
      </w:r>
      <w:r w:rsidR="005768C0">
        <w:rPr>
          <w:rFonts w:hint="eastAsia"/>
        </w:rPr>
        <w:t xml:space="preserve"> </w:t>
      </w:r>
      <w:r>
        <w:rPr>
          <w:rFonts w:hint="eastAsia"/>
        </w:rPr>
        <w:t xml:space="preserve">basis </w:t>
      </w:r>
      <w:r>
        <w:rPr>
          <w:rFonts w:hint="eastAsia"/>
          <w:lang w:eastAsia="ja-JP"/>
        </w:rPr>
        <w:t xml:space="preserve">of political legitimacy </w:t>
      </w:r>
      <w:r>
        <w:rPr>
          <w:rFonts w:hint="eastAsia"/>
        </w:rPr>
        <w:t xml:space="preserve">on which both party politicians outside the </w:t>
      </w:r>
      <w:r w:rsidR="00DE2A08">
        <w:rPr>
          <w:rFonts w:eastAsia="MS Mincho" w:hint="eastAsia"/>
          <w:lang w:eastAsia="ja-JP"/>
        </w:rPr>
        <w:t>C</w:t>
      </w:r>
      <w:r>
        <w:rPr>
          <w:rFonts w:hint="eastAsia"/>
        </w:rPr>
        <w:t xml:space="preserve">abinet and Cabinet Ministers exercise </w:t>
      </w:r>
      <w:r w:rsidR="00DE2A08">
        <w:rPr>
          <w:rFonts w:eastAsia="MS Mincho" w:hint="eastAsia"/>
          <w:lang w:eastAsia="ja-JP"/>
        </w:rPr>
        <w:t>their</w:t>
      </w:r>
      <w:r>
        <w:rPr>
          <w:rFonts w:hint="eastAsia"/>
        </w:rPr>
        <w:t xml:space="preserve"> control over civil servants. </w:t>
      </w:r>
      <w:r w:rsidR="007E468D">
        <w:rPr>
          <w:rFonts w:hint="eastAsia"/>
          <w:lang w:eastAsia="ja-JP"/>
        </w:rPr>
        <w:t xml:space="preserve">If a regulator is independent of politics, </w:t>
      </w:r>
      <w:r w:rsidR="00BB7E23">
        <w:rPr>
          <w:rFonts w:hint="eastAsia"/>
          <w:lang w:eastAsia="ja-JP"/>
        </w:rPr>
        <w:t>the regulator is not under the direct control of the elected government.</w:t>
      </w:r>
      <w:r w:rsidR="0050551B">
        <w:rPr>
          <w:rFonts w:hint="eastAsia"/>
          <w:lang w:eastAsia="ja-JP"/>
        </w:rPr>
        <w:t xml:space="preserve"> In </w:t>
      </w:r>
      <w:r w:rsidR="00BB55E3">
        <w:rPr>
          <w:lang w:eastAsia="ja-JP"/>
        </w:rPr>
        <w:t xml:space="preserve">the </w:t>
      </w:r>
      <w:r w:rsidR="0050551B">
        <w:rPr>
          <w:rFonts w:hint="eastAsia"/>
          <w:lang w:eastAsia="ja-JP"/>
        </w:rPr>
        <w:t xml:space="preserve">case of the JFCT, a Japanese independent regulator, it is democratically </w:t>
      </w:r>
      <w:r w:rsidR="0050551B">
        <w:rPr>
          <w:lang w:eastAsia="ja-JP"/>
        </w:rPr>
        <w:t>controlled</w:t>
      </w:r>
      <w:r w:rsidR="0050551B">
        <w:rPr>
          <w:rFonts w:hint="eastAsia"/>
          <w:lang w:eastAsia="ja-JP"/>
        </w:rPr>
        <w:t xml:space="preserve"> through appointing its commission members including the chairman and endorsing key policy issues, typically AMA amendment bills. </w:t>
      </w:r>
      <w:r w:rsidR="000F6BAF">
        <w:rPr>
          <w:rFonts w:hint="eastAsia"/>
          <w:lang w:eastAsia="ja-JP"/>
        </w:rPr>
        <w:t xml:space="preserve">Government change in 2009 from the LDP to the DPJ brought a problem on this chain of democratic control. The JFTC Chairman Takeshima (2002-12) was appointed by the Koizumi Government (LDP). </w:t>
      </w:r>
      <w:r w:rsidR="0096692D">
        <w:rPr>
          <w:rFonts w:hint="eastAsia"/>
          <w:lang w:eastAsia="ja-JP"/>
        </w:rPr>
        <w:t xml:space="preserve">So, </w:t>
      </w:r>
      <w:r w:rsidR="009A1059">
        <w:rPr>
          <w:lang w:eastAsia="ja-JP"/>
        </w:rPr>
        <w:t xml:space="preserve">the </w:t>
      </w:r>
      <w:r w:rsidR="000F6BAF">
        <w:rPr>
          <w:rFonts w:hint="eastAsia"/>
          <w:lang w:eastAsia="ja-JP"/>
        </w:rPr>
        <w:t xml:space="preserve">DPJ government (2009-12) </w:t>
      </w:r>
      <w:r w:rsidR="0096692D">
        <w:rPr>
          <w:rFonts w:hint="eastAsia"/>
          <w:lang w:eastAsia="ja-JP"/>
        </w:rPr>
        <w:t>ha</w:t>
      </w:r>
      <w:r w:rsidR="00B5148B">
        <w:rPr>
          <w:lang w:eastAsia="ja-JP"/>
        </w:rPr>
        <w:t>d</w:t>
      </w:r>
      <w:r w:rsidR="0096692D">
        <w:rPr>
          <w:rFonts w:hint="eastAsia"/>
          <w:lang w:eastAsia="ja-JP"/>
        </w:rPr>
        <w:t xml:space="preserve"> a problem on the democratic control on the JFTC</w:t>
      </w:r>
      <w:r w:rsidR="00FF7A81">
        <w:rPr>
          <w:rFonts w:hint="eastAsia"/>
          <w:lang w:eastAsia="ja-JP"/>
        </w:rPr>
        <w:t xml:space="preserve">; they had to </w:t>
      </w:r>
      <w:r w:rsidR="00111079">
        <w:rPr>
          <w:lang w:eastAsia="ja-JP"/>
        </w:rPr>
        <w:t>embrace</w:t>
      </w:r>
      <w:r w:rsidR="00FF7A81">
        <w:rPr>
          <w:rFonts w:hint="eastAsia"/>
          <w:lang w:eastAsia="ja-JP"/>
        </w:rPr>
        <w:t xml:space="preserve"> a chairman who was not selected by them. </w:t>
      </w:r>
      <w:r>
        <w:rPr>
          <w:rFonts w:hint="eastAsia"/>
          <w:lang w:eastAsia="ja-JP"/>
        </w:rPr>
        <w:t xml:space="preserve">Democratic accountability also has the potential of restricting flexible rule changes; </w:t>
      </w:r>
      <w:r w:rsidR="0083131A">
        <w:rPr>
          <w:lang w:eastAsia="ja-JP"/>
        </w:rPr>
        <w:t>democratic</w:t>
      </w:r>
      <w:r w:rsidR="0083131A">
        <w:rPr>
          <w:rFonts w:hint="eastAsia"/>
          <w:lang w:eastAsia="ja-JP"/>
        </w:rPr>
        <w:t xml:space="preserve"> accountability may require rules </w:t>
      </w:r>
      <w:r w:rsidR="009A1059">
        <w:rPr>
          <w:lang w:eastAsia="ja-JP"/>
        </w:rPr>
        <w:t xml:space="preserve">to </w:t>
      </w:r>
      <w:r w:rsidR="0083131A">
        <w:rPr>
          <w:rFonts w:hint="eastAsia"/>
          <w:lang w:eastAsia="ja-JP"/>
        </w:rPr>
        <w:t>be adopted within the democratic process. D</w:t>
      </w:r>
      <w:r>
        <w:rPr>
          <w:rFonts w:hint="eastAsia"/>
          <w:lang w:eastAsia="ja-JP"/>
        </w:rPr>
        <w:t>emocratically adopted rules such as laws need a long process involving a significant number of interested parties.</w:t>
      </w:r>
      <w:r w:rsidR="0049108B">
        <w:rPr>
          <w:rFonts w:hint="eastAsia"/>
          <w:lang w:eastAsia="ja-JP"/>
        </w:rPr>
        <w:t xml:space="preserve"> Because the </w:t>
      </w:r>
      <w:r w:rsidR="005726DC">
        <w:rPr>
          <w:rFonts w:hint="eastAsia"/>
          <w:lang w:eastAsia="ja-JP"/>
        </w:rPr>
        <w:t xml:space="preserve">political </w:t>
      </w:r>
      <w:r w:rsidR="0049108B">
        <w:rPr>
          <w:rFonts w:hint="eastAsia"/>
          <w:lang w:eastAsia="ja-JP"/>
        </w:rPr>
        <w:t xml:space="preserve">cost needed by rule change processes </w:t>
      </w:r>
      <w:r w:rsidR="005726DC">
        <w:rPr>
          <w:rFonts w:hint="eastAsia"/>
          <w:lang w:eastAsia="ja-JP"/>
        </w:rPr>
        <w:t xml:space="preserve">such as coordination among interested parties </w:t>
      </w:r>
      <w:r w:rsidR="0049108B">
        <w:rPr>
          <w:rFonts w:hint="eastAsia"/>
          <w:lang w:eastAsia="ja-JP"/>
        </w:rPr>
        <w:t xml:space="preserve">is significant, </w:t>
      </w:r>
      <w:r w:rsidR="00265F78">
        <w:rPr>
          <w:rFonts w:hint="eastAsia"/>
          <w:lang w:eastAsia="ja-JP"/>
        </w:rPr>
        <w:t xml:space="preserve">frequently changing </w:t>
      </w:r>
      <w:r w:rsidR="005726DC">
        <w:rPr>
          <w:rFonts w:hint="eastAsia"/>
          <w:lang w:eastAsia="ja-JP"/>
        </w:rPr>
        <w:t xml:space="preserve">democratically adopted </w:t>
      </w:r>
      <w:r w:rsidR="00265F78">
        <w:rPr>
          <w:rFonts w:hint="eastAsia"/>
          <w:lang w:eastAsia="ja-JP"/>
        </w:rPr>
        <w:t xml:space="preserve">rules </w:t>
      </w:r>
      <w:r w:rsidR="005B0D63">
        <w:rPr>
          <w:rFonts w:hint="eastAsia"/>
          <w:lang w:eastAsia="ja-JP"/>
        </w:rPr>
        <w:t>is more difficult</w:t>
      </w:r>
      <w:r w:rsidR="005726DC">
        <w:rPr>
          <w:rFonts w:hint="eastAsia"/>
          <w:lang w:eastAsia="ja-JP"/>
        </w:rPr>
        <w:t xml:space="preserve"> than changing less formal rules such as decrees and government orders.</w:t>
      </w:r>
      <w:r w:rsidR="005B0D63">
        <w:rPr>
          <w:rFonts w:hint="eastAsia"/>
          <w:lang w:eastAsia="ja-JP"/>
        </w:rPr>
        <w:t xml:space="preserve"> </w:t>
      </w:r>
      <w:r w:rsidR="0083131A">
        <w:rPr>
          <w:rFonts w:hint="eastAsia"/>
          <w:lang w:eastAsia="ja-JP"/>
        </w:rPr>
        <w:t>Without politicians</w:t>
      </w:r>
      <w:r w:rsidR="00990E90">
        <w:rPr>
          <w:lang w:eastAsia="ja-JP"/>
        </w:rPr>
        <w:t>’</w:t>
      </w:r>
      <w:r w:rsidR="00990E90">
        <w:rPr>
          <w:rFonts w:hint="eastAsia"/>
          <w:lang w:eastAsia="ja-JP"/>
        </w:rPr>
        <w:t xml:space="preserve"> assistance</w:t>
      </w:r>
      <w:r w:rsidR="0083131A">
        <w:rPr>
          <w:rFonts w:hint="eastAsia"/>
          <w:lang w:eastAsia="ja-JP"/>
        </w:rPr>
        <w:t xml:space="preserve">, regulators will confront </w:t>
      </w:r>
      <w:r w:rsidR="00990E90">
        <w:rPr>
          <w:rFonts w:hint="eastAsia"/>
          <w:lang w:eastAsia="ja-JP"/>
        </w:rPr>
        <w:t>a</w:t>
      </w:r>
      <w:r w:rsidR="0083131A">
        <w:rPr>
          <w:rFonts w:hint="eastAsia"/>
          <w:lang w:eastAsia="ja-JP"/>
        </w:rPr>
        <w:t xml:space="preserve"> difficulty when they need to frequently change democratically adopted rules. </w:t>
      </w:r>
    </w:p>
    <w:p w14:paraId="6FC60815" w14:textId="77777777" w:rsidR="007D1693" w:rsidRDefault="007D1693" w:rsidP="001B6C05">
      <w:pPr>
        <w:pStyle w:val="ListParagraph"/>
        <w:numPr>
          <w:ilvl w:val="0"/>
          <w:numId w:val="61"/>
        </w:numPr>
        <w:ind w:left="284" w:hanging="284"/>
      </w:pPr>
      <w:r>
        <w:rPr>
          <w:rFonts w:hint="eastAsia"/>
        </w:rPr>
        <w:t>independent implementation</w:t>
      </w:r>
    </w:p>
    <w:p w14:paraId="1B3111CE" w14:textId="77777777" w:rsidR="007D1693" w:rsidRDefault="007D1693" w:rsidP="007D1693">
      <w:pPr>
        <w:ind w:left="284"/>
        <w:rPr>
          <w:lang w:eastAsia="ja-JP"/>
        </w:rPr>
      </w:pPr>
      <w:r w:rsidRPr="00640211">
        <w:t xml:space="preserve">The neutral implementation of regulation fending off interested parties such as regulated private firms is vital for effective competition in </w:t>
      </w:r>
      <w:r w:rsidR="009A1059">
        <w:t xml:space="preserve">the </w:t>
      </w:r>
      <w:r w:rsidRPr="00640211">
        <w:t xml:space="preserve">market. </w:t>
      </w:r>
      <w:r w:rsidR="0010178E">
        <w:rPr>
          <w:rFonts w:hint="eastAsia"/>
          <w:lang w:eastAsia="ja-JP"/>
        </w:rPr>
        <w:t>In Japan</w:t>
      </w:r>
      <w:r w:rsidR="0010178E">
        <w:rPr>
          <w:lang w:eastAsia="ja-JP"/>
        </w:rPr>
        <w:t>’</w:t>
      </w:r>
      <w:r w:rsidR="0010178E">
        <w:rPr>
          <w:rFonts w:hint="eastAsia"/>
          <w:lang w:eastAsia="ja-JP"/>
        </w:rPr>
        <w:t>s antimonopoly regulation, i</w:t>
      </w:r>
      <w:r>
        <w:rPr>
          <w:rFonts w:hint="eastAsia"/>
          <w:lang w:eastAsia="ja-JP"/>
        </w:rPr>
        <w:t>ndependent implementation of regulation is ensured by the JFTC</w:t>
      </w:r>
      <w:r>
        <w:rPr>
          <w:lang w:eastAsia="ja-JP"/>
        </w:rPr>
        <w:t>’</w:t>
      </w:r>
      <w:r>
        <w:rPr>
          <w:rFonts w:hint="eastAsia"/>
          <w:lang w:eastAsia="ja-JP"/>
        </w:rPr>
        <w:t xml:space="preserve">s independence of authority. </w:t>
      </w:r>
      <w:r>
        <w:rPr>
          <w:rFonts w:hint="eastAsia"/>
        </w:rPr>
        <w:t xml:space="preserve">Elsewhere, </w:t>
      </w:r>
      <w:r>
        <w:t>it was not</w:t>
      </w:r>
      <w:r>
        <w:rPr>
          <w:rFonts w:hint="eastAsia"/>
          <w:lang w:eastAsia="ja-JP"/>
        </w:rPr>
        <w:t xml:space="preserve"> a </w:t>
      </w:r>
      <w:r>
        <w:t xml:space="preserve">prioritised </w:t>
      </w:r>
      <w:r>
        <w:rPr>
          <w:rFonts w:hint="eastAsia"/>
          <w:lang w:eastAsia="ja-JP"/>
        </w:rPr>
        <w:t xml:space="preserve">idea </w:t>
      </w:r>
      <w:r>
        <w:t>in ICT</w:t>
      </w:r>
      <w:r>
        <w:rPr>
          <w:rFonts w:hint="eastAsia"/>
        </w:rPr>
        <w:t xml:space="preserve"> regulation</w:t>
      </w:r>
      <w:r>
        <w:rPr>
          <w:rFonts w:hint="eastAsia"/>
          <w:lang w:eastAsia="ja-JP"/>
        </w:rPr>
        <w:t>, where elected officials directly supervise regulation</w:t>
      </w:r>
      <w:r>
        <w:rPr>
          <w:rFonts w:hint="eastAsia"/>
        </w:rPr>
        <w:t>.</w:t>
      </w:r>
    </w:p>
    <w:p w14:paraId="4484CF32" w14:textId="77777777" w:rsidR="007D1693" w:rsidRDefault="007D1693" w:rsidP="006E5EC2">
      <w:pPr>
        <w:ind w:left="284" w:firstLine="283"/>
      </w:pPr>
      <w:r>
        <w:rPr>
          <w:rFonts w:hint="eastAsia"/>
          <w:lang w:eastAsia="ja-JP"/>
        </w:rPr>
        <w:t xml:space="preserve">Independent implementation of regulation has the potential </w:t>
      </w:r>
      <w:r w:rsidR="00111079">
        <w:rPr>
          <w:lang w:eastAsia="ja-JP"/>
        </w:rPr>
        <w:t>of</w:t>
      </w:r>
      <w:r w:rsidR="005768C0">
        <w:rPr>
          <w:rFonts w:hint="eastAsia"/>
          <w:lang w:eastAsia="ja-JP"/>
        </w:rPr>
        <w:t xml:space="preserve"> conflict</w:t>
      </w:r>
      <w:r w:rsidR="00111079">
        <w:rPr>
          <w:lang w:eastAsia="ja-JP"/>
        </w:rPr>
        <w:t>ing</w:t>
      </w:r>
      <w:r w:rsidR="005768C0">
        <w:rPr>
          <w:lang w:eastAsia="ja-JP"/>
        </w:rPr>
        <w:t xml:space="preserve"> with </w:t>
      </w:r>
      <w:r>
        <w:rPr>
          <w:rFonts w:hint="eastAsia"/>
          <w:lang w:eastAsia="ja-JP"/>
        </w:rPr>
        <w:t xml:space="preserve">democratic accountability, because </w:t>
      </w:r>
      <w:r w:rsidR="00111079">
        <w:rPr>
          <w:lang w:eastAsia="ja-JP"/>
        </w:rPr>
        <w:t xml:space="preserve">with independence a regulator </w:t>
      </w:r>
      <w:r>
        <w:rPr>
          <w:rFonts w:hint="eastAsia"/>
          <w:lang w:eastAsia="ja-JP"/>
        </w:rPr>
        <w:t xml:space="preserve">distances </w:t>
      </w:r>
      <w:r w:rsidR="00111079">
        <w:rPr>
          <w:lang w:eastAsia="ja-JP"/>
        </w:rPr>
        <w:t xml:space="preserve">itself </w:t>
      </w:r>
      <w:r>
        <w:rPr>
          <w:rFonts w:hint="eastAsia"/>
          <w:lang w:eastAsia="ja-JP"/>
        </w:rPr>
        <w:t xml:space="preserve">from the direct supervision by elected officials. It also has the potential </w:t>
      </w:r>
      <w:r w:rsidR="009A1059">
        <w:rPr>
          <w:lang w:eastAsia="ja-JP"/>
        </w:rPr>
        <w:t>for</w:t>
      </w:r>
      <w:r>
        <w:rPr>
          <w:rFonts w:hint="eastAsia"/>
          <w:lang w:eastAsia="ja-JP"/>
        </w:rPr>
        <w:t xml:space="preserve"> conflicting</w:t>
      </w:r>
      <w:r w:rsidR="005768C0">
        <w:rPr>
          <w:lang w:eastAsia="ja-JP"/>
        </w:rPr>
        <w:t xml:space="preserve"> with</w:t>
      </w:r>
      <w:r>
        <w:rPr>
          <w:rFonts w:hint="eastAsia"/>
          <w:lang w:eastAsia="ja-JP"/>
        </w:rPr>
        <w:t xml:space="preserve"> rule changes. Rule changes involve various interested parties, meaning that the nature of the process in rule changes is political. </w:t>
      </w:r>
      <w:r w:rsidR="005768C0">
        <w:rPr>
          <w:lang w:eastAsia="ja-JP"/>
        </w:rPr>
        <w:t>T</w:t>
      </w:r>
      <w:r w:rsidR="00D34DB4">
        <w:rPr>
          <w:rFonts w:hint="eastAsia"/>
          <w:lang w:eastAsia="ja-JP"/>
        </w:rPr>
        <w:t>h</w:t>
      </w:r>
      <w:r w:rsidR="005768C0">
        <w:rPr>
          <w:lang w:eastAsia="ja-JP"/>
        </w:rPr>
        <w:t>e m</w:t>
      </w:r>
      <w:r>
        <w:rPr>
          <w:rFonts w:hint="eastAsia"/>
          <w:lang w:eastAsia="ja-JP"/>
        </w:rPr>
        <w:t>ore frequent rule changes</w:t>
      </w:r>
      <w:r w:rsidR="005768C0">
        <w:rPr>
          <w:lang w:eastAsia="ja-JP"/>
        </w:rPr>
        <w:t xml:space="preserve"> there</w:t>
      </w:r>
      <w:r>
        <w:rPr>
          <w:rFonts w:hint="eastAsia"/>
          <w:lang w:eastAsia="ja-JP"/>
        </w:rPr>
        <w:t xml:space="preserve"> are, </w:t>
      </w:r>
      <w:r w:rsidR="005768C0">
        <w:rPr>
          <w:lang w:eastAsia="ja-JP"/>
        </w:rPr>
        <w:t xml:space="preserve">the </w:t>
      </w:r>
      <w:r>
        <w:rPr>
          <w:rFonts w:hint="eastAsia"/>
          <w:lang w:eastAsia="ja-JP"/>
        </w:rPr>
        <w:t>more the regulator is involved with</w:t>
      </w:r>
      <w:r w:rsidR="005768C0">
        <w:rPr>
          <w:lang w:eastAsia="ja-JP"/>
        </w:rPr>
        <w:t xml:space="preserve"> </w:t>
      </w:r>
      <w:r>
        <w:rPr>
          <w:rFonts w:hint="eastAsia"/>
          <w:lang w:eastAsia="ja-JP"/>
        </w:rPr>
        <w:t>political processes.</w:t>
      </w:r>
    </w:p>
    <w:p w14:paraId="360D9651" w14:textId="77777777" w:rsidR="007D1693" w:rsidRDefault="007D1693" w:rsidP="001B6C05">
      <w:pPr>
        <w:pStyle w:val="ListParagraph"/>
        <w:numPr>
          <w:ilvl w:val="0"/>
          <w:numId w:val="61"/>
        </w:numPr>
        <w:ind w:left="284" w:hanging="284"/>
      </w:pPr>
      <w:r>
        <w:rPr>
          <w:rFonts w:hint="eastAsia"/>
        </w:rPr>
        <w:t>frequent rule changes in response to circumstantial changes</w:t>
      </w:r>
    </w:p>
    <w:p w14:paraId="424C8382" w14:textId="566B5B4E" w:rsidR="007D1693" w:rsidRDefault="00544C53" w:rsidP="007D1693">
      <w:pPr>
        <w:ind w:left="284"/>
        <w:rPr>
          <w:lang w:eastAsia="ja-JP"/>
        </w:rPr>
      </w:pPr>
      <w:r>
        <w:rPr>
          <w:lang w:eastAsia="ja-JP"/>
        </w:rPr>
        <w:t>Flexible rule changes in regulation are key to cop</w:t>
      </w:r>
      <w:r w:rsidR="0040084B">
        <w:rPr>
          <w:lang w:eastAsia="ja-JP"/>
        </w:rPr>
        <w:t>ing</w:t>
      </w:r>
      <w:r>
        <w:rPr>
          <w:lang w:eastAsia="ja-JP"/>
        </w:rPr>
        <w:t xml:space="preserve"> with changing circumstances </w:t>
      </w:r>
      <w:r w:rsidR="0040084B">
        <w:rPr>
          <w:lang w:eastAsia="ja-JP"/>
        </w:rPr>
        <w:t>in</w:t>
      </w:r>
      <w:r>
        <w:rPr>
          <w:lang w:eastAsia="ja-JP"/>
        </w:rPr>
        <w:t xml:space="preserve"> undated regulatory rules</w:t>
      </w:r>
      <w:r w:rsidR="007D1693">
        <w:rPr>
          <w:rFonts w:hint="eastAsia"/>
          <w:lang w:eastAsia="ja-JP"/>
        </w:rPr>
        <w:t xml:space="preserve">. </w:t>
      </w:r>
      <w:r w:rsidR="007D1693" w:rsidRPr="00640211">
        <w:t xml:space="preserve">In </w:t>
      </w:r>
      <w:r w:rsidR="007D1693">
        <w:rPr>
          <w:rFonts w:hint="eastAsia"/>
          <w:lang w:eastAsia="ja-JP"/>
        </w:rPr>
        <w:t>rapidly developing sectors</w:t>
      </w:r>
      <w:r w:rsidR="007D1693" w:rsidRPr="00640211">
        <w:t xml:space="preserve"> such as ICT </w:t>
      </w:r>
      <w:r w:rsidR="007D1693">
        <w:rPr>
          <w:rFonts w:hint="eastAsia"/>
          <w:lang w:eastAsia="ja-JP"/>
        </w:rPr>
        <w:t xml:space="preserve">technological and social </w:t>
      </w:r>
      <w:r w:rsidR="007D1693">
        <w:rPr>
          <w:lang w:eastAsia="ja-JP"/>
        </w:rPr>
        <w:t>development</w:t>
      </w:r>
      <w:r w:rsidR="007D1693">
        <w:rPr>
          <w:rFonts w:hint="eastAsia"/>
          <w:lang w:eastAsia="ja-JP"/>
        </w:rPr>
        <w:t xml:space="preserve"> can make </w:t>
      </w:r>
      <w:r w:rsidR="007D1693" w:rsidRPr="00640211">
        <w:t xml:space="preserve">established </w:t>
      </w:r>
      <w:r w:rsidR="007D1693">
        <w:rPr>
          <w:rFonts w:hint="eastAsia"/>
          <w:lang w:eastAsia="ja-JP"/>
        </w:rPr>
        <w:t xml:space="preserve">regulatory </w:t>
      </w:r>
      <w:r w:rsidR="007D1693" w:rsidRPr="00640211">
        <w:t>rules quickly obsolete</w:t>
      </w:r>
      <w:r w:rsidR="007D1693">
        <w:rPr>
          <w:rFonts w:hint="eastAsia"/>
          <w:lang w:eastAsia="ja-JP"/>
        </w:rPr>
        <w:t>.</w:t>
      </w:r>
      <w:r w:rsidR="007D1693" w:rsidRPr="00640211">
        <w:t xml:space="preserve"> Timely and flexible rulemaking and rule </w:t>
      </w:r>
      <w:r w:rsidR="007D1693">
        <w:rPr>
          <w:rFonts w:hint="eastAsia"/>
          <w:lang w:eastAsia="ja-JP"/>
        </w:rPr>
        <w:t>changes</w:t>
      </w:r>
      <w:r w:rsidR="007D1693" w:rsidRPr="00640211">
        <w:t xml:space="preserve"> are vital for such sectors to </w:t>
      </w:r>
      <w:r w:rsidR="007D1693">
        <w:rPr>
          <w:rFonts w:hint="eastAsia"/>
          <w:lang w:eastAsia="ja-JP"/>
        </w:rPr>
        <w:t>keep themselves updated in response to their challenges</w:t>
      </w:r>
      <w:r w:rsidR="007D1693" w:rsidRPr="00640211">
        <w:t>. If</w:t>
      </w:r>
      <w:r w:rsidR="007D1693">
        <w:t xml:space="preserve"> such rule</w:t>
      </w:r>
      <w:r w:rsidR="007D1693">
        <w:rPr>
          <w:rFonts w:hint="eastAsia"/>
          <w:lang w:eastAsia="ja-JP"/>
        </w:rPr>
        <w:t xml:space="preserve"> changes </w:t>
      </w:r>
      <w:r w:rsidR="007D1693" w:rsidRPr="00640211">
        <w:t xml:space="preserve">involve </w:t>
      </w:r>
      <w:r w:rsidR="007D1693">
        <w:rPr>
          <w:rFonts w:hint="eastAsia"/>
          <w:lang w:eastAsia="ja-JP"/>
        </w:rPr>
        <w:t>formal</w:t>
      </w:r>
      <w:r w:rsidR="007D1693">
        <w:t xml:space="preserve"> process</w:t>
      </w:r>
      <w:r w:rsidR="007D1693">
        <w:rPr>
          <w:rFonts w:hint="eastAsia"/>
          <w:lang w:eastAsia="ja-JP"/>
        </w:rPr>
        <w:t>es</w:t>
      </w:r>
      <w:r w:rsidR="007D1693">
        <w:t xml:space="preserve"> </w:t>
      </w:r>
      <w:r w:rsidR="007D1693">
        <w:rPr>
          <w:rFonts w:hint="eastAsia"/>
          <w:lang w:eastAsia="ja-JP"/>
        </w:rPr>
        <w:t xml:space="preserve">such as </w:t>
      </w:r>
      <w:r w:rsidR="007D1693">
        <w:t>law amendments</w:t>
      </w:r>
      <w:r w:rsidR="007D1693" w:rsidRPr="00640211">
        <w:t xml:space="preserve">, </w:t>
      </w:r>
      <w:r w:rsidR="007D1693">
        <w:rPr>
          <w:rFonts w:hint="eastAsia"/>
          <w:lang w:eastAsia="ja-JP"/>
        </w:rPr>
        <w:t xml:space="preserve">they </w:t>
      </w:r>
      <w:r w:rsidR="007D1693" w:rsidRPr="00640211">
        <w:t xml:space="preserve">will </w:t>
      </w:r>
      <w:r w:rsidR="007D1693">
        <w:rPr>
          <w:rFonts w:hint="eastAsia"/>
          <w:lang w:eastAsia="ja-JP"/>
        </w:rPr>
        <w:t>need</w:t>
      </w:r>
      <w:r w:rsidR="007D1693" w:rsidRPr="00640211">
        <w:t xml:space="preserve"> a significant </w:t>
      </w:r>
      <w:r w:rsidR="007D1693">
        <w:rPr>
          <w:rFonts w:hint="eastAsia"/>
          <w:lang w:eastAsia="ja-JP"/>
        </w:rPr>
        <w:t>extent</w:t>
      </w:r>
      <w:r w:rsidR="007D1693" w:rsidRPr="00640211">
        <w:t xml:space="preserve"> of political coordination.</w:t>
      </w:r>
      <w:r w:rsidR="007D1693">
        <w:rPr>
          <w:rFonts w:hint="eastAsia"/>
          <w:lang w:eastAsia="ja-JP"/>
        </w:rPr>
        <w:t xml:space="preserve"> T</w:t>
      </w:r>
      <w:r w:rsidR="007D1693">
        <w:rPr>
          <w:lang w:eastAsia="ja-JP"/>
        </w:rPr>
        <w:t>h</w:t>
      </w:r>
      <w:r w:rsidR="007D1693">
        <w:rPr>
          <w:rFonts w:hint="eastAsia"/>
          <w:lang w:eastAsia="ja-JP"/>
        </w:rPr>
        <w:t>is is a challenge emerging in front of the AMA</w:t>
      </w:r>
      <w:r w:rsidR="007D1693">
        <w:rPr>
          <w:lang w:eastAsia="ja-JP"/>
        </w:rPr>
        <w:t xml:space="preserve">; increasingly prioritised </w:t>
      </w:r>
      <w:r w:rsidR="007D1693">
        <w:rPr>
          <w:rFonts w:hint="eastAsia"/>
          <w:lang w:eastAsia="ja-JP"/>
        </w:rPr>
        <w:t xml:space="preserve">antimonopoly regulation </w:t>
      </w:r>
      <w:r w:rsidR="007D1693">
        <w:rPr>
          <w:lang w:eastAsia="ja-JP"/>
        </w:rPr>
        <w:t xml:space="preserve">requires </w:t>
      </w:r>
      <w:r w:rsidR="007D1693">
        <w:rPr>
          <w:rFonts w:hint="eastAsia"/>
          <w:lang w:eastAsia="ja-JP"/>
        </w:rPr>
        <w:t xml:space="preserve">more </w:t>
      </w:r>
      <w:r w:rsidR="007D1693">
        <w:rPr>
          <w:lang w:eastAsia="ja-JP"/>
        </w:rPr>
        <w:t xml:space="preserve">frequent </w:t>
      </w:r>
      <w:r w:rsidR="007D1693">
        <w:rPr>
          <w:rFonts w:hint="eastAsia"/>
          <w:lang w:eastAsia="ja-JP"/>
        </w:rPr>
        <w:t>law amendments.</w:t>
      </w:r>
    </w:p>
    <w:p w14:paraId="0C5DE327" w14:textId="77777777" w:rsidR="007D1693" w:rsidRDefault="007D1693" w:rsidP="007D1693">
      <w:pPr>
        <w:rPr>
          <w:lang w:eastAsia="ja-JP"/>
        </w:rPr>
      </w:pPr>
    </w:p>
    <w:p w14:paraId="08E0093E" w14:textId="77777777" w:rsidR="007D1693" w:rsidRDefault="00D34DB4" w:rsidP="007D1693">
      <w:r>
        <w:t>The present</w:t>
      </w:r>
      <w:r w:rsidR="007D1693">
        <w:t xml:space="preserve"> situations in ICT </w:t>
      </w:r>
      <w:r w:rsidR="007D1693">
        <w:rPr>
          <w:rFonts w:hint="eastAsia"/>
        </w:rPr>
        <w:t xml:space="preserve">regulation </w:t>
      </w:r>
      <w:r w:rsidR="007D1693">
        <w:t xml:space="preserve">and antimonopoly regulation can be </w:t>
      </w:r>
      <w:r w:rsidR="007D1693">
        <w:rPr>
          <w:rFonts w:hint="eastAsia"/>
        </w:rPr>
        <w:t>explained</w:t>
      </w:r>
      <w:r w:rsidR="007D1693">
        <w:t xml:space="preserve"> as </w:t>
      </w:r>
      <w:r w:rsidR="007D1693">
        <w:rPr>
          <w:rFonts w:hint="eastAsia"/>
        </w:rPr>
        <w:t xml:space="preserve">the </w:t>
      </w:r>
      <w:r w:rsidR="007D1693">
        <w:t>equilibrium of these three factors.</w:t>
      </w:r>
    </w:p>
    <w:p w14:paraId="15CF3A3C" w14:textId="77777777" w:rsidR="007D1693" w:rsidRDefault="007D1693" w:rsidP="007E1CB8">
      <w:pPr>
        <w:ind w:firstLine="284"/>
      </w:pPr>
      <w:r>
        <w:rPr>
          <w:rFonts w:hint="eastAsia"/>
          <w:lang w:eastAsia="ja-JP"/>
        </w:rPr>
        <w:t xml:space="preserve">In the case of </w:t>
      </w:r>
      <w:r>
        <w:t>ICT regulation</w:t>
      </w:r>
      <w:r w:rsidR="005768C0">
        <w:t>,</w:t>
      </w:r>
      <w:r>
        <w:t xml:space="preserve"> political accountability and frequent rule </w:t>
      </w:r>
      <w:r w:rsidR="002D44EF">
        <w:t>changes</w:t>
      </w:r>
      <w:r>
        <w:t xml:space="preserve"> have been prioritised. </w:t>
      </w:r>
      <w:r>
        <w:rPr>
          <w:rFonts w:hint="eastAsia"/>
          <w:lang w:eastAsia="ja-JP"/>
        </w:rPr>
        <w:t>R</w:t>
      </w:r>
      <w:r>
        <w:t xml:space="preserve">egulation has been under the influence of dominant party politicians, typically </w:t>
      </w:r>
      <w:r>
        <w:rPr>
          <w:rFonts w:hint="eastAsia"/>
          <w:lang w:eastAsia="ja-JP"/>
        </w:rPr>
        <w:t xml:space="preserve">key </w:t>
      </w:r>
      <w:r>
        <w:rPr>
          <w:rFonts w:hint="eastAsia"/>
        </w:rPr>
        <w:t>Liberal Democrats</w:t>
      </w:r>
      <w:r>
        <w:t xml:space="preserve">. </w:t>
      </w:r>
      <w:r>
        <w:rPr>
          <w:rFonts w:hint="eastAsia"/>
          <w:lang w:eastAsia="ja-JP"/>
        </w:rPr>
        <w:t>E</w:t>
      </w:r>
      <w:r>
        <w:t xml:space="preserve">merging Cabinet Ministers have taken over the role played by party politicians outside the </w:t>
      </w:r>
      <w:r w:rsidR="007E1CB8">
        <w:t>C</w:t>
      </w:r>
      <w:r>
        <w:t xml:space="preserve">abinet, but this change within the group of party politicians </w:t>
      </w:r>
      <w:r>
        <w:rPr>
          <w:rFonts w:hint="eastAsia"/>
          <w:lang w:eastAsia="ja-JP"/>
        </w:rPr>
        <w:t>left</w:t>
      </w:r>
      <w:r>
        <w:t xml:space="preserve"> the dominance of party politicians as a whole</w:t>
      </w:r>
      <w:r>
        <w:rPr>
          <w:rFonts w:hint="eastAsia"/>
          <w:lang w:eastAsia="ja-JP"/>
        </w:rPr>
        <w:t xml:space="preserve"> untouched</w:t>
      </w:r>
      <w:r>
        <w:t>. Elsewhere, the rise and transformation of civil servants i</w:t>
      </w:r>
      <w:r w:rsidR="00B21D0C">
        <w:t>n the ICT sector reflect</w:t>
      </w:r>
      <w:r>
        <w:t xml:space="preserve"> the sector’s rapidly changing circumstances. The MPT as an emergent regulator filled the gap created by the privatisation of the public corporation (NTT). The change of regulatory approaches by the MPT/MIC was a response to </w:t>
      </w:r>
      <w:r>
        <w:rPr>
          <w:rFonts w:hint="eastAsia"/>
        </w:rPr>
        <w:t>the requirements of</w:t>
      </w:r>
      <w:r>
        <w:t xml:space="preserve"> the developing ICT sector. The dominance of party politicians and </w:t>
      </w:r>
      <w:r>
        <w:rPr>
          <w:rFonts w:hint="eastAsia"/>
        </w:rPr>
        <w:t xml:space="preserve">the nature of the </w:t>
      </w:r>
      <w:r>
        <w:t xml:space="preserve">quickly changing ICT sector </w:t>
      </w:r>
      <w:r w:rsidR="005F5CEC">
        <w:t xml:space="preserve">in Japan have </w:t>
      </w:r>
      <w:r>
        <w:t>prioritise</w:t>
      </w:r>
      <w:r w:rsidR="005F5CEC">
        <w:t>d</w:t>
      </w:r>
      <w:r>
        <w:t xml:space="preserve"> </w:t>
      </w:r>
      <w:r>
        <w:rPr>
          <w:rFonts w:hint="eastAsia"/>
        </w:rPr>
        <w:t>democratic</w:t>
      </w:r>
      <w:r>
        <w:t xml:space="preserve"> accountability and frequent rule chang</w:t>
      </w:r>
      <w:r>
        <w:rPr>
          <w:rFonts w:hint="eastAsia"/>
        </w:rPr>
        <w:t>es</w:t>
      </w:r>
      <w:r>
        <w:t xml:space="preserve">. The state tradition that </w:t>
      </w:r>
      <w:r>
        <w:rPr>
          <w:rFonts w:hint="eastAsia"/>
          <w:lang w:eastAsia="ja-JP"/>
        </w:rPr>
        <w:t xml:space="preserve">requires </w:t>
      </w:r>
      <w:r>
        <w:rPr>
          <w:rFonts w:hint="eastAsia"/>
        </w:rPr>
        <w:t xml:space="preserve">the </w:t>
      </w:r>
      <w:r>
        <w:t>detail</w:t>
      </w:r>
      <w:r>
        <w:rPr>
          <w:rFonts w:hint="eastAsia"/>
          <w:lang w:eastAsia="ja-JP"/>
        </w:rPr>
        <w:t>ed provisions in regulatory law</w:t>
      </w:r>
      <w:r>
        <w:t>s also contributed to involving party politicians. Th</w:t>
      </w:r>
      <w:r w:rsidR="005964F7">
        <w:t xml:space="preserve">is set of </w:t>
      </w:r>
      <w:r w:rsidR="005D3E67">
        <w:t>factors</w:t>
      </w:r>
      <w:r>
        <w:t xml:space="preserve"> </w:t>
      </w:r>
      <w:r w:rsidR="005D3E67">
        <w:t>ha</w:t>
      </w:r>
      <w:r w:rsidR="005964F7">
        <w:t>s</w:t>
      </w:r>
      <w:r w:rsidR="005D3E67">
        <w:t xml:space="preserve"> </w:t>
      </w:r>
      <w:r>
        <w:t>resulted in a regulatory approach in which a government ministry regulates with close consultation to party politicians.</w:t>
      </w:r>
    </w:p>
    <w:p w14:paraId="49F9D7CD" w14:textId="77777777" w:rsidR="007D1693" w:rsidRDefault="007D1693" w:rsidP="00B21D0C">
      <w:pPr>
        <w:ind w:firstLine="284"/>
        <w:rPr>
          <w:lang w:eastAsia="ja-JP"/>
        </w:rPr>
      </w:pPr>
      <w:r>
        <w:t>In antimonopoly regulation</w:t>
      </w:r>
      <w:r w:rsidR="00E213CA">
        <w:t>,</w:t>
      </w:r>
      <w:r>
        <w:t xml:space="preserve"> the regulator’s independent status and the lack of interest among party politicians made the </w:t>
      </w:r>
      <w:r>
        <w:rPr>
          <w:rFonts w:hint="eastAsia"/>
        </w:rPr>
        <w:t>influence</w:t>
      </w:r>
      <w:r>
        <w:t xml:space="preserve"> of party politicians small</w:t>
      </w:r>
      <w:r>
        <w:rPr>
          <w:rFonts w:hint="eastAsia"/>
          <w:lang w:eastAsia="ja-JP"/>
        </w:rPr>
        <w:t xml:space="preserve">, with </w:t>
      </w:r>
      <w:r w:rsidR="00B21D0C">
        <w:rPr>
          <w:lang w:eastAsia="ja-JP"/>
        </w:rPr>
        <w:t>less</w:t>
      </w:r>
      <w:r>
        <w:rPr>
          <w:rFonts w:hint="eastAsia"/>
          <w:lang w:eastAsia="ja-JP"/>
        </w:rPr>
        <w:t xml:space="preserve"> demands </w:t>
      </w:r>
      <w:r>
        <w:t xml:space="preserve">for </w:t>
      </w:r>
      <w:r>
        <w:rPr>
          <w:rFonts w:hint="eastAsia"/>
        </w:rPr>
        <w:t>democratic</w:t>
      </w:r>
      <w:r>
        <w:t xml:space="preserve"> accountability than that </w:t>
      </w:r>
      <w:r w:rsidR="009A1059">
        <w:t xml:space="preserve">of </w:t>
      </w:r>
      <w:r>
        <w:t xml:space="preserve">ICT </w:t>
      </w:r>
      <w:r>
        <w:rPr>
          <w:rFonts w:hint="eastAsia"/>
        </w:rPr>
        <w:t>regulation</w:t>
      </w:r>
      <w:r>
        <w:rPr>
          <w:rFonts w:hint="eastAsia"/>
          <w:lang w:eastAsia="ja-JP"/>
        </w:rPr>
        <w:t xml:space="preserve">. </w:t>
      </w:r>
      <w:r>
        <w:t>Only a limited number of party politicians surrounding Sadanori Yamanaka steered key issues in antimonopoly regulation such as AMA amendments. As antimonopoly regulation and the AMA became prioritised</w:t>
      </w:r>
      <w:r>
        <w:rPr>
          <w:rFonts w:hint="eastAsia"/>
        </w:rPr>
        <w:t xml:space="preserve"> in Japan</w:t>
      </w:r>
      <w:r>
        <w:rPr>
          <w:rFonts w:hint="eastAsia"/>
          <w:lang w:eastAsia="ja-JP"/>
        </w:rPr>
        <w:t xml:space="preserve"> after the 1990s</w:t>
      </w:r>
      <w:r>
        <w:t xml:space="preserve">, this </w:t>
      </w:r>
      <w:r>
        <w:rPr>
          <w:rFonts w:hint="eastAsia"/>
          <w:lang w:eastAsia="ja-JP"/>
        </w:rPr>
        <w:t>set of circumstances</w:t>
      </w:r>
      <w:r>
        <w:t xml:space="preserve"> gradually changed. The involvement of party politicians have become intensified as the AMA became frequently changed; antimonopoly regulation and the AMA </w:t>
      </w:r>
      <w:r>
        <w:rPr>
          <w:rFonts w:hint="eastAsia"/>
          <w:lang w:eastAsia="ja-JP"/>
        </w:rPr>
        <w:t xml:space="preserve">have </w:t>
      </w:r>
      <w:r>
        <w:t>attract</w:t>
      </w:r>
      <w:r>
        <w:rPr>
          <w:rFonts w:hint="eastAsia"/>
          <w:lang w:eastAsia="ja-JP"/>
        </w:rPr>
        <w:t>ed</w:t>
      </w:r>
      <w:r>
        <w:t xml:space="preserve"> more attention than before from party politicians. </w:t>
      </w:r>
      <w:r>
        <w:rPr>
          <w:rFonts w:hint="eastAsia"/>
          <w:lang w:eastAsia="ja-JP"/>
        </w:rPr>
        <w:t>Abolishing</w:t>
      </w:r>
      <w:r>
        <w:t xml:space="preserve"> the complaint system (</w:t>
      </w:r>
      <w:r w:rsidRPr="0063050B">
        <w:rPr>
          <w:i/>
          <w:iCs/>
        </w:rPr>
        <w:t>S</w:t>
      </w:r>
      <w:r w:rsidR="00DE2A08">
        <w:rPr>
          <w:rFonts w:eastAsia="MS Mincho" w:hint="eastAsia"/>
          <w:i/>
          <w:iCs/>
          <w:lang w:eastAsia="ja-JP"/>
        </w:rPr>
        <w:t>hin</w:t>
      </w:r>
      <w:r w:rsidRPr="0063050B">
        <w:rPr>
          <w:i/>
          <w:iCs/>
        </w:rPr>
        <w:t>pan Seido</w:t>
      </w:r>
      <w:r>
        <w:t>), which has been under consideration for a few years, has a possibility of undermining the JFTC’s quasi-judicial nature</w:t>
      </w:r>
      <w:r>
        <w:rPr>
          <w:rFonts w:hint="eastAsia"/>
          <w:lang w:eastAsia="ja-JP"/>
        </w:rPr>
        <w:t xml:space="preserve">, which has been an important reason why the JFTC needs </w:t>
      </w:r>
      <w:r w:rsidR="005E47C2">
        <w:rPr>
          <w:lang w:eastAsia="ja-JP"/>
        </w:rPr>
        <w:t>a status as an independent administrative commission</w:t>
      </w:r>
      <w:r>
        <w:t xml:space="preserve">. Such changes </w:t>
      </w:r>
      <w:r>
        <w:rPr>
          <w:rFonts w:hint="eastAsia"/>
          <w:lang w:eastAsia="ja-JP"/>
        </w:rPr>
        <w:t>have</w:t>
      </w:r>
      <w:r>
        <w:t xml:space="preserve"> </w:t>
      </w:r>
      <w:r w:rsidR="009A1059">
        <w:t>the</w:t>
      </w:r>
      <w:r>
        <w:t xml:space="preserve"> potential </w:t>
      </w:r>
      <w:r w:rsidR="009A1059">
        <w:t>for</w:t>
      </w:r>
      <w:r>
        <w:t xml:space="preserve"> reframing Japan’s antimonopoly regulation.</w:t>
      </w:r>
    </w:p>
    <w:p w14:paraId="10D8C2AB" w14:textId="77777777" w:rsidR="007D1693" w:rsidRDefault="007D1693" w:rsidP="00B21D0C">
      <w:pPr>
        <w:ind w:firstLine="284"/>
        <w:rPr>
          <w:lang w:eastAsia="ja-JP"/>
        </w:rPr>
      </w:pPr>
      <w:r>
        <w:rPr>
          <w:rFonts w:hint="eastAsia"/>
          <w:lang w:eastAsia="ja-JP"/>
        </w:rPr>
        <w:t>In pulling the above consideration</w:t>
      </w:r>
      <w:r w:rsidR="00DE2A08">
        <w:rPr>
          <w:rFonts w:eastAsia="MS Mincho" w:hint="eastAsia"/>
          <w:lang w:eastAsia="ja-JP"/>
        </w:rPr>
        <w:t xml:space="preserve"> together</w:t>
      </w:r>
      <w:r>
        <w:rPr>
          <w:rFonts w:hint="eastAsia"/>
          <w:lang w:eastAsia="ja-JP"/>
        </w:rPr>
        <w:t xml:space="preserve">, this thesis offers </w:t>
      </w:r>
      <w:r w:rsidR="00B21D0C">
        <w:rPr>
          <w:lang w:eastAsia="ja-JP"/>
        </w:rPr>
        <w:t xml:space="preserve">the </w:t>
      </w:r>
      <w:r>
        <w:rPr>
          <w:rFonts w:hint="eastAsia"/>
          <w:lang w:eastAsia="ja-JP"/>
        </w:rPr>
        <w:t xml:space="preserve">following </w:t>
      </w:r>
      <w:r>
        <w:rPr>
          <w:rFonts w:hint="eastAsia"/>
        </w:rPr>
        <w:t xml:space="preserve">Figure 7.1 </w:t>
      </w:r>
      <w:r w:rsidR="00E213CA">
        <w:t>depict</w:t>
      </w:r>
      <w:r w:rsidR="00B21D0C">
        <w:t>ing</w:t>
      </w:r>
      <w:r w:rsidR="00E213CA">
        <w:rPr>
          <w:rFonts w:hint="eastAsia"/>
        </w:rPr>
        <w:t xml:space="preserve"> </w:t>
      </w:r>
      <w:r>
        <w:rPr>
          <w:rFonts w:hint="eastAsia"/>
        </w:rPr>
        <w:t>Japan</w:t>
      </w:r>
      <w:r>
        <w:t>’</w:t>
      </w:r>
      <w:r>
        <w:rPr>
          <w:rFonts w:hint="eastAsia"/>
        </w:rPr>
        <w:t xml:space="preserve">s ICT regulation and antimonopoly regulation </w:t>
      </w:r>
      <w:r>
        <w:t>vis-à-vis</w:t>
      </w:r>
      <w:r>
        <w:rPr>
          <w:rFonts w:hint="eastAsia"/>
        </w:rPr>
        <w:t xml:space="preserve"> the three elements.</w:t>
      </w:r>
      <w:r w:rsidR="00EC2B6C">
        <w:rPr>
          <w:rFonts w:hint="eastAsia"/>
          <w:lang w:eastAsia="ja-JP"/>
        </w:rPr>
        <w:t xml:space="preserve"> In F</w:t>
      </w:r>
      <w:r w:rsidR="00EC2B6C">
        <w:rPr>
          <w:lang w:eastAsia="ja-JP"/>
        </w:rPr>
        <w:t>i</w:t>
      </w:r>
      <w:r w:rsidR="00EC2B6C">
        <w:rPr>
          <w:rFonts w:hint="eastAsia"/>
          <w:lang w:eastAsia="ja-JP"/>
        </w:rPr>
        <w:t>gure 7.1, Japan</w:t>
      </w:r>
      <w:r w:rsidR="00EC2B6C">
        <w:rPr>
          <w:lang w:eastAsia="ja-JP"/>
        </w:rPr>
        <w:t>’</w:t>
      </w:r>
      <w:r w:rsidR="00EC2B6C">
        <w:rPr>
          <w:rFonts w:hint="eastAsia"/>
          <w:lang w:eastAsia="ja-JP"/>
        </w:rPr>
        <w:t xml:space="preserve">s ICT regulation is placed on </w:t>
      </w:r>
      <w:r w:rsidR="005E47C2">
        <w:rPr>
          <w:lang w:eastAsia="ja-JP"/>
        </w:rPr>
        <w:t>a</w:t>
      </w:r>
      <w:r w:rsidR="00EC2B6C">
        <w:rPr>
          <w:rFonts w:hint="eastAsia"/>
          <w:lang w:eastAsia="ja-JP"/>
        </w:rPr>
        <w:t xml:space="preserve"> border of the triangle; it is located in the most distant place from </w:t>
      </w:r>
      <w:r w:rsidR="00EC2B6C">
        <w:rPr>
          <w:lang w:eastAsia="ja-JP"/>
        </w:rPr>
        <w:t>‘</w:t>
      </w:r>
      <w:r w:rsidR="00EC2B6C">
        <w:rPr>
          <w:rFonts w:hint="eastAsia"/>
          <w:lang w:eastAsia="ja-JP"/>
        </w:rPr>
        <w:t>Independent implementation</w:t>
      </w:r>
      <w:r w:rsidR="005E47C2">
        <w:rPr>
          <w:lang w:eastAsia="ja-JP"/>
        </w:rPr>
        <w:t>’</w:t>
      </w:r>
      <w:r w:rsidR="00EC2B6C">
        <w:rPr>
          <w:rFonts w:hint="eastAsia"/>
          <w:lang w:eastAsia="ja-JP"/>
        </w:rPr>
        <w:t xml:space="preserve">, meaning </w:t>
      </w:r>
      <w:r w:rsidR="00B21D0C">
        <w:rPr>
          <w:lang w:eastAsia="ja-JP"/>
        </w:rPr>
        <w:t xml:space="preserve">that </w:t>
      </w:r>
      <w:r w:rsidR="00EC2B6C">
        <w:rPr>
          <w:rFonts w:hint="eastAsia"/>
          <w:lang w:eastAsia="ja-JP"/>
        </w:rPr>
        <w:t>Japan</w:t>
      </w:r>
      <w:r w:rsidR="00EC2B6C">
        <w:rPr>
          <w:lang w:eastAsia="ja-JP"/>
        </w:rPr>
        <w:t>’</w:t>
      </w:r>
      <w:r w:rsidR="00EC2B6C">
        <w:rPr>
          <w:rFonts w:hint="eastAsia"/>
          <w:lang w:eastAsia="ja-JP"/>
        </w:rPr>
        <w:t>s ICT regulation does not prioritise independent implementation at all. Elsewhere, Japan</w:t>
      </w:r>
      <w:r w:rsidR="00EC2B6C">
        <w:rPr>
          <w:lang w:eastAsia="ja-JP"/>
        </w:rPr>
        <w:t>’</w:t>
      </w:r>
      <w:r w:rsidR="00EC2B6C">
        <w:rPr>
          <w:rFonts w:hint="eastAsia"/>
          <w:lang w:eastAsia="ja-JP"/>
        </w:rPr>
        <w:t xml:space="preserve">s ICT regulation is just in the middle between </w:t>
      </w:r>
      <w:r w:rsidR="00EC2B6C">
        <w:rPr>
          <w:lang w:eastAsia="ja-JP"/>
        </w:rPr>
        <w:t>‘</w:t>
      </w:r>
      <w:r w:rsidR="00EC2B6C">
        <w:rPr>
          <w:rFonts w:hint="eastAsia"/>
          <w:lang w:eastAsia="ja-JP"/>
        </w:rPr>
        <w:t>Democratic accountability</w:t>
      </w:r>
      <w:r w:rsidR="00EC2B6C">
        <w:rPr>
          <w:lang w:eastAsia="ja-JP"/>
        </w:rPr>
        <w:t>’</w:t>
      </w:r>
      <w:r w:rsidR="00EC2B6C">
        <w:rPr>
          <w:rFonts w:hint="eastAsia"/>
          <w:lang w:eastAsia="ja-JP"/>
        </w:rPr>
        <w:t xml:space="preserve"> and </w:t>
      </w:r>
      <w:r w:rsidR="00EC2B6C">
        <w:rPr>
          <w:lang w:eastAsia="ja-JP"/>
        </w:rPr>
        <w:t>‘</w:t>
      </w:r>
      <w:r w:rsidR="00EC2B6C">
        <w:rPr>
          <w:rFonts w:hint="eastAsia"/>
          <w:lang w:eastAsia="ja-JP"/>
        </w:rPr>
        <w:t>Frequent rule changes</w:t>
      </w:r>
      <w:r w:rsidR="00EC2B6C">
        <w:rPr>
          <w:lang w:eastAsia="ja-JP"/>
        </w:rPr>
        <w:t>’</w:t>
      </w:r>
      <w:r w:rsidR="00EC2B6C">
        <w:rPr>
          <w:rFonts w:hint="eastAsia"/>
          <w:lang w:eastAsia="ja-JP"/>
        </w:rPr>
        <w:t xml:space="preserve">, </w:t>
      </w:r>
      <w:r w:rsidR="00EC2B6C">
        <w:rPr>
          <w:lang w:eastAsia="ja-JP"/>
        </w:rPr>
        <w:t>meaning</w:t>
      </w:r>
      <w:r w:rsidR="00EC2B6C">
        <w:rPr>
          <w:rFonts w:hint="eastAsia"/>
          <w:lang w:eastAsia="ja-JP"/>
        </w:rPr>
        <w:t xml:space="preserve"> that it prioritises this set of notion</w:t>
      </w:r>
      <w:r w:rsidR="009A1059">
        <w:rPr>
          <w:lang w:eastAsia="ja-JP"/>
        </w:rPr>
        <w:t>s</w:t>
      </w:r>
      <w:r w:rsidR="00EC2B6C">
        <w:rPr>
          <w:rFonts w:hint="eastAsia"/>
          <w:lang w:eastAsia="ja-JP"/>
        </w:rPr>
        <w:t xml:space="preserve"> to the same extent. Elsewhere, Japan</w:t>
      </w:r>
      <w:r w:rsidR="00EC2B6C">
        <w:rPr>
          <w:lang w:eastAsia="ja-JP"/>
        </w:rPr>
        <w:t>’</w:t>
      </w:r>
      <w:r w:rsidR="00EC2B6C">
        <w:rPr>
          <w:rFonts w:hint="eastAsia"/>
          <w:lang w:eastAsia="ja-JP"/>
        </w:rPr>
        <w:t xml:space="preserve">s antimonopoly regulation is located in a place remote from </w:t>
      </w:r>
      <w:r w:rsidR="00EC2B6C">
        <w:rPr>
          <w:lang w:eastAsia="ja-JP"/>
        </w:rPr>
        <w:t>‘</w:t>
      </w:r>
      <w:r w:rsidR="00EC2B6C">
        <w:rPr>
          <w:rFonts w:hint="eastAsia"/>
          <w:lang w:eastAsia="ja-JP"/>
        </w:rPr>
        <w:t>Frequent rule changes</w:t>
      </w:r>
      <w:r w:rsidR="00EC2B6C">
        <w:rPr>
          <w:lang w:eastAsia="ja-JP"/>
        </w:rPr>
        <w:t>’</w:t>
      </w:r>
      <w:r w:rsidR="00EC2B6C">
        <w:rPr>
          <w:rFonts w:hint="eastAsia"/>
          <w:lang w:eastAsia="ja-JP"/>
        </w:rPr>
        <w:t xml:space="preserve">, meaning that it has not had frequent rule changes and it is not prepared to cope with them, but has managed its challenges so far. It is located between </w:t>
      </w:r>
      <w:r w:rsidR="00EC2B6C">
        <w:rPr>
          <w:lang w:eastAsia="ja-JP"/>
        </w:rPr>
        <w:t>‘</w:t>
      </w:r>
      <w:r w:rsidR="00EC2B6C">
        <w:rPr>
          <w:rFonts w:hint="eastAsia"/>
          <w:lang w:eastAsia="ja-JP"/>
        </w:rPr>
        <w:t>Democratic accountability</w:t>
      </w:r>
      <w:r w:rsidR="00EC2B6C">
        <w:rPr>
          <w:lang w:eastAsia="ja-JP"/>
        </w:rPr>
        <w:t>’</w:t>
      </w:r>
      <w:r w:rsidR="00EC2B6C">
        <w:rPr>
          <w:rFonts w:hint="eastAsia"/>
          <w:lang w:eastAsia="ja-JP"/>
        </w:rPr>
        <w:t xml:space="preserve"> and </w:t>
      </w:r>
      <w:r w:rsidR="00EC2B6C">
        <w:rPr>
          <w:lang w:eastAsia="ja-JP"/>
        </w:rPr>
        <w:t>‘</w:t>
      </w:r>
      <w:r w:rsidR="00EC2B6C">
        <w:rPr>
          <w:rFonts w:hint="eastAsia"/>
          <w:lang w:eastAsia="ja-JP"/>
        </w:rPr>
        <w:t>Independent implementation</w:t>
      </w:r>
      <w:r w:rsidR="00EC2B6C">
        <w:rPr>
          <w:lang w:eastAsia="ja-JP"/>
        </w:rPr>
        <w:t>’</w:t>
      </w:r>
      <w:r w:rsidR="00EC2B6C">
        <w:rPr>
          <w:rFonts w:hint="eastAsia"/>
          <w:lang w:eastAsia="ja-JP"/>
        </w:rPr>
        <w:t xml:space="preserve">, but is in a place closer to the latter than </w:t>
      </w:r>
      <w:r w:rsidR="009A1059">
        <w:rPr>
          <w:lang w:eastAsia="ja-JP"/>
        </w:rPr>
        <w:t xml:space="preserve">the </w:t>
      </w:r>
      <w:r w:rsidR="00EC2B6C">
        <w:rPr>
          <w:rFonts w:hint="eastAsia"/>
          <w:lang w:eastAsia="ja-JP"/>
        </w:rPr>
        <w:t>former. This means that Japan</w:t>
      </w:r>
      <w:r w:rsidR="00EC2B6C">
        <w:rPr>
          <w:lang w:eastAsia="ja-JP"/>
        </w:rPr>
        <w:t>’</w:t>
      </w:r>
      <w:r w:rsidR="00EC2B6C">
        <w:rPr>
          <w:rFonts w:hint="eastAsia"/>
          <w:lang w:eastAsia="ja-JP"/>
        </w:rPr>
        <w:t xml:space="preserve">s antimonopoly regulation has prioritised more on its independence of authority, and their concern </w:t>
      </w:r>
      <w:r w:rsidR="009A1059">
        <w:rPr>
          <w:lang w:eastAsia="ja-JP"/>
        </w:rPr>
        <w:t>for</w:t>
      </w:r>
      <w:r w:rsidR="00EC2B6C">
        <w:rPr>
          <w:rFonts w:hint="eastAsia"/>
          <w:lang w:eastAsia="ja-JP"/>
        </w:rPr>
        <w:t xml:space="preserve"> democratic accountability has been </w:t>
      </w:r>
      <w:r w:rsidR="009A1059">
        <w:rPr>
          <w:lang w:eastAsia="ja-JP"/>
        </w:rPr>
        <w:t>to</w:t>
      </w:r>
      <w:r w:rsidR="00EC2B6C">
        <w:rPr>
          <w:rFonts w:hint="eastAsia"/>
          <w:lang w:eastAsia="ja-JP"/>
        </w:rPr>
        <w:t xml:space="preserve"> </w:t>
      </w:r>
      <w:r w:rsidR="009A1059">
        <w:rPr>
          <w:lang w:eastAsia="ja-JP"/>
        </w:rPr>
        <w:t>a</w:t>
      </w:r>
      <w:r w:rsidR="006F4B7C">
        <w:rPr>
          <w:rFonts w:hint="eastAsia"/>
          <w:lang w:eastAsia="ja-JP"/>
        </w:rPr>
        <w:t xml:space="preserve"> less</w:t>
      </w:r>
      <w:r w:rsidR="009A1059">
        <w:rPr>
          <w:lang w:eastAsia="ja-JP"/>
        </w:rPr>
        <w:t>er</w:t>
      </w:r>
      <w:r w:rsidR="006F4B7C">
        <w:rPr>
          <w:rFonts w:hint="eastAsia"/>
          <w:lang w:eastAsia="ja-JP"/>
        </w:rPr>
        <w:t xml:space="preserve"> extent than that </w:t>
      </w:r>
      <w:r w:rsidR="009A1059">
        <w:rPr>
          <w:lang w:eastAsia="ja-JP"/>
        </w:rPr>
        <w:t>of</w:t>
      </w:r>
      <w:r w:rsidR="006F4B7C">
        <w:rPr>
          <w:rFonts w:hint="eastAsia"/>
          <w:lang w:eastAsia="ja-JP"/>
        </w:rPr>
        <w:t xml:space="preserve"> independent implementation.</w:t>
      </w:r>
      <w:r w:rsidR="005E47C2">
        <w:rPr>
          <w:lang w:eastAsia="ja-JP"/>
        </w:rPr>
        <w:t xml:space="preserve"> This reflects the fact that the JFTC does not have an established tie with politics, unlike other government ministries.</w:t>
      </w:r>
    </w:p>
    <w:p w14:paraId="66B0E2E0" w14:textId="77777777" w:rsidR="006F4B7C" w:rsidRDefault="006F4B7C" w:rsidP="007D1693">
      <w:pPr>
        <w:rPr>
          <w:lang w:eastAsia="ja-JP"/>
        </w:rPr>
      </w:pPr>
    </w:p>
    <w:p w14:paraId="21303F88" w14:textId="77777777" w:rsidR="006B7941" w:rsidRDefault="006B7941" w:rsidP="007D1693">
      <w:pPr>
        <w:rPr>
          <w:lang w:eastAsia="ja-JP"/>
        </w:rPr>
      </w:pPr>
    </w:p>
    <w:p w14:paraId="5301FC27" w14:textId="77777777" w:rsidR="006B7941" w:rsidRDefault="006B7941" w:rsidP="007D1693">
      <w:pPr>
        <w:rPr>
          <w:lang w:eastAsia="ja-JP"/>
        </w:rPr>
      </w:pPr>
    </w:p>
    <w:p w14:paraId="2AFC9387" w14:textId="77777777" w:rsidR="007D1693" w:rsidRDefault="007D1693" w:rsidP="00DA2E02">
      <w:pPr>
        <w:pStyle w:val="Heading4"/>
      </w:pPr>
      <w:r>
        <w:rPr>
          <w:rFonts w:hint="eastAsia"/>
        </w:rPr>
        <w:t>Figure 7.1: the mode of regulation in the Japanese regulatory state</w:t>
      </w:r>
    </w:p>
    <w:p w14:paraId="36B467F4" w14:textId="77777777" w:rsidR="00B21D0C" w:rsidRPr="00B21D0C" w:rsidRDefault="00B21D0C" w:rsidP="00B21D0C"/>
    <w:p w14:paraId="4204C12D" w14:textId="77777777" w:rsidR="007D1693" w:rsidRDefault="002172E5" w:rsidP="007D1693">
      <w:r>
        <w:rPr>
          <w:noProof/>
          <w:lang w:eastAsia="ja-JP"/>
        </w:rPr>
        <mc:AlternateContent>
          <mc:Choice Requires="wpg">
            <w:drawing>
              <wp:anchor distT="0" distB="0" distL="114300" distR="114300" simplePos="0" relativeHeight="251812864" behindDoc="0" locked="0" layoutInCell="1" allowOverlap="1" wp14:anchorId="6DE609FB" wp14:editId="2D19CA69">
                <wp:simplePos x="0" y="0"/>
                <wp:positionH relativeFrom="column">
                  <wp:posOffset>26035</wp:posOffset>
                </wp:positionH>
                <wp:positionV relativeFrom="paragraph">
                  <wp:posOffset>12065</wp:posOffset>
                </wp:positionV>
                <wp:extent cx="5759450" cy="1977390"/>
                <wp:effectExtent l="0" t="0" r="0" b="22860"/>
                <wp:wrapNone/>
                <wp:docPr id="155"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977390"/>
                          <a:chOff x="1459" y="12147"/>
                          <a:chExt cx="9070" cy="3114"/>
                        </a:xfrm>
                      </wpg:grpSpPr>
                      <wps:wsp>
                        <wps:cNvPr id="156" name="Text Box 384"/>
                        <wps:cNvSpPr txBox="1">
                          <a:spLocks noChangeArrowheads="1"/>
                        </wps:cNvSpPr>
                        <wps:spPr bwMode="auto">
                          <a:xfrm>
                            <a:off x="7110" y="13356"/>
                            <a:ext cx="1571"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3787F" w14:textId="77777777" w:rsidR="00AC34E6" w:rsidRDefault="00AC34E6" w:rsidP="001B6C05">
                              <w:pPr>
                                <w:pStyle w:val="ListParagraph"/>
                                <w:numPr>
                                  <w:ilvl w:val="0"/>
                                  <w:numId w:val="59"/>
                                </w:numPr>
                                <w:spacing w:line="240" w:lineRule="auto"/>
                                <w:ind w:left="142" w:hanging="142"/>
                              </w:pPr>
                              <w:r>
                                <w:rPr>
                                  <w:rFonts w:hint="eastAsia"/>
                                </w:rPr>
                                <w:t>Japan  (ICT )</w:t>
                              </w:r>
                            </w:p>
                          </w:txbxContent>
                        </wps:txbx>
                        <wps:bodyPr rot="0" vert="horz" wrap="square" lIns="74295" tIns="8890" rIns="74295" bIns="8890" anchor="t" anchorCtr="0" upright="1">
                          <a:spAutoFit/>
                        </wps:bodyPr>
                      </wps:wsp>
                      <wps:wsp>
                        <wps:cNvPr id="157" name="AutoShape 385"/>
                        <wps:cNvSpPr>
                          <a:spLocks noChangeArrowheads="1"/>
                        </wps:cNvSpPr>
                        <wps:spPr bwMode="auto">
                          <a:xfrm>
                            <a:off x="2628" y="12434"/>
                            <a:ext cx="6629" cy="2608"/>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8" name="Text Box 386"/>
                        <wps:cNvSpPr txBox="1">
                          <a:spLocks noChangeArrowheads="1"/>
                        </wps:cNvSpPr>
                        <wps:spPr bwMode="auto">
                          <a:xfrm>
                            <a:off x="4817" y="12147"/>
                            <a:ext cx="2571" cy="477"/>
                          </a:xfrm>
                          <a:prstGeom prst="rect">
                            <a:avLst/>
                          </a:prstGeom>
                          <a:solidFill>
                            <a:srgbClr val="FFFFFF"/>
                          </a:solidFill>
                          <a:ln w="9525">
                            <a:solidFill>
                              <a:srgbClr val="000000"/>
                            </a:solidFill>
                            <a:miter lim="800000"/>
                            <a:headEnd/>
                            <a:tailEnd/>
                          </a:ln>
                        </wps:spPr>
                        <wps:txbx>
                          <w:txbxContent>
                            <w:p w14:paraId="4D290488" w14:textId="77777777" w:rsidR="00AC34E6" w:rsidRPr="00A82E64" w:rsidRDefault="00AC34E6" w:rsidP="007D1693">
                              <w:pPr>
                                <w:spacing w:line="240" w:lineRule="auto"/>
                              </w:pPr>
                              <w:r>
                                <w:rPr>
                                  <w:rFonts w:hint="eastAsia"/>
                                  <w:lang w:eastAsia="ja-JP"/>
                                </w:rPr>
                                <w:t>D</w:t>
                              </w:r>
                              <w:r w:rsidRPr="00A82E64">
                                <w:t>emocratic accountability</w:t>
                              </w:r>
                            </w:p>
                          </w:txbxContent>
                        </wps:txbx>
                        <wps:bodyPr rot="0" vert="horz" wrap="square" lIns="74295" tIns="8890" rIns="74295" bIns="8890" anchor="t" anchorCtr="0" upright="1">
                          <a:noAutofit/>
                        </wps:bodyPr>
                      </wps:wsp>
                      <wps:wsp>
                        <wps:cNvPr id="159" name="Text Box 387"/>
                        <wps:cNvSpPr txBox="1">
                          <a:spLocks noChangeArrowheads="1"/>
                        </wps:cNvSpPr>
                        <wps:spPr bwMode="auto">
                          <a:xfrm>
                            <a:off x="1459" y="14784"/>
                            <a:ext cx="2814" cy="477"/>
                          </a:xfrm>
                          <a:prstGeom prst="rect">
                            <a:avLst/>
                          </a:prstGeom>
                          <a:solidFill>
                            <a:srgbClr val="FFFFFF"/>
                          </a:solidFill>
                          <a:ln w="9525">
                            <a:solidFill>
                              <a:srgbClr val="000000"/>
                            </a:solidFill>
                            <a:miter lim="800000"/>
                            <a:headEnd/>
                            <a:tailEnd/>
                          </a:ln>
                        </wps:spPr>
                        <wps:txbx>
                          <w:txbxContent>
                            <w:p w14:paraId="3F8B649E" w14:textId="77777777" w:rsidR="00AC34E6" w:rsidRPr="00A82E64" w:rsidRDefault="00AC34E6" w:rsidP="007D1693">
                              <w:pPr>
                                <w:spacing w:line="240" w:lineRule="auto"/>
                              </w:pPr>
                              <w:r w:rsidRPr="00A82E64">
                                <w:t>Independent implementation</w:t>
                              </w:r>
                            </w:p>
                          </w:txbxContent>
                        </wps:txbx>
                        <wps:bodyPr rot="0" vert="horz" wrap="square" lIns="74295" tIns="8890" rIns="74295" bIns="8890" anchor="t" anchorCtr="0" upright="1">
                          <a:noAutofit/>
                        </wps:bodyPr>
                      </wps:wsp>
                      <wps:wsp>
                        <wps:cNvPr id="160" name="Text Box 388"/>
                        <wps:cNvSpPr txBox="1">
                          <a:spLocks noChangeArrowheads="1"/>
                        </wps:cNvSpPr>
                        <wps:spPr bwMode="auto">
                          <a:xfrm>
                            <a:off x="8099" y="14718"/>
                            <a:ext cx="2196" cy="477"/>
                          </a:xfrm>
                          <a:prstGeom prst="rect">
                            <a:avLst/>
                          </a:prstGeom>
                          <a:solidFill>
                            <a:srgbClr val="FFFFFF"/>
                          </a:solidFill>
                          <a:ln w="9525">
                            <a:solidFill>
                              <a:srgbClr val="000000"/>
                            </a:solidFill>
                            <a:miter lim="800000"/>
                            <a:headEnd/>
                            <a:tailEnd/>
                          </a:ln>
                        </wps:spPr>
                        <wps:txbx>
                          <w:txbxContent>
                            <w:p w14:paraId="4C2EEA65" w14:textId="77777777" w:rsidR="00AC34E6" w:rsidRPr="00A82E64" w:rsidRDefault="00AC34E6" w:rsidP="007D1693">
                              <w:pPr>
                                <w:spacing w:line="240" w:lineRule="auto"/>
                              </w:pPr>
                              <w:r>
                                <w:rPr>
                                  <w:rFonts w:hint="eastAsia"/>
                                  <w:lang w:eastAsia="ja-JP"/>
                                </w:rPr>
                                <w:t>F</w:t>
                              </w:r>
                              <w:r w:rsidRPr="00A82E64">
                                <w:t>requent rule changes</w:t>
                              </w:r>
                            </w:p>
                          </w:txbxContent>
                        </wps:txbx>
                        <wps:bodyPr rot="0" vert="horz" wrap="square" lIns="74295" tIns="8890" rIns="74295" bIns="8890" anchor="t" anchorCtr="0" upright="1">
                          <a:noAutofit/>
                        </wps:bodyPr>
                      </wps:wsp>
                      <wps:wsp>
                        <wps:cNvPr id="161" name="Text Box 389"/>
                        <wps:cNvSpPr txBox="1">
                          <a:spLocks noChangeArrowheads="1"/>
                        </wps:cNvSpPr>
                        <wps:spPr bwMode="auto">
                          <a:xfrm>
                            <a:off x="4273" y="13779"/>
                            <a:ext cx="193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B313" w14:textId="77777777" w:rsidR="00AC34E6" w:rsidRDefault="00AC34E6" w:rsidP="001B6C05">
                              <w:pPr>
                                <w:pStyle w:val="ListParagraph"/>
                                <w:numPr>
                                  <w:ilvl w:val="0"/>
                                  <w:numId w:val="59"/>
                                </w:numPr>
                                <w:spacing w:line="240" w:lineRule="auto"/>
                                <w:ind w:left="142" w:hanging="142"/>
                              </w:pPr>
                              <w:r>
                                <w:rPr>
                                  <w:rFonts w:hint="eastAsia"/>
                                </w:rPr>
                                <w:t>Japan (a/m)</w:t>
                              </w:r>
                            </w:p>
                          </w:txbxContent>
                        </wps:txbx>
                        <wps:bodyPr rot="0" vert="horz" wrap="square" lIns="74295" tIns="8890" rIns="74295" bIns="8890" anchor="t" anchorCtr="0" upright="1">
                          <a:noAutofit/>
                        </wps:bodyPr>
                      </wps:wsp>
                      <wps:wsp>
                        <wps:cNvPr id="162" name="Text Box 390"/>
                        <wps:cNvSpPr txBox="1">
                          <a:spLocks noChangeArrowheads="1"/>
                        </wps:cNvSpPr>
                        <wps:spPr bwMode="auto">
                          <a:xfrm>
                            <a:off x="8340" y="12780"/>
                            <a:ext cx="218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7B7F" w14:textId="77777777" w:rsidR="00AC34E6" w:rsidRPr="004E2551" w:rsidRDefault="00AC34E6" w:rsidP="007D1693">
                              <w:pPr>
                                <w:spacing w:line="240" w:lineRule="auto"/>
                              </w:pPr>
                              <w:r w:rsidRPr="004E2551">
                                <w:rPr>
                                  <w:lang w:eastAsia="ja-JP"/>
                                </w:rPr>
                                <w:t>Antimonopoly: a/m</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3" o:spid="_x0000_s1052" style="position:absolute;margin-left:2.05pt;margin-top:.95pt;width:453.5pt;height:155.7pt;z-index:251812864" coordorigin="1459,12147" coordsize="9070,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">
                <v:shape id="Text Box 384" o:spid="_x0000_s1053" type="#_x0000_t202" style="position:absolute;left:7110;top:13356;width:1571;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Z8EA&#10;AADcAAAADwAAAGRycy9kb3ducmV2LnhtbERPTYvCMBC9C/sfwix403RFi1Sj7AoFBT2oi+fZZmy7&#10;bSaliVr/vREEb/N4nzNfdqYWV2pdaVnB1zACQZxZXXKu4PeYDqYgnEfWWFsmBXdysFx89OaYaHvj&#10;PV0PPhchhF2CCgrvm0RKlxVk0A1tQxy4s20N+gDbXOoWbyHc1HIURbE0WHJoKLChVUFZdbgYBeN0&#10;U3F8WqV/+W5d/Z/k9ufCU6X6n933DISnzr/FL/dah/mTGJ7Ph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uv2fBAAAA3AAAAA8AAAAAAAAAAAAAAAAAmAIAAGRycy9kb3du&#10;cmV2LnhtbFBLBQYAAAAABAAEAPUAAACGAwAAAAA=&#10;" stroked="f">
                  <v:textbox style="mso-fit-shape-to-text:t" inset="5.85pt,.7pt,5.85pt,.7pt">
                    <w:txbxContent>
                      <w:p w14:paraId="4383787F" w14:textId="77777777" w:rsidR="00AC34E6" w:rsidRDefault="00AC34E6" w:rsidP="001B6C05">
                        <w:pPr>
                          <w:pStyle w:val="ListParagraph"/>
                          <w:numPr>
                            <w:ilvl w:val="0"/>
                            <w:numId w:val="59"/>
                          </w:numPr>
                          <w:spacing w:line="240" w:lineRule="auto"/>
                          <w:ind w:left="142" w:hanging="142"/>
                        </w:pPr>
                        <w:r>
                          <w:rPr>
                            <w:rFonts w:hint="eastAsia"/>
                          </w:rPr>
                          <w:t>Japan  (ICT )</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85" o:spid="_x0000_s1054" type="#_x0000_t5" style="position:absolute;left:2628;top:12434;width:6629;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1XsIA&#10;AADcAAAADwAAAGRycy9kb3ducmV2LnhtbERPTWvCQBC9F/wPywi91Y0tUYlugrQUempRA3ocsmM2&#10;mJ0N2W1M/fXdQsHbPN7nbIrRtmKg3jeOFcxnCQjiyumGawXl4f1pBcIHZI2tY1LwQx6KfPKwwUy7&#10;K+9o2IdaxBD2GSowIXSZlL4yZNHPXEccubPrLYYI+1rqHq8x3LbyOUkW0mLDscFgR6+Gqsv+2yp4&#10;44HkkB4XZbl7ST9NuCVfp5tSj9NxuwYRaAx38b/7Q8f56RL+nokX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VewgAAANwAAAAPAAAAAAAAAAAAAAAAAJgCAABkcnMvZG93&#10;bnJldi54bWxQSwUGAAAAAAQABAD1AAAAhwMAAAAA&#10;" filled="f">
                  <v:textbox inset="5.85pt,.7pt,5.85pt,.7pt"/>
                </v:shape>
                <v:shape id="Text Box 386" o:spid="_x0000_s1055" type="#_x0000_t202" style="position:absolute;left:4817;top:12147;width:2571;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hesYA&#10;AADcAAAADwAAAGRycy9kb3ducmV2LnhtbESPQWvCQBCF74X+h2UEL0U3FRRNXaUUWvRUGkXobciO&#10;STA7G3Y3mvbXO4dCbzO8N+99s94OrlVXCrHxbOB5moEiLr1tuDJwPLxPlqBiQrbYeiYDPxRhu3l8&#10;WGNu/Y2/6FqkSkkIxxwN1Cl1udaxrMlhnPqOWLSzDw6TrKHSNuBNwl2rZ1m20A4bloYaO3qrqbwU&#10;vTNw2fel60/fYffZHz72vwurn7KVMePR8PoCKtGQ/s1/1zsr+HOhlWdkAr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WhesYAAADcAAAADwAAAAAAAAAAAAAAAACYAgAAZHJz&#10;L2Rvd25yZXYueG1sUEsFBgAAAAAEAAQA9QAAAIsDAAAAAA==&#10;">
                  <v:textbox inset="5.85pt,.7pt,5.85pt,.7pt">
                    <w:txbxContent>
                      <w:p w14:paraId="4D290488" w14:textId="77777777" w:rsidR="00AC34E6" w:rsidRPr="00A82E64" w:rsidRDefault="00AC34E6" w:rsidP="007D1693">
                        <w:pPr>
                          <w:spacing w:line="240" w:lineRule="auto"/>
                        </w:pPr>
                        <w:r>
                          <w:rPr>
                            <w:rFonts w:hint="eastAsia"/>
                            <w:lang w:eastAsia="ja-JP"/>
                          </w:rPr>
                          <w:t>D</w:t>
                        </w:r>
                        <w:r w:rsidRPr="00A82E64">
                          <w:t>emocratic accountability</w:t>
                        </w:r>
                      </w:p>
                    </w:txbxContent>
                  </v:textbox>
                </v:shape>
                <v:shape id="Text Box 387" o:spid="_x0000_s1056" type="#_x0000_t202" style="position:absolute;left:1459;top:14784;width:2814;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4cQA&#10;AADcAAAADwAAAGRycy9kb3ducmV2LnhtbERPTWvCQBC9C/0PyxR6kbqx0FCjm1CEFnMqail4G7LT&#10;JJidDbsbjf76bkHwNo/3OatiNJ04kfOtZQXzWQKCuLK65VrB9/7j+Q2ED8gaO8uk4EIeivxhssJM&#10;2zNv6bQLtYgh7DNU0ITQZ1L6qiGDfmZ74sj9WmcwROhqqR2eY7jp5EuSpNJgy7GhwZ7WDVXH3WAU&#10;HMuhMsPPwW2+hv1neU21nCYLpZ4ex/cliEBjuItv7o2O818X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JBOHEAAAA3AAAAA8AAAAAAAAAAAAAAAAAmAIAAGRycy9k&#10;b3ducmV2LnhtbFBLBQYAAAAABAAEAPUAAACJAwAAAAA=&#10;">
                  <v:textbox inset="5.85pt,.7pt,5.85pt,.7pt">
                    <w:txbxContent>
                      <w:p w14:paraId="3F8B649E" w14:textId="77777777" w:rsidR="00AC34E6" w:rsidRPr="00A82E64" w:rsidRDefault="00AC34E6" w:rsidP="007D1693">
                        <w:pPr>
                          <w:spacing w:line="240" w:lineRule="auto"/>
                        </w:pPr>
                        <w:r w:rsidRPr="00A82E64">
                          <w:t>Independent implementation</w:t>
                        </w:r>
                      </w:p>
                    </w:txbxContent>
                  </v:textbox>
                </v:shape>
                <v:shape id="Text Box 388" o:spid="_x0000_s1057" type="#_x0000_t202" style="position:absolute;left:8099;top:14718;width:2196;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9nwcYA&#10;AADcAAAADwAAAGRycy9kb3ducmV2LnhtbESPQWvCQBCF7wX/wzJCL0U37SHY6CoiWPRUqqXQ25Ad&#10;k2B2NuxuNPrrO4eCtxnem/e+WawG16oLhdh4NvA6zUARl942XBn4Pm4nM1AxIVtsPZOBG0VYLUdP&#10;Cyysv/IXXQ6pUhLCsUADdUpdoXUsa3IYp74jFu3kg8Mka6i0DXiVcNfqtyzLtcOGpaHGjjY1ledD&#10;7wyc933p+p/fsPvsjx/7e271S/ZuzPN4WM9BJRrSw/x/vbOCnwu+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9nwcYAAADcAAAADwAAAAAAAAAAAAAAAACYAgAAZHJz&#10;L2Rvd25yZXYueG1sUEsFBgAAAAAEAAQA9QAAAIsDAAAAAA==&#10;">
                  <v:textbox inset="5.85pt,.7pt,5.85pt,.7pt">
                    <w:txbxContent>
                      <w:p w14:paraId="4C2EEA65" w14:textId="77777777" w:rsidR="00AC34E6" w:rsidRPr="00A82E64" w:rsidRDefault="00AC34E6" w:rsidP="007D1693">
                        <w:pPr>
                          <w:spacing w:line="240" w:lineRule="auto"/>
                        </w:pPr>
                        <w:r>
                          <w:rPr>
                            <w:rFonts w:hint="eastAsia"/>
                            <w:lang w:eastAsia="ja-JP"/>
                          </w:rPr>
                          <w:t>F</w:t>
                        </w:r>
                        <w:r w:rsidRPr="00A82E64">
                          <w:t>requent rule changes</w:t>
                        </w:r>
                      </w:p>
                    </w:txbxContent>
                  </v:textbox>
                </v:shape>
                <v:shape id="Text Box 389" o:spid="_x0000_s1058" type="#_x0000_t202" style="position:absolute;left:4273;top:13779;width:193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foMMA&#10;AADcAAAADwAAAGRycy9kb3ducmV2LnhtbERPS4vCMBC+L/gfwgje1tQFy1KNUoV94EWtIh7HZmyL&#10;zaQ0Wa3++s3Cgrf5+J4znXemFldqXWVZwWgYgSDOra64ULDffby+g3AeWWNtmRTcycF81nuZYqLt&#10;jbd0zXwhQgi7BBWU3jeJlC4vyaAb2oY4cGfbGvQBtoXULd5CuKnlWxTF0mDFoaHEhpYl5Zfsxyh4&#10;VC792qwX/rQYHz+jzSp2hzRWatDv0gkIT51/iv/d3zrMj0fw90y4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jfoMMAAADcAAAADwAAAAAAAAAAAAAAAACYAgAAZHJzL2Rv&#10;d25yZXYueG1sUEsFBgAAAAAEAAQA9QAAAIgDAAAAAA==&#10;" filled="f" stroked="f">
                  <v:textbox inset="5.85pt,.7pt,5.85pt,.7pt">
                    <w:txbxContent>
                      <w:p w14:paraId="2309B313" w14:textId="77777777" w:rsidR="00AC34E6" w:rsidRDefault="00AC34E6" w:rsidP="001B6C05">
                        <w:pPr>
                          <w:pStyle w:val="ListParagraph"/>
                          <w:numPr>
                            <w:ilvl w:val="0"/>
                            <w:numId w:val="59"/>
                          </w:numPr>
                          <w:spacing w:line="240" w:lineRule="auto"/>
                          <w:ind w:left="142" w:hanging="142"/>
                        </w:pPr>
                        <w:r>
                          <w:rPr>
                            <w:rFonts w:hint="eastAsia"/>
                          </w:rPr>
                          <w:t>Japan (a/m)</w:t>
                        </w:r>
                      </w:p>
                    </w:txbxContent>
                  </v:textbox>
                </v:shape>
                <v:shape id="Text Box 390" o:spid="_x0000_s1059" type="#_x0000_t202" style="position:absolute;left:8340;top:12780;width:2189;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B18QA&#10;AADcAAAADwAAAGRycy9kb3ducmV2LnhtbERPTWvCQBC9F/wPywi91U2FBkndhFioipdqLKXHaXaa&#10;hGZnQ3bV2F/vCoK3ebzPmWeDacWRetdYVvA8iUAQl1Y3XCn43L8/zUA4j6yxtUwKzuQgS0cPc0y0&#10;PfGOjoWvRAhhl6CC2vsukdKVNRl0E9sRB+7X9gZ9gH0ldY+nEG5aOY2iWBpsODTU2NFbTeVfcTAK&#10;/huXr7YfC/+zePleRttN7L7yWKnH8ZC/gvA0+Lv45l7rMD+ewvWZcIF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6QdfEAAAA3AAAAA8AAAAAAAAAAAAAAAAAmAIAAGRycy9k&#10;b3ducmV2LnhtbFBLBQYAAAAABAAEAPUAAACJAwAAAAA=&#10;" filled="f" stroked="f">
                  <v:textbox inset="5.85pt,.7pt,5.85pt,.7pt">
                    <w:txbxContent>
                      <w:p w14:paraId="7AA37B7F" w14:textId="77777777" w:rsidR="00AC34E6" w:rsidRPr="004E2551" w:rsidRDefault="00AC34E6" w:rsidP="007D1693">
                        <w:pPr>
                          <w:spacing w:line="240" w:lineRule="auto"/>
                        </w:pPr>
                        <w:r w:rsidRPr="004E2551">
                          <w:rPr>
                            <w:lang w:eastAsia="ja-JP"/>
                          </w:rPr>
                          <w:t>Antimonopoly: a/m</w:t>
                        </w:r>
                      </w:p>
                    </w:txbxContent>
                  </v:textbox>
                </v:shape>
              </v:group>
            </w:pict>
          </mc:Fallback>
        </mc:AlternateContent>
      </w:r>
    </w:p>
    <w:p w14:paraId="4B73A467" w14:textId="77777777" w:rsidR="007D1693" w:rsidRDefault="007D1693" w:rsidP="007D1693"/>
    <w:p w14:paraId="2E76E114" w14:textId="77777777" w:rsidR="007D1693" w:rsidRDefault="007D1693" w:rsidP="007D1693"/>
    <w:p w14:paraId="21A5980E" w14:textId="77777777" w:rsidR="007D1693" w:rsidRDefault="007D1693" w:rsidP="007D1693"/>
    <w:p w14:paraId="68C7181E" w14:textId="77777777" w:rsidR="007D1693" w:rsidRDefault="007D1693" w:rsidP="007D1693">
      <w:pPr>
        <w:ind w:firstLine="284"/>
        <w:rPr>
          <w:lang w:eastAsia="ja-JP"/>
        </w:rPr>
      </w:pPr>
    </w:p>
    <w:p w14:paraId="0DDDB9B1" w14:textId="77777777" w:rsidR="0045138C" w:rsidRDefault="0045138C" w:rsidP="00333AC6">
      <w:pPr>
        <w:ind w:firstLine="284"/>
        <w:rPr>
          <w:lang w:eastAsia="ja-JP"/>
        </w:rPr>
      </w:pPr>
    </w:p>
    <w:p w14:paraId="38F5183B" w14:textId="77777777" w:rsidR="007D1693" w:rsidRDefault="0068731A" w:rsidP="00333AC6">
      <w:pPr>
        <w:ind w:firstLine="284"/>
        <w:rPr>
          <w:lang w:eastAsia="ja-JP"/>
        </w:rPr>
      </w:pPr>
      <w:r>
        <w:rPr>
          <w:lang w:eastAsia="ja-JP"/>
        </w:rPr>
        <w:t>If this depiction of Figure 7.1 is compared to the cases of other countries, t</w:t>
      </w:r>
      <w:r w:rsidR="007D1693" w:rsidRPr="00D27721">
        <w:rPr>
          <w:rFonts w:hint="eastAsia"/>
          <w:lang w:eastAsia="ja-JP"/>
        </w:rPr>
        <w:t xml:space="preserve">he characteristics of the Japanese cases can be illuminated. The following seeks </w:t>
      </w:r>
      <w:r w:rsidR="00200D30">
        <w:rPr>
          <w:lang w:eastAsia="ja-JP"/>
        </w:rPr>
        <w:t xml:space="preserve">to illuminate the Japanese regulatory state with generalisable terms </w:t>
      </w:r>
      <w:r w:rsidR="007D1693" w:rsidRPr="00D27721">
        <w:rPr>
          <w:rFonts w:hint="eastAsia"/>
          <w:lang w:eastAsia="ja-JP"/>
        </w:rPr>
        <w:t xml:space="preserve">by </w:t>
      </w:r>
      <w:r w:rsidR="00200D30">
        <w:rPr>
          <w:lang w:eastAsia="ja-JP"/>
        </w:rPr>
        <w:t xml:space="preserve">referring to </w:t>
      </w:r>
      <w:r w:rsidR="007D1693" w:rsidRPr="00D27721">
        <w:rPr>
          <w:rFonts w:hint="eastAsia"/>
          <w:lang w:eastAsia="ja-JP"/>
        </w:rPr>
        <w:t>the cases of the UK and New Zealand.</w:t>
      </w:r>
    </w:p>
    <w:p w14:paraId="2DAF6767" w14:textId="77777777" w:rsidR="007D1693" w:rsidRDefault="00D66E67" w:rsidP="00013CD2">
      <w:pPr>
        <w:ind w:firstLine="284"/>
      </w:pPr>
      <w:r>
        <w:rPr>
          <w:rFonts w:hint="eastAsia"/>
          <w:lang w:eastAsia="ja-JP"/>
        </w:rPr>
        <w:t>In</w:t>
      </w:r>
      <w:r w:rsidR="007D1693">
        <w:rPr>
          <w:rFonts w:hint="eastAsia"/>
        </w:rPr>
        <w:t xml:space="preserve"> </w:t>
      </w:r>
      <w:r>
        <w:rPr>
          <w:rFonts w:hint="eastAsia"/>
          <w:lang w:eastAsia="ja-JP"/>
        </w:rPr>
        <w:t>t</w:t>
      </w:r>
      <w:r w:rsidR="007D1693">
        <w:rPr>
          <w:rFonts w:hint="eastAsia"/>
        </w:rPr>
        <w:t xml:space="preserve">he British </w:t>
      </w:r>
      <w:r>
        <w:rPr>
          <w:rFonts w:hint="eastAsia"/>
          <w:lang w:eastAsia="ja-JP"/>
        </w:rPr>
        <w:t>case,</w:t>
      </w:r>
      <w:r w:rsidR="007D1693">
        <w:rPr>
          <w:rFonts w:hint="eastAsia"/>
        </w:rPr>
        <w:t xml:space="preserve"> a new form of institution (regulators) (formally not either in the executive branch or the private sector) </w:t>
      </w:r>
      <w:r>
        <w:rPr>
          <w:rFonts w:hint="eastAsia"/>
          <w:lang w:eastAsia="ja-JP"/>
        </w:rPr>
        <w:t xml:space="preserve">has emerged </w:t>
      </w:r>
      <w:r w:rsidR="007D1693">
        <w:rPr>
          <w:rFonts w:hint="eastAsia"/>
        </w:rPr>
        <w:t>under the informal dominance of Ministers. British regulators are required to be less accountable to party politicians and have more authority to implement policy programmes without legislation</w:t>
      </w:r>
      <w:r w:rsidR="000B7664">
        <w:rPr>
          <w:rFonts w:hint="eastAsia"/>
          <w:lang w:eastAsia="ja-JP"/>
        </w:rPr>
        <w:t xml:space="preserve">. </w:t>
      </w:r>
      <w:r w:rsidR="004B4A54">
        <w:rPr>
          <w:lang w:eastAsia="ja-JP"/>
        </w:rPr>
        <w:t xml:space="preserve">A group of literature calls this characteristic ‘depoliticisation’, meaning the activities removing certain subjects from the scope of everyday politics (Roberts 2010 p.5). </w:t>
      </w:r>
      <w:r w:rsidR="00013CD2">
        <w:rPr>
          <w:lang w:eastAsia="ja-JP"/>
        </w:rPr>
        <w:t xml:space="preserve">A key characteristic of depoliticisation is its foundational legal instruments (e.g. laws, treaties, contracts) that purport to transfer authority to technocrats specialised in the sector or thoroughly proscribe certain policy choice (Roberts 2010 p.5). </w:t>
      </w:r>
      <w:r w:rsidR="0036469C">
        <w:rPr>
          <w:rFonts w:hint="eastAsia"/>
          <w:lang w:eastAsia="ja-JP"/>
        </w:rPr>
        <w:t>New Zealand</w:t>
      </w:r>
      <w:r w:rsidR="007D1693">
        <w:rPr>
          <w:rFonts w:hint="eastAsia"/>
        </w:rPr>
        <w:t xml:space="preserve"> promoted economic reforms based on the pure deregulation </w:t>
      </w:r>
      <w:r w:rsidR="007D1693" w:rsidRPr="00FE72CD">
        <w:rPr>
          <w:rFonts w:hint="eastAsia"/>
        </w:rPr>
        <w:t>with</w:t>
      </w:r>
      <w:r>
        <w:rPr>
          <w:rFonts w:hint="eastAsia"/>
          <w:lang w:eastAsia="ja-JP"/>
        </w:rPr>
        <w:t>out</w:t>
      </w:r>
      <w:r w:rsidR="007D1693">
        <w:rPr>
          <w:rFonts w:hint="eastAsia"/>
        </w:rPr>
        <w:t xml:space="preserve"> reregulation</w:t>
      </w:r>
      <w:r w:rsidR="007D1693" w:rsidRPr="00FE72CD">
        <w:rPr>
          <w:rFonts w:hint="eastAsia"/>
        </w:rPr>
        <w:t xml:space="preserve">. </w:t>
      </w:r>
      <w:r w:rsidR="007D1693">
        <w:rPr>
          <w:rFonts w:hint="eastAsia"/>
        </w:rPr>
        <w:t xml:space="preserve">The trial to reverse this reform through reprioritising policy goals from efficiency oriented to those also taking account of welfare in the 2000s </w:t>
      </w:r>
      <w:r w:rsidR="009A1059">
        <w:t xml:space="preserve">has </w:t>
      </w:r>
      <w:r w:rsidR="007D1693">
        <w:rPr>
          <w:rFonts w:hint="eastAsia"/>
        </w:rPr>
        <w:t>been successful in part, but has confronted the reluctance of the established structure (e.g. reluctant responses of the Commerce Commission officials in the 2000s)</w:t>
      </w:r>
      <w:r w:rsidR="00433658">
        <w:rPr>
          <w:rFonts w:eastAsia="MS Mincho" w:hint="eastAsia"/>
          <w:lang w:eastAsia="ja-JP"/>
        </w:rPr>
        <w:t xml:space="preserve"> (Carter 2008)</w:t>
      </w:r>
      <w:r w:rsidR="007D1693">
        <w:rPr>
          <w:rFonts w:hint="eastAsia"/>
        </w:rPr>
        <w:t>.</w:t>
      </w:r>
    </w:p>
    <w:p w14:paraId="3D1E9756" w14:textId="77777777" w:rsidR="007D1693" w:rsidRDefault="007D1693" w:rsidP="00300BF5">
      <w:pPr>
        <w:ind w:firstLine="284"/>
      </w:pPr>
      <w:r>
        <w:rPr>
          <w:rFonts w:hint="eastAsia"/>
        </w:rPr>
        <w:t>A</w:t>
      </w:r>
      <w:r>
        <w:t>n</w:t>
      </w:r>
      <w:r>
        <w:rPr>
          <w:rFonts w:hint="eastAsia"/>
        </w:rPr>
        <w:t xml:space="preserve">alysing the </w:t>
      </w:r>
      <w:r w:rsidR="00D66E67">
        <w:rPr>
          <w:rFonts w:hint="eastAsia"/>
          <w:lang w:eastAsia="ja-JP"/>
        </w:rPr>
        <w:t>cases</w:t>
      </w:r>
      <w:r>
        <w:rPr>
          <w:rFonts w:hint="eastAsia"/>
        </w:rPr>
        <w:t xml:space="preserve"> of the UK and New Zealand in terms of democratic accountability, independent </w:t>
      </w:r>
      <w:r>
        <w:t>implementation</w:t>
      </w:r>
      <w:r>
        <w:rPr>
          <w:rFonts w:hint="eastAsia"/>
        </w:rPr>
        <w:t xml:space="preserve">, and frequent rule changes </w:t>
      </w:r>
      <w:r w:rsidR="00333AC6">
        <w:t xml:space="preserve">can </w:t>
      </w:r>
      <w:r>
        <w:rPr>
          <w:rFonts w:hint="eastAsia"/>
        </w:rPr>
        <w:t>reveal different</w:t>
      </w:r>
      <w:r w:rsidRPr="00A620B8">
        <w:t xml:space="preserve"> </w:t>
      </w:r>
      <w:r>
        <w:t>characteristics</w:t>
      </w:r>
      <w:r>
        <w:rPr>
          <w:rFonts w:hint="eastAsia"/>
        </w:rPr>
        <w:t xml:space="preserve"> to the Japanese cases. The UK (ICT regulation, antimonopoly regulation) offers examples in which independent implementation and frequent rule changes are prioritised more than the Japanese cases</w:t>
      </w:r>
      <w:r w:rsidR="00300BF5">
        <w:t xml:space="preserve">. As the result of its depoliticisation, </w:t>
      </w:r>
      <w:r>
        <w:rPr>
          <w:rFonts w:hint="eastAsia"/>
        </w:rPr>
        <w:t>British regulators have significant authority to set rules without consulting to legislature. In New Zealand</w:t>
      </w:r>
      <w:r>
        <w:t>’</w:t>
      </w:r>
      <w:r>
        <w:rPr>
          <w:rFonts w:hint="eastAsia"/>
        </w:rPr>
        <w:t>s light-handed regulation the lack of regulatory procedures enables t</w:t>
      </w:r>
      <w:r w:rsidR="009A1059">
        <w:t>he</w:t>
      </w:r>
      <w:r>
        <w:rPr>
          <w:rFonts w:hint="eastAsia"/>
        </w:rPr>
        <w:t xml:space="preserve"> form</w:t>
      </w:r>
      <w:r w:rsidR="009A1059">
        <w:t>ation of</w:t>
      </w:r>
      <w:r>
        <w:rPr>
          <w:rFonts w:hint="eastAsia"/>
        </w:rPr>
        <w:t xml:space="preserve"> a wide range of rules without consulting the government and regulators. </w:t>
      </w:r>
      <w:r>
        <w:t>T</w:t>
      </w:r>
      <w:r>
        <w:rPr>
          <w:rFonts w:hint="eastAsia"/>
        </w:rPr>
        <w:t xml:space="preserve">he independent nature of the regulator (Commerce Commission) and its limited scope of administrative intervention </w:t>
      </w:r>
      <w:r w:rsidR="003973C2">
        <w:t>prevent</w:t>
      </w:r>
      <w:r>
        <w:rPr>
          <w:rFonts w:hint="eastAsia"/>
        </w:rPr>
        <w:t xml:space="preserve"> party politicians from interven</w:t>
      </w:r>
      <w:r w:rsidR="009A1059">
        <w:t>ing</w:t>
      </w:r>
      <w:r>
        <w:rPr>
          <w:rFonts w:hint="eastAsia"/>
        </w:rPr>
        <w:t>. In short, the impact of democratic accountability in New Zealand</w:t>
      </w:r>
      <w:r>
        <w:t>’</w:t>
      </w:r>
      <w:r>
        <w:rPr>
          <w:rFonts w:hint="eastAsia"/>
        </w:rPr>
        <w:t>s regulation has been small with its framework of light-handed regulation. T</w:t>
      </w:r>
      <w:r>
        <w:t>h</w:t>
      </w:r>
      <w:r>
        <w:rPr>
          <w:rFonts w:hint="eastAsia"/>
        </w:rPr>
        <w:t xml:space="preserve">e equilibrium </w:t>
      </w:r>
      <w:r>
        <w:rPr>
          <w:rFonts w:hint="eastAsia"/>
          <w:lang w:eastAsia="ja-JP"/>
        </w:rPr>
        <w:t xml:space="preserve">of these cases </w:t>
      </w:r>
      <w:r>
        <w:rPr>
          <w:lang w:eastAsia="ja-JP"/>
        </w:rPr>
        <w:t>is</w:t>
      </w:r>
      <w:r>
        <w:rPr>
          <w:rFonts w:hint="eastAsia"/>
          <w:lang w:eastAsia="ja-JP"/>
        </w:rPr>
        <w:t xml:space="preserve"> </w:t>
      </w:r>
      <w:r>
        <w:rPr>
          <w:rFonts w:hint="eastAsia"/>
        </w:rPr>
        <w:t>drawn in Figure 7.2.</w:t>
      </w:r>
    </w:p>
    <w:p w14:paraId="59392274" w14:textId="77777777" w:rsidR="004839C6" w:rsidRDefault="004839C6" w:rsidP="0045138C"/>
    <w:p w14:paraId="7537483D" w14:textId="77777777" w:rsidR="0045138C" w:rsidRDefault="0045138C" w:rsidP="0045138C"/>
    <w:p w14:paraId="62F50479" w14:textId="77777777" w:rsidR="0045138C" w:rsidRDefault="0045138C" w:rsidP="0045138C"/>
    <w:p w14:paraId="6CB98107" w14:textId="77777777" w:rsidR="0045138C" w:rsidRDefault="0045138C" w:rsidP="0045138C"/>
    <w:p w14:paraId="7F1724E5" w14:textId="77777777" w:rsidR="009047C0" w:rsidRPr="009047C0" w:rsidRDefault="007D1693" w:rsidP="009047C0">
      <w:pPr>
        <w:pStyle w:val="Heading4"/>
      </w:pPr>
      <w:r>
        <w:rPr>
          <w:rFonts w:hint="eastAsia"/>
        </w:rPr>
        <w:t>Figure 7.2: the mode of regulation in the Japanese regulatory state</w:t>
      </w:r>
    </w:p>
    <w:p w14:paraId="35EF629F" w14:textId="77777777" w:rsidR="007D1693" w:rsidRDefault="002172E5" w:rsidP="007D1693">
      <w:pPr>
        <w:pStyle w:val="ListParagraph"/>
        <w:ind w:left="0" w:firstLine="284"/>
      </w:pPr>
      <w:r>
        <w:rPr>
          <w:noProof/>
        </w:rPr>
        <mc:AlternateContent>
          <mc:Choice Requires="wpg">
            <w:drawing>
              <wp:anchor distT="0" distB="0" distL="114300" distR="114300" simplePos="0" relativeHeight="251813888" behindDoc="0" locked="0" layoutInCell="1" allowOverlap="1" wp14:anchorId="5176EB18" wp14:editId="5A25E676">
                <wp:simplePos x="0" y="0"/>
                <wp:positionH relativeFrom="column">
                  <wp:posOffset>178435</wp:posOffset>
                </wp:positionH>
                <wp:positionV relativeFrom="paragraph">
                  <wp:posOffset>111125</wp:posOffset>
                </wp:positionV>
                <wp:extent cx="5610860" cy="1977390"/>
                <wp:effectExtent l="0" t="0" r="27940" b="22860"/>
                <wp:wrapNone/>
                <wp:docPr id="145"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977390"/>
                          <a:chOff x="1699" y="10957"/>
                          <a:chExt cx="8836" cy="3114"/>
                        </a:xfrm>
                      </wpg:grpSpPr>
                      <wps:wsp>
                        <wps:cNvPr id="146" name="Text Box 392"/>
                        <wps:cNvSpPr txBox="1">
                          <a:spLocks noChangeArrowheads="1"/>
                        </wps:cNvSpPr>
                        <wps:spPr bwMode="auto">
                          <a:xfrm>
                            <a:off x="8425" y="11190"/>
                            <a:ext cx="211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2F0DD" w14:textId="77777777" w:rsidR="00AC34E6" w:rsidRPr="004E2551" w:rsidRDefault="00AC34E6" w:rsidP="007D1693">
                              <w:pPr>
                                <w:spacing w:line="240" w:lineRule="auto"/>
                                <w:rPr>
                                  <w:lang w:eastAsia="ja-JP"/>
                                </w:rPr>
                              </w:pPr>
                              <w:r>
                                <w:rPr>
                                  <w:rFonts w:hint="eastAsia"/>
                                  <w:lang w:eastAsia="ja-JP"/>
                                </w:rPr>
                                <w:t>a</w:t>
                              </w:r>
                              <w:r w:rsidRPr="004E2551">
                                <w:rPr>
                                  <w:lang w:eastAsia="ja-JP"/>
                                </w:rPr>
                                <w:t>ntimonopoly: a/</w:t>
                              </w:r>
                              <w:r>
                                <w:rPr>
                                  <w:rFonts w:hint="eastAsia"/>
                                  <w:lang w:eastAsia="ja-JP"/>
                                </w:rPr>
                                <w:t>m</w:t>
                              </w:r>
                            </w:p>
                          </w:txbxContent>
                        </wps:txbx>
                        <wps:bodyPr rot="0" vert="horz" wrap="square" lIns="74295" tIns="8890" rIns="74295" bIns="8890" anchor="t" anchorCtr="0" upright="1">
                          <a:noAutofit/>
                        </wps:bodyPr>
                      </wps:wsp>
                      <wps:wsp>
                        <wps:cNvPr id="147" name="Text Box 393"/>
                        <wps:cNvSpPr txBox="1">
                          <a:spLocks noChangeArrowheads="1"/>
                        </wps:cNvSpPr>
                        <wps:spPr bwMode="auto">
                          <a:xfrm>
                            <a:off x="7413" y="12283"/>
                            <a:ext cx="1526"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BF4C0" w14:textId="77777777" w:rsidR="00AC34E6" w:rsidRDefault="00AC34E6" w:rsidP="001B6C05">
                              <w:pPr>
                                <w:pStyle w:val="ListParagraph"/>
                                <w:numPr>
                                  <w:ilvl w:val="0"/>
                                  <w:numId w:val="59"/>
                                </w:numPr>
                                <w:spacing w:line="240" w:lineRule="auto"/>
                                <w:ind w:left="142" w:hanging="142"/>
                              </w:pPr>
                              <w:r>
                                <w:rPr>
                                  <w:rFonts w:hint="eastAsia"/>
                                </w:rPr>
                                <w:t>Japan (ICT)</w:t>
                              </w:r>
                            </w:p>
                          </w:txbxContent>
                        </wps:txbx>
                        <wps:bodyPr rot="0" vert="horz" wrap="square" lIns="74295" tIns="8890" rIns="74295" bIns="8890" anchor="t" anchorCtr="0" upright="1">
                          <a:noAutofit/>
                        </wps:bodyPr>
                      </wps:wsp>
                      <wps:wsp>
                        <wps:cNvPr id="148" name="AutoShape 394"/>
                        <wps:cNvSpPr>
                          <a:spLocks noChangeArrowheads="1"/>
                        </wps:cNvSpPr>
                        <wps:spPr bwMode="auto">
                          <a:xfrm>
                            <a:off x="2868" y="11244"/>
                            <a:ext cx="6629" cy="2608"/>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9" name="Text Box 395"/>
                        <wps:cNvSpPr txBox="1">
                          <a:spLocks noChangeArrowheads="1"/>
                        </wps:cNvSpPr>
                        <wps:spPr bwMode="auto">
                          <a:xfrm>
                            <a:off x="5057" y="10957"/>
                            <a:ext cx="2571" cy="477"/>
                          </a:xfrm>
                          <a:prstGeom prst="rect">
                            <a:avLst/>
                          </a:prstGeom>
                          <a:solidFill>
                            <a:srgbClr val="FFFFFF"/>
                          </a:solidFill>
                          <a:ln w="9525">
                            <a:solidFill>
                              <a:srgbClr val="000000"/>
                            </a:solidFill>
                            <a:miter lim="800000"/>
                            <a:headEnd/>
                            <a:tailEnd/>
                          </a:ln>
                        </wps:spPr>
                        <wps:txbx>
                          <w:txbxContent>
                            <w:p w14:paraId="1F2E3A5C" w14:textId="77777777" w:rsidR="00AC34E6" w:rsidRPr="00A82E64" w:rsidRDefault="00AC34E6" w:rsidP="007D1693">
                              <w:pPr>
                                <w:spacing w:line="240" w:lineRule="auto"/>
                              </w:pPr>
                              <w:r>
                                <w:rPr>
                                  <w:rFonts w:hint="eastAsia"/>
                                  <w:lang w:eastAsia="ja-JP"/>
                                </w:rPr>
                                <w:t>D</w:t>
                              </w:r>
                              <w:r w:rsidRPr="00A82E64">
                                <w:t>emocratic accountability</w:t>
                              </w:r>
                            </w:p>
                          </w:txbxContent>
                        </wps:txbx>
                        <wps:bodyPr rot="0" vert="horz" wrap="square" lIns="74295" tIns="8890" rIns="74295" bIns="8890" anchor="t" anchorCtr="0" upright="1">
                          <a:noAutofit/>
                        </wps:bodyPr>
                      </wps:wsp>
                      <wps:wsp>
                        <wps:cNvPr id="150" name="Text Box 396"/>
                        <wps:cNvSpPr txBox="1">
                          <a:spLocks noChangeArrowheads="1"/>
                        </wps:cNvSpPr>
                        <wps:spPr bwMode="auto">
                          <a:xfrm>
                            <a:off x="1699" y="13594"/>
                            <a:ext cx="2814" cy="477"/>
                          </a:xfrm>
                          <a:prstGeom prst="rect">
                            <a:avLst/>
                          </a:prstGeom>
                          <a:solidFill>
                            <a:srgbClr val="FFFFFF"/>
                          </a:solidFill>
                          <a:ln w="9525">
                            <a:solidFill>
                              <a:srgbClr val="000000"/>
                            </a:solidFill>
                            <a:miter lim="800000"/>
                            <a:headEnd/>
                            <a:tailEnd/>
                          </a:ln>
                        </wps:spPr>
                        <wps:txbx>
                          <w:txbxContent>
                            <w:p w14:paraId="450EB6D2" w14:textId="77777777" w:rsidR="00AC34E6" w:rsidRPr="00A82E64" w:rsidRDefault="00AC34E6" w:rsidP="007D1693">
                              <w:pPr>
                                <w:spacing w:line="240" w:lineRule="auto"/>
                              </w:pPr>
                              <w:r w:rsidRPr="00A82E64">
                                <w:t>Independent implementation</w:t>
                              </w:r>
                            </w:p>
                          </w:txbxContent>
                        </wps:txbx>
                        <wps:bodyPr rot="0" vert="horz" wrap="square" lIns="74295" tIns="8890" rIns="74295" bIns="8890" anchor="t" anchorCtr="0" upright="1">
                          <a:noAutofit/>
                        </wps:bodyPr>
                      </wps:wsp>
                      <wps:wsp>
                        <wps:cNvPr id="151" name="Text Box 397"/>
                        <wps:cNvSpPr txBox="1">
                          <a:spLocks noChangeArrowheads="1"/>
                        </wps:cNvSpPr>
                        <wps:spPr bwMode="auto">
                          <a:xfrm>
                            <a:off x="8339" y="13528"/>
                            <a:ext cx="2196" cy="477"/>
                          </a:xfrm>
                          <a:prstGeom prst="rect">
                            <a:avLst/>
                          </a:prstGeom>
                          <a:solidFill>
                            <a:srgbClr val="FFFFFF"/>
                          </a:solidFill>
                          <a:ln w="9525">
                            <a:solidFill>
                              <a:srgbClr val="000000"/>
                            </a:solidFill>
                            <a:miter lim="800000"/>
                            <a:headEnd/>
                            <a:tailEnd/>
                          </a:ln>
                        </wps:spPr>
                        <wps:txbx>
                          <w:txbxContent>
                            <w:p w14:paraId="6D4B1345" w14:textId="77777777" w:rsidR="00AC34E6" w:rsidRPr="00A82E64" w:rsidRDefault="00AC34E6" w:rsidP="007D1693">
                              <w:pPr>
                                <w:spacing w:line="240" w:lineRule="auto"/>
                              </w:pPr>
                              <w:r w:rsidRPr="00A82E64">
                                <w:t>Frequent rule changes</w:t>
                              </w:r>
                            </w:p>
                          </w:txbxContent>
                        </wps:txbx>
                        <wps:bodyPr rot="0" vert="horz" wrap="square" lIns="74295" tIns="8890" rIns="74295" bIns="8890" anchor="t" anchorCtr="0" upright="1">
                          <a:noAutofit/>
                        </wps:bodyPr>
                      </wps:wsp>
                      <wps:wsp>
                        <wps:cNvPr id="152" name="Text Box 398"/>
                        <wps:cNvSpPr txBox="1">
                          <a:spLocks noChangeArrowheads="1"/>
                        </wps:cNvSpPr>
                        <wps:spPr bwMode="auto">
                          <a:xfrm>
                            <a:off x="4297" y="12751"/>
                            <a:ext cx="193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24DA" w14:textId="77777777" w:rsidR="00AC34E6" w:rsidRDefault="00AC34E6" w:rsidP="001B6C05">
                              <w:pPr>
                                <w:pStyle w:val="ListParagraph"/>
                                <w:numPr>
                                  <w:ilvl w:val="0"/>
                                  <w:numId w:val="59"/>
                                </w:numPr>
                                <w:spacing w:line="240" w:lineRule="auto"/>
                                <w:ind w:left="142" w:hanging="142"/>
                              </w:pPr>
                              <w:r>
                                <w:rPr>
                                  <w:rFonts w:hint="eastAsia"/>
                                </w:rPr>
                                <w:t>Japan (a/m)</w:t>
                              </w:r>
                            </w:p>
                          </w:txbxContent>
                        </wps:txbx>
                        <wps:bodyPr rot="0" vert="horz" wrap="square" lIns="74295" tIns="8890" rIns="74295" bIns="8890" anchor="t" anchorCtr="0" upright="1">
                          <a:noAutofit/>
                        </wps:bodyPr>
                      </wps:wsp>
                      <wps:wsp>
                        <wps:cNvPr id="153" name="Text Box 399"/>
                        <wps:cNvSpPr txBox="1">
                          <a:spLocks noChangeArrowheads="1"/>
                        </wps:cNvSpPr>
                        <wps:spPr bwMode="auto">
                          <a:xfrm>
                            <a:off x="5956" y="12751"/>
                            <a:ext cx="273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7A825" w14:textId="77777777" w:rsidR="00AC34E6" w:rsidRDefault="00AC34E6" w:rsidP="001B6C05">
                              <w:pPr>
                                <w:pStyle w:val="ListParagraph"/>
                                <w:numPr>
                                  <w:ilvl w:val="0"/>
                                  <w:numId w:val="59"/>
                                </w:numPr>
                                <w:spacing w:line="240" w:lineRule="auto"/>
                                <w:ind w:left="142" w:hanging="142"/>
                              </w:pPr>
                              <w:r>
                                <w:rPr>
                                  <w:rFonts w:hint="eastAsia"/>
                                </w:rPr>
                                <w:t>UK (ICT, a/m)</w:t>
                              </w:r>
                            </w:p>
                          </w:txbxContent>
                        </wps:txbx>
                        <wps:bodyPr rot="0" vert="horz" wrap="square" lIns="74295" tIns="8890" rIns="74295" bIns="8890" anchor="t" anchorCtr="0" upright="1">
                          <a:noAutofit/>
                        </wps:bodyPr>
                      </wps:wsp>
                      <wps:wsp>
                        <wps:cNvPr id="154" name="Text Box 400"/>
                        <wps:cNvSpPr txBox="1">
                          <a:spLocks noChangeArrowheads="1"/>
                        </wps:cNvSpPr>
                        <wps:spPr bwMode="auto">
                          <a:xfrm>
                            <a:off x="5956" y="13524"/>
                            <a:ext cx="1805"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6E616" w14:textId="77777777" w:rsidR="00AC34E6" w:rsidRDefault="00AC34E6" w:rsidP="001B6C05">
                              <w:pPr>
                                <w:pStyle w:val="ListParagraph"/>
                                <w:numPr>
                                  <w:ilvl w:val="0"/>
                                  <w:numId w:val="59"/>
                                </w:numPr>
                                <w:spacing w:line="240" w:lineRule="auto"/>
                                <w:ind w:left="142" w:hanging="142"/>
                              </w:pPr>
                              <w:r w:rsidRPr="004E2551">
                                <w:rPr>
                                  <w:rFonts w:hint="eastAsia"/>
                                </w:rPr>
                                <w:t>NZ</w:t>
                              </w:r>
                              <w:r>
                                <w:rPr>
                                  <w:rFonts w:hint="eastAsia"/>
                                </w:rPr>
                                <w:t xml:space="preserve"> </w:t>
                              </w:r>
                              <w:r w:rsidRPr="004E2551">
                                <w:rPr>
                                  <w:rFonts w:hint="eastAsia"/>
                                </w:rPr>
                                <w:t>(ICT, a/m)</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91" o:spid="_x0000_s1060" style="position:absolute;left:0;text-align:left;margin-left:14.05pt;margin-top:8.75pt;width:441.8pt;height:155.7pt;z-index:251813888" coordorigin="1699,10957" coordsize="8836,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">
                <v:shape id="Text Box 392" o:spid="_x0000_s1061" type="#_x0000_t202" style="position:absolute;left:8425;top:11190;width:211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btMMA&#10;AADcAAAADwAAAGRycy9kb3ducmV2LnhtbERPS2vCQBC+F/wPywjedKPYIKmrRMEHvVRtKR7H7JgE&#10;s7Mhu2raX98VhN7m43vOdN6aStyocaVlBcNBBII4s7rkXMHX56o/AeE8ssbKMin4IQfzWedliom2&#10;d97T7eBzEULYJaig8L5OpHRZQQbdwNbEgTvbxqAPsMmlbvAewk0lR1EUS4Mlh4YCa1oWlF0OV6Pg&#10;t3TpZvex8KfF63Ed7d5j953GSvW6bfoGwlPr/8VP91aH+eMYHs+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QbtMMAAADcAAAADwAAAAAAAAAAAAAAAACYAgAAZHJzL2Rv&#10;d25yZXYueG1sUEsFBgAAAAAEAAQA9QAAAIgDAAAAAA==&#10;" filled="f" stroked="f">
                  <v:textbox inset="5.85pt,.7pt,5.85pt,.7pt">
                    <w:txbxContent>
                      <w:p w14:paraId="7892F0DD" w14:textId="77777777" w:rsidR="00AC34E6" w:rsidRPr="004E2551" w:rsidRDefault="00AC34E6" w:rsidP="007D1693">
                        <w:pPr>
                          <w:spacing w:line="240" w:lineRule="auto"/>
                          <w:rPr>
                            <w:lang w:eastAsia="ja-JP"/>
                          </w:rPr>
                        </w:pPr>
                        <w:proofErr w:type="gramStart"/>
                        <w:r>
                          <w:rPr>
                            <w:rFonts w:hint="eastAsia"/>
                            <w:lang w:eastAsia="ja-JP"/>
                          </w:rPr>
                          <w:t>a</w:t>
                        </w:r>
                        <w:r w:rsidRPr="004E2551">
                          <w:rPr>
                            <w:lang w:eastAsia="ja-JP"/>
                          </w:rPr>
                          <w:t>ntimonopoly</w:t>
                        </w:r>
                        <w:proofErr w:type="gramEnd"/>
                        <w:r w:rsidRPr="004E2551">
                          <w:rPr>
                            <w:lang w:eastAsia="ja-JP"/>
                          </w:rPr>
                          <w:t>: a/</w:t>
                        </w:r>
                        <w:r>
                          <w:rPr>
                            <w:rFonts w:hint="eastAsia"/>
                            <w:lang w:eastAsia="ja-JP"/>
                          </w:rPr>
                          <w:t>m</w:t>
                        </w:r>
                      </w:p>
                    </w:txbxContent>
                  </v:textbox>
                </v:shape>
                <v:shape id="Text Box 393" o:spid="_x0000_s1062" type="#_x0000_t202" style="position:absolute;left:7413;top:12283;width:152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pJysAA&#10;AADcAAAADwAAAGRycy9kb3ducmV2LnhtbERPTYvCMBC9L/gfwgh7W1NlWUs1igqiHnUXz0MzttVm&#10;Uppoo79+Iwje5vE+ZzoPphY3al1lWcFwkIAgzq2uuFDw97v+SkE4j6yxtkwK7uRgPut9TDHTtuM9&#10;3Q6+EDGEXYYKSu+bTEqXl2TQDWxDHLmTbQ36CNtC6ha7GG5qOUqSH2mw4thQYkOrkvLL4WoU7I50&#10;36RY75vV+dI9QrHcLXRQ6rMfFhMQnoJ/i1/urY7zv8fwfCZe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pJysAAAADcAAAADwAAAAAAAAAAAAAAAACYAgAAZHJzL2Rvd25y&#10;ZXYueG1sUEsFBgAAAAAEAAQA9QAAAIUDAAAAAA==&#10;" stroked="f">
                  <v:textbox inset="5.85pt,.7pt,5.85pt,.7pt">
                    <w:txbxContent>
                      <w:p w14:paraId="085BF4C0" w14:textId="77777777" w:rsidR="00AC34E6" w:rsidRDefault="00AC34E6" w:rsidP="001B6C05">
                        <w:pPr>
                          <w:pStyle w:val="ListParagraph"/>
                          <w:numPr>
                            <w:ilvl w:val="0"/>
                            <w:numId w:val="59"/>
                          </w:numPr>
                          <w:spacing w:line="240" w:lineRule="auto"/>
                          <w:ind w:left="142" w:hanging="142"/>
                        </w:pPr>
                        <w:r>
                          <w:rPr>
                            <w:rFonts w:hint="eastAsia"/>
                          </w:rPr>
                          <w:t>Japan (ICT)</w:t>
                        </w:r>
                      </w:p>
                    </w:txbxContent>
                  </v:textbox>
                </v:shape>
                <v:shape id="AutoShape 394" o:spid="_x0000_s1063" type="#_x0000_t5" style="position:absolute;left:2868;top:11244;width:6629;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38cUA&#10;AADcAAAADwAAAGRycy9kb3ducmV2LnhtbESPQWvCQBCF70L/wzKF3nTTVqWkriIWwZOiDbTHITvN&#10;hmZnQ3aN0V/vHAq9zfDevPfNYjX4RvXUxTqwgedJBoq4DLbmykDxuR2/gYoJ2WITmAxcKcJq+TBa&#10;YG7DhY/Un1KlJIRjjgZcSm2udSwdeYyT0BKL9hM6j0nWrtK2w4uE+0a/ZNlce6xZGhy2tHFU/p7O&#10;3sAH96T72de8KI6vs71Lt+zwfTPm6XFYv4NKNKR/89/1zgr+VG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fxxQAAANwAAAAPAAAAAAAAAAAAAAAAAJgCAABkcnMv&#10;ZG93bnJldi54bWxQSwUGAAAAAAQABAD1AAAAigMAAAAA&#10;" filled="f">
                  <v:textbox inset="5.85pt,.7pt,5.85pt,.7pt"/>
                </v:shape>
                <v:shape id="Text Box 395" o:spid="_x0000_s1064" type="#_x0000_t202" style="position:absolute;left:5057;top:10957;width:2571;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CSPMQA&#10;AADcAAAADwAAAGRycy9kb3ducmV2LnhtbERPTWvCQBC9C/0PyxR6kbqxlFCjm1CEFnMqail4G7LT&#10;JJidDbsbjf76bkHwNo/3OatiNJ04kfOtZQXzWQKCuLK65VrB9/7j+Q2ED8gaO8uk4EIeivxhssJM&#10;2zNv6bQLtYgh7DNU0ITQZ1L6qiGDfmZ74sj9WmcwROhqqR2eY7jp5EuSpNJgy7GhwZ7WDVXH3WAU&#10;HMuhMsPPwW2+hv1neU21nCYLpZ4ex/cliEBjuItv7o2O818X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kjzEAAAA3AAAAA8AAAAAAAAAAAAAAAAAmAIAAGRycy9k&#10;b3ducmV2LnhtbFBLBQYAAAAABAAEAPUAAACJAwAAAAA=&#10;">
                  <v:textbox inset="5.85pt,.7pt,5.85pt,.7pt">
                    <w:txbxContent>
                      <w:p w14:paraId="1F2E3A5C" w14:textId="77777777" w:rsidR="00AC34E6" w:rsidRPr="00A82E64" w:rsidRDefault="00AC34E6" w:rsidP="007D1693">
                        <w:pPr>
                          <w:spacing w:line="240" w:lineRule="auto"/>
                        </w:pPr>
                        <w:r>
                          <w:rPr>
                            <w:rFonts w:hint="eastAsia"/>
                            <w:lang w:eastAsia="ja-JP"/>
                          </w:rPr>
                          <w:t>D</w:t>
                        </w:r>
                        <w:r w:rsidRPr="00A82E64">
                          <w:t>emocratic accountability</w:t>
                        </w:r>
                      </w:p>
                    </w:txbxContent>
                  </v:textbox>
                </v:shape>
                <v:shape id="Text Box 396" o:spid="_x0000_s1065" type="#_x0000_t202" style="position:absolute;left:1699;top:13594;width:2814;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OtfMYA&#10;AADcAAAADwAAAGRycy9kb3ducmV2LnhtbESPQWvCQBCF74X+h2UEL0U3FRRNXaUUWvRUGkXobciO&#10;STA7G3Y3mvbXO4dCbzO8N+99s94OrlVXCrHxbOB5moEiLr1tuDJwPLxPlqBiQrbYeiYDPxRhu3l8&#10;WGNu/Y2/6FqkSkkIxxwN1Cl1udaxrMlhnPqOWLSzDw6TrKHSNuBNwl2rZ1m20A4bloYaO3qrqbwU&#10;vTNw2fel60/fYffZHz72vwurn7KVMePR8PoCKtGQ/s1/1zsr+HPBl2dkAr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OtfMYAAADcAAAADwAAAAAAAAAAAAAAAACYAgAAZHJz&#10;L2Rvd25yZXYueG1sUEsFBgAAAAAEAAQA9QAAAIsDAAAAAA==&#10;">
                  <v:textbox inset="5.85pt,.7pt,5.85pt,.7pt">
                    <w:txbxContent>
                      <w:p w14:paraId="450EB6D2" w14:textId="77777777" w:rsidR="00AC34E6" w:rsidRPr="00A82E64" w:rsidRDefault="00AC34E6" w:rsidP="007D1693">
                        <w:pPr>
                          <w:spacing w:line="240" w:lineRule="auto"/>
                        </w:pPr>
                        <w:r w:rsidRPr="00A82E64">
                          <w:t>Independent implementation</w:t>
                        </w:r>
                      </w:p>
                    </w:txbxContent>
                  </v:textbox>
                </v:shape>
                <v:shape id="Text Box 397" o:spid="_x0000_s1066" type="#_x0000_t202" style="position:absolute;left:8339;top:13528;width:2196;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8I58QA&#10;AADcAAAADwAAAGRycy9kb3ducmV2LnhtbERPTWvCQBC9F/wPywheitkoNNjUVURoMadSIwVvQ3aa&#10;BLOzYXejaX99t1DwNo/3OevtaDpxJedbywoWSQqCuLK65VrBqXydr0D4gKyxs0wKvsnDdjN5WGOu&#10;7Y0/6HoMtYgh7HNU0ITQ51L6qiGDPrE9ceS+rDMYInS11A5vMdx0cpmmmTTYcmxosKd9Q9XlOBgF&#10;l2KozPB5dof3oXwrfjItH9NnpWbTcfcCItAY7uJ/90HH+U8L+HsmX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COfEAAAA3AAAAA8AAAAAAAAAAAAAAAAAmAIAAGRycy9k&#10;b3ducmV2LnhtbFBLBQYAAAAABAAEAPUAAACJAwAAAAA=&#10;">
                  <v:textbox inset="5.85pt,.7pt,5.85pt,.7pt">
                    <w:txbxContent>
                      <w:p w14:paraId="6D4B1345" w14:textId="77777777" w:rsidR="00AC34E6" w:rsidRPr="00A82E64" w:rsidRDefault="00AC34E6" w:rsidP="007D1693">
                        <w:pPr>
                          <w:spacing w:line="240" w:lineRule="auto"/>
                        </w:pPr>
                        <w:r w:rsidRPr="00A82E64">
                          <w:t>Frequent rule changes</w:t>
                        </w:r>
                      </w:p>
                    </w:txbxContent>
                  </v:textbox>
                </v:shape>
                <v:shape id="Text Box 398" o:spid="_x0000_s1067" type="#_x0000_t202" style="position:absolute;left:4297;top:12751;width:193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LasMA&#10;AADcAAAADwAAAGRycy9kb3ducmV2LnhtbERPS2vCQBC+C/6HZYTedKNgKNFVoqAtvfhEPI7ZMQlm&#10;Z0N2q6m/vlsoeJuP7znTeWsqcafGlZYVDAcRCOLM6pJzBcfDqv8OwnlkjZVlUvBDDuazbmeKibYP&#10;3tF973MRQtglqKDwvk6kdFlBBt3A1sSBu9rGoA+wyaVu8BHCTSVHURRLgyWHhgJrWhaU3fbfRsGz&#10;dOnHdrPwl8X4vI62X7E7pbFSb702nYDw1PqX+N/9qcP8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aLasMAAADcAAAADwAAAAAAAAAAAAAAAACYAgAAZHJzL2Rv&#10;d25yZXYueG1sUEsFBgAAAAAEAAQA9QAAAIgDAAAAAA==&#10;" filled="f" stroked="f">
                  <v:textbox inset="5.85pt,.7pt,5.85pt,.7pt">
                    <w:txbxContent>
                      <w:p w14:paraId="518924DA" w14:textId="77777777" w:rsidR="00AC34E6" w:rsidRDefault="00AC34E6" w:rsidP="001B6C05">
                        <w:pPr>
                          <w:pStyle w:val="ListParagraph"/>
                          <w:numPr>
                            <w:ilvl w:val="0"/>
                            <w:numId w:val="59"/>
                          </w:numPr>
                          <w:spacing w:line="240" w:lineRule="auto"/>
                          <w:ind w:left="142" w:hanging="142"/>
                        </w:pPr>
                        <w:r>
                          <w:rPr>
                            <w:rFonts w:hint="eastAsia"/>
                          </w:rPr>
                          <w:t>Japan (a/m)</w:t>
                        </w:r>
                      </w:p>
                    </w:txbxContent>
                  </v:textbox>
                </v:shape>
                <v:shape id="Text Box 399" o:spid="_x0000_s1068" type="#_x0000_t202" style="position:absolute;left:5956;top:12751;width:2733;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u8cQA&#10;AADcAAAADwAAAGRycy9kb3ducmV2LnhtbERPTWvCQBC9C/6HZYTe6kaLQVLXkAha6aVWS+lxzI5J&#10;MDsbsluN/fXdQsHbPN7nLNLeNOJCnastK5iMIxDEhdU1lwo+DuvHOQjnkTU2lknBjRyky+FggYm2&#10;V36ny96XIoSwS1BB5X2bSOmKigy6sW2JA3eynUEfYFdK3eE1hJtGTqMolgZrDg0VtrSqqDjvv42C&#10;n9plL7u33B/z2dcm2r3G7jOLlXoY9dkzCE+9v4v/3Vsd5s+e4O+ZcI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aLvHEAAAA3AAAAA8AAAAAAAAAAAAAAAAAmAIAAGRycy9k&#10;b3ducmV2LnhtbFBLBQYAAAAABAAEAPUAAACJAwAAAAA=&#10;" filled="f" stroked="f">
                  <v:textbox inset="5.85pt,.7pt,5.85pt,.7pt">
                    <w:txbxContent>
                      <w:p w14:paraId="5EA7A825" w14:textId="77777777" w:rsidR="00AC34E6" w:rsidRDefault="00AC34E6" w:rsidP="001B6C05">
                        <w:pPr>
                          <w:pStyle w:val="ListParagraph"/>
                          <w:numPr>
                            <w:ilvl w:val="0"/>
                            <w:numId w:val="59"/>
                          </w:numPr>
                          <w:spacing w:line="240" w:lineRule="auto"/>
                          <w:ind w:left="142" w:hanging="142"/>
                        </w:pPr>
                        <w:r>
                          <w:rPr>
                            <w:rFonts w:hint="eastAsia"/>
                          </w:rPr>
                          <w:t>UK (ICT, a/m)</w:t>
                        </w:r>
                      </w:p>
                    </w:txbxContent>
                  </v:textbox>
                </v:shape>
                <v:shape id="Text Box 400" o:spid="_x0000_s1069" type="#_x0000_t202" style="position:absolute;left:5956;top:13524;width:180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msOcEA&#10;AADcAAAADwAAAGRycy9kb3ducmV2LnhtbERPTYvCMBC9C/6HMIK3NVXcunSNIorgUasuHodmtq02&#10;k9JErfvrjbDgbR7vc6bz1lTiRo0rLSsYDiIQxJnVJecKDvv1xxcI55E1VpZJwYMczGfdzhQTbe+8&#10;o1vqcxFC2CWooPC+TqR0WUEG3cDWxIH7tY1BH2CTS93gPYSbSo6iKJYGSw4NBda0LCi7pFej4LhZ&#10;ppPVVka7mM+j+LT6+UtPRql+r118g/DU+rf4373RYf7nGF7PhAv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5rDnBAAAA3AAAAA8AAAAAAAAAAAAAAAAAmAIAAGRycy9kb3du&#10;cmV2LnhtbFBLBQYAAAAABAAEAPUAAACGAwAAAAA=&#10;" filled="f" stroked="f">
                  <v:textbox style="mso-fit-shape-to-text:t" inset="5.85pt,.7pt,5.85pt,.7pt">
                    <w:txbxContent>
                      <w:p w14:paraId="1DB6E616" w14:textId="77777777" w:rsidR="00AC34E6" w:rsidRDefault="00AC34E6" w:rsidP="001B6C05">
                        <w:pPr>
                          <w:pStyle w:val="ListParagraph"/>
                          <w:numPr>
                            <w:ilvl w:val="0"/>
                            <w:numId w:val="59"/>
                          </w:numPr>
                          <w:spacing w:line="240" w:lineRule="auto"/>
                          <w:ind w:left="142" w:hanging="142"/>
                        </w:pPr>
                        <w:r w:rsidRPr="004E2551">
                          <w:rPr>
                            <w:rFonts w:hint="eastAsia"/>
                          </w:rPr>
                          <w:t>NZ</w:t>
                        </w:r>
                        <w:r>
                          <w:rPr>
                            <w:rFonts w:hint="eastAsia"/>
                          </w:rPr>
                          <w:t xml:space="preserve"> </w:t>
                        </w:r>
                        <w:r w:rsidRPr="004E2551">
                          <w:rPr>
                            <w:rFonts w:hint="eastAsia"/>
                          </w:rPr>
                          <w:t>(ICT, a/m)</w:t>
                        </w:r>
                      </w:p>
                    </w:txbxContent>
                  </v:textbox>
                </v:shape>
              </v:group>
            </w:pict>
          </mc:Fallback>
        </mc:AlternateContent>
      </w:r>
    </w:p>
    <w:p w14:paraId="3BA74A4C" w14:textId="77777777" w:rsidR="007D1693" w:rsidRPr="003A44AD" w:rsidRDefault="007D1693" w:rsidP="007D1693">
      <w:pPr>
        <w:pStyle w:val="ListParagraph"/>
        <w:ind w:left="0" w:firstLine="284"/>
      </w:pPr>
    </w:p>
    <w:p w14:paraId="1BDA2BF7" w14:textId="77777777" w:rsidR="007D1693" w:rsidRDefault="007D1693" w:rsidP="007D1693">
      <w:pPr>
        <w:pStyle w:val="ListParagraph"/>
        <w:ind w:left="0" w:firstLine="284"/>
      </w:pPr>
    </w:p>
    <w:p w14:paraId="1BD55ADB" w14:textId="77777777" w:rsidR="007D1693" w:rsidRDefault="007D1693" w:rsidP="0024471C">
      <w:pPr>
        <w:pStyle w:val="ListParagraph"/>
        <w:ind w:left="0" w:firstLineChars="122" w:firstLine="277"/>
      </w:pPr>
    </w:p>
    <w:p w14:paraId="630B38E8" w14:textId="77777777" w:rsidR="007D1693" w:rsidRDefault="007D1693" w:rsidP="0024471C">
      <w:pPr>
        <w:pStyle w:val="ListParagraph"/>
        <w:ind w:left="0" w:firstLineChars="122" w:firstLine="277"/>
      </w:pPr>
    </w:p>
    <w:p w14:paraId="409302B5" w14:textId="77777777" w:rsidR="007D1693" w:rsidRDefault="007D1693" w:rsidP="007D1693"/>
    <w:p w14:paraId="62DBBF34" w14:textId="77777777" w:rsidR="00A7164F" w:rsidRDefault="007D1693" w:rsidP="00031439">
      <w:pPr>
        <w:ind w:firstLine="284"/>
        <w:rPr>
          <w:lang w:eastAsia="ja-JP"/>
        </w:rPr>
      </w:pPr>
      <w:r>
        <w:rPr>
          <w:rFonts w:hint="eastAsia"/>
        </w:rPr>
        <w:t xml:space="preserve">The </w:t>
      </w:r>
      <w:r w:rsidR="00A87731">
        <w:rPr>
          <w:rFonts w:hint="eastAsia"/>
          <w:lang w:eastAsia="ja-JP"/>
        </w:rPr>
        <w:t xml:space="preserve">above </w:t>
      </w:r>
      <w:r>
        <w:rPr>
          <w:rFonts w:hint="eastAsia"/>
        </w:rPr>
        <w:t xml:space="preserve">equilibrium of the regulatory states </w:t>
      </w:r>
      <w:r w:rsidR="0068731A">
        <w:t>highlights</w:t>
      </w:r>
      <w:r w:rsidR="00A87731">
        <w:rPr>
          <w:rFonts w:hint="eastAsia"/>
          <w:lang w:eastAsia="ja-JP"/>
        </w:rPr>
        <w:t xml:space="preserve"> the characteristic of the Japanese regulatory state </w:t>
      </w:r>
      <w:r w:rsidR="00911562">
        <w:rPr>
          <w:lang w:eastAsia="ja-JP"/>
        </w:rPr>
        <w:t xml:space="preserve">in ICT regulation </w:t>
      </w:r>
      <w:r w:rsidR="00A87731">
        <w:rPr>
          <w:rFonts w:hint="eastAsia"/>
          <w:lang w:eastAsia="ja-JP"/>
        </w:rPr>
        <w:t>leaning to democratic accountability comparing the case</w:t>
      </w:r>
      <w:r w:rsidR="009A1059">
        <w:rPr>
          <w:lang w:eastAsia="ja-JP"/>
        </w:rPr>
        <w:t>s</w:t>
      </w:r>
      <w:r w:rsidR="00A87731">
        <w:rPr>
          <w:rFonts w:hint="eastAsia"/>
          <w:lang w:eastAsia="ja-JP"/>
        </w:rPr>
        <w:t xml:space="preserve"> of the UK and New Zealand. Based on the analy</w:t>
      </w:r>
      <w:r w:rsidR="005D726F">
        <w:rPr>
          <w:rFonts w:hint="eastAsia"/>
          <w:lang w:eastAsia="ja-JP"/>
        </w:rPr>
        <w:t>tical framework focusing on the Japanese</w:t>
      </w:r>
      <w:r w:rsidR="00A87731">
        <w:rPr>
          <w:rFonts w:hint="eastAsia"/>
          <w:lang w:eastAsia="ja-JP"/>
        </w:rPr>
        <w:t xml:space="preserve"> state at a macro level</w:t>
      </w:r>
      <w:r w:rsidR="00D564B2">
        <w:rPr>
          <w:rFonts w:hint="eastAsia"/>
          <w:lang w:eastAsia="ja-JP"/>
        </w:rPr>
        <w:t xml:space="preserve"> with the concept of the core executive</w:t>
      </w:r>
      <w:r w:rsidR="00A87731">
        <w:rPr>
          <w:rFonts w:hint="eastAsia"/>
          <w:lang w:eastAsia="ja-JP"/>
        </w:rPr>
        <w:t xml:space="preserve">, the </w:t>
      </w:r>
      <w:r w:rsidR="005D726F">
        <w:rPr>
          <w:rFonts w:hint="eastAsia"/>
          <w:lang w:eastAsia="ja-JP"/>
        </w:rPr>
        <w:t xml:space="preserve">analysis of the </w:t>
      </w:r>
      <w:r w:rsidR="00A87731">
        <w:rPr>
          <w:rFonts w:hint="eastAsia"/>
          <w:lang w:eastAsia="ja-JP"/>
        </w:rPr>
        <w:t xml:space="preserve">Japanese regulatory state above offers an account explaining the Japanese </w:t>
      </w:r>
      <w:r w:rsidR="00B000FD">
        <w:rPr>
          <w:lang w:eastAsia="ja-JP"/>
        </w:rPr>
        <w:t xml:space="preserve">regulatory </w:t>
      </w:r>
      <w:r w:rsidR="00A87731">
        <w:rPr>
          <w:rFonts w:hint="eastAsia"/>
          <w:lang w:eastAsia="ja-JP"/>
        </w:rPr>
        <w:t xml:space="preserve">state </w:t>
      </w:r>
      <w:r w:rsidR="00B000FD">
        <w:rPr>
          <w:lang w:eastAsia="ja-JP"/>
        </w:rPr>
        <w:t xml:space="preserve">with </w:t>
      </w:r>
      <w:r w:rsidR="00A87731">
        <w:rPr>
          <w:rFonts w:hint="eastAsia"/>
          <w:lang w:eastAsia="ja-JP"/>
        </w:rPr>
        <w:t>generalisable terms</w:t>
      </w:r>
      <w:r w:rsidR="0063576C">
        <w:rPr>
          <w:rFonts w:hint="eastAsia"/>
          <w:lang w:eastAsia="ja-JP"/>
        </w:rPr>
        <w:t xml:space="preserve"> </w:t>
      </w:r>
      <w:r w:rsidR="00A7164F">
        <w:rPr>
          <w:rFonts w:hint="eastAsia"/>
          <w:lang w:eastAsia="ja-JP"/>
        </w:rPr>
        <w:t xml:space="preserve"> (democratic accountability, </w:t>
      </w:r>
      <w:r w:rsidR="00A7164F">
        <w:rPr>
          <w:lang w:eastAsia="ja-JP"/>
        </w:rPr>
        <w:t>independent</w:t>
      </w:r>
      <w:r w:rsidR="00A7164F">
        <w:rPr>
          <w:rFonts w:hint="eastAsia"/>
          <w:lang w:eastAsia="ja-JP"/>
        </w:rPr>
        <w:t xml:space="preserve"> implementation, and frequent rule changes), not with</w:t>
      </w:r>
      <w:r w:rsidR="00680BF8">
        <w:rPr>
          <w:rFonts w:hint="eastAsia"/>
          <w:lang w:eastAsia="ja-JP"/>
        </w:rPr>
        <w:t xml:space="preserve"> contrasting and </w:t>
      </w:r>
      <w:r w:rsidR="00A7164F">
        <w:rPr>
          <w:rFonts w:hint="eastAsia"/>
          <w:lang w:eastAsia="ja-JP"/>
        </w:rPr>
        <w:t>particularistic terms</w:t>
      </w:r>
      <w:r w:rsidR="00680BF8">
        <w:rPr>
          <w:rFonts w:hint="eastAsia"/>
          <w:lang w:eastAsia="ja-JP"/>
        </w:rPr>
        <w:t xml:space="preserve"> such as </w:t>
      </w:r>
      <w:r w:rsidR="00680BF8">
        <w:rPr>
          <w:lang w:eastAsia="ja-JP"/>
        </w:rPr>
        <w:t>‘</w:t>
      </w:r>
      <w:r w:rsidR="00680BF8">
        <w:rPr>
          <w:rFonts w:hint="eastAsia"/>
          <w:lang w:eastAsia="ja-JP"/>
        </w:rPr>
        <w:t>strategic</w:t>
      </w:r>
      <w:r w:rsidR="00680BF8">
        <w:rPr>
          <w:lang w:eastAsia="ja-JP"/>
        </w:rPr>
        <w:t>’</w:t>
      </w:r>
      <w:r w:rsidR="00680BF8">
        <w:rPr>
          <w:rFonts w:hint="eastAsia"/>
          <w:lang w:eastAsia="ja-JP"/>
        </w:rPr>
        <w:t xml:space="preserve">, </w:t>
      </w:r>
      <w:r w:rsidR="00680BF8">
        <w:rPr>
          <w:lang w:eastAsia="ja-JP"/>
        </w:rPr>
        <w:t>‘</w:t>
      </w:r>
      <w:r w:rsidR="00680BF8">
        <w:rPr>
          <w:rFonts w:hint="eastAsia"/>
          <w:lang w:eastAsia="ja-JP"/>
        </w:rPr>
        <w:t>regulatory</w:t>
      </w:r>
      <w:r w:rsidR="00680BF8">
        <w:rPr>
          <w:lang w:eastAsia="ja-JP"/>
        </w:rPr>
        <w:t>’</w:t>
      </w:r>
      <w:r w:rsidR="00680BF8">
        <w:rPr>
          <w:rFonts w:hint="eastAsia"/>
          <w:lang w:eastAsia="ja-JP"/>
        </w:rPr>
        <w:t xml:space="preserve">, and </w:t>
      </w:r>
      <w:r w:rsidR="00680BF8">
        <w:rPr>
          <w:lang w:eastAsia="ja-JP"/>
        </w:rPr>
        <w:t>‘</w:t>
      </w:r>
      <w:r w:rsidR="00680BF8">
        <w:rPr>
          <w:rFonts w:hint="eastAsia"/>
          <w:lang w:eastAsia="ja-JP"/>
        </w:rPr>
        <w:t>developmental</w:t>
      </w:r>
      <w:r w:rsidR="00680BF8">
        <w:rPr>
          <w:lang w:eastAsia="ja-JP"/>
        </w:rPr>
        <w:t>’</w:t>
      </w:r>
      <w:r w:rsidR="00680BF8">
        <w:rPr>
          <w:rFonts w:hint="eastAsia"/>
          <w:lang w:eastAsia="ja-JP"/>
        </w:rPr>
        <w:t>.</w:t>
      </w:r>
      <w:r w:rsidR="001C0FFC">
        <w:rPr>
          <w:rFonts w:hint="eastAsia"/>
          <w:lang w:eastAsia="ja-JP"/>
        </w:rPr>
        <w:t xml:space="preserve"> </w:t>
      </w:r>
      <w:r w:rsidR="00B000FD">
        <w:rPr>
          <w:lang w:eastAsia="ja-JP"/>
        </w:rPr>
        <w:t xml:space="preserve">It </w:t>
      </w:r>
      <w:r w:rsidR="001C0FFC">
        <w:rPr>
          <w:rFonts w:hint="eastAsia"/>
          <w:lang w:eastAsia="ja-JP"/>
        </w:rPr>
        <w:t xml:space="preserve">is </w:t>
      </w:r>
      <w:r w:rsidR="00B000FD">
        <w:rPr>
          <w:lang w:eastAsia="ja-JP"/>
        </w:rPr>
        <w:t>a</w:t>
      </w:r>
      <w:r w:rsidR="00C911A4">
        <w:rPr>
          <w:rFonts w:hint="eastAsia"/>
          <w:lang w:eastAsia="ja-JP"/>
        </w:rPr>
        <w:t xml:space="preserve"> contribution of this thesis, which has not </w:t>
      </w:r>
      <w:r w:rsidR="009A1059">
        <w:rPr>
          <w:lang w:eastAsia="ja-JP"/>
        </w:rPr>
        <w:t xml:space="preserve">been </w:t>
      </w:r>
      <w:r w:rsidR="00C911A4">
        <w:rPr>
          <w:rFonts w:hint="eastAsia"/>
          <w:lang w:eastAsia="ja-JP"/>
        </w:rPr>
        <w:t xml:space="preserve">offered by the previous </w:t>
      </w:r>
      <w:r w:rsidR="001C0FFC">
        <w:rPr>
          <w:rFonts w:hint="eastAsia"/>
          <w:lang w:eastAsia="ja-JP"/>
        </w:rPr>
        <w:t>literature and knowledge on Japan</w:t>
      </w:r>
      <w:r w:rsidR="00B000FD">
        <w:rPr>
          <w:lang w:eastAsia="ja-JP"/>
        </w:rPr>
        <w:t xml:space="preserve"> and the regulatory state, </w:t>
      </w:r>
      <w:r w:rsidR="00911562">
        <w:rPr>
          <w:lang w:eastAsia="ja-JP"/>
        </w:rPr>
        <w:t>although it needs</w:t>
      </w:r>
      <w:r w:rsidR="00B000FD">
        <w:rPr>
          <w:lang w:eastAsia="ja-JP"/>
        </w:rPr>
        <w:t xml:space="preserve"> further development</w:t>
      </w:r>
      <w:r w:rsidR="001C0FFC">
        <w:rPr>
          <w:rFonts w:hint="eastAsia"/>
          <w:lang w:eastAsia="ja-JP"/>
        </w:rPr>
        <w:t>.</w:t>
      </w:r>
    </w:p>
    <w:p w14:paraId="23432BD9" w14:textId="77777777" w:rsidR="007D1693" w:rsidRDefault="007D1693" w:rsidP="007D1693">
      <w:pPr>
        <w:rPr>
          <w:lang w:eastAsia="ja-JP"/>
        </w:rPr>
      </w:pPr>
    </w:p>
    <w:p w14:paraId="62F5E445" w14:textId="77777777" w:rsidR="00D66E67" w:rsidRPr="007F1BC2" w:rsidRDefault="00D66E67" w:rsidP="00050D4B">
      <w:pPr>
        <w:pStyle w:val="Heading3"/>
      </w:pPr>
      <w:bookmarkStart w:id="74" w:name="_Toc349741396"/>
      <w:r>
        <w:t>7</w:t>
      </w:r>
      <w:r>
        <w:rPr>
          <w:rFonts w:hint="eastAsia"/>
        </w:rPr>
        <w:t>.</w:t>
      </w:r>
      <w:r>
        <w:rPr>
          <w:rFonts w:hint="eastAsia"/>
          <w:lang w:eastAsia="ja-JP"/>
        </w:rPr>
        <w:t>4.3</w:t>
      </w:r>
      <w:r>
        <w:rPr>
          <w:rFonts w:hint="eastAsia"/>
        </w:rPr>
        <w:tab/>
      </w:r>
      <w:r>
        <w:rPr>
          <w:rFonts w:hint="eastAsia"/>
          <w:lang w:eastAsia="ja-JP"/>
        </w:rPr>
        <w:t>Summary</w:t>
      </w:r>
      <w:bookmarkEnd w:id="74"/>
    </w:p>
    <w:p w14:paraId="0E430D00" w14:textId="77777777" w:rsidR="00430B2C" w:rsidRDefault="00C911A4" w:rsidP="00872B0C">
      <w:pPr>
        <w:rPr>
          <w:lang w:eastAsia="ja-JP"/>
        </w:rPr>
      </w:pPr>
      <w:r>
        <w:rPr>
          <w:rFonts w:hint="eastAsia"/>
          <w:lang w:eastAsia="ja-JP"/>
        </w:rPr>
        <w:t xml:space="preserve">The implications </w:t>
      </w:r>
      <w:r w:rsidR="00430B2C">
        <w:rPr>
          <w:rFonts w:hint="eastAsia"/>
          <w:lang w:eastAsia="ja-JP"/>
        </w:rPr>
        <w:t>set out</w:t>
      </w:r>
      <w:r>
        <w:rPr>
          <w:rFonts w:hint="eastAsia"/>
          <w:lang w:eastAsia="ja-JP"/>
        </w:rPr>
        <w:t xml:space="preserve"> </w:t>
      </w:r>
      <w:r w:rsidR="002E7A3B">
        <w:rPr>
          <w:rFonts w:hint="eastAsia"/>
          <w:lang w:eastAsia="ja-JP"/>
        </w:rPr>
        <w:t xml:space="preserve">by this section </w:t>
      </w:r>
      <w:r w:rsidR="00B000FD">
        <w:rPr>
          <w:lang w:eastAsia="ja-JP"/>
        </w:rPr>
        <w:t>are</w:t>
      </w:r>
      <w:r w:rsidR="002E7A3B">
        <w:rPr>
          <w:rFonts w:hint="eastAsia"/>
          <w:lang w:eastAsia="ja-JP"/>
        </w:rPr>
        <w:t xml:space="preserve"> based on </w:t>
      </w:r>
      <w:r w:rsidR="00A62129">
        <w:rPr>
          <w:rFonts w:hint="eastAsia"/>
          <w:lang w:eastAsia="ja-JP"/>
        </w:rPr>
        <w:t xml:space="preserve">an approach focusing on the </w:t>
      </w:r>
      <w:r w:rsidR="00B000FD">
        <w:rPr>
          <w:lang w:eastAsia="ja-JP"/>
        </w:rPr>
        <w:t xml:space="preserve">Japanese </w:t>
      </w:r>
      <w:r w:rsidR="00A62129">
        <w:rPr>
          <w:rFonts w:hint="eastAsia"/>
          <w:lang w:eastAsia="ja-JP"/>
        </w:rPr>
        <w:t>state at a macro level employing the concept of the core executive</w:t>
      </w:r>
      <w:r w:rsidR="00872B0C">
        <w:rPr>
          <w:lang w:eastAsia="ja-JP"/>
        </w:rPr>
        <w:t xml:space="preserve"> as a key analytical tool</w:t>
      </w:r>
      <w:r w:rsidR="00A62129">
        <w:rPr>
          <w:rFonts w:hint="eastAsia"/>
          <w:lang w:eastAsia="ja-JP"/>
        </w:rPr>
        <w:t xml:space="preserve">. </w:t>
      </w:r>
      <w:r w:rsidR="00872B0C">
        <w:rPr>
          <w:lang w:eastAsia="ja-JP"/>
        </w:rPr>
        <w:t>The approach of this thesis</w:t>
      </w:r>
      <w:r w:rsidR="00430B2C">
        <w:rPr>
          <w:rFonts w:hint="eastAsia"/>
          <w:lang w:eastAsia="ja-JP"/>
        </w:rPr>
        <w:t xml:space="preserve"> offers a broad perspective </w:t>
      </w:r>
      <w:r w:rsidR="00872B0C">
        <w:rPr>
          <w:lang w:eastAsia="ja-JP"/>
        </w:rPr>
        <w:t xml:space="preserve">explaining the core of the Japanese politics after the 1980s by focusing </w:t>
      </w:r>
      <w:r w:rsidR="00430B2C">
        <w:rPr>
          <w:rFonts w:hint="eastAsia"/>
          <w:lang w:eastAsia="ja-JP"/>
        </w:rPr>
        <w:t xml:space="preserve">on how </w:t>
      </w:r>
      <w:r w:rsidR="000E097F">
        <w:rPr>
          <w:rFonts w:hint="eastAsia"/>
          <w:lang w:eastAsia="ja-JP"/>
        </w:rPr>
        <w:t xml:space="preserve">the Japanese state </w:t>
      </w:r>
      <w:r w:rsidR="00430B2C">
        <w:rPr>
          <w:rFonts w:hint="eastAsia"/>
          <w:lang w:eastAsia="ja-JP"/>
        </w:rPr>
        <w:t xml:space="preserve">has </w:t>
      </w:r>
      <w:r w:rsidR="00872B0C">
        <w:rPr>
          <w:lang w:eastAsia="ja-JP"/>
        </w:rPr>
        <w:t>been reconstituted</w:t>
      </w:r>
      <w:r w:rsidR="00430B2C">
        <w:rPr>
          <w:rFonts w:hint="eastAsia"/>
          <w:lang w:eastAsia="ja-JP"/>
        </w:rPr>
        <w:t xml:space="preserve">. This </w:t>
      </w:r>
      <w:r w:rsidR="00872B0C">
        <w:rPr>
          <w:lang w:eastAsia="ja-JP"/>
        </w:rPr>
        <w:t xml:space="preserve">perspective has not been offered by the previous literature based on a pluralist or rational choice perspective. Employing an approach drawn on an elitist position, this thesis has filled this </w:t>
      </w:r>
      <w:r w:rsidR="00430B2C">
        <w:rPr>
          <w:rFonts w:hint="eastAsia"/>
          <w:lang w:eastAsia="ja-JP"/>
        </w:rPr>
        <w:t xml:space="preserve">lacuna that the previous </w:t>
      </w:r>
      <w:r w:rsidR="000E097F">
        <w:rPr>
          <w:rFonts w:hint="eastAsia"/>
          <w:lang w:eastAsia="ja-JP"/>
        </w:rPr>
        <w:t xml:space="preserve">literature of </w:t>
      </w:r>
      <w:r w:rsidR="00872B0C">
        <w:rPr>
          <w:lang w:eastAsia="ja-JP"/>
        </w:rPr>
        <w:t xml:space="preserve">a </w:t>
      </w:r>
      <w:r w:rsidR="00430B2C">
        <w:rPr>
          <w:rFonts w:hint="eastAsia"/>
          <w:lang w:eastAsia="ja-JP"/>
        </w:rPr>
        <w:t xml:space="preserve">pluralist </w:t>
      </w:r>
      <w:r w:rsidR="00872B0C">
        <w:rPr>
          <w:lang w:eastAsia="ja-JP"/>
        </w:rPr>
        <w:t>or</w:t>
      </w:r>
      <w:r w:rsidR="00430B2C">
        <w:rPr>
          <w:rFonts w:hint="eastAsia"/>
          <w:lang w:eastAsia="ja-JP"/>
        </w:rPr>
        <w:t xml:space="preserve"> rational choice</w:t>
      </w:r>
      <w:r w:rsidR="00872B0C">
        <w:rPr>
          <w:lang w:eastAsia="ja-JP"/>
        </w:rPr>
        <w:t xml:space="preserve"> position </w:t>
      </w:r>
      <w:r w:rsidR="00430B2C">
        <w:rPr>
          <w:rFonts w:hint="eastAsia"/>
          <w:lang w:eastAsia="ja-JP"/>
        </w:rPr>
        <w:t>has failed to cover.</w:t>
      </w:r>
    </w:p>
    <w:p w14:paraId="3D567BFD" w14:textId="77777777" w:rsidR="00872B0C" w:rsidRDefault="00872B0C" w:rsidP="00206935">
      <w:pPr>
        <w:ind w:firstLine="284"/>
        <w:rPr>
          <w:lang w:eastAsia="ja-JP"/>
        </w:rPr>
      </w:pPr>
      <w:r>
        <w:rPr>
          <w:lang w:eastAsia="ja-JP"/>
        </w:rPr>
        <w:t xml:space="preserve">Also, </w:t>
      </w:r>
      <w:r w:rsidR="00206935">
        <w:rPr>
          <w:lang w:eastAsia="ja-JP"/>
        </w:rPr>
        <w:t>referring to the concept of the core executive</w:t>
      </w:r>
      <w:r>
        <w:rPr>
          <w:lang w:eastAsia="ja-JP"/>
        </w:rPr>
        <w:t>, this thesis offers a model of the regulatory state explaining the key features of the Japanese state with generalisable terms. The further examination of this model may have the potential of offering a</w:t>
      </w:r>
      <w:r w:rsidR="00206935">
        <w:rPr>
          <w:lang w:eastAsia="ja-JP"/>
        </w:rPr>
        <w:t xml:space="preserve">n account addressing a broad concept of the emerging regulatory state after the 1980s applicable to </w:t>
      </w:r>
      <w:r w:rsidR="00FA58D8">
        <w:rPr>
          <w:lang w:eastAsia="ja-JP"/>
        </w:rPr>
        <w:t xml:space="preserve">the cases of </w:t>
      </w:r>
      <w:r w:rsidR="00206935">
        <w:rPr>
          <w:lang w:eastAsia="ja-JP"/>
        </w:rPr>
        <w:t xml:space="preserve">other </w:t>
      </w:r>
      <w:r w:rsidR="00FA58D8">
        <w:rPr>
          <w:lang w:eastAsia="ja-JP"/>
        </w:rPr>
        <w:t xml:space="preserve">regulatory </w:t>
      </w:r>
      <w:r w:rsidR="00206935">
        <w:rPr>
          <w:lang w:eastAsia="ja-JP"/>
        </w:rPr>
        <w:t>states.</w:t>
      </w:r>
    </w:p>
    <w:p w14:paraId="39DF5B39" w14:textId="77777777" w:rsidR="0059361C" w:rsidRDefault="00A62129" w:rsidP="00043B5D">
      <w:pPr>
        <w:ind w:firstLine="284"/>
        <w:rPr>
          <w:lang w:eastAsia="ja-JP"/>
        </w:rPr>
      </w:pPr>
      <w:r>
        <w:rPr>
          <w:rFonts w:hint="eastAsia"/>
          <w:lang w:eastAsia="ja-JP"/>
        </w:rPr>
        <w:t>Th</w:t>
      </w:r>
      <w:r w:rsidR="00423000">
        <w:rPr>
          <w:rFonts w:hint="eastAsia"/>
          <w:lang w:eastAsia="ja-JP"/>
        </w:rPr>
        <w:t xml:space="preserve">e contribution of this thesis </w:t>
      </w:r>
      <w:r w:rsidR="00E84076">
        <w:rPr>
          <w:rFonts w:hint="eastAsia"/>
          <w:lang w:eastAsia="ja-JP"/>
        </w:rPr>
        <w:t>offers</w:t>
      </w:r>
      <w:r w:rsidR="00423000">
        <w:rPr>
          <w:rFonts w:hint="eastAsia"/>
          <w:lang w:eastAsia="ja-JP"/>
        </w:rPr>
        <w:t xml:space="preserve"> a basis on which the further research and debate can take place on the state, the core executive, and regulation in Japan</w:t>
      </w:r>
      <w:r w:rsidR="00FA58D8">
        <w:rPr>
          <w:lang w:eastAsia="ja-JP"/>
        </w:rPr>
        <w:t>, as well as the regulatory state</w:t>
      </w:r>
      <w:r w:rsidR="00043B5D">
        <w:rPr>
          <w:lang w:eastAsia="ja-JP"/>
        </w:rPr>
        <w:t>s</w:t>
      </w:r>
      <w:r w:rsidR="00423000">
        <w:rPr>
          <w:rFonts w:hint="eastAsia"/>
          <w:lang w:eastAsia="ja-JP"/>
        </w:rPr>
        <w:t>.</w:t>
      </w:r>
      <w:r w:rsidR="00E84076">
        <w:rPr>
          <w:rFonts w:hint="eastAsia"/>
          <w:lang w:eastAsia="ja-JP"/>
        </w:rPr>
        <w:t xml:space="preserve"> The next and last section </w:t>
      </w:r>
      <w:r w:rsidR="006C6DF9">
        <w:rPr>
          <w:rFonts w:hint="eastAsia"/>
          <w:lang w:eastAsia="ja-JP"/>
        </w:rPr>
        <w:t>suggests</w:t>
      </w:r>
      <w:r w:rsidR="00E84076">
        <w:rPr>
          <w:rFonts w:hint="eastAsia"/>
          <w:lang w:eastAsia="ja-JP"/>
        </w:rPr>
        <w:t xml:space="preserve"> what </w:t>
      </w:r>
      <w:r w:rsidR="00936501">
        <w:rPr>
          <w:rFonts w:hint="eastAsia"/>
          <w:lang w:eastAsia="ja-JP"/>
        </w:rPr>
        <w:t>future research is possible based on the results of this thesis</w:t>
      </w:r>
      <w:r w:rsidR="00DB0F56">
        <w:rPr>
          <w:rFonts w:hint="eastAsia"/>
          <w:lang w:eastAsia="ja-JP"/>
        </w:rPr>
        <w:t>.</w:t>
      </w:r>
    </w:p>
    <w:p w14:paraId="48BB6A08" w14:textId="77777777" w:rsidR="00D66E67" w:rsidRDefault="00D66E67" w:rsidP="007D1693">
      <w:pPr>
        <w:rPr>
          <w:lang w:eastAsia="ja-JP"/>
        </w:rPr>
      </w:pPr>
    </w:p>
    <w:p w14:paraId="58DF83F4" w14:textId="77777777" w:rsidR="007D1693" w:rsidRPr="00BA6BF0" w:rsidRDefault="007D1693" w:rsidP="007D1693"/>
    <w:p w14:paraId="11D619AF" w14:textId="77777777" w:rsidR="007D1693" w:rsidRPr="007F1BC2" w:rsidRDefault="007D1693" w:rsidP="00050D4B">
      <w:pPr>
        <w:pStyle w:val="Heading2"/>
      </w:pPr>
      <w:bookmarkStart w:id="75" w:name="_Toc349741397"/>
      <w:r>
        <w:t>7</w:t>
      </w:r>
      <w:r>
        <w:rPr>
          <w:rFonts w:hint="eastAsia"/>
        </w:rPr>
        <w:t>.</w:t>
      </w:r>
      <w:r>
        <w:rPr>
          <w:rFonts w:hint="eastAsia"/>
          <w:lang w:eastAsia="ja-JP"/>
        </w:rPr>
        <w:t>5</w:t>
      </w:r>
      <w:r>
        <w:rPr>
          <w:rFonts w:hint="eastAsia"/>
        </w:rPr>
        <w:tab/>
      </w:r>
      <w:r>
        <w:rPr>
          <w:rFonts w:hint="eastAsia"/>
          <w:lang w:eastAsia="ja-JP"/>
        </w:rPr>
        <w:t>The future research agenda</w:t>
      </w:r>
      <w:bookmarkEnd w:id="75"/>
    </w:p>
    <w:p w14:paraId="5DA41395" w14:textId="77777777" w:rsidR="007D1693" w:rsidRPr="00E04039" w:rsidRDefault="00115AB6" w:rsidP="00BD0A16">
      <w:pPr>
        <w:rPr>
          <w:lang w:eastAsia="ja-JP"/>
        </w:rPr>
      </w:pPr>
      <w:r>
        <w:rPr>
          <w:rFonts w:hint="eastAsia"/>
          <w:lang w:eastAsia="ja-JP"/>
        </w:rPr>
        <w:t>T</w:t>
      </w:r>
      <w:r w:rsidR="007D1693" w:rsidRPr="00E04039">
        <w:rPr>
          <w:rFonts w:hint="eastAsia"/>
          <w:lang w:eastAsia="ja-JP"/>
        </w:rPr>
        <w:t xml:space="preserve">his thesis proposes </w:t>
      </w:r>
      <w:r w:rsidR="002C52F4">
        <w:rPr>
          <w:rFonts w:eastAsia="MS Mincho" w:hint="eastAsia"/>
          <w:lang w:eastAsia="ja-JP"/>
        </w:rPr>
        <w:t>four</w:t>
      </w:r>
      <w:r w:rsidR="007D1693" w:rsidRPr="00E04039">
        <w:rPr>
          <w:rFonts w:hint="eastAsia"/>
        </w:rPr>
        <w:t xml:space="preserve"> </w:t>
      </w:r>
      <w:r w:rsidR="007D1693" w:rsidRPr="00E04039">
        <w:rPr>
          <w:rFonts w:hint="eastAsia"/>
          <w:lang w:eastAsia="ja-JP"/>
        </w:rPr>
        <w:t xml:space="preserve">major </w:t>
      </w:r>
      <w:r w:rsidR="007D1693" w:rsidRPr="00E04039">
        <w:rPr>
          <w:rFonts w:hint="eastAsia"/>
        </w:rPr>
        <w:t>issues for future research.</w:t>
      </w:r>
    </w:p>
    <w:p w14:paraId="7A902021" w14:textId="77777777" w:rsidR="00ED3A12" w:rsidRDefault="00FA1EFB" w:rsidP="006905D5">
      <w:pPr>
        <w:ind w:firstLine="284"/>
        <w:rPr>
          <w:lang w:eastAsia="ja-JP"/>
        </w:rPr>
      </w:pPr>
      <w:r>
        <w:rPr>
          <w:lang w:eastAsia="ja-JP"/>
        </w:rPr>
        <w:t xml:space="preserve">The first and broad issue to address is the impact of the core executive’s dominance on the change of Japanese politics. This thesis has demonstrated how the </w:t>
      </w:r>
      <w:r w:rsidR="00087FA5">
        <w:rPr>
          <w:lang w:eastAsia="ja-JP"/>
        </w:rPr>
        <w:t xml:space="preserve">dominance of the </w:t>
      </w:r>
      <w:r>
        <w:rPr>
          <w:lang w:eastAsia="ja-JP"/>
        </w:rPr>
        <w:t xml:space="preserve">core executive has been </w:t>
      </w:r>
      <w:r w:rsidR="00087FA5">
        <w:rPr>
          <w:lang w:eastAsia="ja-JP"/>
        </w:rPr>
        <w:t>key to shape approaches in two regulatory sectors: ICT regulation and antimonopoly regulation.</w:t>
      </w:r>
      <w:r w:rsidR="00727C4B">
        <w:rPr>
          <w:lang w:eastAsia="ja-JP"/>
        </w:rPr>
        <w:t xml:space="preserve"> A challenge for future research can be </w:t>
      </w:r>
      <w:r w:rsidR="00310967">
        <w:rPr>
          <w:lang w:eastAsia="ja-JP"/>
        </w:rPr>
        <w:t>developing th</w:t>
      </w:r>
      <w:r w:rsidR="00ED3A12">
        <w:rPr>
          <w:lang w:eastAsia="ja-JP"/>
        </w:rPr>
        <w:t>e</w:t>
      </w:r>
      <w:r w:rsidR="00310967">
        <w:rPr>
          <w:lang w:eastAsia="ja-JP"/>
        </w:rPr>
        <w:t xml:space="preserve"> research framework further</w:t>
      </w:r>
      <w:r w:rsidR="00ED3A12">
        <w:rPr>
          <w:lang w:eastAsia="ja-JP"/>
        </w:rPr>
        <w:t xml:space="preserve"> by, for example, exploring</w:t>
      </w:r>
      <w:r w:rsidR="00310967">
        <w:rPr>
          <w:lang w:eastAsia="ja-JP"/>
        </w:rPr>
        <w:t xml:space="preserve"> </w:t>
      </w:r>
      <w:r w:rsidR="00727C4B">
        <w:rPr>
          <w:lang w:eastAsia="ja-JP"/>
        </w:rPr>
        <w:t>how an elitist position can offer accounts explaining the change of Japanese politics from a broader perspective</w:t>
      </w:r>
      <w:r w:rsidR="00310967">
        <w:rPr>
          <w:lang w:eastAsia="ja-JP"/>
        </w:rPr>
        <w:t xml:space="preserve"> by fo</w:t>
      </w:r>
      <w:r w:rsidR="00727C4B">
        <w:rPr>
          <w:lang w:eastAsia="ja-JP"/>
        </w:rPr>
        <w:t>cusing on the state at a macro level.</w:t>
      </w:r>
      <w:r w:rsidR="00ED3A12">
        <w:rPr>
          <w:lang w:eastAsia="ja-JP"/>
        </w:rPr>
        <w:t xml:space="preserve"> This can be a significant trial to counter pluralist and rational choice approaches</w:t>
      </w:r>
      <w:r w:rsidR="006905D5">
        <w:rPr>
          <w:lang w:eastAsia="ja-JP"/>
        </w:rPr>
        <w:t xml:space="preserve">, which have dominated the mainstream of </w:t>
      </w:r>
      <w:r w:rsidR="00ED3A12">
        <w:rPr>
          <w:lang w:eastAsia="ja-JP"/>
        </w:rPr>
        <w:t>the Japanese studies and Japan’s political science.</w:t>
      </w:r>
    </w:p>
    <w:p w14:paraId="062D8C80" w14:textId="77777777" w:rsidR="002C52F4" w:rsidRDefault="00721589" w:rsidP="006905D5">
      <w:pPr>
        <w:ind w:firstLine="284"/>
        <w:rPr>
          <w:rFonts w:eastAsia="MS Mincho"/>
          <w:lang w:eastAsia="ja-JP"/>
        </w:rPr>
      </w:pPr>
      <w:r>
        <w:rPr>
          <w:lang w:eastAsia="ja-JP"/>
        </w:rPr>
        <w:t>Government change in 2009</w:t>
      </w:r>
      <w:r w:rsidR="00ED3A12">
        <w:rPr>
          <w:lang w:eastAsia="ja-JP"/>
        </w:rPr>
        <w:t>, the impact of which is significant and timely,</w:t>
      </w:r>
      <w:r>
        <w:rPr>
          <w:lang w:eastAsia="ja-JP"/>
        </w:rPr>
        <w:t xml:space="preserve"> can offer an </w:t>
      </w:r>
      <w:r w:rsidR="006905D5">
        <w:rPr>
          <w:lang w:eastAsia="ja-JP"/>
        </w:rPr>
        <w:t xml:space="preserve">opportunity of pursuing </w:t>
      </w:r>
      <w:r w:rsidR="00ED3A12">
        <w:rPr>
          <w:lang w:eastAsia="ja-JP"/>
        </w:rPr>
        <w:t>this challenge</w:t>
      </w:r>
      <w:r>
        <w:rPr>
          <w:lang w:eastAsia="ja-JP"/>
        </w:rPr>
        <w:t>.</w:t>
      </w:r>
      <w:r w:rsidR="00ED3A12">
        <w:rPr>
          <w:lang w:eastAsia="ja-JP"/>
        </w:rPr>
        <w:t xml:space="preserve"> </w:t>
      </w:r>
      <w:r w:rsidR="007D1693">
        <w:rPr>
          <w:rFonts w:hint="eastAsia"/>
          <w:lang w:eastAsia="ja-JP"/>
        </w:rPr>
        <w:t>T</w:t>
      </w:r>
      <w:r w:rsidR="007D1693">
        <w:rPr>
          <w:lang w:eastAsia="ja-JP"/>
        </w:rPr>
        <w:t>h</w:t>
      </w:r>
      <w:r w:rsidR="007D1693">
        <w:rPr>
          <w:rFonts w:hint="eastAsia"/>
          <w:lang w:eastAsia="ja-JP"/>
        </w:rPr>
        <w:t>e case studies of this thesis have revealed that g</w:t>
      </w:r>
      <w:r w:rsidR="007D1693" w:rsidRPr="00ED3811">
        <w:rPr>
          <w:rFonts w:hint="eastAsia"/>
        </w:rPr>
        <w:t xml:space="preserve">overnment change in 2009 created an unstable situation rather than new equilibrium in both ICT regulation and antimonopoly regulation. </w:t>
      </w:r>
      <w:r w:rsidR="00D755E4">
        <w:t>R</w:t>
      </w:r>
      <w:r w:rsidR="00FB6F77">
        <w:rPr>
          <w:rFonts w:hint="eastAsia"/>
          <w:lang w:eastAsia="ja-JP"/>
        </w:rPr>
        <w:t xml:space="preserve">ecent government change in December 2012 </w:t>
      </w:r>
      <w:r w:rsidR="004863A5">
        <w:rPr>
          <w:lang w:eastAsia="ja-JP"/>
        </w:rPr>
        <w:t xml:space="preserve">from the DPJ to the LDP </w:t>
      </w:r>
      <w:r w:rsidR="00FB6F77">
        <w:rPr>
          <w:rFonts w:hint="eastAsia"/>
          <w:lang w:eastAsia="ja-JP"/>
        </w:rPr>
        <w:t>offers a</w:t>
      </w:r>
      <w:r w:rsidR="00A374D2">
        <w:rPr>
          <w:rFonts w:hint="eastAsia"/>
          <w:lang w:eastAsia="ja-JP"/>
        </w:rPr>
        <w:t>n opportunity</w:t>
      </w:r>
      <w:r w:rsidR="00FB6F77">
        <w:rPr>
          <w:rFonts w:hint="eastAsia"/>
          <w:lang w:eastAsia="ja-JP"/>
        </w:rPr>
        <w:t xml:space="preserve"> </w:t>
      </w:r>
      <w:r w:rsidR="009B7355">
        <w:rPr>
          <w:lang w:eastAsia="ja-JP"/>
        </w:rPr>
        <w:t>of</w:t>
      </w:r>
      <w:r w:rsidR="00FB6F77">
        <w:rPr>
          <w:rFonts w:hint="eastAsia"/>
          <w:lang w:eastAsia="ja-JP"/>
        </w:rPr>
        <w:t xml:space="preserve"> </w:t>
      </w:r>
      <w:r w:rsidR="00A374D2">
        <w:rPr>
          <w:rFonts w:hint="eastAsia"/>
          <w:lang w:eastAsia="ja-JP"/>
        </w:rPr>
        <w:t>collectively analys</w:t>
      </w:r>
      <w:r w:rsidR="009B7355">
        <w:rPr>
          <w:lang w:eastAsia="ja-JP"/>
        </w:rPr>
        <w:t>ing</w:t>
      </w:r>
      <w:r w:rsidR="00FB6F77">
        <w:rPr>
          <w:rFonts w:hint="eastAsia"/>
          <w:lang w:eastAsia="ja-JP"/>
        </w:rPr>
        <w:t xml:space="preserve"> the impact of </w:t>
      </w:r>
      <w:r w:rsidR="00C54E42">
        <w:rPr>
          <w:lang w:eastAsia="ja-JP"/>
        </w:rPr>
        <w:t xml:space="preserve">the </w:t>
      </w:r>
      <w:r w:rsidR="00FB6F77">
        <w:rPr>
          <w:rFonts w:hint="eastAsia"/>
          <w:lang w:eastAsia="ja-JP"/>
        </w:rPr>
        <w:t>DPJ government (2009-12)</w:t>
      </w:r>
      <w:r w:rsidR="00D454BD">
        <w:rPr>
          <w:rFonts w:hint="eastAsia"/>
          <w:lang w:eastAsia="ja-JP"/>
        </w:rPr>
        <w:t xml:space="preserve"> on Japan</w:t>
      </w:r>
      <w:r w:rsidR="00D454BD">
        <w:rPr>
          <w:lang w:eastAsia="ja-JP"/>
        </w:rPr>
        <w:t>’</w:t>
      </w:r>
      <w:r w:rsidR="00D454BD">
        <w:rPr>
          <w:rFonts w:hint="eastAsia"/>
          <w:lang w:eastAsia="ja-JP"/>
        </w:rPr>
        <w:t>s political arena</w:t>
      </w:r>
      <w:r w:rsidR="00FB6F77">
        <w:rPr>
          <w:rFonts w:hint="eastAsia"/>
          <w:lang w:eastAsia="ja-JP"/>
        </w:rPr>
        <w:t xml:space="preserve">. </w:t>
      </w:r>
      <w:r w:rsidR="007D1693" w:rsidRPr="00ED3811">
        <w:rPr>
          <w:rFonts w:hint="eastAsia"/>
        </w:rPr>
        <w:t xml:space="preserve">A key question </w:t>
      </w:r>
      <w:r w:rsidR="007D1693">
        <w:rPr>
          <w:rFonts w:hint="eastAsia"/>
          <w:lang w:eastAsia="ja-JP"/>
        </w:rPr>
        <w:t xml:space="preserve">emerging from the </w:t>
      </w:r>
      <w:r w:rsidR="007D1693" w:rsidRPr="002D4034">
        <w:rPr>
          <w:rFonts w:hint="eastAsia"/>
          <w:lang w:eastAsia="ja-JP"/>
        </w:rPr>
        <w:t xml:space="preserve">result </w:t>
      </w:r>
      <w:r w:rsidR="007D1693" w:rsidRPr="002D4034">
        <w:rPr>
          <w:rFonts w:hint="eastAsia"/>
        </w:rPr>
        <w:t>can be whether the strategic function within the core executive, which is regarded as a key characteristic of Japan</w:t>
      </w:r>
      <w:r w:rsidR="007D1693" w:rsidRPr="002D4034">
        <w:t>’</w:t>
      </w:r>
      <w:r w:rsidR="007D1693" w:rsidRPr="002D4034">
        <w:rPr>
          <w:rFonts w:hint="eastAsia"/>
        </w:rPr>
        <w:t xml:space="preserve">s ICT regulation and financial regulation by Vogel (1996), </w:t>
      </w:r>
      <w:r w:rsidR="000B16FC">
        <w:rPr>
          <w:rFonts w:hint="eastAsia"/>
          <w:lang w:eastAsia="ja-JP"/>
        </w:rPr>
        <w:t>wa</w:t>
      </w:r>
      <w:r w:rsidR="007D1693" w:rsidRPr="002D4034">
        <w:rPr>
          <w:rFonts w:hint="eastAsia"/>
        </w:rPr>
        <w:t>s reproduced in Japan</w:t>
      </w:r>
      <w:r w:rsidR="007D1693" w:rsidRPr="002D4034">
        <w:t>’</w:t>
      </w:r>
      <w:r w:rsidR="007D1693" w:rsidRPr="002D4034">
        <w:rPr>
          <w:rFonts w:hint="eastAsia"/>
        </w:rPr>
        <w:t xml:space="preserve">s </w:t>
      </w:r>
      <w:r w:rsidR="007D1693" w:rsidRPr="002D4034">
        <w:rPr>
          <w:rFonts w:hint="eastAsia"/>
          <w:lang w:eastAsia="ja-JP"/>
        </w:rPr>
        <w:t>core executive</w:t>
      </w:r>
      <w:r w:rsidR="007D1693" w:rsidRPr="002D4034">
        <w:rPr>
          <w:rFonts w:hint="eastAsia"/>
        </w:rPr>
        <w:t xml:space="preserve">. </w:t>
      </w:r>
      <w:r w:rsidR="007D1693" w:rsidRPr="00097B7A">
        <w:rPr>
          <w:lang w:eastAsia="ja-JP"/>
        </w:rPr>
        <w:t>T</w:t>
      </w:r>
      <w:r w:rsidR="007D1693" w:rsidRPr="00097B7A">
        <w:rPr>
          <w:rFonts w:hint="eastAsia"/>
          <w:lang w:eastAsia="ja-JP"/>
        </w:rPr>
        <w:t xml:space="preserve">he impact of government </w:t>
      </w:r>
      <w:r w:rsidR="007D1693" w:rsidRPr="00097B7A">
        <w:rPr>
          <w:lang w:eastAsia="ja-JP"/>
        </w:rPr>
        <w:t>change</w:t>
      </w:r>
      <w:r w:rsidR="007D1693" w:rsidRPr="00097B7A">
        <w:rPr>
          <w:rFonts w:hint="eastAsia"/>
          <w:lang w:eastAsia="ja-JP"/>
        </w:rPr>
        <w:t xml:space="preserve"> on t</w:t>
      </w:r>
      <w:r w:rsidR="007D1693" w:rsidRPr="00097B7A">
        <w:rPr>
          <w:lang w:eastAsia="ja-JP"/>
        </w:rPr>
        <w:t>h</w:t>
      </w:r>
      <w:r w:rsidR="007D1693" w:rsidRPr="00097B7A">
        <w:rPr>
          <w:rFonts w:hint="eastAsia"/>
          <w:lang w:eastAsia="ja-JP"/>
        </w:rPr>
        <w:t>e strategi</w:t>
      </w:r>
      <w:r w:rsidR="00E213CA">
        <w:rPr>
          <w:lang w:eastAsia="ja-JP"/>
        </w:rPr>
        <w:t>c</w:t>
      </w:r>
      <w:r w:rsidR="007D1693" w:rsidRPr="00097B7A">
        <w:rPr>
          <w:rFonts w:hint="eastAsia"/>
          <w:lang w:eastAsia="ja-JP"/>
        </w:rPr>
        <w:t xml:space="preserve"> nature of the Japanese state, which is a core theme of key literature such as Johnson (1982) and Vogel (1996), can be a topic of examination. How the Japanese state </w:t>
      </w:r>
      <w:r w:rsidR="007D1693">
        <w:rPr>
          <w:rFonts w:hint="eastAsia"/>
          <w:lang w:eastAsia="ja-JP"/>
        </w:rPr>
        <w:t>addressed</w:t>
      </w:r>
      <w:r w:rsidR="007D1693" w:rsidRPr="00097B7A">
        <w:rPr>
          <w:rFonts w:hint="eastAsia"/>
          <w:lang w:eastAsia="ja-JP"/>
        </w:rPr>
        <w:t xml:space="preserve"> its traditional </w:t>
      </w:r>
      <w:r w:rsidR="007D1693">
        <w:rPr>
          <w:rFonts w:hint="eastAsia"/>
          <w:lang w:eastAsia="ja-JP"/>
        </w:rPr>
        <w:t xml:space="preserve">role of the </w:t>
      </w:r>
      <w:r w:rsidR="007D1693" w:rsidRPr="00097B7A">
        <w:rPr>
          <w:rFonts w:hint="eastAsia"/>
          <w:lang w:eastAsia="ja-JP"/>
        </w:rPr>
        <w:t>economic strateg</w:t>
      </w:r>
      <w:r w:rsidR="007D1693">
        <w:rPr>
          <w:rFonts w:hint="eastAsia"/>
          <w:lang w:eastAsia="ja-JP"/>
        </w:rPr>
        <w:t>ist</w:t>
      </w:r>
      <w:r w:rsidR="007D1693" w:rsidRPr="00097B7A">
        <w:rPr>
          <w:rFonts w:hint="eastAsia"/>
          <w:lang w:eastAsia="ja-JP"/>
        </w:rPr>
        <w:t xml:space="preserve"> is a crucial issue to understand the nature of the Japanese state in the 2000s.</w:t>
      </w:r>
      <w:r w:rsidR="002C52F4">
        <w:rPr>
          <w:rFonts w:eastAsia="MS Mincho" w:hint="eastAsia"/>
          <w:lang w:eastAsia="ja-JP"/>
        </w:rPr>
        <w:t xml:space="preserve"> Another example can be </w:t>
      </w:r>
      <w:r w:rsidR="002C52F4" w:rsidRPr="002D4034">
        <w:rPr>
          <w:rFonts w:hint="eastAsia"/>
        </w:rPr>
        <w:t xml:space="preserve">the rise of Cabinet Ministers responsible </w:t>
      </w:r>
      <w:r w:rsidR="002C52F4" w:rsidRPr="002214BD">
        <w:rPr>
          <w:rFonts w:hint="eastAsia"/>
        </w:rPr>
        <w:t xml:space="preserve">for regulation. </w:t>
      </w:r>
      <w:r w:rsidR="002C52F4">
        <w:rPr>
          <w:rFonts w:hint="eastAsia"/>
          <w:lang w:eastAsia="ja-JP"/>
        </w:rPr>
        <w:t>By focusing on an important actor in the core executive i</w:t>
      </w:r>
      <w:r w:rsidR="002C52F4" w:rsidRPr="002214BD">
        <w:rPr>
          <w:rFonts w:hint="eastAsia"/>
          <w:lang w:eastAsia="ja-JP"/>
        </w:rPr>
        <w:t xml:space="preserve">t has the potential </w:t>
      </w:r>
      <w:r w:rsidR="00C54E42">
        <w:rPr>
          <w:lang w:eastAsia="ja-JP"/>
        </w:rPr>
        <w:t>for</w:t>
      </w:r>
      <w:r w:rsidR="002C52F4" w:rsidRPr="002214BD">
        <w:rPr>
          <w:rFonts w:hint="eastAsia"/>
          <w:lang w:eastAsia="ja-JP"/>
        </w:rPr>
        <w:t xml:space="preserve"> addressing </w:t>
      </w:r>
      <w:r w:rsidR="002C52F4" w:rsidRPr="00F85833">
        <w:rPr>
          <w:rFonts w:hint="eastAsia"/>
          <w:lang w:eastAsia="ja-JP"/>
        </w:rPr>
        <w:t>governing in Japan after the 2000s; the transformation of the core executive and its dominant actors is key for explaining the nature of change in the Japanese state provoked by government change.</w:t>
      </w:r>
    </w:p>
    <w:p w14:paraId="1C73BD61" w14:textId="77777777" w:rsidR="003C0F3D" w:rsidRPr="002C52F4" w:rsidRDefault="003C0F3D" w:rsidP="004F04D3">
      <w:pPr>
        <w:ind w:firstLine="284"/>
        <w:rPr>
          <w:rFonts w:eastAsia="MS Mincho"/>
          <w:lang w:eastAsia="ja-JP"/>
        </w:rPr>
      </w:pPr>
      <w:r>
        <w:rPr>
          <w:rFonts w:eastAsia="MS Mincho" w:hint="eastAsia"/>
          <w:lang w:eastAsia="ja-JP"/>
        </w:rPr>
        <w:t xml:space="preserve">The second issue </w:t>
      </w:r>
      <w:r w:rsidR="00C54E42">
        <w:rPr>
          <w:rFonts w:eastAsia="MS Mincho"/>
          <w:lang w:eastAsia="ja-JP"/>
        </w:rPr>
        <w:t>for</w:t>
      </w:r>
      <w:r>
        <w:rPr>
          <w:rFonts w:eastAsia="MS Mincho" w:hint="eastAsia"/>
          <w:lang w:eastAsia="ja-JP"/>
        </w:rPr>
        <w:t xml:space="preserve"> future research is the elaboration of interdependence between Japan</w:t>
      </w:r>
      <w:r>
        <w:rPr>
          <w:rFonts w:eastAsia="MS Mincho"/>
          <w:lang w:eastAsia="ja-JP"/>
        </w:rPr>
        <w:t>’</w:t>
      </w:r>
      <w:r>
        <w:rPr>
          <w:rFonts w:eastAsia="MS Mincho" w:hint="eastAsia"/>
          <w:lang w:eastAsia="ja-JP"/>
        </w:rPr>
        <w:t>s civil servants and party politicians. This thesis has exposed the dominance of party politicians within Japan</w:t>
      </w:r>
      <w:r>
        <w:rPr>
          <w:rFonts w:eastAsia="MS Mincho"/>
          <w:lang w:eastAsia="ja-JP"/>
        </w:rPr>
        <w:t>’</w:t>
      </w:r>
      <w:r>
        <w:rPr>
          <w:rFonts w:eastAsia="MS Mincho" w:hint="eastAsia"/>
          <w:lang w:eastAsia="ja-JP"/>
        </w:rPr>
        <w:t xml:space="preserve">s core executive in two regulatory sectors. How influential the power of civil servants has been on party politicians can be explored more. More elaboration of the nature of </w:t>
      </w:r>
      <w:r w:rsidR="00C54E42">
        <w:rPr>
          <w:rFonts w:eastAsia="MS Mincho"/>
          <w:lang w:eastAsia="ja-JP"/>
        </w:rPr>
        <w:t xml:space="preserve">the </w:t>
      </w:r>
      <w:r>
        <w:rPr>
          <w:rFonts w:eastAsia="MS Mincho"/>
          <w:lang w:eastAsia="ja-JP"/>
        </w:rPr>
        <w:t>interdependent</w:t>
      </w:r>
      <w:r>
        <w:rPr>
          <w:rFonts w:eastAsia="MS Mincho" w:hint="eastAsia"/>
          <w:lang w:eastAsia="ja-JP"/>
        </w:rPr>
        <w:t xml:space="preserve"> relationship between civil servants and party politicians in Japan has the potential </w:t>
      </w:r>
      <w:r w:rsidR="00C54E42">
        <w:rPr>
          <w:rFonts w:eastAsia="MS Mincho"/>
          <w:lang w:eastAsia="ja-JP"/>
        </w:rPr>
        <w:t>for</w:t>
      </w:r>
      <w:r>
        <w:rPr>
          <w:rFonts w:eastAsia="MS Mincho" w:hint="eastAsia"/>
          <w:lang w:eastAsia="ja-JP"/>
        </w:rPr>
        <w:t xml:space="preserve"> offering a</w:t>
      </w:r>
      <w:r w:rsidR="002C6A0A">
        <w:rPr>
          <w:rFonts w:eastAsia="MS Mincho" w:hint="eastAsia"/>
          <w:lang w:eastAsia="ja-JP"/>
        </w:rPr>
        <w:t>n</w:t>
      </w:r>
      <w:r>
        <w:rPr>
          <w:rFonts w:eastAsia="MS Mincho" w:hint="eastAsia"/>
          <w:lang w:eastAsia="ja-JP"/>
        </w:rPr>
        <w:t xml:space="preserve"> insight on the nature of the </w:t>
      </w:r>
      <w:r w:rsidR="004F04D3">
        <w:rPr>
          <w:rFonts w:eastAsia="MS Mincho"/>
          <w:lang w:eastAsia="ja-JP"/>
        </w:rPr>
        <w:t>reconstituted</w:t>
      </w:r>
      <w:r>
        <w:rPr>
          <w:rFonts w:eastAsia="MS Mincho" w:hint="eastAsia"/>
          <w:lang w:eastAsia="ja-JP"/>
        </w:rPr>
        <w:t xml:space="preserve"> Japanese state. T</w:t>
      </w:r>
      <w:r>
        <w:rPr>
          <w:rFonts w:eastAsia="MS Mincho"/>
          <w:lang w:eastAsia="ja-JP"/>
        </w:rPr>
        <w:t>h</w:t>
      </w:r>
      <w:r>
        <w:rPr>
          <w:rFonts w:eastAsia="MS Mincho" w:hint="eastAsia"/>
          <w:lang w:eastAsia="ja-JP"/>
        </w:rPr>
        <w:t xml:space="preserve">e rise and fall of </w:t>
      </w:r>
      <w:r w:rsidR="00C54E42">
        <w:rPr>
          <w:rFonts w:eastAsia="MS Mincho"/>
          <w:lang w:eastAsia="ja-JP"/>
        </w:rPr>
        <w:t xml:space="preserve">the </w:t>
      </w:r>
      <w:r>
        <w:rPr>
          <w:rFonts w:eastAsia="MS Mincho" w:hint="eastAsia"/>
          <w:lang w:eastAsia="ja-JP"/>
        </w:rPr>
        <w:t xml:space="preserve">DPJ government (2009-12) has the potential </w:t>
      </w:r>
      <w:r w:rsidR="00C54E42">
        <w:rPr>
          <w:rFonts w:eastAsia="MS Mincho"/>
          <w:lang w:eastAsia="ja-JP"/>
        </w:rPr>
        <w:t>for</w:t>
      </w:r>
      <w:r>
        <w:rPr>
          <w:rFonts w:eastAsia="MS Mincho" w:hint="eastAsia"/>
          <w:lang w:eastAsia="ja-JP"/>
        </w:rPr>
        <w:t xml:space="preserve"> offering a good </w:t>
      </w:r>
      <w:r w:rsidR="002C6A0A">
        <w:rPr>
          <w:rFonts w:eastAsia="MS Mincho" w:hint="eastAsia"/>
          <w:lang w:eastAsia="ja-JP"/>
        </w:rPr>
        <w:t>opportunity to observe</w:t>
      </w:r>
      <w:r>
        <w:rPr>
          <w:rFonts w:eastAsia="MS Mincho" w:hint="eastAsia"/>
          <w:lang w:eastAsia="ja-JP"/>
        </w:rPr>
        <w:t xml:space="preserve"> </w:t>
      </w:r>
      <w:r w:rsidR="002612C7">
        <w:rPr>
          <w:rFonts w:eastAsia="MS Mincho" w:hint="eastAsia"/>
          <w:lang w:eastAsia="ja-JP"/>
        </w:rPr>
        <w:t xml:space="preserve">the changing </w:t>
      </w:r>
      <w:r w:rsidR="002612C7">
        <w:rPr>
          <w:rFonts w:eastAsia="MS Mincho"/>
          <w:lang w:eastAsia="ja-JP"/>
        </w:rPr>
        <w:t>interdependence</w:t>
      </w:r>
      <w:r w:rsidR="002612C7">
        <w:rPr>
          <w:rFonts w:eastAsia="MS Mincho" w:hint="eastAsia"/>
          <w:lang w:eastAsia="ja-JP"/>
        </w:rPr>
        <w:t xml:space="preserve"> between civil servants and party politicians.</w:t>
      </w:r>
    </w:p>
    <w:p w14:paraId="1F34F287" w14:textId="77777777" w:rsidR="007D1693" w:rsidRPr="009E1CB1" w:rsidRDefault="007D1693" w:rsidP="002C459A">
      <w:pPr>
        <w:ind w:firstLine="284"/>
        <w:rPr>
          <w:lang w:eastAsia="ja-JP"/>
        </w:rPr>
      </w:pPr>
      <w:r w:rsidRPr="00F5681E">
        <w:rPr>
          <w:rFonts w:hint="eastAsia"/>
          <w:lang w:eastAsia="ja-JP"/>
        </w:rPr>
        <w:t xml:space="preserve">The </w:t>
      </w:r>
      <w:r w:rsidR="003C0F3D">
        <w:rPr>
          <w:rFonts w:hint="eastAsia"/>
          <w:lang w:eastAsia="ja-JP"/>
        </w:rPr>
        <w:t>third</w:t>
      </w:r>
      <w:r w:rsidRPr="00F5681E">
        <w:rPr>
          <w:rFonts w:hint="eastAsia"/>
          <w:lang w:eastAsia="ja-JP"/>
        </w:rPr>
        <w:t xml:space="preserve"> issue for </w:t>
      </w:r>
      <w:r w:rsidR="004F04D3">
        <w:rPr>
          <w:lang w:eastAsia="ja-JP"/>
        </w:rPr>
        <w:t xml:space="preserve">future </w:t>
      </w:r>
      <w:r w:rsidRPr="00F5681E">
        <w:rPr>
          <w:rFonts w:hint="eastAsia"/>
          <w:lang w:eastAsia="ja-JP"/>
        </w:rPr>
        <w:t>research is the transformation of Japan</w:t>
      </w:r>
      <w:r w:rsidRPr="00F5681E">
        <w:rPr>
          <w:lang w:eastAsia="ja-JP"/>
        </w:rPr>
        <w:t>’</w:t>
      </w:r>
      <w:r w:rsidRPr="00F5681E">
        <w:rPr>
          <w:rFonts w:hint="eastAsia"/>
          <w:lang w:eastAsia="ja-JP"/>
        </w:rPr>
        <w:t>s antimonopoly regulation and the JFTC</w:t>
      </w:r>
      <w:r w:rsidRPr="00F5681E">
        <w:rPr>
          <w:lang w:eastAsia="ja-JP"/>
        </w:rPr>
        <w:t>’</w:t>
      </w:r>
      <w:r w:rsidRPr="00F5681E">
        <w:rPr>
          <w:rFonts w:hint="eastAsia"/>
          <w:lang w:eastAsia="ja-JP"/>
        </w:rPr>
        <w:t xml:space="preserve">s independence status. </w:t>
      </w:r>
      <w:r w:rsidRPr="00F5681E">
        <w:t>T</w:t>
      </w:r>
      <w:r w:rsidRPr="00F5681E">
        <w:rPr>
          <w:rFonts w:hint="eastAsia"/>
        </w:rPr>
        <w:t xml:space="preserve">he </w:t>
      </w:r>
      <w:r w:rsidRPr="00F5681E">
        <w:t>circumstances surrounding the JFTC have</w:t>
      </w:r>
      <w:r w:rsidRPr="00F5681E">
        <w:rPr>
          <w:rFonts w:hint="eastAsia"/>
        </w:rPr>
        <w:t xml:space="preserve"> </w:t>
      </w:r>
      <w:r w:rsidRPr="00F5681E">
        <w:t>significantly</w:t>
      </w:r>
      <w:r w:rsidRPr="00F5681E">
        <w:rPr>
          <w:rFonts w:hint="eastAsia"/>
        </w:rPr>
        <w:t xml:space="preserve"> changed. </w:t>
      </w:r>
      <w:r w:rsidRPr="00F5681E">
        <w:rPr>
          <w:rFonts w:hint="eastAsia"/>
          <w:lang w:eastAsia="ja-JP"/>
        </w:rPr>
        <w:t xml:space="preserve">Prioritising antimonopoly regulation has the potential </w:t>
      </w:r>
      <w:r w:rsidR="00C54E42">
        <w:rPr>
          <w:lang w:eastAsia="ja-JP"/>
        </w:rPr>
        <w:t>for</w:t>
      </w:r>
      <w:r w:rsidRPr="00F5681E">
        <w:rPr>
          <w:rFonts w:hint="eastAsia"/>
          <w:lang w:eastAsia="ja-JP"/>
        </w:rPr>
        <w:t xml:space="preserve"> reshaping the previous approach to antimonopoly regulation based on the JFTC</w:t>
      </w:r>
      <w:r w:rsidRPr="00F5681E">
        <w:rPr>
          <w:lang w:eastAsia="ja-JP"/>
        </w:rPr>
        <w:t>’</w:t>
      </w:r>
      <w:r w:rsidRPr="00F5681E">
        <w:rPr>
          <w:rFonts w:hint="eastAsia"/>
          <w:lang w:eastAsia="ja-JP"/>
        </w:rPr>
        <w:t xml:space="preserve">s independence of authority and its law enforcement </w:t>
      </w:r>
      <w:r w:rsidRPr="009E1CB1">
        <w:rPr>
          <w:rFonts w:hint="eastAsia"/>
          <w:lang w:eastAsia="ja-JP"/>
        </w:rPr>
        <w:t xml:space="preserve">oriented approach. This change of circumstances has come with </w:t>
      </w:r>
      <w:r w:rsidR="00C54E42">
        <w:rPr>
          <w:lang w:eastAsia="ja-JP"/>
        </w:rPr>
        <w:t xml:space="preserve">a </w:t>
      </w:r>
      <w:r w:rsidR="002C459A">
        <w:rPr>
          <w:lang w:eastAsia="ja-JP"/>
        </w:rPr>
        <w:t>change</w:t>
      </w:r>
      <w:r w:rsidRPr="009E1CB1">
        <w:rPr>
          <w:rFonts w:hint="eastAsia"/>
          <w:lang w:eastAsia="ja-JP"/>
        </w:rPr>
        <w:t xml:space="preserve"> of power; the JFTC</w:t>
      </w:r>
      <w:r w:rsidRPr="009E1CB1">
        <w:rPr>
          <w:lang w:eastAsia="ja-JP"/>
        </w:rPr>
        <w:t>’</w:t>
      </w:r>
      <w:r w:rsidRPr="009E1CB1">
        <w:rPr>
          <w:rFonts w:hint="eastAsia"/>
          <w:lang w:eastAsia="ja-JP"/>
        </w:rPr>
        <w:t>s power has significantly be</w:t>
      </w:r>
      <w:r w:rsidR="0050519A">
        <w:rPr>
          <w:rFonts w:hint="eastAsia"/>
          <w:lang w:eastAsia="ja-JP"/>
        </w:rPr>
        <w:t>come stronger</w:t>
      </w:r>
      <w:r w:rsidRPr="009E1CB1">
        <w:rPr>
          <w:rFonts w:hint="eastAsia"/>
          <w:lang w:eastAsia="ja-JP"/>
        </w:rPr>
        <w:t xml:space="preserve">. The prioritisation of antimonopoly regulation and </w:t>
      </w:r>
      <w:r w:rsidR="002C52F4">
        <w:rPr>
          <w:rFonts w:eastAsia="MS Mincho" w:hint="eastAsia"/>
          <w:lang w:eastAsia="ja-JP"/>
        </w:rPr>
        <w:t xml:space="preserve">the </w:t>
      </w:r>
      <w:r w:rsidRPr="009E1CB1">
        <w:rPr>
          <w:rFonts w:hint="eastAsia"/>
          <w:lang w:eastAsia="ja-JP"/>
        </w:rPr>
        <w:t xml:space="preserve">resulting change in a number of aspects including power offer a case </w:t>
      </w:r>
      <w:r w:rsidR="00C54E42">
        <w:rPr>
          <w:lang w:eastAsia="ja-JP"/>
        </w:rPr>
        <w:t>for</w:t>
      </w:r>
      <w:r w:rsidRPr="009E1CB1">
        <w:rPr>
          <w:rFonts w:hint="eastAsia"/>
          <w:lang w:eastAsia="ja-JP"/>
        </w:rPr>
        <w:t xml:space="preserve"> how independent regulation and implementation can be accommodated in Japan</w:t>
      </w:r>
      <w:r w:rsidRPr="009E1CB1">
        <w:rPr>
          <w:lang w:eastAsia="ja-JP"/>
        </w:rPr>
        <w:t>’</w:t>
      </w:r>
      <w:r w:rsidRPr="009E1CB1">
        <w:rPr>
          <w:rFonts w:hint="eastAsia"/>
          <w:lang w:eastAsia="ja-JP"/>
        </w:rPr>
        <w:t>s political tradition.</w:t>
      </w:r>
    </w:p>
    <w:p w14:paraId="4D48F909" w14:textId="6F9A999F" w:rsidR="002C52F4" w:rsidRDefault="007D1693" w:rsidP="00BF2553">
      <w:pPr>
        <w:ind w:firstLine="284"/>
        <w:rPr>
          <w:rFonts w:eastAsia="MS Mincho"/>
          <w:lang w:eastAsia="ja-JP"/>
        </w:rPr>
      </w:pPr>
      <w:r w:rsidRPr="00CA67A9">
        <w:rPr>
          <w:rFonts w:hint="eastAsia"/>
        </w:rPr>
        <w:t xml:space="preserve">The further development of the models of the regulatory state </w:t>
      </w:r>
      <w:r w:rsidRPr="00CA67A9">
        <w:rPr>
          <w:rFonts w:hint="eastAsia"/>
          <w:lang w:eastAsia="ja-JP"/>
        </w:rPr>
        <w:t>is also an important topic for future research</w:t>
      </w:r>
      <w:r w:rsidRPr="00CA67A9">
        <w:rPr>
          <w:rFonts w:hint="eastAsia"/>
        </w:rPr>
        <w:t xml:space="preserve">. </w:t>
      </w:r>
      <w:r>
        <w:rPr>
          <w:rFonts w:hint="eastAsia"/>
          <w:lang w:eastAsia="ja-JP"/>
        </w:rPr>
        <w:t xml:space="preserve">Having revealed </w:t>
      </w:r>
      <w:r w:rsidRPr="00CA67A9">
        <w:rPr>
          <w:rFonts w:hint="eastAsia"/>
          <w:lang w:eastAsia="ja-JP"/>
        </w:rPr>
        <w:t>an</w:t>
      </w:r>
      <w:r w:rsidRPr="00CA67A9">
        <w:rPr>
          <w:rFonts w:hint="eastAsia"/>
        </w:rPr>
        <w:t xml:space="preserve"> asymmetric dominance of the core executive in </w:t>
      </w:r>
      <w:r w:rsidRPr="006712D7">
        <w:rPr>
          <w:rFonts w:hint="eastAsia"/>
        </w:rPr>
        <w:t>Japan</w:t>
      </w:r>
      <w:r>
        <w:rPr>
          <w:rFonts w:hint="eastAsia"/>
          <w:lang w:eastAsia="ja-JP"/>
        </w:rPr>
        <w:t xml:space="preserve">, this thesis has proposed a model of the regulatory state </w:t>
      </w:r>
      <w:r w:rsidRPr="006712D7">
        <w:rPr>
          <w:rFonts w:hint="eastAsia"/>
          <w:lang w:eastAsia="ja-JP"/>
        </w:rPr>
        <w:t>focus</w:t>
      </w:r>
      <w:r>
        <w:rPr>
          <w:rFonts w:hint="eastAsia"/>
          <w:lang w:eastAsia="ja-JP"/>
        </w:rPr>
        <w:t>ing</w:t>
      </w:r>
      <w:r w:rsidRPr="006712D7">
        <w:rPr>
          <w:rFonts w:hint="eastAsia"/>
          <w:lang w:eastAsia="ja-JP"/>
        </w:rPr>
        <w:t xml:space="preserve"> on democratic accountability, independent </w:t>
      </w:r>
      <w:r w:rsidRPr="00701B8A">
        <w:rPr>
          <w:rFonts w:hint="eastAsia"/>
          <w:lang w:eastAsia="ja-JP"/>
        </w:rPr>
        <w:t xml:space="preserve">implementation, and frequent rule changes. </w:t>
      </w:r>
      <w:r w:rsidR="00C54E42">
        <w:rPr>
          <w:lang w:eastAsia="ja-JP"/>
        </w:rPr>
        <w:t>F</w:t>
      </w:r>
      <w:r w:rsidRPr="00701B8A">
        <w:rPr>
          <w:rFonts w:hint="eastAsia"/>
          <w:lang w:eastAsia="ja-JP"/>
        </w:rPr>
        <w:t xml:space="preserve">urther </w:t>
      </w:r>
      <w:r w:rsidRPr="00701B8A">
        <w:rPr>
          <w:lang w:eastAsia="ja-JP"/>
        </w:rPr>
        <w:t>research</w:t>
      </w:r>
      <w:r w:rsidRPr="00701B8A">
        <w:rPr>
          <w:rFonts w:hint="eastAsia"/>
          <w:lang w:eastAsia="ja-JP"/>
        </w:rPr>
        <w:t xml:space="preserve"> based on this model could contribute to the exploration of the transformation of the state</w:t>
      </w:r>
      <w:r w:rsidR="002C459A">
        <w:rPr>
          <w:lang w:eastAsia="ja-JP"/>
        </w:rPr>
        <w:t xml:space="preserve"> and the regulatory state</w:t>
      </w:r>
      <w:r w:rsidRPr="00701B8A">
        <w:rPr>
          <w:rFonts w:hint="eastAsia"/>
          <w:lang w:eastAsia="ja-JP"/>
        </w:rPr>
        <w:t xml:space="preserve">. A brief </w:t>
      </w:r>
      <w:r w:rsidRPr="00701B8A">
        <w:rPr>
          <w:rFonts w:hint="eastAsia"/>
        </w:rPr>
        <w:t xml:space="preserve">comparison between the Japanese cases, </w:t>
      </w:r>
      <w:r w:rsidRPr="00614C73">
        <w:rPr>
          <w:rFonts w:hint="eastAsia"/>
        </w:rPr>
        <w:t>Britain</w:t>
      </w:r>
      <w:r w:rsidRPr="00614C73">
        <w:rPr>
          <w:lang w:eastAsia="ja-JP"/>
        </w:rPr>
        <w:t>’</w:t>
      </w:r>
      <w:r w:rsidRPr="00614C73">
        <w:rPr>
          <w:rFonts w:hint="eastAsia"/>
          <w:lang w:eastAsia="ja-JP"/>
        </w:rPr>
        <w:t>s</w:t>
      </w:r>
      <w:r w:rsidRPr="00614C73">
        <w:rPr>
          <w:rFonts w:hint="eastAsia"/>
        </w:rPr>
        <w:t>, and New Zealand</w:t>
      </w:r>
      <w:r w:rsidRPr="00614C73">
        <w:rPr>
          <w:lang w:eastAsia="ja-JP"/>
        </w:rPr>
        <w:t>’</w:t>
      </w:r>
      <w:r w:rsidRPr="00614C73">
        <w:rPr>
          <w:rFonts w:hint="eastAsia"/>
          <w:lang w:eastAsia="ja-JP"/>
        </w:rPr>
        <w:t xml:space="preserve">s </w:t>
      </w:r>
      <w:r w:rsidRPr="00614C73">
        <w:rPr>
          <w:rFonts w:hint="eastAsia"/>
        </w:rPr>
        <w:t xml:space="preserve">exposes </w:t>
      </w:r>
      <w:r w:rsidRPr="00614C73">
        <w:rPr>
          <w:rFonts w:hint="eastAsia"/>
          <w:lang w:eastAsia="ja-JP"/>
        </w:rPr>
        <w:t>each case</w:t>
      </w:r>
      <w:r w:rsidRPr="00614C73">
        <w:rPr>
          <w:lang w:eastAsia="ja-JP"/>
        </w:rPr>
        <w:t>’</w:t>
      </w:r>
      <w:r w:rsidRPr="00614C73">
        <w:rPr>
          <w:rFonts w:hint="eastAsia"/>
          <w:lang w:eastAsia="ja-JP"/>
        </w:rPr>
        <w:t xml:space="preserve">s </w:t>
      </w:r>
      <w:r w:rsidR="00BF2553">
        <w:rPr>
          <w:lang w:eastAsia="ja-JP"/>
        </w:rPr>
        <w:t>characteristics</w:t>
      </w:r>
      <w:r w:rsidRPr="00614C73">
        <w:rPr>
          <w:rFonts w:hint="eastAsia"/>
        </w:rPr>
        <w:t xml:space="preserve">. </w:t>
      </w:r>
      <w:r w:rsidRPr="00614C73">
        <w:rPr>
          <w:rFonts w:hint="eastAsia"/>
          <w:lang w:eastAsia="ja-JP"/>
        </w:rPr>
        <w:t>For example, t</w:t>
      </w:r>
      <w:r w:rsidRPr="00614C73">
        <w:rPr>
          <w:rFonts w:hint="eastAsia"/>
        </w:rPr>
        <w:t xml:space="preserve">he Japanese </w:t>
      </w:r>
      <w:r w:rsidRPr="00614C73">
        <w:rPr>
          <w:rFonts w:hint="eastAsia"/>
          <w:lang w:eastAsia="ja-JP"/>
        </w:rPr>
        <w:t xml:space="preserve">regulatory state can be understood as an </w:t>
      </w:r>
      <w:r w:rsidRPr="00614C73">
        <w:rPr>
          <w:rFonts w:hint="eastAsia"/>
        </w:rPr>
        <w:t xml:space="preserve">example in which democratic accountability is prioritised in shaping regulatory </w:t>
      </w:r>
      <w:r w:rsidRPr="00614C73">
        <w:t>institutions</w:t>
      </w:r>
      <w:r w:rsidRPr="00614C73">
        <w:rPr>
          <w:rFonts w:hint="eastAsia"/>
        </w:rPr>
        <w:t xml:space="preserve">. </w:t>
      </w:r>
      <w:r w:rsidRPr="00614C73">
        <w:rPr>
          <w:rFonts w:hint="eastAsia"/>
          <w:lang w:eastAsia="ja-JP"/>
        </w:rPr>
        <w:t>C</w:t>
      </w:r>
      <w:r w:rsidRPr="00614C73">
        <w:rPr>
          <w:lang w:eastAsia="ja-JP"/>
        </w:rPr>
        <w:t>o</w:t>
      </w:r>
      <w:r w:rsidRPr="00614C73">
        <w:rPr>
          <w:rFonts w:hint="eastAsia"/>
          <w:lang w:eastAsia="ja-JP"/>
        </w:rPr>
        <w:t xml:space="preserve">nsidering the applicability of this model to other examples </w:t>
      </w:r>
      <w:r w:rsidR="002C52F4">
        <w:rPr>
          <w:rFonts w:eastAsia="MS Mincho" w:hint="eastAsia"/>
          <w:lang w:eastAsia="ja-JP"/>
        </w:rPr>
        <w:t>can</w:t>
      </w:r>
      <w:r w:rsidRPr="00614C73">
        <w:rPr>
          <w:rFonts w:hint="eastAsia"/>
          <w:lang w:eastAsia="ja-JP"/>
        </w:rPr>
        <w:t xml:space="preserve"> reveal its </w:t>
      </w:r>
      <w:r w:rsidRPr="00E328AC">
        <w:rPr>
          <w:rFonts w:hint="eastAsia"/>
          <w:lang w:eastAsia="ja-JP"/>
        </w:rPr>
        <w:t xml:space="preserve">benefits and problems and improve the analysis on the regulatory state in an era of governance. </w:t>
      </w:r>
      <w:r w:rsidRPr="00E328AC">
        <w:rPr>
          <w:rFonts w:hint="eastAsia"/>
        </w:rPr>
        <w:t xml:space="preserve">The further development of the </w:t>
      </w:r>
      <w:r w:rsidRPr="00E328AC">
        <w:rPr>
          <w:rFonts w:hint="eastAsia"/>
          <w:lang w:eastAsia="ja-JP"/>
        </w:rPr>
        <w:t xml:space="preserve">research focusing on the </w:t>
      </w:r>
      <w:r w:rsidRPr="00E328AC">
        <w:rPr>
          <w:rFonts w:hint="eastAsia"/>
        </w:rPr>
        <w:t xml:space="preserve">nature of the </w:t>
      </w:r>
      <w:r w:rsidRPr="00E328AC">
        <w:t>contemporary</w:t>
      </w:r>
      <w:r w:rsidRPr="00E328AC">
        <w:rPr>
          <w:rFonts w:hint="eastAsia"/>
        </w:rPr>
        <w:t xml:space="preserve"> regulatory state has the potential </w:t>
      </w:r>
      <w:r w:rsidR="00C54E42">
        <w:t>for</w:t>
      </w:r>
      <w:r w:rsidRPr="00E328AC">
        <w:rPr>
          <w:rFonts w:hint="eastAsia"/>
        </w:rPr>
        <w:t xml:space="preserve"> offering a new insight by which </w:t>
      </w:r>
      <w:r w:rsidRPr="00E328AC">
        <w:rPr>
          <w:rFonts w:hint="eastAsia"/>
          <w:lang w:eastAsia="ja-JP"/>
        </w:rPr>
        <w:t xml:space="preserve">understanding </w:t>
      </w:r>
      <w:r w:rsidRPr="00E328AC">
        <w:rPr>
          <w:rFonts w:hint="eastAsia"/>
        </w:rPr>
        <w:t>regulation and governance can further be elaborated.</w:t>
      </w:r>
    </w:p>
    <w:p w14:paraId="0386BFDD" w14:textId="77777777" w:rsidR="00DB7425" w:rsidRDefault="00DB7425" w:rsidP="007D1693">
      <w:pPr>
        <w:ind w:firstLine="284"/>
        <w:rPr>
          <w:rFonts w:eastAsia="MS Mincho"/>
          <w:lang w:eastAsia="ja-JP"/>
        </w:rPr>
      </w:pPr>
      <w:r>
        <w:rPr>
          <w:rFonts w:eastAsia="MS Mincho"/>
          <w:lang w:eastAsia="ja-JP"/>
        </w:rPr>
        <w:br w:type="page"/>
      </w:r>
    </w:p>
    <w:p w14:paraId="637B42D8" w14:textId="77777777" w:rsidR="00DB7425" w:rsidRPr="008D6E82" w:rsidRDefault="00590ECB" w:rsidP="00DB7425">
      <w:pPr>
        <w:pStyle w:val="Heading1"/>
      </w:pPr>
      <w:bookmarkStart w:id="76" w:name="_Toc349741398"/>
      <w:r>
        <w:t xml:space="preserve">Appendix </w:t>
      </w:r>
      <w:r>
        <w:rPr>
          <w:rFonts w:eastAsia="MS Mincho" w:hint="eastAsia"/>
          <w:lang w:eastAsia="ja-JP"/>
        </w:rPr>
        <w:t>1</w:t>
      </w:r>
      <w:r w:rsidR="00DB7425">
        <w:rPr>
          <w:rFonts w:eastAsia="MS Mincho" w:hint="eastAsia"/>
          <w:lang w:eastAsia="ja-JP"/>
        </w:rPr>
        <w:tab/>
      </w:r>
      <w:r w:rsidR="00DB7425" w:rsidRPr="008D6E82">
        <w:t xml:space="preserve">The </w:t>
      </w:r>
      <w:r w:rsidR="00DB7425">
        <w:rPr>
          <w:rFonts w:eastAsia="MS Mincho" w:hint="eastAsia"/>
          <w:lang w:eastAsia="ja-JP"/>
        </w:rPr>
        <w:t>i</w:t>
      </w:r>
      <w:r w:rsidR="00DB7425" w:rsidRPr="008D6E82">
        <w:t xml:space="preserve">nterviewees </w:t>
      </w:r>
      <w:r w:rsidR="00DB7425">
        <w:rPr>
          <w:rFonts w:eastAsia="MS Mincho" w:hint="eastAsia"/>
          <w:lang w:eastAsia="ja-JP"/>
        </w:rPr>
        <w:t>l</w:t>
      </w:r>
      <w:r w:rsidR="00DB7425" w:rsidRPr="008D6E82">
        <w:t>ist</w:t>
      </w:r>
      <w:bookmarkEnd w:id="76"/>
    </w:p>
    <w:p w14:paraId="0AC05634" w14:textId="77777777" w:rsidR="00DB7425" w:rsidRPr="00DB7425" w:rsidRDefault="00DB7425" w:rsidP="00DB7425">
      <w:pPr>
        <w:pStyle w:val="NoSpacing"/>
        <w:rPr>
          <w:rFonts w:eastAsia="MS Mincho"/>
          <w:lang w:eastAsia="ja-JP"/>
        </w:rPr>
      </w:pPr>
    </w:p>
    <w:tbl>
      <w:tblPr>
        <w:tblStyle w:val="TableGrid"/>
        <w:tblW w:w="0" w:type="auto"/>
        <w:tblLayout w:type="fixed"/>
        <w:tblLook w:val="04A0" w:firstRow="1" w:lastRow="0" w:firstColumn="1" w:lastColumn="0" w:noHBand="0" w:noVBand="1"/>
      </w:tblPr>
      <w:tblGrid>
        <w:gridCol w:w="534"/>
        <w:gridCol w:w="3969"/>
        <w:gridCol w:w="4783"/>
      </w:tblGrid>
      <w:tr w:rsidR="00DB7425" w14:paraId="7BCE23F1" w14:textId="77777777" w:rsidTr="00FF685A">
        <w:tc>
          <w:tcPr>
            <w:tcW w:w="534" w:type="dxa"/>
          </w:tcPr>
          <w:p w14:paraId="0FB7B46D" w14:textId="77777777" w:rsidR="00DB7425" w:rsidRDefault="00DB7425" w:rsidP="00FF685A">
            <w:pPr>
              <w:pStyle w:val="NoSpacing"/>
              <w:jc w:val="center"/>
            </w:pPr>
            <w:r>
              <w:t>No.</w:t>
            </w:r>
          </w:p>
        </w:tc>
        <w:tc>
          <w:tcPr>
            <w:tcW w:w="3969" w:type="dxa"/>
          </w:tcPr>
          <w:p w14:paraId="15918188" w14:textId="77777777" w:rsidR="00DB7425" w:rsidRDefault="00DB7425" w:rsidP="00FF685A">
            <w:pPr>
              <w:pStyle w:val="NoSpacing"/>
              <w:jc w:val="center"/>
            </w:pPr>
            <w:r>
              <w:t>Position at the point of  the interview</w:t>
            </w:r>
          </w:p>
        </w:tc>
        <w:tc>
          <w:tcPr>
            <w:tcW w:w="4783" w:type="dxa"/>
          </w:tcPr>
          <w:p w14:paraId="0A230046" w14:textId="77777777" w:rsidR="00DB7425" w:rsidRDefault="00DB7425" w:rsidP="00FF685A">
            <w:pPr>
              <w:pStyle w:val="NoSpacing"/>
              <w:jc w:val="center"/>
            </w:pPr>
            <w:r>
              <w:t>Previous relevant positions</w:t>
            </w:r>
          </w:p>
        </w:tc>
      </w:tr>
      <w:tr w:rsidR="00DB7425" w14:paraId="4DC5EF63" w14:textId="77777777" w:rsidTr="00FF685A">
        <w:tc>
          <w:tcPr>
            <w:tcW w:w="534" w:type="dxa"/>
          </w:tcPr>
          <w:p w14:paraId="2E45BC54" w14:textId="77777777" w:rsidR="00DB7425" w:rsidRDefault="00DB7425" w:rsidP="00FF685A">
            <w:pPr>
              <w:pStyle w:val="NoSpacing"/>
            </w:pPr>
            <w:r>
              <w:t>1</w:t>
            </w:r>
          </w:p>
        </w:tc>
        <w:tc>
          <w:tcPr>
            <w:tcW w:w="3969" w:type="dxa"/>
          </w:tcPr>
          <w:p w14:paraId="4456AC05" w14:textId="77777777" w:rsidR="00DB7425" w:rsidRDefault="00DB7425" w:rsidP="00FF685A">
            <w:pPr>
              <w:pStyle w:val="NoSpacing"/>
            </w:pPr>
            <w:r>
              <w:t>Member, Information and Communications Council</w:t>
            </w:r>
          </w:p>
          <w:p w14:paraId="4C121CEC" w14:textId="77777777" w:rsidR="00DB7425" w:rsidRPr="00626656" w:rsidRDefault="00DB7425" w:rsidP="00FF685A">
            <w:pPr>
              <w:pStyle w:val="NoSpacing"/>
              <w:rPr>
                <w:lang w:eastAsia="ja-JP"/>
              </w:rPr>
            </w:pPr>
            <w:r>
              <w:rPr>
                <w:rFonts w:hint="eastAsia"/>
                <w:lang w:eastAsia="ja-JP"/>
              </w:rPr>
              <w:t>Chairman, Antimonopoly Gathering</w:t>
            </w:r>
          </w:p>
          <w:p w14:paraId="6DEC7328" w14:textId="77777777" w:rsidR="00DB7425" w:rsidRDefault="00DB7425" w:rsidP="00FF685A">
            <w:pPr>
              <w:pStyle w:val="NoSpacing"/>
            </w:pPr>
            <w:r>
              <w:t>Attorney at Law</w:t>
            </w:r>
          </w:p>
          <w:p w14:paraId="230AB52D" w14:textId="77777777" w:rsidR="00DB7425" w:rsidRDefault="00DB7425" w:rsidP="00FF685A">
            <w:pPr>
              <w:pStyle w:val="NoSpacing"/>
            </w:pPr>
            <w:r>
              <w:t>Professor (Law)</w:t>
            </w:r>
          </w:p>
        </w:tc>
        <w:tc>
          <w:tcPr>
            <w:tcW w:w="4783" w:type="dxa"/>
          </w:tcPr>
          <w:p w14:paraId="6CD54BB2" w14:textId="77777777" w:rsidR="00DB7425" w:rsidRDefault="00DB7425" w:rsidP="00FF685A">
            <w:pPr>
              <w:pStyle w:val="NoSpacing"/>
            </w:pPr>
          </w:p>
        </w:tc>
      </w:tr>
      <w:tr w:rsidR="00DB7425" w14:paraId="68ECA603" w14:textId="77777777" w:rsidTr="00FF685A">
        <w:tc>
          <w:tcPr>
            <w:tcW w:w="534" w:type="dxa"/>
          </w:tcPr>
          <w:p w14:paraId="3D7D8F64" w14:textId="77777777" w:rsidR="00DB7425" w:rsidRDefault="00DB7425" w:rsidP="00FF685A">
            <w:pPr>
              <w:pStyle w:val="NoSpacing"/>
            </w:pPr>
            <w:r>
              <w:t>2</w:t>
            </w:r>
          </w:p>
        </w:tc>
        <w:tc>
          <w:tcPr>
            <w:tcW w:w="3969" w:type="dxa"/>
          </w:tcPr>
          <w:p w14:paraId="14F2D4C9" w14:textId="77777777" w:rsidR="00DB7425" w:rsidRDefault="00DB7425" w:rsidP="00FF685A">
            <w:pPr>
              <w:pStyle w:val="NoSpacing"/>
            </w:pPr>
            <w:r>
              <w:t>Senior Consultant (foreign sponsored law firm)</w:t>
            </w:r>
          </w:p>
        </w:tc>
        <w:tc>
          <w:tcPr>
            <w:tcW w:w="4783" w:type="dxa"/>
          </w:tcPr>
          <w:p w14:paraId="42D9D43F" w14:textId="77777777" w:rsidR="00DB7425" w:rsidRDefault="00DB7425" w:rsidP="00FF685A">
            <w:pPr>
              <w:pStyle w:val="NoSpacing"/>
            </w:pPr>
            <w:r>
              <w:t>Secretary-General (JFTC)</w:t>
            </w:r>
          </w:p>
          <w:p w14:paraId="39B05BB0" w14:textId="77777777" w:rsidR="00DB7425" w:rsidRDefault="00DB7425" w:rsidP="00FF685A">
            <w:pPr>
              <w:pStyle w:val="NoSpacing"/>
            </w:pPr>
            <w:r>
              <w:t>Chief of Bureau (JFTC)</w:t>
            </w:r>
          </w:p>
          <w:p w14:paraId="3DBA50DF" w14:textId="77777777" w:rsidR="00DB7425" w:rsidRDefault="00DB7425" w:rsidP="00FF685A">
            <w:pPr>
              <w:pStyle w:val="NoSpacing"/>
            </w:pPr>
            <w:r>
              <w:t>Deputy Chief of Bureau (JFTC)</w:t>
            </w:r>
          </w:p>
          <w:p w14:paraId="2FBD3E00" w14:textId="77777777" w:rsidR="00DB7425" w:rsidRDefault="00DB7425" w:rsidP="00FF685A">
            <w:pPr>
              <w:pStyle w:val="NoSpacing"/>
            </w:pPr>
            <w:r>
              <w:t>Division Director (JFTC)</w:t>
            </w:r>
          </w:p>
          <w:p w14:paraId="0A004851" w14:textId="77777777" w:rsidR="00DB7425" w:rsidRDefault="00DB7425" w:rsidP="00FF685A">
            <w:pPr>
              <w:pStyle w:val="NoSpacing"/>
            </w:pPr>
            <w:r>
              <w:t>Deputy Division Director (JFTC)</w:t>
            </w:r>
          </w:p>
          <w:p w14:paraId="47E2F563" w14:textId="77777777" w:rsidR="00DB7425" w:rsidRDefault="00DB7425" w:rsidP="00FF685A">
            <w:pPr>
              <w:pStyle w:val="NoSpacing"/>
            </w:pPr>
            <w:r>
              <w:t>Embassy of Japan in the US</w:t>
            </w:r>
          </w:p>
        </w:tc>
      </w:tr>
      <w:tr w:rsidR="00DB7425" w14:paraId="55708318" w14:textId="77777777" w:rsidTr="00FF685A">
        <w:tc>
          <w:tcPr>
            <w:tcW w:w="534" w:type="dxa"/>
          </w:tcPr>
          <w:p w14:paraId="59A9B321" w14:textId="77777777" w:rsidR="00DB7425" w:rsidRDefault="00DB7425" w:rsidP="00FF685A">
            <w:pPr>
              <w:pStyle w:val="NoSpacing"/>
            </w:pPr>
            <w:r>
              <w:t>3</w:t>
            </w:r>
          </w:p>
        </w:tc>
        <w:tc>
          <w:tcPr>
            <w:tcW w:w="3969" w:type="dxa"/>
          </w:tcPr>
          <w:p w14:paraId="5E49E45C" w14:textId="77777777" w:rsidR="00DB7425" w:rsidRDefault="00DB7425" w:rsidP="00FF685A">
            <w:pPr>
              <w:pStyle w:val="NoSpacing"/>
            </w:pPr>
          </w:p>
        </w:tc>
        <w:tc>
          <w:tcPr>
            <w:tcW w:w="4783" w:type="dxa"/>
          </w:tcPr>
          <w:p w14:paraId="53CA826D" w14:textId="77777777" w:rsidR="00DB7425" w:rsidRDefault="00DB7425" w:rsidP="00FF685A">
            <w:pPr>
              <w:pStyle w:val="NoSpacing"/>
            </w:pPr>
            <w:r>
              <w:t>Vice-Minister (MPT)</w:t>
            </w:r>
          </w:p>
          <w:p w14:paraId="1AFA63BF" w14:textId="77777777" w:rsidR="00DB7425" w:rsidRDefault="00DB7425" w:rsidP="00FF685A">
            <w:pPr>
              <w:pStyle w:val="NoSpacing"/>
            </w:pPr>
            <w:r>
              <w:t>Chief of Bureau (MPT)</w:t>
            </w:r>
          </w:p>
          <w:p w14:paraId="12D14931" w14:textId="77777777" w:rsidR="00DB7425" w:rsidRDefault="00DB7425" w:rsidP="00FF685A">
            <w:pPr>
              <w:pStyle w:val="NoSpacing"/>
            </w:pPr>
            <w:r>
              <w:t>Chief of Department (MPT)</w:t>
            </w:r>
          </w:p>
          <w:p w14:paraId="01F19620" w14:textId="77777777" w:rsidR="00DB7425" w:rsidRDefault="00DB7425" w:rsidP="00FF685A">
            <w:pPr>
              <w:pStyle w:val="NoSpacing"/>
            </w:pPr>
            <w:r>
              <w:t>Division Director (MPT)</w:t>
            </w:r>
          </w:p>
          <w:p w14:paraId="2C18FB61" w14:textId="77777777" w:rsidR="00DB7425" w:rsidRDefault="00DB7425" w:rsidP="00FF685A">
            <w:pPr>
              <w:pStyle w:val="NoSpacing"/>
            </w:pPr>
            <w:r>
              <w:t>Deputy Division Director (MPT)</w:t>
            </w:r>
          </w:p>
        </w:tc>
      </w:tr>
      <w:tr w:rsidR="00DB7425" w14:paraId="626FE2A9" w14:textId="77777777" w:rsidTr="00FF685A">
        <w:tc>
          <w:tcPr>
            <w:tcW w:w="534" w:type="dxa"/>
          </w:tcPr>
          <w:p w14:paraId="58620BCE" w14:textId="77777777" w:rsidR="00DB7425" w:rsidRDefault="00DB7425" w:rsidP="00FF685A">
            <w:pPr>
              <w:pStyle w:val="NoSpacing"/>
            </w:pPr>
            <w:r>
              <w:t>4</w:t>
            </w:r>
          </w:p>
        </w:tc>
        <w:tc>
          <w:tcPr>
            <w:tcW w:w="3969" w:type="dxa"/>
          </w:tcPr>
          <w:p w14:paraId="446BC0BE" w14:textId="77777777" w:rsidR="00DB7425" w:rsidRDefault="00DB7425" w:rsidP="00FF685A">
            <w:pPr>
              <w:pStyle w:val="NoSpacing"/>
            </w:pPr>
            <w:r>
              <w:t xml:space="preserve">Member, HOR (DPJ) </w:t>
            </w:r>
          </w:p>
          <w:p w14:paraId="74CE09DE" w14:textId="77777777" w:rsidR="00DB7425" w:rsidRDefault="00DB7425" w:rsidP="00FF685A">
            <w:pPr>
              <w:pStyle w:val="NoSpacing"/>
            </w:pPr>
            <w:r>
              <w:t>Member, Internal Affairs and Communications Standing Committee</w:t>
            </w:r>
          </w:p>
        </w:tc>
        <w:tc>
          <w:tcPr>
            <w:tcW w:w="4783" w:type="dxa"/>
          </w:tcPr>
          <w:p w14:paraId="1F5D897A" w14:textId="77777777" w:rsidR="00DB7425" w:rsidRDefault="00DB7425" w:rsidP="00FF685A">
            <w:pPr>
              <w:pStyle w:val="NoSpacing"/>
            </w:pPr>
          </w:p>
        </w:tc>
      </w:tr>
      <w:tr w:rsidR="00DB7425" w14:paraId="2857243F" w14:textId="77777777" w:rsidTr="00FF685A">
        <w:tc>
          <w:tcPr>
            <w:tcW w:w="534" w:type="dxa"/>
          </w:tcPr>
          <w:p w14:paraId="79576953" w14:textId="77777777" w:rsidR="00DB7425" w:rsidRDefault="00DB7425" w:rsidP="00FF685A">
            <w:pPr>
              <w:pStyle w:val="NoSpacing"/>
            </w:pPr>
            <w:r>
              <w:t>5</w:t>
            </w:r>
          </w:p>
        </w:tc>
        <w:tc>
          <w:tcPr>
            <w:tcW w:w="3969" w:type="dxa"/>
          </w:tcPr>
          <w:p w14:paraId="29707FA1" w14:textId="77777777" w:rsidR="00DB7425" w:rsidRDefault="00DB7425" w:rsidP="00FF685A">
            <w:pPr>
              <w:pStyle w:val="NoSpacing"/>
            </w:pPr>
          </w:p>
        </w:tc>
        <w:tc>
          <w:tcPr>
            <w:tcW w:w="4783" w:type="dxa"/>
          </w:tcPr>
          <w:p w14:paraId="5BDCFB4F" w14:textId="77777777" w:rsidR="00DB7425" w:rsidRDefault="00DB7425" w:rsidP="00FF685A">
            <w:pPr>
              <w:pStyle w:val="NoSpacing"/>
            </w:pPr>
            <w:r>
              <w:t>Secretary-General (JFTC)</w:t>
            </w:r>
          </w:p>
          <w:p w14:paraId="47A1EBE7" w14:textId="77777777" w:rsidR="00DB7425" w:rsidRDefault="00DB7425" w:rsidP="00FF685A">
            <w:pPr>
              <w:pStyle w:val="NoSpacing"/>
            </w:pPr>
            <w:r>
              <w:t>Chief of Bureau (JFTC)</w:t>
            </w:r>
          </w:p>
          <w:p w14:paraId="29E3CD78" w14:textId="77777777" w:rsidR="00DB7425" w:rsidRDefault="00DB7425" w:rsidP="00FF685A">
            <w:pPr>
              <w:pStyle w:val="NoSpacing"/>
            </w:pPr>
            <w:r>
              <w:t>Deputy Chief of Bureau (JFTC)</w:t>
            </w:r>
          </w:p>
          <w:p w14:paraId="234E3230" w14:textId="77777777" w:rsidR="00DB7425" w:rsidRDefault="00DB7425" w:rsidP="00FF685A">
            <w:pPr>
              <w:pStyle w:val="NoSpacing"/>
            </w:pPr>
            <w:r>
              <w:t>Division Director (JFTC)</w:t>
            </w:r>
          </w:p>
          <w:p w14:paraId="09E81AC1" w14:textId="77777777" w:rsidR="00DB7425" w:rsidRDefault="00DB7425" w:rsidP="00FF685A">
            <w:pPr>
              <w:pStyle w:val="NoSpacing"/>
            </w:pPr>
            <w:r>
              <w:t>Deputy Division Director (JFTC)</w:t>
            </w:r>
          </w:p>
        </w:tc>
      </w:tr>
      <w:tr w:rsidR="00DB7425" w14:paraId="5DFB3580" w14:textId="77777777" w:rsidTr="00FF685A">
        <w:tc>
          <w:tcPr>
            <w:tcW w:w="534" w:type="dxa"/>
          </w:tcPr>
          <w:p w14:paraId="32165F54" w14:textId="77777777" w:rsidR="00DB7425" w:rsidRDefault="00DB7425" w:rsidP="00FF685A">
            <w:pPr>
              <w:pStyle w:val="NoSpacing"/>
            </w:pPr>
            <w:r>
              <w:t>6</w:t>
            </w:r>
          </w:p>
        </w:tc>
        <w:tc>
          <w:tcPr>
            <w:tcW w:w="3969" w:type="dxa"/>
          </w:tcPr>
          <w:p w14:paraId="1F53D636" w14:textId="77777777" w:rsidR="00DB7425" w:rsidRDefault="00DB7425" w:rsidP="00FF685A">
            <w:pPr>
              <w:pStyle w:val="NoSpacing"/>
            </w:pPr>
            <w:r>
              <w:t>Division Director (MIC)</w:t>
            </w:r>
          </w:p>
        </w:tc>
        <w:tc>
          <w:tcPr>
            <w:tcW w:w="4783" w:type="dxa"/>
          </w:tcPr>
          <w:p w14:paraId="6E4D8E09" w14:textId="77777777" w:rsidR="00DB7425" w:rsidRDefault="00DB7425" w:rsidP="00FF685A">
            <w:pPr>
              <w:pStyle w:val="NoSpacing"/>
            </w:pPr>
            <w:r>
              <w:t>Embassy of Japan in the US</w:t>
            </w:r>
          </w:p>
          <w:p w14:paraId="304EE6DB" w14:textId="77777777" w:rsidR="00DB7425" w:rsidRDefault="00DB7425" w:rsidP="00FF685A">
            <w:pPr>
              <w:pStyle w:val="NoSpacing"/>
            </w:pPr>
            <w:r>
              <w:t>Deputy Division Director (MPT)</w:t>
            </w:r>
          </w:p>
        </w:tc>
      </w:tr>
      <w:tr w:rsidR="00DB7425" w14:paraId="60133CC5" w14:textId="77777777" w:rsidTr="00FF685A">
        <w:tc>
          <w:tcPr>
            <w:tcW w:w="534" w:type="dxa"/>
          </w:tcPr>
          <w:p w14:paraId="09405675" w14:textId="77777777" w:rsidR="00DB7425" w:rsidRDefault="00DB7425" w:rsidP="00FF685A">
            <w:pPr>
              <w:pStyle w:val="NoSpacing"/>
            </w:pPr>
            <w:r>
              <w:t>7</w:t>
            </w:r>
          </w:p>
        </w:tc>
        <w:tc>
          <w:tcPr>
            <w:tcW w:w="3969" w:type="dxa"/>
          </w:tcPr>
          <w:p w14:paraId="044169A6" w14:textId="77777777" w:rsidR="00DB7425" w:rsidRDefault="00DB7425" w:rsidP="00FF685A">
            <w:pPr>
              <w:pStyle w:val="NoSpacing"/>
            </w:pPr>
            <w:r>
              <w:t>Senior civil servant (MIC)</w:t>
            </w:r>
          </w:p>
        </w:tc>
        <w:tc>
          <w:tcPr>
            <w:tcW w:w="4783" w:type="dxa"/>
          </w:tcPr>
          <w:p w14:paraId="5C7EC00C" w14:textId="77777777" w:rsidR="00DB7425" w:rsidRDefault="00DB7425" w:rsidP="00FF685A">
            <w:pPr>
              <w:pStyle w:val="NoSpacing"/>
            </w:pPr>
            <w:r>
              <w:t>Chief of Bureau (MIC)</w:t>
            </w:r>
          </w:p>
          <w:p w14:paraId="059A75CA" w14:textId="77777777" w:rsidR="00DB7425" w:rsidRDefault="00DB7425" w:rsidP="00FF685A">
            <w:pPr>
              <w:pStyle w:val="NoSpacing"/>
            </w:pPr>
            <w:r>
              <w:t xml:space="preserve">Deputy Chief of Bureau (MIC) </w:t>
            </w:r>
          </w:p>
          <w:p w14:paraId="11A5694D" w14:textId="77777777" w:rsidR="00DB7425" w:rsidRDefault="00DB7425" w:rsidP="00FF685A">
            <w:pPr>
              <w:pStyle w:val="NoSpacing"/>
            </w:pPr>
            <w:r>
              <w:t>Division Director (MPT/MIC)</w:t>
            </w:r>
          </w:p>
          <w:p w14:paraId="11C57B2E" w14:textId="77777777" w:rsidR="00DB7425" w:rsidRDefault="00DB7425" w:rsidP="00FF685A">
            <w:pPr>
              <w:pStyle w:val="NoSpacing"/>
            </w:pPr>
            <w:r>
              <w:t>Deputy Division Director (MPT)</w:t>
            </w:r>
          </w:p>
        </w:tc>
      </w:tr>
      <w:tr w:rsidR="00DB7425" w14:paraId="34F9F008" w14:textId="77777777" w:rsidTr="00FF685A">
        <w:tc>
          <w:tcPr>
            <w:tcW w:w="534" w:type="dxa"/>
          </w:tcPr>
          <w:p w14:paraId="5D0F4016" w14:textId="77777777" w:rsidR="00DB7425" w:rsidRDefault="00DB7425" w:rsidP="00FF685A">
            <w:pPr>
              <w:pStyle w:val="NoSpacing"/>
            </w:pPr>
            <w:r>
              <w:t>8</w:t>
            </w:r>
          </w:p>
        </w:tc>
        <w:tc>
          <w:tcPr>
            <w:tcW w:w="3969" w:type="dxa"/>
          </w:tcPr>
          <w:p w14:paraId="2D1A62C3" w14:textId="77777777" w:rsidR="00DB7425" w:rsidRDefault="00DB7425" w:rsidP="00FF685A">
            <w:pPr>
              <w:pStyle w:val="NoSpacing"/>
            </w:pPr>
            <w:r>
              <w:t>Member, HOC (LDP)</w:t>
            </w:r>
          </w:p>
          <w:p w14:paraId="684B935A" w14:textId="77777777" w:rsidR="00DB7425" w:rsidRDefault="00DB7425" w:rsidP="00FF685A">
            <w:pPr>
              <w:pStyle w:val="NoSpacing"/>
            </w:pPr>
            <w:r>
              <w:t>Member, Internal Affairs and Communications Standing Committee</w:t>
            </w:r>
          </w:p>
        </w:tc>
        <w:tc>
          <w:tcPr>
            <w:tcW w:w="4783" w:type="dxa"/>
          </w:tcPr>
          <w:p w14:paraId="3660CC99" w14:textId="77777777" w:rsidR="00DB7425" w:rsidRDefault="00DB7425" w:rsidP="00FF685A">
            <w:pPr>
              <w:pStyle w:val="NoSpacing"/>
            </w:pPr>
            <w:r>
              <w:t>Chairman, Internal Affairs and Communications Standing Committee (HOC)</w:t>
            </w:r>
          </w:p>
          <w:p w14:paraId="3A95C873" w14:textId="77777777" w:rsidR="00DB7425" w:rsidRDefault="00DB7425" w:rsidP="00FF685A">
            <w:pPr>
              <w:pStyle w:val="NoSpacing"/>
            </w:pPr>
            <w:r>
              <w:t>Parliamentary Secretary (MIC)</w:t>
            </w:r>
          </w:p>
          <w:p w14:paraId="1F37A677" w14:textId="77777777" w:rsidR="00DB7425" w:rsidRDefault="00DB7425" w:rsidP="00FF685A">
            <w:pPr>
              <w:pStyle w:val="NoSpacing"/>
            </w:pPr>
            <w:r>
              <w:t>Manager, NTT</w:t>
            </w:r>
          </w:p>
        </w:tc>
      </w:tr>
      <w:tr w:rsidR="00DB7425" w14:paraId="4F2EA60F" w14:textId="77777777" w:rsidTr="00FF685A">
        <w:tc>
          <w:tcPr>
            <w:tcW w:w="534" w:type="dxa"/>
          </w:tcPr>
          <w:p w14:paraId="737A43B6" w14:textId="77777777" w:rsidR="00DB7425" w:rsidRDefault="00DB7425" w:rsidP="00FF685A">
            <w:pPr>
              <w:pStyle w:val="NoSpacing"/>
            </w:pPr>
            <w:r>
              <w:t>9</w:t>
            </w:r>
          </w:p>
        </w:tc>
        <w:tc>
          <w:tcPr>
            <w:tcW w:w="3969" w:type="dxa"/>
          </w:tcPr>
          <w:p w14:paraId="34849108" w14:textId="77777777" w:rsidR="00DB7425" w:rsidRDefault="00DB7425" w:rsidP="00FF685A">
            <w:pPr>
              <w:pStyle w:val="NoSpacing"/>
            </w:pPr>
            <w:r>
              <w:t>Member, HOR (DPJ)</w:t>
            </w:r>
          </w:p>
        </w:tc>
        <w:tc>
          <w:tcPr>
            <w:tcW w:w="4783" w:type="dxa"/>
          </w:tcPr>
          <w:p w14:paraId="5CBCB9BE" w14:textId="77777777" w:rsidR="00DB7425" w:rsidRDefault="00DB7425" w:rsidP="00FF685A">
            <w:pPr>
              <w:pStyle w:val="NoSpacing"/>
            </w:pPr>
            <w:r>
              <w:t>Deputy Division Director (MIC)</w:t>
            </w:r>
          </w:p>
        </w:tc>
      </w:tr>
      <w:tr w:rsidR="00DB7425" w14:paraId="45675BE6" w14:textId="77777777" w:rsidTr="00FF685A">
        <w:tc>
          <w:tcPr>
            <w:tcW w:w="534" w:type="dxa"/>
          </w:tcPr>
          <w:p w14:paraId="4BA566D7" w14:textId="77777777" w:rsidR="00DB7425" w:rsidRDefault="00DB7425" w:rsidP="00FF685A">
            <w:pPr>
              <w:pStyle w:val="NoSpacing"/>
            </w:pPr>
            <w:r>
              <w:t>10</w:t>
            </w:r>
          </w:p>
        </w:tc>
        <w:tc>
          <w:tcPr>
            <w:tcW w:w="3969" w:type="dxa"/>
          </w:tcPr>
          <w:p w14:paraId="23671455" w14:textId="77777777" w:rsidR="00DB7425" w:rsidRDefault="00DB7425" w:rsidP="00FF685A">
            <w:pPr>
              <w:pStyle w:val="NoSpacing"/>
            </w:pPr>
            <w:r>
              <w:t xml:space="preserve">Head of the Secretariat </w:t>
            </w:r>
          </w:p>
          <w:p w14:paraId="4483CCA2" w14:textId="77777777" w:rsidR="00DB7425" w:rsidRDefault="00DB7425" w:rsidP="00FF685A">
            <w:pPr>
              <w:pStyle w:val="NoSpacing"/>
            </w:pPr>
            <w:r>
              <w:t>(a consumer organisation)</w:t>
            </w:r>
          </w:p>
        </w:tc>
        <w:tc>
          <w:tcPr>
            <w:tcW w:w="4783" w:type="dxa"/>
          </w:tcPr>
          <w:p w14:paraId="0F4E2ED5" w14:textId="77777777" w:rsidR="00DB7425" w:rsidRDefault="00DB7425" w:rsidP="00FF685A">
            <w:pPr>
              <w:pStyle w:val="NoSpacing"/>
            </w:pPr>
          </w:p>
        </w:tc>
      </w:tr>
      <w:tr w:rsidR="00DB7425" w14:paraId="5CC3C72D" w14:textId="77777777" w:rsidTr="00FF685A">
        <w:tc>
          <w:tcPr>
            <w:tcW w:w="534" w:type="dxa"/>
          </w:tcPr>
          <w:p w14:paraId="293D5B13" w14:textId="77777777" w:rsidR="00DB7425" w:rsidRDefault="00DB7425" w:rsidP="00FF685A">
            <w:pPr>
              <w:pStyle w:val="NoSpacing"/>
            </w:pPr>
            <w:r>
              <w:t>11</w:t>
            </w:r>
          </w:p>
        </w:tc>
        <w:tc>
          <w:tcPr>
            <w:tcW w:w="3969" w:type="dxa"/>
          </w:tcPr>
          <w:p w14:paraId="31DBBD8C" w14:textId="77777777" w:rsidR="00DB7425" w:rsidRDefault="00DB7425" w:rsidP="00FF685A">
            <w:pPr>
              <w:pStyle w:val="NoSpacing"/>
            </w:pPr>
            <w:r>
              <w:t>Member, HOR (DPJ)</w:t>
            </w:r>
          </w:p>
        </w:tc>
        <w:tc>
          <w:tcPr>
            <w:tcW w:w="4783" w:type="dxa"/>
          </w:tcPr>
          <w:p w14:paraId="56036EF0" w14:textId="77777777" w:rsidR="00DB7425" w:rsidRDefault="00DB7425" w:rsidP="00FF685A">
            <w:pPr>
              <w:pStyle w:val="NoSpacing"/>
            </w:pPr>
            <w:r>
              <w:t>Parliamentary Secretary (responsible for the JFTC)</w:t>
            </w:r>
          </w:p>
        </w:tc>
      </w:tr>
      <w:tr w:rsidR="00DB7425" w14:paraId="3ADF4B27" w14:textId="77777777" w:rsidTr="00FF685A">
        <w:tc>
          <w:tcPr>
            <w:tcW w:w="534" w:type="dxa"/>
          </w:tcPr>
          <w:p w14:paraId="5DBCE8F4" w14:textId="77777777" w:rsidR="00DB7425" w:rsidRDefault="00DB7425" w:rsidP="00FF685A">
            <w:pPr>
              <w:pStyle w:val="NoSpacing"/>
            </w:pPr>
            <w:r>
              <w:t>12</w:t>
            </w:r>
          </w:p>
        </w:tc>
        <w:tc>
          <w:tcPr>
            <w:tcW w:w="3969" w:type="dxa"/>
          </w:tcPr>
          <w:p w14:paraId="3341D027" w14:textId="77777777" w:rsidR="00DB7425" w:rsidRDefault="00DB7425" w:rsidP="00FF685A">
            <w:pPr>
              <w:pStyle w:val="NoSpacing"/>
            </w:pPr>
            <w:r>
              <w:t>Division Director class (JFTC)</w:t>
            </w:r>
          </w:p>
        </w:tc>
        <w:tc>
          <w:tcPr>
            <w:tcW w:w="4783" w:type="dxa"/>
          </w:tcPr>
          <w:p w14:paraId="7EDB3724" w14:textId="77777777" w:rsidR="00DB7425" w:rsidRDefault="00DB7425" w:rsidP="00FF685A">
            <w:pPr>
              <w:pStyle w:val="NoSpacing"/>
            </w:pPr>
            <w:r>
              <w:t>Deputy Division Director (JFTC)</w:t>
            </w:r>
          </w:p>
        </w:tc>
      </w:tr>
      <w:tr w:rsidR="00DB7425" w14:paraId="67C81B69" w14:textId="77777777" w:rsidTr="00FF685A">
        <w:tc>
          <w:tcPr>
            <w:tcW w:w="534" w:type="dxa"/>
          </w:tcPr>
          <w:p w14:paraId="2352E060" w14:textId="77777777" w:rsidR="00DB7425" w:rsidRDefault="00DB7425" w:rsidP="00FF685A">
            <w:pPr>
              <w:pStyle w:val="NoSpacing"/>
            </w:pPr>
            <w:r>
              <w:t>13</w:t>
            </w:r>
          </w:p>
        </w:tc>
        <w:tc>
          <w:tcPr>
            <w:tcW w:w="3969" w:type="dxa"/>
          </w:tcPr>
          <w:p w14:paraId="3D76881C" w14:textId="77777777" w:rsidR="00DB7425" w:rsidRDefault="00DB7425" w:rsidP="00FF685A">
            <w:pPr>
              <w:pStyle w:val="NoSpacing"/>
            </w:pPr>
            <w:r>
              <w:t>Member, HOR (LDP)</w:t>
            </w:r>
          </w:p>
        </w:tc>
        <w:tc>
          <w:tcPr>
            <w:tcW w:w="4783" w:type="dxa"/>
          </w:tcPr>
          <w:p w14:paraId="07506DB9" w14:textId="77777777" w:rsidR="00DB7425" w:rsidRDefault="00DB7425" w:rsidP="00FF685A">
            <w:pPr>
              <w:pStyle w:val="NoSpacing"/>
            </w:pPr>
            <w:r>
              <w:t>Chief Cabinet Secretary</w:t>
            </w:r>
          </w:p>
          <w:p w14:paraId="338DF3A0" w14:textId="77777777" w:rsidR="00DB7425" w:rsidRDefault="00DB7425" w:rsidP="00FF685A">
            <w:pPr>
              <w:pStyle w:val="NoSpacing"/>
            </w:pPr>
            <w:r>
              <w:t>Head of Secretariat, AMA Examination Committee (LDP)</w:t>
            </w:r>
          </w:p>
        </w:tc>
      </w:tr>
      <w:tr w:rsidR="00DB7425" w:rsidRPr="00E871E0" w14:paraId="26245969" w14:textId="77777777" w:rsidTr="00FF685A">
        <w:tc>
          <w:tcPr>
            <w:tcW w:w="534" w:type="dxa"/>
          </w:tcPr>
          <w:p w14:paraId="02D086A1" w14:textId="77777777" w:rsidR="00DB7425" w:rsidRDefault="00DB7425" w:rsidP="00FF685A">
            <w:pPr>
              <w:pStyle w:val="NoSpacing"/>
            </w:pPr>
            <w:r>
              <w:t>14</w:t>
            </w:r>
          </w:p>
        </w:tc>
        <w:tc>
          <w:tcPr>
            <w:tcW w:w="3969" w:type="dxa"/>
          </w:tcPr>
          <w:p w14:paraId="14C98F28" w14:textId="77777777" w:rsidR="00DB7425" w:rsidRDefault="00DB7425" w:rsidP="001B6C05">
            <w:pPr>
              <w:pStyle w:val="NoSpacing"/>
              <w:numPr>
                <w:ilvl w:val="0"/>
                <w:numId w:val="62"/>
              </w:numPr>
            </w:pPr>
            <w:r w:rsidRPr="00940E72">
              <w:t>General Manager, President’s Office</w:t>
            </w:r>
          </w:p>
          <w:p w14:paraId="13859BA5" w14:textId="77777777" w:rsidR="00DB7425" w:rsidRPr="00E871E0" w:rsidRDefault="00DB7425" w:rsidP="00FF685A">
            <w:pPr>
              <w:pStyle w:val="NoSpacing"/>
              <w:ind w:left="420"/>
            </w:pPr>
            <w:r w:rsidRPr="00940E72">
              <w:t>(a telecoms operator)</w:t>
            </w:r>
          </w:p>
        </w:tc>
        <w:tc>
          <w:tcPr>
            <w:tcW w:w="4783" w:type="dxa"/>
          </w:tcPr>
          <w:p w14:paraId="07B0D692" w14:textId="77777777" w:rsidR="00DB7425" w:rsidRPr="00E871E0" w:rsidRDefault="00DB7425" w:rsidP="00FF685A">
            <w:pPr>
              <w:pStyle w:val="NoSpacing"/>
            </w:pPr>
            <w:r w:rsidRPr="00940E72">
              <w:t>Member, H</w:t>
            </w:r>
            <w:r>
              <w:t>OR</w:t>
            </w:r>
            <w:r w:rsidRPr="00940E72">
              <w:t xml:space="preserve"> (DPJ)</w:t>
            </w:r>
          </w:p>
        </w:tc>
      </w:tr>
      <w:tr w:rsidR="00DB7425" w:rsidRPr="00940E72" w14:paraId="357C2E69" w14:textId="77777777" w:rsidTr="00FF685A">
        <w:tc>
          <w:tcPr>
            <w:tcW w:w="534" w:type="dxa"/>
          </w:tcPr>
          <w:p w14:paraId="5B86D7BA" w14:textId="77777777" w:rsidR="00DB7425" w:rsidRDefault="00DB7425" w:rsidP="00FF685A">
            <w:pPr>
              <w:pStyle w:val="NoSpacing"/>
            </w:pPr>
            <w:r>
              <w:t>14</w:t>
            </w:r>
          </w:p>
        </w:tc>
        <w:tc>
          <w:tcPr>
            <w:tcW w:w="3969" w:type="dxa"/>
          </w:tcPr>
          <w:p w14:paraId="5F0ED874" w14:textId="77777777" w:rsidR="00DB7425" w:rsidRPr="00940E72" w:rsidRDefault="00DB7425" w:rsidP="001B6C05">
            <w:pPr>
              <w:pStyle w:val="NoSpacing"/>
              <w:numPr>
                <w:ilvl w:val="0"/>
                <w:numId w:val="62"/>
              </w:numPr>
            </w:pPr>
            <w:r w:rsidRPr="00940E72">
              <w:t>Advisor (a telecoms operator)</w:t>
            </w:r>
          </w:p>
        </w:tc>
        <w:tc>
          <w:tcPr>
            <w:tcW w:w="4783" w:type="dxa"/>
          </w:tcPr>
          <w:p w14:paraId="5792CAD5" w14:textId="77777777" w:rsidR="00DB7425" w:rsidRPr="00940E72" w:rsidRDefault="00DB7425" w:rsidP="00FF685A">
            <w:pPr>
              <w:pStyle w:val="NoSpacing"/>
            </w:pPr>
            <w:r w:rsidRPr="00940E72">
              <w:t>CTO (a telecom operator)</w:t>
            </w:r>
          </w:p>
        </w:tc>
      </w:tr>
    </w:tbl>
    <w:p w14:paraId="780D5499" w14:textId="77777777" w:rsidR="00DB7425" w:rsidRDefault="00DB7425" w:rsidP="00DB7425">
      <w:pPr>
        <w:pStyle w:val="NoSpacing"/>
        <w:rPr>
          <w:lang w:eastAsia="ja-JP"/>
        </w:rPr>
      </w:pPr>
    </w:p>
    <w:p w14:paraId="32736559" w14:textId="77777777" w:rsidR="00DB7425" w:rsidRDefault="00DB7425" w:rsidP="00DB7425">
      <w:pPr>
        <w:pStyle w:val="NoSpacing"/>
        <w:rPr>
          <w:lang w:eastAsia="ja-JP"/>
        </w:rPr>
      </w:pPr>
    </w:p>
    <w:tbl>
      <w:tblPr>
        <w:tblStyle w:val="TableGrid"/>
        <w:tblW w:w="0" w:type="auto"/>
        <w:tblLayout w:type="fixed"/>
        <w:tblLook w:val="04A0" w:firstRow="1" w:lastRow="0" w:firstColumn="1" w:lastColumn="0" w:noHBand="0" w:noVBand="1"/>
      </w:tblPr>
      <w:tblGrid>
        <w:gridCol w:w="534"/>
        <w:gridCol w:w="3969"/>
        <w:gridCol w:w="4783"/>
      </w:tblGrid>
      <w:tr w:rsidR="00DB7425" w14:paraId="6F7C4C0E" w14:textId="77777777" w:rsidTr="00FF685A">
        <w:tc>
          <w:tcPr>
            <w:tcW w:w="534" w:type="dxa"/>
          </w:tcPr>
          <w:p w14:paraId="1003D33D" w14:textId="77777777" w:rsidR="00DB7425" w:rsidRDefault="00DB7425" w:rsidP="00FF685A">
            <w:pPr>
              <w:pStyle w:val="NoSpacing"/>
            </w:pPr>
            <w:r>
              <w:t>15</w:t>
            </w:r>
          </w:p>
        </w:tc>
        <w:tc>
          <w:tcPr>
            <w:tcW w:w="3969" w:type="dxa"/>
          </w:tcPr>
          <w:p w14:paraId="7DCB7EB5" w14:textId="77777777" w:rsidR="00DB7425" w:rsidRDefault="00DB7425" w:rsidP="00FF685A">
            <w:pPr>
              <w:pStyle w:val="NoSpacing"/>
            </w:pPr>
            <w:r>
              <w:t>Vice Chairman, Member of the Board</w:t>
            </w:r>
          </w:p>
          <w:p w14:paraId="02C8E4C3" w14:textId="77777777" w:rsidR="00DB7425" w:rsidRDefault="00DB7425" w:rsidP="00FF685A">
            <w:pPr>
              <w:pStyle w:val="NoSpacing"/>
            </w:pPr>
            <w:r>
              <w:t>(a telecoms operator)</w:t>
            </w:r>
          </w:p>
        </w:tc>
        <w:tc>
          <w:tcPr>
            <w:tcW w:w="4783" w:type="dxa"/>
          </w:tcPr>
          <w:p w14:paraId="6FFCBBD1" w14:textId="77777777" w:rsidR="00DB7425" w:rsidRDefault="00DB7425" w:rsidP="00FF685A">
            <w:pPr>
              <w:pStyle w:val="NoSpacing"/>
            </w:pPr>
            <w:r>
              <w:t>Vice-Minister for Policy Coordination (MIC)</w:t>
            </w:r>
          </w:p>
          <w:p w14:paraId="4DBE3CDC" w14:textId="77777777" w:rsidR="00DB7425" w:rsidRDefault="00DB7425" w:rsidP="00FF685A">
            <w:pPr>
              <w:pStyle w:val="NoSpacing"/>
            </w:pPr>
            <w:r>
              <w:t>Chief of Bureau (MIC)</w:t>
            </w:r>
          </w:p>
          <w:p w14:paraId="16319F1D" w14:textId="77777777" w:rsidR="00DB7425" w:rsidRDefault="00DB7425" w:rsidP="00FF685A">
            <w:pPr>
              <w:pStyle w:val="NoSpacing"/>
            </w:pPr>
            <w:r>
              <w:t>Chief of Department (MPT)</w:t>
            </w:r>
          </w:p>
          <w:p w14:paraId="08B1D130" w14:textId="77777777" w:rsidR="00DB7425" w:rsidRDefault="00DB7425" w:rsidP="00FF685A">
            <w:pPr>
              <w:pStyle w:val="NoSpacing"/>
            </w:pPr>
            <w:r>
              <w:t>Division Director (MPT)</w:t>
            </w:r>
          </w:p>
          <w:p w14:paraId="28B2D403" w14:textId="77777777" w:rsidR="00DB7425" w:rsidRDefault="00DB7425" w:rsidP="00FF685A">
            <w:pPr>
              <w:pStyle w:val="NoSpacing"/>
            </w:pPr>
            <w:r>
              <w:t>Embassy of Japan in the US</w:t>
            </w:r>
          </w:p>
        </w:tc>
      </w:tr>
      <w:tr w:rsidR="00DB7425" w14:paraId="6FFAFC9F" w14:textId="77777777" w:rsidTr="00FF685A">
        <w:tc>
          <w:tcPr>
            <w:tcW w:w="534" w:type="dxa"/>
          </w:tcPr>
          <w:p w14:paraId="0E7EB48B" w14:textId="77777777" w:rsidR="00DB7425" w:rsidRDefault="00DB7425" w:rsidP="00FF685A">
            <w:pPr>
              <w:pStyle w:val="NoSpacing"/>
            </w:pPr>
            <w:r>
              <w:t>16</w:t>
            </w:r>
          </w:p>
        </w:tc>
        <w:tc>
          <w:tcPr>
            <w:tcW w:w="3969" w:type="dxa"/>
          </w:tcPr>
          <w:p w14:paraId="2DE0EAED" w14:textId="77777777" w:rsidR="00DB7425" w:rsidRDefault="00DB7425" w:rsidP="00FF685A">
            <w:pPr>
              <w:pStyle w:val="NoSpacing"/>
            </w:pPr>
            <w:r>
              <w:t>Attorney at Law</w:t>
            </w:r>
          </w:p>
        </w:tc>
        <w:tc>
          <w:tcPr>
            <w:tcW w:w="4783" w:type="dxa"/>
          </w:tcPr>
          <w:p w14:paraId="28A142F1" w14:textId="77777777" w:rsidR="00DB7425" w:rsidRDefault="00DB7425" w:rsidP="00FF685A">
            <w:pPr>
              <w:pStyle w:val="NoSpacing"/>
            </w:pPr>
            <w:r>
              <w:t>Minister of Justice</w:t>
            </w:r>
          </w:p>
          <w:p w14:paraId="4D91DDE8" w14:textId="77777777" w:rsidR="00DB7425" w:rsidRDefault="00DB7425" w:rsidP="00FF685A">
            <w:pPr>
              <w:pStyle w:val="NoSpacing"/>
            </w:pPr>
            <w:r>
              <w:t>Member, HOR</w:t>
            </w:r>
          </w:p>
        </w:tc>
      </w:tr>
      <w:tr w:rsidR="00DB7425" w14:paraId="411C0DF9" w14:textId="77777777" w:rsidTr="00FF685A">
        <w:tc>
          <w:tcPr>
            <w:tcW w:w="534" w:type="dxa"/>
          </w:tcPr>
          <w:p w14:paraId="0ABA5CD2" w14:textId="77777777" w:rsidR="00DB7425" w:rsidRDefault="00DB7425" w:rsidP="00FF685A">
            <w:pPr>
              <w:pStyle w:val="NoSpacing"/>
            </w:pPr>
            <w:r>
              <w:t>17</w:t>
            </w:r>
          </w:p>
        </w:tc>
        <w:tc>
          <w:tcPr>
            <w:tcW w:w="3969" w:type="dxa"/>
          </w:tcPr>
          <w:p w14:paraId="2A879DE9" w14:textId="77777777" w:rsidR="00DB7425" w:rsidRDefault="00DB7425" w:rsidP="00FF685A">
            <w:pPr>
              <w:pStyle w:val="NoSpacing"/>
            </w:pPr>
            <w:r>
              <w:t xml:space="preserve">Chairman (NPO) </w:t>
            </w:r>
          </w:p>
        </w:tc>
        <w:tc>
          <w:tcPr>
            <w:tcW w:w="4783" w:type="dxa"/>
          </w:tcPr>
          <w:p w14:paraId="2FC1C146" w14:textId="77777777" w:rsidR="00DB7425" w:rsidRDefault="00DB7425" w:rsidP="00FF685A">
            <w:pPr>
              <w:pStyle w:val="NoSpacing"/>
            </w:pPr>
            <w:r>
              <w:t>Secretary-General (People’s New Party)</w:t>
            </w:r>
          </w:p>
          <w:p w14:paraId="372054CD" w14:textId="77777777" w:rsidR="00DB7425" w:rsidRDefault="00DB7425" w:rsidP="00FF685A">
            <w:pPr>
              <w:pStyle w:val="NoSpacing"/>
            </w:pPr>
            <w:r>
              <w:t>Chairman, Communications Standing Committee (HOR)</w:t>
            </w:r>
          </w:p>
          <w:p w14:paraId="6E62030D" w14:textId="77777777" w:rsidR="00DB7425" w:rsidRDefault="00DB7425" w:rsidP="00FF685A">
            <w:pPr>
              <w:pStyle w:val="NoSpacing"/>
            </w:pPr>
            <w:r>
              <w:t>Parliamentary Vice-Minister (MPT)</w:t>
            </w:r>
          </w:p>
        </w:tc>
      </w:tr>
      <w:tr w:rsidR="00DB7425" w14:paraId="16F0E66D" w14:textId="77777777" w:rsidTr="00FF685A">
        <w:tc>
          <w:tcPr>
            <w:tcW w:w="534" w:type="dxa"/>
          </w:tcPr>
          <w:p w14:paraId="6C50D3DC" w14:textId="77777777" w:rsidR="00DB7425" w:rsidRDefault="00DB7425" w:rsidP="00FF685A">
            <w:pPr>
              <w:pStyle w:val="NoSpacing"/>
            </w:pPr>
            <w:r>
              <w:t>18</w:t>
            </w:r>
          </w:p>
        </w:tc>
        <w:tc>
          <w:tcPr>
            <w:tcW w:w="3969" w:type="dxa"/>
          </w:tcPr>
          <w:p w14:paraId="73DC86EB" w14:textId="77777777" w:rsidR="00DB7425" w:rsidRDefault="00DB7425" w:rsidP="00FF685A">
            <w:pPr>
              <w:pStyle w:val="NoSpacing"/>
            </w:pPr>
            <w:r>
              <w:t>Vice Chairman (NPO)</w:t>
            </w:r>
          </w:p>
        </w:tc>
        <w:tc>
          <w:tcPr>
            <w:tcW w:w="4783" w:type="dxa"/>
          </w:tcPr>
          <w:p w14:paraId="6E30EA11" w14:textId="77777777" w:rsidR="00DB7425" w:rsidRDefault="00DB7425" w:rsidP="00FF685A">
            <w:pPr>
              <w:pStyle w:val="NoSpacing"/>
              <w:rPr>
                <w:lang w:eastAsia="ja-JP"/>
              </w:rPr>
            </w:pPr>
            <w:r>
              <w:t>Commissioner</w:t>
            </w:r>
            <w:r>
              <w:rPr>
                <w:rFonts w:hint="eastAsia"/>
                <w:lang w:eastAsia="ja-JP"/>
              </w:rPr>
              <w:t xml:space="preserve"> (</w:t>
            </w:r>
            <w:r>
              <w:t>JFTC</w:t>
            </w:r>
            <w:r>
              <w:rPr>
                <w:rFonts w:hint="eastAsia"/>
                <w:lang w:eastAsia="ja-JP"/>
              </w:rPr>
              <w:t>)</w:t>
            </w:r>
          </w:p>
          <w:p w14:paraId="65908263" w14:textId="77777777" w:rsidR="00DB7425" w:rsidRDefault="00DB7425" w:rsidP="00FF685A">
            <w:pPr>
              <w:pStyle w:val="NoSpacing"/>
              <w:rPr>
                <w:lang w:eastAsia="ja-JP"/>
              </w:rPr>
            </w:pPr>
            <w:r>
              <w:t>Secretary-General</w:t>
            </w:r>
            <w:r>
              <w:rPr>
                <w:rFonts w:hint="eastAsia"/>
                <w:lang w:eastAsia="ja-JP"/>
              </w:rPr>
              <w:t xml:space="preserve"> (</w:t>
            </w:r>
            <w:r>
              <w:t>JFTC</w:t>
            </w:r>
            <w:r>
              <w:rPr>
                <w:rFonts w:hint="eastAsia"/>
                <w:lang w:eastAsia="ja-JP"/>
              </w:rPr>
              <w:t>)</w:t>
            </w:r>
          </w:p>
          <w:p w14:paraId="73E705AD" w14:textId="77777777" w:rsidR="00DB7425" w:rsidRDefault="00DB7425" w:rsidP="00FF685A">
            <w:pPr>
              <w:pStyle w:val="NoSpacing"/>
            </w:pPr>
            <w:r>
              <w:t>Chief of Bureau (JFTC)</w:t>
            </w:r>
          </w:p>
          <w:p w14:paraId="00D1A567" w14:textId="77777777" w:rsidR="00DB7425" w:rsidRDefault="00DB7425" w:rsidP="00FF685A">
            <w:pPr>
              <w:pStyle w:val="NoSpacing"/>
            </w:pPr>
            <w:r>
              <w:t>Deputy Chief of Bureau (JFTC)</w:t>
            </w:r>
          </w:p>
          <w:p w14:paraId="05C31519" w14:textId="77777777" w:rsidR="00DB7425" w:rsidRDefault="00DB7425" w:rsidP="00FF685A">
            <w:pPr>
              <w:pStyle w:val="NoSpacing"/>
            </w:pPr>
            <w:r>
              <w:t>Division Director (JFTC)</w:t>
            </w:r>
          </w:p>
          <w:p w14:paraId="280D07CC" w14:textId="77777777" w:rsidR="00DB7425" w:rsidRDefault="00DB7425" w:rsidP="00FF685A">
            <w:pPr>
              <w:pStyle w:val="NoSpacing"/>
            </w:pPr>
            <w:r>
              <w:t>Deputy Division Director (JFTC)</w:t>
            </w:r>
          </w:p>
        </w:tc>
      </w:tr>
      <w:tr w:rsidR="00DB7425" w14:paraId="5A1A6A99" w14:textId="77777777" w:rsidTr="00FF685A">
        <w:tc>
          <w:tcPr>
            <w:tcW w:w="534" w:type="dxa"/>
          </w:tcPr>
          <w:p w14:paraId="32C49876" w14:textId="77777777" w:rsidR="00DB7425" w:rsidRDefault="00DB7425" w:rsidP="00FF685A">
            <w:pPr>
              <w:pStyle w:val="NoSpacing"/>
            </w:pPr>
            <w:r>
              <w:t>19</w:t>
            </w:r>
          </w:p>
        </w:tc>
        <w:tc>
          <w:tcPr>
            <w:tcW w:w="3969" w:type="dxa"/>
          </w:tcPr>
          <w:p w14:paraId="3B19B32F" w14:textId="77777777" w:rsidR="00DB7425" w:rsidRDefault="00DB7425" w:rsidP="00FF685A">
            <w:pPr>
              <w:pStyle w:val="NoSpacing"/>
            </w:pPr>
            <w:r>
              <w:t>Attorney at Law,</w:t>
            </w:r>
          </w:p>
          <w:p w14:paraId="63FBD8C4" w14:textId="77777777" w:rsidR="00DB7425" w:rsidRDefault="00DB7425" w:rsidP="00FF685A">
            <w:pPr>
              <w:pStyle w:val="NoSpacing"/>
            </w:pPr>
            <w:r>
              <w:t>Professor</w:t>
            </w:r>
          </w:p>
        </w:tc>
        <w:tc>
          <w:tcPr>
            <w:tcW w:w="4783" w:type="dxa"/>
          </w:tcPr>
          <w:p w14:paraId="4FB7D2AF" w14:textId="77777777" w:rsidR="00DB7425" w:rsidRDefault="00DB7425" w:rsidP="00FF685A">
            <w:pPr>
              <w:pStyle w:val="NoSpacing"/>
              <w:rPr>
                <w:lang w:eastAsia="ja-JP"/>
              </w:rPr>
            </w:pPr>
            <w:r>
              <w:t>Lawyer, Japan and New York State</w:t>
            </w:r>
            <w:r>
              <w:rPr>
                <w:rFonts w:hint="eastAsia"/>
                <w:lang w:eastAsia="ja-JP"/>
              </w:rPr>
              <w:t>, US</w:t>
            </w:r>
          </w:p>
        </w:tc>
      </w:tr>
      <w:tr w:rsidR="00DB7425" w14:paraId="52B847BF" w14:textId="77777777" w:rsidTr="00FF685A">
        <w:tc>
          <w:tcPr>
            <w:tcW w:w="534" w:type="dxa"/>
          </w:tcPr>
          <w:p w14:paraId="4278666B" w14:textId="77777777" w:rsidR="00DB7425" w:rsidRDefault="00DB7425" w:rsidP="00FF685A">
            <w:pPr>
              <w:pStyle w:val="NoSpacing"/>
            </w:pPr>
            <w:r>
              <w:t>20</w:t>
            </w:r>
          </w:p>
        </w:tc>
        <w:tc>
          <w:tcPr>
            <w:tcW w:w="3969" w:type="dxa"/>
          </w:tcPr>
          <w:p w14:paraId="1FFDF3DC" w14:textId="77777777" w:rsidR="00DB7425" w:rsidRDefault="00DB7425" w:rsidP="00FF685A">
            <w:pPr>
              <w:pStyle w:val="NoSpacing"/>
            </w:pPr>
            <w:r>
              <w:t>Member, HOC (LDP)</w:t>
            </w:r>
          </w:p>
        </w:tc>
        <w:tc>
          <w:tcPr>
            <w:tcW w:w="4783" w:type="dxa"/>
          </w:tcPr>
          <w:p w14:paraId="6C81025B" w14:textId="77777777" w:rsidR="00DB7425" w:rsidRDefault="00DB7425" w:rsidP="00FF685A">
            <w:pPr>
              <w:pStyle w:val="NoSpacing"/>
            </w:pPr>
            <w:r>
              <w:t>Senior Vice-Minister (MIC)</w:t>
            </w:r>
          </w:p>
          <w:p w14:paraId="2C44492F" w14:textId="77777777" w:rsidR="00DB7425" w:rsidRDefault="00DB7425" w:rsidP="00FF685A">
            <w:pPr>
              <w:pStyle w:val="NoSpacing"/>
            </w:pPr>
            <w:r>
              <w:t>Parliamentary Vice-Minister (MPT)</w:t>
            </w:r>
          </w:p>
        </w:tc>
      </w:tr>
      <w:tr w:rsidR="00DB7425" w14:paraId="2F40637B" w14:textId="77777777" w:rsidTr="00FF685A">
        <w:tc>
          <w:tcPr>
            <w:tcW w:w="534" w:type="dxa"/>
          </w:tcPr>
          <w:p w14:paraId="02A542A8" w14:textId="77777777" w:rsidR="00DB7425" w:rsidRDefault="00DB7425" w:rsidP="00FF685A">
            <w:pPr>
              <w:pStyle w:val="NoSpacing"/>
            </w:pPr>
            <w:r>
              <w:t>21</w:t>
            </w:r>
          </w:p>
        </w:tc>
        <w:tc>
          <w:tcPr>
            <w:tcW w:w="3969" w:type="dxa"/>
          </w:tcPr>
          <w:p w14:paraId="18FAD976" w14:textId="77777777" w:rsidR="00DB7425" w:rsidRDefault="00E96419" w:rsidP="00FF685A">
            <w:pPr>
              <w:pStyle w:val="NoSpacing"/>
            </w:pPr>
            <w:r w:rsidRPr="00E96419">
              <w:t>Director of Bureau,</w:t>
            </w:r>
            <w:r>
              <w:rPr>
                <w:i/>
                <w:iCs/>
              </w:rPr>
              <w:t xml:space="preserve"> </w:t>
            </w:r>
            <w:r w:rsidR="00DB7425" w:rsidRPr="00A11FD8">
              <w:rPr>
                <w:i/>
                <w:iCs/>
              </w:rPr>
              <w:t>Keidanren</w:t>
            </w:r>
          </w:p>
        </w:tc>
        <w:tc>
          <w:tcPr>
            <w:tcW w:w="4783" w:type="dxa"/>
          </w:tcPr>
          <w:p w14:paraId="6A7540B6" w14:textId="77777777" w:rsidR="00DB7425" w:rsidRDefault="00DB7425" w:rsidP="00FF685A">
            <w:pPr>
              <w:pStyle w:val="NoSpacing"/>
            </w:pPr>
          </w:p>
        </w:tc>
      </w:tr>
      <w:tr w:rsidR="00DB7425" w14:paraId="462BBE6E" w14:textId="77777777" w:rsidTr="00FF685A">
        <w:tc>
          <w:tcPr>
            <w:tcW w:w="534" w:type="dxa"/>
          </w:tcPr>
          <w:p w14:paraId="54352599" w14:textId="77777777" w:rsidR="00DB7425" w:rsidRDefault="00DB7425" w:rsidP="00FF685A">
            <w:pPr>
              <w:pStyle w:val="NoSpacing"/>
            </w:pPr>
            <w:r>
              <w:t>22</w:t>
            </w:r>
          </w:p>
        </w:tc>
        <w:tc>
          <w:tcPr>
            <w:tcW w:w="3969" w:type="dxa"/>
          </w:tcPr>
          <w:p w14:paraId="15F0361A" w14:textId="77777777" w:rsidR="00DB7425" w:rsidRDefault="00DB7425" w:rsidP="00FF685A">
            <w:pPr>
              <w:pStyle w:val="NoSpacing"/>
            </w:pPr>
            <w:r>
              <w:t>Professor Emeritus (Engineering)</w:t>
            </w:r>
          </w:p>
          <w:p w14:paraId="3B583CEA" w14:textId="77777777" w:rsidR="00DB7425" w:rsidRDefault="00DB7425" w:rsidP="00FF685A">
            <w:pPr>
              <w:pStyle w:val="NoSpacing"/>
            </w:pPr>
            <w:r>
              <w:t>Professor Emeritus, National Institute of Informatics</w:t>
            </w:r>
          </w:p>
        </w:tc>
        <w:tc>
          <w:tcPr>
            <w:tcW w:w="4783" w:type="dxa"/>
          </w:tcPr>
          <w:p w14:paraId="4325C30F" w14:textId="77777777" w:rsidR="00DB7425" w:rsidRDefault="00DB7425" w:rsidP="00FF685A">
            <w:pPr>
              <w:pStyle w:val="NoSpacing"/>
            </w:pPr>
            <w:r>
              <w:t>Chairman, Radio Regulatory Council</w:t>
            </w:r>
          </w:p>
          <w:p w14:paraId="1AB8FF6D" w14:textId="77777777" w:rsidR="00DB7425" w:rsidRDefault="00DB7425" w:rsidP="00FF685A">
            <w:pPr>
              <w:pStyle w:val="NoSpacing"/>
            </w:pPr>
            <w:r>
              <w:t>Professor (Engineering), University of Tokyo</w:t>
            </w:r>
          </w:p>
        </w:tc>
      </w:tr>
      <w:tr w:rsidR="00DB7425" w14:paraId="44E795D5" w14:textId="77777777" w:rsidTr="00FF685A">
        <w:tc>
          <w:tcPr>
            <w:tcW w:w="534" w:type="dxa"/>
          </w:tcPr>
          <w:p w14:paraId="173566E4" w14:textId="77777777" w:rsidR="00DB7425" w:rsidRDefault="00DB7425" w:rsidP="00FF685A">
            <w:pPr>
              <w:pStyle w:val="NoSpacing"/>
            </w:pPr>
            <w:r>
              <w:t>23</w:t>
            </w:r>
          </w:p>
        </w:tc>
        <w:tc>
          <w:tcPr>
            <w:tcW w:w="3969" w:type="dxa"/>
          </w:tcPr>
          <w:p w14:paraId="76B90600" w14:textId="77777777" w:rsidR="00DB7425" w:rsidRDefault="00DB7425" w:rsidP="00FF685A">
            <w:pPr>
              <w:pStyle w:val="NoSpacing"/>
            </w:pPr>
            <w:r>
              <w:t>Professor (AMA)</w:t>
            </w:r>
          </w:p>
        </w:tc>
        <w:tc>
          <w:tcPr>
            <w:tcW w:w="4783" w:type="dxa"/>
          </w:tcPr>
          <w:p w14:paraId="332831A6" w14:textId="77777777" w:rsidR="00DB7425" w:rsidRDefault="00DB7425" w:rsidP="00FF685A">
            <w:pPr>
              <w:pStyle w:val="NoSpacing"/>
            </w:pPr>
            <w:r>
              <w:t>Chief of Department (JFTC)</w:t>
            </w:r>
          </w:p>
          <w:p w14:paraId="28058CB1" w14:textId="77777777" w:rsidR="00DB7425" w:rsidRDefault="00DB7425" w:rsidP="00FF685A">
            <w:pPr>
              <w:pStyle w:val="NoSpacing"/>
            </w:pPr>
            <w:r>
              <w:t>Division Director (JFTC)</w:t>
            </w:r>
          </w:p>
          <w:p w14:paraId="77F31E8A" w14:textId="77777777" w:rsidR="00DB7425" w:rsidRDefault="00DB7425" w:rsidP="00FF685A">
            <w:pPr>
              <w:pStyle w:val="NoSpacing"/>
            </w:pPr>
            <w:r>
              <w:t>MITI</w:t>
            </w:r>
          </w:p>
        </w:tc>
      </w:tr>
      <w:tr w:rsidR="00DB7425" w14:paraId="41042514" w14:textId="77777777" w:rsidTr="00FF685A">
        <w:tc>
          <w:tcPr>
            <w:tcW w:w="534" w:type="dxa"/>
          </w:tcPr>
          <w:p w14:paraId="036BF668" w14:textId="77777777" w:rsidR="00DB7425" w:rsidRDefault="00DB7425" w:rsidP="00FF685A">
            <w:pPr>
              <w:pStyle w:val="NoSpacing"/>
            </w:pPr>
            <w:r>
              <w:t>24</w:t>
            </w:r>
          </w:p>
        </w:tc>
        <w:tc>
          <w:tcPr>
            <w:tcW w:w="3969" w:type="dxa"/>
          </w:tcPr>
          <w:p w14:paraId="5FD8A814" w14:textId="77777777" w:rsidR="00DB7425" w:rsidRDefault="00DB7425" w:rsidP="00FF685A">
            <w:pPr>
              <w:pStyle w:val="NoSpacing"/>
            </w:pPr>
            <w:r>
              <w:t>CTO Chief Scientist, (a research institute)</w:t>
            </w:r>
          </w:p>
          <w:p w14:paraId="15B4FF3B" w14:textId="77777777" w:rsidR="00DB7425" w:rsidRDefault="00DB7425" w:rsidP="00FF685A">
            <w:pPr>
              <w:pStyle w:val="NoSpacing"/>
            </w:pPr>
            <w:r>
              <w:t>Professor Emeritus (Engineering)</w:t>
            </w:r>
          </w:p>
        </w:tc>
        <w:tc>
          <w:tcPr>
            <w:tcW w:w="4783" w:type="dxa"/>
          </w:tcPr>
          <w:p w14:paraId="5BB0267D" w14:textId="77777777" w:rsidR="00DB7425" w:rsidRDefault="00DB7425" w:rsidP="00FF685A">
            <w:pPr>
              <w:pStyle w:val="NoSpacing"/>
            </w:pPr>
            <w:r>
              <w:t>Member, Information and Communications Council</w:t>
            </w:r>
          </w:p>
          <w:p w14:paraId="0FC1821F" w14:textId="77777777" w:rsidR="00DB7425" w:rsidRDefault="00DB7425" w:rsidP="00FF685A">
            <w:pPr>
              <w:pStyle w:val="NoSpacing"/>
            </w:pPr>
            <w:r>
              <w:t>Member, Telecommunications Council</w:t>
            </w:r>
          </w:p>
          <w:p w14:paraId="0DA9AAA5" w14:textId="77777777" w:rsidR="00DB7425" w:rsidRDefault="00DB7425" w:rsidP="00FF685A">
            <w:pPr>
              <w:pStyle w:val="NoSpacing"/>
            </w:pPr>
            <w:r>
              <w:t>Professor (Engineering), University of Tokyo</w:t>
            </w:r>
          </w:p>
        </w:tc>
      </w:tr>
      <w:tr w:rsidR="00DB7425" w14:paraId="7FAE1DB6" w14:textId="77777777" w:rsidTr="00FF685A">
        <w:tc>
          <w:tcPr>
            <w:tcW w:w="534" w:type="dxa"/>
          </w:tcPr>
          <w:p w14:paraId="570F3F64" w14:textId="77777777" w:rsidR="00DB7425" w:rsidRDefault="00DB7425" w:rsidP="00FF685A">
            <w:pPr>
              <w:pStyle w:val="NoSpacing"/>
            </w:pPr>
            <w:r>
              <w:t>25</w:t>
            </w:r>
          </w:p>
        </w:tc>
        <w:tc>
          <w:tcPr>
            <w:tcW w:w="3969" w:type="dxa"/>
          </w:tcPr>
          <w:p w14:paraId="7EFFB1F8" w14:textId="77777777" w:rsidR="00DB7425" w:rsidRDefault="00DB7425" w:rsidP="00FF685A">
            <w:pPr>
              <w:pStyle w:val="NoSpacing"/>
            </w:pPr>
            <w:r>
              <w:t>Cabinet Legislation Bureau</w:t>
            </w:r>
          </w:p>
        </w:tc>
        <w:tc>
          <w:tcPr>
            <w:tcW w:w="4783" w:type="dxa"/>
          </w:tcPr>
          <w:p w14:paraId="325B84B6" w14:textId="77777777" w:rsidR="00DB7425" w:rsidRDefault="00DB7425" w:rsidP="00FF685A">
            <w:pPr>
              <w:pStyle w:val="NoSpacing"/>
            </w:pPr>
            <w:r>
              <w:t>Deputy Division Director (MPT)</w:t>
            </w:r>
          </w:p>
          <w:p w14:paraId="7BFEF947" w14:textId="77777777" w:rsidR="00DB7425" w:rsidRDefault="00DB7425" w:rsidP="00FF685A">
            <w:pPr>
              <w:pStyle w:val="NoSpacing"/>
            </w:pPr>
            <w:r>
              <w:t>Assistant Professor (ICT Policy), University of Tokyo</w:t>
            </w:r>
          </w:p>
        </w:tc>
      </w:tr>
      <w:tr w:rsidR="00DB7425" w14:paraId="07595A6E" w14:textId="77777777" w:rsidTr="00FF685A">
        <w:tc>
          <w:tcPr>
            <w:tcW w:w="534" w:type="dxa"/>
          </w:tcPr>
          <w:p w14:paraId="55B6D84F" w14:textId="77777777" w:rsidR="00DB7425" w:rsidRDefault="00DB7425" w:rsidP="00FF685A">
            <w:pPr>
              <w:pStyle w:val="NoSpacing"/>
            </w:pPr>
            <w:r>
              <w:t>26</w:t>
            </w:r>
          </w:p>
        </w:tc>
        <w:tc>
          <w:tcPr>
            <w:tcW w:w="3969" w:type="dxa"/>
          </w:tcPr>
          <w:p w14:paraId="62953F04" w14:textId="77777777" w:rsidR="00DB7425" w:rsidRDefault="00DB7425" w:rsidP="00FF685A">
            <w:pPr>
              <w:pStyle w:val="NoSpacing"/>
            </w:pPr>
            <w:r>
              <w:t>Associate Professor (AMA)</w:t>
            </w:r>
          </w:p>
        </w:tc>
        <w:tc>
          <w:tcPr>
            <w:tcW w:w="4783" w:type="dxa"/>
          </w:tcPr>
          <w:p w14:paraId="129F6103" w14:textId="77777777" w:rsidR="00DB7425" w:rsidRDefault="00DB7425" w:rsidP="00FF685A">
            <w:pPr>
              <w:pStyle w:val="NoSpacing"/>
            </w:pPr>
          </w:p>
        </w:tc>
      </w:tr>
      <w:tr w:rsidR="00DB7425" w14:paraId="41574C0F" w14:textId="77777777" w:rsidTr="00FF685A">
        <w:tc>
          <w:tcPr>
            <w:tcW w:w="534" w:type="dxa"/>
          </w:tcPr>
          <w:p w14:paraId="09EED321" w14:textId="77777777" w:rsidR="00DB7425" w:rsidRDefault="00DB7425" w:rsidP="00FF685A">
            <w:pPr>
              <w:pStyle w:val="NoSpacing"/>
            </w:pPr>
            <w:r>
              <w:t>27</w:t>
            </w:r>
          </w:p>
        </w:tc>
        <w:tc>
          <w:tcPr>
            <w:tcW w:w="3969" w:type="dxa"/>
          </w:tcPr>
          <w:p w14:paraId="2A265010" w14:textId="77777777" w:rsidR="00DB7425" w:rsidRDefault="00DB7425" w:rsidP="00FF685A">
            <w:pPr>
              <w:pStyle w:val="NoSpacing"/>
            </w:pPr>
            <w:r>
              <w:t>Chairman and CEO, a private firm</w:t>
            </w:r>
          </w:p>
        </w:tc>
        <w:tc>
          <w:tcPr>
            <w:tcW w:w="4783" w:type="dxa"/>
          </w:tcPr>
          <w:p w14:paraId="1ADA3CB2" w14:textId="77777777" w:rsidR="00DB7425" w:rsidRDefault="00DB7425" w:rsidP="00FF685A">
            <w:pPr>
              <w:pStyle w:val="NoSpacing"/>
            </w:pPr>
            <w:r>
              <w:t>Member, Regulatory Reform Committee (Cabinet)</w:t>
            </w:r>
          </w:p>
        </w:tc>
      </w:tr>
      <w:tr w:rsidR="00DB7425" w14:paraId="506F598F" w14:textId="77777777" w:rsidTr="00FF685A">
        <w:tc>
          <w:tcPr>
            <w:tcW w:w="534" w:type="dxa"/>
          </w:tcPr>
          <w:p w14:paraId="4D0DBBA8" w14:textId="77777777" w:rsidR="00DB7425" w:rsidRDefault="00DB7425" w:rsidP="00FF685A">
            <w:pPr>
              <w:pStyle w:val="NoSpacing"/>
            </w:pPr>
            <w:r>
              <w:t>28</w:t>
            </w:r>
          </w:p>
        </w:tc>
        <w:tc>
          <w:tcPr>
            <w:tcW w:w="3969" w:type="dxa"/>
          </w:tcPr>
          <w:p w14:paraId="22E4FE90" w14:textId="77777777" w:rsidR="00DB7425" w:rsidRDefault="00DB7425" w:rsidP="00FF685A">
            <w:pPr>
              <w:pStyle w:val="NoSpacing"/>
            </w:pPr>
            <w:r>
              <w:t>Professor (AMA)</w:t>
            </w:r>
          </w:p>
        </w:tc>
        <w:tc>
          <w:tcPr>
            <w:tcW w:w="4783" w:type="dxa"/>
          </w:tcPr>
          <w:p w14:paraId="4606AEAF" w14:textId="77777777" w:rsidR="00DB7425" w:rsidRDefault="00DB7425" w:rsidP="00FF685A">
            <w:pPr>
              <w:pStyle w:val="NoSpacing"/>
            </w:pPr>
            <w:r>
              <w:t>Deputy Chief of Bureau (JFTC)</w:t>
            </w:r>
          </w:p>
          <w:p w14:paraId="09683749" w14:textId="77777777" w:rsidR="00DB7425" w:rsidRDefault="00DB7425" w:rsidP="00FF685A">
            <w:pPr>
              <w:pStyle w:val="NoSpacing"/>
            </w:pPr>
            <w:r>
              <w:t>Division Director (JFTC)</w:t>
            </w:r>
          </w:p>
          <w:p w14:paraId="7E1D9879" w14:textId="77777777" w:rsidR="00DB7425" w:rsidRDefault="00DB7425" w:rsidP="00FF685A">
            <w:pPr>
              <w:pStyle w:val="NoSpacing"/>
            </w:pPr>
            <w:r>
              <w:t>Deputy Division Director (JFTC)</w:t>
            </w:r>
          </w:p>
        </w:tc>
      </w:tr>
      <w:tr w:rsidR="00DB7425" w14:paraId="730167EB" w14:textId="77777777" w:rsidTr="00FF685A">
        <w:tc>
          <w:tcPr>
            <w:tcW w:w="534" w:type="dxa"/>
          </w:tcPr>
          <w:p w14:paraId="5ACBA9AD" w14:textId="77777777" w:rsidR="00DB7425" w:rsidRDefault="00DB7425" w:rsidP="00FF685A">
            <w:pPr>
              <w:pStyle w:val="NoSpacing"/>
            </w:pPr>
            <w:r>
              <w:t>29</w:t>
            </w:r>
          </w:p>
        </w:tc>
        <w:tc>
          <w:tcPr>
            <w:tcW w:w="3969" w:type="dxa"/>
          </w:tcPr>
          <w:p w14:paraId="52392CCF" w14:textId="77777777" w:rsidR="00DB7425" w:rsidRDefault="00DB7425" w:rsidP="00FF685A">
            <w:pPr>
              <w:pStyle w:val="NoSpacing"/>
            </w:pPr>
            <w:r>
              <w:t>Chief of Bureau (MIC)</w:t>
            </w:r>
          </w:p>
        </w:tc>
        <w:tc>
          <w:tcPr>
            <w:tcW w:w="4783" w:type="dxa"/>
          </w:tcPr>
          <w:p w14:paraId="7678EEAB" w14:textId="77777777" w:rsidR="00DB7425" w:rsidRDefault="00DB7425" w:rsidP="00FF685A">
            <w:pPr>
              <w:pStyle w:val="NoSpacing"/>
            </w:pPr>
            <w:r>
              <w:t>Chief of Department (MIC)</w:t>
            </w:r>
          </w:p>
          <w:p w14:paraId="1868FE6D" w14:textId="77777777" w:rsidR="00DB7425" w:rsidRDefault="00DB7425" w:rsidP="00FF685A">
            <w:pPr>
              <w:pStyle w:val="NoSpacing"/>
            </w:pPr>
            <w:r>
              <w:t>Division Director (MPT/MIC)</w:t>
            </w:r>
          </w:p>
          <w:p w14:paraId="0EF54915" w14:textId="77777777" w:rsidR="00DB7425" w:rsidRDefault="00DB7425" w:rsidP="00FF685A">
            <w:pPr>
              <w:pStyle w:val="NoSpacing"/>
            </w:pPr>
            <w:r>
              <w:t>Deputy Division Director (MPT)</w:t>
            </w:r>
          </w:p>
        </w:tc>
      </w:tr>
      <w:tr w:rsidR="00DB7425" w14:paraId="6DB1547C" w14:textId="77777777" w:rsidTr="00FF685A">
        <w:tc>
          <w:tcPr>
            <w:tcW w:w="534" w:type="dxa"/>
          </w:tcPr>
          <w:p w14:paraId="17FC928B" w14:textId="77777777" w:rsidR="00DB7425" w:rsidRDefault="00DB7425" w:rsidP="00FF685A">
            <w:pPr>
              <w:pStyle w:val="NoSpacing"/>
            </w:pPr>
            <w:r>
              <w:t>30</w:t>
            </w:r>
          </w:p>
        </w:tc>
        <w:tc>
          <w:tcPr>
            <w:tcW w:w="3969" w:type="dxa"/>
          </w:tcPr>
          <w:p w14:paraId="4F8E8ED3" w14:textId="77777777" w:rsidR="00DB7425" w:rsidRDefault="00DB7425" w:rsidP="00FF685A">
            <w:pPr>
              <w:pStyle w:val="NoSpacing"/>
            </w:pPr>
            <w:r>
              <w:t>Member, HOR (LDP)</w:t>
            </w:r>
          </w:p>
          <w:p w14:paraId="2B0A1490" w14:textId="77777777" w:rsidR="00DB7425" w:rsidRDefault="00DB7425" w:rsidP="00FF685A">
            <w:pPr>
              <w:pStyle w:val="NoSpacing"/>
            </w:pPr>
            <w:r>
              <w:t>Principal Director, Internal Affairs and Communications Standing Committee</w:t>
            </w:r>
          </w:p>
        </w:tc>
        <w:tc>
          <w:tcPr>
            <w:tcW w:w="4783" w:type="dxa"/>
          </w:tcPr>
          <w:p w14:paraId="3CC39EF8" w14:textId="77777777" w:rsidR="00DB7425" w:rsidRDefault="00DB7425" w:rsidP="00FF685A">
            <w:pPr>
              <w:pStyle w:val="NoSpacing"/>
            </w:pPr>
            <w:r>
              <w:t>Senior Vice-Minister (MIC)</w:t>
            </w:r>
          </w:p>
          <w:p w14:paraId="37B674F3" w14:textId="77777777" w:rsidR="00DB7425" w:rsidRDefault="00DB7425" w:rsidP="00FF685A">
            <w:pPr>
              <w:pStyle w:val="NoSpacing"/>
            </w:pPr>
            <w:r>
              <w:t>Parliamentary Vice-Minister (MPT)</w:t>
            </w:r>
          </w:p>
        </w:tc>
      </w:tr>
      <w:tr w:rsidR="00DB7425" w14:paraId="0F1ACA95" w14:textId="77777777" w:rsidTr="00FF685A">
        <w:tc>
          <w:tcPr>
            <w:tcW w:w="534" w:type="dxa"/>
          </w:tcPr>
          <w:p w14:paraId="4702FA74" w14:textId="77777777" w:rsidR="00DB7425" w:rsidRDefault="00DB7425" w:rsidP="00FF685A">
            <w:pPr>
              <w:pStyle w:val="NoSpacing"/>
            </w:pPr>
            <w:r>
              <w:t>31</w:t>
            </w:r>
          </w:p>
        </w:tc>
        <w:tc>
          <w:tcPr>
            <w:tcW w:w="3969" w:type="dxa"/>
          </w:tcPr>
          <w:p w14:paraId="584F1313" w14:textId="77777777" w:rsidR="00DB7425" w:rsidRDefault="00DB7425" w:rsidP="00FF685A">
            <w:pPr>
              <w:pStyle w:val="NoSpacing"/>
            </w:pPr>
            <w:r>
              <w:t>Member, HOR (DJP)</w:t>
            </w:r>
          </w:p>
          <w:p w14:paraId="6C9B9F0F" w14:textId="77777777" w:rsidR="00DB7425" w:rsidRDefault="00DB7425" w:rsidP="00FF685A">
            <w:pPr>
              <w:pStyle w:val="NoSpacing"/>
            </w:pPr>
            <w:r>
              <w:t>Chairman, Internal Affairs and Communications Standing Committee</w:t>
            </w:r>
          </w:p>
        </w:tc>
        <w:tc>
          <w:tcPr>
            <w:tcW w:w="4783" w:type="dxa"/>
          </w:tcPr>
          <w:p w14:paraId="2931F684" w14:textId="77777777" w:rsidR="00DB7425" w:rsidRDefault="00DB7425" w:rsidP="00FF685A">
            <w:pPr>
              <w:pStyle w:val="NoSpacing"/>
            </w:pPr>
            <w:r>
              <w:t>Cabinet Minister (MIC)</w:t>
            </w:r>
          </w:p>
          <w:p w14:paraId="7CCAE75D" w14:textId="77777777" w:rsidR="00DB7425" w:rsidRDefault="00DB7425" w:rsidP="00FF685A">
            <w:pPr>
              <w:pStyle w:val="NoSpacing"/>
            </w:pPr>
            <w:r>
              <w:t>Principal Directors, Internal Affairs and Communications Standing Committee</w:t>
            </w:r>
          </w:p>
        </w:tc>
      </w:tr>
    </w:tbl>
    <w:p w14:paraId="11DA69E8" w14:textId="77777777" w:rsidR="00DB7425" w:rsidRDefault="00DB7425" w:rsidP="00DB7425">
      <w:pPr>
        <w:pStyle w:val="NoSpacing"/>
        <w:rPr>
          <w:lang w:eastAsia="ja-JP"/>
        </w:rPr>
      </w:pPr>
    </w:p>
    <w:p w14:paraId="031DB078" w14:textId="77777777" w:rsidR="00DB7425" w:rsidRDefault="00DB7425" w:rsidP="00DB7425">
      <w:pPr>
        <w:pStyle w:val="NoSpacing"/>
        <w:rPr>
          <w:lang w:eastAsia="ja-JP"/>
        </w:rPr>
      </w:pPr>
    </w:p>
    <w:p w14:paraId="25078E23" w14:textId="77777777" w:rsidR="00DB7425" w:rsidRDefault="00DB7425" w:rsidP="00DB7425">
      <w:pPr>
        <w:pStyle w:val="NoSpacing"/>
        <w:rPr>
          <w:lang w:eastAsia="ja-JP"/>
        </w:rPr>
      </w:pPr>
    </w:p>
    <w:tbl>
      <w:tblPr>
        <w:tblStyle w:val="TableGrid"/>
        <w:tblW w:w="0" w:type="auto"/>
        <w:tblLayout w:type="fixed"/>
        <w:tblLook w:val="04A0" w:firstRow="1" w:lastRow="0" w:firstColumn="1" w:lastColumn="0" w:noHBand="0" w:noVBand="1"/>
      </w:tblPr>
      <w:tblGrid>
        <w:gridCol w:w="534"/>
        <w:gridCol w:w="3969"/>
        <w:gridCol w:w="4783"/>
      </w:tblGrid>
      <w:tr w:rsidR="00DB7425" w14:paraId="2777D99E" w14:textId="77777777" w:rsidTr="00FF685A">
        <w:tc>
          <w:tcPr>
            <w:tcW w:w="534" w:type="dxa"/>
          </w:tcPr>
          <w:p w14:paraId="2DE4A471" w14:textId="77777777" w:rsidR="00DB7425" w:rsidRDefault="00DB7425" w:rsidP="00FF685A">
            <w:pPr>
              <w:pStyle w:val="NoSpacing"/>
            </w:pPr>
            <w:r>
              <w:t>32</w:t>
            </w:r>
          </w:p>
        </w:tc>
        <w:tc>
          <w:tcPr>
            <w:tcW w:w="3969" w:type="dxa"/>
          </w:tcPr>
          <w:p w14:paraId="378557B8" w14:textId="77777777" w:rsidR="00DB7425" w:rsidRDefault="00DB7425" w:rsidP="00FF685A">
            <w:pPr>
              <w:pStyle w:val="NoSpacing"/>
            </w:pPr>
            <w:r>
              <w:t>Chief Executive Researcher</w:t>
            </w:r>
          </w:p>
          <w:p w14:paraId="1183116D" w14:textId="77777777" w:rsidR="00DB7425" w:rsidRDefault="00DB7425" w:rsidP="00FF685A">
            <w:pPr>
              <w:pStyle w:val="NoSpacing"/>
            </w:pPr>
            <w:r>
              <w:t>(a research institute)</w:t>
            </w:r>
          </w:p>
        </w:tc>
        <w:tc>
          <w:tcPr>
            <w:tcW w:w="4783" w:type="dxa"/>
          </w:tcPr>
          <w:p w14:paraId="6C40456E" w14:textId="77777777" w:rsidR="00DB7425" w:rsidRDefault="00DB7425" w:rsidP="00FF685A">
            <w:pPr>
              <w:pStyle w:val="NoSpacing"/>
            </w:pPr>
            <w:r>
              <w:t>Chief of Bureau (MIC)</w:t>
            </w:r>
          </w:p>
          <w:p w14:paraId="78B48E0F" w14:textId="77777777" w:rsidR="00DB7425" w:rsidRDefault="00DB7425" w:rsidP="00FF685A">
            <w:pPr>
              <w:pStyle w:val="NoSpacing"/>
            </w:pPr>
            <w:r>
              <w:t>Chief of Department (MPT)</w:t>
            </w:r>
          </w:p>
          <w:p w14:paraId="41BAD474" w14:textId="77777777" w:rsidR="00DB7425" w:rsidRDefault="00DB7425" w:rsidP="00FF685A">
            <w:pPr>
              <w:pStyle w:val="NoSpacing"/>
            </w:pPr>
            <w:r>
              <w:t>Division Director (MPT)</w:t>
            </w:r>
          </w:p>
          <w:p w14:paraId="37753B7C" w14:textId="77777777" w:rsidR="00DB7425" w:rsidRDefault="00DB7425" w:rsidP="00FF685A">
            <w:pPr>
              <w:pStyle w:val="NoSpacing"/>
            </w:pPr>
            <w:r>
              <w:t>Deputy Division Director (MPT)</w:t>
            </w:r>
          </w:p>
        </w:tc>
      </w:tr>
      <w:tr w:rsidR="00DB7425" w14:paraId="0F86D5FE" w14:textId="77777777" w:rsidTr="00FF685A">
        <w:tc>
          <w:tcPr>
            <w:tcW w:w="534" w:type="dxa"/>
          </w:tcPr>
          <w:p w14:paraId="3BE44682" w14:textId="77777777" w:rsidR="00DB7425" w:rsidRDefault="00DB7425" w:rsidP="00FF685A">
            <w:pPr>
              <w:pStyle w:val="NoSpacing"/>
            </w:pPr>
            <w:r>
              <w:t>33</w:t>
            </w:r>
          </w:p>
        </w:tc>
        <w:tc>
          <w:tcPr>
            <w:tcW w:w="3969" w:type="dxa"/>
          </w:tcPr>
          <w:p w14:paraId="3F71C756" w14:textId="77777777" w:rsidR="00DB7425" w:rsidRDefault="00DB7425" w:rsidP="00FF685A">
            <w:pPr>
              <w:pStyle w:val="NoSpacing"/>
            </w:pPr>
            <w:r>
              <w:t>President and CEO (a telecoms operator)</w:t>
            </w:r>
          </w:p>
        </w:tc>
        <w:tc>
          <w:tcPr>
            <w:tcW w:w="4783" w:type="dxa"/>
          </w:tcPr>
          <w:p w14:paraId="0AF90D7B" w14:textId="77777777" w:rsidR="00DB7425" w:rsidRDefault="00DB7425" w:rsidP="00FF685A">
            <w:pPr>
              <w:pStyle w:val="NoSpacing"/>
            </w:pPr>
          </w:p>
        </w:tc>
      </w:tr>
      <w:tr w:rsidR="00DB7425" w14:paraId="17E0ADB6" w14:textId="77777777" w:rsidTr="00FF685A">
        <w:tc>
          <w:tcPr>
            <w:tcW w:w="534" w:type="dxa"/>
          </w:tcPr>
          <w:p w14:paraId="42CC2E7D" w14:textId="77777777" w:rsidR="00DB7425" w:rsidRDefault="00DB7425" w:rsidP="00FF685A">
            <w:pPr>
              <w:pStyle w:val="NoSpacing"/>
            </w:pPr>
            <w:r>
              <w:t>34</w:t>
            </w:r>
          </w:p>
        </w:tc>
        <w:tc>
          <w:tcPr>
            <w:tcW w:w="3969" w:type="dxa"/>
          </w:tcPr>
          <w:p w14:paraId="2E205A9C" w14:textId="77777777" w:rsidR="00DB7425" w:rsidRPr="008D6E82" w:rsidRDefault="00DB7425" w:rsidP="001B6C05">
            <w:pPr>
              <w:pStyle w:val="NoSpacing"/>
              <w:numPr>
                <w:ilvl w:val="0"/>
                <w:numId w:val="63"/>
              </w:numPr>
              <w:ind w:left="317" w:hanging="317"/>
              <w:rPr>
                <w:sz w:val="22"/>
                <w:szCs w:val="22"/>
              </w:rPr>
            </w:pPr>
            <w:r w:rsidRPr="008D6E82">
              <w:rPr>
                <w:sz w:val="22"/>
                <w:szCs w:val="22"/>
              </w:rPr>
              <w:t>Vice Chairwoman (consumer organisation)</w:t>
            </w:r>
          </w:p>
        </w:tc>
        <w:tc>
          <w:tcPr>
            <w:tcW w:w="4783" w:type="dxa"/>
          </w:tcPr>
          <w:p w14:paraId="2A40ED69" w14:textId="77777777" w:rsidR="00DB7425" w:rsidRDefault="00DB7425" w:rsidP="00FF685A">
            <w:pPr>
              <w:pStyle w:val="NoSpacing"/>
            </w:pPr>
          </w:p>
        </w:tc>
      </w:tr>
      <w:tr w:rsidR="00DB7425" w14:paraId="11FC412A" w14:textId="77777777" w:rsidTr="00FF685A">
        <w:tc>
          <w:tcPr>
            <w:tcW w:w="534" w:type="dxa"/>
          </w:tcPr>
          <w:p w14:paraId="2174ED6B" w14:textId="77777777" w:rsidR="00DB7425" w:rsidRDefault="00DB7425" w:rsidP="00FF685A">
            <w:pPr>
              <w:pStyle w:val="NoSpacing"/>
            </w:pPr>
            <w:r>
              <w:t>3</w:t>
            </w:r>
            <w:r w:rsidR="009B7A5C">
              <w:t>5</w:t>
            </w:r>
          </w:p>
        </w:tc>
        <w:tc>
          <w:tcPr>
            <w:tcW w:w="3969" w:type="dxa"/>
          </w:tcPr>
          <w:p w14:paraId="1DC4F498" w14:textId="77777777" w:rsidR="00DB7425" w:rsidRPr="008D6E82" w:rsidRDefault="00DB7425" w:rsidP="001B6C05">
            <w:pPr>
              <w:pStyle w:val="NoSpacing"/>
              <w:numPr>
                <w:ilvl w:val="0"/>
                <w:numId w:val="63"/>
              </w:numPr>
              <w:ind w:left="317" w:hanging="317"/>
              <w:rPr>
                <w:sz w:val="22"/>
                <w:szCs w:val="22"/>
              </w:rPr>
            </w:pPr>
            <w:r w:rsidRPr="008D6E82">
              <w:rPr>
                <w:sz w:val="22"/>
                <w:szCs w:val="22"/>
              </w:rPr>
              <w:t>Head of Secretariat (consumer organisation)</w:t>
            </w:r>
          </w:p>
        </w:tc>
        <w:tc>
          <w:tcPr>
            <w:tcW w:w="4783" w:type="dxa"/>
          </w:tcPr>
          <w:p w14:paraId="27E83314" w14:textId="77777777" w:rsidR="00DB7425" w:rsidRDefault="00DB7425" w:rsidP="00FF685A">
            <w:pPr>
              <w:pStyle w:val="NoSpacing"/>
            </w:pPr>
          </w:p>
        </w:tc>
      </w:tr>
      <w:tr w:rsidR="00DB7425" w14:paraId="416E2E59" w14:textId="77777777" w:rsidTr="00FF685A">
        <w:tc>
          <w:tcPr>
            <w:tcW w:w="534" w:type="dxa"/>
          </w:tcPr>
          <w:p w14:paraId="155C92E5" w14:textId="77777777" w:rsidR="00DB7425" w:rsidRDefault="00DB7425" w:rsidP="00FF685A">
            <w:pPr>
              <w:pStyle w:val="NoSpacing"/>
            </w:pPr>
            <w:r>
              <w:t>3</w:t>
            </w:r>
            <w:r w:rsidR="009B7A5C">
              <w:t>6</w:t>
            </w:r>
          </w:p>
        </w:tc>
        <w:tc>
          <w:tcPr>
            <w:tcW w:w="3969" w:type="dxa"/>
          </w:tcPr>
          <w:p w14:paraId="1B7C1C3B" w14:textId="77777777" w:rsidR="00DB7425" w:rsidRDefault="00DB7425" w:rsidP="00FF685A">
            <w:pPr>
              <w:pStyle w:val="NoSpacing"/>
            </w:pPr>
            <w:r>
              <w:t>Professor Emeritus (Economics)</w:t>
            </w:r>
          </w:p>
        </w:tc>
        <w:tc>
          <w:tcPr>
            <w:tcW w:w="4783" w:type="dxa"/>
          </w:tcPr>
          <w:p w14:paraId="0353D064" w14:textId="77777777" w:rsidR="00DB7425" w:rsidRDefault="00DB7425" w:rsidP="00FF685A">
            <w:pPr>
              <w:pStyle w:val="NoSpacing"/>
            </w:pPr>
          </w:p>
        </w:tc>
      </w:tr>
      <w:tr w:rsidR="00DB7425" w14:paraId="103F46C7" w14:textId="77777777" w:rsidTr="00FF685A">
        <w:tc>
          <w:tcPr>
            <w:tcW w:w="534" w:type="dxa"/>
          </w:tcPr>
          <w:p w14:paraId="3AF4D1A5" w14:textId="77777777" w:rsidR="00DB7425" w:rsidRDefault="00DB7425" w:rsidP="00FF685A">
            <w:pPr>
              <w:pStyle w:val="NoSpacing"/>
            </w:pPr>
            <w:r>
              <w:t>3</w:t>
            </w:r>
            <w:r w:rsidR="009B7A5C">
              <w:t>7</w:t>
            </w:r>
          </w:p>
        </w:tc>
        <w:tc>
          <w:tcPr>
            <w:tcW w:w="3969" w:type="dxa"/>
          </w:tcPr>
          <w:p w14:paraId="5D1B7218" w14:textId="77777777" w:rsidR="00DB7425" w:rsidRDefault="00DB7425" w:rsidP="00FF685A">
            <w:pPr>
              <w:pStyle w:val="NoSpacing"/>
            </w:pPr>
            <w:r>
              <w:t>Senior civil servant (JFTC)</w:t>
            </w:r>
          </w:p>
        </w:tc>
        <w:tc>
          <w:tcPr>
            <w:tcW w:w="4783" w:type="dxa"/>
          </w:tcPr>
          <w:p w14:paraId="00F4E3AE" w14:textId="77777777" w:rsidR="00DB7425" w:rsidRDefault="00DB7425" w:rsidP="00FF685A">
            <w:pPr>
              <w:pStyle w:val="NoSpacing"/>
            </w:pPr>
            <w:r>
              <w:t>Chief of Bureau (JFTC)</w:t>
            </w:r>
          </w:p>
          <w:p w14:paraId="4DCF3F56" w14:textId="77777777" w:rsidR="00DB7425" w:rsidRDefault="00DB7425" w:rsidP="00FF685A">
            <w:pPr>
              <w:pStyle w:val="NoSpacing"/>
            </w:pPr>
            <w:r>
              <w:t>Deputy Chief of Bureau (JFTC)</w:t>
            </w:r>
          </w:p>
          <w:p w14:paraId="22BD97C4" w14:textId="77777777" w:rsidR="00DB7425" w:rsidRDefault="00DB7425" w:rsidP="00FF685A">
            <w:pPr>
              <w:pStyle w:val="NoSpacing"/>
            </w:pPr>
            <w:r>
              <w:t>Division Director (JFTC)</w:t>
            </w:r>
          </w:p>
          <w:p w14:paraId="5E74111E" w14:textId="77777777" w:rsidR="00DB7425" w:rsidRDefault="00DB7425" w:rsidP="00FF685A">
            <w:pPr>
              <w:pStyle w:val="NoSpacing"/>
            </w:pPr>
            <w:r>
              <w:t>Deputy Division Director (JFTC)</w:t>
            </w:r>
          </w:p>
          <w:p w14:paraId="25C1A0B7" w14:textId="77777777" w:rsidR="00DB7425" w:rsidRDefault="00DB7425" w:rsidP="00FF685A">
            <w:pPr>
              <w:pStyle w:val="NoSpacing"/>
            </w:pPr>
            <w:r>
              <w:t>Embassy of Japan in the US</w:t>
            </w:r>
          </w:p>
        </w:tc>
      </w:tr>
      <w:tr w:rsidR="00DB7425" w14:paraId="4AE9EEFD" w14:textId="77777777" w:rsidTr="00FF685A">
        <w:tc>
          <w:tcPr>
            <w:tcW w:w="534" w:type="dxa"/>
          </w:tcPr>
          <w:p w14:paraId="668AFFE8" w14:textId="77777777" w:rsidR="00DB7425" w:rsidRDefault="00DB7425" w:rsidP="00FF685A">
            <w:pPr>
              <w:pStyle w:val="NoSpacing"/>
            </w:pPr>
            <w:r>
              <w:t>3</w:t>
            </w:r>
            <w:r w:rsidR="009B7A5C">
              <w:t>8</w:t>
            </w:r>
          </w:p>
        </w:tc>
        <w:tc>
          <w:tcPr>
            <w:tcW w:w="3969" w:type="dxa"/>
          </w:tcPr>
          <w:p w14:paraId="7D884949" w14:textId="77777777" w:rsidR="00DB7425" w:rsidRDefault="00DB7425" w:rsidP="00FF685A">
            <w:pPr>
              <w:pStyle w:val="NoSpacing"/>
            </w:pPr>
            <w:r>
              <w:t>Chief of Bureau (JFTC)</w:t>
            </w:r>
          </w:p>
        </w:tc>
        <w:tc>
          <w:tcPr>
            <w:tcW w:w="4783" w:type="dxa"/>
          </w:tcPr>
          <w:p w14:paraId="707065D6" w14:textId="77777777" w:rsidR="00DB7425" w:rsidRDefault="00DB7425" w:rsidP="00FF685A">
            <w:pPr>
              <w:pStyle w:val="NoSpacing"/>
            </w:pPr>
            <w:r>
              <w:t>Chief of Bureau (JFTC)</w:t>
            </w:r>
          </w:p>
          <w:p w14:paraId="22FFA75F" w14:textId="77777777" w:rsidR="00DB7425" w:rsidRDefault="00DB7425" w:rsidP="00FF685A">
            <w:pPr>
              <w:pStyle w:val="NoSpacing"/>
            </w:pPr>
            <w:r>
              <w:t>Division Director (JFTC)</w:t>
            </w:r>
          </w:p>
          <w:p w14:paraId="44C4BF41" w14:textId="77777777" w:rsidR="00DB7425" w:rsidRDefault="00DB7425" w:rsidP="00FF685A">
            <w:pPr>
              <w:pStyle w:val="NoSpacing"/>
            </w:pPr>
            <w:r>
              <w:t>Deputy Division Director (JFTC)</w:t>
            </w:r>
          </w:p>
        </w:tc>
      </w:tr>
      <w:tr w:rsidR="00DB7425" w14:paraId="170DA5B0" w14:textId="77777777" w:rsidTr="00FF685A">
        <w:tc>
          <w:tcPr>
            <w:tcW w:w="534" w:type="dxa"/>
          </w:tcPr>
          <w:p w14:paraId="0B82399A" w14:textId="77777777" w:rsidR="00DB7425" w:rsidRDefault="00DB7425" w:rsidP="00FF685A">
            <w:pPr>
              <w:pStyle w:val="NoSpacing"/>
            </w:pPr>
            <w:r>
              <w:t>3</w:t>
            </w:r>
            <w:r w:rsidR="009B7A5C">
              <w:t>9</w:t>
            </w:r>
          </w:p>
        </w:tc>
        <w:tc>
          <w:tcPr>
            <w:tcW w:w="3969" w:type="dxa"/>
          </w:tcPr>
          <w:p w14:paraId="1DE88CAF" w14:textId="77777777" w:rsidR="00DB7425" w:rsidRDefault="00DB7425" w:rsidP="00FF685A">
            <w:pPr>
              <w:pStyle w:val="NoSpacing"/>
            </w:pPr>
            <w:r>
              <w:t>Chief of Bureau class (Cabinet Secretariat)</w:t>
            </w:r>
          </w:p>
        </w:tc>
        <w:tc>
          <w:tcPr>
            <w:tcW w:w="4783" w:type="dxa"/>
          </w:tcPr>
          <w:p w14:paraId="7D69D0D7" w14:textId="77777777" w:rsidR="00DB7425" w:rsidRDefault="00DB7425" w:rsidP="00FF685A">
            <w:pPr>
              <w:pStyle w:val="NoSpacing"/>
            </w:pPr>
            <w:r>
              <w:t>Deputy Chief of Bureau (METI)</w:t>
            </w:r>
          </w:p>
          <w:p w14:paraId="5F7DBBF1" w14:textId="77777777" w:rsidR="00DB7425" w:rsidRDefault="00DB7425" w:rsidP="00FF685A">
            <w:pPr>
              <w:pStyle w:val="NoSpacing"/>
            </w:pPr>
            <w:r>
              <w:t>Division Director (METI)</w:t>
            </w:r>
          </w:p>
          <w:p w14:paraId="75A005DB" w14:textId="77777777" w:rsidR="00DB7425" w:rsidRDefault="00DB7425" w:rsidP="00FF685A">
            <w:pPr>
              <w:pStyle w:val="NoSpacing"/>
            </w:pPr>
            <w:r>
              <w:t>Deputy Division Director (MITI)</w:t>
            </w:r>
          </w:p>
        </w:tc>
      </w:tr>
    </w:tbl>
    <w:p w14:paraId="0199FF9F" w14:textId="77777777" w:rsidR="00DB7425" w:rsidRDefault="00DB7425" w:rsidP="00DB7425">
      <w:pPr>
        <w:pStyle w:val="NoSpacing"/>
      </w:pPr>
    </w:p>
    <w:p w14:paraId="0BF03076" w14:textId="77777777" w:rsidR="00590ECB" w:rsidRDefault="00590ECB">
      <w:pPr>
        <w:spacing w:line="240" w:lineRule="auto"/>
        <w:rPr>
          <w:rFonts w:eastAsia="MS Mincho"/>
          <w:lang w:eastAsia="ja-JP"/>
        </w:rPr>
      </w:pPr>
      <w:r>
        <w:rPr>
          <w:rFonts w:eastAsia="MS Mincho"/>
          <w:lang w:eastAsia="ja-JP"/>
        </w:rPr>
        <w:br w:type="page"/>
      </w:r>
    </w:p>
    <w:p w14:paraId="187FCD1A" w14:textId="77777777" w:rsidR="002778E9" w:rsidRDefault="00393200" w:rsidP="00393200">
      <w:pPr>
        <w:pStyle w:val="Heading1"/>
        <w:rPr>
          <w:rFonts w:eastAsia="MS Mincho"/>
          <w:lang w:eastAsia="ja-JP"/>
        </w:rPr>
      </w:pPr>
      <w:bookmarkStart w:id="77" w:name="_Toc349741399"/>
      <w:r>
        <w:rPr>
          <w:rFonts w:eastAsia="MS Mincho" w:hint="eastAsia"/>
          <w:lang w:eastAsia="ja-JP"/>
        </w:rPr>
        <w:t>Appendix 2</w:t>
      </w:r>
      <w:r>
        <w:rPr>
          <w:rFonts w:eastAsia="MS Mincho" w:hint="eastAsia"/>
          <w:lang w:eastAsia="ja-JP"/>
        </w:rPr>
        <w:tab/>
      </w:r>
      <w:r w:rsidR="00993223">
        <w:rPr>
          <w:rFonts w:eastAsia="MS Mincho" w:hint="eastAsia"/>
          <w:lang w:eastAsia="ja-JP"/>
        </w:rPr>
        <w:t>The s</w:t>
      </w:r>
      <w:r>
        <w:rPr>
          <w:rFonts w:eastAsia="MS Mincho" w:hint="eastAsia"/>
          <w:lang w:eastAsia="ja-JP"/>
        </w:rPr>
        <w:t>ample interview schedule</w:t>
      </w:r>
      <w:bookmarkEnd w:id="77"/>
    </w:p>
    <w:p w14:paraId="79EC2031" w14:textId="77777777" w:rsidR="00590ECB" w:rsidRDefault="00590ECB" w:rsidP="00883D71">
      <w:pPr>
        <w:pStyle w:val="NoSpacing"/>
        <w:rPr>
          <w:rFonts w:eastAsia="MS Mincho"/>
          <w:lang w:eastAsia="ja-JP"/>
        </w:rPr>
      </w:pPr>
    </w:p>
    <w:p w14:paraId="729BF3C4" w14:textId="77777777" w:rsidR="00883D71" w:rsidRPr="00AC56BD" w:rsidRDefault="001F74CF" w:rsidP="001B6C05">
      <w:pPr>
        <w:pStyle w:val="NoSpacing"/>
        <w:jc w:val="center"/>
        <w:rPr>
          <w:lang w:val="fr-FR" w:eastAsia="ja-JP"/>
        </w:rPr>
      </w:pPr>
      <w:r w:rsidRPr="001F74CF">
        <w:rPr>
          <w:lang w:val="fr-FR" w:eastAsia="ja-JP"/>
        </w:rPr>
        <w:t>Interview Questionnaire Abstract (ICT regulation)</w:t>
      </w:r>
    </w:p>
    <w:p w14:paraId="63E3A774" w14:textId="77777777" w:rsidR="00883D71" w:rsidRPr="00AC56BD" w:rsidRDefault="00883D71" w:rsidP="001B6C05">
      <w:pPr>
        <w:pStyle w:val="NoSpacing"/>
        <w:jc w:val="center"/>
        <w:rPr>
          <w:lang w:val="fr-FR" w:eastAsia="ja-JP"/>
        </w:rPr>
      </w:pPr>
    </w:p>
    <w:p w14:paraId="2F9BF3B8" w14:textId="77777777" w:rsidR="00883D71" w:rsidRPr="00883D71" w:rsidRDefault="00883D71" w:rsidP="001B6C05">
      <w:pPr>
        <w:pStyle w:val="NoSpacing"/>
        <w:jc w:val="center"/>
        <w:rPr>
          <w:lang w:eastAsia="ja-JP"/>
        </w:rPr>
      </w:pPr>
      <w:r w:rsidRPr="00883D71">
        <w:rPr>
          <w:lang w:eastAsia="ja-JP"/>
        </w:rPr>
        <w:t>F</w:t>
      </w:r>
      <w:r w:rsidRPr="00883D71">
        <w:rPr>
          <w:rFonts w:hint="eastAsia"/>
          <w:lang w:eastAsia="ja-JP"/>
        </w:rPr>
        <w:t xml:space="preserve">ocused period: the 1980s </w:t>
      </w:r>
      <w:r w:rsidRPr="00883D71">
        <w:rPr>
          <w:lang w:eastAsia="ja-JP"/>
        </w:rPr>
        <w:t>–</w:t>
      </w:r>
      <w:r w:rsidRPr="00883D71">
        <w:rPr>
          <w:rFonts w:hint="eastAsia"/>
          <w:lang w:eastAsia="ja-JP"/>
        </w:rPr>
        <w:t xml:space="preserve"> 2000s</w:t>
      </w:r>
    </w:p>
    <w:p w14:paraId="0CE1A6E0" w14:textId="77777777" w:rsidR="00883D71" w:rsidRDefault="00883D71" w:rsidP="009047C0">
      <w:pPr>
        <w:pStyle w:val="NoSpacing"/>
        <w:rPr>
          <w:lang w:eastAsia="ja-JP"/>
        </w:rPr>
      </w:pPr>
    </w:p>
    <w:p w14:paraId="47CB885C" w14:textId="77777777" w:rsidR="00883D71" w:rsidRDefault="00883D71" w:rsidP="009047C0">
      <w:pPr>
        <w:pStyle w:val="NoSpacing"/>
        <w:rPr>
          <w:lang w:eastAsia="ja-JP"/>
        </w:rPr>
      </w:pPr>
    </w:p>
    <w:p w14:paraId="663B18F9" w14:textId="77777777" w:rsidR="00883D71" w:rsidRPr="008758AF" w:rsidRDefault="00883D71" w:rsidP="009047C0">
      <w:pPr>
        <w:pStyle w:val="NoSpacing"/>
        <w:rPr>
          <w:u w:val="single"/>
          <w:lang w:eastAsia="ja-JP"/>
        </w:rPr>
      </w:pPr>
      <w:r w:rsidRPr="008758AF">
        <w:rPr>
          <w:rFonts w:hint="eastAsia"/>
          <w:u w:val="single"/>
          <w:lang w:eastAsia="ja-JP"/>
        </w:rPr>
        <w:t>1. The development of ICT</w:t>
      </w:r>
    </w:p>
    <w:p w14:paraId="0439E359" w14:textId="77777777" w:rsidR="00BC1E89" w:rsidRPr="00BC1E89" w:rsidRDefault="00BC1E89" w:rsidP="009047C0">
      <w:pPr>
        <w:pStyle w:val="NoSpacing"/>
        <w:rPr>
          <w:lang w:eastAsia="ja-JP"/>
        </w:rPr>
      </w:pPr>
    </w:p>
    <w:p w14:paraId="3BD38D79" w14:textId="77777777" w:rsidR="00883D71" w:rsidRDefault="00883D71" w:rsidP="009047C0">
      <w:pPr>
        <w:pStyle w:val="NoSpacing"/>
        <w:rPr>
          <w:lang w:eastAsia="ja-JP"/>
        </w:rPr>
      </w:pPr>
      <w:r>
        <w:rPr>
          <w:rFonts w:hint="eastAsia"/>
          <w:lang w:eastAsia="ja-JP"/>
        </w:rPr>
        <w:t xml:space="preserve">(1) </w:t>
      </w:r>
      <w:r w:rsidR="0097012A">
        <w:rPr>
          <w:rFonts w:hint="eastAsia"/>
          <w:lang w:eastAsia="ja-JP"/>
        </w:rPr>
        <w:t xml:space="preserve">Around the </w:t>
      </w:r>
      <w:r w:rsidR="00993223">
        <w:rPr>
          <w:rFonts w:hint="eastAsia"/>
          <w:lang w:eastAsia="ja-JP"/>
        </w:rPr>
        <w:t>time</w:t>
      </w:r>
      <w:r w:rsidR="0097012A">
        <w:rPr>
          <w:rFonts w:hint="eastAsia"/>
          <w:lang w:eastAsia="ja-JP"/>
        </w:rPr>
        <w:t xml:space="preserve"> of NTT privatisation, </w:t>
      </w:r>
      <w:r w:rsidR="00BC1E89">
        <w:rPr>
          <w:rFonts w:hint="eastAsia"/>
          <w:lang w:eastAsia="ja-JP"/>
        </w:rPr>
        <w:t>what communications regulatory institution</w:t>
      </w:r>
      <w:r w:rsidR="00AE2C58">
        <w:rPr>
          <w:rFonts w:hint="eastAsia"/>
          <w:lang w:eastAsia="ja-JP"/>
        </w:rPr>
        <w:t xml:space="preserve"> did you think necessary?</w:t>
      </w:r>
    </w:p>
    <w:p w14:paraId="3DE72104" w14:textId="77777777" w:rsidR="00AE2C58" w:rsidRDefault="00AE2C58" w:rsidP="009047C0">
      <w:pPr>
        <w:pStyle w:val="NoSpacing"/>
        <w:rPr>
          <w:lang w:eastAsia="ja-JP"/>
        </w:rPr>
      </w:pPr>
    </w:p>
    <w:p w14:paraId="66EA69EC" w14:textId="77777777" w:rsidR="00AE2C58" w:rsidRPr="00AE2C58" w:rsidRDefault="00AE2C58" w:rsidP="009047C0">
      <w:pPr>
        <w:pStyle w:val="NoSpacing"/>
        <w:rPr>
          <w:lang w:eastAsia="ja-JP"/>
        </w:rPr>
      </w:pPr>
      <w:r>
        <w:rPr>
          <w:rFonts w:hint="eastAsia"/>
          <w:lang w:eastAsia="ja-JP"/>
        </w:rPr>
        <w:t>(2)  How has the institution of ICT regulation developed?</w:t>
      </w:r>
    </w:p>
    <w:p w14:paraId="49EE69E9" w14:textId="77777777" w:rsidR="00883D71" w:rsidRDefault="00AE2C58" w:rsidP="001B6C05">
      <w:pPr>
        <w:pStyle w:val="NoSpacing"/>
        <w:numPr>
          <w:ilvl w:val="0"/>
          <w:numId w:val="69"/>
        </w:numPr>
        <w:rPr>
          <w:lang w:eastAsia="ja-JP"/>
        </w:rPr>
      </w:pPr>
      <w:r>
        <w:rPr>
          <w:rFonts w:hint="eastAsia"/>
          <w:lang w:eastAsia="ja-JP"/>
        </w:rPr>
        <w:t xml:space="preserve">1980s </w:t>
      </w:r>
      <w:r>
        <w:rPr>
          <w:lang w:eastAsia="ja-JP"/>
        </w:rPr>
        <w:t>–</w:t>
      </w:r>
      <w:r>
        <w:rPr>
          <w:rFonts w:hint="eastAsia"/>
          <w:lang w:eastAsia="ja-JP"/>
        </w:rPr>
        <w:t xml:space="preserve"> 1990s</w:t>
      </w:r>
    </w:p>
    <w:p w14:paraId="5A61EE0E" w14:textId="77777777" w:rsidR="00AE2C58" w:rsidRDefault="00AE2C58" w:rsidP="009047C0">
      <w:pPr>
        <w:pStyle w:val="NoSpacing"/>
        <w:rPr>
          <w:lang w:eastAsia="ja-JP"/>
        </w:rPr>
      </w:pPr>
    </w:p>
    <w:p w14:paraId="79F663D4" w14:textId="77777777" w:rsidR="00AE2C58" w:rsidRPr="00AE2C58" w:rsidRDefault="00AE2C58" w:rsidP="001B6C05">
      <w:pPr>
        <w:pStyle w:val="NoSpacing"/>
        <w:numPr>
          <w:ilvl w:val="0"/>
          <w:numId w:val="69"/>
        </w:numPr>
        <w:rPr>
          <w:lang w:eastAsia="ja-JP"/>
        </w:rPr>
      </w:pPr>
      <w:r>
        <w:rPr>
          <w:rFonts w:hint="eastAsia"/>
          <w:lang w:eastAsia="ja-JP"/>
        </w:rPr>
        <w:t xml:space="preserve">1990s </w:t>
      </w:r>
      <w:r>
        <w:rPr>
          <w:lang w:eastAsia="ja-JP"/>
        </w:rPr>
        <w:t>–</w:t>
      </w:r>
      <w:r>
        <w:rPr>
          <w:rFonts w:hint="eastAsia"/>
          <w:lang w:eastAsia="ja-JP"/>
        </w:rPr>
        <w:t xml:space="preserve"> 2000s</w:t>
      </w:r>
    </w:p>
    <w:p w14:paraId="7C60A68F" w14:textId="77777777" w:rsidR="00883D71" w:rsidRPr="00883D71" w:rsidRDefault="00883D71" w:rsidP="009047C0">
      <w:pPr>
        <w:pStyle w:val="NoSpacing"/>
        <w:rPr>
          <w:lang w:eastAsia="ja-JP"/>
        </w:rPr>
      </w:pPr>
    </w:p>
    <w:p w14:paraId="22E2C78B" w14:textId="77777777" w:rsidR="00883D71" w:rsidRDefault="00AE2C58" w:rsidP="009B7A5C">
      <w:pPr>
        <w:pStyle w:val="NoSpacing"/>
        <w:rPr>
          <w:lang w:eastAsia="ja-JP"/>
        </w:rPr>
      </w:pPr>
      <w:r>
        <w:rPr>
          <w:rFonts w:hint="eastAsia"/>
          <w:lang w:eastAsia="ja-JP"/>
        </w:rPr>
        <w:t>(3) What factor has contributed to the development of regulatory institutions in ICT?</w:t>
      </w:r>
      <w:r w:rsidR="002010C2">
        <w:rPr>
          <w:rFonts w:hint="eastAsia"/>
          <w:lang w:eastAsia="ja-JP"/>
        </w:rPr>
        <w:t xml:space="preserve"> </w:t>
      </w:r>
      <w:r w:rsidR="002010C2">
        <w:rPr>
          <w:lang w:eastAsia="ja-JP"/>
        </w:rPr>
        <w:t>A</w:t>
      </w:r>
      <w:r w:rsidR="002010C2">
        <w:rPr>
          <w:rFonts w:hint="eastAsia"/>
          <w:lang w:eastAsia="ja-JP"/>
        </w:rPr>
        <w:t xml:space="preserve">nd, what actors (political parties, </w:t>
      </w:r>
      <w:r w:rsidR="00D324AF">
        <w:rPr>
          <w:rFonts w:hint="eastAsia"/>
          <w:lang w:eastAsia="ja-JP"/>
        </w:rPr>
        <w:t>officials</w:t>
      </w:r>
      <w:r w:rsidR="002010C2">
        <w:rPr>
          <w:rFonts w:hint="eastAsia"/>
          <w:lang w:eastAsia="ja-JP"/>
        </w:rPr>
        <w:t xml:space="preserve">, business etc.) have contributed to it?  </w:t>
      </w:r>
    </w:p>
    <w:p w14:paraId="710DE241" w14:textId="77777777" w:rsidR="002010C2" w:rsidRDefault="002010C2" w:rsidP="001B6C05">
      <w:pPr>
        <w:pStyle w:val="NoSpacing"/>
        <w:numPr>
          <w:ilvl w:val="0"/>
          <w:numId w:val="70"/>
        </w:numPr>
        <w:rPr>
          <w:lang w:eastAsia="ja-JP"/>
        </w:rPr>
      </w:pPr>
      <w:r>
        <w:rPr>
          <w:rFonts w:hint="eastAsia"/>
          <w:lang w:eastAsia="ja-JP"/>
        </w:rPr>
        <w:t xml:space="preserve">1980s </w:t>
      </w:r>
      <w:r>
        <w:rPr>
          <w:lang w:eastAsia="ja-JP"/>
        </w:rPr>
        <w:t>–</w:t>
      </w:r>
      <w:r>
        <w:rPr>
          <w:rFonts w:hint="eastAsia"/>
          <w:lang w:eastAsia="ja-JP"/>
        </w:rPr>
        <w:t xml:space="preserve"> 1990s</w:t>
      </w:r>
    </w:p>
    <w:p w14:paraId="3CADD1BF" w14:textId="77777777" w:rsidR="002010C2" w:rsidRDefault="002010C2" w:rsidP="009047C0">
      <w:pPr>
        <w:pStyle w:val="NoSpacing"/>
        <w:rPr>
          <w:lang w:eastAsia="ja-JP"/>
        </w:rPr>
      </w:pPr>
    </w:p>
    <w:p w14:paraId="73546938" w14:textId="77777777" w:rsidR="002010C2" w:rsidRPr="00AE2C58" w:rsidRDefault="002010C2" w:rsidP="001B6C05">
      <w:pPr>
        <w:pStyle w:val="NoSpacing"/>
        <w:numPr>
          <w:ilvl w:val="0"/>
          <w:numId w:val="70"/>
        </w:numPr>
        <w:rPr>
          <w:lang w:eastAsia="ja-JP"/>
        </w:rPr>
      </w:pPr>
      <w:r>
        <w:rPr>
          <w:rFonts w:hint="eastAsia"/>
          <w:lang w:eastAsia="ja-JP"/>
        </w:rPr>
        <w:t xml:space="preserve">1990s </w:t>
      </w:r>
      <w:r>
        <w:rPr>
          <w:lang w:eastAsia="ja-JP"/>
        </w:rPr>
        <w:t>–</w:t>
      </w:r>
      <w:r>
        <w:rPr>
          <w:rFonts w:hint="eastAsia"/>
          <w:lang w:eastAsia="ja-JP"/>
        </w:rPr>
        <w:t xml:space="preserve"> 2000s</w:t>
      </w:r>
    </w:p>
    <w:p w14:paraId="08558B93" w14:textId="77777777" w:rsidR="00883D71" w:rsidRDefault="00883D71" w:rsidP="009047C0">
      <w:pPr>
        <w:pStyle w:val="NoSpacing"/>
        <w:rPr>
          <w:lang w:eastAsia="ja-JP"/>
        </w:rPr>
      </w:pPr>
    </w:p>
    <w:p w14:paraId="54D82E30" w14:textId="77777777" w:rsidR="002010C2" w:rsidRDefault="002010C2" w:rsidP="009B7A5C">
      <w:pPr>
        <w:pStyle w:val="NoSpacing"/>
        <w:rPr>
          <w:lang w:eastAsia="ja-JP"/>
        </w:rPr>
      </w:pPr>
      <w:r>
        <w:rPr>
          <w:rFonts w:hint="eastAsia"/>
          <w:lang w:eastAsia="ja-JP"/>
        </w:rPr>
        <w:t xml:space="preserve">(4) Competition </w:t>
      </w:r>
      <w:r>
        <w:rPr>
          <w:lang w:eastAsia="ja-JP"/>
        </w:rPr>
        <w:t>introduction</w:t>
      </w:r>
      <w:r>
        <w:rPr>
          <w:rFonts w:hint="eastAsia"/>
          <w:lang w:eastAsia="ja-JP"/>
        </w:rPr>
        <w:t xml:space="preserve"> and the role of the executive branch: </w:t>
      </w:r>
      <w:r w:rsidR="00D05725">
        <w:rPr>
          <w:rFonts w:hint="eastAsia"/>
          <w:lang w:eastAsia="ja-JP"/>
        </w:rPr>
        <w:t xml:space="preserve">when competition was introduced to the communications sector, what role was expected for </w:t>
      </w:r>
      <w:r w:rsidR="009B7A5C">
        <w:rPr>
          <w:lang w:eastAsia="ja-JP"/>
        </w:rPr>
        <w:t>the state</w:t>
      </w:r>
      <w:r w:rsidR="00D05725">
        <w:rPr>
          <w:rFonts w:hint="eastAsia"/>
          <w:lang w:eastAsia="ja-JP"/>
        </w:rPr>
        <w:t xml:space="preserve">? </w:t>
      </w:r>
      <w:r w:rsidR="008F370B">
        <w:rPr>
          <w:lang w:eastAsia="ja-JP"/>
        </w:rPr>
        <w:t>W</w:t>
      </w:r>
      <w:r w:rsidR="008F370B">
        <w:rPr>
          <w:rFonts w:hint="eastAsia"/>
          <w:lang w:eastAsia="ja-JP"/>
        </w:rPr>
        <w:t>ere the interventionist approaches such as the MITI</w:t>
      </w:r>
      <w:r w:rsidR="00993223">
        <w:rPr>
          <w:lang w:eastAsia="ja-JP"/>
        </w:rPr>
        <w:t>’</w:t>
      </w:r>
      <w:r w:rsidR="00993223">
        <w:rPr>
          <w:rFonts w:hint="eastAsia"/>
          <w:lang w:eastAsia="ja-JP"/>
        </w:rPr>
        <w:t>s</w:t>
      </w:r>
      <w:r w:rsidR="008F370B">
        <w:rPr>
          <w:rFonts w:hint="eastAsia"/>
          <w:lang w:eastAsia="ja-JP"/>
        </w:rPr>
        <w:t xml:space="preserve"> (of those days) expected?</w:t>
      </w:r>
    </w:p>
    <w:p w14:paraId="0470D297" w14:textId="77777777" w:rsidR="002010C2" w:rsidRPr="002010C2" w:rsidRDefault="002010C2" w:rsidP="009047C0">
      <w:pPr>
        <w:pStyle w:val="NoSpacing"/>
        <w:rPr>
          <w:lang w:eastAsia="ja-JP"/>
        </w:rPr>
      </w:pPr>
    </w:p>
    <w:p w14:paraId="774B9496" w14:textId="77777777" w:rsidR="00883D71" w:rsidRPr="008F370B" w:rsidRDefault="008F370B" w:rsidP="009B7A5C">
      <w:pPr>
        <w:pStyle w:val="NoSpacing"/>
        <w:rPr>
          <w:lang w:eastAsia="ja-JP"/>
        </w:rPr>
      </w:pPr>
      <w:r>
        <w:rPr>
          <w:rFonts w:hint="eastAsia"/>
          <w:lang w:eastAsia="ja-JP"/>
        </w:rPr>
        <w:t xml:space="preserve">(5) From NTT privatisation to the 2000s, </w:t>
      </w:r>
      <w:r w:rsidR="000470BB">
        <w:rPr>
          <w:rFonts w:hint="eastAsia"/>
          <w:lang w:eastAsia="ja-JP"/>
        </w:rPr>
        <w:t xml:space="preserve">have power relations between actors </w:t>
      </w:r>
      <w:r w:rsidR="009B7A5C">
        <w:rPr>
          <w:lang w:eastAsia="ja-JP"/>
        </w:rPr>
        <w:t>in ICT regulation</w:t>
      </w:r>
      <w:r w:rsidR="00D324AF">
        <w:rPr>
          <w:rFonts w:hint="eastAsia"/>
          <w:lang w:eastAsia="ja-JP"/>
        </w:rPr>
        <w:t xml:space="preserve"> (politicians, relevant administrative organisations, users) changed? </w:t>
      </w:r>
      <w:r w:rsidR="00D324AF">
        <w:rPr>
          <w:lang w:eastAsia="ja-JP"/>
        </w:rPr>
        <w:t>I</w:t>
      </w:r>
      <w:r w:rsidR="00D324AF">
        <w:rPr>
          <w:rFonts w:hint="eastAsia"/>
          <w:lang w:eastAsia="ja-JP"/>
        </w:rPr>
        <w:t>f changed, what makes them changed?</w:t>
      </w:r>
    </w:p>
    <w:p w14:paraId="2990455D" w14:textId="77777777" w:rsidR="00883D71" w:rsidRDefault="00883D71" w:rsidP="009047C0">
      <w:pPr>
        <w:pStyle w:val="NoSpacing"/>
        <w:rPr>
          <w:lang w:eastAsia="ja-JP"/>
        </w:rPr>
      </w:pPr>
    </w:p>
    <w:p w14:paraId="1EC1D8D4" w14:textId="77777777" w:rsidR="00D324AF" w:rsidRPr="00D324AF" w:rsidRDefault="00D324AF" w:rsidP="009047C0">
      <w:pPr>
        <w:pStyle w:val="NoSpacing"/>
        <w:rPr>
          <w:lang w:eastAsia="ja-JP"/>
        </w:rPr>
      </w:pPr>
      <w:r>
        <w:rPr>
          <w:rFonts w:hint="eastAsia"/>
          <w:lang w:eastAsia="ja-JP"/>
        </w:rPr>
        <w:t xml:space="preserve">(6) From NTT privatisation to the 2000s, how has the environment of ICT regulation (the </w:t>
      </w:r>
      <w:r>
        <w:rPr>
          <w:lang w:eastAsia="ja-JP"/>
        </w:rPr>
        <w:t>relationship</w:t>
      </w:r>
      <w:r>
        <w:rPr>
          <w:rFonts w:hint="eastAsia"/>
          <w:lang w:eastAsia="ja-JP"/>
        </w:rPr>
        <w:t>s between government and private firms, regulatory approaches etc.) changed?</w:t>
      </w:r>
    </w:p>
    <w:p w14:paraId="0DA800E7" w14:textId="77777777" w:rsidR="00883D71" w:rsidRDefault="00883D71" w:rsidP="009047C0">
      <w:pPr>
        <w:pStyle w:val="NoSpacing"/>
        <w:rPr>
          <w:lang w:eastAsia="ja-JP"/>
        </w:rPr>
      </w:pPr>
    </w:p>
    <w:p w14:paraId="01376721" w14:textId="77777777" w:rsidR="00D324AF" w:rsidRDefault="00D324AF" w:rsidP="009047C0">
      <w:pPr>
        <w:pStyle w:val="NoSpacing"/>
        <w:rPr>
          <w:lang w:eastAsia="ja-JP"/>
        </w:rPr>
      </w:pPr>
    </w:p>
    <w:p w14:paraId="457BFBDC" w14:textId="77777777" w:rsidR="00D324AF" w:rsidRPr="008758AF" w:rsidRDefault="00D324AF" w:rsidP="009047C0">
      <w:pPr>
        <w:pStyle w:val="NoSpacing"/>
        <w:rPr>
          <w:u w:val="single"/>
          <w:lang w:eastAsia="ja-JP"/>
        </w:rPr>
      </w:pPr>
      <w:r w:rsidRPr="008758AF">
        <w:rPr>
          <w:rFonts w:hint="eastAsia"/>
          <w:u w:val="single"/>
          <w:lang w:eastAsia="ja-JP"/>
        </w:rPr>
        <w:t>2. The relationship between politicians and officials</w:t>
      </w:r>
    </w:p>
    <w:p w14:paraId="4079FA78" w14:textId="77777777" w:rsidR="008758AF" w:rsidRPr="008758AF" w:rsidRDefault="008758AF" w:rsidP="009047C0">
      <w:pPr>
        <w:pStyle w:val="NoSpacing"/>
        <w:rPr>
          <w:lang w:eastAsia="ja-JP"/>
        </w:rPr>
      </w:pPr>
    </w:p>
    <w:p w14:paraId="228AA0D7" w14:textId="77777777" w:rsidR="00D27D67" w:rsidRDefault="00D27D67" w:rsidP="009B7A5C">
      <w:pPr>
        <w:pStyle w:val="NoSpacing"/>
        <w:rPr>
          <w:lang w:eastAsia="ja-JP"/>
        </w:rPr>
      </w:pPr>
      <w:r>
        <w:rPr>
          <w:rFonts w:hint="eastAsia"/>
          <w:lang w:eastAsia="ja-JP"/>
        </w:rPr>
        <w:t xml:space="preserve">(1)  Generally speaking </w:t>
      </w:r>
      <w:r w:rsidR="009B7A5C">
        <w:rPr>
          <w:lang w:eastAsia="ja-JP"/>
        </w:rPr>
        <w:t>on</w:t>
      </w:r>
      <w:r>
        <w:rPr>
          <w:rFonts w:hint="eastAsia"/>
          <w:lang w:eastAsia="ja-JP"/>
        </w:rPr>
        <w:t xml:space="preserve"> </w:t>
      </w:r>
      <w:r w:rsidR="00FF1583">
        <w:rPr>
          <w:rFonts w:hint="eastAsia"/>
          <w:lang w:eastAsia="ja-JP"/>
        </w:rPr>
        <w:t xml:space="preserve">governing </w:t>
      </w:r>
      <w:r>
        <w:rPr>
          <w:rFonts w:hint="eastAsia"/>
          <w:lang w:eastAsia="ja-JP"/>
        </w:rPr>
        <w:t>ICT, what is politician</w:t>
      </w:r>
      <w:r>
        <w:rPr>
          <w:lang w:eastAsia="ja-JP"/>
        </w:rPr>
        <w:t>s’</w:t>
      </w:r>
      <w:r>
        <w:rPr>
          <w:rFonts w:hint="eastAsia"/>
          <w:lang w:eastAsia="ja-JP"/>
        </w:rPr>
        <w:t xml:space="preserve"> role? </w:t>
      </w:r>
      <w:r>
        <w:rPr>
          <w:lang w:eastAsia="ja-JP"/>
        </w:rPr>
        <w:t>H</w:t>
      </w:r>
      <w:r>
        <w:rPr>
          <w:rFonts w:hint="eastAsia"/>
          <w:lang w:eastAsia="ja-JP"/>
        </w:rPr>
        <w:t>ow have officials and politicians divided and allocated responsibilities?</w:t>
      </w:r>
    </w:p>
    <w:p w14:paraId="3B492A61" w14:textId="77777777" w:rsidR="00883D71" w:rsidRDefault="00883D71" w:rsidP="009047C0">
      <w:pPr>
        <w:pStyle w:val="NoSpacing"/>
        <w:rPr>
          <w:lang w:eastAsia="ja-JP"/>
        </w:rPr>
      </w:pPr>
    </w:p>
    <w:p w14:paraId="00EB8FA7" w14:textId="77777777" w:rsidR="00977435" w:rsidRDefault="00977435" w:rsidP="009047C0">
      <w:pPr>
        <w:pStyle w:val="NoSpacing"/>
        <w:rPr>
          <w:lang w:eastAsia="ja-JP"/>
        </w:rPr>
      </w:pPr>
      <w:r>
        <w:rPr>
          <w:rFonts w:hint="eastAsia"/>
          <w:lang w:eastAsia="ja-JP"/>
        </w:rPr>
        <w:t>(2) In ICT regulation, what is generally the role of politicians?</w:t>
      </w:r>
    </w:p>
    <w:p w14:paraId="67F2A6EC" w14:textId="77777777" w:rsidR="00977435" w:rsidRDefault="00977435" w:rsidP="009047C0">
      <w:pPr>
        <w:pStyle w:val="NoSpacing"/>
        <w:rPr>
          <w:lang w:eastAsia="ja-JP"/>
        </w:rPr>
      </w:pPr>
    </w:p>
    <w:p w14:paraId="62FAA0D9" w14:textId="77777777" w:rsidR="00977435" w:rsidRPr="00977435" w:rsidRDefault="00977435" w:rsidP="003F6F55">
      <w:pPr>
        <w:pStyle w:val="NoSpacing"/>
        <w:rPr>
          <w:lang w:eastAsia="ja-JP"/>
        </w:rPr>
      </w:pPr>
      <w:r>
        <w:rPr>
          <w:rFonts w:hint="eastAsia"/>
          <w:lang w:eastAsia="ja-JP"/>
        </w:rPr>
        <w:t xml:space="preserve">(3) In ICT regulation, what </w:t>
      </w:r>
      <w:r w:rsidR="003F6F55">
        <w:rPr>
          <w:lang w:eastAsia="ja-JP"/>
        </w:rPr>
        <w:t xml:space="preserve">role </w:t>
      </w:r>
      <w:r>
        <w:rPr>
          <w:rFonts w:hint="eastAsia"/>
          <w:lang w:eastAsia="ja-JP"/>
        </w:rPr>
        <w:t>have politicians played in concrete terms so far</w:t>
      </w:r>
      <w:r w:rsidR="003F6F55">
        <w:rPr>
          <w:lang w:eastAsia="ja-JP"/>
        </w:rPr>
        <w:t>, and how</w:t>
      </w:r>
      <w:r>
        <w:rPr>
          <w:rFonts w:hint="eastAsia"/>
          <w:lang w:eastAsia="ja-JP"/>
        </w:rPr>
        <w:t>? What key events can be highlighted?</w:t>
      </w:r>
    </w:p>
    <w:p w14:paraId="43F98677" w14:textId="77777777" w:rsidR="00883D71" w:rsidRDefault="00883D71" w:rsidP="009047C0">
      <w:pPr>
        <w:pStyle w:val="NoSpacing"/>
        <w:rPr>
          <w:lang w:eastAsia="ja-JP"/>
        </w:rPr>
      </w:pPr>
    </w:p>
    <w:p w14:paraId="56A850B5" w14:textId="77777777" w:rsidR="00977435" w:rsidRDefault="00977435" w:rsidP="009047C0">
      <w:pPr>
        <w:pStyle w:val="NoSpacing"/>
        <w:rPr>
          <w:lang w:eastAsia="ja-JP"/>
        </w:rPr>
      </w:pPr>
      <w:r>
        <w:rPr>
          <w:rFonts w:hint="eastAsia"/>
          <w:lang w:eastAsia="ja-JP"/>
        </w:rPr>
        <w:t>(4) What relationship has existed between the LDP and ICT regulation, in your view?</w:t>
      </w:r>
    </w:p>
    <w:p w14:paraId="122D028E" w14:textId="77777777" w:rsidR="00977435" w:rsidRPr="00977435" w:rsidRDefault="00977435" w:rsidP="009047C0">
      <w:pPr>
        <w:pStyle w:val="NoSpacing"/>
        <w:rPr>
          <w:lang w:eastAsia="ja-JP"/>
        </w:rPr>
      </w:pPr>
    </w:p>
    <w:p w14:paraId="63C7AA0C" w14:textId="77777777" w:rsidR="00883D71" w:rsidRDefault="00977435" w:rsidP="009047C0">
      <w:pPr>
        <w:pStyle w:val="NoSpacing"/>
        <w:rPr>
          <w:lang w:eastAsia="ja-JP"/>
        </w:rPr>
      </w:pPr>
      <w:r>
        <w:rPr>
          <w:rFonts w:hint="eastAsia"/>
          <w:lang w:eastAsia="ja-JP"/>
        </w:rPr>
        <w:t xml:space="preserve">(5) After government change to the DPJ, when and how has the relationship between ICT regulation and politicians changed? </w:t>
      </w:r>
      <w:r>
        <w:rPr>
          <w:lang w:eastAsia="ja-JP"/>
        </w:rPr>
        <w:t>O</w:t>
      </w:r>
      <w:r>
        <w:rPr>
          <w:rFonts w:hint="eastAsia"/>
          <w:lang w:eastAsia="ja-JP"/>
        </w:rPr>
        <w:t>r, has not?</w:t>
      </w:r>
    </w:p>
    <w:p w14:paraId="7DD36B7E" w14:textId="77777777" w:rsidR="00977435" w:rsidRDefault="00977435" w:rsidP="009047C0">
      <w:pPr>
        <w:pStyle w:val="NoSpacing"/>
        <w:rPr>
          <w:lang w:eastAsia="ja-JP"/>
        </w:rPr>
      </w:pPr>
    </w:p>
    <w:p w14:paraId="32CFB883" w14:textId="77777777" w:rsidR="00977435" w:rsidRPr="00977435" w:rsidRDefault="00F238D6" w:rsidP="009047C0">
      <w:pPr>
        <w:pStyle w:val="NoSpacing"/>
        <w:rPr>
          <w:lang w:eastAsia="ja-JP"/>
        </w:rPr>
      </w:pPr>
      <w:r>
        <w:rPr>
          <w:rFonts w:hint="eastAsia"/>
          <w:lang w:eastAsia="ja-JP"/>
        </w:rPr>
        <w:t>(6)</w:t>
      </w:r>
      <w:r w:rsidR="005F07C6">
        <w:rPr>
          <w:rFonts w:hint="eastAsia"/>
          <w:lang w:eastAsia="ja-JP"/>
        </w:rPr>
        <w:t xml:space="preserve"> </w:t>
      </w:r>
      <w:r w:rsidR="004769AB">
        <w:rPr>
          <w:rFonts w:hint="eastAsia"/>
          <w:lang w:eastAsia="ja-JP"/>
        </w:rPr>
        <w:t>Does</w:t>
      </w:r>
      <w:r w:rsidR="00664374">
        <w:rPr>
          <w:rFonts w:hint="eastAsia"/>
          <w:lang w:eastAsia="ja-JP"/>
        </w:rPr>
        <w:t xml:space="preserve"> the relationship between ICT regulation and politicians</w:t>
      </w:r>
      <w:r w:rsidR="004769AB">
        <w:rPr>
          <w:rFonts w:hint="eastAsia"/>
          <w:lang w:eastAsia="ja-JP"/>
        </w:rPr>
        <w:t xml:space="preserve"> have</w:t>
      </w:r>
      <w:r w:rsidR="00664374">
        <w:rPr>
          <w:rFonts w:hint="eastAsia"/>
          <w:lang w:eastAsia="ja-JP"/>
        </w:rPr>
        <w:t xml:space="preserve"> any unique points (for example, comparing to the relationship between other regulatory sectors and politicians (e.g. electricity, gas, transport, financial services, antimonopoly))? If any, what are they?</w:t>
      </w:r>
    </w:p>
    <w:p w14:paraId="65E63741" w14:textId="77777777" w:rsidR="00883D71" w:rsidRDefault="00883D71" w:rsidP="009047C0">
      <w:pPr>
        <w:pStyle w:val="NoSpacing"/>
        <w:rPr>
          <w:lang w:eastAsia="ja-JP"/>
        </w:rPr>
      </w:pPr>
    </w:p>
    <w:p w14:paraId="4BE2A542" w14:textId="77777777" w:rsidR="00664374" w:rsidRDefault="00664374" w:rsidP="009047C0">
      <w:pPr>
        <w:pStyle w:val="NoSpacing"/>
        <w:rPr>
          <w:lang w:eastAsia="ja-JP"/>
        </w:rPr>
      </w:pPr>
      <w:r>
        <w:rPr>
          <w:rFonts w:hint="eastAsia"/>
          <w:lang w:eastAsia="ja-JP"/>
        </w:rPr>
        <w:t xml:space="preserve">(7) </w:t>
      </w:r>
      <w:r w:rsidR="004769AB">
        <w:rPr>
          <w:rFonts w:hint="eastAsia"/>
          <w:lang w:eastAsia="ja-JP"/>
        </w:rPr>
        <w:t>In ICT regulation, what role</w:t>
      </w:r>
      <w:r w:rsidR="00DC60A1">
        <w:rPr>
          <w:rFonts w:hint="eastAsia"/>
          <w:lang w:eastAsia="ja-JP"/>
        </w:rPr>
        <w:t>s</w:t>
      </w:r>
      <w:r w:rsidR="004769AB">
        <w:rPr>
          <w:rFonts w:hint="eastAsia"/>
          <w:lang w:eastAsia="ja-JP"/>
        </w:rPr>
        <w:t xml:space="preserve"> have elected officials such as Ministers (Ministers of Posts and Telecommunications, Minister</w:t>
      </w:r>
      <w:r w:rsidR="00993223">
        <w:rPr>
          <w:rFonts w:hint="eastAsia"/>
          <w:lang w:eastAsia="ja-JP"/>
        </w:rPr>
        <w:t>s</w:t>
      </w:r>
      <w:r w:rsidR="004769AB">
        <w:rPr>
          <w:rFonts w:hint="eastAsia"/>
          <w:lang w:eastAsia="ja-JP"/>
        </w:rPr>
        <w:t xml:space="preserve"> of Internal Affairs and C</w:t>
      </w:r>
      <w:r w:rsidR="004769AB">
        <w:rPr>
          <w:lang w:eastAsia="ja-JP"/>
        </w:rPr>
        <w:t>o</w:t>
      </w:r>
      <w:r w:rsidR="004769AB">
        <w:rPr>
          <w:rFonts w:hint="eastAsia"/>
          <w:lang w:eastAsia="ja-JP"/>
        </w:rPr>
        <w:t>mmunications) and Senior Vice-Ministers (Parliamentary V</w:t>
      </w:r>
      <w:r w:rsidR="004769AB">
        <w:rPr>
          <w:lang w:eastAsia="ja-JP"/>
        </w:rPr>
        <w:t>i</w:t>
      </w:r>
      <w:r w:rsidR="004769AB">
        <w:rPr>
          <w:rFonts w:hint="eastAsia"/>
          <w:lang w:eastAsia="ja-JP"/>
        </w:rPr>
        <w:t xml:space="preserve">ce-Ministers) </w:t>
      </w:r>
      <w:r w:rsidR="00DC2091">
        <w:rPr>
          <w:rFonts w:hint="eastAsia"/>
          <w:lang w:eastAsia="ja-JP"/>
        </w:rPr>
        <w:t>played</w:t>
      </w:r>
      <w:r w:rsidR="004769AB">
        <w:rPr>
          <w:rFonts w:hint="eastAsia"/>
          <w:lang w:eastAsia="ja-JP"/>
        </w:rPr>
        <w:t xml:space="preserve">? Have </w:t>
      </w:r>
      <w:r w:rsidR="00993223">
        <w:rPr>
          <w:rFonts w:hint="eastAsia"/>
          <w:lang w:eastAsia="ja-JP"/>
        </w:rPr>
        <w:t>you</w:t>
      </w:r>
      <w:r w:rsidR="00077A36">
        <w:rPr>
          <w:rFonts w:hint="eastAsia"/>
          <w:lang w:eastAsia="ja-JP"/>
        </w:rPr>
        <w:t xml:space="preserve"> </w:t>
      </w:r>
      <w:r w:rsidR="004769AB">
        <w:rPr>
          <w:rFonts w:hint="eastAsia"/>
          <w:lang w:eastAsia="ja-JP"/>
        </w:rPr>
        <w:t>substantial</w:t>
      </w:r>
      <w:r w:rsidR="00077A36">
        <w:rPr>
          <w:rFonts w:hint="eastAsia"/>
          <w:lang w:eastAsia="ja-JP"/>
        </w:rPr>
        <w:t xml:space="preserve">ly </w:t>
      </w:r>
      <w:r w:rsidR="00993223">
        <w:rPr>
          <w:rFonts w:hint="eastAsia"/>
          <w:lang w:eastAsia="ja-JP"/>
        </w:rPr>
        <w:t xml:space="preserve">been </w:t>
      </w:r>
      <w:r w:rsidR="00077A36">
        <w:rPr>
          <w:rFonts w:hint="eastAsia"/>
          <w:lang w:eastAsia="ja-JP"/>
        </w:rPr>
        <w:t>affected</w:t>
      </w:r>
      <w:r w:rsidR="00993223">
        <w:rPr>
          <w:rFonts w:hint="eastAsia"/>
          <w:lang w:eastAsia="ja-JP"/>
        </w:rPr>
        <w:t xml:space="preserve"> by them</w:t>
      </w:r>
      <w:r w:rsidR="008A62DC">
        <w:rPr>
          <w:rFonts w:hint="eastAsia"/>
          <w:lang w:eastAsia="ja-JP"/>
        </w:rPr>
        <w:t>,</w:t>
      </w:r>
      <w:r w:rsidR="004769AB">
        <w:rPr>
          <w:rFonts w:hint="eastAsia"/>
          <w:lang w:eastAsia="ja-JP"/>
        </w:rPr>
        <w:t xml:space="preserve"> such as </w:t>
      </w:r>
      <w:r w:rsidR="008A62DC">
        <w:rPr>
          <w:rFonts w:hint="eastAsia"/>
          <w:lang w:eastAsia="ja-JP"/>
        </w:rPr>
        <w:t>r</w:t>
      </w:r>
      <w:r w:rsidR="004769AB">
        <w:rPr>
          <w:rFonts w:hint="eastAsia"/>
          <w:lang w:eastAsia="ja-JP"/>
        </w:rPr>
        <w:t>egulatory polic</w:t>
      </w:r>
      <w:r w:rsidR="008A62DC">
        <w:rPr>
          <w:rFonts w:hint="eastAsia"/>
          <w:lang w:eastAsia="ja-JP"/>
        </w:rPr>
        <w:t xml:space="preserve">y changes </w:t>
      </w:r>
      <w:r w:rsidR="004769AB">
        <w:rPr>
          <w:rFonts w:hint="eastAsia"/>
          <w:lang w:eastAsia="ja-JP"/>
        </w:rPr>
        <w:t>by the change of Ministers?</w:t>
      </w:r>
    </w:p>
    <w:p w14:paraId="50EABD5A" w14:textId="77777777" w:rsidR="00664374" w:rsidRDefault="00664374" w:rsidP="009047C0">
      <w:pPr>
        <w:pStyle w:val="NoSpacing"/>
        <w:rPr>
          <w:lang w:eastAsia="ja-JP"/>
        </w:rPr>
      </w:pPr>
    </w:p>
    <w:p w14:paraId="586F0082" w14:textId="77777777" w:rsidR="00077A36" w:rsidRPr="008A62DC" w:rsidRDefault="00077A36" w:rsidP="003F6F55">
      <w:pPr>
        <w:pStyle w:val="NoSpacing"/>
        <w:rPr>
          <w:lang w:eastAsia="ja-JP"/>
        </w:rPr>
      </w:pPr>
      <w:r>
        <w:rPr>
          <w:rFonts w:hint="eastAsia"/>
          <w:lang w:eastAsia="ja-JP"/>
        </w:rPr>
        <w:t>(8) Ha</w:t>
      </w:r>
      <w:r w:rsidR="003F6F55">
        <w:rPr>
          <w:lang w:eastAsia="ja-JP"/>
        </w:rPr>
        <w:t>ve</w:t>
      </w:r>
      <w:r>
        <w:rPr>
          <w:rFonts w:hint="eastAsia"/>
          <w:lang w:eastAsia="ja-JP"/>
        </w:rPr>
        <w:t xml:space="preserve"> Prime Ministers made any impact?</w:t>
      </w:r>
    </w:p>
    <w:p w14:paraId="35735AC3" w14:textId="77777777" w:rsidR="00077A36" w:rsidRDefault="00077A36" w:rsidP="009047C0">
      <w:pPr>
        <w:pStyle w:val="NoSpacing"/>
        <w:rPr>
          <w:lang w:eastAsia="ja-JP"/>
        </w:rPr>
      </w:pPr>
    </w:p>
    <w:p w14:paraId="256DB505" w14:textId="77777777" w:rsidR="00077A36" w:rsidRDefault="00077A36" w:rsidP="009047C0">
      <w:pPr>
        <w:pStyle w:val="NoSpacing"/>
        <w:rPr>
          <w:lang w:eastAsia="ja-JP"/>
        </w:rPr>
      </w:pPr>
      <w:r>
        <w:rPr>
          <w:rFonts w:hint="eastAsia"/>
          <w:lang w:eastAsia="ja-JP"/>
        </w:rPr>
        <w:t xml:space="preserve">(9) </w:t>
      </w:r>
      <w:r w:rsidR="005B3BBA">
        <w:rPr>
          <w:rFonts w:hint="eastAsia"/>
          <w:lang w:eastAsia="ja-JP"/>
        </w:rPr>
        <w:t>In ICT regulation, when and how have politicians outside the ministry played the role?</w:t>
      </w:r>
    </w:p>
    <w:p w14:paraId="7CC653E9" w14:textId="77777777" w:rsidR="00883D71" w:rsidRPr="00883D71" w:rsidRDefault="00883D71" w:rsidP="009047C0">
      <w:pPr>
        <w:pStyle w:val="NoSpacing"/>
        <w:rPr>
          <w:lang w:eastAsia="ja-JP"/>
        </w:rPr>
      </w:pPr>
    </w:p>
    <w:p w14:paraId="5F8DFC57" w14:textId="77777777" w:rsidR="00883D71" w:rsidRDefault="00883D71" w:rsidP="009047C0">
      <w:pPr>
        <w:pStyle w:val="NoSpacing"/>
        <w:rPr>
          <w:lang w:eastAsia="ja-JP"/>
        </w:rPr>
      </w:pPr>
    </w:p>
    <w:p w14:paraId="6516889E" w14:textId="77777777" w:rsidR="005B3BBA" w:rsidRPr="008758AF" w:rsidRDefault="005B3BBA" w:rsidP="009047C0">
      <w:pPr>
        <w:pStyle w:val="NoSpacing"/>
        <w:rPr>
          <w:u w:val="single"/>
          <w:lang w:eastAsia="ja-JP"/>
        </w:rPr>
      </w:pPr>
      <w:r w:rsidRPr="008758AF">
        <w:rPr>
          <w:rFonts w:hint="eastAsia"/>
          <w:u w:val="single"/>
          <w:lang w:eastAsia="ja-JP"/>
        </w:rPr>
        <w:t>3. Regulatory functions and organisational characteristics</w:t>
      </w:r>
    </w:p>
    <w:p w14:paraId="2C840EA2" w14:textId="77777777" w:rsidR="008758AF" w:rsidRDefault="008758AF" w:rsidP="009047C0">
      <w:pPr>
        <w:pStyle w:val="NoSpacing"/>
        <w:rPr>
          <w:lang w:eastAsia="ja-JP"/>
        </w:rPr>
      </w:pPr>
    </w:p>
    <w:p w14:paraId="613232A5" w14:textId="77777777" w:rsidR="005B3BBA" w:rsidRDefault="005B3BBA" w:rsidP="009047C0">
      <w:pPr>
        <w:pStyle w:val="NoSpacing"/>
        <w:rPr>
          <w:lang w:eastAsia="ja-JP"/>
        </w:rPr>
      </w:pPr>
      <w:r>
        <w:rPr>
          <w:rFonts w:hint="eastAsia"/>
          <w:lang w:eastAsia="ja-JP"/>
        </w:rPr>
        <w:t xml:space="preserve">(1) Is there any </w:t>
      </w:r>
      <w:r>
        <w:rPr>
          <w:lang w:eastAsia="ja-JP"/>
        </w:rPr>
        <w:t>relation</w:t>
      </w:r>
      <w:r>
        <w:rPr>
          <w:rFonts w:hint="eastAsia"/>
          <w:lang w:eastAsia="ja-JP"/>
        </w:rPr>
        <w:t xml:space="preserve"> between political changes (the change of LDP supporters, the change of so-called </w:t>
      </w:r>
      <w:r w:rsidRPr="005B3BBA">
        <w:rPr>
          <w:rFonts w:hint="eastAsia"/>
          <w:i/>
          <w:lang w:eastAsia="ja-JP"/>
        </w:rPr>
        <w:t>Yusei</w:t>
      </w:r>
      <w:r w:rsidR="00B90A7C">
        <w:rPr>
          <w:rFonts w:hint="eastAsia"/>
          <w:i/>
          <w:lang w:eastAsia="ja-JP"/>
        </w:rPr>
        <w:t>-</w:t>
      </w:r>
      <w:r w:rsidRPr="005B3BBA">
        <w:rPr>
          <w:rFonts w:hint="eastAsia"/>
          <w:i/>
          <w:lang w:eastAsia="ja-JP"/>
        </w:rPr>
        <w:t>Zoku</w:t>
      </w:r>
      <w:r>
        <w:rPr>
          <w:rFonts w:hint="eastAsia"/>
          <w:lang w:eastAsia="ja-JP"/>
        </w:rPr>
        <w:t xml:space="preserve"> and </w:t>
      </w:r>
      <w:r w:rsidRPr="005B3BBA">
        <w:rPr>
          <w:rFonts w:hint="eastAsia"/>
          <w:i/>
          <w:lang w:eastAsia="ja-JP"/>
        </w:rPr>
        <w:t>Shoukou</w:t>
      </w:r>
      <w:r w:rsidR="00B90A7C">
        <w:rPr>
          <w:rFonts w:hint="eastAsia"/>
          <w:i/>
          <w:lang w:eastAsia="ja-JP"/>
        </w:rPr>
        <w:t>-</w:t>
      </w:r>
      <w:r w:rsidRPr="005B3BBA">
        <w:rPr>
          <w:rFonts w:hint="eastAsia"/>
          <w:i/>
          <w:lang w:eastAsia="ja-JP"/>
        </w:rPr>
        <w:t>Zoku</w:t>
      </w:r>
      <w:r w:rsidR="001F28B4">
        <w:rPr>
          <w:rStyle w:val="FootnoteReference"/>
          <w:rFonts w:eastAsia="MS Mincho"/>
          <w:i/>
          <w:lang w:eastAsia="ja-JP"/>
        </w:rPr>
        <w:footnoteReference w:id="83"/>
      </w:r>
      <w:r>
        <w:rPr>
          <w:rFonts w:hint="eastAsia"/>
          <w:lang w:eastAsia="ja-JP"/>
        </w:rPr>
        <w:t>, government change, etc.) and the organisational characteristics of the regulator, in your view?</w:t>
      </w:r>
    </w:p>
    <w:p w14:paraId="5DCDBCF4" w14:textId="77777777" w:rsidR="005B3BBA" w:rsidRDefault="005B3BBA" w:rsidP="009047C0">
      <w:pPr>
        <w:pStyle w:val="NoSpacing"/>
        <w:rPr>
          <w:lang w:eastAsia="ja-JP"/>
        </w:rPr>
      </w:pPr>
    </w:p>
    <w:p w14:paraId="38D6D4C0" w14:textId="77777777" w:rsidR="00016CD3" w:rsidRPr="005B3BBA" w:rsidRDefault="00016CD3" w:rsidP="009047C0">
      <w:pPr>
        <w:pStyle w:val="NoSpacing"/>
        <w:rPr>
          <w:lang w:eastAsia="ja-JP"/>
        </w:rPr>
      </w:pPr>
      <w:r>
        <w:rPr>
          <w:rFonts w:hint="eastAsia"/>
          <w:lang w:eastAsia="ja-JP"/>
        </w:rPr>
        <w:t xml:space="preserve">(2) Most foreign countries </w:t>
      </w:r>
      <w:r w:rsidR="006E1061">
        <w:rPr>
          <w:rFonts w:hint="eastAsia"/>
          <w:lang w:eastAsia="ja-JP"/>
        </w:rPr>
        <w:t>have their ICT regulators independent; what makes Japan choose a different path, in your view?</w:t>
      </w:r>
    </w:p>
    <w:p w14:paraId="24ACAA1C" w14:textId="77777777" w:rsidR="00883D71" w:rsidRDefault="00883D71" w:rsidP="009047C0">
      <w:pPr>
        <w:pStyle w:val="NoSpacing"/>
        <w:rPr>
          <w:lang w:eastAsia="ja-JP"/>
        </w:rPr>
      </w:pPr>
    </w:p>
    <w:p w14:paraId="0F06BE47" w14:textId="77777777" w:rsidR="00883D71" w:rsidRPr="00883D71" w:rsidRDefault="00483EF2" w:rsidP="009047C0">
      <w:pPr>
        <w:pStyle w:val="NoSpacing"/>
        <w:rPr>
          <w:lang w:eastAsia="ja-JP"/>
        </w:rPr>
      </w:pPr>
      <w:r>
        <w:rPr>
          <w:rFonts w:hint="eastAsia"/>
          <w:lang w:eastAsia="ja-JP"/>
        </w:rPr>
        <w:t xml:space="preserve">(3) Does having the regulator independent change the capacity of the regulator (enhanced, weakened)? </w:t>
      </w:r>
      <w:r>
        <w:rPr>
          <w:lang w:eastAsia="ja-JP"/>
        </w:rPr>
        <w:t>I</w:t>
      </w:r>
      <w:r>
        <w:rPr>
          <w:rFonts w:hint="eastAsia"/>
          <w:lang w:eastAsia="ja-JP"/>
        </w:rPr>
        <w:t xml:space="preserve">f </w:t>
      </w:r>
      <w:r w:rsidR="00993223">
        <w:rPr>
          <w:rFonts w:hint="eastAsia"/>
          <w:lang w:eastAsia="ja-JP"/>
        </w:rPr>
        <w:t xml:space="preserve">it </w:t>
      </w:r>
      <w:r w:rsidR="00DC60A1">
        <w:rPr>
          <w:rFonts w:hint="eastAsia"/>
          <w:lang w:eastAsia="ja-JP"/>
        </w:rPr>
        <w:t>does</w:t>
      </w:r>
      <w:r>
        <w:rPr>
          <w:rFonts w:hint="eastAsia"/>
          <w:lang w:eastAsia="ja-JP"/>
        </w:rPr>
        <w:t xml:space="preserve">, how? </w:t>
      </w:r>
      <w:r>
        <w:rPr>
          <w:lang w:eastAsia="ja-JP"/>
        </w:rPr>
        <w:t>A</w:t>
      </w:r>
      <w:r>
        <w:rPr>
          <w:rFonts w:hint="eastAsia"/>
          <w:lang w:eastAsia="ja-JP"/>
        </w:rPr>
        <w:t xml:space="preserve">nd do you </w:t>
      </w:r>
      <w:r w:rsidR="00993223">
        <w:rPr>
          <w:rFonts w:hint="eastAsia"/>
          <w:lang w:eastAsia="ja-JP"/>
        </w:rPr>
        <w:t>highlight</w:t>
      </w:r>
      <w:r>
        <w:rPr>
          <w:rFonts w:hint="eastAsia"/>
          <w:lang w:eastAsia="ja-JP"/>
        </w:rPr>
        <w:t xml:space="preserve"> the example of such changes (domestic and international: </w:t>
      </w:r>
      <w:r w:rsidR="00993223">
        <w:rPr>
          <w:rFonts w:hint="eastAsia"/>
          <w:lang w:eastAsia="ja-JP"/>
        </w:rPr>
        <w:t>p</w:t>
      </w:r>
      <w:r>
        <w:rPr>
          <w:rFonts w:hint="eastAsia"/>
          <w:lang w:eastAsia="ja-JP"/>
        </w:rPr>
        <w:t>ast examples)</w:t>
      </w:r>
      <w:r w:rsidRPr="00883D71">
        <w:rPr>
          <w:lang w:eastAsia="ja-JP"/>
        </w:rPr>
        <w:t xml:space="preserve"> </w:t>
      </w:r>
    </w:p>
    <w:p w14:paraId="10BE75EC" w14:textId="77777777" w:rsidR="00883D71" w:rsidRDefault="00883D71" w:rsidP="009047C0">
      <w:pPr>
        <w:pStyle w:val="NoSpacing"/>
        <w:rPr>
          <w:lang w:eastAsia="ja-JP"/>
        </w:rPr>
      </w:pPr>
    </w:p>
    <w:p w14:paraId="75BEA730" w14:textId="77777777" w:rsidR="008301A4" w:rsidRDefault="008301A4" w:rsidP="009047C0">
      <w:pPr>
        <w:pStyle w:val="NoSpacing"/>
        <w:rPr>
          <w:lang w:eastAsia="ja-JP"/>
        </w:rPr>
      </w:pPr>
      <w:r>
        <w:rPr>
          <w:rFonts w:hint="eastAsia"/>
          <w:lang w:eastAsia="ja-JP"/>
        </w:rPr>
        <w:t xml:space="preserve">(4) What </w:t>
      </w:r>
      <w:r w:rsidR="00DC60A1">
        <w:rPr>
          <w:rFonts w:hint="eastAsia"/>
          <w:lang w:eastAsia="ja-JP"/>
        </w:rPr>
        <w:t xml:space="preserve">kind of </w:t>
      </w:r>
      <w:r w:rsidR="00514C5E">
        <w:rPr>
          <w:rFonts w:hint="eastAsia"/>
          <w:lang w:eastAsia="ja-JP"/>
        </w:rPr>
        <w:t xml:space="preserve">entity do you expect </w:t>
      </w:r>
      <w:r w:rsidR="00DC60A1">
        <w:rPr>
          <w:rFonts w:hint="eastAsia"/>
          <w:lang w:eastAsia="ja-JP"/>
        </w:rPr>
        <w:t>as a typical independent regulator</w:t>
      </w:r>
      <w:r w:rsidR="00514C5E">
        <w:rPr>
          <w:rFonts w:hint="eastAsia"/>
          <w:lang w:eastAsia="ja-JP"/>
        </w:rPr>
        <w:t>?</w:t>
      </w:r>
    </w:p>
    <w:p w14:paraId="2E20CF14" w14:textId="77777777" w:rsidR="00514C5E" w:rsidRDefault="00514C5E" w:rsidP="001B6C05">
      <w:pPr>
        <w:pStyle w:val="NoSpacing"/>
        <w:numPr>
          <w:ilvl w:val="0"/>
          <w:numId w:val="71"/>
        </w:numPr>
        <w:rPr>
          <w:lang w:eastAsia="ja-JP"/>
        </w:rPr>
      </w:pPr>
      <w:r>
        <w:rPr>
          <w:rFonts w:hint="eastAsia"/>
          <w:lang w:eastAsia="ja-JP"/>
        </w:rPr>
        <w:t>The Financial Services Agency Type: an executive organisation</w:t>
      </w:r>
    </w:p>
    <w:p w14:paraId="3BB508CF" w14:textId="77777777" w:rsidR="00514C5E" w:rsidRPr="00514C5E" w:rsidRDefault="00514C5E" w:rsidP="001B6C05">
      <w:pPr>
        <w:pStyle w:val="NoSpacing"/>
        <w:numPr>
          <w:ilvl w:val="0"/>
          <w:numId w:val="71"/>
        </w:numPr>
        <w:rPr>
          <w:lang w:eastAsia="ja-JP"/>
        </w:rPr>
      </w:pPr>
      <w:r>
        <w:rPr>
          <w:rFonts w:hint="eastAsia"/>
          <w:lang w:eastAsia="ja-JP"/>
        </w:rPr>
        <w:t>The Public Safety C</w:t>
      </w:r>
      <w:r>
        <w:rPr>
          <w:lang w:eastAsia="ja-JP"/>
        </w:rPr>
        <w:t>o</w:t>
      </w:r>
      <w:r>
        <w:rPr>
          <w:rFonts w:hint="eastAsia"/>
          <w:lang w:eastAsia="ja-JP"/>
        </w:rPr>
        <w:t>mmission Type: an independent administrative commission (chaired by a Cabinet Minister)</w:t>
      </w:r>
    </w:p>
    <w:p w14:paraId="2B1FBF2C" w14:textId="77777777" w:rsidR="00883D71" w:rsidRDefault="00514C5E" w:rsidP="001B6C05">
      <w:pPr>
        <w:pStyle w:val="NoSpacing"/>
        <w:numPr>
          <w:ilvl w:val="0"/>
          <w:numId w:val="71"/>
        </w:numPr>
        <w:rPr>
          <w:lang w:eastAsia="ja-JP"/>
        </w:rPr>
      </w:pPr>
      <w:r>
        <w:rPr>
          <w:rFonts w:hint="eastAsia"/>
          <w:lang w:eastAsia="ja-JP"/>
        </w:rPr>
        <w:t>The Fair Trade Commission Type: an independent administrative commission</w:t>
      </w:r>
    </w:p>
    <w:p w14:paraId="7BF5C9E1" w14:textId="77777777" w:rsidR="00514C5E" w:rsidRDefault="00514C5E" w:rsidP="001B6C05">
      <w:pPr>
        <w:pStyle w:val="NoSpacing"/>
        <w:numPr>
          <w:ilvl w:val="0"/>
          <w:numId w:val="71"/>
        </w:numPr>
        <w:rPr>
          <w:lang w:eastAsia="ja-JP"/>
        </w:rPr>
      </w:pPr>
      <w:r>
        <w:rPr>
          <w:rFonts w:hint="eastAsia"/>
          <w:lang w:eastAsia="ja-JP"/>
        </w:rPr>
        <w:t>The Bank of Japan Type: a public organisation outside the government</w:t>
      </w:r>
    </w:p>
    <w:p w14:paraId="1F4EC735" w14:textId="77777777" w:rsidR="00514C5E" w:rsidRPr="00514C5E" w:rsidRDefault="00514C5E" w:rsidP="001B6C05">
      <w:pPr>
        <w:pStyle w:val="NoSpacing"/>
        <w:numPr>
          <w:ilvl w:val="0"/>
          <w:numId w:val="71"/>
        </w:numPr>
        <w:rPr>
          <w:lang w:eastAsia="ja-JP"/>
        </w:rPr>
      </w:pPr>
      <w:r>
        <w:rPr>
          <w:lang w:eastAsia="ja-JP"/>
        </w:rPr>
        <w:t>I</w:t>
      </w:r>
      <w:r>
        <w:rPr>
          <w:rFonts w:hint="eastAsia"/>
          <w:lang w:eastAsia="ja-JP"/>
        </w:rPr>
        <w:t>ndependent Administrative Organisation Type: a public organisation outside the government</w:t>
      </w:r>
    </w:p>
    <w:p w14:paraId="2C3D0982" w14:textId="77777777" w:rsidR="00883D71" w:rsidRDefault="00883D71" w:rsidP="009047C0">
      <w:pPr>
        <w:pStyle w:val="NoSpacing"/>
        <w:rPr>
          <w:lang w:eastAsia="ja-JP"/>
        </w:rPr>
      </w:pPr>
    </w:p>
    <w:p w14:paraId="3CA27E1E" w14:textId="77777777" w:rsidR="001B6A5D" w:rsidRPr="001B6A5D" w:rsidRDefault="001B6A5D" w:rsidP="009047C0">
      <w:pPr>
        <w:pStyle w:val="NoSpacing"/>
        <w:rPr>
          <w:lang w:eastAsia="ja-JP"/>
        </w:rPr>
      </w:pPr>
      <w:r>
        <w:rPr>
          <w:rFonts w:hint="eastAsia"/>
          <w:lang w:eastAsia="ja-JP"/>
        </w:rPr>
        <w:t xml:space="preserve">(5) When </w:t>
      </w:r>
      <w:r w:rsidR="00DC60A1">
        <w:rPr>
          <w:rFonts w:hint="eastAsia"/>
          <w:lang w:eastAsia="ja-JP"/>
        </w:rPr>
        <w:t>was</w:t>
      </w:r>
      <w:r>
        <w:rPr>
          <w:rFonts w:hint="eastAsia"/>
          <w:lang w:eastAsia="ja-JP"/>
        </w:rPr>
        <w:t xml:space="preserve"> the independent ICT regulator </w:t>
      </w:r>
      <w:r w:rsidR="00341AA0">
        <w:rPr>
          <w:rFonts w:hint="eastAsia"/>
          <w:lang w:eastAsia="ja-JP"/>
        </w:rPr>
        <w:t xml:space="preserve">debated </w:t>
      </w:r>
      <w:r>
        <w:rPr>
          <w:rFonts w:hint="eastAsia"/>
          <w:lang w:eastAsia="ja-JP"/>
        </w:rPr>
        <w:t>first? At that time, who led the debate, and why, in your view?</w:t>
      </w:r>
    </w:p>
    <w:p w14:paraId="40CD2016" w14:textId="77777777" w:rsidR="00883D71" w:rsidRDefault="00883D71" w:rsidP="009047C0">
      <w:pPr>
        <w:pStyle w:val="NoSpacing"/>
        <w:rPr>
          <w:lang w:eastAsia="ja-JP"/>
        </w:rPr>
      </w:pPr>
    </w:p>
    <w:p w14:paraId="1854C802" w14:textId="77777777" w:rsidR="001B6A5D" w:rsidRPr="001B6A5D" w:rsidRDefault="001B6A5D" w:rsidP="003F6F55">
      <w:pPr>
        <w:pStyle w:val="NoSpacing"/>
        <w:rPr>
          <w:lang w:eastAsia="ja-JP"/>
        </w:rPr>
      </w:pPr>
      <w:r>
        <w:rPr>
          <w:rFonts w:hint="eastAsia"/>
          <w:lang w:eastAsia="ja-JP"/>
        </w:rPr>
        <w:t xml:space="preserve">(6) What impact </w:t>
      </w:r>
      <w:r w:rsidR="003F6F55">
        <w:rPr>
          <w:lang w:eastAsia="ja-JP"/>
        </w:rPr>
        <w:t xml:space="preserve">will an independent ICT regulator have on </w:t>
      </w:r>
      <w:r>
        <w:rPr>
          <w:rFonts w:hint="eastAsia"/>
          <w:lang w:eastAsia="ja-JP"/>
        </w:rPr>
        <w:t>the relationship between ICT regulatory functions and politicians?</w:t>
      </w:r>
    </w:p>
    <w:p w14:paraId="0789AA4E" w14:textId="77777777" w:rsidR="00883D71" w:rsidRPr="00341AA0" w:rsidRDefault="00883D71" w:rsidP="009047C0">
      <w:pPr>
        <w:pStyle w:val="NoSpacing"/>
        <w:rPr>
          <w:lang w:eastAsia="ja-JP"/>
        </w:rPr>
      </w:pPr>
    </w:p>
    <w:p w14:paraId="475720F1" w14:textId="77777777" w:rsidR="001B6A5D" w:rsidRPr="001B6A5D" w:rsidRDefault="001B6A5D" w:rsidP="003F6F55">
      <w:pPr>
        <w:pStyle w:val="NoSpacing"/>
        <w:rPr>
          <w:lang w:eastAsia="ja-JP"/>
        </w:rPr>
      </w:pPr>
      <w:r>
        <w:rPr>
          <w:rFonts w:hint="eastAsia"/>
          <w:lang w:eastAsia="ja-JP"/>
        </w:rPr>
        <w:t xml:space="preserve">(7) Other than the above, </w:t>
      </w:r>
      <w:r w:rsidR="008758AF">
        <w:rPr>
          <w:rFonts w:hint="eastAsia"/>
          <w:lang w:eastAsia="ja-JP"/>
        </w:rPr>
        <w:t xml:space="preserve">what points do you highlight as the </w:t>
      </w:r>
      <w:r w:rsidR="003F6F55">
        <w:rPr>
          <w:lang w:eastAsia="ja-JP"/>
        </w:rPr>
        <w:t>key</w:t>
      </w:r>
      <w:r w:rsidR="008758AF">
        <w:rPr>
          <w:rFonts w:hint="eastAsia"/>
          <w:lang w:eastAsia="ja-JP"/>
        </w:rPr>
        <w:t xml:space="preserve"> characteristics of the ICT regulator? (</w:t>
      </w:r>
      <w:r w:rsidR="008758AF">
        <w:rPr>
          <w:lang w:eastAsia="ja-JP"/>
        </w:rPr>
        <w:t>Comparing</w:t>
      </w:r>
      <w:r w:rsidR="008758AF">
        <w:rPr>
          <w:rFonts w:hint="eastAsia"/>
          <w:lang w:eastAsia="ja-JP"/>
        </w:rPr>
        <w:t xml:space="preserve"> to the examples of other domestic (e.g. electricity, gas, transport, </w:t>
      </w:r>
      <w:r w:rsidR="008758AF">
        <w:rPr>
          <w:lang w:eastAsia="ja-JP"/>
        </w:rPr>
        <w:t>financial</w:t>
      </w:r>
      <w:r w:rsidR="008758AF">
        <w:rPr>
          <w:rFonts w:hint="eastAsia"/>
          <w:lang w:eastAsia="ja-JP"/>
        </w:rPr>
        <w:t xml:space="preserve"> services, antimonopoly) and foreign counterparts) </w:t>
      </w:r>
    </w:p>
    <w:p w14:paraId="749796A3" w14:textId="77777777" w:rsidR="00883D71" w:rsidRDefault="00883D71" w:rsidP="009047C0">
      <w:pPr>
        <w:pStyle w:val="NoSpacing"/>
        <w:rPr>
          <w:lang w:eastAsia="ja-JP"/>
        </w:rPr>
      </w:pPr>
    </w:p>
    <w:p w14:paraId="767AEA4A" w14:textId="77777777" w:rsidR="008758AF" w:rsidRDefault="008758AF" w:rsidP="009047C0">
      <w:pPr>
        <w:pStyle w:val="NoSpacing"/>
        <w:rPr>
          <w:lang w:eastAsia="ja-JP"/>
        </w:rPr>
      </w:pPr>
    </w:p>
    <w:p w14:paraId="647B1B7B" w14:textId="77777777" w:rsidR="008758AF" w:rsidRPr="008758AF" w:rsidRDefault="008758AF" w:rsidP="009047C0">
      <w:pPr>
        <w:pStyle w:val="NoSpacing"/>
        <w:rPr>
          <w:u w:val="single"/>
          <w:lang w:eastAsia="ja-JP"/>
        </w:rPr>
      </w:pPr>
      <w:r w:rsidRPr="008758AF">
        <w:rPr>
          <w:rFonts w:hint="eastAsia"/>
          <w:u w:val="single"/>
          <w:lang w:eastAsia="ja-JP"/>
        </w:rPr>
        <w:t>4.  The change of the capacity of the regulator (staff, expertise, financial resources, etc.)</w:t>
      </w:r>
    </w:p>
    <w:p w14:paraId="61DA2E99" w14:textId="77777777" w:rsidR="00883D71" w:rsidRPr="00883D71" w:rsidRDefault="00883D71" w:rsidP="009047C0">
      <w:pPr>
        <w:pStyle w:val="NoSpacing"/>
        <w:rPr>
          <w:lang w:eastAsia="ja-JP"/>
        </w:rPr>
      </w:pPr>
      <w:r w:rsidRPr="00883D71">
        <w:rPr>
          <w:rFonts w:hint="eastAsia"/>
          <w:lang w:eastAsia="ja-JP"/>
        </w:rPr>
        <w:t xml:space="preserve">　</w:t>
      </w:r>
    </w:p>
    <w:p w14:paraId="0A3A9986" w14:textId="77777777" w:rsidR="008758AF" w:rsidRDefault="008758AF" w:rsidP="003F6F55">
      <w:pPr>
        <w:pStyle w:val="NoSpacing"/>
        <w:rPr>
          <w:lang w:eastAsia="ja-JP"/>
        </w:rPr>
      </w:pPr>
      <w:r>
        <w:rPr>
          <w:rFonts w:hint="eastAsia"/>
          <w:lang w:eastAsia="ja-JP"/>
        </w:rPr>
        <w:t xml:space="preserve">(1) </w:t>
      </w:r>
      <w:r w:rsidR="003F6F55">
        <w:rPr>
          <w:lang w:eastAsia="ja-JP"/>
        </w:rPr>
        <w:t xml:space="preserve">What are </w:t>
      </w:r>
      <w:r>
        <w:rPr>
          <w:rFonts w:hint="eastAsia"/>
          <w:lang w:eastAsia="ja-JP"/>
        </w:rPr>
        <w:t>the necessary authority and resources (capacity) of the regulator?</w:t>
      </w:r>
    </w:p>
    <w:p w14:paraId="0520596A" w14:textId="77777777" w:rsidR="00883D71" w:rsidRDefault="00883D71" w:rsidP="009047C0">
      <w:pPr>
        <w:pStyle w:val="NoSpacing"/>
        <w:rPr>
          <w:lang w:eastAsia="ja-JP"/>
        </w:rPr>
      </w:pPr>
    </w:p>
    <w:p w14:paraId="4512DFAB" w14:textId="77777777" w:rsidR="008758AF" w:rsidRDefault="008758AF" w:rsidP="009047C0">
      <w:pPr>
        <w:pStyle w:val="NoSpacing"/>
        <w:rPr>
          <w:lang w:eastAsia="ja-JP"/>
        </w:rPr>
      </w:pPr>
      <w:r>
        <w:rPr>
          <w:rFonts w:hint="eastAsia"/>
          <w:lang w:eastAsia="ja-JP"/>
        </w:rPr>
        <w:t xml:space="preserve">(2) </w:t>
      </w:r>
      <w:r>
        <w:rPr>
          <w:lang w:eastAsia="ja-JP"/>
        </w:rPr>
        <w:t>Has</w:t>
      </w:r>
      <w:r>
        <w:rPr>
          <w:rFonts w:hint="eastAsia"/>
          <w:lang w:eastAsia="ja-JP"/>
        </w:rPr>
        <w:t xml:space="preserve"> the regulator have enough authority and resources (capacity) so far?</w:t>
      </w:r>
    </w:p>
    <w:p w14:paraId="001B8AC0" w14:textId="77777777" w:rsidR="008758AF" w:rsidRDefault="008758AF" w:rsidP="009047C0">
      <w:pPr>
        <w:pStyle w:val="NoSpacing"/>
        <w:rPr>
          <w:lang w:eastAsia="ja-JP"/>
        </w:rPr>
      </w:pPr>
    </w:p>
    <w:p w14:paraId="3BA6A33E" w14:textId="77777777" w:rsidR="008758AF" w:rsidRDefault="008758AF" w:rsidP="001B6C05">
      <w:pPr>
        <w:pStyle w:val="NoSpacing"/>
        <w:numPr>
          <w:ilvl w:val="0"/>
          <w:numId w:val="72"/>
        </w:numPr>
        <w:rPr>
          <w:lang w:eastAsia="ja-JP"/>
        </w:rPr>
      </w:pPr>
      <w:r>
        <w:rPr>
          <w:rFonts w:hint="eastAsia"/>
          <w:lang w:eastAsia="ja-JP"/>
        </w:rPr>
        <w:t>1980s</w:t>
      </w:r>
    </w:p>
    <w:p w14:paraId="02D163E9" w14:textId="77777777" w:rsidR="008758AF" w:rsidRDefault="008758AF" w:rsidP="009047C0">
      <w:pPr>
        <w:pStyle w:val="NoSpacing"/>
        <w:rPr>
          <w:lang w:eastAsia="ja-JP"/>
        </w:rPr>
      </w:pPr>
    </w:p>
    <w:p w14:paraId="35F2901A" w14:textId="77777777" w:rsidR="008758AF" w:rsidRDefault="008758AF" w:rsidP="001B6C05">
      <w:pPr>
        <w:pStyle w:val="NoSpacing"/>
        <w:numPr>
          <w:ilvl w:val="0"/>
          <w:numId w:val="72"/>
        </w:numPr>
        <w:rPr>
          <w:lang w:eastAsia="ja-JP"/>
        </w:rPr>
      </w:pPr>
      <w:r>
        <w:rPr>
          <w:rFonts w:hint="eastAsia"/>
          <w:lang w:eastAsia="ja-JP"/>
        </w:rPr>
        <w:t>1990s</w:t>
      </w:r>
    </w:p>
    <w:p w14:paraId="358F009A" w14:textId="77777777" w:rsidR="008758AF" w:rsidRDefault="008758AF" w:rsidP="009047C0">
      <w:pPr>
        <w:pStyle w:val="NoSpacing"/>
        <w:rPr>
          <w:lang w:eastAsia="ja-JP"/>
        </w:rPr>
      </w:pPr>
    </w:p>
    <w:p w14:paraId="4A16E58B" w14:textId="77777777" w:rsidR="008758AF" w:rsidRDefault="008758AF" w:rsidP="001B6C05">
      <w:pPr>
        <w:pStyle w:val="NoSpacing"/>
        <w:numPr>
          <w:ilvl w:val="0"/>
          <w:numId w:val="72"/>
        </w:numPr>
        <w:rPr>
          <w:lang w:eastAsia="ja-JP"/>
        </w:rPr>
      </w:pPr>
      <w:r>
        <w:rPr>
          <w:rFonts w:hint="eastAsia"/>
          <w:lang w:eastAsia="ja-JP"/>
        </w:rPr>
        <w:t>2000s</w:t>
      </w:r>
    </w:p>
    <w:p w14:paraId="6B70D7EA" w14:textId="77777777" w:rsidR="008758AF" w:rsidRDefault="008758AF" w:rsidP="009047C0">
      <w:pPr>
        <w:pStyle w:val="NoSpacing"/>
        <w:rPr>
          <w:lang w:eastAsia="ja-JP"/>
        </w:rPr>
      </w:pPr>
    </w:p>
    <w:p w14:paraId="631824B7" w14:textId="77777777" w:rsidR="008758AF" w:rsidRPr="008758AF" w:rsidRDefault="003F6F55" w:rsidP="003F6F55">
      <w:pPr>
        <w:pStyle w:val="NoSpacing"/>
        <w:rPr>
          <w:lang w:eastAsia="ja-JP"/>
        </w:rPr>
      </w:pPr>
      <w:r>
        <w:rPr>
          <w:rFonts w:hint="eastAsia"/>
          <w:lang w:eastAsia="ja-JP"/>
        </w:rPr>
        <w:t xml:space="preserve">(3) </w:t>
      </w:r>
      <w:r>
        <w:rPr>
          <w:lang w:eastAsia="ja-JP"/>
        </w:rPr>
        <w:t xml:space="preserve">Do you recognise </w:t>
      </w:r>
      <w:r w:rsidR="008758AF">
        <w:rPr>
          <w:rFonts w:hint="eastAsia"/>
          <w:lang w:eastAsia="ja-JP"/>
        </w:rPr>
        <w:t>any relationship between the regulator</w:t>
      </w:r>
      <w:r w:rsidR="008758AF">
        <w:rPr>
          <w:lang w:eastAsia="ja-JP"/>
        </w:rPr>
        <w:t>’</w:t>
      </w:r>
      <w:r w:rsidR="008758AF">
        <w:rPr>
          <w:rFonts w:hint="eastAsia"/>
          <w:lang w:eastAsia="ja-JP"/>
        </w:rPr>
        <w:t>s authority and resources (capacity) and politicians? If any, what?</w:t>
      </w:r>
    </w:p>
    <w:p w14:paraId="3045724C" w14:textId="77777777" w:rsidR="00883D71" w:rsidRDefault="00883D71" w:rsidP="009047C0">
      <w:pPr>
        <w:pStyle w:val="NoSpacing"/>
        <w:rPr>
          <w:lang w:eastAsia="ja-JP"/>
        </w:rPr>
      </w:pPr>
    </w:p>
    <w:p w14:paraId="733EA413" w14:textId="77777777" w:rsidR="008758AF" w:rsidRPr="008758AF" w:rsidRDefault="008758AF" w:rsidP="003F6F55">
      <w:pPr>
        <w:pStyle w:val="NoSpacing"/>
        <w:rPr>
          <w:lang w:eastAsia="ja-JP"/>
        </w:rPr>
      </w:pPr>
      <w:r>
        <w:rPr>
          <w:rFonts w:hint="eastAsia"/>
          <w:lang w:eastAsia="ja-JP"/>
        </w:rPr>
        <w:t xml:space="preserve">(4) </w:t>
      </w:r>
      <w:r w:rsidR="003F6F55">
        <w:rPr>
          <w:lang w:eastAsia="ja-JP"/>
        </w:rPr>
        <w:t xml:space="preserve">do you recognise </w:t>
      </w:r>
      <w:r>
        <w:rPr>
          <w:rFonts w:hint="eastAsia"/>
          <w:lang w:eastAsia="ja-JP"/>
        </w:rPr>
        <w:t>any relationship between the regulator</w:t>
      </w:r>
      <w:r>
        <w:rPr>
          <w:lang w:eastAsia="ja-JP"/>
        </w:rPr>
        <w:t>’</w:t>
      </w:r>
      <w:r>
        <w:rPr>
          <w:rFonts w:hint="eastAsia"/>
          <w:lang w:eastAsia="ja-JP"/>
        </w:rPr>
        <w:t>s authority and resources (capacity) and its transparency? If any, what?</w:t>
      </w:r>
    </w:p>
    <w:p w14:paraId="45295E45" w14:textId="77777777" w:rsidR="008758AF" w:rsidRPr="008758AF" w:rsidRDefault="008758AF" w:rsidP="009047C0">
      <w:pPr>
        <w:pStyle w:val="NoSpacing"/>
        <w:rPr>
          <w:lang w:eastAsia="ja-JP"/>
        </w:rPr>
      </w:pPr>
    </w:p>
    <w:p w14:paraId="5F125029" w14:textId="77777777" w:rsidR="008758AF" w:rsidRDefault="008758AF" w:rsidP="003F6F55">
      <w:pPr>
        <w:pStyle w:val="NoSpacing"/>
        <w:rPr>
          <w:lang w:eastAsia="ja-JP"/>
        </w:rPr>
      </w:pPr>
      <w:r>
        <w:rPr>
          <w:rFonts w:hint="eastAsia"/>
          <w:lang w:eastAsia="ja-JP"/>
        </w:rPr>
        <w:t>(5) What is ne</w:t>
      </w:r>
      <w:r w:rsidR="003F6F55">
        <w:rPr>
          <w:lang w:eastAsia="ja-JP"/>
        </w:rPr>
        <w:t xml:space="preserve">cessary for a regulator to retain its </w:t>
      </w:r>
      <w:r>
        <w:rPr>
          <w:rFonts w:hint="eastAsia"/>
          <w:lang w:eastAsia="ja-JP"/>
        </w:rPr>
        <w:t>authority and resources (capacity)?</w:t>
      </w:r>
    </w:p>
    <w:p w14:paraId="5C9A1F97" w14:textId="77777777" w:rsidR="008758AF" w:rsidRDefault="008758AF" w:rsidP="009047C0">
      <w:pPr>
        <w:pStyle w:val="NoSpacing"/>
        <w:rPr>
          <w:lang w:eastAsia="ja-JP"/>
        </w:rPr>
      </w:pPr>
    </w:p>
    <w:p w14:paraId="1FBAD6DF" w14:textId="77777777" w:rsidR="008758AF" w:rsidRPr="008758AF" w:rsidRDefault="008758AF" w:rsidP="009047C0">
      <w:pPr>
        <w:pStyle w:val="NoSpacing"/>
        <w:rPr>
          <w:lang w:eastAsia="ja-JP"/>
        </w:rPr>
      </w:pPr>
      <w:r>
        <w:rPr>
          <w:rFonts w:hint="eastAsia"/>
          <w:lang w:eastAsia="ja-JP"/>
        </w:rPr>
        <w:t>(6) What has been done to ensure the above?</w:t>
      </w:r>
    </w:p>
    <w:p w14:paraId="5DD1FBE2" w14:textId="77777777" w:rsidR="00883D71" w:rsidRPr="00883D71" w:rsidRDefault="00883D71" w:rsidP="009047C0">
      <w:pPr>
        <w:pStyle w:val="NoSpacing"/>
        <w:rPr>
          <w:lang w:eastAsia="ja-JP"/>
        </w:rPr>
      </w:pPr>
    </w:p>
    <w:p w14:paraId="5BB8E2E5" w14:textId="77777777" w:rsidR="00883D71" w:rsidRPr="008758AF" w:rsidRDefault="008758AF" w:rsidP="003F6F55">
      <w:pPr>
        <w:pStyle w:val="NoSpacing"/>
        <w:rPr>
          <w:lang w:eastAsia="ja-JP"/>
        </w:rPr>
      </w:pPr>
      <w:r>
        <w:rPr>
          <w:rFonts w:hint="eastAsia"/>
          <w:lang w:eastAsia="ja-JP"/>
        </w:rPr>
        <w:t xml:space="preserve">(7) How do you describe the relationship </w:t>
      </w:r>
      <w:r>
        <w:rPr>
          <w:lang w:eastAsia="ja-JP"/>
        </w:rPr>
        <w:t>between</w:t>
      </w:r>
      <w:r>
        <w:rPr>
          <w:rFonts w:hint="eastAsia"/>
          <w:lang w:eastAsia="ja-JP"/>
        </w:rPr>
        <w:t xml:space="preserve"> the benefits to operators and consumers in the ICT sector and the regulator</w:t>
      </w:r>
      <w:r>
        <w:rPr>
          <w:lang w:eastAsia="ja-JP"/>
        </w:rPr>
        <w:t>’</w:t>
      </w:r>
      <w:r>
        <w:rPr>
          <w:rFonts w:hint="eastAsia"/>
          <w:lang w:eastAsia="ja-JP"/>
        </w:rPr>
        <w:t xml:space="preserve">s </w:t>
      </w:r>
      <w:r w:rsidR="003F6F55">
        <w:rPr>
          <w:lang w:eastAsia="ja-JP"/>
        </w:rPr>
        <w:t>authority and recouses</w:t>
      </w:r>
      <w:r>
        <w:rPr>
          <w:rFonts w:hint="eastAsia"/>
          <w:lang w:eastAsia="ja-JP"/>
        </w:rPr>
        <w:t xml:space="preserve"> (capacity)?</w:t>
      </w:r>
    </w:p>
    <w:p w14:paraId="5EE54434" w14:textId="77777777" w:rsidR="00883D71" w:rsidRPr="00883D71" w:rsidRDefault="00883D71" w:rsidP="009047C0">
      <w:pPr>
        <w:pStyle w:val="NoSpacing"/>
        <w:rPr>
          <w:lang w:eastAsia="ja-JP"/>
        </w:rPr>
      </w:pPr>
    </w:p>
    <w:p w14:paraId="1C767701" w14:textId="77777777" w:rsidR="00883D71" w:rsidRDefault="00883D71" w:rsidP="009047C0">
      <w:pPr>
        <w:pStyle w:val="NoSpacing"/>
        <w:rPr>
          <w:lang w:eastAsia="ja-JP"/>
        </w:rPr>
      </w:pPr>
    </w:p>
    <w:p w14:paraId="07C01B5D" w14:textId="77777777" w:rsidR="008758AF" w:rsidRPr="008758AF" w:rsidRDefault="00A6157B" w:rsidP="009047C0">
      <w:pPr>
        <w:pStyle w:val="NoSpacing"/>
        <w:rPr>
          <w:u w:val="single"/>
          <w:lang w:eastAsia="ja-JP"/>
        </w:rPr>
      </w:pPr>
      <w:r>
        <w:rPr>
          <w:rFonts w:hint="eastAsia"/>
          <w:u w:val="single"/>
          <w:lang w:eastAsia="ja-JP"/>
        </w:rPr>
        <w:t xml:space="preserve">5. </w:t>
      </w:r>
      <w:r w:rsidR="008758AF" w:rsidRPr="008758AF">
        <w:rPr>
          <w:rFonts w:hint="eastAsia"/>
          <w:u w:val="single"/>
          <w:lang w:eastAsia="ja-JP"/>
        </w:rPr>
        <w:t>Last section</w:t>
      </w:r>
    </w:p>
    <w:p w14:paraId="6FE66286" w14:textId="77777777" w:rsidR="008758AF" w:rsidRDefault="008758AF" w:rsidP="009047C0">
      <w:pPr>
        <w:pStyle w:val="NoSpacing"/>
        <w:rPr>
          <w:lang w:eastAsia="ja-JP"/>
        </w:rPr>
      </w:pPr>
    </w:p>
    <w:p w14:paraId="745EA12B" w14:textId="77777777" w:rsidR="008758AF" w:rsidRPr="008758AF" w:rsidRDefault="008758AF" w:rsidP="009047C0">
      <w:pPr>
        <w:pStyle w:val="NoSpacing"/>
        <w:rPr>
          <w:lang w:eastAsia="ja-JP"/>
        </w:rPr>
      </w:pPr>
      <w:r>
        <w:rPr>
          <w:rFonts w:hint="eastAsia"/>
          <w:lang w:eastAsia="ja-JP"/>
        </w:rPr>
        <w:t xml:space="preserve">Do you have any issue </w:t>
      </w:r>
      <w:r w:rsidR="00993223">
        <w:rPr>
          <w:rFonts w:hint="eastAsia"/>
          <w:lang w:eastAsia="ja-JP"/>
        </w:rPr>
        <w:t>untouched so far and important</w:t>
      </w:r>
      <w:r>
        <w:rPr>
          <w:rFonts w:hint="eastAsia"/>
          <w:lang w:eastAsia="ja-JP"/>
        </w:rPr>
        <w:t>? If any, please discuss.</w:t>
      </w:r>
    </w:p>
    <w:p w14:paraId="6D59DD70" w14:textId="77777777" w:rsidR="00883D71" w:rsidRDefault="00883D71" w:rsidP="009047C0">
      <w:pPr>
        <w:pStyle w:val="NoSpacing"/>
        <w:rPr>
          <w:lang w:eastAsia="ja-JP"/>
        </w:rPr>
      </w:pPr>
    </w:p>
    <w:p w14:paraId="2B910467" w14:textId="77777777" w:rsidR="00590ECB" w:rsidRDefault="00590ECB" w:rsidP="009047C0">
      <w:pPr>
        <w:pStyle w:val="NoSpacing"/>
        <w:rPr>
          <w:lang w:eastAsia="ja-JP"/>
        </w:rPr>
      </w:pPr>
      <w:r>
        <w:rPr>
          <w:lang w:eastAsia="ja-JP"/>
        </w:rPr>
        <w:br w:type="page"/>
      </w:r>
    </w:p>
    <w:p w14:paraId="7562C0DA" w14:textId="77777777" w:rsidR="00FF685A" w:rsidRPr="000E3A2F" w:rsidRDefault="00FF685A" w:rsidP="00FF685A">
      <w:pPr>
        <w:pStyle w:val="Heading1"/>
        <w:ind w:left="1276" w:hanging="1276"/>
      </w:pPr>
      <w:bookmarkStart w:id="78" w:name="_Toc349741400"/>
      <w:r>
        <w:rPr>
          <w:rFonts w:hint="eastAsia"/>
        </w:rPr>
        <w:t xml:space="preserve">Appendix </w:t>
      </w:r>
      <w:r w:rsidR="00005916">
        <w:rPr>
          <w:rFonts w:eastAsia="MS Mincho" w:hint="eastAsia"/>
          <w:lang w:eastAsia="ja-JP"/>
        </w:rPr>
        <w:t>3</w:t>
      </w:r>
      <w:r>
        <w:rPr>
          <w:rFonts w:eastAsia="MS Mincho" w:hint="eastAsia"/>
          <w:lang w:eastAsia="ja-JP"/>
        </w:rPr>
        <w:tab/>
      </w:r>
      <w:r w:rsidRPr="000E3A2F">
        <w:rPr>
          <w:rFonts w:hint="eastAsia"/>
        </w:rPr>
        <w:t>T</w:t>
      </w:r>
      <w:r w:rsidRPr="000E3A2F">
        <w:t>h</w:t>
      </w:r>
      <w:r w:rsidRPr="000E3A2F">
        <w:rPr>
          <w:rFonts w:hint="eastAsia"/>
        </w:rPr>
        <w:t xml:space="preserve">e List of </w:t>
      </w:r>
      <w:r w:rsidRPr="000E3A2F">
        <w:t>the Ministers of Posts and Telecommunications</w:t>
      </w:r>
      <w:r>
        <w:rPr>
          <w:rFonts w:hint="eastAsia"/>
        </w:rPr>
        <w:t xml:space="preserve"> (before January 2001)</w:t>
      </w:r>
      <w:r>
        <w:rPr>
          <w:rFonts w:eastAsia="MS Mincho" w:hint="eastAsia"/>
          <w:lang w:eastAsia="ja-JP"/>
        </w:rPr>
        <w:t xml:space="preserve"> </w:t>
      </w:r>
      <w:r>
        <w:rPr>
          <w:rFonts w:hint="eastAsia"/>
        </w:rPr>
        <w:t xml:space="preserve">and </w:t>
      </w:r>
      <w:r w:rsidRPr="000E3A2F">
        <w:rPr>
          <w:rFonts w:hint="eastAsia"/>
        </w:rPr>
        <w:t xml:space="preserve">the Ministers of Internal Affairs and Communications (after </w:t>
      </w:r>
      <w:r>
        <w:rPr>
          <w:rFonts w:hint="eastAsia"/>
        </w:rPr>
        <w:t xml:space="preserve">January </w:t>
      </w:r>
      <w:r w:rsidRPr="000E3A2F">
        <w:rPr>
          <w:rFonts w:hint="eastAsia"/>
        </w:rPr>
        <w:t>2001)</w:t>
      </w:r>
      <w:bookmarkEnd w:id="78"/>
    </w:p>
    <w:p w14:paraId="688D5870" w14:textId="77777777" w:rsidR="00FF685A" w:rsidRDefault="00FF685A" w:rsidP="00A07095"/>
    <w:p w14:paraId="1186BA99" w14:textId="77777777" w:rsidR="00FF685A" w:rsidRDefault="00FF685A" w:rsidP="00A07095"/>
    <w:p w14:paraId="78B1475C" w14:textId="77777777" w:rsidR="00FF685A" w:rsidRDefault="00FF685A" w:rsidP="00147E99">
      <w:pPr>
        <w:pStyle w:val="Heading2"/>
      </w:pPr>
      <w:bookmarkStart w:id="79" w:name="_Toc349741401"/>
      <w:r>
        <w:rPr>
          <w:rFonts w:eastAsia="MS Mincho" w:hint="eastAsia"/>
          <w:lang w:eastAsia="ja-JP"/>
        </w:rPr>
        <w:t>1.</w:t>
      </w:r>
      <w:r>
        <w:rPr>
          <w:rFonts w:eastAsia="MS Mincho" w:hint="eastAsia"/>
          <w:lang w:eastAsia="ja-JP"/>
        </w:rPr>
        <w:tab/>
      </w:r>
      <w:r w:rsidRPr="00602B0F">
        <w:rPr>
          <w:rFonts w:hint="eastAsia"/>
        </w:rPr>
        <w:t>Minister of Posts and Telecommunications</w:t>
      </w:r>
      <w:r>
        <w:t xml:space="preserve"> </w:t>
      </w:r>
      <w:r w:rsidRPr="00602B0F">
        <w:rPr>
          <w:rFonts w:hint="eastAsia"/>
        </w:rPr>
        <w:t xml:space="preserve">(before </w:t>
      </w:r>
      <w:r>
        <w:t xml:space="preserve">January </w:t>
      </w:r>
      <w:r w:rsidRPr="00602B0F">
        <w:rPr>
          <w:rFonts w:hint="eastAsia"/>
        </w:rPr>
        <w:t>2001)</w:t>
      </w:r>
      <w:r>
        <w:rPr>
          <w:rStyle w:val="FootnoteReference"/>
          <w:u w:val="single"/>
        </w:rPr>
        <w:footnoteReference w:id="84"/>
      </w:r>
      <w:bookmarkEnd w:id="79"/>
    </w:p>
    <w:p w14:paraId="440B9513" w14:textId="77777777" w:rsidR="00FF685A" w:rsidRDefault="00FF685A" w:rsidP="00A07095"/>
    <w:p w14:paraId="0B62CF19" w14:textId="77777777" w:rsidR="00FF685A" w:rsidRPr="00D00ED7" w:rsidRDefault="00A07095" w:rsidP="00050D4B">
      <w:pPr>
        <w:pStyle w:val="Heading3"/>
      </w:pPr>
      <w:bookmarkStart w:id="80" w:name="_Toc349741402"/>
      <w:r>
        <w:rPr>
          <w:rFonts w:eastAsia="MS Mincho" w:hint="eastAsia"/>
          <w:lang w:eastAsia="ja-JP"/>
        </w:rPr>
        <w:t>1.1</w:t>
      </w:r>
      <w:r>
        <w:rPr>
          <w:rFonts w:eastAsia="MS Mincho" w:hint="eastAsia"/>
          <w:lang w:eastAsia="ja-JP"/>
        </w:rPr>
        <w:tab/>
      </w:r>
      <w:r w:rsidR="00FF685A" w:rsidRPr="00D00ED7">
        <w:t>LDP (Liberal Democratic Party) governments</w:t>
      </w:r>
      <w:bookmarkEnd w:id="80"/>
    </w:p>
    <w:tbl>
      <w:tblPr>
        <w:tblStyle w:val="TableGrid"/>
        <w:tblW w:w="0" w:type="auto"/>
        <w:tblLook w:val="04A0" w:firstRow="1" w:lastRow="0" w:firstColumn="1" w:lastColumn="0" w:noHBand="0" w:noVBand="1"/>
      </w:tblPr>
      <w:tblGrid>
        <w:gridCol w:w="2478"/>
        <w:gridCol w:w="2361"/>
        <w:gridCol w:w="982"/>
        <w:gridCol w:w="981"/>
        <w:gridCol w:w="1918"/>
      </w:tblGrid>
      <w:tr w:rsidR="00FF685A" w14:paraId="2F338C3A" w14:textId="77777777" w:rsidTr="006B711A">
        <w:trPr>
          <w:trHeight w:hRule="exact" w:val="284"/>
        </w:trPr>
        <w:tc>
          <w:tcPr>
            <w:tcW w:w="2660" w:type="dxa"/>
            <w:tcBorders>
              <w:bottom w:val="single" w:sz="12" w:space="0" w:color="auto"/>
            </w:tcBorders>
            <w:shd w:val="pct20" w:color="auto" w:fill="auto"/>
          </w:tcPr>
          <w:p w14:paraId="68AFB9B6" w14:textId="77777777" w:rsidR="00FF685A" w:rsidRDefault="00FF685A" w:rsidP="006B711A">
            <w:pPr>
              <w:pStyle w:val="NoSpacing"/>
            </w:pPr>
            <w:r>
              <w:rPr>
                <w:rFonts w:hint="eastAsia"/>
              </w:rPr>
              <w:t>Name of the Minister</w:t>
            </w:r>
          </w:p>
        </w:tc>
        <w:tc>
          <w:tcPr>
            <w:tcW w:w="2551" w:type="dxa"/>
            <w:tcBorders>
              <w:bottom w:val="single" w:sz="12" w:space="0" w:color="auto"/>
            </w:tcBorders>
            <w:shd w:val="pct20" w:color="auto" w:fill="auto"/>
          </w:tcPr>
          <w:p w14:paraId="38746DD5" w14:textId="77777777" w:rsidR="00FF685A" w:rsidRDefault="00FF685A" w:rsidP="006B711A">
            <w:pPr>
              <w:pStyle w:val="NoSpacing"/>
            </w:pPr>
            <w:r>
              <w:rPr>
                <w:rFonts w:hint="eastAsia"/>
              </w:rPr>
              <w:t>Prime M</w:t>
            </w:r>
            <w:r>
              <w:t>i</w:t>
            </w:r>
            <w:r>
              <w:rPr>
                <w:rFonts w:hint="eastAsia"/>
              </w:rPr>
              <w:t>nister</w:t>
            </w:r>
          </w:p>
        </w:tc>
        <w:tc>
          <w:tcPr>
            <w:tcW w:w="993" w:type="dxa"/>
            <w:tcBorders>
              <w:bottom w:val="single" w:sz="12" w:space="0" w:color="auto"/>
            </w:tcBorders>
            <w:shd w:val="pct20" w:color="auto" w:fill="auto"/>
          </w:tcPr>
          <w:p w14:paraId="65A661BD" w14:textId="77777777" w:rsidR="00FF685A" w:rsidRDefault="00FF685A" w:rsidP="006B711A">
            <w:pPr>
              <w:pStyle w:val="NoSpacing"/>
            </w:pPr>
            <w:r>
              <w:t>F</w:t>
            </w:r>
            <w:r>
              <w:rPr>
                <w:rFonts w:hint="eastAsia"/>
              </w:rPr>
              <w:t xml:space="preserve">rom </w:t>
            </w:r>
          </w:p>
        </w:tc>
        <w:tc>
          <w:tcPr>
            <w:tcW w:w="992" w:type="dxa"/>
            <w:tcBorders>
              <w:bottom w:val="single" w:sz="12" w:space="0" w:color="auto"/>
            </w:tcBorders>
            <w:shd w:val="pct20" w:color="auto" w:fill="auto"/>
          </w:tcPr>
          <w:p w14:paraId="3B0075F0" w14:textId="77777777" w:rsidR="00FF685A" w:rsidRDefault="00FF685A" w:rsidP="006B711A">
            <w:pPr>
              <w:pStyle w:val="NoSpacing"/>
            </w:pPr>
            <w:r>
              <w:rPr>
                <w:rFonts w:hint="eastAsia"/>
              </w:rPr>
              <w:t>To</w:t>
            </w:r>
          </w:p>
        </w:tc>
        <w:tc>
          <w:tcPr>
            <w:tcW w:w="2072" w:type="dxa"/>
            <w:tcBorders>
              <w:bottom w:val="single" w:sz="12" w:space="0" w:color="auto"/>
            </w:tcBorders>
            <w:shd w:val="pct20" w:color="auto" w:fill="auto"/>
          </w:tcPr>
          <w:p w14:paraId="1BB94FB5" w14:textId="77777777" w:rsidR="00FF685A" w:rsidRDefault="00FF685A" w:rsidP="006B711A">
            <w:pPr>
              <w:pStyle w:val="NoSpacing"/>
            </w:pPr>
            <w:r>
              <w:rPr>
                <w:rFonts w:hint="eastAsia"/>
              </w:rPr>
              <w:t>Memo</w:t>
            </w:r>
          </w:p>
        </w:tc>
      </w:tr>
      <w:tr w:rsidR="00FF685A" w14:paraId="5C11003C" w14:textId="77777777" w:rsidTr="004D008F">
        <w:tc>
          <w:tcPr>
            <w:tcW w:w="2660" w:type="dxa"/>
            <w:tcBorders>
              <w:top w:val="single" w:sz="12" w:space="0" w:color="auto"/>
            </w:tcBorders>
          </w:tcPr>
          <w:p w14:paraId="67974CC2" w14:textId="77777777" w:rsidR="00FF685A" w:rsidRDefault="00FF685A" w:rsidP="006B711A">
            <w:pPr>
              <w:pStyle w:val="NoSpacing"/>
            </w:pPr>
            <w:r>
              <w:rPr>
                <w:rFonts w:hint="eastAsia"/>
              </w:rPr>
              <w:t>Mr Masao Oo</w:t>
            </w:r>
            <w:r>
              <w:t>’</w:t>
            </w:r>
            <w:r>
              <w:rPr>
                <w:rFonts w:hint="eastAsia"/>
              </w:rPr>
              <w:t>nishi</w:t>
            </w:r>
          </w:p>
        </w:tc>
        <w:tc>
          <w:tcPr>
            <w:tcW w:w="2551" w:type="dxa"/>
            <w:tcBorders>
              <w:top w:val="single" w:sz="12" w:space="0" w:color="auto"/>
              <w:bottom w:val="single" w:sz="4" w:space="0" w:color="000000" w:themeColor="text1"/>
            </w:tcBorders>
          </w:tcPr>
          <w:p w14:paraId="32689774" w14:textId="77777777" w:rsidR="00FF685A" w:rsidRDefault="00FF685A" w:rsidP="006B711A">
            <w:pPr>
              <w:pStyle w:val="NoSpacing"/>
            </w:pPr>
            <w:r>
              <w:rPr>
                <w:rFonts w:hint="eastAsia"/>
              </w:rPr>
              <w:t>Mr Masayoshi O</w:t>
            </w:r>
            <w:r>
              <w:t>’</w:t>
            </w:r>
            <w:r>
              <w:rPr>
                <w:rFonts w:hint="eastAsia"/>
              </w:rPr>
              <w:t>hira</w:t>
            </w:r>
          </w:p>
        </w:tc>
        <w:tc>
          <w:tcPr>
            <w:tcW w:w="993" w:type="dxa"/>
            <w:tcBorders>
              <w:top w:val="single" w:sz="12" w:space="0" w:color="auto"/>
            </w:tcBorders>
          </w:tcPr>
          <w:p w14:paraId="718702F9" w14:textId="77777777" w:rsidR="00FF685A" w:rsidRDefault="00FF685A" w:rsidP="006B711A">
            <w:pPr>
              <w:pStyle w:val="NoSpacing"/>
            </w:pPr>
            <w:r>
              <w:rPr>
                <w:rFonts w:hint="eastAsia"/>
              </w:rPr>
              <w:t>11/1979</w:t>
            </w:r>
          </w:p>
        </w:tc>
        <w:tc>
          <w:tcPr>
            <w:tcW w:w="992" w:type="dxa"/>
            <w:tcBorders>
              <w:top w:val="single" w:sz="12" w:space="0" w:color="auto"/>
            </w:tcBorders>
          </w:tcPr>
          <w:p w14:paraId="6389EF62" w14:textId="77777777" w:rsidR="00FF685A" w:rsidRDefault="00FF685A" w:rsidP="006B711A">
            <w:pPr>
              <w:pStyle w:val="NoSpacing"/>
            </w:pPr>
            <w:r>
              <w:rPr>
                <w:rFonts w:hint="eastAsia"/>
              </w:rPr>
              <w:t>07/1980</w:t>
            </w:r>
          </w:p>
        </w:tc>
        <w:tc>
          <w:tcPr>
            <w:tcW w:w="2072" w:type="dxa"/>
            <w:tcBorders>
              <w:top w:val="single" w:sz="12" w:space="0" w:color="auto"/>
            </w:tcBorders>
          </w:tcPr>
          <w:p w14:paraId="3DB17637" w14:textId="77777777" w:rsidR="00FF685A" w:rsidRDefault="00FF685A" w:rsidP="006B711A">
            <w:pPr>
              <w:pStyle w:val="NoSpacing"/>
            </w:pPr>
          </w:p>
        </w:tc>
      </w:tr>
      <w:tr w:rsidR="00FF685A" w14:paraId="5393FF39" w14:textId="77777777" w:rsidTr="004D008F">
        <w:tc>
          <w:tcPr>
            <w:tcW w:w="2660" w:type="dxa"/>
          </w:tcPr>
          <w:p w14:paraId="1342D8FD" w14:textId="77777777" w:rsidR="00FF685A" w:rsidRDefault="00FF685A" w:rsidP="006B711A">
            <w:pPr>
              <w:pStyle w:val="NoSpacing"/>
            </w:pPr>
            <w:r>
              <w:rPr>
                <w:rFonts w:hint="eastAsia"/>
              </w:rPr>
              <w:t>Mr Ichiro Yamanouchi</w:t>
            </w:r>
          </w:p>
        </w:tc>
        <w:tc>
          <w:tcPr>
            <w:tcW w:w="2551" w:type="dxa"/>
            <w:tcBorders>
              <w:bottom w:val="nil"/>
            </w:tcBorders>
          </w:tcPr>
          <w:p w14:paraId="068B1790" w14:textId="77777777" w:rsidR="00FF685A" w:rsidRDefault="00FF685A" w:rsidP="006B711A">
            <w:pPr>
              <w:pStyle w:val="NoSpacing"/>
            </w:pPr>
            <w:r>
              <w:rPr>
                <w:rFonts w:hint="eastAsia"/>
              </w:rPr>
              <w:t>Mr Zenko Suzuki</w:t>
            </w:r>
          </w:p>
        </w:tc>
        <w:tc>
          <w:tcPr>
            <w:tcW w:w="993" w:type="dxa"/>
          </w:tcPr>
          <w:p w14:paraId="2113A4E3" w14:textId="77777777" w:rsidR="00FF685A" w:rsidRDefault="00FF685A" w:rsidP="006B711A">
            <w:pPr>
              <w:pStyle w:val="NoSpacing"/>
            </w:pPr>
            <w:r>
              <w:rPr>
                <w:rFonts w:hint="eastAsia"/>
              </w:rPr>
              <w:t>07/1980</w:t>
            </w:r>
          </w:p>
        </w:tc>
        <w:tc>
          <w:tcPr>
            <w:tcW w:w="992" w:type="dxa"/>
          </w:tcPr>
          <w:p w14:paraId="09A96D70" w14:textId="77777777" w:rsidR="00FF685A" w:rsidRDefault="00FF685A" w:rsidP="006B711A">
            <w:pPr>
              <w:pStyle w:val="NoSpacing"/>
            </w:pPr>
            <w:r>
              <w:rPr>
                <w:rFonts w:hint="eastAsia"/>
              </w:rPr>
              <w:t>11/1981</w:t>
            </w:r>
          </w:p>
        </w:tc>
        <w:tc>
          <w:tcPr>
            <w:tcW w:w="2072" w:type="dxa"/>
          </w:tcPr>
          <w:p w14:paraId="43D8146A" w14:textId="77777777" w:rsidR="00FF685A" w:rsidRDefault="00FF685A" w:rsidP="006B711A">
            <w:pPr>
              <w:pStyle w:val="NoSpacing"/>
            </w:pPr>
          </w:p>
        </w:tc>
      </w:tr>
      <w:tr w:rsidR="00147E99" w14:paraId="002DBF08" w14:textId="77777777" w:rsidTr="004D008F">
        <w:tc>
          <w:tcPr>
            <w:tcW w:w="2660" w:type="dxa"/>
          </w:tcPr>
          <w:p w14:paraId="6FB309F1" w14:textId="77777777" w:rsidR="00147E99" w:rsidRDefault="004D008F" w:rsidP="006B711A">
            <w:pPr>
              <w:pStyle w:val="NoSpacing"/>
            </w:pPr>
            <w:r>
              <w:t>Mr Noboru Minowa</w:t>
            </w:r>
          </w:p>
        </w:tc>
        <w:tc>
          <w:tcPr>
            <w:tcW w:w="2551" w:type="dxa"/>
            <w:tcBorders>
              <w:top w:val="nil"/>
              <w:bottom w:val="single" w:sz="4" w:space="0" w:color="auto"/>
            </w:tcBorders>
          </w:tcPr>
          <w:p w14:paraId="42915365" w14:textId="77777777" w:rsidR="00147E99" w:rsidRDefault="00147E99" w:rsidP="006B711A">
            <w:pPr>
              <w:pStyle w:val="NoSpacing"/>
            </w:pPr>
          </w:p>
        </w:tc>
        <w:tc>
          <w:tcPr>
            <w:tcW w:w="993" w:type="dxa"/>
          </w:tcPr>
          <w:p w14:paraId="5C391272" w14:textId="77777777" w:rsidR="00147E99" w:rsidRDefault="004D008F" w:rsidP="006B711A">
            <w:pPr>
              <w:pStyle w:val="NoSpacing"/>
            </w:pPr>
            <w:r>
              <w:t>11/1981</w:t>
            </w:r>
          </w:p>
        </w:tc>
        <w:tc>
          <w:tcPr>
            <w:tcW w:w="992" w:type="dxa"/>
          </w:tcPr>
          <w:p w14:paraId="14858791" w14:textId="77777777" w:rsidR="00147E99" w:rsidRDefault="004D008F" w:rsidP="006B711A">
            <w:pPr>
              <w:pStyle w:val="NoSpacing"/>
            </w:pPr>
            <w:r>
              <w:t>11/1982</w:t>
            </w:r>
          </w:p>
        </w:tc>
        <w:tc>
          <w:tcPr>
            <w:tcW w:w="2072" w:type="dxa"/>
          </w:tcPr>
          <w:p w14:paraId="61AE8B95" w14:textId="77777777" w:rsidR="00147E99" w:rsidRDefault="00147E99" w:rsidP="006B711A">
            <w:pPr>
              <w:pStyle w:val="NoSpacing"/>
            </w:pPr>
          </w:p>
        </w:tc>
      </w:tr>
      <w:tr w:rsidR="00FF685A" w14:paraId="216F789F" w14:textId="77777777" w:rsidTr="00FF685A">
        <w:tc>
          <w:tcPr>
            <w:tcW w:w="2660" w:type="dxa"/>
          </w:tcPr>
          <w:p w14:paraId="76063898" w14:textId="77777777" w:rsidR="00FF685A" w:rsidRDefault="00FF685A" w:rsidP="006B711A">
            <w:pPr>
              <w:pStyle w:val="NoSpacing"/>
            </w:pPr>
            <w:r>
              <w:rPr>
                <w:rFonts w:hint="eastAsia"/>
              </w:rPr>
              <w:t>Mr Tokutarou Higaki</w:t>
            </w:r>
          </w:p>
        </w:tc>
        <w:tc>
          <w:tcPr>
            <w:tcW w:w="2551" w:type="dxa"/>
            <w:tcBorders>
              <w:bottom w:val="nil"/>
            </w:tcBorders>
          </w:tcPr>
          <w:p w14:paraId="67B6233E" w14:textId="77777777" w:rsidR="00FF685A" w:rsidRDefault="00FF685A" w:rsidP="006B711A">
            <w:pPr>
              <w:pStyle w:val="NoSpacing"/>
            </w:pPr>
          </w:p>
        </w:tc>
        <w:tc>
          <w:tcPr>
            <w:tcW w:w="993" w:type="dxa"/>
          </w:tcPr>
          <w:p w14:paraId="5172EBB2" w14:textId="77777777" w:rsidR="00FF685A" w:rsidRDefault="00FF685A" w:rsidP="006B711A">
            <w:pPr>
              <w:pStyle w:val="NoSpacing"/>
            </w:pPr>
            <w:r>
              <w:rPr>
                <w:rFonts w:hint="eastAsia"/>
              </w:rPr>
              <w:t>11/1982</w:t>
            </w:r>
          </w:p>
        </w:tc>
        <w:tc>
          <w:tcPr>
            <w:tcW w:w="992" w:type="dxa"/>
          </w:tcPr>
          <w:p w14:paraId="40C8F444" w14:textId="77777777" w:rsidR="00FF685A" w:rsidRDefault="00FF685A" w:rsidP="006B711A">
            <w:pPr>
              <w:pStyle w:val="NoSpacing"/>
            </w:pPr>
            <w:r>
              <w:rPr>
                <w:rFonts w:hint="eastAsia"/>
              </w:rPr>
              <w:t>12/1983</w:t>
            </w:r>
          </w:p>
        </w:tc>
        <w:tc>
          <w:tcPr>
            <w:tcW w:w="2072" w:type="dxa"/>
          </w:tcPr>
          <w:p w14:paraId="784F9E0E" w14:textId="77777777" w:rsidR="00FF685A" w:rsidRDefault="00FF685A" w:rsidP="006B711A">
            <w:pPr>
              <w:pStyle w:val="NoSpacing"/>
            </w:pPr>
          </w:p>
        </w:tc>
      </w:tr>
      <w:tr w:rsidR="00FF685A" w14:paraId="5570B86E" w14:textId="77777777" w:rsidTr="00FF685A">
        <w:tc>
          <w:tcPr>
            <w:tcW w:w="2660" w:type="dxa"/>
          </w:tcPr>
          <w:p w14:paraId="4C733737" w14:textId="77777777" w:rsidR="00FF685A" w:rsidRDefault="00FF685A" w:rsidP="006B711A">
            <w:pPr>
              <w:pStyle w:val="NoSpacing"/>
            </w:pPr>
            <w:r>
              <w:t>Mr Keiwa Okuda</w:t>
            </w:r>
          </w:p>
        </w:tc>
        <w:tc>
          <w:tcPr>
            <w:tcW w:w="2551" w:type="dxa"/>
            <w:tcBorders>
              <w:top w:val="nil"/>
              <w:bottom w:val="nil"/>
            </w:tcBorders>
          </w:tcPr>
          <w:p w14:paraId="7B1A0F72" w14:textId="77777777" w:rsidR="00FF685A" w:rsidRDefault="00FF685A" w:rsidP="006B711A">
            <w:pPr>
              <w:pStyle w:val="NoSpacing"/>
            </w:pPr>
          </w:p>
        </w:tc>
        <w:tc>
          <w:tcPr>
            <w:tcW w:w="993" w:type="dxa"/>
          </w:tcPr>
          <w:p w14:paraId="31CF79C8" w14:textId="77777777" w:rsidR="00FF685A" w:rsidRDefault="00FF685A" w:rsidP="006B711A">
            <w:pPr>
              <w:pStyle w:val="NoSpacing"/>
            </w:pPr>
            <w:r>
              <w:t>12/1983</w:t>
            </w:r>
          </w:p>
        </w:tc>
        <w:tc>
          <w:tcPr>
            <w:tcW w:w="992" w:type="dxa"/>
          </w:tcPr>
          <w:p w14:paraId="7F7FC0C0" w14:textId="77777777" w:rsidR="00FF685A" w:rsidRDefault="00FF685A" w:rsidP="006B711A">
            <w:pPr>
              <w:pStyle w:val="NoSpacing"/>
            </w:pPr>
            <w:r>
              <w:t>11/1984</w:t>
            </w:r>
          </w:p>
        </w:tc>
        <w:tc>
          <w:tcPr>
            <w:tcW w:w="2072" w:type="dxa"/>
          </w:tcPr>
          <w:p w14:paraId="63127072" w14:textId="77777777" w:rsidR="00FF685A" w:rsidRDefault="00FF685A" w:rsidP="006B711A">
            <w:pPr>
              <w:pStyle w:val="NoSpacing"/>
            </w:pPr>
          </w:p>
        </w:tc>
      </w:tr>
      <w:tr w:rsidR="00FF685A" w14:paraId="1938997E" w14:textId="77777777" w:rsidTr="00FF685A">
        <w:tc>
          <w:tcPr>
            <w:tcW w:w="2660" w:type="dxa"/>
          </w:tcPr>
          <w:p w14:paraId="606026D4" w14:textId="77777777" w:rsidR="00FF685A" w:rsidRDefault="00FF685A" w:rsidP="006B711A">
            <w:pPr>
              <w:pStyle w:val="NoSpacing"/>
            </w:pPr>
            <w:r>
              <w:t>Mr Megumu Satoh</w:t>
            </w:r>
          </w:p>
        </w:tc>
        <w:tc>
          <w:tcPr>
            <w:tcW w:w="2551" w:type="dxa"/>
            <w:tcBorders>
              <w:top w:val="nil"/>
              <w:bottom w:val="nil"/>
            </w:tcBorders>
          </w:tcPr>
          <w:p w14:paraId="63BE8F2C" w14:textId="77777777" w:rsidR="00FF685A" w:rsidRDefault="00FF685A" w:rsidP="006B711A">
            <w:pPr>
              <w:pStyle w:val="NoSpacing"/>
            </w:pPr>
            <w:r>
              <w:t>Mr Yasuhiro Nakasone</w:t>
            </w:r>
          </w:p>
        </w:tc>
        <w:tc>
          <w:tcPr>
            <w:tcW w:w="993" w:type="dxa"/>
          </w:tcPr>
          <w:p w14:paraId="20876400" w14:textId="77777777" w:rsidR="00FF685A" w:rsidRDefault="00FF685A" w:rsidP="006B711A">
            <w:pPr>
              <w:pStyle w:val="NoSpacing"/>
            </w:pPr>
            <w:r>
              <w:t>11/1984</w:t>
            </w:r>
          </w:p>
        </w:tc>
        <w:tc>
          <w:tcPr>
            <w:tcW w:w="992" w:type="dxa"/>
          </w:tcPr>
          <w:p w14:paraId="051425C0" w14:textId="77777777" w:rsidR="00FF685A" w:rsidRDefault="00FF685A" w:rsidP="006B711A">
            <w:pPr>
              <w:pStyle w:val="NoSpacing"/>
            </w:pPr>
            <w:r>
              <w:t>12/1985</w:t>
            </w:r>
          </w:p>
        </w:tc>
        <w:tc>
          <w:tcPr>
            <w:tcW w:w="2072" w:type="dxa"/>
          </w:tcPr>
          <w:p w14:paraId="70F8F0BE" w14:textId="77777777" w:rsidR="00FF685A" w:rsidRDefault="00FF685A" w:rsidP="006B711A">
            <w:pPr>
              <w:pStyle w:val="NoSpacing"/>
            </w:pPr>
          </w:p>
        </w:tc>
      </w:tr>
      <w:tr w:rsidR="00FF685A" w14:paraId="205D5162" w14:textId="77777777" w:rsidTr="00FF685A">
        <w:tc>
          <w:tcPr>
            <w:tcW w:w="2660" w:type="dxa"/>
          </w:tcPr>
          <w:p w14:paraId="2B6542FA" w14:textId="77777777" w:rsidR="00FF685A" w:rsidRDefault="00FF685A" w:rsidP="006B711A">
            <w:pPr>
              <w:pStyle w:val="NoSpacing"/>
            </w:pPr>
            <w:r>
              <w:t>Mr Bunsei Satoh</w:t>
            </w:r>
          </w:p>
        </w:tc>
        <w:tc>
          <w:tcPr>
            <w:tcW w:w="2551" w:type="dxa"/>
            <w:tcBorders>
              <w:top w:val="nil"/>
              <w:bottom w:val="nil"/>
            </w:tcBorders>
          </w:tcPr>
          <w:p w14:paraId="66C7403E" w14:textId="77777777" w:rsidR="00FF685A" w:rsidRDefault="00FF685A" w:rsidP="006B711A">
            <w:pPr>
              <w:pStyle w:val="NoSpacing"/>
            </w:pPr>
          </w:p>
        </w:tc>
        <w:tc>
          <w:tcPr>
            <w:tcW w:w="993" w:type="dxa"/>
          </w:tcPr>
          <w:p w14:paraId="04F8790C" w14:textId="77777777" w:rsidR="00FF685A" w:rsidRDefault="00FF685A" w:rsidP="006B711A">
            <w:pPr>
              <w:pStyle w:val="NoSpacing"/>
            </w:pPr>
            <w:r>
              <w:t>12/1985</w:t>
            </w:r>
          </w:p>
        </w:tc>
        <w:tc>
          <w:tcPr>
            <w:tcW w:w="992" w:type="dxa"/>
          </w:tcPr>
          <w:p w14:paraId="4B4871C3" w14:textId="77777777" w:rsidR="00FF685A" w:rsidRDefault="00FF685A" w:rsidP="006B711A">
            <w:pPr>
              <w:pStyle w:val="NoSpacing"/>
            </w:pPr>
            <w:r>
              <w:t>07/1986</w:t>
            </w:r>
          </w:p>
        </w:tc>
        <w:tc>
          <w:tcPr>
            <w:tcW w:w="2072" w:type="dxa"/>
          </w:tcPr>
          <w:p w14:paraId="35412CB8" w14:textId="77777777" w:rsidR="00FF685A" w:rsidRDefault="00FF685A" w:rsidP="006B711A">
            <w:pPr>
              <w:pStyle w:val="NoSpacing"/>
            </w:pPr>
          </w:p>
        </w:tc>
      </w:tr>
      <w:tr w:rsidR="00FF685A" w14:paraId="0AB6014E" w14:textId="77777777" w:rsidTr="00FF685A">
        <w:tc>
          <w:tcPr>
            <w:tcW w:w="2660" w:type="dxa"/>
          </w:tcPr>
          <w:p w14:paraId="3707DB78" w14:textId="77777777" w:rsidR="00FF685A" w:rsidRDefault="00FF685A" w:rsidP="006B711A">
            <w:pPr>
              <w:pStyle w:val="NoSpacing"/>
            </w:pPr>
            <w:r>
              <w:t>Mr Shunjiroh Karasawa</w:t>
            </w:r>
          </w:p>
        </w:tc>
        <w:tc>
          <w:tcPr>
            <w:tcW w:w="2551" w:type="dxa"/>
            <w:tcBorders>
              <w:top w:val="nil"/>
              <w:bottom w:val="single" w:sz="4" w:space="0" w:color="auto"/>
            </w:tcBorders>
          </w:tcPr>
          <w:p w14:paraId="437B4D48" w14:textId="77777777" w:rsidR="00FF685A" w:rsidRDefault="00FF685A" w:rsidP="006B711A">
            <w:pPr>
              <w:pStyle w:val="NoSpacing"/>
            </w:pPr>
          </w:p>
        </w:tc>
        <w:tc>
          <w:tcPr>
            <w:tcW w:w="993" w:type="dxa"/>
          </w:tcPr>
          <w:p w14:paraId="6C508FF5" w14:textId="77777777" w:rsidR="00FF685A" w:rsidRDefault="00FF685A" w:rsidP="006B711A">
            <w:pPr>
              <w:pStyle w:val="NoSpacing"/>
            </w:pPr>
            <w:r>
              <w:t>07/1986</w:t>
            </w:r>
          </w:p>
        </w:tc>
        <w:tc>
          <w:tcPr>
            <w:tcW w:w="992" w:type="dxa"/>
          </w:tcPr>
          <w:p w14:paraId="69AF8ACF" w14:textId="77777777" w:rsidR="00FF685A" w:rsidRDefault="00FF685A" w:rsidP="006B711A">
            <w:pPr>
              <w:pStyle w:val="NoSpacing"/>
            </w:pPr>
            <w:r>
              <w:t>11/1987</w:t>
            </w:r>
          </w:p>
        </w:tc>
        <w:tc>
          <w:tcPr>
            <w:tcW w:w="2072" w:type="dxa"/>
          </w:tcPr>
          <w:p w14:paraId="0E6D1B1E" w14:textId="77777777" w:rsidR="00FF685A" w:rsidRDefault="00FF685A" w:rsidP="006B711A">
            <w:pPr>
              <w:pStyle w:val="NoSpacing"/>
            </w:pPr>
          </w:p>
        </w:tc>
      </w:tr>
      <w:tr w:rsidR="00FF685A" w14:paraId="54826A8A" w14:textId="77777777" w:rsidTr="00FF685A">
        <w:tc>
          <w:tcPr>
            <w:tcW w:w="2660" w:type="dxa"/>
          </w:tcPr>
          <w:p w14:paraId="035CB1AE" w14:textId="77777777" w:rsidR="00FF685A" w:rsidRDefault="00FF685A" w:rsidP="006B711A">
            <w:pPr>
              <w:pStyle w:val="NoSpacing"/>
            </w:pPr>
            <w:r>
              <w:t>Mr Masateru Nakayama</w:t>
            </w:r>
          </w:p>
        </w:tc>
        <w:tc>
          <w:tcPr>
            <w:tcW w:w="2551" w:type="dxa"/>
            <w:tcBorders>
              <w:bottom w:val="nil"/>
            </w:tcBorders>
          </w:tcPr>
          <w:p w14:paraId="1619175C" w14:textId="77777777" w:rsidR="00FF685A" w:rsidRDefault="00FF685A" w:rsidP="006B711A">
            <w:pPr>
              <w:pStyle w:val="NoSpacing"/>
            </w:pPr>
            <w:r>
              <w:t>Mr Noboru Takeshita</w:t>
            </w:r>
          </w:p>
        </w:tc>
        <w:tc>
          <w:tcPr>
            <w:tcW w:w="993" w:type="dxa"/>
          </w:tcPr>
          <w:p w14:paraId="5BA1F245" w14:textId="77777777" w:rsidR="00FF685A" w:rsidRDefault="00FF685A" w:rsidP="006B711A">
            <w:pPr>
              <w:pStyle w:val="NoSpacing"/>
            </w:pPr>
            <w:r>
              <w:t>11/1987</w:t>
            </w:r>
          </w:p>
        </w:tc>
        <w:tc>
          <w:tcPr>
            <w:tcW w:w="992" w:type="dxa"/>
          </w:tcPr>
          <w:p w14:paraId="6ED836B4" w14:textId="77777777" w:rsidR="00FF685A" w:rsidRDefault="00FF685A" w:rsidP="006B711A">
            <w:pPr>
              <w:pStyle w:val="NoSpacing"/>
            </w:pPr>
            <w:r>
              <w:t>12/1988</w:t>
            </w:r>
          </w:p>
        </w:tc>
        <w:tc>
          <w:tcPr>
            <w:tcW w:w="2072" w:type="dxa"/>
          </w:tcPr>
          <w:p w14:paraId="77B777F8" w14:textId="77777777" w:rsidR="00FF685A" w:rsidRDefault="00FF685A" w:rsidP="006B711A">
            <w:pPr>
              <w:pStyle w:val="NoSpacing"/>
            </w:pPr>
          </w:p>
        </w:tc>
      </w:tr>
      <w:tr w:rsidR="00FF685A" w14:paraId="7F6B7A62" w14:textId="77777777" w:rsidTr="00FF685A">
        <w:tc>
          <w:tcPr>
            <w:tcW w:w="2660" w:type="dxa"/>
          </w:tcPr>
          <w:p w14:paraId="2A3E1D4E" w14:textId="77777777" w:rsidR="00FF685A" w:rsidRDefault="00FF685A" w:rsidP="006B711A">
            <w:pPr>
              <w:pStyle w:val="NoSpacing"/>
            </w:pPr>
            <w:r>
              <w:t>Mr Sei’ichi Kataoka</w:t>
            </w:r>
          </w:p>
        </w:tc>
        <w:tc>
          <w:tcPr>
            <w:tcW w:w="2551" w:type="dxa"/>
            <w:tcBorders>
              <w:top w:val="nil"/>
            </w:tcBorders>
          </w:tcPr>
          <w:p w14:paraId="2BF705C4" w14:textId="77777777" w:rsidR="00FF685A" w:rsidRDefault="00FF685A" w:rsidP="006B711A">
            <w:pPr>
              <w:pStyle w:val="NoSpacing"/>
            </w:pPr>
          </w:p>
        </w:tc>
        <w:tc>
          <w:tcPr>
            <w:tcW w:w="993" w:type="dxa"/>
          </w:tcPr>
          <w:p w14:paraId="3EA4EE2B" w14:textId="77777777" w:rsidR="00FF685A" w:rsidRDefault="00FF685A" w:rsidP="006B711A">
            <w:pPr>
              <w:pStyle w:val="NoSpacing"/>
            </w:pPr>
            <w:r>
              <w:t>12/1988</w:t>
            </w:r>
          </w:p>
        </w:tc>
        <w:tc>
          <w:tcPr>
            <w:tcW w:w="992" w:type="dxa"/>
          </w:tcPr>
          <w:p w14:paraId="5851C9C7" w14:textId="77777777" w:rsidR="00FF685A" w:rsidRDefault="00FF685A" w:rsidP="006B711A">
            <w:pPr>
              <w:pStyle w:val="NoSpacing"/>
            </w:pPr>
            <w:r>
              <w:t>06/1989</w:t>
            </w:r>
          </w:p>
        </w:tc>
        <w:tc>
          <w:tcPr>
            <w:tcW w:w="2072" w:type="dxa"/>
          </w:tcPr>
          <w:p w14:paraId="54B6AF2F" w14:textId="77777777" w:rsidR="00FF685A" w:rsidRDefault="00FF685A" w:rsidP="006B711A">
            <w:pPr>
              <w:pStyle w:val="NoSpacing"/>
            </w:pPr>
          </w:p>
        </w:tc>
      </w:tr>
      <w:tr w:rsidR="00FF685A" w14:paraId="742C4E57" w14:textId="77777777" w:rsidTr="00FF685A">
        <w:tc>
          <w:tcPr>
            <w:tcW w:w="2660" w:type="dxa"/>
          </w:tcPr>
          <w:p w14:paraId="5942F969" w14:textId="77777777" w:rsidR="00FF685A" w:rsidRDefault="00FF685A" w:rsidP="006B711A">
            <w:pPr>
              <w:pStyle w:val="NoSpacing"/>
            </w:pPr>
            <w:r>
              <w:t>Mr Kenzou Muraoka</w:t>
            </w:r>
          </w:p>
        </w:tc>
        <w:tc>
          <w:tcPr>
            <w:tcW w:w="2551" w:type="dxa"/>
            <w:tcBorders>
              <w:top w:val="nil"/>
              <w:bottom w:val="single" w:sz="4" w:space="0" w:color="auto"/>
            </w:tcBorders>
          </w:tcPr>
          <w:p w14:paraId="79671C10" w14:textId="77777777" w:rsidR="00FF685A" w:rsidRDefault="00FF685A" w:rsidP="006B711A">
            <w:pPr>
              <w:pStyle w:val="NoSpacing"/>
            </w:pPr>
            <w:r>
              <w:t>Mr Sousuke Uno</w:t>
            </w:r>
          </w:p>
        </w:tc>
        <w:tc>
          <w:tcPr>
            <w:tcW w:w="993" w:type="dxa"/>
          </w:tcPr>
          <w:p w14:paraId="03AC99BD" w14:textId="77777777" w:rsidR="00FF685A" w:rsidRDefault="00FF685A" w:rsidP="006B711A">
            <w:pPr>
              <w:pStyle w:val="NoSpacing"/>
            </w:pPr>
            <w:r>
              <w:t>06/1989</w:t>
            </w:r>
          </w:p>
        </w:tc>
        <w:tc>
          <w:tcPr>
            <w:tcW w:w="992" w:type="dxa"/>
          </w:tcPr>
          <w:p w14:paraId="0F9287F5" w14:textId="77777777" w:rsidR="00FF685A" w:rsidRDefault="00FF685A" w:rsidP="006B711A">
            <w:pPr>
              <w:pStyle w:val="NoSpacing"/>
            </w:pPr>
            <w:r>
              <w:t>08/1989</w:t>
            </w:r>
          </w:p>
        </w:tc>
        <w:tc>
          <w:tcPr>
            <w:tcW w:w="2072" w:type="dxa"/>
          </w:tcPr>
          <w:p w14:paraId="03768080" w14:textId="77777777" w:rsidR="00FF685A" w:rsidRDefault="00FF685A" w:rsidP="006B711A">
            <w:pPr>
              <w:pStyle w:val="NoSpacing"/>
            </w:pPr>
          </w:p>
        </w:tc>
      </w:tr>
      <w:tr w:rsidR="00FF685A" w14:paraId="17F5E4FA" w14:textId="77777777" w:rsidTr="00FF685A">
        <w:tc>
          <w:tcPr>
            <w:tcW w:w="2660" w:type="dxa"/>
          </w:tcPr>
          <w:p w14:paraId="62C66760" w14:textId="77777777" w:rsidR="00FF685A" w:rsidRDefault="00FF685A" w:rsidP="006B711A">
            <w:pPr>
              <w:pStyle w:val="NoSpacing"/>
            </w:pPr>
            <w:r>
              <w:t>Mr Senpachi O</w:t>
            </w:r>
            <w:r>
              <w:rPr>
                <w:rFonts w:hint="eastAsia"/>
              </w:rPr>
              <w:t>o</w:t>
            </w:r>
            <w:r>
              <w:t>’ishi</w:t>
            </w:r>
          </w:p>
        </w:tc>
        <w:tc>
          <w:tcPr>
            <w:tcW w:w="2551" w:type="dxa"/>
            <w:tcBorders>
              <w:bottom w:val="nil"/>
            </w:tcBorders>
          </w:tcPr>
          <w:p w14:paraId="7078ACCE" w14:textId="77777777" w:rsidR="00FF685A" w:rsidRDefault="00FF685A" w:rsidP="006B711A">
            <w:pPr>
              <w:pStyle w:val="NoSpacing"/>
            </w:pPr>
          </w:p>
        </w:tc>
        <w:tc>
          <w:tcPr>
            <w:tcW w:w="993" w:type="dxa"/>
          </w:tcPr>
          <w:p w14:paraId="608A605B" w14:textId="77777777" w:rsidR="00FF685A" w:rsidRDefault="00FF685A" w:rsidP="006B711A">
            <w:pPr>
              <w:pStyle w:val="NoSpacing"/>
            </w:pPr>
            <w:r>
              <w:t>08/1989</w:t>
            </w:r>
          </w:p>
        </w:tc>
        <w:tc>
          <w:tcPr>
            <w:tcW w:w="992" w:type="dxa"/>
          </w:tcPr>
          <w:p w14:paraId="379F7746" w14:textId="77777777" w:rsidR="00FF685A" w:rsidRDefault="00FF685A" w:rsidP="006B711A">
            <w:pPr>
              <w:pStyle w:val="NoSpacing"/>
            </w:pPr>
            <w:r>
              <w:t>02/1990</w:t>
            </w:r>
          </w:p>
        </w:tc>
        <w:tc>
          <w:tcPr>
            <w:tcW w:w="2072" w:type="dxa"/>
          </w:tcPr>
          <w:p w14:paraId="7BAF87B3" w14:textId="77777777" w:rsidR="00FF685A" w:rsidRDefault="00FF685A" w:rsidP="006B711A">
            <w:pPr>
              <w:pStyle w:val="NoSpacing"/>
            </w:pPr>
          </w:p>
        </w:tc>
      </w:tr>
      <w:tr w:rsidR="00FF685A" w14:paraId="4DBE7CD0" w14:textId="77777777" w:rsidTr="00FF685A">
        <w:tc>
          <w:tcPr>
            <w:tcW w:w="2660" w:type="dxa"/>
          </w:tcPr>
          <w:p w14:paraId="4F5E038A" w14:textId="77777777" w:rsidR="00FF685A" w:rsidRDefault="00FF685A" w:rsidP="006B711A">
            <w:pPr>
              <w:pStyle w:val="NoSpacing"/>
            </w:pPr>
            <w:r>
              <w:t>Mr Takash</w:t>
            </w:r>
            <w:r>
              <w:rPr>
                <w:rFonts w:hint="eastAsia"/>
              </w:rPr>
              <w:t>i</w:t>
            </w:r>
            <w:r>
              <w:t xml:space="preserve"> Fukaya</w:t>
            </w:r>
          </w:p>
        </w:tc>
        <w:tc>
          <w:tcPr>
            <w:tcW w:w="2551" w:type="dxa"/>
            <w:tcBorders>
              <w:top w:val="nil"/>
              <w:bottom w:val="nil"/>
            </w:tcBorders>
          </w:tcPr>
          <w:p w14:paraId="64BAB23A" w14:textId="77777777" w:rsidR="00FF685A" w:rsidRDefault="00FF685A" w:rsidP="006B711A">
            <w:pPr>
              <w:pStyle w:val="NoSpacing"/>
            </w:pPr>
            <w:r>
              <w:t>Mr Toshiki Kaifu</w:t>
            </w:r>
          </w:p>
        </w:tc>
        <w:tc>
          <w:tcPr>
            <w:tcW w:w="993" w:type="dxa"/>
          </w:tcPr>
          <w:p w14:paraId="695446E4" w14:textId="77777777" w:rsidR="00FF685A" w:rsidRDefault="00FF685A" w:rsidP="006B711A">
            <w:pPr>
              <w:pStyle w:val="NoSpacing"/>
            </w:pPr>
            <w:r>
              <w:t>02/1990</w:t>
            </w:r>
          </w:p>
        </w:tc>
        <w:tc>
          <w:tcPr>
            <w:tcW w:w="992" w:type="dxa"/>
          </w:tcPr>
          <w:p w14:paraId="61308147" w14:textId="77777777" w:rsidR="00FF685A" w:rsidRDefault="00FF685A" w:rsidP="006B711A">
            <w:pPr>
              <w:pStyle w:val="NoSpacing"/>
            </w:pPr>
            <w:r>
              <w:t>12/1990</w:t>
            </w:r>
          </w:p>
        </w:tc>
        <w:tc>
          <w:tcPr>
            <w:tcW w:w="2072" w:type="dxa"/>
          </w:tcPr>
          <w:p w14:paraId="1CDC6294" w14:textId="77777777" w:rsidR="00FF685A" w:rsidRDefault="00FF685A" w:rsidP="006B711A">
            <w:pPr>
              <w:pStyle w:val="NoSpacing"/>
            </w:pPr>
          </w:p>
        </w:tc>
      </w:tr>
      <w:tr w:rsidR="00FF685A" w14:paraId="0F79348C" w14:textId="77777777" w:rsidTr="00FF685A">
        <w:tc>
          <w:tcPr>
            <w:tcW w:w="2660" w:type="dxa"/>
          </w:tcPr>
          <w:p w14:paraId="1FC7287B" w14:textId="77777777" w:rsidR="00FF685A" w:rsidRDefault="00FF685A" w:rsidP="006B711A">
            <w:pPr>
              <w:pStyle w:val="NoSpacing"/>
            </w:pPr>
            <w:r>
              <w:t>Mr Masatsugu Sekiya</w:t>
            </w:r>
          </w:p>
        </w:tc>
        <w:tc>
          <w:tcPr>
            <w:tcW w:w="2551" w:type="dxa"/>
            <w:tcBorders>
              <w:top w:val="nil"/>
              <w:bottom w:val="single" w:sz="4" w:space="0" w:color="auto"/>
            </w:tcBorders>
          </w:tcPr>
          <w:p w14:paraId="3668C642" w14:textId="77777777" w:rsidR="00FF685A" w:rsidRDefault="00FF685A" w:rsidP="006B711A">
            <w:pPr>
              <w:pStyle w:val="NoSpacing"/>
            </w:pPr>
          </w:p>
        </w:tc>
        <w:tc>
          <w:tcPr>
            <w:tcW w:w="993" w:type="dxa"/>
          </w:tcPr>
          <w:p w14:paraId="6C8AA811" w14:textId="77777777" w:rsidR="00FF685A" w:rsidRDefault="00FF685A" w:rsidP="006B711A">
            <w:pPr>
              <w:pStyle w:val="NoSpacing"/>
            </w:pPr>
            <w:r>
              <w:t>12/1990</w:t>
            </w:r>
          </w:p>
        </w:tc>
        <w:tc>
          <w:tcPr>
            <w:tcW w:w="992" w:type="dxa"/>
          </w:tcPr>
          <w:p w14:paraId="1E5E8911" w14:textId="77777777" w:rsidR="00FF685A" w:rsidRDefault="00FF685A" w:rsidP="006B711A">
            <w:pPr>
              <w:pStyle w:val="NoSpacing"/>
            </w:pPr>
            <w:r>
              <w:t>11/1991</w:t>
            </w:r>
          </w:p>
        </w:tc>
        <w:tc>
          <w:tcPr>
            <w:tcW w:w="2072" w:type="dxa"/>
          </w:tcPr>
          <w:p w14:paraId="2BBD1271" w14:textId="77777777" w:rsidR="00FF685A" w:rsidRDefault="00FF685A" w:rsidP="006B711A">
            <w:pPr>
              <w:pStyle w:val="NoSpacing"/>
            </w:pPr>
          </w:p>
        </w:tc>
      </w:tr>
      <w:tr w:rsidR="00FF685A" w14:paraId="4AA561F5" w14:textId="77777777" w:rsidTr="00FF685A">
        <w:tc>
          <w:tcPr>
            <w:tcW w:w="2660" w:type="dxa"/>
          </w:tcPr>
          <w:p w14:paraId="37E19AE1" w14:textId="77777777" w:rsidR="00FF685A" w:rsidRDefault="00FF685A" w:rsidP="006B711A">
            <w:pPr>
              <w:pStyle w:val="NoSpacing"/>
            </w:pPr>
            <w:r>
              <w:t>Mr Hideo Watanabe</w:t>
            </w:r>
          </w:p>
        </w:tc>
        <w:tc>
          <w:tcPr>
            <w:tcW w:w="2551" w:type="dxa"/>
            <w:tcBorders>
              <w:bottom w:val="nil"/>
            </w:tcBorders>
          </w:tcPr>
          <w:p w14:paraId="64FF702B" w14:textId="77777777" w:rsidR="00FF685A" w:rsidRDefault="00FF685A" w:rsidP="006B711A">
            <w:pPr>
              <w:pStyle w:val="NoSpacing"/>
            </w:pPr>
          </w:p>
        </w:tc>
        <w:tc>
          <w:tcPr>
            <w:tcW w:w="993" w:type="dxa"/>
          </w:tcPr>
          <w:p w14:paraId="367F17EF" w14:textId="77777777" w:rsidR="00FF685A" w:rsidRDefault="00FF685A" w:rsidP="006B711A">
            <w:pPr>
              <w:pStyle w:val="NoSpacing"/>
            </w:pPr>
            <w:r>
              <w:t>11/1991</w:t>
            </w:r>
          </w:p>
        </w:tc>
        <w:tc>
          <w:tcPr>
            <w:tcW w:w="992" w:type="dxa"/>
          </w:tcPr>
          <w:p w14:paraId="44C5FE65" w14:textId="77777777" w:rsidR="00FF685A" w:rsidRDefault="00FF685A" w:rsidP="006B711A">
            <w:pPr>
              <w:pStyle w:val="NoSpacing"/>
            </w:pPr>
            <w:r>
              <w:t>12/1992</w:t>
            </w:r>
          </w:p>
        </w:tc>
        <w:tc>
          <w:tcPr>
            <w:tcW w:w="2072" w:type="dxa"/>
          </w:tcPr>
          <w:p w14:paraId="7ABD48F9" w14:textId="77777777" w:rsidR="00FF685A" w:rsidRDefault="00FF685A" w:rsidP="006B711A">
            <w:pPr>
              <w:pStyle w:val="NoSpacing"/>
            </w:pPr>
          </w:p>
        </w:tc>
      </w:tr>
      <w:tr w:rsidR="00FF685A" w14:paraId="1642B1F4" w14:textId="77777777" w:rsidTr="00FF685A">
        <w:tc>
          <w:tcPr>
            <w:tcW w:w="2660" w:type="dxa"/>
          </w:tcPr>
          <w:p w14:paraId="45ABC441" w14:textId="77777777" w:rsidR="00FF685A" w:rsidRDefault="00FF685A" w:rsidP="006B711A">
            <w:pPr>
              <w:pStyle w:val="NoSpacing"/>
            </w:pPr>
            <w:r>
              <w:t>Mr Juni’chiro Koizumi</w:t>
            </w:r>
          </w:p>
        </w:tc>
        <w:tc>
          <w:tcPr>
            <w:tcW w:w="2551" w:type="dxa"/>
            <w:tcBorders>
              <w:top w:val="nil"/>
              <w:bottom w:val="nil"/>
            </w:tcBorders>
          </w:tcPr>
          <w:p w14:paraId="6994B9B1" w14:textId="77777777" w:rsidR="00FF685A" w:rsidRDefault="00FF685A" w:rsidP="006B711A">
            <w:pPr>
              <w:pStyle w:val="NoSpacing"/>
            </w:pPr>
            <w:r>
              <w:t>Mr Ki’ichi Miyazawa</w:t>
            </w:r>
          </w:p>
        </w:tc>
        <w:tc>
          <w:tcPr>
            <w:tcW w:w="993" w:type="dxa"/>
          </w:tcPr>
          <w:p w14:paraId="09A4B177" w14:textId="77777777" w:rsidR="00FF685A" w:rsidRDefault="00FF685A" w:rsidP="006B711A">
            <w:pPr>
              <w:pStyle w:val="NoSpacing"/>
            </w:pPr>
            <w:r>
              <w:t>12/1992</w:t>
            </w:r>
          </w:p>
        </w:tc>
        <w:tc>
          <w:tcPr>
            <w:tcW w:w="992" w:type="dxa"/>
          </w:tcPr>
          <w:p w14:paraId="0E38E6DE" w14:textId="77777777" w:rsidR="00FF685A" w:rsidRDefault="00FF685A" w:rsidP="006B711A">
            <w:pPr>
              <w:pStyle w:val="NoSpacing"/>
            </w:pPr>
            <w:r>
              <w:t>07/1993</w:t>
            </w:r>
          </w:p>
        </w:tc>
        <w:tc>
          <w:tcPr>
            <w:tcW w:w="2072" w:type="dxa"/>
          </w:tcPr>
          <w:p w14:paraId="37FD94D0" w14:textId="77777777" w:rsidR="00FF685A" w:rsidRDefault="00FF685A" w:rsidP="006B711A">
            <w:pPr>
              <w:pStyle w:val="NoSpacing"/>
            </w:pPr>
          </w:p>
        </w:tc>
      </w:tr>
      <w:tr w:rsidR="00FF685A" w14:paraId="562072F5" w14:textId="77777777" w:rsidTr="00FF685A">
        <w:tc>
          <w:tcPr>
            <w:tcW w:w="2660" w:type="dxa"/>
          </w:tcPr>
          <w:p w14:paraId="17B18E92" w14:textId="77777777" w:rsidR="00FF685A" w:rsidRDefault="00FF685A" w:rsidP="006B711A">
            <w:pPr>
              <w:pStyle w:val="NoSpacing"/>
            </w:pPr>
            <w:r>
              <w:t>Mr Ki’ichi Miyazawa</w:t>
            </w:r>
          </w:p>
        </w:tc>
        <w:tc>
          <w:tcPr>
            <w:tcW w:w="2551" w:type="dxa"/>
            <w:tcBorders>
              <w:top w:val="nil"/>
            </w:tcBorders>
          </w:tcPr>
          <w:p w14:paraId="11B741F8" w14:textId="77777777" w:rsidR="00FF685A" w:rsidRDefault="00FF685A" w:rsidP="006B711A">
            <w:pPr>
              <w:pStyle w:val="NoSpacing"/>
            </w:pPr>
          </w:p>
        </w:tc>
        <w:tc>
          <w:tcPr>
            <w:tcW w:w="993" w:type="dxa"/>
          </w:tcPr>
          <w:p w14:paraId="3E6A9325" w14:textId="77777777" w:rsidR="00FF685A" w:rsidRDefault="00FF685A" w:rsidP="006B711A">
            <w:pPr>
              <w:pStyle w:val="NoSpacing"/>
            </w:pPr>
            <w:r>
              <w:t>07/1993</w:t>
            </w:r>
          </w:p>
        </w:tc>
        <w:tc>
          <w:tcPr>
            <w:tcW w:w="992" w:type="dxa"/>
          </w:tcPr>
          <w:p w14:paraId="199BDA4B" w14:textId="77777777" w:rsidR="00FF685A" w:rsidRDefault="00FF685A" w:rsidP="006B711A">
            <w:pPr>
              <w:pStyle w:val="NoSpacing"/>
            </w:pPr>
            <w:r>
              <w:t>08/1993</w:t>
            </w:r>
          </w:p>
        </w:tc>
        <w:tc>
          <w:tcPr>
            <w:tcW w:w="2072" w:type="dxa"/>
          </w:tcPr>
          <w:p w14:paraId="0B123FA6" w14:textId="77777777" w:rsidR="00FF685A" w:rsidRDefault="00FF685A" w:rsidP="006B711A">
            <w:pPr>
              <w:pStyle w:val="NoSpacing"/>
            </w:pPr>
            <w:r>
              <w:t>Prime Minister</w:t>
            </w:r>
          </w:p>
        </w:tc>
      </w:tr>
    </w:tbl>
    <w:p w14:paraId="35E70EED" w14:textId="77777777" w:rsidR="00FF685A" w:rsidRDefault="00FF685A" w:rsidP="00A07095"/>
    <w:p w14:paraId="7C345F7A" w14:textId="77777777" w:rsidR="00F51313" w:rsidRDefault="00F51313" w:rsidP="00A07095"/>
    <w:p w14:paraId="003FD32B" w14:textId="77777777" w:rsidR="00F51313" w:rsidRDefault="00F51313" w:rsidP="00A07095"/>
    <w:p w14:paraId="2B94D83D" w14:textId="77777777" w:rsidR="00F51313" w:rsidRPr="00627472" w:rsidRDefault="00F51313" w:rsidP="00A07095"/>
    <w:p w14:paraId="083857CF" w14:textId="77777777" w:rsidR="00FF685A" w:rsidRPr="00D00ED7" w:rsidRDefault="00A07095" w:rsidP="00050D4B">
      <w:pPr>
        <w:pStyle w:val="Heading3"/>
      </w:pPr>
      <w:bookmarkStart w:id="81" w:name="_Toc349741403"/>
      <w:r>
        <w:rPr>
          <w:rFonts w:eastAsia="MS Mincho" w:hint="eastAsia"/>
          <w:lang w:eastAsia="ja-JP"/>
        </w:rPr>
        <w:t>1.2</w:t>
      </w:r>
      <w:r>
        <w:rPr>
          <w:rFonts w:eastAsia="MS Mincho" w:hint="eastAsia"/>
          <w:lang w:eastAsia="ja-JP"/>
        </w:rPr>
        <w:tab/>
      </w:r>
      <w:r w:rsidR="00FF685A" w:rsidRPr="00D00ED7">
        <w:t>Non-LDP coalition governments</w:t>
      </w:r>
      <w:bookmarkEnd w:id="81"/>
    </w:p>
    <w:tbl>
      <w:tblPr>
        <w:tblStyle w:val="TableGrid"/>
        <w:tblW w:w="0" w:type="auto"/>
        <w:tblLook w:val="04A0" w:firstRow="1" w:lastRow="0" w:firstColumn="1" w:lastColumn="0" w:noHBand="0" w:noVBand="1"/>
      </w:tblPr>
      <w:tblGrid>
        <w:gridCol w:w="2454"/>
        <w:gridCol w:w="2364"/>
        <w:gridCol w:w="982"/>
        <w:gridCol w:w="981"/>
        <w:gridCol w:w="1939"/>
      </w:tblGrid>
      <w:tr w:rsidR="00FF685A" w14:paraId="271D4856" w14:textId="77777777" w:rsidTr="00FF685A">
        <w:tc>
          <w:tcPr>
            <w:tcW w:w="2660" w:type="dxa"/>
          </w:tcPr>
          <w:p w14:paraId="748D522C" w14:textId="77777777" w:rsidR="00FF685A" w:rsidRDefault="00FF685A" w:rsidP="00FF685A">
            <w:pPr>
              <w:pStyle w:val="NoSpacing"/>
            </w:pPr>
            <w:r>
              <w:t>Mr Noritake Kanzaki</w:t>
            </w:r>
            <w:r>
              <w:rPr>
                <w:rStyle w:val="FootnoteReference"/>
              </w:rPr>
              <w:footnoteReference w:id="85"/>
            </w:r>
          </w:p>
        </w:tc>
        <w:tc>
          <w:tcPr>
            <w:tcW w:w="2551" w:type="dxa"/>
            <w:tcBorders>
              <w:bottom w:val="single" w:sz="4" w:space="0" w:color="auto"/>
            </w:tcBorders>
          </w:tcPr>
          <w:p w14:paraId="6C96681B" w14:textId="77777777" w:rsidR="00FF685A" w:rsidRDefault="00FF685A" w:rsidP="00FF685A">
            <w:pPr>
              <w:pStyle w:val="NoSpacing"/>
            </w:pPr>
            <w:r>
              <w:t>Mr Morihiro Hosokawa</w:t>
            </w:r>
          </w:p>
        </w:tc>
        <w:tc>
          <w:tcPr>
            <w:tcW w:w="993" w:type="dxa"/>
          </w:tcPr>
          <w:p w14:paraId="6124B30A" w14:textId="77777777" w:rsidR="00FF685A" w:rsidRDefault="00FF685A" w:rsidP="00FF685A">
            <w:pPr>
              <w:pStyle w:val="NoSpacing"/>
            </w:pPr>
            <w:r>
              <w:t>08/1993</w:t>
            </w:r>
          </w:p>
        </w:tc>
        <w:tc>
          <w:tcPr>
            <w:tcW w:w="992" w:type="dxa"/>
          </w:tcPr>
          <w:p w14:paraId="57F581BD" w14:textId="77777777" w:rsidR="00FF685A" w:rsidRDefault="00FF685A" w:rsidP="00FF685A">
            <w:pPr>
              <w:pStyle w:val="NoSpacing"/>
            </w:pPr>
            <w:r>
              <w:t>04/1994</w:t>
            </w:r>
          </w:p>
        </w:tc>
        <w:tc>
          <w:tcPr>
            <w:tcW w:w="2072" w:type="dxa"/>
          </w:tcPr>
          <w:p w14:paraId="007F1A36" w14:textId="77777777" w:rsidR="00FF685A" w:rsidRDefault="00FF685A" w:rsidP="00FF685A">
            <w:pPr>
              <w:pStyle w:val="NoSpacing"/>
            </w:pPr>
          </w:p>
        </w:tc>
      </w:tr>
      <w:tr w:rsidR="00FF685A" w:rsidRPr="00A75E5A" w14:paraId="7D4004F3" w14:textId="77777777" w:rsidTr="00FF685A">
        <w:tc>
          <w:tcPr>
            <w:tcW w:w="2660" w:type="dxa"/>
          </w:tcPr>
          <w:p w14:paraId="296CBFFF" w14:textId="77777777" w:rsidR="00FF685A" w:rsidRDefault="00FF685A" w:rsidP="00FF685A">
            <w:pPr>
              <w:pStyle w:val="NoSpacing"/>
            </w:pPr>
            <w:r>
              <w:t>Mr Tsutomu Hata</w:t>
            </w:r>
            <w:r>
              <w:rPr>
                <w:rStyle w:val="FootnoteReference"/>
              </w:rPr>
              <w:footnoteReference w:id="86"/>
            </w:r>
          </w:p>
        </w:tc>
        <w:tc>
          <w:tcPr>
            <w:tcW w:w="2551" w:type="dxa"/>
            <w:tcBorders>
              <w:bottom w:val="nil"/>
            </w:tcBorders>
          </w:tcPr>
          <w:p w14:paraId="4C0E53D1" w14:textId="77777777" w:rsidR="00FF685A" w:rsidRDefault="00FF685A" w:rsidP="00FF685A">
            <w:pPr>
              <w:pStyle w:val="NoSpacing"/>
            </w:pPr>
            <w:r>
              <w:t>Mr Tsutomu Hata</w:t>
            </w:r>
          </w:p>
        </w:tc>
        <w:tc>
          <w:tcPr>
            <w:tcW w:w="993" w:type="dxa"/>
          </w:tcPr>
          <w:p w14:paraId="5CB267A2" w14:textId="77777777" w:rsidR="00FF685A" w:rsidRDefault="00FF685A" w:rsidP="00FF685A">
            <w:pPr>
              <w:pStyle w:val="NoSpacing"/>
            </w:pPr>
            <w:r>
              <w:t>04/1994</w:t>
            </w:r>
          </w:p>
        </w:tc>
        <w:tc>
          <w:tcPr>
            <w:tcW w:w="992" w:type="dxa"/>
          </w:tcPr>
          <w:p w14:paraId="433E86D2" w14:textId="77777777" w:rsidR="00FF685A" w:rsidRDefault="00FF685A" w:rsidP="00FF685A">
            <w:pPr>
              <w:pStyle w:val="NoSpacing"/>
            </w:pPr>
          </w:p>
        </w:tc>
        <w:tc>
          <w:tcPr>
            <w:tcW w:w="2072" w:type="dxa"/>
          </w:tcPr>
          <w:p w14:paraId="50C6FF61" w14:textId="77777777" w:rsidR="00FF685A" w:rsidRPr="00A75E5A" w:rsidRDefault="00FF685A" w:rsidP="00FF685A">
            <w:pPr>
              <w:pStyle w:val="NoSpacing"/>
            </w:pPr>
            <w:r>
              <w:t>Prime Minister</w:t>
            </w:r>
            <w:r>
              <w:rPr>
                <w:rStyle w:val="FootnoteReference"/>
              </w:rPr>
              <w:footnoteReference w:id="87"/>
            </w:r>
          </w:p>
        </w:tc>
      </w:tr>
      <w:tr w:rsidR="00FF685A" w14:paraId="54D17540" w14:textId="77777777" w:rsidTr="00FF685A">
        <w:tc>
          <w:tcPr>
            <w:tcW w:w="2660" w:type="dxa"/>
          </w:tcPr>
          <w:p w14:paraId="1C0AE0E1" w14:textId="77777777" w:rsidR="00FF685A" w:rsidRDefault="00FF685A" w:rsidP="00FF685A">
            <w:pPr>
              <w:pStyle w:val="NoSpacing"/>
            </w:pPr>
            <w:r>
              <w:t>Mr Kat</w:t>
            </w:r>
            <w:r>
              <w:rPr>
                <w:rFonts w:hint="eastAsia"/>
              </w:rPr>
              <w:t>s</w:t>
            </w:r>
            <w:r>
              <w:t>uyuki Higasa</w:t>
            </w:r>
            <w:r>
              <w:rPr>
                <w:rStyle w:val="FootnoteReference"/>
              </w:rPr>
              <w:footnoteReference w:id="88"/>
            </w:r>
          </w:p>
        </w:tc>
        <w:tc>
          <w:tcPr>
            <w:tcW w:w="2551" w:type="dxa"/>
            <w:tcBorders>
              <w:top w:val="nil"/>
              <w:bottom w:val="single" w:sz="4" w:space="0" w:color="auto"/>
            </w:tcBorders>
          </w:tcPr>
          <w:p w14:paraId="6861E24A" w14:textId="77777777" w:rsidR="00FF685A" w:rsidRDefault="00FF685A" w:rsidP="00FF685A">
            <w:pPr>
              <w:pStyle w:val="NoSpacing"/>
            </w:pPr>
          </w:p>
        </w:tc>
        <w:tc>
          <w:tcPr>
            <w:tcW w:w="993" w:type="dxa"/>
          </w:tcPr>
          <w:p w14:paraId="0E3326D3" w14:textId="77777777" w:rsidR="00FF685A" w:rsidRDefault="00FF685A" w:rsidP="00FF685A">
            <w:pPr>
              <w:pStyle w:val="NoSpacing"/>
            </w:pPr>
            <w:r>
              <w:t>04/1994</w:t>
            </w:r>
          </w:p>
        </w:tc>
        <w:tc>
          <w:tcPr>
            <w:tcW w:w="992" w:type="dxa"/>
          </w:tcPr>
          <w:p w14:paraId="5B651C61" w14:textId="77777777" w:rsidR="00FF685A" w:rsidRDefault="00FF685A" w:rsidP="00FF685A">
            <w:pPr>
              <w:pStyle w:val="NoSpacing"/>
            </w:pPr>
            <w:r>
              <w:t>06/1994</w:t>
            </w:r>
          </w:p>
        </w:tc>
        <w:tc>
          <w:tcPr>
            <w:tcW w:w="2072" w:type="dxa"/>
          </w:tcPr>
          <w:p w14:paraId="50FEAA20" w14:textId="77777777" w:rsidR="00FF685A" w:rsidRDefault="00FF685A" w:rsidP="00FF685A">
            <w:pPr>
              <w:pStyle w:val="NoSpacing"/>
            </w:pPr>
          </w:p>
        </w:tc>
      </w:tr>
    </w:tbl>
    <w:p w14:paraId="028BFA1C" w14:textId="77777777" w:rsidR="00FF685A" w:rsidRDefault="00FF685A" w:rsidP="00A07095"/>
    <w:p w14:paraId="4F06C030" w14:textId="77777777" w:rsidR="00FF685A" w:rsidRPr="00D00ED7" w:rsidRDefault="00A07095" w:rsidP="00050D4B">
      <w:pPr>
        <w:pStyle w:val="Heading3"/>
      </w:pPr>
      <w:bookmarkStart w:id="82" w:name="_Toc349741404"/>
      <w:r>
        <w:rPr>
          <w:rFonts w:eastAsia="MS Mincho" w:hint="eastAsia"/>
          <w:lang w:eastAsia="ja-JP"/>
        </w:rPr>
        <w:t>1.3</w:t>
      </w:r>
      <w:r>
        <w:rPr>
          <w:rFonts w:eastAsia="MS Mincho" w:hint="eastAsia"/>
          <w:lang w:eastAsia="ja-JP"/>
        </w:rPr>
        <w:tab/>
      </w:r>
      <w:r w:rsidR="00FF685A" w:rsidRPr="00D00ED7">
        <w:t>LDP/LDP led coalition governments</w:t>
      </w:r>
      <w:bookmarkEnd w:id="82"/>
      <w:r w:rsidR="00FF685A" w:rsidRPr="00D00ED7">
        <w:t xml:space="preserve"> </w:t>
      </w:r>
    </w:p>
    <w:tbl>
      <w:tblPr>
        <w:tblStyle w:val="TableGrid"/>
        <w:tblW w:w="0" w:type="auto"/>
        <w:tblLook w:val="04A0" w:firstRow="1" w:lastRow="0" w:firstColumn="1" w:lastColumn="0" w:noHBand="0" w:noVBand="1"/>
      </w:tblPr>
      <w:tblGrid>
        <w:gridCol w:w="2472"/>
        <w:gridCol w:w="2366"/>
        <w:gridCol w:w="982"/>
        <w:gridCol w:w="981"/>
        <w:gridCol w:w="1919"/>
      </w:tblGrid>
      <w:tr w:rsidR="00FF685A" w14:paraId="4C0FAF59" w14:textId="77777777" w:rsidTr="00A07095">
        <w:trPr>
          <w:trHeight w:val="276"/>
        </w:trPr>
        <w:tc>
          <w:tcPr>
            <w:tcW w:w="2660" w:type="dxa"/>
          </w:tcPr>
          <w:p w14:paraId="5107DE3C" w14:textId="77777777" w:rsidR="00FF685A" w:rsidRDefault="00FF685A" w:rsidP="00A07095">
            <w:pPr>
              <w:pStyle w:val="NoSpacing"/>
            </w:pPr>
            <w:r>
              <w:t>Mr Shun O’oide</w:t>
            </w:r>
            <w:r>
              <w:rPr>
                <w:rStyle w:val="FootnoteReference"/>
              </w:rPr>
              <w:footnoteReference w:id="89"/>
            </w:r>
          </w:p>
        </w:tc>
        <w:tc>
          <w:tcPr>
            <w:tcW w:w="2551" w:type="dxa"/>
            <w:tcBorders>
              <w:bottom w:val="nil"/>
            </w:tcBorders>
          </w:tcPr>
          <w:p w14:paraId="35E58AC0" w14:textId="77777777" w:rsidR="00FF685A" w:rsidRDefault="00FF685A" w:rsidP="00A07095">
            <w:pPr>
              <w:pStyle w:val="NoSpacing"/>
            </w:pPr>
            <w:r>
              <w:t>Mr Tomi’ichi Murayama</w:t>
            </w:r>
          </w:p>
        </w:tc>
        <w:tc>
          <w:tcPr>
            <w:tcW w:w="993" w:type="dxa"/>
          </w:tcPr>
          <w:p w14:paraId="4208B141" w14:textId="77777777" w:rsidR="00FF685A" w:rsidRDefault="00FF685A" w:rsidP="00A07095">
            <w:pPr>
              <w:pStyle w:val="NoSpacing"/>
            </w:pPr>
            <w:r>
              <w:t>06/1994</w:t>
            </w:r>
          </w:p>
        </w:tc>
        <w:tc>
          <w:tcPr>
            <w:tcW w:w="992" w:type="dxa"/>
          </w:tcPr>
          <w:p w14:paraId="6284EBB8" w14:textId="77777777" w:rsidR="00FF685A" w:rsidRDefault="00FF685A" w:rsidP="00A07095">
            <w:pPr>
              <w:pStyle w:val="NoSpacing"/>
            </w:pPr>
            <w:r>
              <w:t>08/1995</w:t>
            </w:r>
          </w:p>
        </w:tc>
        <w:tc>
          <w:tcPr>
            <w:tcW w:w="2072" w:type="dxa"/>
          </w:tcPr>
          <w:p w14:paraId="2053DB45" w14:textId="77777777" w:rsidR="00FF685A" w:rsidRDefault="00FF685A" w:rsidP="00A07095">
            <w:pPr>
              <w:pStyle w:val="NoSpacing"/>
            </w:pPr>
          </w:p>
        </w:tc>
      </w:tr>
      <w:tr w:rsidR="00FF685A" w14:paraId="37E763C5" w14:textId="77777777" w:rsidTr="00A07095">
        <w:trPr>
          <w:trHeight w:val="276"/>
        </w:trPr>
        <w:tc>
          <w:tcPr>
            <w:tcW w:w="2660" w:type="dxa"/>
          </w:tcPr>
          <w:p w14:paraId="10C6B58A" w14:textId="77777777" w:rsidR="00FF685A" w:rsidRDefault="00FF685A" w:rsidP="00A07095">
            <w:pPr>
              <w:pStyle w:val="NoSpacing"/>
            </w:pPr>
            <w:r>
              <w:t>Mr Issei Inoue</w:t>
            </w:r>
            <w:r>
              <w:rPr>
                <w:rStyle w:val="FootnoteReference"/>
              </w:rPr>
              <w:footnoteReference w:id="90"/>
            </w:r>
          </w:p>
        </w:tc>
        <w:tc>
          <w:tcPr>
            <w:tcW w:w="2551" w:type="dxa"/>
            <w:tcBorders>
              <w:top w:val="nil"/>
              <w:bottom w:val="single" w:sz="4" w:space="0" w:color="auto"/>
            </w:tcBorders>
          </w:tcPr>
          <w:p w14:paraId="322F1832" w14:textId="77777777" w:rsidR="00FF685A" w:rsidRDefault="00FF685A" w:rsidP="00A07095">
            <w:pPr>
              <w:pStyle w:val="NoSpacing"/>
            </w:pPr>
          </w:p>
        </w:tc>
        <w:tc>
          <w:tcPr>
            <w:tcW w:w="993" w:type="dxa"/>
          </w:tcPr>
          <w:p w14:paraId="53BFFE52" w14:textId="77777777" w:rsidR="00FF685A" w:rsidRDefault="00FF685A" w:rsidP="00A07095">
            <w:pPr>
              <w:pStyle w:val="NoSpacing"/>
            </w:pPr>
            <w:r>
              <w:t>08/1995</w:t>
            </w:r>
          </w:p>
        </w:tc>
        <w:tc>
          <w:tcPr>
            <w:tcW w:w="992" w:type="dxa"/>
          </w:tcPr>
          <w:p w14:paraId="078C668F" w14:textId="77777777" w:rsidR="00FF685A" w:rsidRDefault="00FF685A" w:rsidP="00A07095">
            <w:pPr>
              <w:pStyle w:val="NoSpacing"/>
            </w:pPr>
            <w:r>
              <w:t>01/1996</w:t>
            </w:r>
          </w:p>
        </w:tc>
        <w:tc>
          <w:tcPr>
            <w:tcW w:w="2072" w:type="dxa"/>
          </w:tcPr>
          <w:p w14:paraId="30473C77" w14:textId="77777777" w:rsidR="00FF685A" w:rsidRDefault="00FF685A" w:rsidP="00A07095">
            <w:pPr>
              <w:pStyle w:val="NoSpacing"/>
            </w:pPr>
          </w:p>
        </w:tc>
      </w:tr>
      <w:tr w:rsidR="00FF685A" w14:paraId="77913D0A" w14:textId="77777777" w:rsidTr="00A07095">
        <w:trPr>
          <w:trHeight w:val="276"/>
        </w:trPr>
        <w:tc>
          <w:tcPr>
            <w:tcW w:w="2660" w:type="dxa"/>
          </w:tcPr>
          <w:p w14:paraId="42EB3B6E" w14:textId="77777777" w:rsidR="00FF685A" w:rsidRDefault="00FF685A" w:rsidP="00A07095">
            <w:pPr>
              <w:pStyle w:val="NoSpacing"/>
            </w:pPr>
            <w:r>
              <w:t>Mr Ichiro Hino</w:t>
            </w:r>
            <w:r>
              <w:rPr>
                <w:rStyle w:val="FootnoteReference"/>
              </w:rPr>
              <w:footnoteReference w:id="91"/>
            </w:r>
          </w:p>
        </w:tc>
        <w:tc>
          <w:tcPr>
            <w:tcW w:w="2551" w:type="dxa"/>
            <w:tcBorders>
              <w:bottom w:val="nil"/>
            </w:tcBorders>
          </w:tcPr>
          <w:p w14:paraId="5553D402" w14:textId="77777777" w:rsidR="00FF685A" w:rsidRDefault="00FF685A" w:rsidP="00A07095">
            <w:pPr>
              <w:pStyle w:val="NoSpacing"/>
            </w:pPr>
          </w:p>
        </w:tc>
        <w:tc>
          <w:tcPr>
            <w:tcW w:w="993" w:type="dxa"/>
          </w:tcPr>
          <w:p w14:paraId="0BF943E5" w14:textId="77777777" w:rsidR="00FF685A" w:rsidRDefault="00FF685A" w:rsidP="00A07095">
            <w:pPr>
              <w:pStyle w:val="NoSpacing"/>
            </w:pPr>
            <w:r>
              <w:t>01/1996</w:t>
            </w:r>
          </w:p>
        </w:tc>
        <w:tc>
          <w:tcPr>
            <w:tcW w:w="992" w:type="dxa"/>
          </w:tcPr>
          <w:p w14:paraId="74AE62A2" w14:textId="77777777" w:rsidR="00FF685A" w:rsidRDefault="00FF685A" w:rsidP="00A07095">
            <w:pPr>
              <w:pStyle w:val="NoSpacing"/>
            </w:pPr>
            <w:r>
              <w:t>11/1996</w:t>
            </w:r>
          </w:p>
        </w:tc>
        <w:tc>
          <w:tcPr>
            <w:tcW w:w="2072" w:type="dxa"/>
          </w:tcPr>
          <w:p w14:paraId="610AD4C4" w14:textId="77777777" w:rsidR="00FF685A" w:rsidRDefault="00FF685A" w:rsidP="00A07095">
            <w:pPr>
              <w:pStyle w:val="NoSpacing"/>
            </w:pPr>
          </w:p>
        </w:tc>
      </w:tr>
      <w:tr w:rsidR="00FF685A" w14:paraId="62967CED" w14:textId="77777777" w:rsidTr="00A07095">
        <w:trPr>
          <w:trHeight w:val="276"/>
        </w:trPr>
        <w:tc>
          <w:tcPr>
            <w:tcW w:w="2660" w:type="dxa"/>
          </w:tcPr>
          <w:p w14:paraId="19DFA0AC" w14:textId="77777777" w:rsidR="00FF685A" w:rsidRDefault="00FF685A" w:rsidP="00A07095">
            <w:pPr>
              <w:pStyle w:val="NoSpacing"/>
            </w:pPr>
            <w:r>
              <w:t>Mr Hisao Horinouchi</w:t>
            </w:r>
          </w:p>
        </w:tc>
        <w:tc>
          <w:tcPr>
            <w:tcW w:w="2551" w:type="dxa"/>
            <w:tcBorders>
              <w:top w:val="nil"/>
              <w:bottom w:val="nil"/>
            </w:tcBorders>
          </w:tcPr>
          <w:p w14:paraId="332399A9" w14:textId="77777777" w:rsidR="00FF685A" w:rsidRDefault="00FF685A" w:rsidP="00A07095">
            <w:pPr>
              <w:pStyle w:val="NoSpacing"/>
            </w:pPr>
            <w:r>
              <w:t>Mr Ryutaroh Hashimoto</w:t>
            </w:r>
          </w:p>
        </w:tc>
        <w:tc>
          <w:tcPr>
            <w:tcW w:w="993" w:type="dxa"/>
          </w:tcPr>
          <w:p w14:paraId="77CAC48E" w14:textId="77777777" w:rsidR="00FF685A" w:rsidRDefault="00FF685A" w:rsidP="00A07095">
            <w:pPr>
              <w:pStyle w:val="NoSpacing"/>
            </w:pPr>
            <w:r>
              <w:t>11/1996</w:t>
            </w:r>
          </w:p>
        </w:tc>
        <w:tc>
          <w:tcPr>
            <w:tcW w:w="992" w:type="dxa"/>
          </w:tcPr>
          <w:p w14:paraId="38E36576" w14:textId="77777777" w:rsidR="00FF685A" w:rsidRDefault="00FF685A" w:rsidP="00A07095">
            <w:pPr>
              <w:pStyle w:val="NoSpacing"/>
            </w:pPr>
            <w:r>
              <w:t>09/1997</w:t>
            </w:r>
          </w:p>
        </w:tc>
        <w:tc>
          <w:tcPr>
            <w:tcW w:w="2072" w:type="dxa"/>
          </w:tcPr>
          <w:p w14:paraId="06B82CAC" w14:textId="77777777" w:rsidR="00FF685A" w:rsidRDefault="00FF685A" w:rsidP="00A07095">
            <w:pPr>
              <w:pStyle w:val="NoSpacing"/>
            </w:pPr>
          </w:p>
        </w:tc>
      </w:tr>
      <w:tr w:rsidR="00FF685A" w14:paraId="13B43BA3" w14:textId="77777777" w:rsidTr="00A07095">
        <w:trPr>
          <w:trHeight w:val="276"/>
        </w:trPr>
        <w:tc>
          <w:tcPr>
            <w:tcW w:w="2660" w:type="dxa"/>
          </w:tcPr>
          <w:p w14:paraId="42438403" w14:textId="77777777" w:rsidR="00FF685A" w:rsidRDefault="00FF685A" w:rsidP="00A07095">
            <w:pPr>
              <w:pStyle w:val="NoSpacing"/>
            </w:pPr>
            <w:r>
              <w:t>Mr Shozaburo Jimi</w:t>
            </w:r>
          </w:p>
        </w:tc>
        <w:tc>
          <w:tcPr>
            <w:tcW w:w="2551" w:type="dxa"/>
            <w:tcBorders>
              <w:top w:val="nil"/>
              <w:bottom w:val="single" w:sz="4" w:space="0" w:color="auto"/>
            </w:tcBorders>
          </w:tcPr>
          <w:p w14:paraId="332C40DB" w14:textId="77777777" w:rsidR="00FF685A" w:rsidRDefault="00FF685A" w:rsidP="00A07095">
            <w:pPr>
              <w:pStyle w:val="NoSpacing"/>
            </w:pPr>
          </w:p>
        </w:tc>
        <w:tc>
          <w:tcPr>
            <w:tcW w:w="993" w:type="dxa"/>
          </w:tcPr>
          <w:p w14:paraId="43C0DC43" w14:textId="77777777" w:rsidR="00FF685A" w:rsidRDefault="00FF685A" w:rsidP="00A07095">
            <w:pPr>
              <w:pStyle w:val="NoSpacing"/>
            </w:pPr>
            <w:r>
              <w:t>09/1997</w:t>
            </w:r>
          </w:p>
        </w:tc>
        <w:tc>
          <w:tcPr>
            <w:tcW w:w="992" w:type="dxa"/>
          </w:tcPr>
          <w:p w14:paraId="58CED3D9" w14:textId="77777777" w:rsidR="00FF685A" w:rsidRDefault="00FF685A" w:rsidP="00A07095">
            <w:pPr>
              <w:pStyle w:val="NoSpacing"/>
            </w:pPr>
            <w:r>
              <w:t>07/1998</w:t>
            </w:r>
          </w:p>
        </w:tc>
        <w:tc>
          <w:tcPr>
            <w:tcW w:w="2072" w:type="dxa"/>
          </w:tcPr>
          <w:p w14:paraId="11A2200D" w14:textId="77777777" w:rsidR="00FF685A" w:rsidRDefault="00FF685A" w:rsidP="00A07095">
            <w:pPr>
              <w:pStyle w:val="NoSpacing"/>
            </w:pPr>
          </w:p>
        </w:tc>
      </w:tr>
      <w:tr w:rsidR="00FF685A" w14:paraId="638E3D30" w14:textId="77777777" w:rsidTr="00A07095">
        <w:trPr>
          <w:trHeight w:val="276"/>
        </w:trPr>
        <w:tc>
          <w:tcPr>
            <w:tcW w:w="2660" w:type="dxa"/>
            <w:tcBorders>
              <w:bottom w:val="single" w:sz="4" w:space="0" w:color="auto"/>
            </w:tcBorders>
          </w:tcPr>
          <w:p w14:paraId="04609670" w14:textId="77777777" w:rsidR="00FF685A" w:rsidRDefault="00FF685A" w:rsidP="00A07095">
            <w:pPr>
              <w:pStyle w:val="NoSpacing"/>
            </w:pPr>
            <w:r>
              <w:t>Ms Seiko Noda</w:t>
            </w:r>
          </w:p>
        </w:tc>
        <w:tc>
          <w:tcPr>
            <w:tcW w:w="2551" w:type="dxa"/>
            <w:tcBorders>
              <w:bottom w:val="nil"/>
            </w:tcBorders>
          </w:tcPr>
          <w:p w14:paraId="0877FF56" w14:textId="77777777" w:rsidR="00FF685A" w:rsidRDefault="00FF685A" w:rsidP="00A07095">
            <w:pPr>
              <w:pStyle w:val="NoSpacing"/>
            </w:pPr>
            <w:r>
              <w:t>Mr Keizo Obuchi</w:t>
            </w:r>
          </w:p>
        </w:tc>
        <w:tc>
          <w:tcPr>
            <w:tcW w:w="993" w:type="dxa"/>
          </w:tcPr>
          <w:p w14:paraId="7E8B4601" w14:textId="77777777" w:rsidR="00FF685A" w:rsidRDefault="00FF685A" w:rsidP="00A07095">
            <w:pPr>
              <w:pStyle w:val="NoSpacing"/>
            </w:pPr>
            <w:r>
              <w:t>07/1998</w:t>
            </w:r>
          </w:p>
        </w:tc>
        <w:tc>
          <w:tcPr>
            <w:tcW w:w="992" w:type="dxa"/>
          </w:tcPr>
          <w:p w14:paraId="4009844E" w14:textId="77777777" w:rsidR="00FF685A" w:rsidRDefault="00FF685A" w:rsidP="00A07095">
            <w:pPr>
              <w:pStyle w:val="NoSpacing"/>
            </w:pPr>
            <w:r>
              <w:t>10/1999</w:t>
            </w:r>
          </w:p>
        </w:tc>
        <w:tc>
          <w:tcPr>
            <w:tcW w:w="2072" w:type="dxa"/>
          </w:tcPr>
          <w:p w14:paraId="48258C90" w14:textId="77777777" w:rsidR="00FF685A" w:rsidRDefault="00FF685A" w:rsidP="00A07095">
            <w:pPr>
              <w:pStyle w:val="NoSpacing"/>
            </w:pPr>
          </w:p>
        </w:tc>
      </w:tr>
      <w:tr w:rsidR="00FF685A" w14:paraId="6E351B55" w14:textId="77777777" w:rsidTr="00A07095">
        <w:trPr>
          <w:trHeight w:val="276"/>
        </w:trPr>
        <w:tc>
          <w:tcPr>
            <w:tcW w:w="2660" w:type="dxa"/>
            <w:tcBorders>
              <w:bottom w:val="nil"/>
            </w:tcBorders>
          </w:tcPr>
          <w:p w14:paraId="62CE4236" w14:textId="77777777" w:rsidR="00FF685A" w:rsidRDefault="00FF685A" w:rsidP="00A07095">
            <w:pPr>
              <w:pStyle w:val="NoSpacing"/>
            </w:pPr>
            <w:r>
              <w:t>Mr Eizaburo Maejima</w:t>
            </w:r>
          </w:p>
        </w:tc>
        <w:tc>
          <w:tcPr>
            <w:tcW w:w="2551" w:type="dxa"/>
            <w:tcBorders>
              <w:top w:val="nil"/>
              <w:bottom w:val="single" w:sz="4" w:space="0" w:color="auto"/>
            </w:tcBorders>
          </w:tcPr>
          <w:p w14:paraId="1DCF016A" w14:textId="77777777" w:rsidR="00FF685A" w:rsidRDefault="00FF685A" w:rsidP="00A07095">
            <w:pPr>
              <w:pStyle w:val="NoSpacing"/>
            </w:pPr>
          </w:p>
        </w:tc>
        <w:tc>
          <w:tcPr>
            <w:tcW w:w="993" w:type="dxa"/>
          </w:tcPr>
          <w:p w14:paraId="2975F349" w14:textId="77777777" w:rsidR="00FF685A" w:rsidRDefault="00FF685A" w:rsidP="00A07095">
            <w:pPr>
              <w:pStyle w:val="NoSpacing"/>
            </w:pPr>
            <w:r>
              <w:t>10/1999</w:t>
            </w:r>
          </w:p>
        </w:tc>
        <w:tc>
          <w:tcPr>
            <w:tcW w:w="992" w:type="dxa"/>
          </w:tcPr>
          <w:p w14:paraId="2D02FEB4" w14:textId="77777777" w:rsidR="00FF685A" w:rsidRDefault="00FF685A" w:rsidP="00A07095">
            <w:pPr>
              <w:pStyle w:val="NoSpacing"/>
            </w:pPr>
            <w:r>
              <w:t>04/2000</w:t>
            </w:r>
          </w:p>
        </w:tc>
        <w:tc>
          <w:tcPr>
            <w:tcW w:w="2072" w:type="dxa"/>
          </w:tcPr>
          <w:p w14:paraId="66F2084B" w14:textId="77777777" w:rsidR="00FF685A" w:rsidRDefault="00FF685A" w:rsidP="00A07095">
            <w:pPr>
              <w:pStyle w:val="NoSpacing"/>
            </w:pPr>
          </w:p>
        </w:tc>
      </w:tr>
      <w:tr w:rsidR="00FF685A" w14:paraId="54DFA2FE" w14:textId="77777777" w:rsidTr="00A07095">
        <w:trPr>
          <w:trHeight w:val="276"/>
        </w:trPr>
        <w:tc>
          <w:tcPr>
            <w:tcW w:w="2660" w:type="dxa"/>
            <w:tcBorders>
              <w:top w:val="nil"/>
            </w:tcBorders>
          </w:tcPr>
          <w:p w14:paraId="06666FE9" w14:textId="77777777" w:rsidR="00FF685A" w:rsidRDefault="00FF685A" w:rsidP="00A07095">
            <w:pPr>
              <w:pStyle w:val="NoSpacing"/>
            </w:pPr>
          </w:p>
        </w:tc>
        <w:tc>
          <w:tcPr>
            <w:tcW w:w="2551" w:type="dxa"/>
            <w:tcBorders>
              <w:bottom w:val="nil"/>
            </w:tcBorders>
          </w:tcPr>
          <w:p w14:paraId="22E00401" w14:textId="77777777" w:rsidR="00FF685A" w:rsidRDefault="00FF685A" w:rsidP="00A07095">
            <w:pPr>
              <w:pStyle w:val="NoSpacing"/>
            </w:pPr>
          </w:p>
        </w:tc>
        <w:tc>
          <w:tcPr>
            <w:tcW w:w="993" w:type="dxa"/>
          </w:tcPr>
          <w:p w14:paraId="07066359" w14:textId="77777777" w:rsidR="00FF685A" w:rsidRDefault="00FF685A" w:rsidP="00A07095">
            <w:pPr>
              <w:pStyle w:val="NoSpacing"/>
            </w:pPr>
            <w:r>
              <w:t>04/2000</w:t>
            </w:r>
          </w:p>
        </w:tc>
        <w:tc>
          <w:tcPr>
            <w:tcW w:w="992" w:type="dxa"/>
          </w:tcPr>
          <w:p w14:paraId="1B1DFDAA" w14:textId="77777777" w:rsidR="00FF685A" w:rsidRDefault="00FF685A" w:rsidP="00A07095">
            <w:pPr>
              <w:pStyle w:val="NoSpacing"/>
            </w:pPr>
            <w:r>
              <w:t>07/2000</w:t>
            </w:r>
          </w:p>
        </w:tc>
        <w:tc>
          <w:tcPr>
            <w:tcW w:w="2072" w:type="dxa"/>
          </w:tcPr>
          <w:p w14:paraId="68991C4D" w14:textId="77777777" w:rsidR="00FF685A" w:rsidRDefault="00FF685A" w:rsidP="00A07095">
            <w:pPr>
              <w:pStyle w:val="NoSpacing"/>
            </w:pPr>
          </w:p>
        </w:tc>
      </w:tr>
      <w:tr w:rsidR="00FF685A" w14:paraId="26513B1A" w14:textId="77777777" w:rsidTr="00A07095">
        <w:trPr>
          <w:trHeight w:val="276"/>
        </w:trPr>
        <w:tc>
          <w:tcPr>
            <w:tcW w:w="2660" w:type="dxa"/>
          </w:tcPr>
          <w:p w14:paraId="227CCF21" w14:textId="77777777" w:rsidR="00FF685A" w:rsidRDefault="00FF685A" w:rsidP="00A07095">
            <w:pPr>
              <w:pStyle w:val="NoSpacing"/>
            </w:pPr>
            <w:r>
              <w:t>Mr Kouzou Hirabayashi</w:t>
            </w:r>
          </w:p>
        </w:tc>
        <w:tc>
          <w:tcPr>
            <w:tcW w:w="2551" w:type="dxa"/>
            <w:tcBorders>
              <w:top w:val="nil"/>
              <w:bottom w:val="nil"/>
            </w:tcBorders>
          </w:tcPr>
          <w:p w14:paraId="2922EB33" w14:textId="77777777" w:rsidR="00FF685A" w:rsidRDefault="00FF685A" w:rsidP="00A07095">
            <w:pPr>
              <w:pStyle w:val="NoSpacing"/>
            </w:pPr>
            <w:r>
              <w:t>Mr Yoshiro Mori</w:t>
            </w:r>
          </w:p>
        </w:tc>
        <w:tc>
          <w:tcPr>
            <w:tcW w:w="993" w:type="dxa"/>
          </w:tcPr>
          <w:p w14:paraId="3BA5BE92" w14:textId="77777777" w:rsidR="00FF685A" w:rsidRDefault="00FF685A" w:rsidP="00A07095">
            <w:pPr>
              <w:pStyle w:val="NoSpacing"/>
            </w:pPr>
            <w:r>
              <w:t>07/2000</w:t>
            </w:r>
          </w:p>
        </w:tc>
        <w:tc>
          <w:tcPr>
            <w:tcW w:w="992" w:type="dxa"/>
          </w:tcPr>
          <w:p w14:paraId="608CC5F9" w14:textId="77777777" w:rsidR="00FF685A" w:rsidRDefault="00FF685A" w:rsidP="00A07095">
            <w:pPr>
              <w:pStyle w:val="NoSpacing"/>
            </w:pPr>
            <w:r>
              <w:t>12/2000</w:t>
            </w:r>
          </w:p>
        </w:tc>
        <w:tc>
          <w:tcPr>
            <w:tcW w:w="2072" w:type="dxa"/>
          </w:tcPr>
          <w:p w14:paraId="1393C09E" w14:textId="77777777" w:rsidR="00FF685A" w:rsidRDefault="00FF685A" w:rsidP="00A07095">
            <w:pPr>
              <w:pStyle w:val="NoSpacing"/>
            </w:pPr>
          </w:p>
        </w:tc>
      </w:tr>
      <w:tr w:rsidR="00FF685A" w14:paraId="0BC0C7F7" w14:textId="77777777" w:rsidTr="00A07095">
        <w:trPr>
          <w:trHeight w:val="276"/>
        </w:trPr>
        <w:tc>
          <w:tcPr>
            <w:tcW w:w="2660" w:type="dxa"/>
          </w:tcPr>
          <w:p w14:paraId="155515C9" w14:textId="77777777" w:rsidR="00FF685A" w:rsidRDefault="00FF685A" w:rsidP="00A07095">
            <w:pPr>
              <w:pStyle w:val="NoSpacing"/>
            </w:pPr>
            <w:r>
              <w:t>Mr Toranosuke Katayama</w:t>
            </w:r>
          </w:p>
        </w:tc>
        <w:tc>
          <w:tcPr>
            <w:tcW w:w="2551" w:type="dxa"/>
            <w:tcBorders>
              <w:top w:val="nil"/>
            </w:tcBorders>
          </w:tcPr>
          <w:p w14:paraId="7C31827A" w14:textId="77777777" w:rsidR="00FF685A" w:rsidRDefault="00FF685A" w:rsidP="00A07095">
            <w:pPr>
              <w:pStyle w:val="NoSpacing"/>
            </w:pPr>
          </w:p>
        </w:tc>
        <w:tc>
          <w:tcPr>
            <w:tcW w:w="993" w:type="dxa"/>
          </w:tcPr>
          <w:p w14:paraId="126786F2" w14:textId="77777777" w:rsidR="00FF685A" w:rsidRDefault="00FF685A" w:rsidP="00A07095">
            <w:pPr>
              <w:pStyle w:val="NoSpacing"/>
            </w:pPr>
            <w:r>
              <w:t>12/2000</w:t>
            </w:r>
          </w:p>
        </w:tc>
        <w:tc>
          <w:tcPr>
            <w:tcW w:w="992" w:type="dxa"/>
          </w:tcPr>
          <w:p w14:paraId="28B0B8DF" w14:textId="77777777" w:rsidR="00FF685A" w:rsidRDefault="00FF685A" w:rsidP="00A07095">
            <w:pPr>
              <w:pStyle w:val="NoSpacing"/>
            </w:pPr>
            <w:r>
              <w:t>01/2001</w:t>
            </w:r>
          </w:p>
        </w:tc>
        <w:tc>
          <w:tcPr>
            <w:tcW w:w="2072" w:type="dxa"/>
          </w:tcPr>
          <w:p w14:paraId="1EB11D61" w14:textId="77777777" w:rsidR="00FF685A" w:rsidRDefault="00FF685A" w:rsidP="00A07095">
            <w:pPr>
              <w:pStyle w:val="NoSpacing"/>
            </w:pPr>
            <w:r>
              <w:t>Held other offices</w:t>
            </w:r>
            <w:r>
              <w:rPr>
                <w:rStyle w:val="FootnoteReference"/>
              </w:rPr>
              <w:footnoteReference w:id="92"/>
            </w:r>
          </w:p>
        </w:tc>
      </w:tr>
    </w:tbl>
    <w:p w14:paraId="7DC40B45" w14:textId="77777777" w:rsidR="00FF685A" w:rsidRDefault="00FF685A" w:rsidP="00FF685A">
      <w:pPr>
        <w:pStyle w:val="NoSpacing"/>
        <w:rPr>
          <w:lang w:eastAsia="ja-JP"/>
        </w:rPr>
      </w:pPr>
    </w:p>
    <w:p w14:paraId="64F14D47" w14:textId="77777777" w:rsidR="00FF685A" w:rsidRDefault="00FF685A" w:rsidP="00FF685A">
      <w:pPr>
        <w:pStyle w:val="NoSpacing"/>
      </w:pPr>
      <w:r>
        <w:br w:type="page"/>
      </w:r>
    </w:p>
    <w:p w14:paraId="182E7656" w14:textId="77777777" w:rsidR="00FF685A" w:rsidRPr="00A07095" w:rsidRDefault="00A07095" w:rsidP="00147E99">
      <w:pPr>
        <w:pStyle w:val="Heading2"/>
      </w:pPr>
      <w:bookmarkStart w:id="83" w:name="_Toc349741405"/>
      <w:r>
        <w:rPr>
          <w:rFonts w:eastAsia="MS Mincho" w:hint="eastAsia"/>
          <w:lang w:eastAsia="ja-JP"/>
        </w:rPr>
        <w:t>2.</w:t>
      </w:r>
      <w:r>
        <w:rPr>
          <w:rFonts w:eastAsia="MS Mincho" w:hint="eastAsia"/>
          <w:lang w:eastAsia="ja-JP"/>
        </w:rPr>
        <w:tab/>
      </w:r>
      <w:r w:rsidR="00FF685A" w:rsidRPr="00A07095">
        <w:rPr>
          <w:rFonts w:hint="eastAsia"/>
        </w:rPr>
        <w:t xml:space="preserve">Minister of </w:t>
      </w:r>
      <w:r w:rsidR="00FF685A" w:rsidRPr="00A07095">
        <w:t xml:space="preserve">Internal Affairs and Communications </w:t>
      </w:r>
      <w:r w:rsidR="00FF685A" w:rsidRPr="00A07095">
        <w:rPr>
          <w:rFonts w:hint="eastAsia"/>
        </w:rPr>
        <w:t>(</w:t>
      </w:r>
      <w:r w:rsidR="00FF685A" w:rsidRPr="00A07095">
        <w:t>after</w:t>
      </w:r>
      <w:r w:rsidR="00FF685A" w:rsidRPr="00A07095">
        <w:rPr>
          <w:rFonts w:hint="eastAsia"/>
        </w:rPr>
        <w:t xml:space="preserve"> </w:t>
      </w:r>
      <w:r w:rsidR="00FF685A" w:rsidRPr="00A07095">
        <w:t xml:space="preserve">January </w:t>
      </w:r>
      <w:r w:rsidR="00FF685A" w:rsidRPr="00A07095">
        <w:rPr>
          <w:rFonts w:hint="eastAsia"/>
        </w:rPr>
        <w:t>2001)</w:t>
      </w:r>
      <w:r w:rsidR="00FF685A">
        <w:rPr>
          <w:rStyle w:val="FootnoteReference"/>
          <w:b w:val="0"/>
          <w:u w:val="single"/>
        </w:rPr>
        <w:footnoteReference w:id="93"/>
      </w:r>
      <w:bookmarkEnd w:id="83"/>
    </w:p>
    <w:p w14:paraId="497E770A" w14:textId="77777777" w:rsidR="00495655" w:rsidRDefault="00495655" w:rsidP="005B18BE">
      <w:pPr>
        <w:pStyle w:val="Quote"/>
      </w:pPr>
    </w:p>
    <w:p w14:paraId="13A9A482" w14:textId="77777777" w:rsidR="00FF685A" w:rsidRPr="00D00ED7" w:rsidRDefault="00A07095" w:rsidP="00050D4B">
      <w:pPr>
        <w:pStyle w:val="Heading3"/>
      </w:pPr>
      <w:bookmarkStart w:id="84" w:name="_Toc349741406"/>
      <w:r>
        <w:rPr>
          <w:rFonts w:eastAsia="MS Mincho" w:hint="eastAsia"/>
          <w:lang w:eastAsia="ja-JP"/>
        </w:rPr>
        <w:t>2.1</w:t>
      </w:r>
      <w:r>
        <w:rPr>
          <w:rFonts w:eastAsia="MS Mincho" w:hint="eastAsia"/>
          <w:lang w:eastAsia="ja-JP"/>
        </w:rPr>
        <w:tab/>
      </w:r>
      <w:r w:rsidR="00FF685A" w:rsidRPr="00D00ED7">
        <w:t>LDP</w:t>
      </w:r>
      <w:r w:rsidR="00FF685A">
        <w:t xml:space="preserve"> led coalition</w:t>
      </w:r>
      <w:r w:rsidR="00FF685A" w:rsidRPr="00D00ED7">
        <w:t xml:space="preserve"> governments</w:t>
      </w:r>
      <w:bookmarkEnd w:id="84"/>
    </w:p>
    <w:tbl>
      <w:tblPr>
        <w:tblStyle w:val="TableGrid"/>
        <w:tblW w:w="0" w:type="auto"/>
        <w:tblLook w:val="04A0" w:firstRow="1" w:lastRow="0" w:firstColumn="1" w:lastColumn="0" w:noHBand="0" w:noVBand="1"/>
      </w:tblPr>
      <w:tblGrid>
        <w:gridCol w:w="2475"/>
        <w:gridCol w:w="2359"/>
        <w:gridCol w:w="982"/>
        <w:gridCol w:w="981"/>
        <w:gridCol w:w="1923"/>
      </w:tblGrid>
      <w:tr w:rsidR="00FF685A" w14:paraId="5586E052" w14:textId="77777777" w:rsidTr="00FF685A">
        <w:tc>
          <w:tcPr>
            <w:tcW w:w="2660" w:type="dxa"/>
            <w:tcBorders>
              <w:bottom w:val="single" w:sz="12" w:space="0" w:color="auto"/>
            </w:tcBorders>
            <w:shd w:val="pct20" w:color="auto" w:fill="auto"/>
          </w:tcPr>
          <w:p w14:paraId="6E18DBF3" w14:textId="77777777" w:rsidR="00FF685A" w:rsidRDefault="00FF685A" w:rsidP="00A07095">
            <w:pPr>
              <w:pStyle w:val="NoSpacing"/>
            </w:pPr>
            <w:r>
              <w:rPr>
                <w:rFonts w:hint="eastAsia"/>
              </w:rPr>
              <w:t>Name of the Minister</w:t>
            </w:r>
          </w:p>
        </w:tc>
        <w:tc>
          <w:tcPr>
            <w:tcW w:w="2551" w:type="dxa"/>
            <w:tcBorders>
              <w:bottom w:val="single" w:sz="12" w:space="0" w:color="auto"/>
            </w:tcBorders>
            <w:shd w:val="pct20" w:color="auto" w:fill="auto"/>
          </w:tcPr>
          <w:p w14:paraId="4ABAF97B" w14:textId="77777777" w:rsidR="00FF685A" w:rsidRDefault="00FF685A" w:rsidP="00A07095">
            <w:pPr>
              <w:pStyle w:val="NoSpacing"/>
            </w:pPr>
            <w:r>
              <w:rPr>
                <w:rFonts w:hint="eastAsia"/>
              </w:rPr>
              <w:t>Prime M</w:t>
            </w:r>
            <w:r>
              <w:t>i</w:t>
            </w:r>
            <w:r>
              <w:rPr>
                <w:rFonts w:hint="eastAsia"/>
              </w:rPr>
              <w:t>nister</w:t>
            </w:r>
          </w:p>
        </w:tc>
        <w:tc>
          <w:tcPr>
            <w:tcW w:w="993" w:type="dxa"/>
            <w:tcBorders>
              <w:bottom w:val="single" w:sz="12" w:space="0" w:color="auto"/>
            </w:tcBorders>
            <w:shd w:val="pct20" w:color="auto" w:fill="auto"/>
          </w:tcPr>
          <w:p w14:paraId="0201B56F" w14:textId="77777777" w:rsidR="00FF685A" w:rsidRDefault="00FF685A" w:rsidP="00A07095">
            <w:pPr>
              <w:pStyle w:val="NoSpacing"/>
            </w:pPr>
            <w:r>
              <w:t>F</w:t>
            </w:r>
            <w:r>
              <w:rPr>
                <w:rFonts w:hint="eastAsia"/>
              </w:rPr>
              <w:t xml:space="preserve">rom </w:t>
            </w:r>
          </w:p>
        </w:tc>
        <w:tc>
          <w:tcPr>
            <w:tcW w:w="992" w:type="dxa"/>
            <w:tcBorders>
              <w:bottom w:val="single" w:sz="12" w:space="0" w:color="auto"/>
            </w:tcBorders>
            <w:shd w:val="pct20" w:color="auto" w:fill="auto"/>
          </w:tcPr>
          <w:p w14:paraId="169A1D52" w14:textId="77777777" w:rsidR="00FF685A" w:rsidRDefault="00FF685A" w:rsidP="00A07095">
            <w:pPr>
              <w:pStyle w:val="NoSpacing"/>
            </w:pPr>
            <w:r>
              <w:rPr>
                <w:rFonts w:hint="eastAsia"/>
              </w:rPr>
              <w:t>To</w:t>
            </w:r>
          </w:p>
        </w:tc>
        <w:tc>
          <w:tcPr>
            <w:tcW w:w="2072" w:type="dxa"/>
            <w:tcBorders>
              <w:bottom w:val="single" w:sz="12" w:space="0" w:color="auto"/>
            </w:tcBorders>
            <w:shd w:val="pct20" w:color="auto" w:fill="auto"/>
          </w:tcPr>
          <w:p w14:paraId="31639CE6" w14:textId="77777777" w:rsidR="00FF685A" w:rsidRDefault="00FF685A" w:rsidP="00A07095">
            <w:pPr>
              <w:pStyle w:val="NoSpacing"/>
            </w:pPr>
            <w:r>
              <w:rPr>
                <w:rFonts w:hint="eastAsia"/>
              </w:rPr>
              <w:t>Memo</w:t>
            </w:r>
          </w:p>
        </w:tc>
      </w:tr>
      <w:tr w:rsidR="00FF685A" w14:paraId="49E99B2E" w14:textId="77777777" w:rsidTr="00FF685A">
        <w:tc>
          <w:tcPr>
            <w:tcW w:w="2660" w:type="dxa"/>
            <w:tcBorders>
              <w:top w:val="single" w:sz="12" w:space="0" w:color="auto"/>
              <w:bottom w:val="nil"/>
            </w:tcBorders>
          </w:tcPr>
          <w:p w14:paraId="32588F8B" w14:textId="77777777" w:rsidR="00FF685A" w:rsidRDefault="00FF685A" w:rsidP="00A07095">
            <w:pPr>
              <w:pStyle w:val="NoSpacing"/>
            </w:pPr>
            <w:r>
              <w:t>Mr Toranosuke Katayama</w:t>
            </w:r>
          </w:p>
        </w:tc>
        <w:tc>
          <w:tcPr>
            <w:tcW w:w="2551" w:type="dxa"/>
            <w:tcBorders>
              <w:top w:val="single" w:sz="12" w:space="0" w:color="auto"/>
              <w:bottom w:val="single" w:sz="4" w:space="0" w:color="auto"/>
            </w:tcBorders>
          </w:tcPr>
          <w:p w14:paraId="0A87949A" w14:textId="77777777" w:rsidR="00FF685A" w:rsidRDefault="00FF685A" w:rsidP="00A07095">
            <w:pPr>
              <w:pStyle w:val="NoSpacing"/>
            </w:pPr>
            <w:r>
              <w:t>Mr Yoshiro Mori</w:t>
            </w:r>
          </w:p>
        </w:tc>
        <w:tc>
          <w:tcPr>
            <w:tcW w:w="993" w:type="dxa"/>
            <w:tcBorders>
              <w:top w:val="single" w:sz="12" w:space="0" w:color="auto"/>
            </w:tcBorders>
          </w:tcPr>
          <w:p w14:paraId="0E5C87E7" w14:textId="77777777" w:rsidR="00FF685A" w:rsidRDefault="00FF685A" w:rsidP="00A07095">
            <w:pPr>
              <w:pStyle w:val="NoSpacing"/>
            </w:pPr>
            <w:r>
              <w:t>01/2001</w:t>
            </w:r>
          </w:p>
        </w:tc>
        <w:tc>
          <w:tcPr>
            <w:tcW w:w="992" w:type="dxa"/>
            <w:tcBorders>
              <w:top w:val="single" w:sz="12" w:space="0" w:color="auto"/>
            </w:tcBorders>
          </w:tcPr>
          <w:p w14:paraId="0ED665FD" w14:textId="77777777" w:rsidR="00FF685A" w:rsidRDefault="00FF685A" w:rsidP="00A07095">
            <w:pPr>
              <w:pStyle w:val="NoSpacing"/>
            </w:pPr>
            <w:r>
              <w:t>04/2001</w:t>
            </w:r>
          </w:p>
        </w:tc>
        <w:tc>
          <w:tcPr>
            <w:tcW w:w="2072" w:type="dxa"/>
            <w:tcBorders>
              <w:top w:val="single" w:sz="12" w:space="0" w:color="auto"/>
              <w:bottom w:val="nil"/>
            </w:tcBorders>
          </w:tcPr>
          <w:p w14:paraId="52134FCF" w14:textId="77777777" w:rsidR="00FF685A" w:rsidRDefault="00FF685A" w:rsidP="00A07095">
            <w:pPr>
              <w:pStyle w:val="NoSpacing"/>
            </w:pPr>
          </w:p>
        </w:tc>
      </w:tr>
      <w:tr w:rsidR="00FF685A" w14:paraId="295FFE11" w14:textId="77777777" w:rsidTr="00FF685A">
        <w:tc>
          <w:tcPr>
            <w:tcW w:w="2660" w:type="dxa"/>
            <w:tcBorders>
              <w:top w:val="nil"/>
              <w:bottom w:val="single" w:sz="4" w:space="0" w:color="auto"/>
            </w:tcBorders>
          </w:tcPr>
          <w:p w14:paraId="21F30B87" w14:textId="77777777" w:rsidR="00FF685A" w:rsidRDefault="00FF685A" w:rsidP="00A07095">
            <w:pPr>
              <w:pStyle w:val="NoSpacing"/>
            </w:pPr>
          </w:p>
        </w:tc>
        <w:tc>
          <w:tcPr>
            <w:tcW w:w="2551" w:type="dxa"/>
            <w:tcBorders>
              <w:bottom w:val="nil"/>
            </w:tcBorders>
          </w:tcPr>
          <w:p w14:paraId="040E0F64" w14:textId="77777777" w:rsidR="00FF685A" w:rsidRDefault="00FF685A" w:rsidP="00A07095">
            <w:pPr>
              <w:pStyle w:val="NoSpacing"/>
            </w:pPr>
          </w:p>
        </w:tc>
        <w:tc>
          <w:tcPr>
            <w:tcW w:w="993" w:type="dxa"/>
            <w:tcBorders>
              <w:bottom w:val="single" w:sz="4" w:space="0" w:color="auto"/>
            </w:tcBorders>
          </w:tcPr>
          <w:p w14:paraId="2A711E89" w14:textId="77777777" w:rsidR="00FF685A" w:rsidRDefault="00FF685A" w:rsidP="00A07095">
            <w:pPr>
              <w:pStyle w:val="NoSpacing"/>
            </w:pPr>
            <w:r>
              <w:t>04/2001</w:t>
            </w:r>
          </w:p>
        </w:tc>
        <w:tc>
          <w:tcPr>
            <w:tcW w:w="992" w:type="dxa"/>
            <w:tcBorders>
              <w:bottom w:val="single" w:sz="4" w:space="0" w:color="auto"/>
            </w:tcBorders>
          </w:tcPr>
          <w:p w14:paraId="50AD31E1" w14:textId="77777777" w:rsidR="00FF685A" w:rsidRDefault="00FF685A" w:rsidP="00A07095">
            <w:pPr>
              <w:pStyle w:val="NoSpacing"/>
            </w:pPr>
            <w:r>
              <w:t>09/2003</w:t>
            </w:r>
          </w:p>
        </w:tc>
        <w:tc>
          <w:tcPr>
            <w:tcW w:w="2072" w:type="dxa"/>
            <w:tcBorders>
              <w:top w:val="nil"/>
              <w:bottom w:val="single" w:sz="4" w:space="0" w:color="auto"/>
            </w:tcBorders>
          </w:tcPr>
          <w:p w14:paraId="1F5F62DA" w14:textId="77777777" w:rsidR="00FF685A" w:rsidRDefault="00FF685A" w:rsidP="00A07095">
            <w:pPr>
              <w:pStyle w:val="NoSpacing"/>
            </w:pPr>
          </w:p>
        </w:tc>
      </w:tr>
      <w:tr w:rsidR="00FF685A" w14:paraId="0F701C51" w14:textId="77777777" w:rsidTr="00FF685A">
        <w:tc>
          <w:tcPr>
            <w:tcW w:w="2660" w:type="dxa"/>
            <w:tcBorders>
              <w:bottom w:val="single" w:sz="4" w:space="0" w:color="auto"/>
            </w:tcBorders>
          </w:tcPr>
          <w:p w14:paraId="62A2A6D8" w14:textId="77777777" w:rsidR="00FF685A" w:rsidRDefault="00FF685A" w:rsidP="00A07095">
            <w:pPr>
              <w:pStyle w:val="NoSpacing"/>
            </w:pPr>
            <w:r>
              <w:t>Mr Taro Aso</w:t>
            </w:r>
          </w:p>
        </w:tc>
        <w:tc>
          <w:tcPr>
            <w:tcW w:w="2551" w:type="dxa"/>
            <w:tcBorders>
              <w:top w:val="nil"/>
              <w:bottom w:val="nil"/>
            </w:tcBorders>
          </w:tcPr>
          <w:p w14:paraId="14E7900D" w14:textId="77777777" w:rsidR="00FF685A" w:rsidRDefault="00FF685A" w:rsidP="00A07095">
            <w:pPr>
              <w:pStyle w:val="NoSpacing"/>
            </w:pPr>
            <w:r>
              <w:t>Mr Jun’ichiro Koizumi</w:t>
            </w:r>
          </w:p>
        </w:tc>
        <w:tc>
          <w:tcPr>
            <w:tcW w:w="993" w:type="dxa"/>
            <w:tcBorders>
              <w:bottom w:val="single" w:sz="4" w:space="0" w:color="auto"/>
            </w:tcBorders>
          </w:tcPr>
          <w:p w14:paraId="128E0590" w14:textId="77777777" w:rsidR="00FF685A" w:rsidRDefault="00FF685A" w:rsidP="00A07095">
            <w:pPr>
              <w:pStyle w:val="NoSpacing"/>
            </w:pPr>
            <w:r>
              <w:t>09/2003</w:t>
            </w:r>
          </w:p>
        </w:tc>
        <w:tc>
          <w:tcPr>
            <w:tcW w:w="992" w:type="dxa"/>
            <w:tcBorders>
              <w:bottom w:val="single" w:sz="4" w:space="0" w:color="auto"/>
            </w:tcBorders>
          </w:tcPr>
          <w:p w14:paraId="6D7819AF" w14:textId="77777777" w:rsidR="00FF685A" w:rsidRDefault="00FF685A" w:rsidP="00A07095">
            <w:pPr>
              <w:pStyle w:val="NoSpacing"/>
            </w:pPr>
            <w:r>
              <w:t>10/2005</w:t>
            </w:r>
          </w:p>
        </w:tc>
        <w:tc>
          <w:tcPr>
            <w:tcW w:w="2072" w:type="dxa"/>
            <w:tcBorders>
              <w:bottom w:val="single" w:sz="4" w:space="0" w:color="auto"/>
            </w:tcBorders>
          </w:tcPr>
          <w:p w14:paraId="337E4D81" w14:textId="77777777" w:rsidR="00FF685A" w:rsidRDefault="00FF685A" w:rsidP="00A07095">
            <w:pPr>
              <w:pStyle w:val="NoSpacing"/>
            </w:pPr>
            <w:r>
              <w:t>Held other office</w:t>
            </w:r>
            <w:r>
              <w:rPr>
                <w:rStyle w:val="FootnoteReference"/>
              </w:rPr>
              <w:footnoteReference w:id="94"/>
            </w:r>
          </w:p>
        </w:tc>
      </w:tr>
      <w:tr w:rsidR="00FF685A" w14:paraId="4A3DF137" w14:textId="77777777" w:rsidTr="00FF685A">
        <w:tc>
          <w:tcPr>
            <w:tcW w:w="2660" w:type="dxa"/>
            <w:tcBorders>
              <w:top w:val="single" w:sz="4" w:space="0" w:color="auto"/>
              <w:bottom w:val="single" w:sz="4" w:space="0" w:color="auto"/>
            </w:tcBorders>
          </w:tcPr>
          <w:p w14:paraId="5AFB09B8" w14:textId="77777777" w:rsidR="00FF685A" w:rsidRDefault="00FF685A" w:rsidP="00A07095">
            <w:pPr>
              <w:pStyle w:val="NoSpacing"/>
            </w:pPr>
            <w:r>
              <w:t>Mr Heizo Takenaka</w:t>
            </w:r>
          </w:p>
        </w:tc>
        <w:tc>
          <w:tcPr>
            <w:tcW w:w="2551" w:type="dxa"/>
            <w:tcBorders>
              <w:top w:val="nil"/>
              <w:bottom w:val="single" w:sz="4" w:space="0" w:color="auto"/>
            </w:tcBorders>
          </w:tcPr>
          <w:p w14:paraId="6BB0BDD2" w14:textId="77777777" w:rsidR="00FF685A" w:rsidRDefault="00FF685A" w:rsidP="00A07095">
            <w:pPr>
              <w:pStyle w:val="NoSpacing"/>
            </w:pPr>
          </w:p>
        </w:tc>
        <w:tc>
          <w:tcPr>
            <w:tcW w:w="993" w:type="dxa"/>
            <w:tcBorders>
              <w:top w:val="single" w:sz="4" w:space="0" w:color="auto"/>
              <w:bottom w:val="single" w:sz="4" w:space="0" w:color="auto"/>
            </w:tcBorders>
          </w:tcPr>
          <w:p w14:paraId="766F034B" w14:textId="77777777" w:rsidR="00FF685A" w:rsidRDefault="00FF685A" w:rsidP="00A07095">
            <w:pPr>
              <w:pStyle w:val="NoSpacing"/>
            </w:pPr>
            <w:r>
              <w:t>10/2005</w:t>
            </w:r>
          </w:p>
        </w:tc>
        <w:tc>
          <w:tcPr>
            <w:tcW w:w="992" w:type="dxa"/>
            <w:tcBorders>
              <w:top w:val="single" w:sz="4" w:space="0" w:color="auto"/>
              <w:bottom w:val="single" w:sz="4" w:space="0" w:color="auto"/>
            </w:tcBorders>
          </w:tcPr>
          <w:p w14:paraId="1BDE4491" w14:textId="77777777" w:rsidR="00FF685A" w:rsidRDefault="00FF685A" w:rsidP="00A07095">
            <w:pPr>
              <w:pStyle w:val="NoSpacing"/>
            </w:pPr>
            <w:r>
              <w:t>09/2006</w:t>
            </w:r>
          </w:p>
        </w:tc>
        <w:tc>
          <w:tcPr>
            <w:tcW w:w="2072" w:type="dxa"/>
            <w:tcBorders>
              <w:top w:val="single" w:sz="4" w:space="0" w:color="auto"/>
              <w:bottom w:val="single" w:sz="4" w:space="0" w:color="auto"/>
            </w:tcBorders>
          </w:tcPr>
          <w:p w14:paraId="38F92CF1" w14:textId="77777777" w:rsidR="00FF685A" w:rsidRDefault="00FF685A" w:rsidP="00A07095">
            <w:pPr>
              <w:pStyle w:val="NoSpacing"/>
            </w:pPr>
            <w:r>
              <w:t>Held other office</w:t>
            </w:r>
            <w:r>
              <w:rPr>
                <w:rStyle w:val="FootnoteReference"/>
              </w:rPr>
              <w:footnoteReference w:id="95"/>
            </w:r>
          </w:p>
        </w:tc>
      </w:tr>
      <w:tr w:rsidR="00FF685A" w14:paraId="6181B26C" w14:textId="77777777" w:rsidTr="00FF685A">
        <w:tc>
          <w:tcPr>
            <w:tcW w:w="2660" w:type="dxa"/>
            <w:tcBorders>
              <w:bottom w:val="single" w:sz="4" w:space="0" w:color="auto"/>
            </w:tcBorders>
          </w:tcPr>
          <w:p w14:paraId="455BB8C0" w14:textId="77777777" w:rsidR="00FF685A" w:rsidRDefault="00FF685A" w:rsidP="00A07095">
            <w:pPr>
              <w:pStyle w:val="NoSpacing"/>
            </w:pPr>
            <w:r>
              <w:t>Mr Yoshihide Suga</w:t>
            </w:r>
          </w:p>
        </w:tc>
        <w:tc>
          <w:tcPr>
            <w:tcW w:w="2551" w:type="dxa"/>
            <w:tcBorders>
              <w:bottom w:val="nil"/>
            </w:tcBorders>
          </w:tcPr>
          <w:p w14:paraId="6ACB7B8F" w14:textId="77777777" w:rsidR="00FF685A" w:rsidRDefault="00FF685A" w:rsidP="00A07095">
            <w:pPr>
              <w:pStyle w:val="NoSpacing"/>
            </w:pPr>
            <w:r>
              <w:t>Mr Shinzo Abe</w:t>
            </w:r>
          </w:p>
        </w:tc>
        <w:tc>
          <w:tcPr>
            <w:tcW w:w="993" w:type="dxa"/>
            <w:tcBorders>
              <w:bottom w:val="single" w:sz="4" w:space="0" w:color="auto"/>
            </w:tcBorders>
          </w:tcPr>
          <w:p w14:paraId="1B5006AD" w14:textId="77777777" w:rsidR="00FF685A" w:rsidRDefault="00FF685A" w:rsidP="00A07095">
            <w:pPr>
              <w:pStyle w:val="NoSpacing"/>
            </w:pPr>
            <w:r>
              <w:t>09/2006</w:t>
            </w:r>
          </w:p>
        </w:tc>
        <w:tc>
          <w:tcPr>
            <w:tcW w:w="992" w:type="dxa"/>
            <w:tcBorders>
              <w:bottom w:val="single" w:sz="4" w:space="0" w:color="auto"/>
            </w:tcBorders>
          </w:tcPr>
          <w:p w14:paraId="681CD9B6" w14:textId="77777777" w:rsidR="00FF685A" w:rsidRDefault="00FF685A" w:rsidP="00A07095">
            <w:pPr>
              <w:pStyle w:val="NoSpacing"/>
            </w:pPr>
            <w:r>
              <w:t>0</w:t>
            </w:r>
            <w:r>
              <w:rPr>
                <w:rFonts w:hint="eastAsia"/>
              </w:rPr>
              <w:t>8</w:t>
            </w:r>
            <w:r>
              <w:t>/2007</w:t>
            </w:r>
          </w:p>
        </w:tc>
        <w:tc>
          <w:tcPr>
            <w:tcW w:w="2072" w:type="dxa"/>
            <w:tcBorders>
              <w:bottom w:val="single" w:sz="4" w:space="0" w:color="auto"/>
            </w:tcBorders>
          </w:tcPr>
          <w:p w14:paraId="35D9042B" w14:textId="77777777" w:rsidR="00FF685A" w:rsidRDefault="00FF685A" w:rsidP="00A07095">
            <w:pPr>
              <w:pStyle w:val="NoSpacing"/>
            </w:pPr>
            <w:r>
              <w:t>Held other offices</w:t>
            </w:r>
            <w:r>
              <w:rPr>
                <w:rStyle w:val="FootnoteReference"/>
              </w:rPr>
              <w:footnoteReference w:id="96"/>
            </w:r>
          </w:p>
        </w:tc>
      </w:tr>
      <w:tr w:rsidR="00FF685A" w14:paraId="7541FFE4" w14:textId="77777777" w:rsidTr="00FF685A">
        <w:tc>
          <w:tcPr>
            <w:tcW w:w="2660" w:type="dxa"/>
            <w:tcBorders>
              <w:bottom w:val="nil"/>
            </w:tcBorders>
          </w:tcPr>
          <w:p w14:paraId="47A6BA0B" w14:textId="77777777" w:rsidR="00FF685A" w:rsidRDefault="00FF685A" w:rsidP="00A07095">
            <w:pPr>
              <w:pStyle w:val="NoSpacing"/>
            </w:pPr>
            <w:r>
              <w:t>Mr Hiroya Masuda</w:t>
            </w:r>
          </w:p>
        </w:tc>
        <w:tc>
          <w:tcPr>
            <w:tcW w:w="2551" w:type="dxa"/>
            <w:tcBorders>
              <w:top w:val="nil"/>
              <w:bottom w:val="single" w:sz="4" w:space="0" w:color="auto"/>
            </w:tcBorders>
          </w:tcPr>
          <w:p w14:paraId="623C058C" w14:textId="77777777" w:rsidR="00FF685A" w:rsidRDefault="00FF685A" w:rsidP="00A07095">
            <w:pPr>
              <w:pStyle w:val="NoSpacing"/>
            </w:pPr>
          </w:p>
        </w:tc>
        <w:tc>
          <w:tcPr>
            <w:tcW w:w="993" w:type="dxa"/>
            <w:tcBorders>
              <w:bottom w:val="single" w:sz="4" w:space="0" w:color="auto"/>
            </w:tcBorders>
          </w:tcPr>
          <w:p w14:paraId="33ADA5A0" w14:textId="77777777" w:rsidR="00FF685A" w:rsidRDefault="00FF685A" w:rsidP="00A07095">
            <w:pPr>
              <w:pStyle w:val="NoSpacing"/>
            </w:pPr>
            <w:r>
              <w:t>08/2007</w:t>
            </w:r>
          </w:p>
        </w:tc>
        <w:tc>
          <w:tcPr>
            <w:tcW w:w="992" w:type="dxa"/>
            <w:tcBorders>
              <w:bottom w:val="single" w:sz="4" w:space="0" w:color="auto"/>
            </w:tcBorders>
          </w:tcPr>
          <w:p w14:paraId="27B7B5D5" w14:textId="77777777" w:rsidR="00FF685A" w:rsidRDefault="00FF685A" w:rsidP="00A07095">
            <w:pPr>
              <w:pStyle w:val="NoSpacing"/>
            </w:pPr>
            <w:r>
              <w:t>0</w:t>
            </w:r>
            <w:r>
              <w:rPr>
                <w:rFonts w:hint="eastAsia"/>
              </w:rPr>
              <w:t>9</w:t>
            </w:r>
            <w:r>
              <w:t>/2007</w:t>
            </w:r>
          </w:p>
        </w:tc>
        <w:tc>
          <w:tcPr>
            <w:tcW w:w="2072" w:type="dxa"/>
            <w:tcBorders>
              <w:bottom w:val="nil"/>
            </w:tcBorders>
          </w:tcPr>
          <w:p w14:paraId="4DC76387" w14:textId="77777777" w:rsidR="00FF685A" w:rsidRDefault="00FF685A" w:rsidP="00A07095">
            <w:pPr>
              <w:pStyle w:val="NoSpacing"/>
            </w:pPr>
            <w:r>
              <w:t>Held other offices</w:t>
            </w:r>
            <w:r>
              <w:rPr>
                <w:rStyle w:val="FootnoteReference"/>
              </w:rPr>
              <w:footnoteReference w:id="97"/>
            </w:r>
          </w:p>
        </w:tc>
      </w:tr>
      <w:tr w:rsidR="00FF685A" w14:paraId="3529296C" w14:textId="77777777" w:rsidTr="00FF685A">
        <w:tc>
          <w:tcPr>
            <w:tcW w:w="2660" w:type="dxa"/>
            <w:tcBorders>
              <w:top w:val="nil"/>
              <w:bottom w:val="single" w:sz="4" w:space="0" w:color="auto"/>
            </w:tcBorders>
          </w:tcPr>
          <w:p w14:paraId="0002C378" w14:textId="77777777" w:rsidR="00FF685A" w:rsidRDefault="00FF685A" w:rsidP="00A07095">
            <w:pPr>
              <w:pStyle w:val="NoSpacing"/>
            </w:pPr>
          </w:p>
        </w:tc>
        <w:tc>
          <w:tcPr>
            <w:tcW w:w="2551" w:type="dxa"/>
            <w:tcBorders>
              <w:top w:val="single" w:sz="4" w:space="0" w:color="auto"/>
              <w:bottom w:val="single" w:sz="4" w:space="0" w:color="auto"/>
            </w:tcBorders>
          </w:tcPr>
          <w:p w14:paraId="05118CF8" w14:textId="77777777" w:rsidR="00FF685A" w:rsidRDefault="00FF685A" w:rsidP="00A07095">
            <w:pPr>
              <w:pStyle w:val="NoSpacing"/>
            </w:pPr>
            <w:r>
              <w:t>Mr Yasuo Fukuda</w:t>
            </w:r>
          </w:p>
        </w:tc>
        <w:tc>
          <w:tcPr>
            <w:tcW w:w="993" w:type="dxa"/>
            <w:tcBorders>
              <w:top w:val="single" w:sz="4" w:space="0" w:color="auto"/>
              <w:bottom w:val="single" w:sz="4" w:space="0" w:color="auto"/>
            </w:tcBorders>
          </w:tcPr>
          <w:p w14:paraId="0D59A651" w14:textId="77777777" w:rsidR="00FF685A" w:rsidRDefault="00FF685A" w:rsidP="00A07095">
            <w:pPr>
              <w:pStyle w:val="NoSpacing"/>
            </w:pPr>
            <w:r>
              <w:t>09/2007</w:t>
            </w:r>
          </w:p>
        </w:tc>
        <w:tc>
          <w:tcPr>
            <w:tcW w:w="992" w:type="dxa"/>
            <w:tcBorders>
              <w:top w:val="single" w:sz="4" w:space="0" w:color="auto"/>
              <w:bottom w:val="single" w:sz="4" w:space="0" w:color="auto"/>
            </w:tcBorders>
          </w:tcPr>
          <w:p w14:paraId="434E36C8" w14:textId="77777777" w:rsidR="00FF685A" w:rsidRDefault="00FF685A" w:rsidP="00A07095">
            <w:pPr>
              <w:pStyle w:val="NoSpacing"/>
            </w:pPr>
            <w:r>
              <w:t>09/2008</w:t>
            </w:r>
          </w:p>
        </w:tc>
        <w:tc>
          <w:tcPr>
            <w:tcW w:w="2072" w:type="dxa"/>
            <w:tcBorders>
              <w:top w:val="nil"/>
              <w:bottom w:val="single" w:sz="4" w:space="0" w:color="auto"/>
            </w:tcBorders>
          </w:tcPr>
          <w:p w14:paraId="2A9870B9" w14:textId="77777777" w:rsidR="00FF685A" w:rsidRDefault="00FF685A" w:rsidP="00A07095">
            <w:pPr>
              <w:pStyle w:val="NoSpacing"/>
            </w:pPr>
          </w:p>
        </w:tc>
      </w:tr>
      <w:tr w:rsidR="00FF685A" w14:paraId="37647360" w14:textId="77777777" w:rsidTr="00FF685A">
        <w:tc>
          <w:tcPr>
            <w:tcW w:w="2660" w:type="dxa"/>
          </w:tcPr>
          <w:p w14:paraId="0726E144" w14:textId="77777777" w:rsidR="00FF685A" w:rsidRDefault="00FF685A" w:rsidP="00A07095">
            <w:pPr>
              <w:pStyle w:val="NoSpacing"/>
            </w:pPr>
            <w:r>
              <w:t>Mr Kunio Hatoyama</w:t>
            </w:r>
          </w:p>
        </w:tc>
        <w:tc>
          <w:tcPr>
            <w:tcW w:w="2551" w:type="dxa"/>
            <w:tcBorders>
              <w:bottom w:val="nil"/>
            </w:tcBorders>
          </w:tcPr>
          <w:p w14:paraId="799C96B0" w14:textId="77777777" w:rsidR="00FF685A" w:rsidRDefault="00FF685A" w:rsidP="00A07095">
            <w:pPr>
              <w:pStyle w:val="NoSpacing"/>
            </w:pPr>
            <w:r>
              <w:t>Mr Taro Aso</w:t>
            </w:r>
          </w:p>
        </w:tc>
        <w:tc>
          <w:tcPr>
            <w:tcW w:w="993" w:type="dxa"/>
          </w:tcPr>
          <w:p w14:paraId="074DC57E" w14:textId="77777777" w:rsidR="00FF685A" w:rsidRDefault="00FF685A" w:rsidP="00A07095">
            <w:pPr>
              <w:pStyle w:val="NoSpacing"/>
            </w:pPr>
            <w:r>
              <w:t>09/2008</w:t>
            </w:r>
          </w:p>
        </w:tc>
        <w:tc>
          <w:tcPr>
            <w:tcW w:w="992" w:type="dxa"/>
          </w:tcPr>
          <w:p w14:paraId="4D9E2773" w14:textId="77777777" w:rsidR="00FF685A" w:rsidRDefault="00FF685A" w:rsidP="00A07095">
            <w:pPr>
              <w:pStyle w:val="NoSpacing"/>
            </w:pPr>
            <w:r>
              <w:t>06/2009</w:t>
            </w:r>
          </w:p>
        </w:tc>
        <w:tc>
          <w:tcPr>
            <w:tcW w:w="2072" w:type="dxa"/>
          </w:tcPr>
          <w:p w14:paraId="475C34DA" w14:textId="77777777" w:rsidR="00FF685A" w:rsidRDefault="00FF685A" w:rsidP="00147E99">
            <w:pPr>
              <w:pStyle w:val="NoSpacing"/>
            </w:pPr>
            <w:r>
              <w:t>Held other office</w:t>
            </w:r>
            <w:r>
              <w:rPr>
                <w:rStyle w:val="FootnoteReference"/>
              </w:rPr>
              <w:footnoteReference w:id="98"/>
            </w:r>
          </w:p>
        </w:tc>
      </w:tr>
      <w:tr w:rsidR="00FF685A" w14:paraId="1D620339" w14:textId="77777777" w:rsidTr="00FF685A">
        <w:tc>
          <w:tcPr>
            <w:tcW w:w="2660" w:type="dxa"/>
            <w:tcBorders>
              <w:bottom w:val="single" w:sz="4" w:space="0" w:color="auto"/>
            </w:tcBorders>
          </w:tcPr>
          <w:p w14:paraId="23AAFE19" w14:textId="77777777" w:rsidR="00FF685A" w:rsidRDefault="00FF685A" w:rsidP="00A07095">
            <w:pPr>
              <w:pStyle w:val="NoSpacing"/>
            </w:pPr>
            <w:r>
              <w:t>Mr Tsutomu Satoh</w:t>
            </w:r>
          </w:p>
        </w:tc>
        <w:tc>
          <w:tcPr>
            <w:tcW w:w="2551" w:type="dxa"/>
            <w:tcBorders>
              <w:top w:val="nil"/>
            </w:tcBorders>
          </w:tcPr>
          <w:p w14:paraId="71E2BED9" w14:textId="77777777" w:rsidR="00FF685A" w:rsidRDefault="00FF685A" w:rsidP="00A07095">
            <w:pPr>
              <w:pStyle w:val="NoSpacing"/>
            </w:pPr>
          </w:p>
        </w:tc>
        <w:tc>
          <w:tcPr>
            <w:tcW w:w="993" w:type="dxa"/>
          </w:tcPr>
          <w:p w14:paraId="22C08CC3" w14:textId="77777777" w:rsidR="00FF685A" w:rsidRDefault="00FF685A" w:rsidP="00A07095">
            <w:pPr>
              <w:pStyle w:val="NoSpacing"/>
            </w:pPr>
            <w:r>
              <w:t>06/2009</w:t>
            </w:r>
          </w:p>
        </w:tc>
        <w:tc>
          <w:tcPr>
            <w:tcW w:w="992" w:type="dxa"/>
          </w:tcPr>
          <w:p w14:paraId="4FE4C71E" w14:textId="77777777" w:rsidR="00FF685A" w:rsidRDefault="00FF685A" w:rsidP="00A07095">
            <w:pPr>
              <w:pStyle w:val="NoSpacing"/>
            </w:pPr>
            <w:r>
              <w:t>09/2009</w:t>
            </w:r>
          </w:p>
        </w:tc>
        <w:tc>
          <w:tcPr>
            <w:tcW w:w="2072" w:type="dxa"/>
          </w:tcPr>
          <w:p w14:paraId="16B79F2B" w14:textId="77777777" w:rsidR="00FF685A" w:rsidRDefault="00FF685A" w:rsidP="00A07095">
            <w:pPr>
              <w:pStyle w:val="NoSpacing"/>
            </w:pPr>
            <w:r>
              <w:t>Held other offices</w:t>
            </w:r>
            <w:r>
              <w:rPr>
                <w:rStyle w:val="FootnoteReference"/>
              </w:rPr>
              <w:footnoteReference w:id="99"/>
            </w:r>
          </w:p>
        </w:tc>
      </w:tr>
    </w:tbl>
    <w:p w14:paraId="542269F0" w14:textId="77777777" w:rsidR="00495655" w:rsidRDefault="00495655" w:rsidP="005B18BE">
      <w:pPr>
        <w:pStyle w:val="Quote"/>
      </w:pPr>
    </w:p>
    <w:p w14:paraId="4746F9EC" w14:textId="77777777" w:rsidR="00FF685A" w:rsidRPr="00A07095" w:rsidRDefault="00A07095" w:rsidP="00050D4B">
      <w:pPr>
        <w:pStyle w:val="Heading3"/>
      </w:pPr>
      <w:bookmarkStart w:id="85" w:name="_Toc349741407"/>
      <w:r>
        <w:rPr>
          <w:rFonts w:eastAsia="MS Mincho" w:hint="eastAsia"/>
          <w:lang w:eastAsia="ja-JP"/>
        </w:rPr>
        <w:t>2.2</w:t>
      </w:r>
      <w:r>
        <w:rPr>
          <w:rFonts w:eastAsia="MS Mincho" w:hint="eastAsia"/>
          <w:lang w:eastAsia="ja-JP"/>
        </w:rPr>
        <w:tab/>
      </w:r>
      <w:r w:rsidR="00FF685A" w:rsidRPr="00A07095">
        <w:t>DPJ (Democratic Party of Japan) governments</w:t>
      </w:r>
      <w:bookmarkEnd w:id="85"/>
    </w:p>
    <w:tbl>
      <w:tblPr>
        <w:tblStyle w:val="TableGrid"/>
        <w:tblW w:w="0" w:type="auto"/>
        <w:tblLook w:val="04A0" w:firstRow="1" w:lastRow="0" w:firstColumn="1" w:lastColumn="0" w:noHBand="0" w:noVBand="1"/>
      </w:tblPr>
      <w:tblGrid>
        <w:gridCol w:w="2460"/>
        <w:gridCol w:w="2365"/>
        <w:gridCol w:w="982"/>
        <w:gridCol w:w="981"/>
        <w:gridCol w:w="1932"/>
      </w:tblGrid>
      <w:tr w:rsidR="00FF685A" w14:paraId="2F83A6D5" w14:textId="77777777" w:rsidTr="00FF685A">
        <w:tc>
          <w:tcPr>
            <w:tcW w:w="2660" w:type="dxa"/>
            <w:tcBorders>
              <w:bottom w:val="nil"/>
            </w:tcBorders>
          </w:tcPr>
          <w:p w14:paraId="08EEB57E" w14:textId="77777777" w:rsidR="00FF685A" w:rsidRDefault="00FF685A" w:rsidP="00A07095">
            <w:pPr>
              <w:pStyle w:val="NoSpacing"/>
            </w:pPr>
            <w:r>
              <w:t>Mr Kazuhiro Haraguchi</w:t>
            </w:r>
          </w:p>
        </w:tc>
        <w:tc>
          <w:tcPr>
            <w:tcW w:w="2551" w:type="dxa"/>
            <w:tcBorders>
              <w:bottom w:val="single" w:sz="4" w:space="0" w:color="auto"/>
            </w:tcBorders>
          </w:tcPr>
          <w:p w14:paraId="48B565AF" w14:textId="77777777" w:rsidR="00FF685A" w:rsidRDefault="00FF685A" w:rsidP="00A07095">
            <w:pPr>
              <w:pStyle w:val="NoSpacing"/>
            </w:pPr>
            <w:r>
              <w:t>Mr Yukio Hatoyama</w:t>
            </w:r>
          </w:p>
        </w:tc>
        <w:tc>
          <w:tcPr>
            <w:tcW w:w="993" w:type="dxa"/>
          </w:tcPr>
          <w:p w14:paraId="720ACC47" w14:textId="77777777" w:rsidR="00FF685A" w:rsidRDefault="00FF685A" w:rsidP="00A07095">
            <w:pPr>
              <w:pStyle w:val="NoSpacing"/>
            </w:pPr>
            <w:r>
              <w:t>09/2009</w:t>
            </w:r>
          </w:p>
        </w:tc>
        <w:tc>
          <w:tcPr>
            <w:tcW w:w="992" w:type="dxa"/>
          </w:tcPr>
          <w:p w14:paraId="234BBA9A" w14:textId="77777777" w:rsidR="00FF685A" w:rsidRDefault="00FF685A" w:rsidP="00A07095">
            <w:pPr>
              <w:pStyle w:val="NoSpacing"/>
            </w:pPr>
            <w:r>
              <w:t>06/2010</w:t>
            </w:r>
          </w:p>
        </w:tc>
        <w:tc>
          <w:tcPr>
            <w:tcW w:w="2072" w:type="dxa"/>
          </w:tcPr>
          <w:p w14:paraId="2B4274B2" w14:textId="77777777" w:rsidR="00FF685A" w:rsidRDefault="00FF685A" w:rsidP="00A07095">
            <w:pPr>
              <w:pStyle w:val="NoSpacing"/>
            </w:pPr>
            <w:r>
              <w:t>Held other office</w:t>
            </w:r>
            <w:r>
              <w:rPr>
                <w:rStyle w:val="FootnoteReference"/>
              </w:rPr>
              <w:footnoteReference w:id="100"/>
            </w:r>
          </w:p>
        </w:tc>
      </w:tr>
      <w:tr w:rsidR="00FF685A" w14:paraId="0A8A212B" w14:textId="77777777" w:rsidTr="00FF685A">
        <w:tc>
          <w:tcPr>
            <w:tcW w:w="2660" w:type="dxa"/>
            <w:tcBorders>
              <w:top w:val="nil"/>
            </w:tcBorders>
          </w:tcPr>
          <w:p w14:paraId="68A40EDF" w14:textId="77777777" w:rsidR="00FF685A" w:rsidRDefault="00FF685A" w:rsidP="00A07095">
            <w:pPr>
              <w:pStyle w:val="NoSpacing"/>
            </w:pPr>
          </w:p>
        </w:tc>
        <w:tc>
          <w:tcPr>
            <w:tcW w:w="2551" w:type="dxa"/>
            <w:tcBorders>
              <w:bottom w:val="nil"/>
            </w:tcBorders>
          </w:tcPr>
          <w:p w14:paraId="78DB6483" w14:textId="77777777" w:rsidR="00FF685A" w:rsidRDefault="00FF685A" w:rsidP="00A07095">
            <w:pPr>
              <w:pStyle w:val="NoSpacing"/>
            </w:pPr>
            <w:r>
              <w:t>Mr Naoto Kan</w:t>
            </w:r>
          </w:p>
        </w:tc>
        <w:tc>
          <w:tcPr>
            <w:tcW w:w="993" w:type="dxa"/>
          </w:tcPr>
          <w:p w14:paraId="13ABFE30" w14:textId="77777777" w:rsidR="00FF685A" w:rsidRDefault="00FF685A" w:rsidP="00A07095">
            <w:pPr>
              <w:pStyle w:val="NoSpacing"/>
            </w:pPr>
            <w:r>
              <w:t>06/2010</w:t>
            </w:r>
          </w:p>
        </w:tc>
        <w:tc>
          <w:tcPr>
            <w:tcW w:w="992" w:type="dxa"/>
          </w:tcPr>
          <w:p w14:paraId="48433002" w14:textId="77777777" w:rsidR="00FF685A" w:rsidRDefault="00FF685A" w:rsidP="00A07095">
            <w:pPr>
              <w:pStyle w:val="NoSpacing"/>
            </w:pPr>
            <w:r>
              <w:t>09/2010</w:t>
            </w:r>
          </w:p>
        </w:tc>
        <w:tc>
          <w:tcPr>
            <w:tcW w:w="2072" w:type="dxa"/>
          </w:tcPr>
          <w:p w14:paraId="54959BE2" w14:textId="77777777" w:rsidR="00FF685A" w:rsidRDefault="00FF685A" w:rsidP="00A07095">
            <w:pPr>
              <w:pStyle w:val="NoSpacing"/>
            </w:pPr>
            <w:r>
              <w:t>Held other office</w:t>
            </w:r>
            <w:r>
              <w:rPr>
                <w:rStyle w:val="FootnoteReference"/>
              </w:rPr>
              <w:footnoteReference w:id="101"/>
            </w:r>
          </w:p>
        </w:tc>
      </w:tr>
      <w:tr w:rsidR="00FF685A" w14:paraId="49D18C0B" w14:textId="77777777" w:rsidTr="00147E99">
        <w:tc>
          <w:tcPr>
            <w:tcW w:w="2660" w:type="dxa"/>
          </w:tcPr>
          <w:p w14:paraId="70272FF5" w14:textId="77777777" w:rsidR="00FF685A" w:rsidRDefault="00FF685A" w:rsidP="00A07095">
            <w:pPr>
              <w:pStyle w:val="NoSpacing"/>
            </w:pPr>
            <w:r>
              <w:t>Mr Yoshihiro Katayama</w:t>
            </w:r>
          </w:p>
        </w:tc>
        <w:tc>
          <w:tcPr>
            <w:tcW w:w="2551" w:type="dxa"/>
            <w:tcBorders>
              <w:top w:val="nil"/>
              <w:bottom w:val="single" w:sz="4" w:space="0" w:color="000000" w:themeColor="text1"/>
            </w:tcBorders>
          </w:tcPr>
          <w:p w14:paraId="2A67B2D5" w14:textId="77777777" w:rsidR="00FF685A" w:rsidRDefault="00FF685A" w:rsidP="00A07095">
            <w:pPr>
              <w:pStyle w:val="NoSpacing"/>
            </w:pPr>
          </w:p>
        </w:tc>
        <w:tc>
          <w:tcPr>
            <w:tcW w:w="993" w:type="dxa"/>
          </w:tcPr>
          <w:p w14:paraId="67444D59" w14:textId="77777777" w:rsidR="00FF685A" w:rsidRDefault="00FF685A" w:rsidP="00A07095">
            <w:pPr>
              <w:pStyle w:val="NoSpacing"/>
            </w:pPr>
            <w:r>
              <w:t>09/2010</w:t>
            </w:r>
          </w:p>
        </w:tc>
        <w:tc>
          <w:tcPr>
            <w:tcW w:w="992" w:type="dxa"/>
          </w:tcPr>
          <w:p w14:paraId="42584379" w14:textId="77777777" w:rsidR="00FF685A" w:rsidRDefault="00FF685A" w:rsidP="00A07095">
            <w:pPr>
              <w:pStyle w:val="NoSpacing"/>
            </w:pPr>
            <w:r>
              <w:t>09/2011</w:t>
            </w:r>
          </w:p>
        </w:tc>
        <w:tc>
          <w:tcPr>
            <w:tcW w:w="2072" w:type="dxa"/>
          </w:tcPr>
          <w:p w14:paraId="4F214143" w14:textId="77777777" w:rsidR="00FF685A" w:rsidRDefault="00FF685A" w:rsidP="00A07095">
            <w:pPr>
              <w:pStyle w:val="NoSpacing"/>
            </w:pPr>
            <w:r>
              <w:t>Held other office</w:t>
            </w:r>
            <w:r>
              <w:rPr>
                <w:rStyle w:val="FootnoteReference"/>
              </w:rPr>
              <w:footnoteReference w:id="102"/>
            </w:r>
          </w:p>
        </w:tc>
      </w:tr>
      <w:tr w:rsidR="00FF685A" w14:paraId="15E4DC36" w14:textId="77777777" w:rsidTr="00147E99">
        <w:tc>
          <w:tcPr>
            <w:tcW w:w="2660" w:type="dxa"/>
          </w:tcPr>
          <w:p w14:paraId="06F660A2" w14:textId="77777777" w:rsidR="00FF685A" w:rsidRDefault="00FF685A" w:rsidP="00A07095">
            <w:pPr>
              <w:pStyle w:val="NoSpacing"/>
            </w:pPr>
            <w:r>
              <w:t>Mr Tatsuo Kawabata</w:t>
            </w:r>
          </w:p>
        </w:tc>
        <w:tc>
          <w:tcPr>
            <w:tcW w:w="2551" w:type="dxa"/>
            <w:tcBorders>
              <w:bottom w:val="nil"/>
            </w:tcBorders>
          </w:tcPr>
          <w:p w14:paraId="34E5EA23" w14:textId="77777777" w:rsidR="00FF685A" w:rsidRDefault="00FF685A" w:rsidP="00A07095">
            <w:pPr>
              <w:pStyle w:val="NoSpacing"/>
            </w:pPr>
            <w:r>
              <w:t>Mr Yoshihiko Noda</w:t>
            </w:r>
          </w:p>
        </w:tc>
        <w:tc>
          <w:tcPr>
            <w:tcW w:w="993" w:type="dxa"/>
          </w:tcPr>
          <w:p w14:paraId="73541EE6" w14:textId="77777777" w:rsidR="00FF685A" w:rsidRDefault="00FF685A" w:rsidP="00A07095">
            <w:pPr>
              <w:pStyle w:val="NoSpacing"/>
            </w:pPr>
            <w:r>
              <w:t>09/2011</w:t>
            </w:r>
          </w:p>
        </w:tc>
        <w:tc>
          <w:tcPr>
            <w:tcW w:w="992" w:type="dxa"/>
          </w:tcPr>
          <w:p w14:paraId="7D3243C1" w14:textId="77777777" w:rsidR="00FF685A" w:rsidRDefault="00FF685A" w:rsidP="00A07095">
            <w:pPr>
              <w:pStyle w:val="NoSpacing"/>
            </w:pPr>
            <w:r>
              <w:rPr>
                <w:rFonts w:hint="eastAsia"/>
              </w:rPr>
              <w:t>09/2012</w:t>
            </w:r>
          </w:p>
        </w:tc>
        <w:tc>
          <w:tcPr>
            <w:tcW w:w="2072" w:type="dxa"/>
          </w:tcPr>
          <w:p w14:paraId="0C5E3A07" w14:textId="77777777" w:rsidR="00FF685A" w:rsidRDefault="00FF685A" w:rsidP="00A07095">
            <w:pPr>
              <w:pStyle w:val="NoSpacing"/>
            </w:pPr>
            <w:r>
              <w:t>Held other office</w:t>
            </w:r>
            <w:r w:rsidR="00147E99">
              <w:t>s</w:t>
            </w:r>
            <w:r>
              <w:rPr>
                <w:rStyle w:val="FootnoteReference"/>
              </w:rPr>
              <w:footnoteReference w:id="103"/>
            </w:r>
          </w:p>
        </w:tc>
      </w:tr>
      <w:tr w:rsidR="00FF685A" w14:paraId="356EAFBE" w14:textId="77777777" w:rsidTr="00147E99">
        <w:tc>
          <w:tcPr>
            <w:tcW w:w="2660" w:type="dxa"/>
          </w:tcPr>
          <w:p w14:paraId="07E0C9E7" w14:textId="77777777" w:rsidR="00FF685A" w:rsidRDefault="00FF685A" w:rsidP="00A07095">
            <w:pPr>
              <w:pStyle w:val="NoSpacing"/>
            </w:pPr>
            <w:r>
              <w:t xml:space="preserve">Mr </w:t>
            </w:r>
            <w:r>
              <w:rPr>
                <w:rFonts w:hint="eastAsia"/>
              </w:rPr>
              <w:t>Shinji</w:t>
            </w:r>
            <w:r>
              <w:t xml:space="preserve"> </w:t>
            </w:r>
            <w:r>
              <w:rPr>
                <w:rFonts w:hint="eastAsia"/>
              </w:rPr>
              <w:t>Tarutoko</w:t>
            </w:r>
          </w:p>
        </w:tc>
        <w:tc>
          <w:tcPr>
            <w:tcW w:w="2551" w:type="dxa"/>
            <w:tcBorders>
              <w:top w:val="nil"/>
            </w:tcBorders>
          </w:tcPr>
          <w:p w14:paraId="55AE64EE" w14:textId="77777777" w:rsidR="00FF685A" w:rsidRDefault="00FF685A" w:rsidP="00A07095">
            <w:pPr>
              <w:pStyle w:val="NoSpacing"/>
            </w:pPr>
          </w:p>
        </w:tc>
        <w:tc>
          <w:tcPr>
            <w:tcW w:w="993" w:type="dxa"/>
          </w:tcPr>
          <w:p w14:paraId="1E62D947" w14:textId="77777777" w:rsidR="00FF685A" w:rsidRDefault="00FF685A" w:rsidP="00A07095">
            <w:pPr>
              <w:pStyle w:val="NoSpacing"/>
            </w:pPr>
            <w:r>
              <w:rPr>
                <w:rFonts w:hint="eastAsia"/>
              </w:rPr>
              <w:t>10</w:t>
            </w:r>
            <w:r>
              <w:t>/201</w:t>
            </w:r>
            <w:r>
              <w:rPr>
                <w:rFonts w:hint="eastAsia"/>
              </w:rPr>
              <w:t>2</w:t>
            </w:r>
          </w:p>
        </w:tc>
        <w:tc>
          <w:tcPr>
            <w:tcW w:w="992" w:type="dxa"/>
          </w:tcPr>
          <w:p w14:paraId="513631F6" w14:textId="77777777" w:rsidR="00FF685A" w:rsidRDefault="005625B9" w:rsidP="00A07095">
            <w:pPr>
              <w:pStyle w:val="NoSpacing"/>
              <w:rPr>
                <w:lang w:eastAsia="ja-JP"/>
              </w:rPr>
            </w:pPr>
            <w:r>
              <w:rPr>
                <w:rFonts w:hint="eastAsia"/>
                <w:lang w:eastAsia="ja-JP"/>
              </w:rPr>
              <w:t>12/2012</w:t>
            </w:r>
          </w:p>
        </w:tc>
        <w:tc>
          <w:tcPr>
            <w:tcW w:w="2072" w:type="dxa"/>
          </w:tcPr>
          <w:p w14:paraId="27279AE9" w14:textId="77777777" w:rsidR="00FF685A" w:rsidRDefault="00FF685A" w:rsidP="00A07095">
            <w:pPr>
              <w:pStyle w:val="NoSpacing"/>
            </w:pPr>
            <w:r>
              <w:t>Held other office</w:t>
            </w:r>
            <w:r w:rsidR="00147E99">
              <w:t>s</w:t>
            </w:r>
            <w:r>
              <w:rPr>
                <w:rStyle w:val="FootnoteReference"/>
              </w:rPr>
              <w:footnoteReference w:id="104"/>
            </w:r>
          </w:p>
        </w:tc>
      </w:tr>
    </w:tbl>
    <w:p w14:paraId="7258D05B" w14:textId="77777777" w:rsidR="00590ECB" w:rsidRDefault="00590ECB" w:rsidP="00864652">
      <w:pPr>
        <w:rPr>
          <w:rFonts w:eastAsia="MS Mincho"/>
          <w:lang w:eastAsia="ja-JP"/>
        </w:rPr>
      </w:pPr>
    </w:p>
    <w:p w14:paraId="543E2613" w14:textId="77777777" w:rsidR="001D000D" w:rsidRDefault="001D000D" w:rsidP="00005916">
      <w:pPr>
        <w:pStyle w:val="Heading1"/>
        <w:rPr>
          <w:rFonts w:eastAsia="MS Mincho"/>
          <w:lang w:eastAsia="ja-JP"/>
        </w:rPr>
      </w:pPr>
      <w:r w:rsidRPr="006B711A">
        <w:rPr>
          <w:rFonts w:eastAsia="MS Mincho"/>
        </w:rPr>
        <w:br w:type="page"/>
      </w:r>
      <w:bookmarkStart w:id="86" w:name="_Toc349741408"/>
      <w:r w:rsidRPr="001D000D">
        <w:t xml:space="preserve">Appendix </w:t>
      </w:r>
      <w:r w:rsidR="00005916">
        <w:rPr>
          <w:rFonts w:eastAsia="MS Mincho" w:hint="eastAsia"/>
          <w:lang w:eastAsia="ja-JP"/>
        </w:rPr>
        <w:t>4</w:t>
      </w:r>
      <w:r w:rsidRPr="001D000D">
        <w:rPr>
          <w:rFonts w:eastAsia="MS Mincho" w:hint="eastAsia"/>
        </w:rPr>
        <w:tab/>
      </w:r>
      <w:r w:rsidRPr="001D000D">
        <w:t xml:space="preserve">The </w:t>
      </w:r>
      <w:r w:rsidR="002D2CA7">
        <w:rPr>
          <w:rFonts w:eastAsia="MS Mincho" w:hint="eastAsia"/>
          <w:lang w:eastAsia="ja-JP"/>
        </w:rPr>
        <w:t>s</w:t>
      </w:r>
      <w:r w:rsidRPr="001D000D">
        <w:t xml:space="preserve">taff and </w:t>
      </w:r>
      <w:r w:rsidR="002D2CA7">
        <w:rPr>
          <w:rFonts w:eastAsia="MS Mincho" w:hint="eastAsia"/>
          <w:lang w:eastAsia="ja-JP"/>
        </w:rPr>
        <w:t>b</w:t>
      </w:r>
      <w:r w:rsidRPr="001D000D">
        <w:t>udget of the Fai</w:t>
      </w:r>
      <w:r>
        <w:t>r Trade Commission</w:t>
      </w:r>
      <w:r w:rsidR="002D2CA7">
        <w:rPr>
          <w:rFonts w:eastAsia="MS Mincho" w:hint="eastAsia"/>
          <w:lang w:eastAsia="ja-JP"/>
        </w:rPr>
        <w:t>, Japan</w:t>
      </w:r>
      <w:r>
        <w:t xml:space="preserve"> (JFTC)</w:t>
      </w:r>
      <w:bookmarkEnd w:id="86"/>
    </w:p>
    <w:p w14:paraId="6F4779D8" w14:textId="77777777" w:rsidR="00005916" w:rsidRPr="00005916" w:rsidRDefault="00005916" w:rsidP="00005916">
      <w:pPr>
        <w:pStyle w:val="NoSpacing"/>
        <w:jc w:val="right"/>
        <w:rPr>
          <w:lang w:eastAsia="ja-JP"/>
        </w:rPr>
      </w:pPr>
      <w:r w:rsidRPr="001D000D">
        <w:rPr>
          <w:lang w:val="en-US" w:eastAsia="ja-JP"/>
        </w:rPr>
        <w:t>(based on the data from the JFTC)</w:t>
      </w:r>
    </w:p>
    <w:bookmarkStart w:id="87" w:name="_MON_1412026820"/>
    <w:bookmarkEnd w:id="87"/>
    <w:p w14:paraId="241A5698" w14:textId="77777777" w:rsidR="001D000D" w:rsidRDefault="00E97F38" w:rsidP="001D000D">
      <w:pPr>
        <w:pStyle w:val="ListParagraph"/>
        <w:adjustRightInd w:val="0"/>
        <w:snapToGrid w:val="0"/>
        <w:ind w:left="0"/>
        <w:jc w:val="center"/>
        <w:rPr>
          <w:szCs w:val="24"/>
        </w:rPr>
      </w:pPr>
      <w:r w:rsidRPr="00503C82">
        <w:rPr>
          <w:szCs w:val="24"/>
        </w:rPr>
        <w:object w:dxaOrig="8205" w:dyaOrig="12339" w14:anchorId="7B072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644.1pt" o:ole="">
            <v:imagedata r:id="rId11" o:title=""/>
          </v:shape>
          <o:OLEObject Type="Embed" ProgID="Excel.Sheet.12" ShapeID="_x0000_i1025" DrawAspect="Content" ObjectID="_1445105044" r:id="rId12"/>
        </w:object>
      </w:r>
    </w:p>
    <w:bookmarkStart w:id="88" w:name="_MON_1412027737"/>
    <w:bookmarkEnd w:id="88"/>
    <w:p w14:paraId="345A1C66" w14:textId="1B970062" w:rsidR="00050899" w:rsidRPr="00050899" w:rsidRDefault="00831AD5" w:rsidP="00ED1201">
      <w:pPr>
        <w:pStyle w:val="Heading1"/>
      </w:pPr>
      <w:r w:rsidRPr="00503C82">
        <w:object w:dxaOrig="10594" w:dyaOrig="13904" w14:anchorId="5CAB10A5">
          <v:shape id="_x0000_i1026" type="#_x0000_t75" style="width:437pt;height:714.65pt" o:ole="">
            <v:imagedata r:id="rId13" o:title=""/>
          </v:shape>
          <o:OLEObject Type="Embed" ProgID="Excel.Sheet.12" ShapeID="_x0000_i1026" DrawAspect="Content" ObjectID="_1445105045" r:id="rId14"/>
        </w:object>
      </w:r>
      <w:bookmarkStart w:id="89" w:name="_Toc349741409"/>
      <w:r w:rsidR="00050899" w:rsidRPr="00EE4318">
        <w:t xml:space="preserve">Appendix </w:t>
      </w:r>
      <w:r w:rsidR="00005916">
        <w:rPr>
          <w:rFonts w:eastAsia="MS Mincho" w:hint="eastAsia"/>
          <w:lang w:eastAsia="ja-JP"/>
        </w:rPr>
        <w:t>5</w:t>
      </w:r>
      <w:r w:rsidR="00726233">
        <w:rPr>
          <w:rFonts w:eastAsia="MS Mincho" w:hint="eastAsia"/>
          <w:lang w:eastAsia="ja-JP"/>
        </w:rPr>
        <w:tab/>
      </w:r>
      <w:r w:rsidR="00050899" w:rsidRPr="00050899">
        <w:rPr>
          <w:rFonts w:hint="eastAsia"/>
        </w:rPr>
        <w:t>T</w:t>
      </w:r>
      <w:r w:rsidR="00050899" w:rsidRPr="00050899">
        <w:t>h</w:t>
      </w:r>
      <w:r w:rsidR="00050899" w:rsidRPr="00050899">
        <w:rPr>
          <w:rFonts w:hint="eastAsia"/>
        </w:rPr>
        <w:t xml:space="preserve">e </w:t>
      </w:r>
      <w:r w:rsidR="002D2CA7">
        <w:rPr>
          <w:rFonts w:eastAsia="MS Mincho" w:hint="eastAsia"/>
          <w:lang w:eastAsia="ja-JP"/>
        </w:rPr>
        <w:t>f</w:t>
      </w:r>
      <w:r w:rsidR="00050899" w:rsidRPr="00050899">
        <w:t xml:space="preserve">low of the </w:t>
      </w:r>
      <w:r w:rsidR="002D2CA7">
        <w:rPr>
          <w:rFonts w:eastAsia="MS Mincho" w:hint="eastAsia"/>
          <w:lang w:eastAsia="ja-JP"/>
        </w:rPr>
        <w:t>a</w:t>
      </w:r>
      <w:r w:rsidR="00050899" w:rsidRPr="00050899">
        <w:t xml:space="preserve">ntimonopoly </w:t>
      </w:r>
      <w:r w:rsidR="002D2CA7">
        <w:rPr>
          <w:rFonts w:eastAsia="MS Mincho" w:hint="eastAsia"/>
          <w:lang w:eastAsia="ja-JP"/>
        </w:rPr>
        <w:t>c</w:t>
      </w:r>
      <w:r w:rsidR="00050899" w:rsidRPr="00050899">
        <w:t xml:space="preserve">ase </w:t>
      </w:r>
      <w:r w:rsidR="002D2CA7">
        <w:rPr>
          <w:rFonts w:eastAsia="MS Mincho" w:hint="eastAsia"/>
          <w:lang w:eastAsia="ja-JP"/>
        </w:rPr>
        <w:t>p</w:t>
      </w:r>
      <w:r w:rsidR="00050899" w:rsidRPr="00050899">
        <w:t>roceeding</w:t>
      </w:r>
      <w:bookmarkEnd w:id="89"/>
    </w:p>
    <w:p w14:paraId="000049A7" w14:textId="77777777" w:rsidR="00050899" w:rsidRPr="00050899" w:rsidRDefault="00726233" w:rsidP="00050D4B">
      <w:pPr>
        <w:pStyle w:val="Heading2"/>
      </w:pPr>
      <w:bookmarkStart w:id="90" w:name="_Toc349741410"/>
      <w:r>
        <w:rPr>
          <w:rFonts w:eastAsia="MS Mincho" w:hint="eastAsia"/>
          <w:lang w:eastAsia="ja-JP"/>
        </w:rPr>
        <w:t>1.</w:t>
      </w:r>
      <w:r>
        <w:rPr>
          <w:rFonts w:eastAsia="MS Mincho" w:hint="eastAsia"/>
          <w:lang w:eastAsia="ja-JP"/>
        </w:rPr>
        <w:tab/>
      </w:r>
      <w:r w:rsidR="00050899" w:rsidRPr="00050899">
        <w:t>Before January 2006 (based on Schaede 2000 p.114)</w:t>
      </w:r>
      <w:bookmarkEnd w:id="90"/>
    </w:p>
    <w:p w14:paraId="261641EB" w14:textId="77777777" w:rsidR="00726233" w:rsidRDefault="002172E5" w:rsidP="00050899">
      <w:pPr>
        <w:pStyle w:val="NoSpacing"/>
        <w:rPr>
          <w:rFonts w:eastAsia="MS Mincho"/>
          <w:lang w:eastAsia="ja-JP"/>
        </w:rPr>
      </w:pPr>
      <w:r>
        <w:rPr>
          <w:rFonts w:eastAsia="MS Mincho"/>
          <w:noProof/>
          <w:lang w:eastAsia="ja-JP"/>
        </w:rPr>
        <mc:AlternateContent>
          <mc:Choice Requires="wps">
            <w:drawing>
              <wp:anchor distT="0" distB="0" distL="114300" distR="114300" simplePos="0" relativeHeight="251730944" behindDoc="0" locked="0" layoutInCell="1" allowOverlap="1" wp14:anchorId="29AA73F7" wp14:editId="0B2FA566">
                <wp:simplePos x="0" y="0"/>
                <wp:positionH relativeFrom="column">
                  <wp:posOffset>-373380</wp:posOffset>
                </wp:positionH>
                <wp:positionV relativeFrom="paragraph">
                  <wp:posOffset>3948430</wp:posOffset>
                </wp:positionV>
                <wp:extent cx="807720" cy="447040"/>
                <wp:effectExtent l="0" t="0" r="11430" b="10160"/>
                <wp:wrapNone/>
                <wp:docPr id="14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47040"/>
                        </a:xfrm>
                        <a:prstGeom prst="rect">
                          <a:avLst/>
                        </a:prstGeom>
                        <a:solidFill>
                          <a:srgbClr val="FFFFFF"/>
                        </a:solidFill>
                        <a:ln w="9525">
                          <a:solidFill>
                            <a:schemeClr val="tx1">
                              <a:lumMod val="100000"/>
                              <a:lumOff val="0"/>
                            </a:schemeClr>
                          </a:solidFill>
                          <a:prstDash val="sysDot"/>
                          <a:miter lim="800000"/>
                          <a:headEnd/>
                          <a:tailEnd/>
                        </a:ln>
                      </wps:spPr>
                      <wps:txbx>
                        <w:txbxContent>
                          <w:p w14:paraId="4A75551F" w14:textId="77777777" w:rsidR="00AC34E6" w:rsidRDefault="00AC34E6" w:rsidP="00726233">
                            <w:pPr>
                              <w:spacing w:line="240" w:lineRule="auto"/>
                            </w:pPr>
                            <w:r>
                              <w:rPr>
                                <w:rFonts w:hint="eastAsia"/>
                              </w:rPr>
                              <w:t>Complaint</w:t>
                            </w:r>
                          </w:p>
                          <w:p w14:paraId="124F668C" w14:textId="77777777" w:rsidR="00AC34E6" w:rsidRDefault="00AC34E6" w:rsidP="00726233">
                            <w:pPr>
                              <w:spacing w:line="240" w:lineRule="auto"/>
                            </w:pPr>
                            <w:r>
                              <w:rPr>
                                <w:rFonts w:hint="eastAsia"/>
                              </w:rPr>
                              <w:t>(</w:t>
                            </w:r>
                            <w:r w:rsidRPr="00FB0F09">
                              <w:rPr>
                                <w:rFonts w:hint="eastAsia"/>
                                <w:i/>
                              </w:rPr>
                              <w:t>Shin</w:t>
                            </w:r>
                            <w:r>
                              <w:rPr>
                                <w:rFonts w:hint="eastAsia"/>
                                <w:i/>
                              </w:rPr>
                              <w:t>pan</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70" type="#_x0000_t202" style="position:absolute;margin-left:-29.4pt;margin-top:310.9pt;width:63.6pt;height:35.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" strokecolor="black [3213]">
                <v:stroke dashstyle="1 1"/>
                <v:textbox inset="5.85pt,.7pt,5.85pt,.7pt">
                  <w:txbxContent>
                    <w:p w14:paraId="4A75551F" w14:textId="77777777" w:rsidR="00AC34E6" w:rsidRDefault="00AC34E6" w:rsidP="00726233">
                      <w:pPr>
                        <w:spacing w:line="240" w:lineRule="auto"/>
                      </w:pPr>
                      <w:r>
                        <w:rPr>
                          <w:rFonts w:hint="eastAsia"/>
                        </w:rPr>
                        <w:t>Complaint</w:t>
                      </w:r>
                    </w:p>
                    <w:p w14:paraId="124F668C" w14:textId="77777777" w:rsidR="00AC34E6" w:rsidRDefault="00AC34E6" w:rsidP="00726233">
                      <w:pPr>
                        <w:spacing w:line="240" w:lineRule="auto"/>
                      </w:pPr>
                      <w:r>
                        <w:rPr>
                          <w:rFonts w:hint="eastAsia"/>
                        </w:rPr>
                        <w:t>(</w:t>
                      </w:r>
                      <w:r w:rsidRPr="00FB0F09">
                        <w:rPr>
                          <w:rFonts w:hint="eastAsia"/>
                          <w:i/>
                        </w:rPr>
                        <w:t>Shin</w:t>
                      </w:r>
                      <w:r>
                        <w:rPr>
                          <w:rFonts w:hint="eastAsia"/>
                          <w:i/>
                        </w:rPr>
                        <w:t>pan</w:t>
                      </w:r>
                      <w:r>
                        <w:rPr>
                          <w:rFonts w:hint="eastAsia"/>
                        </w:rPr>
                        <w:t>)</w:t>
                      </w:r>
                    </w:p>
                  </w:txbxContent>
                </v:textbox>
              </v:shape>
            </w:pict>
          </mc:Fallback>
        </mc:AlternateContent>
      </w:r>
      <w:r>
        <w:rPr>
          <w:rFonts w:eastAsia="MS Mincho"/>
          <w:noProof/>
          <w:lang w:eastAsia="ja-JP"/>
        </w:rPr>
        <mc:AlternateContent>
          <mc:Choice Requires="wps">
            <w:drawing>
              <wp:anchor distT="0" distB="0" distL="114300" distR="114300" simplePos="0" relativeHeight="251729920" behindDoc="0" locked="0" layoutInCell="1" allowOverlap="1" wp14:anchorId="3DE8E54A" wp14:editId="2AB11A4E">
                <wp:simplePos x="0" y="0"/>
                <wp:positionH relativeFrom="column">
                  <wp:posOffset>2767330</wp:posOffset>
                </wp:positionH>
                <wp:positionV relativeFrom="paragraph">
                  <wp:posOffset>981075</wp:posOffset>
                </wp:positionV>
                <wp:extent cx="635" cy="144145"/>
                <wp:effectExtent l="0" t="0" r="37465" b="27305"/>
                <wp:wrapNone/>
                <wp:docPr id="143"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32FB4" id="AutoShape 300" o:spid="_x0000_s1026" type="#_x0000_t32" style="position:absolute;margin-left:217.9pt;margin-top:77.25pt;width:.05pt;height:1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"/>
            </w:pict>
          </mc:Fallback>
        </mc:AlternateContent>
      </w:r>
      <w:r>
        <w:rPr>
          <w:rFonts w:eastAsia="MS Mincho"/>
          <w:noProof/>
          <w:lang w:eastAsia="ja-JP"/>
        </w:rPr>
        <mc:AlternateContent>
          <mc:Choice Requires="wps">
            <w:drawing>
              <wp:anchor distT="0" distB="0" distL="114300" distR="114300" simplePos="0" relativeHeight="251728896" behindDoc="0" locked="0" layoutInCell="1" allowOverlap="1" wp14:anchorId="674AF4AE" wp14:editId="4199A8F4">
                <wp:simplePos x="0" y="0"/>
                <wp:positionH relativeFrom="column">
                  <wp:posOffset>779145</wp:posOffset>
                </wp:positionH>
                <wp:positionV relativeFrom="paragraph">
                  <wp:posOffset>6188075</wp:posOffset>
                </wp:positionV>
                <wp:extent cx="1272540" cy="243205"/>
                <wp:effectExtent l="0" t="0" r="22860" b="23495"/>
                <wp:wrapNone/>
                <wp:docPr id="14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43205"/>
                        </a:xfrm>
                        <a:prstGeom prst="rect">
                          <a:avLst/>
                        </a:prstGeom>
                        <a:solidFill>
                          <a:srgbClr val="FFFFFF"/>
                        </a:solidFill>
                        <a:ln w="9525" cap="rnd">
                          <a:solidFill>
                            <a:schemeClr val="tx1">
                              <a:lumMod val="100000"/>
                              <a:lumOff val="0"/>
                            </a:schemeClr>
                          </a:solidFill>
                          <a:prstDash val="sysDot"/>
                          <a:miter lim="800000"/>
                          <a:headEnd/>
                          <a:tailEnd/>
                        </a:ln>
                      </wps:spPr>
                      <wps:txbx>
                        <w:txbxContent>
                          <w:p w14:paraId="1127C5E3" w14:textId="77777777" w:rsidR="00AC34E6" w:rsidRDefault="00AC34E6" w:rsidP="00726233">
                            <w:pPr>
                              <w:spacing w:line="240" w:lineRule="auto"/>
                            </w:pPr>
                            <w:r>
                              <w:t>Tokyo High Court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71" type="#_x0000_t202" style="position:absolute;margin-left:61.35pt;margin-top:487.25pt;width:100.2pt;height:19.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" strokecolor="black [3213]">
                <v:stroke dashstyle="1 1" endcap="round"/>
                <v:textbox inset="5.85pt,.7pt,5.85pt,.7pt">
                  <w:txbxContent>
                    <w:p w14:paraId="1127C5E3" w14:textId="77777777" w:rsidR="00AC34E6" w:rsidRDefault="00AC34E6" w:rsidP="00726233">
                      <w:pPr>
                        <w:spacing w:line="240" w:lineRule="auto"/>
                      </w:pPr>
                      <w:r>
                        <w:t>Tokyo High Court</w:t>
                      </w:r>
                    </w:p>
                  </w:txbxContent>
                </v:textbox>
              </v:shape>
            </w:pict>
          </mc:Fallback>
        </mc:AlternateContent>
      </w:r>
      <w:r>
        <w:rPr>
          <w:rFonts w:eastAsia="MS Mincho"/>
          <w:noProof/>
          <w:lang w:eastAsia="ja-JP"/>
        </w:rPr>
        <mc:AlternateContent>
          <mc:Choice Requires="wps">
            <w:drawing>
              <wp:anchor distT="0" distB="0" distL="114300" distR="114300" simplePos="0" relativeHeight="251727872" behindDoc="0" locked="0" layoutInCell="1" allowOverlap="1" wp14:anchorId="3EF36824" wp14:editId="1AEEFC34">
                <wp:simplePos x="0" y="0"/>
                <wp:positionH relativeFrom="column">
                  <wp:posOffset>1967230</wp:posOffset>
                </wp:positionH>
                <wp:positionV relativeFrom="paragraph">
                  <wp:posOffset>1747520</wp:posOffset>
                </wp:positionV>
                <wp:extent cx="635" cy="236855"/>
                <wp:effectExtent l="76200" t="0" r="75565" b="48895"/>
                <wp:wrapNone/>
                <wp:docPr id="141"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015B4" id="AutoShape 298" o:spid="_x0000_s1026" type="#_x0000_t32" style="position:absolute;margin-left:154.9pt;margin-top:137.6pt;width:.05pt;height:18.6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">
                <v:stroke endarrow="block"/>
              </v:shape>
            </w:pict>
          </mc:Fallback>
        </mc:AlternateContent>
      </w:r>
      <w:r>
        <w:rPr>
          <w:rFonts w:eastAsia="MS Mincho"/>
          <w:noProof/>
          <w:lang w:eastAsia="ja-JP"/>
        </w:rPr>
        <mc:AlternateContent>
          <mc:Choice Requires="wps">
            <w:drawing>
              <wp:anchor distT="0" distB="0" distL="114295" distR="114295" simplePos="0" relativeHeight="251726848" behindDoc="0" locked="0" layoutInCell="1" allowOverlap="1" wp14:anchorId="5D4E2989" wp14:editId="1A9C5406">
                <wp:simplePos x="0" y="0"/>
                <wp:positionH relativeFrom="column">
                  <wp:posOffset>1510029</wp:posOffset>
                </wp:positionH>
                <wp:positionV relativeFrom="paragraph">
                  <wp:posOffset>1747520</wp:posOffset>
                </wp:positionV>
                <wp:extent cx="0" cy="951230"/>
                <wp:effectExtent l="76200" t="0" r="76200" b="58420"/>
                <wp:wrapNone/>
                <wp:docPr id="140"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B455F" id="AutoShape 297" o:spid="_x0000_s1026" type="#_x0000_t32" style="position:absolute;margin-left:118.9pt;margin-top:137.6pt;width:0;height:74.9pt;z-index:2517268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">
                <v:stroke endarrow="block"/>
              </v:shape>
            </w:pict>
          </mc:Fallback>
        </mc:AlternateContent>
      </w:r>
      <w:r>
        <w:rPr>
          <w:rFonts w:eastAsia="MS Mincho"/>
          <w:noProof/>
          <w:lang w:eastAsia="ja-JP"/>
        </w:rPr>
        <mc:AlternateContent>
          <mc:Choice Requires="wps">
            <w:drawing>
              <wp:anchor distT="0" distB="0" distL="114300" distR="114300" simplePos="0" relativeHeight="251725824" behindDoc="0" locked="0" layoutInCell="1" allowOverlap="1" wp14:anchorId="7A502931" wp14:editId="704933C9">
                <wp:simplePos x="0" y="0"/>
                <wp:positionH relativeFrom="column">
                  <wp:posOffset>2092960</wp:posOffset>
                </wp:positionH>
                <wp:positionV relativeFrom="paragraph">
                  <wp:posOffset>4058285</wp:posOffset>
                </wp:positionV>
                <wp:extent cx="548640" cy="436880"/>
                <wp:effectExtent l="38100" t="0" r="22860" b="58420"/>
                <wp:wrapNone/>
                <wp:docPr id="139"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8D213" id="AutoShape 296" o:spid="_x0000_s1026" type="#_x0000_t32" style="position:absolute;margin-left:164.8pt;margin-top:319.55pt;width:43.2pt;height:34.4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">
                <v:stroke endarrow="block"/>
              </v:shape>
            </w:pict>
          </mc:Fallback>
        </mc:AlternateContent>
      </w:r>
      <w:r>
        <w:rPr>
          <w:rFonts w:eastAsia="MS Mincho"/>
          <w:noProof/>
          <w:lang w:eastAsia="ja-JP"/>
        </w:rPr>
        <mc:AlternateContent>
          <mc:Choice Requires="wps">
            <w:drawing>
              <wp:anchor distT="0" distB="0" distL="114300" distR="114300" simplePos="0" relativeHeight="251724800" behindDoc="0" locked="0" layoutInCell="1" allowOverlap="1" wp14:anchorId="435490F1" wp14:editId="1E494F2F">
                <wp:simplePos x="0" y="0"/>
                <wp:positionH relativeFrom="column">
                  <wp:posOffset>1852295</wp:posOffset>
                </wp:positionH>
                <wp:positionV relativeFrom="paragraph">
                  <wp:posOffset>4958080</wp:posOffset>
                </wp:positionV>
                <wp:extent cx="1270" cy="229870"/>
                <wp:effectExtent l="76200" t="0" r="74930" b="55880"/>
                <wp:wrapNone/>
                <wp:docPr id="138"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F4DE0" id="AutoShape 295" o:spid="_x0000_s1026" type="#_x0000_t32" style="position:absolute;margin-left:145.85pt;margin-top:390.4pt;width:.1pt;height:18.1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">
                <v:stroke endarrow="block"/>
              </v:shape>
            </w:pict>
          </mc:Fallback>
        </mc:AlternateContent>
      </w:r>
      <w:r>
        <w:rPr>
          <w:rFonts w:eastAsia="MS Mincho"/>
          <w:noProof/>
          <w:lang w:eastAsia="ja-JP"/>
        </w:rPr>
        <mc:AlternateContent>
          <mc:Choice Requires="wps">
            <w:drawing>
              <wp:anchor distT="0" distB="0" distL="114300" distR="114300" simplePos="0" relativeHeight="251723776" behindDoc="0" locked="0" layoutInCell="1" allowOverlap="1" wp14:anchorId="7D6F8B8C" wp14:editId="3B497305">
                <wp:simplePos x="0" y="0"/>
                <wp:positionH relativeFrom="column">
                  <wp:posOffset>1852295</wp:posOffset>
                </wp:positionH>
                <wp:positionV relativeFrom="paragraph">
                  <wp:posOffset>3750945</wp:posOffset>
                </wp:positionV>
                <wp:extent cx="1270" cy="744220"/>
                <wp:effectExtent l="76200" t="0" r="74930" b="55880"/>
                <wp:wrapNone/>
                <wp:docPr id="137"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44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0AB88" id="AutoShape 294" o:spid="_x0000_s1026" type="#_x0000_t32" style="position:absolute;margin-left:145.85pt;margin-top:295.35pt;width:.1pt;height:5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">
                <v:stroke endarrow="block"/>
              </v:shape>
            </w:pict>
          </mc:Fallback>
        </mc:AlternateContent>
      </w:r>
      <w:r>
        <w:rPr>
          <w:rFonts w:eastAsia="MS Mincho"/>
          <w:noProof/>
          <w:lang w:eastAsia="ja-JP"/>
        </w:rPr>
        <mc:AlternateContent>
          <mc:Choice Requires="wps">
            <w:drawing>
              <wp:anchor distT="0" distB="0" distL="114300" distR="114300" simplePos="0" relativeHeight="251722752" behindDoc="0" locked="0" layoutInCell="1" allowOverlap="1" wp14:anchorId="0BCE55B8" wp14:editId="05BB3197">
                <wp:simplePos x="0" y="0"/>
                <wp:positionH relativeFrom="column">
                  <wp:posOffset>778510</wp:posOffset>
                </wp:positionH>
                <wp:positionV relativeFrom="paragraph">
                  <wp:posOffset>3750945</wp:posOffset>
                </wp:positionV>
                <wp:extent cx="635" cy="1437005"/>
                <wp:effectExtent l="76200" t="0" r="75565" b="48895"/>
                <wp:wrapNone/>
                <wp:docPr id="136"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9B78C" id="AutoShape 293" o:spid="_x0000_s1026" type="#_x0000_t32" style="position:absolute;margin-left:61.3pt;margin-top:295.35pt;width:.05pt;height:11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jkOQIAAGM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">
                <v:stroke endarrow="block"/>
              </v:shape>
            </w:pict>
          </mc:Fallback>
        </mc:AlternateContent>
      </w:r>
      <w:r>
        <w:rPr>
          <w:rFonts w:eastAsia="MS Mincho"/>
          <w:noProof/>
          <w:lang w:eastAsia="ja-JP"/>
        </w:rPr>
        <mc:AlternateContent>
          <mc:Choice Requires="wps">
            <w:drawing>
              <wp:anchor distT="0" distB="0" distL="114300" distR="114300" simplePos="0" relativeHeight="251721728" behindDoc="0" locked="0" layoutInCell="1" allowOverlap="1" wp14:anchorId="796A14BD" wp14:editId="75AAA146">
                <wp:simplePos x="0" y="0"/>
                <wp:positionH relativeFrom="column">
                  <wp:posOffset>3915410</wp:posOffset>
                </wp:positionH>
                <wp:positionV relativeFrom="paragraph">
                  <wp:posOffset>6419215</wp:posOffset>
                </wp:positionV>
                <wp:extent cx="635" cy="196215"/>
                <wp:effectExtent l="76200" t="0" r="75565" b="51435"/>
                <wp:wrapNone/>
                <wp:docPr id="135"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69822" id="AutoShape 292" o:spid="_x0000_s1026" type="#_x0000_t32" style="position:absolute;margin-left:308.3pt;margin-top:505.45pt;width:.05pt;height:15.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">
                <v:stroke endarrow="block"/>
              </v:shape>
            </w:pict>
          </mc:Fallback>
        </mc:AlternateContent>
      </w:r>
      <w:r>
        <w:rPr>
          <w:rFonts w:eastAsia="MS Mincho"/>
          <w:noProof/>
          <w:lang w:eastAsia="ja-JP"/>
        </w:rPr>
        <mc:AlternateContent>
          <mc:Choice Requires="wps">
            <w:drawing>
              <wp:anchor distT="0" distB="0" distL="114300" distR="114300" simplePos="0" relativeHeight="251720704" behindDoc="0" locked="0" layoutInCell="1" allowOverlap="1" wp14:anchorId="2DF9FC22" wp14:editId="6A4A6802">
                <wp:simplePos x="0" y="0"/>
                <wp:positionH relativeFrom="column">
                  <wp:posOffset>4890135</wp:posOffset>
                </wp:positionH>
                <wp:positionV relativeFrom="paragraph">
                  <wp:posOffset>6419215</wp:posOffset>
                </wp:positionV>
                <wp:extent cx="635" cy="196215"/>
                <wp:effectExtent l="76200" t="0" r="75565" b="51435"/>
                <wp:wrapNone/>
                <wp:docPr id="134"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FDD5E" id="AutoShape 291" o:spid="_x0000_s1026" type="#_x0000_t32" style="position:absolute;margin-left:385.05pt;margin-top:505.45pt;width:.05pt;height:15.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zqNwIAAGI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">
                <v:stroke endarrow="block"/>
              </v:shape>
            </w:pict>
          </mc:Fallback>
        </mc:AlternateContent>
      </w:r>
      <w:r>
        <w:rPr>
          <w:rFonts w:eastAsia="MS Mincho"/>
          <w:noProof/>
          <w:lang w:eastAsia="ja-JP"/>
        </w:rPr>
        <mc:AlternateContent>
          <mc:Choice Requires="wps">
            <w:drawing>
              <wp:anchor distT="0" distB="0" distL="114300" distR="114300" simplePos="0" relativeHeight="251719680" behindDoc="0" locked="0" layoutInCell="1" allowOverlap="1" wp14:anchorId="438515C1" wp14:editId="63A05EB5">
                <wp:simplePos x="0" y="0"/>
                <wp:positionH relativeFrom="column">
                  <wp:posOffset>2703830</wp:posOffset>
                </wp:positionH>
                <wp:positionV relativeFrom="paragraph">
                  <wp:posOffset>6419215</wp:posOffset>
                </wp:positionV>
                <wp:extent cx="635" cy="196215"/>
                <wp:effectExtent l="76200" t="0" r="75565" b="51435"/>
                <wp:wrapNone/>
                <wp:docPr id="133"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465D8" id="AutoShape 290" o:spid="_x0000_s1026" type="#_x0000_t32" style="position:absolute;margin-left:212.9pt;margin-top:505.45pt;width:.05pt;height:15.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">
                <v:stroke endarrow="block"/>
              </v:shape>
            </w:pict>
          </mc:Fallback>
        </mc:AlternateContent>
      </w:r>
      <w:r>
        <w:rPr>
          <w:rFonts w:eastAsia="MS Mincho"/>
          <w:noProof/>
          <w:lang w:eastAsia="ja-JP"/>
        </w:rPr>
        <mc:AlternateContent>
          <mc:Choice Requires="wps">
            <w:drawing>
              <wp:anchor distT="0" distB="0" distL="114300" distR="114300" simplePos="0" relativeHeight="251718656" behindDoc="0" locked="0" layoutInCell="1" allowOverlap="1" wp14:anchorId="1A5E3E8A" wp14:editId="2C92067B">
                <wp:simplePos x="0" y="0"/>
                <wp:positionH relativeFrom="column">
                  <wp:posOffset>3030220</wp:posOffset>
                </wp:positionH>
                <wp:positionV relativeFrom="paragraph">
                  <wp:posOffset>4958080</wp:posOffset>
                </wp:positionV>
                <wp:extent cx="635" cy="998220"/>
                <wp:effectExtent l="76200" t="0" r="75565" b="49530"/>
                <wp:wrapNone/>
                <wp:docPr id="132"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8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A01D8" id="AutoShape 289" o:spid="_x0000_s1026" type="#_x0000_t32" style="position:absolute;margin-left:238.6pt;margin-top:390.4pt;width:.05pt;height:7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WESOQIAAGI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">
                <v:stroke endarrow="block"/>
              </v:shape>
            </w:pict>
          </mc:Fallback>
        </mc:AlternateContent>
      </w:r>
      <w:r>
        <w:rPr>
          <w:rFonts w:eastAsia="MS Mincho"/>
          <w:noProof/>
          <w:lang w:eastAsia="ja-JP"/>
        </w:rPr>
        <mc:AlternateContent>
          <mc:Choice Requires="wps">
            <w:drawing>
              <wp:anchor distT="0" distB="0" distL="114300" distR="114300" simplePos="0" relativeHeight="251717632" behindDoc="0" locked="0" layoutInCell="1" allowOverlap="1" wp14:anchorId="790F680F" wp14:editId="5F17FD4F">
                <wp:simplePos x="0" y="0"/>
                <wp:positionH relativeFrom="column">
                  <wp:posOffset>2051685</wp:posOffset>
                </wp:positionH>
                <wp:positionV relativeFrom="paragraph">
                  <wp:posOffset>4958080</wp:posOffset>
                </wp:positionV>
                <wp:extent cx="652145" cy="366395"/>
                <wp:effectExtent l="38100" t="0" r="14605" b="52705"/>
                <wp:wrapNone/>
                <wp:docPr id="131"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2145"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7DD2" id="AutoShape 288" o:spid="_x0000_s1026" type="#_x0000_t32" style="position:absolute;margin-left:161.55pt;margin-top:390.4pt;width:51.35pt;height:28.8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">
                <v:stroke endarrow="block"/>
              </v:shape>
            </w:pict>
          </mc:Fallback>
        </mc:AlternateContent>
      </w:r>
      <w:r>
        <w:rPr>
          <w:rFonts w:eastAsia="MS Mincho"/>
          <w:noProof/>
          <w:lang w:eastAsia="ja-JP"/>
        </w:rPr>
        <mc:AlternateContent>
          <mc:Choice Requires="wps">
            <w:drawing>
              <wp:anchor distT="0" distB="0" distL="114300" distR="114300" simplePos="0" relativeHeight="251716608" behindDoc="0" locked="0" layoutInCell="1" allowOverlap="1" wp14:anchorId="365DB543" wp14:editId="43FFA4F4">
                <wp:simplePos x="0" y="0"/>
                <wp:positionH relativeFrom="column">
                  <wp:posOffset>1510030</wp:posOffset>
                </wp:positionH>
                <wp:positionV relativeFrom="paragraph">
                  <wp:posOffset>2939415</wp:posOffset>
                </wp:positionV>
                <wp:extent cx="635" cy="306070"/>
                <wp:effectExtent l="76200" t="0" r="75565" b="55880"/>
                <wp:wrapNone/>
                <wp:docPr id="130"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D0A8D" id="AutoShape 287" o:spid="_x0000_s1026" type="#_x0000_t32" style="position:absolute;margin-left:118.9pt;margin-top:231.45pt;width:.05pt;height:24.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QlOAIAAGI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">
                <v:stroke endarrow="block"/>
              </v:shape>
            </w:pict>
          </mc:Fallback>
        </mc:AlternateContent>
      </w:r>
      <w:r>
        <w:rPr>
          <w:rFonts w:eastAsia="MS Mincho"/>
          <w:noProof/>
          <w:lang w:eastAsia="ja-JP"/>
        </w:rPr>
        <mc:AlternateContent>
          <mc:Choice Requires="wps">
            <w:drawing>
              <wp:anchor distT="0" distB="0" distL="114295" distR="114295" simplePos="0" relativeHeight="251715584" behindDoc="0" locked="0" layoutInCell="1" allowOverlap="1" wp14:anchorId="416807C5" wp14:editId="4EFEF652">
                <wp:simplePos x="0" y="0"/>
                <wp:positionH relativeFrom="column">
                  <wp:posOffset>4890134</wp:posOffset>
                </wp:positionH>
                <wp:positionV relativeFrom="paragraph">
                  <wp:posOffset>1125220</wp:posOffset>
                </wp:positionV>
                <wp:extent cx="0" cy="159385"/>
                <wp:effectExtent l="76200" t="0" r="57150" b="50165"/>
                <wp:wrapNone/>
                <wp:docPr id="129"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EBC9D" id="AutoShape 286" o:spid="_x0000_s1026" type="#_x0000_t32" style="position:absolute;margin-left:385.05pt;margin-top:88.6pt;width:0;height:12.55pt;z-index:2517155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NAIAAGA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">
                <v:stroke endarrow="block"/>
              </v:shape>
            </w:pict>
          </mc:Fallback>
        </mc:AlternateContent>
      </w:r>
      <w:r>
        <w:rPr>
          <w:rFonts w:eastAsia="MS Mincho"/>
          <w:noProof/>
          <w:lang w:eastAsia="ja-JP"/>
        </w:rPr>
        <mc:AlternateContent>
          <mc:Choice Requires="wps">
            <w:drawing>
              <wp:anchor distT="0" distB="0" distL="114295" distR="114295" simplePos="0" relativeHeight="251714560" behindDoc="0" locked="0" layoutInCell="1" allowOverlap="1" wp14:anchorId="263C74E4" wp14:editId="785D2524">
                <wp:simplePos x="0" y="0"/>
                <wp:positionH relativeFrom="column">
                  <wp:posOffset>3303269</wp:posOffset>
                </wp:positionH>
                <wp:positionV relativeFrom="paragraph">
                  <wp:posOffset>1125220</wp:posOffset>
                </wp:positionV>
                <wp:extent cx="0" cy="159385"/>
                <wp:effectExtent l="76200" t="0" r="57150" b="50165"/>
                <wp:wrapNone/>
                <wp:docPr id="128"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49E39" id="AutoShape 285" o:spid="_x0000_s1026" type="#_x0000_t32" style="position:absolute;margin-left:260.1pt;margin-top:88.6pt;width:0;height:12.55pt;z-index:2517145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iFNQIAAGA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">
                <v:stroke endarrow="block"/>
              </v:shape>
            </w:pict>
          </mc:Fallback>
        </mc:AlternateContent>
      </w:r>
      <w:r>
        <w:rPr>
          <w:rFonts w:eastAsia="MS Mincho"/>
          <w:noProof/>
          <w:lang w:eastAsia="ja-JP"/>
        </w:rPr>
        <mc:AlternateContent>
          <mc:Choice Requires="wps">
            <w:drawing>
              <wp:anchor distT="0" distB="0" distL="114295" distR="114295" simplePos="0" relativeHeight="251713536" behindDoc="0" locked="0" layoutInCell="1" allowOverlap="1" wp14:anchorId="2866DFDF" wp14:editId="0DA7495A">
                <wp:simplePos x="0" y="0"/>
                <wp:positionH relativeFrom="column">
                  <wp:posOffset>1853564</wp:posOffset>
                </wp:positionH>
                <wp:positionV relativeFrom="paragraph">
                  <wp:posOffset>1118235</wp:posOffset>
                </wp:positionV>
                <wp:extent cx="0" cy="159385"/>
                <wp:effectExtent l="76200" t="0" r="57150" b="50165"/>
                <wp:wrapNone/>
                <wp:docPr id="127"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34B90" id="AutoShape 284" o:spid="_x0000_s1026" type="#_x0000_t32" style="position:absolute;margin-left:145.95pt;margin-top:88.05pt;width:0;height:12.55pt;z-index:2517135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jwNAIAAGA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">
                <v:stroke endarrow="block"/>
              </v:shape>
            </w:pict>
          </mc:Fallback>
        </mc:AlternateContent>
      </w:r>
      <w:r>
        <w:rPr>
          <w:rFonts w:eastAsia="MS Mincho"/>
          <w:noProof/>
          <w:lang w:eastAsia="ja-JP"/>
        </w:rPr>
        <mc:AlternateContent>
          <mc:Choice Requires="wps">
            <w:drawing>
              <wp:anchor distT="0" distB="0" distL="114295" distR="114295" simplePos="0" relativeHeight="251712512" behindDoc="0" locked="0" layoutInCell="1" allowOverlap="1" wp14:anchorId="65B5C547" wp14:editId="095E2EDB">
                <wp:simplePos x="0" y="0"/>
                <wp:positionH relativeFrom="column">
                  <wp:posOffset>905509</wp:posOffset>
                </wp:positionH>
                <wp:positionV relativeFrom="paragraph">
                  <wp:posOffset>1125220</wp:posOffset>
                </wp:positionV>
                <wp:extent cx="0" cy="159385"/>
                <wp:effectExtent l="76200" t="0" r="57150" b="50165"/>
                <wp:wrapNone/>
                <wp:docPr id="126"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4D2DE" id="AutoShape 283" o:spid="_x0000_s1026" type="#_x0000_t32" style="position:absolute;margin-left:71.3pt;margin-top:88.6pt;width:0;height:12.55pt;z-index:2517125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BwNQIAAGA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">
                <v:stroke endarrow="block"/>
              </v:shape>
            </w:pict>
          </mc:Fallback>
        </mc:AlternateContent>
      </w:r>
      <w:r>
        <w:rPr>
          <w:rFonts w:eastAsia="MS Mincho"/>
          <w:noProof/>
          <w:lang w:eastAsia="ja-JP"/>
        </w:rPr>
        <mc:AlternateContent>
          <mc:Choice Requires="wps">
            <w:drawing>
              <wp:anchor distT="0" distB="0" distL="114295" distR="114295" simplePos="0" relativeHeight="251711488" behindDoc="0" locked="0" layoutInCell="1" allowOverlap="1" wp14:anchorId="7D3836E9" wp14:editId="709F810D">
                <wp:simplePos x="0" y="0"/>
                <wp:positionH relativeFrom="column">
                  <wp:posOffset>227329</wp:posOffset>
                </wp:positionH>
                <wp:positionV relativeFrom="paragraph">
                  <wp:posOffset>1125220</wp:posOffset>
                </wp:positionV>
                <wp:extent cx="0" cy="159385"/>
                <wp:effectExtent l="76200" t="0" r="57150" b="50165"/>
                <wp:wrapNone/>
                <wp:docPr id="125"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7B6AB" id="AutoShape 282" o:spid="_x0000_s1026" type="#_x0000_t32" style="position:absolute;margin-left:17.9pt;margin-top:88.6pt;width:0;height:12.55pt;z-index:2517114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">
                <v:stroke endarrow="block"/>
              </v:shape>
            </w:pict>
          </mc:Fallback>
        </mc:AlternateContent>
      </w:r>
      <w:r>
        <w:rPr>
          <w:rFonts w:eastAsia="MS Mincho"/>
          <w:noProof/>
          <w:lang w:eastAsia="ja-JP"/>
        </w:rPr>
        <mc:AlternateContent>
          <mc:Choice Requires="wps">
            <w:drawing>
              <wp:anchor distT="0" distB="0" distL="114300" distR="114300" simplePos="0" relativeHeight="251710464" behindDoc="0" locked="0" layoutInCell="1" allowOverlap="1" wp14:anchorId="3226CC08" wp14:editId="156E0F93">
                <wp:simplePos x="0" y="0"/>
                <wp:positionH relativeFrom="column">
                  <wp:posOffset>4872990</wp:posOffset>
                </wp:positionH>
                <wp:positionV relativeFrom="paragraph">
                  <wp:posOffset>2927350</wp:posOffset>
                </wp:positionV>
                <wp:extent cx="635" cy="271780"/>
                <wp:effectExtent l="76200" t="0" r="75565" b="52070"/>
                <wp:wrapNone/>
                <wp:docPr id="12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D7DC7" id="AutoShape 281" o:spid="_x0000_s1026" type="#_x0000_t32" style="position:absolute;margin-left:383.7pt;margin-top:230.5pt;width:.05pt;height:2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">
                <v:stroke endarrow="block"/>
              </v:shape>
            </w:pict>
          </mc:Fallback>
        </mc:AlternateContent>
      </w:r>
      <w:r>
        <w:rPr>
          <w:rFonts w:eastAsia="MS Mincho"/>
          <w:noProof/>
          <w:lang w:eastAsia="ja-JP"/>
        </w:rPr>
        <mc:AlternateContent>
          <mc:Choice Requires="wps">
            <w:drawing>
              <wp:anchor distT="0" distB="0" distL="114300" distR="114300" simplePos="0" relativeHeight="251709440" behindDoc="0" locked="0" layoutInCell="1" allowOverlap="1" wp14:anchorId="3A582483" wp14:editId="627D9293">
                <wp:simplePos x="0" y="0"/>
                <wp:positionH relativeFrom="column">
                  <wp:posOffset>4890135</wp:posOffset>
                </wp:positionH>
                <wp:positionV relativeFrom="paragraph">
                  <wp:posOffset>2009140</wp:posOffset>
                </wp:positionV>
                <wp:extent cx="635" cy="455295"/>
                <wp:effectExtent l="76200" t="0" r="75565" b="59055"/>
                <wp:wrapNone/>
                <wp:docPr id="123"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B8173" id="AutoShape 280" o:spid="_x0000_s1026" type="#_x0000_t32" style="position:absolute;margin-left:385.05pt;margin-top:158.2pt;width:.05pt;height:35.8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">
                <v:stroke endarrow="block"/>
              </v:shape>
            </w:pict>
          </mc:Fallback>
        </mc:AlternateContent>
      </w:r>
      <w:r>
        <w:rPr>
          <w:rFonts w:eastAsia="MS Mincho"/>
          <w:noProof/>
          <w:lang w:eastAsia="ja-JP"/>
        </w:rPr>
        <mc:AlternateContent>
          <mc:Choice Requires="wps">
            <w:drawing>
              <wp:anchor distT="0" distB="0" distL="114300" distR="114300" simplePos="0" relativeHeight="251708416" behindDoc="0" locked="0" layoutInCell="1" allowOverlap="1" wp14:anchorId="066CFB34" wp14:editId="1DEDBFA7">
                <wp:simplePos x="0" y="0"/>
                <wp:positionH relativeFrom="column">
                  <wp:posOffset>3301365</wp:posOffset>
                </wp:positionH>
                <wp:positionV relativeFrom="paragraph">
                  <wp:posOffset>4180840</wp:posOffset>
                </wp:positionV>
                <wp:extent cx="635" cy="271780"/>
                <wp:effectExtent l="76200" t="0" r="75565" b="52070"/>
                <wp:wrapNone/>
                <wp:docPr id="122"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7A301" id="AutoShape 279" o:spid="_x0000_s1026" type="#_x0000_t32" style="position:absolute;margin-left:259.95pt;margin-top:329.2pt;width:.05pt;height:2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">
                <v:stroke endarrow="block"/>
              </v:shape>
            </w:pict>
          </mc:Fallback>
        </mc:AlternateContent>
      </w:r>
      <w:r>
        <w:rPr>
          <w:rFonts w:eastAsia="MS Mincho"/>
          <w:noProof/>
          <w:lang w:eastAsia="ja-JP"/>
        </w:rPr>
        <mc:AlternateContent>
          <mc:Choice Requires="wps">
            <w:drawing>
              <wp:anchor distT="0" distB="0" distL="114300" distR="114300" simplePos="0" relativeHeight="251707392" behindDoc="0" locked="0" layoutInCell="1" allowOverlap="1" wp14:anchorId="44DE2144" wp14:editId="18AEFF01">
                <wp:simplePos x="0" y="0"/>
                <wp:positionH relativeFrom="column">
                  <wp:posOffset>3302000</wp:posOffset>
                </wp:positionH>
                <wp:positionV relativeFrom="paragraph">
                  <wp:posOffset>3674110</wp:posOffset>
                </wp:positionV>
                <wp:extent cx="635" cy="271780"/>
                <wp:effectExtent l="76200" t="0" r="75565" b="52070"/>
                <wp:wrapNone/>
                <wp:docPr id="121"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D481D" id="AutoShape 278" o:spid="_x0000_s1026" type="#_x0000_t32" style="position:absolute;margin-left:260pt;margin-top:289.3pt;width:.05pt;height:2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">
                <v:stroke endarrow="block"/>
              </v:shape>
            </w:pict>
          </mc:Fallback>
        </mc:AlternateContent>
      </w:r>
      <w:r>
        <w:rPr>
          <w:rFonts w:eastAsia="MS Mincho"/>
          <w:noProof/>
          <w:lang w:eastAsia="ja-JP"/>
        </w:rPr>
        <mc:AlternateContent>
          <mc:Choice Requires="wps">
            <w:drawing>
              <wp:anchor distT="0" distB="0" distL="114300" distR="114300" simplePos="0" relativeHeight="251706368" behindDoc="0" locked="0" layoutInCell="1" allowOverlap="1" wp14:anchorId="0C797FEA" wp14:editId="2C2CF07A">
                <wp:simplePos x="0" y="0"/>
                <wp:positionH relativeFrom="column">
                  <wp:posOffset>3302635</wp:posOffset>
                </wp:positionH>
                <wp:positionV relativeFrom="paragraph">
                  <wp:posOffset>2939415</wp:posOffset>
                </wp:positionV>
                <wp:extent cx="635" cy="271780"/>
                <wp:effectExtent l="76200" t="0" r="75565" b="52070"/>
                <wp:wrapNone/>
                <wp:docPr id="120"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9D620" id="AutoShape 277" o:spid="_x0000_s1026" type="#_x0000_t32" style="position:absolute;margin-left:260.05pt;margin-top:231.45pt;width:.05pt;height:2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">
                <v:stroke endarrow="block"/>
              </v:shape>
            </w:pict>
          </mc:Fallback>
        </mc:AlternateContent>
      </w:r>
      <w:r>
        <w:rPr>
          <w:rFonts w:eastAsia="MS Mincho"/>
          <w:noProof/>
          <w:lang w:eastAsia="ja-JP"/>
        </w:rPr>
        <mc:AlternateContent>
          <mc:Choice Requires="wps">
            <w:drawing>
              <wp:anchor distT="0" distB="0" distL="114300" distR="114300" simplePos="0" relativeHeight="251705344" behindDoc="0" locked="0" layoutInCell="1" allowOverlap="1" wp14:anchorId="53124233" wp14:editId="7E827C1C">
                <wp:simplePos x="0" y="0"/>
                <wp:positionH relativeFrom="column">
                  <wp:posOffset>3303270</wp:posOffset>
                </wp:positionH>
                <wp:positionV relativeFrom="paragraph">
                  <wp:posOffset>2009140</wp:posOffset>
                </wp:positionV>
                <wp:extent cx="635" cy="467360"/>
                <wp:effectExtent l="76200" t="0" r="75565" b="46990"/>
                <wp:wrapNone/>
                <wp:docPr id="119"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8A859" id="AutoShape 276" o:spid="_x0000_s1026" type="#_x0000_t32" style="position:absolute;margin-left:260.1pt;margin-top:158.2pt;width:.05pt;height:36.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">
                <v:stroke endarrow="block"/>
              </v:shape>
            </w:pict>
          </mc:Fallback>
        </mc:AlternateContent>
      </w:r>
      <w:r>
        <w:rPr>
          <w:rFonts w:eastAsia="MS Mincho"/>
          <w:noProof/>
          <w:lang w:eastAsia="ja-JP"/>
        </w:rPr>
        <mc:AlternateContent>
          <mc:Choice Requires="wps">
            <w:drawing>
              <wp:anchor distT="0" distB="0" distL="114300" distR="114300" simplePos="0" relativeHeight="251704320" behindDoc="0" locked="0" layoutInCell="1" allowOverlap="1" wp14:anchorId="6EE0395A" wp14:editId="2B052337">
                <wp:simplePos x="0" y="0"/>
                <wp:positionH relativeFrom="column">
                  <wp:posOffset>4288790</wp:posOffset>
                </wp:positionH>
                <wp:positionV relativeFrom="paragraph">
                  <wp:posOffset>1670685</wp:posOffset>
                </wp:positionV>
                <wp:extent cx="139700" cy="635"/>
                <wp:effectExtent l="0" t="0" r="12700" b="37465"/>
                <wp:wrapNone/>
                <wp:docPr id="118"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07E77" id="AutoShape 275" o:spid="_x0000_s1026" type="#_x0000_t32" style="position:absolute;margin-left:337.7pt;margin-top:131.55pt;width:11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"/>
            </w:pict>
          </mc:Fallback>
        </mc:AlternateContent>
      </w:r>
      <w:r>
        <w:rPr>
          <w:rFonts w:eastAsia="MS Mincho"/>
          <w:noProof/>
          <w:lang w:eastAsia="ja-JP"/>
        </w:rPr>
        <mc:AlternateContent>
          <mc:Choice Requires="wps">
            <w:drawing>
              <wp:anchor distT="0" distB="0" distL="114300" distR="114300" simplePos="0" relativeHeight="251703296" behindDoc="0" locked="0" layoutInCell="1" allowOverlap="1" wp14:anchorId="7F24AFA5" wp14:editId="3D7355C3">
                <wp:simplePos x="0" y="0"/>
                <wp:positionH relativeFrom="column">
                  <wp:posOffset>5393690</wp:posOffset>
                </wp:positionH>
                <wp:positionV relativeFrom="paragraph">
                  <wp:posOffset>1125220</wp:posOffset>
                </wp:positionV>
                <wp:extent cx="635" cy="4831080"/>
                <wp:effectExtent l="76200" t="0" r="75565" b="64770"/>
                <wp:wrapNone/>
                <wp:docPr id="117"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31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0FED5" id="AutoShape 274" o:spid="_x0000_s1026" type="#_x0000_t32" style="position:absolute;margin-left:424.7pt;margin-top:88.6pt;width:.05pt;height:38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BjOgIAAGM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">
                <v:stroke endarrow="block"/>
              </v:shape>
            </w:pict>
          </mc:Fallback>
        </mc:AlternateContent>
      </w:r>
      <w:r>
        <w:rPr>
          <w:rFonts w:eastAsia="MS Mincho"/>
          <w:noProof/>
          <w:lang w:eastAsia="ja-JP"/>
        </w:rPr>
        <mc:AlternateContent>
          <mc:Choice Requires="wps">
            <w:drawing>
              <wp:anchor distT="0" distB="0" distL="114300" distR="114300" simplePos="0" relativeHeight="251702272" behindDoc="0" locked="0" layoutInCell="1" allowOverlap="1" wp14:anchorId="0CADE765" wp14:editId="0692C119">
                <wp:simplePos x="0" y="0"/>
                <wp:positionH relativeFrom="column">
                  <wp:posOffset>2400935</wp:posOffset>
                </wp:positionH>
                <wp:positionV relativeFrom="paragraph">
                  <wp:posOffset>1915160</wp:posOffset>
                </wp:positionV>
                <wp:extent cx="479425" cy="355600"/>
                <wp:effectExtent l="0" t="38100" r="53975" b="25400"/>
                <wp:wrapNone/>
                <wp:docPr id="116"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9425"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75750" id="AutoShape 273" o:spid="_x0000_s1026" type="#_x0000_t32" style="position:absolute;margin-left:189.05pt;margin-top:150.8pt;width:37.75pt;height:28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">
                <v:stroke endarrow="block"/>
              </v:shape>
            </w:pict>
          </mc:Fallback>
        </mc:AlternateContent>
      </w:r>
      <w:r>
        <w:rPr>
          <w:rFonts w:eastAsia="MS Mincho"/>
          <w:noProof/>
          <w:lang w:eastAsia="ja-JP"/>
        </w:rPr>
        <mc:AlternateContent>
          <mc:Choice Requires="wps">
            <w:drawing>
              <wp:anchor distT="0" distB="0" distL="114295" distR="114295" simplePos="0" relativeHeight="251701248" behindDoc="0" locked="0" layoutInCell="1" allowOverlap="1" wp14:anchorId="4706806C" wp14:editId="5F798CBE">
                <wp:simplePos x="0" y="0"/>
                <wp:positionH relativeFrom="column">
                  <wp:posOffset>3499484</wp:posOffset>
                </wp:positionH>
                <wp:positionV relativeFrom="paragraph">
                  <wp:posOffset>6858635</wp:posOffset>
                </wp:positionV>
                <wp:extent cx="0" cy="682625"/>
                <wp:effectExtent l="76200" t="0" r="95250" b="60325"/>
                <wp:wrapNone/>
                <wp:docPr id="115"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B95B2" id="AutoShape 272" o:spid="_x0000_s1026" type="#_x0000_t32" style="position:absolute;margin-left:275.55pt;margin-top:540.05pt;width:0;height:53.75pt;z-index:2517012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uUMwIAAGAEAAAOAAAAZHJzL2Uyb0RvYy54bWysVMGO2jAQvVfqP1i+Q0gKL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">
                <v:stroke endarrow="block"/>
              </v:shape>
            </w:pict>
          </mc:Fallback>
        </mc:AlternateContent>
      </w:r>
      <w:r>
        <w:rPr>
          <w:rFonts w:eastAsia="MS Mincho"/>
          <w:noProof/>
          <w:lang w:eastAsia="ja-JP"/>
        </w:rPr>
        <mc:AlternateContent>
          <mc:Choice Requires="wps">
            <w:drawing>
              <wp:anchor distT="0" distB="0" distL="114300" distR="114300" simplePos="0" relativeHeight="251700224" behindDoc="0" locked="0" layoutInCell="1" allowOverlap="1" wp14:anchorId="5519493C" wp14:editId="461B786F">
                <wp:simplePos x="0" y="0"/>
                <wp:positionH relativeFrom="column">
                  <wp:posOffset>4288790</wp:posOffset>
                </wp:positionH>
                <wp:positionV relativeFrom="paragraph">
                  <wp:posOffset>1671320</wp:posOffset>
                </wp:positionV>
                <wp:extent cx="635" cy="4284980"/>
                <wp:effectExtent l="76200" t="0" r="75565" b="58420"/>
                <wp:wrapNone/>
                <wp:docPr id="114"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83719" id="AutoShape 271" o:spid="_x0000_s1026" type="#_x0000_t32" style="position:absolute;margin-left:337.7pt;margin-top:131.6pt;width:.05pt;height:33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">
                <v:stroke endarrow="block"/>
              </v:shape>
            </w:pict>
          </mc:Fallback>
        </mc:AlternateContent>
      </w:r>
      <w:r>
        <w:rPr>
          <w:rFonts w:eastAsia="MS Mincho"/>
          <w:noProof/>
          <w:lang w:eastAsia="ja-JP"/>
        </w:rPr>
        <mc:AlternateContent>
          <mc:Choice Requires="wps">
            <w:drawing>
              <wp:anchor distT="0" distB="0" distL="114295" distR="114295" simplePos="0" relativeHeight="251699200" behindDoc="0" locked="0" layoutInCell="1" allowOverlap="1" wp14:anchorId="26E81AE9" wp14:editId="315D154B">
                <wp:simplePos x="0" y="0"/>
                <wp:positionH relativeFrom="column">
                  <wp:posOffset>2767329</wp:posOffset>
                </wp:positionH>
                <wp:positionV relativeFrom="paragraph">
                  <wp:posOffset>483870</wp:posOffset>
                </wp:positionV>
                <wp:extent cx="0" cy="230505"/>
                <wp:effectExtent l="76200" t="0" r="57150" b="55245"/>
                <wp:wrapNone/>
                <wp:docPr id="113"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5E791" id="AutoShape 270" o:spid="_x0000_s1026" type="#_x0000_t32" style="position:absolute;margin-left:217.9pt;margin-top:38.1pt;width:0;height:18.15pt;z-index:2516992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">
                <v:stroke endarrow="block"/>
              </v:shape>
            </w:pict>
          </mc:Fallback>
        </mc:AlternateContent>
      </w:r>
      <w:r>
        <w:rPr>
          <w:rFonts w:eastAsia="MS Mincho"/>
          <w:noProof/>
          <w:lang w:eastAsia="ja-JP"/>
        </w:rPr>
        <mc:AlternateContent>
          <mc:Choice Requires="wps">
            <w:drawing>
              <wp:anchor distT="4294967291" distB="4294967291" distL="114300" distR="114300" simplePos="0" relativeHeight="251698176" behindDoc="0" locked="0" layoutInCell="1" allowOverlap="1" wp14:anchorId="5B069E02" wp14:editId="27E8A2AC">
                <wp:simplePos x="0" y="0"/>
                <wp:positionH relativeFrom="column">
                  <wp:posOffset>227965</wp:posOffset>
                </wp:positionH>
                <wp:positionV relativeFrom="paragraph">
                  <wp:posOffset>1125219</wp:posOffset>
                </wp:positionV>
                <wp:extent cx="5165725" cy="0"/>
                <wp:effectExtent l="0" t="0" r="15875" b="19050"/>
                <wp:wrapNone/>
                <wp:docPr id="112"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D44FD" id="AutoShape 269" o:spid="_x0000_s1026" type="#_x0000_t32" style="position:absolute;margin-left:17.95pt;margin-top:88.6pt;width:406.75pt;height:0;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zgIAIAAD8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"/>
            </w:pict>
          </mc:Fallback>
        </mc:AlternateContent>
      </w:r>
      <w:r>
        <w:rPr>
          <w:rFonts w:eastAsia="MS Mincho"/>
          <w:noProof/>
          <w:lang w:eastAsia="ja-JP"/>
        </w:rPr>
        <mc:AlternateContent>
          <mc:Choice Requires="wps">
            <w:drawing>
              <wp:anchor distT="4294967291" distB="4294967291" distL="114300" distR="114300" simplePos="0" relativeHeight="251697152" behindDoc="0" locked="0" layoutInCell="1" allowOverlap="1" wp14:anchorId="22B56233" wp14:editId="2384FD78">
                <wp:simplePos x="0" y="0"/>
                <wp:positionH relativeFrom="column">
                  <wp:posOffset>2051685</wp:posOffset>
                </wp:positionH>
                <wp:positionV relativeFrom="paragraph">
                  <wp:posOffset>483869</wp:posOffset>
                </wp:positionV>
                <wp:extent cx="1536700" cy="0"/>
                <wp:effectExtent l="0" t="0" r="25400" b="19050"/>
                <wp:wrapNone/>
                <wp:docPr id="111"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36913" id="AutoShape 268" o:spid="_x0000_s1026" type="#_x0000_t32" style="position:absolute;margin-left:161.55pt;margin-top:38.1pt;width:121pt;height:0;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07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"/>
            </w:pict>
          </mc:Fallback>
        </mc:AlternateContent>
      </w:r>
      <w:r>
        <w:rPr>
          <w:rFonts w:eastAsia="MS Mincho"/>
          <w:noProof/>
          <w:lang w:eastAsia="ja-JP"/>
        </w:rPr>
        <mc:AlternateContent>
          <mc:Choice Requires="wps">
            <w:drawing>
              <wp:anchor distT="0" distB="0" distL="114300" distR="114300" simplePos="0" relativeHeight="251696128" behindDoc="0" locked="0" layoutInCell="1" allowOverlap="1" wp14:anchorId="3FFCAE40" wp14:editId="5BB595EE">
                <wp:simplePos x="0" y="0"/>
                <wp:positionH relativeFrom="column">
                  <wp:posOffset>4473575</wp:posOffset>
                </wp:positionH>
                <wp:positionV relativeFrom="paragraph">
                  <wp:posOffset>3199130</wp:posOffset>
                </wp:positionV>
                <wp:extent cx="831215" cy="680720"/>
                <wp:effectExtent l="0" t="0" r="26035" b="24130"/>
                <wp:wrapNone/>
                <wp:docPr id="110"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680720"/>
                        </a:xfrm>
                        <a:prstGeom prst="rect">
                          <a:avLst/>
                        </a:prstGeom>
                        <a:solidFill>
                          <a:srgbClr val="FFFFFF"/>
                        </a:solidFill>
                        <a:ln w="9525">
                          <a:solidFill>
                            <a:srgbClr val="000000"/>
                          </a:solidFill>
                          <a:miter lim="800000"/>
                          <a:headEnd/>
                          <a:tailEnd/>
                        </a:ln>
                      </wps:spPr>
                      <wps:txbx>
                        <w:txbxContent>
                          <w:p w14:paraId="3D1493A9" w14:textId="77777777" w:rsidR="00AC34E6" w:rsidRDefault="00AC34E6" w:rsidP="00726233">
                            <w:pPr>
                              <w:spacing w:line="240" w:lineRule="auto"/>
                            </w:pPr>
                            <w:r>
                              <w:t>Report to Prime Minister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72" type="#_x0000_t202" style="position:absolute;margin-left:352.25pt;margin-top:251.9pt;width:65.45pt;height:5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">
                <v:textbox inset="5.85pt,.7pt,5.85pt,.7pt">
                  <w:txbxContent>
                    <w:p w14:paraId="3D1493A9" w14:textId="77777777" w:rsidR="00AC34E6" w:rsidRDefault="00AC34E6" w:rsidP="00726233">
                      <w:pPr>
                        <w:spacing w:line="240" w:lineRule="auto"/>
                      </w:pPr>
                      <w:r>
                        <w:t>Report to Prime Minister</w:t>
                      </w:r>
                    </w:p>
                  </w:txbxContent>
                </v:textbox>
              </v:shape>
            </w:pict>
          </mc:Fallback>
        </mc:AlternateContent>
      </w:r>
      <w:r>
        <w:rPr>
          <w:rFonts w:eastAsia="MS Mincho"/>
          <w:noProof/>
          <w:lang w:eastAsia="ja-JP"/>
        </w:rPr>
        <mc:AlternateContent>
          <mc:Choice Requires="wps">
            <w:drawing>
              <wp:anchor distT="0" distB="0" distL="114300" distR="114300" simplePos="0" relativeHeight="251695104" behindDoc="0" locked="0" layoutInCell="1" allowOverlap="1" wp14:anchorId="6045ACA4" wp14:editId="6BFCFFF8">
                <wp:simplePos x="0" y="0"/>
                <wp:positionH relativeFrom="column">
                  <wp:posOffset>4473575</wp:posOffset>
                </wp:positionH>
                <wp:positionV relativeFrom="paragraph">
                  <wp:posOffset>2464435</wp:posOffset>
                </wp:positionV>
                <wp:extent cx="831215" cy="462915"/>
                <wp:effectExtent l="0" t="0" r="26035" b="13335"/>
                <wp:wrapNone/>
                <wp:docPr id="109"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62915"/>
                        </a:xfrm>
                        <a:prstGeom prst="rect">
                          <a:avLst/>
                        </a:prstGeom>
                        <a:solidFill>
                          <a:srgbClr val="FFFFFF"/>
                        </a:solidFill>
                        <a:ln w="9525">
                          <a:solidFill>
                            <a:srgbClr val="000000"/>
                          </a:solidFill>
                          <a:miter lim="800000"/>
                          <a:headEnd/>
                          <a:tailEnd/>
                        </a:ln>
                      </wps:spPr>
                      <wps:txbx>
                        <w:txbxContent>
                          <w:p w14:paraId="72231811" w14:textId="77777777" w:rsidR="00AC34E6" w:rsidRDefault="00AC34E6" w:rsidP="00726233">
                            <w:pPr>
                              <w:spacing w:line="240" w:lineRule="auto"/>
                            </w:pPr>
                            <w:r>
                              <w:t>No prosecution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73" type="#_x0000_t202" style="position:absolute;margin-left:352.25pt;margin-top:194.05pt;width:65.45pt;height:3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">
                <v:textbox inset="5.85pt,.7pt,5.85pt,.7pt">
                  <w:txbxContent>
                    <w:p w14:paraId="72231811" w14:textId="77777777" w:rsidR="00AC34E6" w:rsidRDefault="00AC34E6" w:rsidP="00726233">
                      <w:pPr>
                        <w:spacing w:line="240" w:lineRule="auto"/>
                      </w:pPr>
                      <w:r>
                        <w:t>No prosecution</w:t>
                      </w:r>
                    </w:p>
                  </w:txbxContent>
                </v:textbox>
              </v:shape>
            </w:pict>
          </mc:Fallback>
        </mc:AlternateContent>
      </w:r>
      <w:r>
        <w:rPr>
          <w:rFonts w:eastAsia="MS Mincho"/>
          <w:noProof/>
          <w:lang w:eastAsia="ja-JP"/>
        </w:rPr>
        <mc:AlternateContent>
          <mc:Choice Requires="wps">
            <w:drawing>
              <wp:anchor distT="0" distB="0" distL="114300" distR="114300" simplePos="0" relativeHeight="251694080" behindDoc="0" locked="0" layoutInCell="1" allowOverlap="1" wp14:anchorId="63F4B89D" wp14:editId="3E5B520D">
                <wp:simplePos x="0" y="0"/>
                <wp:positionH relativeFrom="column">
                  <wp:posOffset>2996565</wp:posOffset>
                </wp:positionH>
                <wp:positionV relativeFrom="paragraph">
                  <wp:posOffset>5324475</wp:posOffset>
                </wp:positionV>
                <wp:extent cx="653415" cy="243205"/>
                <wp:effectExtent l="0" t="0" r="0" b="4445"/>
                <wp:wrapNone/>
                <wp:docPr id="108"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B578A" w14:textId="77777777" w:rsidR="00AC34E6" w:rsidRDefault="00AC34E6" w:rsidP="00726233">
                            <w:pPr>
                              <w:spacing w:line="240" w:lineRule="auto"/>
                            </w:pPr>
                            <w:r>
                              <w:t>Appeal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74" type="#_x0000_t202" style="position:absolute;margin-left:235.95pt;margin-top:419.25pt;width:51.45pt;height:1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" stroked="f">
                <v:textbox inset="5.85pt,.7pt,5.85pt,.7pt">
                  <w:txbxContent>
                    <w:p w14:paraId="294B578A" w14:textId="77777777" w:rsidR="00AC34E6" w:rsidRDefault="00AC34E6" w:rsidP="00726233">
                      <w:pPr>
                        <w:spacing w:line="240" w:lineRule="auto"/>
                      </w:pPr>
                      <w:r>
                        <w:t>Appeal</w:t>
                      </w:r>
                    </w:p>
                  </w:txbxContent>
                </v:textbox>
              </v:shape>
            </w:pict>
          </mc:Fallback>
        </mc:AlternateContent>
      </w:r>
      <w:r>
        <w:rPr>
          <w:rFonts w:eastAsia="MS Mincho"/>
          <w:noProof/>
          <w:lang w:eastAsia="ja-JP"/>
        </w:rPr>
        <mc:AlternateContent>
          <mc:Choice Requires="wps">
            <w:drawing>
              <wp:anchor distT="0" distB="0" distL="114300" distR="114300" simplePos="0" relativeHeight="251693056" behindDoc="0" locked="0" layoutInCell="1" allowOverlap="1" wp14:anchorId="50678F98" wp14:editId="2FFC9003">
                <wp:simplePos x="0" y="0"/>
                <wp:positionH relativeFrom="column">
                  <wp:posOffset>3588385</wp:posOffset>
                </wp:positionH>
                <wp:positionV relativeFrom="paragraph">
                  <wp:posOffset>353695</wp:posOffset>
                </wp:positionV>
                <wp:extent cx="1551305" cy="266700"/>
                <wp:effectExtent l="0" t="0" r="10795" b="19050"/>
                <wp:wrapNone/>
                <wp:docPr id="107"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266700"/>
                        </a:xfrm>
                        <a:prstGeom prst="rect">
                          <a:avLst/>
                        </a:prstGeom>
                        <a:solidFill>
                          <a:srgbClr val="FFFFFF"/>
                        </a:solidFill>
                        <a:ln w="9525">
                          <a:solidFill>
                            <a:srgbClr val="000000"/>
                          </a:solidFill>
                          <a:miter lim="800000"/>
                          <a:headEnd/>
                          <a:tailEnd/>
                        </a:ln>
                      </wps:spPr>
                      <wps:txbx>
                        <w:txbxContent>
                          <w:p w14:paraId="64A71DCF" w14:textId="77777777" w:rsidR="00AC34E6" w:rsidRDefault="00AC34E6" w:rsidP="00726233">
                            <w:pPr>
                              <w:spacing w:line="240" w:lineRule="auto"/>
                            </w:pPr>
                            <w:r>
                              <w:t>Report from the public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75" type="#_x0000_t202" style="position:absolute;margin-left:282.55pt;margin-top:27.85pt;width:122.1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">
                <v:textbox inset="5.85pt,.7pt,5.85pt,.7pt">
                  <w:txbxContent>
                    <w:p w14:paraId="64A71DCF" w14:textId="77777777" w:rsidR="00AC34E6" w:rsidRDefault="00AC34E6" w:rsidP="00726233">
                      <w:pPr>
                        <w:spacing w:line="240" w:lineRule="auto"/>
                      </w:pPr>
                      <w:r>
                        <w:t>Report from the public</w:t>
                      </w:r>
                    </w:p>
                  </w:txbxContent>
                </v:textbox>
              </v:shape>
            </w:pict>
          </mc:Fallback>
        </mc:AlternateContent>
      </w:r>
      <w:r>
        <w:rPr>
          <w:rFonts w:eastAsia="MS Mincho"/>
          <w:noProof/>
          <w:lang w:eastAsia="ja-JP"/>
        </w:rPr>
        <mc:AlternateContent>
          <mc:Choice Requires="wps">
            <w:drawing>
              <wp:anchor distT="0" distB="0" distL="114300" distR="114300" simplePos="0" relativeHeight="251692032" behindDoc="0" locked="0" layoutInCell="1" allowOverlap="1" wp14:anchorId="072D9C1C" wp14:editId="7BCA898D">
                <wp:simplePos x="0" y="0"/>
                <wp:positionH relativeFrom="column">
                  <wp:posOffset>2051685</wp:posOffset>
                </wp:positionH>
                <wp:positionV relativeFrom="paragraph">
                  <wp:posOffset>714375</wp:posOffset>
                </wp:positionV>
                <wp:extent cx="1536700" cy="266700"/>
                <wp:effectExtent l="0" t="0" r="25400" b="19050"/>
                <wp:wrapNone/>
                <wp:docPr id="10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66700"/>
                        </a:xfrm>
                        <a:prstGeom prst="rect">
                          <a:avLst/>
                        </a:prstGeom>
                        <a:solidFill>
                          <a:srgbClr val="FFFFFF"/>
                        </a:solidFill>
                        <a:ln w="9525">
                          <a:solidFill>
                            <a:srgbClr val="000000"/>
                          </a:solidFill>
                          <a:miter lim="800000"/>
                          <a:headEnd/>
                          <a:tailEnd/>
                        </a:ln>
                      </wps:spPr>
                      <wps:txbx>
                        <w:txbxContent>
                          <w:p w14:paraId="09ED5FD5" w14:textId="77777777" w:rsidR="00AC34E6" w:rsidRDefault="00AC34E6" w:rsidP="00726233">
                            <w:pPr>
                              <w:spacing w:line="240" w:lineRule="auto"/>
                            </w:pPr>
                            <w:r>
                              <w:t>Investigation (</w:t>
                            </w:r>
                            <w:r>
                              <w:rPr>
                                <w:i/>
                                <w:iCs/>
                              </w:rPr>
                              <w:t>Shinsa</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76" type="#_x0000_t202" style="position:absolute;margin-left:161.55pt;margin-top:56.25pt;width:121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">
                <v:textbox inset="5.85pt,.7pt,5.85pt,.7pt">
                  <w:txbxContent>
                    <w:p w14:paraId="09ED5FD5" w14:textId="77777777" w:rsidR="00AC34E6" w:rsidRDefault="00AC34E6" w:rsidP="00726233">
                      <w:pPr>
                        <w:spacing w:line="240" w:lineRule="auto"/>
                      </w:pPr>
                      <w:r>
                        <w:t>Investigation (</w:t>
                      </w:r>
                      <w:r>
                        <w:rPr>
                          <w:i/>
                          <w:iCs/>
                        </w:rPr>
                        <w:t>Shinsa</w:t>
                      </w:r>
                      <w:r>
                        <w:t>)</w:t>
                      </w:r>
                    </w:p>
                  </w:txbxContent>
                </v:textbox>
              </v:shape>
            </w:pict>
          </mc:Fallback>
        </mc:AlternateContent>
      </w:r>
      <w:r>
        <w:rPr>
          <w:rFonts w:eastAsia="MS Mincho"/>
          <w:noProof/>
          <w:lang w:eastAsia="ja-JP"/>
        </w:rPr>
        <mc:AlternateContent>
          <mc:Choice Requires="wps">
            <w:drawing>
              <wp:anchor distT="0" distB="0" distL="114300" distR="114300" simplePos="0" relativeHeight="251691008" behindDoc="0" locked="0" layoutInCell="1" allowOverlap="1" wp14:anchorId="240BECF2" wp14:editId="788DCA2A">
                <wp:simplePos x="0" y="0"/>
                <wp:positionH relativeFrom="column">
                  <wp:posOffset>524510</wp:posOffset>
                </wp:positionH>
                <wp:positionV relativeFrom="paragraph">
                  <wp:posOffset>353695</wp:posOffset>
                </wp:positionV>
                <wp:extent cx="1527175" cy="266700"/>
                <wp:effectExtent l="0" t="0" r="15875" b="19050"/>
                <wp:wrapNone/>
                <wp:docPr id="10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66700"/>
                        </a:xfrm>
                        <a:prstGeom prst="rect">
                          <a:avLst/>
                        </a:prstGeom>
                        <a:solidFill>
                          <a:srgbClr val="FFFFFF"/>
                        </a:solidFill>
                        <a:ln w="9525">
                          <a:solidFill>
                            <a:srgbClr val="000000"/>
                          </a:solidFill>
                          <a:miter lim="800000"/>
                          <a:headEnd/>
                          <a:tailEnd/>
                        </a:ln>
                      </wps:spPr>
                      <wps:txbx>
                        <w:txbxContent>
                          <w:p w14:paraId="045CAB9D" w14:textId="77777777" w:rsidR="00AC34E6" w:rsidRDefault="00AC34E6" w:rsidP="00726233">
                            <w:pPr>
                              <w:spacing w:line="240" w:lineRule="auto"/>
                            </w:pPr>
                            <w:r>
                              <w:t>Detection by the JFTC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77" type="#_x0000_t202" style="position:absolute;margin-left:41.3pt;margin-top:27.85pt;width:120.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">
                <v:textbox inset="5.85pt,.7pt,5.85pt,.7pt">
                  <w:txbxContent>
                    <w:p w14:paraId="045CAB9D" w14:textId="77777777" w:rsidR="00AC34E6" w:rsidRDefault="00AC34E6" w:rsidP="00726233">
                      <w:pPr>
                        <w:spacing w:line="240" w:lineRule="auto"/>
                      </w:pPr>
                      <w:r>
                        <w:t>Detection by the JFTC</w:t>
                      </w:r>
                    </w:p>
                  </w:txbxContent>
                </v:textbox>
              </v:shape>
            </w:pict>
          </mc:Fallback>
        </mc:AlternateContent>
      </w:r>
      <w:r>
        <w:rPr>
          <w:rFonts w:eastAsia="MS Mincho"/>
          <w:noProof/>
          <w:lang w:eastAsia="ja-JP"/>
        </w:rPr>
        <mc:AlternateContent>
          <mc:Choice Requires="wps">
            <w:drawing>
              <wp:anchor distT="0" distB="0" distL="114300" distR="114300" simplePos="0" relativeHeight="251689984" behindDoc="0" locked="0" layoutInCell="1" allowOverlap="1" wp14:anchorId="7291ADAF" wp14:editId="59C0F94D">
                <wp:simplePos x="0" y="0"/>
                <wp:positionH relativeFrom="column">
                  <wp:posOffset>3108960</wp:posOffset>
                </wp:positionH>
                <wp:positionV relativeFrom="paragraph">
                  <wp:posOffset>7541260</wp:posOffset>
                </wp:positionV>
                <wp:extent cx="1043305" cy="243205"/>
                <wp:effectExtent l="0" t="0" r="23495" b="23495"/>
                <wp:wrapNone/>
                <wp:docPr id="10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243205"/>
                        </a:xfrm>
                        <a:prstGeom prst="rect">
                          <a:avLst/>
                        </a:prstGeom>
                        <a:solidFill>
                          <a:srgbClr val="FFFFFF"/>
                        </a:solidFill>
                        <a:ln w="9525">
                          <a:solidFill>
                            <a:srgbClr val="000000"/>
                          </a:solidFill>
                          <a:miter lim="800000"/>
                          <a:headEnd/>
                          <a:tailEnd/>
                        </a:ln>
                      </wps:spPr>
                      <wps:txbx>
                        <w:txbxContent>
                          <w:p w14:paraId="46762AC6" w14:textId="77777777" w:rsidR="00AC34E6" w:rsidRDefault="00AC34E6" w:rsidP="00726233">
                            <w:pPr>
                              <w:spacing w:line="240" w:lineRule="auto"/>
                            </w:pPr>
                            <w:r>
                              <w:t>Supreme Court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78" type="#_x0000_t202" style="position:absolute;margin-left:244.8pt;margin-top:593.8pt;width:82.15pt;height:1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">
                <v:textbox inset="5.85pt,.7pt,5.85pt,.7pt">
                  <w:txbxContent>
                    <w:p w14:paraId="46762AC6" w14:textId="77777777" w:rsidR="00AC34E6" w:rsidRDefault="00AC34E6" w:rsidP="00726233">
                      <w:pPr>
                        <w:spacing w:line="240" w:lineRule="auto"/>
                      </w:pPr>
                      <w:r>
                        <w:t>Supreme Court</w:t>
                      </w:r>
                    </w:p>
                  </w:txbxContent>
                </v:textbox>
              </v:shape>
            </w:pict>
          </mc:Fallback>
        </mc:AlternateContent>
      </w:r>
      <w:r>
        <w:rPr>
          <w:rFonts w:eastAsia="MS Mincho"/>
          <w:noProof/>
          <w:lang w:eastAsia="ja-JP"/>
        </w:rPr>
        <mc:AlternateContent>
          <mc:Choice Requires="wps">
            <w:drawing>
              <wp:anchor distT="0" distB="0" distL="114300" distR="114300" simplePos="0" relativeHeight="251688960" behindDoc="0" locked="0" layoutInCell="1" allowOverlap="1" wp14:anchorId="5B28DA02" wp14:editId="4940732A">
                <wp:simplePos x="0" y="0"/>
                <wp:positionH relativeFrom="column">
                  <wp:posOffset>2929255</wp:posOffset>
                </wp:positionH>
                <wp:positionV relativeFrom="paragraph">
                  <wp:posOffset>7045960</wp:posOffset>
                </wp:positionV>
                <wp:extent cx="1043305" cy="243205"/>
                <wp:effectExtent l="0" t="0" r="4445" b="4445"/>
                <wp:wrapNone/>
                <wp:docPr id="103"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38122" w14:textId="77777777" w:rsidR="00AC34E6" w:rsidRDefault="00AC34E6" w:rsidP="00726233">
                            <w:pPr>
                              <w:spacing w:line="240" w:lineRule="auto"/>
                            </w:pPr>
                            <w:r>
                              <w:t>Appeal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79" type="#_x0000_t202" style="position:absolute;margin-left:230.65pt;margin-top:554.8pt;width:82.15pt;height:1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" stroked="f">
                <v:textbox inset="5.85pt,.7pt,5.85pt,.7pt">
                  <w:txbxContent>
                    <w:p w14:paraId="32038122" w14:textId="77777777" w:rsidR="00AC34E6" w:rsidRDefault="00AC34E6" w:rsidP="00726233">
                      <w:pPr>
                        <w:spacing w:line="240" w:lineRule="auto"/>
                      </w:pPr>
                      <w:r>
                        <w:t>Appeal</w:t>
                      </w:r>
                    </w:p>
                  </w:txbxContent>
                </v:textbox>
              </v:shape>
            </w:pict>
          </mc:Fallback>
        </mc:AlternateContent>
      </w:r>
      <w:r>
        <w:rPr>
          <w:rFonts w:eastAsia="MS Mincho"/>
          <w:noProof/>
          <w:lang w:eastAsia="ja-JP"/>
        </w:rPr>
        <mc:AlternateContent>
          <mc:Choice Requires="wps">
            <w:drawing>
              <wp:anchor distT="0" distB="0" distL="114300" distR="114300" simplePos="0" relativeHeight="251687936" behindDoc="0" locked="0" layoutInCell="1" allowOverlap="1" wp14:anchorId="488EF670" wp14:editId="2F90FAE9">
                <wp:simplePos x="0" y="0"/>
                <wp:positionH relativeFrom="column">
                  <wp:posOffset>4460875</wp:posOffset>
                </wp:positionH>
                <wp:positionV relativeFrom="paragraph">
                  <wp:posOffset>6615430</wp:posOffset>
                </wp:positionV>
                <wp:extent cx="992505" cy="243205"/>
                <wp:effectExtent l="0" t="0" r="17145" b="23495"/>
                <wp:wrapNone/>
                <wp:docPr id="10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243205"/>
                        </a:xfrm>
                        <a:prstGeom prst="rect">
                          <a:avLst/>
                        </a:prstGeom>
                        <a:solidFill>
                          <a:srgbClr val="FFFFFF"/>
                        </a:solidFill>
                        <a:ln w="9525">
                          <a:solidFill>
                            <a:srgbClr val="000000"/>
                          </a:solidFill>
                          <a:miter lim="800000"/>
                          <a:headEnd/>
                          <a:tailEnd/>
                        </a:ln>
                      </wps:spPr>
                      <wps:txbx>
                        <w:txbxContent>
                          <w:p w14:paraId="31913E5B" w14:textId="77777777" w:rsidR="00AC34E6" w:rsidRDefault="00AC34E6" w:rsidP="00726233">
                            <w:pPr>
                              <w:spacing w:line="240" w:lineRule="auto"/>
                            </w:pPr>
                            <w:r>
                              <w:t>Decision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80" type="#_x0000_t202" style="position:absolute;margin-left:351.25pt;margin-top:520.9pt;width:78.15pt;height:1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">
                <v:textbox inset="5.85pt,.7pt,5.85pt,.7pt">
                  <w:txbxContent>
                    <w:p w14:paraId="31913E5B" w14:textId="77777777" w:rsidR="00AC34E6" w:rsidRDefault="00AC34E6" w:rsidP="00726233">
                      <w:pPr>
                        <w:spacing w:line="240" w:lineRule="auto"/>
                      </w:pPr>
                      <w:r>
                        <w:t>Decision</w:t>
                      </w:r>
                    </w:p>
                  </w:txbxContent>
                </v:textbox>
              </v:shape>
            </w:pict>
          </mc:Fallback>
        </mc:AlternateContent>
      </w:r>
      <w:r>
        <w:rPr>
          <w:rFonts w:eastAsia="MS Mincho"/>
          <w:noProof/>
          <w:lang w:eastAsia="ja-JP"/>
        </w:rPr>
        <mc:AlternateContent>
          <mc:Choice Requires="wps">
            <w:drawing>
              <wp:anchor distT="0" distB="0" distL="114300" distR="114300" simplePos="0" relativeHeight="251686912" behindDoc="0" locked="0" layoutInCell="1" allowOverlap="1" wp14:anchorId="67F6766A" wp14:editId="75299C11">
                <wp:simplePos x="0" y="0"/>
                <wp:positionH relativeFrom="column">
                  <wp:posOffset>2092960</wp:posOffset>
                </wp:positionH>
                <wp:positionV relativeFrom="paragraph">
                  <wp:posOffset>6615430</wp:posOffset>
                </wp:positionV>
                <wp:extent cx="2278380" cy="243205"/>
                <wp:effectExtent l="0" t="0" r="26670" b="23495"/>
                <wp:wrapNone/>
                <wp:docPr id="10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43205"/>
                        </a:xfrm>
                        <a:prstGeom prst="rect">
                          <a:avLst/>
                        </a:prstGeom>
                        <a:solidFill>
                          <a:srgbClr val="FFFFFF"/>
                        </a:solidFill>
                        <a:ln w="9525">
                          <a:solidFill>
                            <a:srgbClr val="000000"/>
                          </a:solidFill>
                          <a:miter lim="800000"/>
                          <a:headEnd/>
                          <a:tailEnd/>
                        </a:ln>
                      </wps:spPr>
                      <wps:txbx>
                        <w:txbxContent>
                          <w:p w14:paraId="4AC97A6F" w14:textId="77777777" w:rsidR="00AC34E6" w:rsidRDefault="00AC34E6" w:rsidP="00726233">
                            <w:pPr>
                              <w:spacing w:line="240" w:lineRule="auto"/>
                            </w:pPr>
                            <w:r>
                              <w:t>Judgement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81" type="#_x0000_t202" style="position:absolute;margin-left:164.8pt;margin-top:520.9pt;width:179.4pt;height:1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">
                <v:textbox inset="5.85pt,.7pt,5.85pt,.7pt">
                  <w:txbxContent>
                    <w:p w14:paraId="4AC97A6F" w14:textId="77777777" w:rsidR="00AC34E6" w:rsidRDefault="00AC34E6" w:rsidP="00726233">
                      <w:pPr>
                        <w:spacing w:line="240" w:lineRule="auto"/>
                      </w:pPr>
                      <w:r>
                        <w:t>Judgement</w:t>
                      </w:r>
                    </w:p>
                  </w:txbxContent>
                </v:textbox>
              </v:shape>
            </w:pict>
          </mc:Fallback>
        </mc:AlternateContent>
      </w:r>
      <w:r>
        <w:rPr>
          <w:rFonts w:eastAsia="MS Mincho"/>
          <w:noProof/>
          <w:lang w:eastAsia="ja-JP"/>
        </w:rPr>
        <mc:AlternateContent>
          <mc:Choice Requires="wps">
            <w:drawing>
              <wp:anchor distT="0" distB="0" distL="114300" distR="114300" simplePos="0" relativeHeight="251685888" behindDoc="0" locked="0" layoutInCell="1" allowOverlap="1" wp14:anchorId="58553707" wp14:editId="582CF550">
                <wp:simplePos x="0" y="0"/>
                <wp:positionH relativeFrom="column">
                  <wp:posOffset>4460875</wp:posOffset>
                </wp:positionH>
                <wp:positionV relativeFrom="paragraph">
                  <wp:posOffset>5956300</wp:posOffset>
                </wp:positionV>
                <wp:extent cx="992505" cy="462915"/>
                <wp:effectExtent l="0" t="0" r="17145" b="13335"/>
                <wp:wrapNone/>
                <wp:docPr id="100"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462915"/>
                        </a:xfrm>
                        <a:prstGeom prst="rect">
                          <a:avLst/>
                        </a:prstGeom>
                        <a:solidFill>
                          <a:srgbClr val="FFFFFF"/>
                        </a:solidFill>
                        <a:ln w="9525">
                          <a:solidFill>
                            <a:srgbClr val="000000"/>
                          </a:solidFill>
                          <a:miter lim="800000"/>
                          <a:headEnd/>
                          <a:tailEnd/>
                        </a:ln>
                      </wps:spPr>
                      <wps:txbx>
                        <w:txbxContent>
                          <w:p w14:paraId="50A247E1" w14:textId="77777777" w:rsidR="00AC34E6" w:rsidRDefault="00AC34E6" w:rsidP="00726233">
                            <w:pPr>
                              <w:spacing w:line="240" w:lineRule="auto"/>
                            </w:pPr>
                            <w:r>
                              <w:t>Injunction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82" type="#_x0000_t202" style="position:absolute;margin-left:351.25pt;margin-top:469pt;width:78.15pt;height:3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">
                <v:textbox inset="5.85pt,.7pt,5.85pt,.7pt">
                  <w:txbxContent>
                    <w:p w14:paraId="50A247E1" w14:textId="77777777" w:rsidR="00AC34E6" w:rsidRDefault="00AC34E6" w:rsidP="00726233">
                      <w:pPr>
                        <w:spacing w:line="240" w:lineRule="auto"/>
                      </w:pPr>
                      <w:r>
                        <w:t>Injunction</w:t>
                      </w:r>
                    </w:p>
                  </w:txbxContent>
                </v:textbox>
              </v:shape>
            </w:pict>
          </mc:Fallback>
        </mc:AlternateContent>
      </w:r>
      <w:r>
        <w:rPr>
          <w:rFonts w:eastAsia="MS Mincho"/>
          <w:noProof/>
          <w:lang w:eastAsia="ja-JP"/>
        </w:rPr>
        <mc:AlternateContent>
          <mc:Choice Requires="wps">
            <w:drawing>
              <wp:anchor distT="0" distB="0" distL="114300" distR="114300" simplePos="0" relativeHeight="251684864" behindDoc="0" locked="0" layoutInCell="1" allowOverlap="1" wp14:anchorId="4FCBDBDF" wp14:editId="5ABEE3BC">
                <wp:simplePos x="0" y="0"/>
                <wp:positionH relativeFrom="column">
                  <wp:posOffset>3452495</wp:posOffset>
                </wp:positionH>
                <wp:positionV relativeFrom="paragraph">
                  <wp:posOffset>5956300</wp:posOffset>
                </wp:positionV>
                <wp:extent cx="918845" cy="462915"/>
                <wp:effectExtent l="0" t="0" r="14605" b="13335"/>
                <wp:wrapNone/>
                <wp:docPr id="9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462915"/>
                        </a:xfrm>
                        <a:prstGeom prst="rect">
                          <a:avLst/>
                        </a:prstGeom>
                        <a:solidFill>
                          <a:srgbClr val="FFFFFF"/>
                        </a:solidFill>
                        <a:ln w="9525">
                          <a:solidFill>
                            <a:srgbClr val="000000"/>
                          </a:solidFill>
                          <a:miter lim="800000"/>
                          <a:headEnd/>
                          <a:tailEnd/>
                        </a:ln>
                      </wps:spPr>
                      <wps:txbx>
                        <w:txbxContent>
                          <w:p w14:paraId="7DA75192" w14:textId="77777777" w:rsidR="00AC34E6" w:rsidRDefault="00AC34E6" w:rsidP="00726233">
                            <w:pPr>
                              <w:spacing w:line="240" w:lineRule="auto"/>
                            </w:pPr>
                            <w:r>
                              <w:t>Initiation of prosecution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83" type="#_x0000_t202" style="position:absolute;margin-left:271.85pt;margin-top:469pt;width:72.35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">
                <v:textbox inset="5.85pt,.7pt,5.85pt,.7pt">
                  <w:txbxContent>
                    <w:p w14:paraId="7DA75192" w14:textId="77777777" w:rsidR="00AC34E6" w:rsidRDefault="00AC34E6" w:rsidP="00726233">
                      <w:pPr>
                        <w:spacing w:line="240" w:lineRule="auto"/>
                      </w:pPr>
                      <w:r>
                        <w:t>Initiation of prosecution</w:t>
                      </w:r>
                    </w:p>
                  </w:txbxContent>
                </v:textbox>
              </v:shape>
            </w:pict>
          </mc:Fallback>
        </mc:AlternateContent>
      </w:r>
      <w:r>
        <w:rPr>
          <w:rFonts w:eastAsia="MS Mincho"/>
          <w:noProof/>
          <w:lang w:eastAsia="ja-JP"/>
        </w:rPr>
        <mc:AlternateContent>
          <mc:Choice Requires="wps">
            <w:drawing>
              <wp:anchor distT="0" distB="0" distL="114300" distR="114300" simplePos="0" relativeHeight="251683840" behindDoc="0" locked="0" layoutInCell="1" allowOverlap="1" wp14:anchorId="68338873" wp14:editId="1C0685DC">
                <wp:simplePos x="0" y="0"/>
                <wp:positionH relativeFrom="column">
                  <wp:posOffset>2092960</wp:posOffset>
                </wp:positionH>
                <wp:positionV relativeFrom="paragraph">
                  <wp:posOffset>5956300</wp:posOffset>
                </wp:positionV>
                <wp:extent cx="1261745" cy="462915"/>
                <wp:effectExtent l="0" t="0" r="14605" b="13335"/>
                <wp:wrapNone/>
                <wp:docPr id="9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462915"/>
                        </a:xfrm>
                        <a:prstGeom prst="rect">
                          <a:avLst/>
                        </a:prstGeom>
                        <a:solidFill>
                          <a:srgbClr val="FFFFFF"/>
                        </a:solidFill>
                        <a:ln w="9525">
                          <a:solidFill>
                            <a:srgbClr val="000000"/>
                          </a:solidFill>
                          <a:miter lim="800000"/>
                          <a:headEnd/>
                          <a:tailEnd/>
                        </a:ln>
                      </wps:spPr>
                      <wps:txbx>
                        <w:txbxContent>
                          <w:p w14:paraId="3F7F12DC" w14:textId="77777777" w:rsidR="00AC34E6" w:rsidRDefault="00AC34E6" w:rsidP="00726233">
                            <w:pPr>
                              <w:spacing w:line="240" w:lineRule="auto"/>
                            </w:pPr>
                            <w:r>
                              <w:t>Hearing to quash the JFTC decision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84" type="#_x0000_t202" style="position:absolute;margin-left:164.8pt;margin-top:469pt;width:99.35pt;height:3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">
                <v:textbox inset="5.85pt,.7pt,5.85pt,.7pt">
                  <w:txbxContent>
                    <w:p w14:paraId="3F7F12DC" w14:textId="77777777" w:rsidR="00AC34E6" w:rsidRDefault="00AC34E6" w:rsidP="00726233">
                      <w:pPr>
                        <w:spacing w:line="240" w:lineRule="auto"/>
                      </w:pPr>
                      <w:r>
                        <w:t>Hearing to quash the JFTC decision</w:t>
                      </w:r>
                    </w:p>
                  </w:txbxContent>
                </v:textbox>
              </v:shape>
            </w:pict>
          </mc:Fallback>
        </mc:AlternateContent>
      </w:r>
      <w:r>
        <w:rPr>
          <w:rFonts w:eastAsia="MS Mincho"/>
          <w:noProof/>
          <w:lang w:eastAsia="ja-JP"/>
        </w:rPr>
        <mc:AlternateContent>
          <mc:Choice Requires="wps">
            <w:drawing>
              <wp:anchor distT="0" distB="0" distL="114300" distR="114300" simplePos="0" relativeHeight="251682816" behindDoc="0" locked="0" layoutInCell="1" allowOverlap="1" wp14:anchorId="414A19D8" wp14:editId="52CE53E7">
                <wp:simplePos x="0" y="0"/>
                <wp:positionH relativeFrom="column">
                  <wp:posOffset>213995</wp:posOffset>
                </wp:positionH>
                <wp:positionV relativeFrom="paragraph">
                  <wp:posOffset>5187950</wp:posOffset>
                </wp:positionV>
                <wp:extent cx="1837690" cy="497205"/>
                <wp:effectExtent l="0" t="0" r="10160" b="17145"/>
                <wp:wrapNone/>
                <wp:docPr id="97"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497205"/>
                        </a:xfrm>
                        <a:prstGeom prst="rect">
                          <a:avLst/>
                        </a:prstGeom>
                        <a:solidFill>
                          <a:srgbClr val="FFFFFF"/>
                        </a:solidFill>
                        <a:ln w="9525">
                          <a:solidFill>
                            <a:srgbClr val="000000"/>
                          </a:solidFill>
                          <a:miter lim="800000"/>
                          <a:headEnd/>
                          <a:tailEnd/>
                        </a:ln>
                      </wps:spPr>
                      <wps:txbx>
                        <w:txbxContent>
                          <w:p w14:paraId="6245A99A" w14:textId="77777777" w:rsidR="00AC34E6" w:rsidRDefault="00AC34E6" w:rsidP="00726233">
                            <w:pPr>
                              <w:spacing w:line="240" w:lineRule="auto"/>
                            </w:pPr>
                            <w:r>
                              <w:t>Final (cease and desist order, surcharges imposition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85" type="#_x0000_t202" style="position:absolute;margin-left:16.85pt;margin-top:408.5pt;width:144.7pt;height:3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">
                <v:textbox inset="5.85pt,.7pt,5.85pt,.7pt">
                  <w:txbxContent>
                    <w:p w14:paraId="6245A99A" w14:textId="77777777" w:rsidR="00AC34E6" w:rsidRDefault="00AC34E6" w:rsidP="00726233">
                      <w:pPr>
                        <w:spacing w:line="240" w:lineRule="auto"/>
                      </w:pPr>
                      <w:r>
                        <w:t>Final (cease and desist order, surcharges imposition etc.)</w:t>
                      </w:r>
                    </w:p>
                  </w:txbxContent>
                </v:textbox>
              </v:shape>
            </w:pict>
          </mc:Fallback>
        </mc:AlternateContent>
      </w:r>
      <w:r>
        <w:rPr>
          <w:rFonts w:eastAsia="MS Mincho"/>
          <w:noProof/>
          <w:lang w:eastAsia="ja-JP"/>
        </w:rPr>
        <mc:AlternateContent>
          <mc:Choice Requires="wps">
            <w:drawing>
              <wp:anchor distT="0" distB="0" distL="114300" distR="114300" simplePos="0" relativeHeight="251681792" behindDoc="0" locked="0" layoutInCell="1" allowOverlap="1" wp14:anchorId="507595FD" wp14:editId="4A07F947">
                <wp:simplePos x="0" y="0"/>
                <wp:positionH relativeFrom="column">
                  <wp:posOffset>1278255</wp:posOffset>
                </wp:positionH>
                <wp:positionV relativeFrom="paragraph">
                  <wp:posOffset>4495165</wp:posOffset>
                </wp:positionV>
                <wp:extent cx="1168400" cy="462915"/>
                <wp:effectExtent l="0" t="0" r="12700" b="13335"/>
                <wp:wrapNone/>
                <wp:docPr id="96"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462915"/>
                        </a:xfrm>
                        <a:prstGeom prst="rect">
                          <a:avLst/>
                        </a:prstGeom>
                        <a:solidFill>
                          <a:srgbClr val="FFFFFF"/>
                        </a:solidFill>
                        <a:ln w="9525">
                          <a:solidFill>
                            <a:srgbClr val="000000"/>
                          </a:solidFill>
                          <a:miter lim="800000"/>
                          <a:headEnd/>
                          <a:tailEnd/>
                        </a:ln>
                      </wps:spPr>
                      <wps:txbx>
                        <w:txbxContent>
                          <w:p w14:paraId="7E51E758" w14:textId="77777777" w:rsidR="00AC34E6" w:rsidRDefault="00AC34E6" w:rsidP="00726233">
                            <w:pPr>
                              <w:spacing w:line="240" w:lineRule="auto"/>
                            </w:pPr>
                            <w:r>
                              <w:t>Consent decision</w:t>
                            </w:r>
                          </w:p>
                          <w:p w14:paraId="27252849" w14:textId="77777777" w:rsidR="00AC34E6" w:rsidRDefault="00AC34E6" w:rsidP="00726233">
                            <w:pPr>
                              <w:spacing w:line="240" w:lineRule="auto"/>
                            </w:pPr>
                            <w:r>
                              <w:t>(</w:t>
                            </w:r>
                            <w:r>
                              <w:rPr>
                                <w:i/>
                                <w:iCs/>
                              </w:rPr>
                              <w:t>Doi</w:t>
                            </w:r>
                            <w:r w:rsidRPr="00B12A22">
                              <w:rPr>
                                <w:i/>
                                <w:iCs/>
                              </w:rPr>
                              <w:t xml:space="preserve"> shinketsu</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86" type="#_x0000_t202" style="position:absolute;margin-left:100.65pt;margin-top:353.95pt;width:92pt;height:3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">
                <v:textbox inset="5.85pt,.7pt,5.85pt,.7pt">
                  <w:txbxContent>
                    <w:p w14:paraId="7E51E758" w14:textId="77777777" w:rsidR="00AC34E6" w:rsidRDefault="00AC34E6" w:rsidP="00726233">
                      <w:pPr>
                        <w:spacing w:line="240" w:lineRule="auto"/>
                      </w:pPr>
                      <w:r>
                        <w:t>Consent decision</w:t>
                      </w:r>
                    </w:p>
                    <w:p w14:paraId="27252849" w14:textId="77777777" w:rsidR="00AC34E6" w:rsidRDefault="00AC34E6" w:rsidP="00726233">
                      <w:pPr>
                        <w:spacing w:line="240" w:lineRule="auto"/>
                      </w:pPr>
                      <w:r>
                        <w:t>(</w:t>
                      </w:r>
                      <w:r>
                        <w:rPr>
                          <w:i/>
                          <w:iCs/>
                        </w:rPr>
                        <w:t>Doi</w:t>
                      </w:r>
                      <w:r w:rsidRPr="00B12A22">
                        <w:rPr>
                          <w:i/>
                          <w:iCs/>
                        </w:rPr>
                        <w:t xml:space="preserve"> shinketsu</w:t>
                      </w:r>
                      <w:r>
                        <w:t>)</w:t>
                      </w:r>
                    </w:p>
                  </w:txbxContent>
                </v:textbox>
              </v:shape>
            </w:pict>
          </mc:Fallback>
        </mc:AlternateContent>
      </w:r>
      <w:r>
        <w:rPr>
          <w:rFonts w:eastAsia="MS Mincho"/>
          <w:noProof/>
          <w:lang w:eastAsia="ja-JP"/>
        </w:rPr>
        <mc:AlternateContent>
          <mc:Choice Requires="wps">
            <w:drawing>
              <wp:anchor distT="0" distB="0" distL="114300" distR="114300" simplePos="0" relativeHeight="251680768" behindDoc="0" locked="0" layoutInCell="1" allowOverlap="1" wp14:anchorId="2EF307FD" wp14:editId="3C863DAB">
                <wp:simplePos x="0" y="0"/>
                <wp:positionH relativeFrom="column">
                  <wp:posOffset>2641600</wp:posOffset>
                </wp:positionH>
                <wp:positionV relativeFrom="paragraph">
                  <wp:posOffset>4495165</wp:posOffset>
                </wp:positionV>
                <wp:extent cx="1497965" cy="462915"/>
                <wp:effectExtent l="0" t="0" r="26035" b="13335"/>
                <wp:wrapNone/>
                <wp:docPr id="9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462915"/>
                        </a:xfrm>
                        <a:prstGeom prst="rect">
                          <a:avLst/>
                        </a:prstGeom>
                        <a:solidFill>
                          <a:srgbClr val="FFFFFF"/>
                        </a:solidFill>
                        <a:ln w="9525">
                          <a:solidFill>
                            <a:srgbClr val="000000"/>
                          </a:solidFill>
                          <a:miter lim="800000"/>
                          <a:headEnd/>
                          <a:tailEnd/>
                        </a:ln>
                      </wps:spPr>
                      <wps:txbx>
                        <w:txbxContent>
                          <w:p w14:paraId="7B028106" w14:textId="77777777" w:rsidR="00AC34E6" w:rsidRDefault="00AC34E6" w:rsidP="00726233">
                            <w:pPr>
                              <w:spacing w:line="240" w:lineRule="auto"/>
                            </w:pPr>
                            <w:r>
                              <w:t>Complaint decision</w:t>
                            </w:r>
                          </w:p>
                          <w:p w14:paraId="2A1CCABA" w14:textId="77777777" w:rsidR="00AC34E6" w:rsidRDefault="00AC34E6" w:rsidP="00726233">
                            <w:pPr>
                              <w:spacing w:line="240" w:lineRule="auto"/>
                            </w:pPr>
                            <w:r>
                              <w:t>(</w:t>
                            </w:r>
                            <w:r w:rsidRPr="006E74DC">
                              <w:rPr>
                                <w:i/>
                                <w:iCs/>
                              </w:rPr>
                              <w:t>Shinpan shinketsu</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87" type="#_x0000_t202" style="position:absolute;margin-left:208pt;margin-top:353.95pt;width:117.95pt;height:3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">
                <v:textbox inset="5.85pt,.7pt,5.85pt,.7pt">
                  <w:txbxContent>
                    <w:p w14:paraId="7B028106" w14:textId="77777777" w:rsidR="00AC34E6" w:rsidRDefault="00AC34E6" w:rsidP="00726233">
                      <w:pPr>
                        <w:spacing w:line="240" w:lineRule="auto"/>
                      </w:pPr>
                      <w:r>
                        <w:t>Complaint decision</w:t>
                      </w:r>
                    </w:p>
                    <w:p w14:paraId="2A1CCABA" w14:textId="77777777" w:rsidR="00AC34E6" w:rsidRDefault="00AC34E6" w:rsidP="00726233">
                      <w:pPr>
                        <w:spacing w:line="240" w:lineRule="auto"/>
                      </w:pPr>
                      <w:r>
                        <w:t>(</w:t>
                      </w:r>
                      <w:r w:rsidRPr="006E74DC">
                        <w:rPr>
                          <w:i/>
                          <w:iCs/>
                        </w:rPr>
                        <w:t>Shinpan shinketsu</w:t>
                      </w:r>
                      <w:r>
                        <w:t>)</w:t>
                      </w:r>
                    </w:p>
                  </w:txbxContent>
                </v:textbox>
              </v:shape>
            </w:pict>
          </mc:Fallback>
        </mc:AlternateContent>
      </w:r>
      <w:r>
        <w:rPr>
          <w:rFonts w:eastAsia="MS Mincho"/>
          <w:noProof/>
          <w:lang w:eastAsia="ja-JP"/>
        </w:rPr>
        <mc:AlternateContent>
          <mc:Choice Requires="wps">
            <w:drawing>
              <wp:anchor distT="0" distB="0" distL="114300" distR="114300" simplePos="0" relativeHeight="251679744" behindDoc="0" locked="0" layoutInCell="1" allowOverlap="1" wp14:anchorId="04F88AE9" wp14:editId="4DF5D28D">
                <wp:simplePos x="0" y="0"/>
                <wp:positionH relativeFrom="column">
                  <wp:posOffset>2641600</wp:posOffset>
                </wp:positionH>
                <wp:positionV relativeFrom="paragraph">
                  <wp:posOffset>3948430</wp:posOffset>
                </wp:positionV>
                <wp:extent cx="1497965" cy="232410"/>
                <wp:effectExtent l="0" t="0" r="26035" b="15240"/>
                <wp:wrapNone/>
                <wp:docPr id="94"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32410"/>
                        </a:xfrm>
                        <a:prstGeom prst="rect">
                          <a:avLst/>
                        </a:prstGeom>
                        <a:solidFill>
                          <a:srgbClr val="FFFFFF"/>
                        </a:solidFill>
                        <a:ln w="9525">
                          <a:solidFill>
                            <a:srgbClr val="000000"/>
                          </a:solidFill>
                          <a:miter lim="800000"/>
                          <a:headEnd/>
                          <a:tailEnd/>
                        </a:ln>
                      </wps:spPr>
                      <wps:txbx>
                        <w:txbxContent>
                          <w:p w14:paraId="09BEB7FA" w14:textId="77777777" w:rsidR="00AC34E6" w:rsidRDefault="00AC34E6" w:rsidP="00726233">
                            <w:pPr>
                              <w:spacing w:line="240" w:lineRule="auto"/>
                            </w:pPr>
                            <w:r>
                              <w:t>Hearing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88" type="#_x0000_t202" style="position:absolute;margin-left:208pt;margin-top:310.9pt;width:117.95pt;height:1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">
                <v:textbox inset="5.85pt,.7pt,5.85pt,.7pt">
                  <w:txbxContent>
                    <w:p w14:paraId="09BEB7FA" w14:textId="77777777" w:rsidR="00AC34E6" w:rsidRDefault="00AC34E6" w:rsidP="00726233">
                      <w:pPr>
                        <w:spacing w:line="240" w:lineRule="auto"/>
                      </w:pPr>
                      <w:r>
                        <w:t>Hearing</w:t>
                      </w:r>
                    </w:p>
                  </w:txbxContent>
                </v:textbox>
              </v:shape>
            </w:pict>
          </mc:Fallback>
        </mc:AlternateContent>
      </w:r>
      <w:r>
        <w:rPr>
          <w:rFonts w:eastAsia="MS Mincho"/>
          <w:noProof/>
          <w:lang w:eastAsia="ja-JP"/>
        </w:rPr>
        <mc:AlternateContent>
          <mc:Choice Requires="wps">
            <w:drawing>
              <wp:anchor distT="0" distB="0" distL="114300" distR="114300" simplePos="0" relativeHeight="251678720" behindDoc="0" locked="0" layoutInCell="1" allowOverlap="1" wp14:anchorId="6A9B571E" wp14:editId="646A0951">
                <wp:simplePos x="0" y="0"/>
                <wp:positionH relativeFrom="column">
                  <wp:posOffset>2641600</wp:posOffset>
                </wp:positionH>
                <wp:positionV relativeFrom="paragraph">
                  <wp:posOffset>3211195</wp:posOffset>
                </wp:positionV>
                <wp:extent cx="1497965" cy="462915"/>
                <wp:effectExtent l="0" t="0" r="26035" b="13335"/>
                <wp:wrapNone/>
                <wp:docPr id="93"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462915"/>
                        </a:xfrm>
                        <a:prstGeom prst="rect">
                          <a:avLst/>
                        </a:prstGeom>
                        <a:solidFill>
                          <a:srgbClr val="FFFFFF"/>
                        </a:solidFill>
                        <a:ln w="9525">
                          <a:solidFill>
                            <a:srgbClr val="000000"/>
                          </a:solidFill>
                          <a:miter lim="800000"/>
                          <a:headEnd/>
                          <a:tailEnd/>
                        </a:ln>
                      </wps:spPr>
                      <wps:txbx>
                        <w:txbxContent>
                          <w:p w14:paraId="6E8B0211" w14:textId="77777777" w:rsidR="00AC34E6" w:rsidRDefault="00AC34E6" w:rsidP="00726233">
                            <w:pPr>
                              <w:spacing w:line="240" w:lineRule="auto"/>
                            </w:pPr>
                            <w:r>
                              <w:t xml:space="preserve">Designation of </w:t>
                            </w:r>
                          </w:p>
                          <w:p w14:paraId="65DB4314" w14:textId="77777777" w:rsidR="00AC34E6" w:rsidRDefault="00AC34E6" w:rsidP="00726233">
                            <w:pPr>
                              <w:spacing w:line="240" w:lineRule="auto"/>
                            </w:pPr>
                            <w:r>
                              <w:t>trial examiners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89" type="#_x0000_t202" style="position:absolute;margin-left:208pt;margin-top:252.85pt;width:117.95pt;height:3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">
                <v:textbox inset="5.85pt,.7pt,5.85pt,.7pt">
                  <w:txbxContent>
                    <w:p w14:paraId="6E8B0211" w14:textId="77777777" w:rsidR="00AC34E6" w:rsidRDefault="00AC34E6" w:rsidP="00726233">
                      <w:pPr>
                        <w:spacing w:line="240" w:lineRule="auto"/>
                      </w:pPr>
                      <w:r>
                        <w:t xml:space="preserve">Designation of </w:t>
                      </w:r>
                    </w:p>
                    <w:p w14:paraId="65DB4314" w14:textId="77777777" w:rsidR="00AC34E6" w:rsidRDefault="00AC34E6" w:rsidP="00726233">
                      <w:pPr>
                        <w:spacing w:line="240" w:lineRule="auto"/>
                      </w:pPr>
                      <w:proofErr w:type="gramStart"/>
                      <w:r>
                        <w:t>trial</w:t>
                      </w:r>
                      <w:proofErr w:type="gramEnd"/>
                      <w:r>
                        <w:t xml:space="preserve"> examiners</w:t>
                      </w:r>
                    </w:p>
                  </w:txbxContent>
                </v:textbox>
              </v:shape>
            </w:pict>
          </mc:Fallback>
        </mc:AlternateContent>
      </w:r>
      <w:r>
        <w:rPr>
          <w:rFonts w:eastAsia="MS Mincho"/>
          <w:noProof/>
          <w:lang w:eastAsia="ja-JP"/>
        </w:rPr>
        <mc:AlternateContent>
          <mc:Choice Requires="wps">
            <w:drawing>
              <wp:anchor distT="0" distB="0" distL="114300" distR="114300" simplePos="0" relativeHeight="251677696" behindDoc="0" locked="0" layoutInCell="1" allowOverlap="1" wp14:anchorId="52F44616" wp14:editId="003195C9">
                <wp:simplePos x="0" y="0"/>
                <wp:positionH relativeFrom="column">
                  <wp:posOffset>1638300</wp:posOffset>
                </wp:positionH>
                <wp:positionV relativeFrom="paragraph">
                  <wp:posOffset>1984375</wp:posOffset>
                </wp:positionV>
                <wp:extent cx="808355" cy="450850"/>
                <wp:effectExtent l="0" t="0" r="0" b="6350"/>
                <wp:wrapNone/>
                <wp:docPr id="9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C18B8" w14:textId="77777777" w:rsidR="00AC34E6" w:rsidRDefault="00AC34E6" w:rsidP="00726233">
                            <w:pPr>
                              <w:spacing w:line="240" w:lineRule="auto"/>
                            </w:pPr>
                            <w:r>
                              <w:t>Non acceptance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90" type="#_x0000_t202" style="position:absolute;margin-left:129pt;margin-top:156.25pt;width:63.6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" stroked="f">
                <v:textbox inset="5.85pt,.7pt,5.85pt,.7pt">
                  <w:txbxContent>
                    <w:p w14:paraId="253C18B8" w14:textId="77777777" w:rsidR="00AC34E6" w:rsidRDefault="00AC34E6" w:rsidP="00726233">
                      <w:pPr>
                        <w:spacing w:line="240" w:lineRule="auto"/>
                      </w:pPr>
                      <w:r>
                        <w:t>Non acceptance</w:t>
                      </w:r>
                    </w:p>
                  </w:txbxContent>
                </v:textbox>
              </v:shape>
            </w:pict>
          </mc:Fallback>
        </mc:AlternateContent>
      </w:r>
      <w:r>
        <w:rPr>
          <w:rFonts w:eastAsia="MS Mincho"/>
          <w:noProof/>
          <w:lang w:eastAsia="ja-JP"/>
        </w:rPr>
        <mc:AlternateContent>
          <mc:Choice Requires="wps">
            <w:drawing>
              <wp:anchor distT="0" distB="0" distL="114300" distR="114300" simplePos="0" relativeHeight="251676672" behindDoc="0" locked="0" layoutInCell="1" allowOverlap="1" wp14:anchorId="094BE0B1" wp14:editId="3EF7A145">
                <wp:simplePos x="0" y="0"/>
                <wp:positionH relativeFrom="column">
                  <wp:posOffset>405130</wp:posOffset>
                </wp:positionH>
                <wp:positionV relativeFrom="paragraph">
                  <wp:posOffset>3245485</wp:posOffset>
                </wp:positionV>
                <wp:extent cx="1687195" cy="505460"/>
                <wp:effectExtent l="0" t="0" r="27305" b="27940"/>
                <wp:wrapNone/>
                <wp:docPr id="9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505460"/>
                        </a:xfrm>
                        <a:prstGeom prst="rect">
                          <a:avLst/>
                        </a:prstGeom>
                        <a:solidFill>
                          <a:srgbClr val="FFFFFF"/>
                        </a:solidFill>
                        <a:ln w="9525">
                          <a:solidFill>
                            <a:srgbClr val="000000"/>
                          </a:solidFill>
                          <a:miter lim="800000"/>
                          <a:headEnd/>
                          <a:tailEnd/>
                        </a:ln>
                      </wps:spPr>
                      <wps:txbx>
                        <w:txbxContent>
                          <w:p w14:paraId="75F116DA" w14:textId="77777777" w:rsidR="00AC34E6" w:rsidRDefault="00AC34E6" w:rsidP="00726233">
                            <w:pPr>
                              <w:spacing w:line="240" w:lineRule="auto"/>
                            </w:pPr>
                            <w:r>
                              <w:t>Recommendation decision (</w:t>
                            </w:r>
                            <w:r w:rsidRPr="00B12A22">
                              <w:rPr>
                                <w:i/>
                                <w:iCs/>
                              </w:rPr>
                              <w:t>Kankoku shinketsu</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91" type="#_x0000_t202" style="position:absolute;margin-left:31.9pt;margin-top:255.55pt;width:132.85pt;height:3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">
                <v:textbox inset="5.85pt,.7pt,5.85pt,.7pt">
                  <w:txbxContent>
                    <w:p w14:paraId="75F116DA" w14:textId="77777777" w:rsidR="00AC34E6" w:rsidRDefault="00AC34E6" w:rsidP="00726233">
                      <w:pPr>
                        <w:spacing w:line="240" w:lineRule="auto"/>
                      </w:pPr>
                      <w:r>
                        <w:t>Recommendation decision (</w:t>
                      </w:r>
                      <w:r w:rsidRPr="00B12A22">
                        <w:rPr>
                          <w:i/>
                          <w:iCs/>
                        </w:rPr>
                        <w:t>Kankoku shinketsu</w:t>
                      </w:r>
                      <w:r>
                        <w:t>)</w:t>
                      </w:r>
                    </w:p>
                  </w:txbxContent>
                </v:textbox>
              </v:shape>
            </w:pict>
          </mc:Fallback>
        </mc:AlternateContent>
      </w:r>
      <w:r>
        <w:rPr>
          <w:rFonts w:eastAsia="MS Mincho"/>
          <w:noProof/>
          <w:lang w:eastAsia="ja-JP"/>
        </w:rPr>
        <mc:AlternateContent>
          <mc:Choice Requires="wps">
            <w:drawing>
              <wp:anchor distT="0" distB="0" distL="114300" distR="114300" simplePos="0" relativeHeight="251675648" behindDoc="0" locked="0" layoutInCell="1" allowOverlap="1" wp14:anchorId="3CF2BA69" wp14:editId="46E61D58">
                <wp:simplePos x="0" y="0"/>
                <wp:positionH relativeFrom="column">
                  <wp:posOffset>2647315</wp:posOffset>
                </wp:positionH>
                <wp:positionV relativeFrom="paragraph">
                  <wp:posOffset>2476500</wp:posOffset>
                </wp:positionV>
                <wp:extent cx="1492250" cy="462915"/>
                <wp:effectExtent l="0" t="0" r="12700" b="13335"/>
                <wp:wrapNone/>
                <wp:docPr id="9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462915"/>
                        </a:xfrm>
                        <a:prstGeom prst="rect">
                          <a:avLst/>
                        </a:prstGeom>
                        <a:solidFill>
                          <a:srgbClr val="FFFFFF"/>
                        </a:solidFill>
                        <a:ln w="9525">
                          <a:solidFill>
                            <a:srgbClr val="000000"/>
                          </a:solidFill>
                          <a:miter lim="800000"/>
                          <a:headEnd/>
                          <a:tailEnd/>
                        </a:ln>
                      </wps:spPr>
                      <wps:txbx>
                        <w:txbxContent>
                          <w:p w14:paraId="44A5F3E7" w14:textId="77777777" w:rsidR="00AC34E6" w:rsidRDefault="00AC34E6" w:rsidP="00726233">
                            <w:pPr>
                              <w:spacing w:line="240" w:lineRule="auto"/>
                            </w:pPr>
                            <w:r>
                              <w:t>Submission of answers by respondents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92" type="#_x0000_t202" style="position:absolute;margin-left:208.45pt;margin-top:195pt;width:117.5pt;height:3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">
                <v:textbox inset="5.85pt,.7pt,5.85pt,.7pt">
                  <w:txbxContent>
                    <w:p w14:paraId="44A5F3E7" w14:textId="77777777" w:rsidR="00AC34E6" w:rsidRDefault="00AC34E6" w:rsidP="00726233">
                      <w:pPr>
                        <w:spacing w:line="240" w:lineRule="auto"/>
                      </w:pPr>
                      <w:r>
                        <w:t>Submission of answers by respondents</w:t>
                      </w:r>
                    </w:p>
                  </w:txbxContent>
                </v:textbox>
              </v:shape>
            </w:pict>
          </mc:Fallback>
        </mc:AlternateContent>
      </w:r>
      <w:r>
        <w:rPr>
          <w:rFonts w:eastAsia="MS Mincho"/>
          <w:noProof/>
          <w:lang w:eastAsia="ja-JP"/>
        </w:rPr>
        <mc:AlternateContent>
          <mc:Choice Requires="wps">
            <w:drawing>
              <wp:anchor distT="0" distB="0" distL="114300" distR="114300" simplePos="0" relativeHeight="251674624" behindDoc="0" locked="0" layoutInCell="1" allowOverlap="1" wp14:anchorId="05009296" wp14:editId="02044143">
                <wp:simplePos x="0" y="0"/>
                <wp:positionH relativeFrom="column">
                  <wp:posOffset>662305</wp:posOffset>
                </wp:positionH>
                <wp:positionV relativeFrom="paragraph">
                  <wp:posOffset>2698750</wp:posOffset>
                </wp:positionV>
                <wp:extent cx="1430020" cy="240665"/>
                <wp:effectExtent l="0" t="0" r="17780" b="26035"/>
                <wp:wrapNone/>
                <wp:docPr id="89"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240665"/>
                        </a:xfrm>
                        <a:prstGeom prst="rect">
                          <a:avLst/>
                        </a:prstGeom>
                        <a:solidFill>
                          <a:srgbClr val="FFFFFF"/>
                        </a:solidFill>
                        <a:ln w="9525">
                          <a:solidFill>
                            <a:srgbClr val="000000"/>
                          </a:solidFill>
                          <a:miter lim="800000"/>
                          <a:headEnd/>
                          <a:tailEnd/>
                        </a:ln>
                      </wps:spPr>
                      <wps:txbx>
                        <w:txbxContent>
                          <w:p w14:paraId="406B7723" w14:textId="77777777" w:rsidR="00AC34E6" w:rsidRDefault="00AC34E6" w:rsidP="00726233">
                            <w:pPr>
                              <w:spacing w:line="240" w:lineRule="auto"/>
                            </w:pPr>
                            <w:r>
                              <w:t>Acceptance (</w:t>
                            </w:r>
                            <w:r>
                              <w:rPr>
                                <w:i/>
                                <w:iCs/>
                              </w:rPr>
                              <w:t>Odaku</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93" type="#_x0000_t202" style="position:absolute;margin-left:52.15pt;margin-top:212.5pt;width:112.6pt;height:1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">
                <v:textbox inset="5.85pt,.7pt,5.85pt,.7pt">
                  <w:txbxContent>
                    <w:p w14:paraId="406B7723" w14:textId="77777777" w:rsidR="00AC34E6" w:rsidRDefault="00AC34E6" w:rsidP="00726233">
                      <w:pPr>
                        <w:spacing w:line="240" w:lineRule="auto"/>
                      </w:pPr>
                      <w:r>
                        <w:t>Acceptance (</w:t>
                      </w:r>
                      <w:r>
                        <w:rPr>
                          <w:i/>
                          <w:iCs/>
                        </w:rPr>
                        <w:t>Odaku</w:t>
                      </w:r>
                      <w:r>
                        <w:t>)</w:t>
                      </w:r>
                    </w:p>
                  </w:txbxContent>
                </v:textbox>
              </v:shape>
            </w:pict>
          </mc:Fallback>
        </mc:AlternateContent>
      </w:r>
      <w:r>
        <w:rPr>
          <w:rFonts w:eastAsia="MS Mincho"/>
          <w:noProof/>
          <w:lang w:eastAsia="ja-JP"/>
        </w:rPr>
        <mc:AlternateContent>
          <mc:Choice Requires="wps">
            <w:drawing>
              <wp:anchor distT="0" distB="0" distL="114300" distR="114300" simplePos="0" relativeHeight="251673600" behindDoc="0" locked="0" layoutInCell="1" allowOverlap="1" wp14:anchorId="784866BA" wp14:editId="0C99E10A">
                <wp:simplePos x="0" y="0"/>
                <wp:positionH relativeFrom="column">
                  <wp:posOffset>4428490</wp:posOffset>
                </wp:positionH>
                <wp:positionV relativeFrom="paragraph">
                  <wp:posOffset>1284605</wp:posOffset>
                </wp:positionV>
                <wp:extent cx="876300" cy="724535"/>
                <wp:effectExtent l="0" t="0" r="19050" b="18415"/>
                <wp:wrapNone/>
                <wp:docPr id="8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24535"/>
                        </a:xfrm>
                        <a:prstGeom prst="rect">
                          <a:avLst/>
                        </a:prstGeom>
                        <a:solidFill>
                          <a:srgbClr val="FFFFFF"/>
                        </a:solidFill>
                        <a:ln w="9525">
                          <a:solidFill>
                            <a:srgbClr val="000000"/>
                          </a:solidFill>
                          <a:miter lim="800000"/>
                          <a:headEnd/>
                          <a:tailEnd/>
                        </a:ln>
                      </wps:spPr>
                      <wps:txbx>
                        <w:txbxContent>
                          <w:p w14:paraId="55A29332" w14:textId="77777777" w:rsidR="00AC34E6" w:rsidRDefault="00AC34E6" w:rsidP="00726233">
                            <w:pPr>
                              <w:spacing w:line="240" w:lineRule="auto"/>
                            </w:pPr>
                            <w:r>
                              <w:t>Criminal accusation (</w:t>
                            </w:r>
                            <w:r w:rsidRPr="00E96A3A">
                              <w:rPr>
                                <w:i/>
                                <w:iCs/>
                              </w:rPr>
                              <w:t>Kokuhatsu</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94" type="#_x0000_t202" style="position:absolute;margin-left:348.7pt;margin-top:101.15pt;width:69pt;height:5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">
                <v:textbox inset="5.85pt,.7pt,5.85pt,.7pt">
                  <w:txbxContent>
                    <w:p w14:paraId="55A29332" w14:textId="77777777" w:rsidR="00AC34E6" w:rsidRDefault="00AC34E6" w:rsidP="00726233">
                      <w:pPr>
                        <w:spacing w:line="240" w:lineRule="auto"/>
                      </w:pPr>
                      <w:r>
                        <w:t>Criminal accusation (</w:t>
                      </w:r>
                      <w:r w:rsidRPr="00E96A3A">
                        <w:rPr>
                          <w:i/>
                          <w:iCs/>
                        </w:rPr>
                        <w:t>Kokuhatsu</w:t>
                      </w:r>
                      <w:r>
                        <w:t>)</w:t>
                      </w:r>
                    </w:p>
                  </w:txbxContent>
                </v:textbox>
              </v:shape>
            </w:pict>
          </mc:Fallback>
        </mc:AlternateContent>
      </w:r>
      <w:r>
        <w:rPr>
          <w:rFonts w:eastAsia="MS Mincho"/>
          <w:noProof/>
          <w:lang w:eastAsia="ja-JP"/>
        </w:rPr>
        <mc:AlternateContent>
          <mc:Choice Requires="wps">
            <w:drawing>
              <wp:anchor distT="0" distB="0" distL="114300" distR="114300" simplePos="0" relativeHeight="251672576" behindDoc="0" locked="0" layoutInCell="1" allowOverlap="1" wp14:anchorId="065B0398" wp14:editId="6CA59237">
                <wp:simplePos x="0" y="0"/>
                <wp:positionH relativeFrom="column">
                  <wp:posOffset>2880360</wp:posOffset>
                </wp:positionH>
                <wp:positionV relativeFrom="paragraph">
                  <wp:posOffset>1284605</wp:posOffset>
                </wp:positionV>
                <wp:extent cx="1259205" cy="724535"/>
                <wp:effectExtent l="0" t="0" r="17145" b="18415"/>
                <wp:wrapNone/>
                <wp:docPr id="87"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724535"/>
                        </a:xfrm>
                        <a:prstGeom prst="rect">
                          <a:avLst/>
                        </a:prstGeom>
                        <a:solidFill>
                          <a:srgbClr val="FFFFFF"/>
                        </a:solidFill>
                        <a:ln w="9525">
                          <a:solidFill>
                            <a:srgbClr val="000000"/>
                          </a:solidFill>
                          <a:miter lim="800000"/>
                          <a:headEnd/>
                          <a:tailEnd/>
                        </a:ln>
                      </wps:spPr>
                      <wps:txbx>
                        <w:txbxContent>
                          <w:p w14:paraId="677C51B9" w14:textId="77777777" w:rsidR="00AC34E6" w:rsidRDefault="00AC34E6" w:rsidP="00726233">
                            <w:pPr>
                              <w:spacing w:line="240" w:lineRule="auto"/>
                            </w:pPr>
                            <w:r>
                              <w:t>Issue of complaint</w:t>
                            </w:r>
                          </w:p>
                          <w:p w14:paraId="275809CA" w14:textId="77777777" w:rsidR="00AC34E6" w:rsidRDefault="00AC34E6" w:rsidP="00726233">
                            <w:pPr>
                              <w:spacing w:line="240" w:lineRule="auto"/>
                            </w:pPr>
                            <w:r>
                              <w:t>(</w:t>
                            </w:r>
                            <w:r w:rsidRPr="00E96A3A">
                              <w:rPr>
                                <w:i/>
                                <w:iCs/>
                              </w:rPr>
                              <w:t>Shinpan tetsuzuki no kaishi</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95" type="#_x0000_t202" style="position:absolute;margin-left:226.8pt;margin-top:101.15pt;width:99.15pt;height:5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">
                <v:textbox inset="5.85pt,.7pt,5.85pt,.7pt">
                  <w:txbxContent>
                    <w:p w14:paraId="677C51B9" w14:textId="77777777" w:rsidR="00AC34E6" w:rsidRDefault="00AC34E6" w:rsidP="00726233">
                      <w:pPr>
                        <w:spacing w:line="240" w:lineRule="auto"/>
                      </w:pPr>
                      <w:r>
                        <w:t>Issue of complaint</w:t>
                      </w:r>
                    </w:p>
                    <w:p w14:paraId="275809CA" w14:textId="77777777" w:rsidR="00AC34E6" w:rsidRDefault="00AC34E6" w:rsidP="00726233">
                      <w:pPr>
                        <w:spacing w:line="240" w:lineRule="auto"/>
                      </w:pPr>
                      <w:r>
                        <w:t>(</w:t>
                      </w:r>
                      <w:r w:rsidRPr="00E96A3A">
                        <w:rPr>
                          <w:i/>
                          <w:iCs/>
                        </w:rPr>
                        <w:t>Shinpan tetsuzuki no kaishi</w:t>
                      </w:r>
                      <w:r>
                        <w:t>)</w:t>
                      </w:r>
                    </w:p>
                  </w:txbxContent>
                </v:textbox>
              </v:shape>
            </w:pict>
          </mc:Fallback>
        </mc:AlternateContent>
      </w:r>
      <w:r>
        <w:rPr>
          <w:rFonts w:eastAsia="MS Mincho"/>
          <w:noProof/>
          <w:lang w:eastAsia="ja-JP"/>
        </w:rPr>
        <mc:AlternateContent>
          <mc:Choice Requires="wps">
            <w:drawing>
              <wp:anchor distT="0" distB="0" distL="114300" distR="114300" simplePos="0" relativeHeight="251671552" behindDoc="0" locked="0" layoutInCell="1" allowOverlap="1" wp14:anchorId="26E74A6F" wp14:editId="121F40F2">
                <wp:simplePos x="0" y="0"/>
                <wp:positionH relativeFrom="column">
                  <wp:posOffset>1350010</wp:posOffset>
                </wp:positionH>
                <wp:positionV relativeFrom="paragraph">
                  <wp:posOffset>1277620</wp:posOffset>
                </wp:positionV>
                <wp:extent cx="1203960" cy="462915"/>
                <wp:effectExtent l="0" t="0" r="15240" b="13335"/>
                <wp:wrapNone/>
                <wp:docPr id="8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62915"/>
                        </a:xfrm>
                        <a:prstGeom prst="rect">
                          <a:avLst/>
                        </a:prstGeom>
                        <a:solidFill>
                          <a:srgbClr val="FFFFFF"/>
                        </a:solidFill>
                        <a:ln w="9525">
                          <a:solidFill>
                            <a:srgbClr val="000000"/>
                          </a:solidFill>
                          <a:miter lim="800000"/>
                          <a:headEnd/>
                          <a:tailEnd/>
                        </a:ln>
                      </wps:spPr>
                      <wps:txbx>
                        <w:txbxContent>
                          <w:p w14:paraId="76AB3814" w14:textId="77777777" w:rsidR="00AC34E6" w:rsidRDefault="00AC34E6" w:rsidP="00726233">
                            <w:pPr>
                              <w:spacing w:line="240" w:lineRule="auto"/>
                            </w:pPr>
                            <w:r>
                              <w:t>Recommendation</w:t>
                            </w:r>
                          </w:p>
                          <w:p w14:paraId="21935645" w14:textId="77777777" w:rsidR="00AC34E6" w:rsidRDefault="00AC34E6" w:rsidP="00726233">
                            <w:pPr>
                              <w:spacing w:line="240" w:lineRule="auto"/>
                            </w:pPr>
                            <w:r>
                              <w:t>(</w:t>
                            </w:r>
                            <w:r w:rsidRPr="00E96A3A">
                              <w:rPr>
                                <w:i/>
                                <w:iCs/>
                              </w:rPr>
                              <w:t>Kankoku</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96" type="#_x0000_t202" style="position:absolute;margin-left:106.3pt;margin-top:100.6pt;width:94.8pt;height:3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">
                <v:textbox inset="5.85pt,.7pt,5.85pt,.7pt">
                  <w:txbxContent>
                    <w:p w14:paraId="76AB3814" w14:textId="77777777" w:rsidR="00AC34E6" w:rsidRDefault="00AC34E6" w:rsidP="00726233">
                      <w:pPr>
                        <w:spacing w:line="240" w:lineRule="auto"/>
                      </w:pPr>
                      <w:r>
                        <w:t>Recommendation</w:t>
                      </w:r>
                    </w:p>
                    <w:p w14:paraId="21935645" w14:textId="77777777" w:rsidR="00AC34E6" w:rsidRDefault="00AC34E6" w:rsidP="00726233">
                      <w:pPr>
                        <w:spacing w:line="240" w:lineRule="auto"/>
                      </w:pPr>
                      <w:r>
                        <w:t>(</w:t>
                      </w:r>
                      <w:r w:rsidRPr="00E96A3A">
                        <w:rPr>
                          <w:i/>
                          <w:iCs/>
                        </w:rPr>
                        <w:t>Kankoku</w:t>
                      </w:r>
                      <w:r>
                        <w:t>)</w:t>
                      </w:r>
                    </w:p>
                  </w:txbxContent>
                </v:textbox>
              </v:shape>
            </w:pict>
          </mc:Fallback>
        </mc:AlternateContent>
      </w:r>
      <w:r>
        <w:rPr>
          <w:rFonts w:eastAsia="MS Mincho"/>
          <w:noProof/>
          <w:lang w:eastAsia="ja-JP"/>
        </w:rPr>
        <mc:AlternateContent>
          <mc:Choice Requires="wps">
            <w:drawing>
              <wp:anchor distT="0" distB="0" distL="114300" distR="114300" simplePos="0" relativeHeight="251670528" behindDoc="0" locked="0" layoutInCell="1" allowOverlap="1" wp14:anchorId="540B355E" wp14:editId="4D0B2C7E">
                <wp:simplePos x="0" y="0"/>
                <wp:positionH relativeFrom="column">
                  <wp:posOffset>539750</wp:posOffset>
                </wp:positionH>
                <wp:positionV relativeFrom="paragraph">
                  <wp:posOffset>1284605</wp:posOffset>
                </wp:positionV>
                <wp:extent cx="749935" cy="908050"/>
                <wp:effectExtent l="0" t="0" r="12065" b="25400"/>
                <wp:wrapNone/>
                <wp:docPr id="8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908050"/>
                        </a:xfrm>
                        <a:prstGeom prst="rect">
                          <a:avLst/>
                        </a:prstGeom>
                        <a:solidFill>
                          <a:srgbClr val="FFFFFF"/>
                        </a:solidFill>
                        <a:ln w="9525">
                          <a:solidFill>
                            <a:srgbClr val="000000"/>
                          </a:solidFill>
                          <a:miter lim="800000"/>
                          <a:headEnd/>
                          <a:tailEnd/>
                        </a:ln>
                      </wps:spPr>
                      <wps:txbx>
                        <w:txbxContent>
                          <w:p w14:paraId="303C13B7" w14:textId="77777777" w:rsidR="00AC34E6" w:rsidRDefault="00AC34E6" w:rsidP="00726233">
                            <w:pPr>
                              <w:spacing w:line="240" w:lineRule="auto"/>
                            </w:pPr>
                            <w:r>
                              <w:t>Warning/ Caution</w:t>
                            </w:r>
                          </w:p>
                          <w:p w14:paraId="0BCD1798" w14:textId="77777777" w:rsidR="00AC34E6" w:rsidRDefault="00AC34E6" w:rsidP="00726233">
                            <w:pPr>
                              <w:spacing w:line="240" w:lineRule="auto"/>
                            </w:pPr>
                            <w:r>
                              <w:t>(</w:t>
                            </w:r>
                            <w:r w:rsidRPr="00642800">
                              <w:rPr>
                                <w:i/>
                                <w:iCs/>
                              </w:rPr>
                              <w:t>Keikoku/Chui</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97" type="#_x0000_t202" style="position:absolute;margin-left:42.5pt;margin-top:101.15pt;width:59.0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">
                <v:textbox inset="5.85pt,.7pt,5.85pt,.7pt">
                  <w:txbxContent>
                    <w:p w14:paraId="303C13B7" w14:textId="77777777" w:rsidR="00AC34E6" w:rsidRDefault="00AC34E6" w:rsidP="00726233">
                      <w:pPr>
                        <w:spacing w:line="240" w:lineRule="auto"/>
                      </w:pPr>
                      <w:r>
                        <w:t>Warning/ Caution</w:t>
                      </w:r>
                    </w:p>
                    <w:p w14:paraId="0BCD1798" w14:textId="77777777" w:rsidR="00AC34E6" w:rsidRDefault="00AC34E6" w:rsidP="00726233">
                      <w:pPr>
                        <w:spacing w:line="240" w:lineRule="auto"/>
                      </w:pPr>
                      <w:r>
                        <w:t>(</w:t>
                      </w:r>
                      <w:r w:rsidRPr="00642800">
                        <w:rPr>
                          <w:i/>
                          <w:iCs/>
                        </w:rPr>
                        <w:t>Keikoku/Chui</w:t>
                      </w:r>
                      <w:r>
                        <w:t>)</w:t>
                      </w:r>
                    </w:p>
                  </w:txbxContent>
                </v:textbox>
              </v:shape>
            </w:pict>
          </mc:Fallback>
        </mc:AlternateContent>
      </w:r>
      <w:r>
        <w:rPr>
          <w:rFonts w:eastAsia="MS Mincho"/>
          <w:noProof/>
          <w:lang w:eastAsia="ja-JP"/>
        </w:rPr>
        <mc:AlternateContent>
          <mc:Choice Requires="wps">
            <w:drawing>
              <wp:anchor distT="0" distB="0" distL="114300" distR="114300" simplePos="0" relativeHeight="251669504" behindDoc="0" locked="0" layoutInCell="1" allowOverlap="1" wp14:anchorId="40B6B358" wp14:editId="3C0AFB14">
                <wp:simplePos x="0" y="0"/>
                <wp:positionH relativeFrom="column">
                  <wp:posOffset>-53340</wp:posOffset>
                </wp:positionH>
                <wp:positionV relativeFrom="paragraph">
                  <wp:posOffset>1284605</wp:posOffset>
                </wp:positionV>
                <wp:extent cx="532130" cy="462915"/>
                <wp:effectExtent l="0" t="0" r="20320" b="13335"/>
                <wp:wrapNone/>
                <wp:docPr id="8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462915"/>
                        </a:xfrm>
                        <a:prstGeom prst="rect">
                          <a:avLst/>
                        </a:prstGeom>
                        <a:solidFill>
                          <a:srgbClr val="FFFFFF"/>
                        </a:solidFill>
                        <a:ln w="9525">
                          <a:solidFill>
                            <a:srgbClr val="000000"/>
                          </a:solidFill>
                          <a:miter lim="800000"/>
                          <a:headEnd/>
                          <a:tailEnd/>
                        </a:ln>
                      </wps:spPr>
                      <wps:txbx>
                        <w:txbxContent>
                          <w:p w14:paraId="12CCB7F8" w14:textId="77777777" w:rsidR="00AC34E6" w:rsidRDefault="00AC34E6" w:rsidP="00726233">
                            <w:pPr>
                              <w:spacing w:line="240" w:lineRule="auto"/>
                            </w:pPr>
                            <w:r>
                              <w:t>No 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98" type="#_x0000_t202" style="position:absolute;margin-left:-4.2pt;margin-top:101.15pt;width:41.9pt;height:3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">
                <v:textbox inset="5.85pt,.7pt,5.85pt,.7pt">
                  <w:txbxContent>
                    <w:p w14:paraId="12CCB7F8" w14:textId="77777777" w:rsidR="00AC34E6" w:rsidRDefault="00AC34E6" w:rsidP="00726233">
                      <w:pPr>
                        <w:spacing w:line="240" w:lineRule="auto"/>
                      </w:pPr>
                      <w:r>
                        <w:t>No action</w:t>
                      </w:r>
                    </w:p>
                  </w:txbxContent>
                </v:textbox>
              </v:shape>
            </w:pict>
          </mc:Fallback>
        </mc:AlternateContent>
      </w:r>
      <w:r>
        <w:rPr>
          <w:rFonts w:eastAsia="MS Mincho"/>
          <w:noProof/>
          <w:lang w:eastAsia="ja-JP"/>
        </w:rPr>
        <mc:AlternateContent>
          <mc:Choice Requires="wps">
            <w:drawing>
              <wp:anchor distT="0" distB="0" distL="114300" distR="114300" simplePos="0" relativeHeight="251668480" behindDoc="0" locked="0" layoutInCell="1" allowOverlap="1" wp14:anchorId="0C4F0C61" wp14:editId="4F9A9E1C">
                <wp:simplePos x="0" y="0"/>
                <wp:positionH relativeFrom="column">
                  <wp:posOffset>1969770</wp:posOffset>
                </wp:positionH>
                <wp:positionV relativeFrom="paragraph">
                  <wp:posOffset>5869305</wp:posOffset>
                </wp:positionV>
                <wp:extent cx="3590290" cy="1074420"/>
                <wp:effectExtent l="0" t="0" r="10160" b="11430"/>
                <wp:wrapNone/>
                <wp:docPr id="83"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290" cy="1074420"/>
                        </a:xfrm>
                        <a:prstGeom prst="rect">
                          <a:avLst/>
                        </a:prstGeom>
                        <a:solidFill>
                          <a:schemeClr val="tx1">
                            <a:lumMod val="100000"/>
                            <a:lumOff val="0"/>
                            <a:alpha val="20000"/>
                          </a:schemeClr>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708BE" id="Rectangle 240" o:spid="_x0000_s1026" style="position:absolute;margin-left:155.1pt;margin-top:462.15pt;width:282.7pt;height:8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" fillcolor="black [3213]" strokeweight="1pt">
                <v:fill opacity="13107f"/>
                <v:textbox inset="5.85pt,.7pt,5.85pt,.7pt"/>
              </v:rect>
            </w:pict>
          </mc:Fallback>
        </mc:AlternateContent>
      </w:r>
      <w:r>
        <w:rPr>
          <w:rFonts w:eastAsia="MS Mincho"/>
          <w:noProof/>
          <w:lang w:eastAsia="ja-JP"/>
        </w:rPr>
        <mc:AlternateContent>
          <mc:Choice Requires="wps">
            <w:drawing>
              <wp:anchor distT="0" distB="0" distL="114300" distR="114300" simplePos="0" relativeHeight="251667456" behindDoc="0" locked="0" layoutInCell="1" allowOverlap="1" wp14:anchorId="79B06CD6" wp14:editId="004C57B0">
                <wp:simplePos x="0" y="0"/>
                <wp:positionH relativeFrom="column">
                  <wp:posOffset>-114935</wp:posOffset>
                </wp:positionH>
                <wp:positionV relativeFrom="paragraph">
                  <wp:posOffset>3074670</wp:posOffset>
                </wp:positionV>
                <wp:extent cx="2717800" cy="1985645"/>
                <wp:effectExtent l="0" t="0" r="6350" b="0"/>
                <wp:wrapNone/>
                <wp:docPr id="8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0" cy="1985645"/>
                        </a:xfrm>
                        <a:prstGeom prst="rect">
                          <a:avLst/>
                        </a:prstGeom>
                        <a:solidFill>
                          <a:srgbClr val="00B05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045E8" id="Rectangle 239" o:spid="_x0000_s1026" style="position:absolute;margin-left:-9.05pt;margin-top:242.1pt;width:214pt;height:15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" fillcolor="#00b050" stroked="f">
                <v:fill opacity="32896f"/>
                <v:textbox inset="5.85pt,.7pt,5.85pt,.7pt"/>
              </v:rect>
            </w:pict>
          </mc:Fallback>
        </mc:AlternateContent>
      </w:r>
      <w:r>
        <w:rPr>
          <w:rFonts w:eastAsia="MS Mincho"/>
          <w:noProof/>
          <w:lang w:eastAsia="ja-JP"/>
        </w:rPr>
        <mc:AlternateContent>
          <mc:Choice Requires="wps">
            <w:drawing>
              <wp:anchor distT="0" distB="0" distL="114300" distR="114300" simplePos="0" relativeHeight="251666432" behindDoc="0" locked="0" layoutInCell="1" allowOverlap="1" wp14:anchorId="0BCCBDDA" wp14:editId="489C0F8A">
                <wp:simplePos x="0" y="0"/>
                <wp:positionH relativeFrom="column">
                  <wp:posOffset>2602865</wp:posOffset>
                </wp:positionH>
                <wp:positionV relativeFrom="paragraph">
                  <wp:posOffset>1219835</wp:posOffset>
                </wp:positionV>
                <wp:extent cx="1601470" cy="3842385"/>
                <wp:effectExtent l="0" t="0" r="0" b="5715"/>
                <wp:wrapNone/>
                <wp:docPr id="81"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3842385"/>
                        </a:xfrm>
                        <a:prstGeom prst="rect">
                          <a:avLst/>
                        </a:prstGeom>
                        <a:solidFill>
                          <a:srgbClr val="00B05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AAB18" id="Rectangle 238" o:spid="_x0000_s1026" style="position:absolute;margin-left:204.95pt;margin-top:96.05pt;width:126.1pt;height:30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" fillcolor="#00b050" stroked="f">
                <v:fill opacity="32896f"/>
                <v:textbox inset="5.85pt,.7pt,5.85pt,.7pt"/>
              </v:rect>
            </w:pict>
          </mc:Fallback>
        </mc:AlternateContent>
      </w:r>
    </w:p>
    <w:p w14:paraId="3EEB9B54" w14:textId="77777777" w:rsidR="00050899" w:rsidRPr="00050899" w:rsidRDefault="00050899" w:rsidP="00050899">
      <w:pPr>
        <w:pStyle w:val="NoSpacing"/>
      </w:pPr>
      <w:r w:rsidRPr="00050899">
        <w:br w:type="page"/>
      </w:r>
    </w:p>
    <w:p w14:paraId="6FB2CDAA" w14:textId="77777777" w:rsidR="00050899" w:rsidRDefault="002172E5" w:rsidP="00050D4B">
      <w:pPr>
        <w:pStyle w:val="Heading2"/>
      </w:pPr>
      <w:r w:rsidRPr="006D5FEB">
        <w:rPr>
          <w:noProof/>
          <w:lang w:eastAsia="ja-JP"/>
        </w:rPr>
        <mc:AlternateContent>
          <mc:Choice Requires="wps">
            <w:drawing>
              <wp:anchor distT="0" distB="0" distL="114300" distR="114300" simplePos="0" relativeHeight="251652095" behindDoc="1" locked="0" layoutInCell="1" allowOverlap="1" wp14:anchorId="260D03F5" wp14:editId="3664CCF4">
                <wp:simplePos x="0" y="0"/>
                <wp:positionH relativeFrom="column">
                  <wp:posOffset>4099560</wp:posOffset>
                </wp:positionH>
                <wp:positionV relativeFrom="paragraph">
                  <wp:posOffset>78266</wp:posOffset>
                </wp:positionV>
                <wp:extent cx="1670685" cy="318135"/>
                <wp:effectExtent l="0" t="0" r="5715" b="5715"/>
                <wp:wrapNone/>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E53A2" w14:textId="77777777" w:rsidR="00AC34E6" w:rsidRPr="00535B0B" w:rsidRDefault="00AC34E6" w:rsidP="00535B0B">
                            <w:pPr>
                              <w:spacing w:line="240" w:lineRule="auto"/>
                              <w:rPr>
                                <w:rFonts w:eastAsia="MS Mincho"/>
                                <w:lang w:eastAsia="ja-JP"/>
                              </w:rPr>
                            </w:pPr>
                            <w:r>
                              <w:rPr>
                                <w:rFonts w:eastAsia="MS Mincho" w:hint="eastAsia"/>
                                <w:lang w:eastAsia="ja-JP"/>
                              </w:rPr>
                              <w:t>(based on the JFTC 2012b)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99" type="#_x0000_t202" style="position:absolute;margin-left:322.8pt;margin-top:6.15pt;width:131.55pt;height:25.05pt;z-index:-25166438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" stroked="f">
                <v:textbox style="mso-fit-shape-to-text:t">
                  <w:txbxContent>
                    <w:p w14:paraId="511E53A2" w14:textId="77777777" w:rsidR="00AC34E6" w:rsidRPr="00535B0B" w:rsidRDefault="00AC34E6" w:rsidP="00535B0B">
                      <w:pPr>
                        <w:spacing w:line="240" w:lineRule="auto"/>
                        <w:rPr>
                          <w:rFonts w:eastAsia="MS Mincho"/>
                          <w:lang w:eastAsia="ja-JP"/>
                        </w:rPr>
                      </w:pPr>
                      <w:r>
                        <w:rPr>
                          <w:rFonts w:eastAsia="MS Mincho" w:hint="eastAsia"/>
                          <w:lang w:eastAsia="ja-JP"/>
                        </w:rPr>
                        <w:t>(</w:t>
                      </w:r>
                      <w:proofErr w:type="gramStart"/>
                      <w:r>
                        <w:rPr>
                          <w:rFonts w:eastAsia="MS Mincho" w:hint="eastAsia"/>
                          <w:lang w:eastAsia="ja-JP"/>
                        </w:rPr>
                        <w:t>based</w:t>
                      </w:r>
                      <w:proofErr w:type="gramEnd"/>
                      <w:r>
                        <w:rPr>
                          <w:rFonts w:eastAsia="MS Mincho" w:hint="eastAsia"/>
                          <w:lang w:eastAsia="ja-JP"/>
                        </w:rPr>
                        <w:t xml:space="preserve"> on the JFTC 2012b)</w:t>
                      </w:r>
                    </w:p>
                  </w:txbxContent>
                </v:textbox>
              </v:shape>
            </w:pict>
          </mc:Fallback>
        </mc:AlternateContent>
      </w:r>
      <w:r w:rsidR="00726233" w:rsidRPr="006D5FEB">
        <w:rPr>
          <w:rFonts w:eastAsia="MS Mincho" w:hint="eastAsia"/>
          <w:lang w:eastAsia="ja-JP"/>
        </w:rPr>
        <w:t xml:space="preserve">2. </w:t>
      </w:r>
      <w:r w:rsidR="00726233" w:rsidRPr="006D5FEB">
        <w:rPr>
          <w:rFonts w:eastAsia="MS Mincho" w:hint="eastAsia"/>
          <w:lang w:eastAsia="ja-JP"/>
        </w:rPr>
        <w:tab/>
      </w:r>
      <w:bookmarkStart w:id="91" w:name="_Toc349741411"/>
      <w:r w:rsidR="00050899" w:rsidRPr="006D5FEB">
        <w:rPr>
          <w:rFonts w:hint="eastAsia"/>
        </w:rPr>
        <w:t xml:space="preserve">After January 2006 (when the </w:t>
      </w:r>
      <w:r w:rsidR="00147E99" w:rsidRPr="006D5FEB">
        <w:t xml:space="preserve">2005 </w:t>
      </w:r>
      <w:r w:rsidR="00050899" w:rsidRPr="006D5FEB">
        <w:rPr>
          <w:rFonts w:hint="eastAsia"/>
        </w:rPr>
        <w:t>AMA amendment was enacted)</w:t>
      </w:r>
      <w:bookmarkEnd w:id="91"/>
    </w:p>
    <w:p w14:paraId="0B4519A7" w14:textId="77777777" w:rsidR="00E9020E" w:rsidRPr="00E9020E" w:rsidRDefault="00E9020E" w:rsidP="002E5F12">
      <w:pPr>
        <w:pStyle w:val="NoSpacing"/>
      </w:pPr>
    </w:p>
    <w:p w14:paraId="3988DF08" w14:textId="77777777" w:rsidR="00050899" w:rsidRDefault="002172E5" w:rsidP="00050899">
      <w:pPr>
        <w:pStyle w:val="NoSpacing"/>
      </w:pPr>
      <w:r>
        <w:rPr>
          <w:noProof/>
          <w:lang w:eastAsia="ja-JP"/>
        </w:rPr>
        <mc:AlternateContent>
          <mc:Choice Requires="wps">
            <w:drawing>
              <wp:anchor distT="0" distB="0" distL="114300" distR="114300" simplePos="0" relativeHeight="251810816" behindDoc="0" locked="0" layoutInCell="1" allowOverlap="1" wp14:anchorId="0B4E3113" wp14:editId="51BD510F">
                <wp:simplePos x="0" y="0"/>
                <wp:positionH relativeFrom="column">
                  <wp:posOffset>3604895</wp:posOffset>
                </wp:positionH>
                <wp:positionV relativeFrom="paragraph">
                  <wp:posOffset>6430010</wp:posOffset>
                </wp:positionV>
                <wp:extent cx="586105" cy="207010"/>
                <wp:effectExtent l="0" t="0" r="4445" b="2540"/>
                <wp:wrapNone/>
                <wp:docPr id="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76875" w14:textId="77777777" w:rsidR="00AC34E6" w:rsidRDefault="00AC34E6" w:rsidP="00005916">
                            <w:pPr>
                              <w:spacing w:line="240" w:lineRule="auto"/>
                            </w:pPr>
                            <w:r>
                              <w:t>Appeal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100" type="#_x0000_t202" style="position:absolute;margin-left:283.85pt;margin-top:506.3pt;width:46.15pt;height:16.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L4hgIAABc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" stroked="f">
                <v:textbox inset="5.85pt,.7pt,5.85pt,.7pt">
                  <w:txbxContent>
                    <w:p w14:paraId="7DC76875" w14:textId="77777777" w:rsidR="00AC34E6" w:rsidRDefault="00AC34E6" w:rsidP="00005916">
                      <w:pPr>
                        <w:spacing w:line="240" w:lineRule="auto"/>
                      </w:pPr>
                      <w:r>
                        <w:t>Appeal</w:t>
                      </w:r>
                    </w:p>
                  </w:txbxContent>
                </v:textbox>
              </v:shape>
            </w:pict>
          </mc:Fallback>
        </mc:AlternateContent>
      </w:r>
      <w:r>
        <w:rPr>
          <w:noProof/>
          <w:lang w:eastAsia="ja-JP"/>
        </w:rPr>
        <mc:AlternateContent>
          <mc:Choice Requires="wps">
            <w:drawing>
              <wp:anchor distT="0" distB="0" distL="114300" distR="114300" simplePos="0" relativeHeight="251809792" behindDoc="0" locked="0" layoutInCell="1" allowOverlap="1" wp14:anchorId="66DB9E43" wp14:editId="12536D2C">
                <wp:simplePos x="0" y="0"/>
                <wp:positionH relativeFrom="column">
                  <wp:posOffset>5092700</wp:posOffset>
                </wp:positionH>
                <wp:positionV relativeFrom="paragraph">
                  <wp:posOffset>1780540</wp:posOffset>
                </wp:positionV>
                <wp:extent cx="452755" cy="635"/>
                <wp:effectExtent l="0" t="0" r="23495" b="37465"/>
                <wp:wrapNone/>
                <wp:docPr id="78"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858A7" id="AutoShape 378" o:spid="_x0000_s1026" type="#_x0000_t32" style="position:absolute;margin-left:401pt;margin-top:140.2pt;width:35.65pt;height:.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"/>
            </w:pict>
          </mc:Fallback>
        </mc:AlternateContent>
      </w:r>
      <w:r>
        <w:rPr>
          <w:noProof/>
          <w:lang w:eastAsia="ja-JP"/>
        </w:rPr>
        <mc:AlternateContent>
          <mc:Choice Requires="wps">
            <w:drawing>
              <wp:anchor distT="0" distB="0" distL="114300" distR="114300" simplePos="0" relativeHeight="251808768" behindDoc="0" locked="0" layoutInCell="1" allowOverlap="1" wp14:anchorId="258FFBFD" wp14:editId="1FC2EBEF">
                <wp:simplePos x="0" y="0"/>
                <wp:positionH relativeFrom="column">
                  <wp:posOffset>4959350</wp:posOffset>
                </wp:positionH>
                <wp:positionV relativeFrom="paragraph">
                  <wp:posOffset>1696720</wp:posOffset>
                </wp:positionV>
                <wp:extent cx="133350" cy="83820"/>
                <wp:effectExtent l="0" t="0" r="19050" b="11430"/>
                <wp:wrapNone/>
                <wp:docPr id="77"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3820"/>
                        </a:xfrm>
                        <a:custGeom>
                          <a:avLst/>
                          <a:gdLst>
                            <a:gd name="T0" fmla="*/ 0 w 210"/>
                            <a:gd name="T1" fmla="*/ 132 h 132"/>
                            <a:gd name="T2" fmla="*/ 30 w 210"/>
                            <a:gd name="T3" fmla="*/ 53 h 132"/>
                            <a:gd name="T4" fmla="*/ 72 w 210"/>
                            <a:gd name="T5" fmla="*/ 11 h 132"/>
                            <a:gd name="T6" fmla="*/ 131 w 210"/>
                            <a:gd name="T7" fmla="*/ 5 h 132"/>
                            <a:gd name="T8" fmla="*/ 186 w 210"/>
                            <a:gd name="T9" fmla="*/ 41 h 132"/>
                            <a:gd name="T10" fmla="*/ 204 w 210"/>
                            <a:gd name="T11" fmla="*/ 83 h 132"/>
                            <a:gd name="T12" fmla="*/ 210 w 210"/>
                            <a:gd name="T13" fmla="*/ 132 h 132"/>
                          </a:gdLst>
                          <a:ahLst/>
                          <a:cxnLst>
                            <a:cxn ang="0">
                              <a:pos x="T0" y="T1"/>
                            </a:cxn>
                            <a:cxn ang="0">
                              <a:pos x="T2" y="T3"/>
                            </a:cxn>
                            <a:cxn ang="0">
                              <a:pos x="T4" y="T5"/>
                            </a:cxn>
                            <a:cxn ang="0">
                              <a:pos x="T6" y="T7"/>
                            </a:cxn>
                            <a:cxn ang="0">
                              <a:pos x="T8" y="T9"/>
                            </a:cxn>
                            <a:cxn ang="0">
                              <a:pos x="T10" y="T11"/>
                            </a:cxn>
                            <a:cxn ang="0">
                              <a:pos x="T12" y="T13"/>
                            </a:cxn>
                          </a:cxnLst>
                          <a:rect l="0" t="0" r="r" b="b"/>
                          <a:pathLst>
                            <a:path w="210" h="132">
                              <a:moveTo>
                                <a:pt x="0" y="132"/>
                              </a:moveTo>
                              <a:cubicBezTo>
                                <a:pt x="9" y="102"/>
                                <a:pt x="18" y="73"/>
                                <a:pt x="30" y="53"/>
                              </a:cubicBezTo>
                              <a:cubicBezTo>
                                <a:pt x="42" y="33"/>
                                <a:pt x="55" y="19"/>
                                <a:pt x="72" y="11"/>
                              </a:cubicBezTo>
                              <a:cubicBezTo>
                                <a:pt x="89" y="3"/>
                                <a:pt x="112" y="0"/>
                                <a:pt x="131" y="5"/>
                              </a:cubicBezTo>
                              <a:cubicBezTo>
                                <a:pt x="150" y="10"/>
                                <a:pt x="174" y="28"/>
                                <a:pt x="186" y="41"/>
                              </a:cubicBezTo>
                              <a:cubicBezTo>
                                <a:pt x="198" y="54"/>
                                <a:pt x="200" y="68"/>
                                <a:pt x="204" y="83"/>
                              </a:cubicBezTo>
                              <a:cubicBezTo>
                                <a:pt x="208" y="98"/>
                                <a:pt x="209" y="124"/>
                                <a:pt x="210" y="1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79EDA" id="Freeform 377" o:spid="_x0000_s1026" style="position:absolute;margin-left:390.5pt;margin-top:133.6pt;width:10.5pt;height:6.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" path="m,132c9,102,18,73,30,53,42,33,55,19,72,11,89,3,112,,131,5v19,5,43,23,55,36c198,54,200,68,204,83v4,15,5,41,6,49e" filled="f">
                <v:path arrowok="t" o:connecttype="custom" o:connectlocs="0,83820;19050,33655;45720,6985;83185,3175;118110,26035;129540,52705;133350,83820" o:connectangles="0,0,0,0,0,0,0"/>
              </v:shape>
            </w:pict>
          </mc:Fallback>
        </mc:AlternateContent>
      </w:r>
      <w:r>
        <w:rPr>
          <w:noProof/>
          <w:lang w:eastAsia="ja-JP"/>
        </w:rPr>
        <mc:AlternateContent>
          <mc:Choice Requires="wps">
            <w:drawing>
              <wp:anchor distT="4294967291" distB="4294967291" distL="114300" distR="114300" simplePos="0" relativeHeight="251807744" behindDoc="0" locked="0" layoutInCell="1" allowOverlap="1" wp14:anchorId="13E1ED32" wp14:editId="5D554192">
                <wp:simplePos x="0" y="0"/>
                <wp:positionH relativeFrom="column">
                  <wp:posOffset>3079750</wp:posOffset>
                </wp:positionH>
                <wp:positionV relativeFrom="paragraph">
                  <wp:posOffset>1319529</wp:posOffset>
                </wp:positionV>
                <wp:extent cx="804545" cy="0"/>
                <wp:effectExtent l="38100" t="76200" r="14605" b="95250"/>
                <wp:wrapNone/>
                <wp:docPr id="76"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F33F7" id="AutoShape 376" o:spid="_x0000_s1026" type="#_x0000_t32" style="position:absolute;margin-left:242.5pt;margin-top:103.9pt;width:63.35pt;height:0;z-index:251807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">
                <v:stroke startarrow="block" endarrow="block"/>
              </v:shape>
            </w:pict>
          </mc:Fallback>
        </mc:AlternateContent>
      </w:r>
      <w:r>
        <w:rPr>
          <w:noProof/>
          <w:lang w:eastAsia="ja-JP"/>
        </w:rPr>
        <mc:AlternateContent>
          <mc:Choice Requires="wps">
            <w:drawing>
              <wp:anchor distT="0" distB="0" distL="114300" distR="114300" simplePos="0" relativeHeight="251806720" behindDoc="0" locked="0" layoutInCell="1" allowOverlap="1" wp14:anchorId="2AC176E6" wp14:editId="5AFB2EDE">
                <wp:simplePos x="0" y="0"/>
                <wp:positionH relativeFrom="column">
                  <wp:posOffset>5545455</wp:posOffset>
                </wp:positionH>
                <wp:positionV relativeFrom="paragraph">
                  <wp:posOffset>1780540</wp:posOffset>
                </wp:positionV>
                <wp:extent cx="635" cy="5035550"/>
                <wp:effectExtent l="76200" t="0" r="75565" b="50800"/>
                <wp:wrapNone/>
                <wp:docPr id="75"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35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084A5" id="AutoShape 375" o:spid="_x0000_s1026" type="#_x0000_t32" style="position:absolute;margin-left:436.65pt;margin-top:140.2pt;width:.05pt;height:39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3qOgIAAGIEAAAOAAAAZHJzL2Uyb0RvYy54bWysVMuO2yAU3VfqPyD2GdtJnE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">
                <v:stroke endarrow="block"/>
              </v:shape>
            </w:pict>
          </mc:Fallback>
        </mc:AlternateContent>
      </w:r>
      <w:r>
        <w:rPr>
          <w:noProof/>
          <w:lang w:eastAsia="ja-JP"/>
        </w:rPr>
        <mc:AlternateContent>
          <mc:Choice Requires="wps">
            <w:drawing>
              <wp:anchor distT="4294967291" distB="4294967291" distL="114300" distR="114300" simplePos="0" relativeHeight="251805696" behindDoc="0" locked="0" layoutInCell="1" allowOverlap="1" wp14:anchorId="7141E844" wp14:editId="08786EF2">
                <wp:simplePos x="0" y="0"/>
                <wp:positionH relativeFrom="column">
                  <wp:posOffset>739775</wp:posOffset>
                </wp:positionH>
                <wp:positionV relativeFrom="paragraph">
                  <wp:posOffset>3582669</wp:posOffset>
                </wp:positionV>
                <wp:extent cx="632460" cy="0"/>
                <wp:effectExtent l="0" t="0" r="15240" b="19050"/>
                <wp:wrapNone/>
                <wp:docPr id="74"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A1E40" id="AutoShape 374" o:spid="_x0000_s1026" type="#_x0000_t32" style="position:absolute;margin-left:58.25pt;margin-top:282.1pt;width:49.8pt;height:0;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N1Hw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"/>
            </w:pict>
          </mc:Fallback>
        </mc:AlternateContent>
      </w:r>
      <w:r>
        <w:rPr>
          <w:noProof/>
          <w:lang w:eastAsia="ja-JP"/>
        </w:rPr>
        <mc:AlternateContent>
          <mc:Choice Requires="wps">
            <w:drawing>
              <wp:anchor distT="0" distB="0" distL="114295" distR="114295" simplePos="0" relativeHeight="251804672" behindDoc="0" locked="0" layoutInCell="1" allowOverlap="1" wp14:anchorId="0F44DF4E" wp14:editId="60377F50">
                <wp:simplePos x="0" y="0"/>
                <wp:positionH relativeFrom="column">
                  <wp:posOffset>739774</wp:posOffset>
                </wp:positionH>
                <wp:positionV relativeFrom="paragraph">
                  <wp:posOffset>3582670</wp:posOffset>
                </wp:positionV>
                <wp:extent cx="0" cy="2339340"/>
                <wp:effectExtent l="76200" t="0" r="57150" b="60960"/>
                <wp:wrapNone/>
                <wp:docPr id="73"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B1F1D" id="AutoShape 373" o:spid="_x0000_s1026" type="#_x0000_t32" style="position:absolute;margin-left:58.25pt;margin-top:282.1pt;width:0;height:184.2pt;z-index:2518046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">
                <v:stroke endarrow="block"/>
              </v:shape>
            </w:pict>
          </mc:Fallback>
        </mc:AlternateContent>
      </w:r>
      <w:r>
        <w:rPr>
          <w:noProof/>
          <w:lang w:eastAsia="ja-JP"/>
        </w:rPr>
        <mc:AlternateContent>
          <mc:Choice Requires="wps">
            <w:drawing>
              <wp:anchor distT="0" distB="0" distL="114300" distR="114300" simplePos="0" relativeHeight="251803648" behindDoc="0" locked="0" layoutInCell="1" allowOverlap="1" wp14:anchorId="4C1C00F2" wp14:editId="695D186E">
                <wp:simplePos x="0" y="0"/>
                <wp:positionH relativeFrom="column">
                  <wp:posOffset>931545</wp:posOffset>
                </wp:positionH>
                <wp:positionV relativeFrom="paragraph">
                  <wp:posOffset>5573395</wp:posOffset>
                </wp:positionV>
                <wp:extent cx="902335" cy="348615"/>
                <wp:effectExtent l="38100" t="0" r="31115" b="70485"/>
                <wp:wrapNone/>
                <wp:docPr id="72"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335"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40F98" id="AutoShape 372" o:spid="_x0000_s1026" type="#_x0000_t32" style="position:absolute;margin-left:73.35pt;margin-top:438.85pt;width:71.05pt;height:27.45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">
                <v:stroke endarrow="block"/>
              </v:shape>
            </w:pict>
          </mc:Fallback>
        </mc:AlternateContent>
      </w:r>
      <w:r>
        <w:rPr>
          <w:noProof/>
          <w:lang w:eastAsia="ja-JP"/>
        </w:rPr>
        <mc:AlternateContent>
          <mc:Choice Requires="wps">
            <w:drawing>
              <wp:anchor distT="4294967291" distB="4294967291" distL="114300" distR="114300" simplePos="0" relativeHeight="251802624" behindDoc="0" locked="0" layoutInCell="1" allowOverlap="1" wp14:anchorId="337F2FF8" wp14:editId="3160082C">
                <wp:simplePos x="0" y="0"/>
                <wp:positionH relativeFrom="column">
                  <wp:posOffset>918845</wp:posOffset>
                </wp:positionH>
                <wp:positionV relativeFrom="paragraph">
                  <wp:posOffset>6049009</wp:posOffset>
                </wp:positionV>
                <wp:extent cx="915035" cy="0"/>
                <wp:effectExtent l="38100" t="76200" r="0" b="95250"/>
                <wp:wrapNone/>
                <wp:docPr id="71"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E3A5D" id="AutoShape 371" o:spid="_x0000_s1026" type="#_x0000_t32" style="position:absolute;margin-left:72.35pt;margin-top:476.3pt;width:72.05pt;height:0;flip:x;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">
                <v:stroke endarrow="block"/>
              </v:shape>
            </w:pict>
          </mc:Fallback>
        </mc:AlternateContent>
      </w:r>
      <w:r>
        <w:rPr>
          <w:noProof/>
          <w:lang w:eastAsia="ja-JP"/>
        </w:rPr>
        <mc:AlternateContent>
          <mc:Choice Requires="wps">
            <w:drawing>
              <wp:anchor distT="0" distB="0" distL="114300" distR="114300" simplePos="0" relativeHeight="251801600" behindDoc="0" locked="0" layoutInCell="1" allowOverlap="1" wp14:anchorId="4C2659F9" wp14:editId="76568510">
                <wp:simplePos x="0" y="0"/>
                <wp:positionH relativeFrom="column">
                  <wp:posOffset>526415</wp:posOffset>
                </wp:positionH>
                <wp:positionV relativeFrom="paragraph">
                  <wp:posOffset>5922010</wp:posOffset>
                </wp:positionV>
                <wp:extent cx="405130" cy="257810"/>
                <wp:effectExtent l="0" t="0" r="13970" b="27940"/>
                <wp:wrapNone/>
                <wp:docPr id="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57810"/>
                        </a:xfrm>
                        <a:prstGeom prst="rect">
                          <a:avLst/>
                        </a:prstGeom>
                        <a:solidFill>
                          <a:srgbClr val="FFFFFF"/>
                        </a:solidFill>
                        <a:ln w="9525">
                          <a:solidFill>
                            <a:srgbClr val="000000"/>
                          </a:solidFill>
                          <a:miter lim="800000"/>
                          <a:headEnd/>
                          <a:tailEnd/>
                        </a:ln>
                      </wps:spPr>
                      <wps:txbx>
                        <w:txbxContent>
                          <w:p w14:paraId="0E9723C7" w14:textId="77777777" w:rsidR="00AC34E6" w:rsidRDefault="00AC34E6" w:rsidP="00005916">
                            <w:pPr>
                              <w:spacing w:line="240" w:lineRule="auto"/>
                            </w:pPr>
                            <w:r>
                              <w:rPr>
                                <w:rFonts w:hint="eastAsia"/>
                              </w:rPr>
                              <w:t>End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101" type="#_x0000_t202" style="position:absolute;margin-left:41.45pt;margin-top:466.3pt;width:31.9pt;height:20.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">
                <v:textbox inset="5.85pt,.7pt,5.85pt,.7pt">
                  <w:txbxContent>
                    <w:p w14:paraId="0E9723C7" w14:textId="77777777" w:rsidR="00AC34E6" w:rsidRDefault="00AC34E6" w:rsidP="00005916">
                      <w:pPr>
                        <w:spacing w:line="240" w:lineRule="auto"/>
                      </w:pPr>
                      <w:r>
                        <w:rPr>
                          <w:rFonts w:hint="eastAsia"/>
                        </w:rPr>
                        <w:t>End</w:t>
                      </w:r>
                    </w:p>
                  </w:txbxContent>
                </v:textbox>
              </v:shape>
            </w:pict>
          </mc:Fallback>
        </mc:AlternateContent>
      </w:r>
      <w:r>
        <w:rPr>
          <w:noProof/>
          <w:lang w:eastAsia="ja-JP"/>
        </w:rPr>
        <mc:AlternateContent>
          <mc:Choice Requires="wps">
            <w:drawing>
              <wp:anchor distT="0" distB="0" distL="114300" distR="114300" simplePos="0" relativeHeight="251800576" behindDoc="0" locked="0" layoutInCell="1" allowOverlap="1" wp14:anchorId="703BAE52" wp14:editId="3C9B7534">
                <wp:simplePos x="0" y="0"/>
                <wp:positionH relativeFrom="column">
                  <wp:posOffset>3051175</wp:posOffset>
                </wp:positionH>
                <wp:positionV relativeFrom="paragraph">
                  <wp:posOffset>5572760</wp:posOffset>
                </wp:positionV>
                <wp:extent cx="548640" cy="635"/>
                <wp:effectExtent l="38100" t="76200" r="0" b="94615"/>
                <wp:wrapNone/>
                <wp:docPr id="69"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410D3" id="AutoShape 369" o:spid="_x0000_s1026" type="#_x0000_t32" style="position:absolute;margin-left:240.25pt;margin-top:438.8pt;width:43.2pt;height:.0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">
                <v:stroke endarrow="block"/>
              </v:shape>
            </w:pict>
          </mc:Fallback>
        </mc:AlternateContent>
      </w:r>
      <w:r>
        <w:rPr>
          <w:noProof/>
          <w:lang w:eastAsia="ja-JP"/>
        </w:rPr>
        <mc:AlternateContent>
          <mc:Choice Requires="wps">
            <w:drawing>
              <wp:anchor distT="0" distB="0" distL="114300" distR="114300" simplePos="0" relativeHeight="251799552" behindDoc="0" locked="0" layoutInCell="1" allowOverlap="1" wp14:anchorId="32EC17A5" wp14:editId="2653E0EC">
                <wp:simplePos x="0" y="0"/>
                <wp:positionH relativeFrom="column">
                  <wp:posOffset>1833880</wp:posOffset>
                </wp:positionH>
                <wp:positionV relativeFrom="paragraph">
                  <wp:posOffset>5363845</wp:posOffset>
                </wp:positionV>
                <wp:extent cx="1217295" cy="462915"/>
                <wp:effectExtent l="0" t="0" r="20955" b="13335"/>
                <wp:wrapNone/>
                <wp:docPr id="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462915"/>
                        </a:xfrm>
                        <a:prstGeom prst="rect">
                          <a:avLst/>
                        </a:prstGeom>
                        <a:solidFill>
                          <a:srgbClr val="FFFFFF"/>
                        </a:solidFill>
                        <a:ln w="9525">
                          <a:solidFill>
                            <a:srgbClr val="000000"/>
                          </a:solidFill>
                          <a:miter lim="800000"/>
                          <a:headEnd/>
                          <a:tailEnd/>
                        </a:ln>
                      </wps:spPr>
                      <wps:txbx>
                        <w:txbxContent>
                          <w:p w14:paraId="70E1B778" w14:textId="77777777" w:rsidR="00AC34E6" w:rsidRDefault="00AC34E6" w:rsidP="00005916">
                            <w:pPr>
                              <w:spacing w:line="240" w:lineRule="auto"/>
                            </w:pPr>
                            <w:r>
                              <w:t>Consent decision</w:t>
                            </w:r>
                          </w:p>
                          <w:p w14:paraId="1E48589A" w14:textId="77777777" w:rsidR="00AC34E6" w:rsidRDefault="00AC34E6" w:rsidP="00005916">
                            <w:pPr>
                              <w:spacing w:line="240" w:lineRule="auto"/>
                            </w:pPr>
                            <w:r>
                              <w:t>(</w:t>
                            </w:r>
                            <w:r>
                              <w:rPr>
                                <w:i/>
                                <w:iCs/>
                              </w:rPr>
                              <w:t>Doi</w:t>
                            </w:r>
                            <w:r w:rsidRPr="00B12A22">
                              <w:rPr>
                                <w:i/>
                                <w:iCs/>
                              </w:rPr>
                              <w:t xml:space="preserve"> shinketsu</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102" type="#_x0000_t202" style="position:absolute;margin-left:144.4pt;margin-top:422.35pt;width:95.85pt;height:36.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">
                <v:textbox inset="5.85pt,.7pt,5.85pt,.7pt">
                  <w:txbxContent>
                    <w:p w14:paraId="70E1B778" w14:textId="77777777" w:rsidR="00AC34E6" w:rsidRDefault="00AC34E6" w:rsidP="00005916">
                      <w:pPr>
                        <w:spacing w:line="240" w:lineRule="auto"/>
                      </w:pPr>
                      <w:r>
                        <w:t>Consent decision</w:t>
                      </w:r>
                    </w:p>
                    <w:p w14:paraId="1E48589A" w14:textId="77777777" w:rsidR="00AC34E6" w:rsidRDefault="00AC34E6" w:rsidP="00005916">
                      <w:pPr>
                        <w:spacing w:line="240" w:lineRule="auto"/>
                      </w:pPr>
                      <w:r>
                        <w:t>(</w:t>
                      </w:r>
                      <w:r>
                        <w:rPr>
                          <w:i/>
                          <w:iCs/>
                        </w:rPr>
                        <w:t>Doi</w:t>
                      </w:r>
                      <w:r w:rsidRPr="00B12A22">
                        <w:rPr>
                          <w:i/>
                          <w:iCs/>
                        </w:rPr>
                        <w:t xml:space="preserve"> shinketsu</w:t>
                      </w:r>
                      <w:r>
                        <w:t>)</w:t>
                      </w:r>
                    </w:p>
                  </w:txbxContent>
                </v:textbox>
              </v:shape>
            </w:pict>
          </mc:Fallback>
        </mc:AlternateContent>
      </w:r>
      <w:r>
        <w:rPr>
          <w:noProof/>
          <w:lang w:eastAsia="ja-JP"/>
        </w:rPr>
        <mc:AlternateContent>
          <mc:Choice Requires="wps">
            <w:drawing>
              <wp:anchor distT="0" distB="0" distL="114300" distR="114300" simplePos="0" relativeHeight="251798528" behindDoc="0" locked="0" layoutInCell="1" allowOverlap="1" wp14:anchorId="7AE87840" wp14:editId="435A2A22">
                <wp:simplePos x="0" y="0"/>
                <wp:positionH relativeFrom="column">
                  <wp:posOffset>4067810</wp:posOffset>
                </wp:positionH>
                <wp:positionV relativeFrom="paragraph">
                  <wp:posOffset>6281420</wp:posOffset>
                </wp:positionV>
                <wp:extent cx="372745" cy="534670"/>
                <wp:effectExtent l="38100" t="0" r="27305" b="55880"/>
                <wp:wrapNone/>
                <wp:docPr id="67"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745" cy="53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5F4EF" id="AutoShape 367" o:spid="_x0000_s1026" type="#_x0000_t32" style="position:absolute;margin-left:320.3pt;margin-top:494.6pt;width:29.35pt;height:42.1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">
                <v:stroke endarrow="block"/>
              </v:shape>
            </w:pict>
          </mc:Fallback>
        </mc:AlternateContent>
      </w:r>
      <w:r>
        <w:rPr>
          <w:noProof/>
          <w:lang w:eastAsia="ja-JP"/>
        </w:rPr>
        <mc:AlternateContent>
          <mc:Choice Requires="wps">
            <w:drawing>
              <wp:anchor distT="0" distB="0" distL="114300" distR="114300" simplePos="0" relativeHeight="251797504" behindDoc="0" locked="0" layoutInCell="1" allowOverlap="1" wp14:anchorId="750F2FFE" wp14:editId="62B114B7">
                <wp:simplePos x="0" y="0"/>
                <wp:positionH relativeFrom="column">
                  <wp:posOffset>931545</wp:posOffset>
                </wp:positionH>
                <wp:positionV relativeFrom="paragraph">
                  <wp:posOffset>7035800</wp:posOffset>
                </wp:positionV>
                <wp:extent cx="1272540" cy="243205"/>
                <wp:effectExtent l="0" t="0" r="22860" b="23495"/>
                <wp:wrapNone/>
                <wp:docPr id="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43205"/>
                        </a:xfrm>
                        <a:prstGeom prst="rect">
                          <a:avLst/>
                        </a:prstGeom>
                        <a:solidFill>
                          <a:srgbClr val="FFFFFF"/>
                        </a:solidFill>
                        <a:ln w="9525" cap="rnd">
                          <a:solidFill>
                            <a:schemeClr val="tx1">
                              <a:lumMod val="100000"/>
                              <a:lumOff val="0"/>
                            </a:schemeClr>
                          </a:solidFill>
                          <a:prstDash val="sysDot"/>
                          <a:miter lim="800000"/>
                          <a:headEnd/>
                          <a:tailEnd/>
                        </a:ln>
                      </wps:spPr>
                      <wps:txbx>
                        <w:txbxContent>
                          <w:p w14:paraId="21C9BD1C" w14:textId="77777777" w:rsidR="00AC34E6" w:rsidRDefault="00AC34E6" w:rsidP="00005916">
                            <w:pPr>
                              <w:spacing w:line="240" w:lineRule="auto"/>
                            </w:pPr>
                            <w:r>
                              <w:t>Tokyo High Court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103" type="#_x0000_t202" style="position:absolute;margin-left:73.35pt;margin-top:554pt;width:100.2pt;height:19.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" strokecolor="black [3213]">
                <v:stroke dashstyle="1 1" endcap="round"/>
                <v:textbox inset="5.85pt,.7pt,5.85pt,.7pt">
                  <w:txbxContent>
                    <w:p w14:paraId="21C9BD1C" w14:textId="77777777" w:rsidR="00AC34E6" w:rsidRDefault="00AC34E6" w:rsidP="00005916">
                      <w:pPr>
                        <w:spacing w:line="240" w:lineRule="auto"/>
                      </w:pPr>
                      <w:r>
                        <w:t>Tokyo High Court</w:t>
                      </w:r>
                    </w:p>
                  </w:txbxContent>
                </v:textbox>
              </v:shape>
            </w:pict>
          </mc:Fallback>
        </mc:AlternateContent>
      </w:r>
      <w:r>
        <w:rPr>
          <w:noProof/>
          <w:lang w:eastAsia="ja-JP"/>
        </w:rPr>
        <mc:AlternateContent>
          <mc:Choice Requires="wps">
            <w:drawing>
              <wp:anchor distT="0" distB="0" distL="114300" distR="114300" simplePos="0" relativeHeight="251796480" behindDoc="0" locked="0" layoutInCell="1" allowOverlap="1" wp14:anchorId="3E748A9F" wp14:editId="17F6BCF2">
                <wp:simplePos x="0" y="0"/>
                <wp:positionH relativeFrom="column">
                  <wp:posOffset>4375150</wp:posOffset>
                </wp:positionH>
                <wp:positionV relativeFrom="paragraph">
                  <wp:posOffset>5476875</wp:posOffset>
                </wp:positionV>
                <wp:extent cx="650240" cy="804545"/>
                <wp:effectExtent l="0" t="0" r="16510" b="14605"/>
                <wp:wrapNone/>
                <wp:docPr id="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804545"/>
                        </a:xfrm>
                        <a:prstGeom prst="rect">
                          <a:avLst/>
                        </a:prstGeom>
                        <a:solidFill>
                          <a:srgbClr val="FFFFFF"/>
                        </a:solidFill>
                        <a:ln w="9525">
                          <a:solidFill>
                            <a:srgbClr val="000000"/>
                          </a:solidFill>
                          <a:miter lim="800000"/>
                          <a:headEnd/>
                          <a:tailEnd/>
                        </a:ln>
                      </wps:spPr>
                      <wps:txbx>
                        <w:txbxContent>
                          <w:p w14:paraId="71965589" w14:textId="77777777" w:rsidR="00AC34E6" w:rsidRDefault="00AC34E6" w:rsidP="00005916">
                            <w:pPr>
                              <w:spacing w:line="240" w:lineRule="auto"/>
                            </w:pPr>
                            <w:r>
                              <w:rPr>
                                <w:rFonts w:hint="eastAsia"/>
                              </w:rPr>
                              <w:t>Tokyo</w:t>
                            </w:r>
                          </w:p>
                          <w:p w14:paraId="2F5C6C92" w14:textId="77777777" w:rsidR="00AC34E6" w:rsidRDefault="00AC34E6" w:rsidP="00005916">
                            <w:pPr>
                              <w:spacing w:line="240" w:lineRule="auto"/>
                            </w:pPr>
                            <w:r>
                              <w:rPr>
                                <w:rFonts w:hint="eastAsia"/>
                              </w:rPr>
                              <w:t>District</w:t>
                            </w:r>
                          </w:p>
                          <w:p w14:paraId="07BDE400" w14:textId="77777777" w:rsidR="00AC34E6" w:rsidRDefault="00AC34E6" w:rsidP="00005916">
                            <w:pPr>
                              <w:spacing w:line="240" w:lineRule="auto"/>
                            </w:pPr>
                            <w:r>
                              <w:rPr>
                                <w:rFonts w:hint="eastAsia"/>
                              </w:rPr>
                              <w:t>Court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104" type="#_x0000_t202" style="position:absolute;margin-left:344.5pt;margin-top:431.25pt;width:51.2pt;height:63.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">
                <v:textbox inset="5.85pt,.7pt,5.85pt,.7pt">
                  <w:txbxContent>
                    <w:p w14:paraId="71965589" w14:textId="77777777" w:rsidR="00AC34E6" w:rsidRDefault="00AC34E6" w:rsidP="00005916">
                      <w:pPr>
                        <w:spacing w:line="240" w:lineRule="auto"/>
                      </w:pPr>
                      <w:r>
                        <w:rPr>
                          <w:rFonts w:hint="eastAsia"/>
                        </w:rPr>
                        <w:t>Tokyo</w:t>
                      </w:r>
                    </w:p>
                    <w:p w14:paraId="2F5C6C92" w14:textId="77777777" w:rsidR="00AC34E6" w:rsidRDefault="00AC34E6" w:rsidP="00005916">
                      <w:pPr>
                        <w:spacing w:line="240" w:lineRule="auto"/>
                      </w:pPr>
                      <w:r>
                        <w:rPr>
                          <w:rFonts w:hint="eastAsia"/>
                        </w:rPr>
                        <w:t>District</w:t>
                      </w:r>
                    </w:p>
                    <w:p w14:paraId="07BDE400" w14:textId="77777777" w:rsidR="00AC34E6" w:rsidRDefault="00AC34E6" w:rsidP="00005916">
                      <w:pPr>
                        <w:spacing w:line="240" w:lineRule="auto"/>
                      </w:pPr>
                      <w:r>
                        <w:rPr>
                          <w:rFonts w:hint="eastAsia"/>
                        </w:rPr>
                        <w:t>Court</w:t>
                      </w:r>
                    </w:p>
                  </w:txbxContent>
                </v:textbox>
              </v:shape>
            </w:pict>
          </mc:Fallback>
        </mc:AlternateContent>
      </w:r>
      <w:r>
        <w:rPr>
          <w:noProof/>
          <w:lang w:eastAsia="ja-JP"/>
        </w:rPr>
        <mc:AlternateContent>
          <mc:Choice Requires="wps">
            <w:drawing>
              <wp:anchor distT="0" distB="0" distL="114300" distR="114300" simplePos="0" relativeHeight="251795456" behindDoc="0" locked="0" layoutInCell="1" allowOverlap="1" wp14:anchorId="6FBB58D1" wp14:editId="014B4004">
                <wp:simplePos x="0" y="0"/>
                <wp:positionH relativeFrom="column">
                  <wp:posOffset>888365</wp:posOffset>
                </wp:positionH>
                <wp:positionV relativeFrom="paragraph">
                  <wp:posOffset>4505960</wp:posOffset>
                </wp:positionV>
                <wp:extent cx="798195" cy="447040"/>
                <wp:effectExtent l="0" t="0" r="20955" b="10160"/>
                <wp:wrapNone/>
                <wp:docPr id="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447040"/>
                        </a:xfrm>
                        <a:prstGeom prst="rect">
                          <a:avLst/>
                        </a:prstGeom>
                        <a:solidFill>
                          <a:srgbClr val="FFFFFF"/>
                        </a:solidFill>
                        <a:ln w="9525">
                          <a:solidFill>
                            <a:schemeClr val="tx1">
                              <a:lumMod val="100000"/>
                              <a:lumOff val="0"/>
                            </a:schemeClr>
                          </a:solidFill>
                          <a:prstDash val="sysDot"/>
                          <a:miter lim="800000"/>
                          <a:headEnd/>
                          <a:tailEnd/>
                        </a:ln>
                      </wps:spPr>
                      <wps:txbx>
                        <w:txbxContent>
                          <w:p w14:paraId="32CE4417" w14:textId="77777777" w:rsidR="00AC34E6" w:rsidRDefault="00AC34E6" w:rsidP="00005916">
                            <w:pPr>
                              <w:spacing w:line="240" w:lineRule="auto"/>
                            </w:pPr>
                            <w:r>
                              <w:rPr>
                                <w:rFonts w:hint="eastAsia"/>
                              </w:rPr>
                              <w:t>Complaint</w:t>
                            </w:r>
                          </w:p>
                          <w:p w14:paraId="2E16E2E6" w14:textId="77777777" w:rsidR="00AC34E6" w:rsidRDefault="00AC34E6" w:rsidP="00005916">
                            <w:pPr>
                              <w:spacing w:line="240" w:lineRule="auto"/>
                            </w:pPr>
                            <w:r>
                              <w:rPr>
                                <w:rFonts w:hint="eastAsia"/>
                              </w:rPr>
                              <w:t>(</w:t>
                            </w:r>
                            <w:r w:rsidRPr="00FB0F09">
                              <w:rPr>
                                <w:rFonts w:hint="eastAsia"/>
                                <w:i/>
                              </w:rPr>
                              <w:t>Shin</w:t>
                            </w:r>
                            <w:r>
                              <w:rPr>
                                <w:rFonts w:hint="eastAsia"/>
                                <w:i/>
                              </w:rPr>
                              <w:t>pan</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105" type="#_x0000_t202" style="position:absolute;margin-left:69.95pt;margin-top:354.8pt;width:62.85pt;height:35.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" strokecolor="black [3213]">
                <v:stroke dashstyle="1 1"/>
                <v:textbox inset="5.85pt,.7pt,5.85pt,.7pt">
                  <w:txbxContent>
                    <w:p w14:paraId="32CE4417" w14:textId="77777777" w:rsidR="00AC34E6" w:rsidRDefault="00AC34E6" w:rsidP="00005916">
                      <w:pPr>
                        <w:spacing w:line="240" w:lineRule="auto"/>
                      </w:pPr>
                      <w:r>
                        <w:rPr>
                          <w:rFonts w:hint="eastAsia"/>
                        </w:rPr>
                        <w:t>Complaint</w:t>
                      </w:r>
                    </w:p>
                    <w:p w14:paraId="2E16E2E6" w14:textId="77777777" w:rsidR="00AC34E6" w:rsidRDefault="00AC34E6" w:rsidP="00005916">
                      <w:pPr>
                        <w:spacing w:line="240" w:lineRule="auto"/>
                      </w:pPr>
                      <w:r>
                        <w:rPr>
                          <w:rFonts w:hint="eastAsia"/>
                        </w:rPr>
                        <w:t>(</w:t>
                      </w:r>
                      <w:r w:rsidRPr="00FB0F09">
                        <w:rPr>
                          <w:rFonts w:hint="eastAsia"/>
                          <w:i/>
                        </w:rPr>
                        <w:t>Shin</w:t>
                      </w:r>
                      <w:r>
                        <w:rPr>
                          <w:rFonts w:hint="eastAsia"/>
                          <w:i/>
                        </w:rPr>
                        <w:t>pan</w:t>
                      </w:r>
                      <w:r>
                        <w:rPr>
                          <w:rFonts w:hint="eastAsia"/>
                        </w:rPr>
                        <w:t>)</w:t>
                      </w:r>
                    </w:p>
                  </w:txbxContent>
                </v:textbox>
              </v:shape>
            </w:pict>
          </mc:Fallback>
        </mc:AlternateContent>
      </w:r>
      <w:r>
        <w:rPr>
          <w:noProof/>
          <w:lang w:eastAsia="ja-JP"/>
        </w:rPr>
        <mc:AlternateContent>
          <mc:Choice Requires="wps">
            <w:drawing>
              <wp:anchor distT="0" distB="0" distL="114300" distR="114300" simplePos="0" relativeHeight="251794432" behindDoc="0" locked="0" layoutInCell="1" allowOverlap="1" wp14:anchorId="3EE3971F" wp14:editId="3C29468C">
                <wp:simplePos x="0" y="0"/>
                <wp:positionH relativeFrom="column">
                  <wp:posOffset>3940810</wp:posOffset>
                </wp:positionH>
                <wp:positionV relativeFrom="paragraph">
                  <wp:posOffset>1780540</wp:posOffset>
                </wp:positionV>
                <wp:extent cx="635" cy="159385"/>
                <wp:effectExtent l="76200" t="0" r="75565" b="50165"/>
                <wp:wrapNone/>
                <wp:docPr id="63"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FC916" id="AutoShape 363" o:spid="_x0000_s1026" type="#_x0000_t32" style="position:absolute;margin-left:310.3pt;margin-top:140.2pt;width:.05pt;height:12.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">
                <v:stroke endarrow="block"/>
              </v:shape>
            </w:pict>
          </mc:Fallback>
        </mc:AlternateContent>
      </w:r>
      <w:r>
        <w:rPr>
          <w:noProof/>
          <w:lang w:eastAsia="ja-JP"/>
        </w:rPr>
        <mc:AlternateContent>
          <mc:Choice Requires="wps">
            <w:drawing>
              <wp:anchor distT="0" distB="0" distL="114295" distR="114295" simplePos="0" relativeHeight="251793408" behindDoc="0" locked="0" layoutInCell="1" allowOverlap="1" wp14:anchorId="16843657" wp14:editId="69255409">
                <wp:simplePos x="0" y="0"/>
                <wp:positionH relativeFrom="column">
                  <wp:posOffset>3942714</wp:posOffset>
                </wp:positionH>
                <wp:positionV relativeFrom="paragraph">
                  <wp:posOffset>3119755</wp:posOffset>
                </wp:positionV>
                <wp:extent cx="0" cy="227965"/>
                <wp:effectExtent l="76200" t="0" r="57150" b="57785"/>
                <wp:wrapNone/>
                <wp:docPr id="62"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68E2C" id="AutoShape 362" o:spid="_x0000_s1026" type="#_x0000_t32" style="position:absolute;margin-left:310.45pt;margin-top:245.65pt;width:0;height:17.95pt;z-index:2517934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Xe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">
                <v:stroke endarrow="block"/>
              </v:shape>
            </w:pict>
          </mc:Fallback>
        </mc:AlternateContent>
      </w:r>
      <w:r>
        <w:rPr>
          <w:noProof/>
          <w:lang w:eastAsia="ja-JP"/>
        </w:rPr>
        <mc:AlternateContent>
          <mc:Choice Requires="wps">
            <w:drawing>
              <wp:anchor distT="0" distB="0" distL="114300" distR="114300" simplePos="0" relativeHeight="251792384" behindDoc="0" locked="0" layoutInCell="1" allowOverlap="1" wp14:anchorId="5815D275" wp14:editId="5837AFA3">
                <wp:simplePos x="0" y="0"/>
                <wp:positionH relativeFrom="column">
                  <wp:posOffset>3942715</wp:posOffset>
                </wp:positionH>
                <wp:positionV relativeFrom="paragraph">
                  <wp:posOffset>3818255</wp:posOffset>
                </wp:positionV>
                <wp:extent cx="2540" cy="196215"/>
                <wp:effectExtent l="76200" t="0" r="73660" b="51435"/>
                <wp:wrapNone/>
                <wp:docPr id="61"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26B54" id="AutoShape 361" o:spid="_x0000_s1026" type="#_x0000_t32" style="position:absolute;margin-left:310.45pt;margin-top:300.65pt;width:.2pt;height:15.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xNgIAAGI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">
                <v:stroke endarrow="block"/>
              </v:shape>
            </w:pict>
          </mc:Fallback>
        </mc:AlternateContent>
      </w:r>
      <w:r>
        <w:rPr>
          <w:noProof/>
          <w:lang w:eastAsia="ja-JP"/>
        </w:rPr>
        <mc:AlternateContent>
          <mc:Choice Requires="wps">
            <w:drawing>
              <wp:anchor distT="0" distB="0" distL="114300" distR="114300" simplePos="0" relativeHeight="251791360" behindDoc="0" locked="0" layoutInCell="1" allowOverlap="1" wp14:anchorId="6B59F7F3" wp14:editId="758A0927">
                <wp:simplePos x="0" y="0"/>
                <wp:positionH relativeFrom="column">
                  <wp:posOffset>1372235</wp:posOffset>
                </wp:positionH>
                <wp:positionV relativeFrom="paragraph">
                  <wp:posOffset>3347720</wp:posOffset>
                </wp:positionV>
                <wp:extent cx="2932430" cy="470535"/>
                <wp:effectExtent l="0" t="0" r="20320" b="24765"/>
                <wp:wrapNone/>
                <wp:docPr id="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70535"/>
                        </a:xfrm>
                        <a:prstGeom prst="rect">
                          <a:avLst/>
                        </a:prstGeom>
                        <a:solidFill>
                          <a:srgbClr val="FFFFFF"/>
                        </a:solidFill>
                        <a:ln w="9525">
                          <a:solidFill>
                            <a:srgbClr val="000000"/>
                          </a:solidFill>
                          <a:miter lim="800000"/>
                          <a:headEnd/>
                          <a:tailEnd/>
                        </a:ln>
                      </wps:spPr>
                      <wps:txbx>
                        <w:txbxContent>
                          <w:p w14:paraId="32CAE2E2" w14:textId="77777777" w:rsidR="00AC34E6" w:rsidRDefault="00AC34E6" w:rsidP="00005916">
                            <w:pPr>
                              <w:spacing w:line="240" w:lineRule="auto"/>
                            </w:pPr>
                            <w:r>
                              <w:rPr>
                                <w:rFonts w:hint="eastAsia"/>
                              </w:rPr>
                              <w:t>Cease and desist order/ surcharge payment order</w:t>
                            </w:r>
                          </w:p>
                          <w:p w14:paraId="2C6ECD4C" w14:textId="77777777" w:rsidR="00AC34E6" w:rsidRDefault="00AC34E6" w:rsidP="00147E99">
                            <w:pPr>
                              <w:spacing w:line="240" w:lineRule="auto"/>
                            </w:pPr>
                            <w:r>
                              <w:rPr>
                                <w:rFonts w:hint="eastAsia"/>
                              </w:rPr>
                              <w:t>(</w:t>
                            </w:r>
                            <w:r w:rsidRPr="004B3DAB">
                              <w:rPr>
                                <w:rFonts w:hint="eastAsia"/>
                                <w:i/>
                              </w:rPr>
                              <w:t>Ha</w:t>
                            </w:r>
                            <w:r>
                              <w:rPr>
                                <w:i/>
                              </w:rPr>
                              <w:t>i</w:t>
                            </w:r>
                            <w:r w:rsidRPr="004B3DAB">
                              <w:rPr>
                                <w:rFonts w:hint="eastAsia"/>
                                <w:i/>
                              </w:rPr>
                              <w:t>jo</w:t>
                            </w:r>
                            <w:r>
                              <w:rPr>
                                <w:rFonts w:hint="eastAsia"/>
                                <w:i/>
                              </w:rPr>
                              <w:t>sochi</w:t>
                            </w:r>
                            <w:r w:rsidRPr="004B3DAB">
                              <w:rPr>
                                <w:rFonts w:hint="eastAsia"/>
                                <w:i/>
                              </w:rPr>
                              <w:t xml:space="preserve"> Meirei/Kachokinn Nouhu Meirei</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106" type="#_x0000_t202" style="position:absolute;margin-left:108.05pt;margin-top:263.6pt;width:230.9pt;height:37.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">
                <v:textbox inset="5.85pt,.7pt,5.85pt,.7pt">
                  <w:txbxContent>
                    <w:p w14:paraId="32CAE2E2" w14:textId="77777777" w:rsidR="00AC34E6" w:rsidRDefault="00AC34E6" w:rsidP="00005916">
                      <w:pPr>
                        <w:spacing w:line="240" w:lineRule="auto"/>
                      </w:pPr>
                      <w:r>
                        <w:rPr>
                          <w:rFonts w:hint="eastAsia"/>
                        </w:rPr>
                        <w:t>Cease and desist order/ surcharge payment order</w:t>
                      </w:r>
                    </w:p>
                    <w:p w14:paraId="2C6ECD4C" w14:textId="77777777" w:rsidR="00AC34E6" w:rsidRDefault="00AC34E6" w:rsidP="00147E99">
                      <w:pPr>
                        <w:spacing w:line="240" w:lineRule="auto"/>
                      </w:pPr>
                      <w:r>
                        <w:rPr>
                          <w:rFonts w:hint="eastAsia"/>
                        </w:rPr>
                        <w:t>(</w:t>
                      </w:r>
                      <w:r w:rsidRPr="004B3DAB">
                        <w:rPr>
                          <w:rFonts w:hint="eastAsia"/>
                          <w:i/>
                        </w:rPr>
                        <w:t>Ha</w:t>
                      </w:r>
                      <w:r>
                        <w:rPr>
                          <w:i/>
                        </w:rPr>
                        <w:t>i</w:t>
                      </w:r>
                      <w:r w:rsidRPr="004B3DAB">
                        <w:rPr>
                          <w:rFonts w:hint="eastAsia"/>
                          <w:i/>
                        </w:rPr>
                        <w:t>jo</w:t>
                      </w:r>
                      <w:r>
                        <w:rPr>
                          <w:rFonts w:hint="eastAsia"/>
                          <w:i/>
                        </w:rPr>
                        <w:t>sochi</w:t>
                      </w:r>
                      <w:r w:rsidRPr="004B3DAB">
                        <w:rPr>
                          <w:rFonts w:hint="eastAsia"/>
                          <w:i/>
                        </w:rPr>
                        <w:t xml:space="preserve"> Meirei/Kachokinn Nouhu Meirei</w:t>
                      </w:r>
                      <w:r>
                        <w:rPr>
                          <w:rFonts w:hint="eastAsia"/>
                        </w:rPr>
                        <w:t>)</w:t>
                      </w:r>
                    </w:p>
                  </w:txbxContent>
                </v:textbox>
              </v:shape>
            </w:pict>
          </mc:Fallback>
        </mc:AlternateContent>
      </w:r>
      <w:r>
        <w:rPr>
          <w:noProof/>
          <w:lang w:eastAsia="ja-JP"/>
        </w:rPr>
        <mc:AlternateContent>
          <mc:Choice Requires="wps">
            <w:drawing>
              <wp:anchor distT="0" distB="0" distL="114300" distR="114300" simplePos="0" relativeHeight="251790336" behindDoc="0" locked="0" layoutInCell="1" allowOverlap="1" wp14:anchorId="4B8E2251" wp14:editId="26C74EBA">
                <wp:simplePos x="0" y="0"/>
                <wp:positionH relativeFrom="column">
                  <wp:posOffset>3941445</wp:posOffset>
                </wp:positionH>
                <wp:positionV relativeFrom="paragraph">
                  <wp:posOffset>2402840</wp:posOffset>
                </wp:positionV>
                <wp:extent cx="635" cy="261620"/>
                <wp:effectExtent l="76200" t="0" r="75565" b="62230"/>
                <wp:wrapNone/>
                <wp:docPr id="59"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A68E9" id="AutoShape 359" o:spid="_x0000_s1026" type="#_x0000_t32" style="position:absolute;margin-left:310.35pt;margin-top:189.2pt;width:.05pt;height:20.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kHOAIAAGE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">
                <v:stroke endarrow="block"/>
              </v:shape>
            </w:pict>
          </mc:Fallback>
        </mc:AlternateContent>
      </w:r>
      <w:r>
        <w:rPr>
          <w:noProof/>
          <w:lang w:eastAsia="ja-JP"/>
        </w:rPr>
        <mc:AlternateContent>
          <mc:Choice Requires="wps">
            <w:drawing>
              <wp:anchor distT="0" distB="0" distL="114300" distR="114300" simplePos="0" relativeHeight="251789312" behindDoc="0" locked="0" layoutInCell="1" allowOverlap="1" wp14:anchorId="4723EC1E" wp14:editId="48261DBB">
                <wp:simplePos x="0" y="0"/>
                <wp:positionH relativeFrom="column">
                  <wp:posOffset>1359535</wp:posOffset>
                </wp:positionH>
                <wp:positionV relativeFrom="paragraph">
                  <wp:posOffset>2654935</wp:posOffset>
                </wp:positionV>
                <wp:extent cx="2932430" cy="464820"/>
                <wp:effectExtent l="0" t="0" r="20320" b="11430"/>
                <wp:wrapNone/>
                <wp:docPr id="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64820"/>
                        </a:xfrm>
                        <a:prstGeom prst="rect">
                          <a:avLst/>
                        </a:prstGeom>
                        <a:solidFill>
                          <a:srgbClr val="FFFFFF"/>
                        </a:solidFill>
                        <a:ln w="9525">
                          <a:solidFill>
                            <a:srgbClr val="000000"/>
                          </a:solidFill>
                          <a:miter lim="800000"/>
                          <a:headEnd/>
                          <a:tailEnd/>
                        </a:ln>
                      </wps:spPr>
                      <wps:txbx>
                        <w:txbxContent>
                          <w:p w14:paraId="2C97AAE0" w14:textId="77777777" w:rsidR="00AC34E6" w:rsidRDefault="00AC34E6" w:rsidP="00005916">
                            <w:pPr>
                              <w:spacing w:line="240" w:lineRule="auto"/>
                            </w:pPr>
                            <w:r>
                              <w:t>O</w:t>
                            </w:r>
                            <w:r>
                              <w:rPr>
                                <w:rFonts w:hint="eastAsia"/>
                              </w:rPr>
                              <w:t>pportunity for respondents to state opinions and submit evidence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107" type="#_x0000_t202" style="position:absolute;margin-left:107.05pt;margin-top:209.05pt;width:230.9pt;height:36.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">
                <v:textbox inset="5.85pt,.7pt,5.85pt,.7pt">
                  <w:txbxContent>
                    <w:p w14:paraId="2C97AAE0" w14:textId="77777777" w:rsidR="00AC34E6" w:rsidRDefault="00AC34E6" w:rsidP="00005916">
                      <w:pPr>
                        <w:spacing w:line="240" w:lineRule="auto"/>
                      </w:pPr>
                      <w:r>
                        <w:t>O</w:t>
                      </w:r>
                      <w:r>
                        <w:rPr>
                          <w:rFonts w:hint="eastAsia"/>
                        </w:rPr>
                        <w:t>pportunity for respondents to state opinions and submit evidence</w:t>
                      </w:r>
                    </w:p>
                  </w:txbxContent>
                </v:textbox>
              </v:shape>
            </w:pict>
          </mc:Fallback>
        </mc:AlternateContent>
      </w:r>
      <w:r>
        <w:rPr>
          <w:noProof/>
          <w:lang w:eastAsia="ja-JP"/>
        </w:rPr>
        <mc:AlternateContent>
          <mc:Choice Requires="wps">
            <w:drawing>
              <wp:anchor distT="0" distB="0" distL="114300" distR="114300" simplePos="0" relativeHeight="251788288" behindDoc="0" locked="0" layoutInCell="1" allowOverlap="1" wp14:anchorId="794F58CF" wp14:editId="740F0125">
                <wp:simplePos x="0" y="0"/>
                <wp:positionH relativeFrom="column">
                  <wp:posOffset>3942715</wp:posOffset>
                </wp:positionH>
                <wp:positionV relativeFrom="paragraph">
                  <wp:posOffset>4238625</wp:posOffset>
                </wp:positionV>
                <wp:extent cx="1905" cy="238760"/>
                <wp:effectExtent l="76200" t="0" r="74295" b="66040"/>
                <wp:wrapNone/>
                <wp:docPr id="57"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A7FC8" id="AutoShape 357" o:spid="_x0000_s1026" type="#_x0000_t32" style="position:absolute;margin-left:310.45pt;margin-top:333.75pt;width:.15pt;height:1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">
                <v:stroke endarrow="block"/>
              </v:shape>
            </w:pict>
          </mc:Fallback>
        </mc:AlternateContent>
      </w:r>
      <w:r>
        <w:rPr>
          <w:noProof/>
          <w:lang w:eastAsia="ja-JP"/>
        </w:rPr>
        <mc:AlternateContent>
          <mc:Choice Requires="wps">
            <w:drawing>
              <wp:anchor distT="0" distB="0" distL="114295" distR="114295" simplePos="0" relativeHeight="251787264" behindDoc="0" locked="0" layoutInCell="1" allowOverlap="1" wp14:anchorId="7EABE3B2" wp14:editId="234B1C3A">
                <wp:simplePos x="0" y="0"/>
                <wp:positionH relativeFrom="column">
                  <wp:posOffset>3942714</wp:posOffset>
                </wp:positionH>
                <wp:positionV relativeFrom="paragraph">
                  <wp:posOffset>4713605</wp:posOffset>
                </wp:positionV>
                <wp:extent cx="0" cy="239395"/>
                <wp:effectExtent l="76200" t="0" r="57150" b="65405"/>
                <wp:wrapNone/>
                <wp:docPr id="56"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367C2" id="AutoShape 356" o:spid="_x0000_s1026" type="#_x0000_t32" style="position:absolute;margin-left:310.45pt;margin-top:371.15pt;width:0;height:18.85pt;z-index:2517872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8ZuNAIAAF8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">
                <v:stroke endarrow="block"/>
              </v:shape>
            </w:pict>
          </mc:Fallback>
        </mc:AlternateContent>
      </w:r>
      <w:r>
        <w:rPr>
          <w:noProof/>
          <w:lang w:eastAsia="ja-JP"/>
        </w:rPr>
        <mc:AlternateContent>
          <mc:Choice Requires="wps">
            <w:drawing>
              <wp:anchor distT="0" distB="0" distL="114295" distR="114295" simplePos="0" relativeHeight="251786240" behindDoc="0" locked="0" layoutInCell="1" allowOverlap="1" wp14:anchorId="13869A97" wp14:editId="2DE54B34">
                <wp:simplePos x="0" y="0"/>
                <wp:positionH relativeFrom="column">
                  <wp:posOffset>3942714</wp:posOffset>
                </wp:positionH>
                <wp:positionV relativeFrom="paragraph">
                  <wp:posOffset>5203825</wp:posOffset>
                </wp:positionV>
                <wp:extent cx="0" cy="239395"/>
                <wp:effectExtent l="76200" t="0" r="57150" b="65405"/>
                <wp:wrapNone/>
                <wp:docPr id="55"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CA67" id="AutoShape 355" o:spid="_x0000_s1026" type="#_x0000_t32" style="position:absolute;margin-left:310.45pt;margin-top:409.75pt;width:0;height:18.85pt;z-index:251786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3j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">
                <v:stroke endarrow="block"/>
              </v:shape>
            </w:pict>
          </mc:Fallback>
        </mc:AlternateContent>
      </w:r>
      <w:r>
        <w:rPr>
          <w:noProof/>
          <w:lang w:eastAsia="ja-JP"/>
        </w:rPr>
        <mc:AlternateContent>
          <mc:Choice Requires="wps">
            <w:drawing>
              <wp:anchor distT="0" distB="0" distL="114300" distR="114300" simplePos="0" relativeHeight="251785216" behindDoc="0" locked="0" layoutInCell="1" allowOverlap="1" wp14:anchorId="5082D425" wp14:editId="46116981">
                <wp:simplePos x="0" y="0"/>
                <wp:positionH relativeFrom="column">
                  <wp:posOffset>16510</wp:posOffset>
                </wp:positionH>
                <wp:positionV relativeFrom="paragraph">
                  <wp:posOffset>904875</wp:posOffset>
                </wp:positionV>
                <wp:extent cx="915035" cy="447040"/>
                <wp:effectExtent l="0" t="0" r="18415" b="10160"/>
                <wp:wrapNone/>
                <wp:docPr id="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47040"/>
                        </a:xfrm>
                        <a:prstGeom prst="rect">
                          <a:avLst/>
                        </a:prstGeom>
                        <a:solidFill>
                          <a:srgbClr val="FFFFFF"/>
                        </a:solidFill>
                        <a:ln w="9525">
                          <a:solidFill>
                            <a:schemeClr val="tx1">
                              <a:lumMod val="100000"/>
                              <a:lumOff val="0"/>
                            </a:schemeClr>
                          </a:solidFill>
                          <a:prstDash val="sysDot"/>
                          <a:miter lim="800000"/>
                          <a:headEnd/>
                          <a:tailEnd/>
                        </a:ln>
                      </wps:spPr>
                      <wps:txbx>
                        <w:txbxContent>
                          <w:p w14:paraId="30F18293" w14:textId="77777777" w:rsidR="00AC34E6" w:rsidRDefault="00AC34E6" w:rsidP="00005916">
                            <w:pPr>
                              <w:spacing w:line="240" w:lineRule="auto"/>
                            </w:pPr>
                            <w:r>
                              <w:rPr>
                                <w:rFonts w:hint="eastAsia"/>
                              </w:rPr>
                              <w:t>Investigation</w:t>
                            </w:r>
                          </w:p>
                          <w:p w14:paraId="3C2B18EB" w14:textId="77777777" w:rsidR="00AC34E6" w:rsidRDefault="00AC34E6" w:rsidP="00005916">
                            <w:pPr>
                              <w:spacing w:line="240" w:lineRule="auto"/>
                            </w:pPr>
                            <w:r>
                              <w:rPr>
                                <w:rFonts w:hint="eastAsia"/>
                              </w:rPr>
                              <w:t>(</w:t>
                            </w:r>
                            <w:r w:rsidRPr="00FB0F09">
                              <w:rPr>
                                <w:rFonts w:hint="eastAsia"/>
                                <w:i/>
                              </w:rPr>
                              <w:t>Shinsa</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108" type="#_x0000_t202" style="position:absolute;margin-left:1.3pt;margin-top:71.25pt;width:72.05pt;height:35.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" strokecolor="black [3213]">
                <v:stroke dashstyle="1 1"/>
                <v:textbox inset="5.85pt,.7pt,5.85pt,.7pt">
                  <w:txbxContent>
                    <w:p w14:paraId="30F18293" w14:textId="77777777" w:rsidR="00AC34E6" w:rsidRDefault="00AC34E6" w:rsidP="00005916">
                      <w:pPr>
                        <w:spacing w:line="240" w:lineRule="auto"/>
                      </w:pPr>
                      <w:r>
                        <w:rPr>
                          <w:rFonts w:hint="eastAsia"/>
                        </w:rPr>
                        <w:t>Investigation</w:t>
                      </w:r>
                    </w:p>
                    <w:p w14:paraId="3C2B18EB" w14:textId="77777777" w:rsidR="00AC34E6" w:rsidRDefault="00AC34E6" w:rsidP="00005916">
                      <w:pPr>
                        <w:spacing w:line="240" w:lineRule="auto"/>
                      </w:pPr>
                      <w:r>
                        <w:rPr>
                          <w:rFonts w:hint="eastAsia"/>
                        </w:rPr>
                        <w:t>(</w:t>
                      </w:r>
                      <w:r w:rsidRPr="00FB0F09">
                        <w:rPr>
                          <w:rFonts w:hint="eastAsia"/>
                          <w:i/>
                        </w:rPr>
                        <w:t>Shinsa</w:t>
                      </w:r>
                      <w:r>
                        <w:rPr>
                          <w:rFonts w:hint="eastAsia"/>
                        </w:rPr>
                        <w:t>)</w:t>
                      </w:r>
                    </w:p>
                  </w:txbxContent>
                </v:textbox>
              </v:shape>
            </w:pict>
          </mc:Fallback>
        </mc:AlternateContent>
      </w:r>
      <w:r>
        <w:rPr>
          <w:noProof/>
          <w:lang w:eastAsia="ja-JP"/>
        </w:rPr>
        <mc:AlternateContent>
          <mc:Choice Requires="wps">
            <w:drawing>
              <wp:anchor distT="0" distB="0" distL="114295" distR="114295" simplePos="0" relativeHeight="251784192" behindDoc="0" locked="0" layoutInCell="1" allowOverlap="1" wp14:anchorId="25096071" wp14:editId="73C59C13">
                <wp:simplePos x="0" y="0"/>
                <wp:positionH relativeFrom="column">
                  <wp:posOffset>4739639</wp:posOffset>
                </wp:positionH>
                <wp:positionV relativeFrom="paragraph">
                  <wp:posOffset>513715</wp:posOffset>
                </wp:positionV>
                <wp:extent cx="0" cy="200025"/>
                <wp:effectExtent l="76200" t="0" r="76200" b="47625"/>
                <wp:wrapNone/>
                <wp:docPr id="53"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C5D5D" id="AutoShape 353" o:spid="_x0000_s1026" type="#_x0000_t32" style="position:absolute;margin-left:373.2pt;margin-top:40.45pt;width:0;height:15.75pt;z-index:2517841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OeMgIAAF8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">
                <v:stroke endarrow="block"/>
              </v:shape>
            </w:pict>
          </mc:Fallback>
        </mc:AlternateContent>
      </w:r>
      <w:r>
        <w:rPr>
          <w:noProof/>
          <w:lang w:eastAsia="ja-JP"/>
        </w:rPr>
        <mc:AlternateContent>
          <mc:Choice Requires="wps">
            <w:drawing>
              <wp:anchor distT="0" distB="0" distL="114295" distR="114295" simplePos="0" relativeHeight="251783168" behindDoc="0" locked="0" layoutInCell="1" allowOverlap="1" wp14:anchorId="7F017A9C" wp14:editId="76C9C0A8">
                <wp:simplePos x="0" y="0"/>
                <wp:positionH relativeFrom="column">
                  <wp:posOffset>3032759</wp:posOffset>
                </wp:positionH>
                <wp:positionV relativeFrom="paragraph">
                  <wp:posOffset>513715</wp:posOffset>
                </wp:positionV>
                <wp:extent cx="0" cy="200025"/>
                <wp:effectExtent l="76200" t="0" r="76200" b="47625"/>
                <wp:wrapNone/>
                <wp:docPr id="52"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45F2A" id="AutoShape 352" o:spid="_x0000_s1026" type="#_x0000_t32" style="position:absolute;margin-left:238.8pt;margin-top:40.45pt;width:0;height:15.75pt;z-index:2517831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TMgIAAF8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">
                <v:stroke endarrow="block"/>
              </v:shape>
            </w:pict>
          </mc:Fallback>
        </mc:AlternateContent>
      </w:r>
      <w:r>
        <w:rPr>
          <w:noProof/>
          <w:lang w:eastAsia="ja-JP"/>
        </w:rPr>
        <mc:AlternateContent>
          <mc:Choice Requires="wps">
            <w:drawing>
              <wp:anchor distT="0" distB="0" distL="114295" distR="114295" simplePos="0" relativeHeight="251782144" behindDoc="0" locked="0" layoutInCell="1" allowOverlap="1" wp14:anchorId="34F0F554" wp14:editId="1B005A94">
                <wp:simplePos x="0" y="0"/>
                <wp:positionH relativeFrom="column">
                  <wp:posOffset>1763394</wp:posOffset>
                </wp:positionH>
                <wp:positionV relativeFrom="paragraph">
                  <wp:posOffset>513080</wp:posOffset>
                </wp:positionV>
                <wp:extent cx="0" cy="200025"/>
                <wp:effectExtent l="76200" t="0" r="76200" b="47625"/>
                <wp:wrapNone/>
                <wp:docPr id="51"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CF477" id="AutoShape 351" o:spid="_x0000_s1026" type="#_x0000_t32" style="position:absolute;margin-left:138.85pt;margin-top:40.4pt;width:0;height:15.75pt;z-index:2517821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7eMQIAAF8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">
                <v:stroke endarrow="block"/>
              </v:shape>
            </w:pict>
          </mc:Fallback>
        </mc:AlternateContent>
      </w:r>
      <w:r>
        <w:rPr>
          <w:noProof/>
          <w:lang w:eastAsia="ja-JP"/>
        </w:rPr>
        <mc:AlternateContent>
          <mc:Choice Requires="wps">
            <w:drawing>
              <wp:anchor distT="0" distB="0" distL="114295" distR="114295" simplePos="0" relativeHeight="251781120" behindDoc="0" locked="0" layoutInCell="1" allowOverlap="1" wp14:anchorId="779FA90B" wp14:editId="4324FD90">
                <wp:simplePos x="0" y="0"/>
                <wp:positionH relativeFrom="column">
                  <wp:posOffset>694054</wp:posOffset>
                </wp:positionH>
                <wp:positionV relativeFrom="paragraph">
                  <wp:posOffset>513080</wp:posOffset>
                </wp:positionV>
                <wp:extent cx="0" cy="200025"/>
                <wp:effectExtent l="76200" t="0" r="76200" b="47625"/>
                <wp:wrapNone/>
                <wp:docPr id="50"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31A17" id="AutoShape 350" o:spid="_x0000_s1026" type="#_x0000_t32" style="position:absolute;margin-left:54.65pt;margin-top:40.4pt;width:0;height:15.75pt;z-index:2517811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gTMgIAAF8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">
                <v:stroke endarrow="block"/>
              </v:shape>
            </w:pict>
          </mc:Fallback>
        </mc:AlternateContent>
      </w:r>
      <w:r>
        <w:rPr>
          <w:noProof/>
          <w:lang w:eastAsia="ja-JP"/>
        </w:rPr>
        <mc:AlternateContent>
          <mc:Choice Requires="wps">
            <w:drawing>
              <wp:anchor distT="0" distB="0" distL="114300" distR="114300" simplePos="0" relativeHeight="251780096" behindDoc="0" locked="0" layoutInCell="1" allowOverlap="1" wp14:anchorId="7D204CCF" wp14:editId="5B2F96AF">
                <wp:simplePos x="0" y="0"/>
                <wp:positionH relativeFrom="column">
                  <wp:posOffset>1763395</wp:posOffset>
                </wp:positionH>
                <wp:positionV relativeFrom="paragraph">
                  <wp:posOffset>949325</wp:posOffset>
                </wp:positionV>
                <wp:extent cx="635" cy="149225"/>
                <wp:effectExtent l="76200" t="0" r="75565" b="60325"/>
                <wp:wrapNone/>
                <wp:docPr id="49"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8E00B" id="AutoShape 349" o:spid="_x0000_s1026" type="#_x0000_t32" style="position:absolute;margin-left:138.85pt;margin-top:74.75pt;width:.05pt;height:1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wINg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">
                <v:stroke endarrow="block"/>
              </v:shape>
            </w:pict>
          </mc:Fallback>
        </mc:AlternateContent>
      </w:r>
      <w:r>
        <w:rPr>
          <w:noProof/>
          <w:lang w:eastAsia="ja-JP"/>
        </w:rPr>
        <mc:AlternateContent>
          <mc:Choice Requires="wps">
            <w:drawing>
              <wp:anchor distT="0" distB="0" distL="114300" distR="114300" simplePos="0" relativeHeight="251779072" behindDoc="0" locked="0" layoutInCell="1" allowOverlap="1" wp14:anchorId="4BB4B095" wp14:editId="6DE72B61">
                <wp:simplePos x="0" y="0"/>
                <wp:positionH relativeFrom="column">
                  <wp:posOffset>4625975</wp:posOffset>
                </wp:positionH>
                <wp:positionV relativeFrom="paragraph">
                  <wp:posOffset>949325</wp:posOffset>
                </wp:positionV>
                <wp:extent cx="635" cy="149225"/>
                <wp:effectExtent l="76200" t="0" r="75565" b="60325"/>
                <wp:wrapNone/>
                <wp:docPr id="48"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A26DB" id="AutoShape 348" o:spid="_x0000_s1026" type="#_x0000_t32" style="position:absolute;margin-left:364.25pt;margin-top:74.75pt;width:.05pt;height:11.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oLNg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">
                <v:stroke endarrow="block"/>
              </v:shape>
            </w:pict>
          </mc:Fallback>
        </mc:AlternateContent>
      </w:r>
      <w:r>
        <w:rPr>
          <w:noProof/>
          <w:lang w:eastAsia="ja-JP"/>
        </w:rPr>
        <mc:AlternateContent>
          <mc:Choice Requires="wps">
            <w:drawing>
              <wp:anchor distT="4294967291" distB="4294967291" distL="114300" distR="114300" simplePos="0" relativeHeight="251778048" behindDoc="0" locked="0" layoutInCell="1" allowOverlap="1" wp14:anchorId="58780D9D" wp14:editId="10AF3719">
                <wp:simplePos x="0" y="0"/>
                <wp:positionH relativeFrom="column">
                  <wp:posOffset>1764030</wp:posOffset>
                </wp:positionH>
                <wp:positionV relativeFrom="paragraph">
                  <wp:posOffset>949324</wp:posOffset>
                </wp:positionV>
                <wp:extent cx="2861945" cy="0"/>
                <wp:effectExtent l="0" t="0" r="14605" b="19050"/>
                <wp:wrapNone/>
                <wp:docPr id="47"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896AB" id="AutoShape 347" o:spid="_x0000_s1026" type="#_x0000_t32" style="position:absolute;margin-left:138.9pt;margin-top:74.75pt;width:225.3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"/>
            </w:pict>
          </mc:Fallback>
        </mc:AlternateContent>
      </w:r>
      <w:r>
        <w:rPr>
          <w:noProof/>
          <w:lang w:eastAsia="ja-JP"/>
        </w:rPr>
        <mc:AlternateContent>
          <mc:Choice Requires="wps">
            <w:drawing>
              <wp:anchor distT="0" distB="0" distL="114300" distR="114300" simplePos="0" relativeHeight="251777024" behindDoc="0" locked="0" layoutInCell="1" allowOverlap="1" wp14:anchorId="2CE1859C" wp14:editId="62CF8F1B">
                <wp:simplePos x="0" y="0"/>
                <wp:positionH relativeFrom="column">
                  <wp:posOffset>3884295</wp:posOffset>
                </wp:positionH>
                <wp:positionV relativeFrom="paragraph">
                  <wp:posOffset>1098550</wp:posOffset>
                </wp:positionV>
                <wp:extent cx="1536700" cy="450215"/>
                <wp:effectExtent l="0" t="0" r="25400" b="26035"/>
                <wp:wrapNone/>
                <wp:docPr id="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450215"/>
                        </a:xfrm>
                        <a:prstGeom prst="rect">
                          <a:avLst/>
                        </a:prstGeom>
                        <a:solidFill>
                          <a:srgbClr val="FFFFFF"/>
                        </a:solidFill>
                        <a:ln w="9525">
                          <a:solidFill>
                            <a:srgbClr val="000000"/>
                          </a:solidFill>
                          <a:miter lim="800000"/>
                          <a:headEnd/>
                          <a:tailEnd/>
                        </a:ln>
                      </wps:spPr>
                      <wps:txbx>
                        <w:txbxContent>
                          <w:p w14:paraId="1584E3F2" w14:textId="77777777" w:rsidR="00AC34E6" w:rsidRDefault="00AC34E6" w:rsidP="00005916">
                            <w:pPr>
                              <w:spacing w:line="240" w:lineRule="auto"/>
                            </w:pPr>
                            <w:r>
                              <w:rPr>
                                <w:rFonts w:hint="eastAsia"/>
                              </w:rPr>
                              <w:t>Criminal i</w:t>
                            </w:r>
                            <w:r>
                              <w:t>nvestigation (</w:t>
                            </w:r>
                            <w:r>
                              <w:rPr>
                                <w:rFonts w:hint="eastAsia"/>
                                <w:i/>
                                <w:iCs/>
                              </w:rPr>
                              <w:t>Hansoku Chosa</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109" type="#_x0000_t202" style="position:absolute;margin-left:305.85pt;margin-top:86.5pt;width:121pt;height:35.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">
                <v:textbox inset="5.85pt,.7pt,5.85pt,.7pt">
                  <w:txbxContent>
                    <w:p w14:paraId="1584E3F2" w14:textId="77777777" w:rsidR="00AC34E6" w:rsidRDefault="00AC34E6" w:rsidP="00005916">
                      <w:pPr>
                        <w:spacing w:line="240" w:lineRule="auto"/>
                      </w:pPr>
                      <w:r>
                        <w:rPr>
                          <w:rFonts w:hint="eastAsia"/>
                        </w:rPr>
                        <w:t>Criminal i</w:t>
                      </w:r>
                      <w:r>
                        <w:t>nvestigation (</w:t>
                      </w:r>
                      <w:r>
                        <w:rPr>
                          <w:rFonts w:hint="eastAsia"/>
                          <w:i/>
                          <w:iCs/>
                        </w:rPr>
                        <w:t>Hansoku Chosa</w:t>
                      </w:r>
                      <w:r>
                        <w:t>)</w:t>
                      </w:r>
                    </w:p>
                  </w:txbxContent>
                </v:textbox>
              </v:shape>
            </w:pict>
          </mc:Fallback>
        </mc:AlternateContent>
      </w:r>
      <w:r>
        <w:rPr>
          <w:noProof/>
          <w:lang w:eastAsia="ja-JP"/>
        </w:rPr>
        <mc:AlternateContent>
          <mc:Choice Requires="wps">
            <w:drawing>
              <wp:anchor distT="0" distB="0" distL="114300" distR="114300" simplePos="0" relativeHeight="251776000" behindDoc="0" locked="0" layoutInCell="1" allowOverlap="1" wp14:anchorId="4FB1EC0E" wp14:editId="77B9A87A">
                <wp:simplePos x="0" y="0"/>
                <wp:positionH relativeFrom="column">
                  <wp:posOffset>3848100</wp:posOffset>
                </wp:positionH>
                <wp:positionV relativeFrom="paragraph">
                  <wp:posOffset>46990</wp:posOffset>
                </wp:positionV>
                <wp:extent cx="1827530" cy="466090"/>
                <wp:effectExtent l="0" t="0" r="20320" b="10160"/>
                <wp:wrapNone/>
                <wp:docPr id="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466090"/>
                        </a:xfrm>
                        <a:prstGeom prst="rect">
                          <a:avLst/>
                        </a:prstGeom>
                        <a:solidFill>
                          <a:srgbClr val="FFFFFF"/>
                        </a:solidFill>
                        <a:ln w="9525">
                          <a:solidFill>
                            <a:srgbClr val="000000"/>
                          </a:solidFill>
                          <a:miter lim="800000"/>
                          <a:headEnd/>
                          <a:tailEnd/>
                        </a:ln>
                      </wps:spPr>
                      <wps:txbx>
                        <w:txbxContent>
                          <w:p w14:paraId="20C169E1" w14:textId="77777777" w:rsidR="00AC34E6" w:rsidRDefault="00AC34E6" w:rsidP="00005916">
                            <w:pPr>
                              <w:spacing w:line="240" w:lineRule="auto"/>
                            </w:pPr>
                            <w:r>
                              <w:rPr>
                                <w:rFonts w:hint="eastAsia"/>
                              </w:rPr>
                              <w:t>Request by the Small &amp; Medium Enterprise Agency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110" type="#_x0000_t202" style="position:absolute;margin-left:303pt;margin-top:3.7pt;width:143.9pt;height:36.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">
                <v:textbox inset="5.85pt,.7pt,5.85pt,.7pt">
                  <w:txbxContent>
                    <w:p w14:paraId="20C169E1" w14:textId="77777777" w:rsidR="00AC34E6" w:rsidRDefault="00AC34E6" w:rsidP="00005916">
                      <w:pPr>
                        <w:spacing w:line="240" w:lineRule="auto"/>
                      </w:pPr>
                      <w:r>
                        <w:rPr>
                          <w:rFonts w:hint="eastAsia"/>
                        </w:rPr>
                        <w:t>Request by the Small &amp; Medium Enterprise Agency</w:t>
                      </w:r>
                    </w:p>
                  </w:txbxContent>
                </v:textbox>
              </v:shape>
            </w:pict>
          </mc:Fallback>
        </mc:AlternateContent>
      </w:r>
      <w:r>
        <w:rPr>
          <w:noProof/>
          <w:lang w:eastAsia="ja-JP"/>
        </w:rPr>
        <mc:AlternateContent>
          <mc:Choice Requires="wps">
            <w:drawing>
              <wp:anchor distT="0" distB="0" distL="114300" distR="114300" simplePos="0" relativeHeight="251774976" behindDoc="0" locked="0" layoutInCell="1" allowOverlap="1" wp14:anchorId="288156E5" wp14:editId="04EF4B5D">
                <wp:simplePos x="0" y="0"/>
                <wp:positionH relativeFrom="column">
                  <wp:posOffset>2426335</wp:posOffset>
                </wp:positionH>
                <wp:positionV relativeFrom="paragraph">
                  <wp:posOffset>46990</wp:posOffset>
                </wp:positionV>
                <wp:extent cx="1292225" cy="466090"/>
                <wp:effectExtent l="0" t="0" r="22225" b="10160"/>
                <wp:wrapNone/>
                <wp:docPr id="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466090"/>
                        </a:xfrm>
                        <a:prstGeom prst="rect">
                          <a:avLst/>
                        </a:prstGeom>
                        <a:solidFill>
                          <a:srgbClr val="FFFFFF"/>
                        </a:solidFill>
                        <a:ln w="9525">
                          <a:solidFill>
                            <a:srgbClr val="000000"/>
                          </a:solidFill>
                          <a:miter lim="800000"/>
                          <a:headEnd/>
                          <a:tailEnd/>
                        </a:ln>
                      </wps:spPr>
                      <wps:txbx>
                        <w:txbxContent>
                          <w:p w14:paraId="39DDCC83" w14:textId="77777777" w:rsidR="00AC34E6" w:rsidRDefault="00AC34E6" w:rsidP="00005916">
                            <w:pPr>
                              <w:spacing w:line="240" w:lineRule="auto"/>
                            </w:pPr>
                            <w:r>
                              <w:rPr>
                                <w:rFonts w:hint="eastAsia"/>
                              </w:rPr>
                              <w:t>Report based on the leniency system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11" type="#_x0000_t202" style="position:absolute;margin-left:191.05pt;margin-top:3.7pt;width:101.75pt;height:36.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">
                <v:textbox inset="5.85pt,.7pt,5.85pt,.7pt">
                  <w:txbxContent>
                    <w:p w14:paraId="39DDCC83" w14:textId="77777777" w:rsidR="00AC34E6" w:rsidRDefault="00AC34E6" w:rsidP="00005916">
                      <w:pPr>
                        <w:spacing w:line="240" w:lineRule="auto"/>
                      </w:pPr>
                      <w:r>
                        <w:rPr>
                          <w:rFonts w:hint="eastAsia"/>
                        </w:rPr>
                        <w:t>Report based on the leniency system</w:t>
                      </w:r>
                    </w:p>
                  </w:txbxContent>
                </v:textbox>
              </v:shape>
            </w:pict>
          </mc:Fallback>
        </mc:AlternateContent>
      </w:r>
      <w:r>
        <w:rPr>
          <w:noProof/>
          <w:lang w:eastAsia="ja-JP"/>
        </w:rPr>
        <mc:AlternateContent>
          <mc:Choice Requires="wps">
            <w:drawing>
              <wp:anchor distT="0" distB="0" distL="114300" distR="114300" simplePos="0" relativeHeight="251773952" behindDoc="0" locked="0" layoutInCell="1" allowOverlap="1" wp14:anchorId="6B2ADCCA" wp14:editId="66651F73">
                <wp:simplePos x="0" y="0"/>
                <wp:positionH relativeFrom="column">
                  <wp:posOffset>4067810</wp:posOffset>
                </wp:positionH>
                <wp:positionV relativeFrom="paragraph">
                  <wp:posOffset>7279005</wp:posOffset>
                </wp:positionV>
                <wp:extent cx="635" cy="196215"/>
                <wp:effectExtent l="76200" t="0" r="75565" b="51435"/>
                <wp:wrapNone/>
                <wp:docPr id="43"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FC6A" id="AutoShape 343" o:spid="_x0000_s1026" type="#_x0000_t32" style="position:absolute;margin-left:320.3pt;margin-top:573.15pt;width:.05pt;height:15.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Pw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">
                <v:stroke endarrow="block"/>
              </v:shape>
            </w:pict>
          </mc:Fallback>
        </mc:AlternateContent>
      </w:r>
      <w:r>
        <w:rPr>
          <w:noProof/>
          <w:lang w:eastAsia="ja-JP"/>
        </w:rPr>
        <mc:AlternateContent>
          <mc:Choice Requires="wps">
            <w:drawing>
              <wp:anchor distT="0" distB="0" distL="114300" distR="114300" simplePos="0" relativeHeight="251772928" behindDoc="0" locked="0" layoutInCell="1" allowOverlap="1" wp14:anchorId="50747889" wp14:editId="1F40FFFB">
                <wp:simplePos x="0" y="0"/>
                <wp:positionH relativeFrom="column">
                  <wp:posOffset>5042535</wp:posOffset>
                </wp:positionH>
                <wp:positionV relativeFrom="paragraph">
                  <wp:posOffset>7279005</wp:posOffset>
                </wp:positionV>
                <wp:extent cx="635" cy="196215"/>
                <wp:effectExtent l="76200" t="0" r="75565" b="51435"/>
                <wp:wrapNone/>
                <wp:docPr id="42"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295B0" id="AutoShape 342" o:spid="_x0000_s1026" type="#_x0000_t32" style="position:absolute;margin-left:397.05pt;margin-top:573.15pt;width:.05pt;height:15.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z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">
                <v:stroke endarrow="block"/>
              </v:shape>
            </w:pict>
          </mc:Fallback>
        </mc:AlternateContent>
      </w:r>
      <w:r>
        <w:rPr>
          <w:noProof/>
          <w:lang w:eastAsia="ja-JP"/>
        </w:rPr>
        <mc:AlternateContent>
          <mc:Choice Requires="wps">
            <w:drawing>
              <wp:anchor distT="0" distB="0" distL="114300" distR="114300" simplePos="0" relativeHeight="251771904" behindDoc="0" locked="0" layoutInCell="1" allowOverlap="1" wp14:anchorId="1BA8FC5B" wp14:editId="3CE5DD11">
                <wp:simplePos x="0" y="0"/>
                <wp:positionH relativeFrom="column">
                  <wp:posOffset>2856230</wp:posOffset>
                </wp:positionH>
                <wp:positionV relativeFrom="paragraph">
                  <wp:posOffset>7279005</wp:posOffset>
                </wp:positionV>
                <wp:extent cx="635" cy="196215"/>
                <wp:effectExtent l="76200" t="0" r="75565" b="51435"/>
                <wp:wrapNone/>
                <wp:docPr id="41"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9DA35" id="AutoShape 341" o:spid="_x0000_s1026" type="#_x0000_t32" style="position:absolute;margin-left:224.9pt;margin-top:573.15pt;width:.05pt;height:15.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2Ng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">
                <v:stroke endarrow="block"/>
              </v:shape>
            </w:pict>
          </mc:Fallback>
        </mc:AlternateContent>
      </w:r>
      <w:r>
        <w:rPr>
          <w:noProof/>
          <w:lang w:eastAsia="ja-JP"/>
        </w:rPr>
        <mc:AlternateContent>
          <mc:Choice Requires="wps">
            <w:drawing>
              <wp:anchor distT="0" distB="0" distL="114300" distR="114300" simplePos="0" relativeHeight="251770880" behindDoc="0" locked="0" layoutInCell="1" allowOverlap="1" wp14:anchorId="595E9CE2" wp14:editId="1DB55D6D">
                <wp:simplePos x="0" y="0"/>
                <wp:positionH relativeFrom="column">
                  <wp:posOffset>3183890</wp:posOffset>
                </wp:positionH>
                <wp:positionV relativeFrom="paragraph">
                  <wp:posOffset>6179820</wp:posOffset>
                </wp:positionV>
                <wp:extent cx="1270" cy="636270"/>
                <wp:effectExtent l="76200" t="0" r="74930" b="49530"/>
                <wp:wrapNone/>
                <wp:docPr id="4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36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6D967" id="AutoShape 340" o:spid="_x0000_s1026" type="#_x0000_t32" style="position:absolute;margin-left:250.7pt;margin-top:486.6pt;width:.1pt;height:50.1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">
                <v:stroke endarrow="block"/>
              </v:shape>
            </w:pict>
          </mc:Fallback>
        </mc:AlternateContent>
      </w:r>
      <w:r>
        <w:rPr>
          <w:noProof/>
          <w:lang w:eastAsia="ja-JP"/>
        </w:rPr>
        <mc:AlternateContent>
          <mc:Choice Requires="wps">
            <w:drawing>
              <wp:anchor distT="0" distB="0" distL="114300" distR="114300" simplePos="0" relativeHeight="251769856" behindDoc="0" locked="0" layoutInCell="1" allowOverlap="1" wp14:anchorId="51CDD179" wp14:editId="5FE9F59B">
                <wp:simplePos x="0" y="0"/>
                <wp:positionH relativeFrom="column">
                  <wp:posOffset>5043170</wp:posOffset>
                </wp:positionH>
                <wp:positionV relativeFrom="paragraph">
                  <wp:posOffset>1548765</wp:posOffset>
                </wp:positionV>
                <wp:extent cx="635" cy="391160"/>
                <wp:effectExtent l="76200" t="0" r="75565" b="46990"/>
                <wp:wrapNone/>
                <wp:docPr id="39"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1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3488C" id="AutoShape 339" o:spid="_x0000_s1026" type="#_x0000_t32" style="position:absolute;margin-left:397.1pt;margin-top:121.95pt;width:.05pt;height:30.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N7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">
                <v:stroke endarrow="block"/>
              </v:shape>
            </w:pict>
          </mc:Fallback>
        </mc:AlternateContent>
      </w:r>
      <w:r>
        <w:rPr>
          <w:noProof/>
          <w:lang w:eastAsia="ja-JP"/>
        </w:rPr>
        <mc:AlternateContent>
          <mc:Choice Requires="wps">
            <w:drawing>
              <wp:anchor distT="0" distB="0" distL="114295" distR="114295" simplePos="0" relativeHeight="251768832" behindDoc="0" locked="0" layoutInCell="1" allowOverlap="1" wp14:anchorId="2D8035AB" wp14:editId="2A97AC5A">
                <wp:simplePos x="0" y="0"/>
                <wp:positionH relativeFrom="column">
                  <wp:posOffset>2006599</wp:posOffset>
                </wp:positionH>
                <wp:positionV relativeFrom="paragraph">
                  <wp:posOffset>1548765</wp:posOffset>
                </wp:positionV>
                <wp:extent cx="0" cy="231775"/>
                <wp:effectExtent l="76200" t="0" r="57150" b="53975"/>
                <wp:wrapNone/>
                <wp:docPr id="38"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EA5C5" id="AutoShape 338" o:spid="_x0000_s1026" type="#_x0000_t32" style="position:absolute;margin-left:158pt;margin-top:121.95pt;width:0;height:18.25pt;z-index:2517688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lNA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">
                <v:stroke endarrow="block"/>
              </v:shape>
            </w:pict>
          </mc:Fallback>
        </mc:AlternateContent>
      </w:r>
      <w:r>
        <w:rPr>
          <w:noProof/>
          <w:lang w:eastAsia="ja-JP"/>
        </w:rPr>
        <mc:AlternateContent>
          <mc:Choice Requires="wps">
            <w:drawing>
              <wp:anchor distT="0" distB="0" distL="114295" distR="114295" simplePos="0" relativeHeight="251767808" behindDoc="0" locked="0" layoutInCell="1" allowOverlap="1" wp14:anchorId="17BBBA43" wp14:editId="17E54D59">
                <wp:simplePos x="0" y="0"/>
                <wp:positionH relativeFrom="column">
                  <wp:posOffset>1359534</wp:posOffset>
                </wp:positionH>
                <wp:positionV relativeFrom="paragraph">
                  <wp:posOffset>1780540</wp:posOffset>
                </wp:positionV>
                <wp:extent cx="0" cy="159385"/>
                <wp:effectExtent l="76200" t="0" r="57150" b="50165"/>
                <wp:wrapNone/>
                <wp:docPr id="37"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86EC4" id="AutoShape 337" o:spid="_x0000_s1026" type="#_x0000_t32" style="position:absolute;margin-left:107.05pt;margin-top:140.2pt;width:0;height:12.55pt;z-index:2517678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HiINAIAAF8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">
                <v:stroke endarrow="block"/>
              </v:shape>
            </w:pict>
          </mc:Fallback>
        </mc:AlternateContent>
      </w:r>
      <w:r>
        <w:rPr>
          <w:noProof/>
          <w:lang w:eastAsia="ja-JP"/>
        </w:rPr>
        <mc:AlternateContent>
          <mc:Choice Requires="wps">
            <w:drawing>
              <wp:anchor distT="0" distB="0" distL="114295" distR="114295" simplePos="0" relativeHeight="251766784" behindDoc="0" locked="0" layoutInCell="1" allowOverlap="1" wp14:anchorId="52D4FADD" wp14:editId="4FA8DE94">
                <wp:simplePos x="0" y="0"/>
                <wp:positionH relativeFrom="column">
                  <wp:posOffset>379729</wp:posOffset>
                </wp:positionH>
                <wp:positionV relativeFrom="paragraph">
                  <wp:posOffset>1780540</wp:posOffset>
                </wp:positionV>
                <wp:extent cx="0" cy="159385"/>
                <wp:effectExtent l="76200" t="0" r="57150" b="50165"/>
                <wp:wrapNone/>
                <wp:docPr id="3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42ACE" id="AutoShape 336" o:spid="_x0000_s1026" type="#_x0000_t32" style="position:absolute;margin-left:29.9pt;margin-top:140.2pt;width:0;height:12.55pt;z-index:2517667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5FNAIAAF8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">
                <v:stroke endarrow="block"/>
              </v:shape>
            </w:pict>
          </mc:Fallback>
        </mc:AlternateContent>
      </w:r>
      <w:r>
        <w:rPr>
          <w:noProof/>
          <w:lang w:eastAsia="ja-JP"/>
        </w:rPr>
        <mc:AlternateContent>
          <mc:Choice Requires="wps">
            <w:drawing>
              <wp:anchor distT="0" distB="0" distL="114300" distR="114300" simplePos="0" relativeHeight="251765760" behindDoc="0" locked="0" layoutInCell="1" allowOverlap="1" wp14:anchorId="1C6FBBFE" wp14:editId="058BCC27">
                <wp:simplePos x="0" y="0"/>
                <wp:positionH relativeFrom="column">
                  <wp:posOffset>5025390</wp:posOffset>
                </wp:positionH>
                <wp:positionV relativeFrom="paragraph">
                  <wp:posOffset>3582670</wp:posOffset>
                </wp:positionV>
                <wp:extent cx="635" cy="271780"/>
                <wp:effectExtent l="76200" t="0" r="75565" b="52070"/>
                <wp:wrapNone/>
                <wp:docPr id="35"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373BC" id="AutoShape 335" o:spid="_x0000_s1026" type="#_x0000_t32" style="position:absolute;margin-left:395.7pt;margin-top:282.1pt;width:.05pt;height:2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YaNwIAAGE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">
                <v:stroke endarrow="block"/>
              </v:shape>
            </w:pict>
          </mc:Fallback>
        </mc:AlternateContent>
      </w:r>
      <w:r>
        <w:rPr>
          <w:noProof/>
          <w:lang w:eastAsia="ja-JP"/>
        </w:rPr>
        <mc:AlternateContent>
          <mc:Choice Requires="wps">
            <w:drawing>
              <wp:anchor distT="0" distB="0" distL="114300" distR="114300" simplePos="0" relativeHeight="251764736" behindDoc="0" locked="0" layoutInCell="1" allowOverlap="1" wp14:anchorId="5F23B594" wp14:editId="77F9DE8E">
                <wp:simplePos x="0" y="0"/>
                <wp:positionH relativeFrom="column">
                  <wp:posOffset>5042535</wp:posOffset>
                </wp:positionH>
                <wp:positionV relativeFrom="paragraph">
                  <wp:posOffset>2664460</wp:posOffset>
                </wp:positionV>
                <wp:extent cx="635" cy="455295"/>
                <wp:effectExtent l="76200" t="0" r="75565" b="59055"/>
                <wp:wrapNone/>
                <wp:docPr id="34"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EA03E" id="AutoShape 334" o:spid="_x0000_s1026" type="#_x0000_t32" style="position:absolute;margin-left:397.05pt;margin-top:209.8pt;width:.05pt;height:35.8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">
                <v:stroke endarrow="block"/>
              </v:shape>
            </w:pict>
          </mc:Fallback>
        </mc:AlternateContent>
      </w:r>
      <w:r>
        <w:rPr>
          <w:noProof/>
          <w:lang w:eastAsia="ja-JP"/>
        </w:rPr>
        <mc:AlternateContent>
          <mc:Choice Requires="wps">
            <w:drawing>
              <wp:anchor distT="0" distB="0" distL="114300" distR="114300" simplePos="0" relativeHeight="251763712" behindDoc="0" locked="0" layoutInCell="1" allowOverlap="1" wp14:anchorId="47DBEE16" wp14:editId="5B49AF9C">
                <wp:simplePos x="0" y="0"/>
                <wp:positionH relativeFrom="column">
                  <wp:posOffset>3942080</wp:posOffset>
                </wp:positionH>
                <wp:positionV relativeFrom="paragraph">
                  <wp:posOffset>5709285</wp:posOffset>
                </wp:positionV>
                <wp:extent cx="635" cy="212725"/>
                <wp:effectExtent l="76200" t="0" r="75565" b="53975"/>
                <wp:wrapNone/>
                <wp:docPr id="33"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A2866" id="AutoShape 333" o:spid="_x0000_s1026" type="#_x0000_t32" style="position:absolute;margin-left:310.4pt;margin-top:449.55pt;width:.05pt;height:1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">
                <v:stroke endarrow="block"/>
              </v:shape>
            </w:pict>
          </mc:Fallback>
        </mc:AlternateContent>
      </w:r>
      <w:r>
        <w:rPr>
          <w:noProof/>
          <w:lang w:eastAsia="ja-JP"/>
        </w:rPr>
        <mc:AlternateContent>
          <mc:Choice Requires="wps">
            <w:drawing>
              <wp:anchor distT="0" distB="0" distL="114300" distR="114300" simplePos="0" relativeHeight="251762688" behindDoc="0" locked="0" layoutInCell="1" allowOverlap="1" wp14:anchorId="34E2E9E9" wp14:editId="00345B40">
                <wp:simplePos x="0" y="0"/>
                <wp:positionH relativeFrom="column">
                  <wp:posOffset>4441190</wp:posOffset>
                </wp:positionH>
                <wp:positionV relativeFrom="paragraph">
                  <wp:posOffset>2326005</wp:posOffset>
                </wp:positionV>
                <wp:extent cx="139700" cy="635"/>
                <wp:effectExtent l="0" t="0" r="12700" b="37465"/>
                <wp:wrapNone/>
                <wp:docPr id="32"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2B93A" id="AutoShape 332" o:spid="_x0000_s1026" type="#_x0000_t32" style="position:absolute;margin-left:349.7pt;margin-top:183.15pt;width:11pt;height:.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QUIgIAAD8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"/>
            </w:pict>
          </mc:Fallback>
        </mc:AlternateContent>
      </w:r>
      <w:r>
        <w:rPr>
          <w:noProof/>
          <w:lang w:eastAsia="ja-JP"/>
        </w:rPr>
        <mc:AlternateContent>
          <mc:Choice Requires="wps">
            <w:drawing>
              <wp:anchor distT="0" distB="0" distL="114300" distR="114300" simplePos="0" relativeHeight="251761664" behindDoc="0" locked="0" layoutInCell="1" allowOverlap="1" wp14:anchorId="739D644A" wp14:editId="781D5401">
                <wp:simplePos x="0" y="0"/>
                <wp:positionH relativeFrom="column">
                  <wp:posOffset>3651885</wp:posOffset>
                </wp:positionH>
                <wp:positionV relativeFrom="paragraph">
                  <wp:posOffset>7718425</wp:posOffset>
                </wp:positionV>
                <wp:extent cx="635" cy="478155"/>
                <wp:effectExtent l="76200" t="0" r="75565" b="55245"/>
                <wp:wrapNone/>
                <wp:docPr id="31"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8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937DD" id="AutoShape 331" o:spid="_x0000_s1026" type="#_x0000_t32" style="position:absolute;margin-left:287.55pt;margin-top:607.75pt;width:.05pt;height:37.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">
                <v:stroke endarrow="block"/>
              </v:shape>
            </w:pict>
          </mc:Fallback>
        </mc:AlternateContent>
      </w:r>
      <w:r>
        <w:rPr>
          <w:noProof/>
          <w:lang w:eastAsia="ja-JP"/>
        </w:rPr>
        <mc:AlternateContent>
          <mc:Choice Requires="wps">
            <w:drawing>
              <wp:anchor distT="0" distB="0" distL="114300" distR="114300" simplePos="0" relativeHeight="251760640" behindDoc="0" locked="0" layoutInCell="1" allowOverlap="1" wp14:anchorId="182CB2F6" wp14:editId="05DA3FF1">
                <wp:simplePos x="0" y="0"/>
                <wp:positionH relativeFrom="column">
                  <wp:posOffset>4440555</wp:posOffset>
                </wp:positionH>
                <wp:positionV relativeFrom="paragraph">
                  <wp:posOffset>2326640</wp:posOffset>
                </wp:positionV>
                <wp:extent cx="635" cy="3150235"/>
                <wp:effectExtent l="76200" t="0" r="75565" b="50165"/>
                <wp:wrapNone/>
                <wp:docPr id="30"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50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27BBE" id="AutoShape 330" o:spid="_x0000_s1026" type="#_x0000_t32" style="position:absolute;margin-left:349.65pt;margin-top:183.2pt;width:.05pt;height:248.0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">
                <v:stroke endarrow="block"/>
              </v:shape>
            </w:pict>
          </mc:Fallback>
        </mc:AlternateContent>
      </w:r>
      <w:r>
        <w:rPr>
          <w:noProof/>
          <w:lang w:eastAsia="ja-JP"/>
        </w:rPr>
        <mc:AlternateContent>
          <mc:Choice Requires="wps">
            <w:drawing>
              <wp:anchor distT="0" distB="0" distL="114300" distR="114300" simplePos="0" relativeHeight="251759616" behindDoc="0" locked="0" layoutInCell="1" allowOverlap="1" wp14:anchorId="20D3B959" wp14:editId="757A5908">
                <wp:simplePos x="0" y="0"/>
                <wp:positionH relativeFrom="column">
                  <wp:posOffset>3032125</wp:posOffset>
                </wp:positionH>
                <wp:positionV relativeFrom="paragraph">
                  <wp:posOffset>713740</wp:posOffset>
                </wp:positionV>
                <wp:extent cx="635" cy="235585"/>
                <wp:effectExtent l="76200" t="0" r="75565" b="50165"/>
                <wp:wrapNone/>
                <wp:docPr id="29"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47DDE" id="AutoShape 329" o:spid="_x0000_s1026" type="#_x0000_t32" style="position:absolute;margin-left:238.75pt;margin-top:56.2pt;width:.05pt;height:1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V8NwIAAGE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">
                <v:stroke endarrow="block"/>
              </v:shape>
            </w:pict>
          </mc:Fallback>
        </mc:AlternateContent>
      </w:r>
      <w:r>
        <w:rPr>
          <w:noProof/>
          <w:lang w:eastAsia="ja-JP"/>
        </w:rPr>
        <mc:AlternateContent>
          <mc:Choice Requires="wps">
            <w:drawing>
              <wp:anchor distT="4294967291" distB="4294967291" distL="114300" distR="114300" simplePos="0" relativeHeight="251758592" behindDoc="0" locked="0" layoutInCell="1" allowOverlap="1" wp14:anchorId="71B66F9B" wp14:editId="7EE47621">
                <wp:simplePos x="0" y="0"/>
                <wp:positionH relativeFrom="column">
                  <wp:posOffset>380365</wp:posOffset>
                </wp:positionH>
                <wp:positionV relativeFrom="paragraph">
                  <wp:posOffset>1780539</wp:posOffset>
                </wp:positionV>
                <wp:extent cx="4578985" cy="0"/>
                <wp:effectExtent l="0" t="0" r="12065" b="19050"/>
                <wp:wrapNone/>
                <wp:docPr id="28"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7B8E3" id="AutoShape 328" o:spid="_x0000_s1026" type="#_x0000_t32" style="position:absolute;margin-left:29.95pt;margin-top:140.2pt;width:360.55pt;height:0;z-index:251758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jQIA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"/>
            </w:pict>
          </mc:Fallback>
        </mc:AlternateContent>
      </w:r>
      <w:r>
        <w:rPr>
          <w:noProof/>
          <w:lang w:eastAsia="ja-JP"/>
        </w:rPr>
        <mc:AlternateContent>
          <mc:Choice Requires="wps">
            <w:drawing>
              <wp:anchor distT="0" distB="0" distL="114300" distR="114300" simplePos="0" relativeHeight="251757568" behindDoc="0" locked="0" layoutInCell="1" allowOverlap="1" wp14:anchorId="1D94D4B0" wp14:editId="71B031C9">
                <wp:simplePos x="0" y="0"/>
                <wp:positionH relativeFrom="column">
                  <wp:posOffset>694055</wp:posOffset>
                </wp:positionH>
                <wp:positionV relativeFrom="paragraph">
                  <wp:posOffset>713105</wp:posOffset>
                </wp:positionV>
                <wp:extent cx="4045585" cy="635"/>
                <wp:effectExtent l="0" t="0" r="12065" b="37465"/>
                <wp:wrapNone/>
                <wp:docPr id="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55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5CD31" id="AutoShape 327" o:spid="_x0000_s1026" type="#_x0000_t32" style="position:absolute;margin-left:54.65pt;margin-top:56.15pt;width:318.55pt;height:.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Gg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"/>
            </w:pict>
          </mc:Fallback>
        </mc:AlternateContent>
      </w:r>
      <w:r>
        <w:rPr>
          <w:noProof/>
          <w:lang w:eastAsia="ja-JP"/>
        </w:rPr>
        <mc:AlternateContent>
          <mc:Choice Requires="wps">
            <w:drawing>
              <wp:anchor distT="0" distB="0" distL="114300" distR="114300" simplePos="0" relativeHeight="251756544" behindDoc="0" locked="0" layoutInCell="1" allowOverlap="1" wp14:anchorId="0F72E1A9" wp14:editId="4547CAC4">
                <wp:simplePos x="0" y="0"/>
                <wp:positionH relativeFrom="column">
                  <wp:posOffset>4625975</wp:posOffset>
                </wp:positionH>
                <wp:positionV relativeFrom="paragraph">
                  <wp:posOffset>3854450</wp:posOffset>
                </wp:positionV>
                <wp:extent cx="831215" cy="680720"/>
                <wp:effectExtent l="0" t="0" r="26035" b="24130"/>
                <wp:wrapNone/>
                <wp:docPr id="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680720"/>
                        </a:xfrm>
                        <a:prstGeom prst="rect">
                          <a:avLst/>
                        </a:prstGeom>
                        <a:solidFill>
                          <a:srgbClr val="FFFFFF"/>
                        </a:solidFill>
                        <a:ln w="9525">
                          <a:solidFill>
                            <a:srgbClr val="000000"/>
                          </a:solidFill>
                          <a:miter lim="800000"/>
                          <a:headEnd/>
                          <a:tailEnd/>
                        </a:ln>
                      </wps:spPr>
                      <wps:txbx>
                        <w:txbxContent>
                          <w:p w14:paraId="2B7162AF" w14:textId="77777777" w:rsidR="00AC34E6" w:rsidRDefault="00AC34E6" w:rsidP="00005916">
                            <w:pPr>
                              <w:spacing w:line="240" w:lineRule="auto"/>
                            </w:pPr>
                            <w:r>
                              <w:t>Report to Prime Minister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12" type="#_x0000_t202" style="position:absolute;margin-left:364.25pt;margin-top:303.5pt;width:65.45pt;height:5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">
                <v:textbox inset="5.85pt,.7pt,5.85pt,.7pt">
                  <w:txbxContent>
                    <w:p w14:paraId="2B7162AF" w14:textId="77777777" w:rsidR="00AC34E6" w:rsidRDefault="00AC34E6" w:rsidP="00005916">
                      <w:pPr>
                        <w:spacing w:line="240" w:lineRule="auto"/>
                      </w:pPr>
                      <w:r>
                        <w:t>Report to Prime Minister</w:t>
                      </w:r>
                    </w:p>
                  </w:txbxContent>
                </v:textbox>
              </v:shape>
            </w:pict>
          </mc:Fallback>
        </mc:AlternateContent>
      </w:r>
      <w:r>
        <w:rPr>
          <w:noProof/>
          <w:lang w:eastAsia="ja-JP"/>
        </w:rPr>
        <mc:AlternateContent>
          <mc:Choice Requires="wps">
            <w:drawing>
              <wp:anchor distT="0" distB="0" distL="114300" distR="114300" simplePos="0" relativeHeight="251755520" behindDoc="0" locked="0" layoutInCell="1" allowOverlap="1" wp14:anchorId="6E3A87C8" wp14:editId="567807E7">
                <wp:simplePos x="0" y="0"/>
                <wp:positionH relativeFrom="column">
                  <wp:posOffset>4626610</wp:posOffset>
                </wp:positionH>
                <wp:positionV relativeFrom="paragraph">
                  <wp:posOffset>3119755</wp:posOffset>
                </wp:positionV>
                <wp:extent cx="830580" cy="462915"/>
                <wp:effectExtent l="0" t="0" r="26670" b="13335"/>
                <wp:wrapNone/>
                <wp:docPr id="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62915"/>
                        </a:xfrm>
                        <a:prstGeom prst="rect">
                          <a:avLst/>
                        </a:prstGeom>
                        <a:solidFill>
                          <a:srgbClr val="FFFFFF"/>
                        </a:solidFill>
                        <a:ln w="9525">
                          <a:solidFill>
                            <a:srgbClr val="000000"/>
                          </a:solidFill>
                          <a:miter lim="800000"/>
                          <a:headEnd/>
                          <a:tailEnd/>
                        </a:ln>
                      </wps:spPr>
                      <wps:txbx>
                        <w:txbxContent>
                          <w:p w14:paraId="34C58A14" w14:textId="77777777" w:rsidR="00AC34E6" w:rsidRDefault="00AC34E6" w:rsidP="00005916">
                            <w:pPr>
                              <w:spacing w:line="240" w:lineRule="auto"/>
                            </w:pPr>
                            <w:r>
                              <w:t>No prosecution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113" type="#_x0000_t202" style="position:absolute;margin-left:364.3pt;margin-top:245.65pt;width:65.4pt;height:36.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">
                <v:textbox inset="5.85pt,.7pt,5.85pt,.7pt">
                  <w:txbxContent>
                    <w:p w14:paraId="34C58A14" w14:textId="77777777" w:rsidR="00AC34E6" w:rsidRDefault="00AC34E6" w:rsidP="00005916">
                      <w:pPr>
                        <w:spacing w:line="240" w:lineRule="auto"/>
                      </w:pPr>
                      <w:r>
                        <w:t>No prosecution</w:t>
                      </w:r>
                    </w:p>
                  </w:txbxContent>
                </v:textbox>
              </v:shape>
            </w:pict>
          </mc:Fallback>
        </mc:AlternateContent>
      </w:r>
      <w:r>
        <w:rPr>
          <w:noProof/>
          <w:lang w:eastAsia="ja-JP"/>
        </w:rPr>
        <mc:AlternateContent>
          <mc:Choice Requires="wps">
            <w:drawing>
              <wp:anchor distT="0" distB="0" distL="114300" distR="114300" simplePos="0" relativeHeight="251754496" behindDoc="0" locked="0" layoutInCell="1" allowOverlap="1" wp14:anchorId="55D419AF" wp14:editId="44EA3693">
                <wp:simplePos x="0" y="0"/>
                <wp:positionH relativeFrom="column">
                  <wp:posOffset>2567305</wp:posOffset>
                </wp:positionH>
                <wp:positionV relativeFrom="paragraph">
                  <wp:posOffset>6399530</wp:posOffset>
                </wp:positionV>
                <wp:extent cx="653415" cy="207010"/>
                <wp:effectExtent l="0" t="0" r="0" b="2540"/>
                <wp:wrapNone/>
                <wp:docPr id="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FF38A" w14:textId="77777777" w:rsidR="00AC34E6" w:rsidRDefault="00AC34E6" w:rsidP="00005916">
                            <w:pPr>
                              <w:spacing w:line="240" w:lineRule="auto"/>
                            </w:pPr>
                            <w:r>
                              <w:t>Appeal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114" type="#_x0000_t202" style="position:absolute;margin-left:202.15pt;margin-top:503.9pt;width:51.45pt;height:1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" stroked="f">
                <v:textbox inset="5.85pt,.7pt,5.85pt,.7pt">
                  <w:txbxContent>
                    <w:p w14:paraId="029FF38A" w14:textId="77777777" w:rsidR="00AC34E6" w:rsidRDefault="00AC34E6" w:rsidP="00005916">
                      <w:pPr>
                        <w:spacing w:line="240" w:lineRule="auto"/>
                      </w:pPr>
                      <w:r>
                        <w:t>Appeal</w:t>
                      </w:r>
                    </w:p>
                  </w:txbxContent>
                </v:textbox>
              </v:shape>
            </w:pict>
          </mc:Fallback>
        </mc:AlternateContent>
      </w:r>
      <w:r>
        <w:rPr>
          <w:noProof/>
          <w:lang w:eastAsia="ja-JP"/>
        </w:rPr>
        <mc:AlternateContent>
          <mc:Choice Requires="wps">
            <w:drawing>
              <wp:anchor distT="0" distB="0" distL="114300" distR="114300" simplePos="0" relativeHeight="251753472" behindDoc="0" locked="0" layoutInCell="1" allowOverlap="1" wp14:anchorId="683C83BC" wp14:editId="7496B76F">
                <wp:simplePos x="0" y="0"/>
                <wp:positionH relativeFrom="column">
                  <wp:posOffset>1147445</wp:posOffset>
                </wp:positionH>
                <wp:positionV relativeFrom="paragraph">
                  <wp:posOffset>46990</wp:posOffset>
                </wp:positionV>
                <wp:extent cx="1206500" cy="466090"/>
                <wp:effectExtent l="0" t="0" r="12700" b="10160"/>
                <wp:wrapNone/>
                <wp:docPr id="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66090"/>
                        </a:xfrm>
                        <a:prstGeom prst="rect">
                          <a:avLst/>
                        </a:prstGeom>
                        <a:solidFill>
                          <a:srgbClr val="FFFFFF"/>
                        </a:solidFill>
                        <a:ln w="9525">
                          <a:solidFill>
                            <a:srgbClr val="000000"/>
                          </a:solidFill>
                          <a:miter lim="800000"/>
                          <a:headEnd/>
                          <a:tailEnd/>
                        </a:ln>
                      </wps:spPr>
                      <wps:txbx>
                        <w:txbxContent>
                          <w:p w14:paraId="601F9DE5" w14:textId="77777777" w:rsidR="00AC34E6" w:rsidRDefault="00AC34E6" w:rsidP="00005916">
                            <w:pPr>
                              <w:spacing w:line="240" w:lineRule="auto"/>
                            </w:pPr>
                            <w:r>
                              <w:t>Report from the public (</w:t>
                            </w:r>
                            <w:r w:rsidRPr="004D6856">
                              <w:rPr>
                                <w:i/>
                                <w:iCs/>
                              </w:rPr>
                              <w:t>Shinkoku</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115" type="#_x0000_t202" style="position:absolute;margin-left:90.35pt;margin-top:3.7pt;width:95pt;height:36.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">
                <v:textbox inset="5.85pt,.7pt,5.85pt,.7pt">
                  <w:txbxContent>
                    <w:p w14:paraId="601F9DE5" w14:textId="77777777" w:rsidR="00AC34E6" w:rsidRDefault="00AC34E6" w:rsidP="00005916">
                      <w:pPr>
                        <w:spacing w:line="240" w:lineRule="auto"/>
                      </w:pPr>
                      <w:r>
                        <w:t>Report from the public (</w:t>
                      </w:r>
                      <w:r w:rsidRPr="004D6856">
                        <w:rPr>
                          <w:i/>
                          <w:iCs/>
                        </w:rPr>
                        <w:t>Shinkoku</w:t>
                      </w:r>
                      <w:r>
                        <w:t>)</w:t>
                      </w:r>
                    </w:p>
                  </w:txbxContent>
                </v:textbox>
              </v:shape>
            </w:pict>
          </mc:Fallback>
        </mc:AlternateContent>
      </w:r>
      <w:r>
        <w:rPr>
          <w:noProof/>
          <w:lang w:eastAsia="ja-JP"/>
        </w:rPr>
        <mc:AlternateContent>
          <mc:Choice Requires="wps">
            <w:drawing>
              <wp:anchor distT="0" distB="0" distL="114300" distR="114300" simplePos="0" relativeHeight="251752448" behindDoc="0" locked="0" layoutInCell="1" allowOverlap="1" wp14:anchorId="55080BFE" wp14:editId="30C0F40E">
                <wp:simplePos x="0" y="0"/>
                <wp:positionH relativeFrom="column">
                  <wp:posOffset>1216660</wp:posOffset>
                </wp:positionH>
                <wp:positionV relativeFrom="paragraph">
                  <wp:posOffset>1098550</wp:posOffset>
                </wp:positionV>
                <wp:extent cx="1863090" cy="450215"/>
                <wp:effectExtent l="0" t="0" r="22860" b="26035"/>
                <wp:wrapNone/>
                <wp:docPr id="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450215"/>
                        </a:xfrm>
                        <a:prstGeom prst="rect">
                          <a:avLst/>
                        </a:prstGeom>
                        <a:solidFill>
                          <a:srgbClr val="FFFFFF"/>
                        </a:solidFill>
                        <a:ln w="9525">
                          <a:solidFill>
                            <a:srgbClr val="000000"/>
                          </a:solidFill>
                          <a:miter lim="800000"/>
                          <a:headEnd/>
                          <a:tailEnd/>
                        </a:ln>
                      </wps:spPr>
                      <wps:txbx>
                        <w:txbxContent>
                          <w:p w14:paraId="6E0BCB8D" w14:textId="77777777" w:rsidR="00AC34E6" w:rsidRDefault="00AC34E6" w:rsidP="00005916">
                            <w:pPr>
                              <w:spacing w:line="240" w:lineRule="auto"/>
                            </w:pPr>
                            <w:r>
                              <w:rPr>
                                <w:rFonts w:hint="eastAsia"/>
                              </w:rPr>
                              <w:t>Administrative i</w:t>
                            </w:r>
                            <w:r>
                              <w:t>nvestigation</w:t>
                            </w:r>
                            <w:r>
                              <w:rPr>
                                <w:rFonts w:hint="eastAsia"/>
                              </w:rPr>
                              <w:t xml:space="preserve"> (</w:t>
                            </w:r>
                            <w:r w:rsidRPr="00EC76AF">
                              <w:rPr>
                                <w:rFonts w:hint="eastAsia"/>
                                <w:i/>
                              </w:rPr>
                              <w:t>Gyosei Chosa</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116" type="#_x0000_t202" style="position:absolute;margin-left:95.8pt;margin-top:86.5pt;width:146.7pt;height:35.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">
                <v:textbox inset="5.85pt,.7pt,5.85pt,.7pt">
                  <w:txbxContent>
                    <w:p w14:paraId="6E0BCB8D" w14:textId="77777777" w:rsidR="00AC34E6" w:rsidRDefault="00AC34E6" w:rsidP="00005916">
                      <w:pPr>
                        <w:spacing w:line="240" w:lineRule="auto"/>
                      </w:pPr>
                      <w:r>
                        <w:rPr>
                          <w:rFonts w:hint="eastAsia"/>
                        </w:rPr>
                        <w:t>Administrative i</w:t>
                      </w:r>
                      <w:r>
                        <w:t>nvestigation</w:t>
                      </w:r>
                      <w:r>
                        <w:rPr>
                          <w:rFonts w:hint="eastAsia"/>
                        </w:rPr>
                        <w:t xml:space="preserve"> (</w:t>
                      </w:r>
                      <w:r w:rsidRPr="00EC76AF">
                        <w:rPr>
                          <w:rFonts w:hint="eastAsia"/>
                          <w:i/>
                        </w:rPr>
                        <w:t>Gyosei Chosa</w:t>
                      </w:r>
                      <w:r>
                        <w:rPr>
                          <w:rFonts w:hint="eastAsia"/>
                        </w:rPr>
                        <w:t>)</w:t>
                      </w:r>
                    </w:p>
                  </w:txbxContent>
                </v:textbox>
              </v:shape>
            </w:pict>
          </mc:Fallback>
        </mc:AlternateContent>
      </w:r>
      <w:r>
        <w:rPr>
          <w:noProof/>
          <w:lang w:eastAsia="ja-JP"/>
        </w:rPr>
        <mc:AlternateContent>
          <mc:Choice Requires="wps">
            <w:drawing>
              <wp:anchor distT="0" distB="0" distL="114300" distR="114300" simplePos="0" relativeHeight="251751424" behindDoc="0" locked="0" layoutInCell="1" allowOverlap="1" wp14:anchorId="755F7C53" wp14:editId="6B3161AE">
                <wp:simplePos x="0" y="0"/>
                <wp:positionH relativeFrom="column">
                  <wp:posOffset>48895</wp:posOffset>
                </wp:positionH>
                <wp:positionV relativeFrom="paragraph">
                  <wp:posOffset>46990</wp:posOffset>
                </wp:positionV>
                <wp:extent cx="1024890" cy="466090"/>
                <wp:effectExtent l="0" t="0" r="22860" b="10160"/>
                <wp:wrapNone/>
                <wp:docPr id="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466090"/>
                        </a:xfrm>
                        <a:prstGeom prst="rect">
                          <a:avLst/>
                        </a:prstGeom>
                        <a:solidFill>
                          <a:srgbClr val="FFFFFF"/>
                        </a:solidFill>
                        <a:ln w="9525">
                          <a:solidFill>
                            <a:srgbClr val="000000"/>
                          </a:solidFill>
                          <a:miter lim="800000"/>
                          <a:headEnd/>
                          <a:tailEnd/>
                        </a:ln>
                      </wps:spPr>
                      <wps:txbx>
                        <w:txbxContent>
                          <w:p w14:paraId="156E4B3F" w14:textId="77777777" w:rsidR="00AC34E6" w:rsidRDefault="00AC34E6" w:rsidP="00005916">
                            <w:pPr>
                              <w:spacing w:line="240" w:lineRule="auto"/>
                            </w:pPr>
                            <w:r>
                              <w:t>Detection by the JFTC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117" type="#_x0000_t202" style="position:absolute;margin-left:3.85pt;margin-top:3.7pt;width:80.7pt;height:36.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dYLQIAAFkEAAAOAAAAZHJzL2Uyb0RvYy54bWysVNuO2yAQfa/Uf0C8N3bcJJt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">
                <v:textbox inset="5.85pt,.7pt,5.85pt,.7pt">
                  <w:txbxContent>
                    <w:p w14:paraId="156E4B3F" w14:textId="77777777" w:rsidR="00AC34E6" w:rsidRDefault="00AC34E6" w:rsidP="00005916">
                      <w:pPr>
                        <w:spacing w:line="240" w:lineRule="auto"/>
                      </w:pPr>
                      <w:r>
                        <w:t>Detection by the JFTC</w:t>
                      </w:r>
                    </w:p>
                  </w:txbxContent>
                </v:textbox>
              </v:shape>
            </w:pict>
          </mc:Fallback>
        </mc:AlternateContent>
      </w:r>
      <w:r>
        <w:rPr>
          <w:noProof/>
          <w:lang w:eastAsia="ja-JP"/>
        </w:rPr>
        <mc:AlternateContent>
          <mc:Choice Requires="wps">
            <w:drawing>
              <wp:anchor distT="0" distB="0" distL="114300" distR="114300" simplePos="0" relativeHeight="251750400" behindDoc="0" locked="0" layoutInCell="1" allowOverlap="1" wp14:anchorId="607D2ED8" wp14:editId="3D7AFE31">
                <wp:simplePos x="0" y="0"/>
                <wp:positionH relativeFrom="column">
                  <wp:posOffset>3261360</wp:posOffset>
                </wp:positionH>
                <wp:positionV relativeFrom="paragraph">
                  <wp:posOffset>8196580</wp:posOffset>
                </wp:positionV>
                <wp:extent cx="1043305" cy="243205"/>
                <wp:effectExtent l="0" t="0" r="23495" b="23495"/>
                <wp:wrapNone/>
                <wp:docPr id="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243205"/>
                        </a:xfrm>
                        <a:prstGeom prst="rect">
                          <a:avLst/>
                        </a:prstGeom>
                        <a:solidFill>
                          <a:srgbClr val="FFFFFF"/>
                        </a:solidFill>
                        <a:ln w="9525">
                          <a:solidFill>
                            <a:srgbClr val="000000"/>
                          </a:solidFill>
                          <a:miter lim="800000"/>
                          <a:headEnd/>
                          <a:tailEnd/>
                        </a:ln>
                      </wps:spPr>
                      <wps:txbx>
                        <w:txbxContent>
                          <w:p w14:paraId="7213D157" w14:textId="77777777" w:rsidR="00AC34E6" w:rsidRDefault="00AC34E6" w:rsidP="00005916">
                            <w:pPr>
                              <w:spacing w:line="240" w:lineRule="auto"/>
                            </w:pPr>
                            <w:r>
                              <w:t>Supreme Court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118" type="#_x0000_t202" style="position:absolute;margin-left:256.8pt;margin-top:645.4pt;width:82.15pt;height:19.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">
                <v:textbox inset="5.85pt,.7pt,5.85pt,.7pt">
                  <w:txbxContent>
                    <w:p w14:paraId="7213D157" w14:textId="77777777" w:rsidR="00AC34E6" w:rsidRDefault="00AC34E6" w:rsidP="00005916">
                      <w:pPr>
                        <w:spacing w:line="240" w:lineRule="auto"/>
                      </w:pPr>
                      <w:r>
                        <w:t>Supreme Court</w:t>
                      </w:r>
                    </w:p>
                  </w:txbxContent>
                </v:textbox>
              </v:shape>
            </w:pict>
          </mc:Fallback>
        </mc:AlternateContent>
      </w:r>
      <w:r>
        <w:rPr>
          <w:noProof/>
          <w:lang w:eastAsia="ja-JP"/>
        </w:rPr>
        <mc:AlternateContent>
          <mc:Choice Requires="wps">
            <w:drawing>
              <wp:anchor distT="0" distB="0" distL="114300" distR="114300" simplePos="0" relativeHeight="251749376" behindDoc="0" locked="0" layoutInCell="1" allowOverlap="1" wp14:anchorId="327682F5" wp14:editId="078AACBA">
                <wp:simplePos x="0" y="0"/>
                <wp:positionH relativeFrom="column">
                  <wp:posOffset>2990850</wp:posOffset>
                </wp:positionH>
                <wp:positionV relativeFrom="paragraph">
                  <wp:posOffset>7875905</wp:posOffset>
                </wp:positionV>
                <wp:extent cx="608965" cy="243205"/>
                <wp:effectExtent l="0" t="0" r="635" b="4445"/>
                <wp:wrapNone/>
                <wp:docPr id="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90F91" w14:textId="77777777" w:rsidR="00AC34E6" w:rsidRDefault="00AC34E6" w:rsidP="00005916">
                            <w:pPr>
                              <w:spacing w:line="240" w:lineRule="auto"/>
                            </w:pPr>
                            <w:r>
                              <w:t>Appeal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119" type="#_x0000_t202" style="position:absolute;margin-left:235.5pt;margin-top:620.15pt;width:47.95pt;height:19.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" stroked="f">
                <v:textbox inset="5.85pt,.7pt,5.85pt,.7pt">
                  <w:txbxContent>
                    <w:p w14:paraId="73490F91" w14:textId="77777777" w:rsidR="00AC34E6" w:rsidRDefault="00AC34E6" w:rsidP="00005916">
                      <w:pPr>
                        <w:spacing w:line="240" w:lineRule="auto"/>
                      </w:pPr>
                      <w:r>
                        <w:t>Appeal</w:t>
                      </w:r>
                    </w:p>
                  </w:txbxContent>
                </v:textbox>
              </v:shape>
            </w:pict>
          </mc:Fallback>
        </mc:AlternateContent>
      </w:r>
      <w:r>
        <w:rPr>
          <w:noProof/>
          <w:lang w:eastAsia="ja-JP"/>
        </w:rPr>
        <mc:AlternateContent>
          <mc:Choice Requires="wps">
            <w:drawing>
              <wp:anchor distT="0" distB="0" distL="114300" distR="114300" simplePos="0" relativeHeight="251748352" behindDoc="0" locked="0" layoutInCell="1" allowOverlap="1" wp14:anchorId="6E110621" wp14:editId="1E25006C">
                <wp:simplePos x="0" y="0"/>
                <wp:positionH relativeFrom="column">
                  <wp:posOffset>4613275</wp:posOffset>
                </wp:positionH>
                <wp:positionV relativeFrom="paragraph">
                  <wp:posOffset>7475220</wp:posOffset>
                </wp:positionV>
                <wp:extent cx="992505" cy="243205"/>
                <wp:effectExtent l="0" t="0" r="17145" b="23495"/>
                <wp:wrapNone/>
                <wp:docPr id="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243205"/>
                        </a:xfrm>
                        <a:prstGeom prst="rect">
                          <a:avLst/>
                        </a:prstGeom>
                        <a:solidFill>
                          <a:srgbClr val="FFFFFF"/>
                        </a:solidFill>
                        <a:ln w="9525">
                          <a:solidFill>
                            <a:srgbClr val="000000"/>
                          </a:solidFill>
                          <a:miter lim="800000"/>
                          <a:headEnd/>
                          <a:tailEnd/>
                        </a:ln>
                      </wps:spPr>
                      <wps:txbx>
                        <w:txbxContent>
                          <w:p w14:paraId="41767DE7" w14:textId="77777777" w:rsidR="00AC34E6" w:rsidRDefault="00AC34E6" w:rsidP="00005916">
                            <w:pPr>
                              <w:spacing w:line="240" w:lineRule="auto"/>
                            </w:pPr>
                            <w:r>
                              <w:t>Decision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20" type="#_x0000_t202" style="position:absolute;margin-left:363.25pt;margin-top:588.6pt;width:78.15pt;height:19.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">
                <v:textbox inset="5.85pt,.7pt,5.85pt,.7pt">
                  <w:txbxContent>
                    <w:p w14:paraId="41767DE7" w14:textId="77777777" w:rsidR="00AC34E6" w:rsidRDefault="00AC34E6" w:rsidP="00005916">
                      <w:pPr>
                        <w:spacing w:line="240" w:lineRule="auto"/>
                      </w:pPr>
                      <w:r>
                        <w:t>Decision</w:t>
                      </w:r>
                    </w:p>
                  </w:txbxContent>
                </v:textbox>
              </v:shape>
            </w:pict>
          </mc:Fallback>
        </mc:AlternateContent>
      </w:r>
      <w:r>
        <w:rPr>
          <w:noProof/>
          <w:lang w:eastAsia="ja-JP"/>
        </w:rPr>
        <mc:AlternateContent>
          <mc:Choice Requires="wps">
            <w:drawing>
              <wp:anchor distT="0" distB="0" distL="114300" distR="114300" simplePos="0" relativeHeight="251747328" behindDoc="0" locked="0" layoutInCell="1" allowOverlap="1" wp14:anchorId="0C8E0063" wp14:editId="3EB17E94">
                <wp:simplePos x="0" y="0"/>
                <wp:positionH relativeFrom="column">
                  <wp:posOffset>2245360</wp:posOffset>
                </wp:positionH>
                <wp:positionV relativeFrom="paragraph">
                  <wp:posOffset>7475220</wp:posOffset>
                </wp:positionV>
                <wp:extent cx="2278380" cy="243205"/>
                <wp:effectExtent l="0" t="0" r="26670" b="23495"/>
                <wp:wrapNone/>
                <wp:docPr id="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43205"/>
                        </a:xfrm>
                        <a:prstGeom prst="rect">
                          <a:avLst/>
                        </a:prstGeom>
                        <a:solidFill>
                          <a:srgbClr val="FFFFFF"/>
                        </a:solidFill>
                        <a:ln w="9525">
                          <a:solidFill>
                            <a:srgbClr val="000000"/>
                          </a:solidFill>
                          <a:miter lim="800000"/>
                          <a:headEnd/>
                          <a:tailEnd/>
                        </a:ln>
                      </wps:spPr>
                      <wps:txbx>
                        <w:txbxContent>
                          <w:p w14:paraId="2A0FE7E7" w14:textId="77777777" w:rsidR="00AC34E6" w:rsidRDefault="00AC34E6" w:rsidP="00005916">
                            <w:pPr>
                              <w:spacing w:line="240" w:lineRule="auto"/>
                            </w:pPr>
                            <w:r>
                              <w:t>Judgement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121" type="#_x0000_t202" style="position:absolute;margin-left:176.8pt;margin-top:588.6pt;width:179.4pt;height:19.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">
                <v:textbox inset="5.85pt,.7pt,5.85pt,.7pt">
                  <w:txbxContent>
                    <w:p w14:paraId="2A0FE7E7" w14:textId="77777777" w:rsidR="00AC34E6" w:rsidRDefault="00AC34E6" w:rsidP="00005916">
                      <w:pPr>
                        <w:spacing w:line="240" w:lineRule="auto"/>
                      </w:pPr>
                      <w:r>
                        <w:t>Judgement</w:t>
                      </w:r>
                    </w:p>
                  </w:txbxContent>
                </v:textbox>
              </v:shape>
            </w:pict>
          </mc:Fallback>
        </mc:AlternateContent>
      </w:r>
      <w:r>
        <w:rPr>
          <w:noProof/>
          <w:lang w:eastAsia="ja-JP"/>
        </w:rPr>
        <mc:AlternateContent>
          <mc:Choice Requires="wps">
            <w:drawing>
              <wp:anchor distT="0" distB="0" distL="114300" distR="114300" simplePos="0" relativeHeight="251746304" behindDoc="0" locked="0" layoutInCell="1" allowOverlap="1" wp14:anchorId="3A51B87A" wp14:editId="6C1EE973">
                <wp:simplePos x="0" y="0"/>
                <wp:positionH relativeFrom="column">
                  <wp:posOffset>4613275</wp:posOffset>
                </wp:positionH>
                <wp:positionV relativeFrom="paragraph">
                  <wp:posOffset>6816090</wp:posOffset>
                </wp:positionV>
                <wp:extent cx="992505" cy="462915"/>
                <wp:effectExtent l="0" t="0" r="17145" b="13335"/>
                <wp:wrapNone/>
                <wp:docPr id="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462915"/>
                        </a:xfrm>
                        <a:prstGeom prst="rect">
                          <a:avLst/>
                        </a:prstGeom>
                        <a:solidFill>
                          <a:srgbClr val="FFFFFF"/>
                        </a:solidFill>
                        <a:ln w="9525">
                          <a:solidFill>
                            <a:srgbClr val="000000"/>
                          </a:solidFill>
                          <a:miter lim="800000"/>
                          <a:headEnd/>
                          <a:tailEnd/>
                        </a:ln>
                      </wps:spPr>
                      <wps:txbx>
                        <w:txbxContent>
                          <w:p w14:paraId="1EF4F962" w14:textId="77777777" w:rsidR="00AC34E6" w:rsidRDefault="00AC34E6" w:rsidP="00005916">
                            <w:pPr>
                              <w:spacing w:line="240" w:lineRule="auto"/>
                            </w:pPr>
                            <w:r>
                              <w:t>Injunction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122" type="#_x0000_t202" style="position:absolute;margin-left:363.25pt;margin-top:536.7pt;width:78.15pt;height:36.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">
                <v:textbox inset="5.85pt,.7pt,5.85pt,.7pt">
                  <w:txbxContent>
                    <w:p w14:paraId="1EF4F962" w14:textId="77777777" w:rsidR="00AC34E6" w:rsidRDefault="00AC34E6" w:rsidP="00005916">
                      <w:pPr>
                        <w:spacing w:line="240" w:lineRule="auto"/>
                      </w:pPr>
                      <w:r>
                        <w:t>Injunction</w:t>
                      </w:r>
                    </w:p>
                  </w:txbxContent>
                </v:textbox>
              </v:shape>
            </w:pict>
          </mc:Fallback>
        </mc:AlternateContent>
      </w:r>
      <w:r>
        <w:rPr>
          <w:noProof/>
          <w:lang w:eastAsia="ja-JP"/>
        </w:rPr>
        <mc:AlternateContent>
          <mc:Choice Requires="wps">
            <w:drawing>
              <wp:anchor distT="0" distB="0" distL="114300" distR="114300" simplePos="0" relativeHeight="251745280" behindDoc="0" locked="0" layoutInCell="1" allowOverlap="1" wp14:anchorId="78EEC567" wp14:editId="7B17FE85">
                <wp:simplePos x="0" y="0"/>
                <wp:positionH relativeFrom="column">
                  <wp:posOffset>3604895</wp:posOffset>
                </wp:positionH>
                <wp:positionV relativeFrom="paragraph">
                  <wp:posOffset>6816090</wp:posOffset>
                </wp:positionV>
                <wp:extent cx="918845" cy="462915"/>
                <wp:effectExtent l="0" t="0" r="14605" b="13335"/>
                <wp:wrapNone/>
                <wp:docPr id="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462915"/>
                        </a:xfrm>
                        <a:prstGeom prst="rect">
                          <a:avLst/>
                        </a:prstGeom>
                        <a:solidFill>
                          <a:srgbClr val="FFFFFF"/>
                        </a:solidFill>
                        <a:ln w="9525">
                          <a:solidFill>
                            <a:srgbClr val="000000"/>
                          </a:solidFill>
                          <a:miter lim="800000"/>
                          <a:headEnd/>
                          <a:tailEnd/>
                        </a:ln>
                      </wps:spPr>
                      <wps:txbx>
                        <w:txbxContent>
                          <w:p w14:paraId="76F53C85" w14:textId="77777777" w:rsidR="00AC34E6" w:rsidRDefault="00AC34E6" w:rsidP="00005916">
                            <w:pPr>
                              <w:spacing w:line="240" w:lineRule="auto"/>
                            </w:pPr>
                            <w:r>
                              <w:t>Initiation of prosecution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23" type="#_x0000_t202" style="position:absolute;margin-left:283.85pt;margin-top:536.7pt;width:72.35pt;height:36.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">
                <v:textbox inset="5.85pt,.7pt,5.85pt,.7pt">
                  <w:txbxContent>
                    <w:p w14:paraId="76F53C85" w14:textId="77777777" w:rsidR="00AC34E6" w:rsidRDefault="00AC34E6" w:rsidP="00005916">
                      <w:pPr>
                        <w:spacing w:line="240" w:lineRule="auto"/>
                      </w:pPr>
                      <w:r>
                        <w:t>Initiation of prosecution</w:t>
                      </w:r>
                    </w:p>
                  </w:txbxContent>
                </v:textbox>
              </v:shape>
            </w:pict>
          </mc:Fallback>
        </mc:AlternateContent>
      </w:r>
      <w:r>
        <w:rPr>
          <w:noProof/>
          <w:lang w:eastAsia="ja-JP"/>
        </w:rPr>
        <mc:AlternateContent>
          <mc:Choice Requires="wps">
            <w:drawing>
              <wp:anchor distT="0" distB="0" distL="114300" distR="114300" simplePos="0" relativeHeight="251744256" behindDoc="0" locked="0" layoutInCell="1" allowOverlap="1" wp14:anchorId="628C2921" wp14:editId="3612B7B9">
                <wp:simplePos x="0" y="0"/>
                <wp:positionH relativeFrom="column">
                  <wp:posOffset>2245360</wp:posOffset>
                </wp:positionH>
                <wp:positionV relativeFrom="paragraph">
                  <wp:posOffset>6816090</wp:posOffset>
                </wp:positionV>
                <wp:extent cx="1261745" cy="462915"/>
                <wp:effectExtent l="0" t="0" r="14605" b="13335"/>
                <wp:wrapNone/>
                <wp:docPr id="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462915"/>
                        </a:xfrm>
                        <a:prstGeom prst="rect">
                          <a:avLst/>
                        </a:prstGeom>
                        <a:solidFill>
                          <a:srgbClr val="FFFFFF"/>
                        </a:solidFill>
                        <a:ln w="9525">
                          <a:solidFill>
                            <a:srgbClr val="000000"/>
                          </a:solidFill>
                          <a:miter lim="800000"/>
                          <a:headEnd/>
                          <a:tailEnd/>
                        </a:ln>
                      </wps:spPr>
                      <wps:txbx>
                        <w:txbxContent>
                          <w:p w14:paraId="0F662789" w14:textId="77777777" w:rsidR="00AC34E6" w:rsidRDefault="00AC34E6" w:rsidP="00005916">
                            <w:pPr>
                              <w:spacing w:line="240" w:lineRule="auto"/>
                            </w:pPr>
                            <w:r>
                              <w:t>Hearing to quash the JFTC decision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124" type="#_x0000_t202" style="position:absolute;margin-left:176.8pt;margin-top:536.7pt;width:99.35pt;height:36.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">
                <v:textbox inset="5.85pt,.7pt,5.85pt,.7pt">
                  <w:txbxContent>
                    <w:p w14:paraId="0F662789" w14:textId="77777777" w:rsidR="00AC34E6" w:rsidRDefault="00AC34E6" w:rsidP="00005916">
                      <w:pPr>
                        <w:spacing w:line="240" w:lineRule="auto"/>
                      </w:pPr>
                      <w:r>
                        <w:t>Hearing to quash the JFTC decision</w:t>
                      </w:r>
                    </w:p>
                  </w:txbxContent>
                </v:textbox>
              </v:shape>
            </w:pict>
          </mc:Fallback>
        </mc:AlternateContent>
      </w:r>
      <w:r>
        <w:rPr>
          <w:noProof/>
          <w:lang w:eastAsia="ja-JP"/>
        </w:rPr>
        <mc:AlternateContent>
          <mc:Choice Requires="wps">
            <w:drawing>
              <wp:anchor distT="0" distB="0" distL="114300" distR="114300" simplePos="0" relativeHeight="251743232" behindDoc="0" locked="0" layoutInCell="1" allowOverlap="1" wp14:anchorId="071EFACB" wp14:editId="4A87F545">
                <wp:simplePos x="0" y="0"/>
                <wp:positionH relativeFrom="column">
                  <wp:posOffset>1833880</wp:posOffset>
                </wp:positionH>
                <wp:positionV relativeFrom="paragraph">
                  <wp:posOffset>5922010</wp:posOffset>
                </wp:positionV>
                <wp:extent cx="2458085" cy="257810"/>
                <wp:effectExtent l="0" t="0" r="18415" b="27940"/>
                <wp:wrapNone/>
                <wp:docPr id="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257810"/>
                        </a:xfrm>
                        <a:prstGeom prst="rect">
                          <a:avLst/>
                        </a:prstGeom>
                        <a:solidFill>
                          <a:srgbClr val="FFFFFF"/>
                        </a:solidFill>
                        <a:ln w="9525">
                          <a:solidFill>
                            <a:srgbClr val="000000"/>
                          </a:solidFill>
                          <a:miter lim="800000"/>
                          <a:headEnd/>
                          <a:tailEnd/>
                        </a:ln>
                      </wps:spPr>
                      <wps:txbx>
                        <w:txbxContent>
                          <w:p w14:paraId="7FED306D" w14:textId="77777777" w:rsidR="00AC34E6" w:rsidRDefault="00AC34E6" w:rsidP="00005916">
                            <w:pPr>
                              <w:spacing w:line="240" w:lineRule="auto"/>
                            </w:pPr>
                            <w:r>
                              <w:t>Complaint decision</w:t>
                            </w:r>
                            <w:r>
                              <w:rPr>
                                <w:rFonts w:hint="eastAsia"/>
                              </w:rPr>
                              <w:t xml:space="preserve"> </w:t>
                            </w:r>
                            <w:r>
                              <w:t>(</w:t>
                            </w:r>
                            <w:r w:rsidRPr="006E74DC">
                              <w:rPr>
                                <w:i/>
                                <w:iCs/>
                              </w:rPr>
                              <w:t>Shinpan shinketsu</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125" type="#_x0000_t202" style="position:absolute;margin-left:144.4pt;margin-top:466.3pt;width:193.55pt;height:2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">
                <v:textbox inset="5.85pt,.7pt,5.85pt,.7pt">
                  <w:txbxContent>
                    <w:p w14:paraId="7FED306D" w14:textId="77777777" w:rsidR="00AC34E6" w:rsidRDefault="00AC34E6" w:rsidP="00005916">
                      <w:pPr>
                        <w:spacing w:line="240" w:lineRule="auto"/>
                      </w:pPr>
                      <w:r>
                        <w:t>Complaint decision</w:t>
                      </w:r>
                      <w:r>
                        <w:rPr>
                          <w:rFonts w:hint="eastAsia"/>
                        </w:rPr>
                        <w:t xml:space="preserve"> </w:t>
                      </w:r>
                      <w:r>
                        <w:t>(</w:t>
                      </w:r>
                      <w:r w:rsidRPr="006E74DC">
                        <w:rPr>
                          <w:i/>
                          <w:iCs/>
                        </w:rPr>
                        <w:t>Shinpan shinketsu</w:t>
                      </w:r>
                      <w:r>
                        <w:t>)</w:t>
                      </w:r>
                    </w:p>
                  </w:txbxContent>
                </v:textbox>
              </v:shape>
            </w:pict>
          </mc:Fallback>
        </mc:AlternateContent>
      </w:r>
      <w:r>
        <w:rPr>
          <w:noProof/>
          <w:lang w:eastAsia="ja-JP"/>
        </w:rPr>
        <mc:AlternateContent>
          <mc:Choice Requires="wps">
            <w:drawing>
              <wp:anchor distT="0" distB="0" distL="114300" distR="114300" simplePos="0" relativeHeight="251742208" behindDoc="0" locked="0" layoutInCell="1" allowOverlap="1" wp14:anchorId="5CD92265" wp14:editId="11095DBA">
                <wp:simplePos x="0" y="0"/>
                <wp:positionH relativeFrom="column">
                  <wp:posOffset>3604895</wp:posOffset>
                </wp:positionH>
                <wp:positionV relativeFrom="paragraph">
                  <wp:posOffset>5443220</wp:posOffset>
                </wp:positionV>
                <wp:extent cx="687070" cy="259080"/>
                <wp:effectExtent l="0" t="0" r="17780" b="26670"/>
                <wp:wrapNone/>
                <wp:docPr id="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59080"/>
                        </a:xfrm>
                        <a:prstGeom prst="rect">
                          <a:avLst/>
                        </a:prstGeom>
                        <a:solidFill>
                          <a:srgbClr val="FFFFFF"/>
                        </a:solidFill>
                        <a:ln w="9525">
                          <a:solidFill>
                            <a:srgbClr val="000000"/>
                          </a:solidFill>
                          <a:miter lim="800000"/>
                          <a:headEnd/>
                          <a:tailEnd/>
                        </a:ln>
                      </wps:spPr>
                      <wps:txbx>
                        <w:txbxContent>
                          <w:p w14:paraId="2C6CC32F" w14:textId="77777777" w:rsidR="00AC34E6" w:rsidRDefault="00AC34E6" w:rsidP="00005916">
                            <w:pPr>
                              <w:spacing w:line="240" w:lineRule="auto"/>
                            </w:pPr>
                            <w:r>
                              <w:t>Hearing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126" type="#_x0000_t202" style="position:absolute;margin-left:283.85pt;margin-top:428.6pt;width:54.1pt;height:2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">
                <v:textbox inset="5.85pt,.7pt,5.85pt,.7pt">
                  <w:txbxContent>
                    <w:p w14:paraId="2C6CC32F" w14:textId="77777777" w:rsidR="00AC34E6" w:rsidRDefault="00AC34E6" w:rsidP="00005916">
                      <w:pPr>
                        <w:spacing w:line="240" w:lineRule="auto"/>
                      </w:pPr>
                      <w:r>
                        <w:t>Hearing</w:t>
                      </w:r>
                    </w:p>
                  </w:txbxContent>
                </v:textbox>
              </v:shape>
            </w:pict>
          </mc:Fallback>
        </mc:AlternateContent>
      </w:r>
      <w:r>
        <w:rPr>
          <w:noProof/>
          <w:lang w:eastAsia="ja-JP"/>
        </w:rPr>
        <mc:AlternateContent>
          <mc:Choice Requires="wps">
            <w:drawing>
              <wp:anchor distT="0" distB="0" distL="114300" distR="114300" simplePos="0" relativeHeight="251741184" behindDoc="0" locked="0" layoutInCell="1" allowOverlap="1" wp14:anchorId="2F5D64AA" wp14:editId="2CEB9B29">
                <wp:simplePos x="0" y="0"/>
                <wp:positionH relativeFrom="column">
                  <wp:posOffset>2376805</wp:posOffset>
                </wp:positionH>
                <wp:positionV relativeFrom="paragraph">
                  <wp:posOffset>4953000</wp:posOffset>
                </wp:positionV>
                <wp:extent cx="1915160" cy="250825"/>
                <wp:effectExtent l="0" t="0" r="27940" b="15875"/>
                <wp:wrapNone/>
                <wp:docPr id="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250825"/>
                        </a:xfrm>
                        <a:prstGeom prst="rect">
                          <a:avLst/>
                        </a:prstGeom>
                        <a:solidFill>
                          <a:srgbClr val="FFFFFF"/>
                        </a:solidFill>
                        <a:ln w="9525">
                          <a:solidFill>
                            <a:srgbClr val="000000"/>
                          </a:solidFill>
                          <a:miter lim="800000"/>
                          <a:headEnd/>
                          <a:tailEnd/>
                        </a:ln>
                      </wps:spPr>
                      <wps:txbx>
                        <w:txbxContent>
                          <w:p w14:paraId="0F10F805" w14:textId="77777777" w:rsidR="00AC34E6" w:rsidRDefault="00AC34E6" w:rsidP="00005916">
                            <w:pPr>
                              <w:spacing w:line="240" w:lineRule="auto"/>
                            </w:pPr>
                            <w:r>
                              <w:t>Designation of trial examiners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27" type="#_x0000_t202" style="position:absolute;margin-left:187.15pt;margin-top:390pt;width:150.8pt;height:1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">
                <v:textbox inset="5.85pt,.7pt,5.85pt,.7pt">
                  <w:txbxContent>
                    <w:p w14:paraId="0F10F805" w14:textId="77777777" w:rsidR="00AC34E6" w:rsidRDefault="00AC34E6" w:rsidP="00005916">
                      <w:pPr>
                        <w:spacing w:line="240" w:lineRule="auto"/>
                      </w:pPr>
                      <w:r>
                        <w:t>Designation of trial examiners</w:t>
                      </w:r>
                    </w:p>
                  </w:txbxContent>
                </v:textbox>
              </v:shape>
            </w:pict>
          </mc:Fallback>
        </mc:AlternateContent>
      </w:r>
      <w:r>
        <w:rPr>
          <w:noProof/>
          <w:lang w:eastAsia="ja-JP"/>
        </w:rPr>
        <mc:AlternateContent>
          <mc:Choice Requires="wps">
            <w:drawing>
              <wp:anchor distT="0" distB="0" distL="114300" distR="114300" simplePos="0" relativeHeight="251740160" behindDoc="0" locked="0" layoutInCell="1" allowOverlap="1" wp14:anchorId="65AC3FB8" wp14:editId="1C156F28">
                <wp:simplePos x="0" y="0"/>
                <wp:positionH relativeFrom="column">
                  <wp:posOffset>1869440</wp:posOffset>
                </wp:positionH>
                <wp:positionV relativeFrom="paragraph">
                  <wp:posOffset>4477385</wp:posOffset>
                </wp:positionV>
                <wp:extent cx="2422525" cy="236220"/>
                <wp:effectExtent l="0" t="0" r="15875" b="11430"/>
                <wp:wrapNone/>
                <wp:docPr id="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236220"/>
                        </a:xfrm>
                        <a:prstGeom prst="rect">
                          <a:avLst/>
                        </a:prstGeom>
                        <a:solidFill>
                          <a:srgbClr val="FFFFFF"/>
                        </a:solidFill>
                        <a:ln w="9525">
                          <a:solidFill>
                            <a:srgbClr val="000000"/>
                          </a:solidFill>
                          <a:miter lim="800000"/>
                          <a:headEnd/>
                          <a:tailEnd/>
                        </a:ln>
                      </wps:spPr>
                      <wps:txbx>
                        <w:txbxContent>
                          <w:p w14:paraId="52EA5D3C" w14:textId="77777777" w:rsidR="00AC34E6" w:rsidRDefault="00AC34E6" w:rsidP="00005916">
                            <w:pPr>
                              <w:spacing w:line="240" w:lineRule="auto"/>
                            </w:pPr>
                            <w:r>
                              <w:t>Submission of answers by respondents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28" type="#_x0000_t202" style="position:absolute;margin-left:147.2pt;margin-top:352.55pt;width:190.75pt;height:18.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">
                <v:textbox inset="5.85pt,.7pt,5.85pt,.7pt">
                  <w:txbxContent>
                    <w:p w14:paraId="52EA5D3C" w14:textId="77777777" w:rsidR="00AC34E6" w:rsidRDefault="00AC34E6" w:rsidP="00005916">
                      <w:pPr>
                        <w:spacing w:line="240" w:lineRule="auto"/>
                      </w:pPr>
                      <w:r>
                        <w:t>Submission of answers by respondents</w:t>
                      </w:r>
                    </w:p>
                  </w:txbxContent>
                </v:textbox>
              </v:shape>
            </w:pict>
          </mc:Fallback>
        </mc:AlternateContent>
      </w:r>
      <w:r>
        <w:rPr>
          <w:noProof/>
          <w:lang w:eastAsia="ja-JP"/>
        </w:rPr>
        <mc:AlternateContent>
          <mc:Choice Requires="wps">
            <w:drawing>
              <wp:anchor distT="0" distB="0" distL="114300" distR="114300" simplePos="0" relativeHeight="251739136" behindDoc="0" locked="0" layoutInCell="1" allowOverlap="1" wp14:anchorId="7D5607ED" wp14:editId="687B0A5A">
                <wp:simplePos x="0" y="0"/>
                <wp:positionH relativeFrom="column">
                  <wp:posOffset>4580890</wp:posOffset>
                </wp:positionH>
                <wp:positionV relativeFrom="paragraph">
                  <wp:posOffset>1939925</wp:posOffset>
                </wp:positionV>
                <wp:extent cx="876300" cy="724535"/>
                <wp:effectExtent l="0" t="0" r="19050" b="18415"/>
                <wp:wrapNone/>
                <wp:docPr id="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24535"/>
                        </a:xfrm>
                        <a:prstGeom prst="rect">
                          <a:avLst/>
                        </a:prstGeom>
                        <a:solidFill>
                          <a:srgbClr val="FFFFFF"/>
                        </a:solidFill>
                        <a:ln w="9525">
                          <a:solidFill>
                            <a:srgbClr val="000000"/>
                          </a:solidFill>
                          <a:miter lim="800000"/>
                          <a:headEnd/>
                          <a:tailEnd/>
                        </a:ln>
                      </wps:spPr>
                      <wps:txbx>
                        <w:txbxContent>
                          <w:p w14:paraId="346AF639" w14:textId="77777777" w:rsidR="00AC34E6" w:rsidRDefault="00AC34E6" w:rsidP="00005916">
                            <w:pPr>
                              <w:spacing w:line="240" w:lineRule="auto"/>
                            </w:pPr>
                            <w:r>
                              <w:t>Criminal accusation (</w:t>
                            </w:r>
                            <w:r w:rsidRPr="00E96A3A">
                              <w:rPr>
                                <w:i/>
                                <w:iCs/>
                              </w:rPr>
                              <w:t>Kokuhatsu</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129" type="#_x0000_t202" style="position:absolute;margin-left:360.7pt;margin-top:152.75pt;width:69pt;height:5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">
                <v:textbox inset="5.85pt,.7pt,5.85pt,.7pt">
                  <w:txbxContent>
                    <w:p w14:paraId="346AF639" w14:textId="77777777" w:rsidR="00AC34E6" w:rsidRDefault="00AC34E6" w:rsidP="00005916">
                      <w:pPr>
                        <w:spacing w:line="240" w:lineRule="auto"/>
                      </w:pPr>
                      <w:r>
                        <w:t>Criminal accusation (</w:t>
                      </w:r>
                      <w:r w:rsidRPr="00E96A3A">
                        <w:rPr>
                          <w:i/>
                          <w:iCs/>
                        </w:rPr>
                        <w:t>Kokuhatsu</w:t>
                      </w:r>
                      <w:r>
                        <w:t>)</w:t>
                      </w:r>
                    </w:p>
                  </w:txbxContent>
                </v:textbox>
              </v:shape>
            </w:pict>
          </mc:Fallback>
        </mc:AlternateContent>
      </w:r>
      <w:r>
        <w:rPr>
          <w:noProof/>
          <w:lang w:eastAsia="ja-JP"/>
        </w:rPr>
        <mc:AlternateContent>
          <mc:Choice Requires="wps">
            <w:drawing>
              <wp:anchor distT="0" distB="0" distL="114300" distR="114300" simplePos="0" relativeHeight="251738112" behindDoc="0" locked="0" layoutInCell="1" allowOverlap="1" wp14:anchorId="53491741" wp14:editId="360DFC6B">
                <wp:simplePos x="0" y="0"/>
                <wp:positionH relativeFrom="column">
                  <wp:posOffset>1359535</wp:posOffset>
                </wp:positionH>
                <wp:positionV relativeFrom="paragraph">
                  <wp:posOffset>4014470</wp:posOffset>
                </wp:positionV>
                <wp:extent cx="2932430" cy="224155"/>
                <wp:effectExtent l="0" t="0" r="20320" b="23495"/>
                <wp:wrapNone/>
                <wp:docPr id="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224155"/>
                        </a:xfrm>
                        <a:prstGeom prst="rect">
                          <a:avLst/>
                        </a:prstGeom>
                        <a:solidFill>
                          <a:srgbClr val="FFFFFF"/>
                        </a:solidFill>
                        <a:ln w="9525">
                          <a:solidFill>
                            <a:srgbClr val="000000"/>
                          </a:solidFill>
                          <a:miter lim="800000"/>
                          <a:headEnd/>
                          <a:tailEnd/>
                        </a:ln>
                      </wps:spPr>
                      <wps:txbx>
                        <w:txbxContent>
                          <w:p w14:paraId="4724B45E" w14:textId="77777777" w:rsidR="00AC34E6" w:rsidRDefault="00AC34E6" w:rsidP="00005916">
                            <w:pPr>
                              <w:spacing w:line="240" w:lineRule="auto"/>
                            </w:pPr>
                            <w:r>
                              <w:t>Issue of complaint</w:t>
                            </w:r>
                            <w:r>
                              <w:rPr>
                                <w:rFonts w:hint="eastAsia"/>
                              </w:rPr>
                              <w:t xml:space="preserve"> </w:t>
                            </w:r>
                            <w:r>
                              <w:t>(</w:t>
                            </w:r>
                            <w:r w:rsidRPr="00E96A3A">
                              <w:rPr>
                                <w:i/>
                                <w:iCs/>
                              </w:rPr>
                              <w:t>Shinpan tetsuzuki no kaishi</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30" type="#_x0000_t202" style="position:absolute;margin-left:107.05pt;margin-top:316.1pt;width:230.9pt;height:17.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">
                <v:textbox inset="5.85pt,.7pt,5.85pt,.7pt">
                  <w:txbxContent>
                    <w:p w14:paraId="4724B45E" w14:textId="77777777" w:rsidR="00AC34E6" w:rsidRDefault="00AC34E6" w:rsidP="00005916">
                      <w:pPr>
                        <w:spacing w:line="240" w:lineRule="auto"/>
                      </w:pPr>
                      <w:r>
                        <w:t>Issue of complaint</w:t>
                      </w:r>
                      <w:r>
                        <w:rPr>
                          <w:rFonts w:hint="eastAsia"/>
                        </w:rPr>
                        <w:t xml:space="preserve"> </w:t>
                      </w:r>
                      <w:r>
                        <w:t>(</w:t>
                      </w:r>
                      <w:r w:rsidRPr="00E96A3A">
                        <w:rPr>
                          <w:i/>
                          <w:iCs/>
                        </w:rPr>
                        <w:t>Shinpan tetsuzuki no kaishi</w:t>
                      </w:r>
                      <w:r>
                        <w:t>)</w:t>
                      </w:r>
                    </w:p>
                  </w:txbxContent>
                </v:textbox>
              </v:shape>
            </w:pict>
          </mc:Fallback>
        </mc:AlternateContent>
      </w:r>
      <w:r>
        <w:rPr>
          <w:noProof/>
          <w:lang w:eastAsia="ja-JP"/>
        </w:rPr>
        <mc:AlternateContent>
          <mc:Choice Requires="wps">
            <w:drawing>
              <wp:anchor distT="0" distB="0" distL="114300" distR="114300" simplePos="0" relativeHeight="251737088" behindDoc="0" locked="0" layoutInCell="1" allowOverlap="1" wp14:anchorId="51996C9D" wp14:editId="05E8916A">
                <wp:simplePos x="0" y="0"/>
                <wp:positionH relativeFrom="column">
                  <wp:posOffset>2114550</wp:posOffset>
                </wp:positionH>
                <wp:positionV relativeFrom="paragraph">
                  <wp:posOffset>1939925</wp:posOffset>
                </wp:positionV>
                <wp:extent cx="1953260" cy="462915"/>
                <wp:effectExtent l="0" t="0" r="27940" b="13335"/>
                <wp:wrapNone/>
                <wp:docPr id="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462915"/>
                        </a:xfrm>
                        <a:prstGeom prst="rect">
                          <a:avLst/>
                        </a:prstGeom>
                        <a:solidFill>
                          <a:srgbClr val="FFFFFF"/>
                        </a:solidFill>
                        <a:ln w="9525">
                          <a:solidFill>
                            <a:srgbClr val="000000"/>
                          </a:solidFill>
                          <a:miter lim="800000"/>
                          <a:headEnd/>
                          <a:tailEnd/>
                        </a:ln>
                      </wps:spPr>
                      <wps:txbx>
                        <w:txbxContent>
                          <w:p w14:paraId="36F0E2A4" w14:textId="77777777" w:rsidR="00AC34E6" w:rsidRDefault="00AC34E6" w:rsidP="00005916">
                            <w:pPr>
                              <w:spacing w:line="240" w:lineRule="auto"/>
                            </w:pPr>
                            <w:r>
                              <w:rPr>
                                <w:rFonts w:hint="eastAsia"/>
                              </w:rPr>
                              <w:t>Preliminary notice</w:t>
                            </w:r>
                          </w:p>
                          <w:p w14:paraId="52337283" w14:textId="77777777" w:rsidR="00AC34E6" w:rsidRDefault="00AC34E6" w:rsidP="00005916">
                            <w:pPr>
                              <w:spacing w:line="240" w:lineRule="auto"/>
                            </w:pPr>
                            <w:r>
                              <w:rPr>
                                <w:rFonts w:hint="eastAsia"/>
                              </w:rPr>
                              <w:t>(cease and desist &amp; surcharges)</w:t>
                            </w:r>
                          </w:p>
                          <w:p w14:paraId="1ABCE9A1" w14:textId="77777777" w:rsidR="00AC34E6" w:rsidRDefault="00AC34E6" w:rsidP="00005916">
                            <w:pPr>
                              <w:spacing w:line="240" w:lineRule="auto"/>
                            </w:pPr>
                            <w:r>
                              <w:t>(</w:t>
                            </w:r>
                            <w:r w:rsidRPr="00E96A3A">
                              <w:rPr>
                                <w:i/>
                                <w:iCs/>
                              </w:rPr>
                              <w:t>Kankoku</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31" type="#_x0000_t202" style="position:absolute;margin-left:166.5pt;margin-top:152.75pt;width:153.8pt;height:36.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">
                <v:textbox inset="5.85pt,.7pt,5.85pt,.7pt">
                  <w:txbxContent>
                    <w:p w14:paraId="36F0E2A4" w14:textId="77777777" w:rsidR="00AC34E6" w:rsidRDefault="00AC34E6" w:rsidP="00005916">
                      <w:pPr>
                        <w:spacing w:line="240" w:lineRule="auto"/>
                      </w:pPr>
                      <w:r>
                        <w:rPr>
                          <w:rFonts w:hint="eastAsia"/>
                        </w:rPr>
                        <w:t>Preliminary notice</w:t>
                      </w:r>
                    </w:p>
                    <w:p w14:paraId="52337283" w14:textId="77777777" w:rsidR="00AC34E6" w:rsidRDefault="00AC34E6" w:rsidP="00005916">
                      <w:pPr>
                        <w:spacing w:line="240" w:lineRule="auto"/>
                      </w:pPr>
                      <w:r>
                        <w:rPr>
                          <w:rFonts w:hint="eastAsia"/>
                        </w:rPr>
                        <w:t>(</w:t>
                      </w:r>
                      <w:proofErr w:type="gramStart"/>
                      <w:r>
                        <w:rPr>
                          <w:rFonts w:hint="eastAsia"/>
                        </w:rPr>
                        <w:t>cease</w:t>
                      </w:r>
                      <w:proofErr w:type="gramEnd"/>
                      <w:r>
                        <w:rPr>
                          <w:rFonts w:hint="eastAsia"/>
                        </w:rPr>
                        <w:t xml:space="preserve"> and desist &amp; surcharges)</w:t>
                      </w:r>
                    </w:p>
                    <w:p w14:paraId="1ABCE9A1" w14:textId="77777777" w:rsidR="00AC34E6" w:rsidRDefault="00AC34E6" w:rsidP="00005916">
                      <w:pPr>
                        <w:spacing w:line="240" w:lineRule="auto"/>
                      </w:pPr>
                      <w:r>
                        <w:t>(</w:t>
                      </w:r>
                      <w:r w:rsidRPr="00E96A3A">
                        <w:rPr>
                          <w:i/>
                          <w:iCs/>
                        </w:rPr>
                        <w:t>Kankoku</w:t>
                      </w:r>
                      <w:r>
                        <w:t>)</w:t>
                      </w:r>
                    </w:p>
                  </w:txbxContent>
                </v:textbox>
              </v:shape>
            </w:pict>
          </mc:Fallback>
        </mc:AlternateContent>
      </w:r>
      <w:r>
        <w:rPr>
          <w:noProof/>
          <w:lang w:eastAsia="ja-JP"/>
        </w:rPr>
        <mc:AlternateContent>
          <mc:Choice Requires="wps">
            <w:drawing>
              <wp:anchor distT="0" distB="0" distL="114300" distR="114300" simplePos="0" relativeHeight="251736064" behindDoc="0" locked="0" layoutInCell="1" allowOverlap="1" wp14:anchorId="461F42D5" wp14:editId="3853CF7A">
                <wp:simplePos x="0" y="0"/>
                <wp:positionH relativeFrom="column">
                  <wp:posOffset>739775</wp:posOffset>
                </wp:positionH>
                <wp:positionV relativeFrom="paragraph">
                  <wp:posOffset>1939925</wp:posOffset>
                </wp:positionV>
                <wp:extent cx="1267460" cy="462915"/>
                <wp:effectExtent l="0" t="0" r="27940" b="13335"/>
                <wp:wrapNone/>
                <wp:docPr id="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462915"/>
                        </a:xfrm>
                        <a:prstGeom prst="rect">
                          <a:avLst/>
                        </a:prstGeom>
                        <a:solidFill>
                          <a:srgbClr val="FFFFFF"/>
                        </a:solidFill>
                        <a:ln w="9525">
                          <a:solidFill>
                            <a:srgbClr val="000000"/>
                          </a:solidFill>
                          <a:miter lim="800000"/>
                          <a:headEnd/>
                          <a:tailEnd/>
                        </a:ln>
                      </wps:spPr>
                      <wps:txbx>
                        <w:txbxContent>
                          <w:p w14:paraId="3C00101E" w14:textId="77777777" w:rsidR="00AC34E6" w:rsidRDefault="00AC34E6" w:rsidP="00005916">
                            <w:pPr>
                              <w:spacing w:line="240" w:lineRule="auto"/>
                            </w:pPr>
                            <w:r>
                              <w:t>Warning/ Caution</w:t>
                            </w:r>
                          </w:p>
                          <w:p w14:paraId="6977321A" w14:textId="77777777" w:rsidR="00AC34E6" w:rsidRDefault="00AC34E6" w:rsidP="00005916">
                            <w:pPr>
                              <w:spacing w:line="240" w:lineRule="auto"/>
                            </w:pPr>
                            <w:r>
                              <w:t>(</w:t>
                            </w:r>
                            <w:r w:rsidRPr="00642800">
                              <w:rPr>
                                <w:i/>
                                <w:iCs/>
                              </w:rPr>
                              <w:t>Keikoku/Chui</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132" type="#_x0000_t202" style="position:absolute;margin-left:58.25pt;margin-top:152.75pt;width:99.8pt;height:36.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">
                <v:textbox inset="5.85pt,.7pt,5.85pt,.7pt">
                  <w:txbxContent>
                    <w:p w14:paraId="3C00101E" w14:textId="77777777" w:rsidR="00AC34E6" w:rsidRDefault="00AC34E6" w:rsidP="00005916">
                      <w:pPr>
                        <w:spacing w:line="240" w:lineRule="auto"/>
                      </w:pPr>
                      <w:r>
                        <w:t>Warning/ Caution</w:t>
                      </w:r>
                    </w:p>
                    <w:p w14:paraId="6977321A" w14:textId="77777777" w:rsidR="00AC34E6" w:rsidRDefault="00AC34E6" w:rsidP="00005916">
                      <w:pPr>
                        <w:spacing w:line="240" w:lineRule="auto"/>
                      </w:pPr>
                      <w:r>
                        <w:t>(</w:t>
                      </w:r>
                      <w:r w:rsidRPr="00642800">
                        <w:rPr>
                          <w:i/>
                          <w:iCs/>
                        </w:rPr>
                        <w:t>Keikoku/Chui</w:t>
                      </w:r>
                      <w:r>
                        <w:t>)</w:t>
                      </w:r>
                    </w:p>
                  </w:txbxContent>
                </v:textbox>
              </v:shape>
            </w:pict>
          </mc:Fallback>
        </mc:AlternateContent>
      </w:r>
      <w:r>
        <w:rPr>
          <w:noProof/>
          <w:lang w:eastAsia="ja-JP"/>
        </w:rPr>
        <mc:AlternateContent>
          <mc:Choice Requires="wps">
            <w:drawing>
              <wp:anchor distT="0" distB="0" distL="114300" distR="114300" simplePos="0" relativeHeight="251735040" behindDoc="0" locked="0" layoutInCell="1" allowOverlap="1" wp14:anchorId="024B5CF5" wp14:editId="2039CA1E">
                <wp:simplePos x="0" y="0"/>
                <wp:positionH relativeFrom="column">
                  <wp:posOffset>144780</wp:posOffset>
                </wp:positionH>
                <wp:positionV relativeFrom="paragraph">
                  <wp:posOffset>1939925</wp:posOffset>
                </wp:positionV>
                <wp:extent cx="532130" cy="462915"/>
                <wp:effectExtent l="0" t="0" r="20320" b="13335"/>
                <wp:wrapNone/>
                <wp:docPr id="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462915"/>
                        </a:xfrm>
                        <a:prstGeom prst="rect">
                          <a:avLst/>
                        </a:prstGeom>
                        <a:solidFill>
                          <a:srgbClr val="FFFFFF"/>
                        </a:solidFill>
                        <a:ln w="9525">
                          <a:solidFill>
                            <a:srgbClr val="000000"/>
                          </a:solidFill>
                          <a:miter lim="800000"/>
                          <a:headEnd/>
                          <a:tailEnd/>
                        </a:ln>
                      </wps:spPr>
                      <wps:txbx>
                        <w:txbxContent>
                          <w:p w14:paraId="0BDBC69B" w14:textId="77777777" w:rsidR="00AC34E6" w:rsidRDefault="00AC34E6" w:rsidP="00005916">
                            <w:pPr>
                              <w:spacing w:line="240" w:lineRule="auto"/>
                            </w:pPr>
                            <w:r>
                              <w:t>No 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133" type="#_x0000_t202" style="position:absolute;margin-left:11.4pt;margin-top:152.75pt;width:41.9pt;height:3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">
                <v:textbox inset="5.85pt,.7pt,5.85pt,.7pt">
                  <w:txbxContent>
                    <w:p w14:paraId="0BDBC69B" w14:textId="77777777" w:rsidR="00AC34E6" w:rsidRDefault="00AC34E6" w:rsidP="00005916">
                      <w:pPr>
                        <w:spacing w:line="240" w:lineRule="auto"/>
                      </w:pPr>
                      <w:r>
                        <w:t>No action</w:t>
                      </w:r>
                    </w:p>
                  </w:txbxContent>
                </v:textbox>
              </v:shape>
            </w:pict>
          </mc:Fallback>
        </mc:AlternateContent>
      </w:r>
      <w:r>
        <w:rPr>
          <w:noProof/>
          <w:lang w:eastAsia="ja-JP"/>
        </w:rPr>
        <mc:AlternateContent>
          <mc:Choice Requires="wps">
            <w:drawing>
              <wp:anchor distT="0" distB="0" distL="114300" distR="114300" simplePos="0" relativeHeight="251734016" behindDoc="0" locked="0" layoutInCell="1" allowOverlap="1" wp14:anchorId="640BB3B2" wp14:editId="2FF9997E">
                <wp:simplePos x="0" y="0"/>
                <wp:positionH relativeFrom="column">
                  <wp:posOffset>2120265</wp:posOffset>
                </wp:positionH>
                <wp:positionV relativeFrom="paragraph">
                  <wp:posOffset>6729095</wp:posOffset>
                </wp:positionV>
                <wp:extent cx="3590290" cy="1074420"/>
                <wp:effectExtent l="0" t="0" r="10160" b="11430"/>
                <wp:wrapNone/>
                <wp:docPr id="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290" cy="1074420"/>
                        </a:xfrm>
                        <a:prstGeom prst="rect">
                          <a:avLst/>
                        </a:prstGeom>
                        <a:solidFill>
                          <a:schemeClr val="tx1">
                            <a:lumMod val="100000"/>
                            <a:lumOff val="0"/>
                            <a:alpha val="20000"/>
                          </a:schemeClr>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5BE7" id="Rectangle 304" o:spid="_x0000_s1026" style="position:absolute;margin-left:166.95pt;margin-top:529.85pt;width:282.7pt;height:84.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" fillcolor="black [3213]" strokeweight="1pt">
                <v:fill opacity="13107f"/>
                <v:textbox inset="5.85pt,.7pt,5.85pt,.7pt"/>
              </v:rect>
            </w:pict>
          </mc:Fallback>
        </mc:AlternateContent>
      </w:r>
      <w:r>
        <w:rPr>
          <w:noProof/>
          <w:lang w:eastAsia="ja-JP"/>
        </w:rPr>
        <mc:AlternateContent>
          <mc:Choice Requires="wps">
            <w:drawing>
              <wp:anchor distT="0" distB="0" distL="114300" distR="114300" simplePos="0" relativeHeight="251732992" behindDoc="0" locked="0" layoutInCell="1" allowOverlap="1" wp14:anchorId="15824AD9" wp14:editId="427E12AA">
                <wp:simplePos x="0" y="0"/>
                <wp:positionH relativeFrom="column">
                  <wp:posOffset>739775</wp:posOffset>
                </wp:positionH>
                <wp:positionV relativeFrom="paragraph">
                  <wp:posOffset>806450</wp:posOffset>
                </wp:positionV>
                <wp:extent cx="4749165" cy="836930"/>
                <wp:effectExtent l="0" t="0" r="0" b="1270"/>
                <wp:wrapNone/>
                <wp:docPr id="3"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165" cy="836930"/>
                        </a:xfrm>
                        <a:prstGeom prst="roundRect">
                          <a:avLst>
                            <a:gd name="adj" fmla="val 16667"/>
                          </a:avLst>
                        </a:prstGeom>
                        <a:solidFill>
                          <a:srgbClr val="00B0F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1A21B3" id="AutoShape 303" o:spid="_x0000_s1026" style="position:absolute;margin-left:58.25pt;margin-top:63.5pt;width:373.95pt;height:65.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" fillcolor="#00b0f0" stroked="f">
                <v:fill opacity="32896f"/>
                <v:textbox inset="5.85pt,.7pt,5.85pt,.7pt"/>
              </v:roundrect>
            </w:pict>
          </mc:Fallback>
        </mc:AlternateContent>
      </w:r>
      <w:r>
        <w:rPr>
          <w:noProof/>
          <w:lang w:eastAsia="ja-JP"/>
        </w:rPr>
        <mc:AlternateContent>
          <mc:Choice Requires="wps">
            <w:drawing>
              <wp:anchor distT="0" distB="0" distL="114300" distR="114300" simplePos="0" relativeHeight="251731968" behindDoc="0" locked="0" layoutInCell="1" allowOverlap="1" wp14:anchorId="799EE78F" wp14:editId="6026570D">
                <wp:simplePos x="0" y="0"/>
                <wp:positionH relativeFrom="column">
                  <wp:posOffset>1271270</wp:posOffset>
                </wp:positionH>
                <wp:positionV relativeFrom="paragraph">
                  <wp:posOffset>3890645</wp:posOffset>
                </wp:positionV>
                <wp:extent cx="3071495" cy="2390775"/>
                <wp:effectExtent l="0" t="0" r="0" b="9525"/>
                <wp:wrapNone/>
                <wp:docPr id="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2390775"/>
                        </a:xfrm>
                        <a:prstGeom prst="rect">
                          <a:avLst/>
                        </a:prstGeom>
                        <a:solidFill>
                          <a:srgbClr val="00B0F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EEAFB" id="Rectangle 302" o:spid="_x0000_s1026" style="position:absolute;margin-left:100.1pt;margin-top:306.35pt;width:241.85pt;height:18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" fillcolor="#00b0f0" stroked="f">
                <v:fill opacity="32896f"/>
                <v:textbox inset="5.85pt,.7pt,5.85pt,.7pt"/>
              </v:rect>
            </w:pict>
          </mc:Fallback>
        </mc:AlternateContent>
      </w:r>
    </w:p>
    <w:p w14:paraId="52E0FB84" w14:textId="77777777" w:rsidR="00050899" w:rsidRDefault="00050899" w:rsidP="00050899">
      <w:pPr>
        <w:pStyle w:val="NoSpacing"/>
      </w:pPr>
    </w:p>
    <w:p w14:paraId="1C1DC6FB" w14:textId="77777777" w:rsidR="00050899" w:rsidRPr="00726233" w:rsidRDefault="00050899" w:rsidP="00050899">
      <w:pPr>
        <w:pStyle w:val="NoSpacing"/>
        <w:rPr>
          <w:rFonts w:eastAsia="MS Mincho"/>
          <w:lang w:eastAsia="ja-JP"/>
        </w:rPr>
      </w:pPr>
    </w:p>
    <w:p w14:paraId="3D673E5C" w14:textId="77777777" w:rsidR="00050899" w:rsidRDefault="00050899" w:rsidP="00050899">
      <w:pPr>
        <w:pStyle w:val="NoSpacing"/>
      </w:pPr>
    </w:p>
    <w:p w14:paraId="3CD02B96" w14:textId="77777777" w:rsidR="00050899" w:rsidRDefault="00050899" w:rsidP="00050899">
      <w:pPr>
        <w:pStyle w:val="NoSpacing"/>
      </w:pPr>
    </w:p>
    <w:p w14:paraId="1924DD01" w14:textId="77777777" w:rsidR="00050899" w:rsidRDefault="00050899" w:rsidP="00050899">
      <w:pPr>
        <w:pStyle w:val="NoSpacing"/>
      </w:pPr>
    </w:p>
    <w:p w14:paraId="363F3C17" w14:textId="77777777" w:rsidR="00050899" w:rsidRDefault="00050899" w:rsidP="00050899">
      <w:pPr>
        <w:pStyle w:val="NoSpacing"/>
      </w:pPr>
    </w:p>
    <w:p w14:paraId="32F11832" w14:textId="77777777" w:rsidR="00050899" w:rsidRDefault="00050899" w:rsidP="00050899">
      <w:pPr>
        <w:pStyle w:val="NoSpacing"/>
      </w:pPr>
    </w:p>
    <w:p w14:paraId="663A07D5" w14:textId="77777777" w:rsidR="00050899" w:rsidRDefault="00050899" w:rsidP="00050899">
      <w:pPr>
        <w:pStyle w:val="NoSpacing"/>
      </w:pPr>
    </w:p>
    <w:p w14:paraId="5B4B7621" w14:textId="77777777" w:rsidR="00050899" w:rsidRDefault="00050899" w:rsidP="00050899">
      <w:pPr>
        <w:pStyle w:val="NoSpacing"/>
      </w:pPr>
    </w:p>
    <w:p w14:paraId="78FFC493" w14:textId="77777777" w:rsidR="00050899" w:rsidRDefault="00050899" w:rsidP="00050899">
      <w:pPr>
        <w:pStyle w:val="NoSpacing"/>
      </w:pPr>
    </w:p>
    <w:p w14:paraId="07252D86" w14:textId="77777777" w:rsidR="00050899" w:rsidRDefault="00050899" w:rsidP="00050899">
      <w:pPr>
        <w:pStyle w:val="NoSpacing"/>
      </w:pPr>
    </w:p>
    <w:p w14:paraId="3850135F" w14:textId="77777777" w:rsidR="00050899" w:rsidRDefault="00050899" w:rsidP="00050899">
      <w:pPr>
        <w:pStyle w:val="NoSpacing"/>
      </w:pPr>
    </w:p>
    <w:p w14:paraId="7303E4FF" w14:textId="77777777" w:rsidR="00050899" w:rsidRDefault="00050899" w:rsidP="00050899">
      <w:pPr>
        <w:pStyle w:val="NoSpacing"/>
      </w:pPr>
    </w:p>
    <w:p w14:paraId="77750165" w14:textId="77777777" w:rsidR="00050899" w:rsidRDefault="00050899" w:rsidP="00050899">
      <w:pPr>
        <w:pStyle w:val="NoSpacing"/>
      </w:pPr>
    </w:p>
    <w:p w14:paraId="5EC37C25" w14:textId="77777777" w:rsidR="00050899" w:rsidRDefault="00050899" w:rsidP="00050899">
      <w:pPr>
        <w:pStyle w:val="NoSpacing"/>
      </w:pPr>
    </w:p>
    <w:p w14:paraId="0C7E8C68" w14:textId="77777777" w:rsidR="00050899" w:rsidRDefault="00050899" w:rsidP="00050899">
      <w:pPr>
        <w:pStyle w:val="NoSpacing"/>
      </w:pPr>
    </w:p>
    <w:p w14:paraId="6DDD3A02" w14:textId="77777777" w:rsidR="00050899" w:rsidRDefault="00050899" w:rsidP="00050899">
      <w:pPr>
        <w:pStyle w:val="NoSpacing"/>
      </w:pPr>
    </w:p>
    <w:p w14:paraId="5B0762D3" w14:textId="77777777" w:rsidR="00050899" w:rsidRDefault="00050899" w:rsidP="00050899">
      <w:pPr>
        <w:pStyle w:val="NoSpacing"/>
      </w:pPr>
    </w:p>
    <w:p w14:paraId="45671B7C" w14:textId="77777777" w:rsidR="00050899" w:rsidRDefault="00050899" w:rsidP="00050899">
      <w:pPr>
        <w:pStyle w:val="NoSpacing"/>
      </w:pPr>
    </w:p>
    <w:p w14:paraId="1F962DEE" w14:textId="77777777" w:rsidR="00050899" w:rsidRDefault="00050899" w:rsidP="00050899"/>
    <w:p w14:paraId="5F6CBAAE" w14:textId="77777777" w:rsidR="00050899" w:rsidRDefault="00050899" w:rsidP="00050899"/>
    <w:p w14:paraId="6942A064" w14:textId="77777777" w:rsidR="00050899" w:rsidRDefault="00050899" w:rsidP="00050899"/>
    <w:p w14:paraId="3C100DD8" w14:textId="77777777" w:rsidR="00050899" w:rsidRDefault="00050899" w:rsidP="00050899"/>
    <w:p w14:paraId="4EEFF86D" w14:textId="77777777" w:rsidR="00050899" w:rsidRDefault="00050899" w:rsidP="00050899"/>
    <w:p w14:paraId="671A4915" w14:textId="77777777" w:rsidR="00050899" w:rsidRDefault="00050899" w:rsidP="00050899"/>
    <w:p w14:paraId="7672A283" w14:textId="77777777" w:rsidR="00050899" w:rsidRDefault="00050899" w:rsidP="00050899"/>
    <w:p w14:paraId="26D16D68" w14:textId="77777777" w:rsidR="00050899" w:rsidRDefault="00050899" w:rsidP="00050899"/>
    <w:p w14:paraId="175C1320" w14:textId="77777777" w:rsidR="000452AB" w:rsidRPr="000452AB" w:rsidRDefault="000452AB" w:rsidP="00050D4B">
      <w:pPr>
        <w:pStyle w:val="Heading1"/>
      </w:pPr>
      <w:bookmarkStart w:id="92" w:name="_Toc349741412"/>
      <w:r w:rsidRPr="000452AB">
        <w:t>Bibliography</w:t>
      </w:r>
      <w:bookmarkEnd w:id="92"/>
    </w:p>
    <w:p w14:paraId="42568186" w14:textId="77777777" w:rsidR="000452AB" w:rsidRPr="0055646B" w:rsidRDefault="000452AB" w:rsidP="0093196D">
      <w:pPr>
        <w:pStyle w:val="NoSpacing"/>
      </w:pPr>
    </w:p>
    <w:p w14:paraId="0BB3D5CA" w14:textId="423F57C0" w:rsidR="000452AB" w:rsidRPr="0055646B" w:rsidRDefault="00200A6C" w:rsidP="00200A6C">
      <w:pPr>
        <w:pStyle w:val="NoSpacing"/>
      </w:pPr>
      <w:r>
        <w:t>[</w:t>
      </w:r>
      <w:r w:rsidR="000452AB" w:rsidRPr="0055646B">
        <w:t>UP: University Press</w:t>
      </w:r>
      <w:r>
        <w:t>]</w:t>
      </w:r>
    </w:p>
    <w:p w14:paraId="0D1D4D46" w14:textId="77777777" w:rsidR="000452AB" w:rsidRPr="0055646B" w:rsidRDefault="000452AB" w:rsidP="0093196D">
      <w:pPr>
        <w:pStyle w:val="NoSpacing"/>
      </w:pPr>
    </w:p>
    <w:p w14:paraId="382A3452" w14:textId="77777777" w:rsidR="000452AB" w:rsidRPr="0055646B" w:rsidRDefault="000452AB" w:rsidP="00536816">
      <w:pPr>
        <w:pStyle w:val="NoSpacing"/>
      </w:pPr>
      <w:r w:rsidRPr="0055646B">
        <w:t>Amyx, J</w:t>
      </w:r>
      <w:r w:rsidR="00536816">
        <w:t>.</w:t>
      </w:r>
      <w:r w:rsidRPr="0055646B">
        <w:t xml:space="preserve"> and Drysdale, P</w:t>
      </w:r>
      <w:r w:rsidR="00536816">
        <w:t>.</w:t>
      </w:r>
      <w:r w:rsidRPr="0055646B">
        <w:t xml:space="preserve"> (2003) ‘Background’</w:t>
      </w:r>
      <w:r w:rsidR="00536816">
        <w:t>,</w:t>
      </w:r>
      <w:r w:rsidRPr="0055646B">
        <w:t xml:space="preserve"> in </w:t>
      </w:r>
      <w:r w:rsidR="00536816">
        <w:t xml:space="preserve">J. </w:t>
      </w:r>
      <w:r w:rsidRPr="0055646B">
        <w:t xml:space="preserve">Amyx and </w:t>
      </w:r>
      <w:r w:rsidR="00536816">
        <w:t xml:space="preserve">P. </w:t>
      </w:r>
      <w:r w:rsidRPr="0055646B">
        <w:t>Drysdale</w:t>
      </w:r>
      <w:r w:rsidR="00536816">
        <w:t xml:space="preserve"> (eds),</w:t>
      </w:r>
      <w:r w:rsidRPr="0055646B">
        <w:t xml:space="preserve"> </w:t>
      </w:r>
      <w:r w:rsidRPr="00536816">
        <w:rPr>
          <w:i/>
          <w:iCs/>
        </w:rPr>
        <w:t>Japanese Governance – Beyond Japan Inc.</w:t>
      </w:r>
      <w:r w:rsidR="00536816">
        <w:t>.</w:t>
      </w:r>
      <w:r w:rsidRPr="0055646B">
        <w:t xml:space="preserve"> New York</w:t>
      </w:r>
      <w:r w:rsidR="00536816">
        <w:t xml:space="preserve">: </w:t>
      </w:r>
      <w:r w:rsidR="00536816" w:rsidRPr="0055646B">
        <w:t>Routledge Curzon,</w:t>
      </w:r>
      <w:r w:rsidRPr="0055646B">
        <w:t xml:space="preserve"> pp.1-14</w:t>
      </w:r>
      <w:r w:rsidR="00536816">
        <w:t>.</w:t>
      </w:r>
    </w:p>
    <w:p w14:paraId="462608FA" w14:textId="77777777" w:rsidR="000452AB" w:rsidRPr="0055646B" w:rsidRDefault="000452AB" w:rsidP="0093196D">
      <w:pPr>
        <w:pStyle w:val="NoSpacing"/>
      </w:pPr>
    </w:p>
    <w:p w14:paraId="3C333AD5" w14:textId="77777777" w:rsidR="000452AB" w:rsidRPr="0055646B" w:rsidRDefault="00536816" w:rsidP="004A04B1">
      <w:pPr>
        <w:pStyle w:val="NoSpacing"/>
      </w:pPr>
      <w:r>
        <w:t xml:space="preserve">Anderson, J. E. (1962) </w:t>
      </w:r>
      <w:r w:rsidR="000452AB" w:rsidRPr="00536816">
        <w:rPr>
          <w:i/>
          <w:iCs/>
        </w:rPr>
        <w:t>The Emergence of the Regulatory State</w:t>
      </w:r>
      <w:r>
        <w:t>.</w:t>
      </w:r>
      <w:r w:rsidR="000452AB" w:rsidRPr="0055646B">
        <w:t xml:space="preserve"> </w:t>
      </w:r>
      <w:r w:rsidRPr="0055646B">
        <w:t>Washington</w:t>
      </w:r>
      <w:r>
        <w:t xml:space="preserve">: </w:t>
      </w:r>
      <w:r w:rsidR="000452AB" w:rsidRPr="0055646B">
        <w:t>Public Affairs Press</w:t>
      </w:r>
      <w:r>
        <w:t>.</w:t>
      </w:r>
    </w:p>
    <w:p w14:paraId="1464D952" w14:textId="77777777" w:rsidR="000452AB" w:rsidRPr="0055646B" w:rsidRDefault="000452AB" w:rsidP="0093196D">
      <w:pPr>
        <w:pStyle w:val="NoSpacing"/>
      </w:pPr>
    </w:p>
    <w:p w14:paraId="7BF1CD64" w14:textId="77777777" w:rsidR="000452AB" w:rsidRPr="0055646B" w:rsidRDefault="000452AB" w:rsidP="004A04B1">
      <w:pPr>
        <w:pStyle w:val="NoSpacing"/>
      </w:pPr>
      <w:r w:rsidRPr="0055646B">
        <w:t xml:space="preserve">Archer, R. (1995) </w:t>
      </w:r>
      <w:r w:rsidRPr="004A04B1">
        <w:rPr>
          <w:i/>
          <w:iCs/>
        </w:rPr>
        <w:t>Economic Democracy: The Politics of Feasible Socialism</w:t>
      </w:r>
      <w:r w:rsidR="004A04B1">
        <w:t>.</w:t>
      </w:r>
      <w:r w:rsidRPr="0055646B">
        <w:t xml:space="preserve"> </w:t>
      </w:r>
      <w:r w:rsidR="004A04B1" w:rsidRPr="0055646B">
        <w:t>Oxford</w:t>
      </w:r>
      <w:r w:rsidR="004A04B1">
        <w:t>:</w:t>
      </w:r>
      <w:r w:rsidR="004A04B1" w:rsidRPr="0055646B">
        <w:t xml:space="preserve"> </w:t>
      </w:r>
      <w:r w:rsidRPr="0055646B">
        <w:t>Oxford UP</w:t>
      </w:r>
      <w:r w:rsidR="004A04B1">
        <w:t>.</w:t>
      </w:r>
    </w:p>
    <w:p w14:paraId="066174C9" w14:textId="77777777" w:rsidR="000452AB" w:rsidRPr="0055646B" w:rsidRDefault="000452AB" w:rsidP="0093196D">
      <w:pPr>
        <w:pStyle w:val="NoSpacing"/>
      </w:pPr>
    </w:p>
    <w:p w14:paraId="63C9F572" w14:textId="77777777" w:rsidR="000452AB" w:rsidRPr="0055646B" w:rsidRDefault="000452AB" w:rsidP="00D55C9A">
      <w:pPr>
        <w:pStyle w:val="NoSpacing"/>
      </w:pPr>
      <w:r w:rsidRPr="0055646B">
        <w:t>Beason, R</w:t>
      </w:r>
      <w:r w:rsidR="004A04B1">
        <w:t>.</w:t>
      </w:r>
      <w:r w:rsidRPr="0055646B">
        <w:t xml:space="preserve"> and Weinstein, D</w:t>
      </w:r>
      <w:r w:rsidR="004A04B1">
        <w:t>.</w:t>
      </w:r>
      <w:r w:rsidRPr="0055646B">
        <w:t xml:space="preserve"> E. (1996) ‘Growth, Economies of Scale, and Targeting in Japan (1965-1990)’, </w:t>
      </w:r>
      <w:r w:rsidRPr="00743103">
        <w:rPr>
          <w:i/>
          <w:iCs/>
        </w:rPr>
        <w:t>Review of Economics and Statistics</w:t>
      </w:r>
      <w:r w:rsidR="00743103">
        <w:t>,</w:t>
      </w:r>
      <w:r w:rsidRPr="0055646B">
        <w:t xml:space="preserve"> 78</w:t>
      </w:r>
      <w:r w:rsidR="00D55C9A">
        <w:t>,</w:t>
      </w:r>
      <w:r w:rsidR="00743103">
        <w:t xml:space="preserve"> (2)</w:t>
      </w:r>
      <w:r w:rsidRPr="0055646B">
        <w:t>, pp.289-95</w:t>
      </w:r>
      <w:r w:rsidR="00743103">
        <w:t>.</w:t>
      </w:r>
    </w:p>
    <w:p w14:paraId="55D9F99E" w14:textId="77777777" w:rsidR="000452AB" w:rsidRPr="0055646B" w:rsidRDefault="000452AB" w:rsidP="0093196D">
      <w:pPr>
        <w:pStyle w:val="NoSpacing"/>
      </w:pPr>
    </w:p>
    <w:p w14:paraId="264A0F1F" w14:textId="77777777" w:rsidR="000452AB" w:rsidRPr="0055646B" w:rsidRDefault="000452AB" w:rsidP="00743103">
      <w:pPr>
        <w:pStyle w:val="NoSpacing"/>
      </w:pPr>
      <w:r w:rsidRPr="0055646B">
        <w:t>Bennett, A</w:t>
      </w:r>
      <w:r w:rsidR="00743103">
        <w:t>.</w:t>
      </w:r>
      <w:r w:rsidRPr="0055646B">
        <w:t xml:space="preserve"> and Elman, C</w:t>
      </w:r>
      <w:r w:rsidR="00743103">
        <w:t>.</w:t>
      </w:r>
      <w:r w:rsidRPr="0055646B">
        <w:t xml:space="preserve"> (2006) ‘Complex Causal Relations and Case Study Methods: The Example of Path Dependence’, </w:t>
      </w:r>
      <w:r w:rsidRPr="00743103">
        <w:rPr>
          <w:i/>
          <w:iCs/>
        </w:rPr>
        <w:t>Political Analysis</w:t>
      </w:r>
      <w:r w:rsidR="00743103">
        <w:t xml:space="preserve">, </w:t>
      </w:r>
      <w:r w:rsidRPr="0055646B">
        <w:t>14</w:t>
      </w:r>
      <w:r w:rsidR="00743103">
        <w:t>,</w:t>
      </w:r>
      <w:r w:rsidRPr="0055646B">
        <w:t xml:space="preserve"> pp.250-67</w:t>
      </w:r>
      <w:r w:rsidR="00807390">
        <w:t>.</w:t>
      </w:r>
    </w:p>
    <w:p w14:paraId="0232E13F" w14:textId="77777777" w:rsidR="000452AB" w:rsidRPr="0055646B" w:rsidRDefault="000452AB" w:rsidP="0093196D">
      <w:pPr>
        <w:pStyle w:val="NoSpacing"/>
      </w:pPr>
    </w:p>
    <w:p w14:paraId="74F7DE36" w14:textId="77777777" w:rsidR="000452AB" w:rsidRPr="0055646B" w:rsidRDefault="000452AB" w:rsidP="00914A8E">
      <w:pPr>
        <w:pStyle w:val="NoSpacing"/>
      </w:pPr>
      <w:r w:rsidRPr="0055646B">
        <w:t>Bevir, M</w:t>
      </w:r>
      <w:r w:rsidR="00743103">
        <w:t>.</w:t>
      </w:r>
      <w:r w:rsidRPr="0055646B">
        <w:t xml:space="preserve"> and Rhodes, R.A.W. (2002) ‘Interpretive Theory’ in </w:t>
      </w:r>
      <w:r w:rsidR="00914A8E">
        <w:t xml:space="preserve">D. </w:t>
      </w:r>
      <w:r w:rsidRPr="0055646B">
        <w:t xml:space="preserve">Marsh and </w:t>
      </w:r>
      <w:r w:rsidR="00914A8E">
        <w:t xml:space="preserve">G. </w:t>
      </w:r>
      <w:r w:rsidRPr="0055646B">
        <w:t>Stoker</w:t>
      </w:r>
      <w:r w:rsidR="00743103">
        <w:t xml:space="preserve"> (eds)</w:t>
      </w:r>
      <w:r w:rsidR="007415F2">
        <w:t>,</w:t>
      </w:r>
      <w:r w:rsidRPr="0055646B">
        <w:t xml:space="preserve"> </w:t>
      </w:r>
      <w:r w:rsidRPr="00743103">
        <w:rPr>
          <w:i/>
          <w:iCs/>
        </w:rPr>
        <w:t>Theory and Methods in Political Science</w:t>
      </w:r>
      <w:r w:rsidR="00743103">
        <w:t>.</w:t>
      </w:r>
      <w:r w:rsidRPr="0055646B">
        <w:t xml:space="preserve"> </w:t>
      </w:r>
      <w:r w:rsidR="00743103" w:rsidRPr="0055646B">
        <w:t>Basingstoke, Hampshire ,UK/New York</w:t>
      </w:r>
      <w:r w:rsidR="00743103">
        <w:t>:</w:t>
      </w:r>
      <w:r w:rsidR="00743103" w:rsidRPr="0055646B">
        <w:t xml:space="preserve"> </w:t>
      </w:r>
      <w:r w:rsidR="00743103">
        <w:t>Palgrave Macmillan.</w:t>
      </w:r>
    </w:p>
    <w:p w14:paraId="6414C3E4" w14:textId="77777777" w:rsidR="000452AB" w:rsidRDefault="000452AB" w:rsidP="0093196D">
      <w:pPr>
        <w:pStyle w:val="NoSpacing"/>
      </w:pPr>
    </w:p>
    <w:p w14:paraId="0BABDF91" w14:textId="77777777" w:rsidR="00433402" w:rsidRDefault="00433402" w:rsidP="00743103">
      <w:pPr>
        <w:pStyle w:val="NoSpacing"/>
      </w:pPr>
      <w:r>
        <w:t xml:space="preserve">Bevir, M. and Rhodes, R.A.W. (2008) ‘The Differentiated Polity as Narrative’, </w:t>
      </w:r>
      <w:r w:rsidRPr="00743103">
        <w:rPr>
          <w:i/>
          <w:iCs/>
        </w:rPr>
        <w:t>British Journal of Politics and International Relations</w:t>
      </w:r>
      <w:r w:rsidR="00BA06E0">
        <w:t>,</w:t>
      </w:r>
      <w:r>
        <w:t xml:space="preserve"> 10</w:t>
      </w:r>
      <w:r w:rsidR="00D55C9A">
        <w:t>,</w:t>
      </w:r>
      <w:r>
        <w:t xml:space="preserve"> (4)</w:t>
      </w:r>
      <w:r w:rsidR="00743103">
        <w:t>,</w:t>
      </w:r>
      <w:r>
        <w:t xml:space="preserve"> pp.729</w:t>
      </w:r>
      <w:r w:rsidR="00BA06E0">
        <w:t>-</w:t>
      </w:r>
      <w:r>
        <w:t>34</w:t>
      </w:r>
      <w:r w:rsidR="00743103">
        <w:t>.</w:t>
      </w:r>
    </w:p>
    <w:p w14:paraId="5BAC7A11" w14:textId="77777777" w:rsidR="00433402" w:rsidRPr="0055646B" w:rsidRDefault="00433402" w:rsidP="0093196D">
      <w:pPr>
        <w:pStyle w:val="NoSpacing"/>
      </w:pPr>
    </w:p>
    <w:p w14:paraId="02D3C774" w14:textId="77777777" w:rsidR="000452AB" w:rsidRPr="0055646B" w:rsidRDefault="000452AB" w:rsidP="00807390">
      <w:pPr>
        <w:pStyle w:val="NoSpacing"/>
      </w:pPr>
      <w:r w:rsidRPr="0055646B">
        <w:t xml:space="preserve">Blaikie, N. (2007) </w:t>
      </w:r>
      <w:r w:rsidRPr="00743103">
        <w:rPr>
          <w:i/>
          <w:iCs/>
        </w:rPr>
        <w:t>Approaches to Social Enquiry</w:t>
      </w:r>
      <w:r w:rsidR="00807390">
        <w:t>,</w:t>
      </w:r>
      <w:r w:rsidRPr="0055646B">
        <w:t xml:space="preserve"> </w:t>
      </w:r>
      <w:r w:rsidR="00807390">
        <w:t>Second</w:t>
      </w:r>
      <w:r w:rsidRPr="0055646B">
        <w:t xml:space="preserve"> Edition</w:t>
      </w:r>
      <w:r w:rsidR="00807390">
        <w:t>. Cambridge:</w:t>
      </w:r>
      <w:r w:rsidRPr="0055646B">
        <w:t xml:space="preserve"> Polity</w:t>
      </w:r>
      <w:r w:rsidR="00807390">
        <w:t>.</w:t>
      </w:r>
    </w:p>
    <w:p w14:paraId="1197687D" w14:textId="77777777" w:rsidR="000452AB" w:rsidRDefault="000452AB" w:rsidP="0093196D">
      <w:pPr>
        <w:pStyle w:val="NoSpacing"/>
      </w:pPr>
    </w:p>
    <w:p w14:paraId="7890317E" w14:textId="77777777" w:rsidR="000452AB" w:rsidRPr="0055646B" w:rsidRDefault="000452AB" w:rsidP="00807390">
      <w:pPr>
        <w:pStyle w:val="NoSpacing"/>
      </w:pPr>
      <w:r w:rsidRPr="0055646B">
        <w:t xml:space="preserve">Bovens, M. A. P. (1990) ‘The Social Steering of Complex Organizations’, </w:t>
      </w:r>
      <w:r w:rsidRPr="00807390">
        <w:rPr>
          <w:i/>
          <w:iCs/>
        </w:rPr>
        <w:t>Briti</w:t>
      </w:r>
      <w:r w:rsidR="00807390">
        <w:rPr>
          <w:i/>
          <w:iCs/>
        </w:rPr>
        <w:t>sh Journal of Political Science</w:t>
      </w:r>
      <w:r w:rsidR="00807390">
        <w:t>,</w:t>
      </w:r>
      <w:r w:rsidRPr="0055646B">
        <w:t xml:space="preserve"> 20</w:t>
      </w:r>
      <w:r w:rsidR="00807390">
        <w:t>,</w:t>
      </w:r>
      <w:r w:rsidRPr="0055646B">
        <w:t xml:space="preserve"> pp.91-118</w:t>
      </w:r>
      <w:r w:rsidR="00807390">
        <w:t>.</w:t>
      </w:r>
    </w:p>
    <w:p w14:paraId="4EC79473" w14:textId="77777777" w:rsidR="000452AB" w:rsidRPr="0055646B" w:rsidRDefault="000452AB" w:rsidP="0093196D">
      <w:pPr>
        <w:pStyle w:val="NoSpacing"/>
      </w:pPr>
    </w:p>
    <w:p w14:paraId="5996EC59" w14:textId="77777777" w:rsidR="000452AB" w:rsidRPr="00807390" w:rsidRDefault="000452AB" w:rsidP="0093196D">
      <w:pPr>
        <w:pStyle w:val="NoSpacing"/>
        <w:rPr>
          <w:i/>
          <w:iCs/>
        </w:rPr>
      </w:pPr>
      <w:r w:rsidRPr="0055646B">
        <w:t xml:space="preserve">Braithwaite, J. (2000) ‘The New Regulatory State and the Transformation of Criminology’, </w:t>
      </w:r>
      <w:r w:rsidRPr="00807390">
        <w:rPr>
          <w:i/>
          <w:iCs/>
        </w:rPr>
        <w:t>British</w:t>
      </w:r>
    </w:p>
    <w:p w14:paraId="0DF5F3BE" w14:textId="77777777" w:rsidR="000452AB" w:rsidRPr="0055646B" w:rsidRDefault="000452AB" w:rsidP="0093196D">
      <w:pPr>
        <w:pStyle w:val="NoSpacing"/>
      </w:pPr>
      <w:r w:rsidRPr="00807390">
        <w:rPr>
          <w:i/>
          <w:iCs/>
        </w:rPr>
        <w:t>Journal of Criminology</w:t>
      </w:r>
      <w:r w:rsidR="00807390">
        <w:t>,</w:t>
      </w:r>
      <w:r w:rsidRPr="0055646B">
        <w:t xml:space="preserve"> 40</w:t>
      </w:r>
      <w:r w:rsidR="00807390">
        <w:t>,</w:t>
      </w:r>
      <w:r w:rsidRPr="0055646B">
        <w:t xml:space="preserve"> pp.222-38</w:t>
      </w:r>
      <w:r w:rsidR="00807390">
        <w:t>.</w:t>
      </w:r>
    </w:p>
    <w:p w14:paraId="2F947898" w14:textId="77777777" w:rsidR="000452AB" w:rsidRPr="0055646B" w:rsidRDefault="000452AB" w:rsidP="0093196D">
      <w:pPr>
        <w:pStyle w:val="NoSpacing"/>
      </w:pPr>
    </w:p>
    <w:p w14:paraId="6DE33E60" w14:textId="77777777" w:rsidR="000452AB" w:rsidRPr="0055646B" w:rsidRDefault="000452AB" w:rsidP="00807390">
      <w:pPr>
        <w:pStyle w:val="NoSpacing"/>
      </w:pPr>
      <w:r w:rsidRPr="0055646B">
        <w:t>Bryman, A</w:t>
      </w:r>
      <w:r w:rsidR="00807390">
        <w:t>.</w:t>
      </w:r>
      <w:r w:rsidRPr="0055646B">
        <w:t xml:space="preserve"> (1992 (1988)) </w:t>
      </w:r>
      <w:r w:rsidRPr="00807390">
        <w:rPr>
          <w:i/>
          <w:iCs/>
        </w:rPr>
        <w:t>Quantity and Quality in Social Research</w:t>
      </w:r>
      <w:r w:rsidR="00807390">
        <w:t>.</w:t>
      </w:r>
      <w:r w:rsidRPr="0055646B">
        <w:t xml:space="preserve"> London/New York</w:t>
      </w:r>
      <w:r w:rsidR="00807390">
        <w:t>: Routledge.</w:t>
      </w:r>
    </w:p>
    <w:p w14:paraId="41DCDCF0" w14:textId="77777777" w:rsidR="000452AB" w:rsidRPr="0055646B" w:rsidRDefault="000452AB" w:rsidP="0093196D">
      <w:pPr>
        <w:pStyle w:val="NoSpacing"/>
      </w:pPr>
    </w:p>
    <w:p w14:paraId="5114CAF6" w14:textId="77777777" w:rsidR="000452AB" w:rsidRPr="0055646B" w:rsidRDefault="000452AB" w:rsidP="00D55C9A">
      <w:pPr>
        <w:pStyle w:val="NoSpacing"/>
      </w:pPr>
      <w:r w:rsidRPr="0055646B">
        <w:t>Bulmer, M</w:t>
      </w:r>
      <w:r w:rsidR="00EE415F">
        <w:t>.</w:t>
      </w:r>
      <w:r w:rsidR="007F615F">
        <w:t xml:space="preserve"> (1986) </w:t>
      </w:r>
      <w:r w:rsidRPr="007F615F">
        <w:rPr>
          <w:i/>
          <w:iCs/>
        </w:rPr>
        <w:t>Social science and social policy</w:t>
      </w:r>
      <w:r w:rsidR="00D55C9A" w:rsidRPr="00D55C9A">
        <w:t xml:space="preserve">, </w:t>
      </w:r>
      <w:r w:rsidRPr="00D55C9A">
        <w:t>Contemporary social research series; 12</w:t>
      </w:r>
      <w:r w:rsidR="00D55C9A">
        <w:t>.</w:t>
      </w:r>
      <w:r w:rsidRPr="0055646B">
        <w:t xml:space="preserve"> London/Winchester, MA/North Sydney, Australia</w:t>
      </w:r>
      <w:r w:rsidR="00D55C9A">
        <w:t xml:space="preserve">: </w:t>
      </w:r>
      <w:r w:rsidR="00D55C9A" w:rsidRPr="0055646B">
        <w:t>Allen &amp; Unwin</w:t>
      </w:r>
      <w:r w:rsidR="00D55C9A">
        <w:t>.</w:t>
      </w:r>
    </w:p>
    <w:p w14:paraId="25BB2F2A" w14:textId="77777777" w:rsidR="000452AB" w:rsidRPr="0055646B" w:rsidRDefault="000452AB" w:rsidP="0093196D">
      <w:pPr>
        <w:pStyle w:val="NoSpacing"/>
        <w:rPr>
          <w:lang w:eastAsia="ja-JP"/>
        </w:rPr>
      </w:pPr>
    </w:p>
    <w:p w14:paraId="190D1209" w14:textId="77777777" w:rsidR="000452AB" w:rsidRPr="0055646B" w:rsidRDefault="000452AB" w:rsidP="00D349D9">
      <w:pPr>
        <w:pStyle w:val="NoSpacing"/>
      </w:pPr>
      <w:r w:rsidRPr="0055646B">
        <w:t>Burnham, P</w:t>
      </w:r>
      <w:r w:rsidR="007F615F">
        <w:t>.</w:t>
      </w:r>
      <w:r w:rsidRPr="0055646B">
        <w:t>, Lutz, K</w:t>
      </w:r>
      <w:r w:rsidR="007F615F">
        <w:t>.</w:t>
      </w:r>
      <w:r w:rsidRPr="0055646B">
        <w:t xml:space="preserve"> G</w:t>
      </w:r>
      <w:r w:rsidR="007F615F">
        <w:t>.</w:t>
      </w:r>
      <w:r w:rsidRPr="0055646B">
        <w:t>, Grant, W</w:t>
      </w:r>
      <w:r w:rsidR="007F615F">
        <w:t>.</w:t>
      </w:r>
      <w:r w:rsidR="00D55C9A">
        <w:t>,</w:t>
      </w:r>
      <w:r w:rsidRPr="0055646B">
        <w:t xml:space="preserve"> and Layton-Henry, Z</w:t>
      </w:r>
      <w:r w:rsidR="007F615F">
        <w:t>.</w:t>
      </w:r>
      <w:r w:rsidRPr="0055646B">
        <w:t xml:space="preserve"> (200</w:t>
      </w:r>
      <w:r w:rsidRPr="0055646B">
        <w:rPr>
          <w:rFonts w:hint="eastAsia"/>
          <w:lang w:eastAsia="ja-JP"/>
        </w:rPr>
        <w:t>4</w:t>
      </w:r>
      <w:r w:rsidRPr="0055646B">
        <w:t xml:space="preserve">) </w:t>
      </w:r>
      <w:r w:rsidRPr="007F615F">
        <w:rPr>
          <w:i/>
          <w:iCs/>
        </w:rPr>
        <w:t>Research Methods in Politics</w:t>
      </w:r>
      <w:r w:rsidR="007F615F">
        <w:t>, First Edition.</w:t>
      </w:r>
      <w:r w:rsidRPr="0055646B">
        <w:t xml:space="preserve"> Basingstoke, Hampshire/New York</w:t>
      </w:r>
      <w:r w:rsidR="007F615F">
        <w:t>: Palgrave Macmillan.</w:t>
      </w:r>
    </w:p>
    <w:p w14:paraId="2579AA74" w14:textId="77777777" w:rsidR="000452AB" w:rsidRPr="0055646B" w:rsidRDefault="000452AB" w:rsidP="0093196D">
      <w:pPr>
        <w:pStyle w:val="NoSpacing"/>
        <w:rPr>
          <w:lang w:eastAsia="ja-JP"/>
        </w:rPr>
      </w:pPr>
    </w:p>
    <w:p w14:paraId="478CED0C" w14:textId="77777777" w:rsidR="000452AB" w:rsidRPr="0055646B" w:rsidRDefault="000452AB" w:rsidP="00D349D9">
      <w:pPr>
        <w:pStyle w:val="NoSpacing"/>
      </w:pPr>
      <w:r w:rsidRPr="0055646B">
        <w:t>Burnham, P</w:t>
      </w:r>
      <w:r w:rsidR="00D349D9">
        <w:t>.</w:t>
      </w:r>
      <w:r w:rsidRPr="0055646B">
        <w:t>, Lutz, K</w:t>
      </w:r>
      <w:r w:rsidR="00D349D9">
        <w:t>.</w:t>
      </w:r>
      <w:r w:rsidRPr="0055646B">
        <w:t xml:space="preserve"> G</w:t>
      </w:r>
      <w:r w:rsidR="00D349D9">
        <w:t>.</w:t>
      </w:r>
      <w:r w:rsidRPr="0055646B">
        <w:t>, Grant, W</w:t>
      </w:r>
      <w:r w:rsidR="00D349D9">
        <w:t>.</w:t>
      </w:r>
      <w:r w:rsidR="00D55C9A">
        <w:t>,</w:t>
      </w:r>
      <w:r w:rsidRPr="0055646B">
        <w:t xml:space="preserve"> and Layton-Henry, Z</w:t>
      </w:r>
      <w:r w:rsidR="00D349D9">
        <w:t>.</w:t>
      </w:r>
      <w:r w:rsidRPr="0055646B">
        <w:t xml:space="preserve"> (2008) </w:t>
      </w:r>
      <w:r w:rsidRPr="00D349D9">
        <w:rPr>
          <w:i/>
          <w:iCs/>
        </w:rPr>
        <w:t>Research Methods in Politics</w:t>
      </w:r>
      <w:r w:rsidR="00D349D9">
        <w:t xml:space="preserve">, Second Edition. </w:t>
      </w:r>
      <w:r w:rsidRPr="0055646B">
        <w:t>Basingstoke, Hampshire/New York</w:t>
      </w:r>
      <w:r w:rsidR="00D349D9">
        <w:t>: Palgrave Macmillan.</w:t>
      </w:r>
    </w:p>
    <w:p w14:paraId="046EB516" w14:textId="77777777" w:rsidR="000452AB" w:rsidRPr="0055646B" w:rsidRDefault="000452AB" w:rsidP="0093196D">
      <w:pPr>
        <w:pStyle w:val="NoSpacing"/>
      </w:pPr>
    </w:p>
    <w:p w14:paraId="2625CAA9" w14:textId="77777777" w:rsidR="000452AB" w:rsidRPr="0055646B" w:rsidRDefault="000452AB" w:rsidP="00D55C9A">
      <w:pPr>
        <w:pStyle w:val="NoSpacing"/>
      </w:pPr>
      <w:r w:rsidRPr="0055646B">
        <w:t xml:space="preserve">Cabinet Office of Japan (2012) </w:t>
      </w:r>
      <w:r w:rsidR="00D55C9A">
        <w:t>‘</w:t>
      </w:r>
      <w:r w:rsidRPr="00ED5247">
        <w:rPr>
          <w:i/>
        </w:rPr>
        <w:t>Gaiyou</w:t>
      </w:r>
      <w:r w:rsidR="00D55C9A" w:rsidRPr="00D55C9A">
        <w:rPr>
          <w:iCs/>
        </w:rPr>
        <w:t>’</w:t>
      </w:r>
      <w:r w:rsidR="00D55C9A">
        <w:rPr>
          <w:iCs/>
        </w:rPr>
        <w:t xml:space="preserve">, </w:t>
      </w:r>
      <w:r w:rsidRPr="0055646B">
        <w:t xml:space="preserve">in </w:t>
      </w:r>
      <w:r w:rsidRPr="0055646B">
        <w:rPr>
          <w:i/>
        </w:rPr>
        <w:t>Keizai Zaisei Shimon Kaigi</w:t>
      </w:r>
      <w:r w:rsidR="00ED5247" w:rsidRPr="00ED5247">
        <w:t xml:space="preserve"> </w:t>
      </w:r>
      <w:r w:rsidR="00ED5247">
        <w:t>[online] [</w:t>
      </w:r>
      <w:r w:rsidR="00D55C9A">
        <w:t>‘</w:t>
      </w:r>
      <w:r w:rsidRPr="00ED5247">
        <w:rPr>
          <w:i/>
          <w:iCs/>
        </w:rPr>
        <w:t>Abstract</w:t>
      </w:r>
      <w:r w:rsidR="00D55C9A" w:rsidRPr="00D55C9A">
        <w:t>’</w:t>
      </w:r>
      <w:r w:rsidR="00D55C9A">
        <w:t>,</w:t>
      </w:r>
      <w:r w:rsidRPr="0055646B">
        <w:t xml:space="preserve"> in </w:t>
      </w:r>
      <w:r w:rsidRPr="008C30B9">
        <w:rPr>
          <w:i/>
          <w:iCs/>
        </w:rPr>
        <w:t>the Council of Economic and Fiscal Policy</w:t>
      </w:r>
      <w:r w:rsidR="00ED5247">
        <w:t>]. Cabinet Office of Japan. Available from:</w:t>
      </w:r>
    </w:p>
    <w:p w14:paraId="12DC7BAE" w14:textId="77777777" w:rsidR="000452AB" w:rsidRPr="0055646B" w:rsidRDefault="00050AB3" w:rsidP="00D55C9A">
      <w:pPr>
        <w:pStyle w:val="NoSpacing"/>
      </w:pPr>
      <w:hyperlink r:id="rId15" w:history="1">
        <w:r w:rsidR="000452AB" w:rsidRPr="0055646B">
          <w:rPr>
            <w:rStyle w:val="Hyperlink"/>
          </w:rPr>
          <w:t>http://www5.cao.go.jp/keizai-shimon/about/about.html</w:t>
        </w:r>
      </w:hyperlink>
      <w:r w:rsidR="00ED5247">
        <w:t xml:space="preserve"> [</w:t>
      </w:r>
      <w:r w:rsidR="00D55C9A">
        <w:t>A</w:t>
      </w:r>
      <w:r w:rsidR="00ED5247">
        <w:t xml:space="preserve">ccessed </w:t>
      </w:r>
      <w:r w:rsidR="00ED5247" w:rsidRPr="0055646B">
        <w:t>5 January 2012</w:t>
      </w:r>
      <w:r w:rsidR="00ED5247">
        <w:t>].</w:t>
      </w:r>
    </w:p>
    <w:p w14:paraId="2F818439" w14:textId="77777777" w:rsidR="000452AB" w:rsidRPr="0055646B" w:rsidRDefault="000452AB" w:rsidP="0093196D">
      <w:pPr>
        <w:pStyle w:val="NoSpacing"/>
      </w:pPr>
    </w:p>
    <w:p w14:paraId="16BA5986" w14:textId="77777777" w:rsidR="000452AB" w:rsidRPr="0055646B" w:rsidRDefault="00ED5247" w:rsidP="00ED5247">
      <w:pPr>
        <w:pStyle w:val="NoSpacing"/>
      </w:pPr>
      <w:r>
        <w:t xml:space="preserve">Calder, K. E. (1993) </w:t>
      </w:r>
      <w:r w:rsidR="000452AB" w:rsidRPr="00ED5247">
        <w:rPr>
          <w:i/>
          <w:iCs/>
        </w:rPr>
        <w:t>Strategic capitalism: private business and public purpose in Japanese industrial finance</w:t>
      </w:r>
      <w:r>
        <w:t>.</w:t>
      </w:r>
      <w:r w:rsidR="000452AB" w:rsidRPr="0055646B">
        <w:t xml:space="preserve"> Princeton</w:t>
      </w:r>
      <w:r>
        <w:t>:</w:t>
      </w:r>
      <w:r w:rsidR="000452AB" w:rsidRPr="0055646B">
        <w:t xml:space="preserve"> Princeton UP</w:t>
      </w:r>
      <w:r w:rsidR="00AF1710">
        <w:t>.</w:t>
      </w:r>
    </w:p>
    <w:p w14:paraId="060922DB" w14:textId="77777777" w:rsidR="000452AB" w:rsidRPr="0055646B" w:rsidRDefault="000452AB" w:rsidP="0093196D">
      <w:pPr>
        <w:pStyle w:val="NoSpacing"/>
      </w:pPr>
    </w:p>
    <w:p w14:paraId="278ACF60" w14:textId="77777777" w:rsidR="000452AB" w:rsidRPr="0055646B" w:rsidRDefault="000452AB" w:rsidP="0017425C">
      <w:pPr>
        <w:pStyle w:val="NoSpacing"/>
      </w:pPr>
      <w:r w:rsidRPr="0055646B">
        <w:t xml:space="preserve">Campbell, J. C. (1984) ‘Policy Conflict and its Resolution within the Governmental System’ in </w:t>
      </w:r>
      <w:r w:rsidR="0017425C">
        <w:t xml:space="preserve">E. </w:t>
      </w:r>
      <w:r w:rsidRPr="0055646B">
        <w:t xml:space="preserve">Krauss, </w:t>
      </w:r>
      <w:r w:rsidR="0017425C">
        <w:t>T.</w:t>
      </w:r>
      <w:r w:rsidRPr="0055646B">
        <w:t xml:space="preserve"> Rholen, and </w:t>
      </w:r>
      <w:r w:rsidR="0017425C">
        <w:t xml:space="preserve">P. </w:t>
      </w:r>
      <w:r w:rsidRPr="0055646B">
        <w:t xml:space="preserve">Steinhoff </w:t>
      </w:r>
      <w:r w:rsidR="0017425C">
        <w:t>(</w:t>
      </w:r>
      <w:r w:rsidRPr="0055646B">
        <w:t>ed</w:t>
      </w:r>
      <w:r w:rsidR="0017425C">
        <w:t>s)</w:t>
      </w:r>
      <w:r w:rsidR="007415F2">
        <w:t>,</w:t>
      </w:r>
      <w:r w:rsidRPr="0055646B">
        <w:t xml:space="preserve"> </w:t>
      </w:r>
      <w:r w:rsidRPr="0017425C">
        <w:rPr>
          <w:i/>
          <w:iCs/>
        </w:rPr>
        <w:t>Conflict in Japan</w:t>
      </w:r>
      <w:r w:rsidR="0017425C">
        <w:t xml:space="preserve">. </w:t>
      </w:r>
      <w:r w:rsidRPr="0055646B">
        <w:t>Honolulu</w:t>
      </w:r>
      <w:r w:rsidR="0017425C">
        <w:t>:</w:t>
      </w:r>
      <w:r w:rsidRPr="0055646B">
        <w:t xml:space="preserve"> University of Hawaii Press</w:t>
      </w:r>
      <w:r w:rsidR="0017425C">
        <w:t>,</w:t>
      </w:r>
      <w:r w:rsidRPr="0055646B">
        <w:t xml:space="preserve"> pp.294-334</w:t>
      </w:r>
      <w:r w:rsidR="0017425C">
        <w:t>.</w:t>
      </w:r>
    </w:p>
    <w:p w14:paraId="134268F9" w14:textId="77777777" w:rsidR="000452AB" w:rsidRPr="0055646B" w:rsidRDefault="000452AB" w:rsidP="0093196D">
      <w:pPr>
        <w:pStyle w:val="NoSpacing"/>
      </w:pPr>
    </w:p>
    <w:p w14:paraId="75C1DCCA" w14:textId="77777777" w:rsidR="000452AB" w:rsidRPr="0055646B" w:rsidRDefault="000452AB" w:rsidP="00914A8E">
      <w:pPr>
        <w:pStyle w:val="NoSpacing"/>
      </w:pPr>
      <w:r w:rsidRPr="0055646B">
        <w:t xml:space="preserve">Campbell, J.C. (2003) ‘Research among the Bureaucrats’ in </w:t>
      </w:r>
      <w:r w:rsidR="00914A8E">
        <w:t xml:space="preserve">T. C. </w:t>
      </w:r>
      <w:r w:rsidRPr="0055646B">
        <w:t xml:space="preserve">Bester, </w:t>
      </w:r>
      <w:r w:rsidR="00914A8E">
        <w:t xml:space="preserve">P. G. </w:t>
      </w:r>
      <w:r w:rsidRPr="0055646B">
        <w:t xml:space="preserve">Steinhoff, and </w:t>
      </w:r>
      <w:r w:rsidR="00914A8E">
        <w:t xml:space="preserve">V. L. </w:t>
      </w:r>
      <w:r w:rsidRPr="0055646B">
        <w:t>Bester</w:t>
      </w:r>
      <w:r w:rsidR="00914A8E">
        <w:t xml:space="preserve"> (eds)</w:t>
      </w:r>
      <w:r w:rsidR="007415F2">
        <w:t>,</w:t>
      </w:r>
      <w:r w:rsidRPr="0055646B">
        <w:t xml:space="preserve"> </w:t>
      </w:r>
      <w:r w:rsidRPr="00914A8E">
        <w:rPr>
          <w:i/>
          <w:iCs/>
        </w:rPr>
        <w:t>Doing fieldwork in Japan</w:t>
      </w:r>
      <w:r w:rsidR="00914A8E">
        <w:t>.</w:t>
      </w:r>
      <w:r w:rsidRPr="0055646B">
        <w:t xml:space="preserve"> </w:t>
      </w:r>
      <w:r w:rsidR="00914A8E">
        <w:t xml:space="preserve">Honolulu, USA: </w:t>
      </w:r>
      <w:r w:rsidRPr="0055646B">
        <w:t>University of Hawaii Press, pp.229-47</w:t>
      </w:r>
      <w:r w:rsidR="00914A8E">
        <w:t>.</w:t>
      </w:r>
    </w:p>
    <w:p w14:paraId="29402466" w14:textId="77777777" w:rsidR="000452AB" w:rsidRPr="0055646B" w:rsidRDefault="000452AB" w:rsidP="0093196D">
      <w:pPr>
        <w:pStyle w:val="NoSpacing"/>
      </w:pPr>
    </w:p>
    <w:p w14:paraId="1CC13001" w14:textId="77777777" w:rsidR="000452AB" w:rsidRPr="007415F2" w:rsidRDefault="000452AB" w:rsidP="00914A8E">
      <w:pPr>
        <w:pStyle w:val="NoSpacing"/>
      </w:pPr>
      <w:r w:rsidRPr="0055646B">
        <w:rPr>
          <w:rFonts w:hint="eastAsia"/>
        </w:rPr>
        <w:t>Carter, D</w:t>
      </w:r>
      <w:r w:rsidR="00914A8E">
        <w:t>.</w:t>
      </w:r>
      <w:r w:rsidRPr="0055646B">
        <w:rPr>
          <w:rFonts w:hint="eastAsia"/>
        </w:rPr>
        <w:t xml:space="preserve"> B</w:t>
      </w:r>
      <w:r w:rsidR="00914A8E">
        <w:t>.</w:t>
      </w:r>
      <w:r w:rsidRPr="0055646B">
        <w:rPr>
          <w:rFonts w:hint="eastAsia"/>
        </w:rPr>
        <w:t xml:space="preserve"> (2008) </w:t>
      </w:r>
      <w:r w:rsidRPr="00914A8E">
        <w:rPr>
          <w:i/>
          <w:iCs/>
        </w:rPr>
        <w:t>Crossing the Wires:</w:t>
      </w:r>
      <w:r w:rsidRPr="00914A8E">
        <w:rPr>
          <w:rFonts w:hint="eastAsia"/>
          <w:i/>
          <w:iCs/>
        </w:rPr>
        <w:t xml:space="preserve"> </w:t>
      </w:r>
      <w:r w:rsidRPr="00914A8E">
        <w:rPr>
          <w:i/>
          <w:iCs/>
        </w:rPr>
        <w:t>The Interface between Law and Accounting and the Discourse Theory Potential of</w:t>
      </w:r>
      <w:r w:rsidRPr="00914A8E">
        <w:rPr>
          <w:rFonts w:hint="eastAsia"/>
          <w:i/>
          <w:iCs/>
        </w:rPr>
        <w:t xml:space="preserve"> </w:t>
      </w:r>
      <w:r w:rsidRPr="00914A8E">
        <w:rPr>
          <w:i/>
          <w:iCs/>
        </w:rPr>
        <w:t>Telecommunications Regulation</w:t>
      </w:r>
      <w:r w:rsidR="00530055">
        <w:t xml:space="preserve"> [online].</w:t>
      </w:r>
      <w:r w:rsidRPr="0055646B">
        <w:rPr>
          <w:rFonts w:hint="eastAsia"/>
        </w:rPr>
        <w:t xml:space="preserve"> </w:t>
      </w:r>
      <w:r w:rsidR="00914A8E">
        <w:t>PhD Thesis. The</w:t>
      </w:r>
      <w:r w:rsidRPr="0055646B">
        <w:t xml:space="preserve"> Victoria University of Wellington</w:t>
      </w:r>
      <w:r w:rsidR="00914A8E">
        <w:t xml:space="preserve">. </w:t>
      </w:r>
      <w:r w:rsidR="00914A8E" w:rsidRPr="007415F2">
        <w:t>Available from:</w:t>
      </w:r>
    </w:p>
    <w:p w14:paraId="3A5B4CC3" w14:textId="77777777" w:rsidR="000452AB" w:rsidRPr="007415F2" w:rsidRDefault="00050AB3" w:rsidP="0093196D">
      <w:pPr>
        <w:pStyle w:val="NoSpacing"/>
      </w:pPr>
      <w:hyperlink r:id="rId16" w:history="1">
        <w:r w:rsidR="000452AB" w:rsidRPr="007415F2">
          <w:rPr>
            <w:rStyle w:val="Hyperlink"/>
          </w:rPr>
          <w:t>http://researcharchive.vuw.ac.nz/bitstream/handle/10063/1048/thesis.pdf?sequence=1</w:t>
        </w:r>
      </w:hyperlink>
    </w:p>
    <w:p w14:paraId="5B9CA9BB" w14:textId="77777777" w:rsidR="000452AB" w:rsidRDefault="00914A8E" w:rsidP="0093196D">
      <w:pPr>
        <w:pStyle w:val="NoSpacing"/>
      </w:pPr>
      <w:r>
        <w:t xml:space="preserve">[Accessed </w:t>
      </w:r>
      <w:r w:rsidR="00693261">
        <w:t>30 June 2012].</w:t>
      </w:r>
    </w:p>
    <w:p w14:paraId="2428636C" w14:textId="77777777" w:rsidR="00914A8E" w:rsidRPr="0055646B" w:rsidRDefault="00914A8E" w:rsidP="0093196D">
      <w:pPr>
        <w:pStyle w:val="NoSpacing"/>
      </w:pPr>
    </w:p>
    <w:p w14:paraId="3C7ADCB5" w14:textId="77777777" w:rsidR="000452AB" w:rsidRPr="0055646B" w:rsidRDefault="000452AB" w:rsidP="00D55C9A">
      <w:pPr>
        <w:pStyle w:val="NoSpacing"/>
      </w:pPr>
      <w:r w:rsidRPr="0055646B">
        <w:t>Chang, H</w:t>
      </w:r>
      <w:r w:rsidR="00693261">
        <w:t>.</w:t>
      </w:r>
      <w:r w:rsidRPr="0055646B">
        <w:t xml:space="preserve"> and Rowthorn, R</w:t>
      </w:r>
      <w:r w:rsidR="00693261">
        <w:t>.</w:t>
      </w:r>
      <w:r w:rsidRPr="0055646B">
        <w:t xml:space="preserve"> </w:t>
      </w:r>
      <w:r w:rsidR="00693261">
        <w:t>(1995) ‘Introduction’, in</w:t>
      </w:r>
      <w:r w:rsidRPr="0055646B">
        <w:t xml:space="preserve"> H</w:t>
      </w:r>
      <w:r w:rsidR="00D55C9A">
        <w:t>.</w:t>
      </w:r>
      <w:r w:rsidRPr="0055646B">
        <w:t xml:space="preserve"> </w:t>
      </w:r>
      <w:r w:rsidR="00693261">
        <w:t xml:space="preserve">Chang </w:t>
      </w:r>
      <w:r w:rsidRPr="0055646B">
        <w:t xml:space="preserve">and </w:t>
      </w:r>
      <w:r w:rsidR="00693261">
        <w:t>R</w:t>
      </w:r>
      <w:r w:rsidR="00D55C9A">
        <w:t>.</w:t>
      </w:r>
      <w:r w:rsidR="00693261">
        <w:t xml:space="preserve"> </w:t>
      </w:r>
      <w:r w:rsidRPr="0055646B">
        <w:t>Rowthorn</w:t>
      </w:r>
      <w:r w:rsidR="00693261">
        <w:t xml:space="preserve"> (eds)</w:t>
      </w:r>
      <w:r w:rsidR="00D55C9A">
        <w:t>,</w:t>
      </w:r>
      <w:r w:rsidRPr="0055646B">
        <w:t xml:space="preserve"> </w:t>
      </w:r>
      <w:r w:rsidRPr="00693261">
        <w:rPr>
          <w:i/>
          <w:iCs/>
        </w:rPr>
        <w:t>The Role of the State in Economic Change</w:t>
      </w:r>
      <w:r w:rsidR="00693261">
        <w:t>.</w:t>
      </w:r>
      <w:r w:rsidRPr="0055646B">
        <w:t xml:space="preserve"> </w:t>
      </w:r>
      <w:r w:rsidR="00693261">
        <w:t xml:space="preserve">Oxford: </w:t>
      </w:r>
      <w:r w:rsidRPr="0055646B">
        <w:t>Clarendon Press</w:t>
      </w:r>
      <w:r w:rsidR="00693261">
        <w:t>.</w:t>
      </w:r>
    </w:p>
    <w:p w14:paraId="5071E79E" w14:textId="77777777" w:rsidR="000452AB" w:rsidRPr="0055646B" w:rsidRDefault="000452AB" w:rsidP="0093196D">
      <w:pPr>
        <w:pStyle w:val="NoSpacing"/>
      </w:pPr>
    </w:p>
    <w:p w14:paraId="3CCF6666" w14:textId="77777777" w:rsidR="000452AB" w:rsidRPr="0055646B" w:rsidRDefault="000452AB" w:rsidP="00693261">
      <w:pPr>
        <w:pStyle w:val="NoSpacing"/>
      </w:pPr>
      <w:r w:rsidRPr="0055646B">
        <w:t>Coffey, A</w:t>
      </w:r>
      <w:r w:rsidR="00693261">
        <w:t>.</w:t>
      </w:r>
      <w:r w:rsidRPr="0055646B">
        <w:t xml:space="preserve"> and Atkinson, P</w:t>
      </w:r>
      <w:r w:rsidR="00693261">
        <w:t>.</w:t>
      </w:r>
      <w:r w:rsidRPr="0055646B">
        <w:t xml:space="preserve"> (1996) </w:t>
      </w:r>
      <w:r w:rsidRPr="00693261">
        <w:rPr>
          <w:i/>
          <w:iCs/>
        </w:rPr>
        <w:t>Making Sense of Qualitative Data – Complementary Research Strategies</w:t>
      </w:r>
      <w:r w:rsidR="00693261">
        <w:t>.</w:t>
      </w:r>
      <w:r w:rsidRPr="0055646B">
        <w:t xml:space="preserve"> Thousand Oaks/London/New Delhi</w:t>
      </w:r>
      <w:r w:rsidR="00693261">
        <w:t xml:space="preserve">: </w:t>
      </w:r>
      <w:r w:rsidR="00693261" w:rsidRPr="0055646B">
        <w:t>Sage Publications</w:t>
      </w:r>
      <w:r w:rsidR="00693261">
        <w:t>.</w:t>
      </w:r>
    </w:p>
    <w:p w14:paraId="7B983443" w14:textId="77777777" w:rsidR="000452AB" w:rsidRPr="0055646B" w:rsidRDefault="000452AB" w:rsidP="0093196D">
      <w:pPr>
        <w:pStyle w:val="NoSpacing"/>
      </w:pPr>
    </w:p>
    <w:p w14:paraId="1919ED0C" w14:textId="77777777" w:rsidR="000452AB" w:rsidRPr="0055646B" w:rsidRDefault="000452AB" w:rsidP="00693261">
      <w:pPr>
        <w:pStyle w:val="NoSpacing"/>
      </w:pPr>
      <w:r w:rsidRPr="0055646B">
        <w:t>Collins, R</w:t>
      </w:r>
      <w:r w:rsidR="00693261">
        <w:t>.</w:t>
      </w:r>
      <w:r w:rsidRPr="0055646B">
        <w:t xml:space="preserve"> and Murroni, C</w:t>
      </w:r>
      <w:r w:rsidR="00693261">
        <w:t>.</w:t>
      </w:r>
      <w:r w:rsidRPr="0055646B">
        <w:t xml:space="preserve"> (1996) </w:t>
      </w:r>
      <w:r w:rsidRPr="00693261">
        <w:rPr>
          <w:i/>
          <w:iCs/>
        </w:rPr>
        <w:t>New Media, New Policies – Media and Communica</w:t>
      </w:r>
      <w:r w:rsidR="00693261" w:rsidRPr="00693261">
        <w:rPr>
          <w:i/>
          <w:iCs/>
        </w:rPr>
        <w:t>tions Strategies for the Future</w:t>
      </w:r>
      <w:r w:rsidR="00693261">
        <w:t>.</w:t>
      </w:r>
      <w:r w:rsidRPr="0055646B">
        <w:t xml:space="preserve"> </w:t>
      </w:r>
      <w:r w:rsidR="00693261">
        <w:t xml:space="preserve">London: </w:t>
      </w:r>
      <w:r w:rsidRPr="0055646B">
        <w:t>Polity Press</w:t>
      </w:r>
      <w:r w:rsidR="00693261">
        <w:t>.</w:t>
      </w:r>
    </w:p>
    <w:p w14:paraId="12A79ED5" w14:textId="77777777" w:rsidR="000452AB" w:rsidRPr="0055646B" w:rsidRDefault="000452AB" w:rsidP="0093196D">
      <w:pPr>
        <w:pStyle w:val="NoSpacing"/>
      </w:pPr>
    </w:p>
    <w:p w14:paraId="43851111" w14:textId="77777777" w:rsidR="000452AB" w:rsidRPr="0055646B" w:rsidRDefault="000452AB" w:rsidP="00693261">
      <w:pPr>
        <w:pStyle w:val="NoSpacing"/>
      </w:pPr>
      <w:r w:rsidRPr="0055646B">
        <w:t>Dahl, R</w:t>
      </w:r>
      <w:r w:rsidR="00693261">
        <w:t>.</w:t>
      </w:r>
      <w:r w:rsidRPr="0055646B">
        <w:t xml:space="preserve"> A. (1983) </w:t>
      </w:r>
      <w:r w:rsidRPr="00693261">
        <w:rPr>
          <w:i/>
          <w:iCs/>
        </w:rPr>
        <w:t>Dilemmas of Pluralist Democracy: Autonomy vs. Control</w:t>
      </w:r>
      <w:r w:rsidR="00693261">
        <w:t>.</w:t>
      </w:r>
      <w:r w:rsidRPr="0055646B">
        <w:t xml:space="preserve"> New Haven</w:t>
      </w:r>
      <w:r w:rsidR="00693261">
        <w:t>: Yale UP.</w:t>
      </w:r>
    </w:p>
    <w:p w14:paraId="62ECA226" w14:textId="77777777" w:rsidR="000452AB" w:rsidRPr="0055646B" w:rsidRDefault="000452AB" w:rsidP="0093196D">
      <w:pPr>
        <w:pStyle w:val="NoSpacing"/>
      </w:pPr>
    </w:p>
    <w:p w14:paraId="2B157801" w14:textId="77777777" w:rsidR="000452AB" w:rsidRPr="0055646B" w:rsidRDefault="000452AB" w:rsidP="00693261">
      <w:pPr>
        <w:pStyle w:val="NoSpacing"/>
      </w:pPr>
      <w:r w:rsidRPr="0055646B">
        <w:t>Dahl, R</w:t>
      </w:r>
      <w:r w:rsidR="00693261">
        <w:t>.</w:t>
      </w:r>
      <w:r w:rsidRPr="0055646B">
        <w:t xml:space="preserve"> A. (1985) </w:t>
      </w:r>
      <w:r w:rsidRPr="00693261">
        <w:rPr>
          <w:i/>
          <w:iCs/>
        </w:rPr>
        <w:t>A Preface to Economic Democracy</w:t>
      </w:r>
      <w:r w:rsidR="00693261">
        <w:t>.</w:t>
      </w:r>
      <w:r w:rsidRPr="0055646B">
        <w:t xml:space="preserve"> </w:t>
      </w:r>
      <w:r w:rsidR="00693261">
        <w:t xml:space="preserve">Cambridge: </w:t>
      </w:r>
      <w:r w:rsidRPr="0055646B">
        <w:t>Polity Press</w:t>
      </w:r>
      <w:r w:rsidR="00693261">
        <w:t>.</w:t>
      </w:r>
    </w:p>
    <w:p w14:paraId="71A97CED" w14:textId="77777777" w:rsidR="000452AB" w:rsidRPr="0055646B" w:rsidRDefault="000452AB" w:rsidP="0093196D">
      <w:pPr>
        <w:pStyle w:val="NoSpacing"/>
      </w:pPr>
    </w:p>
    <w:p w14:paraId="0E2A83A4" w14:textId="77777777" w:rsidR="000452AB" w:rsidRPr="0055646B" w:rsidRDefault="000452AB" w:rsidP="00693261">
      <w:pPr>
        <w:pStyle w:val="NoSpacing"/>
      </w:pPr>
      <w:r w:rsidRPr="0055646B">
        <w:t>Danermark, B., Ekström, M., Jakobsen, L.</w:t>
      </w:r>
      <w:r w:rsidR="00693261">
        <w:t>,</w:t>
      </w:r>
      <w:r w:rsidRPr="0055646B">
        <w:t xml:space="preserve"> and Karlsson, J. (2002) </w:t>
      </w:r>
      <w:r w:rsidRPr="00693261">
        <w:rPr>
          <w:i/>
          <w:iCs/>
        </w:rPr>
        <w:t>Explaining Society: Critical Realism in the Social Sciences</w:t>
      </w:r>
      <w:r w:rsidR="00693261">
        <w:t>.</w:t>
      </w:r>
      <w:r w:rsidRPr="0055646B">
        <w:t xml:space="preserve"> </w:t>
      </w:r>
      <w:r w:rsidR="00693261">
        <w:t xml:space="preserve">London: </w:t>
      </w:r>
      <w:r w:rsidRPr="0055646B">
        <w:t>Routledge</w:t>
      </w:r>
      <w:r w:rsidR="00693261">
        <w:t>.</w:t>
      </w:r>
    </w:p>
    <w:p w14:paraId="1008E1A7" w14:textId="77777777" w:rsidR="007415F2" w:rsidRDefault="007415F2" w:rsidP="007C39DF">
      <w:pPr>
        <w:pStyle w:val="NoSpacing"/>
      </w:pPr>
    </w:p>
    <w:p w14:paraId="3FC58A8D" w14:textId="77777777" w:rsidR="000452AB" w:rsidRPr="0055646B" w:rsidRDefault="000452AB" w:rsidP="007C39DF">
      <w:pPr>
        <w:pStyle w:val="NoSpacing"/>
      </w:pPr>
      <w:r w:rsidRPr="0055646B">
        <w:t>David, P</w:t>
      </w:r>
      <w:r w:rsidR="007C39DF">
        <w:t>.</w:t>
      </w:r>
      <w:r w:rsidRPr="0055646B">
        <w:t xml:space="preserve"> A. (1985) ‘Clio and the Economics of QWERTY’, </w:t>
      </w:r>
      <w:r w:rsidRPr="007C39DF">
        <w:rPr>
          <w:i/>
          <w:iCs/>
        </w:rPr>
        <w:t>American Economic Review</w:t>
      </w:r>
      <w:r w:rsidR="007C39DF">
        <w:t xml:space="preserve">, </w:t>
      </w:r>
      <w:r w:rsidRPr="0055646B">
        <w:t>75</w:t>
      </w:r>
      <w:r w:rsidR="007C39DF">
        <w:t>,</w:t>
      </w:r>
      <w:r w:rsidRPr="0055646B">
        <w:t xml:space="preserve"> (2)</w:t>
      </w:r>
      <w:r w:rsidR="007C39DF">
        <w:t>,</w:t>
      </w:r>
      <w:r w:rsidRPr="0055646B">
        <w:t xml:space="preserve"> pp. 332-37</w:t>
      </w:r>
      <w:r w:rsidR="007C39DF">
        <w:t>.</w:t>
      </w:r>
    </w:p>
    <w:p w14:paraId="1861169F" w14:textId="77777777" w:rsidR="000452AB" w:rsidRPr="0055646B" w:rsidRDefault="000452AB" w:rsidP="0093196D">
      <w:pPr>
        <w:pStyle w:val="NoSpacing"/>
      </w:pPr>
    </w:p>
    <w:p w14:paraId="5FAD8B9B" w14:textId="77777777" w:rsidR="000452AB" w:rsidRPr="0055646B" w:rsidRDefault="000452AB" w:rsidP="007C39DF">
      <w:pPr>
        <w:pStyle w:val="NoSpacing"/>
      </w:pPr>
      <w:r w:rsidRPr="0055646B">
        <w:t>Denzin, N. K. (1970)</w:t>
      </w:r>
      <w:r w:rsidRPr="0055646B">
        <w:rPr>
          <w:rFonts w:hint="eastAsia"/>
        </w:rPr>
        <w:t xml:space="preserve"> </w:t>
      </w:r>
      <w:r w:rsidRPr="007C39DF">
        <w:rPr>
          <w:i/>
          <w:iCs/>
        </w:rPr>
        <w:t>The Research Act in Sociology</w:t>
      </w:r>
      <w:r w:rsidR="007C39DF">
        <w:t xml:space="preserve">. Chicago: </w:t>
      </w:r>
      <w:r w:rsidRPr="0055646B">
        <w:rPr>
          <w:rFonts w:hint="eastAsia"/>
        </w:rPr>
        <w:t>Aldine</w:t>
      </w:r>
      <w:r w:rsidR="007C39DF">
        <w:t>.</w:t>
      </w:r>
    </w:p>
    <w:p w14:paraId="1FD19BD7" w14:textId="77777777" w:rsidR="000452AB" w:rsidRDefault="000452AB" w:rsidP="0093196D">
      <w:pPr>
        <w:pStyle w:val="NoSpacing"/>
        <w:rPr>
          <w:lang w:eastAsia="ja-JP"/>
        </w:rPr>
      </w:pPr>
    </w:p>
    <w:p w14:paraId="47545B79" w14:textId="77777777" w:rsidR="00C63A59" w:rsidRDefault="00C63A59" w:rsidP="00530055">
      <w:pPr>
        <w:pStyle w:val="NoSpacing"/>
        <w:rPr>
          <w:lang w:eastAsia="ja-JP"/>
        </w:rPr>
      </w:pPr>
      <w:r>
        <w:rPr>
          <w:rFonts w:hint="eastAsia"/>
          <w:lang w:eastAsia="ja-JP"/>
        </w:rPr>
        <w:t xml:space="preserve">Department for Business, Innovation &amp; Skills (2013) </w:t>
      </w:r>
      <w:r w:rsidR="001457DF" w:rsidRPr="00487E03">
        <w:rPr>
          <w:rFonts w:hint="eastAsia"/>
          <w:i/>
          <w:iCs/>
          <w:lang w:eastAsia="ja-JP"/>
        </w:rPr>
        <w:t xml:space="preserve">Focus on Enforcement </w:t>
      </w:r>
      <w:r w:rsidR="001457DF" w:rsidRPr="00487E03">
        <w:rPr>
          <w:i/>
          <w:iCs/>
          <w:lang w:eastAsia="ja-JP"/>
        </w:rPr>
        <w:t>–</w:t>
      </w:r>
      <w:r w:rsidR="001457DF" w:rsidRPr="00487E03">
        <w:rPr>
          <w:rFonts w:hint="eastAsia"/>
          <w:i/>
          <w:iCs/>
          <w:lang w:eastAsia="ja-JP"/>
        </w:rPr>
        <w:t xml:space="preserve"> List of National Regulators and their remits</w:t>
      </w:r>
      <w:r w:rsidR="00530055">
        <w:rPr>
          <w:lang w:eastAsia="ja-JP"/>
        </w:rPr>
        <w:t xml:space="preserve"> [online].</w:t>
      </w:r>
      <w:r w:rsidR="00487E03">
        <w:rPr>
          <w:lang w:eastAsia="ja-JP"/>
        </w:rPr>
        <w:t xml:space="preserve"> Department for Business, Innovation &amp; Skills. Available from:</w:t>
      </w:r>
    </w:p>
    <w:p w14:paraId="0A461F08" w14:textId="77777777" w:rsidR="00C63A59" w:rsidRDefault="00050AB3" w:rsidP="0093196D">
      <w:pPr>
        <w:pStyle w:val="NoSpacing"/>
        <w:rPr>
          <w:lang w:eastAsia="ja-JP"/>
        </w:rPr>
      </w:pPr>
      <w:hyperlink r:id="rId17" w:history="1">
        <w:r w:rsidR="001457DF" w:rsidRPr="0089587C">
          <w:rPr>
            <w:rStyle w:val="Hyperlink"/>
            <w:lang w:eastAsia="ja-JP"/>
          </w:rPr>
          <w:t>http://discuss.bis.gov.uk/focusonenforcement/list-of-regulators-and-their-remit/</w:t>
        </w:r>
      </w:hyperlink>
    </w:p>
    <w:p w14:paraId="3F2122DD" w14:textId="77777777" w:rsidR="001457DF" w:rsidRDefault="00534B63" w:rsidP="00503293">
      <w:pPr>
        <w:pStyle w:val="NoSpacing"/>
        <w:rPr>
          <w:lang w:eastAsia="ja-JP"/>
        </w:rPr>
      </w:pPr>
      <w:r>
        <w:rPr>
          <w:lang w:eastAsia="ja-JP"/>
        </w:rPr>
        <w:t>[</w:t>
      </w:r>
      <w:r w:rsidR="00503293">
        <w:rPr>
          <w:lang w:eastAsia="ja-JP"/>
        </w:rPr>
        <w:t>A</w:t>
      </w:r>
      <w:r w:rsidR="001457DF">
        <w:rPr>
          <w:rFonts w:hint="eastAsia"/>
          <w:lang w:eastAsia="ja-JP"/>
        </w:rPr>
        <w:t>ccessed 18 January 2013</w:t>
      </w:r>
      <w:r>
        <w:rPr>
          <w:lang w:eastAsia="ja-JP"/>
        </w:rPr>
        <w:t>]</w:t>
      </w:r>
      <w:r w:rsidR="00E83B26">
        <w:rPr>
          <w:lang w:eastAsia="ja-JP"/>
        </w:rPr>
        <w:t>.</w:t>
      </w:r>
    </w:p>
    <w:p w14:paraId="75435186" w14:textId="77777777" w:rsidR="001457DF" w:rsidRDefault="001457DF" w:rsidP="0093196D">
      <w:pPr>
        <w:pStyle w:val="NoSpacing"/>
        <w:rPr>
          <w:lang w:eastAsia="ja-JP"/>
        </w:rPr>
      </w:pPr>
    </w:p>
    <w:p w14:paraId="329B6855" w14:textId="77777777" w:rsidR="00F26520" w:rsidRDefault="00F26520" w:rsidP="00E83B26">
      <w:pPr>
        <w:pStyle w:val="NoSpacing"/>
        <w:rPr>
          <w:lang w:eastAsia="ja-JP"/>
        </w:rPr>
      </w:pPr>
      <w:r>
        <w:rPr>
          <w:lang w:eastAsia="ja-JP"/>
        </w:rPr>
        <w:t>Döhler, M</w:t>
      </w:r>
      <w:r w:rsidR="00E83B26">
        <w:rPr>
          <w:lang w:eastAsia="ja-JP"/>
        </w:rPr>
        <w:t>.</w:t>
      </w:r>
      <w:r>
        <w:rPr>
          <w:lang w:eastAsia="ja-JP"/>
        </w:rPr>
        <w:t xml:space="preserve"> (2003) ‘Institutional Choice and Bureaucratic Autonomy in German’, in </w:t>
      </w:r>
      <w:r w:rsidR="00E83B26">
        <w:rPr>
          <w:lang w:eastAsia="ja-JP"/>
        </w:rPr>
        <w:t xml:space="preserve">M. </w:t>
      </w:r>
      <w:r w:rsidR="00EC0602">
        <w:rPr>
          <w:lang w:eastAsia="ja-JP"/>
        </w:rPr>
        <w:t>Thatcher, and A</w:t>
      </w:r>
      <w:r w:rsidR="00E83B26">
        <w:rPr>
          <w:lang w:eastAsia="ja-JP"/>
        </w:rPr>
        <w:t>.</w:t>
      </w:r>
      <w:r w:rsidR="00EC0602">
        <w:rPr>
          <w:lang w:eastAsia="ja-JP"/>
        </w:rPr>
        <w:t xml:space="preserve"> S</w:t>
      </w:r>
      <w:r w:rsidR="00E83B26">
        <w:rPr>
          <w:lang w:eastAsia="ja-JP"/>
        </w:rPr>
        <w:t>. Sweet</w:t>
      </w:r>
      <w:r w:rsidR="00EC0602">
        <w:rPr>
          <w:lang w:eastAsia="ja-JP"/>
        </w:rPr>
        <w:t xml:space="preserve"> </w:t>
      </w:r>
      <w:r w:rsidR="00E83B26">
        <w:rPr>
          <w:lang w:eastAsia="ja-JP"/>
        </w:rPr>
        <w:t>(</w:t>
      </w:r>
      <w:r w:rsidR="00EC0602">
        <w:rPr>
          <w:lang w:eastAsia="ja-JP"/>
        </w:rPr>
        <w:t>ed</w:t>
      </w:r>
      <w:r w:rsidR="00E83B26">
        <w:rPr>
          <w:lang w:eastAsia="ja-JP"/>
        </w:rPr>
        <w:t>s)</w:t>
      </w:r>
      <w:r w:rsidR="007415F2">
        <w:rPr>
          <w:lang w:eastAsia="ja-JP"/>
        </w:rPr>
        <w:t>,</w:t>
      </w:r>
      <w:r w:rsidR="00EC0602">
        <w:rPr>
          <w:lang w:eastAsia="ja-JP"/>
        </w:rPr>
        <w:t xml:space="preserve"> </w:t>
      </w:r>
      <w:r w:rsidR="00EC0602" w:rsidRPr="00E83B26">
        <w:rPr>
          <w:i/>
          <w:iCs/>
          <w:lang w:eastAsia="ja-JP"/>
        </w:rPr>
        <w:t>The Politics of Delegation</w:t>
      </w:r>
      <w:r w:rsidR="00E83B26">
        <w:rPr>
          <w:lang w:eastAsia="ja-JP"/>
        </w:rPr>
        <w:t xml:space="preserve">. </w:t>
      </w:r>
      <w:r w:rsidR="00EC0602">
        <w:rPr>
          <w:lang w:eastAsia="ja-JP"/>
        </w:rPr>
        <w:t>London/Portland, OR</w:t>
      </w:r>
      <w:r w:rsidR="00E83B26">
        <w:rPr>
          <w:lang w:eastAsia="ja-JP"/>
        </w:rPr>
        <w:t>: Frank Cass</w:t>
      </w:r>
      <w:r w:rsidR="00EC0602">
        <w:rPr>
          <w:lang w:eastAsia="ja-JP"/>
        </w:rPr>
        <w:t>, pp.101-24</w:t>
      </w:r>
      <w:r w:rsidR="00E83B26">
        <w:rPr>
          <w:lang w:eastAsia="ja-JP"/>
        </w:rPr>
        <w:t>.</w:t>
      </w:r>
    </w:p>
    <w:p w14:paraId="0EFE5907" w14:textId="77777777" w:rsidR="00F26520" w:rsidRPr="0055646B" w:rsidRDefault="00F26520" w:rsidP="0093196D">
      <w:pPr>
        <w:pStyle w:val="NoSpacing"/>
        <w:rPr>
          <w:lang w:eastAsia="ja-JP"/>
        </w:rPr>
      </w:pPr>
    </w:p>
    <w:p w14:paraId="4EAA1458" w14:textId="77777777" w:rsidR="000452AB" w:rsidRPr="00503293" w:rsidRDefault="000452AB" w:rsidP="00887761">
      <w:pPr>
        <w:pStyle w:val="NoSpacing"/>
      </w:pPr>
      <w:r w:rsidRPr="0055646B">
        <w:rPr>
          <w:rFonts w:hint="eastAsia"/>
        </w:rPr>
        <w:t>DPJ (</w:t>
      </w:r>
      <w:r w:rsidRPr="0055646B">
        <w:t>Democratic Party of Japan</w:t>
      </w:r>
      <w:r w:rsidRPr="0055646B">
        <w:rPr>
          <w:rFonts w:hint="eastAsia"/>
        </w:rPr>
        <w:t>)</w:t>
      </w:r>
      <w:r w:rsidRPr="0055646B">
        <w:t xml:space="preserve"> (2009) </w:t>
      </w:r>
      <w:r w:rsidRPr="00887761">
        <w:rPr>
          <w:i/>
          <w:iCs/>
        </w:rPr>
        <w:t>Policy Index 2009</w:t>
      </w:r>
      <w:r w:rsidR="00887761">
        <w:t xml:space="preserve"> [online]. </w:t>
      </w:r>
      <w:r w:rsidR="009F7534" w:rsidRPr="00503293">
        <w:t>DPJ. Available from:</w:t>
      </w:r>
    </w:p>
    <w:p w14:paraId="6DDB53A6" w14:textId="77777777" w:rsidR="000452AB" w:rsidRPr="0055646B" w:rsidRDefault="00050AB3" w:rsidP="00503293">
      <w:pPr>
        <w:pStyle w:val="NoSpacing"/>
      </w:pPr>
      <w:hyperlink r:id="rId18" w:history="1">
        <w:r w:rsidR="009F7534" w:rsidRPr="00503293">
          <w:rPr>
            <w:rStyle w:val="Hyperlink"/>
          </w:rPr>
          <w:t>http://www.dpj.or.jp/policy/manifesto/se</w:t>
        </w:r>
        <w:r w:rsidR="000452AB" w:rsidRPr="0055646B">
          <w:rPr>
            <w:rStyle w:val="Hyperlink"/>
          </w:rPr>
          <w:t>isaku2009/img/INDEX2009.pdf</w:t>
        </w:r>
      </w:hyperlink>
      <w:r w:rsidR="000452AB" w:rsidRPr="0055646B">
        <w:t xml:space="preserve"> </w:t>
      </w:r>
      <w:r w:rsidR="00887761">
        <w:t xml:space="preserve">[Accessed </w:t>
      </w:r>
      <w:r w:rsidR="000452AB" w:rsidRPr="0055646B">
        <w:t>22 April 2010</w:t>
      </w:r>
      <w:r w:rsidR="00503293">
        <w:t>]</w:t>
      </w:r>
      <w:r w:rsidR="00887761">
        <w:t>.</w:t>
      </w:r>
    </w:p>
    <w:p w14:paraId="122505C9" w14:textId="77777777" w:rsidR="000452AB" w:rsidRPr="0055646B" w:rsidRDefault="000452AB" w:rsidP="0093196D">
      <w:pPr>
        <w:pStyle w:val="NoSpacing"/>
      </w:pPr>
    </w:p>
    <w:p w14:paraId="315BBAE0" w14:textId="77777777" w:rsidR="000452AB" w:rsidRPr="0055646B" w:rsidRDefault="000452AB" w:rsidP="00503293">
      <w:pPr>
        <w:pStyle w:val="NoSpacing"/>
      </w:pPr>
      <w:r w:rsidRPr="0055646B">
        <w:rPr>
          <w:rFonts w:hint="eastAsia"/>
        </w:rPr>
        <w:t>Dunleavy, P</w:t>
      </w:r>
      <w:r w:rsidR="00887761">
        <w:t>.</w:t>
      </w:r>
      <w:r w:rsidRPr="0055646B">
        <w:rPr>
          <w:rFonts w:hint="eastAsia"/>
        </w:rPr>
        <w:t xml:space="preserve"> and Rhodes, R. A. W. (1990) </w:t>
      </w:r>
      <w:r w:rsidRPr="0055646B">
        <w:t>‘</w:t>
      </w:r>
      <w:r w:rsidRPr="0055646B">
        <w:rPr>
          <w:rFonts w:hint="eastAsia"/>
        </w:rPr>
        <w:t>Core Executive Studies in Britain</w:t>
      </w:r>
      <w:r w:rsidRPr="0055646B">
        <w:t>’</w:t>
      </w:r>
      <w:r w:rsidRPr="0055646B">
        <w:rPr>
          <w:rFonts w:hint="eastAsia"/>
        </w:rPr>
        <w:t xml:space="preserve">, </w:t>
      </w:r>
      <w:r w:rsidRPr="00887761">
        <w:rPr>
          <w:rFonts w:hint="eastAsia"/>
          <w:i/>
          <w:iCs/>
        </w:rPr>
        <w:t>Public Administration</w:t>
      </w:r>
      <w:r w:rsidR="00887761">
        <w:t xml:space="preserve">, </w:t>
      </w:r>
      <w:r w:rsidRPr="0055646B">
        <w:rPr>
          <w:rFonts w:hint="eastAsia"/>
        </w:rPr>
        <w:t>68</w:t>
      </w:r>
      <w:r w:rsidR="00887761">
        <w:t xml:space="preserve">, </w:t>
      </w:r>
      <w:r w:rsidRPr="0055646B">
        <w:rPr>
          <w:rFonts w:hint="eastAsia"/>
        </w:rPr>
        <w:t>Spring</w:t>
      </w:r>
      <w:r w:rsidR="00887761">
        <w:t xml:space="preserve">, </w:t>
      </w:r>
      <w:r w:rsidRPr="0055646B">
        <w:rPr>
          <w:rFonts w:hint="eastAsia"/>
        </w:rPr>
        <w:t>pp.3-28</w:t>
      </w:r>
      <w:r w:rsidR="00503293">
        <w:t>.</w:t>
      </w:r>
    </w:p>
    <w:p w14:paraId="271CE876" w14:textId="77777777" w:rsidR="000452AB" w:rsidRPr="0055646B" w:rsidRDefault="000452AB" w:rsidP="0093196D">
      <w:pPr>
        <w:pStyle w:val="NoSpacing"/>
      </w:pPr>
    </w:p>
    <w:p w14:paraId="1B0EBC7A" w14:textId="77777777" w:rsidR="000452AB" w:rsidRPr="0055646B" w:rsidRDefault="000452AB" w:rsidP="00887761">
      <w:pPr>
        <w:pStyle w:val="NoSpacing"/>
      </w:pPr>
      <w:r w:rsidRPr="0055646B">
        <w:rPr>
          <w:rFonts w:hint="eastAsia"/>
        </w:rPr>
        <w:t>Easton, B</w:t>
      </w:r>
      <w:r w:rsidR="00887761">
        <w:t>.</w:t>
      </w:r>
      <w:r w:rsidRPr="0055646B">
        <w:rPr>
          <w:rFonts w:hint="eastAsia"/>
        </w:rPr>
        <w:t xml:space="preserve"> (1989) </w:t>
      </w:r>
      <w:r w:rsidRPr="0055646B">
        <w:t>‘</w:t>
      </w:r>
      <w:r w:rsidRPr="0055646B">
        <w:rPr>
          <w:rFonts w:hint="eastAsia"/>
        </w:rPr>
        <w:t>The Commercialisation of the New Zealand Economy</w:t>
      </w:r>
      <w:r w:rsidRPr="0055646B">
        <w:t>’</w:t>
      </w:r>
      <w:r w:rsidRPr="0055646B">
        <w:rPr>
          <w:rFonts w:hint="eastAsia"/>
        </w:rPr>
        <w:t xml:space="preserve">, in </w:t>
      </w:r>
      <w:r w:rsidR="00887761">
        <w:t xml:space="preserve">B. </w:t>
      </w:r>
      <w:r w:rsidRPr="0055646B">
        <w:rPr>
          <w:rFonts w:hint="eastAsia"/>
        </w:rPr>
        <w:t xml:space="preserve">Easton </w:t>
      </w:r>
      <w:r w:rsidR="00887761">
        <w:t>(</w:t>
      </w:r>
      <w:r w:rsidRPr="0055646B">
        <w:rPr>
          <w:rFonts w:hint="eastAsia"/>
        </w:rPr>
        <w:t>ed</w:t>
      </w:r>
      <w:r w:rsidR="00887761">
        <w:t>)</w:t>
      </w:r>
      <w:r w:rsidR="007415F2">
        <w:t>,</w:t>
      </w:r>
      <w:r w:rsidRPr="0055646B">
        <w:rPr>
          <w:rFonts w:hint="eastAsia"/>
        </w:rPr>
        <w:t xml:space="preserve"> </w:t>
      </w:r>
      <w:r w:rsidRPr="00887761">
        <w:rPr>
          <w:rFonts w:hint="eastAsia"/>
          <w:i/>
          <w:iCs/>
        </w:rPr>
        <w:t>T</w:t>
      </w:r>
      <w:r w:rsidRPr="00887761">
        <w:rPr>
          <w:i/>
          <w:iCs/>
        </w:rPr>
        <w:t>h</w:t>
      </w:r>
      <w:r w:rsidRPr="00887761">
        <w:rPr>
          <w:rFonts w:hint="eastAsia"/>
          <w:i/>
          <w:iCs/>
        </w:rPr>
        <w:t>e Making of Rogernomics</w:t>
      </w:r>
      <w:r w:rsidR="00887761">
        <w:t>. Auckland:</w:t>
      </w:r>
      <w:r w:rsidRPr="0055646B">
        <w:rPr>
          <w:rFonts w:hint="eastAsia"/>
        </w:rPr>
        <w:t xml:space="preserve"> Auckland UP</w:t>
      </w:r>
      <w:r w:rsidR="00887761">
        <w:t>.</w:t>
      </w:r>
    </w:p>
    <w:p w14:paraId="1F616459" w14:textId="77777777" w:rsidR="000452AB" w:rsidRPr="0055646B" w:rsidRDefault="000452AB" w:rsidP="0093196D">
      <w:pPr>
        <w:pStyle w:val="NoSpacing"/>
      </w:pPr>
    </w:p>
    <w:p w14:paraId="76535D81" w14:textId="77777777" w:rsidR="000452AB" w:rsidRPr="0055646B" w:rsidRDefault="000452AB" w:rsidP="00887761">
      <w:pPr>
        <w:pStyle w:val="NoSpacing"/>
      </w:pPr>
      <w:r w:rsidRPr="0055646B">
        <w:rPr>
          <w:rFonts w:hint="eastAsia"/>
        </w:rPr>
        <w:t>Elgie, R</w:t>
      </w:r>
      <w:r w:rsidR="00887761">
        <w:t>.</w:t>
      </w:r>
      <w:r w:rsidRPr="0055646B">
        <w:rPr>
          <w:rFonts w:hint="eastAsia"/>
        </w:rPr>
        <w:t xml:space="preserve"> (2011) </w:t>
      </w:r>
      <w:r w:rsidRPr="0055646B">
        <w:t>‘</w:t>
      </w:r>
      <w:r w:rsidRPr="0055646B">
        <w:rPr>
          <w:rFonts w:hint="eastAsia"/>
        </w:rPr>
        <w:t>Core executive studies two decades on</w:t>
      </w:r>
      <w:r w:rsidRPr="0055646B">
        <w:t>’</w:t>
      </w:r>
      <w:r w:rsidRPr="0055646B">
        <w:rPr>
          <w:rFonts w:hint="eastAsia"/>
        </w:rPr>
        <w:t xml:space="preserve">, </w:t>
      </w:r>
      <w:r w:rsidRPr="00887761">
        <w:rPr>
          <w:i/>
          <w:iCs/>
        </w:rPr>
        <w:t>Public Administration</w:t>
      </w:r>
      <w:r w:rsidR="00887761">
        <w:t>,</w:t>
      </w:r>
      <w:r w:rsidRPr="0055646B">
        <w:t xml:space="preserve"> 89</w:t>
      </w:r>
      <w:r w:rsidR="00887761">
        <w:t>, (1),</w:t>
      </w:r>
      <w:r w:rsidRPr="0055646B">
        <w:t xml:space="preserve"> </w:t>
      </w:r>
      <w:r w:rsidRPr="0055646B">
        <w:rPr>
          <w:rFonts w:hint="eastAsia"/>
        </w:rPr>
        <w:t>pp.</w:t>
      </w:r>
      <w:r w:rsidRPr="0055646B">
        <w:t>64</w:t>
      </w:r>
      <w:r w:rsidRPr="0055646B">
        <w:rPr>
          <w:rFonts w:hint="eastAsia"/>
        </w:rPr>
        <w:t>-</w:t>
      </w:r>
      <w:r w:rsidRPr="0055646B">
        <w:t>77</w:t>
      </w:r>
      <w:r w:rsidR="00887761">
        <w:t>.</w:t>
      </w:r>
    </w:p>
    <w:p w14:paraId="77372063" w14:textId="77777777" w:rsidR="000452AB" w:rsidRPr="0055646B" w:rsidRDefault="000452AB" w:rsidP="0093196D">
      <w:pPr>
        <w:pStyle w:val="NoSpacing"/>
      </w:pPr>
    </w:p>
    <w:p w14:paraId="18E25FFE" w14:textId="77777777" w:rsidR="000452AB" w:rsidRPr="0055646B" w:rsidRDefault="000452AB" w:rsidP="00887761">
      <w:pPr>
        <w:pStyle w:val="NoSpacing"/>
      </w:pPr>
      <w:r w:rsidRPr="0055646B">
        <w:t xml:space="preserve">Elster, J. (1989) </w:t>
      </w:r>
      <w:r w:rsidRPr="00887761">
        <w:rPr>
          <w:i/>
          <w:iCs/>
        </w:rPr>
        <w:t>Nuts and Bolts for the Social Sciences</w:t>
      </w:r>
      <w:r w:rsidR="00887761">
        <w:t>.</w:t>
      </w:r>
      <w:r w:rsidRPr="0055646B">
        <w:t xml:space="preserve"> </w:t>
      </w:r>
      <w:r w:rsidR="00887761">
        <w:t xml:space="preserve">Cambridge: </w:t>
      </w:r>
      <w:r w:rsidRPr="0055646B">
        <w:t>Cambridge UP</w:t>
      </w:r>
      <w:r w:rsidR="00887761">
        <w:t>.</w:t>
      </w:r>
    </w:p>
    <w:p w14:paraId="3F8947A6" w14:textId="77777777" w:rsidR="000452AB" w:rsidRPr="0055646B" w:rsidRDefault="000452AB" w:rsidP="0093196D">
      <w:pPr>
        <w:pStyle w:val="NoSpacing"/>
      </w:pPr>
    </w:p>
    <w:p w14:paraId="108E83E0" w14:textId="77777777" w:rsidR="000452AB" w:rsidRPr="0055646B" w:rsidRDefault="000452AB" w:rsidP="00887761">
      <w:pPr>
        <w:pStyle w:val="NoSpacing"/>
      </w:pPr>
      <w:r w:rsidRPr="0055646B">
        <w:t>Evans, L., Grimes, A., Wilkinson, B.</w:t>
      </w:r>
      <w:r w:rsidR="00503293">
        <w:t>,</w:t>
      </w:r>
      <w:r w:rsidRPr="0055646B">
        <w:t xml:space="preserve"> </w:t>
      </w:r>
      <w:r w:rsidR="00887761">
        <w:t>and</w:t>
      </w:r>
      <w:r w:rsidRPr="0055646B">
        <w:t xml:space="preserve"> Teece, D. (1996) ‘Economic reform in New Zealand 1984–95: the pursuit of efficiency’, </w:t>
      </w:r>
      <w:r w:rsidRPr="00887761">
        <w:rPr>
          <w:i/>
          <w:iCs/>
        </w:rPr>
        <w:t>Journal of Economic Literature</w:t>
      </w:r>
      <w:r w:rsidR="00887761">
        <w:t>,</w:t>
      </w:r>
      <w:r w:rsidRPr="0055646B">
        <w:t xml:space="preserve"> 34</w:t>
      </w:r>
      <w:r w:rsidR="00887761">
        <w:t xml:space="preserve">, </w:t>
      </w:r>
      <w:r w:rsidRPr="0055646B">
        <w:t xml:space="preserve"> pp.1856–1902</w:t>
      </w:r>
      <w:r w:rsidR="00887761">
        <w:t>.</w:t>
      </w:r>
    </w:p>
    <w:p w14:paraId="4665D050" w14:textId="77777777" w:rsidR="000452AB" w:rsidRPr="0055646B" w:rsidRDefault="000452AB" w:rsidP="0093196D">
      <w:pPr>
        <w:pStyle w:val="NoSpacing"/>
      </w:pPr>
    </w:p>
    <w:p w14:paraId="4AF55FC8" w14:textId="77777777" w:rsidR="000452AB" w:rsidRPr="0055646B" w:rsidRDefault="000452AB" w:rsidP="00887761">
      <w:pPr>
        <w:pStyle w:val="NoSpacing"/>
      </w:pPr>
      <w:r w:rsidRPr="0055646B">
        <w:t>Evans, P</w:t>
      </w:r>
      <w:r w:rsidR="00887761">
        <w:t>.</w:t>
      </w:r>
      <w:r w:rsidRPr="0055646B">
        <w:t xml:space="preserve"> B. (1995) </w:t>
      </w:r>
      <w:r w:rsidRPr="00887761">
        <w:rPr>
          <w:i/>
          <w:iCs/>
        </w:rPr>
        <w:t>Embedded Autonomy – States and Industrial Transformation</w:t>
      </w:r>
      <w:r w:rsidR="00887761">
        <w:t>.</w:t>
      </w:r>
      <w:r w:rsidRPr="0055646B">
        <w:t xml:space="preserve"> Princeton, New Jersey</w:t>
      </w:r>
      <w:r w:rsidR="00887761">
        <w:t>: Princeton UP.</w:t>
      </w:r>
    </w:p>
    <w:p w14:paraId="426869E0" w14:textId="77777777" w:rsidR="000452AB" w:rsidRPr="0055646B" w:rsidRDefault="000452AB" w:rsidP="0093196D">
      <w:pPr>
        <w:pStyle w:val="NoSpacing"/>
        <w:rPr>
          <w:lang w:eastAsia="ja-JP"/>
        </w:rPr>
      </w:pPr>
    </w:p>
    <w:p w14:paraId="3AB297A2" w14:textId="77777777" w:rsidR="000452AB" w:rsidRPr="0055646B" w:rsidRDefault="000452AB" w:rsidP="008E2A35">
      <w:pPr>
        <w:pStyle w:val="NoSpacing"/>
      </w:pPr>
      <w:r w:rsidRPr="0055646B">
        <w:t xml:space="preserve">Filstead, W. J. (1979) ‘Qualitative methods: a needed perspective in evaluation research’, in </w:t>
      </w:r>
      <w:r w:rsidR="008E2A35">
        <w:t xml:space="preserve">T. D. </w:t>
      </w:r>
      <w:r w:rsidRPr="0055646B">
        <w:t xml:space="preserve">Cook and </w:t>
      </w:r>
      <w:r w:rsidR="008E2A35">
        <w:t xml:space="preserve">C. S. </w:t>
      </w:r>
      <w:r w:rsidRPr="0055646B">
        <w:t>Reichardt</w:t>
      </w:r>
      <w:r w:rsidR="008E2A35">
        <w:t xml:space="preserve"> (eds)</w:t>
      </w:r>
      <w:r w:rsidR="007415F2">
        <w:t>,</w:t>
      </w:r>
      <w:r w:rsidRPr="0055646B">
        <w:t xml:space="preserve"> </w:t>
      </w:r>
      <w:r w:rsidRPr="008E2A35">
        <w:rPr>
          <w:i/>
          <w:iCs/>
        </w:rPr>
        <w:t>Qualitative and Quantitative Methods in Evaluation Research</w:t>
      </w:r>
      <w:r w:rsidR="008E2A35">
        <w:t>.</w:t>
      </w:r>
      <w:r w:rsidRPr="0055646B">
        <w:t xml:space="preserve"> Beverly Hills, California</w:t>
      </w:r>
      <w:r w:rsidR="008E2A35">
        <w:t>: Sage</w:t>
      </w:r>
      <w:r w:rsidRPr="0055646B">
        <w:t>, pp.33-48, 97, 98, 105, 106, 108</w:t>
      </w:r>
      <w:r w:rsidR="008E2A35">
        <w:t>.</w:t>
      </w:r>
    </w:p>
    <w:p w14:paraId="706FF2D9" w14:textId="77777777" w:rsidR="000452AB" w:rsidRPr="0055646B" w:rsidRDefault="000452AB" w:rsidP="0093196D">
      <w:pPr>
        <w:pStyle w:val="NoSpacing"/>
      </w:pPr>
    </w:p>
    <w:p w14:paraId="11C4563C" w14:textId="77777777" w:rsidR="000452AB" w:rsidRPr="0055646B" w:rsidRDefault="000452AB" w:rsidP="008E2A35">
      <w:pPr>
        <w:pStyle w:val="NoSpacing"/>
      </w:pPr>
      <w:r w:rsidRPr="0055646B">
        <w:rPr>
          <w:rFonts w:hint="eastAsia"/>
        </w:rPr>
        <w:t xml:space="preserve">Freyer, Tony A. (2006) </w:t>
      </w:r>
      <w:r w:rsidRPr="008E2A35">
        <w:rPr>
          <w:rFonts w:hint="eastAsia"/>
          <w:i/>
          <w:iCs/>
        </w:rPr>
        <w:t>Antitrust and Global Capitalism, 1930-2004</w:t>
      </w:r>
      <w:r w:rsidR="008E2A35">
        <w:t>.</w:t>
      </w:r>
      <w:r w:rsidRPr="0055646B">
        <w:rPr>
          <w:rFonts w:hint="eastAsia"/>
        </w:rPr>
        <w:t xml:space="preserve"> </w:t>
      </w:r>
      <w:r w:rsidR="008E2A35">
        <w:t xml:space="preserve">New York: </w:t>
      </w:r>
      <w:r w:rsidRPr="0055646B">
        <w:rPr>
          <w:rFonts w:hint="eastAsia"/>
        </w:rPr>
        <w:t>Cambridge UP</w:t>
      </w:r>
      <w:r w:rsidR="008E2A35">
        <w:t>.</w:t>
      </w:r>
    </w:p>
    <w:p w14:paraId="342D08C0" w14:textId="77777777" w:rsidR="000452AB" w:rsidRPr="0055646B" w:rsidRDefault="000452AB" w:rsidP="0093196D">
      <w:pPr>
        <w:pStyle w:val="NoSpacing"/>
      </w:pPr>
    </w:p>
    <w:p w14:paraId="3EB57622" w14:textId="77777777" w:rsidR="000452AB" w:rsidRPr="0055646B" w:rsidRDefault="000452AB" w:rsidP="00D87432">
      <w:pPr>
        <w:pStyle w:val="NoSpacing"/>
      </w:pPr>
      <w:r w:rsidRPr="0055646B">
        <w:t>Gao, B</w:t>
      </w:r>
      <w:r w:rsidR="00D87432">
        <w:t>.</w:t>
      </w:r>
      <w:r w:rsidRPr="0055646B">
        <w:t xml:space="preserve"> (1997) </w:t>
      </w:r>
      <w:r w:rsidRPr="00D87432">
        <w:rPr>
          <w:i/>
          <w:iCs/>
        </w:rPr>
        <w:t>Economic ideology and Japanese industrial policy – Developmetalism from 1931 to 1965</w:t>
      </w:r>
      <w:r w:rsidR="00D87432">
        <w:t>.</w:t>
      </w:r>
      <w:r w:rsidRPr="0055646B">
        <w:t xml:space="preserve"> </w:t>
      </w:r>
      <w:r w:rsidR="00D87432">
        <w:t xml:space="preserve">Cambridge: </w:t>
      </w:r>
      <w:r w:rsidRPr="0055646B">
        <w:t>Cambridge UP</w:t>
      </w:r>
      <w:r w:rsidR="00D87432">
        <w:t>.</w:t>
      </w:r>
    </w:p>
    <w:p w14:paraId="5281BBA9" w14:textId="77777777" w:rsidR="000452AB" w:rsidRDefault="000452AB" w:rsidP="0093196D">
      <w:pPr>
        <w:pStyle w:val="NoSpacing"/>
      </w:pPr>
    </w:p>
    <w:p w14:paraId="56091CE8" w14:textId="77777777" w:rsidR="00C51850" w:rsidRDefault="00C51850" w:rsidP="00C51850">
      <w:pPr>
        <w:pStyle w:val="NoSpacing"/>
      </w:pPr>
      <w:r>
        <w:t xml:space="preserve">George Mulgan, A. (2005) </w:t>
      </w:r>
      <w:r w:rsidRPr="009B51FB">
        <w:rPr>
          <w:i/>
          <w:iCs/>
        </w:rPr>
        <w:t>Japan’s Interventionist State: The role of the MAFF</w:t>
      </w:r>
      <w:r>
        <w:t>. Oxon, UK/New York/Canada: Routledge Curzon.</w:t>
      </w:r>
    </w:p>
    <w:p w14:paraId="36A6DA4E" w14:textId="77777777" w:rsidR="00C51850" w:rsidRDefault="00C51850" w:rsidP="00C51850">
      <w:pPr>
        <w:pStyle w:val="NoSpacing"/>
      </w:pPr>
    </w:p>
    <w:p w14:paraId="3A11BD00" w14:textId="77777777" w:rsidR="00C51850" w:rsidRDefault="00C51850" w:rsidP="00C51850">
      <w:pPr>
        <w:pStyle w:val="NoSpacing"/>
      </w:pPr>
      <w:r>
        <w:t xml:space="preserve">George Mulgan, A. (2006) </w:t>
      </w:r>
      <w:r w:rsidR="009B51FB" w:rsidRPr="009B51FB">
        <w:rPr>
          <w:i/>
          <w:iCs/>
        </w:rPr>
        <w:t>Japan’s Agricultural Policy Regime</w:t>
      </w:r>
      <w:r w:rsidR="009B51FB">
        <w:t>. Oxon, UK/New York/Canada: Routledge.</w:t>
      </w:r>
    </w:p>
    <w:p w14:paraId="558C7A99" w14:textId="77777777" w:rsidR="00C51850" w:rsidRPr="0055646B" w:rsidRDefault="00C51850" w:rsidP="0093196D">
      <w:pPr>
        <w:pStyle w:val="NoSpacing"/>
      </w:pPr>
    </w:p>
    <w:p w14:paraId="09481202" w14:textId="77777777" w:rsidR="000452AB" w:rsidRPr="0055646B" w:rsidRDefault="000452AB" w:rsidP="00D87432">
      <w:pPr>
        <w:pStyle w:val="NoSpacing"/>
      </w:pPr>
      <w:r w:rsidRPr="0055646B">
        <w:t>Gownder, J</w:t>
      </w:r>
      <w:r w:rsidR="00D87432">
        <w:t>.</w:t>
      </w:r>
      <w:r w:rsidRPr="0055646B">
        <w:t xml:space="preserve"> P. and Pekkanen, R</w:t>
      </w:r>
      <w:r w:rsidR="00D87432">
        <w:t>.</w:t>
      </w:r>
      <w:r w:rsidRPr="0055646B">
        <w:t xml:space="preserve"> (1996) ‘The End of Political Science? Rational Choice Analyses in Studies of Japanese Politics’, </w:t>
      </w:r>
      <w:r w:rsidRPr="00D87432">
        <w:rPr>
          <w:i/>
          <w:iCs/>
        </w:rPr>
        <w:t>Journal of Japanese Studies</w:t>
      </w:r>
      <w:r w:rsidR="00D87432">
        <w:t xml:space="preserve">, </w:t>
      </w:r>
      <w:r w:rsidRPr="0055646B">
        <w:t>22</w:t>
      </w:r>
      <w:r w:rsidR="00D87432">
        <w:t xml:space="preserve">, (2), </w:t>
      </w:r>
      <w:r w:rsidRPr="0055646B">
        <w:t>pp.363-84</w:t>
      </w:r>
      <w:r w:rsidR="00D87432">
        <w:t>.</w:t>
      </w:r>
    </w:p>
    <w:p w14:paraId="2CE782B6" w14:textId="77777777" w:rsidR="000452AB" w:rsidRPr="0055646B" w:rsidRDefault="000452AB" w:rsidP="0093196D">
      <w:pPr>
        <w:pStyle w:val="NoSpacing"/>
      </w:pPr>
    </w:p>
    <w:p w14:paraId="488E4B7F" w14:textId="77777777" w:rsidR="000452AB" w:rsidRPr="0055646B" w:rsidRDefault="000452AB" w:rsidP="00D87432">
      <w:pPr>
        <w:pStyle w:val="NoSpacing"/>
      </w:pPr>
      <w:r w:rsidRPr="007415F2">
        <w:t>Graham, J</w:t>
      </w:r>
      <w:r w:rsidR="00D87432" w:rsidRPr="007415F2">
        <w:t>.</w:t>
      </w:r>
      <w:r w:rsidRPr="007415F2">
        <w:t xml:space="preserve"> (1991) </w:t>
      </w:r>
      <w:r w:rsidRPr="007415F2">
        <w:rPr>
          <w:i/>
          <w:iCs/>
        </w:rPr>
        <w:t>Dictionary of Telecommunications</w:t>
      </w:r>
      <w:r w:rsidR="00D87432" w:rsidRPr="007415F2">
        <w:t xml:space="preserve">, </w:t>
      </w:r>
      <w:r w:rsidRPr="007415F2">
        <w:t>(Revised Version by Lowe, Sue J.)</w:t>
      </w:r>
      <w:r w:rsidR="00D87432" w:rsidRPr="007415F2">
        <w:t>.</w:t>
      </w:r>
      <w:r w:rsidRPr="007415F2">
        <w:t xml:space="preserve"> </w:t>
      </w:r>
      <w:r w:rsidR="00D87432" w:rsidRPr="007415F2">
        <w:t>London:</w:t>
      </w:r>
      <w:r w:rsidR="00D87432">
        <w:t xml:space="preserve"> </w:t>
      </w:r>
      <w:r w:rsidRPr="0055646B">
        <w:t>Penguin Books</w:t>
      </w:r>
      <w:r w:rsidR="00D87432">
        <w:t>.</w:t>
      </w:r>
    </w:p>
    <w:p w14:paraId="15F316A3" w14:textId="77777777" w:rsidR="000452AB" w:rsidRPr="0055646B" w:rsidRDefault="000452AB" w:rsidP="0093196D">
      <w:pPr>
        <w:pStyle w:val="NoSpacing"/>
      </w:pPr>
    </w:p>
    <w:p w14:paraId="29B83A57" w14:textId="77777777" w:rsidR="000452AB" w:rsidRPr="0055646B" w:rsidRDefault="000452AB" w:rsidP="002626EC">
      <w:pPr>
        <w:pStyle w:val="NoSpacing"/>
      </w:pPr>
      <w:r w:rsidRPr="0055646B">
        <w:t>Grix, J</w:t>
      </w:r>
      <w:r w:rsidR="002626EC">
        <w:t>.</w:t>
      </w:r>
      <w:r w:rsidRPr="0055646B">
        <w:t xml:space="preserve"> (2004) </w:t>
      </w:r>
      <w:r w:rsidRPr="002626EC">
        <w:rPr>
          <w:i/>
          <w:iCs/>
        </w:rPr>
        <w:t>The Foundations of Research</w:t>
      </w:r>
      <w:r w:rsidR="002626EC">
        <w:t>.</w:t>
      </w:r>
      <w:r w:rsidRPr="0055646B">
        <w:t xml:space="preserve"> Basingstoke, Hampshire</w:t>
      </w:r>
      <w:r w:rsidR="002626EC">
        <w:t>/</w:t>
      </w:r>
      <w:r w:rsidRPr="0055646B">
        <w:t>New York</w:t>
      </w:r>
      <w:r w:rsidR="002626EC">
        <w:t xml:space="preserve">: </w:t>
      </w:r>
      <w:r w:rsidR="002626EC" w:rsidRPr="0055646B">
        <w:t>Palgrave Macmillan</w:t>
      </w:r>
      <w:r w:rsidR="002626EC">
        <w:t>.</w:t>
      </w:r>
    </w:p>
    <w:p w14:paraId="1BA2EE41" w14:textId="77777777" w:rsidR="000452AB" w:rsidRPr="0055646B" w:rsidRDefault="000452AB" w:rsidP="0093196D">
      <w:pPr>
        <w:pStyle w:val="NoSpacing"/>
      </w:pPr>
    </w:p>
    <w:p w14:paraId="549AF480" w14:textId="77777777" w:rsidR="000452AB" w:rsidRPr="0055646B" w:rsidRDefault="000452AB" w:rsidP="002626EC">
      <w:pPr>
        <w:pStyle w:val="NoSpacing"/>
      </w:pPr>
      <w:r w:rsidRPr="0055646B">
        <w:t>Grix, J</w:t>
      </w:r>
      <w:r w:rsidR="002626EC">
        <w:t>.</w:t>
      </w:r>
      <w:r w:rsidRPr="0055646B">
        <w:t xml:space="preserve"> (2010) </w:t>
      </w:r>
      <w:r w:rsidRPr="002626EC">
        <w:rPr>
          <w:i/>
          <w:iCs/>
        </w:rPr>
        <w:t>The Foundations of Research</w:t>
      </w:r>
      <w:r w:rsidR="002626EC">
        <w:t>.</w:t>
      </w:r>
      <w:r w:rsidRPr="0055646B">
        <w:t xml:space="preserve"> </w:t>
      </w:r>
      <w:r w:rsidR="002626EC" w:rsidRPr="0055646B">
        <w:t>Basingstoke, Hampshire</w:t>
      </w:r>
      <w:r w:rsidR="002626EC">
        <w:t>/</w:t>
      </w:r>
      <w:r w:rsidR="002626EC" w:rsidRPr="0055646B">
        <w:t>New York</w:t>
      </w:r>
      <w:r w:rsidR="002626EC">
        <w:t xml:space="preserve">: </w:t>
      </w:r>
      <w:r w:rsidRPr="0055646B">
        <w:t>Palgrave Macmillan</w:t>
      </w:r>
      <w:r w:rsidR="002626EC">
        <w:t>.</w:t>
      </w:r>
    </w:p>
    <w:p w14:paraId="57A2B7E0" w14:textId="77777777" w:rsidR="000452AB" w:rsidRPr="0055646B" w:rsidRDefault="000452AB" w:rsidP="0093196D">
      <w:pPr>
        <w:pStyle w:val="NoSpacing"/>
      </w:pPr>
    </w:p>
    <w:p w14:paraId="1875035D" w14:textId="77777777" w:rsidR="000452AB" w:rsidRPr="0055646B" w:rsidRDefault="000452AB" w:rsidP="002626EC">
      <w:pPr>
        <w:pStyle w:val="NoSpacing"/>
      </w:pPr>
      <w:r w:rsidRPr="0055646B">
        <w:t>Hadley, E</w:t>
      </w:r>
      <w:r w:rsidR="002626EC">
        <w:t>.</w:t>
      </w:r>
      <w:r w:rsidRPr="0055646B">
        <w:t xml:space="preserve"> M. (1970) </w:t>
      </w:r>
      <w:r w:rsidRPr="002626EC">
        <w:rPr>
          <w:i/>
          <w:iCs/>
        </w:rPr>
        <w:t>Antitrust in Japan</w:t>
      </w:r>
      <w:r w:rsidR="002626EC">
        <w:t xml:space="preserve">. Princeton: </w:t>
      </w:r>
      <w:r w:rsidRPr="0055646B">
        <w:t>Princeton UP</w:t>
      </w:r>
      <w:r w:rsidR="002626EC">
        <w:t>.</w:t>
      </w:r>
    </w:p>
    <w:p w14:paraId="5C0ECB58" w14:textId="77777777" w:rsidR="000452AB" w:rsidRPr="0055646B" w:rsidRDefault="000452AB" w:rsidP="0093196D">
      <w:pPr>
        <w:pStyle w:val="NoSpacing"/>
      </w:pPr>
    </w:p>
    <w:p w14:paraId="3E9BD087" w14:textId="77777777" w:rsidR="000452AB" w:rsidRPr="008C30B9" w:rsidRDefault="000452AB" w:rsidP="00503293">
      <w:pPr>
        <w:pStyle w:val="NoSpacing"/>
        <w:rPr>
          <w:lang w:val="fr-FR"/>
        </w:rPr>
      </w:pPr>
      <w:r w:rsidRPr="0055646B">
        <w:t>Harada, Y</w:t>
      </w:r>
      <w:r w:rsidR="002626EC">
        <w:t>.</w:t>
      </w:r>
      <w:r w:rsidRPr="0055646B">
        <w:t xml:space="preserve"> (2</w:t>
      </w:r>
      <w:r w:rsidRPr="0055646B">
        <w:rPr>
          <w:rFonts w:hint="eastAsia"/>
        </w:rPr>
        <w:t>0</w:t>
      </w:r>
      <w:r w:rsidRPr="0055646B">
        <w:t>11) ‘</w:t>
      </w:r>
      <w:r w:rsidRPr="0055646B">
        <w:rPr>
          <w:i/>
          <w:iCs/>
        </w:rPr>
        <w:t>Denpa Kanri I’inkai no Igi Kyokun</w:t>
      </w:r>
      <w:r w:rsidRPr="0055646B">
        <w:t xml:space="preserve">’ </w:t>
      </w:r>
      <w:r w:rsidR="002626EC">
        <w:t>[</w:t>
      </w:r>
      <w:r w:rsidRPr="0055646B">
        <w:t xml:space="preserve">the </w:t>
      </w:r>
      <w:r w:rsidR="00503293">
        <w:t>Meaning</w:t>
      </w:r>
      <w:r w:rsidRPr="0055646B">
        <w:t xml:space="preserve"> and Lessons of the Radio Regulation Commission</w:t>
      </w:r>
      <w:r w:rsidR="002626EC">
        <w:t>]</w:t>
      </w:r>
      <w:r w:rsidRPr="0055646B">
        <w:t xml:space="preserve">, </w:t>
      </w:r>
      <w:r w:rsidRPr="002626EC">
        <w:rPr>
          <w:i/>
          <w:iCs/>
        </w:rPr>
        <w:t>Jouhou Tsushin Seisaku Review</w:t>
      </w:r>
      <w:r w:rsidRPr="0055646B">
        <w:t xml:space="preserve"> </w:t>
      </w:r>
      <w:r w:rsidR="002626EC">
        <w:t>[</w:t>
      </w:r>
      <w:r w:rsidRPr="0055646B">
        <w:t>ICT Policy Review</w:t>
      </w:r>
      <w:r w:rsidR="002626EC">
        <w:t>],</w:t>
      </w:r>
      <w:r w:rsidRPr="0055646B">
        <w:t xml:space="preserve"> </w:t>
      </w:r>
      <w:r w:rsidR="002626EC">
        <w:t>(2),</w:t>
      </w:r>
      <w:r w:rsidRPr="0055646B">
        <w:t xml:space="preserve"> 31 January 2011</w:t>
      </w:r>
      <w:r w:rsidR="002626EC">
        <w:t xml:space="preserve">. </w:t>
      </w:r>
      <w:r w:rsidR="002626EC" w:rsidRPr="008C30B9">
        <w:rPr>
          <w:lang w:val="fr-FR"/>
        </w:rPr>
        <w:t>Available from:</w:t>
      </w:r>
    </w:p>
    <w:p w14:paraId="7A9B918C" w14:textId="77777777" w:rsidR="000452AB" w:rsidRPr="002C1B20" w:rsidRDefault="00D11EA4" w:rsidP="0093196D">
      <w:pPr>
        <w:pStyle w:val="NoSpacing"/>
        <w:rPr>
          <w:lang w:val="fr-FR"/>
        </w:rPr>
      </w:pPr>
      <w:hyperlink r:id="rId19" w:history="1">
        <w:r w:rsidR="000452AB" w:rsidRPr="002C1B20">
          <w:rPr>
            <w:rStyle w:val="Hyperlink"/>
            <w:lang w:val="fr-FR"/>
          </w:rPr>
          <w:t>http://www.soumu.go.jp/iicp/chousakenkyu/data/research/icp_review/02/harada2011.pdf</w:t>
        </w:r>
      </w:hyperlink>
      <w:r w:rsidR="005C6EBB" w:rsidRPr="002C1B20">
        <w:rPr>
          <w:rStyle w:val="Hyperlink"/>
          <w:lang w:val="fr-FR"/>
        </w:rPr>
        <w:t xml:space="preserve"> </w:t>
      </w:r>
    </w:p>
    <w:p w14:paraId="3D2BA524" w14:textId="77777777" w:rsidR="000452AB" w:rsidRPr="0055646B" w:rsidRDefault="002626EC" w:rsidP="002626EC">
      <w:pPr>
        <w:pStyle w:val="NoSpacing"/>
      </w:pPr>
      <w:r>
        <w:t>[</w:t>
      </w:r>
      <w:r w:rsidR="000452AB" w:rsidRPr="0055646B">
        <w:t>Accessed 24 January 2011</w:t>
      </w:r>
      <w:r>
        <w:t>].</w:t>
      </w:r>
    </w:p>
    <w:p w14:paraId="4E6B2487" w14:textId="77777777" w:rsidR="000452AB" w:rsidRPr="0055646B" w:rsidRDefault="000452AB" w:rsidP="0093196D">
      <w:pPr>
        <w:pStyle w:val="NoSpacing"/>
      </w:pPr>
    </w:p>
    <w:p w14:paraId="7F652FB2" w14:textId="77777777" w:rsidR="000452AB" w:rsidRPr="0055646B" w:rsidRDefault="000452AB" w:rsidP="007415F2">
      <w:pPr>
        <w:pStyle w:val="NoSpacing"/>
      </w:pPr>
      <w:r w:rsidRPr="007415F2">
        <w:t>Hay, C</w:t>
      </w:r>
      <w:r w:rsidR="005C6EBB" w:rsidRPr="007415F2">
        <w:t>.</w:t>
      </w:r>
      <w:r w:rsidRPr="007415F2">
        <w:t xml:space="preserve"> (2002) </w:t>
      </w:r>
      <w:r w:rsidRPr="007415F2">
        <w:rPr>
          <w:i/>
          <w:iCs/>
        </w:rPr>
        <w:t>Political Analysis: A Critical Introduction</w:t>
      </w:r>
      <w:r w:rsidR="008775A7">
        <w:rPr>
          <w:rFonts w:hint="eastAsia"/>
          <w:lang w:eastAsia="ja-JP"/>
        </w:rPr>
        <w:t>, Political Analysis.</w:t>
      </w:r>
      <w:r w:rsidRPr="007415F2">
        <w:t xml:space="preserve"> </w:t>
      </w:r>
      <w:r w:rsidR="007415F2" w:rsidRPr="007415F2">
        <w:t xml:space="preserve">Basingstoke, </w:t>
      </w:r>
      <w:r w:rsidRPr="007415F2">
        <w:t>Hampshire</w:t>
      </w:r>
      <w:r w:rsidR="007415F2" w:rsidRPr="007415F2">
        <w:t>/New York</w:t>
      </w:r>
      <w:r w:rsidR="005C6EBB" w:rsidRPr="007415F2">
        <w:t>: Palgrave.</w:t>
      </w:r>
    </w:p>
    <w:p w14:paraId="67E3CC01" w14:textId="77777777" w:rsidR="000452AB" w:rsidRPr="0055646B" w:rsidRDefault="000452AB" w:rsidP="0093196D">
      <w:pPr>
        <w:pStyle w:val="NoSpacing"/>
      </w:pPr>
    </w:p>
    <w:p w14:paraId="29162472" w14:textId="77777777" w:rsidR="000452AB" w:rsidRDefault="000452AB" w:rsidP="005C6EBB">
      <w:pPr>
        <w:pStyle w:val="NoSpacing"/>
      </w:pPr>
      <w:r w:rsidRPr="0055646B">
        <w:t>Hay, C</w:t>
      </w:r>
      <w:r w:rsidR="005C6EBB">
        <w:t>.</w:t>
      </w:r>
      <w:r w:rsidRPr="0055646B">
        <w:t xml:space="preserve"> and Lister, M</w:t>
      </w:r>
      <w:r w:rsidR="005C6EBB">
        <w:t xml:space="preserve">. </w:t>
      </w:r>
      <w:r w:rsidRPr="0055646B">
        <w:t>(2006) ‘Introduction: Theories and the State’, in C</w:t>
      </w:r>
      <w:r w:rsidR="005C6EBB">
        <w:t>.</w:t>
      </w:r>
      <w:r w:rsidRPr="0055646B">
        <w:t xml:space="preserve"> Hay, M</w:t>
      </w:r>
      <w:r w:rsidR="005C6EBB">
        <w:t>.</w:t>
      </w:r>
      <w:r w:rsidRPr="0055646B">
        <w:t xml:space="preserve"> Lister</w:t>
      </w:r>
      <w:r w:rsidR="00503293">
        <w:t>,</w:t>
      </w:r>
      <w:r w:rsidRPr="0055646B">
        <w:t xml:space="preserve"> and D</w:t>
      </w:r>
      <w:r w:rsidR="005C6EBB">
        <w:t>.</w:t>
      </w:r>
      <w:r w:rsidRPr="0055646B">
        <w:t xml:space="preserve"> Marsh </w:t>
      </w:r>
      <w:r w:rsidR="005C6EBB">
        <w:t>(</w:t>
      </w:r>
      <w:r w:rsidRPr="0055646B">
        <w:t>ed</w:t>
      </w:r>
      <w:r w:rsidR="005C6EBB">
        <w:t>s)</w:t>
      </w:r>
      <w:r w:rsidR="007415F2">
        <w:t>,</w:t>
      </w:r>
      <w:r w:rsidRPr="0055646B">
        <w:t xml:space="preserve"> </w:t>
      </w:r>
      <w:r w:rsidRPr="005C6EBB">
        <w:rPr>
          <w:i/>
          <w:iCs/>
        </w:rPr>
        <w:t>The State – Theories and Issues</w:t>
      </w:r>
      <w:r w:rsidR="001E469A">
        <w:rPr>
          <w:rFonts w:hint="eastAsia"/>
          <w:lang w:eastAsia="ja-JP"/>
        </w:rPr>
        <w:t xml:space="preserve">, </w:t>
      </w:r>
      <w:r w:rsidRPr="0055646B">
        <w:t>Political Analysis</w:t>
      </w:r>
      <w:r w:rsidR="005C6EBB">
        <w:t xml:space="preserve">. </w:t>
      </w:r>
      <w:r w:rsidRPr="0055646B">
        <w:t>Basingstoke, Hampshire</w:t>
      </w:r>
      <w:r w:rsidR="005C6EBB">
        <w:t>/</w:t>
      </w:r>
      <w:r w:rsidRPr="0055646B">
        <w:t>New York</w:t>
      </w:r>
      <w:r w:rsidR="005C6EBB">
        <w:t xml:space="preserve">: </w:t>
      </w:r>
      <w:r w:rsidR="005C6EBB" w:rsidRPr="0055646B">
        <w:t>Palgrave Macmillan,</w:t>
      </w:r>
      <w:r w:rsidRPr="0055646B">
        <w:t xml:space="preserve"> pp.1-20</w:t>
      </w:r>
      <w:r w:rsidR="005C6EBB">
        <w:t>.</w:t>
      </w:r>
    </w:p>
    <w:p w14:paraId="5180FA56" w14:textId="77777777" w:rsidR="00647864" w:rsidRDefault="00647864" w:rsidP="005C6EBB">
      <w:pPr>
        <w:pStyle w:val="NoSpacing"/>
      </w:pPr>
    </w:p>
    <w:p w14:paraId="5C1095AC" w14:textId="77777777" w:rsidR="00647864" w:rsidRPr="0055646B" w:rsidRDefault="00647864" w:rsidP="00503293">
      <w:pPr>
        <w:pStyle w:val="NoSpacing"/>
      </w:pPr>
      <w:r>
        <w:t>Hayashi, Shu</w:t>
      </w:r>
      <w:r w:rsidR="00503293">
        <w:t>’</w:t>
      </w:r>
      <w:r>
        <w:t>uya (2008) ‘</w:t>
      </w:r>
      <w:r w:rsidRPr="00503293">
        <w:rPr>
          <w:i/>
          <w:iCs/>
        </w:rPr>
        <w:t>Showa 52 nen Dokusen Kinshi</w:t>
      </w:r>
      <w:r w:rsidR="00503293">
        <w:rPr>
          <w:i/>
          <w:iCs/>
        </w:rPr>
        <w:t xml:space="preserve"> H</w:t>
      </w:r>
      <w:r w:rsidRPr="00503293">
        <w:rPr>
          <w:i/>
          <w:iCs/>
        </w:rPr>
        <w:t>ou Kaisei no Jit</w:t>
      </w:r>
      <w:r w:rsidR="00503293">
        <w:rPr>
          <w:i/>
          <w:iCs/>
        </w:rPr>
        <w:t>s</w:t>
      </w:r>
      <w:r w:rsidRPr="00503293">
        <w:rPr>
          <w:i/>
          <w:iCs/>
        </w:rPr>
        <w:t>uzou</w:t>
      </w:r>
      <w:r>
        <w:t xml:space="preserve">’ [The reality of the 1977 Antimonopoly Act </w:t>
      </w:r>
      <w:r w:rsidR="00BE3EC0">
        <w:t>a</w:t>
      </w:r>
      <w:r>
        <w:t>mendment</w:t>
      </w:r>
      <w:r w:rsidR="00BE3EC0">
        <w:t xml:space="preserve">], </w:t>
      </w:r>
      <w:r w:rsidR="00BE3EC0" w:rsidRPr="00BE3EC0">
        <w:rPr>
          <w:i/>
          <w:iCs/>
        </w:rPr>
        <w:t>Housei Ronshu</w:t>
      </w:r>
      <w:r w:rsidR="00BE3EC0">
        <w:t>, 226, pp.311-65.</w:t>
      </w:r>
    </w:p>
    <w:p w14:paraId="034ADEED" w14:textId="77777777" w:rsidR="000452AB" w:rsidRPr="0055646B" w:rsidRDefault="000452AB" w:rsidP="0093196D">
      <w:pPr>
        <w:pStyle w:val="NoSpacing"/>
      </w:pPr>
    </w:p>
    <w:p w14:paraId="6A56CBBD" w14:textId="77777777" w:rsidR="000452AB" w:rsidRPr="0055646B" w:rsidRDefault="000452AB" w:rsidP="0012098D">
      <w:pPr>
        <w:pStyle w:val="NoSpacing"/>
      </w:pPr>
      <w:r w:rsidRPr="0055646B">
        <w:t>Hirst, P</w:t>
      </w:r>
      <w:r w:rsidR="0012098D">
        <w:t>.</w:t>
      </w:r>
      <w:r w:rsidRPr="0055646B">
        <w:t xml:space="preserve"> (2000) ‘Democracy and Governance’</w:t>
      </w:r>
      <w:r w:rsidR="00503293">
        <w:t>,</w:t>
      </w:r>
      <w:r w:rsidRPr="0055646B">
        <w:t xml:space="preserve"> in </w:t>
      </w:r>
      <w:r w:rsidR="0012098D">
        <w:t xml:space="preserve">J. </w:t>
      </w:r>
      <w:r w:rsidRPr="0055646B">
        <w:t xml:space="preserve">Pierre </w:t>
      </w:r>
      <w:r w:rsidR="0012098D">
        <w:t>(</w:t>
      </w:r>
      <w:r w:rsidRPr="0055646B">
        <w:t>ed</w:t>
      </w:r>
      <w:r w:rsidR="0012098D">
        <w:t>)</w:t>
      </w:r>
      <w:r w:rsidR="007415F2">
        <w:t>,</w:t>
      </w:r>
      <w:r w:rsidRPr="0055646B">
        <w:t xml:space="preserve"> </w:t>
      </w:r>
      <w:r w:rsidRPr="0012098D">
        <w:rPr>
          <w:i/>
          <w:iCs/>
        </w:rPr>
        <w:t>Debating Governance – Authority, Steering, and Democracy</w:t>
      </w:r>
      <w:r w:rsidR="0012098D">
        <w:t>.</w:t>
      </w:r>
      <w:r w:rsidRPr="0055646B">
        <w:t xml:space="preserve"> </w:t>
      </w:r>
      <w:r w:rsidR="0012098D">
        <w:t xml:space="preserve">Oxford: </w:t>
      </w:r>
      <w:r w:rsidRPr="0055646B">
        <w:t>Oxford UP, pp.13-35</w:t>
      </w:r>
      <w:r w:rsidR="0012098D">
        <w:t>.</w:t>
      </w:r>
    </w:p>
    <w:p w14:paraId="1ED300DC" w14:textId="77777777" w:rsidR="000452AB" w:rsidRPr="0055646B" w:rsidRDefault="000452AB" w:rsidP="0093196D">
      <w:pPr>
        <w:pStyle w:val="NoSpacing"/>
      </w:pPr>
    </w:p>
    <w:p w14:paraId="1FD4B152" w14:textId="77777777" w:rsidR="000452AB" w:rsidRPr="0055646B" w:rsidRDefault="000452AB" w:rsidP="004E26EC">
      <w:pPr>
        <w:pStyle w:val="NoSpacing"/>
      </w:pPr>
      <w:r w:rsidRPr="0055646B">
        <w:t>Hiwatari, N</w:t>
      </w:r>
      <w:r w:rsidR="004E26EC">
        <w:t>.</w:t>
      </w:r>
      <w:r w:rsidRPr="0055646B">
        <w:t xml:space="preserve"> (1998) ‘Adjustment to Stagflation and Neoliberal Reforms in Japan, the United Kingdom, and the United States: The Implications of the Japanese Case for a Comparative Analysis of Party Competition’, </w:t>
      </w:r>
      <w:r w:rsidRPr="004E26EC">
        <w:rPr>
          <w:i/>
          <w:iCs/>
        </w:rPr>
        <w:t>Comparative Political Studies</w:t>
      </w:r>
      <w:r w:rsidR="004E26EC">
        <w:t xml:space="preserve">, </w:t>
      </w:r>
      <w:r w:rsidRPr="0055646B">
        <w:t>31</w:t>
      </w:r>
      <w:r w:rsidR="004E26EC">
        <w:t>,</w:t>
      </w:r>
      <w:r w:rsidRPr="0055646B">
        <w:t xml:space="preserve"> (5)</w:t>
      </w:r>
      <w:r w:rsidR="004E26EC">
        <w:t>,</w:t>
      </w:r>
      <w:r w:rsidRPr="0055646B">
        <w:t xml:space="preserve"> pp.602-32</w:t>
      </w:r>
      <w:r w:rsidR="004E26EC">
        <w:t>.</w:t>
      </w:r>
    </w:p>
    <w:p w14:paraId="3DA34F83" w14:textId="77777777" w:rsidR="000452AB" w:rsidRPr="0055646B" w:rsidRDefault="000452AB" w:rsidP="0093196D">
      <w:pPr>
        <w:pStyle w:val="NoSpacing"/>
      </w:pPr>
    </w:p>
    <w:p w14:paraId="3D2E1B53" w14:textId="77777777" w:rsidR="00C63A59" w:rsidRDefault="00C63A59" w:rsidP="004E26EC">
      <w:pPr>
        <w:pStyle w:val="NoSpacing"/>
        <w:rPr>
          <w:lang w:eastAsia="ja-JP"/>
        </w:rPr>
      </w:pPr>
      <w:r>
        <w:rPr>
          <w:rFonts w:hint="eastAsia"/>
          <w:lang w:eastAsia="ja-JP"/>
        </w:rPr>
        <w:t xml:space="preserve">House of Lords (2007) </w:t>
      </w:r>
      <w:r w:rsidRPr="004E26EC">
        <w:rPr>
          <w:rFonts w:hint="eastAsia"/>
          <w:i/>
          <w:iCs/>
          <w:lang w:eastAsia="ja-JP"/>
        </w:rPr>
        <w:t>UK Economic Regulators</w:t>
      </w:r>
      <w:r w:rsidR="004E26EC">
        <w:rPr>
          <w:lang w:eastAsia="ja-JP"/>
        </w:rPr>
        <w:t xml:space="preserve"> [online].</w:t>
      </w:r>
      <w:r>
        <w:rPr>
          <w:rFonts w:hint="eastAsia"/>
          <w:lang w:eastAsia="ja-JP"/>
        </w:rPr>
        <w:t xml:space="preserve"> </w:t>
      </w:r>
      <w:r>
        <w:rPr>
          <w:lang w:eastAsia="ja-JP"/>
        </w:rPr>
        <w:t>H</w:t>
      </w:r>
      <w:r>
        <w:rPr>
          <w:rFonts w:hint="eastAsia"/>
          <w:lang w:eastAsia="ja-JP"/>
        </w:rPr>
        <w:t xml:space="preserve">ouse of Lords </w:t>
      </w:r>
      <w:r>
        <w:rPr>
          <w:lang w:eastAsia="ja-JP"/>
        </w:rPr>
        <w:t>Select Committee on Regulators</w:t>
      </w:r>
      <w:r>
        <w:rPr>
          <w:rFonts w:hint="eastAsia"/>
          <w:lang w:eastAsia="ja-JP"/>
        </w:rPr>
        <w:t>,</w:t>
      </w:r>
      <w:r w:rsidR="004E26EC">
        <w:rPr>
          <w:lang w:eastAsia="ja-JP"/>
        </w:rPr>
        <w:t xml:space="preserve"> </w:t>
      </w:r>
      <w:r>
        <w:rPr>
          <w:lang w:eastAsia="ja-JP"/>
        </w:rPr>
        <w:t>1st Report of Session 2006–07</w:t>
      </w:r>
      <w:r>
        <w:rPr>
          <w:rFonts w:hint="eastAsia"/>
          <w:lang w:eastAsia="ja-JP"/>
        </w:rPr>
        <w:t xml:space="preserve">, </w:t>
      </w:r>
      <w:r>
        <w:rPr>
          <w:lang w:eastAsia="ja-JP"/>
        </w:rPr>
        <w:t>Vol</w:t>
      </w:r>
      <w:r w:rsidR="004E26EC">
        <w:rPr>
          <w:lang w:eastAsia="ja-JP"/>
        </w:rPr>
        <w:t>.</w:t>
      </w:r>
      <w:r>
        <w:rPr>
          <w:lang w:eastAsia="ja-JP"/>
        </w:rPr>
        <w:t xml:space="preserve"> I</w:t>
      </w:r>
      <w:r w:rsidR="004E26EC">
        <w:rPr>
          <w:lang w:eastAsia="ja-JP"/>
        </w:rPr>
        <w:t>. London:</w:t>
      </w:r>
      <w:r>
        <w:rPr>
          <w:rFonts w:hint="eastAsia"/>
          <w:lang w:eastAsia="ja-JP"/>
        </w:rPr>
        <w:t xml:space="preserve"> </w:t>
      </w:r>
      <w:r>
        <w:rPr>
          <w:lang w:eastAsia="ja-JP"/>
        </w:rPr>
        <w:t>the Stationery Office Limited</w:t>
      </w:r>
      <w:r w:rsidR="004E26EC">
        <w:rPr>
          <w:lang w:eastAsia="ja-JP"/>
        </w:rPr>
        <w:t xml:space="preserve">. Available from: </w:t>
      </w:r>
      <w:hyperlink r:id="rId20" w:history="1">
        <w:r w:rsidRPr="0089587C">
          <w:rPr>
            <w:rStyle w:val="Hyperlink"/>
            <w:lang w:eastAsia="ja-JP"/>
          </w:rPr>
          <w:t>http://www.publications.parliament.uk/pa/ld200607/ldselect/ldrgltrs/189/189i.pdf</w:t>
        </w:r>
      </w:hyperlink>
    </w:p>
    <w:p w14:paraId="2CDB049D" w14:textId="77777777" w:rsidR="00C63A59" w:rsidRDefault="004E26EC" w:rsidP="004E26EC">
      <w:pPr>
        <w:pStyle w:val="NoSpacing"/>
        <w:rPr>
          <w:lang w:eastAsia="ja-JP"/>
        </w:rPr>
      </w:pPr>
      <w:r>
        <w:rPr>
          <w:lang w:eastAsia="ja-JP"/>
        </w:rPr>
        <w:t>[A</w:t>
      </w:r>
      <w:r w:rsidR="00C63A59">
        <w:rPr>
          <w:rFonts w:hint="eastAsia"/>
          <w:lang w:eastAsia="ja-JP"/>
        </w:rPr>
        <w:t>ccessed 18 January 2013</w:t>
      </w:r>
      <w:r>
        <w:rPr>
          <w:lang w:eastAsia="ja-JP"/>
        </w:rPr>
        <w:t>].</w:t>
      </w:r>
    </w:p>
    <w:p w14:paraId="694CBD1F" w14:textId="77777777" w:rsidR="00C63A59" w:rsidRPr="0055646B" w:rsidRDefault="00C63A59" w:rsidP="0093196D">
      <w:pPr>
        <w:pStyle w:val="NoSpacing"/>
        <w:rPr>
          <w:lang w:eastAsia="ja-JP"/>
        </w:rPr>
      </w:pPr>
    </w:p>
    <w:p w14:paraId="4000300B" w14:textId="77777777" w:rsidR="00D708B1" w:rsidRPr="0055646B" w:rsidRDefault="000452AB" w:rsidP="00503293">
      <w:pPr>
        <w:pStyle w:val="NoSpacing"/>
      </w:pPr>
      <w:r w:rsidRPr="0055646B">
        <w:t>Howell, B</w:t>
      </w:r>
      <w:r w:rsidR="00B76643">
        <w:t>.</w:t>
      </w:r>
      <w:r w:rsidRPr="0055646B">
        <w:t xml:space="preserve"> (2008) ‘From Competition to Regulation: New Zealand telecommunications sector performance 1987-2007’ </w:t>
      </w:r>
      <w:r w:rsidR="00EC3F8B">
        <w:t>[</w:t>
      </w:r>
      <w:r w:rsidR="00C32350">
        <w:t xml:space="preserve">Working paper: </w:t>
      </w:r>
      <w:r w:rsidRPr="0055646B">
        <w:t xml:space="preserve">presented at </w:t>
      </w:r>
      <w:r w:rsidRPr="00B76643">
        <w:rPr>
          <w:i/>
          <w:iCs/>
        </w:rPr>
        <w:t>the International Telecommunications Society European Region Conference</w:t>
      </w:r>
      <w:r w:rsidRPr="0055646B">
        <w:t>, LUISS Guido Carli University, Rome, Italy, September 17-20</w:t>
      </w:r>
      <w:r w:rsidR="00EC3F8B">
        <w:t xml:space="preserve"> 2008]</w:t>
      </w:r>
      <w:r w:rsidR="00BF4A22">
        <w:t xml:space="preserve"> [online]</w:t>
      </w:r>
      <w:r w:rsidR="00EC3F8B">
        <w:t>.</w:t>
      </w:r>
      <w:r w:rsidR="00C32350">
        <w:t xml:space="preserve"> </w:t>
      </w:r>
      <w:r w:rsidR="00654885">
        <w:t xml:space="preserve">New Zealand Institute for the Study of Competition and Regulation. </w:t>
      </w:r>
      <w:r w:rsidR="00BF4A22">
        <w:t xml:space="preserve">Available from: </w:t>
      </w:r>
      <w:hyperlink r:id="rId21" w:history="1">
        <w:r w:rsidR="00D708B1" w:rsidRPr="000E1063">
          <w:rPr>
            <w:rStyle w:val="Hyperlink"/>
          </w:rPr>
          <w:t>http://www.iscr.org.nz/n49.html</w:t>
        </w:r>
      </w:hyperlink>
      <w:r w:rsidR="00D708B1">
        <w:t xml:space="preserve"> [Accessed 15 March 2010]</w:t>
      </w:r>
      <w:r w:rsidR="00503293">
        <w:t>.</w:t>
      </w:r>
    </w:p>
    <w:p w14:paraId="623FF168" w14:textId="77777777" w:rsidR="000452AB" w:rsidRPr="0055646B" w:rsidRDefault="000452AB" w:rsidP="0093196D">
      <w:pPr>
        <w:pStyle w:val="NoSpacing"/>
      </w:pPr>
    </w:p>
    <w:p w14:paraId="4A1D13B3" w14:textId="77777777" w:rsidR="000452AB" w:rsidRPr="0055646B" w:rsidRDefault="000452AB" w:rsidP="003772DA">
      <w:pPr>
        <w:pStyle w:val="NoSpacing"/>
      </w:pPr>
      <w:r w:rsidRPr="0055646B">
        <w:t>Howell, B</w:t>
      </w:r>
      <w:r w:rsidR="00B76643">
        <w:t>.</w:t>
      </w:r>
      <w:r w:rsidRPr="0055646B">
        <w:t xml:space="preserve"> (20</w:t>
      </w:r>
      <w:r w:rsidR="003772DA">
        <w:t>10</w:t>
      </w:r>
      <w:r w:rsidRPr="0055646B">
        <w:t xml:space="preserve">) ‘Politics and the Pursuit of Telecommunications Sector Efficiency in New Zealand’, </w:t>
      </w:r>
      <w:r w:rsidRPr="00B76643">
        <w:rPr>
          <w:i/>
          <w:iCs/>
        </w:rPr>
        <w:t>Journal of Competition Law &amp; Economics</w:t>
      </w:r>
      <w:r w:rsidRPr="0055646B">
        <w:t xml:space="preserve">, </w:t>
      </w:r>
      <w:r w:rsidR="003772DA">
        <w:t>6, (2), pp.253-76.</w:t>
      </w:r>
    </w:p>
    <w:p w14:paraId="5889899A" w14:textId="77777777" w:rsidR="000452AB" w:rsidRPr="0055646B" w:rsidRDefault="000452AB" w:rsidP="0093196D">
      <w:pPr>
        <w:pStyle w:val="NoSpacing"/>
      </w:pPr>
    </w:p>
    <w:p w14:paraId="2F70AF0A" w14:textId="77777777" w:rsidR="000452AB" w:rsidRDefault="000452AB" w:rsidP="00654885">
      <w:pPr>
        <w:pStyle w:val="NoSpacing"/>
      </w:pPr>
      <w:r w:rsidRPr="0055646B">
        <w:t xml:space="preserve">ICT Policy Taskforce in the Globalised Era (2010) </w:t>
      </w:r>
      <w:r w:rsidR="00B76643">
        <w:t>[</w:t>
      </w:r>
      <w:r w:rsidRPr="0055646B">
        <w:t xml:space="preserve">Global </w:t>
      </w:r>
      <w:r w:rsidRPr="0055646B">
        <w:rPr>
          <w:i/>
          <w:iCs/>
        </w:rPr>
        <w:t>Jidai niokeru</w:t>
      </w:r>
      <w:r w:rsidRPr="0055646B">
        <w:t xml:space="preserve"> ICT </w:t>
      </w:r>
      <w:r w:rsidRPr="0055646B">
        <w:rPr>
          <w:i/>
          <w:iCs/>
        </w:rPr>
        <w:t>Seisaku ni kansuru</w:t>
      </w:r>
      <w:r w:rsidRPr="0055646B">
        <w:t xml:space="preserve"> Taskforce</w:t>
      </w:r>
      <w:r w:rsidR="00B76643">
        <w:t>]</w:t>
      </w:r>
      <w:r w:rsidRPr="0055646B">
        <w:t xml:space="preserve"> </w:t>
      </w:r>
      <w:r w:rsidRPr="00B76643">
        <w:rPr>
          <w:i/>
          <w:iCs/>
        </w:rPr>
        <w:t>Hikari no Michi Kousou Jitsugen ni Mukete – Torimatome (Gaiyou</w:t>
      </w:r>
      <w:r w:rsidR="00B76643">
        <w:rPr>
          <w:i/>
          <w:iCs/>
        </w:rPr>
        <w:t>)</w:t>
      </w:r>
      <w:r w:rsidRPr="0055646B">
        <w:t xml:space="preserve"> </w:t>
      </w:r>
      <w:r w:rsidR="00B76643">
        <w:t>[</w:t>
      </w:r>
      <w:r w:rsidRPr="0055646B">
        <w:t>To Realise the Optic Way Plan – Summary (Abstract))</w:t>
      </w:r>
      <w:r w:rsidR="00B76643">
        <w:t xml:space="preserve"> [online]. MIC. Available from: </w:t>
      </w:r>
      <w:hyperlink r:id="rId22" w:history="1">
        <w:r w:rsidRPr="0055646B">
          <w:rPr>
            <w:rStyle w:val="Hyperlink"/>
          </w:rPr>
          <w:t>http://www.soumu.go.jp/main_content/000094715.pdf</w:t>
        </w:r>
      </w:hyperlink>
      <w:r w:rsidR="00B76643">
        <w:t xml:space="preserve"> [Accessed 6 January 2011].</w:t>
      </w:r>
    </w:p>
    <w:p w14:paraId="10F7E129" w14:textId="77777777" w:rsidR="00B76643" w:rsidRPr="0055646B" w:rsidRDefault="00B76643" w:rsidP="0093196D">
      <w:pPr>
        <w:pStyle w:val="NoSpacing"/>
      </w:pPr>
    </w:p>
    <w:p w14:paraId="1085A329" w14:textId="77777777" w:rsidR="000452AB" w:rsidRPr="0055646B" w:rsidRDefault="000452AB" w:rsidP="00B76643">
      <w:pPr>
        <w:pStyle w:val="NoSpacing"/>
      </w:pPr>
      <w:r w:rsidRPr="0055646B">
        <w:t>I’io J</w:t>
      </w:r>
      <w:r w:rsidR="00B76643">
        <w:t>.</w:t>
      </w:r>
      <w:r w:rsidRPr="0055646B">
        <w:t xml:space="preserve"> (1993) </w:t>
      </w:r>
      <w:r w:rsidRPr="0055646B">
        <w:rPr>
          <w:i/>
          <w:iCs/>
        </w:rPr>
        <w:t>Min’eika no Seijikatei</w:t>
      </w:r>
      <w:r w:rsidR="00B76643">
        <w:t xml:space="preserve"> [</w:t>
      </w:r>
      <w:r w:rsidRPr="0055646B">
        <w:t>The Political Process of Privatisation</w:t>
      </w:r>
      <w:r w:rsidR="00B76643">
        <w:t>]. Tokyo:</w:t>
      </w:r>
      <w:r w:rsidRPr="0055646B">
        <w:t xml:space="preserve"> University of Tokyo Press</w:t>
      </w:r>
      <w:r w:rsidR="00B76643">
        <w:t>.</w:t>
      </w:r>
    </w:p>
    <w:p w14:paraId="71D11763" w14:textId="77777777" w:rsidR="000452AB" w:rsidRPr="0055646B" w:rsidRDefault="000452AB" w:rsidP="0093196D">
      <w:pPr>
        <w:pStyle w:val="NoSpacing"/>
      </w:pPr>
    </w:p>
    <w:p w14:paraId="7D7B1358" w14:textId="77777777" w:rsidR="000452AB" w:rsidRPr="0055646B" w:rsidRDefault="000452AB" w:rsidP="00BF4A22">
      <w:pPr>
        <w:pStyle w:val="NoSpacing"/>
      </w:pPr>
      <w:r w:rsidRPr="0055646B">
        <w:t>I’io</w:t>
      </w:r>
      <w:r w:rsidR="00BF4A22">
        <w:t>,</w:t>
      </w:r>
      <w:r w:rsidRPr="0055646B">
        <w:t xml:space="preserve"> J</w:t>
      </w:r>
      <w:r w:rsidR="00BF4A22">
        <w:t xml:space="preserve">. (2007) </w:t>
      </w:r>
      <w:r w:rsidRPr="0055646B">
        <w:rPr>
          <w:i/>
          <w:iCs/>
        </w:rPr>
        <w:t>Nihon no Tochi Kozo</w:t>
      </w:r>
      <w:r w:rsidRPr="0055646B">
        <w:t xml:space="preserve"> </w:t>
      </w:r>
      <w:r w:rsidR="00BF4A22">
        <w:t>[</w:t>
      </w:r>
      <w:r w:rsidRPr="0055646B">
        <w:t>Japan’s Governance Structure</w:t>
      </w:r>
      <w:r w:rsidR="00BF4A22">
        <w:t xml:space="preserve">]. </w:t>
      </w:r>
      <w:r w:rsidR="00BF4A22" w:rsidRPr="0055646B">
        <w:t>Tokyo</w:t>
      </w:r>
      <w:r w:rsidR="00BF4A22">
        <w:t>: Chuou Kohron Shinsha.</w:t>
      </w:r>
    </w:p>
    <w:p w14:paraId="75A203D6" w14:textId="77777777" w:rsidR="000452AB" w:rsidRPr="0055646B" w:rsidRDefault="000452AB" w:rsidP="0093196D">
      <w:pPr>
        <w:pStyle w:val="NoSpacing"/>
      </w:pPr>
    </w:p>
    <w:p w14:paraId="637A2618" w14:textId="77777777" w:rsidR="000452AB" w:rsidRPr="0055646B" w:rsidRDefault="000452AB" w:rsidP="00BF4A22">
      <w:pPr>
        <w:pStyle w:val="NoSpacing"/>
      </w:pPr>
      <w:r w:rsidRPr="0055646B">
        <w:t>Inoguchi, T</w:t>
      </w:r>
      <w:r w:rsidR="00BF4A22">
        <w:t>.</w:t>
      </w:r>
      <w:r w:rsidRPr="0055646B">
        <w:t xml:space="preserve"> and Iwai, T</w:t>
      </w:r>
      <w:r w:rsidR="00BF4A22">
        <w:t>.</w:t>
      </w:r>
      <w:r w:rsidRPr="0055646B">
        <w:t xml:space="preserve"> (1987) </w:t>
      </w:r>
      <w:r w:rsidRPr="0055646B">
        <w:rPr>
          <w:i/>
        </w:rPr>
        <w:t>Zoku Gi’in no Kenkyu – Jimintoh Seiken wo Gyujiru Shuyaku tachi</w:t>
      </w:r>
      <w:r w:rsidRPr="0055646B">
        <w:t xml:space="preserve"> </w:t>
      </w:r>
      <w:r w:rsidR="00BF4A22">
        <w:t>[</w:t>
      </w:r>
      <w:r w:rsidRPr="0055646B">
        <w:t>A Study of Tribe Members of the Diet – the Major Player Dominating the LDP Administration</w:t>
      </w:r>
      <w:r w:rsidR="00BF4A22">
        <w:t>]. Tokyo:</w:t>
      </w:r>
      <w:r w:rsidRPr="0055646B">
        <w:t xml:space="preserve"> Nikkei </w:t>
      </w:r>
      <w:r w:rsidR="00BF4A22" w:rsidRPr="0055646B">
        <w:t>Inc.</w:t>
      </w:r>
    </w:p>
    <w:p w14:paraId="60146293" w14:textId="77777777" w:rsidR="000452AB" w:rsidRPr="0055646B" w:rsidRDefault="000452AB" w:rsidP="0093196D">
      <w:pPr>
        <w:pStyle w:val="NoSpacing"/>
      </w:pPr>
    </w:p>
    <w:p w14:paraId="091684E9" w14:textId="77777777" w:rsidR="000452AB" w:rsidRPr="0055646B" w:rsidRDefault="000452AB" w:rsidP="00564464">
      <w:pPr>
        <w:pStyle w:val="NoSpacing"/>
      </w:pPr>
      <w:r w:rsidRPr="0055646B">
        <w:t>Ito</w:t>
      </w:r>
      <w:r w:rsidRPr="0055646B">
        <w:rPr>
          <w:rFonts w:hint="eastAsia"/>
        </w:rPr>
        <w:t>u</w:t>
      </w:r>
      <w:r w:rsidRPr="0055646B">
        <w:t>, M</w:t>
      </w:r>
      <w:r w:rsidR="00BF4A22">
        <w:t>.</w:t>
      </w:r>
      <w:r w:rsidR="00564464">
        <w:t xml:space="preserve"> (2006) </w:t>
      </w:r>
      <w:r w:rsidRPr="00564464">
        <w:rPr>
          <w:i/>
          <w:iCs/>
        </w:rPr>
        <w:t>Kantei Shudou Gata Seisaku Kettei to Jimintou – Core Executive no Shu</w:t>
      </w:r>
      <w:r w:rsidR="00503293">
        <w:rPr>
          <w:i/>
          <w:iCs/>
        </w:rPr>
        <w:t>’</w:t>
      </w:r>
      <w:r w:rsidRPr="00564464">
        <w:rPr>
          <w:i/>
          <w:iCs/>
        </w:rPr>
        <w:t>ukenka</w:t>
      </w:r>
      <w:r w:rsidR="00564464">
        <w:t xml:space="preserve"> [</w:t>
      </w:r>
      <w:r w:rsidRPr="0055646B">
        <w:t>The Policy Decisions led by</w:t>
      </w:r>
      <w:r w:rsidR="00503293">
        <w:t xml:space="preserve"> the</w:t>
      </w:r>
      <w:r w:rsidRPr="0055646B">
        <w:t xml:space="preserve"> </w:t>
      </w:r>
      <w:r w:rsidRPr="0055646B">
        <w:rPr>
          <w:i/>
          <w:iCs/>
        </w:rPr>
        <w:t>Kantei</w:t>
      </w:r>
      <w:r w:rsidRPr="0055646B">
        <w:t xml:space="preserve"> and the LDP – the centralising core executive</w:t>
      </w:r>
      <w:r w:rsidR="00564464">
        <w:t>]</w:t>
      </w:r>
      <w:r w:rsidRPr="0055646B">
        <w:t xml:space="preserve">, </w:t>
      </w:r>
      <w:r w:rsidRPr="00564464">
        <w:rPr>
          <w:i/>
          <w:iCs/>
        </w:rPr>
        <w:t>Leviathan</w:t>
      </w:r>
      <w:r w:rsidRPr="0055646B">
        <w:t>, pp.7-40</w:t>
      </w:r>
      <w:r w:rsidR="00503293">
        <w:t>.</w:t>
      </w:r>
    </w:p>
    <w:p w14:paraId="3FF59A83" w14:textId="77777777" w:rsidR="000452AB" w:rsidRPr="0055646B" w:rsidRDefault="000452AB" w:rsidP="0093196D">
      <w:pPr>
        <w:pStyle w:val="NoSpacing"/>
      </w:pPr>
    </w:p>
    <w:p w14:paraId="4C357273" w14:textId="77777777" w:rsidR="000452AB" w:rsidRPr="0055646B" w:rsidRDefault="000452AB" w:rsidP="00DE1DD6">
      <w:pPr>
        <w:pStyle w:val="NoSpacing"/>
      </w:pPr>
      <w:r w:rsidRPr="0055646B">
        <w:t>Jessop, B</w:t>
      </w:r>
      <w:r w:rsidR="00DE1DD6">
        <w:t>.</w:t>
      </w:r>
      <w:r w:rsidRPr="0055646B">
        <w:t xml:space="preserve"> (1993) ‘Towards a Schumpeterian Workfare State? Preliminary Remarks on Post-Fordist Political Economy’, </w:t>
      </w:r>
      <w:r w:rsidRPr="00DE1DD6">
        <w:rPr>
          <w:i/>
          <w:iCs/>
        </w:rPr>
        <w:t>Studies in Political Economy</w:t>
      </w:r>
      <w:r w:rsidR="00DE1DD6">
        <w:t xml:space="preserve">, </w:t>
      </w:r>
      <w:r w:rsidRPr="0055646B">
        <w:t>40</w:t>
      </w:r>
      <w:r w:rsidR="00DE1DD6">
        <w:t>,</w:t>
      </w:r>
      <w:r w:rsidRPr="0055646B">
        <w:t xml:space="preserve"> pp.7-40.</w:t>
      </w:r>
    </w:p>
    <w:p w14:paraId="39747DF8" w14:textId="77777777" w:rsidR="000452AB" w:rsidRPr="0055646B" w:rsidRDefault="000452AB" w:rsidP="0093196D">
      <w:pPr>
        <w:pStyle w:val="NoSpacing"/>
      </w:pPr>
    </w:p>
    <w:p w14:paraId="451164EA" w14:textId="77777777" w:rsidR="000452AB" w:rsidRPr="0055646B" w:rsidRDefault="000452AB" w:rsidP="00DE1DD6">
      <w:pPr>
        <w:pStyle w:val="NoSpacing"/>
      </w:pPr>
      <w:r w:rsidRPr="0055646B">
        <w:t>Jessop, B</w:t>
      </w:r>
      <w:r w:rsidR="00DE1DD6">
        <w:t>.</w:t>
      </w:r>
      <w:r w:rsidRPr="0055646B">
        <w:t xml:space="preserve"> (2002) </w:t>
      </w:r>
      <w:r w:rsidRPr="00DE1DD6">
        <w:rPr>
          <w:i/>
          <w:iCs/>
        </w:rPr>
        <w:t>The Future of the Capitalist State</w:t>
      </w:r>
      <w:r w:rsidR="00DE1DD6">
        <w:t>.</w:t>
      </w:r>
      <w:r w:rsidRPr="0055646B">
        <w:t xml:space="preserve"> </w:t>
      </w:r>
      <w:r w:rsidR="00DE1DD6">
        <w:t xml:space="preserve">Cambridge: </w:t>
      </w:r>
      <w:r w:rsidRPr="0055646B">
        <w:t>Polity</w:t>
      </w:r>
      <w:r w:rsidR="00DE1DD6">
        <w:t>.</w:t>
      </w:r>
    </w:p>
    <w:p w14:paraId="47594C55" w14:textId="77777777" w:rsidR="000452AB" w:rsidRDefault="000452AB" w:rsidP="0093196D">
      <w:pPr>
        <w:pStyle w:val="NoSpacing"/>
      </w:pPr>
    </w:p>
    <w:p w14:paraId="47D2453A" w14:textId="77777777" w:rsidR="000452AB" w:rsidRDefault="000452AB" w:rsidP="00654885">
      <w:pPr>
        <w:pStyle w:val="NoSpacing"/>
      </w:pPr>
      <w:r>
        <w:rPr>
          <w:rFonts w:hint="eastAsia"/>
        </w:rPr>
        <w:t xml:space="preserve">JFTC (Fair Trade Commission, Japan) (1997) </w:t>
      </w:r>
      <w:r w:rsidRPr="001F1160">
        <w:rPr>
          <w:rFonts w:hint="eastAsia"/>
          <w:i/>
        </w:rPr>
        <w:t>Kousei Torihiki I</w:t>
      </w:r>
      <w:r w:rsidRPr="001F1160">
        <w:rPr>
          <w:i/>
        </w:rPr>
        <w:t>’</w:t>
      </w:r>
      <w:r w:rsidRPr="001F1160">
        <w:rPr>
          <w:rFonts w:hint="eastAsia"/>
          <w:i/>
        </w:rPr>
        <w:t>inkai Setsumei Shiryou (</w:t>
      </w:r>
      <w:r>
        <w:rPr>
          <w:rFonts w:hint="eastAsia"/>
          <w:i/>
        </w:rPr>
        <w:t xml:space="preserve">6Gatsu </w:t>
      </w:r>
      <w:r w:rsidRPr="001F1160">
        <w:rPr>
          <w:rFonts w:hint="eastAsia"/>
          <w:i/>
        </w:rPr>
        <w:t>25</w:t>
      </w:r>
      <w:r>
        <w:rPr>
          <w:rFonts w:hint="eastAsia"/>
          <w:i/>
        </w:rPr>
        <w:t>Nichi</w:t>
      </w:r>
      <w:r w:rsidRPr="001F1160">
        <w:rPr>
          <w:rFonts w:hint="eastAsia"/>
          <w:i/>
        </w:rPr>
        <w:t>)</w:t>
      </w:r>
      <w:r w:rsidR="0097743B">
        <w:rPr>
          <w:rFonts w:hint="eastAsia"/>
        </w:rPr>
        <w:t xml:space="preserve"> </w:t>
      </w:r>
      <w:r w:rsidR="0097743B">
        <w:t>[</w:t>
      </w:r>
      <w:r>
        <w:rPr>
          <w:rFonts w:hint="eastAsia"/>
        </w:rPr>
        <w:t>The JFTC</w:t>
      </w:r>
      <w:r>
        <w:t>’</w:t>
      </w:r>
      <w:r w:rsidR="0097743B">
        <w:rPr>
          <w:rFonts w:hint="eastAsia"/>
        </w:rPr>
        <w:t>s position paper (25 June)</w:t>
      </w:r>
      <w:r w:rsidR="0097743B">
        <w:t>] [</w:t>
      </w:r>
      <w:r w:rsidRPr="008C30B9">
        <w:rPr>
          <w:rFonts w:hint="eastAsia"/>
          <w:i/>
          <w:iCs/>
        </w:rPr>
        <w:t>The JFTC</w:t>
      </w:r>
      <w:r w:rsidRPr="008C30B9">
        <w:rPr>
          <w:i/>
          <w:iCs/>
        </w:rPr>
        <w:t>’</w:t>
      </w:r>
      <w:r w:rsidRPr="008C30B9">
        <w:rPr>
          <w:rFonts w:hint="eastAsia"/>
          <w:i/>
          <w:iCs/>
        </w:rPr>
        <w:t>s position paper to the Administrative Reform Council</w:t>
      </w:r>
      <w:r w:rsidR="0097743B">
        <w:t xml:space="preserve">] [online]. JFTC. Available from: </w:t>
      </w:r>
      <w:hyperlink r:id="rId23" w:history="1">
        <w:r w:rsidRPr="003F06C0">
          <w:rPr>
            <w:rStyle w:val="Hyperlink"/>
          </w:rPr>
          <w:t>http://www.kantei.go.jp/jp/gyokaku/980428kotori.html</w:t>
        </w:r>
      </w:hyperlink>
      <w:r>
        <w:rPr>
          <w:rFonts w:hint="eastAsia"/>
        </w:rPr>
        <w:t xml:space="preserve"> </w:t>
      </w:r>
      <w:r w:rsidR="0097743B">
        <w:t>[A</w:t>
      </w:r>
      <w:r>
        <w:rPr>
          <w:rFonts w:hint="eastAsia"/>
        </w:rPr>
        <w:t>ccessed 11 November 2012</w:t>
      </w:r>
      <w:r w:rsidR="0097743B">
        <w:t>].</w:t>
      </w:r>
    </w:p>
    <w:p w14:paraId="68B68E92" w14:textId="77777777" w:rsidR="000452AB" w:rsidRPr="0055646B" w:rsidRDefault="000452AB" w:rsidP="0093196D">
      <w:pPr>
        <w:pStyle w:val="NoSpacing"/>
      </w:pPr>
    </w:p>
    <w:p w14:paraId="3E886256" w14:textId="77777777" w:rsidR="000452AB" w:rsidRPr="0055646B" w:rsidRDefault="000452AB" w:rsidP="00F213F2">
      <w:pPr>
        <w:pStyle w:val="NoSpacing"/>
      </w:pPr>
      <w:r w:rsidRPr="0055646B">
        <w:rPr>
          <w:rFonts w:hint="eastAsia"/>
        </w:rPr>
        <w:t>JFTC (</w:t>
      </w:r>
      <w:r>
        <w:rPr>
          <w:rFonts w:hint="eastAsia"/>
        </w:rPr>
        <w:t>Fair Trade Commission, Japan</w:t>
      </w:r>
      <w:r w:rsidRPr="0055646B">
        <w:rPr>
          <w:rFonts w:hint="eastAsia"/>
        </w:rPr>
        <w:t xml:space="preserve">) (2011) </w:t>
      </w:r>
      <w:r w:rsidRPr="001F7628">
        <w:rPr>
          <w:rFonts w:hint="eastAsia"/>
          <w:i/>
        </w:rPr>
        <w:t>Heisei 22 Nendo ni okeru Dokusen Kin</w:t>
      </w:r>
      <w:r w:rsidR="00F213F2">
        <w:rPr>
          <w:i/>
        </w:rPr>
        <w:t>’</w:t>
      </w:r>
      <w:r w:rsidRPr="001F7628">
        <w:rPr>
          <w:rFonts w:hint="eastAsia"/>
          <w:i/>
        </w:rPr>
        <w:t>s</w:t>
      </w:r>
      <w:r w:rsidR="00F213F2">
        <w:rPr>
          <w:i/>
        </w:rPr>
        <w:t>h</w:t>
      </w:r>
      <w:r w:rsidRPr="001F7628">
        <w:rPr>
          <w:rFonts w:hint="eastAsia"/>
          <w:i/>
        </w:rPr>
        <w:t xml:space="preserve">i Hou Ihan Jiken no Shori </w:t>
      </w:r>
      <w:r w:rsidRPr="0097743B">
        <w:rPr>
          <w:rFonts w:hint="eastAsia"/>
          <w:i/>
        </w:rPr>
        <w:t>Joukyou</w:t>
      </w:r>
      <w:r w:rsidR="0097743B">
        <w:rPr>
          <w:rFonts w:hint="eastAsia"/>
          <w:i/>
        </w:rPr>
        <w:t xml:space="preserve"> (Poin</w:t>
      </w:r>
      <w:r w:rsidR="0097743B">
        <w:rPr>
          <w:i/>
        </w:rPr>
        <w:t>t)</w:t>
      </w:r>
      <w:r w:rsidRPr="0055646B">
        <w:rPr>
          <w:rFonts w:hint="eastAsia"/>
        </w:rPr>
        <w:t xml:space="preserve"> </w:t>
      </w:r>
      <w:r w:rsidR="00F213F2">
        <w:t>[</w:t>
      </w:r>
      <w:r w:rsidRPr="008C30B9">
        <w:rPr>
          <w:rFonts w:hint="eastAsia"/>
          <w:i/>
          <w:iCs/>
        </w:rPr>
        <w:t>the Breaches of the Antimonopoly Act in Financial Year 2010: Key Poi</w:t>
      </w:r>
      <w:r w:rsidRPr="008C30B9">
        <w:rPr>
          <w:i/>
          <w:iCs/>
        </w:rPr>
        <w:t>nt</w:t>
      </w:r>
      <w:r w:rsidR="00F213F2">
        <w:t>]</w:t>
      </w:r>
      <w:r w:rsidR="0097743B">
        <w:t xml:space="preserve"> [online]. JFTC. Available from: </w:t>
      </w:r>
      <w:hyperlink r:id="rId24" w:history="1">
        <w:r w:rsidRPr="0055646B">
          <w:rPr>
            <w:rStyle w:val="Hyperlink"/>
          </w:rPr>
          <w:t>http://www.jftc.go.jp/pressrelease/11.june/110601point.pdf</w:t>
        </w:r>
        <w:r w:rsidRPr="0055646B">
          <w:rPr>
            <w:rStyle w:val="Hyperlink"/>
            <w:rFonts w:hint="eastAsia"/>
          </w:rPr>
          <w:t>s</w:t>
        </w:r>
      </w:hyperlink>
      <w:r w:rsidRPr="0055646B">
        <w:rPr>
          <w:rFonts w:hint="eastAsia"/>
        </w:rPr>
        <w:t xml:space="preserve"> </w:t>
      </w:r>
      <w:r w:rsidR="0097743B">
        <w:t>[A</w:t>
      </w:r>
      <w:r w:rsidRPr="0055646B">
        <w:rPr>
          <w:rFonts w:hint="eastAsia"/>
        </w:rPr>
        <w:t>ccessed 29 March 2012</w:t>
      </w:r>
      <w:r w:rsidR="0097743B">
        <w:t>].</w:t>
      </w:r>
    </w:p>
    <w:p w14:paraId="11315B48" w14:textId="77777777" w:rsidR="000452AB" w:rsidRPr="0055646B" w:rsidRDefault="000452AB" w:rsidP="0093196D">
      <w:pPr>
        <w:pStyle w:val="NoSpacing"/>
      </w:pPr>
    </w:p>
    <w:p w14:paraId="2D878B0F" w14:textId="77777777" w:rsidR="000452AB" w:rsidRPr="0055646B" w:rsidRDefault="000452AB" w:rsidP="00654885">
      <w:pPr>
        <w:pStyle w:val="NoSpacing"/>
      </w:pPr>
      <w:r w:rsidRPr="0055646B">
        <w:rPr>
          <w:rFonts w:hint="eastAsia"/>
        </w:rPr>
        <w:t>JFTC (</w:t>
      </w:r>
      <w:r>
        <w:rPr>
          <w:rFonts w:hint="eastAsia"/>
        </w:rPr>
        <w:t>Fair Trade Commission, Japan</w:t>
      </w:r>
      <w:r w:rsidRPr="0055646B">
        <w:rPr>
          <w:rFonts w:hint="eastAsia"/>
        </w:rPr>
        <w:t>) (2012</w:t>
      </w:r>
      <w:r>
        <w:t>a</w:t>
      </w:r>
      <w:r w:rsidRPr="0055646B">
        <w:rPr>
          <w:rFonts w:hint="eastAsia"/>
        </w:rPr>
        <w:t xml:space="preserve">) </w:t>
      </w:r>
      <w:r w:rsidRPr="0097743B">
        <w:rPr>
          <w:rFonts w:hint="eastAsia"/>
          <w:i/>
          <w:iCs/>
        </w:rPr>
        <w:t>About the Leniency Program</w:t>
      </w:r>
      <w:r w:rsidR="0097743B">
        <w:t xml:space="preserve"> [online]. </w:t>
      </w:r>
      <w:r w:rsidR="00654885">
        <w:t xml:space="preserve">JFTC. </w:t>
      </w:r>
      <w:r w:rsidR="0097743B">
        <w:t>Available from:</w:t>
      </w:r>
      <w:r w:rsidR="00654885">
        <w:t xml:space="preserve"> </w:t>
      </w:r>
      <w:hyperlink r:id="rId25" w:history="1">
        <w:r w:rsidRPr="0055646B">
          <w:rPr>
            <w:rStyle w:val="Hyperlink"/>
          </w:rPr>
          <w:t>http://www.jftc.go.jp/en/policy_enforcement/leniency_program/about_leniency.pdf</w:t>
        </w:r>
      </w:hyperlink>
    </w:p>
    <w:p w14:paraId="43EE973D" w14:textId="77777777" w:rsidR="000452AB" w:rsidRPr="0055646B" w:rsidRDefault="00654885" w:rsidP="00654885">
      <w:pPr>
        <w:pStyle w:val="NoSpacing"/>
      </w:pPr>
      <w:r>
        <w:t>[A</w:t>
      </w:r>
      <w:r w:rsidR="000452AB" w:rsidRPr="0055646B">
        <w:rPr>
          <w:rFonts w:hint="eastAsia"/>
        </w:rPr>
        <w:t>ccessed 27 March 2012</w:t>
      </w:r>
      <w:r>
        <w:t>].</w:t>
      </w:r>
    </w:p>
    <w:p w14:paraId="332CE25E" w14:textId="77777777" w:rsidR="000452AB" w:rsidRDefault="000452AB" w:rsidP="0093196D">
      <w:pPr>
        <w:pStyle w:val="NoSpacing"/>
      </w:pPr>
    </w:p>
    <w:p w14:paraId="5BF4F681" w14:textId="77777777" w:rsidR="000452AB" w:rsidRDefault="000452AB" w:rsidP="00654885">
      <w:pPr>
        <w:pStyle w:val="NoSpacing"/>
      </w:pPr>
      <w:r>
        <w:t>JFTC (Fair Trade Commission, Japan) (2012b) ‘</w:t>
      </w:r>
      <w:r w:rsidRPr="009C36D0">
        <w:rPr>
          <w:i/>
          <w:iCs/>
        </w:rPr>
        <w:t>Shinsa Shinpan Tetsuzuki</w:t>
      </w:r>
      <w:r>
        <w:t>’ (Investigation and complaint procedures)</w:t>
      </w:r>
      <w:r w:rsidR="00654885">
        <w:t xml:space="preserve"> [online]. JFTC. Available from:</w:t>
      </w:r>
      <w:r>
        <w:t xml:space="preserve"> </w:t>
      </w:r>
      <w:hyperlink r:id="rId26" w:history="1">
        <w:r w:rsidRPr="000A5BEF">
          <w:rPr>
            <w:rStyle w:val="Hyperlink"/>
          </w:rPr>
          <w:t>http://www.jftc.go.jp/dk/sinsa.html</w:t>
        </w:r>
      </w:hyperlink>
      <w:r>
        <w:t xml:space="preserve"> </w:t>
      </w:r>
      <w:r w:rsidR="00654885">
        <w:t>[A</w:t>
      </w:r>
      <w:r>
        <w:t xml:space="preserve">ccessed </w:t>
      </w:r>
      <w:r w:rsidR="00654885">
        <w:t>22 October 2012].</w:t>
      </w:r>
    </w:p>
    <w:p w14:paraId="5FA1A235" w14:textId="77777777" w:rsidR="000452AB" w:rsidRPr="0055646B" w:rsidRDefault="000452AB" w:rsidP="0093196D">
      <w:pPr>
        <w:pStyle w:val="NoSpacing"/>
      </w:pPr>
    </w:p>
    <w:p w14:paraId="56D8A1F2" w14:textId="77777777" w:rsidR="000452AB" w:rsidRPr="0055646B" w:rsidRDefault="000452AB" w:rsidP="00654885">
      <w:pPr>
        <w:pStyle w:val="NoSpacing"/>
        <w:rPr>
          <w:i/>
        </w:rPr>
      </w:pPr>
      <w:r w:rsidRPr="0055646B">
        <w:t>Johnson, C</w:t>
      </w:r>
      <w:r w:rsidR="00654885">
        <w:t>.</w:t>
      </w:r>
      <w:r w:rsidRPr="0055646B">
        <w:t xml:space="preserve"> (1982) </w:t>
      </w:r>
      <w:r w:rsidRPr="00654885">
        <w:rPr>
          <w:rStyle w:val="citation"/>
          <w:i/>
        </w:rPr>
        <w:t>MITI and the Japanese Miracle – The Growth of Industrial Policy, 1925-1975</w:t>
      </w:r>
      <w:r w:rsidR="00654885">
        <w:rPr>
          <w:rStyle w:val="citation"/>
          <w:iCs/>
        </w:rPr>
        <w:t>. Stanford:</w:t>
      </w:r>
      <w:r w:rsidRPr="0055646B">
        <w:rPr>
          <w:rStyle w:val="citation"/>
          <w:iCs/>
        </w:rPr>
        <w:t xml:space="preserve"> Stanford UP</w:t>
      </w:r>
      <w:r w:rsidR="00654885">
        <w:rPr>
          <w:rStyle w:val="citation"/>
          <w:iCs/>
        </w:rPr>
        <w:t>.</w:t>
      </w:r>
    </w:p>
    <w:p w14:paraId="4FC9A0D2" w14:textId="77777777" w:rsidR="000452AB" w:rsidRPr="0055646B" w:rsidRDefault="000452AB" w:rsidP="0093196D">
      <w:pPr>
        <w:pStyle w:val="NoSpacing"/>
      </w:pPr>
    </w:p>
    <w:p w14:paraId="052B8550" w14:textId="77777777" w:rsidR="000452AB" w:rsidRPr="0055646B" w:rsidRDefault="000452AB" w:rsidP="00654885">
      <w:pPr>
        <w:pStyle w:val="NoSpacing"/>
      </w:pPr>
      <w:r w:rsidRPr="0055646B">
        <w:t>Johnson, C</w:t>
      </w:r>
      <w:r w:rsidR="00654885">
        <w:t>.</w:t>
      </w:r>
      <w:r w:rsidRPr="0055646B">
        <w:t xml:space="preserve"> (1999) ‘The Developmental State: Odyssey of a Concept’, in </w:t>
      </w:r>
      <w:r w:rsidR="00654885">
        <w:t xml:space="preserve">M. </w:t>
      </w:r>
      <w:r w:rsidRPr="0055646B">
        <w:t>Woo-Cumings</w:t>
      </w:r>
      <w:r w:rsidR="00654885">
        <w:t xml:space="preserve"> (ed), </w:t>
      </w:r>
      <w:r w:rsidRPr="00654885">
        <w:rPr>
          <w:i/>
          <w:iCs/>
        </w:rPr>
        <w:t>The Developmental State</w:t>
      </w:r>
      <w:r w:rsidR="00654885">
        <w:t>.</w:t>
      </w:r>
      <w:r w:rsidRPr="0055646B">
        <w:t xml:space="preserve"> Ithaca</w:t>
      </w:r>
      <w:r w:rsidR="00654885">
        <w:t>/</w:t>
      </w:r>
      <w:r w:rsidRPr="0055646B">
        <w:t>London</w:t>
      </w:r>
      <w:r w:rsidR="00654885">
        <w:t>: Cornell UP</w:t>
      </w:r>
      <w:r w:rsidRPr="0055646B">
        <w:t>, pp.32-60</w:t>
      </w:r>
      <w:r w:rsidR="00654885">
        <w:t>.</w:t>
      </w:r>
    </w:p>
    <w:p w14:paraId="71A60C8D" w14:textId="77777777" w:rsidR="00E806AC" w:rsidRDefault="00E806AC" w:rsidP="00E806AC">
      <w:pPr>
        <w:pStyle w:val="NoSpacing"/>
      </w:pPr>
    </w:p>
    <w:p w14:paraId="0A3C69CC" w14:textId="77777777" w:rsidR="00E806AC" w:rsidRDefault="00E806AC" w:rsidP="00654885">
      <w:pPr>
        <w:pStyle w:val="NoSpacing"/>
      </w:pPr>
      <w:r>
        <w:t>Johnson, C</w:t>
      </w:r>
      <w:r w:rsidR="00654885">
        <w:t>.</w:t>
      </w:r>
      <w:r>
        <w:t xml:space="preserve"> and Keehn, E. B. (1994) ‘A Disaster in the Making: Rational Choice and Asian Studies’, </w:t>
      </w:r>
      <w:r w:rsidRPr="00654885">
        <w:rPr>
          <w:i/>
          <w:iCs/>
        </w:rPr>
        <w:t>The National Interest</w:t>
      </w:r>
      <w:r w:rsidR="00654885">
        <w:t xml:space="preserve">, </w:t>
      </w:r>
      <w:r>
        <w:t>36</w:t>
      </w:r>
      <w:r w:rsidR="00654885">
        <w:t>,</w:t>
      </w:r>
      <w:r>
        <w:t xml:space="preserve"> (Summer 1994)</w:t>
      </w:r>
      <w:r w:rsidR="00654885">
        <w:t>,</w:t>
      </w:r>
      <w:r>
        <w:t xml:space="preserve"> p.18</w:t>
      </w:r>
      <w:r w:rsidR="009073B8">
        <w:t>.</w:t>
      </w:r>
    </w:p>
    <w:p w14:paraId="4AB3723A" w14:textId="77777777" w:rsidR="000452AB" w:rsidRPr="0055646B" w:rsidRDefault="000452AB" w:rsidP="0093196D">
      <w:pPr>
        <w:pStyle w:val="NoSpacing"/>
      </w:pPr>
    </w:p>
    <w:p w14:paraId="613200F9" w14:textId="77777777" w:rsidR="000452AB" w:rsidRPr="0055646B" w:rsidRDefault="000452AB" w:rsidP="00D401B0">
      <w:pPr>
        <w:pStyle w:val="NoSpacing"/>
      </w:pPr>
      <w:r w:rsidRPr="0055646B">
        <w:t>Jordana, J</w:t>
      </w:r>
      <w:r w:rsidR="00654885">
        <w:t>.</w:t>
      </w:r>
      <w:r w:rsidRPr="0055646B">
        <w:t xml:space="preserve"> and Levi-Faur, D</w:t>
      </w:r>
      <w:r w:rsidR="00654885">
        <w:t>.</w:t>
      </w:r>
      <w:r w:rsidRPr="0055646B">
        <w:t xml:space="preserve"> (2004) ‘The politics of regulation in the age of governance’</w:t>
      </w:r>
      <w:r w:rsidR="00F213F2">
        <w:t>,</w:t>
      </w:r>
      <w:r w:rsidRPr="0055646B">
        <w:t xml:space="preserve"> in J</w:t>
      </w:r>
      <w:r w:rsidR="00654885">
        <w:t>.</w:t>
      </w:r>
      <w:r w:rsidRPr="0055646B">
        <w:t xml:space="preserve"> Jordana and D</w:t>
      </w:r>
      <w:r w:rsidR="00654885">
        <w:t>.</w:t>
      </w:r>
      <w:r w:rsidRPr="0055646B">
        <w:t xml:space="preserve"> Levi-Faur </w:t>
      </w:r>
      <w:r w:rsidR="00654885">
        <w:t>(</w:t>
      </w:r>
      <w:r w:rsidRPr="0055646B">
        <w:t>ed</w:t>
      </w:r>
      <w:r w:rsidR="00D401B0">
        <w:t>s</w:t>
      </w:r>
      <w:r w:rsidR="00654885">
        <w:t>)</w:t>
      </w:r>
      <w:r w:rsidR="00D401B0">
        <w:t>,</w:t>
      </w:r>
      <w:r w:rsidRPr="0055646B">
        <w:t xml:space="preserve"> </w:t>
      </w:r>
      <w:r w:rsidRPr="00654885">
        <w:rPr>
          <w:i/>
          <w:iCs/>
        </w:rPr>
        <w:t>The Politics of Regulation – Institutions and Regulatory Reforms for the Age of Governance</w:t>
      </w:r>
      <w:r w:rsidR="00654885">
        <w:t xml:space="preserve">. Cheltenham: </w:t>
      </w:r>
      <w:r w:rsidRPr="0055646B">
        <w:t>Edward and Elgar Publishing Ltd.</w:t>
      </w:r>
      <w:r w:rsidR="00654885">
        <w:t>,</w:t>
      </w:r>
      <w:r w:rsidRPr="0055646B">
        <w:t xml:space="preserve"> pp1-30</w:t>
      </w:r>
      <w:r w:rsidR="009073B8">
        <w:t>.</w:t>
      </w:r>
    </w:p>
    <w:p w14:paraId="565C2B7E" w14:textId="77777777" w:rsidR="000452AB" w:rsidRPr="0055646B" w:rsidRDefault="000452AB" w:rsidP="0093196D">
      <w:pPr>
        <w:pStyle w:val="NoSpacing"/>
      </w:pPr>
    </w:p>
    <w:p w14:paraId="28FD7537" w14:textId="77777777" w:rsidR="000452AB" w:rsidRPr="0055646B" w:rsidRDefault="000452AB" w:rsidP="00654885">
      <w:pPr>
        <w:pStyle w:val="NoSpacing"/>
      </w:pPr>
      <w:r w:rsidRPr="0055646B">
        <w:t>Kalba, K</w:t>
      </w:r>
      <w:r w:rsidR="00654885">
        <w:t>.</w:t>
      </w:r>
      <w:r w:rsidRPr="0055646B">
        <w:t xml:space="preserve"> (1988) ‘Opening Japan’s Telecommunications market’, </w:t>
      </w:r>
      <w:r w:rsidRPr="00654885">
        <w:rPr>
          <w:i/>
          <w:iCs/>
        </w:rPr>
        <w:t>Journal of Communication</w:t>
      </w:r>
      <w:r w:rsidR="00654885">
        <w:t xml:space="preserve">, </w:t>
      </w:r>
      <w:r w:rsidRPr="0055646B">
        <w:t>38</w:t>
      </w:r>
      <w:r w:rsidR="00654885">
        <w:t>,</w:t>
      </w:r>
      <w:r w:rsidRPr="0055646B">
        <w:t xml:space="preserve"> </w:t>
      </w:r>
      <w:r w:rsidR="00654885">
        <w:t xml:space="preserve">(1), </w:t>
      </w:r>
      <w:r w:rsidRPr="0055646B">
        <w:t>pp.96-106</w:t>
      </w:r>
      <w:r w:rsidR="009073B8">
        <w:t>.</w:t>
      </w:r>
    </w:p>
    <w:p w14:paraId="1E867CCC" w14:textId="77777777" w:rsidR="000452AB" w:rsidRPr="0055646B" w:rsidRDefault="000452AB" w:rsidP="0093196D">
      <w:pPr>
        <w:pStyle w:val="NoSpacing"/>
      </w:pPr>
    </w:p>
    <w:p w14:paraId="286E7255" w14:textId="77777777" w:rsidR="000452AB" w:rsidRPr="0055646B" w:rsidRDefault="000452AB" w:rsidP="009073B8">
      <w:pPr>
        <w:pStyle w:val="NoSpacing"/>
      </w:pPr>
      <w:r w:rsidRPr="0055646B">
        <w:t>Kamikubo, M</w:t>
      </w:r>
      <w:r w:rsidR="001B0454">
        <w:t>.</w:t>
      </w:r>
      <w:r w:rsidRPr="0055646B">
        <w:t xml:space="preserve"> (2010) ‘</w:t>
      </w:r>
      <w:r w:rsidRPr="0055646B">
        <w:rPr>
          <w:i/>
          <w:iCs/>
        </w:rPr>
        <w:t>“En no Kokusaika” ka “Gen no Kokusaika” ka: “</w:t>
      </w:r>
      <w:r w:rsidRPr="0055646B">
        <w:t>Asia</w:t>
      </w:r>
      <w:r w:rsidRPr="0055646B">
        <w:rPr>
          <w:i/>
          <w:iCs/>
        </w:rPr>
        <w:t xml:space="preserve"> Tsu’uka Kyouryoku” no Kokunai Seisaku Rit</w:t>
      </w:r>
      <w:r w:rsidR="00F213F2">
        <w:rPr>
          <w:i/>
          <w:iCs/>
        </w:rPr>
        <w:t>s</w:t>
      </w:r>
      <w:r w:rsidRPr="0055646B">
        <w:rPr>
          <w:i/>
          <w:iCs/>
        </w:rPr>
        <w:t>uan Katei Hikaku</w:t>
      </w:r>
      <w:r w:rsidR="009073B8">
        <w:t>’ [</w:t>
      </w:r>
      <w:r w:rsidRPr="0055646B">
        <w:t>‘Internationalising Yen’ or ‘Internationalising Yuan’: Comparing Domestic Policymaking Processes under the Asia</w:t>
      </w:r>
      <w:r w:rsidR="00F213F2">
        <w:t>n</w:t>
      </w:r>
      <w:r w:rsidRPr="0055646B">
        <w:t xml:space="preserve"> Monetary Cooperation</w:t>
      </w:r>
      <w:r w:rsidR="009073B8">
        <w:t>] [</w:t>
      </w:r>
      <w:r w:rsidRPr="0055646B">
        <w:t>Working Paper</w:t>
      </w:r>
      <w:r w:rsidR="009073B8">
        <w:t xml:space="preserve">, </w:t>
      </w:r>
      <w:r w:rsidR="009073B8" w:rsidRPr="0055646B">
        <w:t>Waseda University Global COE Program</w:t>
      </w:r>
      <w:r w:rsidR="009073B8">
        <w:t xml:space="preserve">] [online]. Waseda University. Available from: </w:t>
      </w:r>
      <w:hyperlink r:id="rId27" w:history="1">
        <w:r w:rsidRPr="0055646B">
          <w:rPr>
            <w:rStyle w:val="Hyperlink"/>
          </w:rPr>
          <w:t>http://www.waseda-giari.jp/jpn/research/achievements_detail/1019.html</w:t>
        </w:r>
      </w:hyperlink>
    </w:p>
    <w:p w14:paraId="3024E0A6" w14:textId="77777777" w:rsidR="000452AB" w:rsidRDefault="009073B8" w:rsidP="0093196D">
      <w:pPr>
        <w:pStyle w:val="NoSpacing"/>
      </w:pPr>
      <w:r>
        <w:t>[Accessed 15 August 2012].</w:t>
      </w:r>
    </w:p>
    <w:p w14:paraId="11CB1BDF" w14:textId="77777777" w:rsidR="009073B8" w:rsidRPr="0055646B" w:rsidRDefault="009073B8" w:rsidP="0093196D">
      <w:pPr>
        <w:pStyle w:val="NoSpacing"/>
      </w:pPr>
    </w:p>
    <w:p w14:paraId="37F8EC24" w14:textId="77777777" w:rsidR="000452AB" w:rsidRPr="0055646B" w:rsidRDefault="000452AB" w:rsidP="009073B8">
      <w:pPr>
        <w:pStyle w:val="NoSpacing"/>
      </w:pPr>
      <w:r w:rsidRPr="0055646B">
        <w:t>Kato, J</w:t>
      </w:r>
      <w:r w:rsidR="009073B8">
        <w:t>.</w:t>
      </w:r>
      <w:r w:rsidRPr="0055646B">
        <w:t xml:space="preserve"> (1994) </w:t>
      </w:r>
      <w:r w:rsidRPr="009073B8">
        <w:rPr>
          <w:i/>
          <w:iCs/>
        </w:rPr>
        <w:t>The Problem of Bureaucratic Rationality</w:t>
      </w:r>
      <w:r w:rsidR="009073B8">
        <w:t>. Princeton:</w:t>
      </w:r>
      <w:r w:rsidRPr="0055646B">
        <w:t xml:space="preserve"> Princeton UP</w:t>
      </w:r>
      <w:r w:rsidR="009073B8">
        <w:t>.</w:t>
      </w:r>
    </w:p>
    <w:p w14:paraId="6387E868" w14:textId="77777777" w:rsidR="000452AB" w:rsidRPr="0055646B" w:rsidRDefault="000452AB" w:rsidP="0093196D">
      <w:pPr>
        <w:pStyle w:val="NoSpacing"/>
      </w:pPr>
    </w:p>
    <w:p w14:paraId="6FEBDAFC" w14:textId="77777777" w:rsidR="000452AB" w:rsidRPr="0055646B" w:rsidRDefault="000452AB" w:rsidP="009073B8">
      <w:pPr>
        <w:pStyle w:val="NoSpacing"/>
      </w:pPr>
      <w:r w:rsidRPr="0055646B">
        <w:t>Kelsey, J</w:t>
      </w:r>
      <w:r w:rsidR="009073B8">
        <w:t>.</w:t>
      </w:r>
      <w:r w:rsidRPr="0055646B">
        <w:t xml:space="preserve"> (1995) </w:t>
      </w:r>
      <w:r w:rsidRPr="009073B8">
        <w:rPr>
          <w:i/>
          <w:iCs/>
        </w:rPr>
        <w:t>Economic Fundamentalism</w:t>
      </w:r>
      <w:r w:rsidR="009073B8">
        <w:t>.</w:t>
      </w:r>
      <w:r w:rsidRPr="0055646B">
        <w:t xml:space="preserve"> </w:t>
      </w:r>
      <w:r w:rsidR="009073B8">
        <w:t xml:space="preserve">London: </w:t>
      </w:r>
      <w:r w:rsidRPr="0055646B">
        <w:t>Pluto Press</w:t>
      </w:r>
      <w:r w:rsidR="009073B8">
        <w:t>.</w:t>
      </w:r>
    </w:p>
    <w:p w14:paraId="463CE364" w14:textId="77777777" w:rsidR="000452AB" w:rsidRPr="0055646B" w:rsidRDefault="000452AB" w:rsidP="0093196D">
      <w:pPr>
        <w:pStyle w:val="NoSpacing"/>
      </w:pPr>
    </w:p>
    <w:p w14:paraId="28EC5842" w14:textId="77777777" w:rsidR="000452AB" w:rsidRPr="0055646B" w:rsidRDefault="000452AB" w:rsidP="002D5295">
      <w:pPr>
        <w:pStyle w:val="NoSpacing"/>
      </w:pPr>
      <w:r w:rsidRPr="0055646B">
        <w:t xml:space="preserve">Kirchheimer, O. (1966) ‘The transformation of Western European Party Systems’, in </w:t>
      </w:r>
      <w:r w:rsidR="009073B8">
        <w:t xml:space="preserve">J. </w:t>
      </w:r>
      <w:r w:rsidRPr="0055646B">
        <w:t xml:space="preserve">La Palombara. and </w:t>
      </w:r>
      <w:r w:rsidR="009073B8">
        <w:t xml:space="preserve">M. </w:t>
      </w:r>
      <w:r w:rsidRPr="0055646B">
        <w:t xml:space="preserve">Weiner </w:t>
      </w:r>
      <w:r w:rsidR="009073B8">
        <w:t>(</w:t>
      </w:r>
      <w:r w:rsidRPr="0055646B">
        <w:t>ed</w:t>
      </w:r>
      <w:r w:rsidR="002D5295">
        <w:t>s</w:t>
      </w:r>
      <w:r w:rsidR="009073B8">
        <w:t>)</w:t>
      </w:r>
      <w:r w:rsidR="00D401B0">
        <w:t>,</w:t>
      </w:r>
      <w:r w:rsidRPr="0055646B">
        <w:t xml:space="preserve"> </w:t>
      </w:r>
      <w:r w:rsidRPr="009073B8">
        <w:rPr>
          <w:i/>
          <w:iCs/>
        </w:rPr>
        <w:t>Political Parties and Political Development</w:t>
      </w:r>
      <w:r w:rsidR="009073B8">
        <w:t xml:space="preserve">. Princeton: </w:t>
      </w:r>
      <w:r w:rsidRPr="0055646B">
        <w:t>Princeton UP, pp.177-99.</w:t>
      </w:r>
    </w:p>
    <w:p w14:paraId="0E02A928" w14:textId="77777777" w:rsidR="000452AB" w:rsidRPr="0055646B" w:rsidRDefault="000452AB" w:rsidP="0093196D">
      <w:pPr>
        <w:pStyle w:val="NoSpacing"/>
      </w:pPr>
    </w:p>
    <w:p w14:paraId="17201A75" w14:textId="77777777" w:rsidR="000452AB" w:rsidRPr="0055646B" w:rsidRDefault="000452AB" w:rsidP="00E54A6F">
      <w:pPr>
        <w:pStyle w:val="NoSpacing"/>
      </w:pPr>
      <w:r w:rsidRPr="0055646B">
        <w:t>K</w:t>
      </w:r>
      <w:r w:rsidRPr="0055646B">
        <w:rPr>
          <w:rFonts w:hint="eastAsia"/>
          <w:lang w:eastAsia="ja-JP"/>
        </w:rPr>
        <w:t>o</w:t>
      </w:r>
      <w:r w:rsidRPr="0055646B">
        <w:t>jima, M</w:t>
      </w:r>
      <w:r w:rsidR="00E54A6F">
        <w:t xml:space="preserve">. (2004) </w:t>
      </w:r>
      <w:r w:rsidRPr="0055646B">
        <w:rPr>
          <w:i/>
          <w:iCs/>
        </w:rPr>
        <w:t>Ikari wo Hassuru Mono ha Guka</w:t>
      </w:r>
      <w:r w:rsidRPr="0055646B">
        <w:t xml:space="preserve"> (Are those who get angry stupid?)</w:t>
      </w:r>
      <w:r w:rsidR="00E54A6F">
        <w:t>. Tokyo:</w:t>
      </w:r>
      <w:r w:rsidRPr="0055646B">
        <w:t xml:space="preserve"> Fusou Sha</w:t>
      </w:r>
      <w:r w:rsidR="00E54A6F">
        <w:t>.</w:t>
      </w:r>
    </w:p>
    <w:p w14:paraId="45A3B373" w14:textId="77777777" w:rsidR="000452AB" w:rsidRPr="0055646B" w:rsidRDefault="000452AB" w:rsidP="0093196D">
      <w:pPr>
        <w:pStyle w:val="NoSpacing"/>
        <w:rPr>
          <w:lang w:eastAsia="ja-JP"/>
        </w:rPr>
      </w:pPr>
    </w:p>
    <w:p w14:paraId="34281E6A" w14:textId="77777777" w:rsidR="000452AB" w:rsidRPr="0055646B" w:rsidRDefault="000452AB" w:rsidP="00E54A6F">
      <w:pPr>
        <w:pStyle w:val="NoSpacing"/>
        <w:rPr>
          <w:lang w:eastAsia="ja-JP"/>
        </w:rPr>
      </w:pPr>
      <w:r w:rsidRPr="0055646B">
        <w:rPr>
          <w:lang w:eastAsia="ja-JP"/>
        </w:rPr>
        <w:t>Kooiman, J</w:t>
      </w:r>
      <w:r w:rsidR="00E54A6F">
        <w:rPr>
          <w:lang w:eastAsia="ja-JP"/>
        </w:rPr>
        <w:t>.</w:t>
      </w:r>
      <w:r w:rsidRPr="0055646B">
        <w:rPr>
          <w:lang w:eastAsia="ja-JP"/>
        </w:rPr>
        <w:t xml:space="preserve"> (1993) ‘Governance and Governability: Using Complexity, Dynamics and Diversity’</w:t>
      </w:r>
      <w:r w:rsidR="002D5295">
        <w:rPr>
          <w:lang w:eastAsia="ja-JP"/>
        </w:rPr>
        <w:t>,</w:t>
      </w:r>
      <w:r w:rsidRPr="0055646B">
        <w:rPr>
          <w:lang w:eastAsia="ja-JP"/>
        </w:rPr>
        <w:t xml:space="preserve"> in </w:t>
      </w:r>
      <w:r w:rsidR="00E54A6F">
        <w:rPr>
          <w:lang w:eastAsia="ja-JP"/>
        </w:rPr>
        <w:t xml:space="preserve">J. </w:t>
      </w:r>
      <w:r w:rsidRPr="0055646B">
        <w:rPr>
          <w:lang w:eastAsia="ja-JP"/>
        </w:rPr>
        <w:t>Kooiman</w:t>
      </w:r>
      <w:r w:rsidR="00E54A6F">
        <w:rPr>
          <w:lang w:eastAsia="ja-JP"/>
        </w:rPr>
        <w:t xml:space="preserve"> (ed)</w:t>
      </w:r>
      <w:r w:rsidR="00D401B0">
        <w:rPr>
          <w:lang w:eastAsia="ja-JP"/>
        </w:rPr>
        <w:t>,</w:t>
      </w:r>
      <w:r w:rsidRPr="0055646B">
        <w:rPr>
          <w:lang w:eastAsia="ja-JP"/>
        </w:rPr>
        <w:t xml:space="preserve"> </w:t>
      </w:r>
      <w:r w:rsidRPr="00E54A6F">
        <w:rPr>
          <w:i/>
          <w:iCs/>
          <w:lang w:eastAsia="ja-JP"/>
        </w:rPr>
        <w:t xml:space="preserve">Modern Governance – New Government-Society </w:t>
      </w:r>
      <w:r w:rsidR="00E54A6F" w:rsidRPr="00E54A6F">
        <w:rPr>
          <w:i/>
          <w:iCs/>
          <w:lang w:eastAsia="ja-JP"/>
        </w:rPr>
        <w:t>Interactions</w:t>
      </w:r>
      <w:r w:rsidR="00E54A6F">
        <w:rPr>
          <w:lang w:eastAsia="ja-JP"/>
        </w:rPr>
        <w:t>. London: Sage Publications,</w:t>
      </w:r>
      <w:r w:rsidRPr="0055646B">
        <w:rPr>
          <w:lang w:eastAsia="ja-JP"/>
        </w:rPr>
        <w:t xml:space="preserve"> pp.35-48</w:t>
      </w:r>
      <w:r w:rsidR="00E54A6F">
        <w:rPr>
          <w:lang w:eastAsia="ja-JP"/>
        </w:rPr>
        <w:t>.</w:t>
      </w:r>
    </w:p>
    <w:p w14:paraId="0223A7F8" w14:textId="77777777" w:rsidR="000452AB" w:rsidRPr="0055646B" w:rsidRDefault="000452AB" w:rsidP="0093196D">
      <w:pPr>
        <w:pStyle w:val="NoSpacing"/>
        <w:rPr>
          <w:lang w:eastAsia="ja-JP"/>
        </w:rPr>
      </w:pPr>
    </w:p>
    <w:p w14:paraId="2CEF984E" w14:textId="77777777" w:rsidR="000452AB" w:rsidRPr="0055646B" w:rsidRDefault="000452AB" w:rsidP="002D5295">
      <w:pPr>
        <w:pStyle w:val="NoSpacing"/>
      </w:pPr>
      <w:r w:rsidRPr="0055646B">
        <w:t xml:space="preserve">Krasner, S. D. </w:t>
      </w:r>
      <w:r w:rsidR="00E54A6F">
        <w:t>(</w:t>
      </w:r>
      <w:r w:rsidRPr="0055646B">
        <w:t>ed</w:t>
      </w:r>
      <w:r w:rsidR="00E54A6F">
        <w:t>)</w:t>
      </w:r>
      <w:r w:rsidRPr="0055646B">
        <w:t xml:space="preserve"> (1983) </w:t>
      </w:r>
      <w:r w:rsidRPr="00E54A6F">
        <w:rPr>
          <w:i/>
          <w:iCs/>
        </w:rPr>
        <w:t>International Regimes</w:t>
      </w:r>
      <w:r w:rsidR="00E54A6F">
        <w:t xml:space="preserve">. </w:t>
      </w:r>
      <w:r w:rsidRPr="0055646B">
        <w:t>Ithaca, NY</w:t>
      </w:r>
      <w:r w:rsidR="00E54A6F">
        <w:t>: Cornel UP.</w:t>
      </w:r>
    </w:p>
    <w:p w14:paraId="7EB2BF8D" w14:textId="77777777" w:rsidR="000452AB" w:rsidRPr="0055646B" w:rsidRDefault="000452AB" w:rsidP="0093196D">
      <w:pPr>
        <w:pStyle w:val="NoSpacing"/>
      </w:pPr>
    </w:p>
    <w:p w14:paraId="2A6B858D" w14:textId="77777777" w:rsidR="000452AB" w:rsidRPr="0055646B" w:rsidRDefault="000452AB" w:rsidP="00F53151">
      <w:pPr>
        <w:pStyle w:val="NoSpacing"/>
      </w:pPr>
      <w:r w:rsidRPr="0055646B">
        <w:t>Krauss, E</w:t>
      </w:r>
      <w:r w:rsidR="00E54A6F">
        <w:t>.</w:t>
      </w:r>
      <w:r w:rsidRPr="0055646B">
        <w:t xml:space="preserve"> S. and Pekkanen, R</w:t>
      </w:r>
      <w:r w:rsidR="00E54A6F">
        <w:t>.</w:t>
      </w:r>
      <w:r w:rsidRPr="0055646B">
        <w:t xml:space="preserve"> J. (2011) </w:t>
      </w:r>
      <w:r w:rsidRPr="00E54A6F">
        <w:rPr>
          <w:i/>
          <w:iCs/>
        </w:rPr>
        <w:t>The Rise and Fall of Japan’s LDP</w:t>
      </w:r>
      <w:r w:rsidR="00F53151">
        <w:t>.</w:t>
      </w:r>
      <w:r w:rsidRPr="0055646B">
        <w:t xml:space="preserve"> Ithaca, NY/London</w:t>
      </w:r>
      <w:r w:rsidR="00E54A6F">
        <w:t>: Cornel UP.</w:t>
      </w:r>
    </w:p>
    <w:p w14:paraId="79EF397A" w14:textId="77777777" w:rsidR="000452AB" w:rsidRPr="0055646B" w:rsidRDefault="000452AB" w:rsidP="0093196D">
      <w:pPr>
        <w:pStyle w:val="NoSpacing"/>
      </w:pPr>
    </w:p>
    <w:p w14:paraId="697CF38E" w14:textId="77777777" w:rsidR="000452AB" w:rsidRPr="0055646B" w:rsidRDefault="000452AB" w:rsidP="002D5295">
      <w:pPr>
        <w:pStyle w:val="NoSpacing"/>
      </w:pPr>
      <w:r w:rsidRPr="0055646B">
        <w:t>Kushida, K</w:t>
      </w:r>
      <w:r w:rsidR="00F53151">
        <w:t>.</w:t>
      </w:r>
      <w:r w:rsidRPr="0055646B">
        <w:t xml:space="preserve"> (2006) ‘Japan’s Telecommnications Regime Shift – Understanding Japan’s Potential Resurgence’</w:t>
      </w:r>
      <w:r w:rsidR="00F53151">
        <w:t>,</w:t>
      </w:r>
      <w:r w:rsidRPr="0055646B">
        <w:t xml:space="preserve"> in </w:t>
      </w:r>
      <w:r w:rsidR="00F53151">
        <w:t xml:space="preserve">A. </w:t>
      </w:r>
      <w:r w:rsidRPr="0055646B">
        <w:t xml:space="preserve">Newman and </w:t>
      </w:r>
      <w:r w:rsidR="00F53151">
        <w:t xml:space="preserve">J. </w:t>
      </w:r>
      <w:r w:rsidRPr="0055646B">
        <w:t xml:space="preserve">Zysman </w:t>
      </w:r>
      <w:r w:rsidR="00F53151">
        <w:t>(</w:t>
      </w:r>
      <w:r w:rsidRPr="0055646B">
        <w:t>ed</w:t>
      </w:r>
      <w:r w:rsidR="002D5295">
        <w:t>s</w:t>
      </w:r>
      <w:r w:rsidR="00F53151">
        <w:t>)</w:t>
      </w:r>
      <w:r w:rsidR="00D401B0">
        <w:t>,</w:t>
      </w:r>
      <w:r w:rsidRPr="0055646B">
        <w:t xml:space="preserve"> </w:t>
      </w:r>
      <w:r w:rsidRPr="00F53151">
        <w:rPr>
          <w:i/>
          <w:iCs/>
        </w:rPr>
        <w:t xml:space="preserve">How Revolutionary Was the Revolution? National Responses, Market Transitions and </w:t>
      </w:r>
      <w:r w:rsidR="002D5295">
        <w:rPr>
          <w:i/>
          <w:iCs/>
        </w:rPr>
        <w:t>G</w:t>
      </w:r>
      <w:r w:rsidRPr="00F53151">
        <w:rPr>
          <w:i/>
          <w:iCs/>
        </w:rPr>
        <w:t>lobal Technology in the Digital Era</w:t>
      </w:r>
      <w:r w:rsidR="00F53151">
        <w:t>. Stanford:</w:t>
      </w:r>
      <w:r w:rsidRPr="0055646B">
        <w:t xml:space="preserve"> Stanford UP, pp.125-47</w:t>
      </w:r>
      <w:r w:rsidR="00F53151">
        <w:t>.</w:t>
      </w:r>
    </w:p>
    <w:p w14:paraId="799880B3" w14:textId="77777777" w:rsidR="000452AB" w:rsidRPr="0055646B" w:rsidRDefault="000452AB" w:rsidP="0093196D">
      <w:pPr>
        <w:pStyle w:val="NoSpacing"/>
      </w:pPr>
    </w:p>
    <w:p w14:paraId="6A8E455E" w14:textId="77777777" w:rsidR="000452AB" w:rsidRPr="0055646B" w:rsidRDefault="000452AB" w:rsidP="00F53151">
      <w:pPr>
        <w:pStyle w:val="NoSpacing"/>
        <w:rPr>
          <w:lang w:eastAsia="ja-JP"/>
        </w:rPr>
      </w:pPr>
      <w:r w:rsidRPr="0055646B">
        <w:t>Lee</w:t>
      </w:r>
      <w:r w:rsidR="00C23C8E">
        <w:t>s</w:t>
      </w:r>
      <w:r w:rsidRPr="0055646B">
        <w:t>, C</w:t>
      </w:r>
      <w:r w:rsidR="00F53151">
        <w:t>.</w:t>
      </w:r>
      <w:r w:rsidRPr="0055646B">
        <w:t xml:space="preserve"> (2006) ‘We Are All Comparativists Now - Why and How Single-Country Scholarship Must Adapt and Incorporate the Comparative Politics Approach’, </w:t>
      </w:r>
      <w:r w:rsidRPr="00F53151">
        <w:rPr>
          <w:i/>
          <w:iCs/>
        </w:rPr>
        <w:t>Comparative Political Studies</w:t>
      </w:r>
      <w:r w:rsidR="00F53151">
        <w:t xml:space="preserve">, </w:t>
      </w:r>
      <w:r w:rsidRPr="0055646B">
        <w:t>39</w:t>
      </w:r>
      <w:r w:rsidR="00F53151">
        <w:t xml:space="preserve">, (9), </w:t>
      </w:r>
      <w:r w:rsidRPr="0055646B">
        <w:t>pp.1084-1108</w:t>
      </w:r>
      <w:r w:rsidR="00F53151">
        <w:t>.</w:t>
      </w:r>
    </w:p>
    <w:p w14:paraId="6F08082E" w14:textId="77777777" w:rsidR="000452AB" w:rsidRPr="0055646B" w:rsidRDefault="000452AB" w:rsidP="0093196D">
      <w:pPr>
        <w:pStyle w:val="NoSpacing"/>
        <w:rPr>
          <w:lang w:eastAsia="ja-JP"/>
        </w:rPr>
      </w:pPr>
    </w:p>
    <w:p w14:paraId="222EAF2B" w14:textId="77777777" w:rsidR="000452AB" w:rsidRPr="0055646B" w:rsidRDefault="000452AB" w:rsidP="009F78B9">
      <w:pPr>
        <w:pStyle w:val="NoSpacing"/>
        <w:rPr>
          <w:lang w:eastAsia="ja-JP"/>
        </w:rPr>
      </w:pPr>
      <w:r w:rsidRPr="0055646B">
        <w:rPr>
          <w:lang w:eastAsia="ja-JP"/>
        </w:rPr>
        <w:t>Levi-Faur, D</w:t>
      </w:r>
      <w:r w:rsidR="00F53151">
        <w:rPr>
          <w:lang w:eastAsia="ja-JP"/>
        </w:rPr>
        <w:t>.</w:t>
      </w:r>
      <w:r w:rsidRPr="0055646B">
        <w:rPr>
          <w:lang w:eastAsia="ja-JP"/>
        </w:rPr>
        <w:t xml:space="preserve"> (2012) ‘Regulating Capitalism: A Constitutive Approach’</w:t>
      </w:r>
      <w:r w:rsidR="009F78B9">
        <w:rPr>
          <w:lang w:eastAsia="ja-JP"/>
        </w:rPr>
        <w:t xml:space="preserve">, </w:t>
      </w:r>
      <w:r w:rsidRPr="0055646B">
        <w:rPr>
          <w:lang w:eastAsia="ja-JP"/>
        </w:rPr>
        <w:t xml:space="preserve">in </w:t>
      </w:r>
      <w:r w:rsidRPr="0055646B">
        <w:rPr>
          <w:i/>
          <w:iCs/>
          <w:lang w:eastAsia="ja-JP"/>
        </w:rPr>
        <w:t>8</w:t>
      </w:r>
      <w:r w:rsidRPr="0055646B">
        <w:rPr>
          <w:i/>
          <w:iCs/>
          <w:vertAlign w:val="superscript"/>
          <w:lang w:eastAsia="ja-JP"/>
        </w:rPr>
        <w:t>th</w:t>
      </w:r>
      <w:r w:rsidRPr="0055646B">
        <w:rPr>
          <w:i/>
          <w:iCs/>
          <w:lang w:eastAsia="ja-JP"/>
        </w:rPr>
        <w:t xml:space="preserve"> Transatlantic Dialogue on Transitions in governance</w:t>
      </w:r>
      <w:r w:rsidRPr="009F78B9">
        <w:rPr>
          <w:i/>
          <w:iCs/>
          <w:lang w:eastAsia="ja-JP"/>
        </w:rPr>
        <w:t>, at Radboud University, Nijmegen, 6-9 June 2012</w:t>
      </w:r>
      <w:r w:rsidR="009F78B9">
        <w:rPr>
          <w:lang w:eastAsia="ja-JP"/>
        </w:rPr>
        <w:t>.</w:t>
      </w:r>
      <w:r w:rsidRPr="0055646B">
        <w:rPr>
          <w:lang w:eastAsia="ja-JP"/>
        </w:rPr>
        <w:t xml:space="preserve"> </w:t>
      </w:r>
      <w:r w:rsidR="009F78B9">
        <w:rPr>
          <w:lang w:eastAsia="ja-JP"/>
        </w:rPr>
        <w:t xml:space="preserve">Nijmegen, the Netherlands: Radboud University. </w:t>
      </w:r>
      <w:r w:rsidR="00F53151">
        <w:rPr>
          <w:lang w:eastAsia="ja-JP"/>
        </w:rPr>
        <w:t>[</w:t>
      </w:r>
      <w:r w:rsidRPr="0055646B">
        <w:rPr>
          <w:lang w:eastAsia="ja-JP"/>
        </w:rPr>
        <w:t>Conference Paper</w:t>
      </w:r>
      <w:r w:rsidR="00F53151">
        <w:rPr>
          <w:lang w:eastAsia="ja-JP"/>
        </w:rPr>
        <w:t>].</w:t>
      </w:r>
    </w:p>
    <w:p w14:paraId="7402D22B" w14:textId="77777777" w:rsidR="000452AB" w:rsidRPr="0055646B" w:rsidRDefault="000452AB" w:rsidP="0093196D">
      <w:pPr>
        <w:pStyle w:val="NoSpacing"/>
        <w:rPr>
          <w:lang w:eastAsia="ja-JP"/>
        </w:rPr>
      </w:pPr>
    </w:p>
    <w:p w14:paraId="2B45BBC0" w14:textId="77777777" w:rsidR="000452AB" w:rsidRPr="0055646B" w:rsidRDefault="000452AB" w:rsidP="00F53151">
      <w:pPr>
        <w:pStyle w:val="NoSpacing"/>
        <w:rPr>
          <w:lang w:eastAsia="ja-JP"/>
        </w:rPr>
      </w:pPr>
      <w:r w:rsidRPr="0055646B">
        <w:rPr>
          <w:lang w:eastAsia="ja-JP"/>
        </w:rPr>
        <w:t>Leyden, D</w:t>
      </w:r>
      <w:r w:rsidR="00F53151">
        <w:rPr>
          <w:lang w:eastAsia="ja-JP"/>
        </w:rPr>
        <w:t>.</w:t>
      </w:r>
      <w:r w:rsidRPr="0055646B">
        <w:rPr>
          <w:lang w:eastAsia="ja-JP"/>
        </w:rPr>
        <w:t xml:space="preserve"> P</w:t>
      </w:r>
      <w:r w:rsidR="00F53151">
        <w:rPr>
          <w:lang w:eastAsia="ja-JP"/>
        </w:rPr>
        <w:t>.</w:t>
      </w:r>
      <w:r w:rsidRPr="0055646B">
        <w:rPr>
          <w:lang w:eastAsia="ja-JP"/>
        </w:rPr>
        <w:t xml:space="preserve"> and Link, A</w:t>
      </w:r>
      <w:r w:rsidR="00F53151">
        <w:rPr>
          <w:lang w:eastAsia="ja-JP"/>
        </w:rPr>
        <w:t>.</w:t>
      </w:r>
      <w:r w:rsidRPr="0055646B">
        <w:rPr>
          <w:lang w:eastAsia="ja-JP"/>
        </w:rPr>
        <w:t xml:space="preserve"> N. (1991) ‘Privatization, bureaucracy and risk aversion’, </w:t>
      </w:r>
      <w:r w:rsidRPr="00F53151">
        <w:rPr>
          <w:i/>
          <w:iCs/>
          <w:lang w:eastAsia="ja-JP"/>
        </w:rPr>
        <w:t>Public Choice</w:t>
      </w:r>
      <w:r w:rsidR="00F53151">
        <w:rPr>
          <w:lang w:eastAsia="ja-JP"/>
        </w:rPr>
        <w:t xml:space="preserve">, </w:t>
      </w:r>
      <w:r w:rsidRPr="0055646B">
        <w:rPr>
          <w:lang w:eastAsia="ja-JP"/>
        </w:rPr>
        <w:t>76</w:t>
      </w:r>
      <w:r w:rsidR="00F53151">
        <w:rPr>
          <w:lang w:eastAsia="ja-JP"/>
        </w:rPr>
        <w:t>,</w:t>
      </w:r>
      <w:r w:rsidRPr="0055646B">
        <w:rPr>
          <w:lang w:eastAsia="ja-JP"/>
        </w:rPr>
        <w:t xml:space="preserve"> </w:t>
      </w:r>
      <w:r w:rsidR="00F53151">
        <w:rPr>
          <w:lang w:eastAsia="ja-JP"/>
        </w:rPr>
        <w:t>(</w:t>
      </w:r>
      <w:r w:rsidRPr="0055646B">
        <w:rPr>
          <w:lang w:eastAsia="ja-JP"/>
        </w:rPr>
        <w:t>3</w:t>
      </w:r>
      <w:r w:rsidR="00F53151">
        <w:rPr>
          <w:lang w:eastAsia="ja-JP"/>
        </w:rPr>
        <w:t>), pp.199-213.</w:t>
      </w:r>
    </w:p>
    <w:p w14:paraId="2D407F9B" w14:textId="77777777" w:rsidR="0073672A" w:rsidRPr="0055646B" w:rsidRDefault="0073672A" w:rsidP="0093196D">
      <w:pPr>
        <w:pStyle w:val="NoSpacing"/>
        <w:rPr>
          <w:lang w:eastAsia="ja-JP"/>
        </w:rPr>
      </w:pPr>
    </w:p>
    <w:p w14:paraId="1E6C2265" w14:textId="77777777" w:rsidR="000452AB" w:rsidRPr="0055646B" w:rsidRDefault="000452AB" w:rsidP="00F53151">
      <w:pPr>
        <w:pStyle w:val="NoSpacing"/>
        <w:rPr>
          <w:lang w:eastAsia="ja-JP"/>
        </w:rPr>
      </w:pPr>
      <w:r w:rsidRPr="0055646B">
        <w:t>Lijphart, A</w:t>
      </w:r>
      <w:r w:rsidR="00F53151">
        <w:t>.</w:t>
      </w:r>
      <w:r w:rsidRPr="0055646B">
        <w:t xml:space="preserve"> (1971) ‘Comparative Politics and the Comparative Method’, </w:t>
      </w:r>
      <w:r w:rsidRPr="00F53151">
        <w:rPr>
          <w:i/>
          <w:iCs/>
        </w:rPr>
        <w:t>American Political Science Review</w:t>
      </w:r>
      <w:r w:rsidRPr="0055646B">
        <w:t>, 65, pp.682-93</w:t>
      </w:r>
      <w:r w:rsidR="00F53151">
        <w:t>.</w:t>
      </w:r>
    </w:p>
    <w:p w14:paraId="3570424D" w14:textId="77777777" w:rsidR="000452AB" w:rsidRPr="0055646B" w:rsidRDefault="000452AB" w:rsidP="0093196D">
      <w:pPr>
        <w:pStyle w:val="NoSpacing"/>
        <w:rPr>
          <w:lang w:eastAsia="ja-JP"/>
        </w:rPr>
      </w:pPr>
    </w:p>
    <w:p w14:paraId="2EAC53FF" w14:textId="77777777" w:rsidR="000452AB" w:rsidRPr="0055646B" w:rsidRDefault="000452AB" w:rsidP="0093196D">
      <w:pPr>
        <w:pStyle w:val="NoSpacing"/>
        <w:rPr>
          <w:lang w:eastAsia="ja-JP"/>
        </w:rPr>
      </w:pPr>
      <w:r w:rsidRPr="0055646B">
        <w:t>Lindblom</w:t>
      </w:r>
      <w:r w:rsidRPr="0055646B">
        <w:rPr>
          <w:lang w:eastAsia="ja-JP"/>
        </w:rPr>
        <w:t>, C. E.</w:t>
      </w:r>
      <w:r w:rsidRPr="0055646B">
        <w:t xml:space="preserve"> (1977) </w:t>
      </w:r>
      <w:r w:rsidRPr="00F53151">
        <w:rPr>
          <w:i/>
          <w:iCs/>
          <w:lang w:eastAsia="ja-JP"/>
        </w:rPr>
        <w:t>Politics and Markets</w:t>
      </w:r>
      <w:r w:rsidR="00F53151">
        <w:rPr>
          <w:lang w:eastAsia="ja-JP"/>
        </w:rPr>
        <w:t xml:space="preserve">. </w:t>
      </w:r>
      <w:r w:rsidRPr="0055646B">
        <w:rPr>
          <w:lang w:eastAsia="ja-JP"/>
        </w:rPr>
        <w:t>New York</w:t>
      </w:r>
      <w:r w:rsidR="00F53151">
        <w:rPr>
          <w:lang w:eastAsia="ja-JP"/>
        </w:rPr>
        <w:t>: Basic Books.</w:t>
      </w:r>
    </w:p>
    <w:p w14:paraId="241F372E" w14:textId="77777777" w:rsidR="000452AB" w:rsidRPr="0055646B" w:rsidRDefault="000452AB" w:rsidP="0093196D">
      <w:pPr>
        <w:pStyle w:val="NoSpacing"/>
        <w:rPr>
          <w:lang w:eastAsia="ja-JP"/>
        </w:rPr>
      </w:pPr>
    </w:p>
    <w:p w14:paraId="5C949582" w14:textId="77777777" w:rsidR="0073672A" w:rsidRDefault="0073672A" w:rsidP="00D401B0">
      <w:pPr>
        <w:pStyle w:val="NoSpacing"/>
        <w:rPr>
          <w:lang w:eastAsia="ja-JP"/>
        </w:rPr>
      </w:pPr>
      <w:r>
        <w:rPr>
          <w:rFonts w:hint="eastAsia"/>
          <w:lang w:eastAsia="ja-JP"/>
        </w:rPr>
        <w:t>Lowndes, V</w:t>
      </w:r>
      <w:r w:rsidR="00D401B0">
        <w:rPr>
          <w:lang w:eastAsia="ja-JP"/>
        </w:rPr>
        <w:t>.</w:t>
      </w:r>
      <w:r>
        <w:rPr>
          <w:rFonts w:hint="eastAsia"/>
          <w:lang w:eastAsia="ja-JP"/>
        </w:rPr>
        <w:t xml:space="preserve"> (2002) </w:t>
      </w:r>
      <w:r>
        <w:rPr>
          <w:lang w:eastAsia="ja-JP"/>
        </w:rPr>
        <w:t>‘</w:t>
      </w:r>
      <w:r>
        <w:rPr>
          <w:rFonts w:hint="eastAsia"/>
          <w:lang w:eastAsia="ja-JP"/>
        </w:rPr>
        <w:t>Institutionalism</w:t>
      </w:r>
      <w:r>
        <w:rPr>
          <w:lang w:eastAsia="ja-JP"/>
        </w:rPr>
        <w:t>’</w:t>
      </w:r>
      <w:r w:rsidR="00D401B0">
        <w:rPr>
          <w:lang w:eastAsia="ja-JP"/>
        </w:rPr>
        <w:t>,</w:t>
      </w:r>
      <w:r>
        <w:rPr>
          <w:rFonts w:hint="eastAsia"/>
          <w:lang w:eastAsia="ja-JP"/>
        </w:rPr>
        <w:t xml:space="preserve"> in </w:t>
      </w:r>
      <w:r w:rsidR="00D401B0">
        <w:rPr>
          <w:lang w:eastAsia="ja-JP"/>
        </w:rPr>
        <w:t xml:space="preserve">D. </w:t>
      </w:r>
      <w:r>
        <w:rPr>
          <w:rFonts w:hint="eastAsia"/>
          <w:lang w:eastAsia="ja-JP"/>
        </w:rPr>
        <w:t xml:space="preserve">Marsh and </w:t>
      </w:r>
      <w:r w:rsidR="00D401B0">
        <w:rPr>
          <w:lang w:eastAsia="ja-JP"/>
        </w:rPr>
        <w:t xml:space="preserve">G. </w:t>
      </w:r>
      <w:r>
        <w:rPr>
          <w:rFonts w:hint="eastAsia"/>
          <w:lang w:eastAsia="ja-JP"/>
        </w:rPr>
        <w:t xml:space="preserve">Stoker </w:t>
      </w:r>
      <w:r w:rsidR="00D401B0">
        <w:rPr>
          <w:lang w:eastAsia="ja-JP"/>
        </w:rPr>
        <w:t>(</w:t>
      </w:r>
      <w:r>
        <w:rPr>
          <w:rFonts w:hint="eastAsia"/>
          <w:lang w:eastAsia="ja-JP"/>
        </w:rPr>
        <w:t>ed</w:t>
      </w:r>
      <w:r w:rsidR="00796C3D">
        <w:rPr>
          <w:lang w:eastAsia="ja-JP"/>
        </w:rPr>
        <w:t>s</w:t>
      </w:r>
      <w:r w:rsidR="00D401B0">
        <w:rPr>
          <w:lang w:eastAsia="ja-JP"/>
        </w:rPr>
        <w:t>),</w:t>
      </w:r>
      <w:r>
        <w:rPr>
          <w:rFonts w:hint="eastAsia"/>
          <w:lang w:eastAsia="ja-JP"/>
        </w:rPr>
        <w:t xml:space="preserve"> </w:t>
      </w:r>
      <w:r w:rsidRPr="00D401B0">
        <w:rPr>
          <w:rFonts w:hint="eastAsia"/>
          <w:i/>
          <w:iCs/>
          <w:lang w:eastAsia="ja-JP"/>
        </w:rPr>
        <w:t>Theory and Methods in Poilitical Science</w:t>
      </w:r>
      <w:r w:rsidR="00D401B0">
        <w:rPr>
          <w:lang w:eastAsia="ja-JP"/>
        </w:rPr>
        <w:t>,</w:t>
      </w:r>
      <w:r>
        <w:rPr>
          <w:rFonts w:hint="eastAsia"/>
          <w:lang w:eastAsia="ja-JP"/>
        </w:rPr>
        <w:t xml:space="preserve"> Second Edition</w:t>
      </w:r>
      <w:r w:rsidR="00D401B0">
        <w:rPr>
          <w:lang w:eastAsia="ja-JP"/>
        </w:rPr>
        <w:t>.</w:t>
      </w:r>
      <w:r>
        <w:rPr>
          <w:rFonts w:hint="eastAsia"/>
          <w:lang w:eastAsia="ja-JP"/>
        </w:rPr>
        <w:t xml:space="preserve"> Basingstoke, Hampshire</w:t>
      </w:r>
      <w:r w:rsidR="00D401B0">
        <w:rPr>
          <w:lang w:eastAsia="ja-JP"/>
        </w:rPr>
        <w:t xml:space="preserve">: </w:t>
      </w:r>
      <w:r w:rsidR="00D401B0">
        <w:rPr>
          <w:rFonts w:hint="eastAsia"/>
          <w:lang w:eastAsia="ja-JP"/>
        </w:rPr>
        <w:t>Palgrave Macmillan,</w:t>
      </w:r>
      <w:r w:rsidR="0085315F">
        <w:rPr>
          <w:rFonts w:hint="eastAsia"/>
          <w:lang w:eastAsia="ja-JP"/>
        </w:rPr>
        <w:t xml:space="preserve"> pp.90-108</w:t>
      </w:r>
      <w:r w:rsidR="00D401B0">
        <w:rPr>
          <w:lang w:eastAsia="ja-JP"/>
        </w:rPr>
        <w:t>.</w:t>
      </w:r>
    </w:p>
    <w:p w14:paraId="4B38861A" w14:textId="77777777" w:rsidR="0073672A" w:rsidRDefault="0073672A" w:rsidP="0093196D">
      <w:pPr>
        <w:pStyle w:val="NoSpacing"/>
        <w:rPr>
          <w:lang w:eastAsia="ja-JP"/>
        </w:rPr>
      </w:pPr>
    </w:p>
    <w:p w14:paraId="527D602C" w14:textId="77777777" w:rsidR="000452AB" w:rsidRPr="0055646B" w:rsidRDefault="000452AB" w:rsidP="00D401B0">
      <w:pPr>
        <w:pStyle w:val="NoSpacing"/>
      </w:pPr>
      <w:r w:rsidRPr="0055646B">
        <w:t xml:space="preserve">Lupton, T. (1963) </w:t>
      </w:r>
      <w:r w:rsidRPr="00D401B0">
        <w:rPr>
          <w:i/>
          <w:iCs/>
        </w:rPr>
        <w:t>On the S</w:t>
      </w:r>
      <w:r w:rsidRPr="00D401B0">
        <w:rPr>
          <w:rFonts w:hint="eastAsia"/>
          <w:i/>
          <w:iCs/>
          <w:lang w:eastAsia="ja-JP"/>
        </w:rPr>
        <w:t>h</w:t>
      </w:r>
      <w:r w:rsidRPr="00D401B0">
        <w:rPr>
          <w:i/>
          <w:iCs/>
        </w:rPr>
        <w:t>op Floor</w:t>
      </w:r>
      <w:r w:rsidR="00D401B0">
        <w:t>.</w:t>
      </w:r>
      <w:r w:rsidRPr="0055646B">
        <w:t xml:space="preserve"> Oxford</w:t>
      </w:r>
      <w:r w:rsidR="00D401B0">
        <w:t>: Pergamon.</w:t>
      </w:r>
    </w:p>
    <w:p w14:paraId="2EDF51D3" w14:textId="77777777" w:rsidR="000452AB" w:rsidRPr="0055646B" w:rsidRDefault="000452AB" w:rsidP="0093196D">
      <w:pPr>
        <w:pStyle w:val="NoSpacing"/>
        <w:rPr>
          <w:lang w:eastAsia="ja-JP"/>
        </w:rPr>
      </w:pPr>
    </w:p>
    <w:p w14:paraId="4852DD53" w14:textId="77777777" w:rsidR="000452AB" w:rsidRPr="0055646B" w:rsidRDefault="000452AB" w:rsidP="002220EE">
      <w:pPr>
        <w:pStyle w:val="NoSpacing"/>
        <w:rPr>
          <w:lang w:eastAsia="ja-JP"/>
        </w:rPr>
      </w:pPr>
      <w:r w:rsidRPr="0055646B">
        <w:rPr>
          <w:lang w:eastAsia="ja-JP"/>
        </w:rPr>
        <w:t>Madgwick, P</w:t>
      </w:r>
      <w:r w:rsidR="00D401B0">
        <w:rPr>
          <w:lang w:eastAsia="ja-JP"/>
        </w:rPr>
        <w:t>. J.</w:t>
      </w:r>
      <w:r w:rsidRPr="0055646B">
        <w:rPr>
          <w:lang w:eastAsia="ja-JP"/>
        </w:rPr>
        <w:t xml:space="preserve"> (1991) </w:t>
      </w:r>
      <w:r w:rsidRPr="002220EE">
        <w:rPr>
          <w:i/>
          <w:iCs/>
          <w:lang w:eastAsia="ja-JP"/>
        </w:rPr>
        <w:t>British Government: The Central Executive Territory</w:t>
      </w:r>
      <w:r w:rsidR="002220EE">
        <w:rPr>
          <w:lang w:eastAsia="ja-JP"/>
        </w:rPr>
        <w:t>. New York/London:</w:t>
      </w:r>
      <w:r w:rsidR="00D401B0">
        <w:rPr>
          <w:lang w:eastAsia="ja-JP"/>
        </w:rPr>
        <w:t xml:space="preserve"> </w:t>
      </w:r>
      <w:r w:rsidR="00D401B0" w:rsidRPr="0055646B">
        <w:rPr>
          <w:lang w:eastAsia="ja-JP"/>
        </w:rPr>
        <w:t>Phillip Allan</w:t>
      </w:r>
      <w:r w:rsidR="002220EE">
        <w:rPr>
          <w:lang w:eastAsia="ja-JP"/>
        </w:rPr>
        <w:t>.</w:t>
      </w:r>
    </w:p>
    <w:p w14:paraId="2E01928B" w14:textId="77777777" w:rsidR="000452AB" w:rsidRPr="0055646B" w:rsidRDefault="000452AB" w:rsidP="0093196D">
      <w:pPr>
        <w:pStyle w:val="NoSpacing"/>
        <w:rPr>
          <w:lang w:eastAsia="ja-JP"/>
        </w:rPr>
      </w:pPr>
    </w:p>
    <w:p w14:paraId="0D5FACBA" w14:textId="77777777" w:rsidR="000452AB" w:rsidRPr="0055646B" w:rsidRDefault="000452AB" w:rsidP="00796C3D">
      <w:pPr>
        <w:pStyle w:val="NoSpacing"/>
        <w:rPr>
          <w:lang w:eastAsia="ja-JP"/>
        </w:rPr>
      </w:pPr>
      <w:r w:rsidRPr="0055646B">
        <w:rPr>
          <w:rFonts w:hint="eastAsia"/>
          <w:lang w:eastAsia="ja-JP"/>
        </w:rPr>
        <w:t>Mahoney, J</w:t>
      </w:r>
      <w:r w:rsidR="006D6A6C">
        <w:rPr>
          <w:lang w:eastAsia="ja-JP"/>
        </w:rPr>
        <w:t>.</w:t>
      </w:r>
      <w:r w:rsidRPr="0055646B">
        <w:rPr>
          <w:rFonts w:hint="eastAsia"/>
          <w:lang w:eastAsia="ja-JP"/>
        </w:rPr>
        <w:t xml:space="preserve"> (2000) </w:t>
      </w:r>
      <w:r w:rsidRPr="0055646B">
        <w:rPr>
          <w:lang w:eastAsia="ja-JP"/>
        </w:rPr>
        <w:t>‘</w:t>
      </w:r>
      <w:r w:rsidRPr="0055646B">
        <w:rPr>
          <w:rFonts w:hint="eastAsia"/>
          <w:lang w:eastAsia="ja-JP"/>
        </w:rPr>
        <w:t xml:space="preserve">Path Dependence in Historical </w:t>
      </w:r>
      <w:r w:rsidRPr="0055646B">
        <w:rPr>
          <w:lang w:eastAsia="ja-JP"/>
        </w:rPr>
        <w:t>Sociology’</w:t>
      </w:r>
      <w:r w:rsidRPr="0055646B">
        <w:rPr>
          <w:rFonts w:hint="eastAsia"/>
          <w:lang w:eastAsia="ja-JP"/>
        </w:rPr>
        <w:t xml:space="preserve">, </w:t>
      </w:r>
      <w:r w:rsidRPr="006D6A6C">
        <w:rPr>
          <w:i/>
          <w:iCs/>
          <w:lang w:eastAsia="ja-JP"/>
        </w:rPr>
        <w:t>Theory and Society</w:t>
      </w:r>
      <w:r w:rsidR="006D6A6C">
        <w:rPr>
          <w:lang w:eastAsia="ja-JP"/>
        </w:rPr>
        <w:t xml:space="preserve">, </w:t>
      </w:r>
      <w:r w:rsidRPr="0055646B">
        <w:rPr>
          <w:lang w:eastAsia="ja-JP"/>
        </w:rPr>
        <w:t>29</w:t>
      </w:r>
      <w:r w:rsidR="006D6A6C">
        <w:rPr>
          <w:lang w:eastAsia="ja-JP"/>
        </w:rPr>
        <w:t>, (4)</w:t>
      </w:r>
      <w:r w:rsidRPr="0055646B">
        <w:rPr>
          <w:lang w:eastAsia="ja-JP"/>
        </w:rPr>
        <w:t>, pp.507-48</w:t>
      </w:r>
      <w:r w:rsidR="006D6A6C">
        <w:rPr>
          <w:lang w:eastAsia="ja-JP"/>
        </w:rPr>
        <w:t>.</w:t>
      </w:r>
    </w:p>
    <w:p w14:paraId="2A7200F6" w14:textId="77777777" w:rsidR="000452AB" w:rsidRPr="0055646B" w:rsidRDefault="000452AB" w:rsidP="0093196D">
      <w:pPr>
        <w:pStyle w:val="NoSpacing"/>
        <w:rPr>
          <w:lang w:eastAsia="ja-JP"/>
        </w:rPr>
      </w:pPr>
    </w:p>
    <w:p w14:paraId="729BA957" w14:textId="77777777" w:rsidR="000452AB" w:rsidRPr="0055646B" w:rsidRDefault="000452AB" w:rsidP="006D6A6C">
      <w:pPr>
        <w:pStyle w:val="NoSpacing"/>
        <w:rPr>
          <w:lang w:eastAsia="ja-JP"/>
        </w:rPr>
      </w:pPr>
      <w:r w:rsidRPr="0055646B">
        <w:rPr>
          <w:rFonts w:hint="eastAsia"/>
          <w:lang w:eastAsia="ja-JP"/>
        </w:rPr>
        <w:t>Mahoney, J</w:t>
      </w:r>
      <w:r w:rsidR="006D6A6C">
        <w:rPr>
          <w:lang w:eastAsia="ja-JP"/>
        </w:rPr>
        <w:t>.</w:t>
      </w:r>
      <w:r w:rsidRPr="0055646B">
        <w:rPr>
          <w:rFonts w:hint="eastAsia"/>
          <w:lang w:eastAsia="ja-JP"/>
        </w:rPr>
        <w:t xml:space="preserve"> and Thelen, K</w:t>
      </w:r>
      <w:r w:rsidR="006D6A6C">
        <w:rPr>
          <w:lang w:eastAsia="ja-JP"/>
        </w:rPr>
        <w:t>.</w:t>
      </w:r>
      <w:r w:rsidRPr="0055646B">
        <w:rPr>
          <w:rFonts w:hint="eastAsia"/>
          <w:lang w:eastAsia="ja-JP"/>
        </w:rPr>
        <w:t xml:space="preserve"> (2010) </w:t>
      </w:r>
      <w:r w:rsidRPr="0055646B">
        <w:rPr>
          <w:lang w:eastAsia="ja-JP"/>
        </w:rPr>
        <w:t>‘</w:t>
      </w:r>
      <w:r w:rsidRPr="0055646B">
        <w:rPr>
          <w:rFonts w:hint="eastAsia"/>
          <w:lang w:eastAsia="ja-JP"/>
        </w:rPr>
        <w:t>A Theory of Gradual Institutional C</w:t>
      </w:r>
      <w:r w:rsidRPr="0055646B">
        <w:rPr>
          <w:lang w:eastAsia="ja-JP"/>
        </w:rPr>
        <w:t>h</w:t>
      </w:r>
      <w:r w:rsidRPr="0055646B">
        <w:rPr>
          <w:rFonts w:hint="eastAsia"/>
          <w:lang w:eastAsia="ja-JP"/>
        </w:rPr>
        <w:t>ange</w:t>
      </w:r>
      <w:r w:rsidRPr="0055646B">
        <w:rPr>
          <w:lang w:eastAsia="ja-JP"/>
        </w:rPr>
        <w:t>’</w:t>
      </w:r>
      <w:r w:rsidR="00796C3D">
        <w:rPr>
          <w:lang w:eastAsia="ja-JP"/>
        </w:rPr>
        <w:t>,</w:t>
      </w:r>
      <w:r w:rsidRPr="0055646B">
        <w:rPr>
          <w:rFonts w:hint="eastAsia"/>
          <w:lang w:eastAsia="ja-JP"/>
        </w:rPr>
        <w:t xml:space="preserve"> in </w:t>
      </w:r>
      <w:r w:rsidR="006D6A6C">
        <w:rPr>
          <w:lang w:eastAsia="ja-JP"/>
        </w:rPr>
        <w:t xml:space="preserve">J. </w:t>
      </w:r>
      <w:r w:rsidRPr="0055646B">
        <w:rPr>
          <w:rFonts w:hint="eastAsia"/>
          <w:lang w:eastAsia="ja-JP"/>
        </w:rPr>
        <w:t xml:space="preserve">Mahoney and </w:t>
      </w:r>
      <w:r w:rsidR="006D6A6C">
        <w:rPr>
          <w:lang w:eastAsia="ja-JP"/>
        </w:rPr>
        <w:t xml:space="preserve">K. </w:t>
      </w:r>
      <w:r w:rsidRPr="0055646B">
        <w:rPr>
          <w:rFonts w:hint="eastAsia"/>
          <w:lang w:eastAsia="ja-JP"/>
        </w:rPr>
        <w:t xml:space="preserve">Thelen </w:t>
      </w:r>
      <w:r w:rsidR="006D6A6C">
        <w:rPr>
          <w:lang w:eastAsia="ja-JP"/>
        </w:rPr>
        <w:t>(</w:t>
      </w:r>
      <w:r w:rsidRPr="0055646B">
        <w:rPr>
          <w:rFonts w:hint="eastAsia"/>
          <w:lang w:eastAsia="ja-JP"/>
        </w:rPr>
        <w:t>ed</w:t>
      </w:r>
      <w:r w:rsidR="006D6A6C">
        <w:rPr>
          <w:lang w:eastAsia="ja-JP"/>
        </w:rPr>
        <w:t>s),</w:t>
      </w:r>
      <w:r w:rsidRPr="0055646B">
        <w:rPr>
          <w:rFonts w:hint="eastAsia"/>
          <w:lang w:eastAsia="ja-JP"/>
        </w:rPr>
        <w:t xml:space="preserve"> </w:t>
      </w:r>
      <w:r w:rsidRPr="006D6A6C">
        <w:rPr>
          <w:rFonts w:hint="eastAsia"/>
          <w:i/>
          <w:iCs/>
          <w:lang w:eastAsia="ja-JP"/>
        </w:rPr>
        <w:t>Explaining Institutional Change: A</w:t>
      </w:r>
      <w:r w:rsidRPr="006D6A6C">
        <w:rPr>
          <w:i/>
          <w:iCs/>
          <w:lang w:eastAsia="ja-JP"/>
        </w:rPr>
        <w:t>m</w:t>
      </w:r>
      <w:r w:rsidRPr="006D6A6C">
        <w:rPr>
          <w:rFonts w:hint="eastAsia"/>
          <w:i/>
          <w:iCs/>
          <w:lang w:eastAsia="ja-JP"/>
        </w:rPr>
        <w:t>biguity, Agency and Power</w:t>
      </w:r>
      <w:r w:rsidR="006D6A6C">
        <w:rPr>
          <w:lang w:eastAsia="ja-JP"/>
        </w:rPr>
        <w:t>.</w:t>
      </w:r>
      <w:r w:rsidRPr="0055646B">
        <w:rPr>
          <w:rFonts w:hint="eastAsia"/>
          <w:lang w:eastAsia="ja-JP"/>
        </w:rPr>
        <w:t xml:space="preserve"> </w:t>
      </w:r>
      <w:r w:rsidR="006D6A6C">
        <w:rPr>
          <w:lang w:eastAsia="ja-JP"/>
        </w:rPr>
        <w:t xml:space="preserve">New York: </w:t>
      </w:r>
      <w:r w:rsidRPr="0055646B">
        <w:rPr>
          <w:rFonts w:hint="eastAsia"/>
          <w:lang w:eastAsia="ja-JP"/>
        </w:rPr>
        <w:t>Cambridge UP, pp.1-37</w:t>
      </w:r>
      <w:r w:rsidR="006D6A6C">
        <w:rPr>
          <w:lang w:eastAsia="ja-JP"/>
        </w:rPr>
        <w:t>.</w:t>
      </w:r>
    </w:p>
    <w:p w14:paraId="58BC75DA" w14:textId="77777777" w:rsidR="000452AB" w:rsidRPr="0055646B" w:rsidRDefault="000452AB" w:rsidP="0093196D">
      <w:pPr>
        <w:pStyle w:val="NoSpacing"/>
        <w:rPr>
          <w:lang w:eastAsia="ja-JP"/>
        </w:rPr>
      </w:pPr>
    </w:p>
    <w:p w14:paraId="510200CA" w14:textId="77777777" w:rsidR="000452AB" w:rsidRPr="0055646B" w:rsidRDefault="000452AB" w:rsidP="00947BB0">
      <w:pPr>
        <w:pStyle w:val="NoSpacing"/>
        <w:rPr>
          <w:lang w:eastAsia="ja-JP"/>
        </w:rPr>
      </w:pPr>
      <w:r w:rsidRPr="00947BB0">
        <w:rPr>
          <w:lang w:eastAsia="ja-JP"/>
        </w:rPr>
        <w:t>Maier, C</w:t>
      </w:r>
      <w:r w:rsidR="00947BB0" w:rsidRPr="00947BB0">
        <w:rPr>
          <w:lang w:eastAsia="ja-JP"/>
        </w:rPr>
        <w:t>.</w:t>
      </w:r>
      <w:r w:rsidRPr="00947BB0">
        <w:rPr>
          <w:lang w:eastAsia="ja-JP"/>
        </w:rPr>
        <w:t xml:space="preserve"> S. (1987) ‘introduction’, in </w:t>
      </w:r>
      <w:r w:rsidR="00947BB0" w:rsidRPr="00947BB0">
        <w:rPr>
          <w:lang w:eastAsia="ja-JP"/>
        </w:rPr>
        <w:t xml:space="preserve">C. S. </w:t>
      </w:r>
      <w:r w:rsidRPr="00947BB0">
        <w:rPr>
          <w:lang w:eastAsia="ja-JP"/>
        </w:rPr>
        <w:t xml:space="preserve">Maier </w:t>
      </w:r>
      <w:r w:rsidR="00947BB0" w:rsidRPr="00947BB0">
        <w:rPr>
          <w:lang w:eastAsia="ja-JP"/>
        </w:rPr>
        <w:t>(</w:t>
      </w:r>
      <w:r w:rsidRPr="00947BB0">
        <w:rPr>
          <w:lang w:eastAsia="ja-JP"/>
        </w:rPr>
        <w:t>ed</w:t>
      </w:r>
      <w:r w:rsidR="00947BB0" w:rsidRPr="00947BB0">
        <w:rPr>
          <w:lang w:eastAsia="ja-JP"/>
        </w:rPr>
        <w:t>),</w:t>
      </w:r>
      <w:r w:rsidRPr="00947BB0">
        <w:rPr>
          <w:lang w:eastAsia="ja-JP"/>
        </w:rPr>
        <w:t xml:space="preserve"> </w:t>
      </w:r>
      <w:r w:rsidRPr="00947BB0">
        <w:rPr>
          <w:i/>
          <w:iCs/>
          <w:lang w:eastAsia="ja-JP"/>
        </w:rPr>
        <w:t>Changing Boundaries of the Political</w:t>
      </w:r>
      <w:r w:rsidR="00947BB0">
        <w:rPr>
          <w:lang w:eastAsia="ja-JP"/>
        </w:rPr>
        <w:t>.</w:t>
      </w:r>
      <w:r w:rsidRPr="0055646B">
        <w:rPr>
          <w:lang w:eastAsia="ja-JP"/>
        </w:rPr>
        <w:t xml:space="preserve"> </w:t>
      </w:r>
      <w:r w:rsidR="00947BB0">
        <w:rPr>
          <w:lang w:eastAsia="ja-JP"/>
        </w:rPr>
        <w:t xml:space="preserve">Cambridge: </w:t>
      </w:r>
      <w:r w:rsidRPr="0055646B">
        <w:rPr>
          <w:lang w:eastAsia="ja-JP"/>
        </w:rPr>
        <w:t>Cambridge UP, pp.1-24</w:t>
      </w:r>
      <w:r w:rsidR="00947BB0">
        <w:rPr>
          <w:lang w:eastAsia="ja-JP"/>
        </w:rPr>
        <w:t>.</w:t>
      </w:r>
    </w:p>
    <w:p w14:paraId="54E521FE" w14:textId="77777777" w:rsidR="000452AB" w:rsidRPr="0055646B" w:rsidRDefault="000452AB" w:rsidP="0093196D">
      <w:pPr>
        <w:pStyle w:val="NoSpacing"/>
        <w:rPr>
          <w:lang w:eastAsia="ja-JP"/>
        </w:rPr>
      </w:pPr>
    </w:p>
    <w:p w14:paraId="7555FA97" w14:textId="77777777" w:rsidR="000452AB" w:rsidRPr="0055646B" w:rsidRDefault="000452AB" w:rsidP="00F05542">
      <w:pPr>
        <w:pStyle w:val="NoSpacing"/>
        <w:rPr>
          <w:lang w:eastAsia="ja-JP"/>
        </w:rPr>
      </w:pPr>
      <w:r w:rsidRPr="0055646B">
        <w:rPr>
          <w:rFonts w:hint="eastAsia"/>
          <w:lang w:eastAsia="ja-JP"/>
        </w:rPr>
        <w:t>Majone, G</w:t>
      </w:r>
      <w:r w:rsidR="00F05542">
        <w:rPr>
          <w:lang w:eastAsia="ja-JP"/>
        </w:rPr>
        <w:t>.</w:t>
      </w:r>
      <w:r w:rsidRPr="0055646B">
        <w:rPr>
          <w:rFonts w:hint="eastAsia"/>
          <w:lang w:eastAsia="ja-JP"/>
        </w:rPr>
        <w:t xml:space="preserve"> (1991) </w:t>
      </w:r>
      <w:r w:rsidRPr="0055646B">
        <w:rPr>
          <w:lang w:eastAsia="ja-JP"/>
        </w:rPr>
        <w:t>‘</w:t>
      </w:r>
      <w:r w:rsidRPr="0055646B">
        <w:rPr>
          <w:rFonts w:hint="eastAsia"/>
          <w:lang w:eastAsia="ja-JP"/>
        </w:rPr>
        <w:t>Cross-National Sources of Regulatory Policymaking in Europe and the United States</w:t>
      </w:r>
      <w:r w:rsidRPr="0055646B">
        <w:rPr>
          <w:lang w:eastAsia="ja-JP"/>
        </w:rPr>
        <w:t>’</w:t>
      </w:r>
      <w:r w:rsidRPr="0055646B">
        <w:rPr>
          <w:rFonts w:hint="eastAsia"/>
          <w:lang w:eastAsia="ja-JP"/>
        </w:rPr>
        <w:t xml:space="preserve">, </w:t>
      </w:r>
      <w:r w:rsidRPr="00F05542">
        <w:rPr>
          <w:rFonts w:hint="eastAsia"/>
          <w:i/>
          <w:iCs/>
          <w:lang w:eastAsia="ja-JP"/>
        </w:rPr>
        <w:t>Journal of Public Policy</w:t>
      </w:r>
      <w:r w:rsidR="00F05542">
        <w:rPr>
          <w:lang w:eastAsia="ja-JP"/>
        </w:rPr>
        <w:t xml:space="preserve">, </w:t>
      </w:r>
      <w:r w:rsidRPr="0055646B">
        <w:rPr>
          <w:rFonts w:hint="eastAsia"/>
          <w:lang w:eastAsia="ja-JP"/>
        </w:rPr>
        <w:t>11</w:t>
      </w:r>
      <w:r w:rsidR="00F05542">
        <w:rPr>
          <w:lang w:eastAsia="ja-JP"/>
        </w:rPr>
        <w:t>, (1),</w:t>
      </w:r>
      <w:r w:rsidRPr="0055646B">
        <w:rPr>
          <w:rFonts w:hint="eastAsia"/>
          <w:lang w:eastAsia="ja-JP"/>
        </w:rPr>
        <w:t xml:space="preserve"> pp.79-106</w:t>
      </w:r>
      <w:r w:rsidR="00F05542">
        <w:rPr>
          <w:lang w:eastAsia="ja-JP"/>
        </w:rPr>
        <w:t>.</w:t>
      </w:r>
    </w:p>
    <w:p w14:paraId="7E7B7394" w14:textId="77777777" w:rsidR="000452AB" w:rsidRPr="0055646B" w:rsidRDefault="000452AB" w:rsidP="0093196D">
      <w:pPr>
        <w:pStyle w:val="NoSpacing"/>
        <w:rPr>
          <w:lang w:eastAsia="ja-JP"/>
        </w:rPr>
      </w:pPr>
    </w:p>
    <w:p w14:paraId="610DF75D" w14:textId="77777777" w:rsidR="000452AB" w:rsidRPr="0055646B" w:rsidRDefault="000452AB" w:rsidP="00F05542">
      <w:pPr>
        <w:pStyle w:val="NoSpacing"/>
        <w:rPr>
          <w:lang w:eastAsia="ja-JP"/>
        </w:rPr>
      </w:pPr>
      <w:r w:rsidRPr="0055646B">
        <w:rPr>
          <w:rFonts w:hint="eastAsia"/>
          <w:lang w:eastAsia="ja-JP"/>
        </w:rPr>
        <w:t>Majone, G</w:t>
      </w:r>
      <w:r w:rsidR="00F05542">
        <w:rPr>
          <w:lang w:eastAsia="ja-JP"/>
        </w:rPr>
        <w:t>.</w:t>
      </w:r>
      <w:r w:rsidRPr="0055646B">
        <w:rPr>
          <w:rFonts w:hint="eastAsia"/>
          <w:lang w:eastAsia="ja-JP"/>
        </w:rPr>
        <w:t xml:space="preserve"> (1994) </w:t>
      </w:r>
      <w:r w:rsidRPr="0055646B">
        <w:rPr>
          <w:lang w:eastAsia="ja-JP"/>
        </w:rPr>
        <w:t>‘</w:t>
      </w:r>
      <w:r w:rsidRPr="0055646B">
        <w:rPr>
          <w:rFonts w:hint="eastAsia"/>
          <w:lang w:eastAsia="ja-JP"/>
        </w:rPr>
        <w:t>The Rise of the Regulatory State in Europe</w:t>
      </w:r>
      <w:r w:rsidRPr="0055646B">
        <w:rPr>
          <w:lang w:eastAsia="ja-JP"/>
        </w:rPr>
        <w:t>’</w:t>
      </w:r>
      <w:r w:rsidR="00F05542">
        <w:rPr>
          <w:lang w:eastAsia="ja-JP"/>
        </w:rPr>
        <w:t>,</w:t>
      </w:r>
      <w:r w:rsidRPr="0055646B">
        <w:rPr>
          <w:rFonts w:hint="eastAsia"/>
          <w:lang w:eastAsia="ja-JP"/>
        </w:rPr>
        <w:t xml:space="preserve"> </w:t>
      </w:r>
      <w:r w:rsidRPr="00F05542">
        <w:rPr>
          <w:rFonts w:hint="eastAsia"/>
          <w:i/>
          <w:iCs/>
          <w:lang w:eastAsia="ja-JP"/>
        </w:rPr>
        <w:t>West European Politics</w:t>
      </w:r>
      <w:r w:rsidR="00F05542">
        <w:rPr>
          <w:lang w:eastAsia="ja-JP"/>
        </w:rPr>
        <w:t xml:space="preserve">, </w:t>
      </w:r>
      <w:r w:rsidRPr="0055646B">
        <w:rPr>
          <w:rFonts w:hint="eastAsia"/>
          <w:lang w:eastAsia="ja-JP"/>
        </w:rPr>
        <w:t>17</w:t>
      </w:r>
      <w:r w:rsidR="00F05542">
        <w:rPr>
          <w:lang w:eastAsia="ja-JP"/>
        </w:rPr>
        <w:t>, (3),</w:t>
      </w:r>
      <w:r w:rsidRPr="0055646B">
        <w:rPr>
          <w:rFonts w:hint="eastAsia"/>
          <w:lang w:eastAsia="ja-JP"/>
        </w:rPr>
        <w:t xml:space="preserve"> pp.77-101</w:t>
      </w:r>
      <w:r w:rsidR="00F05542">
        <w:rPr>
          <w:lang w:eastAsia="ja-JP"/>
        </w:rPr>
        <w:t>.</w:t>
      </w:r>
    </w:p>
    <w:p w14:paraId="6FD79BB3" w14:textId="77777777" w:rsidR="000452AB" w:rsidRPr="0055646B" w:rsidRDefault="000452AB" w:rsidP="0093196D">
      <w:pPr>
        <w:pStyle w:val="NoSpacing"/>
        <w:rPr>
          <w:lang w:eastAsia="ja-JP"/>
        </w:rPr>
      </w:pPr>
    </w:p>
    <w:p w14:paraId="3D7D17F7" w14:textId="77777777" w:rsidR="000452AB" w:rsidRPr="0055646B" w:rsidRDefault="000452AB" w:rsidP="00F05542">
      <w:pPr>
        <w:pStyle w:val="NoSpacing"/>
        <w:rPr>
          <w:lang w:eastAsia="ja-JP"/>
        </w:rPr>
      </w:pPr>
      <w:r w:rsidRPr="0055646B">
        <w:rPr>
          <w:lang w:eastAsia="ja-JP"/>
        </w:rPr>
        <w:t>Majone, G</w:t>
      </w:r>
      <w:r w:rsidR="00F05542">
        <w:rPr>
          <w:lang w:eastAsia="ja-JP"/>
        </w:rPr>
        <w:t>.</w:t>
      </w:r>
      <w:r w:rsidRPr="0055646B">
        <w:rPr>
          <w:lang w:eastAsia="ja-JP"/>
        </w:rPr>
        <w:t xml:space="preserve"> (1996) ‘The rise of statutory regulation in Europe’ in </w:t>
      </w:r>
      <w:r w:rsidR="00F05542">
        <w:rPr>
          <w:lang w:eastAsia="ja-JP"/>
        </w:rPr>
        <w:t xml:space="preserve">G. </w:t>
      </w:r>
      <w:r w:rsidRPr="0055646B">
        <w:rPr>
          <w:lang w:eastAsia="ja-JP"/>
        </w:rPr>
        <w:t xml:space="preserve">Majone </w:t>
      </w:r>
      <w:r w:rsidR="00F05542">
        <w:rPr>
          <w:lang w:eastAsia="ja-JP"/>
        </w:rPr>
        <w:t>(</w:t>
      </w:r>
      <w:r w:rsidRPr="0055646B">
        <w:rPr>
          <w:lang w:eastAsia="ja-JP"/>
        </w:rPr>
        <w:t>ed</w:t>
      </w:r>
      <w:r w:rsidR="00F05542">
        <w:rPr>
          <w:lang w:eastAsia="ja-JP"/>
        </w:rPr>
        <w:t>),</w:t>
      </w:r>
      <w:r w:rsidRPr="0055646B">
        <w:rPr>
          <w:lang w:eastAsia="ja-JP"/>
        </w:rPr>
        <w:t xml:space="preserve"> </w:t>
      </w:r>
      <w:r w:rsidRPr="00F05542">
        <w:rPr>
          <w:i/>
          <w:iCs/>
          <w:lang w:eastAsia="ja-JP"/>
        </w:rPr>
        <w:t>Regulationg Europe</w:t>
      </w:r>
      <w:r w:rsidR="00F05542">
        <w:rPr>
          <w:lang w:eastAsia="ja-JP"/>
        </w:rPr>
        <w:t>.</w:t>
      </w:r>
      <w:r w:rsidRPr="0055646B">
        <w:rPr>
          <w:lang w:eastAsia="ja-JP"/>
        </w:rPr>
        <w:t xml:space="preserve"> </w:t>
      </w:r>
      <w:r w:rsidR="00F05542">
        <w:rPr>
          <w:lang w:eastAsia="ja-JP"/>
        </w:rPr>
        <w:t xml:space="preserve">London/New York: </w:t>
      </w:r>
      <w:r w:rsidRPr="0055646B">
        <w:rPr>
          <w:lang w:eastAsia="ja-JP"/>
        </w:rPr>
        <w:t>Routledge</w:t>
      </w:r>
      <w:r w:rsidR="00F05542">
        <w:rPr>
          <w:lang w:eastAsia="ja-JP"/>
        </w:rPr>
        <w:t>.</w:t>
      </w:r>
    </w:p>
    <w:p w14:paraId="030D34FA" w14:textId="77777777" w:rsidR="000452AB" w:rsidRPr="0055646B" w:rsidRDefault="000452AB" w:rsidP="0093196D">
      <w:pPr>
        <w:pStyle w:val="NoSpacing"/>
        <w:rPr>
          <w:lang w:eastAsia="ja-JP"/>
        </w:rPr>
      </w:pPr>
    </w:p>
    <w:p w14:paraId="2CB610EC" w14:textId="77777777" w:rsidR="000452AB" w:rsidRPr="0055646B" w:rsidRDefault="000452AB" w:rsidP="00F05542">
      <w:pPr>
        <w:pStyle w:val="NoSpacing"/>
        <w:rPr>
          <w:lang w:eastAsia="ja-JP"/>
        </w:rPr>
      </w:pPr>
      <w:r w:rsidRPr="0055646B">
        <w:rPr>
          <w:rFonts w:hint="eastAsia"/>
          <w:lang w:eastAsia="ja-JP"/>
        </w:rPr>
        <w:t>Majone, G</w:t>
      </w:r>
      <w:r w:rsidR="00F05542">
        <w:rPr>
          <w:lang w:eastAsia="ja-JP"/>
        </w:rPr>
        <w:t>.</w:t>
      </w:r>
      <w:r w:rsidRPr="0055646B">
        <w:rPr>
          <w:rFonts w:hint="eastAsia"/>
          <w:lang w:eastAsia="ja-JP"/>
        </w:rPr>
        <w:t xml:space="preserve"> (1997) </w:t>
      </w:r>
      <w:r w:rsidRPr="0055646B">
        <w:rPr>
          <w:lang w:eastAsia="ja-JP"/>
        </w:rPr>
        <w:t>‘</w:t>
      </w:r>
      <w:r w:rsidRPr="0055646B">
        <w:rPr>
          <w:rFonts w:hint="eastAsia"/>
          <w:lang w:eastAsia="ja-JP"/>
        </w:rPr>
        <w:t>From the Positive to the Regulatory State</w:t>
      </w:r>
      <w:r w:rsidRPr="0055646B">
        <w:rPr>
          <w:lang w:eastAsia="ja-JP"/>
        </w:rPr>
        <w:t>’</w:t>
      </w:r>
      <w:r w:rsidRPr="0055646B">
        <w:rPr>
          <w:rFonts w:hint="eastAsia"/>
          <w:lang w:eastAsia="ja-JP"/>
        </w:rPr>
        <w:t xml:space="preserve">, </w:t>
      </w:r>
      <w:r w:rsidRPr="00F05542">
        <w:rPr>
          <w:rFonts w:hint="eastAsia"/>
          <w:i/>
          <w:iCs/>
          <w:lang w:eastAsia="ja-JP"/>
        </w:rPr>
        <w:t>Journal of Public Policy</w:t>
      </w:r>
      <w:r w:rsidR="00F05542">
        <w:rPr>
          <w:lang w:eastAsia="ja-JP"/>
        </w:rPr>
        <w:t xml:space="preserve">, </w:t>
      </w:r>
      <w:r w:rsidRPr="0055646B">
        <w:rPr>
          <w:rFonts w:hint="eastAsia"/>
          <w:lang w:eastAsia="ja-JP"/>
        </w:rPr>
        <w:t>17</w:t>
      </w:r>
      <w:r w:rsidR="00F05542">
        <w:rPr>
          <w:lang w:eastAsia="ja-JP"/>
        </w:rPr>
        <w:t>,</w:t>
      </w:r>
      <w:r w:rsidRPr="0055646B">
        <w:rPr>
          <w:rFonts w:hint="eastAsia"/>
          <w:lang w:eastAsia="ja-JP"/>
        </w:rPr>
        <w:t xml:space="preserve"> pp.139-67</w:t>
      </w:r>
      <w:r w:rsidR="00F05542">
        <w:rPr>
          <w:lang w:eastAsia="ja-JP"/>
        </w:rPr>
        <w:t>.</w:t>
      </w:r>
    </w:p>
    <w:p w14:paraId="5FB3E6C1" w14:textId="77777777" w:rsidR="000452AB" w:rsidRPr="0055646B" w:rsidRDefault="000452AB" w:rsidP="0093196D">
      <w:pPr>
        <w:pStyle w:val="NoSpacing"/>
        <w:rPr>
          <w:lang w:eastAsia="ja-JP"/>
        </w:rPr>
      </w:pPr>
    </w:p>
    <w:p w14:paraId="13A873BA" w14:textId="77777777" w:rsidR="000452AB" w:rsidRPr="0055646B" w:rsidRDefault="000452AB" w:rsidP="00EB62F9">
      <w:pPr>
        <w:pStyle w:val="NoSpacing"/>
        <w:rPr>
          <w:lang w:eastAsia="ja-JP"/>
        </w:rPr>
      </w:pPr>
      <w:r w:rsidRPr="0055646B">
        <w:rPr>
          <w:rFonts w:hint="eastAsia"/>
          <w:lang w:eastAsia="ja-JP"/>
        </w:rPr>
        <w:t>Maloney, W</w:t>
      </w:r>
      <w:r w:rsidR="00EB62F9">
        <w:rPr>
          <w:lang w:eastAsia="ja-JP"/>
        </w:rPr>
        <w:t xml:space="preserve">. </w:t>
      </w:r>
      <w:r w:rsidRPr="0055646B">
        <w:rPr>
          <w:rFonts w:hint="eastAsia"/>
          <w:lang w:eastAsia="ja-JP"/>
        </w:rPr>
        <w:t xml:space="preserve">A. (2001) </w:t>
      </w:r>
      <w:r w:rsidRPr="0055646B">
        <w:rPr>
          <w:lang w:eastAsia="ja-JP"/>
        </w:rPr>
        <w:t>‘R</w:t>
      </w:r>
      <w:r w:rsidRPr="0055646B">
        <w:rPr>
          <w:rFonts w:hint="eastAsia"/>
          <w:lang w:eastAsia="ja-JP"/>
        </w:rPr>
        <w:t>egulation in an Episodic Policymaking Environment: the Water Industry in England and Wales</w:t>
      </w:r>
      <w:r w:rsidRPr="0055646B">
        <w:rPr>
          <w:lang w:eastAsia="ja-JP"/>
        </w:rPr>
        <w:t>’</w:t>
      </w:r>
      <w:r w:rsidRPr="0055646B">
        <w:rPr>
          <w:rFonts w:hint="eastAsia"/>
          <w:lang w:eastAsia="ja-JP"/>
        </w:rPr>
        <w:t xml:space="preserve">, </w:t>
      </w:r>
      <w:r w:rsidRPr="00EB62F9">
        <w:rPr>
          <w:i/>
          <w:iCs/>
          <w:lang w:eastAsia="ja-JP"/>
        </w:rPr>
        <w:t>Public Administration</w:t>
      </w:r>
      <w:r w:rsidR="00EB62F9">
        <w:rPr>
          <w:lang w:eastAsia="ja-JP"/>
        </w:rPr>
        <w:t xml:space="preserve">, </w:t>
      </w:r>
      <w:r w:rsidRPr="0055646B">
        <w:rPr>
          <w:lang w:eastAsia="ja-JP"/>
        </w:rPr>
        <w:t>79</w:t>
      </w:r>
      <w:r w:rsidR="00EB62F9">
        <w:rPr>
          <w:lang w:eastAsia="ja-JP"/>
        </w:rPr>
        <w:t xml:space="preserve">, (3), </w:t>
      </w:r>
      <w:r w:rsidRPr="0055646B">
        <w:rPr>
          <w:rFonts w:hint="eastAsia"/>
          <w:lang w:eastAsia="ja-JP"/>
        </w:rPr>
        <w:t>pp.</w:t>
      </w:r>
      <w:r w:rsidRPr="0055646B">
        <w:rPr>
          <w:lang w:eastAsia="ja-JP"/>
        </w:rPr>
        <w:t>625</w:t>
      </w:r>
      <w:r w:rsidRPr="0055646B">
        <w:rPr>
          <w:rFonts w:hint="eastAsia"/>
          <w:lang w:eastAsia="ja-JP"/>
        </w:rPr>
        <w:t>-</w:t>
      </w:r>
      <w:r w:rsidRPr="0055646B">
        <w:rPr>
          <w:lang w:eastAsia="ja-JP"/>
        </w:rPr>
        <w:t>42</w:t>
      </w:r>
      <w:r w:rsidR="00EB62F9">
        <w:rPr>
          <w:lang w:eastAsia="ja-JP"/>
        </w:rPr>
        <w:t>.</w:t>
      </w:r>
    </w:p>
    <w:p w14:paraId="406C527B" w14:textId="77777777" w:rsidR="000452AB" w:rsidRPr="0055646B" w:rsidRDefault="000452AB" w:rsidP="0093196D">
      <w:pPr>
        <w:pStyle w:val="NoSpacing"/>
        <w:rPr>
          <w:lang w:eastAsia="ja-JP"/>
        </w:rPr>
      </w:pPr>
    </w:p>
    <w:p w14:paraId="16A4FD19" w14:textId="77777777" w:rsidR="000452AB" w:rsidRPr="0055646B" w:rsidRDefault="000452AB" w:rsidP="00EB62F9">
      <w:pPr>
        <w:pStyle w:val="NoSpacing"/>
        <w:rPr>
          <w:lang w:eastAsia="ja-JP"/>
        </w:rPr>
      </w:pPr>
      <w:r w:rsidRPr="0055646B">
        <w:rPr>
          <w:lang w:eastAsia="ja-JP"/>
        </w:rPr>
        <w:t>Mann, M</w:t>
      </w:r>
      <w:r w:rsidR="00EB62F9">
        <w:rPr>
          <w:lang w:eastAsia="ja-JP"/>
        </w:rPr>
        <w:t>.</w:t>
      </w:r>
      <w:r w:rsidRPr="0055646B">
        <w:rPr>
          <w:lang w:eastAsia="ja-JP"/>
        </w:rPr>
        <w:t xml:space="preserve"> (1993) </w:t>
      </w:r>
      <w:r w:rsidRPr="00EB62F9">
        <w:rPr>
          <w:i/>
          <w:iCs/>
          <w:lang w:eastAsia="ja-JP"/>
        </w:rPr>
        <w:t>The Sources of Social Power</w:t>
      </w:r>
      <w:r w:rsidR="00EB62F9">
        <w:rPr>
          <w:lang w:eastAsia="ja-JP"/>
        </w:rPr>
        <w:t>,</w:t>
      </w:r>
      <w:r w:rsidRPr="0055646B">
        <w:rPr>
          <w:lang w:eastAsia="ja-JP"/>
        </w:rPr>
        <w:t xml:space="preserve"> Vol.</w:t>
      </w:r>
      <w:r w:rsidR="00EB62F9">
        <w:rPr>
          <w:lang w:eastAsia="ja-JP"/>
        </w:rPr>
        <w:t xml:space="preserve"> </w:t>
      </w:r>
      <w:r w:rsidRPr="0055646B">
        <w:rPr>
          <w:lang w:eastAsia="ja-JP"/>
        </w:rPr>
        <w:t>II</w:t>
      </w:r>
      <w:r w:rsidR="00EB62F9">
        <w:rPr>
          <w:lang w:eastAsia="ja-JP"/>
        </w:rPr>
        <w:t>.  Cambridge:</w:t>
      </w:r>
      <w:r w:rsidRPr="0055646B">
        <w:rPr>
          <w:lang w:eastAsia="ja-JP"/>
        </w:rPr>
        <w:t xml:space="preserve"> Cambridge UP</w:t>
      </w:r>
      <w:r w:rsidR="00EB62F9">
        <w:rPr>
          <w:lang w:eastAsia="ja-JP"/>
        </w:rPr>
        <w:t>.</w:t>
      </w:r>
    </w:p>
    <w:p w14:paraId="528E5557" w14:textId="77777777" w:rsidR="000452AB" w:rsidRPr="0055646B" w:rsidRDefault="000452AB" w:rsidP="0093196D">
      <w:pPr>
        <w:pStyle w:val="NoSpacing"/>
        <w:rPr>
          <w:lang w:eastAsia="ja-JP"/>
        </w:rPr>
      </w:pPr>
    </w:p>
    <w:p w14:paraId="396CB95B" w14:textId="77777777" w:rsidR="000452AB" w:rsidRPr="0055646B" w:rsidRDefault="000452AB" w:rsidP="005D4E5B">
      <w:pPr>
        <w:pStyle w:val="NoSpacing"/>
        <w:rPr>
          <w:lang w:eastAsia="ja-JP"/>
        </w:rPr>
      </w:pPr>
      <w:r w:rsidRPr="0055646B">
        <w:rPr>
          <w:lang w:eastAsia="ja-JP"/>
        </w:rPr>
        <w:t>Marinetto, M</w:t>
      </w:r>
      <w:r w:rsidR="005D4E5B">
        <w:rPr>
          <w:lang w:eastAsia="ja-JP"/>
        </w:rPr>
        <w:t>.</w:t>
      </w:r>
      <w:r w:rsidRPr="0055646B">
        <w:rPr>
          <w:lang w:eastAsia="ja-JP"/>
        </w:rPr>
        <w:t xml:space="preserve"> (2003) ‘Governing beyond the Centre: A Critique of the Anglo-Governance School’, </w:t>
      </w:r>
      <w:r w:rsidRPr="005D4E5B">
        <w:rPr>
          <w:i/>
          <w:iCs/>
          <w:lang w:eastAsia="ja-JP"/>
        </w:rPr>
        <w:t>Political Studies</w:t>
      </w:r>
      <w:r w:rsidR="005D4E5B">
        <w:rPr>
          <w:lang w:eastAsia="ja-JP"/>
        </w:rPr>
        <w:t>,</w:t>
      </w:r>
      <w:r w:rsidRPr="0055646B">
        <w:rPr>
          <w:lang w:eastAsia="ja-JP"/>
        </w:rPr>
        <w:t xml:space="preserve"> 51</w:t>
      </w:r>
      <w:r w:rsidR="005D4E5B">
        <w:rPr>
          <w:lang w:eastAsia="ja-JP"/>
        </w:rPr>
        <w:t>,</w:t>
      </w:r>
      <w:r w:rsidRPr="0055646B">
        <w:rPr>
          <w:lang w:eastAsia="ja-JP"/>
        </w:rPr>
        <w:t xml:space="preserve"> pp.592-608</w:t>
      </w:r>
      <w:r w:rsidR="005D4E5B">
        <w:rPr>
          <w:lang w:eastAsia="ja-JP"/>
        </w:rPr>
        <w:t>.</w:t>
      </w:r>
    </w:p>
    <w:p w14:paraId="1B0FAE3B" w14:textId="77777777" w:rsidR="000452AB" w:rsidRPr="0055646B" w:rsidRDefault="000452AB" w:rsidP="0093196D">
      <w:pPr>
        <w:pStyle w:val="NoSpacing"/>
        <w:rPr>
          <w:lang w:eastAsia="ja-JP"/>
        </w:rPr>
      </w:pPr>
    </w:p>
    <w:p w14:paraId="439BBC90" w14:textId="77777777" w:rsidR="000452AB" w:rsidRPr="0055646B" w:rsidRDefault="000452AB" w:rsidP="00B7679E">
      <w:pPr>
        <w:pStyle w:val="NoSpacing"/>
        <w:rPr>
          <w:lang w:eastAsia="ja-JP"/>
        </w:rPr>
      </w:pPr>
      <w:r w:rsidRPr="0055646B">
        <w:rPr>
          <w:lang w:eastAsia="ja-JP"/>
        </w:rPr>
        <w:t>Marsh, D</w:t>
      </w:r>
      <w:r w:rsidR="00B7679E">
        <w:rPr>
          <w:lang w:eastAsia="ja-JP"/>
        </w:rPr>
        <w:t>.</w:t>
      </w:r>
      <w:r w:rsidRPr="0055646B">
        <w:rPr>
          <w:lang w:eastAsia="ja-JP"/>
        </w:rPr>
        <w:t xml:space="preserve"> and Furlong, P</w:t>
      </w:r>
      <w:r w:rsidR="00B7679E">
        <w:rPr>
          <w:lang w:eastAsia="ja-JP"/>
        </w:rPr>
        <w:t>.</w:t>
      </w:r>
      <w:r w:rsidRPr="0055646B">
        <w:rPr>
          <w:lang w:eastAsia="ja-JP"/>
        </w:rPr>
        <w:t xml:space="preserve"> (2002) ‘A Skin, not a Sweater: Ontology and Epistemology in Political Science’, in </w:t>
      </w:r>
      <w:r w:rsidR="00B7679E">
        <w:rPr>
          <w:lang w:eastAsia="ja-JP"/>
        </w:rPr>
        <w:t xml:space="preserve">D. </w:t>
      </w:r>
      <w:r w:rsidRPr="0055646B">
        <w:rPr>
          <w:lang w:eastAsia="ja-JP"/>
        </w:rPr>
        <w:t xml:space="preserve">Marsh and </w:t>
      </w:r>
      <w:r w:rsidR="00B7679E">
        <w:rPr>
          <w:lang w:eastAsia="ja-JP"/>
        </w:rPr>
        <w:t xml:space="preserve">G. </w:t>
      </w:r>
      <w:r w:rsidRPr="0055646B">
        <w:rPr>
          <w:lang w:eastAsia="ja-JP"/>
        </w:rPr>
        <w:t xml:space="preserve">Stoker </w:t>
      </w:r>
      <w:r w:rsidR="00B7679E">
        <w:rPr>
          <w:lang w:eastAsia="ja-JP"/>
        </w:rPr>
        <w:t>(</w:t>
      </w:r>
      <w:r w:rsidRPr="0055646B">
        <w:rPr>
          <w:lang w:eastAsia="ja-JP"/>
        </w:rPr>
        <w:t>ed</w:t>
      </w:r>
      <w:r w:rsidR="00B7679E">
        <w:rPr>
          <w:lang w:eastAsia="ja-JP"/>
        </w:rPr>
        <w:t>s),</w:t>
      </w:r>
      <w:r w:rsidRPr="0055646B">
        <w:rPr>
          <w:lang w:eastAsia="ja-JP"/>
        </w:rPr>
        <w:t xml:space="preserve"> </w:t>
      </w:r>
      <w:r w:rsidRPr="00B7679E">
        <w:rPr>
          <w:i/>
          <w:iCs/>
          <w:lang w:eastAsia="ja-JP"/>
        </w:rPr>
        <w:t>Theory and Methods in Political Science</w:t>
      </w:r>
      <w:r w:rsidR="00B7679E">
        <w:rPr>
          <w:lang w:eastAsia="ja-JP"/>
        </w:rPr>
        <w:t>, Second</w:t>
      </w:r>
      <w:r w:rsidRPr="0055646B">
        <w:rPr>
          <w:lang w:eastAsia="ja-JP"/>
        </w:rPr>
        <w:t xml:space="preserve"> Edition</w:t>
      </w:r>
      <w:r w:rsidR="00B7679E">
        <w:rPr>
          <w:lang w:eastAsia="ja-JP"/>
        </w:rPr>
        <w:t xml:space="preserve">. </w:t>
      </w:r>
      <w:r w:rsidRPr="0055646B">
        <w:rPr>
          <w:lang w:eastAsia="ja-JP"/>
        </w:rPr>
        <w:t>Basingstoke, Hampshire/New York</w:t>
      </w:r>
      <w:r w:rsidR="00B7679E">
        <w:rPr>
          <w:lang w:eastAsia="ja-JP"/>
        </w:rPr>
        <w:t xml:space="preserve">: </w:t>
      </w:r>
      <w:r w:rsidR="00B7679E" w:rsidRPr="0055646B">
        <w:rPr>
          <w:lang w:eastAsia="ja-JP"/>
        </w:rPr>
        <w:t>Palgrave Macmillan</w:t>
      </w:r>
      <w:r w:rsidR="00B7679E">
        <w:rPr>
          <w:lang w:eastAsia="ja-JP"/>
        </w:rPr>
        <w:t>.</w:t>
      </w:r>
    </w:p>
    <w:p w14:paraId="489DC3D1" w14:textId="77777777" w:rsidR="000452AB" w:rsidRPr="0055646B" w:rsidRDefault="000452AB" w:rsidP="0093196D">
      <w:pPr>
        <w:pStyle w:val="NoSpacing"/>
        <w:rPr>
          <w:lang w:eastAsia="ja-JP"/>
        </w:rPr>
      </w:pPr>
    </w:p>
    <w:p w14:paraId="676E0B28" w14:textId="77777777" w:rsidR="000452AB" w:rsidRPr="0055646B" w:rsidRDefault="000452AB" w:rsidP="00B7679E">
      <w:pPr>
        <w:pStyle w:val="NoSpacing"/>
        <w:rPr>
          <w:lang w:eastAsia="ja-JP"/>
        </w:rPr>
      </w:pPr>
      <w:r w:rsidRPr="0055646B">
        <w:rPr>
          <w:lang w:eastAsia="ja-JP"/>
        </w:rPr>
        <w:t>Marsh, D., Richards, D.</w:t>
      </w:r>
      <w:r w:rsidR="00796C3D">
        <w:rPr>
          <w:lang w:eastAsia="ja-JP"/>
        </w:rPr>
        <w:t>,</w:t>
      </w:r>
      <w:r w:rsidRPr="0055646B">
        <w:rPr>
          <w:lang w:eastAsia="ja-JP"/>
        </w:rPr>
        <w:t xml:space="preserve"> and Smith, M. J. (2001) </w:t>
      </w:r>
      <w:r w:rsidRPr="00B7679E">
        <w:rPr>
          <w:i/>
          <w:iCs/>
          <w:lang w:eastAsia="ja-JP"/>
        </w:rPr>
        <w:t>Changing Patterns of Governance</w:t>
      </w:r>
      <w:r w:rsidR="00EB5579" w:rsidRPr="00B7679E">
        <w:rPr>
          <w:i/>
          <w:iCs/>
          <w:lang w:eastAsia="ja-JP"/>
        </w:rPr>
        <w:t xml:space="preserve"> in the United Kingdom – Reinventing Whitehall?</w:t>
      </w:r>
      <w:r w:rsidR="00B7679E">
        <w:rPr>
          <w:lang w:eastAsia="ja-JP"/>
        </w:rPr>
        <w:t xml:space="preserve">. </w:t>
      </w:r>
      <w:r w:rsidRPr="0055646B">
        <w:rPr>
          <w:lang w:eastAsia="ja-JP"/>
        </w:rPr>
        <w:t>Basingstoke</w:t>
      </w:r>
      <w:r w:rsidR="00B7679E">
        <w:rPr>
          <w:lang w:eastAsia="ja-JP"/>
        </w:rPr>
        <w:t>, Hampshire: Palgrave.</w:t>
      </w:r>
    </w:p>
    <w:p w14:paraId="03AEDC65" w14:textId="77777777" w:rsidR="000452AB" w:rsidRPr="0055646B" w:rsidRDefault="000452AB" w:rsidP="0093196D">
      <w:pPr>
        <w:pStyle w:val="NoSpacing"/>
        <w:rPr>
          <w:lang w:eastAsia="ja-JP"/>
        </w:rPr>
      </w:pPr>
    </w:p>
    <w:p w14:paraId="6649C084" w14:textId="77777777" w:rsidR="000452AB" w:rsidRPr="0055646B" w:rsidRDefault="000452AB" w:rsidP="00B7679E">
      <w:pPr>
        <w:pStyle w:val="NoSpacing"/>
        <w:rPr>
          <w:lang w:eastAsia="ja-JP"/>
        </w:rPr>
      </w:pPr>
      <w:r w:rsidRPr="0055646B">
        <w:rPr>
          <w:lang w:eastAsia="ja-JP"/>
        </w:rPr>
        <w:t>Marsh, D., Richards, D.</w:t>
      </w:r>
      <w:r w:rsidR="00796C3D">
        <w:rPr>
          <w:lang w:eastAsia="ja-JP"/>
        </w:rPr>
        <w:t>,</w:t>
      </w:r>
      <w:r w:rsidRPr="0055646B">
        <w:rPr>
          <w:lang w:eastAsia="ja-JP"/>
        </w:rPr>
        <w:t xml:space="preserve"> and Smith, M. J. (2003) ‘Unequal Power: Towards An Asymmetric Power Model of the British Party’, </w:t>
      </w:r>
      <w:r w:rsidRPr="00B7679E">
        <w:rPr>
          <w:i/>
          <w:iCs/>
          <w:lang w:eastAsia="ja-JP"/>
        </w:rPr>
        <w:t>Government and Opposition</w:t>
      </w:r>
      <w:r w:rsidR="00B7679E">
        <w:rPr>
          <w:lang w:eastAsia="ja-JP"/>
        </w:rPr>
        <w:t>,</w:t>
      </w:r>
      <w:r w:rsidRPr="0055646B">
        <w:rPr>
          <w:lang w:eastAsia="ja-JP"/>
        </w:rPr>
        <w:t xml:space="preserve"> 38</w:t>
      </w:r>
      <w:r w:rsidR="00B7679E">
        <w:rPr>
          <w:lang w:eastAsia="ja-JP"/>
        </w:rPr>
        <w:t>,</w:t>
      </w:r>
      <w:r w:rsidRPr="0055646B">
        <w:rPr>
          <w:lang w:eastAsia="ja-JP"/>
        </w:rPr>
        <w:t xml:space="preserve"> (3)</w:t>
      </w:r>
      <w:r w:rsidR="00B7679E">
        <w:rPr>
          <w:lang w:eastAsia="ja-JP"/>
        </w:rPr>
        <w:t>,</w:t>
      </w:r>
      <w:r w:rsidRPr="0055646B">
        <w:rPr>
          <w:lang w:eastAsia="ja-JP"/>
        </w:rPr>
        <w:t xml:space="preserve"> pp.306-22</w:t>
      </w:r>
      <w:r w:rsidR="00796C3D">
        <w:rPr>
          <w:lang w:eastAsia="ja-JP"/>
        </w:rPr>
        <w:t>.</w:t>
      </w:r>
    </w:p>
    <w:p w14:paraId="366B8024" w14:textId="77777777" w:rsidR="000452AB" w:rsidRPr="0055646B" w:rsidRDefault="000452AB" w:rsidP="0093196D">
      <w:pPr>
        <w:pStyle w:val="NoSpacing"/>
        <w:rPr>
          <w:lang w:eastAsia="ja-JP"/>
        </w:rPr>
      </w:pPr>
    </w:p>
    <w:p w14:paraId="551FA60A" w14:textId="77777777" w:rsidR="000452AB" w:rsidRPr="0055646B" w:rsidRDefault="000452AB" w:rsidP="00214B35">
      <w:pPr>
        <w:pStyle w:val="NoSpacing"/>
        <w:rPr>
          <w:lang w:eastAsia="ja-JP"/>
        </w:rPr>
      </w:pPr>
      <w:r w:rsidRPr="0055646B">
        <w:rPr>
          <w:rFonts w:hint="eastAsia"/>
          <w:lang w:eastAsia="ja-JP"/>
        </w:rPr>
        <w:t>Mastanduno, M</w:t>
      </w:r>
      <w:r w:rsidR="00214B35">
        <w:rPr>
          <w:lang w:eastAsia="ja-JP"/>
        </w:rPr>
        <w:t>.</w:t>
      </w:r>
      <w:r w:rsidRPr="0055646B">
        <w:rPr>
          <w:rFonts w:hint="eastAsia"/>
          <w:lang w:eastAsia="ja-JP"/>
        </w:rPr>
        <w:t xml:space="preserve"> (1992) </w:t>
      </w:r>
      <w:r w:rsidRPr="0055646B">
        <w:rPr>
          <w:lang w:eastAsia="ja-JP"/>
        </w:rPr>
        <w:t>‘Framing the Japan Problem: The Bush Administration and the Structural Impediments Initiative’</w:t>
      </w:r>
      <w:r w:rsidRPr="0055646B">
        <w:rPr>
          <w:rFonts w:hint="eastAsia"/>
          <w:lang w:eastAsia="ja-JP"/>
        </w:rPr>
        <w:t xml:space="preserve">, </w:t>
      </w:r>
      <w:r w:rsidRPr="00214B35">
        <w:rPr>
          <w:i/>
          <w:iCs/>
          <w:lang w:eastAsia="ja-JP"/>
        </w:rPr>
        <w:t>International Journal</w:t>
      </w:r>
      <w:r w:rsidR="00214B35">
        <w:rPr>
          <w:lang w:eastAsia="ja-JP"/>
        </w:rPr>
        <w:t xml:space="preserve">, </w:t>
      </w:r>
      <w:r w:rsidRPr="0055646B">
        <w:rPr>
          <w:lang w:eastAsia="ja-JP"/>
        </w:rPr>
        <w:t>47</w:t>
      </w:r>
      <w:r w:rsidR="00214B35">
        <w:rPr>
          <w:lang w:eastAsia="ja-JP"/>
        </w:rPr>
        <w:t>,</w:t>
      </w:r>
      <w:r w:rsidRPr="0055646B">
        <w:rPr>
          <w:lang w:eastAsia="ja-JP"/>
        </w:rPr>
        <w:t xml:space="preserve"> </w:t>
      </w:r>
      <w:r w:rsidR="00214B35">
        <w:rPr>
          <w:lang w:eastAsia="ja-JP"/>
        </w:rPr>
        <w:t>(2),</w:t>
      </w:r>
      <w:r w:rsidRPr="0055646B">
        <w:rPr>
          <w:lang w:eastAsia="ja-JP"/>
        </w:rPr>
        <w:t xml:space="preserve"> pp. 235-264</w:t>
      </w:r>
      <w:r w:rsidR="00796C3D">
        <w:rPr>
          <w:lang w:eastAsia="ja-JP"/>
        </w:rPr>
        <w:t>.</w:t>
      </w:r>
    </w:p>
    <w:p w14:paraId="3A31B9FB" w14:textId="77777777" w:rsidR="000452AB" w:rsidRPr="0055646B" w:rsidRDefault="000452AB" w:rsidP="0093196D">
      <w:pPr>
        <w:pStyle w:val="NoSpacing"/>
        <w:rPr>
          <w:lang w:eastAsia="ja-JP"/>
        </w:rPr>
      </w:pPr>
    </w:p>
    <w:p w14:paraId="20B89EB0" w14:textId="77777777" w:rsidR="000452AB" w:rsidRPr="0055646B" w:rsidRDefault="000452AB" w:rsidP="00214B35">
      <w:pPr>
        <w:pStyle w:val="NoSpacing"/>
        <w:rPr>
          <w:lang w:eastAsia="ja-JP"/>
        </w:rPr>
      </w:pPr>
      <w:r w:rsidRPr="0055646B">
        <w:rPr>
          <w:rFonts w:hint="eastAsia"/>
          <w:lang w:eastAsia="ja-JP"/>
        </w:rPr>
        <w:t>Matsushita, M</w:t>
      </w:r>
      <w:r w:rsidR="00214B35">
        <w:rPr>
          <w:lang w:eastAsia="ja-JP"/>
        </w:rPr>
        <w:t>.</w:t>
      </w:r>
      <w:r w:rsidRPr="0055646B">
        <w:rPr>
          <w:rFonts w:hint="eastAsia"/>
          <w:lang w:eastAsia="ja-JP"/>
        </w:rPr>
        <w:t xml:space="preserve"> (1991) </w:t>
      </w:r>
      <w:r w:rsidRPr="0055646B">
        <w:rPr>
          <w:lang w:eastAsia="ja-JP"/>
        </w:rPr>
        <w:t>‘T</w:t>
      </w:r>
      <w:r w:rsidRPr="0055646B">
        <w:rPr>
          <w:rFonts w:hint="eastAsia"/>
          <w:lang w:eastAsia="ja-JP"/>
        </w:rPr>
        <w:t>he</w:t>
      </w:r>
      <w:r w:rsidRPr="0055646B">
        <w:rPr>
          <w:lang w:eastAsia="ja-JP"/>
        </w:rPr>
        <w:t xml:space="preserve"> S</w:t>
      </w:r>
      <w:r w:rsidRPr="0055646B">
        <w:rPr>
          <w:rFonts w:hint="eastAsia"/>
          <w:lang w:eastAsia="ja-JP"/>
        </w:rPr>
        <w:t>tructural</w:t>
      </w:r>
      <w:r w:rsidRPr="0055646B">
        <w:rPr>
          <w:lang w:eastAsia="ja-JP"/>
        </w:rPr>
        <w:t xml:space="preserve"> I</w:t>
      </w:r>
      <w:r w:rsidRPr="0055646B">
        <w:rPr>
          <w:rFonts w:hint="eastAsia"/>
          <w:lang w:eastAsia="ja-JP"/>
        </w:rPr>
        <w:t>mpediments Initiative:</w:t>
      </w:r>
      <w:r w:rsidRPr="0055646B">
        <w:rPr>
          <w:lang w:eastAsia="ja-JP"/>
        </w:rPr>
        <w:t xml:space="preserve"> A</w:t>
      </w:r>
      <w:r w:rsidRPr="0055646B">
        <w:rPr>
          <w:rFonts w:hint="eastAsia"/>
          <w:lang w:eastAsia="ja-JP"/>
        </w:rPr>
        <w:t>n</w:t>
      </w:r>
      <w:r w:rsidRPr="0055646B">
        <w:rPr>
          <w:lang w:eastAsia="ja-JP"/>
        </w:rPr>
        <w:t xml:space="preserve"> E</w:t>
      </w:r>
      <w:r w:rsidRPr="0055646B">
        <w:rPr>
          <w:rFonts w:hint="eastAsia"/>
          <w:lang w:eastAsia="ja-JP"/>
        </w:rPr>
        <w:t xml:space="preserve">xample of </w:t>
      </w:r>
      <w:r w:rsidRPr="0055646B">
        <w:rPr>
          <w:lang w:eastAsia="ja-JP"/>
        </w:rPr>
        <w:t>B</w:t>
      </w:r>
      <w:r w:rsidRPr="0055646B">
        <w:rPr>
          <w:rFonts w:hint="eastAsia"/>
          <w:lang w:eastAsia="ja-JP"/>
        </w:rPr>
        <w:t>ilateral</w:t>
      </w:r>
      <w:r w:rsidRPr="0055646B">
        <w:rPr>
          <w:lang w:eastAsia="ja-JP"/>
        </w:rPr>
        <w:t xml:space="preserve"> T</w:t>
      </w:r>
      <w:r w:rsidRPr="0055646B">
        <w:rPr>
          <w:rFonts w:hint="eastAsia"/>
          <w:lang w:eastAsia="ja-JP"/>
        </w:rPr>
        <w:t>rade Negotiation</w:t>
      </w:r>
      <w:r w:rsidRPr="0055646B">
        <w:rPr>
          <w:lang w:eastAsia="ja-JP"/>
        </w:rPr>
        <w:t>’</w:t>
      </w:r>
      <w:r w:rsidRPr="0055646B">
        <w:rPr>
          <w:rFonts w:hint="eastAsia"/>
          <w:lang w:eastAsia="ja-JP"/>
        </w:rPr>
        <w:t xml:space="preserve">, </w:t>
      </w:r>
      <w:r w:rsidRPr="00214B35">
        <w:rPr>
          <w:rFonts w:hint="eastAsia"/>
          <w:i/>
          <w:iCs/>
          <w:lang w:eastAsia="ja-JP"/>
        </w:rPr>
        <w:t>Michigan Journal of International Law</w:t>
      </w:r>
      <w:r w:rsidR="00214B35">
        <w:rPr>
          <w:lang w:eastAsia="ja-JP"/>
        </w:rPr>
        <w:t xml:space="preserve">, </w:t>
      </w:r>
      <w:r w:rsidRPr="0055646B">
        <w:rPr>
          <w:rFonts w:hint="eastAsia"/>
          <w:lang w:eastAsia="ja-JP"/>
        </w:rPr>
        <w:t>12</w:t>
      </w:r>
      <w:r w:rsidR="00214B35">
        <w:rPr>
          <w:lang w:eastAsia="ja-JP"/>
        </w:rPr>
        <w:t xml:space="preserve">, </w:t>
      </w:r>
      <w:r w:rsidRPr="0055646B">
        <w:rPr>
          <w:rFonts w:hint="eastAsia"/>
          <w:lang w:eastAsia="ja-JP"/>
        </w:rPr>
        <w:t>pp.436-49</w:t>
      </w:r>
      <w:r w:rsidR="00214B35">
        <w:rPr>
          <w:lang w:eastAsia="ja-JP"/>
        </w:rPr>
        <w:t>.</w:t>
      </w:r>
    </w:p>
    <w:p w14:paraId="65AC8ADF" w14:textId="77777777" w:rsidR="000452AB" w:rsidRPr="0055646B" w:rsidRDefault="000452AB" w:rsidP="0093196D">
      <w:pPr>
        <w:pStyle w:val="NoSpacing"/>
        <w:rPr>
          <w:lang w:eastAsia="ja-JP"/>
        </w:rPr>
      </w:pPr>
    </w:p>
    <w:p w14:paraId="27586B0C" w14:textId="77777777" w:rsidR="000452AB" w:rsidRPr="0055646B" w:rsidRDefault="000452AB" w:rsidP="003B2BCB">
      <w:pPr>
        <w:pStyle w:val="NoSpacing"/>
        <w:rPr>
          <w:lang w:eastAsia="ja-JP"/>
        </w:rPr>
      </w:pPr>
      <w:r w:rsidRPr="0055646B">
        <w:rPr>
          <w:rFonts w:hint="eastAsia"/>
          <w:lang w:eastAsia="ja-JP"/>
        </w:rPr>
        <w:t xml:space="preserve">McCubbins, M. D. </w:t>
      </w:r>
      <w:r w:rsidRPr="0055646B">
        <w:rPr>
          <w:lang w:eastAsia="ja-JP"/>
        </w:rPr>
        <w:t>A</w:t>
      </w:r>
      <w:r w:rsidRPr="0055646B">
        <w:rPr>
          <w:rFonts w:hint="eastAsia"/>
          <w:lang w:eastAsia="ja-JP"/>
        </w:rPr>
        <w:t xml:space="preserve">nd Noble, G. W. (1995) </w:t>
      </w:r>
      <w:r w:rsidRPr="0055646B">
        <w:rPr>
          <w:lang w:eastAsia="ja-JP"/>
        </w:rPr>
        <w:t>‘</w:t>
      </w:r>
      <w:r w:rsidRPr="0055646B">
        <w:rPr>
          <w:rFonts w:hint="eastAsia"/>
          <w:lang w:eastAsia="ja-JP"/>
        </w:rPr>
        <w:t>The Appearance of Power: Legislators, Bureaucrats and the Budget Process in the US and Japan</w:t>
      </w:r>
      <w:r w:rsidRPr="0055646B">
        <w:rPr>
          <w:lang w:eastAsia="ja-JP"/>
        </w:rPr>
        <w:t>’</w:t>
      </w:r>
      <w:r w:rsidRPr="0055646B">
        <w:rPr>
          <w:rFonts w:hint="eastAsia"/>
          <w:lang w:eastAsia="ja-JP"/>
        </w:rPr>
        <w:t xml:space="preserve">, in Cowhey and McCubbins </w:t>
      </w:r>
      <w:r w:rsidR="003B2BCB">
        <w:rPr>
          <w:lang w:eastAsia="ja-JP"/>
        </w:rPr>
        <w:t>(</w:t>
      </w:r>
      <w:r w:rsidRPr="0055646B">
        <w:rPr>
          <w:rFonts w:hint="eastAsia"/>
          <w:lang w:eastAsia="ja-JP"/>
        </w:rPr>
        <w:t>ed</w:t>
      </w:r>
      <w:r w:rsidR="003B2BCB">
        <w:rPr>
          <w:lang w:eastAsia="ja-JP"/>
        </w:rPr>
        <w:t>s),</w:t>
      </w:r>
      <w:r w:rsidRPr="0055646B">
        <w:rPr>
          <w:rFonts w:hint="eastAsia"/>
          <w:lang w:eastAsia="ja-JP"/>
        </w:rPr>
        <w:t xml:space="preserve"> </w:t>
      </w:r>
      <w:r w:rsidRPr="003B2BCB">
        <w:rPr>
          <w:rFonts w:hint="eastAsia"/>
          <w:i/>
          <w:iCs/>
          <w:lang w:eastAsia="ja-JP"/>
        </w:rPr>
        <w:t>Structure and Policy in Japan and the United States</w:t>
      </w:r>
      <w:r w:rsidR="00796C3D">
        <w:rPr>
          <w:lang w:eastAsia="ja-JP"/>
        </w:rPr>
        <w:t xml:space="preserve">. </w:t>
      </w:r>
      <w:r w:rsidR="003B2BCB">
        <w:rPr>
          <w:lang w:eastAsia="ja-JP"/>
        </w:rPr>
        <w:t xml:space="preserve">Cambridge: </w:t>
      </w:r>
      <w:r w:rsidRPr="0055646B">
        <w:rPr>
          <w:rFonts w:hint="eastAsia"/>
          <w:lang w:eastAsia="ja-JP"/>
        </w:rPr>
        <w:t>Cambridge UP</w:t>
      </w:r>
      <w:r w:rsidR="003B2BCB">
        <w:rPr>
          <w:lang w:eastAsia="ja-JP"/>
        </w:rPr>
        <w:t>.</w:t>
      </w:r>
    </w:p>
    <w:p w14:paraId="060F83A1" w14:textId="77777777" w:rsidR="000452AB" w:rsidRPr="0055646B" w:rsidRDefault="000452AB" w:rsidP="0093196D">
      <w:pPr>
        <w:pStyle w:val="NoSpacing"/>
        <w:rPr>
          <w:lang w:eastAsia="ja-JP"/>
        </w:rPr>
      </w:pPr>
    </w:p>
    <w:p w14:paraId="1C3969EB" w14:textId="77777777" w:rsidR="000452AB" w:rsidRPr="0055646B" w:rsidRDefault="000452AB" w:rsidP="003B2BCB">
      <w:pPr>
        <w:pStyle w:val="NoSpacing"/>
        <w:rPr>
          <w:lang w:eastAsia="ja-JP"/>
        </w:rPr>
      </w:pPr>
      <w:r w:rsidRPr="0055646B">
        <w:rPr>
          <w:lang w:eastAsia="ja-JP"/>
        </w:rPr>
        <w:t>McKean, M</w:t>
      </w:r>
      <w:r w:rsidR="003B2BCB">
        <w:rPr>
          <w:lang w:eastAsia="ja-JP"/>
        </w:rPr>
        <w:t>.</w:t>
      </w:r>
      <w:r w:rsidRPr="0055646B">
        <w:rPr>
          <w:lang w:eastAsia="ja-JP"/>
        </w:rPr>
        <w:t xml:space="preserve"> A. (1993) ‘State Strength and the Public Interet’</w:t>
      </w:r>
      <w:r w:rsidR="003B2BCB">
        <w:rPr>
          <w:lang w:eastAsia="ja-JP"/>
        </w:rPr>
        <w:t>,</w:t>
      </w:r>
      <w:r w:rsidRPr="0055646B">
        <w:rPr>
          <w:lang w:eastAsia="ja-JP"/>
        </w:rPr>
        <w:t xml:space="preserve"> in </w:t>
      </w:r>
      <w:r w:rsidR="003B2BCB">
        <w:rPr>
          <w:lang w:eastAsia="ja-JP"/>
        </w:rPr>
        <w:t xml:space="preserve">G. D. </w:t>
      </w:r>
      <w:r w:rsidRPr="0055646B">
        <w:rPr>
          <w:lang w:eastAsia="ja-JP"/>
        </w:rPr>
        <w:t xml:space="preserve">Allinson and </w:t>
      </w:r>
      <w:r w:rsidR="003B2BCB">
        <w:rPr>
          <w:lang w:eastAsia="ja-JP"/>
        </w:rPr>
        <w:t xml:space="preserve">Y. </w:t>
      </w:r>
      <w:r w:rsidRPr="0055646B">
        <w:rPr>
          <w:lang w:eastAsia="ja-JP"/>
        </w:rPr>
        <w:t>Sone</w:t>
      </w:r>
      <w:r w:rsidR="003B2BCB">
        <w:rPr>
          <w:lang w:eastAsia="ja-JP"/>
        </w:rPr>
        <w:t xml:space="preserve"> (eds)</w:t>
      </w:r>
      <w:r w:rsidRPr="0055646B">
        <w:rPr>
          <w:lang w:eastAsia="ja-JP"/>
        </w:rPr>
        <w:t xml:space="preserve">, </w:t>
      </w:r>
      <w:r w:rsidRPr="003B2BCB">
        <w:rPr>
          <w:i/>
          <w:iCs/>
          <w:lang w:eastAsia="ja-JP"/>
        </w:rPr>
        <w:t>Political Dynamics in Contemporary Japan</w:t>
      </w:r>
      <w:r w:rsidR="003B2BCB">
        <w:rPr>
          <w:lang w:eastAsia="ja-JP"/>
        </w:rPr>
        <w:t>.</w:t>
      </w:r>
      <w:r w:rsidRPr="0055646B">
        <w:rPr>
          <w:lang w:eastAsia="ja-JP"/>
        </w:rPr>
        <w:t xml:space="preserve"> Ithaca NY/London</w:t>
      </w:r>
      <w:r w:rsidR="003B2BCB">
        <w:rPr>
          <w:lang w:eastAsia="ja-JP"/>
        </w:rPr>
        <w:t xml:space="preserve">: Cornel UP, </w:t>
      </w:r>
      <w:r w:rsidRPr="0055646B">
        <w:rPr>
          <w:lang w:eastAsia="ja-JP"/>
        </w:rPr>
        <w:t>pp.72-104</w:t>
      </w:r>
      <w:r w:rsidR="003B2BCB">
        <w:rPr>
          <w:lang w:eastAsia="ja-JP"/>
        </w:rPr>
        <w:t>.</w:t>
      </w:r>
    </w:p>
    <w:p w14:paraId="61A11936" w14:textId="77777777" w:rsidR="000452AB" w:rsidRPr="0055646B" w:rsidRDefault="000452AB" w:rsidP="0093196D">
      <w:pPr>
        <w:pStyle w:val="NoSpacing"/>
        <w:rPr>
          <w:lang w:eastAsia="ja-JP"/>
        </w:rPr>
      </w:pPr>
    </w:p>
    <w:p w14:paraId="7C511956" w14:textId="77777777" w:rsidR="000452AB" w:rsidRPr="0055646B" w:rsidRDefault="000452AB" w:rsidP="00796C3D">
      <w:pPr>
        <w:pStyle w:val="NoSpacing"/>
        <w:rPr>
          <w:lang w:eastAsia="ja-JP"/>
        </w:rPr>
      </w:pPr>
      <w:r w:rsidRPr="0055646B">
        <w:rPr>
          <w:lang w:eastAsia="ja-JP"/>
        </w:rPr>
        <w:t xml:space="preserve">MIC (Ministry of Internal Affairs and Communications, Japan) (2012) </w:t>
      </w:r>
      <w:r w:rsidR="00796C3D">
        <w:rPr>
          <w:lang w:eastAsia="ja-JP"/>
        </w:rPr>
        <w:t>‘</w:t>
      </w:r>
      <w:r w:rsidRPr="00796C3D">
        <w:rPr>
          <w:i/>
          <w:lang w:eastAsia="ja-JP"/>
        </w:rPr>
        <w:t>Gaiyou</w:t>
      </w:r>
      <w:r w:rsidR="00796C3D" w:rsidRPr="00796C3D">
        <w:rPr>
          <w:iCs/>
          <w:lang w:eastAsia="ja-JP"/>
        </w:rPr>
        <w:t>’,</w:t>
      </w:r>
      <w:r w:rsidR="00796C3D">
        <w:rPr>
          <w:i/>
          <w:lang w:eastAsia="ja-JP"/>
        </w:rPr>
        <w:t xml:space="preserve"> </w:t>
      </w:r>
      <w:r w:rsidRPr="0055646B">
        <w:rPr>
          <w:lang w:eastAsia="ja-JP"/>
        </w:rPr>
        <w:t xml:space="preserve">in </w:t>
      </w:r>
      <w:r w:rsidRPr="0055646B">
        <w:rPr>
          <w:i/>
          <w:lang w:eastAsia="ja-JP"/>
        </w:rPr>
        <w:t>Jouhou Tsushin S</w:t>
      </w:r>
      <w:r w:rsidR="003B2BCB">
        <w:rPr>
          <w:i/>
          <w:lang w:eastAsia="ja-JP"/>
        </w:rPr>
        <w:t>h</w:t>
      </w:r>
      <w:r w:rsidRPr="0055646B">
        <w:rPr>
          <w:i/>
          <w:lang w:eastAsia="ja-JP"/>
        </w:rPr>
        <w:t>ingika</w:t>
      </w:r>
      <w:r w:rsidR="003B2BCB">
        <w:rPr>
          <w:i/>
          <w:lang w:eastAsia="ja-JP"/>
        </w:rPr>
        <w:t>i</w:t>
      </w:r>
      <w:r w:rsidRPr="0055646B">
        <w:rPr>
          <w:lang w:eastAsia="ja-JP"/>
        </w:rPr>
        <w:t xml:space="preserve"> </w:t>
      </w:r>
      <w:r w:rsidR="003B2BCB">
        <w:rPr>
          <w:lang w:eastAsia="ja-JP"/>
        </w:rPr>
        <w:t>[</w:t>
      </w:r>
      <w:r w:rsidR="00796C3D">
        <w:rPr>
          <w:lang w:eastAsia="ja-JP"/>
        </w:rPr>
        <w:t>‘</w:t>
      </w:r>
      <w:r w:rsidRPr="0055646B">
        <w:rPr>
          <w:lang w:eastAsia="ja-JP"/>
        </w:rPr>
        <w:t>Abstract</w:t>
      </w:r>
      <w:r w:rsidR="00796C3D">
        <w:rPr>
          <w:lang w:eastAsia="ja-JP"/>
        </w:rPr>
        <w:t>’,</w:t>
      </w:r>
      <w:r w:rsidRPr="0055646B">
        <w:rPr>
          <w:lang w:eastAsia="ja-JP"/>
        </w:rPr>
        <w:t xml:space="preserve"> in </w:t>
      </w:r>
      <w:r w:rsidRPr="008C30B9">
        <w:rPr>
          <w:i/>
          <w:iCs/>
          <w:lang w:eastAsia="ja-JP"/>
        </w:rPr>
        <w:t>Information and Communications Council</w:t>
      </w:r>
      <w:r w:rsidR="003B2BCB">
        <w:rPr>
          <w:lang w:eastAsia="ja-JP"/>
        </w:rPr>
        <w:t>] [online]. MIC. Available from:</w:t>
      </w:r>
    </w:p>
    <w:p w14:paraId="4E45E796" w14:textId="77777777" w:rsidR="000452AB" w:rsidRPr="0055646B" w:rsidRDefault="00050AB3" w:rsidP="0093196D">
      <w:pPr>
        <w:pStyle w:val="NoSpacing"/>
        <w:rPr>
          <w:lang w:eastAsia="ja-JP"/>
        </w:rPr>
      </w:pPr>
      <w:hyperlink r:id="rId28" w:history="1">
        <w:r w:rsidR="000452AB" w:rsidRPr="0055646B">
          <w:rPr>
            <w:rStyle w:val="Hyperlink"/>
            <w:lang w:eastAsia="ja-JP"/>
          </w:rPr>
          <w:t>http://www.soumu.go.jp/main_sosiki/joho_tsusin/policyreports/joho_tsusin/index.html</w:t>
        </w:r>
      </w:hyperlink>
    </w:p>
    <w:p w14:paraId="6AD23C55" w14:textId="77777777" w:rsidR="003B2BCB" w:rsidRDefault="003B2BCB" w:rsidP="003B2BCB">
      <w:pPr>
        <w:pStyle w:val="NoSpacing"/>
        <w:rPr>
          <w:lang w:eastAsia="ja-JP"/>
        </w:rPr>
      </w:pPr>
      <w:r>
        <w:rPr>
          <w:lang w:eastAsia="ja-JP"/>
        </w:rPr>
        <w:t>[</w:t>
      </w:r>
      <w:r w:rsidRPr="0055646B">
        <w:rPr>
          <w:lang w:eastAsia="ja-JP"/>
        </w:rPr>
        <w:t>Ac</w:t>
      </w:r>
      <w:r>
        <w:rPr>
          <w:lang w:eastAsia="ja-JP"/>
        </w:rPr>
        <w:t>cessed 8 January 2012]</w:t>
      </w:r>
      <w:r w:rsidR="00796C3D">
        <w:rPr>
          <w:lang w:eastAsia="ja-JP"/>
        </w:rPr>
        <w:t>.</w:t>
      </w:r>
    </w:p>
    <w:p w14:paraId="1E6176BA" w14:textId="77777777" w:rsidR="00581F9A" w:rsidRDefault="00581F9A" w:rsidP="003B2BCB">
      <w:pPr>
        <w:pStyle w:val="NoSpacing"/>
        <w:rPr>
          <w:lang w:eastAsia="ja-JP"/>
        </w:rPr>
      </w:pPr>
    </w:p>
    <w:p w14:paraId="1C147C23" w14:textId="77777777" w:rsidR="00581F9A" w:rsidRDefault="00581F9A" w:rsidP="008C30B9">
      <w:pPr>
        <w:pStyle w:val="NoSpacing"/>
        <w:rPr>
          <w:lang w:eastAsia="ja-JP"/>
        </w:rPr>
      </w:pPr>
      <w:r>
        <w:rPr>
          <w:lang w:eastAsia="ja-JP"/>
        </w:rPr>
        <w:t>MIC (Ministry of Internal Affairs and Communications, Japan) (2013a) ‘2.4.5.1.</w:t>
      </w:r>
      <w:r w:rsidR="00F74AEB">
        <w:rPr>
          <w:lang w:eastAsia="ja-JP"/>
        </w:rPr>
        <w:t xml:space="preserve">(2) </w:t>
      </w:r>
      <w:r w:rsidR="00F74AEB" w:rsidRPr="008C30B9">
        <w:rPr>
          <w:i/>
          <w:iCs/>
          <w:lang w:eastAsia="ja-JP"/>
        </w:rPr>
        <w:t>Jigyousha su</w:t>
      </w:r>
      <w:r>
        <w:rPr>
          <w:lang w:eastAsia="ja-JP"/>
        </w:rPr>
        <w:t xml:space="preserve">’, in </w:t>
      </w:r>
      <w:r w:rsidRPr="008C30B9">
        <w:rPr>
          <w:i/>
          <w:iCs/>
          <w:lang w:eastAsia="ja-JP"/>
        </w:rPr>
        <w:t>Jouhou Tsu’ushin Hakusho, 24 Nendo Ban</w:t>
      </w:r>
      <w:r>
        <w:rPr>
          <w:lang w:eastAsia="ja-JP"/>
        </w:rPr>
        <w:t xml:space="preserve"> [‘</w:t>
      </w:r>
      <w:r w:rsidR="0018441E">
        <w:rPr>
          <w:lang w:eastAsia="ja-JP"/>
        </w:rPr>
        <w:t xml:space="preserve">2.4.5.1.(2) </w:t>
      </w:r>
      <w:r w:rsidR="00F74AEB">
        <w:rPr>
          <w:lang w:eastAsia="ja-JP"/>
        </w:rPr>
        <w:t>The number of carriers</w:t>
      </w:r>
      <w:r>
        <w:rPr>
          <w:lang w:eastAsia="ja-JP"/>
        </w:rPr>
        <w:t xml:space="preserve">’, in </w:t>
      </w:r>
      <w:r w:rsidRPr="008C30B9">
        <w:rPr>
          <w:i/>
          <w:iCs/>
          <w:lang w:eastAsia="ja-JP"/>
        </w:rPr>
        <w:t>the 2012 ICT White Paper</w:t>
      </w:r>
      <w:r>
        <w:rPr>
          <w:lang w:eastAsia="ja-JP"/>
        </w:rPr>
        <w:t>]</w:t>
      </w:r>
      <w:r w:rsidR="008C30B9">
        <w:rPr>
          <w:lang w:eastAsia="ja-JP"/>
        </w:rPr>
        <w:t xml:space="preserve"> [online]</w:t>
      </w:r>
      <w:r>
        <w:rPr>
          <w:lang w:eastAsia="ja-JP"/>
        </w:rPr>
        <w:t xml:space="preserve">. MIC. Available </w:t>
      </w:r>
      <w:r w:rsidR="008C30B9">
        <w:rPr>
          <w:lang w:eastAsia="ja-JP"/>
        </w:rPr>
        <w:t>from</w:t>
      </w:r>
      <w:r>
        <w:rPr>
          <w:lang w:eastAsia="ja-JP"/>
        </w:rPr>
        <w:t>:</w:t>
      </w:r>
    </w:p>
    <w:p w14:paraId="58EB17E4" w14:textId="77777777" w:rsidR="00581F9A" w:rsidRDefault="00050AB3" w:rsidP="003B2BCB">
      <w:pPr>
        <w:pStyle w:val="NoSpacing"/>
        <w:rPr>
          <w:lang w:eastAsia="ja-JP"/>
        </w:rPr>
      </w:pPr>
      <w:hyperlink r:id="rId29" w:history="1">
        <w:r w:rsidR="0018441E" w:rsidRPr="00C769F8">
          <w:rPr>
            <w:rStyle w:val="Hyperlink"/>
            <w:lang w:eastAsia="ja-JP"/>
          </w:rPr>
          <w:t>http://www.soumu.go.jp/johotsusintokei/whitepaper/ja/h24/html/nc245120.html</w:t>
        </w:r>
      </w:hyperlink>
    </w:p>
    <w:p w14:paraId="4E00631D" w14:textId="77777777" w:rsidR="00581F9A" w:rsidRPr="0055646B" w:rsidRDefault="00581F9A" w:rsidP="0018441E">
      <w:pPr>
        <w:pStyle w:val="NoSpacing"/>
        <w:rPr>
          <w:lang w:eastAsia="ja-JP"/>
        </w:rPr>
      </w:pPr>
      <w:r>
        <w:rPr>
          <w:lang w:eastAsia="ja-JP"/>
        </w:rPr>
        <w:t>[Accessed 5 July 2013].</w:t>
      </w:r>
    </w:p>
    <w:p w14:paraId="7FE72ED7" w14:textId="77777777" w:rsidR="003B2BCB" w:rsidRDefault="003B2BCB" w:rsidP="0093196D">
      <w:pPr>
        <w:pStyle w:val="NoSpacing"/>
        <w:rPr>
          <w:lang w:eastAsia="ja-JP"/>
        </w:rPr>
      </w:pPr>
    </w:p>
    <w:p w14:paraId="62FCF01B" w14:textId="77777777" w:rsidR="00F74AEB" w:rsidRDefault="00F74AEB" w:rsidP="008C30B9">
      <w:pPr>
        <w:pStyle w:val="NoSpacing"/>
        <w:rPr>
          <w:lang w:eastAsia="ja-JP"/>
        </w:rPr>
      </w:pPr>
      <w:r>
        <w:rPr>
          <w:lang w:eastAsia="ja-JP"/>
        </w:rPr>
        <w:t xml:space="preserve">MIC (Ministry of Internal Affairs and Communications, Japan) (2013b) ‘2.4.1.(1) </w:t>
      </w:r>
      <w:r w:rsidRPr="008C30B9">
        <w:rPr>
          <w:i/>
          <w:iCs/>
          <w:lang w:eastAsia="ja-JP"/>
        </w:rPr>
        <w:t>Kokunai Denki Tsu’ushin Ryoukin no Teirenka</w:t>
      </w:r>
      <w:r>
        <w:rPr>
          <w:lang w:eastAsia="ja-JP"/>
        </w:rPr>
        <w:t xml:space="preserve">’, in </w:t>
      </w:r>
      <w:r w:rsidRPr="00582D84">
        <w:rPr>
          <w:i/>
          <w:iCs/>
          <w:lang w:eastAsia="ja-JP"/>
        </w:rPr>
        <w:t>Tsu’ushin Hakusho, 24 Nendo Ban</w:t>
      </w:r>
      <w:r>
        <w:rPr>
          <w:lang w:eastAsia="ja-JP"/>
        </w:rPr>
        <w:t xml:space="preserve"> [‘</w:t>
      </w:r>
      <w:r w:rsidR="0018441E">
        <w:rPr>
          <w:lang w:eastAsia="ja-JP"/>
        </w:rPr>
        <w:t xml:space="preserve">2.4.1.(1) </w:t>
      </w:r>
      <w:r>
        <w:rPr>
          <w:lang w:eastAsia="ja-JP"/>
        </w:rPr>
        <w:t xml:space="preserve">The number of carriers’, in </w:t>
      </w:r>
      <w:r w:rsidRPr="008C30B9">
        <w:rPr>
          <w:i/>
          <w:iCs/>
          <w:lang w:eastAsia="ja-JP"/>
        </w:rPr>
        <w:t>the 1997 Communications White Paper</w:t>
      </w:r>
      <w:r>
        <w:rPr>
          <w:lang w:eastAsia="ja-JP"/>
        </w:rPr>
        <w:t>]</w:t>
      </w:r>
      <w:r w:rsidR="008C30B9">
        <w:rPr>
          <w:lang w:eastAsia="ja-JP"/>
        </w:rPr>
        <w:t xml:space="preserve"> [online]</w:t>
      </w:r>
      <w:r>
        <w:rPr>
          <w:lang w:eastAsia="ja-JP"/>
        </w:rPr>
        <w:t xml:space="preserve">. MIC. Available </w:t>
      </w:r>
      <w:r w:rsidR="008C30B9">
        <w:rPr>
          <w:lang w:eastAsia="ja-JP"/>
        </w:rPr>
        <w:t>from</w:t>
      </w:r>
      <w:r>
        <w:rPr>
          <w:lang w:eastAsia="ja-JP"/>
        </w:rPr>
        <w:t>:</w:t>
      </w:r>
    </w:p>
    <w:p w14:paraId="1C941B58" w14:textId="77777777" w:rsidR="00F74AEB" w:rsidRDefault="00050AB3" w:rsidP="00F74AEB">
      <w:pPr>
        <w:pStyle w:val="NoSpacing"/>
        <w:rPr>
          <w:lang w:eastAsia="ja-JP"/>
        </w:rPr>
      </w:pPr>
      <w:hyperlink r:id="rId30" w:history="1">
        <w:r w:rsidR="0018441E" w:rsidRPr="00C769F8">
          <w:rPr>
            <w:rStyle w:val="Hyperlink"/>
            <w:lang w:eastAsia="ja-JP"/>
          </w:rPr>
          <w:t>http://www.soumu.go.jp/main_sosiki/joho_tsusin/policyreports/japanese/papers/98wp2-4-1a.html</w:t>
        </w:r>
      </w:hyperlink>
    </w:p>
    <w:p w14:paraId="78E9C925" w14:textId="77777777" w:rsidR="00F74AEB" w:rsidRDefault="00F74AEB" w:rsidP="0018441E">
      <w:pPr>
        <w:pStyle w:val="NoSpacing"/>
        <w:rPr>
          <w:lang w:eastAsia="ja-JP"/>
        </w:rPr>
      </w:pPr>
      <w:r>
        <w:rPr>
          <w:lang w:eastAsia="ja-JP"/>
        </w:rPr>
        <w:t>[Accessed 5 July 2013].</w:t>
      </w:r>
    </w:p>
    <w:p w14:paraId="3BD689E7" w14:textId="77777777" w:rsidR="00F74AEB" w:rsidRPr="0055646B" w:rsidRDefault="00F74AEB" w:rsidP="0093196D">
      <w:pPr>
        <w:pStyle w:val="NoSpacing"/>
        <w:rPr>
          <w:lang w:eastAsia="ja-JP"/>
        </w:rPr>
      </w:pPr>
    </w:p>
    <w:p w14:paraId="30752754" w14:textId="77777777" w:rsidR="000452AB" w:rsidRPr="0055646B" w:rsidRDefault="000452AB" w:rsidP="00796C3D">
      <w:pPr>
        <w:pStyle w:val="NoSpacing"/>
        <w:rPr>
          <w:lang w:eastAsia="ja-JP"/>
        </w:rPr>
      </w:pPr>
      <w:r w:rsidRPr="0055646B">
        <w:rPr>
          <w:lang w:eastAsia="ja-JP"/>
        </w:rPr>
        <w:t>Miwa, Y and Ramseyer, J.</w:t>
      </w:r>
      <w:r w:rsidR="003B2BCB">
        <w:rPr>
          <w:lang w:eastAsia="ja-JP"/>
        </w:rPr>
        <w:t xml:space="preserve"> </w:t>
      </w:r>
      <w:r w:rsidRPr="0055646B">
        <w:rPr>
          <w:lang w:eastAsia="ja-JP"/>
        </w:rPr>
        <w:t>M. (2004) ‘</w:t>
      </w:r>
      <w:r w:rsidRPr="0055646B">
        <w:rPr>
          <w:i/>
          <w:iCs/>
          <w:lang w:eastAsia="ja-JP"/>
        </w:rPr>
        <w:t>Kyousou</w:t>
      </w:r>
      <w:r w:rsidR="00796C3D">
        <w:rPr>
          <w:i/>
          <w:iCs/>
          <w:lang w:eastAsia="ja-JP"/>
        </w:rPr>
        <w:t xml:space="preserve"> </w:t>
      </w:r>
      <w:r w:rsidRPr="0055646B">
        <w:rPr>
          <w:i/>
          <w:iCs/>
          <w:lang w:eastAsia="ja-JP"/>
        </w:rPr>
        <w:t>Seisaku no Nozomashi</w:t>
      </w:r>
      <w:r w:rsidR="00796C3D">
        <w:rPr>
          <w:i/>
          <w:iCs/>
          <w:lang w:eastAsia="ja-JP"/>
        </w:rPr>
        <w:t>’</w:t>
      </w:r>
      <w:r w:rsidRPr="0055646B">
        <w:rPr>
          <w:i/>
          <w:iCs/>
          <w:lang w:eastAsia="ja-JP"/>
        </w:rPr>
        <w:t>i Sugata to Yakuwari – Shiteki Dokusen, Keijibatsu, Kouseitorihiki</w:t>
      </w:r>
      <w:r w:rsidR="00796C3D">
        <w:rPr>
          <w:i/>
          <w:iCs/>
          <w:lang w:eastAsia="ja-JP"/>
        </w:rPr>
        <w:t xml:space="preserve"> I’</w:t>
      </w:r>
      <w:r w:rsidRPr="0055646B">
        <w:rPr>
          <w:i/>
          <w:iCs/>
          <w:lang w:eastAsia="ja-JP"/>
        </w:rPr>
        <w:t>inkai</w:t>
      </w:r>
      <w:r w:rsidRPr="0055646B">
        <w:rPr>
          <w:lang w:eastAsia="ja-JP"/>
        </w:rPr>
        <w:t xml:space="preserve">’ </w:t>
      </w:r>
      <w:r w:rsidR="003B2BCB">
        <w:rPr>
          <w:lang w:eastAsia="ja-JP"/>
        </w:rPr>
        <w:t>[</w:t>
      </w:r>
      <w:r w:rsidRPr="0055646B">
        <w:rPr>
          <w:lang w:eastAsia="ja-JP"/>
        </w:rPr>
        <w:t>The desirable form and role of the competition policy – private monopoly, criminal punishments, and the Fair Trade Commission</w:t>
      </w:r>
      <w:r w:rsidR="003B2BCB">
        <w:rPr>
          <w:lang w:eastAsia="ja-JP"/>
        </w:rPr>
        <w:t>]</w:t>
      </w:r>
      <w:r w:rsidRPr="0055646B">
        <w:rPr>
          <w:lang w:eastAsia="ja-JP"/>
        </w:rPr>
        <w:t xml:space="preserve">, </w:t>
      </w:r>
      <w:r w:rsidRPr="003B2BCB">
        <w:rPr>
          <w:i/>
          <w:iCs/>
          <w:lang w:eastAsia="ja-JP"/>
        </w:rPr>
        <w:t>Jurist</w:t>
      </w:r>
      <w:r w:rsidR="003B2BCB">
        <w:rPr>
          <w:lang w:eastAsia="ja-JP"/>
        </w:rPr>
        <w:t xml:space="preserve">, 1261 and </w:t>
      </w:r>
      <w:r w:rsidRPr="0055646B">
        <w:rPr>
          <w:lang w:eastAsia="ja-JP"/>
        </w:rPr>
        <w:t>1262 (1 and 15 February)</w:t>
      </w:r>
      <w:r w:rsidR="005D08DB">
        <w:rPr>
          <w:lang w:eastAsia="ja-JP"/>
        </w:rPr>
        <w:t>.</w:t>
      </w:r>
    </w:p>
    <w:p w14:paraId="19729523" w14:textId="77777777" w:rsidR="000452AB" w:rsidRPr="0055646B" w:rsidRDefault="000452AB" w:rsidP="0093196D">
      <w:pPr>
        <w:pStyle w:val="NoSpacing"/>
        <w:rPr>
          <w:lang w:eastAsia="ja-JP"/>
        </w:rPr>
      </w:pPr>
    </w:p>
    <w:p w14:paraId="5BD02E77" w14:textId="77777777" w:rsidR="000452AB" w:rsidRPr="0055646B" w:rsidRDefault="000452AB" w:rsidP="005D08DB">
      <w:pPr>
        <w:pStyle w:val="NoSpacing"/>
        <w:rPr>
          <w:lang w:eastAsia="ja-JP"/>
        </w:rPr>
      </w:pPr>
      <w:r w:rsidRPr="0055646B">
        <w:rPr>
          <w:lang w:eastAsia="ja-JP"/>
        </w:rPr>
        <w:t>Moe, T</w:t>
      </w:r>
      <w:r w:rsidR="005D08DB">
        <w:rPr>
          <w:lang w:eastAsia="ja-JP"/>
        </w:rPr>
        <w:t>.</w:t>
      </w:r>
      <w:r w:rsidRPr="0055646B">
        <w:rPr>
          <w:lang w:eastAsia="ja-JP"/>
        </w:rPr>
        <w:t xml:space="preserve"> (1987) ‘An Assessment of the Positive Theory of “Congressional Dominance”’, </w:t>
      </w:r>
      <w:r w:rsidRPr="005D08DB">
        <w:rPr>
          <w:i/>
          <w:iCs/>
          <w:lang w:eastAsia="ja-JP"/>
        </w:rPr>
        <w:t>Legislative Studies Quarterly</w:t>
      </w:r>
      <w:r w:rsidR="005D08DB">
        <w:rPr>
          <w:lang w:eastAsia="ja-JP"/>
        </w:rPr>
        <w:t>,</w:t>
      </w:r>
      <w:r w:rsidRPr="0055646B">
        <w:rPr>
          <w:lang w:eastAsia="ja-JP"/>
        </w:rPr>
        <w:t xml:space="preserve"> 12</w:t>
      </w:r>
      <w:r w:rsidR="005D08DB">
        <w:rPr>
          <w:lang w:eastAsia="ja-JP"/>
        </w:rPr>
        <w:t>,</w:t>
      </w:r>
      <w:r w:rsidRPr="0055646B">
        <w:rPr>
          <w:lang w:eastAsia="ja-JP"/>
        </w:rPr>
        <w:t xml:space="preserve"> </w:t>
      </w:r>
      <w:r w:rsidR="005D08DB">
        <w:rPr>
          <w:lang w:eastAsia="ja-JP"/>
        </w:rPr>
        <w:t>(4),</w:t>
      </w:r>
      <w:r w:rsidRPr="0055646B">
        <w:rPr>
          <w:lang w:eastAsia="ja-JP"/>
        </w:rPr>
        <w:t xml:space="preserve"> pp.475-520</w:t>
      </w:r>
      <w:r w:rsidR="005D08DB">
        <w:rPr>
          <w:lang w:eastAsia="ja-JP"/>
        </w:rPr>
        <w:t>.</w:t>
      </w:r>
    </w:p>
    <w:p w14:paraId="5C936166" w14:textId="77777777" w:rsidR="000452AB" w:rsidRPr="0055646B" w:rsidRDefault="000452AB" w:rsidP="0093196D">
      <w:pPr>
        <w:pStyle w:val="NoSpacing"/>
        <w:rPr>
          <w:lang w:eastAsia="ja-JP"/>
        </w:rPr>
      </w:pPr>
    </w:p>
    <w:p w14:paraId="1D0C5B8D" w14:textId="77777777" w:rsidR="000452AB" w:rsidRPr="0055646B" w:rsidRDefault="000452AB" w:rsidP="005D08DB">
      <w:pPr>
        <w:pStyle w:val="NoSpacing"/>
        <w:rPr>
          <w:lang w:eastAsia="ja-JP"/>
        </w:rPr>
      </w:pPr>
      <w:r w:rsidRPr="0055646B">
        <w:rPr>
          <w:lang w:eastAsia="ja-JP"/>
        </w:rPr>
        <w:t>Moran, M</w:t>
      </w:r>
      <w:r w:rsidR="005D08DB">
        <w:rPr>
          <w:lang w:eastAsia="ja-JP"/>
        </w:rPr>
        <w:t>.</w:t>
      </w:r>
      <w:r w:rsidRPr="0055646B">
        <w:rPr>
          <w:lang w:eastAsia="ja-JP"/>
        </w:rPr>
        <w:t xml:space="preserve"> (2003) </w:t>
      </w:r>
      <w:r w:rsidRPr="005D08DB">
        <w:rPr>
          <w:i/>
          <w:iCs/>
          <w:lang w:eastAsia="ja-JP"/>
        </w:rPr>
        <w:t>British Regulatory State – High Modernism and Hyper-Innovation</w:t>
      </w:r>
      <w:r w:rsidR="005D08DB">
        <w:rPr>
          <w:lang w:eastAsia="ja-JP"/>
        </w:rPr>
        <w:t>.</w:t>
      </w:r>
      <w:r w:rsidRPr="0055646B">
        <w:rPr>
          <w:lang w:eastAsia="ja-JP"/>
        </w:rPr>
        <w:t xml:space="preserve"> </w:t>
      </w:r>
      <w:r w:rsidR="005D08DB">
        <w:rPr>
          <w:lang w:eastAsia="ja-JP"/>
        </w:rPr>
        <w:t xml:space="preserve">Oxford: </w:t>
      </w:r>
      <w:r w:rsidRPr="0055646B">
        <w:rPr>
          <w:lang w:eastAsia="ja-JP"/>
        </w:rPr>
        <w:t>Oxford UP</w:t>
      </w:r>
      <w:r w:rsidR="005D08DB">
        <w:rPr>
          <w:lang w:eastAsia="ja-JP"/>
        </w:rPr>
        <w:t>.</w:t>
      </w:r>
    </w:p>
    <w:p w14:paraId="7E20ED5C" w14:textId="77777777" w:rsidR="000452AB" w:rsidRPr="0055646B" w:rsidRDefault="000452AB" w:rsidP="0093196D">
      <w:pPr>
        <w:pStyle w:val="NoSpacing"/>
        <w:rPr>
          <w:lang w:eastAsia="ja-JP"/>
        </w:rPr>
      </w:pPr>
    </w:p>
    <w:p w14:paraId="503EEB04" w14:textId="77777777" w:rsidR="000452AB" w:rsidRPr="0055646B" w:rsidRDefault="000452AB" w:rsidP="005D08DB">
      <w:pPr>
        <w:pStyle w:val="NoSpacing"/>
        <w:rPr>
          <w:lang w:eastAsia="ja-JP"/>
        </w:rPr>
      </w:pPr>
      <w:r w:rsidRPr="0055646B">
        <w:rPr>
          <w:rFonts w:hint="eastAsia"/>
          <w:lang w:eastAsia="ja-JP"/>
        </w:rPr>
        <w:t>Morita, M</w:t>
      </w:r>
      <w:r w:rsidR="005D08DB">
        <w:rPr>
          <w:lang w:eastAsia="ja-JP"/>
        </w:rPr>
        <w:t>.</w:t>
      </w:r>
      <w:r w:rsidRPr="0055646B">
        <w:rPr>
          <w:rFonts w:hint="eastAsia"/>
          <w:lang w:eastAsia="ja-JP"/>
        </w:rPr>
        <w:t xml:space="preserve"> K. (1991) </w:t>
      </w:r>
      <w:r w:rsidRPr="0055646B">
        <w:rPr>
          <w:lang w:eastAsia="ja-JP"/>
        </w:rPr>
        <w:t>‘S</w:t>
      </w:r>
      <w:r w:rsidRPr="0055646B">
        <w:rPr>
          <w:rFonts w:hint="eastAsia"/>
          <w:lang w:eastAsia="ja-JP"/>
        </w:rPr>
        <w:t>tructural Impediments Initiatives: Is It an Effective Correction of Japan</w:t>
      </w:r>
      <w:r w:rsidRPr="0055646B">
        <w:rPr>
          <w:lang w:eastAsia="ja-JP"/>
        </w:rPr>
        <w:t>’</w:t>
      </w:r>
      <w:r w:rsidRPr="0055646B">
        <w:rPr>
          <w:rFonts w:hint="eastAsia"/>
          <w:lang w:eastAsia="ja-JP"/>
        </w:rPr>
        <w:t>s A</w:t>
      </w:r>
      <w:r w:rsidRPr="0055646B">
        <w:rPr>
          <w:lang w:eastAsia="ja-JP"/>
        </w:rPr>
        <w:t>n</w:t>
      </w:r>
      <w:r w:rsidRPr="0055646B">
        <w:rPr>
          <w:rFonts w:hint="eastAsia"/>
          <w:lang w:eastAsia="ja-JP"/>
        </w:rPr>
        <w:t>timonopoly Policy?</w:t>
      </w:r>
      <w:r w:rsidRPr="0055646B">
        <w:rPr>
          <w:lang w:eastAsia="ja-JP"/>
        </w:rPr>
        <w:t>’</w:t>
      </w:r>
      <w:r w:rsidRPr="0055646B">
        <w:rPr>
          <w:rFonts w:hint="eastAsia"/>
          <w:lang w:eastAsia="ja-JP"/>
        </w:rPr>
        <w:t xml:space="preserve">, </w:t>
      </w:r>
      <w:r w:rsidRPr="005D08DB">
        <w:rPr>
          <w:rFonts w:hint="eastAsia"/>
          <w:i/>
          <w:iCs/>
          <w:lang w:eastAsia="ja-JP"/>
        </w:rPr>
        <w:t xml:space="preserve">University of </w:t>
      </w:r>
      <w:r w:rsidRPr="005D08DB">
        <w:rPr>
          <w:i/>
          <w:iCs/>
          <w:lang w:eastAsia="ja-JP"/>
        </w:rPr>
        <w:t>Pennsylvania</w:t>
      </w:r>
      <w:r w:rsidRPr="005D08DB">
        <w:rPr>
          <w:rFonts w:hint="eastAsia"/>
          <w:i/>
          <w:iCs/>
          <w:lang w:eastAsia="ja-JP"/>
        </w:rPr>
        <w:t xml:space="preserve"> Journal of I</w:t>
      </w:r>
      <w:r w:rsidRPr="005D08DB">
        <w:rPr>
          <w:i/>
          <w:iCs/>
          <w:lang w:eastAsia="ja-JP"/>
        </w:rPr>
        <w:t>n</w:t>
      </w:r>
      <w:r w:rsidRPr="005D08DB">
        <w:rPr>
          <w:rFonts w:hint="eastAsia"/>
          <w:i/>
          <w:iCs/>
          <w:lang w:eastAsia="ja-JP"/>
        </w:rPr>
        <w:t>ternational Business Law</w:t>
      </w:r>
      <w:r w:rsidR="005D08DB">
        <w:rPr>
          <w:lang w:eastAsia="ja-JP"/>
        </w:rPr>
        <w:t xml:space="preserve">, </w:t>
      </w:r>
      <w:r w:rsidRPr="0055646B">
        <w:rPr>
          <w:rFonts w:hint="eastAsia"/>
          <w:lang w:eastAsia="ja-JP"/>
        </w:rPr>
        <w:t>12</w:t>
      </w:r>
      <w:r w:rsidR="005D08DB">
        <w:rPr>
          <w:lang w:eastAsia="ja-JP"/>
        </w:rPr>
        <w:t>,</w:t>
      </w:r>
      <w:r w:rsidRPr="0055646B">
        <w:rPr>
          <w:rFonts w:hint="eastAsia"/>
          <w:lang w:eastAsia="ja-JP"/>
        </w:rPr>
        <w:t xml:space="preserve"> </w:t>
      </w:r>
      <w:r w:rsidR="005D08DB">
        <w:rPr>
          <w:lang w:eastAsia="ja-JP"/>
        </w:rPr>
        <w:t>(4),</w:t>
      </w:r>
      <w:r w:rsidRPr="0055646B">
        <w:rPr>
          <w:rFonts w:hint="eastAsia"/>
          <w:lang w:eastAsia="ja-JP"/>
        </w:rPr>
        <w:t xml:space="preserve"> pp.777-810</w:t>
      </w:r>
      <w:r w:rsidR="005D08DB">
        <w:rPr>
          <w:lang w:eastAsia="ja-JP"/>
        </w:rPr>
        <w:t>.</w:t>
      </w:r>
    </w:p>
    <w:p w14:paraId="18CAD764" w14:textId="77777777" w:rsidR="000452AB" w:rsidRDefault="000452AB" w:rsidP="0093196D">
      <w:pPr>
        <w:pStyle w:val="NoSpacing"/>
        <w:rPr>
          <w:lang w:eastAsia="ja-JP"/>
        </w:rPr>
      </w:pPr>
    </w:p>
    <w:p w14:paraId="38B5D020" w14:textId="77777777" w:rsidR="000452AB" w:rsidRDefault="000452AB" w:rsidP="00796C3D">
      <w:pPr>
        <w:pStyle w:val="NoSpacing"/>
        <w:rPr>
          <w:lang w:eastAsia="ja-JP"/>
        </w:rPr>
      </w:pPr>
      <w:r>
        <w:rPr>
          <w:lang w:eastAsia="ja-JP"/>
        </w:rPr>
        <w:t>MPT (Ministry of Posts and Telecommunications, Japan) (1997) ‘</w:t>
      </w:r>
      <w:r w:rsidRPr="006F0617">
        <w:rPr>
          <w:i/>
          <w:iCs/>
          <w:lang w:eastAsia="ja-JP"/>
        </w:rPr>
        <w:t>11/12 Zuke: Gyousei Kaikaku Kaigi Teishutu Shiryou – Jouhou Tu</w:t>
      </w:r>
      <w:r>
        <w:rPr>
          <w:i/>
          <w:iCs/>
          <w:lang w:eastAsia="ja-JP"/>
        </w:rPr>
        <w:t>u</w:t>
      </w:r>
      <w:r w:rsidRPr="006F0617">
        <w:rPr>
          <w:i/>
          <w:iCs/>
          <w:lang w:eastAsia="ja-JP"/>
        </w:rPr>
        <w:t>shin Gyousei no Arikata –</w:t>
      </w:r>
      <w:r w:rsidR="00B514CC">
        <w:rPr>
          <w:lang w:eastAsia="ja-JP"/>
        </w:rPr>
        <w:t>’ [</w:t>
      </w:r>
      <w:r w:rsidR="00F77E54" w:rsidRPr="005B18BE">
        <w:rPr>
          <w:i/>
          <w:iCs/>
          <w:lang w:eastAsia="ja-JP"/>
        </w:rPr>
        <w:t>Dated 12/11: the paper submitted to the Administrative Reform Council – how ICT be governed</w:t>
      </w:r>
      <w:r w:rsidR="00B514CC">
        <w:rPr>
          <w:lang w:eastAsia="ja-JP"/>
        </w:rPr>
        <w:t>] [online]. MPT. Available from:</w:t>
      </w:r>
    </w:p>
    <w:p w14:paraId="31FE2954" w14:textId="77777777" w:rsidR="000452AB" w:rsidRDefault="00050AB3" w:rsidP="0093196D">
      <w:pPr>
        <w:pStyle w:val="NoSpacing"/>
        <w:rPr>
          <w:lang w:eastAsia="ja-JP"/>
        </w:rPr>
      </w:pPr>
      <w:hyperlink r:id="rId31" w:history="1">
        <w:r w:rsidR="000452AB" w:rsidRPr="00561109">
          <w:rPr>
            <w:rStyle w:val="Hyperlink"/>
            <w:lang w:eastAsia="ja-JP"/>
          </w:rPr>
          <w:t>http://www.soumu.go.jp/main_sosiki/joho_tsusin/pressrelease/japanese/sonota/971112j902.html</w:t>
        </w:r>
      </w:hyperlink>
    </w:p>
    <w:p w14:paraId="7E843CD9" w14:textId="77777777" w:rsidR="000452AB" w:rsidRDefault="00B514CC" w:rsidP="00B514CC">
      <w:pPr>
        <w:pStyle w:val="NoSpacing"/>
        <w:rPr>
          <w:lang w:eastAsia="ja-JP"/>
        </w:rPr>
      </w:pPr>
      <w:r>
        <w:rPr>
          <w:lang w:eastAsia="ja-JP"/>
        </w:rPr>
        <w:t>[</w:t>
      </w:r>
      <w:r w:rsidR="000452AB">
        <w:rPr>
          <w:lang w:eastAsia="ja-JP"/>
        </w:rPr>
        <w:t>Accessed 1 November 2012</w:t>
      </w:r>
      <w:r>
        <w:rPr>
          <w:lang w:eastAsia="ja-JP"/>
        </w:rPr>
        <w:t>].</w:t>
      </w:r>
    </w:p>
    <w:p w14:paraId="321F6005" w14:textId="77777777" w:rsidR="000452AB" w:rsidRPr="0055646B" w:rsidRDefault="000452AB" w:rsidP="0093196D">
      <w:pPr>
        <w:pStyle w:val="NoSpacing"/>
        <w:rPr>
          <w:lang w:eastAsia="ja-JP"/>
        </w:rPr>
      </w:pPr>
    </w:p>
    <w:p w14:paraId="78B37E26" w14:textId="77777777" w:rsidR="000452AB" w:rsidRPr="0055646B" w:rsidRDefault="000452AB" w:rsidP="00B514CC">
      <w:pPr>
        <w:pStyle w:val="NoSpacing"/>
        <w:rPr>
          <w:lang w:eastAsia="ja-JP"/>
        </w:rPr>
      </w:pPr>
      <w:r w:rsidRPr="0055646B">
        <w:rPr>
          <w:lang w:eastAsia="ja-JP"/>
        </w:rPr>
        <w:t xml:space="preserve">MPT (Ministry of Posts and Telecommunications, Japan) (1998) </w:t>
      </w:r>
      <w:r w:rsidRPr="00B514CC">
        <w:rPr>
          <w:i/>
          <w:iCs/>
          <w:lang w:eastAsia="ja-JP"/>
        </w:rPr>
        <w:t>Manual for Market En</w:t>
      </w:r>
      <w:r w:rsidRPr="00B514CC">
        <w:rPr>
          <w:rFonts w:hint="eastAsia"/>
          <w:i/>
          <w:iCs/>
          <w:lang w:eastAsia="ja-JP"/>
        </w:rPr>
        <w:t>t</w:t>
      </w:r>
      <w:r w:rsidRPr="00B514CC">
        <w:rPr>
          <w:i/>
          <w:iCs/>
          <w:lang w:eastAsia="ja-JP"/>
        </w:rPr>
        <w:t>ry into Japanese Telecommunications Business</w:t>
      </w:r>
      <w:r w:rsidR="00B514CC">
        <w:rPr>
          <w:lang w:eastAsia="ja-JP"/>
        </w:rPr>
        <w:t>.</w:t>
      </w:r>
      <w:r w:rsidRPr="0055646B">
        <w:rPr>
          <w:lang w:eastAsia="ja-JP"/>
        </w:rPr>
        <w:t xml:space="preserve"> </w:t>
      </w:r>
      <w:r w:rsidR="00B514CC">
        <w:rPr>
          <w:lang w:eastAsia="ja-JP"/>
        </w:rPr>
        <w:t xml:space="preserve">Tokyo: </w:t>
      </w:r>
      <w:r w:rsidRPr="0055646B">
        <w:rPr>
          <w:lang w:eastAsia="ja-JP"/>
        </w:rPr>
        <w:t>MPT</w:t>
      </w:r>
      <w:r w:rsidR="00B514CC">
        <w:rPr>
          <w:lang w:eastAsia="ja-JP"/>
        </w:rPr>
        <w:t>.</w:t>
      </w:r>
    </w:p>
    <w:p w14:paraId="18FB6BF2" w14:textId="77777777" w:rsidR="000452AB" w:rsidRPr="0055646B" w:rsidRDefault="000452AB" w:rsidP="0093196D">
      <w:pPr>
        <w:pStyle w:val="NoSpacing"/>
        <w:rPr>
          <w:lang w:eastAsia="ja-JP"/>
        </w:rPr>
      </w:pPr>
    </w:p>
    <w:p w14:paraId="234BDF1D" w14:textId="77777777" w:rsidR="007A55EB" w:rsidRDefault="007A55EB" w:rsidP="007A55EB">
      <w:pPr>
        <w:pStyle w:val="NoSpacing"/>
        <w:rPr>
          <w:lang w:eastAsia="ja-JP"/>
        </w:rPr>
      </w:pPr>
      <w:r>
        <w:rPr>
          <w:lang w:eastAsia="ja-JP"/>
        </w:rPr>
        <w:t xml:space="preserve">Muramatsu, M. (1991) ‘The “Enhancement” of the Ministry of Posts and Telecommunications to Meet the Challenge of Telecommunications Innovation”, in S. Wilks and M. Wright (eds), </w:t>
      </w:r>
      <w:r w:rsidRPr="00DC2029">
        <w:rPr>
          <w:i/>
          <w:iCs/>
          <w:lang w:eastAsia="ja-JP"/>
        </w:rPr>
        <w:t>The Promotion and Regulation of Industry in Japan</w:t>
      </w:r>
      <w:r>
        <w:rPr>
          <w:lang w:eastAsia="ja-JP"/>
        </w:rPr>
        <w:t>. Basingstoke, Hampshire/London: Macmillan, pp.286-308.</w:t>
      </w:r>
    </w:p>
    <w:p w14:paraId="30BB30CE" w14:textId="77777777" w:rsidR="007A55EB" w:rsidRPr="0055646B" w:rsidRDefault="007A55EB" w:rsidP="007A55EB">
      <w:pPr>
        <w:pStyle w:val="NoSpacing"/>
        <w:rPr>
          <w:lang w:eastAsia="ja-JP"/>
        </w:rPr>
      </w:pPr>
    </w:p>
    <w:p w14:paraId="0068EB60" w14:textId="77777777" w:rsidR="000452AB" w:rsidRPr="0055646B" w:rsidRDefault="000452AB" w:rsidP="00B514CC">
      <w:pPr>
        <w:pStyle w:val="NoSpacing"/>
        <w:rPr>
          <w:lang w:eastAsia="ja-JP"/>
        </w:rPr>
      </w:pPr>
      <w:r w:rsidRPr="0055646B">
        <w:rPr>
          <w:lang w:eastAsia="ja-JP"/>
        </w:rPr>
        <w:t>Muramatsu, M</w:t>
      </w:r>
      <w:r w:rsidR="00B514CC">
        <w:rPr>
          <w:lang w:eastAsia="ja-JP"/>
        </w:rPr>
        <w:t>.</w:t>
      </w:r>
      <w:r w:rsidRPr="0055646B">
        <w:rPr>
          <w:lang w:eastAsia="ja-JP"/>
        </w:rPr>
        <w:t xml:space="preserve"> and Krauss, E</w:t>
      </w:r>
      <w:r w:rsidR="00B514CC">
        <w:rPr>
          <w:lang w:eastAsia="ja-JP"/>
        </w:rPr>
        <w:t>.</w:t>
      </w:r>
      <w:r w:rsidRPr="0055646B">
        <w:rPr>
          <w:lang w:eastAsia="ja-JP"/>
        </w:rPr>
        <w:t xml:space="preserve"> S. (1987) ‘The Conservative Policy Line and the Development of Patterned Pluralism’</w:t>
      </w:r>
      <w:r w:rsidR="00796C3D">
        <w:rPr>
          <w:lang w:eastAsia="ja-JP"/>
        </w:rPr>
        <w:t>,</w:t>
      </w:r>
      <w:r w:rsidRPr="0055646B">
        <w:rPr>
          <w:lang w:eastAsia="ja-JP"/>
        </w:rPr>
        <w:t xml:space="preserve"> in </w:t>
      </w:r>
      <w:r w:rsidR="00B514CC">
        <w:rPr>
          <w:lang w:eastAsia="ja-JP"/>
        </w:rPr>
        <w:t xml:space="preserve">K. </w:t>
      </w:r>
      <w:r w:rsidRPr="0055646B">
        <w:rPr>
          <w:lang w:eastAsia="ja-JP"/>
        </w:rPr>
        <w:t xml:space="preserve">Yamamura and </w:t>
      </w:r>
      <w:r w:rsidR="00B514CC">
        <w:rPr>
          <w:lang w:eastAsia="ja-JP"/>
        </w:rPr>
        <w:t xml:space="preserve">Y. </w:t>
      </w:r>
      <w:r w:rsidRPr="0055646B">
        <w:rPr>
          <w:lang w:eastAsia="ja-JP"/>
        </w:rPr>
        <w:t xml:space="preserve">Yasuba </w:t>
      </w:r>
      <w:r w:rsidR="00B514CC">
        <w:rPr>
          <w:lang w:eastAsia="ja-JP"/>
        </w:rPr>
        <w:t>(</w:t>
      </w:r>
      <w:r w:rsidRPr="0055646B">
        <w:rPr>
          <w:lang w:eastAsia="ja-JP"/>
        </w:rPr>
        <w:t>ed</w:t>
      </w:r>
      <w:r w:rsidR="00B514CC">
        <w:rPr>
          <w:lang w:eastAsia="ja-JP"/>
        </w:rPr>
        <w:t>s),</w:t>
      </w:r>
      <w:r w:rsidRPr="0055646B">
        <w:rPr>
          <w:lang w:eastAsia="ja-JP"/>
        </w:rPr>
        <w:t xml:space="preserve"> </w:t>
      </w:r>
      <w:r w:rsidRPr="00B514CC">
        <w:rPr>
          <w:i/>
          <w:iCs/>
          <w:lang w:eastAsia="ja-JP"/>
        </w:rPr>
        <w:t>The Political Economy of Japan</w:t>
      </w:r>
      <w:r w:rsidR="00B514CC" w:rsidRPr="00B514CC">
        <w:rPr>
          <w:i/>
          <w:iCs/>
          <w:lang w:eastAsia="ja-JP"/>
        </w:rPr>
        <w:t>,</w:t>
      </w:r>
      <w:r w:rsidRPr="00B514CC">
        <w:rPr>
          <w:i/>
          <w:iCs/>
          <w:lang w:eastAsia="ja-JP"/>
        </w:rPr>
        <w:t xml:space="preserve"> Vol.1: The Domestic Transformation</w:t>
      </w:r>
      <w:r w:rsidR="00B514CC">
        <w:rPr>
          <w:lang w:eastAsia="ja-JP"/>
        </w:rPr>
        <w:t>. Stanford:</w:t>
      </w:r>
      <w:r w:rsidRPr="0055646B">
        <w:rPr>
          <w:lang w:eastAsia="ja-JP"/>
        </w:rPr>
        <w:t xml:space="preserve"> Stanford UP, pp.516-54</w:t>
      </w:r>
      <w:r w:rsidR="00B514CC">
        <w:rPr>
          <w:lang w:eastAsia="ja-JP"/>
        </w:rPr>
        <w:t>.</w:t>
      </w:r>
    </w:p>
    <w:p w14:paraId="541A67CA" w14:textId="77777777" w:rsidR="000452AB" w:rsidRDefault="000452AB" w:rsidP="0093196D">
      <w:pPr>
        <w:pStyle w:val="NoSpacing"/>
        <w:rPr>
          <w:lang w:eastAsia="ja-JP"/>
        </w:rPr>
      </w:pPr>
    </w:p>
    <w:p w14:paraId="44C108D4" w14:textId="77777777" w:rsidR="000452AB" w:rsidRPr="0055646B" w:rsidRDefault="000452AB" w:rsidP="001F6BCE">
      <w:pPr>
        <w:pStyle w:val="NoSpacing"/>
        <w:rPr>
          <w:lang w:eastAsia="ja-JP"/>
        </w:rPr>
      </w:pPr>
      <w:r w:rsidRPr="0055646B">
        <w:rPr>
          <w:lang w:eastAsia="ja-JP"/>
        </w:rPr>
        <w:t>Neary, I</w:t>
      </w:r>
      <w:r w:rsidR="001F6BCE">
        <w:rPr>
          <w:lang w:eastAsia="ja-JP"/>
        </w:rPr>
        <w:t>.</w:t>
      </w:r>
      <w:r w:rsidRPr="0055646B">
        <w:rPr>
          <w:lang w:eastAsia="ja-JP"/>
        </w:rPr>
        <w:t xml:space="preserve"> (2002) </w:t>
      </w:r>
      <w:r w:rsidRPr="001F6BCE">
        <w:rPr>
          <w:i/>
          <w:iCs/>
          <w:lang w:eastAsia="ja-JP"/>
        </w:rPr>
        <w:t>The State and Politics in Japan</w:t>
      </w:r>
      <w:r w:rsidR="001F6BCE">
        <w:rPr>
          <w:lang w:eastAsia="ja-JP"/>
        </w:rPr>
        <w:t>.</w:t>
      </w:r>
      <w:r w:rsidRPr="0055646B">
        <w:rPr>
          <w:lang w:eastAsia="ja-JP"/>
        </w:rPr>
        <w:t xml:space="preserve"> </w:t>
      </w:r>
      <w:r w:rsidR="001F6BCE">
        <w:rPr>
          <w:lang w:eastAsia="ja-JP"/>
        </w:rPr>
        <w:t xml:space="preserve">Cambridge: </w:t>
      </w:r>
      <w:r w:rsidRPr="0055646B">
        <w:rPr>
          <w:lang w:eastAsia="ja-JP"/>
        </w:rPr>
        <w:t>Polity Press</w:t>
      </w:r>
      <w:r w:rsidR="001F6BCE">
        <w:rPr>
          <w:lang w:eastAsia="ja-JP"/>
        </w:rPr>
        <w:t>.</w:t>
      </w:r>
    </w:p>
    <w:p w14:paraId="3C7C7865" w14:textId="77777777" w:rsidR="000452AB" w:rsidRPr="0055646B" w:rsidRDefault="000452AB" w:rsidP="0093196D">
      <w:pPr>
        <w:pStyle w:val="NoSpacing"/>
        <w:rPr>
          <w:lang w:eastAsia="ja-JP"/>
        </w:rPr>
      </w:pPr>
    </w:p>
    <w:p w14:paraId="0E238A32" w14:textId="77777777" w:rsidR="000452AB" w:rsidRPr="0055646B" w:rsidRDefault="000452AB" w:rsidP="001F6BCE">
      <w:pPr>
        <w:pStyle w:val="NoSpacing"/>
      </w:pPr>
      <w:r w:rsidRPr="0055646B">
        <w:t xml:space="preserve">Niskanen, W. A. (1971) </w:t>
      </w:r>
      <w:r w:rsidRPr="001F6BCE">
        <w:rPr>
          <w:i/>
          <w:iCs/>
        </w:rPr>
        <w:t>Bureaucracy and representative government</w:t>
      </w:r>
      <w:r w:rsidR="001F6BCE">
        <w:t>.</w:t>
      </w:r>
      <w:r w:rsidRPr="0055646B">
        <w:t xml:space="preserve"> </w:t>
      </w:r>
      <w:r w:rsidR="001F6BCE">
        <w:t xml:space="preserve">Chicago: </w:t>
      </w:r>
      <w:r w:rsidRPr="0055646B">
        <w:t>Aldine-Atherton</w:t>
      </w:r>
      <w:r w:rsidR="001F6BCE">
        <w:t>.</w:t>
      </w:r>
    </w:p>
    <w:p w14:paraId="047948EE" w14:textId="77777777" w:rsidR="000452AB" w:rsidRPr="0055646B" w:rsidRDefault="000452AB" w:rsidP="0093196D">
      <w:pPr>
        <w:pStyle w:val="NoSpacing"/>
      </w:pPr>
    </w:p>
    <w:p w14:paraId="3BEF7EBE" w14:textId="77777777" w:rsidR="000452AB" w:rsidRPr="0055646B" w:rsidRDefault="000452AB" w:rsidP="001F6BCE">
      <w:pPr>
        <w:pStyle w:val="NoSpacing"/>
      </w:pPr>
      <w:r w:rsidRPr="0055646B">
        <w:t>Noble, G</w:t>
      </w:r>
      <w:r w:rsidR="001F6BCE">
        <w:t>.</w:t>
      </w:r>
      <w:r w:rsidRPr="0055646B">
        <w:t xml:space="preserve"> W. (1988) </w:t>
      </w:r>
      <w:r w:rsidR="001F6BCE">
        <w:t>‘</w:t>
      </w:r>
      <w:r w:rsidRPr="0055646B">
        <w:t xml:space="preserve">The Japanese Industrial Policy Debate’, in </w:t>
      </w:r>
      <w:r w:rsidR="001F6BCE">
        <w:t xml:space="preserve">S. </w:t>
      </w:r>
      <w:r w:rsidRPr="0055646B">
        <w:t xml:space="preserve">Haggard and </w:t>
      </w:r>
      <w:r w:rsidR="001F6BCE">
        <w:t xml:space="preserve">C. </w:t>
      </w:r>
      <w:r w:rsidRPr="0055646B">
        <w:t>Moon</w:t>
      </w:r>
      <w:r w:rsidR="001F6BCE">
        <w:t xml:space="preserve"> (eds)</w:t>
      </w:r>
      <w:r w:rsidRPr="0055646B">
        <w:t xml:space="preserve">, </w:t>
      </w:r>
      <w:r w:rsidRPr="001F6BCE">
        <w:rPr>
          <w:i/>
          <w:iCs/>
        </w:rPr>
        <w:t>Pacific Dynamics: The International Politics of Industrial Change</w:t>
      </w:r>
      <w:r w:rsidR="001F6BCE">
        <w:t>.</w:t>
      </w:r>
      <w:r w:rsidRPr="0055646B">
        <w:t xml:space="preserve"> Boulder, CO</w:t>
      </w:r>
      <w:r w:rsidR="001F6BCE">
        <w:t xml:space="preserve">: </w:t>
      </w:r>
      <w:r w:rsidR="001F6BCE" w:rsidRPr="0055646B">
        <w:t>Westview Press</w:t>
      </w:r>
      <w:r w:rsidR="001F6BCE">
        <w:t>,</w:t>
      </w:r>
      <w:r w:rsidRPr="0055646B">
        <w:t xml:space="preserve"> pp.53-95</w:t>
      </w:r>
      <w:r w:rsidR="001F6BCE">
        <w:t>.</w:t>
      </w:r>
    </w:p>
    <w:p w14:paraId="6DDE2646" w14:textId="77777777" w:rsidR="000452AB" w:rsidRPr="0055646B" w:rsidRDefault="000452AB" w:rsidP="0093196D">
      <w:pPr>
        <w:pStyle w:val="NoSpacing"/>
      </w:pPr>
    </w:p>
    <w:p w14:paraId="7E6F30CE" w14:textId="77777777" w:rsidR="000452AB" w:rsidRPr="0055646B" w:rsidRDefault="000452AB" w:rsidP="00713212">
      <w:pPr>
        <w:pStyle w:val="NoSpacing"/>
      </w:pPr>
      <w:r w:rsidRPr="0055646B">
        <w:t>Noguchi, Y</w:t>
      </w:r>
      <w:r w:rsidR="001F6BCE">
        <w:t>.</w:t>
      </w:r>
      <w:r w:rsidRPr="0055646B">
        <w:t xml:space="preserve"> (1995) </w:t>
      </w:r>
      <w:r w:rsidRPr="001F6BCE">
        <w:rPr>
          <w:i/>
          <w:iCs/>
        </w:rPr>
        <w:t xml:space="preserve">1940 </w:t>
      </w:r>
      <w:r w:rsidR="00386E16">
        <w:rPr>
          <w:i/>
          <w:iCs/>
        </w:rPr>
        <w:t>N</w:t>
      </w:r>
      <w:r w:rsidR="001F6BCE">
        <w:rPr>
          <w:i/>
          <w:iCs/>
        </w:rPr>
        <w:t>en Taisei</w:t>
      </w:r>
      <w:r w:rsidRPr="0055646B">
        <w:t xml:space="preserve"> </w:t>
      </w:r>
      <w:r w:rsidR="001F6BCE">
        <w:t>[</w:t>
      </w:r>
      <w:r w:rsidRPr="0055646B">
        <w:t>The 1940 system</w:t>
      </w:r>
      <w:r w:rsidR="001F6BCE">
        <w:t>]. Tokyo:</w:t>
      </w:r>
      <w:r w:rsidRPr="0055646B">
        <w:t xml:space="preserve"> </w:t>
      </w:r>
      <w:r w:rsidRPr="00D34C1B">
        <w:t>Toyo Keizai Shinpo</w:t>
      </w:r>
      <w:r w:rsidR="00713212">
        <w:t xml:space="preserve"> S</w:t>
      </w:r>
      <w:r w:rsidRPr="00D34C1B">
        <w:t>ha</w:t>
      </w:r>
      <w:r w:rsidR="001F6BCE">
        <w:t>.</w:t>
      </w:r>
    </w:p>
    <w:p w14:paraId="0AB045E7" w14:textId="77777777" w:rsidR="000452AB" w:rsidRPr="0055646B" w:rsidRDefault="000452AB" w:rsidP="0093196D">
      <w:pPr>
        <w:pStyle w:val="NoSpacing"/>
      </w:pPr>
    </w:p>
    <w:p w14:paraId="27765429" w14:textId="77777777" w:rsidR="000452AB" w:rsidRPr="0055646B" w:rsidRDefault="000452AB" w:rsidP="001F6BCE">
      <w:pPr>
        <w:pStyle w:val="NoSpacing"/>
      </w:pPr>
      <w:r w:rsidRPr="0055646B">
        <w:t>Norton, P</w:t>
      </w:r>
      <w:r w:rsidR="001F6BCE">
        <w:t>.</w:t>
      </w:r>
      <w:r w:rsidRPr="0055646B">
        <w:t xml:space="preserve"> (2004) ‘Re</w:t>
      </w:r>
      <w:r w:rsidR="001F6BCE">
        <w:t xml:space="preserve">gulating the Regulatory State’, </w:t>
      </w:r>
      <w:r w:rsidRPr="001F6BCE">
        <w:rPr>
          <w:i/>
          <w:iCs/>
        </w:rPr>
        <w:t>Parliamentary Affairs</w:t>
      </w:r>
      <w:r w:rsidR="001F6BCE">
        <w:t>,</w:t>
      </w:r>
      <w:r w:rsidRPr="0055646B">
        <w:t xml:space="preserve"> 57</w:t>
      </w:r>
      <w:r w:rsidR="001F6BCE">
        <w:t>, (4)</w:t>
      </w:r>
      <w:r w:rsidRPr="0055646B">
        <w:t>, pp.785-99</w:t>
      </w:r>
      <w:r w:rsidR="001F6BCE">
        <w:t>.</w:t>
      </w:r>
    </w:p>
    <w:p w14:paraId="018766F0" w14:textId="77777777" w:rsidR="000452AB" w:rsidRDefault="000452AB" w:rsidP="0093196D">
      <w:pPr>
        <w:pStyle w:val="NoSpacing"/>
      </w:pPr>
    </w:p>
    <w:p w14:paraId="4284C7F3" w14:textId="77777777" w:rsidR="000C1738" w:rsidRDefault="00FA4BBE" w:rsidP="0093196D">
      <w:pPr>
        <w:pStyle w:val="NoSpacing"/>
      </w:pPr>
      <w:r>
        <w:t>NTT (2013) ‘</w:t>
      </w:r>
      <w:r w:rsidRPr="00B954EA">
        <w:rPr>
          <w:i/>
        </w:rPr>
        <w:t>Denki Tsu’ushin Shingikai no Toshin to NTT no Hanron</w:t>
      </w:r>
      <w:r>
        <w:t xml:space="preserve">’ [The Telecommunications Council’s </w:t>
      </w:r>
      <w:r w:rsidR="000C1738">
        <w:t>report</w:t>
      </w:r>
      <w:r>
        <w:t xml:space="preserve"> and </w:t>
      </w:r>
      <w:r w:rsidR="000C1738">
        <w:t xml:space="preserve">the NTT’s refutes], in </w:t>
      </w:r>
      <w:r w:rsidR="000C1738" w:rsidRPr="00B954EA">
        <w:rPr>
          <w:i/>
        </w:rPr>
        <w:t>NTT Group shashi</w:t>
      </w:r>
      <w:r w:rsidR="000C1738">
        <w:t xml:space="preserve"> [the NTT Group’s corporate history] [online]. Tokyo: NTT. Available from: </w:t>
      </w:r>
      <w:hyperlink r:id="rId32" w:history="1">
        <w:r w:rsidR="000C1738" w:rsidRPr="002574D8">
          <w:rPr>
            <w:rStyle w:val="Hyperlink"/>
          </w:rPr>
          <w:t>http://www.ntt.co.jp/about/history/pdf/p374_375.pdf</w:t>
        </w:r>
      </w:hyperlink>
    </w:p>
    <w:p w14:paraId="7AF7890C" w14:textId="77777777" w:rsidR="000C1738" w:rsidRDefault="000C1738" w:rsidP="0093196D">
      <w:pPr>
        <w:pStyle w:val="NoSpacing"/>
        <w:rPr>
          <w:lang w:eastAsia="ja-JP"/>
        </w:rPr>
      </w:pPr>
      <w:r>
        <w:t>[Accessed 30 June 2012].</w:t>
      </w:r>
    </w:p>
    <w:p w14:paraId="05517983" w14:textId="77777777" w:rsidR="00FA4BBE" w:rsidRDefault="00FA4BBE" w:rsidP="0093196D">
      <w:pPr>
        <w:pStyle w:val="NoSpacing"/>
      </w:pPr>
    </w:p>
    <w:p w14:paraId="21AF5CA6" w14:textId="77777777" w:rsidR="003C08C8" w:rsidRDefault="003C08C8" w:rsidP="008C30B9">
      <w:pPr>
        <w:pStyle w:val="NoSpacing"/>
      </w:pPr>
      <w:r>
        <w:t>NTT East (2013) ‘</w:t>
      </w:r>
      <w:r w:rsidRPr="008C30B9">
        <w:rPr>
          <w:i/>
          <w:iCs/>
        </w:rPr>
        <w:t>Tsu’uwa Ryou</w:t>
      </w:r>
      <w:r w:rsidR="008C30B9" w:rsidRPr="008C30B9">
        <w:rPr>
          <w:i/>
          <w:iCs/>
        </w:rPr>
        <w:t>, Tsu’ushin Ryou</w:t>
      </w:r>
      <w:r w:rsidR="008C30B9">
        <w:t>’</w:t>
      </w:r>
      <w:r w:rsidR="0018441E">
        <w:t>,</w:t>
      </w:r>
      <w:r w:rsidR="008C30B9">
        <w:t xml:space="preserve"> in </w:t>
      </w:r>
      <w:r w:rsidR="008C30B9" w:rsidRPr="008C30B9">
        <w:rPr>
          <w:i/>
          <w:iCs/>
        </w:rPr>
        <w:t>Flet’s Hikar</w:t>
      </w:r>
      <w:r w:rsidR="008C30B9">
        <w:rPr>
          <w:i/>
          <w:iCs/>
        </w:rPr>
        <w:t>i</w:t>
      </w:r>
      <w:r w:rsidR="008C30B9">
        <w:t xml:space="preserve"> [‘Call and data communications rates’</w:t>
      </w:r>
      <w:r w:rsidR="0018441E">
        <w:t>,</w:t>
      </w:r>
      <w:r w:rsidR="008C30B9">
        <w:t xml:space="preserve"> in </w:t>
      </w:r>
      <w:r w:rsidR="008C30B9" w:rsidRPr="008C30B9">
        <w:rPr>
          <w:i/>
          <w:iCs/>
        </w:rPr>
        <w:t>Flet’s Light</w:t>
      </w:r>
      <w:r w:rsidR="008C30B9">
        <w:t>]. NTT East. Available from:</w:t>
      </w:r>
    </w:p>
    <w:p w14:paraId="5F821FC6" w14:textId="77777777" w:rsidR="008C30B9" w:rsidRDefault="00050AB3" w:rsidP="008C30B9">
      <w:pPr>
        <w:pStyle w:val="NoSpacing"/>
      </w:pPr>
      <w:hyperlink r:id="rId33" w:history="1">
        <w:r w:rsidR="008C30B9" w:rsidRPr="00C769F8">
          <w:rPr>
            <w:rStyle w:val="Hyperlink"/>
          </w:rPr>
          <w:t>http://flets.com/hikaridenwa/charge/phonecall.html</w:t>
        </w:r>
      </w:hyperlink>
      <w:r w:rsidR="008C30B9">
        <w:t xml:space="preserve"> [Accessed 5 July 2013].</w:t>
      </w:r>
    </w:p>
    <w:p w14:paraId="1E09D61C" w14:textId="77777777" w:rsidR="003C08C8" w:rsidRPr="0055646B" w:rsidRDefault="003C08C8" w:rsidP="0093196D">
      <w:pPr>
        <w:pStyle w:val="NoSpacing"/>
      </w:pPr>
    </w:p>
    <w:p w14:paraId="7A67A837" w14:textId="77777777" w:rsidR="000452AB" w:rsidRPr="0055646B" w:rsidRDefault="000452AB" w:rsidP="001A7A6C">
      <w:pPr>
        <w:pStyle w:val="NoSpacing"/>
      </w:pPr>
      <w:r w:rsidRPr="0055646B">
        <w:t xml:space="preserve">OECD (2002) </w:t>
      </w:r>
      <w:r w:rsidRPr="001A7A6C">
        <w:rPr>
          <w:i/>
          <w:iCs/>
        </w:rPr>
        <w:t>OECD Review of Regulatory Reform: Regulatory Policies in OECD Countries – From Interventionism to Regulatory Governance</w:t>
      </w:r>
      <w:r w:rsidR="001A7A6C">
        <w:t>. Paris:</w:t>
      </w:r>
      <w:r w:rsidRPr="0055646B">
        <w:t xml:space="preserve"> OECD</w:t>
      </w:r>
      <w:r w:rsidR="001A7A6C">
        <w:t>.</w:t>
      </w:r>
    </w:p>
    <w:p w14:paraId="75AD4116" w14:textId="77777777" w:rsidR="000452AB" w:rsidRPr="0055646B" w:rsidRDefault="000452AB" w:rsidP="0093196D">
      <w:pPr>
        <w:pStyle w:val="NoSpacing"/>
      </w:pPr>
    </w:p>
    <w:p w14:paraId="12A6D39E" w14:textId="77777777" w:rsidR="000452AB" w:rsidRPr="0055646B" w:rsidRDefault="000452AB" w:rsidP="001A7A6C">
      <w:pPr>
        <w:pStyle w:val="NoSpacing"/>
      </w:pPr>
      <w:r w:rsidRPr="0055646B">
        <w:t xml:space="preserve">OECD (2004) </w:t>
      </w:r>
      <w:r w:rsidRPr="001A7A6C">
        <w:rPr>
          <w:i/>
          <w:iCs/>
        </w:rPr>
        <w:t>OECD Review of Regulatory Reform: Japan: Progress in Implementing Regulatory Reform</w:t>
      </w:r>
      <w:r w:rsidR="001A7A6C">
        <w:t>.</w:t>
      </w:r>
      <w:r w:rsidRPr="0055646B">
        <w:t xml:space="preserve"> </w:t>
      </w:r>
      <w:r w:rsidR="001A7A6C">
        <w:t xml:space="preserve">Paris: </w:t>
      </w:r>
      <w:r w:rsidRPr="0055646B">
        <w:t>OECD</w:t>
      </w:r>
      <w:r w:rsidR="001A7A6C">
        <w:t>.</w:t>
      </w:r>
    </w:p>
    <w:p w14:paraId="25111A29" w14:textId="77777777" w:rsidR="000452AB" w:rsidRDefault="000452AB" w:rsidP="0093196D">
      <w:pPr>
        <w:pStyle w:val="NoSpacing"/>
      </w:pPr>
    </w:p>
    <w:p w14:paraId="1C254E7E" w14:textId="77777777" w:rsidR="00C53D8D" w:rsidRDefault="00C53D8D" w:rsidP="00C53D8D">
      <w:pPr>
        <w:pStyle w:val="NoSpacing"/>
      </w:pPr>
      <w:r>
        <w:t xml:space="preserve">Oikawa, K. (1999) </w:t>
      </w:r>
      <w:r w:rsidRPr="00C53D8D">
        <w:rPr>
          <w:i/>
          <w:iCs/>
        </w:rPr>
        <w:t>Jishasa Renritsu no Kyohkun – Seis</w:t>
      </w:r>
      <w:r>
        <w:rPr>
          <w:i/>
          <w:iCs/>
        </w:rPr>
        <w:t>h</w:t>
      </w:r>
      <w:r w:rsidRPr="00C53D8D">
        <w:rPr>
          <w:i/>
          <w:iCs/>
        </w:rPr>
        <w:t>in Kaicho 463 Nichi</w:t>
      </w:r>
      <w:r>
        <w:t xml:space="preserve"> [The Lessons of the LDP-SDPJ-</w:t>
      </w:r>
      <w:r w:rsidRPr="00C53D8D">
        <w:rPr>
          <w:i/>
          <w:iCs/>
        </w:rPr>
        <w:t>Sakigake</w:t>
      </w:r>
      <w:r w:rsidRPr="00C53D8D">
        <w:t xml:space="preserve"> Coalition</w:t>
      </w:r>
      <w:r>
        <w:t xml:space="preserve">: 463 days as the Chairman of the Policy Examination Council]. Tokyo: Jouhou Tsushin Mondai Kenkyukai. </w:t>
      </w:r>
    </w:p>
    <w:p w14:paraId="5E410912" w14:textId="77777777" w:rsidR="00C53D8D" w:rsidRPr="0055646B" w:rsidRDefault="00C53D8D" w:rsidP="0093196D">
      <w:pPr>
        <w:pStyle w:val="NoSpacing"/>
      </w:pPr>
    </w:p>
    <w:p w14:paraId="0005D474" w14:textId="77777777" w:rsidR="000452AB" w:rsidRPr="0055646B" w:rsidRDefault="000452AB" w:rsidP="001A7A6C">
      <w:pPr>
        <w:pStyle w:val="NoSpacing"/>
      </w:pPr>
      <w:r w:rsidRPr="0055646B">
        <w:t xml:space="preserve">Osborne, D. and Gaebler, T. (1992) </w:t>
      </w:r>
      <w:r w:rsidRPr="001A7A6C">
        <w:rPr>
          <w:i/>
          <w:iCs/>
        </w:rPr>
        <w:t>Reinventing Government</w:t>
      </w:r>
      <w:r w:rsidR="001A7A6C">
        <w:t xml:space="preserve">. </w:t>
      </w:r>
      <w:r w:rsidRPr="0055646B">
        <w:t>Reading, Mass.: Addison-Wesley</w:t>
      </w:r>
      <w:r w:rsidR="001A7A6C">
        <w:t>.</w:t>
      </w:r>
    </w:p>
    <w:p w14:paraId="7AB4229B" w14:textId="77777777" w:rsidR="000452AB" w:rsidRPr="0055646B" w:rsidRDefault="000452AB" w:rsidP="0093196D">
      <w:pPr>
        <w:pStyle w:val="NoSpacing"/>
      </w:pPr>
    </w:p>
    <w:p w14:paraId="6BA0848D" w14:textId="77777777" w:rsidR="000452AB" w:rsidRPr="0055646B" w:rsidRDefault="000452AB" w:rsidP="001A7A6C">
      <w:pPr>
        <w:pStyle w:val="NoSpacing"/>
      </w:pPr>
      <w:r w:rsidRPr="0055646B">
        <w:t>Ozawa, I</w:t>
      </w:r>
      <w:r w:rsidR="001A7A6C">
        <w:t>.</w:t>
      </w:r>
      <w:r w:rsidRPr="0055646B">
        <w:t xml:space="preserve"> (1993) </w:t>
      </w:r>
      <w:r w:rsidRPr="0055646B">
        <w:rPr>
          <w:i/>
          <w:iCs/>
        </w:rPr>
        <w:t>Nihon Kaizo Keikaku</w:t>
      </w:r>
      <w:r w:rsidRPr="0055646B">
        <w:t xml:space="preserve"> </w:t>
      </w:r>
      <w:r w:rsidR="001A7A6C">
        <w:t>[</w:t>
      </w:r>
      <w:r w:rsidRPr="0055646B">
        <w:t>Japan Adaptation Plan</w:t>
      </w:r>
      <w:r w:rsidR="001A7A6C">
        <w:t>]. Tokyo:</w:t>
      </w:r>
      <w:r w:rsidRPr="0055646B">
        <w:t xml:space="preserve"> Koudansha Co.</w:t>
      </w:r>
    </w:p>
    <w:p w14:paraId="080A00C0" w14:textId="77777777" w:rsidR="000452AB" w:rsidRPr="0055646B" w:rsidRDefault="000452AB" w:rsidP="0093196D">
      <w:pPr>
        <w:pStyle w:val="NoSpacing"/>
      </w:pPr>
    </w:p>
    <w:p w14:paraId="02CB6C0B" w14:textId="77777777" w:rsidR="000452AB" w:rsidRPr="0055646B" w:rsidRDefault="000452AB" w:rsidP="001A7A6C">
      <w:pPr>
        <w:pStyle w:val="NoSpacing"/>
      </w:pPr>
      <w:r w:rsidRPr="0055646B">
        <w:t>Ozawa, I</w:t>
      </w:r>
      <w:r w:rsidR="001A7A6C">
        <w:t>.</w:t>
      </w:r>
      <w:r w:rsidRPr="0055646B">
        <w:t xml:space="preserve"> (1994) </w:t>
      </w:r>
      <w:r w:rsidRPr="001A7A6C">
        <w:rPr>
          <w:i/>
          <w:iCs/>
        </w:rPr>
        <w:t>Blueprint for a New Japan - The Rethinking of a Nation</w:t>
      </w:r>
      <w:r w:rsidR="001A7A6C" w:rsidRPr="0055646B">
        <w:t xml:space="preserve"> </w:t>
      </w:r>
      <w:r w:rsidR="001A7A6C">
        <w:t>[the translation of Ozawa 1993].</w:t>
      </w:r>
      <w:r w:rsidRPr="0055646B">
        <w:t xml:space="preserve"> </w:t>
      </w:r>
      <w:r w:rsidR="001A7A6C">
        <w:t xml:space="preserve">Tokyo: </w:t>
      </w:r>
      <w:r w:rsidRPr="0055646B">
        <w:t>Kodansha International</w:t>
      </w:r>
      <w:r w:rsidR="001A7A6C">
        <w:t>.</w:t>
      </w:r>
    </w:p>
    <w:p w14:paraId="50FC8E81" w14:textId="77777777" w:rsidR="000452AB" w:rsidRPr="0055646B" w:rsidRDefault="000452AB" w:rsidP="0093196D">
      <w:pPr>
        <w:pStyle w:val="NoSpacing"/>
      </w:pPr>
    </w:p>
    <w:p w14:paraId="03F3C0AA" w14:textId="77777777" w:rsidR="000452AB" w:rsidRPr="0055646B" w:rsidRDefault="000452AB" w:rsidP="0093196D">
      <w:pPr>
        <w:pStyle w:val="NoSpacing"/>
      </w:pPr>
      <w:r w:rsidRPr="0055646B">
        <w:t>Patterson, R</w:t>
      </w:r>
      <w:r w:rsidR="00E3565B">
        <w:rPr>
          <w:rFonts w:hint="eastAsia"/>
          <w:lang w:eastAsia="ja-JP"/>
        </w:rPr>
        <w:t>.</w:t>
      </w:r>
      <w:r w:rsidRPr="0055646B">
        <w:t xml:space="preserve"> (1998) ‘Light-Handed Regulation in New Zealand Ten Years on’, </w:t>
      </w:r>
      <w:r w:rsidRPr="00E3565B">
        <w:rPr>
          <w:i/>
        </w:rPr>
        <w:t>Competition &amp; Consumer Law Journal</w:t>
      </w:r>
      <w:r w:rsidR="00E3565B">
        <w:rPr>
          <w:rFonts w:hint="eastAsia"/>
          <w:lang w:eastAsia="ja-JP"/>
        </w:rPr>
        <w:t>,</w:t>
      </w:r>
      <w:r w:rsidRPr="0055646B">
        <w:t xml:space="preserve"> 1998 (6)</w:t>
      </w:r>
      <w:r w:rsidR="00E3565B">
        <w:rPr>
          <w:rFonts w:hint="eastAsia"/>
          <w:lang w:eastAsia="ja-JP"/>
        </w:rPr>
        <w:t>,</w:t>
      </w:r>
      <w:r w:rsidRPr="0055646B">
        <w:t xml:space="preserve"> pp.134-48</w:t>
      </w:r>
      <w:r w:rsidR="00713212">
        <w:t>.</w:t>
      </w:r>
    </w:p>
    <w:p w14:paraId="3932DD0D" w14:textId="77777777" w:rsidR="000452AB" w:rsidRPr="0055646B" w:rsidRDefault="000452AB" w:rsidP="0093196D">
      <w:pPr>
        <w:pStyle w:val="NoSpacing"/>
      </w:pPr>
    </w:p>
    <w:p w14:paraId="6F570467" w14:textId="77777777" w:rsidR="000452AB" w:rsidRPr="0055646B" w:rsidRDefault="000452AB" w:rsidP="0093196D">
      <w:pPr>
        <w:pStyle w:val="NoSpacing"/>
      </w:pPr>
      <w:r w:rsidRPr="0055646B">
        <w:rPr>
          <w:rFonts w:hint="eastAsia"/>
        </w:rPr>
        <w:t xml:space="preserve">Patton, M. Q. (1987) </w:t>
      </w:r>
      <w:r w:rsidRPr="00E3565B">
        <w:rPr>
          <w:rFonts w:hint="eastAsia"/>
          <w:i/>
        </w:rPr>
        <w:t>How to use qualitative methods in evaluation</w:t>
      </w:r>
      <w:r w:rsidR="00E3565B">
        <w:rPr>
          <w:rFonts w:hint="eastAsia"/>
          <w:lang w:eastAsia="ja-JP"/>
        </w:rPr>
        <w:t>.</w:t>
      </w:r>
      <w:r w:rsidRPr="0055646B">
        <w:rPr>
          <w:rFonts w:hint="eastAsia"/>
        </w:rPr>
        <w:t xml:space="preserve"> </w:t>
      </w:r>
      <w:r w:rsidR="00E3565B" w:rsidRPr="0055646B">
        <w:rPr>
          <w:rFonts w:hint="eastAsia"/>
        </w:rPr>
        <w:t>Newbury Park, CA</w:t>
      </w:r>
      <w:r w:rsidR="00E3565B">
        <w:rPr>
          <w:rFonts w:hint="eastAsia"/>
          <w:lang w:eastAsia="ja-JP"/>
        </w:rPr>
        <w:t>:</w:t>
      </w:r>
      <w:r w:rsidR="00E3565B" w:rsidRPr="0055646B">
        <w:rPr>
          <w:rFonts w:hint="eastAsia"/>
        </w:rPr>
        <w:t xml:space="preserve"> </w:t>
      </w:r>
      <w:r w:rsidRPr="0055646B">
        <w:rPr>
          <w:rFonts w:hint="eastAsia"/>
        </w:rPr>
        <w:t>Sage</w:t>
      </w:r>
      <w:r w:rsidR="00E3565B">
        <w:rPr>
          <w:rFonts w:hint="eastAsia"/>
          <w:lang w:eastAsia="ja-JP"/>
        </w:rPr>
        <w:t>.</w:t>
      </w:r>
      <w:r w:rsidRPr="0055646B">
        <w:rPr>
          <w:rFonts w:hint="eastAsia"/>
        </w:rPr>
        <w:t xml:space="preserve"> </w:t>
      </w:r>
    </w:p>
    <w:p w14:paraId="7850C499" w14:textId="77777777" w:rsidR="000452AB" w:rsidRPr="0055646B" w:rsidRDefault="000452AB" w:rsidP="0093196D">
      <w:pPr>
        <w:pStyle w:val="NoSpacing"/>
      </w:pPr>
    </w:p>
    <w:p w14:paraId="4D93120D" w14:textId="77777777" w:rsidR="000452AB" w:rsidRPr="0055646B" w:rsidRDefault="00E3565B" w:rsidP="0093196D">
      <w:pPr>
        <w:pStyle w:val="NoSpacing"/>
        <w:rPr>
          <w:lang w:eastAsia="ja-JP"/>
        </w:rPr>
      </w:pPr>
      <w:r>
        <w:t xml:space="preserve">Pempel, T. J. (1982) </w:t>
      </w:r>
      <w:r w:rsidR="000452AB" w:rsidRPr="00E3565B">
        <w:rPr>
          <w:i/>
        </w:rPr>
        <w:t xml:space="preserve">Policy and politics in Japan: Creative </w:t>
      </w:r>
      <w:r w:rsidRPr="00E3565B">
        <w:rPr>
          <w:i/>
        </w:rPr>
        <w:t>conservatism</w:t>
      </w:r>
      <w:r>
        <w:rPr>
          <w:rFonts w:hint="eastAsia"/>
          <w:lang w:eastAsia="ja-JP"/>
        </w:rPr>
        <w:t>.</w:t>
      </w:r>
      <w:r w:rsidR="000452AB" w:rsidRPr="0055646B">
        <w:t xml:space="preserve"> </w:t>
      </w:r>
      <w:r w:rsidRPr="0055646B">
        <w:t>Philadelphia</w:t>
      </w:r>
      <w:r>
        <w:rPr>
          <w:rFonts w:hint="eastAsia"/>
          <w:lang w:eastAsia="ja-JP"/>
        </w:rPr>
        <w:t>:</w:t>
      </w:r>
      <w:r w:rsidRPr="0055646B">
        <w:t xml:space="preserve"> </w:t>
      </w:r>
      <w:r>
        <w:t>Temple UP</w:t>
      </w:r>
      <w:r>
        <w:rPr>
          <w:rFonts w:hint="eastAsia"/>
          <w:lang w:eastAsia="ja-JP"/>
        </w:rPr>
        <w:t>.</w:t>
      </w:r>
    </w:p>
    <w:p w14:paraId="1E2848ED" w14:textId="77777777" w:rsidR="000452AB" w:rsidRPr="0055646B" w:rsidRDefault="000452AB" w:rsidP="0093196D">
      <w:pPr>
        <w:pStyle w:val="NoSpacing"/>
      </w:pPr>
    </w:p>
    <w:p w14:paraId="0A827B86" w14:textId="77777777" w:rsidR="000452AB" w:rsidRPr="0055646B" w:rsidRDefault="000452AB" w:rsidP="0093196D">
      <w:pPr>
        <w:pStyle w:val="NoSpacing"/>
        <w:rPr>
          <w:lang w:eastAsia="ja-JP"/>
        </w:rPr>
      </w:pPr>
      <w:r w:rsidRPr="0055646B">
        <w:t>Pempel, T.</w:t>
      </w:r>
      <w:r w:rsidR="00670234">
        <w:t xml:space="preserve"> </w:t>
      </w:r>
      <w:r w:rsidR="00E3565B">
        <w:t xml:space="preserve">J. (1998) </w:t>
      </w:r>
      <w:r w:rsidRPr="00E3565B">
        <w:rPr>
          <w:i/>
        </w:rPr>
        <w:t xml:space="preserve">Regime Shift: Comparative Dynamics of </w:t>
      </w:r>
      <w:r w:rsidR="00E3565B" w:rsidRPr="00E3565B">
        <w:rPr>
          <w:i/>
        </w:rPr>
        <w:t>the Japanese Political Economy</w:t>
      </w:r>
      <w:r w:rsidR="00E3565B">
        <w:rPr>
          <w:rFonts w:hint="eastAsia"/>
          <w:lang w:eastAsia="ja-JP"/>
        </w:rPr>
        <w:t>.</w:t>
      </w:r>
      <w:r w:rsidRPr="0055646B">
        <w:t xml:space="preserve"> Ithaca, New York</w:t>
      </w:r>
      <w:r w:rsidR="00E3565B">
        <w:rPr>
          <w:rFonts w:hint="eastAsia"/>
          <w:lang w:eastAsia="ja-JP"/>
        </w:rPr>
        <w:t xml:space="preserve">: </w:t>
      </w:r>
      <w:r w:rsidR="00E3565B">
        <w:t>Cornell UP</w:t>
      </w:r>
      <w:r w:rsidR="00E3565B">
        <w:rPr>
          <w:rFonts w:hint="eastAsia"/>
          <w:lang w:eastAsia="ja-JP"/>
        </w:rPr>
        <w:t>.</w:t>
      </w:r>
    </w:p>
    <w:p w14:paraId="4AC98BD6" w14:textId="77777777" w:rsidR="000452AB" w:rsidRPr="0055646B" w:rsidRDefault="000452AB" w:rsidP="0093196D">
      <w:pPr>
        <w:pStyle w:val="NoSpacing"/>
      </w:pPr>
    </w:p>
    <w:p w14:paraId="31066783" w14:textId="77777777" w:rsidR="000452AB" w:rsidRPr="0055646B" w:rsidRDefault="000452AB" w:rsidP="0093196D">
      <w:pPr>
        <w:pStyle w:val="NoSpacing"/>
        <w:rPr>
          <w:lang w:eastAsia="ja-JP"/>
        </w:rPr>
      </w:pPr>
      <w:r w:rsidRPr="0055646B">
        <w:t xml:space="preserve">Pempel, T. J. (2010) ‘Between Pork and Productivity: The Collapse of the Liberal Democratic Party’, </w:t>
      </w:r>
      <w:r w:rsidRPr="00E3565B">
        <w:rPr>
          <w:i/>
        </w:rPr>
        <w:t>The Journal of Japanese Studies</w:t>
      </w:r>
      <w:r w:rsidR="00E3565B">
        <w:rPr>
          <w:rFonts w:hint="eastAsia"/>
          <w:lang w:eastAsia="ja-JP"/>
        </w:rPr>
        <w:t>,</w:t>
      </w:r>
      <w:r w:rsidRPr="0055646B">
        <w:t xml:space="preserve"> 36</w:t>
      </w:r>
      <w:r w:rsidR="00E3565B">
        <w:rPr>
          <w:rFonts w:hint="eastAsia"/>
          <w:lang w:eastAsia="ja-JP"/>
        </w:rPr>
        <w:t xml:space="preserve">, (2), </w:t>
      </w:r>
      <w:r w:rsidRPr="0055646B">
        <w:t>pp.227-254</w:t>
      </w:r>
      <w:r w:rsidR="00E3565B">
        <w:rPr>
          <w:rFonts w:hint="eastAsia"/>
          <w:lang w:eastAsia="ja-JP"/>
        </w:rPr>
        <w:t>.</w:t>
      </w:r>
    </w:p>
    <w:p w14:paraId="5DBDCD1A" w14:textId="77777777" w:rsidR="000452AB" w:rsidRPr="0055646B" w:rsidRDefault="000452AB" w:rsidP="0093196D">
      <w:pPr>
        <w:pStyle w:val="NoSpacing"/>
      </w:pPr>
    </w:p>
    <w:p w14:paraId="55724758" w14:textId="77777777" w:rsidR="000452AB" w:rsidRPr="0055646B" w:rsidRDefault="000452AB" w:rsidP="0093196D">
      <w:pPr>
        <w:pStyle w:val="NoSpacing"/>
        <w:rPr>
          <w:lang w:eastAsia="ja-JP"/>
        </w:rPr>
      </w:pPr>
      <w:r w:rsidRPr="0055646B">
        <w:t>Peters, B. G</w:t>
      </w:r>
      <w:r w:rsidR="00E3565B">
        <w:rPr>
          <w:rFonts w:hint="eastAsia"/>
          <w:lang w:eastAsia="ja-JP"/>
        </w:rPr>
        <w:t>.</w:t>
      </w:r>
      <w:r w:rsidR="00E3565B">
        <w:t xml:space="preserve"> (1996) </w:t>
      </w:r>
      <w:r w:rsidRPr="00E3565B">
        <w:rPr>
          <w:i/>
        </w:rPr>
        <w:t xml:space="preserve">The Future of </w:t>
      </w:r>
      <w:r w:rsidR="00E3565B" w:rsidRPr="00E3565B">
        <w:rPr>
          <w:i/>
        </w:rPr>
        <w:t>Governing: Four Emerging Models</w:t>
      </w:r>
      <w:r w:rsidR="00E3565B">
        <w:rPr>
          <w:rFonts w:hint="eastAsia"/>
          <w:lang w:eastAsia="ja-JP"/>
        </w:rPr>
        <w:t>.</w:t>
      </w:r>
      <w:r w:rsidRPr="0055646B">
        <w:t xml:space="preserve"> Lawrence, Kansas</w:t>
      </w:r>
      <w:r w:rsidR="00E3565B">
        <w:rPr>
          <w:rFonts w:hint="eastAsia"/>
          <w:lang w:eastAsia="ja-JP"/>
        </w:rPr>
        <w:t xml:space="preserve">: </w:t>
      </w:r>
      <w:r w:rsidR="00E3565B" w:rsidRPr="0055646B">
        <w:t>University Press of Kansas</w:t>
      </w:r>
      <w:r w:rsidR="00E3565B">
        <w:rPr>
          <w:rFonts w:hint="eastAsia"/>
          <w:lang w:eastAsia="ja-JP"/>
        </w:rPr>
        <w:t>.</w:t>
      </w:r>
    </w:p>
    <w:p w14:paraId="1C27E033" w14:textId="77777777" w:rsidR="000452AB" w:rsidRPr="0055646B" w:rsidRDefault="000452AB" w:rsidP="0093196D">
      <w:pPr>
        <w:pStyle w:val="NoSpacing"/>
      </w:pPr>
    </w:p>
    <w:p w14:paraId="40D0C737" w14:textId="77777777" w:rsidR="000452AB" w:rsidRPr="0055646B" w:rsidRDefault="000452AB" w:rsidP="0093196D">
      <w:pPr>
        <w:pStyle w:val="NoSpacing"/>
        <w:rPr>
          <w:lang w:eastAsia="ja-JP"/>
        </w:rPr>
      </w:pPr>
      <w:r w:rsidRPr="0055646B">
        <w:t>Peters, B. G</w:t>
      </w:r>
      <w:r w:rsidR="00E3565B">
        <w:rPr>
          <w:rFonts w:hint="eastAsia"/>
          <w:lang w:eastAsia="ja-JP"/>
        </w:rPr>
        <w:t>.</w:t>
      </w:r>
      <w:r w:rsidRPr="0055646B">
        <w:t xml:space="preserve"> (2000) ‘Governance and Comparative Politics’</w:t>
      </w:r>
      <w:r w:rsidR="00E3565B">
        <w:rPr>
          <w:rFonts w:hint="eastAsia"/>
          <w:lang w:eastAsia="ja-JP"/>
        </w:rPr>
        <w:t>,</w:t>
      </w:r>
      <w:r w:rsidRPr="0055646B">
        <w:t xml:space="preserve"> in </w:t>
      </w:r>
      <w:r w:rsidR="00E3565B">
        <w:rPr>
          <w:rFonts w:hint="eastAsia"/>
          <w:lang w:eastAsia="ja-JP"/>
        </w:rPr>
        <w:t xml:space="preserve">J. </w:t>
      </w:r>
      <w:r w:rsidRPr="0055646B">
        <w:t xml:space="preserve">Pierre </w:t>
      </w:r>
      <w:r w:rsidR="00E3565B">
        <w:rPr>
          <w:rFonts w:hint="eastAsia"/>
          <w:lang w:eastAsia="ja-JP"/>
        </w:rPr>
        <w:t>(</w:t>
      </w:r>
      <w:r w:rsidRPr="0055646B">
        <w:t>ed</w:t>
      </w:r>
      <w:r w:rsidR="00E3565B">
        <w:rPr>
          <w:rFonts w:hint="eastAsia"/>
          <w:lang w:eastAsia="ja-JP"/>
        </w:rPr>
        <w:t>)</w:t>
      </w:r>
      <w:r w:rsidR="00753E7A">
        <w:rPr>
          <w:rFonts w:hint="eastAsia"/>
          <w:lang w:eastAsia="ja-JP"/>
        </w:rPr>
        <w:t>,</w:t>
      </w:r>
      <w:r w:rsidRPr="0055646B">
        <w:t xml:space="preserve"> </w:t>
      </w:r>
      <w:r w:rsidRPr="00E3565B">
        <w:rPr>
          <w:i/>
        </w:rPr>
        <w:t>Debating Governance – Authority, Steering, and Democracy</w:t>
      </w:r>
      <w:r w:rsidR="00E3565B">
        <w:rPr>
          <w:rFonts w:hint="eastAsia"/>
          <w:lang w:eastAsia="ja-JP"/>
        </w:rPr>
        <w:t>.</w:t>
      </w:r>
      <w:r w:rsidRPr="0055646B">
        <w:t xml:space="preserve"> </w:t>
      </w:r>
      <w:r w:rsidR="00E3565B">
        <w:rPr>
          <w:rFonts w:hint="eastAsia"/>
          <w:lang w:eastAsia="ja-JP"/>
        </w:rPr>
        <w:t xml:space="preserve">Oxford: </w:t>
      </w:r>
      <w:r w:rsidRPr="0055646B">
        <w:t>Oxford UP, pp.36-53</w:t>
      </w:r>
      <w:r w:rsidR="00DA0567">
        <w:rPr>
          <w:rFonts w:hint="eastAsia"/>
          <w:lang w:eastAsia="ja-JP"/>
        </w:rPr>
        <w:t>.</w:t>
      </w:r>
    </w:p>
    <w:p w14:paraId="247755C9" w14:textId="77777777" w:rsidR="000452AB" w:rsidRPr="0055646B" w:rsidRDefault="000452AB" w:rsidP="0093196D">
      <w:pPr>
        <w:pStyle w:val="NoSpacing"/>
      </w:pPr>
    </w:p>
    <w:p w14:paraId="1122BA77" w14:textId="77777777" w:rsidR="000452AB" w:rsidRPr="0055646B" w:rsidRDefault="000452AB" w:rsidP="00713212">
      <w:pPr>
        <w:pStyle w:val="NoSpacing"/>
        <w:rPr>
          <w:lang w:eastAsia="ja-JP"/>
        </w:rPr>
      </w:pPr>
      <w:r w:rsidRPr="0055646B">
        <w:t>Peters, B.</w:t>
      </w:r>
      <w:r w:rsidR="00C228A8">
        <w:rPr>
          <w:rFonts w:hint="eastAsia"/>
          <w:lang w:eastAsia="ja-JP"/>
        </w:rPr>
        <w:t xml:space="preserve"> </w:t>
      </w:r>
      <w:r w:rsidRPr="0055646B">
        <w:t>G</w:t>
      </w:r>
      <w:r w:rsidR="00C228A8">
        <w:rPr>
          <w:rFonts w:hint="eastAsia"/>
          <w:lang w:eastAsia="ja-JP"/>
        </w:rPr>
        <w:t>.</w:t>
      </w:r>
      <w:r w:rsidRPr="0055646B">
        <w:t xml:space="preserve">, </w:t>
      </w:r>
      <w:r w:rsidRPr="0055646B">
        <w:rPr>
          <w:rFonts w:hint="eastAsia"/>
        </w:rPr>
        <w:t xml:space="preserve">Rhodes, </w:t>
      </w:r>
      <w:r w:rsidRPr="0055646B">
        <w:t>R.A.W.</w:t>
      </w:r>
      <w:r w:rsidRPr="0055646B">
        <w:rPr>
          <w:rFonts w:hint="eastAsia"/>
        </w:rPr>
        <w:t>,</w:t>
      </w:r>
      <w:r w:rsidRPr="0055646B">
        <w:t xml:space="preserve"> and Wright</w:t>
      </w:r>
      <w:r w:rsidRPr="0055646B">
        <w:rPr>
          <w:rFonts w:hint="eastAsia"/>
        </w:rPr>
        <w:t>, V.</w:t>
      </w:r>
      <w:r w:rsidRPr="0055646B">
        <w:t xml:space="preserve"> </w:t>
      </w:r>
      <w:r w:rsidR="00C228A8">
        <w:rPr>
          <w:rFonts w:hint="eastAsia"/>
          <w:lang w:eastAsia="ja-JP"/>
        </w:rPr>
        <w:t>(</w:t>
      </w:r>
      <w:r w:rsidRPr="0055646B">
        <w:t>ed</w:t>
      </w:r>
      <w:r w:rsidR="00C228A8">
        <w:rPr>
          <w:rFonts w:hint="eastAsia"/>
          <w:lang w:eastAsia="ja-JP"/>
        </w:rPr>
        <w:t>s)</w:t>
      </w:r>
      <w:r w:rsidRPr="0055646B">
        <w:t xml:space="preserve"> (2000)</w:t>
      </w:r>
      <w:r w:rsidRPr="0055646B">
        <w:rPr>
          <w:rFonts w:hint="eastAsia"/>
        </w:rPr>
        <w:t xml:space="preserve"> </w:t>
      </w:r>
      <w:r w:rsidRPr="00C228A8">
        <w:rPr>
          <w:i/>
        </w:rPr>
        <w:t>Administering the Summit: Administration</w:t>
      </w:r>
      <w:r w:rsidRPr="00C228A8">
        <w:rPr>
          <w:rFonts w:hint="eastAsia"/>
          <w:i/>
        </w:rPr>
        <w:t xml:space="preserve"> </w:t>
      </w:r>
      <w:r w:rsidRPr="00C228A8">
        <w:rPr>
          <w:i/>
        </w:rPr>
        <w:t>of the Core Executive in Developed Countries</w:t>
      </w:r>
      <w:r w:rsidR="00713212">
        <w:t>.</w:t>
      </w:r>
      <w:r w:rsidRPr="0055646B">
        <w:t xml:space="preserve"> </w:t>
      </w:r>
      <w:r w:rsidR="00C228A8" w:rsidRPr="0055646B">
        <w:t>Basingstoke, Hampshire</w:t>
      </w:r>
      <w:r w:rsidR="00C228A8">
        <w:rPr>
          <w:rFonts w:hint="eastAsia"/>
          <w:lang w:eastAsia="ja-JP"/>
        </w:rPr>
        <w:t>:</w:t>
      </w:r>
      <w:r w:rsidR="00C228A8" w:rsidRPr="0055646B">
        <w:rPr>
          <w:rFonts w:hint="eastAsia"/>
        </w:rPr>
        <w:t xml:space="preserve"> </w:t>
      </w:r>
      <w:r w:rsidRPr="0055646B">
        <w:rPr>
          <w:rFonts w:hint="eastAsia"/>
        </w:rPr>
        <w:t>Macmillan</w:t>
      </w:r>
      <w:r w:rsidR="00C228A8">
        <w:rPr>
          <w:rFonts w:hint="eastAsia"/>
          <w:lang w:eastAsia="ja-JP"/>
        </w:rPr>
        <w:t>.</w:t>
      </w:r>
    </w:p>
    <w:p w14:paraId="7C5834C7" w14:textId="77777777" w:rsidR="000452AB" w:rsidRPr="0055646B" w:rsidRDefault="000452AB" w:rsidP="0093196D">
      <w:pPr>
        <w:pStyle w:val="NoSpacing"/>
        <w:rPr>
          <w:lang w:eastAsia="ja-JP"/>
        </w:rPr>
      </w:pPr>
    </w:p>
    <w:p w14:paraId="5EEDB66B" w14:textId="77777777" w:rsidR="000452AB" w:rsidRPr="0055646B" w:rsidRDefault="000452AB" w:rsidP="00713212">
      <w:pPr>
        <w:pStyle w:val="NoSpacing"/>
      </w:pPr>
      <w:r w:rsidRPr="0055646B">
        <w:t>Pierre, J</w:t>
      </w:r>
      <w:r w:rsidR="00C228A8">
        <w:rPr>
          <w:rFonts w:hint="eastAsia"/>
          <w:lang w:eastAsia="ja-JP"/>
        </w:rPr>
        <w:t>.</w:t>
      </w:r>
      <w:r w:rsidRPr="0055646B">
        <w:t xml:space="preserve"> (2000) ‘Introduction: Understanding Governance’</w:t>
      </w:r>
      <w:r w:rsidR="00C228A8">
        <w:rPr>
          <w:rFonts w:hint="eastAsia"/>
          <w:lang w:eastAsia="ja-JP"/>
        </w:rPr>
        <w:t>,</w:t>
      </w:r>
      <w:r w:rsidRPr="0055646B">
        <w:t xml:space="preserve"> in </w:t>
      </w:r>
      <w:r w:rsidR="00713212">
        <w:t xml:space="preserve">J. </w:t>
      </w:r>
      <w:r w:rsidRPr="0055646B">
        <w:t xml:space="preserve">Pierre </w:t>
      </w:r>
      <w:r w:rsidR="00C228A8">
        <w:rPr>
          <w:rFonts w:hint="eastAsia"/>
          <w:lang w:eastAsia="ja-JP"/>
        </w:rPr>
        <w:t>(</w:t>
      </w:r>
      <w:r w:rsidRPr="0055646B">
        <w:t>ed</w:t>
      </w:r>
      <w:r w:rsidR="00C228A8">
        <w:rPr>
          <w:rFonts w:hint="eastAsia"/>
          <w:lang w:eastAsia="ja-JP"/>
        </w:rPr>
        <w:t>)</w:t>
      </w:r>
      <w:r w:rsidR="00753E7A">
        <w:rPr>
          <w:rFonts w:hint="eastAsia"/>
          <w:lang w:eastAsia="ja-JP"/>
        </w:rPr>
        <w:t>,</w:t>
      </w:r>
      <w:r w:rsidRPr="0055646B">
        <w:t xml:space="preserve"> </w:t>
      </w:r>
      <w:r w:rsidRPr="00C228A8">
        <w:rPr>
          <w:i/>
        </w:rPr>
        <w:t>Debating Governance – Authority, Steering, and Democracy</w:t>
      </w:r>
      <w:r w:rsidR="00C228A8">
        <w:rPr>
          <w:rFonts w:hint="eastAsia"/>
          <w:lang w:eastAsia="ja-JP"/>
        </w:rPr>
        <w:t>. Oxford:</w:t>
      </w:r>
      <w:r w:rsidRPr="0055646B">
        <w:t xml:space="preserve"> Oxford UP, pp.1-10</w:t>
      </w:r>
      <w:r w:rsidR="00713212">
        <w:t>.</w:t>
      </w:r>
    </w:p>
    <w:p w14:paraId="607C1816" w14:textId="77777777" w:rsidR="000452AB" w:rsidRPr="0055646B" w:rsidRDefault="000452AB" w:rsidP="0093196D">
      <w:pPr>
        <w:pStyle w:val="NoSpacing"/>
      </w:pPr>
    </w:p>
    <w:p w14:paraId="13B4EF71" w14:textId="77777777" w:rsidR="000452AB" w:rsidRPr="0055646B" w:rsidRDefault="000452AB" w:rsidP="00C4062E">
      <w:pPr>
        <w:pStyle w:val="NoSpacing"/>
        <w:rPr>
          <w:lang w:eastAsia="ja-JP"/>
        </w:rPr>
      </w:pPr>
      <w:r w:rsidRPr="0055646B">
        <w:t>Pierre, J</w:t>
      </w:r>
      <w:r w:rsidR="00C228A8">
        <w:rPr>
          <w:rFonts w:hint="eastAsia"/>
          <w:lang w:eastAsia="ja-JP"/>
        </w:rPr>
        <w:t>.</w:t>
      </w:r>
      <w:r w:rsidRPr="0055646B">
        <w:t xml:space="preserve"> and Peters, B. G</w:t>
      </w:r>
      <w:r w:rsidR="00C228A8">
        <w:rPr>
          <w:rFonts w:hint="eastAsia"/>
          <w:lang w:eastAsia="ja-JP"/>
        </w:rPr>
        <w:t>.</w:t>
      </w:r>
      <w:r w:rsidRPr="0055646B">
        <w:t xml:space="preserve"> (2000) </w:t>
      </w:r>
      <w:r w:rsidRPr="00C228A8">
        <w:rPr>
          <w:i/>
        </w:rPr>
        <w:t>Governance, Politics and th</w:t>
      </w:r>
      <w:r w:rsidR="00C228A8" w:rsidRPr="00C228A8">
        <w:rPr>
          <w:i/>
        </w:rPr>
        <w:t>e State</w:t>
      </w:r>
      <w:r w:rsidR="00C228A8">
        <w:rPr>
          <w:rFonts w:hint="eastAsia"/>
          <w:lang w:eastAsia="ja-JP"/>
        </w:rPr>
        <w:t>,</w:t>
      </w:r>
      <w:r w:rsidR="00C228A8">
        <w:t xml:space="preserve"> Political Analysis</w:t>
      </w:r>
      <w:r w:rsidR="00C228A8">
        <w:rPr>
          <w:rFonts w:hint="eastAsia"/>
          <w:lang w:eastAsia="ja-JP"/>
        </w:rPr>
        <w:t>.</w:t>
      </w:r>
      <w:r w:rsidR="00C228A8">
        <w:t xml:space="preserve"> </w:t>
      </w:r>
      <w:r w:rsidR="00C4062E">
        <w:t>Basingstoke, Hampshire</w:t>
      </w:r>
      <w:r w:rsidR="00C228A8">
        <w:rPr>
          <w:rFonts w:hint="eastAsia"/>
          <w:lang w:eastAsia="ja-JP"/>
        </w:rPr>
        <w:t xml:space="preserve">: </w:t>
      </w:r>
      <w:r w:rsidRPr="0055646B">
        <w:t>MacMillan Press Ltd.</w:t>
      </w:r>
    </w:p>
    <w:p w14:paraId="1F5287A9" w14:textId="77777777" w:rsidR="000452AB" w:rsidRPr="0055646B" w:rsidRDefault="000452AB" w:rsidP="0093196D">
      <w:pPr>
        <w:pStyle w:val="NoSpacing"/>
      </w:pPr>
    </w:p>
    <w:p w14:paraId="3C2B2E6B" w14:textId="77777777" w:rsidR="000452AB" w:rsidRPr="0055646B" w:rsidRDefault="000452AB" w:rsidP="0093196D">
      <w:pPr>
        <w:pStyle w:val="NoSpacing"/>
        <w:rPr>
          <w:lang w:eastAsia="ja-JP"/>
        </w:rPr>
      </w:pPr>
      <w:r w:rsidRPr="0055646B">
        <w:t>Pierson, C</w:t>
      </w:r>
      <w:r w:rsidR="008775A7">
        <w:rPr>
          <w:rFonts w:hint="eastAsia"/>
          <w:lang w:eastAsia="ja-JP"/>
        </w:rPr>
        <w:t>.</w:t>
      </w:r>
      <w:r w:rsidR="008775A7">
        <w:t xml:space="preserve"> (2004) </w:t>
      </w:r>
      <w:r w:rsidRPr="008775A7">
        <w:rPr>
          <w:i/>
        </w:rPr>
        <w:t>The Modern State</w:t>
      </w:r>
      <w:r w:rsidR="008775A7">
        <w:rPr>
          <w:rFonts w:hint="eastAsia"/>
          <w:lang w:eastAsia="ja-JP"/>
        </w:rPr>
        <w:t>, Second Edition. Oxon, UK:</w:t>
      </w:r>
      <w:r w:rsidRPr="0055646B">
        <w:t xml:space="preserve"> Routledge</w:t>
      </w:r>
      <w:r w:rsidR="008775A7">
        <w:rPr>
          <w:rFonts w:hint="eastAsia"/>
          <w:lang w:eastAsia="ja-JP"/>
        </w:rPr>
        <w:t>.</w:t>
      </w:r>
    </w:p>
    <w:p w14:paraId="5FA09869" w14:textId="77777777" w:rsidR="000452AB" w:rsidRPr="0055646B" w:rsidRDefault="000452AB" w:rsidP="0093196D">
      <w:pPr>
        <w:pStyle w:val="NoSpacing"/>
      </w:pPr>
    </w:p>
    <w:p w14:paraId="2F03D04F" w14:textId="77777777" w:rsidR="000452AB" w:rsidRPr="0055646B" w:rsidRDefault="000452AB" w:rsidP="0093196D">
      <w:pPr>
        <w:pStyle w:val="NoSpacing"/>
        <w:rPr>
          <w:lang w:eastAsia="ja-JP"/>
        </w:rPr>
      </w:pPr>
      <w:r w:rsidRPr="0055646B">
        <w:rPr>
          <w:lang w:eastAsia="ja-JP"/>
        </w:rPr>
        <w:t>Pierson, P</w:t>
      </w:r>
      <w:r w:rsidR="008775A7">
        <w:rPr>
          <w:rFonts w:hint="eastAsia"/>
          <w:lang w:eastAsia="ja-JP"/>
        </w:rPr>
        <w:t>.</w:t>
      </w:r>
      <w:r w:rsidRPr="0055646B">
        <w:rPr>
          <w:lang w:eastAsia="ja-JP"/>
        </w:rPr>
        <w:t xml:space="preserve"> (2000) ‘Increasing Returns, Path Dependence, and the Study of Politics’, </w:t>
      </w:r>
      <w:r w:rsidRPr="008775A7">
        <w:rPr>
          <w:rFonts w:hint="eastAsia"/>
          <w:i/>
          <w:lang w:eastAsia="ja-JP"/>
        </w:rPr>
        <w:t>t</w:t>
      </w:r>
      <w:r w:rsidRPr="008775A7">
        <w:rPr>
          <w:i/>
          <w:lang w:eastAsia="ja-JP"/>
        </w:rPr>
        <w:t>he American Political Science Review</w:t>
      </w:r>
      <w:r w:rsidR="008775A7">
        <w:rPr>
          <w:rFonts w:hint="eastAsia"/>
          <w:lang w:eastAsia="ja-JP"/>
        </w:rPr>
        <w:t>,</w:t>
      </w:r>
      <w:r w:rsidRPr="0055646B">
        <w:rPr>
          <w:lang w:eastAsia="ja-JP"/>
        </w:rPr>
        <w:t xml:space="preserve"> 94</w:t>
      </w:r>
      <w:r w:rsidR="008775A7">
        <w:rPr>
          <w:rFonts w:hint="eastAsia"/>
          <w:lang w:eastAsia="ja-JP"/>
        </w:rPr>
        <w:t>, (2),</w:t>
      </w:r>
      <w:r w:rsidRPr="0055646B">
        <w:rPr>
          <w:lang w:eastAsia="ja-JP"/>
        </w:rPr>
        <w:t xml:space="preserve"> pp. 251-67</w:t>
      </w:r>
      <w:r w:rsidR="008775A7">
        <w:rPr>
          <w:rFonts w:hint="eastAsia"/>
          <w:lang w:eastAsia="ja-JP"/>
        </w:rPr>
        <w:t>.</w:t>
      </w:r>
    </w:p>
    <w:p w14:paraId="405B2A36" w14:textId="77777777" w:rsidR="000452AB" w:rsidRPr="0055646B" w:rsidRDefault="000452AB" w:rsidP="0093196D">
      <w:pPr>
        <w:pStyle w:val="NoSpacing"/>
        <w:rPr>
          <w:lang w:eastAsia="ja-JP"/>
        </w:rPr>
      </w:pPr>
    </w:p>
    <w:p w14:paraId="046F2659" w14:textId="77777777" w:rsidR="000452AB" w:rsidRPr="0055646B" w:rsidRDefault="009F7534" w:rsidP="0093196D">
      <w:pPr>
        <w:pStyle w:val="NoSpacing"/>
        <w:rPr>
          <w:lang w:eastAsia="ja-JP"/>
        </w:rPr>
      </w:pPr>
      <w:r w:rsidRPr="00C51850">
        <w:t>Posen, A</w:t>
      </w:r>
      <w:r w:rsidRPr="00C51850">
        <w:rPr>
          <w:lang w:eastAsia="ja-JP"/>
        </w:rPr>
        <w:t>.</w:t>
      </w:r>
      <w:r w:rsidRPr="00C51850">
        <w:t xml:space="preserve"> (2002) ‘Finance’</w:t>
      </w:r>
      <w:r w:rsidRPr="00C51850">
        <w:rPr>
          <w:lang w:eastAsia="ja-JP"/>
        </w:rPr>
        <w:t>,</w:t>
      </w:r>
      <w:r w:rsidRPr="00C51850">
        <w:t xml:space="preserve"> in Steven K. </w:t>
      </w:r>
      <w:r w:rsidRPr="00C51850">
        <w:rPr>
          <w:lang w:eastAsia="ja-JP"/>
        </w:rPr>
        <w:t>Vogel (</w:t>
      </w:r>
      <w:r w:rsidRPr="00C51850">
        <w:t>ed</w:t>
      </w:r>
      <w:r w:rsidRPr="00C51850">
        <w:rPr>
          <w:lang w:eastAsia="ja-JP"/>
        </w:rPr>
        <w:t>),</w:t>
      </w:r>
      <w:r w:rsidRPr="00C51850">
        <w:t xml:space="preserve"> </w:t>
      </w:r>
      <w:r w:rsidR="000452AB" w:rsidRPr="004635B7">
        <w:rPr>
          <w:i/>
        </w:rPr>
        <w:t>U.S.-Japan Relations in a Changing World</w:t>
      </w:r>
      <w:r w:rsidR="004635B7">
        <w:rPr>
          <w:rFonts w:hint="eastAsia"/>
          <w:lang w:eastAsia="ja-JP"/>
        </w:rPr>
        <w:t>.</w:t>
      </w:r>
      <w:r w:rsidR="000452AB" w:rsidRPr="0055646B">
        <w:t xml:space="preserve"> </w:t>
      </w:r>
      <w:r w:rsidR="004635B7" w:rsidRPr="0055646B">
        <w:t>Washington, D.C.</w:t>
      </w:r>
      <w:r w:rsidR="004635B7">
        <w:rPr>
          <w:rFonts w:hint="eastAsia"/>
          <w:lang w:eastAsia="ja-JP"/>
        </w:rPr>
        <w:t>:</w:t>
      </w:r>
      <w:r w:rsidR="004635B7" w:rsidRPr="0055646B">
        <w:t xml:space="preserve"> </w:t>
      </w:r>
      <w:r w:rsidR="000452AB" w:rsidRPr="0055646B">
        <w:t>Brookings Institution Press, pp.198-238</w:t>
      </w:r>
      <w:r w:rsidR="004635B7">
        <w:rPr>
          <w:rFonts w:hint="eastAsia"/>
          <w:lang w:eastAsia="ja-JP"/>
        </w:rPr>
        <w:t>.</w:t>
      </w:r>
    </w:p>
    <w:p w14:paraId="371ED7CF" w14:textId="77777777" w:rsidR="000452AB" w:rsidRPr="0055646B" w:rsidRDefault="000452AB" w:rsidP="0093196D">
      <w:pPr>
        <w:pStyle w:val="NoSpacing"/>
      </w:pPr>
    </w:p>
    <w:p w14:paraId="3549F1DF" w14:textId="77777777" w:rsidR="000452AB" w:rsidRPr="0055646B" w:rsidRDefault="000452AB" w:rsidP="0093196D">
      <w:pPr>
        <w:pStyle w:val="NoSpacing"/>
        <w:rPr>
          <w:lang w:eastAsia="ja-JP"/>
        </w:rPr>
      </w:pPr>
      <w:r w:rsidRPr="0055646B">
        <w:t>Ramsayer, J. M</w:t>
      </w:r>
      <w:r w:rsidR="00753E7A">
        <w:rPr>
          <w:rFonts w:hint="eastAsia"/>
          <w:lang w:eastAsia="ja-JP"/>
        </w:rPr>
        <w:t>.</w:t>
      </w:r>
      <w:r w:rsidRPr="0055646B">
        <w:t xml:space="preserve"> and Rosenblith, F</w:t>
      </w:r>
      <w:r w:rsidR="00753E7A">
        <w:rPr>
          <w:rFonts w:hint="eastAsia"/>
          <w:lang w:eastAsia="ja-JP"/>
        </w:rPr>
        <w:t>.</w:t>
      </w:r>
      <w:r w:rsidRPr="0055646B">
        <w:t xml:space="preserve"> M</w:t>
      </w:r>
      <w:r w:rsidR="00753E7A">
        <w:rPr>
          <w:rFonts w:hint="eastAsia"/>
          <w:lang w:eastAsia="ja-JP"/>
        </w:rPr>
        <w:t>.</w:t>
      </w:r>
      <w:r w:rsidRPr="0055646B">
        <w:t xml:space="preserve"> (1993) </w:t>
      </w:r>
      <w:r w:rsidRPr="00753E7A">
        <w:rPr>
          <w:i/>
        </w:rPr>
        <w:t>Japan’s Pol</w:t>
      </w:r>
      <w:r w:rsidR="00753E7A" w:rsidRPr="00753E7A">
        <w:rPr>
          <w:i/>
        </w:rPr>
        <w:t>itical Marketplace</w:t>
      </w:r>
      <w:r w:rsidR="00753E7A">
        <w:rPr>
          <w:rFonts w:hint="eastAsia"/>
          <w:lang w:eastAsia="ja-JP"/>
        </w:rPr>
        <w:t>.</w:t>
      </w:r>
      <w:r w:rsidRPr="0055646B">
        <w:t xml:space="preserve"> Cambridge, MA/London</w:t>
      </w:r>
      <w:r w:rsidR="00753E7A">
        <w:rPr>
          <w:rFonts w:hint="eastAsia"/>
          <w:lang w:eastAsia="ja-JP"/>
        </w:rPr>
        <w:t>: Harvard UP.</w:t>
      </w:r>
    </w:p>
    <w:p w14:paraId="70D0D166" w14:textId="77777777" w:rsidR="000452AB" w:rsidRPr="0055646B" w:rsidRDefault="000452AB" w:rsidP="0093196D">
      <w:pPr>
        <w:pStyle w:val="NoSpacing"/>
      </w:pPr>
    </w:p>
    <w:p w14:paraId="15FE2AA5" w14:textId="77777777" w:rsidR="000452AB" w:rsidRPr="0055646B" w:rsidRDefault="000452AB" w:rsidP="0093196D">
      <w:pPr>
        <w:pStyle w:val="NoSpacing"/>
        <w:rPr>
          <w:lang w:eastAsia="ja-JP"/>
        </w:rPr>
      </w:pPr>
      <w:r w:rsidRPr="0055646B">
        <w:rPr>
          <w:lang w:eastAsia="ja-JP"/>
        </w:rPr>
        <w:t>Rhodes, R. A. W. (1995</w:t>
      </w:r>
      <w:r w:rsidRPr="0055646B">
        <w:rPr>
          <w:rFonts w:hint="eastAsia"/>
          <w:lang w:eastAsia="ja-JP"/>
        </w:rPr>
        <w:t>a</w:t>
      </w:r>
      <w:r w:rsidRPr="0055646B">
        <w:rPr>
          <w:lang w:eastAsia="ja-JP"/>
        </w:rPr>
        <w:t>) ‘Introducing the Core Executive’, in R.</w:t>
      </w:r>
      <w:r w:rsidRPr="0055646B">
        <w:rPr>
          <w:rFonts w:hint="eastAsia"/>
          <w:lang w:eastAsia="ja-JP"/>
        </w:rPr>
        <w:t xml:space="preserve"> A. W. </w:t>
      </w:r>
      <w:r w:rsidR="00753E7A" w:rsidRPr="0055646B">
        <w:rPr>
          <w:lang w:eastAsia="ja-JP"/>
        </w:rPr>
        <w:t>Rhodes</w:t>
      </w:r>
      <w:r w:rsidR="00753E7A">
        <w:rPr>
          <w:rFonts w:hint="eastAsia"/>
          <w:lang w:eastAsia="ja-JP"/>
        </w:rPr>
        <w:t xml:space="preserve"> </w:t>
      </w:r>
      <w:r w:rsidRPr="0055646B">
        <w:rPr>
          <w:lang w:eastAsia="ja-JP"/>
        </w:rPr>
        <w:t xml:space="preserve">and P. </w:t>
      </w:r>
      <w:r w:rsidR="00753E7A" w:rsidRPr="0055646B">
        <w:rPr>
          <w:lang w:eastAsia="ja-JP"/>
        </w:rPr>
        <w:t>Dunleavy</w:t>
      </w:r>
      <w:r w:rsidR="00753E7A">
        <w:rPr>
          <w:rFonts w:hint="eastAsia"/>
          <w:lang w:eastAsia="ja-JP"/>
        </w:rPr>
        <w:t xml:space="preserve"> (</w:t>
      </w:r>
      <w:r w:rsidRPr="0055646B">
        <w:rPr>
          <w:lang w:eastAsia="ja-JP"/>
        </w:rPr>
        <w:t>ed</w:t>
      </w:r>
      <w:r w:rsidR="00753E7A">
        <w:rPr>
          <w:rFonts w:hint="eastAsia"/>
          <w:lang w:eastAsia="ja-JP"/>
        </w:rPr>
        <w:t>s),</w:t>
      </w:r>
      <w:r w:rsidR="00753E7A">
        <w:rPr>
          <w:lang w:eastAsia="ja-JP"/>
        </w:rPr>
        <w:t xml:space="preserve"> </w:t>
      </w:r>
      <w:r w:rsidRPr="00753E7A">
        <w:rPr>
          <w:i/>
          <w:lang w:eastAsia="ja-JP"/>
        </w:rPr>
        <w:t>Prime Minister, Cabinet and Core Executive</w:t>
      </w:r>
      <w:r w:rsidR="00753E7A">
        <w:rPr>
          <w:rFonts w:hint="eastAsia"/>
          <w:lang w:eastAsia="ja-JP"/>
        </w:rPr>
        <w:t>.</w:t>
      </w:r>
      <w:r w:rsidRPr="0055646B">
        <w:rPr>
          <w:lang w:eastAsia="ja-JP"/>
        </w:rPr>
        <w:t xml:space="preserve"> </w:t>
      </w:r>
      <w:r w:rsidR="00753E7A">
        <w:rPr>
          <w:rFonts w:hint="eastAsia"/>
          <w:lang w:eastAsia="ja-JP"/>
        </w:rPr>
        <w:t xml:space="preserve">London: </w:t>
      </w:r>
      <w:r w:rsidRPr="0055646B">
        <w:rPr>
          <w:lang w:eastAsia="ja-JP"/>
        </w:rPr>
        <w:t xml:space="preserve">Macmillan, </w:t>
      </w:r>
      <w:r w:rsidRPr="0055646B">
        <w:rPr>
          <w:rFonts w:hint="eastAsia"/>
          <w:lang w:eastAsia="ja-JP"/>
        </w:rPr>
        <w:t>pp.1-8</w:t>
      </w:r>
      <w:r w:rsidR="00753E7A">
        <w:rPr>
          <w:rFonts w:hint="eastAsia"/>
          <w:lang w:eastAsia="ja-JP"/>
        </w:rPr>
        <w:t>.</w:t>
      </w:r>
    </w:p>
    <w:p w14:paraId="52B6C7B1" w14:textId="77777777" w:rsidR="000452AB" w:rsidRPr="0055646B" w:rsidRDefault="000452AB" w:rsidP="0093196D">
      <w:pPr>
        <w:pStyle w:val="NoSpacing"/>
        <w:rPr>
          <w:lang w:eastAsia="ja-JP"/>
        </w:rPr>
      </w:pPr>
    </w:p>
    <w:p w14:paraId="4917C3A4" w14:textId="77777777" w:rsidR="000452AB" w:rsidRPr="0055646B" w:rsidRDefault="000452AB" w:rsidP="0093196D">
      <w:pPr>
        <w:pStyle w:val="NoSpacing"/>
        <w:rPr>
          <w:lang w:eastAsia="ja-JP"/>
        </w:rPr>
      </w:pPr>
      <w:r w:rsidRPr="0055646B">
        <w:rPr>
          <w:lang w:eastAsia="ja-JP"/>
        </w:rPr>
        <w:t>Rhodes, R. A. W. (1995</w:t>
      </w:r>
      <w:r w:rsidRPr="0055646B">
        <w:rPr>
          <w:rFonts w:hint="eastAsia"/>
          <w:lang w:eastAsia="ja-JP"/>
        </w:rPr>
        <w:t>b</w:t>
      </w:r>
      <w:r w:rsidRPr="0055646B">
        <w:rPr>
          <w:lang w:eastAsia="ja-JP"/>
        </w:rPr>
        <w:t>) ‘</w:t>
      </w:r>
      <w:r w:rsidRPr="0055646B">
        <w:rPr>
          <w:rFonts w:hint="eastAsia"/>
          <w:lang w:eastAsia="ja-JP"/>
        </w:rPr>
        <w:t>From Prime M</w:t>
      </w:r>
      <w:r w:rsidRPr="0055646B">
        <w:rPr>
          <w:lang w:eastAsia="ja-JP"/>
        </w:rPr>
        <w:t>i</w:t>
      </w:r>
      <w:r w:rsidRPr="0055646B">
        <w:rPr>
          <w:rFonts w:hint="eastAsia"/>
          <w:lang w:eastAsia="ja-JP"/>
        </w:rPr>
        <w:t>nisterial Power to Core Executive</w:t>
      </w:r>
      <w:r w:rsidRPr="0055646B">
        <w:rPr>
          <w:lang w:eastAsia="ja-JP"/>
        </w:rPr>
        <w:t xml:space="preserve">’, in R. </w:t>
      </w:r>
      <w:r w:rsidRPr="0055646B">
        <w:rPr>
          <w:rFonts w:hint="eastAsia"/>
          <w:lang w:eastAsia="ja-JP"/>
        </w:rPr>
        <w:t xml:space="preserve">A. W. </w:t>
      </w:r>
      <w:r w:rsidR="005A5A66" w:rsidRPr="0055646B">
        <w:rPr>
          <w:lang w:eastAsia="ja-JP"/>
        </w:rPr>
        <w:t>Rhodes</w:t>
      </w:r>
      <w:r w:rsidR="005A5A66">
        <w:rPr>
          <w:lang w:eastAsia="ja-JP"/>
        </w:rPr>
        <w:t xml:space="preserve"> </w:t>
      </w:r>
      <w:r w:rsidRPr="0055646B">
        <w:rPr>
          <w:lang w:eastAsia="ja-JP"/>
        </w:rPr>
        <w:t xml:space="preserve">and </w:t>
      </w:r>
      <w:r w:rsidR="005A5A66">
        <w:rPr>
          <w:lang w:eastAsia="ja-JP"/>
        </w:rPr>
        <w:t xml:space="preserve">P. </w:t>
      </w:r>
      <w:r w:rsidRPr="0055646B">
        <w:rPr>
          <w:lang w:eastAsia="ja-JP"/>
        </w:rPr>
        <w:t xml:space="preserve">Dunleavy </w:t>
      </w:r>
      <w:r w:rsidR="005A5A66">
        <w:rPr>
          <w:lang w:eastAsia="ja-JP"/>
        </w:rPr>
        <w:t>(</w:t>
      </w:r>
      <w:r w:rsidRPr="0055646B">
        <w:rPr>
          <w:lang w:eastAsia="ja-JP"/>
        </w:rPr>
        <w:t>ed</w:t>
      </w:r>
      <w:r w:rsidR="005A5A66">
        <w:rPr>
          <w:lang w:eastAsia="ja-JP"/>
        </w:rPr>
        <w:t>s),</w:t>
      </w:r>
      <w:r w:rsidRPr="0055646B">
        <w:rPr>
          <w:lang w:eastAsia="ja-JP"/>
        </w:rPr>
        <w:t xml:space="preserve"> </w:t>
      </w:r>
      <w:r w:rsidRPr="005A5A66">
        <w:rPr>
          <w:i/>
          <w:lang w:eastAsia="ja-JP"/>
        </w:rPr>
        <w:t>Prime Minister, Cabinet and Core Executive</w:t>
      </w:r>
      <w:r w:rsidR="005A5A66">
        <w:rPr>
          <w:lang w:eastAsia="ja-JP"/>
        </w:rPr>
        <w:t>.</w:t>
      </w:r>
      <w:r w:rsidRPr="0055646B">
        <w:rPr>
          <w:lang w:eastAsia="ja-JP"/>
        </w:rPr>
        <w:t xml:space="preserve"> London</w:t>
      </w:r>
      <w:r w:rsidR="005A5A66">
        <w:rPr>
          <w:lang w:eastAsia="ja-JP"/>
        </w:rPr>
        <w:t xml:space="preserve">: </w:t>
      </w:r>
      <w:r w:rsidR="005A5A66" w:rsidRPr="0055646B">
        <w:rPr>
          <w:lang w:eastAsia="ja-JP"/>
        </w:rPr>
        <w:t>Macmillan</w:t>
      </w:r>
      <w:r w:rsidR="005A5A66">
        <w:rPr>
          <w:lang w:eastAsia="ja-JP"/>
        </w:rPr>
        <w:t>,</w:t>
      </w:r>
      <w:r w:rsidRPr="0055646B">
        <w:rPr>
          <w:rFonts w:hint="eastAsia"/>
          <w:lang w:eastAsia="ja-JP"/>
        </w:rPr>
        <w:t xml:space="preserve"> pp.11-37</w:t>
      </w:r>
      <w:r w:rsidR="005A5A66">
        <w:rPr>
          <w:lang w:eastAsia="ja-JP"/>
        </w:rPr>
        <w:t>.</w:t>
      </w:r>
    </w:p>
    <w:p w14:paraId="2FB94B76" w14:textId="77777777" w:rsidR="000452AB" w:rsidRPr="0055646B" w:rsidRDefault="000452AB" w:rsidP="0093196D">
      <w:pPr>
        <w:pStyle w:val="NoSpacing"/>
        <w:rPr>
          <w:lang w:eastAsia="ja-JP"/>
        </w:rPr>
      </w:pPr>
    </w:p>
    <w:p w14:paraId="7290C262" w14:textId="77777777" w:rsidR="000452AB" w:rsidRPr="0055646B" w:rsidRDefault="000452AB" w:rsidP="0093196D">
      <w:pPr>
        <w:pStyle w:val="NoSpacing"/>
        <w:rPr>
          <w:lang w:eastAsia="ja-JP"/>
        </w:rPr>
      </w:pPr>
      <w:r w:rsidRPr="0055646B">
        <w:rPr>
          <w:lang w:eastAsia="ja-JP"/>
        </w:rPr>
        <w:t xml:space="preserve">Rhodes, R. A. W. (1996) ‘The New governance: Governing without Government’, </w:t>
      </w:r>
      <w:r w:rsidRPr="005A5A66">
        <w:rPr>
          <w:i/>
          <w:lang w:eastAsia="ja-JP"/>
        </w:rPr>
        <w:t>Political Studies</w:t>
      </w:r>
      <w:r w:rsidRPr="0055646B">
        <w:rPr>
          <w:lang w:eastAsia="ja-JP"/>
        </w:rPr>
        <w:t>, 44, pp.652-67</w:t>
      </w:r>
      <w:r w:rsidR="005A5A66">
        <w:rPr>
          <w:lang w:eastAsia="ja-JP"/>
        </w:rPr>
        <w:t>.</w:t>
      </w:r>
    </w:p>
    <w:p w14:paraId="367E259C" w14:textId="77777777" w:rsidR="000452AB" w:rsidRPr="0055646B" w:rsidRDefault="000452AB" w:rsidP="0093196D">
      <w:pPr>
        <w:pStyle w:val="NoSpacing"/>
      </w:pPr>
    </w:p>
    <w:p w14:paraId="20759CD4" w14:textId="77777777" w:rsidR="000452AB" w:rsidRPr="0055646B" w:rsidRDefault="005A5A66" w:rsidP="0093196D">
      <w:pPr>
        <w:pStyle w:val="NoSpacing"/>
      </w:pPr>
      <w:r>
        <w:t xml:space="preserve">Rhodes, R.A.W. (1997) </w:t>
      </w:r>
      <w:r w:rsidR="000452AB" w:rsidRPr="005A5A66">
        <w:rPr>
          <w:i/>
        </w:rPr>
        <w:t>Understanding Governance – Policy Networks, Governance, Reflexivity and Accountability</w:t>
      </w:r>
      <w:r>
        <w:t>.</w:t>
      </w:r>
      <w:r w:rsidR="000452AB" w:rsidRPr="0055646B">
        <w:t xml:space="preserve"> Maidenhead</w:t>
      </w:r>
      <w:r>
        <w:t>: Open UP.</w:t>
      </w:r>
    </w:p>
    <w:p w14:paraId="5B0E2B9C" w14:textId="77777777" w:rsidR="000452AB" w:rsidRPr="0055646B" w:rsidRDefault="000452AB" w:rsidP="0093196D">
      <w:pPr>
        <w:pStyle w:val="NoSpacing"/>
        <w:rPr>
          <w:lang w:eastAsia="ja-JP"/>
        </w:rPr>
      </w:pPr>
    </w:p>
    <w:p w14:paraId="49ABDB29" w14:textId="77777777" w:rsidR="000452AB" w:rsidRPr="0055646B" w:rsidRDefault="000452AB" w:rsidP="0093196D">
      <w:pPr>
        <w:pStyle w:val="NoSpacing"/>
        <w:rPr>
          <w:lang w:eastAsia="ja-JP"/>
        </w:rPr>
      </w:pPr>
      <w:r w:rsidRPr="0055646B">
        <w:rPr>
          <w:lang w:eastAsia="ja-JP"/>
        </w:rPr>
        <w:t>Rhodes,</w:t>
      </w:r>
      <w:r w:rsidRPr="0055646B">
        <w:rPr>
          <w:rFonts w:hint="eastAsia"/>
          <w:lang w:eastAsia="ja-JP"/>
        </w:rPr>
        <w:t xml:space="preserve"> </w:t>
      </w:r>
      <w:r w:rsidRPr="0055646B">
        <w:rPr>
          <w:lang w:eastAsia="ja-JP"/>
        </w:rPr>
        <w:t>R. A. W. (2000) ‘Governance and Public Administration’</w:t>
      </w:r>
      <w:r w:rsidR="005A5A66">
        <w:rPr>
          <w:lang w:eastAsia="ja-JP"/>
        </w:rPr>
        <w:t>,</w:t>
      </w:r>
      <w:r w:rsidRPr="0055646B">
        <w:rPr>
          <w:lang w:eastAsia="ja-JP"/>
        </w:rPr>
        <w:t xml:space="preserve"> in </w:t>
      </w:r>
      <w:r w:rsidR="005A5A66">
        <w:rPr>
          <w:lang w:eastAsia="ja-JP"/>
        </w:rPr>
        <w:t xml:space="preserve">J. </w:t>
      </w:r>
      <w:r w:rsidRPr="0055646B">
        <w:rPr>
          <w:lang w:eastAsia="ja-JP"/>
        </w:rPr>
        <w:t xml:space="preserve">Pierre </w:t>
      </w:r>
      <w:r w:rsidR="005A5A66">
        <w:rPr>
          <w:lang w:eastAsia="ja-JP"/>
        </w:rPr>
        <w:t>(</w:t>
      </w:r>
      <w:r w:rsidRPr="0055646B">
        <w:rPr>
          <w:lang w:eastAsia="ja-JP"/>
        </w:rPr>
        <w:t>ed</w:t>
      </w:r>
      <w:r w:rsidR="005A5A66">
        <w:rPr>
          <w:lang w:eastAsia="ja-JP"/>
        </w:rPr>
        <w:t>),</w:t>
      </w:r>
      <w:r w:rsidRPr="0055646B">
        <w:rPr>
          <w:lang w:eastAsia="ja-JP"/>
        </w:rPr>
        <w:t xml:space="preserve"> </w:t>
      </w:r>
      <w:r w:rsidRPr="005A5A66">
        <w:rPr>
          <w:i/>
          <w:lang w:eastAsia="ja-JP"/>
        </w:rPr>
        <w:t>Debating Governance – Authority, Steering, and Democracy</w:t>
      </w:r>
      <w:r w:rsidR="005A5A66">
        <w:rPr>
          <w:lang w:eastAsia="ja-JP"/>
        </w:rPr>
        <w:t>.</w:t>
      </w:r>
      <w:r w:rsidRPr="0055646B">
        <w:rPr>
          <w:lang w:eastAsia="ja-JP"/>
        </w:rPr>
        <w:t xml:space="preserve"> </w:t>
      </w:r>
      <w:r w:rsidR="005A5A66">
        <w:rPr>
          <w:lang w:eastAsia="ja-JP"/>
        </w:rPr>
        <w:t xml:space="preserve">Oxford: </w:t>
      </w:r>
      <w:r w:rsidRPr="0055646B">
        <w:rPr>
          <w:lang w:eastAsia="ja-JP"/>
        </w:rPr>
        <w:t>Oxford UP, pp.54-90</w:t>
      </w:r>
      <w:r w:rsidR="005A5A66">
        <w:rPr>
          <w:lang w:eastAsia="ja-JP"/>
        </w:rPr>
        <w:t>.</w:t>
      </w:r>
    </w:p>
    <w:p w14:paraId="6103856A" w14:textId="77777777" w:rsidR="000452AB" w:rsidRPr="0055646B" w:rsidRDefault="000452AB" w:rsidP="0093196D">
      <w:pPr>
        <w:pStyle w:val="NoSpacing"/>
      </w:pPr>
    </w:p>
    <w:p w14:paraId="5F222553" w14:textId="77777777" w:rsidR="000452AB" w:rsidRPr="0055646B" w:rsidRDefault="000452AB" w:rsidP="0093196D">
      <w:pPr>
        <w:pStyle w:val="NoSpacing"/>
      </w:pPr>
      <w:r w:rsidRPr="0055646B">
        <w:t>Rhodes,</w:t>
      </w:r>
      <w:r w:rsidRPr="0055646B">
        <w:rPr>
          <w:rFonts w:hint="eastAsia"/>
        </w:rPr>
        <w:t xml:space="preserve"> </w:t>
      </w:r>
      <w:r w:rsidRPr="0055646B">
        <w:t>R. A. W. (200</w:t>
      </w:r>
      <w:r w:rsidRPr="0055646B">
        <w:rPr>
          <w:rFonts w:hint="eastAsia"/>
        </w:rPr>
        <w:t>7</w:t>
      </w:r>
      <w:r w:rsidRPr="0055646B">
        <w:t>) ‘</w:t>
      </w:r>
      <w:r w:rsidRPr="0055646B">
        <w:rPr>
          <w:rFonts w:hint="eastAsia"/>
        </w:rPr>
        <w:t>Understanding Governance: Ten Years On</w:t>
      </w:r>
      <w:r w:rsidRPr="0055646B">
        <w:t>’</w:t>
      </w:r>
      <w:r w:rsidRPr="0055646B">
        <w:rPr>
          <w:rFonts w:hint="eastAsia"/>
        </w:rPr>
        <w:t xml:space="preserve">, </w:t>
      </w:r>
      <w:r w:rsidRPr="005A5A66">
        <w:rPr>
          <w:i/>
        </w:rPr>
        <w:t>Organization Studies</w:t>
      </w:r>
      <w:r w:rsidR="005A5A66">
        <w:t>,</w:t>
      </w:r>
      <w:r w:rsidRPr="0055646B">
        <w:t xml:space="preserve"> 28</w:t>
      </w:r>
      <w:r w:rsidR="005A5A66">
        <w:t>,</w:t>
      </w:r>
      <w:r w:rsidRPr="0055646B">
        <w:rPr>
          <w:rFonts w:hint="eastAsia"/>
        </w:rPr>
        <w:t xml:space="preserve"> </w:t>
      </w:r>
      <w:r w:rsidRPr="0055646B">
        <w:t>(08)</w:t>
      </w:r>
      <w:r w:rsidR="005A5A66">
        <w:t>,</w:t>
      </w:r>
      <w:r w:rsidRPr="0055646B">
        <w:rPr>
          <w:rFonts w:hint="eastAsia"/>
        </w:rPr>
        <w:t xml:space="preserve"> </w:t>
      </w:r>
      <w:r w:rsidRPr="0055646B">
        <w:t>pp.</w:t>
      </w:r>
      <w:r w:rsidRPr="0055646B">
        <w:rPr>
          <w:rFonts w:hint="eastAsia"/>
        </w:rPr>
        <w:t>1243-64</w:t>
      </w:r>
      <w:r w:rsidR="005A5A66">
        <w:t>.</w:t>
      </w:r>
    </w:p>
    <w:p w14:paraId="3BFEB79F" w14:textId="77777777" w:rsidR="000452AB" w:rsidRPr="0055646B" w:rsidRDefault="000452AB" w:rsidP="0093196D">
      <w:pPr>
        <w:pStyle w:val="NoSpacing"/>
      </w:pPr>
    </w:p>
    <w:p w14:paraId="35D719C4" w14:textId="77777777" w:rsidR="000452AB" w:rsidRPr="0055646B" w:rsidRDefault="000452AB" w:rsidP="0093196D">
      <w:pPr>
        <w:pStyle w:val="NoSpacing"/>
      </w:pPr>
      <w:r w:rsidRPr="0055646B">
        <w:t>Rhodes, R. A. W., Carmichael, P., McMil</w:t>
      </w:r>
      <w:r w:rsidR="005A5A66">
        <w:t xml:space="preserve">lan, J., and Massey, A. (2003) </w:t>
      </w:r>
      <w:r w:rsidRPr="005A5A66">
        <w:rPr>
          <w:i/>
        </w:rPr>
        <w:t>Decentraliz</w:t>
      </w:r>
      <w:r w:rsidR="005A5A66" w:rsidRPr="005A5A66">
        <w:rPr>
          <w:i/>
        </w:rPr>
        <w:t>ing the Civil Service</w:t>
      </w:r>
      <w:r w:rsidR="005A5A66">
        <w:t>.</w:t>
      </w:r>
      <w:r w:rsidRPr="0055646B">
        <w:t xml:space="preserve"> Buckingham</w:t>
      </w:r>
      <w:r w:rsidR="005A5A66">
        <w:t>: Open UP.</w:t>
      </w:r>
    </w:p>
    <w:p w14:paraId="1804473A" w14:textId="77777777" w:rsidR="000452AB" w:rsidRPr="0055646B" w:rsidRDefault="000452AB" w:rsidP="0093196D">
      <w:pPr>
        <w:pStyle w:val="NoSpacing"/>
      </w:pPr>
    </w:p>
    <w:p w14:paraId="772D396F" w14:textId="77777777" w:rsidR="000452AB" w:rsidRPr="0055646B" w:rsidRDefault="000452AB" w:rsidP="0093196D">
      <w:pPr>
        <w:pStyle w:val="NoSpacing"/>
      </w:pPr>
      <w:r w:rsidRPr="0055646B">
        <w:t>Richards, D</w:t>
      </w:r>
      <w:r w:rsidR="00457743">
        <w:t>.</w:t>
      </w:r>
      <w:r w:rsidRPr="0055646B">
        <w:t xml:space="preserve"> (1996) ‘Elite Interviewing: Approaches and Pitfalls’,</w:t>
      </w:r>
      <w:r w:rsidR="00457743">
        <w:t xml:space="preserve"> </w:t>
      </w:r>
      <w:r w:rsidRPr="00457743">
        <w:rPr>
          <w:i/>
        </w:rPr>
        <w:t>Politics</w:t>
      </w:r>
      <w:r w:rsidR="00457743">
        <w:t>,</w:t>
      </w:r>
      <w:r w:rsidRPr="0055646B">
        <w:t xml:space="preserve"> 16</w:t>
      </w:r>
      <w:r w:rsidR="00457743">
        <w:t xml:space="preserve">, </w:t>
      </w:r>
      <w:r w:rsidRPr="0055646B">
        <w:t>(3)</w:t>
      </w:r>
      <w:r w:rsidR="00457743">
        <w:t xml:space="preserve">, </w:t>
      </w:r>
      <w:r w:rsidRPr="0055646B">
        <w:t>pp.199-204</w:t>
      </w:r>
      <w:r w:rsidR="00457743">
        <w:t>.</w:t>
      </w:r>
    </w:p>
    <w:p w14:paraId="1D014E76" w14:textId="77777777" w:rsidR="000452AB" w:rsidRPr="0055646B" w:rsidRDefault="000452AB" w:rsidP="0093196D">
      <w:pPr>
        <w:pStyle w:val="NoSpacing"/>
      </w:pPr>
    </w:p>
    <w:p w14:paraId="562BD783" w14:textId="77777777" w:rsidR="000452AB" w:rsidRPr="0055646B" w:rsidRDefault="000452AB" w:rsidP="0093196D">
      <w:pPr>
        <w:pStyle w:val="NoSpacing"/>
      </w:pPr>
      <w:r w:rsidRPr="0055646B">
        <w:t>Richards, D</w:t>
      </w:r>
      <w:r w:rsidR="00457743">
        <w:t>.</w:t>
      </w:r>
      <w:r w:rsidRPr="0055646B">
        <w:t xml:space="preserve"> (2008) </w:t>
      </w:r>
      <w:r w:rsidRPr="00457743">
        <w:rPr>
          <w:i/>
        </w:rPr>
        <w:t>New Labour and the Civil Service – Reconstituting the Westminster Model</w:t>
      </w:r>
      <w:r w:rsidR="00457743">
        <w:t>.</w:t>
      </w:r>
      <w:r w:rsidRPr="0055646B">
        <w:t xml:space="preserve"> Basingstoke, Hampshire/New York</w:t>
      </w:r>
      <w:r w:rsidR="00457743">
        <w:t xml:space="preserve">: </w:t>
      </w:r>
      <w:r w:rsidR="00457743" w:rsidRPr="0055646B">
        <w:t>Palgrave Macmillan</w:t>
      </w:r>
      <w:r w:rsidR="00457743">
        <w:t>.</w:t>
      </w:r>
    </w:p>
    <w:p w14:paraId="6AF7A3D7" w14:textId="77777777" w:rsidR="000452AB" w:rsidRPr="0055646B" w:rsidRDefault="000452AB" w:rsidP="0093196D">
      <w:pPr>
        <w:pStyle w:val="NoSpacing"/>
      </w:pPr>
    </w:p>
    <w:p w14:paraId="3955547C" w14:textId="77777777" w:rsidR="000452AB" w:rsidRPr="0055646B" w:rsidRDefault="000452AB" w:rsidP="0093196D">
      <w:pPr>
        <w:pStyle w:val="NoSpacing"/>
      </w:pPr>
      <w:r w:rsidRPr="0055646B">
        <w:t>Richards, D</w:t>
      </w:r>
      <w:r w:rsidR="00457743">
        <w:t>.</w:t>
      </w:r>
      <w:r w:rsidRPr="0055646B">
        <w:t xml:space="preserve"> and Smith, M</w:t>
      </w:r>
      <w:r w:rsidR="00457743">
        <w:t xml:space="preserve">. J. (2002) </w:t>
      </w:r>
      <w:r w:rsidRPr="00457743">
        <w:rPr>
          <w:i/>
        </w:rPr>
        <w:t>Governance and the Public Policy in the UK</w:t>
      </w:r>
      <w:r w:rsidR="00457743">
        <w:t>.</w:t>
      </w:r>
      <w:r w:rsidRPr="0055646B">
        <w:t xml:space="preserve"> Oxford</w:t>
      </w:r>
      <w:r w:rsidR="00457743">
        <w:t xml:space="preserve">: </w:t>
      </w:r>
      <w:r w:rsidR="00457743" w:rsidRPr="0055646B">
        <w:t>Oxford UP</w:t>
      </w:r>
      <w:r w:rsidR="00457743">
        <w:t>.</w:t>
      </w:r>
    </w:p>
    <w:p w14:paraId="1996E9BF" w14:textId="77777777" w:rsidR="000452AB" w:rsidRPr="0055646B" w:rsidRDefault="000452AB" w:rsidP="0093196D">
      <w:pPr>
        <w:pStyle w:val="NoSpacing"/>
      </w:pPr>
    </w:p>
    <w:p w14:paraId="4D920FEA" w14:textId="77777777" w:rsidR="000452AB" w:rsidRPr="0055646B" w:rsidRDefault="000452AB" w:rsidP="0093196D">
      <w:pPr>
        <w:pStyle w:val="NoSpacing"/>
      </w:pPr>
      <w:r w:rsidRPr="0055646B">
        <w:t>Richards, D</w:t>
      </w:r>
      <w:r w:rsidR="00457743">
        <w:t>.</w:t>
      </w:r>
      <w:r w:rsidRPr="0055646B">
        <w:t>, and Smith, M</w:t>
      </w:r>
      <w:r w:rsidR="00457743">
        <w:t>.</w:t>
      </w:r>
      <w:r w:rsidRPr="0055646B">
        <w:t xml:space="preserve"> J. (2004) ‘Interpreting the World of Political Elites’, </w:t>
      </w:r>
      <w:r w:rsidRPr="00457743">
        <w:rPr>
          <w:i/>
        </w:rPr>
        <w:t>Public Administration</w:t>
      </w:r>
      <w:r w:rsidR="00457743">
        <w:t xml:space="preserve">, </w:t>
      </w:r>
      <w:r w:rsidRPr="0055646B">
        <w:t>82</w:t>
      </w:r>
      <w:r w:rsidR="00457743">
        <w:t>,</w:t>
      </w:r>
      <w:r w:rsidRPr="0055646B">
        <w:t xml:space="preserve"> (4)</w:t>
      </w:r>
      <w:r w:rsidR="00457743">
        <w:t>,</w:t>
      </w:r>
      <w:r w:rsidRPr="0055646B">
        <w:t xml:space="preserve"> pp.777-800</w:t>
      </w:r>
      <w:r w:rsidR="00457743">
        <w:t>.</w:t>
      </w:r>
    </w:p>
    <w:p w14:paraId="77796171" w14:textId="77777777" w:rsidR="000452AB" w:rsidRPr="0055646B" w:rsidRDefault="000452AB" w:rsidP="0093196D">
      <w:pPr>
        <w:pStyle w:val="NoSpacing"/>
      </w:pPr>
    </w:p>
    <w:p w14:paraId="069C194D" w14:textId="77777777" w:rsidR="000452AB" w:rsidRPr="0055646B" w:rsidRDefault="000452AB" w:rsidP="0093196D">
      <w:pPr>
        <w:pStyle w:val="NoSpacing"/>
      </w:pPr>
      <w:r w:rsidRPr="0055646B">
        <w:t xml:space="preserve">Rist, R. C. (1977) ‘On the relations among educational research paradigms: from disdain to détente’, </w:t>
      </w:r>
      <w:r w:rsidRPr="00457743">
        <w:rPr>
          <w:i/>
        </w:rPr>
        <w:t>Anthropology and Education Quarterly</w:t>
      </w:r>
      <w:r w:rsidR="00457743">
        <w:t>,</w:t>
      </w:r>
      <w:r w:rsidRPr="0055646B">
        <w:t xml:space="preserve"> 8</w:t>
      </w:r>
      <w:r w:rsidR="00457743">
        <w:t xml:space="preserve">, (2), </w:t>
      </w:r>
      <w:r w:rsidRPr="0055646B">
        <w:t>pp.42-9, 50, 105</w:t>
      </w:r>
      <w:r w:rsidR="00457743">
        <w:t>.</w:t>
      </w:r>
    </w:p>
    <w:p w14:paraId="2D834C28" w14:textId="77777777" w:rsidR="000452AB" w:rsidRDefault="000452AB" w:rsidP="0093196D">
      <w:pPr>
        <w:pStyle w:val="NoSpacing"/>
      </w:pPr>
    </w:p>
    <w:p w14:paraId="210D6251" w14:textId="77777777" w:rsidR="00300BF5" w:rsidRDefault="00300BF5" w:rsidP="0093196D">
      <w:pPr>
        <w:pStyle w:val="NoSpacing"/>
      </w:pPr>
      <w:r>
        <w:t>Roberts, A</w:t>
      </w:r>
      <w:r w:rsidR="00061126">
        <w:t>.</w:t>
      </w:r>
      <w:r>
        <w:t xml:space="preserve"> (2010) </w:t>
      </w:r>
      <w:r w:rsidRPr="00061126">
        <w:rPr>
          <w:i/>
        </w:rPr>
        <w:t>The Logic of Discipline – Global Capitalism and the Architecture of Government</w:t>
      </w:r>
      <w:r w:rsidR="00061126">
        <w:t>.</w:t>
      </w:r>
      <w:r>
        <w:t xml:space="preserve"> Oxford/ New York</w:t>
      </w:r>
      <w:r w:rsidR="00061126">
        <w:t>: Oxford UP.</w:t>
      </w:r>
    </w:p>
    <w:p w14:paraId="1981715B" w14:textId="77777777" w:rsidR="00300BF5" w:rsidRPr="0055646B" w:rsidRDefault="00300BF5" w:rsidP="0093196D">
      <w:pPr>
        <w:pStyle w:val="NoSpacing"/>
      </w:pPr>
    </w:p>
    <w:p w14:paraId="15E65ED1" w14:textId="77777777" w:rsidR="000452AB" w:rsidRPr="0055646B" w:rsidRDefault="000452AB" w:rsidP="0093196D">
      <w:pPr>
        <w:pStyle w:val="NoSpacing"/>
        <w:rPr>
          <w:lang w:eastAsia="ja-JP"/>
        </w:rPr>
      </w:pPr>
      <w:r w:rsidRPr="0055646B">
        <w:t>Roe, M</w:t>
      </w:r>
      <w:r w:rsidR="00061126">
        <w:rPr>
          <w:rFonts w:hint="eastAsia"/>
          <w:lang w:eastAsia="ja-JP"/>
        </w:rPr>
        <w:t>.</w:t>
      </w:r>
      <w:r w:rsidR="00061126">
        <w:t xml:space="preserve"> J. (1994) </w:t>
      </w:r>
      <w:r w:rsidRPr="00061126">
        <w:rPr>
          <w:i/>
        </w:rPr>
        <w:t>Strong Managers Weak Owners: The Political Roots of American Corporate Finance</w:t>
      </w:r>
      <w:r w:rsidR="00061126">
        <w:t>.</w:t>
      </w:r>
      <w:r w:rsidRPr="0055646B">
        <w:t xml:space="preserve"> Princeton, NJ</w:t>
      </w:r>
      <w:r w:rsidR="00061126">
        <w:rPr>
          <w:rFonts w:hint="eastAsia"/>
          <w:lang w:eastAsia="ja-JP"/>
        </w:rPr>
        <w:t>:</w:t>
      </w:r>
      <w:r w:rsidR="00061126" w:rsidRPr="00061126">
        <w:t xml:space="preserve"> </w:t>
      </w:r>
      <w:r w:rsidR="00061126" w:rsidRPr="0055646B">
        <w:t>Princeton UP</w:t>
      </w:r>
      <w:r w:rsidR="00061126">
        <w:t>.</w:t>
      </w:r>
    </w:p>
    <w:p w14:paraId="41D03897" w14:textId="77777777" w:rsidR="000452AB" w:rsidRPr="0055646B" w:rsidRDefault="000452AB" w:rsidP="0093196D">
      <w:pPr>
        <w:pStyle w:val="NoSpacing"/>
      </w:pPr>
    </w:p>
    <w:p w14:paraId="6C17C953" w14:textId="77777777" w:rsidR="000452AB" w:rsidRPr="0055646B" w:rsidRDefault="000452AB" w:rsidP="0093196D">
      <w:pPr>
        <w:pStyle w:val="NoSpacing"/>
        <w:rPr>
          <w:lang w:eastAsia="ja-JP"/>
        </w:rPr>
      </w:pPr>
      <w:r w:rsidRPr="0055646B">
        <w:t xml:space="preserve">Rose, </w:t>
      </w:r>
      <w:r w:rsidR="00061126">
        <w:t xml:space="preserve">R. (1978) </w:t>
      </w:r>
      <w:r w:rsidR="00061126" w:rsidRPr="00061126">
        <w:rPr>
          <w:i/>
        </w:rPr>
        <w:t>What is Governing?</w:t>
      </w:r>
      <w:r w:rsidR="00061126">
        <w:rPr>
          <w:rFonts w:hint="eastAsia"/>
          <w:lang w:eastAsia="ja-JP"/>
        </w:rPr>
        <w:t>.</w:t>
      </w:r>
      <w:r w:rsidRPr="0055646B">
        <w:t xml:space="preserve"> Englewood Cliffs, NJ</w:t>
      </w:r>
      <w:r w:rsidR="00061126">
        <w:rPr>
          <w:rFonts w:hint="eastAsia"/>
          <w:lang w:eastAsia="ja-JP"/>
        </w:rPr>
        <w:t xml:space="preserve">: </w:t>
      </w:r>
      <w:r w:rsidR="00061126" w:rsidRPr="0055646B">
        <w:t>Prentice-Hall</w:t>
      </w:r>
      <w:r w:rsidR="00061126">
        <w:rPr>
          <w:rFonts w:hint="eastAsia"/>
          <w:lang w:eastAsia="ja-JP"/>
        </w:rPr>
        <w:t>.</w:t>
      </w:r>
    </w:p>
    <w:p w14:paraId="67937880" w14:textId="77777777" w:rsidR="000452AB" w:rsidRPr="0055646B" w:rsidRDefault="000452AB" w:rsidP="0093196D">
      <w:pPr>
        <w:pStyle w:val="NoSpacing"/>
      </w:pPr>
    </w:p>
    <w:p w14:paraId="1F82B060" w14:textId="77777777" w:rsidR="000452AB" w:rsidRPr="0055646B" w:rsidRDefault="000452AB" w:rsidP="0093196D">
      <w:pPr>
        <w:pStyle w:val="NoSpacing"/>
      </w:pPr>
      <w:r w:rsidRPr="0055646B">
        <w:t xml:space="preserve">Rose-Ackerman, S. (1992) </w:t>
      </w:r>
      <w:r w:rsidRPr="00061126">
        <w:rPr>
          <w:i/>
        </w:rPr>
        <w:t>Rethinking the Progressive Agenda: the Reform of the American Regulatory State</w:t>
      </w:r>
      <w:r w:rsidR="00061126">
        <w:rPr>
          <w:rFonts w:hint="eastAsia"/>
          <w:lang w:eastAsia="ja-JP"/>
        </w:rPr>
        <w:t>.</w:t>
      </w:r>
      <w:r w:rsidRPr="0055646B">
        <w:t xml:space="preserve"> </w:t>
      </w:r>
      <w:r w:rsidR="00061126">
        <w:rPr>
          <w:rFonts w:hint="eastAsia"/>
          <w:lang w:eastAsia="ja-JP"/>
        </w:rPr>
        <w:t xml:space="preserve">New York: </w:t>
      </w:r>
      <w:r w:rsidRPr="0055646B">
        <w:t>The Free Press</w:t>
      </w:r>
      <w:r w:rsidR="00061126">
        <w:rPr>
          <w:rFonts w:hint="eastAsia"/>
          <w:lang w:eastAsia="ja-JP"/>
        </w:rPr>
        <w:t>.</w:t>
      </w:r>
    </w:p>
    <w:p w14:paraId="73B51F99" w14:textId="77777777" w:rsidR="000452AB" w:rsidRPr="0055646B" w:rsidRDefault="000452AB" w:rsidP="0093196D">
      <w:pPr>
        <w:pStyle w:val="NoSpacing"/>
      </w:pPr>
    </w:p>
    <w:p w14:paraId="068A30CA" w14:textId="77777777" w:rsidR="000452AB" w:rsidRPr="0055646B" w:rsidRDefault="009F7534" w:rsidP="0093196D">
      <w:pPr>
        <w:pStyle w:val="NoSpacing"/>
      </w:pPr>
      <w:r w:rsidRPr="000222E9">
        <w:t xml:space="preserve">Rosenau, J., and Czempiel, E-O </w:t>
      </w:r>
      <w:r w:rsidRPr="000222E9">
        <w:rPr>
          <w:lang w:eastAsia="ja-JP"/>
        </w:rPr>
        <w:t>(</w:t>
      </w:r>
      <w:r w:rsidRPr="000222E9">
        <w:t>ed</w:t>
      </w:r>
      <w:r w:rsidRPr="000222E9">
        <w:rPr>
          <w:lang w:eastAsia="ja-JP"/>
        </w:rPr>
        <w:t>s)</w:t>
      </w:r>
      <w:r w:rsidRPr="000222E9">
        <w:t xml:space="preserve"> </w:t>
      </w:r>
      <w:r w:rsidR="000452AB" w:rsidRPr="0055646B">
        <w:t xml:space="preserve">(1992) </w:t>
      </w:r>
      <w:r w:rsidR="000452AB" w:rsidRPr="00061126">
        <w:rPr>
          <w:i/>
        </w:rPr>
        <w:t>Governance without Government</w:t>
      </w:r>
      <w:r w:rsidR="00061126">
        <w:rPr>
          <w:rFonts w:hint="eastAsia"/>
          <w:lang w:eastAsia="ja-JP"/>
        </w:rPr>
        <w:t>. Cambridge:</w:t>
      </w:r>
      <w:r w:rsidR="000452AB" w:rsidRPr="0055646B">
        <w:t xml:space="preserve"> Cambridge UP</w:t>
      </w:r>
      <w:r w:rsidR="00061126">
        <w:rPr>
          <w:rFonts w:hint="eastAsia"/>
          <w:lang w:eastAsia="ja-JP"/>
        </w:rPr>
        <w:t>.</w:t>
      </w:r>
    </w:p>
    <w:p w14:paraId="7E7E60C3" w14:textId="77777777" w:rsidR="000452AB" w:rsidRPr="0055646B" w:rsidRDefault="000452AB" w:rsidP="0093196D">
      <w:pPr>
        <w:pStyle w:val="NoSpacing"/>
      </w:pPr>
    </w:p>
    <w:p w14:paraId="51531F8F" w14:textId="77777777" w:rsidR="000452AB" w:rsidRPr="0055646B" w:rsidRDefault="000452AB" w:rsidP="0093196D">
      <w:pPr>
        <w:pStyle w:val="NoSpacing"/>
        <w:rPr>
          <w:lang w:eastAsia="ja-JP"/>
        </w:rPr>
      </w:pPr>
      <w:r w:rsidRPr="0055646B">
        <w:t>Rosenbluth, F</w:t>
      </w:r>
      <w:r w:rsidR="0003567A">
        <w:rPr>
          <w:rFonts w:hint="eastAsia"/>
          <w:lang w:eastAsia="ja-JP"/>
        </w:rPr>
        <w:t>.</w:t>
      </w:r>
      <w:r w:rsidRPr="0055646B">
        <w:t xml:space="preserve"> M</w:t>
      </w:r>
      <w:r w:rsidR="0003567A">
        <w:rPr>
          <w:rFonts w:hint="eastAsia"/>
          <w:lang w:eastAsia="ja-JP"/>
        </w:rPr>
        <w:t>.</w:t>
      </w:r>
      <w:r w:rsidRPr="0055646B">
        <w:t xml:space="preserve"> and Thies, M</w:t>
      </w:r>
      <w:r w:rsidR="0003567A">
        <w:rPr>
          <w:rFonts w:hint="eastAsia"/>
          <w:lang w:eastAsia="ja-JP"/>
        </w:rPr>
        <w:t>.</w:t>
      </w:r>
      <w:r w:rsidRPr="0055646B">
        <w:t xml:space="preserve"> F. (2010)</w:t>
      </w:r>
      <w:r w:rsidR="0003567A">
        <w:t xml:space="preserve"> </w:t>
      </w:r>
      <w:r w:rsidRPr="0003567A">
        <w:rPr>
          <w:i/>
        </w:rPr>
        <w:t>Japan transformed: political change and economic restructuring</w:t>
      </w:r>
      <w:r w:rsidR="0003567A">
        <w:rPr>
          <w:rFonts w:hint="eastAsia"/>
          <w:lang w:eastAsia="ja-JP"/>
        </w:rPr>
        <w:t>.</w:t>
      </w:r>
      <w:r w:rsidRPr="0055646B">
        <w:t xml:space="preserve"> Princeton, NJ/Woodstock, Oxfordshire, UK</w:t>
      </w:r>
      <w:r w:rsidR="0003567A">
        <w:rPr>
          <w:rFonts w:hint="eastAsia"/>
          <w:lang w:eastAsia="ja-JP"/>
        </w:rPr>
        <w:t>: Princeton UP.</w:t>
      </w:r>
    </w:p>
    <w:p w14:paraId="7CEEA190" w14:textId="77777777" w:rsidR="000452AB" w:rsidRPr="0055646B" w:rsidRDefault="000452AB" w:rsidP="0093196D">
      <w:pPr>
        <w:pStyle w:val="NoSpacing"/>
      </w:pPr>
    </w:p>
    <w:p w14:paraId="69B911BD" w14:textId="77777777" w:rsidR="000452AB" w:rsidRPr="0055646B" w:rsidRDefault="000452AB" w:rsidP="0093196D">
      <w:pPr>
        <w:pStyle w:val="NoSpacing"/>
        <w:rPr>
          <w:lang w:eastAsia="ja-JP"/>
        </w:rPr>
      </w:pPr>
      <w:r w:rsidRPr="0055646B">
        <w:t>Samuels, R</w:t>
      </w:r>
      <w:r w:rsidR="00587E7B">
        <w:rPr>
          <w:rFonts w:hint="eastAsia"/>
          <w:lang w:eastAsia="ja-JP"/>
        </w:rPr>
        <w:t>.</w:t>
      </w:r>
      <w:r w:rsidRPr="0055646B">
        <w:t xml:space="preserve"> J. (1994) </w:t>
      </w:r>
      <w:r w:rsidRPr="00587E7B">
        <w:rPr>
          <w:i/>
        </w:rPr>
        <w:t>Rich Nation, Strong Army</w:t>
      </w:r>
      <w:r w:rsidR="00587E7B">
        <w:rPr>
          <w:rFonts w:hint="eastAsia"/>
          <w:lang w:eastAsia="ja-JP"/>
        </w:rPr>
        <w:t>.</w:t>
      </w:r>
      <w:r w:rsidR="00587E7B" w:rsidRPr="00587E7B">
        <w:t xml:space="preserve"> </w:t>
      </w:r>
      <w:r w:rsidR="00587E7B" w:rsidRPr="0055646B">
        <w:t>Ithaca, NY</w:t>
      </w:r>
      <w:r w:rsidR="00587E7B">
        <w:rPr>
          <w:rFonts w:hint="eastAsia"/>
          <w:lang w:eastAsia="ja-JP"/>
        </w:rPr>
        <w:t>:</w:t>
      </w:r>
      <w:r w:rsidR="00587E7B">
        <w:t xml:space="preserve"> Cornell UP</w:t>
      </w:r>
      <w:r w:rsidR="00587E7B">
        <w:rPr>
          <w:rFonts w:hint="eastAsia"/>
          <w:lang w:eastAsia="ja-JP"/>
        </w:rPr>
        <w:t>.</w:t>
      </w:r>
    </w:p>
    <w:p w14:paraId="7BEA6662" w14:textId="77777777" w:rsidR="000452AB" w:rsidRPr="0055646B" w:rsidRDefault="000452AB" w:rsidP="0093196D">
      <w:pPr>
        <w:pStyle w:val="NoSpacing"/>
      </w:pPr>
    </w:p>
    <w:p w14:paraId="6A66BEED" w14:textId="77777777" w:rsidR="000452AB" w:rsidRPr="0055646B" w:rsidRDefault="000452AB" w:rsidP="0093196D">
      <w:pPr>
        <w:pStyle w:val="NoSpacing"/>
        <w:rPr>
          <w:lang w:eastAsia="ja-JP"/>
        </w:rPr>
      </w:pPr>
      <w:r w:rsidRPr="0055646B">
        <w:t>Sanekata, K</w:t>
      </w:r>
      <w:r w:rsidR="00587E7B">
        <w:rPr>
          <w:rFonts w:hint="eastAsia"/>
          <w:lang w:eastAsia="ja-JP"/>
        </w:rPr>
        <w:t>.</w:t>
      </w:r>
      <w:r w:rsidRPr="0055646B">
        <w:t xml:space="preserve"> (1986) ‘Antitrust in Japan: Recent Trends and Their Socio-political Background’, </w:t>
      </w:r>
      <w:r w:rsidRPr="00587E7B">
        <w:rPr>
          <w:i/>
        </w:rPr>
        <w:t>University of British Columbia Law Review</w:t>
      </w:r>
      <w:r w:rsidR="00587E7B">
        <w:rPr>
          <w:rFonts w:hint="eastAsia"/>
          <w:lang w:eastAsia="ja-JP"/>
        </w:rPr>
        <w:t xml:space="preserve">, </w:t>
      </w:r>
      <w:r w:rsidRPr="0055646B">
        <w:t>20</w:t>
      </w:r>
      <w:r w:rsidR="00587E7B">
        <w:rPr>
          <w:rFonts w:hint="eastAsia"/>
          <w:lang w:eastAsia="ja-JP"/>
        </w:rPr>
        <w:t xml:space="preserve">, (2), </w:t>
      </w:r>
      <w:r w:rsidRPr="0055646B">
        <w:t>pp.379-99</w:t>
      </w:r>
      <w:r w:rsidR="00587E7B">
        <w:rPr>
          <w:rFonts w:hint="eastAsia"/>
          <w:lang w:eastAsia="ja-JP"/>
        </w:rPr>
        <w:t>.</w:t>
      </w:r>
    </w:p>
    <w:p w14:paraId="02B777B9" w14:textId="77777777" w:rsidR="000452AB" w:rsidRDefault="000452AB" w:rsidP="0093196D">
      <w:pPr>
        <w:pStyle w:val="NoSpacing"/>
        <w:rPr>
          <w:lang w:eastAsia="ja-JP"/>
        </w:rPr>
      </w:pPr>
    </w:p>
    <w:p w14:paraId="53789DB7" w14:textId="77777777" w:rsidR="000452AB" w:rsidRPr="000222E9" w:rsidRDefault="002933EC" w:rsidP="0093196D">
      <w:pPr>
        <w:pStyle w:val="NoSpacing"/>
        <w:rPr>
          <w:lang w:eastAsia="ja-JP"/>
        </w:rPr>
      </w:pPr>
      <w:r w:rsidRPr="000222E9">
        <w:rPr>
          <w:lang w:eastAsia="ja-JP"/>
        </w:rPr>
        <w:t>Sartori, G</w:t>
      </w:r>
      <w:r w:rsidR="00587E7B" w:rsidRPr="000222E9">
        <w:rPr>
          <w:lang w:eastAsia="ja-JP"/>
        </w:rPr>
        <w:t>.</w:t>
      </w:r>
      <w:r w:rsidRPr="000222E9">
        <w:rPr>
          <w:lang w:eastAsia="ja-JP"/>
        </w:rPr>
        <w:t xml:space="preserve"> (1970) ‘Misformation in Comparative Politics’, </w:t>
      </w:r>
      <w:r w:rsidRPr="000222E9">
        <w:rPr>
          <w:i/>
          <w:lang w:eastAsia="ja-JP"/>
        </w:rPr>
        <w:t>The American Political Science Review</w:t>
      </w:r>
      <w:r w:rsidR="00587E7B" w:rsidRPr="000222E9">
        <w:rPr>
          <w:lang w:eastAsia="ja-JP"/>
        </w:rPr>
        <w:t>,</w:t>
      </w:r>
      <w:r w:rsidRPr="000222E9">
        <w:rPr>
          <w:lang w:eastAsia="ja-JP"/>
        </w:rPr>
        <w:t xml:space="preserve"> 64</w:t>
      </w:r>
      <w:r w:rsidR="00587E7B" w:rsidRPr="000222E9">
        <w:rPr>
          <w:lang w:eastAsia="ja-JP"/>
        </w:rPr>
        <w:t>, (4),</w:t>
      </w:r>
      <w:r w:rsidRPr="000222E9">
        <w:rPr>
          <w:lang w:eastAsia="ja-JP"/>
        </w:rPr>
        <w:t xml:space="preserve"> pp.1033-53</w:t>
      </w:r>
      <w:r w:rsidR="00587E7B" w:rsidRPr="000222E9">
        <w:rPr>
          <w:lang w:eastAsia="ja-JP"/>
        </w:rPr>
        <w:t>.</w:t>
      </w:r>
    </w:p>
    <w:p w14:paraId="55476773" w14:textId="77777777" w:rsidR="000452AB" w:rsidRPr="000222E9" w:rsidRDefault="000452AB" w:rsidP="0093196D">
      <w:pPr>
        <w:pStyle w:val="NoSpacing"/>
        <w:rPr>
          <w:lang w:eastAsia="ja-JP"/>
        </w:rPr>
      </w:pPr>
    </w:p>
    <w:p w14:paraId="2F587BD3" w14:textId="77777777" w:rsidR="000452AB" w:rsidRPr="0055646B" w:rsidRDefault="000452AB" w:rsidP="0093196D">
      <w:pPr>
        <w:pStyle w:val="NoSpacing"/>
      </w:pPr>
      <w:r w:rsidRPr="0055646B">
        <w:t xml:space="preserve">Sayer, A (2000) </w:t>
      </w:r>
      <w:r w:rsidRPr="00587E7B">
        <w:rPr>
          <w:i/>
        </w:rPr>
        <w:t>Realism and Social Science</w:t>
      </w:r>
      <w:r w:rsidR="00587E7B">
        <w:rPr>
          <w:rFonts w:hint="eastAsia"/>
          <w:lang w:eastAsia="ja-JP"/>
        </w:rPr>
        <w:t>.</w:t>
      </w:r>
      <w:r w:rsidRPr="0055646B">
        <w:t xml:space="preserve"> </w:t>
      </w:r>
      <w:r w:rsidR="00587E7B">
        <w:rPr>
          <w:rFonts w:hint="eastAsia"/>
          <w:lang w:eastAsia="ja-JP"/>
        </w:rPr>
        <w:t xml:space="preserve">London: </w:t>
      </w:r>
      <w:r w:rsidRPr="0055646B">
        <w:t>Sage</w:t>
      </w:r>
      <w:r w:rsidR="00587E7B">
        <w:rPr>
          <w:rFonts w:hint="eastAsia"/>
          <w:lang w:eastAsia="ja-JP"/>
        </w:rPr>
        <w:t>.</w:t>
      </w:r>
    </w:p>
    <w:p w14:paraId="70930758" w14:textId="77777777" w:rsidR="000452AB" w:rsidRPr="0055646B" w:rsidRDefault="000452AB" w:rsidP="0093196D">
      <w:pPr>
        <w:pStyle w:val="NoSpacing"/>
      </w:pPr>
    </w:p>
    <w:p w14:paraId="538DB5ED" w14:textId="77777777" w:rsidR="000452AB" w:rsidRPr="0055646B" w:rsidRDefault="000452AB" w:rsidP="0093196D">
      <w:pPr>
        <w:pStyle w:val="NoSpacing"/>
        <w:rPr>
          <w:lang w:eastAsia="ja-JP"/>
        </w:rPr>
      </w:pPr>
      <w:r w:rsidRPr="0055646B">
        <w:t>Schaede, U</w:t>
      </w:r>
      <w:r w:rsidR="00587E7B">
        <w:rPr>
          <w:rFonts w:hint="eastAsia"/>
          <w:lang w:eastAsia="ja-JP"/>
        </w:rPr>
        <w:t>.</w:t>
      </w:r>
      <w:r w:rsidRPr="0055646B">
        <w:t xml:space="preserve"> (2000) </w:t>
      </w:r>
      <w:r w:rsidRPr="00587E7B">
        <w:rPr>
          <w:i/>
        </w:rPr>
        <w:t>Cooperative Capitalism: Self-regulation, Trade Associations</w:t>
      </w:r>
      <w:r w:rsidR="00F92CF1">
        <w:rPr>
          <w:i/>
        </w:rPr>
        <w:t>,</w:t>
      </w:r>
      <w:r w:rsidRPr="00587E7B">
        <w:rPr>
          <w:i/>
        </w:rPr>
        <w:t xml:space="preserve"> and the Antimonopoly Law in Japan</w:t>
      </w:r>
      <w:r w:rsidR="00587E7B">
        <w:rPr>
          <w:rFonts w:hint="eastAsia"/>
          <w:lang w:eastAsia="ja-JP"/>
        </w:rPr>
        <w:t>.</w:t>
      </w:r>
      <w:r w:rsidRPr="0055646B">
        <w:t xml:space="preserve"> </w:t>
      </w:r>
      <w:r w:rsidR="00587E7B">
        <w:rPr>
          <w:rFonts w:hint="eastAsia"/>
          <w:lang w:eastAsia="ja-JP"/>
        </w:rPr>
        <w:t xml:space="preserve">Oxford: </w:t>
      </w:r>
      <w:r w:rsidR="00587E7B">
        <w:t>Oxford UP</w:t>
      </w:r>
      <w:r w:rsidR="00587E7B">
        <w:rPr>
          <w:rFonts w:hint="eastAsia"/>
          <w:lang w:eastAsia="ja-JP"/>
        </w:rPr>
        <w:t>.</w:t>
      </w:r>
    </w:p>
    <w:p w14:paraId="7E8921C8" w14:textId="77777777" w:rsidR="000452AB" w:rsidRPr="0055646B" w:rsidRDefault="000452AB" w:rsidP="0093196D">
      <w:pPr>
        <w:pStyle w:val="NoSpacing"/>
      </w:pPr>
    </w:p>
    <w:p w14:paraId="6DE1E9F1" w14:textId="77777777" w:rsidR="000452AB" w:rsidRPr="0055646B" w:rsidRDefault="000452AB" w:rsidP="0093196D">
      <w:pPr>
        <w:pStyle w:val="NoSpacing"/>
        <w:rPr>
          <w:lang w:eastAsia="ja-JP"/>
        </w:rPr>
      </w:pPr>
      <w:r w:rsidRPr="0055646B">
        <w:t>Schaede, U</w:t>
      </w:r>
      <w:r w:rsidR="00587E7B">
        <w:rPr>
          <w:rFonts w:hint="eastAsia"/>
          <w:lang w:eastAsia="ja-JP"/>
        </w:rPr>
        <w:t>.</w:t>
      </w:r>
      <w:r w:rsidRPr="0055646B">
        <w:t xml:space="preserve"> (2008) </w:t>
      </w:r>
      <w:r w:rsidRPr="00587E7B">
        <w:rPr>
          <w:i/>
        </w:rPr>
        <w:t>Choose and Focus – Japanese Business Strategies for the 21</w:t>
      </w:r>
      <w:r w:rsidRPr="00587E7B">
        <w:rPr>
          <w:i/>
          <w:vertAlign w:val="superscript"/>
        </w:rPr>
        <w:t>st</w:t>
      </w:r>
      <w:r w:rsidRPr="00587E7B">
        <w:rPr>
          <w:i/>
        </w:rPr>
        <w:t xml:space="preserve"> Century</w:t>
      </w:r>
      <w:r w:rsidR="00587E7B">
        <w:rPr>
          <w:rFonts w:hint="eastAsia"/>
          <w:lang w:eastAsia="ja-JP"/>
        </w:rPr>
        <w:t>.</w:t>
      </w:r>
      <w:r w:rsidRPr="0055646B">
        <w:t xml:space="preserve"> Ithaca</w:t>
      </w:r>
      <w:r w:rsidR="00587E7B">
        <w:rPr>
          <w:rFonts w:hint="eastAsia"/>
          <w:lang w:eastAsia="ja-JP"/>
        </w:rPr>
        <w:t>, NY/</w:t>
      </w:r>
      <w:r w:rsidRPr="0055646B">
        <w:t>London</w:t>
      </w:r>
      <w:r w:rsidR="00587E7B">
        <w:rPr>
          <w:rFonts w:hint="eastAsia"/>
          <w:lang w:eastAsia="ja-JP"/>
        </w:rPr>
        <w:t>: Cornel UP.</w:t>
      </w:r>
    </w:p>
    <w:p w14:paraId="0ED8BF29" w14:textId="77777777" w:rsidR="000452AB" w:rsidRPr="0055646B" w:rsidRDefault="000452AB" w:rsidP="0093196D">
      <w:pPr>
        <w:pStyle w:val="NoSpacing"/>
      </w:pPr>
    </w:p>
    <w:p w14:paraId="2C2A3E12" w14:textId="77777777" w:rsidR="000452AB" w:rsidRPr="0055646B" w:rsidRDefault="000452AB" w:rsidP="0093196D">
      <w:pPr>
        <w:pStyle w:val="NoSpacing"/>
      </w:pPr>
      <w:r w:rsidRPr="0055646B">
        <w:t>Scott, C</w:t>
      </w:r>
      <w:r w:rsidR="00587E7B">
        <w:rPr>
          <w:rFonts w:hint="eastAsia"/>
          <w:lang w:eastAsia="ja-JP"/>
        </w:rPr>
        <w:t>.</w:t>
      </w:r>
      <w:r w:rsidRPr="0055646B">
        <w:t xml:space="preserve"> (2004) ‘Regulation in the age of governance: the rise of the post-regulatory state’</w:t>
      </w:r>
      <w:r w:rsidR="00587E7B">
        <w:rPr>
          <w:rFonts w:hint="eastAsia"/>
          <w:lang w:eastAsia="ja-JP"/>
        </w:rPr>
        <w:t>,</w:t>
      </w:r>
      <w:r w:rsidRPr="0055646B">
        <w:t xml:space="preserve"> in </w:t>
      </w:r>
      <w:r w:rsidR="00587E7B">
        <w:rPr>
          <w:rFonts w:hint="eastAsia"/>
          <w:lang w:eastAsia="ja-JP"/>
        </w:rPr>
        <w:t xml:space="preserve">J. </w:t>
      </w:r>
      <w:r w:rsidR="00587E7B">
        <w:t>Jordana</w:t>
      </w:r>
      <w:r w:rsidRPr="0055646B">
        <w:t xml:space="preserve"> and </w:t>
      </w:r>
      <w:r w:rsidR="00587E7B">
        <w:rPr>
          <w:rFonts w:hint="eastAsia"/>
          <w:lang w:eastAsia="ja-JP"/>
        </w:rPr>
        <w:t xml:space="preserve">D. </w:t>
      </w:r>
      <w:r w:rsidRPr="0055646B">
        <w:t xml:space="preserve">Levi-Faur </w:t>
      </w:r>
      <w:r w:rsidR="00587E7B">
        <w:rPr>
          <w:rFonts w:hint="eastAsia"/>
          <w:lang w:eastAsia="ja-JP"/>
        </w:rPr>
        <w:t>(</w:t>
      </w:r>
      <w:r w:rsidRPr="0055646B">
        <w:t>ed</w:t>
      </w:r>
      <w:r w:rsidR="00587E7B">
        <w:rPr>
          <w:rFonts w:hint="eastAsia"/>
          <w:lang w:eastAsia="ja-JP"/>
        </w:rPr>
        <w:t xml:space="preserve">s), </w:t>
      </w:r>
      <w:r w:rsidRPr="00587E7B">
        <w:rPr>
          <w:i/>
        </w:rPr>
        <w:t>The Politics of Regulation – Institutions and Regulatory Reforms for the Age of Governance</w:t>
      </w:r>
      <w:r w:rsidR="00587E7B">
        <w:rPr>
          <w:rFonts w:hint="eastAsia"/>
          <w:lang w:eastAsia="ja-JP"/>
        </w:rPr>
        <w:t>.</w:t>
      </w:r>
      <w:r w:rsidRPr="0055646B">
        <w:t xml:space="preserve"> </w:t>
      </w:r>
      <w:r w:rsidR="00587E7B" w:rsidRPr="0055646B">
        <w:t>Cheltenham</w:t>
      </w:r>
      <w:r w:rsidR="00587E7B">
        <w:rPr>
          <w:rFonts w:hint="eastAsia"/>
          <w:lang w:eastAsia="ja-JP"/>
        </w:rPr>
        <w:t xml:space="preserve">: </w:t>
      </w:r>
      <w:r w:rsidRPr="0055646B">
        <w:t>Edward and Elgar Publishing Ltd., pp145-74</w:t>
      </w:r>
      <w:r w:rsidR="00F92CF1">
        <w:t>.</w:t>
      </w:r>
    </w:p>
    <w:p w14:paraId="6B9BF887" w14:textId="77777777" w:rsidR="000452AB" w:rsidRPr="0055646B" w:rsidRDefault="000452AB" w:rsidP="0093196D">
      <w:pPr>
        <w:pStyle w:val="NoSpacing"/>
      </w:pPr>
    </w:p>
    <w:p w14:paraId="599A3187" w14:textId="77777777" w:rsidR="000452AB" w:rsidRPr="0055646B" w:rsidRDefault="000452AB" w:rsidP="0093196D">
      <w:pPr>
        <w:pStyle w:val="NoSpacing"/>
        <w:rPr>
          <w:lang w:eastAsia="ja-JP"/>
        </w:rPr>
      </w:pPr>
      <w:r w:rsidRPr="0055646B">
        <w:t xml:space="preserve">Seidman, H. and Gilmour, R. (1986) </w:t>
      </w:r>
      <w:r w:rsidRPr="00587E7B">
        <w:rPr>
          <w:i/>
        </w:rPr>
        <w:t>Politics, Position and Power: From the Positive to the Regulatory State</w:t>
      </w:r>
      <w:r w:rsidR="00587E7B">
        <w:rPr>
          <w:rFonts w:hint="eastAsia"/>
          <w:lang w:eastAsia="ja-JP"/>
        </w:rPr>
        <w:t>, Fourth Edition. Oxford:</w:t>
      </w:r>
      <w:r w:rsidRPr="0055646B">
        <w:t xml:space="preserve"> Oxford UP</w:t>
      </w:r>
      <w:r w:rsidR="00587E7B">
        <w:rPr>
          <w:rFonts w:hint="eastAsia"/>
          <w:lang w:eastAsia="ja-JP"/>
        </w:rPr>
        <w:t>.</w:t>
      </w:r>
    </w:p>
    <w:p w14:paraId="0B6AE3D5" w14:textId="77777777" w:rsidR="000452AB" w:rsidRPr="0055646B" w:rsidRDefault="000452AB" w:rsidP="0093196D">
      <w:pPr>
        <w:pStyle w:val="NoSpacing"/>
      </w:pPr>
    </w:p>
    <w:p w14:paraId="1EB3296A" w14:textId="77777777" w:rsidR="000452AB" w:rsidRPr="0055646B" w:rsidRDefault="000452AB" w:rsidP="0093196D">
      <w:pPr>
        <w:pStyle w:val="NoSpacing"/>
      </w:pPr>
      <w:r w:rsidRPr="0055646B">
        <w:t>Seldon, A</w:t>
      </w:r>
      <w:r w:rsidR="007B020E">
        <w:rPr>
          <w:rFonts w:hint="eastAsia"/>
          <w:lang w:eastAsia="ja-JP"/>
        </w:rPr>
        <w:t>.</w:t>
      </w:r>
      <w:r w:rsidRPr="0055646B">
        <w:t xml:space="preserve"> (1996) ‘Elite Interviews’</w:t>
      </w:r>
      <w:r w:rsidR="00587E7B">
        <w:rPr>
          <w:rFonts w:hint="eastAsia"/>
          <w:lang w:eastAsia="ja-JP"/>
        </w:rPr>
        <w:t>,</w:t>
      </w:r>
      <w:r w:rsidRPr="0055646B">
        <w:t xml:space="preserve"> in </w:t>
      </w:r>
      <w:r w:rsidR="007B020E">
        <w:rPr>
          <w:rFonts w:hint="eastAsia"/>
          <w:lang w:eastAsia="ja-JP"/>
        </w:rPr>
        <w:t xml:space="preserve">B. </w:t>
      </w:r>
      <w:r w:rsidRPr="0055646B">
        <w:t xml:space="preserve">Brivati, </w:t>
      </w:r>
      <w:r w:rsidR="007B020E">
        <w:rPr>
          <w:rFonts w:hint="eastAsia"/>
          <w:lang w:eastAsia="ja-JP"/>
        </w:rPr>
        <w:t xml:space="preserve">J. </w:t>
      </w:r>
      <w:r w:rsidRPr="0055646B">
        <w:t xml:space="preserve">Buxton, and </w:t>
      </w:r>
      <w:r w:rsidR="00587E7B">
        <w:rPr>
          <w:rFonts w:hint="eastAsia"/>
          <w:lang w:eastAsia="ja-JP"/>
        </w:rPr>
        <w:t xml:space="preserve">A. </w:t>
      </w:r>
      <w:r w:rsidRPr="0055646B">
        <w:t xml:space="preserve">Seldon </w:t>
      </w:r>
      <w:r w:rsidR="00587E7B">
        <w:rPr>
          <w:rFonts w:hint="eastAsia"/>
          <w:lang w:eastAsia="ja-JP"/>
        </w:rPr>
        <w:t>(</w:t>
      </w:r>
      <w:r w:rsidRPr="0055646B">
        <w:t>ed</w:t>
      </w:r>
      <w:r w:rsidR="00587E7B">
        <w:rPr>
          <w:rFonts w:hint="eastAsia"/>
          <w:lang w:eastAsia="ja-JP"/>
        </w:rPr>
        <w:t>s),</w:t>
      </w:r>
      <w:r w:rsidRPr="0055646B">
        <w:t xml:space="preserve"> </w:t>
      </w:r>
      <w:r w:rsidRPr="00587E7B">
        <w:rPr>
          <w:i/>
        </w:rPr>
        <w:t>The contemporary history handbook</w:t>
      </w:r>
      <w:r w:rsidR="00587E7B">
        <w:rPr>
          <w:rFonts w:hint="eastAsia"/>
          <w:lang w:eastAsia="ja-JP"/>
        </w:rPr>
        <w:t>. Manchester:</w:t>
      </w:r>
      <w:r w:rsidRPr="0055646B">
        <w:t xml:space="preserve"> Manchester UP</w:t>
      </w:r>
      <w:r w:rsidR="00587E7B">
        <w:rPr>
          <w:rFonts w:hint="eastAsia"/>
          <w:lang w:eastAsia="ja-JP"/>
        </w:rPr>
        <w:t>.</w:t>
      </w:r>
    </w:p>
    <w:p w14:paraId="5A48827A" w14:textId="77777777" w:rsidR="000452AB" w:rsidRPr="0055646B" w:rsidRDefault="000452AB" w:rsidP="0093196D">
      <w:pPr>
        <w:pStyle w:val="NoSpacing"/>
      </w:pPr>
    </w:p>
    <w:p w14:paraId="2AC25A4A" w14:textId="77777777" w:rsidR="000452AB" w:rsidRPr="0055646B" w:rsidRDefault="000452AB" w:rsidP="0093196D">
      <w:pPr>
        <w:pStyle w:val="NoSpacing"/>
      </w:pPr>
      <w:r w:rsidRPr="0055646B">
        <w:t>Shibata, K</w:t>
      </w:r>
      <w:r w:rsidR="00CF55FC">
        <w:rPr>
          <w:rFonts w:hint="eastAsia"/>
          <w:lang w:eastAsia="ja-JP"/>
        </w:rPr>
        <w:t>.</w:t>
      </w:r>
      <w:r w:rsidRPr="0055646B">
        <w:t xml:space="preserve"> (2008) </w:t>
      </w:r>
      <w:r w:rsidRPr="00CF55FC">
        <w:rPr>
          <w:i/>
        </w:rPr>
        <w:t>Neoliberalism, Risk, and Spatial Governance in the Developmental State: Japanese Planning in the Global Economy</w:t>
      </w:r>
      <w:r w:rsidR="00CF55FC">
        <w:rPr>
          <w:rFonts w:hint="eastAsia"/>
          <w:lang w:eastAsia="ja-JP"/>
        </w:rPr>
        <w:t xml:space="preserve"> [online]. London:</w:t>
      </w:r>
      <w:r w:rsidRPr="0055646B">
        <w:t xml:space="preserve"> LSE Research Online</w:t>
      </w:r>
      <w:r w:rsidR="00CF55FC">
        <w:rPr>
          <w:rFonts w:hint="eastAsia"/>
          <w:lang w:eastAsia="ja-JP"/>
        </w:rPr>
        <w:t>. Available from:</w:t>
      </w:r>
      <w:r w:rsidRPr="0055646B">
        <w:t xml:space="preserve"> </w:t>
      </w:r>
      <w:hyperlink r:id="rId34" w:history="1">
        <w:r w:rsidRPr="0055646B">
          <w:rPr>
            <w:rStyle w:val="Hyperlink"/>
          </w:rPr>
          <w:t>http://eprints.lse.ac.uk/6299/</w:t>
        </w:r>
      </w:hyperlink>
      <w:r w:rsidRPr="0055646B">
        <w:t xml:space="preserve"> </w:t>
      </w:r>
      <w:r w:rsidR="00CF55FC">
        <w:rPr>
          <w:rFonts w:hint="eastAsia"/>
          <w:lang w:eastAsia="ja-JP"/>
        </w:rPr>
        <w:t xml:space="preserve">[Accessed </w:t>
      </w:r>
      <w:r w:rsidRPr="0055646B">
        <w:t>27 March 2010</w:t>
      </w:r>
      <w:r w:rsidR="00CF55FC">
        <w:rPr>
          <w:rFonts w:hint="eastAsia"/>
          <w:lang w:eastAsia="ja-JP"/>
        </w:rPr>
        <w:t>].</w:t>
      </w:r>
    </w:p>
    <w:p w14:paraId="7D0E85CC" w14:textId="77777777" w:rsidR="000452AB" w:rsidRDefault="000452AB" w:rsidP="0093196D">
      <w:pPr>
        <w:pStyle w:val="NoSpacing"/>
      </w:pPr>
    </w:p>
    <w:p w14:paraId="312FD6CD" w14:textId="77777777" w:rsidR="00977463" w:rsidRDefault="00977463" w:rsidP="00977463">
      <w:pPr>
        <w:pStyle w:val="NoSpacing"/>
      </w:pPr>
      <w:r>
        <w:t xml:space="preserve">Shiozaki, Y (2013a) </w:t>
      </w:r>
      <w:r w:rsidRPr="00803906">
        <w:rPr>
          <w:i/>
          <w:iCs/>
        </w:rPr>
        <w:t>Yamanaka Sadanori Sensei no Kyu’usei wo Itamu</w:t>
      </w:r>
      <w:r>
        <w:t xml:space="preserve"> [C</w:t>
      </w:r>
      <w:r w:rsidR="00803906">
        <w:t xml:space="preserve">ondolence to </w:t>
      </w:r>
      <w:r>
        <w:t>Mr Sadanori Yamanaka</w:t>
      </w:r>
      <w:r w:rsidR="00803906">
        <w:t>’s sudden demise</w:t>
      </w:r>
      <w:r>
        <w:t>] [online].</w:t>
      </w:r>
      <w:r w:rsidR="00803906">
        <w:t xml:space="preserve"> Yasuhisa Shiozaki. Available from:</w:t>
      </w:r>
    </w:p>
    <w:p w14:paraId="13503B56" w14:textId="77777777" w:rsidR="00803906" w:rsidRDefault="00050AB3" w:rsidP="00977463">
      <w:pPr>
        <w:pStyle w:val="NoSpacing"/>
      </w:pPr>
      <w:hyperlink r:id="rId35" w:history="1">
        <w:r w:rsidR="00803906" w:rsidRPr="00803906">
          <w:rPr>
            <w:rStyle w:val="Hyperlink"/>
          </w:rPr>
          <w:t>https://www.y-shiozaki.or.jp/oneself/index.php?start=420&amp;id</w:t>
        </w:r>
        <w:r w:rsidR="00803906" w:rsidRPr="00397518">
          <w:rPr>
            <w:rStyle w:val="Hyperlink"/>
          </w:rPr>
          <w:t>=4</w:t>
        </w:r>
      </w:hyperlink>
      <w:r w:rsidR="00803906">
        <w:t xml:space="preserve"> [Accessed 26 June 2013].</w:t>
      </w:r>
    </w:p>
    <w:p w14:paraId="080102F3" w14:textId="77777777" w:rsidR="00803906" w:rsidRDefault="00803906" w:rsidP="00977463">
      <w:pPr>
        <w:pStyle w:val="NoSpacing"/>
      </w:pPr>
    </w:p>
    <w:p w14:paraId="29DADA4D" w14:textId="77777777" w:rsidR="00803906" w:rsidRDefault="00803906" w:rsidP="00051F74">
      <w:pPr>
        <w:pStyle w:val="NoSpacing"/>
      </w:pPr>
      <w:r>
        <w:t xml:space="preserve">Shiozaki, Y (2013b) </w:t>
      </w:r>
      <w:r w:rsidRPr="00803906">
        <w:rPr>
          <w:i/>
          <w:iCs/>
        </w:rPr>
        <w:t>Dokkinhou Kaiseian, Rinji Kokkai Teishutsu he</w:t>
      </w:r>
      <w:r>
        <w:t xml:space="preserve"> [The AMA amendment bill </w:t>
      </w:r>
      <w:r w:rsidR="00051F74">
        <w:t xml:space="preserve">is going to </w:t>
      </w:r>
      <w:r>
        <w:t xml:space="preserve">be submitted to the Diet’s extraordinary session] [online]. Yasuhisa Shiozaki. Available from: </w:t>
      </w:r>
      <w:hyperlink r:id="rId36" w:history="1">
        <w:r w:rsidRPr="00397518">
          <w:rPr>
            <w:rStyle w:val="Hyperlink"/>
          </w:rPr>
          <w:t>https://www.y-shiozaki.or.jp/oneself/index.php?start=395&amp;id=377</w:t>
        </w:r>
      </w:hyperlink>
      <w:r>
        <w:t xml:space="preserve"> [Accessed 26 June 2013].</w:t>
      </w:r>
    </w:p>
    <w:p w14:paraId="4BF59463" w14:textId="77777777" w:rsidR="00977463" w:rsidRPr="0055646B" w:rsidRDefault="00977463" w:rsidP="0093196D">
      <w:pPr>
        <w:pStyle w:val="NoSpacing"/>
      </w:pPr>
    </w:p>
    <w:p w14:paraId="274A80B2" w14:textId="77777777" w:rsidR="000452AB" w:rsidRPr="0055646B" w:rsidRDefault="000452AB" w:rsidP="0093196D">
      <w:pPr>
        <w:pStyle w:val="NoSpacing"/>
        <w:rPr>
          <w:lang w:eastAsia="ja-JP"/>
        </w:rPr>
      </w:pPr>
      <w:r w:rsidRPr="0055646B">
        <w:t>Skocpol, T</w:t>
      </w:r>
      <w:r w:rsidR="009550F1">
        <w:rPr>
          <w:rFonts w:hint="eastAsia"/>
          <w:lang w:eastAsia="ja-JP"/>
        </w:rPr>
        <w:t>.</w:t>
      </w:r>
      <w:r w:rsidRPr="0055646B">
        <w:t xml:space="preserve"> (1979) </w:t>
      </w:r>
      <w:r w:rsidRPr="009550F1">
        <w:rPr>
          <w:i/>
        </w:rPr>
        <w:t>States and Social Revolutions</w:t>
      </w:r>
      <w:r w:rsidR="009550F1">
        <w:rPr>
          <w:rFonts w:hint="eastAsia"/>
          <w:lang w:eastAsia="ja-JP"/>
        </w:rPr>
        <w:t>.</w:t>
      </w:r>
      <w:r w:rsidRPr="0055646B">
        <w:t xml:space="preserve"> Cambridge, MA</w:t>
      </w:r>
      <w:r w:rsidR="009550F1">
        <w:rPr>
          <w:rFonts w:hint="eastAsia"/>
          <w:lang w:eastAsia="ja-JP"/>
        </w:rPr>
        <w:t>:</w:t>
      </w:r>
      <w:r w:rsidRPr="0055646B">
        <w:t xml:space="preserve"> Cambridge UP</w:t>
      </w:r>
      <w:r w:rsidR="009550F1">
        <w:rPr>
          <w:rFonts w:hint="eastAsia"/>
          <w:lang w:eastAsia="ja-JP"/>
        </w:rPr>
        <w:t>.</w:t>
      </w:r>
    </w:p>
    <w:p w14:paraId="7037E143" w14:textId="77777777" w:rsidR="000452AB" w:rsidRPr="0055646B" w:rsidRDefault="000452AB" w:rsidP="0093196D">
      <w:pPr>
        <w:pStyle w:val="NoSpacing"/>
      </w:pPr>
    </w:p>
    <w:p w14:paraId="2AC9B4D0" w14:textId="77777777" w:rsidR="000452AB" w:rsidRPr="0055646B" w:rsidRDefault="000452AB" w:rsidP="0093196D">
      <w:pPr>
        <w:pStyle w:val="NoSpacing"/>
        <w:rPr>
          <w:lang w:eastAsia="ja-JP"/>
        </w:rPr>
      </w:pPr>
      <w:r w:rsidRPr="0055646B">
        <w:t>Skocpol, T</w:t>
      </w:r>
      <w:r w:rsidR="009550F1">
        <w:rPr>
          <w:rFonts w:hint="eastAsia"/>
          <w:lang w:eastAsia="ja-JP"/>
        </w:rPr>
        <w:t>.</w:t>
      </w:r>
      <w:r w:rsidRPr="0055646B">
        <w:t xml:space="preserve"> (1985) ‘Bringing the State Back In: Strategies of Analysis in Current Research’, in </w:t>
      </w:r>
      <w:r w:rsidR="009550F1">
        <w:rPr>
          <w:rFonts w:hint="eastAsia"/>
          <w:lang w:eastAsia="ja-JP"/>
        </w:rPr>
        <w:t xml:space="preserve">P. B. </w:t>
      </w:r>
      <w:r w:rsidRPr="0055646B">
        <w:t xml:space="preserve">Evans, </w:t>
      </w:r>
      <w:r w:rsidR="009550F1">
        <w:rPr>
          <w:rFonts w:hint="eastAsia"/>
          <w:lang w:eastAsia="ja-JP"/>
        </w:rPr>
        <w:t xml:space="preserve">D. </w:t>
      </w:r>
      <w:r w:rsidRPr="0055646B">
        <w:t>Rueschemeyer</w:t>
      </w:r>
      <w:r w:rsidR="009550F1">
        <w:rPr>
          <w:rFonts w:hint="eastAsia"/>
          <w:lang w:eastAsia="ja-JP"/>
        </w:rPr>
        <w:t>,</w:t>
      </w:r>
      <w:r w:rsidRPr="0055646B">
        <w:t xml:space="preserve"> and </w:t>
      </w:r>
      <w:r w:rsidR="009550F1">
        <w:rPr>
          <w:rFonts w:hint="eastAsia"/>
          <w:lang w:eastAsia="ja-JP"/>
        </w:rPr>
        <w:t xml:space="preserve">T. </w:t>
      </w:r>
      <w:r w:rsidRPr="0055646B">
        <w:t xml:space="preserve">Skocpol </w:t>
      </w:r>
      <w:r w:rsidR="009550F1">
        <w:rPr>
          <w:rFonts w:hint="eastAsia"/>
          <w:lang w:eastAsia="ja-JP"/>
        </w:rPr>
        <w:t>(</w:t>
      </w:r>
      <w:r w:rsidRPr="0055646B">
        <w:t>ed</w:t>
      </w:r>
      <w:r w:rsidR="009550F1">
        <w:rPr>
          <w:rFonts w:hint="eastAsia"/>
          <w:lang w:eastAsia="ja-JP"/>
        </w:rPr>
        <w:t>s),</w:t>
      </w:r>
      <w:r w:rsidRPr="0055646B">
        <w:t xml:space="preserve"> </w:t>
      </w:r>
      <w:r w:rsidRPr="009550F1">
        <w:rPr>
          <w:i/>
        </w:rPr>
        <w:t>Bringing the State Back In</w:t>
      </w:r>
      <w:r w:rsidR="009550F1">
        <w:rPr>
          <w:rFonts w:hint="eastAsia"/>
          <w:lang w:eastAsia="ja-JP"/>
        </w:rPr>
        <w:t xml:space="preserve">. Cambridge: </w:t>
      </w:r>
      <w:r w:rsidRPr="0055646B">
        <w:t>Cambridge UP, pp.3-37</w:t>
      </w:r>
      <w:r w:rsidR="009550F1">
        <w:rPr>
          <w:rFonts w:hint="eastAsia"/>
          <w:lang w:eastAsia="ja-JP"/>
        </w:rPr>
        <w:t>.</w:t>
      </w:r>
    </w:p>
    <w:p w14:paraId="172A5194" w14:textId="77777777" w:rsidR="000452AB" w:rsidRPr="0055646B" w:rsidRDefault="000452AB" w:rsidP="0093196D">
      <w:pPr>
        <w:pStyle w:val="NoSpacing"/>
      </w:pPr>
    </w:p>
    <w:p w14:paraId="4D884F37" w14:textId="77777777" w:rsidR="000452AB" w:rsidRPr="0055646B" w:rsidRDefault="000452AB" w:rsidP="0093196D">
      <w:pPr>
        <w:pStyle w:val="NoSpacing"/>
        <w:rPr>
          <w:lang w:eastAsia="ja-JP"/>
        </w:rPr>
      </w:pPr>
      <w:r w:rsidRPr="0055646B">
        <w:t xml:space="preserve">Skolnick, J. H. (1966) </w:t>
      </w:r>
      <w:r w:rsidRPr="009550F1">
        <w:rPr>
          <w:i/>
        </w:rPr>
        <w:t>Justice without trial: Law Enforcement in Democratic Society</w:t>
      </w:r>
      <w:r w:rsidR="009550F1">
        <w:rPr>
          <w:rFonts w:hint="eastAsia"/>
          <w:lang w:eastAsia="ja-JP"/>
        </w:rPr>
        <w:t>.</w:t>
      </w:r>
      <w:r w:rsidRPr="0055646B">
        <w:t xml:space="preserve"> New York</w:t>
      </w:r>
      <w:r w:rsidR="009550F1">
        <w:rPr>
          <w:rFonts w:hint="eastAsia"/>
          <w:lang w:eastAsia="ja-JP"/>
        </w:rPr>
        <w:t xml:space="preserve">: </w:t>
      </w:r>
      <w:r w:rsidR="009550F1" w:rsidRPr="0055646B">
        <w:t>Wiley</w:t>
      </w:r>
      <w:r w:rsidR="009550F1">
        <w:rPr>
          <w:rFonts w:hint="eastAsia"/>
          <w:lang w:eastAsia="ja-JP"/>
        </w:rPr>
        <w:t>.</w:t>
      </w:r>
    </w:p>
    <w:p w14:paraId="0153D085" w14:textId="77777777" w:rsidR="000452AB" w:rsidRPr="0055646B" w:rsidRDefault="000452AB" w:rsidP="0093196D">
      <w:pPr>
        <w:pStyle w:val="NoSpacing"/>
      </w:pPr>
    </w:p>
    <w:p w14:paraId="07732223" w14:textId="77777777" w:rsidR="000452AB" w:rsidRPr="0055646B" w:rsidRDefault="000452AB" w:rsidP="0093196D">
      <w:pPr>
        <w:pStyle w:val="NoSpacing"/>
        <w:rPr>
          <w:lang w:eastAsia="ja-JP"/>
        </w:rPr>
      </w:pPr>
      <w:r w:rsidRPr="0055646B">
        <w:t>Smith, M</w:t>
      </w:r>
      <w:r w:rsidR="007828A5">
        <w:rPr>
          <w:rFonts w:hint="eastAsia"/>
          <w:lang w:eastAsia="ja-JP"/>
        </w:rPr>
        <w:t>.</w:t>
      </w:r>
      <w:r w:rsidRPr="0055646B">
        <w:t xml:space="preserve"> J. (1995) ‘Pluralism’, in </w:t>
      </w:r>
      <w:r w:rsidR="007828A5">
        <w:rPr>
          <w:rFonts w:hint="eastAsia"/>
          <w:lang w:eastAsia="ja-JP"/>
        </w:rPr>
        <w:t xml:space="preserve">D. </w:t>
      </w:r>
      <w:r w:rsidRPr="0055646B">
        <w:t xml:space="preserve">Marsh and </w:t>
      </w:r>
      <w:r w:rsidR="007828A5">
        <w:rPr>
          <w:rFonts w:hint="eastAsia"/>
          <w:lang w:eastAsia="ja-JP"/>
        </w:rPr>
        <w:t xml:space="preserve">G. </w:t>
      </w:r>
      <w:r w:rsidRPr="0055646B">
        <w:t xml:space="preserve">Stoker </w:t>
      </w:r>
      <w:r w:rsidR="007828A5">
        <w:rPr>
          <w:rFonts w:hint="eastAsia"/>
          <w:lang w:eastAsia="ja-JP"/>
        </w:rPr>
        <w:t>(</w:t>
      </w:r>
      <w:r w:rsidRPr="0055646B">
        <w:t>ed</w:t>
      </w:r>
      <w:r w:rsidR="007828A5">
        <w:rPr>
          <w:rFonts w:hint="eastAsia"/>
          <w:lang w:eastAsia="ja-JP"/>
        </w:rPr>
        <w:t>s),</w:t>
      </w:r>
      <w:r w:rsidRPr="0055646B">
        <w:t xml:space="preserve"> </w:t>
      </w:r>
      <w:r w:rsidRPr="007828A5">
        <w:rPr>
          <w:i/>
        </w:rPr>
        <w:t>Theory and Methods in Political Science</w:t>
      </w:r>
      <w:r w:rsidR="007828A5">
        <w:rPr>
          <w:rFonts w:hint="eastAsia"/>
          <w:lang w:eastAsia="ja-JP"/>
        </w:rPr>
        <w:t>, F</w:t>
      </w:r>
      <w:r w:rsidR="007828A5">
        <w:rPr>
          <w:lang w:eastAsia="ja-JP"/>
        </w:rPr>
        <w:t>i</w:t>
      </w:r>
      <w:r w:rsidR="007828A5">
        <w:rPr>
          <w:rFonts w:hint="eastAsia"/>
          <w:lang w:eastAsia="ja-JP"/>
        </w:rPr>
        <w:t>rst Edition.</w:t>
      </w:r>
      <w:r w:rsidR="007828A5" w:rsidRPr="007828A5">
        <w:t xml:space="preserve"> </w:t>
      </w:r>
      <w:r w:rsidR="007828A5" w:rsidRPr="0055646B">
        <w:t>Basingstokem, Hampshire/London</w:t>
      </w:r>
      <w:r w:rsidR="007828A5">
        <w:rPr>
          <w:rFonts w:hint="eastAsia"/>
          <w:lang w:eastAsia="ja-JP"/>
        </w:rPr>
        <w:t>:</w:t>
      </w:r>
      <w:r w:rsidR="007828A5">
        <w:t xml:space="preserve"> MacMillan Press Ltd.</w:t>
      </w:r>
    </w:p>
    <w:p w14:paraId="66F14572" w14:textId="77777777" w:rsidR="000452AB" w:rsidRPr="0055646B" w:rsidRDefault="000452AB" w:rsidP="0093196D">
      <w:pPr>
        <w:pStyle w:val="NoSpacing"/>
      </w:pPr>
    </w:p>
    <w:p w14:paraId="51021C9D" w14:textId="77777777" w:rsidR="000452AB" w:rsidRPr="0055646B" w:rsidRDefault="000452AB" w:rsidP="0093196D">
      <w:pPr>
        <w:pStyle w:val="NoSpacing"/>
        <w:rPr>
          <w:lang w:eastAsia="ja-JP"/>
        </w:rPr>
      </w:pPr>
      <w:r w:rsidRPr="0055646B">
        <w:t>Smith, M</w:t>
      </w:r>
      <w:r w:rsidR="007828A5">
        <w:rPr>
          <w:rFonts w:hint="eastAsia"/>
          <w:lang w:eastAsia="ja-JP"/>
        </w:rPr>
        <w:t>.</w:t>
      </w:r>
      <w:r w:rsidRPr="0055646B">
        <w:t xml:space="preserve"> J. (1999) </w:t>
      </w:r>
      <w:r w:rsidRPr="007828A5">
        <w:rPr>
          <w:i/>
        </w:rPr>
        <w:t>The Core Executive in Britain</w:t>
      </w:r>
      <w:r w:rsidR="007828A5">
        <w:rPr>
          <w:rFonts w:hint="eastAsia"/>
          <w:lang w:eastAsia="ja-JP"/>
        </w:rPr>
        <w:t>.</w:t>
      </w:r>
      <w:r w:rsidRPr="0055646B">
        <w:t xml:space="preserve"> Basingstoke, Hampshire/NY</w:t>
      </w:r>
      <w:r w:rsidR="007828A5">
        <w:rPr>
          <w:rFonts w:hint="eastAsia"/>
          <w:lang w:eastAsia="ja-JP"/>
        </w:rPr>
        <w:t xml:space="preserve">: </w:t>
      </w:r>
      <w:r w:rsidR="007828A5">
        <w:t>MacMillan</w:t>
      </w:r>
      <w:r w:rsidR="007828A5">
        <w:rPr>
          <w:rFonts w:hint="eastAsia"/>
          <w:lang w:eastAsia="ja-JP"/>
        </w:rPr>
        <w:t>.</w:t>
      </w:r>
    </w:p>
    <w:p w14:paraId="59108E4C" w14:textId="77777777" w:rsidR="000452AB" w:rsidRPr="0055646B" w:rsidRDefault="000452AB" w:rsidP="0093196D">
      <w:pPr>
        <w:pStyle w:val="NoSpacing"/>
      </w:pPr>
    </w:p>
    <w:p w14:paraId="6B2FDC96" w14:textId="77777777" w:rsidR="000452AB" w:rsidRPr="0055646B" w:rsidRDefault="000452AB" w:rsidP="0093196D">
      <w:pPr>
        <w:pStyle w:val="NoSpacing"/>
        <w:rPr>
          <w:lang w:eastAsia="ja-JP"/>
        </w:rPr>
      </w:pPr>
      <w:r w:rsidRPr="0055646B">
        <w:t>Smith, M</w:t>
      </w:r>
      <w:r w:rsidR="007828A5">
        <w:rPr>
          <w:rFonts w:hint="eastAsia"/>
          <w:lang w:eastAsia="ja-JP"/>
        </w:rPr>
        <w:t>.</w:t>
      </w:r>
      <w:r w:rsidRPr="0055646B">
        <w:t xml:space="preserve"> J. (2006) ‘Pluralism’, in C</w:t>
      </w:r>
      <w:r w:rsidR="007828A5">
        <w:rPr>
          <w:rFonts w:hint="eastAsia"/>
          <w:lang w:eastAsia="ja-JP"/>
        </w:rPr>
        <w:t>.</w:t>
      </w:r>
      <w:r w:rsidRPr="0055646B">
        <w:t xml:space="preserve"> Hay, M</w:t>
      </w:r>
      <w:r w:rsidR="007828A5">
        <w:rPr>
          <w:rFonts w:hint="eastAsia"/>
          <w:lang w:eastAsia="ja-JP"/>
        </w:rPr>
        <w:t>.</w:t>
      </w:r>
      <w:r w:rsidRPr="0055646B">
        <w:t xml:space="preserve"> Lister</w:t>
      </w:r>
      <w:r w:rsidR="00B85932">
        <w:t>,</w:t>
      </w:r>
      <w:r w:rsidRPr="0055646B">
        <w:t xml:space="preserve"> and D</w:t>
      </w:r>
      <w:r w:rsidR="007828A5">
        <w:rPr>
          <w:rFonts w:hint="eastAsia"/>
          <w:lang w:eastAsia="ja-JP"/>
        </w:rPr>
        <w:t>.</w:t>
      </w:r>
      <w:r w:rsidRPr="0055646B">
        <w:t xml:space="preserve"> Marsh </w:t>
      </w:r>
      <w:r w:rsidR="007828A5">
        <w:rPr>
          <w:rFonts w:hint="eastAsia"/>
          <w:lang w:eastAsia="ja-JP"/>
        </w:rPr>
        <w:t>(</w:t>
      </w:r>
      <w:r w:rsidRPr="0055646B">
        <w:t>ed</w:t>
      </w:r>
      <w:r w:rsidR="007828A5">
        <w:rPr>
          <w:rFonts w:hint="eastAsia"/>
          <w:lang w:eastAsia="ja-JP"/>
        </w:rPr>
        <w:t>s),</w:t>
      </w:r>
      <w:r w:rsidRPr="0055646B">
        <w:t xml:space="preserve"> </w:t>
      </w:r>
      <w:r w:rsidRPr="007828A5">
        <w:rPr>
          <w:i/>
        </w:rPr>
        <w:t>The State – Theories and Issues</w:t>
      </w:r>
      <w:r w:rsidR="007828A5">
        <w:rPr>
          <w:rFonts w:hint="eastAsia"/>
          <w:lang w:eastAsia="ja-JP"/>
        </w:rPr>
        <w:t xml:space="preserve">, </w:t>
      </w:r>
      <w:r w:rsidRPr="0055646B">
        <w:t>Political Analysis</w:t>
      </w:r>
      <w:r w:rsidR="007828A5">
        <w:rPr>
          <w:rFonts w:hint="eastAsia"/>
          <w:lang w:eastAsia="ja-JP"/>
        </w:rPr>
        <w:t xml:space="preserve">. </w:t>
      </w:r>
      <w:r w:rsidR="00B85932">
        <w:rPr>
          <w:lang w:eastAsia="ja-JP"/>
        </w:rPr>
        <w:t>Basingstoke, Hampshire/</w:t>
      </w:r>
      <w:r w:rsidR="007828A5" w:rsidRPr="0055646B">
        <w:t>New York</w:t>
      </w:r>
      <w:r w:rsidR="007828A5">
        <w:rPr>
          <w:rFonts w:hint="eastAsia"/>
          <w:lang w:eastAsia="ja-JP"/>
        </w:rPr>
        <w:t>:</w:t>
      </w:r>
      <w:r w:rsidRPr="0055646B">
        <w:t xml:space="preserve"> Palgrave MacMillan, pp.21-38</w:t>
      </w:r>
      <w:r w:rsidR="007828A5">
        <w:rPr>
          <w:rFonts w:hint="eastAsia"/>
          <w:lang w:eastAsia="ja-JP"/>
        </w:rPr>
        <w:t>.</w:t>
      </w:r>
    </w:p>
    <w:p w14:paraId="262E64AC" w14:textId="77777777" w:rsidR="000452AB" w:rsidRPr="0055646B" w:rsidRDefault="000452AB" w:rsidP="0093196D">
      <w:pPr>
        <w:pStyle w:val="NoSpacing"/>
      </w:pPr>
    </w:p>
    <w:p w14:paraId="5CD8EFD4" w14:textId="77777777" w:rsidR="000452AB" w:rsidRPr="0055646B" w:rsidRDefault="000452AB" w:rsidP="00B85932">
      <w:pPr>
        <w:pStyle w:val="NoSpacing"/>
        <w:rPr>
          <w:lang w:eastAsia="ja-JP"/>
        </w:rPr>
      </w:pPr>
      <w:r w:rsidRPr="0055646B">
        <w:t>Smith, M</w:t>
      </w:r>
      <w:r w:rsidR="007C628C">
        <w:rPr>
          <w:rFonts w:hint="eastAsia"/>
          <w:lang w:eastAsia="ja-JP"/>
        </w:rPr>
        <w:t>.</w:t>
      </w:r>
      <w:r w:rsidRPr="0055646B">
        <w:t xml:space="preserve"> J. (2009) </w:t>
      </w:r>
      <w:r w:rsidRPr="007C628C">
        <w:rPr>
          <w:i/>
        </w:rPr>
        <w:t>Power and the State</w:t>
      </w:r>
      <w:r w:rsidR="007C628C">
        <w:rPr>
          <w:rFonts w:hint="eastAsia"/>
          <w:lang w:eastAsia="ja-JP"/>
        </w:rPr>
        <w:t xml:space="preserve">, </w:t>
      </w:r>
      <w:r w:rsidRPr="0055646B">
        <w:t>Political Analysis</w:t>
      </w:r>
      <w:r w:rsidR="007C628C">
        <w:rPr>
          <w:rFonts w:hint="eastAsia"/>
          <w:lang w:eastAsia="ja-JP"/>
        </w:rPr>
        <w:t xml:space="preserve">. </w:t>
      </w:r>
      <w:r w:rsidR="00B85932">
        <w:rPr>
          <w:lang w:eastAsia="ja-JP"/>
        </w:rPr>
        <w:t>Basingstoke, Hampshire/New York</w:t>
      </w:r>
      <w:r w:rsidR="007C628C">
        <w:rPr>
          <w:rFonts w:hint="eastAsia"/>
          <w:lang w:eastAsia="ja-JP"/>
        </w:rPr>
        <w:t>:</w:t>
      </w:r>
      <w:r w:rsidRPr="0055646B">
        <w:t xml:space="preserve"> Palgrave MacMillan</w:t>
      </w:r>
      <w:r w:rsidR="007C628C">
        <w:rPr>
          <w:rFonts w:hint="eastAsia"/>
          <w:lang w:eastAsia="ja-JP"/>
        </w:rPr>
        <w:t>.</w:t>
      </w:r>
    </w:p>
    <w:p w14:paraId="09756D96" w14:textId="77777777" w:rsidR="000452AB" w:rsidRPr="0055646B" w:rsidRDefault="000452AB" w:rsidP="0093196D">
      <w:pPr>
        <w:pStyle w:val="NoSpacing"/>
      </w:pPr>
    </w:p>
    <w:p w14:paraId="78F9D799" w14:textId="77777777" w:rsidR="000452AB" w:rsidRPr="0055646B" w:rsidRDefault="000452AB" w:rsidP="00B85932">
      <w:pPr>
        <w:pStyle w:val="NoSpacing"/>
        <w:rPr>
          <w:lang w:eastAsia="ja-JP"/>
        </w:rPr>
      </w:pPr>
      <w:r w:rsidRPr="0055646B">
        <w:t>Sorensen, G</w:t>
      </w:r>
      <w:r w:rsidR="007C628C">
        <w:rPr>
          <w:rFonts w:hint="eastAsia"/>
          <w:lang w:eastAsia="ja-JP"/>
        </w:rPr>
        <w:t>.</w:t>
      </w:r>
      <w:r w:rsidRPr="0055646B">
        <w:t xml:space="preserve"> (2004) </w:t>
      </w:r>
      <w:r w:rsidRPr="007C628C">
        <w:rPr>
          <w:i/>
        </w:rPr>
        <w:t>The Transformation of the State – Beyond the Myth of Retreat</w:t>
      </w:r>
      <w:r w:rsidR="007C628C">
        <w:rPr>
          <w:rFonts w:hint="eastAsia"/>
          <w:lang w:eastAsia="ja-JP"/>
        </w:rPr>
        <w:t>.</w:t>
      </w:r>
      <w:r w:rsidRPr="0055646B">
        <w:t xml:space="preserve"> </w:t>
      </w:r>
      <w:r w:rsidR="00B85932">
        <w:t xml:space="preserve">Basingstoke, </w:t>
      </w:r>
      <w:r w:rsidRPr="0055646B">
        <w:t>Hampshire</w:t>
      </w:r>
      <w:r w:rsidR="007C628C">
        <w:rPr>
          <w:rFonts w:hint="eastAsia"/>
          <w:lang w:eastAsia="ja-JP"/>
        </w:rPr>
        <w:t xml:space="preserve">: </w:t>
      </w:r>
      <w:r w:rsidR="007C628C">
        <w:t>Palgrave MacMillan</w:t>
      </w:r>
      <w:r w:rsidR="007C628C">
        <w:rPr>
          <w:rFonts w:hint="eastAsia"/>
          <w:lang w:eastAsia="ja-JP"/>
        </w:rPr>
        <w:t>.</w:t>
      </w:r>
    </w:p>
    <w:p w14:paraId="23D10D0F" w14:textId="77777777" w:rsidR="000452AB" w:rsidRPr="0055646B" w:rsidRDefault="000452AB" w:rsidP="0093196D">
      <w:pPr>
        <w:pStyle w:val="NoSpacing"/>
      </w:pPr>
    </w:p>
    <w:p w14:paraId="25EEB152" w14:textId="77777777" w:rsidR="000452AB" w:rsidRPr="0055646B" w:rsidRDefault="000452AB" w:rsidP="0093196D">
      <w:pPr>
        <w:pStyle w:val="NoSpacing"/>
        <w:rPr>
          <w:lang w:eastAsia="ja-JP"/>
        </w:rPr>
      </w:pPr>
      <w:r w:rsidRPr="0055646B">
        <w:t>Spiller, P</w:t>
      </w:r>
      <w:r w:rsidR="007C628C">
        <w:rPr>
          <w:rFonts w:hint="eastAsia"/>
          <w:lang w:eastAsia="ja-JP"/>
        </w:rPr>
        <w:t>.</w:t>
      </w:r>
      <w:r w:rsidRPr="0055646B">
        <w:t xml:space="preserve"> T., and Vogelsang, I</w:t>
      </w:r>
      <w:r w:rsidR="007C628C">
        <w:rPr>
          <w:rFonts w:hint="eastAsia"/>
          <w:lang w:eastAsia="ja-JP"/>
        </w:rPr>
        <w:t>.</w:t>
      </w:r>
      <w:r w:rsidRPr="0055646B">
        <w:t xml:space="preserve"> (1996) ‘The United Kingdom: A pacesetter in regulatory incentives’, in </w:t>
      </w:r>
      <w:r w:rsidR="007C628C">
        <w:rPr>
          <w:rFonts w:hint="eastAsia"/>
          <w:lang w:eastAsia="ja-JP"/>
        </w:rPr>
        <w:t xml:space="preserve">B. </w:t>
      </w:r>
      <w:r w:rsidRPr="0055646B">
        <w:t xml:space="preserve">Levy and </w:t>
      </w:r>
      <w:r w:rsidR="007C628C">
        <w:rPr>
          <w:rFonts w:hint="eastAsia"/>
          <w:lang w:eastAsia="ja-JP"/>
        </w:rPr>
        <w:t xml:space="preserve">P. T. </w:t>
      </w:r>
      <w:r w:rsidRPr="0055646B">
        <w:t xml:space="preserve">Spiller </w:t>
      </w:r>
      <w:r w:rsidR="007C628C">
        <w:rPr>
          <w:rFonts w:hint="eastAsia"/>
          <w:lang w:eastAsia="ja-JP"/>
        </w:rPr>
        <w:t>(</w:t>
      </w:r>
      <w:r w:rsidRPr="0055646B">
        <w:t>ed</w:t>
      </w:r>
      <w:r w:rsidR="007C628C">
        <w:rPr>
          <w:rFonts w:hint="eastAsia"/>
          <w:lang w:eastAsia="ja-JP"/>
        </w:rPr>
        <w:t>s),</w:t>
      </w:r>
      <w:r w:rsidRPr="0055646B">
        <w:t xml:space="preserve"> </w:t>
      </w:r>
      <w:r w:rsidRPr="007C628C">
        <w:rPr>
          <w:i/>
        </w:rPr>
        <w:t>Regulations, Institutions and Commitment: Comparative Studies of Telecommunications</w:t>
      </w:r>
      <w:r w:rsidR="007C628C">
        <w:rPr>
          <w:rFonts w:hint="eastAsia"/>
          <w:lang w:eastAsia="ja-JP"/>
        </w:rPr>
        <w:t>.</w:t>
      </w:r>
      <w:r w:rsidRPr="0055646B">
        <w:t xml:space="preserve"> Cambridge/New York/Melbourne</w:t>
      </w:r>
      <w:r w:rsidR="007C628C">
        <w:rPr>
          <w:rFonts w:hint="eastAsia"/>
          <w:lang w:eastAsia="ja-JP"/>
        </w:rPr>
        <w:t xml:space="preserve">: </w:t>
      </w:r>
      <w:r w:rsidR="007C628C" w:rsidRPr="0055646B">
        <w:t xml:space="preserve">Cambridge UP, </w:t>
      </w:r>
      <w:r w:rsidRPr="0055646B">
        <w:t xml:space="preserve"> pp.79-120</w:t>
      </w:r>
      <w:r w:rsidR="007C628C">
        <w:rPr>
          <w:rFonts w:hint="eastAsia"/>
          <w:lang w:eastAsia="ja-JP"/>
        </w:rPr>
        <w:t>.</w:t>
      </w:r>
    </w:p>
    <w:p w14:paraId="51156B75" w14:textId="77777777" w:rsidR="000452AB" w:rsidRPr="0055646B" w:rsidRDefault="000452AB" w:rsidP="0093196D">
      <w:pPr>
        <w:pStyle w:val="NoSpacing"/>
      </w:pPr>
    </w:p>
    <w:p w14:paraId="3DC84B16" w14:textId="77777777" w:rsidR="000452AB" w:rsidRPr="0055646B" w:rsidRDefault="000452AB" w:rsidP="007C628C">
      <w:pPr>
        <w:pStyle w:val="NoSpacing"/>
        <w:rPr>
          <w:lang w:eastAsia="ja-JP"/>
        </w:rPr>
      </w:pPr>
      <w:r w:rsidRPr="0055646B">
        <w:t>Steinmo, S</w:t>
      </w:r>
      <w:r w:rsidR="004876A4">
        <w:rPr>
          <w:rFonts w:hint="eastAsia"/>
          <w:lang w:eastAsia="ja-JP"/>
        </w:rPr>
        <w:t>.</w:t>
      </w:r>
      <w:r w:rsidR="007C628C">
        <w:t xml:space="preserve"> (2008) </w:t>
      </w:r>
      <w:r w:rsidRPr="007C628C">
        <w:rPr>
          <w:i/>
        </w:rPr>
        <w:t>What is Historical Institutionalism?</w:t>
      </w:r>
      <w:r w:rsidR="007C628C">
        <w:rPr>
          <w:rFonts w:hint="eastAsia"/>
          <w:lang w:eastAsia="ja-JP"/>
        </w:rPr>
        <w:t xml:space="preserve"> [</w:t>
      </w:r>
      <w:r w:rsidR="007C628C">
        <w:rPr>
          <w:lang w:eastAsia="ja-JP"/>
        </w:rPr>
        <w:t>Forthcoming in</w:t>
      </w:r>
      <w:r w:rsidR="007C628C">
        <w:rPr>
          <w:rFonts w:hint="eastAsia"/>
          <w:lang w:eastAsia="ja-JP"/>
        </w:rPr>
        <w:t xml:space="preserve"> </w:t>
      </w:r>
      <w:r w:rsidR="007C628C">
        <w:rPr>
          <w:lang w:eastAsia="ja-JP"/>
        </w:rPr>
        <w:t>‘Approaches in the Social Sciences’,</w:t>
      </w:r>
      <w:r w:rsidR="007C628C">
        <w:rPr>
          <w:rFonts w:hint="eastAsia"/>
          <w:lang w:eastAsia="ja-JP"/>
        </w:rPr>
        <w:t xml:space="preserve"> </w:t>
      </w:r>
      <w:r w:rsidR="007C628C">
        <w:rPr>
          <w:lang w:eastAsia="ja-JP"/>
        </w:rPr>
        <w:t>D</w:t>
      </w:r>
      <w:r w:rsidR="007C628C">
        <w:rPr>
          <w:rFonts w:hint="eastAsia"/>
          <w:lang w:eastAsia="ja-JP"/>
        </w:rPr>
        <w:t>.</w:t>
      </w:r>
      <w:r w:rsidR="007C628C">
        <w:rPr>
          <w:lang w:eastAsia="ja-JP"/>
        </w:rPr>
        <w:t xml:space="preserve"> D</w:t>
      </w:r>
      <w:r w:rsidR="007C628C">
        <w:rPr>
          <w:rFonts w:hint="eastAsia"/>
          <w:lang w:eastAsia="ja-JP"/>
        </w:rPr>
        <w:t>.</w:t>
      </w:r>
      <w:r w:rsidR="007C628C">
        <w:rPr>
          <w:lang w:eastAsia="ja-JP"/>
        </w:rPr>
        <w:t xml:space="preserve"> Porta and M</w:t>
      </w:r>
      <w:r w:rsidR="007C628C">
        <w:rPr>
          <w:rFonts w:hint="eastAsia"/>
          <w:lang w:eastAsia="ja-JP"/>
        </w:rPr>
        <w:t>.</w:t>
      </w:r>
      <w:r w:rsidR="007C628C">
        <w:rPr>
          <w:lang w:eastAsia="ja-JP"/>
        </w:rPr>
        <w:t xml:space="preserve"> Keating </w:t>
      </w:r>
      <w:r w:rsidR="007C628C">
        <w:rPr>
          <w:rFonts w:hint="eastAsia"/>
          <w:lang w:eastAsia="ja-JP"/>
        </w:rPr>
        <w:t>(</w:t>
      </w:r>
      <w:r w:rsidR="007C628C">
        <w:rPr>
          <w:lang w:eastAsia="ja-JP"/>
        </w:rPr>
        <w:t>eds</w:t>
      </w:r>
      <w:r w:rsidR="007C628C">
        <w:rPr>
          <w:rFonts w:hint="eastAsia"/>
          <w:lang w:eastAsia="ja-JP"/>
        </w:rPr>
        <w:t>)</w:t>
      </w:r>
      <w:r w:rsidR="007C628C">
        <w:rPr>
          <w:lang w:eastAsia="ja-JP"/>
        </w:rPr>
        <w:t>,</w:t>
      </w:r>
      <w:r w:rsidR="00B85932">
        <w:rPr>
          <w:lang w:eastAsia="ja-JP"/>
        </w:rPr>
        <w:t xml:space="preserve"> </w:t>
      </w:r>
      <w:r w:rsidR="007C628C">
        <w:rPr>
          <w:lang w:eastAsia="ja-JP"/>
        </w:rPr>
        <w:t>Cambridge</w:t>
      </w:r>
      <w:r w:rsidR="00B85932">
        <w:rPr>
          <w:lang w:eastAsia="ja-JP"/>
        </w:rPr>
        <w:t>,</w:t>
      </w:r>
      <w:r w:rsidR="007C628C">
        <w:rPr>
          <w:lang w:eastAsia="ja-JP"/>
        </w:rPr>
        <w:t xml:space="preserve"> UK: Cambridge UP, 2008</w:t>
      </w:r>
      <w:r w:rsidR="007C628C">
        <w:rPr>
          <w:rFonts w:hint="eastAsia"/>
          <w:lang w:eastAsia="ja-JP"/>
        </w:rPr>
        <w:t>] [online]. University of Colorado Boulder.</w:t>
      </w:r>
      <w:r w:rsidRPr="0055646B">
        <w:t xml:space="preserve"> pp.150-178</w:t>
      </w:r>
      <w:r w:rsidR="007C628C">
        <w:rPr>
          <w:rFonts w:hint="eastAsia"/>
          <w:lang w:eastAsia="ja-JP"/>
        </w:rPr>
        <w:t xml:space="preserve">. Available from: </w:t>
      </w:r>
      <w:hyperlink r:id="rId37" w:history="1">
        <w:r w:rsidRPr="0055646B">
          <w:rPr>
            <w:rStyle w:val="Hyperlink"/>
          </w:rPr>
          <w:t>http://spot.colorado.edu/~steinmo/HI.pdf</w:t>
        </w:r>
      </w:hyperlink>
      <w:r w:rsidR="007C628C">
        <w:t xml:space="preserve"> </w:t>
      </w:r>
      <w:r w:rsidR="007C628C">
        <w:rPr>
          <w:rFonts w:hint="eastAsia"/>
          <w:lang w:eastAsia="ja-JP"/>
        </w:rPr>
        <w:t>[A</w:t>
      </w:r>
      <w:r w:rsidR="007C628C">
        <w:t>ccessed 26 September 2012</w:t>
      </w:r>
      <w:r w:rsidR="007C628C">
        <w:rPr>
          <w:rFonts w:hint="eastAsia"/>
          <w:lang w:eastAsia="ja-JP"/>
        </w:rPr>
        <w:t>].</w:t>
      </w:r>
    </w:p>
    <w:p w14:paraId="47F54DD4" w14:textId="77777777" w:rsidR="000452AB" w:rsidRPr="0055646B" w:rsidRDefault="000452AB" w:rsidP="0093196D">
      <w:pPr>
        <w:pStyle w:val="NoSpacing"/>
      </w:pPr>
    </w:p>
    <w:p w14:paraId="28B798C1" w14:textId="77777777" w:rsidR="000452AB" w:rsidRPr="0055646B" w:rsidRDefault="000452AB" w:rsidP="0093196D">
      <w:pPr>
        <w:pStyle w:val="NoSpacing"/>
      </w:pPr>
      <w:r w:rsidRPr="0055646B">
        <w:rPr>
          <w:rFonts w:hint="eastAsia"/>
        </w:rPr>
        <w:t>Steinmo, S</w:t>
      </w:r>
      <w:r w:rsidR="004876A4">
        <w:rPr>
          <w:rFonts w:hint="eastAsia"/>
          <w:lang w:eastAsia="ja-JP"/>
        </w:rPr>
        <w:t>.</w:t>
      </w:r>
      <w:r w:rsidRPr="0055646B">
        <w:rPr>
          <w:rFonts w:hint="eastAsia"/>
        </w:rPr>
        <w:t xml:space="preserve"> (2010) </w:t>
      </w:r>
      <w:r w:rsidRPr="004876A4">
        <w:rPr>
          <w:rFonts w:hint="eastAsia"/>
          <w:i/>
        </w:rPr>
        <w:t>The Evolution of Modern States</w:t>
      </w:r>
      <w:r w:rsidR="004876A4">
        <w:rPr>
          <w:rFonts w:hint="eastAsia"/>
          <w:lang w:eastAsia="ja-JP"/>
        </w:rPr>
        <w:t>.</w:t>
      </w:r>
      <w:r w:rsidRPr="0055646B">
        <w:rPr>
          <w:rFonts w:hint="eastAsia"/>
        </w:rPr>
        <w:t xml:space="preserve"> </w:t>
      </w:r>
      <w:r w:rsidR="004876A4">
        <w:rPr>
          <w:rFonts w:hint="eastAsia"/>
          <w:lang w:eastAsia="ja-JP"/>
        </w:rPr>
        <w:t xml:space="preserve">New York: </w:t>
      </w:r>
      <w:r w:rsidRPr="0055646B">
        <w:rPr>
          <w:rFonts w:hint="eastAsia"/>
        </w:rPr>
        <w:t>Cambridge UP</w:t>
      </w:r>
      <w:r w:rsidR="004876A4">
        <w:rPr>
          <w:rFonts w:hint="eastAsia"/>
          <w:lang w:eastAsia="ja-JP"/>
        </w:rPr>
        <w:t>.</w:t>
      </w:r>
    </w:p>
    <w:p w14:paraId="266BFCAE" w14:textId="77777777" w:rsidR="000452AB" w:rsidRPr="0055646B" w:rsidRDefault="000452AB" w:rsidP="0093196D">
      <w:pPr>
        <w:pStyle w:val="NoSpacing"/>
      </w:pPr>
    </w:p>
    <w:p w14:paraId="17C96D84" w14:textId="77777777" w:rsidR="000452AB" w:rsidRPr="0055646B" w:rsidRDefault="004876A4" w:rsidP="0093196D">
      <w:pPr>
        <w:pStyle w:val="NoSpacing"/>
      </w:pPr>
      <w:r>
        <w:t xml:space="preserve">Strange, S. (1996) </w:t>
      </w:r>
      <w:r w:rsidR="000452AB" w:rsidRPr="004876A4">
        <w:rPr>
          <w:i/>
        </w:rPr>
        <w:t>The Retreat of the State</w:t>
      </w:r>
      <w:r>
        <w:rPr>
          <w:rFonts w:hint="eastAsia"/>
          <w:lang w:eastAsia="ja-JP"/>
        </w:rPr>
        <w:t>.</w:t>
      </w:r>
      <w:r w:rsidR="000452AB" w:rsidRPr="0055646B">
        <w:t xml:space="preserve"> </w:t>
      </w:r>
      <w:r>
        <w:rPr>
          <w:rFonts w:hint="eastAsia"/>
          <w:lang w:eastAsia="ja-JP"/>
        </w:rPr>
        <w:t xml:space="preserve">Cambridge: </w:t>
      </w:r>
      <w:r w:rsidR="000452AB" w:rsidRPr="0055646B">
        <w:t>Cambridge UP</w:t>
      </w:r>
      <w:r>
        <w:rPr>
          <w:rFonts w:hint="eastAsia"/>
          <w:lang w:eastAsia="ja-JP"/>
        </w:rPr>
        <w:t>.</w:t>
      </w:r>
    </w:p>
    <w:p w14:paraId="257B0D50" w14:textId="77777777" w:rsidR="000452AB" w:rsidRDefault="000452AB" w:rsidP="0093196D">
      <w:pPr>
        <w:pStyle w:val="NoSpacing"/>
        <w:rPr>
          <w:lang w:eastAsia="ja-JP"/>
        </w:rPr>
      </w:pPr>
    </w:p>
    <w:p w14:paraId="7CBA7DEA" w14:textId="77777777" w:rsidR="000452AB" w:rsidRPr="00877B63" w:rsidRDefault="009F7534" w:rsidP="0093196D">
      <w:pPr>
        <w:pStyle w:val="NoSpacing"/>
        <w:rPr>
          <w:lang w:eastAsia="ja-JP"/>
        </w:rPr>
      </w:pPr>
      <w:r w:rsidRPr="00B85932">
        <w:rPr>
          <w:lang w:eastAsia="ja-JP"/>
        </w:rPr>
        <w:t xml:space="preserve">Streeck, W. and Thelen, K. (eds) </w:t>
      </w:r>
      <w:r w:rsidR="000452AB">
        <w:rPr>
          <w:rFonts w:hint="eastAsia"/>
          <w:lang w:eastAsia="ja-JP"/>
        </w:rPr>
        <w:t>(2005</w:t>
      </w:r>
      <w:r w:rsidR="000452AB" w:rsidRPr="00877B63">
        <w:rPr>
          <w:lang w:eastAsia="ja-JP"/>
        </w:rPr>
        <w:t>)</w:t>
      </w:r>
      <w:r w:rsidR="000452AB">
        <w:rPr>
          <w:rFonts w:hint="eastAsia"/>
          <w:lang w:eastAsia="ja-JP"/>
        </w:rPr>
        <w:t xml:space="preserve"> </w:t>
      </w:r>
      <w:r w:rsidR="000452AB" w:rsidRPr="004876A4">
        <w:rPr>
          <w:i/>
          <w:lang w:eastAsia="ja-JP"/>
        </w:rPr>
        <w:t>Beyond Continuity:</w:t>
      </w:r>
      <w:r w:rsidR="000452AB" w:rsidRPr="004876A4">
        <w:rPr>
          <w:rFonts w:hint="eastAsia"/>
          <w:i/>
          <w:lang w:eastAsia="ja-JP"/>
        </w:rPr>
        <w:t xml:space="preserve"> </w:t>
      </w:r>
      <w:r w:rsidR="000452AB" w:rsidRPr="004876A4">
        <w:rPr>
          <w:i/>
          <w:lang w:eastAsia="ja-JP"/>
        </w:rPr>
        <w:t>Institutional Change in Advanced Political Economies</w:t>
      </w:r>
      <w:r w:rsidR="004876A4">
        <w:rPr>
          <w:rFonts w:hint="eastAsia"/>
          <w:lang w:eastAsia="ja-JP"/>
        </w:rPr>
        <w:t>. Oxford:</w:t>
      </w:r>
      <w:r w:rsidR="000452AB">
        <w:rPr>
          <w:rFonts w:hint="eastAsia"/>
          <w:lang w:eastAsia="ja-JP"/>
        </w:rPr>
        <w:t xml:space="preserve"> Oxford UP</w:t>
      </w:r>
      <w:r w:rsidR="004876A4">
        <w:rPr>
          <w:rFonts w:hint="eastAsia"/>
          <w:lang w:eastAsia="ja-JP"/>
        </w:rPr>
        <w:t>.</w:t>
      </w:r>
    </w:p>
    <w:p w14:paraId="197D81A1" w14:textId="77777777" w:rsidR="000452AB" w:rsidRPr="0055646B" w:rsidRDefault="000452AB" w:rsidP="0093196D">
      <w:pPr>
        <w:pStyle w:val="NoSpacing"/>
        <w:rPr>
          <w:lang w:eastAsia="ja-JP"/>
        </w:rPr>
      </w:pPr>
    </w:p>
    <w:p w14:paraId="7EE2CEA2" w14:textId="77777777" w:rsidR="000452AB" w:rsidRPr="0055646B" w:rsidRDefault="000452AB" w:rsidP="00B85932">
      <w:pPr>
        <w:pStyle w:val="NoSpacing"/>
        <w:rPr>
          <w:lang w:eastAsia="ja-JP"/>
        </w:rPr>
      </w:pPr>
      <w:r w:rsidRPr="0055646B">
        <w:t xml:space="preserve">Sunstein, C. R. (1990) </w:t>
      </w:r>
      <w:r w:rsidRPr="004876A4">
        <w:rPr>
          <w:i/>
        </w:rPr>
        <w:t xml:space="preserve">After the Rights Revolution: Reconceiving the </w:t>
      </w:r>
      <w:r w:rsidR="00B85932">
        <w:rPr>
          <w:i/>
        </w:rPr>
        <w:t>R</w:t>
      </w:r>
      <w:r w:rsidRPr="004876A4">
        <w:rPr>
          <w:i/>
        </w:rPr>
        <w:t>egulatory State</w:t>
      </w:r>
      <w:r w:rsidR="004876A4">
        <w:rPr>
          <w:rFonts w:hint="eastAsia"/>
          <w:lang w:eastAsia="ja-JP"/>
        </w:rPr>
        <w:t xml:space="preserve">. </w:t>
      </w:r>
      <w:r w:rsidR="004876A4" w:rsidRPr="0055646B">
        <w:t>Cambridge</w:t>
      </w:r>
      <w:r w:rsidR="004876A4">
        <w:rPr>
          <w:rFonts w:hint="eastAsia"/>
          <w:lang w:eastAsia="ja-JP"/>
        </w:rPr>
        <w:t>,</w:t>
      </w:r>
      <w:r w:rsidR="004876A4" w:rsidRPr="0055646B">
        <w:t xml:space="preserve"> MA</w:t>
      </w:r>
      <w:r w:rsidR="004876A4">
        <w:rPr>
          <w:rFonts w:hint="eastAsia"/>
          <w:lang w:eastAsia="ja-JP"/>
        </w:rPr>
        <w:t>:</w:t>
      </w:r>
      <w:r w:rsidR="004876A4">
        <w:t xml:space="preserve"> Harvard UP</w:t>
      </w:r>
      <w:r w:rsidR="004876A4">
        <w:rPr>
          <w:rFonts w:hint="eastAsia"/>
          <w:lang w:eastAsia="ja-JP"/>
        </w:rPr>
        <w:t>.</w:t>
      </w:r>
    </w:p>
    <w:p w14:paraId="5E1E1230" w14:textId="77777777" w:rsidR="000452AB" w:rsidRPr="0055646B" w:rsidRDefault="000452AB" w:rsidP="0093196D">
      <w:pPr>
        <w:pStyle w:val="NoSpacing"/>
      </w:pPr>
    </w:p>
    <w:p w14:paraId="42ACA6A9" w14:textId="77777777" w:rsidR="000452AB" w:rsidRPr="0055646B" w:rsidRDefault="000452AB" w:rsidP="00B85932">
      <w:pPr>
        <w:pStyle w:val="NoSpacing"/>
      </w:pPr>
      <w:r w:rsidRPr="0055646B">
        <w:t>Takahashi, H</w:t>
      </w:r>
      <w:r w:rsidR="004876A4">
        <w:rPr>
          <w:rFonts w:hint="eastAsia"/>
          <w:lang w:eastAsia="ja-JP"/>
        </w:rPr>
        <w:t>.</w:t>
      </w:r>
      <w:r w:rsidRPr="0055646B">
        <w:t xml:space="preserve"> (2009) </w:t>
      </w:r>
      <w:r w:rsidRPr="0055646B">
        <w:rPr>
          <w:i/>
        </w:rPr>
        <w:t>Innovation to Sekjigaku – Jouhou</w:t>
      </w:r>
      <w:r w:rsidR="00332F4B">
        <w:rPr>
          <w:i/>
        </w:rPr>
        <w:t xml:space="preserve"> Ts</w:t>
      </w:r>
      <w:r w:rsidRPr="0055646B">
        <w:rPr>
          <w:i/>
        </w:rPr>
        <w:t>u</w:t>
      </w:r>
      <w:r w:rsidR="00332F4B">
        <w:rPr>
          <w:i/>
        </w:rPr>
        <w:t>’</w:t>
      </w:r>
      <w:r w:rsidRPr="0055646B">
        <w:rPr>
          <w:i/>
        </w:rPr>
        <w:t>ush</w:t>
      </w:r>
      <w:r w:rsidR="00332F4B">
        <w:rPr>
          <w:i/>
        </w:rPr>
        <w:t>i</w:t>
      </w:r>
      <w:r w:rsidRPr="0055646B">
        <w:rPr>
          <w:i/>
        </w:rPr>
        <w:t>n Kakumei &lt;Nihon no Okure&gt; no Seijikatei</w:t>
      </w:r>
      <w:r w:rsidR="004876A4">
        <w:t xml:space="preserve"> </w:t>
      </w:r>
      <w:r w:rsidR="004876A4">
        <w:rPr>
          <w:rFonts w:hint="eastAsia"/>
          <w:lang w:eastAsia="ja-JP"/>
        </w:rPr>
        <w:t>[</w:t>
      </w:r>
      <w:r w:rsidRPr="0055646B">
        <w:t>Innovation and Politic</w:t>
      </w:r>
      <w:r w:rsidR="00332F4B">
        <w:t>al Science</w:t>
      </w:r>
      <w:r w:rsidRPr="0055646B">
        <w:t xml:space="preserve"> – the Political Processes of I</w:t>
      </w:r>
      <w:r w:rsidR="00332F4B">
        <w:t>C</w:t>
      </w:r>
      <w:r w:rsidRPr="0055646B">
        <w:t>T Revolution &lt;Japan’s delay&gt;</w:t>
      </w:r>
      <w:r w:rsidR="004876A4">
        <w:rPr>
          <w:rFonts w:hint="eastAsia"/>
          <w:lang w:eastAsia="ja-JP"/>
        </w:rPr>
        <w:t>].</w:t>
      </w:r>
      <w:r w:rsidRPr="0055646B">
        <w:t xml:space="preserve"> </w:t>
      </w:r>
      <w:r w:rsidR="004876A4">
        <w:rPr>
          <w:rFonts w:hint="eastAsia"/>
          <w:lang w:eastAsia="ja-JP"/>
        </w:rPr>
        <w:t xml:space="preserve">Tokyo: </w:t>
      </w:r>
      <w:r w:rsidRPr="0055646B">
        <w:t>Keisou</w:t>
      </w:r>
      <w:r w:rsidR="00B85932">
        <w:t xml:space="preserve"> S</w:t>
      </w:r>
      <w:r w:rsidRPr="0055646B">
        <w:t>hobou</w:t>
      </w:r>
      <w:r w:rsidR="004876A4">
        <w:rPr>
          <w:rFonts w:hint="eastAsia"/>
          <w:lang w:eastAsia="ja-JP"/>
        </w:rPr>
        <w:t>.</w:t>
      </w:r>
    </w:p>
    <w:p w14:paraId="74827875" w14:textId="77777777" w:rsidR="000452AB" w:rsidRPr="0055646B" w:rsidRDefault="000452AB" w:rsidP="0093196D">
      <w:pPr>
        <w:pStyle w:val="NoSpacing"/>
      </w:pPr>
    </w:p>
    <w:p w14:paraId="4C542341" w14:textId="77777777" w:rsidR="000452AB" w:rsidRPr="0055646B" w:rsidRDefault="000452AB" w:rsidP="00B85932">
      <w:pPr>
        <w:pStyle w:val="NoSpacing"/>
        <w:rPr>
          <w:lang w:eastAsia="ja-JP"/>
        </w:rPr>
      </w:pPr>
      <w:r w:rsidRPr="0055646B">
        <w:t>Takeshima, K</w:t>
      </w:r>
      <w:r w:rsidR="004876A4">
        <w:rPr>
          <w:rFonts w:hint="eastAsia"/>
          <w:lang w:eastAsia="ja-JP"/>
        </w:rPr>
        <w:t>.</w:t>
      </w:r>
      <w:r w:rsidRPr="0055646B">
        <w:t xml:space="preserve"> (2007) ‘Endeavour to Establish a Rigorous Enforcement of the Antimonopoly Act in Japan’, Remarks for Session</w:t>
      </w:r>
      <w:r w:rsidR="00B85932">
        <w:t xml:space="preserve"> </w:t>
      </w:r>
      <w:r w:rsidRPr="0055646B">
        <w:t>1</w:t>
      </w:r>
      <w:r w:rsidR="00B85932">
        <w:t xml:space="preserve"> </w:t>
      </w:r>
      <w:r w:rsidRPr="0055646B">
        <w:t>“Recent Development of Competition Law and Policy in East Asian Economies”,</w:t>
      </w:r>
      <w:r w:rsidR="00B85932">
        <w:t xml:space="preserve"> in </w:t>
      </w:r>
      <w:r w:rsidRPr="00B85932">
        <w:rPr>
          <w:i/>
        </w:rPr>
        <w:t xml:space="preserve">The 4th East Asia Conference on Competition Law and Policy, Hanoi, Vietnam, </w:t>
      </w:r>
      <w:r w:rsidR="004876A4" w:rsidRPr="00B85932">
        <w:rPr>
          <w:rFonts w:hint="eastAsia"/>
          <w:i/>
          <w:lang w:eastAsia="ja-JP"/>
        </w:rPr>
        <w:t xml:space="preserve">3 </w:t>
      </w:r>
      <w:r w:rsidRPr="00B85932">
        <w:rPr>
          <w:i/>
        </w:rPr>
        <w:t>May 2007</w:t>
      </w:r>
      <w:r w:rsidR="004876A4">
        <w:rPr>
          <w:rFonts w:hint="eastAsia"/>
          <w:lang w:eastAsia="ja-JP"/>
        </w:rPr>
        <w:t xml:space="preserve"> [online]. Available from:</w:t>
      </w:r>
    </w:p>
    <w:p w14:paraId="52D94D1A" w14:textId="77777777" w:rsidR="000452AB" w:rsidRPr="0055646B" w:rsidRDefault="00050AB3" w:rsidP="0093196D">
      <w:pPr>
        <w:pStyle w:val="NoSpacing"/>
      </w:pPr>
      <w:hyperlink r:id="rId38" w:history="1">
        <w:r w:rsidR="000452AB" w:rsidRPr="0055646B">
          <w:rPr>
            <w:rStyle w:val="Hyperlink"/>
          </w:rPr>
          <w:t>http://www.jftc.go.jp/en/policy_enforcement/speeches/070503.html</w:t>
        </w:r>
      </w:hyperlink>
      <w:r w:rsidR="004876A4">
        <w:t xml:space="preserve"> </w:t>
      </w:r>
      <w:r w:rsidR="004876A4">
        <w:rPr>
          <w:rFonts w:hint="eastAsia"/>
          <w:lang w:eastAsia="ja-JP"/>
        </w:rPr>
        <w:t>[A</w:t>
      </w:r>
      <w:r w:rsidR="000452AB" w:rsidRPr="0055646B">
        <w:t>ccessed 11 April 2012</w:t>
      </w:r>
      <w:r w:rsidR="004876A4">
        <w:rPr>
          <w:rFonts w:hint="eastAsia"/>
          <w:lang w:eastAsia="ja-JP"/>
        </w:rPr>
        <w:t>].</w:t>
      </w:r>
    </w:p>
    <w:p w14:paraId="756FCC23" w14:textId="77777777" w:rsidR="000452AB" w:rsidRPr="0055646B" w:rsidRDefault="000452AB" w:rsidP="0093196D">
      <w:pPr>
        <w:pStyle w:val="NoSpacing"/>
      </w:pPr>
    </w:p>
    <w:p w14:paraId="5CF757EB" w14:textId="77777777" w:rsidR="000452AB" w:rsidRDefault="000452AB" w:rsidP="007C7F0C">
      <w:pPr>
        <w:pStyle w:val="NoSpacing"/>
      </w:pPr>
      <w:r w:rsidRPr="0055646B">
        <w:t>TDSC (Telecommunications</w:t>
      </w:r>
      <w:r w:rsidR="004876A4">
        <w:t xml:space="preserve"> Dispute Settlement Commission </w:t>
      </w:r>
      <w:r w:rsidR="004876A4">
        <w:rPr>
          <w:rFonts w:hint="eastAsia"/>
          <w:lang w:eastAsia="ja-JP"/>
        </w:rPr>
        <w:t>[</w:t>
      </w:r>
      <w:r w:rsidRPr="0055646B">
        <w:rPr>
          <w:i/>
          <w:iCs/>
        </w:rPr>
        <w:t>Denkitsushin Hunso Shori I’inkai</w:t>
      </w:r>
      <w:r w:rsidR="004876A4">
        <w:rPr>
          <w:rFonts w:hint="eastAsia"/>
          <w:lang w:eastAsia="ja-JP"/>
        </w:rPr>
        <w:t>]</w:t>
      </w:r>
      <w:r w:rsidRPr="0055646B">
        <w:t xml:space="preserve">) (2011a) </w:t>
      </w:r>
      <w:r w:rsidRPr="0055646B">
        <w:rPr>
          <w:i/>
          <w:iCs/>
        </w:rPr>
        <w:t>I’inkai no Soshiki, Kinou, Yakuwari tou: Soshiki</w:t>
      </w:r>
      <w:r w:rsidR="004876A4">
        <w:t xml:space="preserve"> </w:t>
      </w:r>
      <w:r w:rsidR="004876A4">
        <w:rPr>
          <w:rFonts w:hint="eastAsia"/>
          <w:lang w:eastAsia="ja-JP"/>
        </w:rPr>
        <w:t>[</w:t>
      </w:r>
      <w:r w:rsidRPr="0018441E">
        <w:rPr>
          <w:i/>
          <w:iCs/>
        </w:rPr>
        <w:t>Commission’s structure, functions, roles etc.: structure</w:t>
      </w:r>
      <w:r w:rsidR="004876A4">
        <w:rPr>
          <w:rFonts w:hint="eastAsia"/>
          <w:lang w:eastAsia="ja-JP"/>
        </w:rPr>
        <w:t xml:space="preserve">] [online]. Available from: </w:t>
      </w:r>
      <w:hyperlink r:id="rId39" w:history="1">
        <w:r w:rsidRPr="0055646B">
          <w:rPr>
            <w:rStyle w:val="Hyperlink"/>
          </w:rPr>
          <w:t>http://www.soumu.go.jp/main_sosiki/hunso/outline/about.html</w:t>
        </w:r>
      </w:hyperlink>
      <w:r w:rsidR="007C7F0C">
        <w:rPr>
          <w:lang w:eastAsia="ja-JP"/>
        </w:rPr>
        <w:t xml:space="preserve"> </w:t>
      </w:r>
      <w:r w:rsidR="004876A4">
        <w:rPr>
          <w:rFonts w:hint="eastAsia"/>
          <w:lang w:eastAsia="ja-JP"/>
        </w:rPr>
        <w:t>[</w:t>
      </w:r>
      <w:r w:rsidR="004876A4">
        <w:t>Accessed 24 December 2011</w:t>
      </w:r>
      <w:r w:rsidR="004876A4">
        <w:rPr>
          <w:rFonts w:hint="eastAsia"/>
          <w:lang w:eastAsia="ja-JP"/>
        </w:rPr>
        <w:t>].</w:t>
      </w:r>
    </w:p>
    <w:p w14:paraId="17F4C04B" w14:textId="77777777" w:rsidR="004876A4" w:rsidRPr="0055646B" w:rsidRDefault="004876A4" w:rsidP="0093196D">
      <w:pPr>
        <w:pStyle w:val="NoSpacing"/>
        <w:rPr>
          <w:lang w:eastAsia="ja-JP"/>
        </w:rPr>
      </w:pPr>
    </w:p>
    <w:p w14:paraId="2381C2A2" w14:textId="77777777" w:rsidR="000452AB" w:rsidRPr="0055646B" w:rsidRDefault="000452AB" w:rsidP="007C7F0C">
      <w:pPr>
        <w:pStyle w:val="NoSpacing"/>
      </w:pPr>
      <w:r w:rsidRPr="0055646B">
        <w:t xml:space="preserve">TDSC (Telecommunications Dispute Settlement Commission </w:t>
      </w:r>
      <w:r w:rsidR="004876A4">
        <w:rPr>
          <w:rFonts w:hint="eastAsia"/>
          <w:lang w:eastAsia="ja-JP"/>
        </w:rPr>
        <w:t>[</w:t>
      </w:r>
      <w:r w:rsidRPr="0055646B">
        <w:rPr>
          <w:i/>
          <w:iCs/>
        </w:rPr>
        <w:t>Denkitsushin Hunso Shori I’inkai</w:t>
      </w:r>
      <w:r w:rsidR="004876A4">
        <w:rPr>
          <w:rFonts w:hint="eastAsia"/>
          <w:lang w:eastAsia="ja-JP"/>
        </w:rPr>
        <w:t>]</w:t>
      </w:r>
      <w:r w:rsidRPr="0055646B">
        <w:t xml:space="preserve">) (2011b) </w:t>
      </w:r>
      <w:r w:rsidRPr="0055646B">
        <w:rPr>
          <w:i/>
          <w:iCs/>
        </w:rPr>
        <w:t>Hunso Shori Kensu, Uchiwake</w:t>
      </w:r>
      <w:r w:rsidRPr="0055646B">
        <w:t xml:space="preserve"> </w:t>
      </w:r>
      <w:r w:rsidR="004876A4">
        <w:rPr>
          <w:rFonts w:hint="eastAsia"/>
          <w:lang w:eastAsia="ja-JP"/>
        </w:rPr>
        <w:t>[</w:t>
      </w:r>
      <w:r w:rsidRPr="0018441E">
        <w:rPr>
          <w:i/>
          <w:iCs/>
        </w:rPr>
        <w:t>The Number and Details of Settled Dispute Cases</w:t>
      </w:r>
      <w:r w:rsidR="004876A4">
        <w:rPr>
          <w:rFonts w:hint="eastAsia"/>
          <w:lang w:eastAsia="ja-JP"/>
        </w:rPr>
        <w:t xml:space="preserve">] [online]. Available from: </w:t>
      </w:r>
      <w:hyperlink r:id="rId40" w:history="1">
        <w:r w:rsidRPr="0055646B">
          <w:rPr>
            <w:rStyle w:val="Hyperlink"/>
          </w:rPr>
          <w:t>http://www.soumu.go.jp/main_sosiki/hunso/case/number.html</w:t>
        </w:r>
      </w:hyperlink>
    </w:p>
    <w:p w14:paraId="44147BF8" w14:textId="77777777" w:rsidR="004876A4" w:rsidRPr="0055646B" w:rsidRDefault="004876A4" w:rsidP="004876A4">
      <w:pPr>
        <w:pStyle w:val="NoSpacing"/>
        <w:rPr>
          <w:lang w:eastAsia="ja-JP"/>
        </w:rPr>
      </w:pPr>
      <w:r>
        <w:rPr>
          <w:rFonts w:hint="eastAsia"/>
          <w:lang w:eastAsia="ja-JP"/>
        </w:rPr>
        <w:t>[</w:t>
      </w:r>
      <w:r>
        <w:t>Accessed 24 December 2011</w:t>
      </w:r>
      <w:r>
        <w:rPr>
          <w:rFonts w:hint="eastAsia"/>
          <w:lang w:eastAsia="ja-JP"/>
        </w:rPr>
        <w:t>].</w:t>
      </w:r>
    </w:p>
    <w:p w14:paraId="60E4BEFF" w14:textId="77777777" w:rsidR="004876A4" w:rsidRPr="0055646B" w:rsidRDefault="004876A4" w:rsidP="0093196D">
      <w:pPr>
        <w:pStyle w:val="NoSpacing"/>
        <w:rPr>
          <w:lang w:eastAsia="ja-JP"/>
        </w:rPr>
      </w:pPr>
    </w:p>
    <w:p w14:paraId="428017AD" w14:textId="77777777" w:rsidR="00D26A80" w:rsidRDefault="000452AB" w:rsidP="00205950">
      <w:pPr>
        <w:pStyle w:val="NoSpacing"/>
        <w:rPr>
          <w:lang w:eastAsia="ja-JP"/>
        </w:rPr>
      </w:pPr>
      <w:r w:rsidRPr="0055646B">
        <w:t>Tele</w:t>
      </w:r>
      <w:r w:rsidR="003C4A17">
        <w:t xml:space="preserve">communications Council (1996a) </w:t>
      </w:r>
      <w:r w:rsidR="00205950" w:rsidRPr="00205950">
        <w:rPr>
          <w:i/>
          <w:iCs/>
        </w:rPr>
        <w:t>Report on the ‘Status of Nippon Telegraph and Telephone Corporation’</w:t>
      </w:r>
      <w:r w:rsidR="00D26A80">
        <w:rPr>
          <w:lang w:eastAsia="ja-JP"/>
        </w:rPr>
        <w:t xml:space="preserve"> [online]</w:t>
      </w:r>
      <w:r w:rsidR="003C4A17">
        <w:rPr>
          <w:rFonts w:hint="eastAsia"/>
          <w:lang w:eastAsia="ja-JP"/>
        </w:rPr>
        <w:t>.</w:t>
      </w:r>
      <w:r w:rsidRPr="0055646B">
        <w:t xml:space="preserve"> </w:t>
      </w:r>
      <w:r w:rsidR="003C4A17">
        <w:rPr>
          <w:rFonts w:hint="eastAsia"/>
          <w:lang w:eastAsia="ja-JP"/>
        </w:rPr>
        <w:t xml:space="preserve">Tokyo: </w:t>
      </w:r>
      <w:r w:rsidRPr="0055646B">
        <w:t>Telecommunications Council</w:t>
      </w:r>
      <w:r w:rsidR="003C4A17">
        <w:rPr>
          <w:rFonts w:hint="eastAsia"/>
          <w:lang w:eastAsia="ja-JP"/>
        </w:rPr>
        <w:t>.</w:t>
      </w:r>
      <w:r w:rsidR="00D26A80">
        <w:rPr>
          <w:lang w:eastAsia="ja-JP"/>
        </w:rPr>
        <w:t xml:space="preserve"> Available from:</w:t>
      </w:r>
    </w:p>
    <w:p w14:paraId="471915EC" w14:textId="77777777" w:rsidR="000452AB" w:rsidRDefault="00050AB3" w:rsidP="0093196D">
      <w:pPr>
        <w:pStyle w:val="NoSpacing"/>
      </w:pPr>
      <w:hyperlink r:id="rId41" w:history="1">
        <w:r w:rsidR="00D26A80">
          <w:rPr>
            <w:rStyle w:val="Hyperlink"/>
          </w:rPr>
          <w:t>http://www.soumu.go.jp/main_sosiki/joho_tsusin/policyreports/english/telecouncil/NTT/Council-NTT.html</w:t>
        </w:r>
      </w:hyperlink>
      <w:r w:rsidR="00D26A80">
        <w:t xml:space="preserve"> [Accessed 29June 2013]</w:t>
      </w:r>
      <w:r w:rsidR="000C1738">
        <w:t>.</w:t>
      </w:r>
    </w:p>
    <w:p w14:paraId="286AE2EA" w14:textId="77777777" w:rsidR="00D26A80" w:rsidRPr="0055646B" w:rsidRDefault="00D26A80" w:rsidP="0093196D">
      <w:pPr>
        <w:pStyle w:val="NoSpacing"/>
      </w:pPr>
    </w:p>
    <w:p w14:paraId="278FFF3B" w14:textId="77777777" w:rsidR="000452AB" w:rsidRPr="0055646B" w:rsidRDefault="000452AB" w:rsidP="0093196D">
      <w:pPr>
        <w:pStyle w:val="NoSpacing"/>
      </w:pPr>
      <w:r w:rsidRPr="0055646B">
        <w:t>Telecommunications Cou</w:t>
      </w:r>
      <w:r w:rsidRPr="0055646B">
        <w:rPr>
          <w:rFonts w:hint="eastAsia"/>
        </w:rPr>
        <w:t>n</w:t>
      </w:r>
      <w:r w:rsidR="003C4A17">
        <w:t xml:space="preserve">cil (1996b) </w:t>
      </w:r>
      <w:r w:rsidRPr="003C4A17">
        <w:rPr>
          <w:i/>
        </w:rPr>
        <w:t>Basic Rules for Interconnection</w:t>
      </w:r>
      <w:r w:rsidR="003C4A17">
        <w:rPr>
          <w:rFonts w:hint="eastAsia"/>
          <w:lang w:eastAsia="ja-JP"/>
        </w:rPr>
        <w:t>. Tokyo:</w:t>
      </w:r>
      <w:r w:rsidRPr="0055646B">
        <w:t xml:space="preserve"> Telecommunications Council, 19</w:t>
      </w:r>
      <w:r w:rsidRPr="0055646B">
        <w:rPr>
          <w:vertAlign w:val="superscript"/>
        </w:rPr>
        <w:t>th</w:t>
      </w:r>
      <w:r w:rsidRPr="0055646B">
        <w:t xml:space="preserve"> December 1996</w:t>
      </w:r>
      <w:r w:rsidR="000C1738">
        <w:t>.</w:t>
      </w:r>
    </w:p>
    <w:p w14:paraId="5A3F3434" w14:textId="77777777" w:rsidR="000452AB" w:rsidRPr="0055646B" w:rsidRDefault="000452AB" w:rsidP="0093196D">
      <w:pPr>
        <w:pStyle w:val="NoSpacing"/>
      </w:pPr>
    </w:p>
    <w:p w14:paraId="45C28A74" w14:textId="77777777" w:rsidR="000452AB" w:rsidRPr="0055646B" w:rsidRDefault="000452AB" w:rsidP="0093196D">
      <w:pPr>
        <w:pStyle w:val="NoSpacing"/>
        <w:rPr>
          <w:lang w:eastAsia="ja-JP"/>
        </w:rPr>
      </w:pPr>
      <w:r w:rsidRPr="0055646B">
        <w:t>Tenbücken, M</w:t>
      </w:r>
      <w:r w:rsidR="003C4A17">
        <w:rPr>
          <w:rFonts w:hint="eastAsia"/>
          <w:lang w:eastAsia="ja-JP"/>
        </w:rPr>
        <w:t>.</w:t>
      </w:r>
      <w:r w:rsidRPr="0055646B">
        <w:t xml:space="preserve"> and Schneider, V</w:t>
      </w:r>
      <w:r w:rsidR="003C4A17">
        <w:rPr>
          <w:rFonts w:hint="eastAsia"/>
          <w:lang w:eastAsia="ja-JP"/>
        </w:rPr>
        <w:t>.</w:t>
      </w:r>
      <w:r w:rsidRPr="0055646B">
        <w:t xml:space="preserve"> (2004) ‘Divergent convergence: structures and functions of national regulatory authorities in the telecommunications sector’</w:t>
      </w:r>
      <w:r w:rsidR="007C7F0C">
        <w:t>,</w:t>
      </w:r>
      <w:r w:rsidRPr="0055646B">
        <w:t xml:space="preserve"> in J</w:t>
      </w:r>
      <w:r w:rsidR="003C4A17">
        <w:rPr>
          <w:rFonts w:hint="eastAsia"/>
          <w:lang w:eastAsia="ja-JP"/>
        </w:rPr>
        <w:t>.</w:t>
      </w:r>
      <w:r w:rsidRPr="0055646B">
        <w:t xml:space="preserve"> Jordana and D</w:t>
      </w:r>
      <w:r w:rsidR="003C4A17">
        <w:rPr>
          <w:rFonts w:hint="eastAsia"/>
          <w:lang w:eastAsia="ja-JP"/>
        </w:rPr>
        <w:t>.</w:t>
      </w:r>
      <w:r w:rsidRPr="0055646B">
        <w:t xml:space="preserve"> Levi-Faur </w:t>
      </w:r>
      <w:r w:rsidR="003C4A17">
        <w:rPr>
          <w:rFonts w:hint="eastAsia"/>
          <w:lang w:eastAsia="ja-JP"/>
        </w:rPr>
        <w:t>(</w:t>
      </w:r>
      <w:r w:rsidRPr="0055646B">
        <w:t>ed</w:t>
      </w:r>
      <w:r w:rsidR="003C4A17">
        <w:rPr>
          <w:rFonts w:hint="eastAsia"/>
          <w:lang w:eastAsia="ja-JP"/>
        </w:rPr>
        <w:t>s),</w:t>
      </w:r>
      <w:r w:rsidRPr="0055646B">
        <w:t xml:space="preserve"> </w:t>
      </w:r>
      <w:r w:rsidRPr="003C4A17">
        <w:rPr>
          <w:i/>
        </w:rPr>
        <w:t>The Politics of Regulation – Institutions and Regulatory Reforms for the Age of Governance</w:t>
      </w:r>
      <w:r w:rsidR="003C4A17">
        <w:rPr>
          <w:rFonts w:hint="eastAsia"/>
          <w:lang w:eastAsia="ja-JP"/>
        </w:rPr>
        <w:t>.</w:t>
      </w:r>
      <w:r w:rsidRPr="0055646B">
        <w:t xml:space="preserve"> </w:t>
      </w:r>
      <w:r w:rsidR="003C4A17" w:rsidRPr="0055646B">
        <w:t>Cheltenham</w:t>
      </w:r>
      <w:r w:rsidR="003C4A17">
        <w:rPr>
          <w:rFonts w:hint="eastAsia"/>
          <w:lang w:eastAsia="ja-JP"/>
        </w:rPr>
        <w:t>:</w:t>
      </w:r>
      <w:r w:rsidR="003C4A17" w:rsidRPr="0055646B">
        <w:t xml:space="preserve"> </w:t>
      </w:r>
      <w:r w:rsidRPr="0055646B">
        <w:t>Edward and Elgar Publishing Ltd., pp</w:t>
      </w:r>
      <w:r w:rsidR="003C4A17">
        <w:rPr>
          <w:rFonts w:hint="eastAsia"/>
          <w:lang w:eastAsia="ja-JP"/>
        </w:rPr>
        <w:t>.</w:t>
      </w:r>
      <w:r w:rsidRPr="0055646B">
        <w:t>245-72</w:t>
      </w:r>
      <w:r w:rsidR="003C4A17">
        <w:rPr>
          <w:rFonts w:hint="eastAsia"/>
          <w:lang w:eastAsia="ja-JP"/>
        </w:rPr>
        <w:t>.</w:t>
      </w:r>
    </w:p>
    <w:p w14:paraId="53465CA1" w14:textId="77777777" w:rsidR="000452AB" w:rsidRPr="0055646B" w:rsidRDefault="000452AB" w:rsidP="0093196D">
      <w:pPr>
        <w:pStyle w:val="NoSpacing"/>
      </w:pPr>
    </w:p>
    <w:p w14:paraId="4D5C7A2F" w14:textId="77777777" w:rsidR="000452AB" w:rsidRPr="0055646B" w:rsidRDefault="000452AB" w:rsidP="0093196D">
      <w:pPr>
        <w:pStyle w:val="NoSpacing"/>
        <w:rPr>
          <w:lang w:eastAsia="ja-JP"/>
        </w:rPr>
      </w:pPr>
      <w:r w:rsidRPr="0055646B">
        <w:rPr>
          <w:rFonts w:hint="eastAsia"/>
        </w:rPr>
        <w:t>Thatcher, M</w:t>
      </w:r>
      <w:r w:rsidR="003C4A17">
        <w:rPr>
          <w:rFonts w:hint="eastAsia"/>
          <w:lang w:eastAsia="ja-JP"/>
        </w:rPr>
        <w:t>.</w:t>
      </w:r>
      <w:r w:rsidRPr="0055646B">
        <w:rPr>
          <w:rFonts w:hint="eastAsia"/>
        </w:rPr>
        <w:t xml:space="preserve"> (1997) </w:t>
      </w:r>
      <w:r w:rsidRPr="0055646B">
        <w:t>‘</w:t>
      </w:r>
      <w:r w:rsidRPr="0055646B">
        <w:rPr>
          <w:rFonts w:hint="eastAsia"/>
        </w:rPr>
        <w:t>Institutions, Regulation and Change: New Regulatory Agencies in the British Privatised Utilities</w:t>
      </w:r>
      <w:r w:rsidRPr="0055646B">
        <w:t>’</w:t>
      </w:r>
      <w:r w:rsidRPr="0055646B">
        <w:rPr>
          <w:rFonts w:hint="eastAsia"/>
        </w:rPr>
        <w:t xml:space="preserve">, </w:t>
      </w:r>
      <w:r w:rsidRPr="003C4A17">
        <w:rPr>
          <w:rFonts w:hint="eastAsia"/>
          <w:i/>
        </w:rPr>
        <w:t>West European Politics</w:t>
      </w:r>
      <w:r w:rsidR="003C4A17">
        <w:rPr>
          <w:rFonts w:hint="eastAsia"/>
          <w:lang w:eastAsia="ja-JP"/>
        </w:rPr>
        <w:t xml:space="preserve">, </w:t>
      </w:r>
      <w:r w:rsidRPr="0055646B">
        <w:rPr>
          <w:rFonts w:hint="eastAsia"/>
        </w:rPr>
        <w:t>21</w:t>
      </w:r>
      <w:r w:rsidR="003C4A17">
        <w:rPr>
          <w:rFonts w:hint="eastAsia"/>
          <w:lang w:eastAsia="ja-JP"/>
        </w:rPr>
        <w:t>,</w:t>
      </w:r>
      <w:r w:rsidRPr="0055646B">
        <w:rPr>
          <w:rFonts w:hint="eastAsia"/>
        </w:rPr>
        <w:t xml:space="preserve"> (1)</w:t>
      </w:r>
      <w:r w:rsidR="003C4A17">
        <w:rPr>
          <w:rFonts w:hint="eastAsia"/>
          <w:lang w:eastAsia="ja-JP"/>
        </w:rPr>
        <w:t>,</w:t>
      </w:r>
      <w:r w:rsidRPr="0055646B">
        <w:rPr>
          <w:rFonts w:hint="eastAsia"/>
        </w:rPr>
        <w:t xml:space="preserve"> pp.120-47</w:t>
      </w:r>
      <w:r w:rsidR="003C4A17">
        <w:rPr>
          <w:rFonts w:hint="eastAsia"/>
          <w:lang w:eastAsia="ja-JP"/>
        </w:rPr>
        <w:t>.</w:t>
      </w:r>
    </w:p>
    <w:p w14:paraId="6FC833EA" w14:textId="77777777" w:rsidR="000452AB" w:rsidRDefault="000452AB" w:rsidP="0093196D">
      <w:pPr>
        <w:pStyle w:val="NoSpacing"/>
      </w:pPr>
    </w:p>
    <w:p w14:paraId="6E7C85DA" w14:textId="77777777" w:rsidR="00EC0602" w:rsidRDefault="00EC0602" w:rsidP="00EC0602">
      <w:pPr>
        <w:pStyle w:val="NoSpacing"/>
        <w:rPr>
          <w:lang w:eastAsia="ja-JP"/>
        </w:rPr>
      </w:pPr>
      <w:r>
        <w:rPr>
          <w:lang w:eastAsia="ja-JP"/>
        </w:rPr>
        <w:t>Thatcher, M</w:t>
      </w:r>
      <w:r w:rsidR="003C4A17">
        <w:rPr>
          <w:rFonts w:hint="eastAsia"/>
          <w:lang w:eastAsia="ja-JP"/>
        </w:rPr>
        <w:t>.</w:t>
      </w:r>
      <w:r>
        <w:rPr>
          <w:lang w:eastAsia="ja-JP"/>
        </w:rPr>
        <w:t xml:space="preserve"> (2003) ‘Delegation to Independent Regulatory Agencies: Pressures, Functions and Contextual Mediation’, in </w:t>
      </w:r>
      <w:r w:rsidR="003C4A17">
        <w:rPr>
          <w:rFonts w:hint="eastAsia"/>
          <w:lang w:eastAsia="ja-JP"/>
        </w:rPr>
        <w:t xml:space="preserve">M. </w:t>
      </w:r>
      <w:r>
        <w:rPr>
          <w:lang w:eastAsia="ja-JP"/>
        </w:rPr>
        <w:t xml:space="preserve">Thatcher and </w:t>
      </w:r>
      <w:r w:rsidR="003C4A17">
        <w:rPr>
          <w:rFonts w:hint="eastAsia"/>
          <w:lang w:eastAsia="ja-JP"/>
        </w:rPr>
        <w:t xml:space="preserve">A. S. </w:t>
      </w:r>
      <w:r>
        <w:rPr>
          <w:lang w:eastAsia="ja-JP"/>
        </w:rPr>
        <w:t xml:space="preserve">Sweet </w:t>
      </w:r>
      <w:r w:rsidR="003C4A17">
        <w:rPr>
          <w:rFonts w:hint="eastAsia"/>
          <w:lang w:eastAsia="ja-JP"/>
        </w:rPr>
        <w:t>(</w:t>
      </w:r>
      <w:r>
        <w:rPr>
          <w:lang w:eastAsia="ja-JP"/>
        </w:rPr>
        <w:t>ed</w:t>
      </w:r>
      <w:r w:rsidR="003C4A17">
        <w:rPr>
          <w:rFonts w:hint="eastAsia"/>
          <w:lang w:eastAsia="ja-JP"/>
        </w:rPr>
        <w:t>s),</w:t>
      </w:r>
      <w:r>
        <w:rPr>
          <w:lang w:eastAsia="ja-JP"/>
        </w:rPr>
        <w:t xml:space="preserve"> </w:t>
      </w:r>
      <w:r w:rsidRPr="003C4A17">
        <w:rPr>
          <w:i/>
          <w:lang w:eastAsia="ja-JP"/>
        </w:rPr>
        <w:t>The Politics of Delegation</w:t>
      </w:r>
      <w:r w:rsidR="003C4A17">
        <w:rPr>
          <w:rFonts w:hint="eastAsia"/>
          <w:lang w:eastAsia="ja-JP"/>
        </w:rPr>
        <w:t>.</w:t>
      </w:r>
      <w:r>
        <w:rPr>
          <w:lang w:eastAsia="ja-JP"/>
        </w:rPr>
        <w:t xml:space="preserve"> London/Portland, OR</w:t>
      </w:r>
      <w:r w:rsidR="003C4A17">
        <w:rPr>
          <w:rFonts w:hint="eastAsia"/>
          <w:lang w:eastAsia="ja-JP"/>
        </w:rPr>
        <w:t xml:space="preserve">: </w:t>
      </w:r>
      <w:r w:rsidR="003C4A17">
        <w:rPr>
          <w:lang w:eastAsia="ja-JP"/>
        </w:rPr>
        <w:t>Frank Cass</w:t>
      </w:r>
      <w:r>
        <w:rPr>
          <w:lang w:eastAsia="ja-JP"/>
        </w:rPr>
        <w:t>, pp.125-47</w:t>
      </w:r>
      <w:r w:rsidR="003C4A17">
        <w:rPr>
          <w:rFonts w:hint="eastAsia"/>
          <w:lang w:eastAsia="ja-JP"/>
        </w:rPr>
        <w:t>.</w:t>
      </w:r>
    </w:p>
    <w:p w14:paraId="3A27E120" w14:textId="77777777" w:rsidR="00EC0602" w:rsidRPr="0055646B" w:rsidRDefault="00EC0602" w:rsidP="0093196D">
      <w:pPr>
        <w:pStyle w:val="NoSpacing"/>
      </w:pPr>
    </w:p>
    <w:p w14:paraId="26F455E1" w14:textId="77777777" w:rsidR="000452AB" w:rsidRDefault="000452AB" w:rsidP="0093196D">
      <w:pPr>
        <w:pStyle w:val="NoSpacing"/>
      </w:pPr>
      <w:r>
        <w:rPr>
          <w:rFonts w:hint="eastAsia"/>
        </w:rPr>
        <w:t>T</w:t>
      </w:r>
      <w:r>
        <w:t>h</w:t>
      </w:r>
      <w:r>
        <w:rPr>
          <w:rFonts w:hint="eastAsia"/>
        </w:rPr>
        <w:t xml:space="preserve">e House of Councillors (2003) </w:t>
      </w:r>
      <w:r w:rsidRPr="007155DF">
        <w:rPr>
          <w:rFonts w:hint="eastAsia"/>
          <w:i/>
        </w:rPr>
        <w:t>Kaigiroku</w:t>
      </w:r>
      <w:r w:rsidR="003C4A17">
        <w:rPr>
          <w:rFonts w:hint="eastAsia"/>
          <w:lang w:eastAsia="ja-JP"/>
        </w:rPr>
        <w:t xml:space="preserve"> [</w:t>
      </w:r>
      <w:r>
        <w:rPr>
          <w:rFonts w:hint="eastAsia"/>
        </w:rPr>
        <w:t>Record of the Session</w:t>
      </w:r>
      <w:r w:rsidR="003C4A17">
        <w:rPr>
          <w:rFonts w:hint="eastAsia"/>
          <w:lang w:eastAsia="ja-JP"/>
        </w:rPr>
        <w:t>],</w:t>
      </w:r>
      <w:r>
        <w:rPr>
          <w:rFonts w:hint="eastAsia"/>
        </w:rPr>
        <w:t xml:space="preserve"> Thursday 22 May 2003, 156</w:t>
      </w:r>
      <w:r w:rsidRPr="007155DF">
        <w:rPr>
          <w:rFonts w:hint="eastAsia"/>
          <w:vertAlign w:val="superscript"/>
        </w:rPr>
        <w:t>th</w:t>
      </w:r>
      <w:r>
        <w:rPr>
          <w:rFonts w:hint="eastAsia"/>
        </w:rPr>
        <w:t xml:space="preserve"> Session, Internal Affairs and Communications Standing Committee, Vol.13 (26/226) </w:t>
      </w:r>
      <w:r w:rsidR="003C4A17">
        <w:rPr>
          <w:rFonts w:hint="eastAsia"/>
          <w:lang w:eastAsia="ja-JP"/>
        </w:rPr>
        <w:t xml:space="preserve">[online]. Available from: </w:t>
      </w:r>
      <w:hyperlink r:id="rId42" w:history="1">
        <w:r w:rsidRPr="00E7356E">
          <w:rPr>
            <w:rStyle w:val="Hyperlink"/>
          </w:rPr>
          <w:t>http://kokkai.ndl.go.jp</w:t>
        </w:r>
      </w:hyperlink>
      <w:r w:rsidR="003C4A17">
        <w:rPr>
          <w:rFonts w:hint="eastAsia"/>
          <w:lang w:eastAsia="ja-JP"/>
        </w:rPr>
        <w:t xml:space="preserve"> [A</w:t>
      </w:r>
      <w:r w:rsidR="003C4A17">
        <w:rPr>
          <w:rFonts w:hint="eastAsia"/>
        </w:rPr>
        <w:t>ccessed 7 November 2012</w:t>
      </w:r>
      <w:r w:rsidR="003C4A17">
        <w:rPr>
          <w:rFonts w:hint="eastAsia"/>
          <w:lang w:eastAsia="ja-JP"/>
        </w:rPr>
        <w:t>].</w:t>
      </w:r>
    </w:p>
    <w:p w14:paraId="068F56A2" w14:textId="77777777" w:rsidR="003C4A17" w:rsidRDefault="003C4A17" w:rsidP="0093196D">
      <w:pPr>
        <w:pStyle w:val="NoSpacing"/>
        <w:rPr>
          <w:lang w:eastAsia="ja-JP"/>
        </w:rPr>
      </w:pPr>
    </w:p>
    <w:p w14:paraId="43FB39AD" w14:textId="77777777" w:rsidR="000452AB" w:rsidRDefault="000452AB" w:rsidP="0093196D">
      <w:pPr>
        <w:pStyle w:val="NoSpacing"/>
        <w:rPr>
          <w:lang w:eastAsia="ja-JP"/>
        </w:rPr>
      </w:pPr>
      <w:r>
        <w:t xml:space="preserve">The </w:t>
      </w:r>
      <w:r w:rsidRPr="0055646B">
        <w:t>House of Representative</w:t>
      </w:r>
      <w:r>
        <w:rPr>
          <w:rFonts w:hint="eastAsia"/>
        </w:rPr>
        <w:t>s</w:t>
      </w:r>
      <w:r w:rsidRPr="0055646B">
        <w:t xml:space="preserve"> (</w:t>
      </w:r>
      <w:r>
        <w:rPr>
          <w:rFonts w:hint="eastAsia"/>
        </w:rPr>
        <w:t>1984a</w:t>
      </w:r>
      <w:r w:rsidRPr="0055646B">
        <w:t xml:space="preserve">) </w:t>
      </w:r>
      <w:r w:rsidRPr="0055646B">
        <w:rPr>
          <w:i/>
          <w:iCs/>
        </w:rPr>
        <w:t>Kaigiroku</w:t>
      </w:r>
      <w:r w:rsidRPr="0055646B">
        <w:t xml:space="preserve"> </w:t>
      </w:r>
      <w:r w:rsidR="003C4A17">
        <w:rPr>
          <w:rFonts w:hint="eastAsia"/>
          <w:lang w:eastAsia="ja-JP"/>
        </w:rPr>
        <w:t>[</w:t>
      </w:r>
      <w:r w:rsidRPr="0055646B">
        <w:t>Record of the Session</w:t>
      </w:r>
      <w:r w:rsidR="003C4A17">
        <w:rPr>
          <w:rFonts w:hint="eastAsia"/>
          <w:lang w:eastAsia="ja-JP"/>
        </w:rPr>
        <w:t>],</w:t>
      </w:r>
      <w:r w:rsidRPr="0055646B">
        <w:t xml:space="preserve"> </w:t>
      </w:r>
      <w:r>
        <w:rPr>
          <w:rFonts w:hint="eastAsia"/>
        </w:rPr>
        <w:t>Wednesday 20</w:t>
      </w:r>
      <w:r w:rsidRPr="0055646B">
        <w:t xml:space="preserve"> </w:t>
      </w:r>
      <w:r>
        <w:rPr>
          <w:rFonts w:hint="eastAsia"/>
        </w:rPr>
        <w:t>June</w:t>
      </w:r>
      <w:r w:rsidRPr="0055646B">
        <w:t xml:space="preserve"> </w:t>
      </w:r>
      <w:r>
        <w:rPr>
          <w:rFonts w:hint="eastAsia"/>
        </w:rPr>
        <w:t>1984,</w:t>
      </w:r>
      <w:r w:rsidRPr="0055646B">
        <w:t xml:space="preserve"> 1</w:t>
      </w:r>
      <w:r>
        <w:rPr>
          <w:rFonts w:hint="eastAsia"/>
        </w:rPr>
        <w:t>01</w:t>
      </w:r>
      <w:r w:rsidRPr="0055646B">
        <w:rPr>
          <w:vertAlign w:val="superscript"/>
        </w:rPr>
        <w:t>th</w:t>
      </w:r>
      <w:r w:rsidRPr="0055646B">
        <w:t xml:space="preserve"> Session</w:t>
      </w:r>
      <w:r>
        <w:rPr>
          <w:rFonts w:hint="eastAsia"/>
        </w:rPr>
        <w:t>,</w:t>
      </w:r>
      <w:r w:rsidRPr="0055646B">
        <w:t xml:space="preserve"> </w:t>
      </w:r>
      <w:r>
        <w:rPr>
          <w:rFonts w:hint="eastAsia"/>
        </w:rPr>
        <w:t xml:space="preserve">Communications Standing Committee, </w:t>
      </w:r>
      <w:r w:rsidRPr="0055646B">
        <w:t>Vol.1</w:t>
      </w:r>
      <w:r>
        <w:rPr>
          <w:rFonts w:hint="eastAsia"/>
        </w:rPr>
        <w:t>0</w:t>
      </w:r>
      <w:r w:rsidR="006834CE">
        <w:rPr>
          <w:rFonts w:hint="eastAsia"/>
          <w:lang w:eastAsia="ja-JP"/>
        </w:rPr>
        <w:t xml:space="preserve"> (</w:t>
      </w:r>
      <w:r w:rsidR="00465757">
        <w:rPr>
          <w:lang w:eastAsia="ja-JP"/>
        </w:rPr>
        <w:t xml:space="preserve">269, </w:t>
      </w:r>
      <w:r w:rsidR="006834CE">
        <w:rPr>
          <w:rFonts w:hint="eastAsia"/>
          <w:lang w:eastAsia="ja-JP"/>
        </w:rPr>
        <w:t>273/286)</w:t>
      </w:r>
      <w:r w:rsidR="003C4A17">
        <w:rPr>
          <w:rFonts w:hint="eastAsia"/>
          <w:lang w:eastAsia="ja-JP"/>
        </w:rPr>
        <w:t xml:space="preserve"> [online]. Available from: </w:t>
      </w:r>
      <w:hyperlink r:id="rId43" w:history="1">
        <w:r w:rsidR="00465757" w:rsidRPr="00AB3E4D">
          <w:rPr>
            <w:rStyle w:val="Hyperlink"/>
            <w:lang w:eastAsia="ja-JP"/>
          </w:rPr>
          <w:t>http://kokkai.ndl.go.jp</w:t>
        </w:r>
      </w:hyperlink>
      <w:r w:rsidR="003C4A17">
        <w:rPr>
          <w:lang w:eastAsia="ja-JP"/>
        </w:rPr>
        <w:t xml:space="preserve"> </w:t>
      </w:r>
      <w:r w:rsidR="003C4A17">
        <w:rPr>
          <w:rFonts w:hint="eastAsia"/>
          <w:lang w:eastAsia="ja-JP"/>
        </w:rPr>
        <w:t>[A</w:t>
      </w:r>
      <w:r w:rsidR="003C4A17">
        <w:rPr>
          <w:rFonts w:hint="eastAsia"/>
        </w:rPr>
        <w:t>ccessed 8 November 2012</w:t>
      </w:r>
      <w:r w:rsidR="003C4A17">
        <w:rPr>
          <w:rFonts w:hint="eastAsia"/>
          <w:lang w:eastAsia="ja-JP"/>
        </w:rPr>
        <w:t>].</w:t>
      </w:r>
    </w:p>
    <w:p w14:paraId="17E07DDD" w14:textId="77777777" w:rsidR="003C4A17" w:rsidRDefault="003C4A17" w:rsidP="0093196D">
      <w:pPr>
        <w:pStyle w:val="NoSpacing"/>
        <w:rPr>
          <w:lang w:eastAsia="ja-JP"/>
        </w:rPr>
      </w:pPr>
    </w:p>
    <w:p w14:paraId="1A493CDD" w14:textId="77777777" w:rsidR="000452AB" w:rsidRDefault="000452AB" w:rsidP="004E10B6">
      <w:pPr>
        <w:pStyle w:val="NoSpacing"/>
        <w:rPr>
          <w:lang w:eastAsia="ja-JP"/>
        </w:rPr>
      </w:pPr>
      <w:r>
        <w:t xml:space="preserve">The </w:t>
      </w:r>
      <w:r w:rsidRPr="0055646B">
        <w:t>House of Representative</w:t>
      </w:r>
      <w:r>
        <w:rPr>
          <w:rFonts w:hint="eastAsia"/>
        </w:rPr>
        <w:t>s</w:t>
      </w:r>
      <w:r w:rsidRPr="0055646B">
        <w:t xml:space="preserve"> (</w:t>
      </w:r>
      <w:r>
        <w:rPr>
          <w:rFonts w:hint="eastAsia"/>
        </w:rPr>
        <w:t>1984b</w:t>
      </w:r>
      <w:r w:rsidR="00D8544F">
        <w:t xml:space="preserve">) </w:t>
      </w:r>
      <w:r w:rsidRPr="0055646B">
        <w:rPr>
          <w:i/>
          <w:iCs/>
        </w:rPr>
        <w:t>Kaigiroku</w:t>
      </w:r>
      <w:r w:rsidRPr="0055646B">
        <w:t xml:space="preserve"> </w:t>
      </w:r>
      <w:r w:rsidR="003C4A17">
        <w:rPr>
          <w:rFonts w:hint="eastAsia"/>
          <w:lang w:eastAsia="ja-JP"/>
        </w:rPr>
        <w:t>[</w:t>
      </w:r>
      <w:r w:rsidRPr="0055646B">
        <w:t>Record of the Session</w:t>
      </w:r>
      <w:r w:rsidR="003C4A17">
        <w:rPr>
          <w:rFonts w:hint="eastAsia"/>
          <w:lang w:eastAsia="ja-JP"/>
        </w:rPr>
        <w:t>],</w:t>
      </w:r>
      <w:r>
        <w:rPr>
          <w:rFonts w:hint="eastAsia"/>
        </w:rPr>
        <w:t>Tuesday 17 July</w:t>
      </w:r>
      <w:r w:rsidRPr="0055646B">
        <w:t xml:space="preserve"> </w:t>
      </w:r>
      <w:r>
        <w:rPr>
          <w:rFonts w:hint="eastAsia"/>
        </w:rPr>
        <w:t>1984,</w:t>
      </w:r>
      <w:r w:rsidRPr="0055646B">
        <w:t xml:space="preserve"> 1</w:t>
      </w:r>
      <w:r>
        <w:rPr>
          <w:rFonts w:hint="eastAsia"/>
        </w:rPr>
        <w:t>01</w:t>
      </w:r>
      <w:r w:rsidRPr="0055646B">
        <w:rPr>
          <w:vertAlign w:val="superscript"/>
        </w:rPr>
        <w:t>th</w:t>
      </w:r>
      <w:r w:rsidRPr="0055646B">
        <w:t xml:space="preserve"> Session</w:t>
      </w:r>
      <w:r>
        <w:rPr>
          <w:rFonts w:hint="eastAsia"/>
        </w:rPr>
        <w:t>,</w:t>
      </w:r>
      <w:r w:rsidRPr="0055646B">
        <w:t xml:space="preserve"> </w:t>
      </w:r>
      <w:r>
        <w:rPr>
          <w:rFonts w:hint="eastAsia"/>
        </w:rPr>
        <w:t xml:space="preserve">Communications Standing Committee/Cabinet Standing Committee/Local Government Standing Committee/ Commerce Standing Committee/Standing Committee for Price Issues </w:t>
      </w:r>
      <w:r w:rsidR="004E10B6">
        <w:t>[</w:t>
      </w:r>
      <w:r>
        <w:rPr>
          <w:rFonts w:hint="eastAsia"/>
        </w:rPr>
        <w:t>Joint Standing Committee</w:t>
      </w:r>
      <w:r w:rsidR="004E10B6">
        <w:t>]</w:t>
      </w:r>
      <w:r>
        <w:rPr>
          <w:rFonts w:hint="eastAsia"/>
        </w:rPr>
        <w:t xml:space="preserve">, </w:t>
      </w:r>
      <w:r w:rsidRPr="0055646B">
        <w:t>Vol.1</w:t>
      </w:r>
      <w:r>
        <w:rPr>
          <w:rFonts w:hint="eastAsia"/>
        </w:rPr>
        <w:t xml:space="preserve"> (201/299)</w:t>
      </w:r>
      <w:r w:rsidR="003C4A17">
        <w:rPr>
          <w:rFonts w:hint="eastAsia"/>
          <w:lang w:eastAsia="ja-JP"/>
        </w:rPr>
        <w:t xml:space="preserve"> [online]. Available from:</w:t>
      </w:r>
      <w:r w:rsidR="00670234">
        <w:t xml:space="preserve"> </w:t>
      </w:r>
      <w:hyperlink r:id="rId44" w:history="1">
        <w:r w:rsidRPr="00B22F29">
          <w:rPr>
            <w:rStyle w:val="Hyperlink"/>
          </w:rPr>
          <w:t>http://kokkai.ndl.go.jp</w:t>
        </w:r>
      </w:hyperlink>
      <w:r w:rsidR="003C4A17">
        <w:rPr>
          <w:rFonts w:hint="eastAsia"/>
          <w:lang w:eastAsia="ja-JP"/>
        </w:rPr>
        <w:t xml:space="preserve"> [A</w:t>
      </w:r>
      <w:r w:rsidR="003C4A17">
        <w:rPr>
          <w:rFonts w:hint="eastAsia"/>
        </w:rPr>
        <w:t>ccessed 8 November 2012</w:t>
      </w:r>
      <w:r w:rsidR="003C4A17">
        <w:rPr>
          <w:rFonts w:hint="eastAsia"/>
          <w:lang w:eastAsia="ja-JP"/>
        </w:rPr>
        <w:t>].</w:t>
      </w:r>
    </w:p>
    <w:p w14:paraId="06B098E5" w14:textId="77777777" w:rsidR="000452AB" w:rsidRDefault="000452AB" w:rsidP="0093196D">
      <w:pPr>
        <w:pStyle w:val="NoSpacing"/>
      </w:pPr>
    </w:p>
    <w:p w14:paraId="3FE63BEB" w14:textId="77777777" w:rsidR="000452AB" w:rsidRPr="007C7F0C" w:rsidRDefault="000452AB" w:rsidP="0093196D">
      <w:pPr>
        <w:pStyle w:val="NoSpacing"/>
        <w:rPr>
          <w:lang w:val="fr-FR" w:eastAsia="ja-JP"/>
        </w:rPr>
      </w:pPr>
      <w:r>
        <w:t xml:space="preserve">The </w:t>
      </w:r>
      <w:r w:rsidRPr="0055646B">
        <w:t>House of Representative</w:t>
      </w:r>
      <w:r>
        <w:rPr>
          <w:rFonts w:hint="eastAsia"/>
        </w:rPr>
        <w:t>s</w:t>
      </w:r>
      <w:r w:rsidRPr="0055646B">
        <w:t xml:space="preserve"> (20</w:t>
      </w:r>
      <w:r>
        <w:t>04</w:t>
      </w:r>
      <w:r w:rsidR="00D8544F">
        <w:t xml:space="preserve">) </w:t>
      </w:r>
      <w:r w:rsidRPr="0055646B">
        <w:rPr>
          <w:i/>
          <w:iCs/>
        </w:rPr>
        <w:t>Kaigiroku</w:t>
      </w:r>
      <w:r w:rsidRPr="0055646B">
        <w:t xml:space="preserve"> </w:t>
      </w:r>
      <w:r w:rsidR="00D8544F">
        <w:rPr>
          <w:rFonts w:hint="eastAsia"/>
          <w:lang w:eastAsia="ja-JP"/>
        </w:rPr>
        <w:t>[</w:t>
      </w:r>
      <w:r w:rsidRPr="0055646B">
        <w:t>Record of the Session</w:t>
      </w:r>
      <w:r w:rsidR="00D8544F">
        <w:rPr>
          <w:rFonts w:hint="eastAsia"/>
          <w:lang w:eastAsia="ja-JP"/>
        </w:rPr>
        <w:t>],</w:t>
      </w:r>
      <w:r w:rsidRPr="0055646B">
        <w:t xml:space="preserve"> Tuesday 23 March 2004</w:t>
      </w:r>
      <w:r>
        <w:rPr>
          <w:rFonts w:hint="eastAsia"/>
        </w:rPr>
        <w:t>,</w:t>
      </w:r>
      <w:r w:rsidRPr="0055646B">
        <w:t xml:space="preserve"> 159</w:t>
      </w:r>
      <w:r w:rsidRPr="0055646B">
        <w:rPr>
          <w:vertAlign w:val="superscript"/>
        </w:rPr>
        <w:t>th</w:t>
      </w:r>
      <w:r w:rsidRPr="0055646B">
        <w:t xml:space="preserve"> Session</w:t>
      </w:r>
      <w:r>
        <w:rPr>
          <w:rFonts w:hint="eastAsia"/>
        </w:rPr>
        <w:t xml:space="preserve">, Plenary Session, </w:t>
      </w:r>
      <w:r w:rsidRPr="0055646B">
        <w:t>Vol.17</w:t>
      </w:r>
      <w:r w:rsidR="00D8544F">
        <w:rPr>
          <w:rFonts w:hint="eastAsia"/>
          <w:lang w:eastAsia="ja-JP"/>
        </w:rPr>
        <w:t xml:space="preserve"> [online]. </w:t>
      </w:r>
      <w:r w:rsidR="009F7534" w:rsidRPr="007C7F0C">
        <w:rPr>
          <w:lang w:val="fr-FR" w:eastAsia="ja-JP"/>
        </w:rPr>
        <w:t>Available from:</w:t>
      </w:r>
    </w:p>
    <w:p w14:paraId="7E957F15" w14:textId="77777777" w:rsidR="000452AB" w:rsidRPr="007C7F0C" w:rsidRDefault="00D11EA4" w:rsidP="0093196D">
      <w:pPr>
        <w:pStyle w:val="NoSpacing"/>
        <w:rPr>
          <w:lang w:val="fr-FR"/>
        </w:rPr>
      </w:pPr>
      <w:hyperlink r:id="rId45" w:history="1">
        <w:r w:rsidR="009F7534" w:rsidRPr="007C7F0C">
          <w:rPr>
            <w:rStyle w:val="Hyperlink"/>
            <w:lang w:val="fr-FR"/>
          </w:rPr>
          <w:t>http://www.shugiin.go.jp/itdb_kaigiroku.nsf/html/kaigiroku/000115920040323017.htm</w:t>
        </w:r>
      </w:hyperlink>
    </w:p>
    <w:p w14:paraId="48394B3B" w14:textId="77777777" w:rsidR="000452AB" w:rsidRDefault="00D8544F" w:rsidP="0093196D">
      <w:pPr>
        <w:pStyle w:val="NoSpacing"/>
        <w:rPr>
          <w:lang w:eastAsia="ja-JP"/>
        </w:rPr>
      </w:pPr>
      <w:r>
        <w:rPr>
          <w:rFonts w:hint="eastAsia"/>
          <w:lang w:eastAsia="ja-JP"/>
        </w:rPr>
        <w:t>[A</w:t>
      </w:r>
      <w:r w:rsidRPr="0055646B">
        <w:t>ccessed 17 April 2012</w:t>
      </w:r>
      <w:r>
        <w:rPr>
          <w:rFonts w:hint="eastAsia"/>
          <w:lang w:eastAsia="ja-JP"/>
        </w:rPr>
        <w:t>].</w:t>
      </w:r>
    </w:p>
    <w:p w14:paraId="5907E0FC" w14:textId="77777777" w:rsidR="00D8544F" w:rsidRDefault="00D8544F" w:rsidP="0093196D">
      <w:pPr>
        <w:pStyle w:val="NoSpacing"/>
        <w:rPr>
          <w:lang w:eastAsia="ja-JP"/>
        </w:rPr>
      </w:pPr>
    </w:p>
    <w:p w14:paraId="1E4F197D" w14:textId="77777777" w:rsidR="000452AB" w:rsidRDefault="000452AB" w:rsidP="0093196D">
      <w:pPr>
        <w:pStyle w:val="NoSpacing"/>
        <w:rPr>
          <w:lang w:eastAsia="ja-JP"/>
        </w:rPr>
      </w:pPr>
      <w:r>
        <w:t xml:space="preserve">The </w:t>
      </w:r>
      <w:r w:rsidRPr="0055646B">
        <w:t>House of Representative</w:t>
      </w:r>
      <w:r>
        <w:rPr>
          <w:rFonts w:hint="eastAsia"/>
        </w:rPr>
        <w:t>s</w:t>
      </w:r>
      <w:r w:rsidRPr="0055646B">
        <w:t xml:space="preserve"> (</w:t>
      </w:r>
      <w:r>
        <w:rPr>
          <w:rFonts w:hint="eastAsia"/>
        </w:rPr>
        <w:t>2010a</w:t>
      </w:r>
      <w:r w:rsidR="00D8544F">
        <w:t xml:space="preserve">) </w:t>
      </w:r>
      <w:r w:rsidRPr="0055646B">
        <w:rPr>
          <w:i/>
          <w:iCs/>
        </w:rPr>
        <w:t>Kaigiroku</w:t>
      </w:r>
      <w:r w:rsidR="00D8544F">
        <w:t xml:space="preserve"> </w:t>
      </w:r>
      <w:r w:rsidR="00D8544F">
        <w:rPr>
          <w:rFonts w:hint="eastAsia"/>
          <w:lang w:eastAsia="ja-JP"/>
        </w:rPr>
        <w:t>[</w:t>
      </w:r>
      <w:r w:rsidRPr="0055646B">
        <w:t>Record of the Session</w:t>
      </w:r>
      <w:r w:rsidR="00D8544F">
        <w:rPr>
          <w:rFonts w:hint="eastAsia"/>
          <w:lang w:eastAsia="ja-JP"/>
        </w:rPr>
        <w:t>],</w:t>
      </w:r>
      <w:r w:rsidRPr="0055646B">
        <w:t xml:space="preserve"> </w:t>
      </w:r>
      <w:r>
        <w:rPr>
          <w:rFonts w:hint="eastAsia"/>
        </w:rPr>
        <w:t>Wednesday 10 March</w:t>
      </w:r>
      <w:r w:rsidRPr="0055646B">
        <w:t xml:space="preserve"> </w:t>
      </w:r>
      <w:r>
        <w:rPr>
          <w:rFonts w:hint="eastAsia"/>
        </w:rPr>
        <w:t>2010,</w:t>
      </w:r>
      <w:r w:rsidRPr="0055646B">
        <w:t xml:space="preserve"> 1</w:t>
      </w:r>
      <w:r>
        <w:rPr>
          <w:rFonts w:hint="eastAsia"/>
        </w:rPr>
        <w:t>74</w:t>
      </w:r>
      <w:r w:rsidRPr="0055646B">
        <w:rPr>
          <w:vertAlign w:val="superscript"/>
        </w:rPr>
        <w:t>th</w:t>
      </w:r>
      <w:r w:rsidRPr="0055646B">
        <w:t xml:space="preserve"> Session</w:t>
      </w:r>
      <w:r>
        <w:rPr>
          <w:rFonts w:hint="eastAsia"/>
        </w:rPr>
        <w:t>,</w:t>
      </w:r>
      <w:r w:rsidRPr="0055646B">
        <w:t xml:space="preserve"> </w:t>
      </w:r>
      <w:r>
        <w:rPr>
          <w:rFonts w:hint="eastAsia"/>
        </w:rPr>
        <w:t xml:space="preserve">Economy and Industry Standing Committee, </w:t>
      </w:r>
      <w:r w:rsidRPr="0055646B">
        <w:t>Vol.1</w:t>
      </w:r>
      <w:r w:rsidR="00D8544F">
        <w:rPr>
          <w:rFonts w:hint="eastAsia"/>
          <w:lang w:eastAsia="ja-JP"/>
        </w:rPr>
        <w:t xml:space="preserve"> [online]. Available from:</w:t>
      </w:r>
    </w:p>
    <w:p w14:paraId="5B918023" w14:textId="77777777" w:rsidR="000452AB" w:rsidRDefault="00050AB3" w:rsidP="0093196D">
      <w:pPr>
        <w:pStyle w:val="NoSpacing"/>
      </w:pPr>
      <w:hyperlink r:id="rId46" w:history="1">
        <w:r w:rsidR="000452AB" w:rsidRPr="00F94F69">
          <w:rPr>
            <w:rStyle w:val="Hyperlink"/>
          </w:rPr>
          <w:t>http://www.shugiin.go.jp/index.nsf/html/index_kaigiroku.htm</w:t>
        </w:r>
      </w:hyperlink>
      <w:r w:rsidR="000452AB">
        <w:rPr>
          <w:rFonts w:hint="eastAsia"/>
        </w:rPr>
        <w:t xml:space="preserve"> </w:t>
      </w:r>
      <w:r w:rsidR="00D8544F">
        <w:rPr>
          <w:rFonts w:hint="eastAsia"/>
          <w:lang w:eastAsia="ja-JP"/>
        </w:rPr>
        <w:t>[</w:t>
      </w:r>
      <w:r w:rsidR="000452AB">
        <w:t>Accessed</w:t>
      </w:r>
      <w:r w:rsidR="000452AB">
        <w:rPr>
          <w:rFonts w:hint="eastAsia"/>
        </w:rPr>
        <w:t xml:space="preserve"> 10 November 2012</w:t>
      </w:r>
      <w:r w:rsidR="00D8544F">
        <w:rPr>
          <w:rFonts w:hint="eastAsia"/>
          <w:lang w:eastAsia="ja-JP"/>
        </w:rPr>
        <w:t>].</w:t>
      </w:r>
    </w:p>
    <w:p w14:paraId="77EDB39A" w14:textId="77777777" w:rsidR="000452AB" w:rsidRDefault="000452AB" w:rsidP="0093196D">
      <w:pPr>
        <w:pStyle w:val="NoSpacing"/>
      </w:pPr>
    </w:p>
    <w:p w14:paraId="75100291" w14:textId="77777777" w:rsidR="000452AB" w:rsidRDefault="000452AB" w:rsidP="0093196D">
      <w:pPr>
        <w:pStyle w:val="NoSpacing"/>
        <w:rPr>
          <w:lang w:eastAsia="ja-JP"/>
        </w:rPr>
      </w:pPr>
      <w:r>
        <w:t xml:space="preserve">The </w:t>
      </w:r>
      <w:r w:rsidRPr="0055646B">
        <w:t>House of Representative</w:t>
      </w:r>
      <w:r>
        <w:rPr>
          <w:rFonts w:hint="eastAsia"/>
        </w:rPr>
        <w:t>s</w:t>
      </w:r>
      <w:r w:rsidRPr="0055646B">
        <w:t xml:space="preserve"> (</w:t>
      </w:r>
      <w:r>
        <w:rPr>
          <w:rFonts w:hint="eastAsia"/>
        </w:rPr>
        <w:t>2010b</w:t>
      </w:r>
      <w:r w:rsidRPr="0055646B">
        <w:t xml:space="preserve">) </w:t>
      </w:r>
      <w:r w:rsidRPr="0055646B">
        <w:rPr>
          <w:i/>
          <w:iCs/>
        </w:rPr>
        <w:t>Kaigiroku</w:t>
      </w:r>
      <w:r w:rsidR="00D8544F">
        <w:rPr>
          <w:rFonts w:hint="eastAsia"/>
          <w:lang w:eastAsia="ja-JP"/>
        </w:rPr>
        <w:t xml:space="preserve"> [</w:t>
      </w:r>
      <w:r w:rsidRPr="0055646B">
        <w:t>Record of the Session</w:t>
      </w:r>
      <w:r w:rsidR="00D8544F">
        <w:rPr>
          <w:rFonts w:hint="eastAsia"/>
          <w:lang w:eastAsia="ja-JP"/>
        </w:rPr>
        <w:t>],</w:t>
      </w:r>
      <w:r w:rsidRPr="0055646B">
        <w:t xml:space="preserve"> </w:t>
      </w:r>
      <w:r>
        <w:rPr>
          <w:rFonts w:hint="eastAsia"/>
        </w:rPr>
        <w:t>Friday 21 May</w:t>
      </w:r>
      <w:r w:rsidRPr="0055646B">
        <w:t xml:space="preserve"> </w:t>
      </w:r>
      <w:r>
        <w:rPr>
          <w:rFonts w:hint="eastAsia"/>
        </w:rPr>
        <w:t>2010,</w:t>
      </w:r>
      <w:r w:rsidRPr="0055646B">
        <w:t xml:space="preserve"> 1</w:t>
      </w:r>
      <w:r>
        <w:rPr>
          <w:rFonts w:hint="eastAsia"/>
        </w:rPr>
        <w:t>74</w:t>
      </w:r>
      <w:r w:rsidRPr="0055646B">
        <w:rPr>
          <w:vertAlign w:val="superscript"/>
        </w:rPr>
        <w:t>th</w:t>
      </w:r>
      <w:r w:rsidRPr="0055646B">
        <w:t xml:space="preserve"> Session</w:t>
      </w:r>
      <w:r>
        <w:rPr>
          <w:rFonts w:hint="eastAsia"/>
        </w:rPr>
        <w:t>,</w:t>
      </w:r>
      <w:r w:rsidRPr="0055646B">
        <w:t xml:space="preserve"> </w:t>
      </w:r>
      <w:r>
        <w:rPr>
          <w:rFonts w:hint="eastAsia"/>
        </w:rPr>
        <w:t xml:space="preserve">Economy and Industry Standing Committee, </w:t>
      </w:r>
      <w:r w:rsidRPr="0055646B">
        <w:t>Vol.1</w:t>
      </w:r>
      <w:r>
        <w:rPr>
          <w:rFonts w:hint="eastAsia"/>
        </w:rPr>
        <w:t>3</w:t>
      </w:r>
      <w:r w:rsidR="00D8544F">
        <w:rPr>
          <w:rFonts w:hint="eastAsia"/>
          <w:lang w:eastAsia="ja-JP"/>
        </w:rPr>
        <w:t xml:space="preserve"> [online]. Available from: </w:t>
      </w:r>
    </w:p>
    <w:p w14:paraId="023F7CF9" w14:textId="77777777" w:rsidR="000452AB" w:rsidRDefault="00050AB3" w:rsidP="0093196D">
      <w:pPr>
        <w:pStyle w:val="NoSpacing"/>
      </w:pPr>
      <w:hyperlink r:id="rId47" w:history="1">
        <w:r w:rsidR="000452AB" w:rsidRPr="00F94F69">
          <w:rPr>
            <w:rStyle w:val="Hyperlink"/>
          </w:rPr>
          <w:t>http://www.shugiin.go.jp/index.nsf/html/index_kaigiroku.htm</w:t>
        </w:r>
      </w:hyperlink>
      <w:r w:rsidR="000452AB">
        <w:rPr>
          <w:rFonts w:hint="eastAsia"/>
        </w:rPr>
        <w:t xml:space="preserve"> </w:t>
      </w:r>
      <w:r w:rsidR="00D8544F">
        <w:rPr>
          <w:rFonts w:hint="eastAsia"/>
          <w:lang w:eastAsia="ja-JP"/>
        </w:rPr>
        <w:t>[</w:t>
      </w:r>
      <w:r w:rsidR="000452AB">
        <w:t>Accessed</w:t>
      </w:r>
      <w:r w:rsidR="000452AB">
        <w:rPr>
          <w:rFonts w:hint="eastAsia"/>
        </w:rPr>
        <w:t xml:space="preserve"> 10 N</w:t>
      </w:r>
      <w:r w:rsidR="000452AB">
        <w:t>o</w:t>
      </w:r>
      <w:r w:rsidR="000452AB">
        <w:rPr>
          <w:rFonts w:hint="eastAsia"/>
        </w:rPr>
        <w:t>vember 2012</w:t>
      </w:r>
      <w:r w:rsidR="00D8544F">
        <w:rPr>
          <w:rFonts w:hint="eastAsia"/>
          <w:lang w:eastAsia="ja-JP"/>
        </w:rPr>
        <w:t>].</w:t>
      </w:r>
    </w:p>
    <w:p w14:paraId="58AA1F84" w14:textId="77777777" w:rsidR="000452AB" w:rsidRPr="0055646B" w:rsidRDefault="000452AB" w:rsidP="0093196D">
      <w:pPr>
        <w:pStyle w:val="NoSpacing"/>
      </w:pPr>
    </w:p>
    <w:p w14:paraId="1187FA9A" w14:textId="77777777" w:rsidR="000452AB" w:rsidRPr="0055646B" w:rsidRDefault="000452AB" w:rsidP="0093196D">
      <w:pPr>
        <w:pStyle w:val="NoSpacing"/>
        <w:rPr>
          <w:lang w:eastAsia="ja-JP"/>
        </w:rPr>
      </w:pPr>
      <w:r w:rsidRPr="0055646B">
        <w:t>Thelen, K</w:t>
      </w:r>
      <w:r w:rsidR="00D8544F">
        <w:rPr>
          <w:rFonts w:hint="eastAsia"/>
          <w:lang w:eastAsia="ja-JP"/>
        </w:rPr>
        <w:t>.</w:t>
      </w:r>
      <w:r w:rsidRPr="0055646B">
        <w:t xml:space="preserve"> (2009) ‘First Annual Lecture of the BJIR: Institutional Change in Advanced Political Economies’, </w:t>
      </w:r>
      <w:r w:rsidRPr="00D8544F">
        <w:rPr>
          <w:i/>
        </w:rPr>
        <w:t>British Journal of Industrial Relations</w:t>
      </w:r>
      <w:r w:rsidR="00D8544F">
        <w:rPr>
          <w:rFonts w:hint="eastAsia"/>
          <w:lang w:eastAsia="ja-JP"/>
        </w:rPr>
        <w:t>,</w:t>
      </w:r>
      <w:r w:rsidRPr="0055646B">
        <w:t xml:space="preserve"> 47</w:t>
      </w:r>
      <w:r w:rsidR="00D8544F">
        <w:rPr>
          <w:rFonts w:hint="eastAsia"/>
          <w:lang w:eastAsia="ja-JP"/>
        </w:rPr>
        <w:t xml:space="preserve">, (3), </w:t>
      </w:r>
      <w:r w:rsidRPr="0055646B">
        <w:t>pp.471-98</w:t>
      </w:r>
      <w:r w:rsidR="00D8544F">
        <w:rPr>
          <w:rFonts w:hint="eastAsia"/>
          <w:lang w:eastAsia="ja-JP"/>
        </w:rPr>
        <w:t>.</w:t>
      </w:r>
    </w:p>
    <w:p w14:paraId="28A5A2CA" w14:textId="77777777" w:rsidR="000452AB" w:rsidRPr="0055646B" w:rsidRDefault="000452AB" w:rsidP="0093196D">
      <w:pPr>
        <w:pStyle w:val="NoSpacing"/>
      </w:pPr>
    </w:p>
    <w:p w14:paraId="7562E5BD" w14:textId="77777777" w:rsidR="000452AB" w:rsidRPr="0055646B" w:rsidRDefault="000452AB" w:rsidP="0093196D">
      <w:pPr>
        <w:pStyle w:val="NoSpacing"/>
      </w:pPr>
      <w:r w:rsidRPr="0055646B">
        <w:rPr>
          <w:rFonts w:hint="eastAsia"/>
        </w:rPr>
        <w:t xml:space="preserve">The Register (2009) </w:t>
      </w:r>
      <w:r w:rsidRPr="00EA7927">
        <w:rPr>
          <w:rFonts w:hint="eastAsia"/>
          <w:i/>
        </w:rPr>
        <w:t>Ofcom Top of Tory deathlist: Quangogeddon</w:t>
      </w:r>
      <w:r w:rsidRPr="0055646B">
        <w:rPr>
          <w:rFonts w:hint="eastAsia"/>
        </w:rPr>
        <w:t xml:space="preserve"> </w:t>
      </w:r>
      <w:r w:rsidR="00EA7927">
        <w:rPr>
          <w:rFonts w:hint="eastAsia"/>
          <w:lang w:eastAsia="ja-JP"/>
        </w:rPr>
        <w:t>[</w:t>
      </w:r>
      <w:r w:rsidRPr="0055646B">
        <w:rPr>
          <w:rFonts w:hint="eastAsia"/>
        </w:rPr>
        <w:t>by Christopher Williams</w:t>
      </w:r>
      <w:r w:rsidR="001C522B">
        <w:rPr>
          <w:rFonts w:hint="eastAsia"/>
          <w:lang w:eastAsia="ja-JP"/>
        </w:rPr>
        <w:t xml:space="preserve"> </w:t>
      </w:r>
      <w:r w:rsidR="001C522B" w:rsidRPr="0055646B">
        <w:t>in Music and Media</w:t>
      </w:r>
      <w:r w:rsidR="001C522B">
        <w:rPr>
          <w:rFonts w:hint="eastAsia"/>
          <w:lang w:eastAsia="ja-JP"/>
        </w:rPr>
        <w:t>, p</w:t>
      </w:r>
      <w:r w:rsidR="001C522B" w:rsidRPr="0055646B">
        <w:t>osted 6th July 2009 14:25 GMT</w:t>
      </w:r>
      <w:r w:rsidR="00EA7927">
        <w:rPr>
          <w:rFonts w:hint="eastAsia"/>
          <w:lang w:eastAsia="ja-JP"/>
        </w:rPr>
        <w:t>].</w:t>
      </w:r>
      <w:r w:rsidRPr="0055646B">
        <w:rPr>
          <w:rFonts w:hint="eastAsia"/>
        </w:rPr>
        <w:t xml:space="preserve"> </w:t>
      </w:r>
      <w:r w:rsidR="00EA7927">
        <w:rPr>
          <w:rFonts w:hint="eastAsia"/>
          <w:lang w:eastAsia="ja-JP"/>
        </w:rPr>
        <w:t>The Register. Available from</w:t>
      </w:r>
      <w:r w:rsidR="001C522B">
        <w:rPr>
          <w:rFonts w:hint="eastAsia"/>
          <w:lang w:eastAsia="ja-JP"/>
        </w:rPr>
        <w:t xml:space="preserve">: </w:t>
      </w:r>
      <w:hyperlink r:id="rId48" w:history="1">
        <w:r w:rsidRPr="0055646B">
          <w:rPr>
            <w:rStyle w:val="Hyperlink"/>
          </w:rPr>
          <w:t>http://www.theregister.co.uk/2009/07/06/cameron_ofcom/</w:t>
        </w:r>
      </w:hyperlink>
      <w:r w:rsidRPr="0055646B">
        <w:t xml:space="preserve"> </w:t>
      </w:r>
      <w:r w:rsidR="001C522B">
        <w:rPr>
          <w:rFonts w:hint="eastAsia"/>
          <w:lang w:eastAsia="ja-JP"/>
        </w:rPr>
        <w:t>[A</w:t>
      </w:r>
      <w:r w:rsidRPr="0055646B">
        <w:t>ccessed 24 September 2012</w:t>
      </w:r>
      <w:r w:rsidR="001C522B">
        <w:rPr>
          <w:rFonts w:hint="eastAsia"/>
          <w:lang w:eastAsia="ja-JP"/>
        </w:rPr>
        <w:t>].</w:t>
      </w:r>
    </w:p>
    <w:p w14:paraId="6E147300" w14:textId="77777777" w:rsidR="00DE1DD6" w:rsidRPr="0055646B" w:rsidRDefault="00DE1DD6" w:rsidP="00DE1DD6">
      <w:pPr>
        <w:pStyle w:val="NoSpacing"/>
      </w:pPr>
    </w:p>
    <w:p w14:paraId="218CC435" w14:textId="77777777" w:rsidR="00DE1DD6" w:rsidRPr="0055646B" w:rsidRDefault="00DE1DD6" w:rsidP="00DE1DD6">
      <w:pPr>
        <w:pStyle w:val="NoSpacing"/>
      </w:pPr>
      <w:r>
        <w:t xml:space="preserve">Trade Compliance Center (2012) </w:t>
      </w:r>
      <w:r w:rsidRPr="00564464">
        <w:rPr>
          <w:i/>
          <w:iCs/>
        </w:rPr>
        <w:t>Japan Structural Impediments Initiative Joint Report</w:t>
      </w:r>
      <w:r w:rsidRPr="0055646B">
        <w:rPr>
          <w:rFonts w:hint="eastAsia"/>
        </w:rPr>
        <w:t xml:space="preserve"> </w:t>
      </w:r>
      <w:r>
        <w:t>[online]. Trade Compliance Center. Available from:</w:t>
      </w:r>
    </w:p>
    <w:p w14:paraId="304FECD0" w14:textId="77777777" w:rsidR="00DE1DD6" w:rsidRPr="0055646B" w:rsidRDefault="00050AB3" w:rsidP="00DE1DD6">
      <w:pPr>
        <w:pStyle w:val="NoSpacing"/>
      </w:pPr>
      <w:hyperlink r:id="rId49" w:history="1">
        <w:r w:rsidR="00DE1DD6" w:rsidRPr="0055646B">
          <w:rPr>
            <w:rStyle w:val="Hyperlink"/>
          </w:rPr>
          <w:t>http://tcc.export.gov/Trade_Agreements/All_Trade_Agreements/exp_005583.asp</w:t>
        </w:r>
      </w:hyperlink>
      <w:r w:rsidR="00DE1DD6">
        <w:rPr>
          <w:rFonts w:hint="eastAsia"/>
        </w:rPr>
        <w:t xml:space="preserve"> </w:t>
      </w:r>
      <w:r w:rsidR="00DE1DD6">
        <w:t>[A</w:t>
      </w:r>
      <w:r w:rsidR="00DE1DD6" w:rsidRPr="0055646B">
        <w:rPr>
          <w:rFonts w:hint="eastAsia"/>
        </w:rPr>
        <w:t xml:space="preserve">ccessed </w:t>
      </w:r>
      <w:r w:rsidR="00DE1DD6">
        <w:rPr>
          <w:rFonts w:hint="eastAsia"/>
        </w:rPr>
        <w:t>25 March 2012</w:t>
      </w:r>
      <w:r w:rsidR="00DE1DD6">
        <w:t>].</w:t>
      </w:r>
    </w:p>
    <w:p w14:paraId="053CACF3" w14:textId="77777777" w:rsidR="000452AB" w:rsidRPr="0055646B" w:rsidRDefault="000452AB" w:rsidP="0093196D">
      <w:pPr>
        <w:pStyle w:val="NoSpacing"/>
      </w:pPr>
    </w:p>
    <w:p w14:paraId="03C3A166" w14:textId="77777777" w:rsidR="000452AB" w:rsidRPr="0055646B" w:rsidRDefault="000452AB" w:rsidP="000B470B">
      <w:pPr>
        <w:pStyle w:val="NoSpacing"/>
        <w:rPr>
          <w:lang w:eastAsia="ja-JP"/>
        </w:rPr>
      </w:pPr>
      <w:r w:rsidRPr="0055646B">
        <w:t>Tsuchiya, M</w:t>
      </w:r>
      <w:r w:rsidR="00EA7927">
        <w:rPr>
          <w:rFonts w:hint="eastAsia"/>
          <w:lang w:eastAsia="ja-JP"/>
        </w:rPr>
        <w:t>.</w:t>
      </w:r>
      <w:r w:rsidRPr="0055646B">
        <w:t xml:space="preserve"> (2003) ‘</w:t>
      </w:r>
      <w:r w:rsidRPr="0055646B">
        <w:rPr>
          <w:i/>
          <w:iCs/>
        </w:rPr>
        <w:t>1990 Nendai no Jouhou</w:t>
      </w:r>
      <w:r w:rsidR="000B470B">
        <w:rPr>
          <w:i/>
          <w:iCs/>
        </w:rPr>
        <w:t xml:space="preserve"> T</w:t>
      </w:r>
      <w:r w:rsidRPr="0055646B">
        <w:rPr>
          <w:i/>
          <w:iCs/>
        </w:rPr>
        <w:t>su</w:t>
      </w:r>
      <w:r w:rsidR="000B470B">
        <w:rPr>
          <w:i/>
          <w:iCs/>
        </w:rPr>
        <w:t>’u</w:t>
      </w:r>
      <w:r w:rsidRPr="0055646B">
        <w:rPr>
          <w:i/>
          <w:iCs/>
        </w:rPr>
        <w:t>shin Seisaku – NTT Keieikeitai Mondai ni Torawareta 10 Nen</w:t>
      </w:r>
      <w:r w:rsidR="00EA7927">
        <w:t xml:space="preserve">’ </w:t>
      </w:r>
      <w:r w:rsidR="00EA7927">
        <w:rPr>
          <w:rFonts w:hint="eastAsia"/>
          <w:lang w:eastAsia="ja-JP"/>
        </w:rPr>
        <w:t>[</w:t>
      </w:r>
      <w:r w:rsidRPr="0055646B">
        <w:t xml:space="preserve">ICT policy in the 1990s – 10 years trapped by the question of </w:t>
      </w:r>
      <w:r w:rsidR="000B470B">
        <w:t xml:space="preserve">the </w:t>
      </w:r>
      <w:r w:rsidRPr="0055646B">
        <w:t>NTT’s structure</w:t>
      </w:r>
      <w:r w:rsidR="00EA7927">
        <w:rPr>
          <w:rFonts w:hint="eastAsia"/>
          <w:lang w:eastAsia="ja-JP"/>
        </w:rPr>
        <w:t>]</w:t>
      </w:r>
      <w:r w:rsidRPr="0055646B">
        <w:t xml:space="preserve">, </w:t>
      </w:r>
      <w:r w:rsidRPr="00EA7927">
        <w:rPr>
          <w:i/>
        </w:rPr>
        <w:t>Leviathan</w:t>
      </w:r>
      <w:r w:rsidRPr="0055646B">
        <w:t>, pp.72-96</w:t>
      </w:r>
      <w:r w:rsidR="00EA7927">
        <w:rPr>
          <w:rFonts w:hint="eastAsia"/>
          <w:lang w:eastAsia="ja-JP"/>
        </w:rPr>
        <w:t>.</w:t>
      </w:r>
    </w:p>
    <w:p w14:paraId="03138599" w14:textId="77777777" w:rsidR="000452AB" w:rsidRPr="0055646B" w:rsidRDefault="000452AB" w:rsidP="0093196D">
      <w:pPr>
        <w:pStyle w:val="NoSpacing"/>
      </w:pPr>
    </w:p>
    <w:p w14:paraId="1EF8F342" w14:textId="77777777" w:rsidR="000452AB" w:rsidRPr="0055646B" w:rsidRDefault="000452AB" w:rsidP="00011D77">
      <w:pPr>
        <w:pStyle w:val="NoSpacing"/>
      </w:pPr>
      <w:r w:rsidRPr="0055646B">
        <w:t>Tsuruta, T</w:t>
      </w:r>
      <w:r w:rsidR="00EA7927">
        <w:rPr>
          <w:rFonts w:hint="eastAsia"/>
          <w:lang w:eastAsia="ja-JP"/>
        </w:rPr>
        <w:t>.</w:t>
      </w:r>
      <w:r w:rsidR="00EA7927">
        <w:t xml:space="preserve"> (1997) </w:t>
      </w:r>
      <w:r w:rsidRPr="0055646B">
        <w:rPr>
          <w:i/>
          <w:iCs/>
        </w:rPr>
        <w:t>Kisei Kanwa – Shijou no Kasseika to Dokkin</w:t>
      </w:r>
      <w:r w:rsidR="00011D77">
        <w:rPr>
          <w:i/>
          <w:iCs/>
        </w:rPr>
        <w:t>h</w:t>
      </w:r>
      <w:r w:rsidRPr="0055646B">
        <w:rPr>
          <w:i/>
          <w:iCs/>
        </w:rPr>
        <w:t>ou</w:t>
      </w:r>
      <w:r w:rsidRPr="0055646B">
        <w:t xml:space="preserve"> </w:t>
      </w:r>
      <w:r w:rsidR="00EA7927">
        <w:rPr>
          <w:rFonts w:hint="eastAsia"/>
          <w:lang w:eastAsia="ja-JP"/>
        </w:rPr>
        <w:t>[</w:t>
      </w:r>
      <w:r w:rsidR="000B470B">
        <w:rPr>
          <w:lang w:eastAsia="ja-JP"/>
        </w:rPr>
        <w:t>Relaxing regulation</w:t>
      </w:r>
      <w:r w:rsidRPr="0055646B">
        <w:t xml:space="preserve"> – Vitalising market</w:t>
      </w:r>
      <w:r w:rsidR="00011D77">
        <w:t>s</w:t>
      </w:r>
      <w:r w:rsidRPr="0055646B">
        <w:t xml:space="preserve"> and the </w:t>
      </w:r>
      <w:r w:rsidR="000B470B">
        <w:t>AMA</w:t>
      </w:r>
      <w:r w:rsidR="00EA7927">
        <w:rPr>
          <w:rFonts w:hint="eastAsia"/>
          <w:lang w:eastAsia="ja-JP"/>
        </w:rPr>
        <w:t>]. T</w:t>
      </w:r>
      <w:r w:rsidR="00EA7927">
        <w:rPr>
          <w:lang w:eastAsia="ja-JP"/>
        </w:rPr>
        <w:t>o</w:t>
      </w:r>
      <w:r w:rsidR="00EA7927">
        <w:rPr>
          <w:rFonts w:hint="eastAsia"/>
          <w:lang w:eastAsia="ja-JP"/>
        </w:rPr>
        <w:t xml:space="preserve">kyo: </w:t>
      </w:r>
      <w:r w:rsidRPr="0055646B">
        <w:t>Chikuma Shobou</w:t>
      </w:r>
      <w:r w:rsidR="00EA7927">
        <w:rPr>
          <w:rFonts w:hint="eastAsia"/>
          <w:lang w:eastAsia="ja-JP"/>
        </w:rPr>
        <w:t>.</w:t>
      </w:r>
    </w:p>
    <w:p w14:paraId="4F98F90E" w14:textId="77777777" w:rsidR="000452AB" w:rsidRPr="0055646B" w:rsidRDefault="000452AB" w:rsidP="0093196D">
      <w:pPr>
        <w:pStyle w:val="NoSpacing"/>
      </w:pPr>
    </w:p>
    <w:p w14:paraId="3A9762E8" w14:textId="77777777" w:rsidR="000452AB" w:rsidRPr="0055646B" w:rsidRDefault="000452AB" w:rsidP="0093196D">
      <w:pPr>
        <w:pStyle w:val="NoSpacing"/>
      </w:pPr>
      <w:r w:rsidRPr="0055646B">
        <w:t>Tullock, G</w:t>
      </w:r>
      <w:r w:rsidR="00EA7927">
        <w:rPr>
          <w:rFonts w:hint="eastAsia"/>
          <w:lang w:eastAsia="ja-JP"/>
        </w:rPr>
        <w:t>.</w:t>
      </w:r>
      <w:r w:rsidRPr="0055646B">
        <w:t xml:space="preserve"> (1989) </w:t>
      </w:r>
      <w:r w:rsidRPr="00EA7927">
        <w:rPr>
          <w:i/>
        </w:rPr>
        <w:t>The Economics of Special Privilege and Rent Seeking</w:t>
      </w:r>
      <w:r w:rsidR="00EA7927">
        <w:rPr>
          <w:rFonts w:hint="eastAsia"/>
          <w:lang w:eastAsia="ja-JP"/>
        </w:rPr>
        <w:t>. Boston/</w:t>
      </w:r>
      <w:r w:rsidR="00EA7927" w:rsidRPr="0055646B">
        <w:t>Dordrecht, Netherlands</w:t>
      </w:r>
      <w:r w:rsidR="00EA7927">
        <w:rPr>
          <w:rFonts w:hint="eastAsia"/>
          <w:lang w:eastAsia="ja-JP"/>
        </w:rPr>
        <w:t xml:space="preserve">: </w:t>
      </w:r>
      <w:r w:rsidRPr="0055646B">
        <w:t>Kluwer Academic Publishers</w:t>
      </w:r>
      <w:r w:rsidR="00EA7927">
        <w:rPr>
          <w:rFonts w:hint="eastAsia"/>
          <w:lang w:eastAsia="ja-JP"/>
        </w:rPr>
        <w:t>.</w:t>
      </w:r>
    </w:p>
    <w:p w14:paraId="5CBA296F" w14:textId="77777777" w:rsidR="000452AB" w:rsidRPr="0055646B" w:rsidRDefault="000452AB" w:rsidP="0093196D">
      <w:pPr>
        <w:pStyle w:val="NoSpacing"/>
      </w:pPr>
    </w:p>
    <w:p w14:paraId="6CD46847" w14:textId="77777777" w:rsidR="000452AB" w:rsidRPr="0055646B" w:rsidRDefault="000452AB" w:rsidP="0093196D">
      <w:pPr>
        <w:pStyle w:val="NoSpacing"/>
        <w:rPr>
          <w:lang w:eastAsia="ja-JP"/>
        </w:rPr>
      </w:pPr>
      <w:r w:rsidRPr="0055646B">
        <w:rPr>
          <w:rFonts w:hint="eastAsia"/>
        </w:rPr>
        <w:t>Uesugi, A</w:t>
      </w:r>
      <w:r w:rsidR="00EA7927">
        <w:rPr>
          <w:rFonts w:hint="eastAsia"/>
          <w:lang w:eastAsia="ja-JP"/>
        </w:rPr>
        <w:t>.</w:t>
      </w:r>
      <w:r w:rsidRPr="0055646B">
        <w:rPr>
          <w:rFonts w:hint="eastAsia"/>
        </w:rPr>
        <w:t xml:space="preserve"> (2005) </w:t>
      </w:r>
      <w:r w:rsidRPr="0055646B">
        <w:t>‘H</w:t>
      </w:r>
      <w:r w:rsidRPr="0055646B">
        <w:rPr>
          <w:rFonts w:hint="eastAsia"/>
        </w:rPr>
        <w:t>ow Japan is Tackling Enforcement Against Cartels</w:t>
      </w:r>
      <w:r w:rsidRPr="0055646B">
        <w:t>’</w:t>
      </w:r>
      <w:r w:rsidRPr="0055646B">
        <w:rPr>
          <w:rFonts w:hint="eastAsia"/>
        </w:rPr>
        <w:t>,</w:t>
      </w:r>
      <w:r w:rsidR="00EA7927">
        <w:rPr>
          <w:rFonts w:hint="eastAsia"/>
          <w:lang w:eastAsia="ja-JP"/>
        </w:rPr>
        <w:t xml:space="preserve"> </w:t>
      </w:r>
      <w:r w:rsidRPr="00EA7927">
        <w:rPr>
          <w:rFonts w:hint="eastAsia"/>
          <w:i/>
        </w:rPr>
        <w:t>George Mason Law Review</w:t>
      </w:r>
      <w:r w:rsidR="00EA7927">
        <w:rPr>
          <w:rFonts w:hint="eastAsia"/>
          <w:lang w:eastAsia="ja-JP"/>
        </w:rPr>
        <w:t>,</w:t>
      </w:r>
      <w:r w:rsidRPr="0055646B">
        <w:rPr>
          <w:rFonts w:hint="eastAsia"/>
        </w:rPr>
        <w:t xml:space="preserve"> 13</w:t>
      </w:r>
      <w:r w:rsidR="00EA7927">
        <w:rPr>
          <w:rFonts w:hint="eastAsia"/>
          <w:lang w:eastAsia="ja-JP"/>
        </w:rPr>
        <w:t>,</w:t>
      </w:r>
      <w:r w:rsidRPr="0055646B">
        <w:rPr>
          <w:rFonts w:hint="eastAsia"/>
        </w:rPr>
        <w:t xml:space="preserve"> </w:t>
      </w:r>
      <w:r w:rsidR="00EA7927">
        <w:rPr>
          <w:rFonts w:hint="eastAsia"/>
          <w:lang w:eastAsia="ja-JP"/>
        </w:rPr>
        <w:t>(</w:t>
      </w:r>
      <w:r w:rsidRPr="0055646B">
        <w:rPr>
          <w:rFonts w:hint="eastAsia"/>
        </w:rPr>
        <w:t>2</w:t>
      </w:r>
      <w:r w:rsidR="00EA7927">
        <w:rPr>
          <w:rFonts w:hint="eastAsia"/>
          <w:lang w:eastAsia="ja-JP"/>
        </w:rPr>
        <w:t>),</w:t>
      </w:r>
      <w:r w:rsidRPr="0055646B">
        <w:rPr>
          <w:rFonts w:hint="eastAsia"/>
        </w:rPr>
        <w:t xml:space="preserve"> pp.349-65</w:t>
      </w:r>
      <w:r w:rsidR="00EA7927">
        <w:rPr>
          <w:rFonts w:hint="eastAsia"/>
          <w:lang w:eastAsia="ja-JP"/>
        </w:rPr>
        <w:t>.</w:t>
      </w:r>
    </w:p>
    <w:p w14:paraId="2BB16DA5" w14:textId="77777777" w:rsidR="000452AB" w:rsidRPr="0055646B" w:rsidRDefault="000452AB" w:rsidP="0093196D">
      <w:pPr>
        <w:pStyle w:val="NoSpacing"/>
      </w:pPr>
    </w:p>
    <w:p w14:paraId="50C8248A" w14:textId="77777777" w:rsidR="000452AB" w:rsidRPr="0055646B" w:rsidRDefault="000452AB" w:rsidP="00011D77">
      <w:pPr>
        <w:pStyle w:val="NoSpacing"/>
      </w:pPr>
      <w:r w:rsidRPr="0055646B">
        <w:t>Uesugi, A</w:t>
      </w:r>
      <w:r w:rsidR="00EA7927">
        <w:rPr>
          <w:rFonts w:hint="eastAsia"/>
          <w:lang w:eastAsia="ja-JP"/>
        </w:rPr>
        <w:t>.</w:t>
      </w:r>
      <w:r w:rsidRPr="0055646B">
        <w:t xml:space="preserve"> (2007) </w:t>
      </w:r>
      <w:r w:rsidRPr="0055646B">
        <w:rPr>
          <w:i/>
          <w:iCs/>
        </w:rPr>
        <w:t>Dokkin</w:t>
      </w:r>
      <w:r w:rsidR="00011D77">
        <w:rPr>
          <w:i/>
          <w:iCs/>
        </w:rPr>
        <w:t>h</w:t>
      </w:r>
      <w:r w:rsidRPr="0055646B">
        <w:rPr>
          <w:i/>
          <w:iCs/>
        </w:rPr>
        <w:t>ou no Kis</w:t>
      </w:r>
      <w:r w:rsidR="00011D77">
        <w:rPr>
          <w:i/>
          <w:iCs/>
        </w:rPr>
        <w:t>h</w:t>
      </w:r>
      <w:r w:rsidRPr="0055646B">
        <w:rPr>
          <w:i/>
          <w:iCs/>
        </w:rPr>
        <w:t>ikata Ikusue – S</w:t>
      </w:r>
      <w:r w:rsidR="00011D77">
        <w:rPr>
          <w:i/>
          <w:iCs/>
        </w:rPr>
        <w:t>h</w:t>
      </w:r>
      <w:r w:rsidRPr="0055646B">
        <w:rPr>
          <w:i/>
          <w:iCs/>
        </w:rPr>
        <w:t>iryu kara Honryu heno Ayumi</w:t>
      </w:r>
      <w:r w:rsidRPr="0055646B">
        <w:t xml:space="preserve"> </w:t>
      </w:r>
      <w:r w:rsidR="00EA7927">
        <w:rPr>
          <w:rFonts w:hint="eastAsia"/>
          <w:lang w:eastAsia="ja-JP"/>
        </w:rPr>
        <w:t>[</w:t>
      </w:r>
      <w:r w:rsidRPr="0055646B">
        <w:t>The path and future of the AMA: from the minor stream to the major one</w:t>
      </w:r>
      <w:r w:rsidR="00EA7927">
        <w:rPr>
          <w:rFonts w:hint="eastAsia"/>
          <w:lang w:eastAsia="ja-JP"/>
        </w:rPr>
        <w:t>]. Tokyo:</w:t>
      </w:r>
      <w:r w:rsidRPr="0055646B">
        <w:t xml:space="preserve"> Dai’ichi Houki</w:t>
      </w:r>
      <w:r w:rsidR="00EA7927">
        <w:rPr>
          <w:rFonts w:hint="eastAsia"/>
          <w:lang w:eastAsia="ja-JP"/>
        </w:rPr>
        <w:t>.</w:t>
      </w:r>
    </w:p>
    <w:p w14:paraId="292E948E" w14:textId="77777777" w:rsidR="000452AB" w:rsidRPr="0055646B" w:rsidRDefault="000452AB" w:rsidP="0093196D">
      <w:pPr>
        <w:pStyle w:val="NoSpacing"/>
      </w:pPr>
    </w:p>
    <w:p w14:paraId="7B05DDEE" w14:textId="77777777" w:rsidR="000452AB" w:rsidRPr="0055646B" w:rsidRDefault="000452AB" w:rsidP="0093196D">
      <w:pPr>
        <w:pStyle w:val="NoSpacing"/>
        <w:rPr>
          <w:lang w:eastAsia="ja-JP"/>
        </w:rPr>
      </w:pPr>
      <w:r w:rsidRPr="0055646B">
        <w:t>Vogel, S</w:t>
      </w:r>
      <w:r w:rsidR="00EA7927">
        <w:rPr>
          <w:rFonts w:hint="eastAsia"/>
          <w:lang w:eastAsia="ja-JP"/>
        </w:rPr>
        <w:t>.</w:t>
      </w:r>
      <w:r w:rsidRPr="0055646B">
        <w:t xml:space="preserve"> K. (1996) </w:t>
      </w:r>
      <w:r w:rsidRPr="00EA7927">
        <w:rPr>
          <w:i/>
        </w:rPr>
        <w:t>Freer Markets, More Rules – Regulatory Reform in Advanced Industrial Countries</w:t>
      </w:r>
      <w:r w:rsidR="00EA7927">
        <w:rPr>
          <w:rFonts w:hint="eastAsia"/>
          <w:lang w:eastAsia="ja-JP"/>
        </w:rPr>
        <w:t>.</w:t>
      </w:r>
      <w:r w:rsidRPr="0055646B">
        <w:t xml:space="preserve"> Ithaca</w:t>
      </w:r>
      <w:r w:rsidR="00EA7927">
        <w:rPr>
          <w:rFonts w:hint="eastAsia"/>
          <w:lang w:eastAsia="ja-JP"/>
        </w:rPr>
        <w:t>, NY: Cornel UP.</w:t>
      </w:r>
    </w:p>
    <w:p w14:paraId="2B1FE534" w14:textId="77777777" w:rsidR="000452AB" w:rsidRPr="0055646B" w:rsidRDefault="000452AB" w:rsidP="0093196D">
      <w:pPr>
        <w:pStyle w:val="NoSpacing"/>
      </w:pPr>
    </w:p>
    <w:p w14:paraId="01A8CB8B" w14:textId="77777777" w:rsidR="000452AB" w:rsidRPr="0055646B" w:rsidRDefault="000452AB" w:rsidP="0093196D">
      <w:pPr>
        <w:pStyle w:val="NoSpacing"/>
      </w:pPr>
      <w:r w:rsidRPr="0055646B">
        <w:t>Vogel, S</w:t>
      </w:r>
      <w:r w:rsidR="00EA7927">
        <w:rPr>
          <w:rFonts w:hint="eastAsia"/>
          <w:lang w:eastAsia="ja-JP"/>
        </w:rPr>
        <w:t>.</w:t>
      </w:r>
      <w:r w:rsidRPr="0055646B">
        <w:t xml:space="preserve"> K. (2006) </w:t>
      </w:r>
      <w:r w:rsidRPr="00EA7927">
        <w:rPr>
          <w:i/>
        </w:rPr>
        <w:t>Japan Remodeled: How Government and Industry are Reforming Japanese Capitalism</w:t>
      </w:r>
      <w:r w:rsidR="00EA7927">
        <w:rPr>
          <w:rFonts w:hint="eastAsia"/>
          <w:lang w:eastAsia="ja-JP"/>
        </w:rPr>
        <w:t xml:space="preserve">. Ithaca, NY: </w:t>
      </w:r>
      <w:r w:rsidRPr="0055646B">
        <w:t>Cornell UP</w:t>
      </w:r>
      <w:r w:rsidR="00EA7927">
        <w:rPr>
          <w:rFonts w:hint="eastAsia"/>
          <w:lang w:eastAsia="ja-JP"/>
        </w:rPr>
        <w:t>.</w:t>
      </w:r>
    </w:p>
    <w:p w14:paraId="43954A32" w14:textId="77777777" w:rsidR="000452AB" w:rsidRPr="0055646B" w:rsidRDefault="000452AB" w:rsidP="0093196D">
      <w:pPr>
        <w:pStyle w:val="NoSpacing"/>
      </w:pPr>
    </w:p>
    <w:p w14:paraId="514C2A91" w14:textId="77777777" w:rsidR="000452AB" w:rsidRPr="0055646B" w:rsidRDefault="000452AB" w:rsidP="0093196D">
      <w:pPr>
        <w:pStyle w:val="NoSpacing"/>
        <w:rPr>
          <w:lang w:eastAsia="ja-JP"/>
        </w:rPr>
      </w:pPr>
      <w:r w:rsidRPr="0055646B">
        <w:t>Ward, H</w:t>
      </w:r>
      <w:r w:rsidR="00C32FB3">
        <w:rPr>
          <w:rFonts w:hint="eastAsia"/>
          <w:lang w:eastAsia="ja-JP"/>
        </w:rPr>
        <w:t>.</w:t>
      </w:r>
      <w:r w:rsidRPr="0055646B">
        <w:t xml:space="preserve"> (2002) ‘Rational Choice’</w:t>
      </w:r>
      <w:r w:rsidR="00C32FB3">
        <w:rPr>
          <w:rFonts w:hint="eastAsia"/>
          <w:lang w:eastAsia="ja-JP"/>
        </w:rPr>
        <w:t>,</w:t>
      </w:r>
      <w:r w:rsidRPr="0055646B">
        <w:t xml:space="preserve"> in </w:t>
      </w:r>
      <w:r w:rsidR="00C32FB3">
        <w:rPr>
          <w:rFonts w:hint="eastAsia"/>
          <w:lang w:eastAsia="ja-JP"/>
        </w:rPr>
        <w:t xml:space="preserve">D. </w:t>
      </w:r>
      <w:r w:rsidRPr="0055646B">
        <w:t>Mar</w:t>
      </w:r>
      <w:r w:rsidR="00C32FB3">
        <w:rPr>
          <w:rFonts w:hint="eastAsia"/>
          <w:lang w:eastAsia="ja-JP"/>
        </w:rPr>
        <w:t>s</w:t>
      </w:r>
      <w:r w:rsidRPr="0055646B">
        <w:t xml:space="preserve">h and </w:t>
      </w:r>
      <w:r w:rsidR="00C32FB3">
        <w:rPr>
          <w:rFonts w:hint="eastAsia"/>
          <w:lang w:eastAsia="ja-JP"/>
        </w:rPr>
        <w:t xml:space="preserve">G. </w:t>
      </w:r>
      <w:r w:rsidRPr="0055646B">
        <w:t>Stoker</w:t>
      </w:r>
      <w:r w:rsidR="00C32FB3">
        <w:rPr>
          <w:rFonts w:hint="eastAsia"/>
          <w:lang w:eastAsia="ja-JP"/>
        </w:rPr>
        <w:t xml:space="preserve"> (eds)</w:t>
      </w:r>
      <w:r w:rsidR="00EA7927">
        <w:rPr>
          <w:rFonts w:hint="eastAsia"/>
          <w:lang w:eastAsia="ja-JP"/>
        </w:rPr>
        <w:t>,</w:t>
      </w:r>
      <w:r w:rsidRPr="0055646B">
        <w:t xml:space="preserve"> </w:t>
      </w:r>
      <w:r w:rsidRPr="00C32FB3">
        <w:rPr>
          <w:i/>
        </w:rPr>
        <w:t>Theory and Methods in Political Science</w:t>
      </w:r>
      <w:r w:rsidR="00C32FB3">
        <w:rPr>
          <w:rFonts w:hint="eastAsia"/>
          <w:lang w:eastAsia="ja-JP"/>
        </w:rPr>
        <w:t>,</w:t>
      </w:r>
      <w:r w:rsidRPr="0055646B">
        <w:t xml:space="preserve"> </w:t>
      </w:r>
      <w:r w:rsidR="00C32FB3">
        <w:rPr>
          <w:rFonts w:hint="eastAsia"/>
          <w:lang w:eastAsia="ja-JP"/>
        </w:rPr>
        <w:t>Second Edition</w:t>
      </w:r>
      <w:r w:rsidR="00011D77">
        <w:rPr>
          <w:lang w:eastAsia="ja-JP"/>
        </w:rPr>
        <w:t>, Political Analysis</w:t>
      </w:r>
      <w:r w:rsidR="002042C0">
        <w:rPr>
          <w:rFonts w:hint="eastAsia"/>
          <w:lang w:eastAsia="ja-JP"/>
        </w:rPr>
        <w:t>.</w:t>
      </w:r>
      <w:r w:rsidRPr="0055646B">
        <w:t xml:space="preserve"> Basingstoke, Hampshire/NY</w:t>
      </w:r>
      <w:r w:rsidR="002042C0">
        <w:rPr>
          <w:rFonts w:hint="eastAsia"/>
          <w:lang w:eastAsia="ja-JP"/>
        </w:rPr>
        <w:t xml:space="preserve">: </w:t>
      </w:r>
      <w:r w:rsidR="002042C0" w:rsidRPr="0055646B">
        <w:t>Palgrave MacMillan</w:t>
      </w:r>
      <w:r w:rsidR="002042C0">
        <w:rPr>
          <w:rFonts w:hint="eastAsia"/>
          <w:lang w:eastAsia="ja-JP"/>
        </w:rPr>
        <w:t>,</w:t>
      </w:r>
      <w:r w:rsidRPr="0055646B">
        <w:t xml:space="preserve"> pp.65-89</w:t>
      </w:r>
      <w:r w:rsidR="002042C0">
        <w:rPr>
          <w:rFonts w:hint="eastAsia"/>
          <w:lang w:eastAsia="ja-JP"/>
        </w:rPr>
        <w:t>.</w:t>
      </w:r>
    </w:p>
    <w:p w14:paraId="7209F023" w14:textId="77777777" w:rsidR="000452AB" w:rsidRPr="0055646B" w:rsidRDefault="000452AB" w:rsidP="0093196D">
      <w:pPr>
        <w:pStyle w:val="NoSpacing"/>
      </w:pPr>
    </w:p>
    <w:p w14:paraId="024E6B66" w14:textId="77777777" w:rsidR="000452AB" w:rsidRPr="0055646B" w:rsidRDefault="000452AB" w:rsidP="0093196D">
      <w:pPr>
        <w:pStyle w:val="NoSpacing"/>
        <w:rPr>
          <w:lang w:eastAsia="ja-JP"/>
        </w:rPr>
      </w:pPr>
      <w:r w:rsidRPr="0055646B">
        <w:rPr>
          <w:rFonts w:hint="eastAsia"/>
        </w:rPr>
        <w:t>Weber, M</w:t>
      </w:r>
      <w:r w:rsidR="00C32FB3">
        <w:rPr>
          <w:rFonts w:hint="eastAsia"/>
          <w:lang w:eastAsia="ja-JP"/>
        </w:rPr>
        <w:t>.</w:t>
      </w:r>
      <w:r w:rsidRPr="0055646B">
        <w:rPr>
          <w:rFonts w:hint="eastAsia"/>
        </w:rPr>
        <w:t xml:space="preserve"> (1978 (1925)) </w:t>
      </w:r>
      <w:r w:rsidRPr="00C32FB3">
        <w:rPr>
          <w:rFonts w:hint="eastAsia"/>
          <w:i/>
        </w:rPr>
        <w:t>Economy and Society: An Outline of Interpretative Sociology</w:t>
      </w:r>
      <w:r w:rsidR="00C32FB3">
        <w:rPr>
          <w:rFonts w:hint="eastAsia"/>
          <w:lang w:eastAsia="ja-JP"/>
        </w:rPr>
        <w:t>.</w:t>
      </w:r>
      <w:r w:rsidRPr="0055646B">
        <w:rPr>
          <w:rFonts w:hint="eastAsia"/>
        </w:rPr>
        <w:t xml:space="preserve"> Berkeley</w:t>
      </w:r>
      <w:r w:rsidR="00C32FB3">
        <w:rPr>
          <w:rFonts w:hint="eastAsia"/>
          <w:lang w:eastAsia="ja-JP"/>
        </w:rPr>
        <w:t>,</w:t>
      </w:r>
      <w:r w:rsidRPr="0055646B">
        <w:rPr>
          <w:rFonts w:hint="eastAsia"/>
        </w:rPr>
        <w:t xml:space="preserve"> CA</w:t>
      </w:r>
      <w:r w:rsidR="00C32FB3">
        <w:rPr>
          <w:rFonts w:hint="eastAsia"/>
          <w:lang w:eastAsia="ja-JP"/>
        </w:rPr>
        <w:t xml:space="preserve">: </w:t>
      </w:r>
      <w:r w:rsidR="00C32FB3" w:rsidRPr="0055646B">
        <w:rPr>
          <w:rFonts w:hint="eastAsia"/>
        </w:rPr>
        <w:t>University of California Press</w:t>
      </w:r>
      <w:r w:rsidR="00C32FB3">
        <w:rPr>
          <w:rFonts w:hint="eastAsia"/>
          <w:lang w:eastAsia="ja-JP"/>
        </w:rPr>
        <w:t>.</w:t>
      </w:r>
    </w:p>
    <w:p w14:paraId="157AE520" w14:textId="77777777" w:rsidR="000452AB" w:rsidRPr="0055646B" w:rsidRDefault="000452AB" w:rsidP="0093196D">
      <w:pPr>
        <w:pStyle w:val="NoSpacing"/>
      </w:pPr>
    </w:p>
    <w:p w14:paraId="26B4B187" w14:textId="77777777" w:rsidR="000452AB" w:rsidRPr="0055646B" w:rsidRDefault="000452AB" w:rsidP="0093196D">
      <w:pPr>
        <w:pStyle w:val="NoSpacing"/>
        <w:rPr>
          <w:lang w:eastAsia="ja-JP"/>
        </w:rPr>
      </w:pPr>
      <w:r w:rsidRPr="0055646B">
        <w:t>Weinstein, D</w:t>
      </w:r>
      <w:r w:rsidR="00C32FB3">
        <w:rPr>
          <w:rFonts w:hint="eastAsia"/>
          <w:lang w:eastAsia="ja-JP"/>
        </w:rPr>
        <w:t>.</w:t>
      </w:r>
      <w:r w:rsidRPr="0055646B">
        <w:t xml:space="preserve"> E. (1995) ‘Evaluating Administrative Guid</w:t>
      </w:r>
      <w:r>
        <w:rPr>
          <w:rFonts w:hint="eastAsia"/>
        </w:rPr>
        <w:t>ance</w:t>
      </w:r>
      <w:r w:rsidRPr="0055646B">
        <w:t xml:space="preserve"> and Cartels in Japan (1957-1988)’, </w:t>
      </w:r>
      <w:r w:rsidRPr="00C32FB3">
        <w:rPr>
          <w:i/>
        </w:rPr>
        <w:t>Journal of the Japanese and International Economies</w:t>
      </w:r>
      <w:r w:rsidR="00C32FB3">
        <w:rPr>
          <w:rFonts w:hint="eastAsia"/>
          <w:lang w:eastAsia="ja-JP"/>
        </w:rPr>
        <w:t>,</w:t>
      </w:r>
      <w:r w:rsidRPr="0055646B">
        <w:t xml:space="preserve"> 9</w:t>
      </w:r>
      <w:r w:rsidR="00C32FB3">
        <w:rPr>
          <w:rFonts w:hint="eastAsia"/>
          <w:lang w:eastAsia="ja-JP"/>
        </w:rPr>
        <w:t>, (2),</w:t>
      </w:r>
      <w:r w:rsidRPr="0055646B">
        <w:t xml:space="preserve"> pp.200-23</w:t>
      </w:r>
      <w:r w:rsidR="00C32FB3">
        <w:rPr>
          <w:rFonts w:hint="eastAsia"/>
          <w:lang w:eastAsia="ja-JP"/>
        </w:rPr>
        <w:t>.</w:t>
      </w:r>
    </w:p>
    <w:p w14:paraId="7D0B5BA9" w14:textId="77777777" w:rsidR="000452AB" w:rsidRPr="0055646B" w:rsidRDefault="000452AB" w:rsidP="0093196D">
      <w:pPr>
        <w:pStyle w:val="NoSpacing"/>
      </w:pPr>
    </w:p>
    <w:p w14:paraId="37C85782" w14:textId="77777777" w:rsidR="000452AB" w:rsidRPr="0055646B" w:rsidRDefault="000452AB" w:rsidP="0093196D">
      <w:pPr>
        <w:pStyle w:val="NoSpacing"/>
        <w:rPr>
          <w:lang w:eastAsia="ja-JP"/>
        </w:rPr>
      </w:pPr>
      <w:r w:rsidRPr="0055646B">
        <w:t>Weiss, L</w:t>
      </w:r>
      <w:r w:rsidR="00C32FB3">
        <w:rPr>
          <w:rFonts w:hint="eastAsia"/>
          <w:lang w:eastAsia="ja-JP"/>
        </w:rPr>
        <w:t>.</w:t>
      </w:r>
      <w:r w:rsidRPr="0055646B">
        <w:t xml:space="preserve"> (1998) </w:t>
      </w:r>
      <w:r w:rsidRPr="00C32FB3">
        <w:rPr>
          <w:i/>
        </w:rPr>
        <w:t>The Myth of the Powerless State: Governing the Economy in a Global Era</w:t>
      </w:r>
      <w:r w:rsidR="00C32FB3">
        <w:rPr>
          <w:rFonts w:hint="eastAsia"/>
          <w:lang w:eastAsia="ja-JP"/>
        </w:rPr>
        <w:t>.</w:t>
      </w:r>
      <w:r w:rsidRPr="0055646B">
        <w:t xml:space="preserve"> Cambridge</w:t>
      </w:r>
      <w:r w:rsidR="00C32FB3">
        <w:rPr>
          <w:rFonts w:hint="eastAsia"/>
          <w:lang w:eastAsia="ja-JP"/>
        </w:rPr>
        <w:t>: Polity Press.</w:t>
      </w:r>
    </w:p>
    <w:p w14:paraId="1BD1EC79" w14:textId="77777777" w:rsidR="000452AB" w:rsidRPr="0055646B" w:rsidRDefault="000452AB" w:rsidP="0093196D">
      <w:pPr>
        <w:pStyle w:val="NoSpacing"/>
      </w:pPr>
    </w:p>
    <w:p w14:paraId="5F69940E" w14:textId="77777777" w:rsidR="000452AB" w:rsidRPr="0055646B" w:rsidRDefault="000452AB" w:rsidP="0093196D">
      <w:pPr>
        <w:pStyle w:val="NoSpacing"/>
        <w:rPr>
          <w:lang w:eastAsia="ja-JP"/>
        </w:rPr>
      </w:pPr>
      <w:r w:rsidRPr="0055646B">
        <w:t>Woo-Comings, M</w:t>
      </w:r>
      <w:r w:rsidR="00C32FB3">
        <w:rPr>
          <w:rFonts w:hint="eastAsia"/>
          <w:lang w:eastAsia="ja-JP"/>
        </w:rPr>
        <w:t>.</w:t>
      </w:r>
      <w:r w:rsidRPr="0055646B">
        <w:t xml:space="preserve"> (1999) ‘Introduction: Chalmers Johnson and the Politics of Nationalism and Developmen</w:t>
      </w:r>
      <w:r w:rsidR="00C32FB3">
        <w:rPr>
          <w:rFonts w:hint="eastAsia"/>
          <w:lang w:eastAsia="ja-JP"/>
        </w:rPr>
        <w:t>t</w:t>
      </w:r>
      <w:r w:rsidRPr="0055646B">
        <w:t>’</w:t>
      </w:r>
      <w:r w:rsidR="00C32FB3">
        <w:rPr>
          <w:rFonts w:hint="eastAsia"/>
          <w:lang w:eastAsia="ja-JP"/>
        </w:rPr>
        <w:t>,</w:t>
      </w:r>
      <w:r w:rsidRPr="0055646B">
        <w:t xml:space="preserve"> in </w:t>
      </w:r>
      <w:r w:rsidR="00C32FB3">
        <w:rPr>
          <w:rFonts w:hint="eastAsia"/>
          <w:lang w:eastAsia="ja-JP"/>
        </w:rPr>
        <w:t xml:space="preserve">M. </w:t>
      </w:r>
      <w:r w:rsidRPr="0055646B">
        <w:t xml:space="preserve">Woo-Cumings </w:t>
      </w:r>
      <w:r w:rsidR="00C32FB3">
        <w:rPr>
          <w:rFonts w:hint="eastAsia"/>
          <w:lang w:eastAsia="ja-JP"/>
        </w:rPr>
        <w:t>(</w:t>
      </w:r>
      <w:r w:rsidRPr="0055646B">
        <w:t>ed</w:t>
      </w:r>
      <w:r w:rsidR="00C32FB3">
        <w:rPr>
          <w:rFonts w:hint="eastAsia"/>
          <w:lang w:eastAsia="ja-JP"/>
        </w:rPr>
        <w:t>),</w:t>
      </w:r>
      <w:r w:rsidR="00C32FB3">
        <w:t xml:space="preserve"> </w:t>
      </w:r>
      <w:r w:rsidR="00C32FB3" w:rsidRPr="00C32FB3">
        <w:rPr>
          <w:i/>
        </w:rPr>
        <w:t>The Developmental State</w:t>
      </w:r>
      <w:r w:rsidR="00C32FB3">
        <w:rPr>
          <w:rFonts w:hint="eastAsia"/>
          <w:lang w:eastAsia="ja-JP"/>
        </w:rPr>
        <w:t>.</w:t>
      </w:r>
      <w:r w:rsidRPr="0055646B">
        <w:t xml:space="preserve"> Ithaca and London</w:t>
      </w:r>
      <w:r w:rsidR="00C32FB3">
        <w:rPr>
          <w:rFonts w:hint="eastAsia"/>
          <w:lang w:eastAsia="ja-JP"/>
        </w:rPr>
        <w:t>: Cornel UP.</w:t>
      </w:r>
    </w:p>
    <w:p w14:paraId="7061BC78" w14:textId="77777777" w:rsidR="000452AB" w:rsidRPr="0055646B" w:rsidRDefault="000452AB" w:rsidP="0093196D">
      <w:pPr>
        <w:pStyle w:val="NoSpacing"/>
      </w:pPr>
    </w:p>
    <w:p w14:paraId="70882A32" w14:textId="77777777" w:rsidR="000452AB" w:rsidRPr="0055646B" w:rsidRDefault="000452AB" w:rsidP="00561ADB">
      <w:pPr>
        <w:pStyle w:val="NoSpacing"/>
        <w:rPr>
          <w:lang w:eastAsia="ja-JP"/>
        </w:rPr>
      </w:pPr>
      <w:r w:rsidRPr="0055646B">
        <w:t xml:space="preserve">World Bank (1997) </w:t>
      </w:r>
      <w:r w:rsidRPr="00C32FB3">
        <w:rPr>
          <w:i/>
        </w:rPr>
        <w:t xml:space="preserve">World Development </w:t>
      </w:r>
      <w:r w:rsidR="00561ADB">
        <w:rPr>
          <w:i/>
        </w:rPr>
        <w:t>R</w:t>
      </w:r>
      <w:r w:rsidRPr="00C32FB3">
        <w:rPr>
          <w:i/>
        </w:rPr>
        <w:t>eport – The State in a Changing World</w:t>
      </w:r>
      <w:r w:rsidR="00C32FB3">
        <w:rPr>
          <w:rFonts w:hint="eastAsia"/>
          <w:lang w:eastAsia="ja-JP"/>
        </w:rPr>
        <w:t xml:space="preserve">. Oxford: </w:t>
      </w:r>
      <w:r w:rsidRPr="0055646B">
        <w:t>Oxford UP</w:t>
      </w:r>
      <w:r w:rsidR="00C32FB3">
        <w:rPr>
          <w:rFonts w:hint="eastAsia"/>
          <w:lang w:eastAsia="ja-JP"/>
        </w:rPr>
        <w:t>.</w:t>
      </w:r>
    </w:p>
    <w:p w14:paraId="32C7C1DE" w14:textId="77777777" w:rsidR="000452AB" w:rsidRPr="0055646B" w:rsidRDefault="000452AB" w:rsidP="0093196D">
      <w:pPr>
        <w:pStyle w:val="NoSpacing"/>
      </w:pPr>
    </w:p>
    <w:p w14:paraId="3465254F" w14:textId="77777777" w:rsidR="000452AB" w:rsidRPr="0055646B" w:rsidRDefault="000452AB" w:rsidP="0093196D">
      <w:pPr>
        <w:pStyle w:val="NoSpacing"/>
        <w:rPr>
          <w:lang w:eastAsia="ja-JP"/>
        </w:rPr>
      </w:pPr>
      <w:r w:rsidRPr="0055646B">
        <w:t>Wright, M</w:t>
      </w:r>
      <w:r w:rsidR="00C32FB3">
        <w:rPr>
          <w:rFonts w:hint="eastAsia"/>
          <w:lang w:eastAsia="ja-JP"/>
        </w:rPr>
        <w:t>.</w:t>
      </w:r>
      <w:r w:rsidRPr="0055646B">
        <w:t xml:space="preserve"> (1999) ‘Who Governs Japan? Politicians and Bureaucrats in the Policy-making Processes’, </w:t>
      </w:r>
      <w:r w:rsidRPr="00C32FB3">
        <w:rPr>
          <w:i/>
        </w:rPr>
        <w:t>Political Studies</w:t>
      </w:r>
      <w:r w:rsidRPr="0055646B">
        <w:t xml:space="preserve">, </w:t>
      </w:r>
      <w:r w:rsidR="00C32FB3">
        <w:rPr>
          <w:rFonts w:hint="eastAsia"/>
          <w:lang w:eastAsia="ja-JP"/>
        </w:rPr>
        <w:t>47, (5)</w:t>
      </w:r>
      <w:r w:rsidRPr="0055646B">
        <w:t>, pp.939-54</w:t>
      </w:r>
      <w:r w:rsidR="00C32FB3">
        <w:rPr>
          <w:rFonts w:hint="eastAsia"/>
          <w:lang w:eastAsia="ja-JP"/>
        </w:rPr>
        <w:t>.</w:t>
      </w:r>
    </w:p>
    <w:p w14:paraId="2755225D" w14:textId="77777777" w:rsidR="000452AB" w:rsidRDefault="000452AB" w:rsidP="0093196D">
      <w:pPr>
        <w:pStyle w:val="NoSpacing"/>
      </w:pPr>
    </w:p>
    <w:p w14:paraId="08141B63" w14:textId="77777777" w:rsidR="00C51850" w:rsidRDefault="00C51850" w:rsidP="00C51850">
      <w:pPr>
        <w:pStyle w:val="NoSpacing"/>
      </w:pPr>
      <w:r>
        <w:t xml:space="preserve">Wright, M. (2002) </w:t>
      </w:r>
      <w:r w:rsidRPr="00C51850">
        <w:rPr>
          <w:i/>
          <w:iCs/>
        </w:rPr>
        <w:t>Japan’s Fiscal Crisis: The Ministry of Finance and the Politics of Public Spending, 1975-2000</w:t>
      </w:r>
      <w:r>
        <w:t>. New York: Oxford UP.</w:t>
      </w:r>
    </w:p>
    <w:p w14:paraId="066B5107" w14:textId="77777777" w:rsidR="00C51850" w:rsidRPr="0055646B" w:rsidRDefault="00C51850" w:rsidP="0093196D">
      <w:pPr>
        <w:pStyle w:val="NoSpacing"/>
      </w:pPr>
    </w:p>
    <w:p w14:paraId="5E102586" w14:textId="77777777" w:rsidR="000452AB" w:rsidRPr="0055646B" w:rsidRDefault="00F77E54" w:rsidP="0093196D">
      <w:pPr>
        <w:pStyle w:val="NoSpacing"/>
        <w:rPr>
          <w:lang w:eastAsia="ja-JP"/>
        </w:rPr>
      </w:pPr>
      <w:r w:rsidRPr="005B18BE">
        <w:t>Yamamura, K</w:t>
      </w:r>
      <w:r w:rsidRPr="005B18BE">
        <w:rPr>
          <w:lang w:eastAsia="ja-JP"/>
        </w:rPr>
        <w:t>.</w:t>
      </w:r>
      <w:r w:rsidRPr="005B18BE">
        <w:t xml:space="preserve"> (1967) </w:t>
      </w:r>
      <w:r w:rsidRPr="005B18BE">
        <w:rPr>
          <w:i/>
        </w:rPr>
        <w:t>Economic Policy in Postwar Japan</w:t>
      </w:r>
      <w:r w:rsidRPr="005B18BE">
        <w:rPr>
          <w:lang w:eastAsia="ja-JP"/>
        </w:rPr>
        <w:t>.</w:t>
      </w:r>
      <w:r w:rsidRPr="005B18BE">
        <w:t xml:space="preserve"> </w:t>
      </w:r>
      <w:r w:rsidR="00C32FB3" w:rsidRPr="0055646B">
        <w:rPr>
          <w:rFonts w:hint="eastAsia"/>
        </w:rPr>
        <w:t>Berkeley</w:t>
      </w:r>
      <w:r w:rsidR="00C32FB3">
        <w:rPr>
          <w:rFonts w:hint="eastAsia"/>
          <w:lang w:eastAsia="ja-JP"/>
        </w:rPr>
        <w:t>/</w:t>
      </w:r>
      <w:r w:rsidR="00C32FB3" w:rsidRPr="0055646B">
        <w:rPr>
          <w:rFonts w:hint="eastAsia"/>
        </w:rPr>
        <w:t>Los Angeles</w:t>
      </w:r>
      <w:r w:rsidR="00C32FB3">
        <w:rPr>
          <w:rFonts w:hint="eastAsia"/>
          <w:lang w:eastAsia="ja-JP"/>
        </w:rPr>
        <w:t>:</w:t>
      </w:r>
      <w:r w:rsidR="00C32FB3" w:rsidRPr="0055646B">
        <w:rPr>
          <w:rFonts w:hint="eastAsia"/>
        </w:rPr>
        <w:t xml:space="preserve"> </w:t>
      </w:r>
      <w:r w:rsidR="00C32FB3">
        <w:rPr>
          <w:rFonts w:hint="eastAsia"/>
        </w:rPr>
        <w:t>University of California Press</w:t>
      </w:r>
      <w:r w:rsidR="00C32FB3">
        <w:rPr>
          <w:rFonts w:hint="eastAsia"/>
          <w:lang w:eastAsia="ja-JP"/>
        </w:rPr>
        <w:t>.</w:t>
      </w:r>
    </w:p>
    <w:p w14:paraId="2C7C776C" w14:textId="77777777" w:rsidR="000452AB" w:rsidRPr="0055646B" w:rsidRDefault="000452AB" w:rsidP="0093196D">
      <w:pPr>
        <w:pStyle w:val="NoSpacing"/>
      </w:pPr>
    </w:p>
    <w:p w14:paraId="3DFE39BC" w14:textId="77777777" w:rsidR="000452AB" w:rsidRPr="0055646B" w:rsidRDefault="000452AB" w:rsidP="0093196D">
      <w:pPr>
        <w:pStyle w:val="NoSpacing"/>
        <w:rPr>
          <w:lang w:eastAsia="ja-JP"/>
        </w:rPr>
      </w:pPr>
      <w:r w:rsidRPr="0055646B">
        <w:t>Yamamura, K</w:t>
      </w:r>
      <w:r w:rsidR="00C32FB3">
        <w:rPr>
          <w:rFonts w:hint="eastAsia"/>
          <w:lang w:eastAsia="ja-JP"/>
        </w:rPr>
        <w:t>.</w:t>
      </w:r>
      <w:r w:rsidRPr="0055646B">
        <w:t xml:space="preserve"> (1997) ‘The Japanese Political Economy after the “Bubble”: Plus Ca Change?’, </w:t>
      </w:r>
      <w:r w:rsidRPr="00C32FB3">
        <w:rPr>
          <w:i/>
        </w:rPr>
        <w:t>Journal of Japanese Studies</w:t>
      </w:r>
      <w:r w:rsidR="00C32FB3">
        <w:rPr>
          <w:rFonts w:hint="eastAsia"/>
          <w:lang w:eastAsia="ja-JP"/>
        </w:rPr>
        <w:t>,</w:t>
      </w:r>
      <w:r w:rsidRPr="0055646B">
        <w:t xml:space="preserve"> 23</w:t>
      </w:r>
      <w:r w:rsidR="00C32FB3">
        <w:rPr>
          <w:rFonts w:hint="eastAsia"/>
          <w:lang w:eastAsia="ja-JP"/>
        </w:rPr>
        <w:t>, (2),</w:t>
      </w:r>
      <w:r w:rsidRPr="0055646B">
        <w:t xml:space="preserve"> pp.291-331</w:t>
      </w:r>
      <w:r w:rsidR="00C32FB3">
        <w:rPr>
          <w:rFonts w:hint="eastAsia"/>
          <w:lang w:eastAsia="ja-JP"/>
        </w:rPr>
        <w:t>.</w:t>
      </w:r>
    </w:p>
    <w:p w14:paraId="5CF9B06B" w14:textId="77777777" w:rsidR="000452AB" w:rsidRPr="0055646B" w:rsidRDefault="000452AB" w:rsidP="0093196D">
      <w:pPr>
        <w:pStyle w:val="NoSpacing"/>
      </w:pPr>
    </w:p>
    <w:p w14:paraId="71F1F1E1" w14:textId="77777777" w:rsidR="000452AB" w:rsidRPr="0055646B" w:rsidRDefault="000452AB" w:rsidP="0093196D">
      <w:pPr>
        <w:pStyle w:val="NoSpacing"/>
      </w:pPr>
      <w:r w:rsidRPr="0055646B">
        <w:t>Yasuoka, O</w:t>
      </w:r>
      <w:r w:rsidR="00C32FB3">
        <w:rPr>
          <w:rFonts w:hint="eastAsia"/>
          <w:lang w:eastAsia="ja-JP"/>
        </w:rPr>
        <w:t>.</w:t>
      </w:r>
      <w:r w:rsidRPr="0055646B">
        <w:t xml:space="preserve"> (2008) </w:t>
      </w:r>
      <w:r w:rsidRPr="0055646B">
        <w:rPr>
          <w:i/>
          <w:iCs/>
        </w:rPr>
        <w:t>Seijishudou no Jidai: Touchikouzou Kaikaku ni Torikunda Sanju Nen</w:t>
      </w:r>
      <w:r w:rsidR="00C32FB3">
        <w:rPr>
          <w:rFonts w:hint="eastAsia"/>
          <w:lang w:eastAsia="ja-JP"/>
        </w:rPr>
        <w:t xml:space="preserve"> [</w:t>
      </w:r>
      <w:r w:rsidRPr="0055646B">
        <w:t>The era of political leadership: the thirty years of the governing structure reform</w:t>
      </w:r>
      <w:r w:rsidR="00C32FB3">
        <w:rPr>
          <w:rFonts w:hint="eastAsia"/>
          <w:lang w:eastAsia="ja-JP"/>
        </w:rPr>
        <w:t>]. Tokyo:</w:t>
      </w:r>
      <w:r w:rsidRPr="0055646B">
        <w:t xml:space="preserve"> Chuoh Koron Shinsha</w:t>
      </w:r>
      <w:r w:rsidR="00C32FB3">
        <w:rPr>
          <w:rFonts w:hint="eastAsia"/>
          <w:lang w:eastAsia="ja-JP"/>
        </w:rPr>
        <w:t>.</w:t>
      </w:r>
    </w:p>
    <w:p w14:paraId="69D92BFD" w14:textId="77777777" w:rsidR="000452AB" w:rsidRPr="0055646B" w:rsidRDefault="000452AB" w:rsidP="0093196D">
      <w:pPr>
        <w:pStyle w:val="NoSpacing"/>
      </w:pPr>
    </w:p>
    <w:p w14:paraId="4B796E70" w14:textId="77777777" w:rsidR="000452AB" w:rsidRPr="0055646B" w:rsidRDefault="000452AB" w:rsidP="0093196D">
      <w:pPr>
        <w:pStyle w:val="NoSpacing"/>
        <w:rPr>
          <w:lang w:eastAsia="ja-JP"/>
        </w:rPr>
      </w:pPr>
      <w:r w:rsidRPr="0055646B">
        <w:t>Yin, R</w:t>
      </w:r>
      <w:r w:rsidR="002A2C36">
        <w:rPr>
          <w:rFonts w:hint="eastAsia"/>
          <w:lang w:eastAsia="ja-JP"/>
        </w:rPr>
        <w:t>.</w:t>
      </w:r>
      <w:r w:rsidRPr="0055646B">
        <w:t xml:space="preserve"> K. (19</w:t>
      </w:r>
      <w:r w:rsidRPr="0055646B">
        <w:rPr>
          <w:rFonts w:hint="eastAsia"/>
        </w:rPr>
        <w:t>84</w:t>
      </w:r>
      <w:r w:rsidRPr="0055646B">
        <w:t xml:space="preserve">) </w:t>
      </w:r>
      <w:r w:rsidRPr="002A2C36">
        <w:rPr>
          <w:i/>
        </w:rPr>
        <w:t>Case Study Research</w:t>
      </w:r>
      <w:r w:rsidRPr="002A2C36">
        <w:rPr>
          <w:rFonts w:hint="eastAsia"/>
          <w:i/>
        </w:rPr>
        <w:t xml:space="preserve">: </w:t>
      </w:r>
      <w:r w:rsidRPr="002A2C36">
        <w:rPr>
          <w:i/>
        </w:rPr>
        <w:t>Design and Methods</w:t>
      </w:r>
      <w:r w:rsidR="00C32FB3">
        <w:rPr>
          <w:rFonts w:hint="eastAsia"/>
          <w:lang w:eastAsia="ja-JP"/>
        </w:rPr>
        <w:t>,</w:t>
      </w:r>
      <w:r w:rsidRPr="0055646B">
        <w:t xml:space="preserve"> Applied Social Research Methods Series Vol.5</w:t>
      </w:r>
      <w:r w:rsidR="00C32FB3">
        <w:rPr>
          <w:rFonts w:hint="eastAsia"/>
          <w:lang w:eastAsia="ja-JP"/>
        </w:rPr>
        <w:t>.</w:t>
      </w:r>
      <w:r w:rsidRPr="0055646B">
        <w:t xml:space="preserve"> </w:t>
      </w:r>
      <w:r w:rsidRPr="0055646B">
        <w:rPr>
          <w:rFonts w:hint="eastAsia"/>
        </w:rPr>
        <w:t>Beverly Hills</w:t>
      </w:r>
      <w:r w:rsidRPr="0055646B">
        <w:t>, California/London</w:t>
      </w:r>
      <w:r w:rsidR="002A2C36">
        <w:rPr>
          <w:rFonts w:hint="eastAsia"/>
          <w:lang w:eastAsia="ja-JP"/>
        </w:rPr>
        <w:t xml:space="preserve">: </w:t>
      </w:r>
      <w:r w:rsidR="002A2C36" w:rsidRPr="0055646B">
        <w:t>Saga Publications</w:t>
      </w:r>
      <w:r w:rsidR="002A2C36">
        <w:rPr>
          <w:rFonts w:hint="eastAsia"/>
          <w:lang w:eastAsia="ja-JP"/>
        </w:rPr>
        <w:t>.</w:t>
      </w:r>
    </w:p>
    <w:p w14:paraId="0C8E9D40" w14:textId="77777777" w:rsidR="000452AB" w:rsidRPr="0055646B" w:rsidRDefault="000452AB" w:rsidP="0093196D">
      <w:pPr>
        <w:pStyle w:val="NoSpacing"/>
      </w:pPr>
    </w:p>
    <w:p w14:paraId="56335C91" w14:textId="77777777" w:rsidR="000452AB" w:rsidRPr="0055646B" w:rsidRDefault="000452AB" w:rsidP="0093196D">
      <w:pPr>
        <w:pStyle w:val="NoSpacing"/>
        <w:rPr>
          <w:lang w:eastAsia="ja-JP"/>
        </w:rPr>
      </w:pPr>
      <w:r w:rsidRPr="0055646B">
        <w:t>Yin, R</w:t>
      </w:r>
      <w:r w:rsidR="002A2C36">
        <w:rPr>
          <w:rFonts w:hint="eastAsia"/>
          <w:lang w:eastAsia="ja-JP"/>
        </w:rPr>
        <w:t>.</w:t>
      </w:r>
      <w:r w:rsidRPr="0055646B">
        <w:t xml:space="preserve"> K. (1994) </w:t>
      </w:r>
      <w:r w:rsidRPr="002A2C36">
        <w:rPr>
          <w:i/>
        </w:rPr>
        <w:t>Case Study Research</w:t>
      </w:r>
      <w:r w:rsidRPr="002A2C36">
        <w:rPr>
          <w:rFonts w:hint="eastAsia"/>
          <w:i/>
        </w:rPr>
        <w:t xml:space="preserve">: </w:t>
      </w:r>
      <w:r w:rsidRPr="002A2C36">
        <w:rPr>
          <w:i/>
        </w:rPr>
        <w:t>Design and Methods</w:t>
      </w:r>
      <w:r w:rsidR="002A2C36">
        <w:rPr>
          <w:rFonts w:hint="eastAsia"/>
          <w:lang w:eastAsia="ja-JP"/>
        </w:rPr>
        <w:t>, Second Edition,</w:t>
      </w:r>
      <w:r w:rsidRPr="0055646B">
        <w:t xml:space="preserve"> Applied Social Research Methods Series Vol.5</w:t>
      </w:r>
      <w:r w:rsidR="002A2C36">
        <w:rPr>
          <w:rFonts w:hint="eastAsia"/>
          <w:lang w:eastAsia="ja-JP"/>
        </w:rPr>
        <w:t>.</w:t>
      </w:r>
      <w:r w:rsidRPr="0055646B">
        <w:t xml:space="preserve"> Thousand Oaks, California/London/New Delhi</w:t>
      </w:r>
      <w:r w:rsidR="002A2C36">
        <w:rPr>
          <w:rFonts w:hint="eastAsia"/>
          <w:lang w:eastAsia="ja-JP"/>
        </w:rPr>
        <w:t xml:space="preserve">: </w:t>
      </w:r>
      <w:r w:rsidR="002A2C36" w:rsidRPr="0055646B">
        <w:t>Saga Publications</w:t>
      </w:r>
      <w:r w:rsidR="002A2C36">
        <w:rPr>
          <w:rFonts w:hint="eastAsia"/>
          <w:lang w:eastAsia="ja-JP"/>
        </w:rPr>
        <w:t>.</w:t>
      </w:r>
    </w:p>
    <w:p w14:paraId="0B7308FC" w14:textId="77777777" w:rsidR="000452AB" w:rsidRPr="0055646B" w:rsidRDefault="000452AB" w:rsidP="0093196D">
      <w:pPr>
        <w:pStyle w:val="NoSpacing"/>
      </w:pPr>
    </w:p>
    <w:p w14:paraId="572C6B03" w14:textId="77777777" w:rsidR="000452AB" w:rsidRPr="0055646B" w:rsidRDefault="000452AB" w:rsidP="0093196D">
      <w:pPr>
        <w:pStyle w:val="NoSpacing"/>
        <w:rPr>
          <w:lang w:eastAsia="ja-JP"/>
        </w:rPr>
      </w:pPr>
      <w:r w:rsidRPr="0055646B">
        <w:t>Yin, R</w:t>
      </w:r>
      <w:r w:rsidR="002A2C36">
        <w:rPr>
          <w:rFonts w:hint="eastAsia"/>
          <w:lang w:eastAsia="ja-JP"/>
        </w:rPr>
        <w:t>.</w:t>
      </w:r>
      <w:r w:rsidR="002A2C36">
        <w:t xml:space="preserve"> K. (2003) </w:t>
      </w:r>
      <w:r w:rsidRPr="002A2C36">
        <w:rPr>
          <w:i/>
        </w:rPr>
        <w:t>Case Study Research: Design and Methods</w:t>
      </w:r>
      <w:r w:rsidR="002A2C36">
        <w:rPr>
          <w:rFonts w:hint="eastAsia"/>
          <w:lang w:eastAsia="ja-JP"/>
        </w:rPr>
        <w:t xml:space="preserve">, Third Edition, </w:t>
      </w:r>
      <w:r w:rsidRPr="0055646B">
        <w:t>Applied Social Research Methods Series Vol.5</w:t>
      </w:r>
      <w:r w:rsidR="002A2C36">
        <w:rPr>
          <w:rFonts w:hint="eastAsia"/>
          <w:lang w:eastAsia="ja-JP"/>
        </w:rPr>
        <w:t>.</w:t>
      </w:r>
      <w:r w:rsidRPr="0055646B">
        <w:t xml:space="preserve"> Thousand Oaks, California/London/New Delhi</w:t>
      </w:r>
      <w:r w:rsidR="002A2C36">
        <w:rPr>
          <w:rFonts w:hint="eastAsia"/>
          <w:lang w:eastAsia="ja-JP"/>
        </w:rPr>
        <w:t xml:space="preserve">: </w:t>
      </w:r>
      <w:r w:rsidR="002A2C36" w:rsidRPr="0055646B">
        <w:t>Saga Publications</w:t>
      </w:r>
      <w:r w:rsidR="002A2C36">
        <w:rPr>
          <w:rFonts w:hint="eastAsia"/>
          <w:lang w:eastAsia="ja-JP"/>
        </w:rPr>
        <w:t>.</w:t>
      </w:r>
    </w:p>
    <w:p w14:paraId="5E122628" w14:textId="77777777" w:rsidR="000452AB" w:rsidRPr="0055646B" w:rsidRDefault="000452AB" w:rsidP="0093196D">
      <w:pPr>
        <w:pStyle w:val="NoSpacing"/>
      </w:pPr>
    </w:p>
    <w:p w14:paraId="794EC516" w14:textId="77777777" w:rsidR="000452AB" w:rsidRPr="0055646B" w:rsidRDefault="000452AB" w:rsidP="0093196D">
      <w:pPr>
        <w:pStyle w:val="NoSpacing"/>
        <w:rPr>
          <w:lang w:eastAsia="ja-JP"/>
        </w:rPr>
      </w:pPr>
      <w:r w:rsidRPr="0055646B">
        <w:t>Yoshikawa, S</w:t>
      </w:r>
      <w:r w:rsidR="002A2C36">
        <w:rPr>
          <w:rFonts w:hint="eastAsia"/>
          <w:lang w:eastAsia="ja-JP"/>
        </w:rPr>
        <w:t>.</w:t>
      </w:r>
      <w:r w:rsidRPr="0055646B">
        <w:t xml:space="preserve"> (1983) ‘Fair Trade Commission vs. MITI: History of the Conflicts Between the Antimonopoly Policy and the Industrial Policy in the Post War Period of Japan’, </w:t>
      </w:r>
      <w:r w:rsidRPr="002A2C36">
        <w:rPr>
          <w:i/>
        </w:rPr>
        <w:t>Case Western Reserve Journal of International Law</w:t>
      </w:r>
      <w:r w:rsidR="002A2C36">
        <w:rPr>
          <w:rFonts w:hint="eastAsia"/>
          <w:lang w:eastAsia="ja-JP"/>
        </w:rPr>
        <w:t>,</w:t>
      </w:r>
      <w:r w:rsidRPr="0055646B">
        <w:t xml:space="preserve"> 15</w:t>
      </w:r>
      <w:r w:rsidR="002A2C36">
        <w:rPr>
          <w:rFonts w:hint="eastAsia"/>
          <w:lang w:eastAsia="ja-JP"/>
        </w:rPr>
        <w:t>,</w:t>
      </w:r>
      <w:r w:rsidRPr="0055646B">
        <w:t xml:space="preserve"> pp.489-504</w:t>
      </w:r>
      <w:r w:rsidR="002A2C36">
        <w:rPr>
          <w:rFonts w:hint="eastAsia"/>
          <w:lang w:eastAsia="ja-JP"/>
        </w:rPr>
        <w:t>.</w:t>
      </w:r>
    </w:p>
    <w:p w14:paraId="5DEBE729" w14:textId="77777777" w:rsidR="000452AB" w:rsidRPr="000452AB" w:rsidRDefault="000452AB" w:rsidP="0093196D">
      <w:pPr>
        <w:pStyle w:val="NoSpacing"/>
        <w:rPr>
          <w:rFonts w:eastAsia="MS Mincho"/>
          <w:lang w:eastAsia="ja-JP"/>
        </w:rPr>
      </w:pPr>
    </w:p>
    <w:sectPr w:rsidR="000452AB" w:rsidRPr="000452AB" w:rsidSect="00AC34E6">
      <w:pgSz w:w="11906" w:h="16838" w:code="9"/>
      <w:pgMar w:top="1418" w:right="1134" w:bottom="1134" w:left="2268" w:header="567" w:footer="567" w:gutter="0"/>
      <w:pgNumType w:start="1"/>
      <w:cols w:space="708"/>
      <w:docGrid w:type="linesAndChars" w:linePitch="357"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10FE7" w14:textId="77777777" w:rsidR="00AC34E6" w:rsidRDefault="00AC34E6" w:rsidP="002D5858">
      <w:r>
        <w:separator/>
      </w:r>
    </w:p>
  </w:endnote>
  <w:endnote w:type="continuationSeparator" w:id="0">
    <w:p w14:paraId="23AB8CF3" w14:textId="77777777" w:rsidR="00AC34E6" w:rsidRDefault="00AC34E6" w:rsidP="002D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9850"/>
      <w:docPartObj>
        <w:docPartGallery w:val="Page Numbers (Bottom of Page)"/>
        <w:docPartUnique/>
      </w:docPartObj>
    </w:sdtPr>
    <w:sdtEndPr/>
    <w:sdtContent>
      <w:p w14:paraId="0306EDEB" w14:textId="77777777" w:rsidR="00AC34E6" w:rsidRDefault="00AC34E6" w:rsidP="00895939">
        <w:pPr>
          <w:pStyle w:val="Footer"/>
          <w:spacing w:line="240" w:lineRule="auto"/>
          <w:jc w:val="center"/>
        </w:pPr>
        <w:r>
          <w:fldChar w:fldCharType="begin"/>
        </w:r>
        <w:r>
          <w:instrText xml:space="preserve"> PAGE   \* MERGEFORMAT </w:instrText>
        </w:r>
        <w:r>
          <w:fldChar w:fldCharType="separate"/>
        </w:r>
        <w:r w:rsidR="00050AB3">
          <w:rPr>
            <w:noProof/>
          </w:rPr>
          <w:t>342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43038" w14:textId="77777777" w:rsidR="00AC34E6" w:rsidRDefault="00AC34E6" w:rsidP="002F6898">
      <w:pPr>
        <w:spacing w:line="240" w:lineRule="auto"/>
      </w:pPr>
      <w:r>
        <w:separator/>
      </w:r>
    </w:p>
  </w:footnote>
  <w:footnote w:type="continuationSeparator" w:id="0">
    <w:p w14:paraId="40374257" w14:textId="77777777" w:rsidR="00AC34E6" w:rsidRDefault="00AC34E6" w:rsidP="002D5858">
      <w:r>
        <w:continuationSeparator/>
      </w:r>
    </w:p>
  </w:footnote>
  <w:footnote w:id="1">
    <w:p w14:paraId="5EEDAB11" w14:textId="77777777" w:rsidR="00AC34E6" w:rsidRPr="005B18BE" w:rsidRDefault="00AC34E6" w:rsidP="005B18BE">
      <w:pPr>
        <w:pStyle w:val="footnote"/>
      </w:pPr>
      <w:r w:rsidRPr="005B18BE">
        <w:footnoteRef/>
      </w:r>
      <w:r w:rsidRPr="005B18BE">
        <w:t xml:space="preserve"> </w:t>
      </w:r>
      <w:r w:rsidRPr="005B18BE">
        <w:rPr>
          <w:lang w:eastAsia="ja-JP"/>
        </w:rPr>
        <w:t xml:space="preserve">Vogel (1996 pp.1-5, 16-7) employs the term ‘regulatory reform’ as a concept in which deregulation, liberalisation and reregulation are combined. Taking account of the benefit of embracing deregulation, liberalisation, and reregulation, which are often related to each other, this thesis also employs ‘regulatory reform’ </w:t>
      </w:r>
      <w:r w:rsidRPr="005B18BE">
        <w:t>as a term meaning the transformation of the regulatory regime including deregulation, liberalisation, and reregulation.</w:t>
      </w:r>
    </w:p>
  </w:footnote>
  <w:footnote w:id="2">
    <w:p w14:paraId="5EC88636" w14:textId="77777777" w:rsidR="00AC34E6" w:rsidRDefault="00AC34E6" w:rsidP="005B18BE">
      <w:pPr>
        <w:pStyle w:val="footnote"/>
      </w:pPr>
      <w:r w:rsidRPr="005B18BE">
        <w:footnoteRef/>
      </w:r>
      <w:r>
        <w:t xml:space="preserve"> </w:t>
      </w:r>
      <w:r>
        <w:rPr>
          <w:lang w:eastAsia="ja-JP"/>
        </w:rPr>
        <w:t>Evans (1995) also explains the developmental state as the state not only has</w:t>
      </w:r>
      <w:r>
        <w:rPr>
          <w:rFonts w:hint="eastAsia"/>
          <w:lang w:eastAsia="ja-JP"/>
        </w:rPr>
        <w:t>:</w:t>
      </w:r>
      <w:r>
        <w:rPr>
          <w:lang w:eastAsia="ja-JP"/>
        </w:rPr>
        <w:t xml:space="preserve"> ‘presided over industrial transformation but can be plausibly argued to have played a role in making it happen’ (p.12).</w:t>
      </w:r>
    </w:p>
  </w:footnote>
  <w:footnote w:id="3">
    <w:p w14:paraId="4DD1BA0E" w14:textId="77777777" w:rsidR="00AC34E6" w:rsidRDefault="00AC34E6" w:rsidP="005B18BE">
      <w:pPr>
        <w:pStyle w:val="footnote"/>
      </w:pPr>
      <w:r w:rsidRPr="005B18BE">
        <w:footnoteRef/>
      </w:r>
      <w:r w:rsidRPr="006D1420">
        <w:t xml:space="preserve"> </w:t>
      </w:r>
      <w:r>
        <w:t xml:space="preserve">The MITI was reorganised as the Ministry of Economy, Trade and Industry (METI) in 2001. (website: </w:t>
      </w:r>
      <w:hyperlink r:id="rId1" w:history="1">
        <w:r w:rsidRPr="005B18BE">
          <w:rPr>
            <w:rStyle w:val="Hyperlink"/>
            <w:rFonts w:cs="Times New Roman"/>
          </w:rPr>
          <w:t>http://www.meti.go.jp/english/index.html</w:t>
        </w:r>
      </w:hyperlink>
      <w:r>
        <w:t>)</w:t>
      </w:r>
    </w:p>
  </w:footnote>
  <w:footnote w:id="4">
    <w:p w14:paraId="01DB8F45" w14:textId="77777777" w:rsidR="00AC34E6" w:rsidRDefault="00AC34E6" w:rsidP="005B18BE">
      <w:pPr>
        <w:pStyle w:val="footnote"/>
        <w:rPr>
          <w:lang w:eastAsia="ja-JP"/>
        </w:rPr>
      </w:pPr>
      <w:r w:rsidRPr="005B18BE">
        <w:footnoteRef/>
      </w:r>
      <w:r w:rsidRPr="00DA051E">
        <w:t xml:space="preserve"> Administrative guidance is not based on an explicit law but cannot violate law and is based on the notion that those guided are under the jurisdiction of issuers (government ministries) (Johnson 1982 p.265). The power of administrative guidance comes from the government-business relationship, i.e. respect for the bureaucracy, the belief that the authority represents national interests, and the possibility that the issuing authority may take revenge through various available channels to opponents (Johnson 1982 p.266). Administrative guidance came through various kinds of forms, such as oral guidance and policy statements (Johnson 1982 p.266-7). ‘(M)any of the functions performed by lawyers in other societies (were) performed in Japan by bureaucrats using administrative </w:t>
      </w:r>
      <w:r w:rsidRPr="002551C1">
        <w:t>guidance.’ (Johnson 1982 p.319)</w:t>
      </w:r>
    </w:p>
  </w:footnote>
  <w:footnote w:id="5">
    <w:p w14:paraId="5F13F7EC" w14:textId="77777777" w:rsidR="00AC34E6" w:rsidRDefault="00AC34E6" w:rsidP="005B18BE">
      <w:pPr>
        <w:pStyle w:val="footnote"/>
      </w:pPr>
      <w:r w:rsidRPr="005B18BE">
        <w:footnoteRef/>
      </w:r>
      <w:r>
        <w:t xml:space="preserve"> Privately owned industrial empires (Johnson 1982 p.23). Hadley (1970) explains that </w:t>
      </w:r>
      <w:r>
        <w:rPr>
          <w:i/>
          <w:iCs/>
        </w:rPr>
        <w:t>Zaibatsu</w:t>
      </w:r>
      <w:r>
        <w:t xml:space="preserve"> was family oriented ‘combines’ (complexes ‘of corporations displaying unified business strategies arising primarily out of an ownership base’). (p.20)</w:t>
      </w:r>
    </w:p>
  </w:footnote>
  <w:footnote w:id="6">
    <w:p w14:paraId="1C1AF8DF" w14:textId="77777777" w:rsidR="00AC34E6" w:rsidRDefault="00AC34E6" w:rsidP="005B18BE">
      <w:pPr>
        <w:pStyle w:val="footnote"/>
        <w:rPr>
          <w:rFonts w:asciiTheme="majorBidi" w:hAnsiTheme="majorBidi" w:cstheme="majorBidi"/>
        </w:rPr>
      </w:pPr>
      <w:r w:rsidRPr="005B18BE">
        <w:footnoteRef/>
      </w:r>
      <w:r>
        <w:rPr>
          <w:rFonts w:asciiTheme="majorBidi" w:hAnsiTheme="majorBidi" w:cstheme="majorBidi"/>
        </w:rPr>
        <w:t xml:space="preserve"> The SCAP issued purge directives, whose scope include</w:t>
      </w:r>
      <w:r>
        <w:rPr>
          <w:rFonts w:asciiTheme="majorBidi" w:hAnsiTheme="majorBidi" w:cstheme="majorBidi" w:hint="eastAsia"/>
          <w:lang w:eastAsia="ja-JP"/>
        </w:rPr>
        <w:t>d</w:t>
      </w:r>
      <w:r>
        <w:rPr>
          <w:rFonts w:asciiTheme="majorBidi" w:hAnsiTheme="majorBidi" w:cstheme="majorBidi"/>
        </w:rPr>
        <w:t xml:space="preserve"> those related to the civil service as well as armed forces, and excluded from various public and private positions of responsibility those designated by category as having been partly responsible for the war (Johnson 1982 p.41). </w:t>
      </w:r>
    </w:p>
  </w:footnote>
  <w:footnote w:id="7">
    <w:p w14:paraId="51CA4F37" w14:textId="77777777" w:rsidR="00AC34E6" w:rsidRDefault="00AC34E6" w:rsidP="005B18BE">
      <w:pPr>
        <w:pStyle w:val="footnote"/>
      </w:pPr>
      <w:r w:rsidRPr="005B18BE">
        <w:footnoteRef/>
      </w:r>
      <w:r>
        <w:t xml:space="preserve"> Different from American counterparts, Japanese politicians did not have experience of being deeply involved in administrative affairs and legislation. Under the Katayama Government (May 1947- January 1949): ‘the Cabinet Ministers were so lacking in expertise and so unfamiliar with legislation that everyone had his vice-minister sitting next to him in the Cabinet room in order to advise him on what to do’ (Johnson 1982 p.45).</w:t>
      </w:r>
    </w:p>
  </w:footnote>
  <w:footnote w:id="8">
    <w:p w14:paraId="594DC067" w14:textId="77777777" w:rsidR="00AC34E6" w:rsidRDefault="00AC34E6" w:rsidP="005B18BE">
      <w:pPr>
        <w:pStyle w:val="footnote"/>
      </w:pPr>
      <w:r w:rsidRPr="005B18BE">
        <w:footnoteRef/>
      </w:r>
      <w:r>
        <w:t xml:space="preserve"> </w:t>
      </w:r>
      <w:r>
        <w:rPr>
          <w:i/>
          <w:iCs/>
        </w:rPr>
        <w:t>Seiyukai</w:t>
      </w:r>
      <w:r>
        <w:t xml:space="preserve"> and </w:t>
      </w:r>
      <w:r>
        <w:rPr>
          <w:i/>
          <w:iCs/>
        </w:rPr>
        <w:t>Minseito</w:t>
      </w:r>
      <w:r>
        <w:t xml:space="preserve"> were the major political parties in Japan before World War II.</w:t>
      </w:r>
    </w:p>
  </w:footnote>
  <w:footnote w:id="9">
    <w:p w14:paraId="16DB1DF1" w14:textId="77777777" w:rsidR="00AC34E6" w:rsidRDefault="00AC34E6" w:rsidP="005B18BE">
      <w:pPr>
        <w:pStyle w:val="footnote"/>
      </w:pPr>
      <w:r w:rsidRPr="005B18BE">
        <w:footnoteRef/>
      </w:r>
      <w:r>
        <w:t xml:space="preserve"> According to Muramatsu and Krauss (1987), ‘pluralism’ means the system with various competing actors with influence on policy and with the state responsive to social interest. ‘Patterned’ is associated with relatively fixed and institutionalised political parties, bureaucracy and ideological ties. (p.538)</w:t>
      </w:r>
    </w:p>
  </w:footnote>
  <w:footnote w:id="10">
    <w:p w14:paraId="6F1856F4" w14:textId="77777777" w:rsidR="00AC34E6" w:rsidRDefault="00AC34E6" w:rsidP="005B18BE">
      <w:pPr>
        <w:pStyle w:val="footnote"/>
        <w:rPr>
          <w:lang w:eastAsia="ja-JP"/>
        </w:rPr>
      </w:pPr>
      <w:r w:rsidRPr="005B18BE">
        <w:footnoteRef/>
      </w:r>
      <w:r>
        <w:t xml:space="preserve"> </w:t>
      </w:r>
      <w:r>
        <w:rPr>
          <w:lang w:eastAsia="ja-JP"/>
        </w:rPr>
        <w:t>Kirchheimer (1966) employs this ‘catch-all party’ to describe post World War II parties trying to reach a wider audience and to obtain immediate electoral success (pp.184-92).</w:t>
      </w:r>
    </w:p>
  </w:footnote>
  <w:footnote w:id="11">
    <w:p w14:paraId="13CCB585" w14:textId="77777777" w:rsidR="00AC34E6" w:rsidRDefault="00AC34E6" w:rsidP="005B18BE">
      <w:pPr>
        <w:pStyle w:val="footnote"/>
      </w:pPr>
      <w:r w:rsidRPr="005B18BE">
        <w:footnoteRef/>
      </w:r>
      <w:r>
        <w:t xml:space="preserve"> Because </w:t>
      </w:r>
      <w:r>
        <w:rPr>
          <w:lang w:eastAsia="ja-JP"/>
        </w:rPr>
        <w:t xml:space="preserve">the basis of </w:t>
      </w:r>
      <w:r>
        <w:t xml:space="preserve">American pluralism is different </w:t>
      </w:r>
      <w:r>
        <w:rPr>
          <w:lang w:eastAsia="ja-JP"/>
        </w:rPr>
        <w:t xml:space="preserve">to </w:t>
      </w:r>
      <w:r>
        <w:t>Japan</w:t>
      </w:r>
      <w:r>
        <w:rPr>
          <w:lang w:eastAsia="ja-JP"/>
        </w:rPr>
        <w:t>’s political tradition</w:t>
      </w:r>
      <w:r>
        <w:t xml:space="preserve">, Japan’s political analysts proposed their </w:t>
      </w:r>
      <w:r>
        <w:rPr>
          <w:lang w:eastAsia="ja-JP"/>
        </w:rPr>
        <w:t>own versions</w:t>
      </w:r>
      <w:r>
        <w:t xml:space="preserve"> </w:t>
      </w:r>
      <w:r>
        <w:rPr>
          <w:lang w:eastAsia="ja-JP"/>
        </w:rPr>
        <w:t xml:space="preserve">of pluralism </w:t>
      </w:r>
      <w:r>
        <w:t xml:space="preserve">with adjectives, such as </w:t>
      </w:r>
      <w:r>
        <w:rPr>
          <w:lang w:eastAsia="ja-JP"/>
        </w:rPr>
        <w:t>‘</w:t>
      </w:r>
      <w:r>
        <w:t>patterned pluralism</w:t>
      </w:r>
      <w:r>
        <w:rPr>
          <w:lang w:eastAsia="ja-JP"/>
        </w:rPr>
        <w:t>’</w:t>
      </w:r>
      <w:r>
        <w:t xml:space="preserve"> and </w:t>
      </w:r>
      <w:r>
        <w:rPr>
          <w:lang w:eastAsia="ja-JP"/>
        </w:rPr>
        <w:t>‘</w:t>
      </w:r>
      <w:r>
        <w:t>divided pluralism</w:t>
      </w:r>
      <w:r>
        <w:rPr>
          <w:lang w:eastAsia="ja-JP"/>
        </w:rPr>
        <w:t>’, reflecting</w:t>
      </w:r>
      <w:r>
        <w:t xml:space="preserve"> the fact that Japan’s interest groups did not play a major role, although they were freely organised and actively working like their US counterparts (I’io 2007 p.38). </w:t>
      </w:r>
    </w:p>
  </w:footnote>
  <w:footnote w:id="12">
    <w:p w14:paraId="2F5C71EE" w14:textId="3502CC8E" w:rsidR="00AC34E6" w:rsidRDefault="00AC34E6" w:rsidP="005B18BE">
      <w:pPr>
        <w:pStyle w:val="footnote"/>
      </w:pPr>
      <w:r w:rsidRPr="005B18BE">
        <w:footnoteRef/>
      </w:r>
      <w:r>
        <w:t xml:space="preserve"> This phrase is often employed by journalistic articles in Japan.</w:t>
      </w:r>
    </w:p>
  </w:footnote>
  <w:footnote w:id="13">
    <w:p w14:paraId="088B7D4C" w14:textId="77777777" w:rsidR="00AC34E6" w:rsidRDefault="00AC34E6" w:rsidP="005B18BE">
      <w:pPr>
        <w:pStyle w:val="footnote"/>
      </w:pPr>
      <w:r w:rsidRPr="005B18BE">
        <w:footnoteRef/>
      </w:r>
      <w:r>
        <w:t xml:space="preserve"> </w:t>
      </w:r>
      <w:r>
        <w:rPr>
          <w:lang w:eastAsia="ja-JP"/>
        </w:rPr>
        <w:t xml:space="preserve">Japan’s segmented industrial groups aligned with distributers and financial institutions (Calder 1993 p.142). Hadley (1970) presents detailed typology and analysis about </w:t>
      </w:r>
      <w:r>
        <w:rPr>
          <w:rFonts w:hint="eastAsia"/>
          <w:i/>
          <w:iCs/>
          <w:lang w:eastAsia="ja-JP"/>
        </w:rPr>
        <w:t>K</w:t>
      </w:r>
      <w:r>
        <w:rPr>
          <w:i/>
          <w:iCs/>
          <w:lang w:eastAsia="ja-JP"/>
        </w:rPr>
        <w:t>eiretsu</w:t>
      </w:r>
      <w:r>
        <w:rPr>
          <w:lang w:eastAsia="ja-JP"/>
        </w:rPr>
        <w:t xml:space="preserve"> (pp.205-90).</w:t>
      </w:r>
    </w:p>
  </w:footnote>
  <w:footnote w:id="14">
    <w:p w14:paraId="6A528B2C" w14:textId="77777777" w:rsidR="00AC34E6" w:rsidRDefault="00AC34E6" w:rsidP="005B18BE">
      <w:pPr>
        <w:pStyle w:val="footnote"/>
      </w:pPr>
      <w:r w:rsidRPr="005B18BE">
        <w:footnoteRef/>
      </w:r>
      <w:r>
        <w:t xml:space="preserve"> Because bureaucrats are exposed to uncertain pressure</w:t>
      </w:r>
      <w:r>
        <w:rPr>
          <w:lang w:eastAsia="ja-JP"/>
        </w:rPr>
        <w:t>s</w:t>
      </w:r>
      <w:r>
        <w:t xml:space="preserve"> from legislature, they tend to be more risk-averse than their private sector counterparts (Leydan and Link 1991 pp.199-200).</w:t>
      </w:r>
    </w:p>
  </w:footnote>
  <w:footnote w:id="15">
    <w:p w14:paraId="7BB20A85" w14:textId="77777777" w:rsidR="00AC34E6" w:rsidRDefault="00AC34E6" w:rsidP="005B18BE">
      <w:pPr>
        <w:pStyle w:val="footnote"/>
      </w:pPr>
      <w:r w:rsidRPr="005B18BE">
        <w:footnoteRef/>
      </w:r>
      <w:r>
        <w:t xml:space="preserve"> The Ministry of Health and Welfare was reorganised into the Ministry of Health, Labour, and Welfare in 2001.</w:t>
      </w:r>
    </w:p>
  </w:footnote>
  <w:footnote w:id="16">
    <w:p w14:paraId="784A93F6" w14:textId="77777777" w:rsidR="00AC34E6" w:rsidRDefault="00AC34E6" w:rsidP="005B18BE">
      <w:pPr>
        <w:pStyle w:val="footnote"/>
      </w:pPr>
      <w:r w:rsidRPr="005B18BE">
        <w:footnoteRef/>
      </w:r>
      <w:r>
        <w:t xml:space="preserve"> The Ministry of Transport and the Ministry of Construction merged into the newly created Ministry of Land, Infrastructure, Transport and Tourism in 2001.</w:t>
      </w:r>
    </w:p>
  </w:footnote>
  <w:footnote w:id="17">
    <w:p w14:paraId="601B4A1D" w14:textId="77777777" w:rsidR="00AC34E6" w:rsidRPr="005B18BE" w:rsidRDefault="00AC34E6" w:rsidP="005B18BE">
      <w:pPr>
        <w:pStyle w:val="footnote"/>
      </w:pPr>
      <w:r w:rsidRPr="008C0204">
        <w:rPr>
          <w:rStyle w:val="FootnoteReference"/>
          <w:vertAlign w:val="baseline"/>
        </w:rPr>
        <w:footnoteRef/>
      </w:r>
      <w:r w:rsidRPr="008C0204">
        <w:t xml:space="preserve"> </w:t>
      </w:r>
      <w:r w:rsidRPr="005B18BE">
        <w:t>The MPT was reorganised into the Ministry of Internal Affairs and Communications (MIC) in 2001. See also Chapter 5 footnote 42.</w:t>
      </w:r>
    </w:p>
  </w:footnote>
  <w:footnote w:id="18">
    <w:p w14:paraId="11F71D38" w14:textId="77777777" w:rsidR="00AC34E6" w:rsidRDefault="00AC34E6" w:rsidP="005B18BE">
      <w:pPr>
        <w:pStyle w:val="footnote"/>
        <w:rPr>
          <w:lang w:eastAsia="ja-JP"/>
        </w:rPr>
      </w:pPr>
      <w:r w:rsidRPr="005B18BE">
        <w:footnoteRef/>
      </w:r>
      <w:r>
        <w:t xml:space="preserve"> The SNTV </w:t>
      </w:r>
      <w:r>
        <w:rPr>
          <w:lang w:eastAsia="ja-JP"/>
        </w:rPr>
        <w:t xml:space="preserve">system </w:t>
      </w:r>
      <w:r>
        <w:t>is the system under which multiple national legislators are elected from a constituency while each voter casts just one vote (Rosenbluth and Thies 2010 p.55).</w:t>
      </w:r>
    </w:p>
  </w:footnote>
  <w:footnote w:id="19">
    <w:p w14:paraId="5028A949" w14:textId="77777777" w:rsidR="00AC34E6" w:rsidRDefault="00AC34E6" w:rsidP="005B18BE">
      <w:pPr>
        <w:pStyle w:val="footnote"/>
      </w:pPr>
      <w:r w:rsidRPr="005B18BE">
        <w:footnoteRef/>
      </w:r>
      <w:r>
        <w:t xml:space="preserve"> The FILP </w:t>
      </w:r>
      <w:r>
        <w:rPr>
          <w:lang w:eastAsia="ja-JP"/>
        </w:rPr>
        <w:t>wa</w:t>
      </w:r>
      <w:r>
        <w:t xml:space="preserve">s the financial institution managed by the MOF (Wright 1999 p.952). Generating funds from public financial institutions such as postal savings, </w:t>
      </w:r>
      <w:r>
        <w:rPr>
          <w:lang w:eastAsia="ja-JP"/>
        </w:rPr>
        <w:t>its</w:t>
      </w:r>
      <w:r>
        <w:t xml:space="preserve"> fund was used for capital investment programmes such as public construction programmes</w:t>
      </w:r>
      <w:r>
        <w:rPr>
          <w:lang w:eastAsia="ja-JP"/>
        </w:rPr>
        <w:t xml:space="preserve"> and </w:t>
      </w:r>
      <w:r>
        <w:t xml:space="preserve">used </w:t>
      </w:r>
      <w:r>
        <w:rPr>
          <w:lang w:eastAsia="ja-JP"/>
        </w:rPr>
        <w:t>by the MOF</w:t>
      </w:r>
      <w:r>
        <w:rPr>
          <w:rFonts w:eastAsia="MS Mincho" w:hint="eastAsia"/>
          <w:lang w:eastAsia="ja-JP"/>
        </w:rPr>
        <w:t>:</w:t>
      </w:r>
      <w:r>
        <w:rPr>
          <w:lang w:eastAsia="ja-JP"/>
        </w:rPr>
        <w:t xml:space="preserve"> </w:t>
      </w:r>
      <w:r>
        <w:t>‘as an alternative source of funding for some programmes in the main budget</w:t>
      </w:r>
      <w:r>
        <w:rPr>
          <w:lang w:eastAsia="ja-JP"/>
        </w:rPr>
        <w:t>’</w:t>
      </w:r>
      <w:r>
        <w:t xml:space="preserve"> (W</w:t>
      </w:r>
      <w:r>
        <w:rPr>
          <w:b/>
          <w:bCs/>
        </w:rPr>
        <w:t>ri</w:t>
      </w:r>
      <w:r>
        <w:t>ght 1999 p.952).</w:t>
      </w:r>
    </w:p>
  </w:footnote>
  <w:footnote w:id="20">
    <w:p w14:paraId="42F33B59" w14:textId="77777777" w:rsidR="00AC34E6" w:rsidRDefault="00AC34E6" w:rsidP="005B18BE">
      <w:pPr>
        <w:pStyle w:val="footnote"/>
        <w:rPr>
          <w:rFonts w:eastAsia="MS Mincho"/>
          <w:lang w:eastAsia="ja-JP"/>
        </w:rPr>
      </w:pPr>
      <w:r w:rsidRPr="005B18BE">
        <w:footnoteRef/>
      </w:r>
      <w:r>
        <w:t xml:space="preserve"> For instance, Ozawa (1993) argues that liberal society should be under laissez-faire, that Japan is under outdated over-regulation, that Japan should shift i</w:t>
      </w:r>
      <w:r>
        <w:rPr>
          <w:rFonts w:hint="eastAsia"/>
          <w:lang w:eastAsia="ja-JP"/>
        </w:rPr>
        <w:t>t</w:t>
      </w:r>
      <w:r>
        <w:t>s regulation from a managed one to a rule based one, and that enhanced anti-trust policies are necessary (pp.243-50). Ichiro Ozawa was Secretary General of the then ruling LDP. He became Secretary General of the ruling Democratic Party of Japan (DJP) in 2009, after leaving the LDP and successive political activities as an opposition party member.</w:t>
      </w:r>
    </w:p>
  </w:footnote>
  <w:footnote w:id="21">
    <w:p w14:paraId="08389968" w14:textId="77777777" w:rsidR="00AC34E6" w:rsidRDefault="00AC34E6" w:rsidP="005B18BE">
      <w:pPr>
        <w:pStyle w:val="footnote"/>
        <w:rPr>
          <w:rFonts w:eastAsia="MS Mincho"/>
        </w:rPr>
      </w:pPr>
      <w:r w:rsidRPr="005B18BE">
        <w:footnoteRef/>
      </w:r>
      <w:r>
        <w:t xml:space="preserve"> Schaede (2008 pp.87-252) illuminates the following as evidence:</w:t>
      </w:r>
    </w:p>
    <w:p w14:paraId="7E61D69C" w14:textId="77777777" w:rsidR="00AC34E6" w:rsidRDefault="00AC34E6" w:rsidP="005B18BE">
      <w:pPr>
        <w:pStyle w:val="footnote"/>
        <w:numPr>
          <w:ilvl w:val="0"/>
          <w:numId w:val="82"/>
        </w:numPr>
        <w:ind w:left="284" w:hanging="284"/>
      </w:pPr>
      <w:r>
        <w:t xml:space="preserve">banks have </w:t>
      </w:r>
      <w:r>
        <w:rPr>
          <w:rFonts w:eastAsia="MS Mincho" w:hint="eastAsia"/>
        </w:rPr>
        <w:t>become</w:t>
      </w:r>
      <w:r>
        <w:t xml:space="preserve"> interested in lenders’ performance and profitability rather than longevity</w:t>
      </w:r>
      <w:r>
        <w:rPr>
          <w:rFonts w:hint="eastAsia"/>
        </w:rPr>
        <w:t>;</w:t>
      </w:r>
    </w:p>
    <w:p w14:paraId="0A7328D8" w14:textId="77777777" w:rsidR="00AC34E6" w:rsidRDefault="00AC34E6" w:rsidP="005B18BE">
      <w:pPr>
        <w:pStyle w:val="footnote"/>
        <w:numPr>
          <w:ilvl w:val="0"/>
          <w:numId w:val="82"/>
        </w:numPr>
        <w:ind w:left="284" w:hanging="284"/>
      </w:pPr>
      <w:r>
        <w:t>traditional horizontal business groups (</w:t>
      </w:r>
      <w:r>
        <w:rPr>
          <w:rFonts w:hint="eastAsia"/>
          <w:i/>
          <w:iCs/>
        </w:rPr>
        <w:t>K</w:t>
      </w:r>
      <w:r>
        <w:rPr>
          <w:i/>
          <w:iCs/>
        </w:rPr>
        <w:t>eiretsu</w:t>
      </w:r>
      <w:r>
        <w:t>) are losing their meaning because firms are getting more interested in profits rather than supporting their fellow firms in their respective groups</w:t>
      </w:r>
      <w:r>
        <w:rPr>
          <w:rFonts w:hint="eastAsia"/>
        </w:rPr>
        <w:t>;</w:t>
      </w:r>
    </w:p>
    <w:p w14:paraId="7EF297D8" w14:textId="77777777" w:rsidR="00AC34E6" w:rsidRDefault="00AC34E6" w:rsidP="005B18BE">
      <w:pPr>
        <w:pStyle w:val="footnote"/>
        <w:numPr>
          <w:ilvl w:val="0"/>
          <w:numId w:val="82"/>
        </w:numPr>
        <w:ind w:left="284" w:hanging="284"/>
      </w:pPr>
      <w:r>
        <w:t>cross-shareholdings have declined</w:t>
      </w:r>
      <w:r>
        <w:rPr>
          <w:rFonts w:hint="eastAsia"/>
        </w:rPr>
        <w:t>;</w:t>
      </w:r>
    </w:p>
    <w:p w14:paraId="3BB82E35" w14:textId="77777777" w:rsidR="00AC34E6" w:rsidRDefault="00AC34E6" w:rsidP="005B18BE">
      <w:pPr>
        <w:pStyle w:val="footnote"/>
        <w:numPr>
          <w:ilvl w:val="0"/>
          <w:numId w:val="82"/>
        </w:numPr>
        <w:ind w:left="284" w:hanging="284"/>
      </w:pPr>
      <w:r>
        <w:t>foreign ownership has increased, while banks’ share of stocks has declined</w:t>
      </w:r>
      <w:r>
        <w:rPr>
          <w:rFonts w:hint="eastAsia"/>
        </w:rPr>
        <w:t>;</w:t>
      </w:r>
    </w:p>
    <w:p w14:paraId="23D18118" w14:textId="77777777" w:rsidR="00AC34E6" w:rsidRDefault="00AC34E6" w:rsidP="005B18BE">
      <w:pPr>
        <w:pStyle w:val="footnote"/>
        <w:numPr>
          <w:ilvl w:val="0"/>
          <w:numId w:val="82"/>
        </w:numPr>
        <w:ind w:left="284" w:hanging="284"/>
      </w:pPr>
      <w:r>
        <w:t>2006 Corporate Law has empowered stockholders more than before and the oversight of stockholders becomes significant in corporate governance instead of the oversight of banks</w:t>
      </w:r>
      <w:r>
        <w:rPr>
          <w:rFonts w:hint="eastAsia"/>
        </w:rPr>
        <w:t>;</w:t>
      </w:r>
    </w:p>
    <w:p w14:paraId="37524764" w14:textId="77777777" w:rsidR="00AC34E6" w:rsidRDefault="00AC34E6" w:rsidP="005B18BE">
      <w:pPr>
        <w:pStyle w:val="footnote"/>
        <w:numPr>
          <w:ilvl w:val="0"/>
          <w:numId w:val="82"/>
        </w:numPr>
        <w:ind w:left="284" w:hanging="284"/>
      </w:pPr>
      <w:r>
        <w:t>long-term relationships with subcontractors become history and diverse procurements, including those from international subcontractors, are now common</w:t>
      </w:r>
      <w:r>
        <w:rPr>
          <w:rFonts w:hint="eastAsia"/>
        </w:rPr>
        <w:t>;</w:t>
      </w:r>
    </w:p>
    <w:p w14:paraId="6A89A0B7" w14:textId="77777777" w:rsidR="00AC34E6" w:rsidRDefault="00AC34E6" w:rsidP="005B18BE">
      <w:pPr>
        <w:pStyle w:val="footnote"/>
        <w:numPr>
          <w:ilvl w:val="0"/>
          <w:numId w:val="82"/>
        </w:numPr>
        <w:ind w:left="284" w:hanging="284"/>
      </w:pPr>
      <w:r>
        <w:t>price competition between firms and between firms and consumers are more transparent and profit oriented</w:t>
      </w:r>
      <w:r>
        <w:rPr>
          <w:rFonts w:hint="eastAsia"/>
        </w:rPr>
        <w:t>; and</w:t>
      </w:r>
    </w:p>
    <w:p w14:paraId="3CE78112" w14:textId="77777777" w:rsidR="00AC34E6" w:rsidRDefault="00AC34E6" w:rsidP="005B18BE">
      <w:pPr>
        <w:pStyle w:val="footnote"/>
        <w:numPr>
          <w:ilvl w:val="0"/>
          <w:numId w:val="82"/>
        </w:numPr>
        <w:ind w:left="284" w:hanging="284"/>
      </w:pPr>
      <w:r>
        <w:t>lifetime employment becomes long term employment.</w:t>
      </w:r>
    </w:p>
  </w:footnote>
  <w:footnote w:id="22">
    <w:p w14:paraId="184F5B4B" w14:textId="77777777" w:rsidR="00AC34E6" w:rsidRDefault="00AC34E6" w:rsidP="005B18BE">
      <w:pPr>
        <w:pStyle w:val="footnote"/>
      </w:pPr>
      <w:r w:rsidRPr="005B18BE">
        <w:footnoteRef/>
      </w:r>
      <w:r>
        <w:t xml:space="preserve"> The MMM counts SMD seats and proportional representation seats independently</w:t>
      </w:r>
      <w:r>
        <w:rPr>
          <w:rFonts w:hint="eastAsia"/>
          <w:lang w:eastAsia="ja-JP"/>
        </w:rPr>
        <w:t xml:space="preserve">; </w:t>
      </w:r>
      <w:r>
        <w:t xml:space="preserve">‘There is a fixed number of seats assigned to each tier, and each party </w:t>
      </w:r>
      <w:r>
        <w:rPr>
          <w:lang w:eastAsia="ja-JP"/>
        </w:rPr>
        <w:t>“</w:t>
      </w:r>
      <w:r>
        <w:t>earns</w:t>
      </w:r>
      <w:r>
        <w:rPr>
          <w:lang w:eastAsia="ja-JP"/>
        </w:rPr>
        <w:t>”</w:t>
      </w:r>
      <w:r>
        <w:t xml:space="preserve"> its proportional share of the PR seats, plus as many SMD as its candidates win’ (Rosenbluth and Thies 2010 p.105).</w:t>
      </w:r>
    </w:p>
  </w:footnote>
  <w:footnote w:id="23">
    <w:p w14:paraId="376E1839" w14:textId="77777777" w:rsidR="00AC34E6" w:rsidRDefault="00AC34E6" w:rsidP="00C657D5">
      <w:pPr>
        <w:pStyle w:val="footnote"/>
      </w:pPr>
      <w:r w:rsidRPr="005B18BE">
        <w:rPr>
          <w:rStyle w:val="footnoteChar"/>
          <w:sz w:val="22"/>
          <w:szCs w:val="22"/>
        </w:rPr>
        <w:footnoteRef/>
      </w:r>
      <w:r w:rsidRPr="005B18BE">
        <w:rPr>
          <w:rStyle w:val="footnoteChar"/>
        </w:rPr>
        <w:t xml:space="preserve"> </w:t>
      </w:r>
      <w:r>
        <w:t xml:space="preserve">In 1993 there were three long term credit banks: </w:t>
      </w:r>
      <w:r>
        <w:rPr>
          <w:rFonts w:eastAsia="MS Mincho"/>
          <w:lang w:eastAsia="ja-JP"/>
        </w:rPr>
        <w:t xml:space="preserve">the </w:t>
      </w:r>
      <w:r>
        <w:t xml:space="preserve">IBJ, </w:t>
      </w:r>
      <w:r>
        <w:rPr>
          <w:rFonts w:eastAsia="MS Mincho"/>
          <w:lang w:eastAsia="ja-JP"/>
        </w:rPr>
        <w:t xml:space="preserve">the </w:t>
      </w:r>
      <w:r>
        <w:t xml:space="preserve">Long Term Credit Bank of Japan (LTCB), and </w:t>
      </w:r>
      <w:r>
        <w:rPr>
          <w:rFonts w:eastAsia="MS Mincho"/>
          <w:lang w:eastAsia="ja-JP"/>
        </w:rPr>
        <w:t xml:space="preserve">the </w:t>
      </w:r>
      <w:r>
        <w:t>Nippon Credit Bank (NCB). The IBJ merged in 2002 with two other commercial banks to form Mizuho Bank, a large commercial bank group. The LTCB was nationalised in 1998 and sold to an international group led by US based Ripplewood Holdings in 2000 and restarted as ‘Shinsei Bank’. The NCB was also nationalised in 1998 and sold to a group of investors in 2000.</w:t>
      </w:r>
    </w:p>
  </w:footnote>
  <w:footnote w:id="24">
    <w:p w14:paraId="15A42398" w14:textId="77777777" w:rsidR="00AC34E6" w:rsidRDefault="00AC34E6" w:rsidP="005B18BE">
      <w:pPr>
        <w:pStyle w:val="footnote"/>
        <w:rPr>
          <w:lang w:eastAsia="ja-JP"/>
        </w:rPr>
      </w:pPr>
      <w:r w:rsidRPr="005B18BE">
        <w:footnoteRef/>
      </w:r>
      <w:r>
        <w:t xml:space="preserve"> Anglo-</w:t>
      </w:r>
      <w:r>
        <w:rPr>
          <w:rFonts w:hint="eastAsia"/>
          <w:lang w:eastAsia="ja-JP"/>
        </w:rPr>
        <w:t>G</w:t>
      </w:r>
      <w:r>
        <w:t>overnance school is a group of scholars whose position is affected by R. A. W. Rhodes’ idea that the concept of governance be integrated ‘into a conceptual model of contemporary government, its evolution and its relationship to political and wider social processes’ (Marinetto 2003 p.594)</w:t>
      </w:r>
      <w:r>
        <w:rPr>
          <w:rFonts w:hint="eastAsia"/>
          <w:lang w:eastAsia="ja-JP"/>
        </w:rPr>
        <w:t>.</w:t>
      </w:r>
    </w:p>
  </w:footnote>
  <w:footnote w:id="25">
    <w:p w14:paraId="54F62C60" w14:textId="77777777" w:rsidR="00AC34E6" w:rsidRDefault="00AC34E6" w:rsidP="005B18BE">
      <w:pPr>
        <w:pStyle w:val="footnote"/>
        <w:rPr>
          <w:rFonts w:cs="Times New Roman"/>
        </w:rPr>
      </w:pPr>
      <w:r w:rsidRPr="005B18BE">
        <w:footnoteRef/>
      </w:r>
      <w:r>
        <w:rPr>
          <w:rFonts w:cs="Times New Roman"/>
        </w:rPr>
        <w:t xml:space="preserve"> </w:t>
      </w:r>
      <w:r>
        <w:rPr>
          <w:rFonts w:cs="Times New Roman"/>
          <w:lang w:eastAsia="ja-JP"/>
        </w:rPr>
        <w:t xml:space="preserve">In </w:t>
      </w:r>
      <w:r>
        <w:rPr>
          <w:rFonts w:cs="Times New Roman"/>
        </w:rPr>
        <w:t>Rhodes</w:t>
      </w:r>
      <w:r>
        <w:rPr>
          <w:rFonts w:cs="Times New Roman"/>
          <w:lang w:eastAsia="ja-JP"/>
        </w:rPr>
        <w:t>’</w:t>
      </w:r>
      <w:r>
        <w:rPr>
          <w:rFonts w:cs="Times New Roman"/>
        </w:rPr>
        <w:t xml:space="preserve"> </w:t>
      </w:r>
      <w:r>
        <w:rPr>
          <w:rFonts w:cs="Times New Roman"/>
          <w:lang w:eastAsia="ja-JP"/>
        </w:rPr>
        <w:t xml:space="preserve">view, power is essentially relational and does not inhere in any institution, position or structure; the </w:t>
      </w:r>
      <w:r>
        <w:rPr>
          <w:rFonts w:cs="Times New Roman"/>
        </w:rPr>
        <w:t>concept</w:t>
      </w:r>
      <w:r>
        <w:rPr>
          <w:rFonts w:cs="Times New Roman"/>
          <w:lang w:eastAsia="ja-JP"/>
        </w:rPr>
        <w:t xml:space="preserve"> </w:t>
      </w:r>
      <w:r>
        <w:rPr>
          <w:rFonts w:cs="Times New Roman"/>
        </w:rPr>
        <w:t>of structure</w:t>
      </w:r>
      <w:r>
        <w:rPr>
          <w:rFonts w:cs="Times New Roman"/>
          <w:lang w:eastAsia="ja-JP"/>
        </w:rPr>
        <w:t xml:space="preserve"> is eschewed for it is unhelpfully vague (Elgie 2011 p.68).</w:t>
      </w:r>
    </w:p>
  </w:footnote>
  <w:footnote w:id="26">
    <w:p w14:paraId="03113486" w14:textId="77777777" w:rsidR="00AC34E6" w:rsidRDefault="00AC34E6" w:rsidP="005B18BE">
      <w:pPr>
        <w:pStyle w:val="footnote"/>
        <w:rPr>
          <w:lang w:eastAsia="ja-JP"/>
        </w:rPr>
      </w:pPr>
      <w:r w:rsidRPr="005B18BE">
        <w:footnoteRef/>
      </w:r>
      <w:r>
        <w:t xml:space="preserve"> </w:t>
      </w:r>
      <w:r>
        <w:rPr>
          <w:lang w:eastAsia="ja-JP"/>
        </w:rPr>
        <w:t>The welfare state in this period accounts for in excess of 50 percent of GDP and 15 percent of the total workforce (Hay and Lister 2006 p.6)</w:t>
      </w:r>
      <w:r>
        <w:rPr>
          <w:rFonts w:hint="eastAsia"/>
          <w:lang w:eastAsia="ja-JP"/>
        </w:rPr>
        <w:t>.</w:t>
      </w:r>
    </w:p>
  </w:footnote>
  <w:footnote w:id="27">
    <w:p w14:paraId="46189D65" w14:textId="77777777" w:rsidR="00AC34E6" w:rsidRDefault="00AC34E6" w:rsidP="005B18BE">
      <w:pPr>
        <w:pStyle w:val="footnote"/>
      </w:pPr>
      <w:r w:rsidRPr="005B18BE">
        <w:footnoteRef/>
      </w:r>
      <w:r>
        <w:t xml:space="preserve"> For </w:t>
      </w:r>
      <w:r>
        <w:rPr>
          <w:i/>
          <w:iCs/>
        </w:rPr>
        <w:t>Zoku Gi’in</w:t>
      </w:r>
      <w:r>
        <w:t xml:space="preserve">, see Chapter </w:t>
      </w:r>
      <w:r>
        <w:rPr>
          <w:lang w:eastAsia="ja-JP"/>
        </w:rPr>
        <w:t xml:space="preserve">5 </w:t>
      </w:r>
      <w:r>
        <w:t xml:space="preserve">footnote </w:t>
      </w:r>
      <w:r>
        <w:rPr>
          <w:rFonts w:eastAsia="MS Mincho" w:hint="eastAsia"/>
          <w:lang w:eastAsia="ja-JP"/>
        </w:rPr>
        <w:t>43.</w:t>
      </w:r>
    </w:p>
  </w:footnote>
  <w:footnote w:id="28">
    <w:p w14:paraId="395B05AF" w14:textId="77777777" w:rsidR="00AC34E6" w:rsidRDefault="00AC34E6" w:rsidP="005B18BE">
      <w:pPr>
        <w:pStyle w:val="footnote"/>
        <w:rPr>
          <w:lang w:eastAsia="ja-JP"/>
        </w:rPr>
      </w:pPr>
      <w:r w:rsidRPr="005B18BE">
        <w:footnoteRef/>
      </w:r>
      <w:r>
        <w:t xml:space="preserve"> </w:t>
      </w:r>
      <w:r>
        <w:rPr>
          <w:lang w:eastAsia="ja-JP"/>
        </w:rPr>
        <w:t>Sartori (1970 pp.1034-5) offers the following description on the conceptual stretching:</w:t>
      </w:r>
    </w:p>
    <w:p w14:paraId="73F5DAD2" w14:textId="77777777" w:rsidR="00AC34E6" w:rsidRDefault="00AC34E6" w:rsidP="005B18BE">
      <w:pPr>
        <w:pStyle w:val="footnote"/>
        <w:rPr>
          <w:lang w:eastAsia="ja-JP"/>
        </w:rPr>
      </w:pPr>
    </w:p>
    <w:p w14:paraId="39D898BC" w14:textId="77777777" w:rsidR="00AC34E6" w:rsidRDefault="00AC34E6" w:rsidP="005B18BE">
      <w:pPr>
        <w:pStyle w:val="footnote"/>
        <w:ind w:left="284"/>
        <w:rPr>
          <w:lang w:eastAsia="ja-JP"/>
        </w:rPr>
      </w:pPr>
      <w:r>
        <w:t>By and large, so far we have followed</w:t>
      </w:r>
      <w:r>
        <w:rPr>
          <w:lang w:eastAsia="ja-JP"/>
        </w:rPr>
        <w:t xml:space="preserve"> …</w:t>
      </w:r>
      <w:r>
        <w:t xml:space="preserve"> the line of least resistance: broaden the meaning</w:t>
      </w:r>
      <w:r>
        <w:rPr>
          <w:lang w:eastAsia="ja-JP"/>
        </w:rPr>
        <w:t xml:space="preserve"> - </w:t>
      </w:r>
      <w:r>
        <w:t>and thereby the range of</w:t>
      </w:r>
      <w:r>
        <w:rPr>
          <w:lang w:eastAsia="ja-JP"/>
        </w:rPr>
        <w:t xml:space="preserve"> </w:t>
      </w:r>
      <w:r>
        <w:t>application</w:t>
      </w:r>
      <w:r>
        <w:rPr>
          <w:lang w:eastAsia="ja-JP"/>
        </w:rPr>
        <w:t xml:space="preserve"> </w:t>
      </w:r>
      <w:r>
        <w:t>-</w:t>
      </w:r>
      <w:r>
        <w:rPr>
          <w:lang w:eastAsia="ja-JP"/>
        </w:rPr>
        <w:t xml:space="preserve"> </w:t>
      </w:r>
      <w:r>
        <w:t xml:space="preserve">of the conceptualizations at hand. </w:t>
      </w:r>
      <w:r>
        <w:rPr>
          <w:lang w:eastAsia="ja-JP"/>
        </w:rPr>
        <w:t>…</w:t>
      </w:r>
      <w:r>
        <w:t xml:space="preserve"> the larger the world, the more we have resorted to conceptual stretching, or conceptual</w:t>
      </w:r>
      <w:r>
        <w:rPr>
          <w:lang w:eastAsia="ja-JP"/>
        </w:rPr>
        <w:t xml:space="preserve"> </w:t>
      </w:r>
      <w:r>
        <w:t xml:space="preserve">straining, i.e., to vague, amorphous conceptualizations. </w:t>
      </w:r>
      <w:r>
        <w:rPr>
          <w:lang w:eastAsia="ja-JP"/>
        </w:rPr>
        <w:t>…</w:t>
      </w:r>
      <w:r>
        <w:t xml:space="preserve"> conceptual</w:t>
      </w:r>
      <w:r>
        <w:rPr>
          <w:lang w:eastAsia="ja-JP"/>
        </w:rPr>
        <w:t xml:space="preserve"> </w:t>
      </w:r>
      <w:r>
        <w:t>stretching also represents a deliberate attempt to make our conceptualizations value free. Another concurrent explication is that conceptual</w:t>
      </w:r>
      <w:r>
        <w:rPr>
          <w:lang w:eastAsia="ja-JP"/>
        </w:rPr>
        <w:t xml:space="preserve"> </w:t>
      </w:r>
      <w:r>
        <w:t xml:space="preserve">straining is largely a </w:t>
      </w:r>
      <w:r>
        <w:rPr>
          <w:lang w:eastAsia="ja-JP"/>
        </w:rPr>
        <w:t>“</w:t>
      </w:r>
      <w:r>
        <w:t>boomerang effect</w:t>
      </w:r>
      <w:r>
        <w:rPr>
          <w:lang w:eastAsia="ja-JP"/>
        </w:rPr>
        <w:t>”</w:t>
      </w:r>
      <w:r>
        <w:t xml:space="preserve"> of the developing areas, i.e., a feedback on the Western categories of the diffuse polities of the Third World.</w:t>
      </w:r>
    </w:p>
  </w:footnote>
  <w:footnote w:id="29">
    <w:p w14:paraId="4568343F" w14:textId="77777777" w:rsidR="00AC34E6" w:rsidRDefault="00AC34E6" w:rsidP="005B18BE">
      <w:pPr>
        <w:pStyle w:val="footnote"/>
        <w:rPr>
          <w:lang w:eastAsia="ja-JP"/>
        </w:rPr>
      </w:pPr>
      <w:r w:rsidRPr="005B18BE">
        <w:footnoteRef/>
      </w:r>
      <w:r>
        <w:t xml:space="preserve"> Japan’s Ministry of Posts and Telecommunications (MPT) was responsible for ICT issues until 2001 when it was taken over by the Ministry of Internal Affairs and Communications (MIC) (Neary 2002 pp.126-7). </w:t>
      </w:r>
      <w:r>
        <w:rPr>
          <w:lang w:eastAsia="ja-JP"/>
        </w:rPr>
        <w:t xml:space="preserve">See </w:t>
      </w:r>
      <w:r>
        <w:rPr>
          <w:rFonts w:eastAsia="MS Mincho" w:hint="eastAsia"/>
          <w:lang w:eastAsia="ja-JP"/>
        </w:rPr>
        <w:t xml:space="preserve">also </w:t>
      </w:r>
      <w:r>
        <w:rPr>
          <w:lang w:eastAsia="ja-JP"/>
        </w:rPr>
        <w:t xml:space="preserve">Chapter 5 footnote </w:t>
      </w:r>
      <w:r>
        <w:rPr>
          <w:rFonts w:eastAsia="MS Mincho" w:hint="eastAsia"/>
          <w:lang w:eastAsia="ja-JP"/>
        </w:rPr>
        <w:t>4</w:t>
      </w:r>
      <w:r>
        <w:rPr>
          <w:rFonts w:eastAsia="MS Mincho"/>
          <w:lang w:eastAsia="ja-JP"/>
        </w:rPr>
        <w:t>2</w:t>
      </w:r>
      <w:r>
        <w:rPr>
          <w:lang w:eastAsia="ja-JP"/>
        </w:rPr>
        <w:t>.</w:t>
      </w:r>
    </w:p>
  </w:footnote>
  <w:footnote w:id="30">
    <w:p w14:paraId="49A92775" w14:textId="77777777" w:rsidR="00AC34E6" w:rsidRDefault="00AC34E6" w:rsidP="005B18BE">
      <w:pPr>
        <w:pStyle w:val="footnote"/>
        <w:rPr>
          <w:lang w:eastAsia="ja-JP"/>
        </w:rPr>
      </w:pPr>
      <w:r w:rsidRPr="005B18BE">
        <w:footnoteRef/>
      </w:r>
      <w:r>
        <w:t xml:space="preserve"> </w:t>
      </w:r>
      <w:r>
        <w:rPr>
          <w:lang w:eastAsia="ja-JP"/>
        </w:rPr>
        <w:t>The</w:t>
      </w:r>
      <w:r>
        <w:t xml:space="preserve"> Fair Trade Commission</w:t>
      </w:r>
      <w:r>
        <w:rPr>
          <w:lang w:eastAsia="ja-JP"/>
        </w:rPr>
        <w:t>, Japan</w:t>
      </w:r>
    </w:p>
  </w:footnote>
  <w:footnote w:id="31">
    <w:p w14:paraId="795B93C9" w14:textId="77777777" w:rsidR="00AC34E6" w:rsidRPr="005B18BE" w:rsidRDefault="00AC34E6" w:rsidP="005B18BE">
      <w:pPr>
        <w:pStyle w:val="footnote"/>
      </w:pPr>
      <w:r w:rsidRPr="005B18BE">
        <w:footnoteRef/>
      </w:r>
      <w:r w:rsidRPr="005B18BE">
        <w:t xml:space="preserve"> Parliamentary Vice-Ministers in Japan’s government ministries were abolished in January 2001 and replaced with upgraded Senior Vice-Ministers, together with the newly established junior rank Parliamentary Secretaries.</w:t>
      </w:r>
    </w:p>
  </w:footnote>
  <w:footnote w:id="32">
    <w:p w14:paraId="49416F85" w14:textId="77777777" w:rsidR="00AC34E6" w:rsidRDefault="00AC34E6" w:rsidP="005B18BE">
      <w:pPr>
        <w:pStyle w:val="footnote"/>
        <w:rPr>
          <w:lang w:eastAsia="ja-JP"/>
        </w:rPr>
      </w:pPr>
      <w:r w:rsidRPr="005B18BE">
        <w:footnoteRef/>
      </w:r>
      <w:r>
        <w:t xml:space="preserve"> Majone (1996 p.54) points out redistribution function, stabilisation function and regulatory function as the main functions of government in the socio-economic sphere</w:t>
      </w:r>
      <w:r>
        <w:rPr>
          <w:rFonts w:hint="eastAsia"/>
          <w:lang w:eastAsia="ja-JP"/>
        </w:rPr>
        <w:t>.</w:t>
      </w:r>
    </w:p>
  </w:footnote>
  <w:footnote w:id="33">
    <w:p w14:paraId="6E601190" w14:textId="77777777" w:rsidR="00AC34E6" w:rsidRDefault="00AC34E6" w:rsidP="005B18BE">
      <w:pPr>
        <w:pStyle w:val="footnote"/>
        <w:rPr>
          <w:lang w:eastAsia="ja-JP"/>
        </w:rPr>
      </w:pPr>
      <w:r w:rsidRPr="005B18BE">
        <w:footnoteRef/>
      </w:r>
      <w:r w:rsidRPr="00275EC5">
        <w:t xml:space="preserve"> </w:t>
      </w:r>
      <w:r w:rsidRPr="00275EC5">
        <w:rPr>
          <w:lang w:eastAsia="ja-JP"/>
        </w:rPr>
        <w:t xml:space="preserve">RPI-X is the function employed by </w:t>
      </w:r>
      <w:r>
        <w:rPr>
          <w:lang w:eastAsia="ja-JP"/>
        </w:rPr>
        <w:t>the price cap system, whereby telecommunications rates could not rise by more than RPI minus a certain percentage (X) (Vogel 1996 p.82). Under this system prices on a defined basket of regulated services would be allowed to grow at the rate of inflation (expressed by RPI) minus X percentage points (Spillar and Vogelsang 1996 p.108).</w:t>
      </w:r>
    </w:p>
  </w:footnote>
  <w:footnote w:id="34">
    <w:p w14:paraId="768EAFC1" w14:textId="77777777" w:rsidR="00AC34E6" w:rsidRDefault="00AC34E6" w:rsidP="005B18BE">
      <w:pPr>
        <w:pStyle w:val="footnote"/>
        <w:rPr>
          <w:lang w:eastAsia="ja-JP"/>
        </w:rPr>
      </w:pPr>
      <w:r w:rsidRPr="005B18BE">
        <w:footnoteRef/>
      </w:r>
      <w:r w:rsidRPr="006A4014">
        <w:t xml:space="preserve"> Monopolies and Mergers Commission, UK</w:t>
      </w:r>
    </w:p>
  </w:footnote>
  <w:footnote w:id="35">
    <w:p w14:paraId="5AF9756C" w14:textId="77777777" w:rsidR="00AC34E6" w:rsidRDefault="00AC34E6" w:rsidP="002C1B20">
      <w:pPr>
        <w:pStyle w:val="footnote"/>
      </w:pPr>
      <w:r w:rsidRPr="002C1B20">
        <w:footnoteRef/>
      </w:r>
      <w:r>
        <w:t xml:space="preserve"> As a description of light</w:t>
      </w:r>
      <w:r>
        <w:rPr>
          <w:lang w:eastAsia="ja-JP"/>
        </w:rPr>
        <w:t>-</w:t>
      </w:r>
      <w:r>
        <w:t>handed regulation Patterson (1998 p.135) introduces the following Government Policy Statement on Telecommunications (December 1991), in relation to the telecommunications industry:</w:t>
      </w:r>
    </w:p>
    <w:p w14:paraId="2F1AA93F" w14:textId="77777777" w:rsidR="00AC34E6" w:rsidRDefault="00AC34E6" w:rsidP="005B18BE">
      <w:pPr>
        <w:pStyle w:val="footnote"/>
        <w:rPr>
          <w:rFonts w:cs="Times New Roman"/>
        </w:rPr>
      </w:pPr>
    </w:p>
    <w:p w14:paraId="2CDB96C7" w14:textId="77777777" w:rsidR="00AC34E6" w:rsidRDefault="00AC34E6" w:rsidP="005B18BE">
      <w:pPr>
        <w:pStyle w:val="footnote"/>
        <w:ind w:left="284"/>
        <w:rPr>
          <w:rFonts w:cs="Times New Roman"/>
        </w:rPr>
      </w:pPr>
      <w:r>
        <w:rPr>
          <w:rFonts w:cs="Times New Roman"/>
        </w:rPr>
        <w:t>The Government sees competition as the best regulator of telecommunications markets. Accordingly there will continue to be no statutory or regulatory barriers to competitive entry into telecommunications markets in New Zealand. To maintain conditions of effective competition, the Government places primary reliance on the operations of the Commerce Act 1986. In particular, it relies on the enforcement of the statutory prohibitions against anticompetitive practices, including misuse by any person of a dominant position in a market and the prohibition against business acquisitions which create or strengthen dominance.</w:t>
      </w:r>
    </w:p>
    <w:p w14:paraId="7F340F4E" w14:textId="77777777" w:rsidR="00AC34E6" w:rsidRDefault="00AC34E6" w:rsidP="005B18BE">
      <w:pPr>
        <w:pStyle w:val="footnote"/>
        <w:ind w:left="284"/>
        <w:rPr>
          <w:rFonts w:cs="Times New Roman"/>
        </w:rPr>
      </w:pPr>
      <w:r>
        <w:rPr>
          <w:rFonts w:cs="Times New Roman"/>
        </w:rPr>
        <w:t>The following supplementary measures will continue to apply:</w:t>
      </w:r>
    </w:p>
    <w:p w14:paraId="0B3C1A53" w14:textId="77777777" w:rsidR="00AC34E6" w:rsidRDefault="00AC34E6" w:rsidP="005B18BE">
      <w:pPr>
        <w:pStyle w:val="footnote"/>
        <w:ind w:left="284"/>
        <w:rPr>
          <w:rFonts w:cs="Times New Roman"/>
        </w:rPr>
      </w:pPr>
      <w:r>
        <w:rPr>
          <w:rFonts w:cs="Times New Roman"/>
        </w:rPr>
        <w:t>(a) Telecommunications (Disclosure) Regulations 1990; and</w:t>
      </w:r>
    </w:p>
    <w:p w14:paraId="1BCAA6B7" w14:textId="77777777" w:rsidR="00AC34E6" w:rsidRDefault="00AC34E6" w:rsidP="005B18BE">
      <w:pPr>
        <w:pStyle w:val="footnote"/>
        <w:ind w:left="284"/>
        <w:rPr>
          <w:rFonts w:cs="Times New Roman"/>
        </w:rPr>
      </w:pPr>
      <w:r>
        <w:rPr>
          <w:rFonts w:cs="Times New Roman"/>
        </w:rPr>
        <w:t>(b) Telecommunications (International Services) Regulations 1989.</w:t>
      </w:r>
    </w:p>
    <w:p w14:paraId="486A75AC" w14:textId="77777777" w:rsidR="00AC34E6" w:rsidRDefault="00AC34E6" w:rsidP="005B18BE">
      <w:pPr>
        <w:pStyle w:val="footnote"/>
        <w:ind w:left="284"/>
        <w:rPr>
          <w:rFonts w:cs="Times New Roman"/>
        </w:rPr>
      </w:pPr>
    </w:p>
    <w:p w14:paraId="3731345B" w14:textId="77777777" w:rsidR="00AC34E6" w:rsidRDefault="00AC34E6" w:rsidP="005B18BE">
      <w:pPr>
        <w:pStyle w:val="footnote"/>
        <w:ind w:left="284"/>
        <w:rPr>
          <w:rFonts w:cs="Times New Roman"/>
        </w:rPr>
      </w:pPr>
      <w:r>
        <w:rPr>
          <w:rFonts w:cs="Times New Roman"/>
        </w:rPr>
        <w:t>If it proves to be necessary, the Government will consider the introduction of other statutory measures or regulations. It will take particular care to ensure that it is not seen to be acting merely to enhance the commercial position of one firm or group within society at the expense of another.</w:t>
      </w:r>
    </w:p>
  </w:footnote>
  <w:footnote w:id="36">
    <w:p w14:paraId="75B25DF9" w14:textId="77777777" w:rsidR="00AC34E6" w:rsidRDefault="00AC34E6" w:rsidP="005B18BE">
      <w:pPr>
        <w:pStyle w:val="footnote"/>
        <w:rPr>
          <w:lang w:eastAsia="ja-JP"/>
        </w:rPr>
      </w:pPr>
      <w:r w:rsidRPr="005B18BE">
        <w:footnoteRef/>
      </w:r>
      <w:r>
        <w:t xml:space="preserve"> </w:t>
      </w:r>
      <w:r>
        <w:rPr>
          <w:lang w:eastAsia="ja-JP"/>
        </w:rPr>
        <w:t xml:space="preserve">Roger Douglas was the Minister of Finance (1984-88) under the David Lange Government (Labour: 1984-89). He was the most prominent promoter of New Zealand’s economic reforms in the cabinet, whose policy was called ‘Rogernomics’. Ruth Richardson was the Minister of Finance (1990-97) under the Jim Bolger Government (National: 1990-93), who played a similar role to Douglas’ in the National government, with her economic policy called ‘Ruthanasia’. </w:t>
      </w:r>
    </w:p>
  </w:footnote>
  <w:footnote w:id="37">
    <w:p w14:paraId="56CC0E45" w14:textId="77777777" w:rsidR="00AC34E6" w:rsidRDefault="00AC34E6" w:rsidP="005B18BE">
      <w:pPr>
        <w:pStyle w:val="footnote"/>
        <w:rPr>
          <w:lang w:eastAsia="ja-JP"/>
        </w:rPr>
      </w:pPr>
      <w:r w:rsidRPr="005B18BE">
        <w:footnoteRef/>
      </w:r>
      <w:r>
        <w:t xml:space="preserve"> </w:t>
      </w:r>
      <w:r>
        <w:rPr>
          <w:lang w:eastAsia="ja-JP"/>
        </w:rPr>
        <w:t>New Zealand’s</w:t>
      </w:r>
      <w:r>
        <w:t xml:space="preserve"> gross national product (GNP) per capita became about half of that of the US in the mid 1970s, although it was 92</w:t>
      </w:r>
      <w:r>
        <w:rPr>
          <w:rFonts w:hint="eastAsia"/>
          <w:lang w:eastAsia="ja-JP"/>
        </w:rPr>
        <w:t xml:space="preserve"> percent </w:t>
      </w:r>
      <w:r>
        <w:t>in 1938 (Evans et al 1996 p.1860). Private and public sector debt rose from 11</w:t>
      </w:r>
      <w:r>
        <w:rPr>
          <w:rFonts w:hint="eastAsia"/>
          <w:lang w:eastAsia="ja-JP"/>
        </w:rPr>
        <w:t xml:space="preserve"> percent</w:t>
      </w:r>
      <w:r>
        <w:t xml:space="preserve"> to 95</w:t>
      </w:r>
      <w:r>
        <w:rPr>
          <w:rFonts w:hint="eastAsia"/>
          <w:lang w:eastAsia="ja-JP"/>
        </w:rPr>
        <w:t xml:space="preserve"> percent</w:t>
      </w:r>
      <w:r>
        <w:t xml:space="preserve"> between March 1974 and June 1985 (Evans et al 1996 p.1860). Annual inflation remained in double digits for the entire December 1973 to March 1983 period (and was subsequently controlled only through an extensive wage-price freeze) (Evans et al 1996 p.1860). The current account deficit in the balance of payments climbed to 8.7</w:t>
      </w:r>
      <w:r>
        <w:rPr>
          <w:rFonts w:hint="eastAsia"/>
          <w:lang w:eastAsia="ja-JP"/>
        </w:rPr>
        <w:t xml:space="preserve"> percent</w:t>
      </w:r>
      <w:r>
        <w:t xml:space="preserve"> of GDP in 1984, while the government's financial deficit amounted to 6.5</w:t>
      </w:r>
      <w:r>
        <w:rPr>
          <w:rFonts w:hint="eastAsia"/>
          <w:lang w:eastAsia="ja-JP"/>
        </w:rPr>
        <w:t xml:space="preserve"> percent</w:t>
      </w:r>
      <w:r>
        <w:t xml:space="preserve"> of GDP in 1983/84 (Evans et al 1996 p.1860). Unemployment stood at 4.9</w:t>
      </w:r>
      <w:r>
        <w:rPr>
          <w:rFonts w:hint="eastAsia"/>
          <w:lang w:eastAsia="ja-JP"/>
        </w:rPr>
        <w:t xml:space="preserve"> percent</w:t>
      </w:r>
      <w:r>
        <w:t xml:space="preserve"> in June 1984, up from 1.7</w:t>
      </w:r>
      <w:r>
        <w:rPr>
          <w:rFonts w:hint="eastAsia"/>
          <w:lang w:eastAsia="ja-JP"/>
        </w:rPr>
        <w:t xml:space="preserve"> percent</w:t>
      </w:r>
      <w:r>
        <w:t xml:space="preserve"> in March 1980 and 0.2</w:t>
      </w:r>
      <w:r>
        <w:rPr>
          <w:rFonts w:hint="eastAsia"/>
          <w:lang w:eastAsia="ja-JP"/>
        </w:rPr>
        <w:t xml:space="preserve"> percent</w:t>
      </w:r>
      <w:r>
        <w:t xml:space="preserve"> in March 1974 (Evans et al 1996 p.1860). In addition, in June 1984 the prospect of government change prompted a rapid outflow of foreign exchange and made the Reserve Bank of New Zealand announce on the day after the general election that it was ceasing to convert New Zealand dollars into foreign currencies (Evans et al 1996 p.1860).</w:t>
      </w:r>
    </w:p>
  </w:footnote>
  <w:footnote w:id="38">
    <w:p w14:paraId="6D4C4DCC" w14:textId="77777777" w:rsidR="00AC34E6" w:rsidRDefault="00AC34E6" w:rsidP="005B18BE">
      <w:pPr>
        <w:pStyle w:val="footnote"/>
      </w:pPr>
      <w:r w:rsidRPr="005B18BE">
        <w:footnoteRef/>
      </w:r>
      <w:r w:rsidRPr="0008675B">
        <w:t xml:space="preserve"> </w:t>
      </w:r>
      <w:r w:rsidRPr="0008675B">
        <w:rPr>
          <w:rFonts w:hint="eastAsia"/>
        </w:rPr>
        <w:t>A f</w:t>
      </w:r>
      <w:r w:rsidRPr="0008675B">
        <w:t>ou</w:t>
      </w:r>
      <w:r>
        <w:t>n</w:t>
      </w:r>
      <w:r w:rsidRPr="0008675B">
        <w:t>dationalis</w:t>
      </w:r>
      <w:r w:rsidRPr="0008675B">
        <w:rPr>
          <w:rFonts w:hint="eastAsia"/>
        </w:rPr>
        <w:t xml:space="preserve">t view is that: </w:t>
      </w:r>
      <w:r w:rsidRPr="0008675B">
        <w:t>‘reality is thought to exist independently of our knowledge of it’ (Grix 20</w:t>
      </w:r>
      <w:r w:rsidRPr="0008675B">
        <w:rPr>
          <w:rFonts w:hint="eastAsia"/>
        </w:rPr>
        <w:t>10</w:t>
      </w:r>
      <w:r w:rsidRPr="0008675B">
        <w:t xml:space="preserve"> p.6</w:t>
      </w:r>
      <w:r w:rsidRPr="0008675B">
        <w:rPr>
          <w:rFonts w:hint="eastAsia"/>
        </w:rPr>
        <w:t>4</w:t>
      </w:r>
      <w:r w:rsidRPr="0008675B">
        <w:t xml:space="preserve">). On the other hand, </w:t>
      </w:r>
      <w:r w:rsidRPr="0008675B">
        <w:rPr>
          <w:rFonts w:hint="eastAsia"/>
        </w:rPr>
        <w:t xml:space="preserve">an </w:t>
      </w:r>
      <w:r w:rsidRPr="0008675B">
        <w:t>anti-fou</w:t>
      </w:r>
      <w:r>
        <w:t>n</w:t>
      </w:r>
      <w:r w:rsidRPr="0008675B">
        <w:t xml:space="preserve">dationalist view </w:t>
      </w:r>
      <w:r w:rsidRPr="0008675B">
        <w:rPr>
          <w:rFonts w:hint="eastAsia"/>
        </w:rPr>
        <w:t xml:space="preserve">employs the position that: </w:t>
      </w:r>
      <w:r w:rsidRPr="0008675B">
        <w:t>‘</w:t>
      </w:r>
      <w:r w:rsidRPr="0008675B">
        <w:rPr>
          <w:rFonts w:hint="eastAsia"/>
        </w:rPr>
        <w:t>reality is socially and discursively constructed by human actors</w:t>
      </w:r>
      <w:r w:rsidRPr="0008675B">
        <w:t>’</w:t>
      </w:r>
      <w:r w:rsidRPr="0008675B">
        <w:rPr>
          <w:rFonts w:hint="eastAsia"/>
        </w:rPr>
        <w:t xml:space="preserve"> and </w:t>
      </w:r>
      <w:r w:rsidRPr="0008675B">
        <w:t>‘</w:t>
      </w:r>
      <w:r w:rsidRPr="0008675B">
        <w:rPr>
          <w:rFonts w:hint="eastAsia"/>
        </w:rPr>
        <w:t>there are no central values that can be rationally and universally grounded</w:t>
      </w:r>
      <w:r w:rsidRPr="0008675B">
        <w:t xml:space="preserve"> (Grix 20</w:t>
      </w:r>
      <w:r w:rsidRPr="0008675B">
        <w:rPr>
          <w:rFonts w:hint="eastAsia"/>
        </w:rPr>
        <w:t>10</w:t>
      </w:r>
      <w:r w:rsidRPr="0008675B">
        <w:t xml:space="preserve"> p.6</w:t>
      </w:r>
      <w:r w:rsidRPr="0008675B">
        <w:rPr>
          <w:rFonts w:hint="eastAsia"/>
        </w:rPr>
        <w:t>4</w:t>
      </w:r>
      <w:r w:rsidRPr="0008675B">
        <w:t>).</w:t>
      </w:r>
    </w:p>
  </w:footnote>
  <w:footnote w:id="39">
    <w:p w14:paraId="2351780F" w14:textId="77777777" w:rsidR="00AC34E6" w:rsidRDefault="00AC34E6" w:rsidP="005B18BE">
      <w:pPr>
        <w:pStyle w:val="footnote"/>
      </w:pPr>
      <w:r w:rsidRPr="005B18BE">
        <w:footnoteRef/>
      </w:r>
      <w:r w:rsidRPr="00E70FDA">
        <w:t xml:space="preserve"> ‘The double hermeneutic’</w:t>
      </w:r>
      <w:r>
        <w:t xml:space="preserve">, originally termed by Anthony Giddens, </w:t>
      </w:r>
      <w:r w:rsidRPr="00E70FDA">
        <w:t>means</w:t>
      </w:r>
      <w:r>
        <w:rPr>
          <w:rFonts w:hint="eastAsia"/>
          <w:lang w:eastAsia="ja-JP"/>
        </w:rPr>
        <w:t>:</w:t>
      </w:r>
      <w:r w:rsidRPr="00E70FDA">
        <w:t xml:space="preserve"> ‘the act of interpreting an actor’s perception or interpretation (Interpretation 1) of his or her situation in a particular context (Interpretation 2)</w:t>
      </w:r>
      <w:r>
        <w:rPr>
          <w:lang w:eastAsia="ja-JP"/>
        </w:rPr>
        <w:t>’</w:t>
      </w:r>
      <w:r w:rsidRPr="00E70FDA">
        <w:t xml:space="preserve"> </w:t>
      </w:r>
      <w:r>
        <w:t>(</w:t>
      </w:r>
      <w:r w:rsidRPr="00E70FDA">
        <w:t>Grix 20</w:t>
      </w:r>
      <w:r>
        <w:rPr>
          <w:rFonts w:hint="eastAsia"/>
          <w:lang w:eastAsia="ja-JP"/>
        </w:rPr>
        <w:t>10</w:t>
      </w:r>
      <w:r w:rsidRPr="00E70FDA">
        <w:t xml:space="preserve"> p.8</w:t>
      </w:r>
      <w:r>
        <w:rPr>
          <w:rFonts w:hint="eastAsia"/>
          <w:lang w:eastAsia="ja-JP"/>
        </w:rPr>
        <w:t>2</w:t>
      </w:r>
      <w:r w:rsidRPr="00E70FDA">
        <w:t>)</w:t>
      </w:r>
      <w:r>
        <w:t>.</w:t>
      </w:r>
    </w:p>
  </w:footnote>
  <w:footnote w:id="40">
    <w:p w14:paraId="07778F20" w14:textId="77777777" w:rsidR="00AC34E6" w:rsidRDefault="00AC34E6" w:rsidP="005B18BE">
      <w:pPr>
        <w:pStyle w:val="footnote"/>
        <w:rPr>
          <w:lang w:eastAsia="ja-JP"/>
        </w:rPr>
      </w:pPr>
      <w:r w:rsidRPr="005B18BE">
        <w:footnoteRef/>
      </w:r>
      <w:r w:rsidRPr="00972625">
        <w:t xml:space="preserve"> Triangulation is the method in which multiple sources</w:t>
      </w:r>
      <w:r>
        <w:rPr>
          <w:rFonts w:hint="eastAsia"/>
        </w:rPr>
        <w:t>/methods</w:t>
      </w:r>
      <w:r w:rsidRPr="00972625">
        <w:t xml:space="preserve"> of evidence are used in data collection processes </w:t>
      </w:r>
      <w:r>
        <w:t xml:space="preserve">aiming at ‘corroborating the same fact or phenomenon’ </w:t>
      </w:r>
      <w:r w:rsidRPr="00972625">
        <w:t>(Yin 2003 pp.97-</w:t>
      </w:r>
      <w:r>
        <w:t>9</w:t>
      </w:r>
      <w:r>
        <w:rPr>
          <w:rFonts w:hint="eastAsia"/>
        </w:rPr>
        <w:t>, Burnham et.al 2004 p.206</w:t>
      </w:r>
      <w:r w:rsidRPr="00972625">
        <w:t>).</w:t>
      </w:r>
      <w:r>
        <w:rPr>
          <w:rFonts w:hint="eastAsia"/>
          <w:lang w:eastAsia="ja-JP"/>
        </w:rPr>
        <w:t xml:space="preserve"> See 4.6.2.</w:t>
      </w:r>
    </w:p>
  </w:footnote>
  <w:footnote w:id="41">
    <w:p w14:paraId="10BA7088" w14:textId="77777777" w:rsidR="00AC34E6" w:rsidRDefault="00AC34E6" w:rsidP="005B18BE">
      <w:pPr>
        <w:pStyle w:val="footnote"/>
      </w:pPr>
      <w:r w:rsidRPr="005B18BE">
        <w:footnoteRef/>
      </w:r>
      <w:r w:rsidRPr="00606953">
        <w:t xml:space="preserve"> The NTT </w:t>
      </w:r>
      <w:r w:rsidRPr="00606953">
        <w:rPr>
          <w:rFonts w:hint="eastAsia"/>
          <w:lang w:eastAsia="ja-JP"/>
        </w:rPr>
        <w:t xml:space="preserve">uses </w:t>
      </w:r>
      <w:r w:rsidRPr="00606953">
        <w:t xml:space="preserve">the same acronym before and after privatisation. </w:t>
      </w:r>
      <w:r w:rsidRPr="00606953">
        <w:rPr>
          <w:rFonts w:hint="eastAsia"/>
          <w:lang w:eastAsia="ja-JP"/>
        </w:rPr>
        <w:t xml:space="preserve">It only slightly changed its name (in English as well as in Japanese) </w:t>
      </w:r>
      <w:r>
        <w:rPr>
          <w:lang w:eastAsia="ja-JP"/>
        </w:rPr>
        <w:t>with</w:t>
      </w:r>
      <w:r w:rsidRPr="00606953">
        <w:rPr>
          <w:rFonts w:hint="eastAsia"/>
          <w:lang w:eastAsia="ja-JP"/>
        </w:rPr>
        <w:t xml:space="preserve"> privatisation. (</w:t>
      </w:r>
      <w:r w:rsidRPr="00606953">
        <w:rPr>
          <w:lang w:eastAsia="ja-JP"/>
        </w:rPr>
        <w:t>Before</w:t>
      </w:r>
      <w:r w:rsidRPr="00606953">
        <w:t xml:space="preserve"> privatisation: Nippon Telegraph and Telephone Public Co.</w:t>
      </w:r>
      <w:r w:rsidRPr="00606953">
        <w:rPr>
          <w:rFonts w:hint="eastAsia"/>
          <w:lang w:eastAsia="ja-JP"/>
        </w:rPr>
        <w:t>;</w:t>
      </w:r>
      <w:r w:rsidRPr="00606953">
        <w:t xml:space="preserve"> after privatisation: Nippon Telegraph and Telephone Co.)</w:t>
      </w:r>
    </w:p>
  </w:footnote>
  <w:footnote w:id="42">
    <w:p w14:paraId="5B7BC3D5" w14:textId="77777777" w:rsidR="00AC34E6" w:rsidRDefault="00AC34E6" w:rsidP="005B18BE">
      <w:pPr>
        <w:pStyle w:val="footnote"/>
        <w:rPr>
          <w:lang w:eastAsia="ja-JP"/>
        </w:rPr>
      </w:pPr>
      <w:r w:rsidRPr="005B18BE">
        <w:footnoteRef/>
      </w:r>
      <w:r>
        <w:rPr>
          <w:rFonts w:asciiTheme="majorBidi" w:hAnsiTheme="majorBidi" w:cstheme="majorBidi"/>
        </w:rPr>
        <w:t xml:space="preserve"> </w:t>
      </w:r>
      <w:r w:rsidRPr="007D5952">
        <w:rPr>
          <w:rFonts w:asciiTheme="majorBidi" w:hAnsiTheme="majorBidi" w:cstheme="majorBidi"/>
        </w:rPr>
        <w:t xml:space="preserve">MIC: </w:t>
      </w:r>
      <w:r w:rsidRPr="002358C4">
        <w:t>Ministry of Internal Affairs and Communications, which took over the responsibilities of the MPT in 2001.</w:t>
      </w:r>
      <w:r w:rsidRPr="002358C4">
        <w:rPr>
          <w:lang w:eastAsia="ja-JP"/>
        </w:rPr>
        <w:t xml:space="preserve"> </w:t>
      </w:r>
      <w:r w:rsidRPr="002358C4">
        <w:t>Its Japanese name is ‘</w:t>
      </w:r>
      <w:r w:rsidRPr="002358C4">
        <w:rPr>
          <w:i/>
        </w:rPr>
        <w:t>So</w:t>
      </w:r>
      <w:r>
        <w:rPr>
          <w:rFonts w:hint="eastAsia"/>
          <w:i/>
          <w:lang w:eastAsia="ja-JP"/>
        </w:rPr>
        <w:t>u</w:t>
      </w:r>
      <w:r w:rsidRPr="002358C4">
        <w:rPr>
          <w:i/>
        </w:rPr>
        <w:t>musho</w:t>
      </w:r>
      <w:r w:rsidRPr="002358C4">
        <w:t xml:space="preserve">’. This Ministry used ‘Ministry of Public Management, Home Affairs, Posts and Telecommunications (MPHPT)’ as its English name between 2001 and 2004. This thesis employs the </w:t>
      </w:r>
      <w:r>
        <w:rPr>
          <w:rFonts w:hint="eastAsia"/>
          <w:lang w:eastAsia="ja-JP"/>
        </w:rPr>
        <w:t xml:space="preserve">current </w:t>
      </w:r>
      <w:r w:rsidRPr="002358C4">
        <w:t xml:space="preserve">English name ‘Ministry of Internal Affairs and Communications (MIC)’ from 2001 </w:t>
      </w:r>
      <w:r>
        <w:t>to</w:t>
      </w:r>
      <w:r w:rsidRPr="002358C4">
        <w:t xml:space="preserve"> avoid the confusion </w:t>
      </w:r>
      <w:r>
        <w:rPr>
          <w:rFonts w:hint="eastAsia"/>
          <w:lang w:eastAsia="ja-JP"/>
        </w:rPr>
        <w:t xml:space="preserve">caused by </w:t>
      </w:r>
      <w:r w:rsidRPr="002358C4">
        <w:t>utilising two English names for the same organisation.</w:t>
      </w:r>
    </w:p>
  </w:footnote>
  <w:footnote w:id="43">
    <w:p w14:paraId="3614A596" w14:textId="77777777" w:rsidR="00AC34E6" w:rsidRDefault="00AC34E6" w:rsidP="005B18BE">
      <w:pPr>
        <w:pStyle w:val="footnote"/>
      </w:pPr>
      <w:r w:rsidRPr="005B18BE">
        <w:footnoteRef/>
      </w:r>
      <w:r w:rsidRPr="004260F7">
        <w:t xml:space="preserve"> </w:t>
      </w:r>
      <w:r w:rsidRPr="004260F7">
        <w:rPr>
          <w:i/>
          <w:lang w:eastAsia="ja-JP"/>
        </w:rPr>
        <w:t>Zoku Gi’in</w:t>
      </w:r>
      <w:r w:rsidRPr="004260F7">
        <w:rPr>
          <w:lang w:eastAsia="ja-JP"/>
        </w:rPr>
        <w:t xml:space="preserve"> (Tribe members of the Diet) are members of the Diet who specialised in a particular field such as posts and telecommunications affairs in the LDP. They have not only a specialised knowledge of the particular field but also often special interest with other interest groups such as private firms of the field (I’io 2007 p.95). About </w:t>
      </w:r>
      <w:r w:rsidRPr="004260F7">
        <w:rPr>
          <w:i/>
          <w:lang w:eastAsia="ja-JP"/>
        </w:rPr>
        <w:t>Zoku Gi’in</w:t>
      </w:r>
      <w:r w:rsidRPr="004260F7">
        <w:rPr>
          <w:lang w:eastAsia="ja-JP"/>
        </w:rPr>
        <w:t>, Inoguchi and Iwai (1987) offer a detailed study.</w:t>
      </w:r>
    </w:p>
  </w:footnote>
  <w:footnote w:id="44">
    <w:p w14:paraId="512131D9" w14:textId="77777777" w:rsidR="00AC34E6" w:rsidRDefault="00AC34E6" w:rsidP="002C1B20">
      <w:pPr>
        <w:pStyle w:val="footnote"/>
        <w:rPr>
          <w:lang w:eastAsia="ja-JP"/>
        </w:rPr>
      </w:pPr>
      <w:r w:rsidRPr="005B18BE">
        <w:footnoteRef/>
      </w:r>
      <w:r w:rsidRPr="00D557C8">
        <w:t xml:space="preserve"> </w:t>
      </w:r>
      <w:r w:rsidRPr="00D557C8">
        <w:rPr>
          <w:lang w:eastAsia="ja-JP"/>
        </w:rPr>
        <w:t>The breakup of the AT&amp;T was decided in 1984, which resulted in the end of AT&amp;T’s regional monopoly. In the UK BT lost its monopoly in 1984. After the duopoly by BT and Mercury</w:t>
      </w:r>
      <w:r>
        <w:rPr>
          <w:rFonts w:hint="eastAsia"/>
          <w:lang w:eastAsia="ja-JP"/>
        </w:rPr>
        <w:t>,</w:t>
      </w:r>
      <w:r w:rsidRPr="00D557C8">
        <w:rPr>
          <w:lang w:eastAsia="ja-JP"/>
        </w:rPr>
        <w:t xml:space="preserve"> a new entrant, between 1984 </w:t>
      </w:r>
      <w:r>
        <w:rPr>
          <w:rFonts w:hint="eastAsia"/>
          <w:lang w:eastAsia="ja-JP"/>
        </w:rPr>
        <w:t>and</w:t>
      </w:r>
      <w:r w:rsidRPr="00D557C8">
        <w:rPr>
          <w:lang w:eastAsia="ja-JP"/>
        </w:rPr>
        <w:t xml:space="preserve"> 1990, </w:t>
      </w:r>
      <w:r>
        <w:rPr>
          <w:lang w:eastAsia="ja-JP"/>
        </w:rPr>
        <w:t xml:space="preserve">the </w:t>
      </w:r>
      <w:r w:rsidRPr="00D557C8">
        <w:rPr>
          <w:lang w:eastAsia="ja-JP"/>
        </w:rPr>
        <w:t>UK’s telecommunications market became open to other new entrants in 1991.</w:t>
      </w:r>
    </w:p>
  </w:footnote>
  <w:footnote w:id="45">
    <w:p w14:paraId="0182412E" w14:textId="77777777" w:rsidR="00AC34E6" w:rsidRDefault="00AC34E6" w:rsidP="005B18BE">
      <w:pPr>
        <w:pStyle w:val="footnote"/>
      </w:pPr>
      <w:r w:rsidRPr="005B18BE">
        <w:footnoteRef/>
      </w:r>
      <w:r w:rsidRPr="00A136FF">
        <w:t xml:space="preserve"> </w:t>
      </w:r>
      <w:r w:rsidRPr="00A136FF">
        <w:rPr>
          <w:lang w:eastAsia="ja-JP"/>
        </w:rPr>
        <w:t>This typology is based on the proposal by a civil servant at the MIC</w:t>
      </w:r>
      <w:r>
        <w:rPr>
          <w:lang w:eastAsia="ja-JP"/>
        </w:rPr>
        <w:t xml:space="preserve"> during </w:t>
      </w:r>
      <w:r>
        <w:rPr>
          <w:rFonts w:hint="eastAsia"/>
          <w:lang w:eastAsia="ja-JP"/>
        </w:rPr>
        <w:t xml:space="preserve">the </w:t>
      </w:r>
      <w:r>
        <w:rPr>
          <w:lang w:eastAsia="ja-JP"/>
        </w:rPr>
        <w:t>interview</w:t>
      </w:r>
      <w:r w:rsidRPr="00A136FF">
        <w:rPr>
          <w:lang w:eastAsia="ja-JP"/>
        </w:rPr>
        <w:t>.</w:t>
      </w:r>
    </w:p>
  </w:footnote>
  <w:footnote w:id="46">
    <w:p w14:paraId="7D0B3209" w14:textId="77777777" w:rsidR="00AC34E6" w:rsidRDefault="00AC34E6" w:rsidP="005B18BE">
      <w:pPr>
        <w:pStyle w:val="footnote"/>
      </w:pPr>
      <w:r w:rsidRPr="005B18BE">
        <w:footnoteRef/>
      </w:r>
      <w:r w:rsidRPr="003B7731">
        <w:t xml:space="preserve"> VAN is a type of public network that leases basic transmission facilities from incumbent telecommunications operators, add</w:t>
      </w:r>
      <w:r>
        <w:t>s</w:t>
      </w:r>
      <w:r w:rsidRPr="003B7731">
        <w:t xml:space="preserve"> features that enhance the service</w:t>
      </w:r>
      <w:r>
        <w:t>,</w:t>
      </w:r>
      <w:r w:rsidRPr="003B7731">
        <w:t xml:space="preserve"> and provides the improved communications capability to </w:t>
      </w:r>
      <w:r w:rsidRPr="000357A5">
        <w:t>end users</w:t>
      </w:r>
      <w:r w:rsidRPr="003B7731">
        <w:t xml:space="preserve"> (Graham 1991 p.170)</w:t>
      </w:r>
      <w:r>
        <w:t>.</w:t>
      </w:r>
    </w:p>
  </w:footnote>
  <w:footnote w:id="47">
    <w:p w14:paraId="318B898B" w14:textId="77777777" w:rsidR="00AC34E6" w:rsidRDefault="00AC34E6" w:rsidP="00C44FC9">
      <w:pPr>
        <w:pStyle w:val="footnote"/>
      </w:pPr>
      <w:r w:rsidRPr="00886422">
        <w:footnoteRef/>
      </w:r>
      <w:r w:rsidRPr="00805841">
        <w:t xml:space="preserve"> </w:t>
      </w:r>
      <w:r w:rsidRPr="00805841">
        <w:rPr>
          <w:i/>
          <w:lang w:eastAsia="ja-JP"/>
        </w:rPr>
        <w:t>Yusei-Zoku</w:t>
      </w:r>
      <w:r w:rsidRPr="00805841">
        <w:rPr>
          <w:lang w:eastAsia="ja-JP"/>
        </w:rPr>
        <w:t xml:space="preserve"> (Post tribe) is a group of </w:t>
      </w:r>
      <w:r w:rsidRPr="00805841">
        <w:rPr>
          <w:i/>
          <w:lang w:eastAsia="ja-JP"/>
        </w:rPr>
        <w:t>Zoku Gi’in</w:t>
      </w:r>
      <w:r w:rsidRPr="00805841">
        <w:rPr>
          <w:lang w:eastAsia="ja-JP"/>
        </w:rPr>
        <w:t xml:space="preserve"> who specialised in posts and telecommunications affairs in the LDP.</w:t>
      </w:r>
    </w:p>
  </w:footnote>
  <w:footnote w:id="48">
    <w:p w14:paraId="51286BB1" w14:textId="5BA0C0FB" w:rsidR="00AC34E6" w:rsidRDefault="00AC34E6" w:rsidP="005B18BE">
      <w:pPr>
        <w:pStyle w:val="footnote"/>
        <w:rPr>
          <w:lang w:eastAsia="ja-JP"/>
        </w:rPr>
      </w:pPr>
      <w:r w:rsidRPr="005B18BE">
        <w:footnoteRef/>
      </w:r>
      <w:r w:rsidRPr="005B7B67">
        <w:t xml:space="preserve"> </w:t>
      </w:r>
      <w:r w:rsidRPr="005B7B67">
        <w:rPr>
          <w:lang w:eastAsia="ja-JP"/>
        </w:rPr>
        <w:t>The Telecommunications Council was a Poli</w:t>
      </w:r>
      <w:r>
        <w:rPr>
          <w:lang w:eastAsia="ja-JP"/>
        </w:rPr>
        <w:t>cy</w:t>
      </w:r>
      <w:r w:rsidRPr="005B7B67">
        <w:rPr>
          <w:lang w:eastAsia="ja-JP"/>
        </w:rPr>
        <w:t xml:space="preserve"> Deliberation Council where key policy issues </w:t>
      </w:r>
      <w:r>
        <w:rPr>
          <w:rFonts w:hint="eastAsia"/>
          <w:lang w:eastAsia="ja-JP"/>
        </w:rPr>
        <w:t>we</w:t>
      </w:r>
      <w:r w:rsidRPr="005B7B67">
        <w:rPr>
          <w:lang w:eastAsia="ja-JP"/>
        </w:rPr>
        <w:t>re consulted by the Posts and Telecommunications Ministers. The resulting reports c</w:t>
      </w:r>
      <w:r>
        <w:rPr>
          <w:rFonts w:hint="eastAsia"/>
          <w:lang w:eastAsia="ja-JP"/>
        </w:rPr>
        <w:t>ould</w:t>
      </w:r>
      <w:r w:rsidRPr="005B7B67">
        <w:rPr>
          <w:lang w:eastAsia="ja-JP"/>
        </w:rPr>
        <w:t xml:space="preserve"> become the basis for government’s bill</w:t>
      </w:r>
      <w:r>
        <w:rPr>
          <w:lang w:eastAsia="ja-JP"/>
        </w:rPr>
        <w:t>s</w:t>
      </w:r>
      <w:r w:rsidRPr="005B7B67">
        <w:rPr>
          <w:lang w:eastAsia="ja-JP"/>
        </w:rPr>
        <w:t xml:space="preserve"> in the respective field. This council transformed into </w:t>
      </w:r>
      <w:r>
        <w:rPr>
          <w:rFonts w:hint="eastAsia"/>
          <w:lang w:eastAsia="ja-JP"/>
        </w:rPr>
        <w:t>t</w:t>
      </w:r>
      <w:r w:rsidRPr="005B7B67">
        <w:rPr>
          <w:lang w:eastAsia="ja-JP"/>
        </w:rPr>
        <w:t xml:space="preserve">he </w:t>
      </w:r>
      <w:r>
        <w:rPr>
          <w:lang w:eastAsia="ja-JP"/>
        </w:rPr>
        <w:t>I</w:t>
      </w:r>
      <w:r w:rsidRPr="005B7B67">
        <w:rPr>
          <w:lang w:eastAsia="ja-JP"/>
        </w:rPr>
        <w:t>nformation and Communications Council in 2001.</w:t>
      </w:r>
      <w:r>
        <w:rPr>
          <w:lang w:eastAsia="ja-JP"/>
        </w:rPr>
        <w:t xml:space="preserve"> See also </w:t>
      </w:r>
      <w:r>
        <w:rPr>
          <w:rFonts w:hint="eastAsia"/>
          <w:lang w:eastAsia="ja-JP"/>
        </w:rPr>
        <w:t xml:space="preserve">footnote </w:t>
      </w:r>
      <w:r>
        <w:rPr>
          <w:rFonts w:eastAsia="MS Mincho"/>
          <w:lang w:eastAsia="ja-JP"/>
        </w:rPr>
        <w:t>53</w:t>
      </w:r>
      <w:r>
        <w:rPr>
          <w:lang w:eastAsia="ja-JP"/>
        </w:rPr>
        <w:t>.</w:t>
      </w:r>
    </w:p>
  </w:footnote>
  <w:footnote w:id="49">
    <w:p w14:paraId="16B8491C" w14:textId="5A6C71C3" w:rsidR="00AC34E6" w:rsidRDefault="00AC34E6" w:rsidP="005B18BE">
      <w:pPr>
        <w:pStyle w:val="footnote"/>
        <w:rPr>
          <w:lang w:eastAsia="ja-JP"/>
        </w:rPr>
      </w:pPr>
      <w:r w:rsidRPr="005B18BE">
        <w:footnoteRef/>
      </w:r>
      <w:r w:rsidRPr="00A11F9F">
        <w:t xml:space="preserve"> </w:t>
      </w:r>
      <w:r w:rsidRPr="00A11F9F">
        <w:rPr>
          <w:lang w:eastAsia="ja-JP"/>
        </w:rPr>
        <w:t xml:space="preserve">Telecommunications Council </w:t>
      </w:r>
      <w:r>
        <w:rPr>
          <w:lang w:eastAsia="ja-JP"/>
        </w:rPr>
        <w:t>(</w:t>
      </w:r>
      <w:r w:rsidRPr="00A11F9F">
        <w:rPr>
          <w:lang w:eastAsia="ja-JP"/>
        </w:rPr>
        <w:t>1996</w:t>
      </w:r>
      <w:r>
        <w:rPr>
          <w:lang w:eastAsia="ja-JP"/>
        </w:rPr>
        <w:t>a)</w:t>
      </w:r>
    </w:p>
  </w:footnote>
  <w:footnote w:id="50">
    <w:p w14:paraId="36D9688D" w14:textId="77777777" w:rsidR="00AC34E6" w:rsidRDefault="00AC34E6" w:rsidP="005B18BE">
      <w:pPr>
        <w:pStyle w:val="footnote"/>
      </w:pPr>
      <w:r w:rsidRPr="005B18BE">
        <w:footnoteRef/>
      </w:r>
      <w:r w:rsidRPr="00113D11">
        <w:t xml:space="preserve"> The LDP formed a coalition government with the SDPJ and the New Party </w:t>
      </w:r>
      <w:r w:rsidRPr="008A2D7B">
        <w:rPr>
          <w:i/>
          <w:iCs/>
        </w:rPr>
        <w:t>Sakigake</w:t>
      </w:r>
      <w:r w:rsidRPr="00113D11">
        <w:t xml:space="preserve"> from 1994 to 1998.</w:t>
      </w:r>
    </w:p>
  </w:footnote>
  <w:footnote w:id="51">
    <w:p w14:paraId="4D8CB799" w14:textId="77777777" w:rsidR="00AC34E6" w:rsidRDefault="00AC34E6" w:rsidP="005B18BE">
      <w:pPr>
        <w:pStyle w:val="footnote"/>
      </w:pPr>
      <w:r w:rsidRPr="005B18BE">
        <w:footnoteRef/>
      </w:r>
      <w:r w:rsidRPr="00EF26AC">
        <w:t xml:space="preserve"> </w:t>
      </w:r>
      <w:r>
        <w:t>T</w:t>
      </w:r>
      <w:r w:rsidRPr="00EF26AC">
        <w:t xml:space="preserve">elecommunications operators who </w:t>
      </w:r>
      <w:r>
        <w:t>had</w:t>
      </w:r>
      <w:r w:rsidRPr="00EF26AC">
        <w:t xml:space="preserve"> their own facilities</w:t>
      </w:r>
      <w:r>
        <w:t xml:space="preserve"> were classified as Type I </w:t>
      </w:r>
      <w:r>
        <w:rPr>
          <w:lang w:eastAsia="ja-JP"/>
        </w:rPr>
        <w:t xml:space="preserve">telecommunications carriers </w:t>
      </w:r>
      <w:r>
        <w:t>by Japan’s Telecommunications Business Law, while t</w:t>
      </w:r>
      <w:r w:rsidRPr="00EF26AC">
        <w:t>hose w</w:t>
      </w:r>
      <w:r>
        <w:t>ithout</w:t>
      </w:r>
      <w:r w:rsidRPr="00EF26AC">
        <w:t xml:space="preserve"> </w:t>
      </w:r>
      <w:r>
        <w:t xml:space="preserve">their </w:t>
      </w:r>
      <w:r w:rsidRPr="00EF26AC">
        <w:t xml:space="preserve">own facilities </w:t>
      </w:r>
      <w:r>
        <w:t xml:space="preserve">were categorised as Type II </w:t>
      </w:r>
      <w:r>
        <w:rPr>
          <w:lang w:eastAsia="ja-JP"/>
        </w:rPr>
        <w:t xml:space="preserve">telecommunications carriers </w:t>
      </w:r>
      <w:r>
        <w:t xml:space="preserve">by the same law </w:t>
      </w:r>
      <w:r w:rsidRPr="00EF26AC">
        <w:t>(</w:t>
      </w:r>
      <w:r>
        <w:rPr>
          <w:lang w:eastAsia="ja-JP"/>
        </w:rPr>
        <w:t>MPT 1998 pp.5-6</w:t>
      </w:r>
      <w:r w:rsidRPr="00EF26AC">
        <w:t>).</w:t>
      </w:r>
    </w:p>
  </w:footnote>
  <w:footnote w:id="52">
    <w:p w14:paraId="2A6C4246" w14:textId="77777777" w:rsidR="00AC34E6" w:rsidRDefault="00AC34E6" w:rsidP="00A41C64">
      <w:pPr>
        <w:pStyle w:val="footnote"/>
      </w:pPr>
      <w:r w:rsidRPr="00551104">
        <w:footnoteRef/>
      </w:r>
      <w:r w:rsidRPr="005A40D0">
        <w:t xml:space="preserve"> </w:t>
      </w:r>
      <w:r>
        <w:rPr>
          <w:i/>
          <w:lang w:eastAsia="ja-JP"/>
        </w:rPr>
        <w:t>Seimu Sanyaku</w:t>
      </w:r>
      <w:r w:rsidRPr="005A40D0">
        <w:rPr>
          <w:lang w:eastAsia="ja-JP"/>
        </w:rPr>
        <w:t xml:space="preserve"> (Three Political </w:t>
      </w:r>
      <w:r>
        <w:rPr>
          <w:lang w:eastAsia="ja-JP"/>
        </w:rPr>
        <w:t>O</w:t>
      </w:r>
      <w:r w:rsidRPr="005A40D0">
        <w:rPr>
          <w:lang w:eastAsia="ja-JP"/>
        </w:rPr>
        <w:t xml:space="preserve">fficers) is a team of parliamentary senior officials </w:t>
      </w:r>
      <w:r>
        <w:rPr>
          <w:lang w:eastAsia="ja-JP"/>
        </w:rPr>
        <w:t xml:space="preserve">in a ministry </w:t>
      </w:r>
      <w:r w:rsidRPr="005A40D0">
        <w:rPr>
          <w:lang w:eastAsia="ja-JP"/>
        </w:rPr>
        <w:t xml:space="preserve">composed of a </w:t>
      </w:r>
      <w:r>
        <w:rPr>
          <w:lang w:eastAsia="ja-JP"/>
        </w:rPr>
        <w:t xml:space="preserve">Cabinet </w:t>
      </w:r>
      <w:r w:rsidRPr="005A40D0">
        <w:rPr>
          <w:lang w:eastAsia="ja-JP"/>
        </w:rPr>
        <w:t>Minister, Senior Vice-Ministers</w:t>
      </w:r>
      <w:r>
        <w:rPr>
          <w:rFonts w:eastAsia="MS Mincho" w:hint="eastAsia"/>
          <w:lang w:eastAsia="ja-JP"/>
        </w:rPr>
        <w:t xml:space="preserve">, </w:t>
      </w:r>
      <w:r w:rsidRPr="005A40D0">
        <w:rPr>
          <w:lang w:eastAsia="ja-JP"/>
        </w:rPr>
        <w:t>and Parliamentary Secretaries</w:t>
      </w:r>
      <w:r>
        <w:rPr>
          <w:lang w:eastAsia="ja-JP"/>
        </w:rPr>
        <w:t xml:space="preserve"> in a government ministry in Japan</w:t>
      </w:r>
      <w:r>
        <w:rPr>
          <w:rFonts w:hint="eastAsia"/>
          <w:lang w:eastAsia="ja-JP"/>
        </w:rPr>
        <w:t xml:space="preserve"> (Neary 2002 pp.126-7)</w:t>
      </w:r>
      <w:r>
        <w:rPr>
          <w:lang w:eastAsia="ja-JP"/>
        </w:rPr>
        <w:t>.</w:t>
      </w:r>
    </w:p>
  </w:footnote>
  <w:footnote w:id="53">
    <w:p w14:paraId="16373B2B" w14:textId="77777777" w:rsidR="00AC34E6" w:rsidRDefault="00AC34E6" w:rsidP="005B18BE">
      <w:pPr>
        <w:pStyle w:val="footnote"/>
      </w:pPr>
      <w:r w:rsidRPr="005B18BE">
        <w:footnoteRef/>
      </w:r>
      <w:r w:rsidRPr="001D3A76">
        <w:t xml:space="preserve"> </w:t>
      </w:r>
      <w:r w:rsidRPr="001D3A76">
        <w:rPr>
          <w:lang w:eastAsia="ja-JP"/>
        </w:rPr>
        <w:t>The Information and Communications Council is a Policy Deliberation Council where key policy issues are consulted by the Internal Affairs and Communications Ministers</w:t>
      </w:r>
      <w:r>
        <w:rPr>
          <w:lang w:eastAsia="ja-JP"/>
        </w:rPr>
        <w:t xml:space="preserve"> (MIC 2012)</w:t>
      </w:r>
      <w:r w:rsidRPr="001D3A76">
        <w:rPr>
          <w:lang w:eastAsia="ja-JP"/>
        </w:rPr>
        <w:t xml:space="preserve">. The resulting reports </w:t>
      </w:r>
      <w:r>
        <w:rPr>
          <w:lang w:eastAsia="ja-JP"/>
        </w:rPr>
        <w:t xml:space="preserve">can </w:t>
      </w:r>
      <w:r w:rsidRPr="001D3A76">
        <w:rPr>
          <w:lang w:eastAsia="ja-JP"/>
        </w:rPr>
        <w:t xml:space="preserve">become </w:t>
      </w:r>
      <w:r>
        <w:rPr>
          <w:lang w:eastAsia="ja-JP"/>
        </w:rPr>
        <w:t xml:space="preserve">the basis </w:t>
      </w:r>
      <w:r w:rsidRPr="001D3A76">
        <w:rPr>
          <w:lang w:eastAsia="ja-JP"/>
        </w:rPr>
        <w:t>for government’s bill</w:t>
      </w:r>
      <w:r>
        <w:rPr>
          <w:lang w:eastAsia="ja-JP"/>
        </w:rPr>
        <w:t>s</w:t>
      </w:r>
      <w:r w:rsidRPr="001D3A76">
        <w:rPr>
          <w:lang w:eastAsia="ja-JP"/>
        </w:rPr>
        <w:t xml:space="preserve"> in the </w:t>
      </w:r>
      <w:r>
        <w:rPr>
          <w:lang w:eastAsia="ja-JP"/>
        </w:rPr>
        <w:t>respective field.</w:t>
      </w:r>
    </w:p>
  </w:footnote>
  <w:footnote w:id="54">
    <w:p w14:paraId="5FE59BE3" w14:textId="68727197" w:rsidR="00AC34E6" w:rsidRDefault="00AC34E6" w:rsidP="005B18BE">
      <w:pPr>
        <w:pStyle w:val="footnote"/>
      </w:pPr>
      <w:r w:rsidRPr="00F745FE">
        <w:rPr>
          <w:rStyle w:val="FootnoteReference"/>
          <w:vertAlign w:val="baseline"/>
        </w:rPr>
        <w:footnoteRef/>
      </w:r>
      <w:r w:rsidRPr="00F745FE">
        <w:t xml:space="preserve"> In this context</w:t>
      </w:r>
      <w:r>
        <w:t>,</w:t>
      </w:r>
      <w:r w:rsidRPr="00F745FE">
        <w:t xml:space="preserve"> ‘ex ante regulation’ means regulation focusing on issues </w:t>
      </w:r>
      <w:r>
        <w:t xml:space="preserve">emerging </w:t>
      </w:r>
      <w:r w:rsidRPr="00F745FE">
        <w:t xml:space="preserve">before </w:t>
      </w:r>
      <w:r>
        <w:t>firms</w:t>
      </w:r>
      <w:r w:rsidRPr="00F745FE">
        <w:t xml:space="preserve"> </w:t>
      </w:r>
      <w:r>
        <w:t>act, i.e. what firms will do. A</w:t>
      </w:r>
      <w:r w:rsidRPr="00F745FE">
        <w:t xml:space="preserve">n example </w:t>
      </w:r>
      <w:r>
        <w:t>is</w:t>
      </w:r>
      <w:r w:rsidRPr="00F745FE">
        <w:t xml:space="preserve"> </w:t>
      </w:r>
      <w:r>
        <w:t>market entry regulation, which aims at firms’ access to markets rather than their actual business activities in existing markets. In a similar way, ‘ex post regulation’ means regulation focusing on issues emerging after firms acted, i.e. what firms do in existing markets. An example is regulating dispute settlements between firms and between firms and consumers in markets.</w:t>
      </w:r>
    </w:p>
  </w:footnote>
  <w:footnote w:id="55">
    <w:p w14:paraId="069A474F" w14:textId="77777777" w:rsidR="00AC34E6" w:rsidRDefault="00AC34E6" w:rsidP="005B18BE">
      <w:pPr>
        <w:pStyle w:val="footnote"/>
      </w:pPr>
      <w:r w:rsidRPr="005B18BE">
        <w:footnoteRef/>
      </w:r>
      <w:r w:rsidRPr="008F5F29">
        <w:t xml:space="preserve"> </w:t>
      </w:r>
      <w:r>
        <w:rPr>
          <w:rFonts w:hint="eastAsia"/>
          <w:lang w:eastAsia="ja-JP"/>
        </w:rPr>
        <w:t xml:space="preserve">The </w:t>
      </w:r>
      <w:r>
        <w:t xml:space="preserve">Tanaka faction is an internal faction of the LDP headed by Kakuei Tanaka (Prime Minister: 1972-74). In 1987 the majority of its members left this Tanaka faction and formed the Takeshita faction, which was headed by Noboru Takeshita (Prime Minister: 1987-88). </w:t>
      </w:r>
    </w:p>
  </w:footnote>
  <w:footnote w:id="56">
    <w:p w14:paraId="67AE4E21" w14:textId="77777777" w:rsidR="00AC34E6" w:rsidRDefault="00AC34E6" w:rsidP="005B18BE">
      <w:pPr>
        <w:pStyle w:val="footnote"/>
      </w:pPr>
      <w:r w:rsidRPr="005B18BE">
        <w:footnoteRef/>
      </w:r>
      <w:r w:rsidRPr="004D2322">
        <w:t xml:space="preserve"> Heizo Takenaka was a Cabinet Minister of the Jun’ichiro Koizumi Government</w:t>
      </w:r>
      <w:r>
        <w:t xml:space="preserve"> (LDP: 04.2001-09.2006).</w:t>
      </w:r>
      <w:r w:rsidRPr="004D2322">
        <w:t xml:space="preserve"> The detail of his tenure is the following:</w:t>
      </w:r>
    </w:p>
    <w:p w14:paraId="24F83D2E" w14:textId="77777777" w:rsidR="00AC34E6" w:rsidRDefault="00AC34E6" w:rsidP="00A1628B">
      <w:pPr>
        <w:pStyle w:val="footnote"/>
        <w:tabs>
          <w:tab w:val="left" w:pos="1418"/>
        </w:tabs>
      </w:pPr>
      <w:r w:rsidRPr="006F6606">
        <w:t>04.2001-10.2005</w:t>
      </w:r>
      <w:r w:rsidRPr="006F6606">
        <w:tab/>
        <w:t>Minister of State for Economic and Fiscal Policy</w:t>
      </w:r>
    </w:p>
    <w:p w14:paraId="624FC47B" w14:textId="77777777" w:rsidR="00AC34E6" w:rsidRPr="006F6606" w:rsidRDefault="00AC34E6" w:rsidP="00A1628B">
      <w:pPr>
        <w:pStyle w:val="footnote"/>
        <w:tabs>
          <w:tab w:val="left" w:pos="1418"/>
        </w:tabs>
        <w:rPr>
          <w:lang w:eastAsia="ja-JP"/>
        </w:rPr>
      </w:pPr>
      <w:r>
        <w:tab/>
      </w:r>
      <w:r w:rsidRPr="006F6606">
        <w:rPr>
          <w:lang w:eastAsia="ja-JP"/>
        </w:rPr>
        <w:t xml:space="preserve">(concurrently served as the </w:t>
      </w:r>
      <w:r w:rsidRPr="006F6606">
        <w:t>Minister of State for Financial Services</w:t>
      </w:r>
      <w:r w:rsidRPr="006F6606">
        <w:rPr>
          <w:lang w:eastAsia="ja-JP"/>
        </w:rPr>
        <w:t xml:space="preserve"> (</w:t>
      </w:r>
      <w:r w:rsidRPr="006F6606">
        <w:t>09.2002-09.2004</w:t>
      </w:r>
      <w:r w:rsidRPr="006F6606">
        <w:rPr>
          <w:lang w:eastAsia="ja-JP"/>
        </w:rPr>
        <w:t>))</w:t>
      </w:r>
    </w:p>
    <w:p w14:paraId="29319A6C" w14:textId="77777777" w:rsidR="00AC34E6" w:rsidRDefault="00AC34E6" w:rsidP="00A1628B">
      <w:pPr>
        <w:pStyle w:val="footnote"/>
        <w:tabs>
          <w:tab w:val="left" w:pos="1418"/>
        </w:tabs>
      </w:pPr>
      <w:r w:rsidRPr="006F6606">
        <w:t>10.2005-09.2006</w:t>
      </w:r>
      <w:r>
        <w:tab/>
      </w:r>
      <w:r w:rsidRPr="006F6606">
        <w:t>Minister of Internal Affairs and Communications</w:t>
      </w:r>
    </w:p>
    <w:p w14:paraId="6EFDDEBF" w14:textId="77777777" w:rsidR="00AC34E6" w:rsidRDefault="00AC34E6" w:rsidP="005B18BE">
      <w:pPr>
        <w:pStyle w:val="footnote"/>
        <w:tabs>
          <w:tab w:val="left" w:pos="1418"/>
        </w:tabs>
        <w:rPr>
          <w:lang w:eastAsia="ja-JP"/>
        </w:rPr>
      </w:pPr>
      <w:r>
        <w:tab/>
      </w:r>
      <w:r w:rsidRPr="006F6606">
        <w:rPr>
          <w:lang w:eastAsia="ja-JP"/>
        </w:rPr>
        <w:t>(</w:t>
      </w:r>
      <w:r w:rsidRPr="006F6606">
        <w:t>concurrently served as the Minister for Postal Services Privatisation (10</w:t>
      </w:r>
      <w:r>
        <w:t>.</w:t>
      </w:r>
      <w:r w:rsidRPr="006F6606">
        <w:t>2005-09</w:t>
      </w:r>
      <w:r>
        <w:t>.</w:t>
      </w:r>
      <w:r w:rsidRPr="006F6606">
        <w:t>2006)</w:t>
      </w:r>
      <w:r w:rsidRPr="006F6606">
        <w:rPr>
          <w:lang w:eastAsia="ja-JP"/>
        </w:rPr>
        <w:t>)</w:t>
      </w:r>
    </w:p>
  </w:footnote>
  <w:footnote w:id="57">
    <w:p w14:paraId="1C574A76" w14:textId="0D551C29" w:rsidR="00AC34E6" w:rsidRDefault="00AC34E6" w:rsidP="0085292F">
      <w:pPr>
        <w:pStyle w:val="footnote"/>
      </w:pPr>
      <w:r w:rsidRPr="005B18BE">
        <w:footnoteRef/>
      </w:r>
      <w:r w:rsidRPr="006F6606">
        <w:t xml:space="preserve"> </w:t>
      </w:r>
      <w:r w:rsidRPr="006F6606">
        <w:rPr>
          <w:lang w:eastAsia="ja-JP"/>
        </w:rPr>
        <w:t xml:space="preserve">The Council of Economic and Fiscal Policy is the council at the Cabinet Office deliberating the important issues of economic and fiscal policies as an instrument </w:t>
      </w:r>
      <w:r w:rsidRPr="00A01349">
        <w:rPr>
          <w:lang w:eastAsia="ja-JP"/>
        </w:rPr>
        <w:t xml:space="preserve">of establishing </w:t>
      </w:r>
      <w:r>
        <w:rPr>
          <w:lang w:eastAsia="ja-JP"/>
        </w:rPr>
        <w:t xml:space="preserve">the </w:t>
      </w:r>
      <w:r w:rsidRPr="00A01349">
        <w:rPr>
          <w:lang w:eastAsia="ja-JP"/>
        </w:rPr>
        <w:t>Prime Minister’s substantial supervision on these issues (</w:t>
      </w:r>
      <w:r>
        <w:rPr>
          <w:lang w:eastAsia="ja-JP"/>
        </w:rPr>
        <w:t>Cabinet</w:t>
      </w:r>
      <w:r w:rsidRPr="00A01349">
        <w:rPr>
          <w:lang w:eastAsia="ja-JP"/>
        </w:rPr>
        <w:t xml:space="preserve"> Office of Japan 2012). </w:t>
      </w:r>
      <w:r>
        <w:rPr>
          <w:lang w:eastAsia="ja-JP"/>
        </w:rPr>
        <w:t>Established</w:t>
      </w:r>
      <w:r w:rsidRPr="00A01349">
        <w:rPr>
          <w:lang w:eastAsia="ja-JP"/>
        </w:rPr>
        <w:t xml:space="preserve">  in 2001 as a part of the administrative reform, it  has been chaired by the Prime Minister and composed of his core </w:t>
      </w:r>
      <w:r>
        <w:rPr>
          <w:lang w:eastAsia="ja-JP"/>
        </w:rPr>
        <w:t>Cabinet</w:t>
      </w:r>
      <w:r w:rsidRPr="00A01349">
        <w:rPr>
          <w:lang w:eastAsia="ja-JP"/>
        </w:rPr>
        <w:t xml:space="preserve"> member</w:t>
      </w:r>
      <w:r>
        <w:rPr>
          <w:lang w:eastAsia="ja-JP"/>
        </w:rPr>
        <w:t>s</w:t>
      </w:r>
      <w:r w:rsidRPr="00A01349">
        <w:rPr>
          <w:lang w:eastAsia="ja-JP"/>
        </w:rPr>
        <w:t xml:space="preserve"> and key private sector figures (business leaders and academics) (</w:t>
      </w:r>
      <w:r>
        <w:rPr>
          <w:lang w:eastAsia="ja-JP"/>
        </w:rPr>
        <w:t>Cabinet</w:t>
      </w:r>
      <w:r w:rsidRPr="00A01349">
        <w:rPr>
          <w:lang w:eastAsia="ja-JP"/>
        </w:rPr>
        <w:t xml:space="preserve"> Office of Japan 2012).</w:t>
      </w:r>
    </w:p>
  </w:footnote>
  <w:footnote w:id="58">
    <w:p w14:paraId="5BD05B1F" w14:textId="77777777" w:rsidR="00AC34E6" w:rsidRDefault="00AC34E6" w:rsidP="002C1B20">
      <w:pPr>
        <w:pStyle w:val="footnote"/>
        <w:rPr>
          <w:lang w:eastAsia="ja-JP"/>
        </w:rPr>
      </w:pPr>
      <w:r w:rsidRPr="005B18BE">
        <w:footnoteRef/>
      </w:r>
      <w:r w:rsidRPr="0023595A">
        <w:t xml:space="preserve"> </w:t>
      </w:r>
      <w:r w:rsidRPr="0023595A">
        <w:rPr>
          <w:lang w:eastAsia="ja-JP"/>
        </w:rPr>
        <w:t>For example, none of the Ministers of Internal Affairs and Communications from the DJP ha</w:t>
      </w:r>
      <w:r>
        <w:rPr>
          <w:rFonts w:hint="eastAsia"/>
          <w:lang w:eastAsia="ja-JP"/>
        </w:rPr>
        <w:t>d</w:t>
      </w:r>
      <w:r w:rsidRPr="0023595A">
        <w:rPr>
          <w:lang w:eastAsia="ja-JP"/>
        </w:rPr>
        <w:t xml:space="preserve"> a tenure longer than </w:t>
      </w:r>
      <w:r>
        <w:rPr>
          <w:rFonts w:hint="eastAsia"/>
          <w:lang w:eastAsia="ja-JP"/>
        </w:rPr>
        <w:t>a</w:t>
      </w:r>
      <w:r w:rsidRPr="0023595A">
        <w:rPr>
          <w:lang w:eastAsia="ja-JP"/>
        </w:rPr>
        <w:t xml:space="preserve"> year, as the following shows</w:t>
      </w:r>
      <w:r>
        <w:rPr>
          <w:lang w:eastAsia="ja-JP"/>
        </w:rPr>
        <w:t xml:space="preserve"> (al</w:t>
      </w:r>
      <w:r>
        <w:rPr>
          <w:rFonts w:hint="eastAsia"/>
          <w:lang w:eastAsia="ja-JP"/>
        </w:rPr>
        <w:t xml:space="preserve">so see the Appendix </w:t>
      </w:r>
      <w:r>
        <w:rPr>
          <w:rFonts w:eastAsia="MS Mincho" w:hint="eastAsia"/>
          <w:lang w:eastAsia="ja-JP"/>
        </w:rPr>
        <w:t>3</w:t>
      </w:r>
      <w:r>
        <w:rPr>
          <w:rFonts w:hint="eastAsia"/>
          <w:lang w:eastAsia="ja-JP"/>
        </w:rPr>
        <w:t>.</w:t>
      </w:r>
      <w:r>
        <w:rPr>
          <w:lang w:eastAsia="ja-JP"/>
        </w:rPr>
        <w:t>)</w:t>
      </w:r>
      <w:r w:rsidRPr="0023595A">
        <w:rPr>
          <w:lang w:eastAsia="ja-JP"/>
        </w:rPr>
        <w:t>:</w:t>
      </w:r>
    </w:p>
    <w:p w14:paraId="63448E53" w14:textId="5E37BA19" w:rsidR="00AC34E6" w:rsidRPr="005B18BE" w:rsidRDefault="00AC34E6" w:rsidP="00A1628B">
      <w:pPr>
        <w:pStyle w:val="footnote"/>
        <w:tabs>
          <w:tab w:val="left" w:pos="2410"/>
          <w:tab w:val="left" w:pos="3544"/>
        </w:tabs>
        <w:rPr>
          <w:lang w:val="de-DE" w:eastAsia="ja-JP"/>
        </w:rPr>
      </w:pPr>
      <w:r w:rsidRPr="005B18BE">
        <w:rPr>
          <w:lang w:val="de-DE" w:eastAsia="ja-JP"/>
        </w:rPr>
        <w:t>Minister Kazuhiro Haraguchi:</w:t>
      </w:r>
      <w:r w:rsidRPr="005B18BE">
        <w:rPr>
          <w:lang w:val="de-DE" w:eastAsia="ja-JP"/>
        </w:rPr>
        <w:tab/>
        <w:t>09.2009</w:t>
      </w:r>
      <w:r w:rsidRPr="005B18BE">
        <w:rPr>
          <w:lang w:val="de-DE" w:eastAsia="ja-JP"/>
        </w:rPr>
        <w:tab/>
        <w:t>-</w:t>
      </w:r>
      <w:r>
        <w:rPr>
          <w:lang w:val="de-DE" w:eastAsia="ja-JP"/>
        </w:rPr>
        <w:t xml:space="preserve"> </w:t>
      </w:r>
      <w:r w:rsidRPr="005B18BE">
        <w:rPr>
          <w:lang w:val="de-DE" w:eastAsia="ja-JP"/>
        </w:rPr>
        <w:t>09.2010</w:t>
      </w:r>
    </w:p>
    <w:p w14:paraId="5814ECBA" w14:textId="1AEB338A" w:rsidR="00AC34E6" w:rsidRDefault="00AC34E6" w:rsidP="005B18BE">
      <w:pPr>
        <w:pStyle w:val="footnote"/>
        <w:tabs>
          <w:tab w:val="left" w:pos="2410"/>
          <w:tab w:val="left" w:pos="3544"/>
        </w:tabs>
        <w:rPr>
          <w:lang w:val="de-DE" w:eastAsia="ja-JP"/>
        </w:rPr>
      </w:pPr>
      <w:r w:rsidRPr="005B18BE">
        <w:rPr>
          <w:lang w:val="de-DE" w:eastAsia="ja-JP"/>
        </w:rPr>
        <w:t>Minister Yoshihiro Katayama:</w:t>
      </w:r>
      <w:r w:rsidRPr="005B18BE">
        <w:rPr>
          <w:lang w:val="de-DE" w:eastAsia="ja-JP"/>
        </w:rPr>
        <w:tab/>
        <w:t>09.2010</w:t>
      </w:r>
      <w:r w:rsidRPr="005B18BE">
        <w:rPr>
          <w:lang w:val="de-DE" w:eastAsia="ja-JP"/>
        </w:rPr>
        <w:tab/>
        <w:t>-</w:t>
      </w:r>
      <w:r>
        <w:rPr>
          <w:lang w:val="de-DE" w:eastAsia="ja-JP"/>
        </w:rPr>
        <w:t xml:space="preserve"> </w:t>
      </w:r>
      <w:r w:rsidRPr="005B18BE">
        <w:rPr>
          <w:lang w:val="de-DE" w:eastAsia="ja-JP"/>
        </w:rPr>
        <w:t>09.2011</w:t>
      </w:r>
    </w:p>
    <w:p w14:paraId="35CA8EF6" w14:textId="4C250289" w:rsidR="00AC34E6" w:rsidRPr="001E283C" w:rsidRDefault="00AC34E6" w:rsidP="00A1628B">
      <w:pPr>
        <w:pStyle w:val="footnote"/>
        <w:tabs>
          <w:tab w:val="left" w:pos="2410"/>
          <w:tab w:val="left" w:pos="3544"/>
        </w:tabs>
        <w:rPr>
          <w:lang w:eastAsia="ja-JP"/>
        </w:rPr>
      </w:pPr>
      <w:r w:rsidRPr="001E283C">
        <w:rPr>
          <w:lang w:eastAsia="ja-JP"/>
        </w:rPr>
        <w:t>Minister Tatsuo Kawabata</w:t>
      </w:r>
      <w:r w:rsidRPr="001E283C">
        <w:rPr>
          <w:rFonts w:hint="eastAsia"/>
          <w:lang w:eastAsia="ja-JP"/>
        </w:rPr>
        <w:t>:</w:t>
      </w:r>
      <w:r w:rsidRPr="001E283C">
        <w:rPr>
          <w:rFonts w:hint="eastAsia"/>
          <w:lang w:eastAsia="ja-JP"/>
        </w:rPr>
        <w:tab/>
      </w:r>
      <w:r w:rsidRPr="001E283C">
        <w:rPr>
          <w:lang w:eastAsia="ja-JP"/>
        </w:rPr>
        <w:t>09.2011</w:t>
      </w:r>
      <w:r w:rsidRPr="001E283C">
        <w:rPr>
          <w:lang w:eastAsia="ja-JP"/>
        </w:rPr>
        <w:tab/>
        <w:t xml:space="preserve">- </w:t>
      </w:r>
      <w:r w:rsidRPr="001E283C">
        <w:rPr>
          <w:rFonts w:hint="eastAsia"/>
          <w:lang w:eastAsia="ja-JP"/>
        </w:rPr>
        <w:t>09.2012</w:t>
      </w:r>
    </w:p>
    <w:p w14:paraId="36DB42B8" w14:textId="42DF0D99" w:rsidR="00AC34E6" w:rsidRDefault="00AC34E6" w:rsidP="005B18BE">
      <w:pPr>
        <w:pStyle w:val="footnote"/>
        <w:tabs>
          <w:tab w:val="left" w:pos="2410"/>
          <w:tab w:val="left" w:pos="3544"/>
        </w:tabs>
        <w:rPr>
          <w:lang w:eastAsia="ja-JP"/>
        </w:rPr>
      </w:pPr>
      <w:r w:rsidRPr="001E283C">
        <w:rPr>
          <w:rFonts w:hint="eastAsia"/>
          <w:lang w:eastAsia="ja-JP"/>
        </w:rPr>
        <w:t>Minister Shinji Tarutoko</w:t>
      </w:r>
      <w:r w:rsidRPr="001E283C">
        <w:rPr>
          <w:lang w:eastAsia="ja-JP"/>
        </w:rPr>
        <w:t>:</w:t>
      </w:r>
      <w:r w:rsidRPr="001E283C">
        <w:rPr>
          <w:rFonts w:hint="eastAsia"/>
          <w:lang w:eastAsia="ja-JP"/>
        </w:rPr>
        <w:tab/>
        <w:t>10.2012</w:t>
      </w:r>
      <w:r w:rsidRPr="001E283C">
        <w:rPr>
          <w:lang w:eastAsia="ja-JP"/>
        </w:rPr>
        <w:tab/>
      </w:r>
      <w:r>
        <w:rPr>
          <w:rFonts w:hint="eastAsia"/>
          <w:lang w:eastAsia="ja-JP"/>
        </w:rPr>
        <w:t>-</w:t>
      </w:r>
      <w:r>
        <w:rPr>
          <w:lang w:eastAsia="ja-JP"/>
        </w:rPr>
        <w:t xml:space="preserve"> </w:t>
      </w:r>
      <w:r>
        <w:rPr>
          <w:rFonts w:hint="eastAsia"/>
          <w:lang w:eastAsia="ja-JP"/>
        </w:rPr>
        <w:t>12.2012</w:t>
      </w:r>
    </w:p>
  </w:footnote>
  <w:footnote w:id="59">
    <w:p w14:paraId="149B4E09" w14:textId="77777777" w:rsidR="00AC34E6" w:rsidRDefault="00AC34E6" w:rsidP="005B18BE">
      <w:pPr>
        <w:pStyle w:val="footnote"/>
      </w:pPr>
      <w:r w:rsidRPr="005B18BE">
        <w:footnoteRef/>
      </w:r>
      <w:r w:rsidRPr="00683A08">
        <w:t xml:space="preserve"> </w:t>
      </w:r>
      <w:r>
        <w:t>The analysis of the survey result is based on only the f</w:t>
      </w:r>
      <w:r w:rsidRPr="00683A08">
        <w:t>irst choice</w:t>
      </w:r>
      <w:r>
        <w:t xml:space="preserve"> of answering options in the questionnaire</w:t>
      </w:r>
      <w:r w:rsidRPr="00683A08">
        <w:t>.</w:t>
      </w:r>
    </w:p>
  </w:footnote>
  <w:footnote w:id="60">
    <w:p w14:paraId="250D63CC" w14:textId="77777777" w:rsidR="00AC34E6" w:rsidRDefault="00AC34E6" w:rsidP="005B18BE">
      <w:pPr>
        <w:pStyle w:val="footnote"/>
      </w:pPr>
      <w:r w:rsidRPr="005B18BE">
        <w:footnoteRef/>
      </w:r>
      <w:r w:rsidRPr="00DD4700">
        <w:t xml:space="preserve"> </w:t>
      </w:r>
      <w:r w:rsidRPr="00DD4700">
        <w:rPr>
          <w:i/>
          <w:lang w:eastAsia="ja-JP"/>
        </w:rPr>
        <w:t>Hikari no Michi</w:t>
      </w:r>
      <w:r w:rsidRPr="00DD4700">
        <w:rPr>
          <w:lang w:eastAsia="ja-JP"/>
        </w:rPr>
        <w:t xml:space="preserve"> (</w:t>
      </w:r>
      <w:r>
        <w:rPr>
          <w:lang w:eastAsia="ja-JP"/>
        </w:rPr>
        <w:t xml:space="preserve">The </w:t>
      </w:r>
      <w:r w:rsidRPr="00DD4700">
        <w:rPr>
          <w:lang w:eastAsia="ja-JP"/>
        </w:rPr>
        <w:t>Optic Way)</w:t>
      </w:r>
      <w:r>
        <w:rPr>
          <w:lang w:eastAsia="ja-JP"/>
        </w:rPr>
        <w:t xml:space="preserve"> </w:t>
      </w:r>
      <w:r w:rsidRPr="00DD4700">
        <w:rPr>
          <w:lang w:eastAsia="ja-JP"/>
        </w:rPr>
        <w:t>is a policy project initiated by Interior Affairs and Communications Minister Haraguchi</w:t>
      </w:r>
      <w:r>
        <w:rPr>
          <w:lang w:eastAsia="ja-JP"/>
        </w:rPr>
        <w:t xml:space="preserve"> (09.2009 -09.2010)</w:t>
      </w:r>
      <w:r w:rsidRPr="00DD4700">
        <w:rPr>
          <w:lang w:eastAsia="ja-JP"/>
        </w:rPr>
        <w:t>, in which the broad band services will be enhanced through competition and service promotion measures including the opening ICT networks, supporting broad band services in various sectors including medical care</w:t>
      </w:r>
      <w:r>
        <w:rPr>
          <w:lang w:eastAsia="ja-JP"/>
        </w:rPr>
        <w:t xml:space="preserve">, and restructuring the </w:t>
      </w:r>
      <w:r w:rsidRPr="00DD4700">
        <w:rPr>
          <w:lang w:eastAsia="ja-JP"/>
        </w:rPr>
        <w:t xml:space="preserve">NTT </w:t>
      </w:r>
      <w:r>
        <w:rPr>
          <w:lang w:eastAsia="ja-JP"/>
        </w:rPr>
        <w:t xml:space="preserve">group </w:t>
      </w:r>
      <w:r w:rsidRPr="00DD4700">
        <w:rPr>
          <w:lang w:eastAsia="ja-JP"/>
        </w:rPr>
        <w:t xml:space="preserve">(ICT Policy Taskforce in the Globalised Era 2010). </w:t>
      </w:r>
      <w:r>
        <w:rPr>
          <w:lang w:eastAsia="ja-JP"/>
        </w:rPr>
        <w:t>The scope of debate to formulate concrete policy measures includes the reorganisation of the NTT group, which could lead to an NTT breakup.</w:t>
      </w:r>
    </w:p>
  </w:footnote>
  <w:footnote w:id="61">
    <w:p w14:paraId="0DBA4940" w14:textId="77777777" w:rsidR="00AC34E6" w:rsidRDefault="00AC34E6" w:rsidP="005B18BE">
      <w:pPr>
        <w:pStyle w:val="footnote"/>
        <w:rPr>
          <w:lang w:eastAsia="ja-JP"/>
        </w:rPr>
      </w:pPr>
      <w:r w:rsidRPr="005B18BE">
        <w:footnoteRef/>
      </w:r>
      <w:r w:rsidRPr="00EF251A">
        <w:t xml:space="preserve"> </w:t>
      </w:r>
      <w:r w:rsidRPr="00EF251A">
        <w:rPr>
          <w:lang w:eastAsia="ja-JP"/>
        </w:rPr>
        <w:t xml:space="preserve">Shigeru Yoshida </w:t>
      </w:r>
      <w:r>
        <w:rPr>
          <w:rFonts w:hint="eastAsia"/>
          <w:lang w:eastAsia="ja-JP"/>
        </w:rPr>
        <w:t>wa</w:t>
      </w:r>
      <w:r w:rsidRPr="00EF251A">
        <w:rPr>
          <w:lang w:eastAsia="ja-JP"/>
        </w:rPr>
        <w:t xml:space="preserve">s the Prime Minister </w:t>
      </w:r>
      <w:r>
        <w:rPr>
          <w:lang w:eastAsia="ja-JP"/>
        </w:rPr>
        <w:t xml:space="preserve">(1946.7, 1948-54) </w:t>
      </w:r>
      <w:r w:rsidRPr="00EF251A">
        <w:rPr>
          <w:lang w:eastAsia="ja-JP"/>
        </w:rPr>
        <w:t xml:space="preserve">who signed the </w:t>
      </w:r>
      <w:r>
        <w:rPr>
          <w:lang w:eastAsia="ja-JP"/>
        </w:rPr>
        <w:t>p</w:t>
      </w:r>
      <w:r w:rsidRPr="00EF251A">
        <w:rPr>
          <w:lang w:eastAsia="ja-JP"/>
        </w:rPr>
        <w:t xml:space="preserve">eace </w:t>
      </w:r>
      <w:r>
        <w:rPr>
          <w:lang w:eastAsia="ja-JP"/>
        </w:rPr>
        <w:t>t</w:t>
      </w:r>
      <w:r w:rsidRPr="00EF251A">
        <w:rPr>
          <w:lang w:eastAsia="ja-JP"/>
        </w:rPr>
        <w:t>reaty with Japan in 1951</w:t>
      </w:r>
      <w:r>
        <w:rPr>
          <w:rFonts w:hint="eastAsia"/>
          <w:lang w:eastAsia="ja-JP"/>
        </w:rPr>
        <w:t>.</w:t>
      </w:r>
    </w:p>
  </w:footnote>
  <w:footnote w:id="62">
    <w:p w14:paraId="3E98E24F" w14:textId="77777777" w:rsidR="00AC34E6" w:rsidRDefault="00AC34E6" w:rsidP="005B18BE">
      <w:pPr>
        <w:pStyle w:val="footnote"/>
      </w:pPr>
      <w:r w:rsidRPr="005B18BE">
        <w:footnoteRef/>
      </w:r>
      <w:r w:rsidRPr="00606953">
        <w:t xml:space="preserve"> M</w:t>
      </w:r>
      <w:r>
        <w:t>ET</w:t>
      </w:r>
      <w:r w:rsidRPr="00606953">
        <w:t xml:space="preserve">I: </w:t>
      </w:r>
      <w:r>
        <w:t xml:space="preserve">the </w:t>
      </w:r>
      <w:r w:rsidRPr="00606953">
        <w:t xml:space="preserve">Ministry of </w:t>
      </w:r>
      <w:r>
        <w:t>Economy, Trade and Industry</w:t>
      </w:r>
      <w:r w:rsidRPr="00606953">
        <w:t>, which took over the responsibilities of the M</w:t>
      </w:r>
      <w:r>
        <w:t>ITI</w:t>
      </w:r>
      <w:r w:rsidRPr="00606953">
        <w:t xml:space="preserve"> in 2001</w:t>
      </w:r>
      <w:r>
        <w:t>.</w:t>
      </w:r>
    </w:p>
  </w:footnote>
  <w:footnote w:id="63">
    <w:p w14:paraId="0A2EC42C" w14:textId="77777777" w:rsidR="00AC34E6" w:rsidRDefault="00AC34E6" w:rsidP="005B18BE">
      <w:pPr>
        <w:pStyle w:val="footnote"/>
        <w:rPr>
          <w:lang w:eastAsia="ja-JP"/>
        </w:rPr>
      </w:pPr>
      <w:r w:rsidRPr="005B18BE">
        <w:footnoteRef/>
      </w:r>
      <w:r w:rsidRPr="00C01C6B">
        <w:t xml:space="preserve"> </w:t>
      </w:r>
      <w:r w:rsidRPr="00C01C6B">
        <w:rPr>
          <w:lang w:eastAsia="ja-JP"/>
        </w:rPr>
        <w:t>The SII is a bilateral talk between the Governments of Japan and the United State</w:t>
      </w:r>
      <w:r>
        <w:rPr>
          <w:lang w:eastAsia="ja-JP"/>
        </w:rPr>
        <w:t>s</w:t>
      </w:r>
      <w:r w:rsidRPr="00C01C6B">
        <w:rPr>
          <w:lang w:eastAsia="ja-JP"/>
        </w:rPr>
        <w:t xml:space="preserve"> from 1989 to 199</w:t>
      </w:r>
      <w:r>
        <w:rPr>
          <w:rFonts w:hint="eastAsia"/>
          <w:lang w:eastAsia="ja-JP"/>
        </w:rPr>
        <w:t xml:space="preserve">0 which was launched </w:t>
      </w:r>
      <w:r w:rsidRPr="002738D4">
        <w:rPr>
          <w:lang w:eastAsia="ja-JP"/>
        </w:rPr>
        <w:t>as a joint</w:t>
      </w:r>
      <w:r>
        <w:rPr>
          <w:rFonts w:hint="eastAsia"/>
          <w:lang w:eastAsia="ja-JP"/>
        </w:rPr>
        <w:t xml:space="preserve"> </w:t>
      </w:r>
      <w:r w:rsidRPr="002738D4">
        <w:rPr>
          <w:lang w:eastAsia="ja-JP"/>
        </w:rPr>
        <w:t xml:space="preserve">initiative by President </w:t>
      </w:r>
      <w:r>
        <w:rPr>
          <w:rFonts w:hint="eastAsia"/>
          <w:lang w:eastAsia="ja-JP"/>
        </w:rPr>
        <w:t xml:space="preserve">George H. W. </w:t>
      </w:r>
      <w:r w:rsidRPr="002738D4">
        <w:rPr>
          <w:lang w:eastAsia="ja-JP"/>
        </w:rPr>
        <w:t>Bush and Prime Minister Uno in June</w:t>
      </w:r>
      <w:r>
        <w:rPr>
          <w:rFonts w:hint="eastAsia"/>
          <w:lang w:eastAsia="ja-JP"/>
        </w:rPr>
        <w:t xml:space="preserve"> </w:t>
      </w:r>
      <w:r w:rsidRPr="002738D4">
        <w:rPr>
          <w:lang w:eastAsia="ja-JP"/>
        </w:rPr>
        <w:t>1989</w:t>
      </w:r>
      <w:r>
        <w:rPr>
          <w:rFonts w:hint="eastAsia"/>
          <w:lang w:eastAsia="ja-JP"/>
        </w:rPr>
        <w:t xml:space="preserve"> </w:t>
      </w:r>
      <w:r w:rsidRPr="002738D4">
        <w:rPr>
          <w:lang w:eastAsia="ja-JP"/>
        </w:rPr>
        <w:t>and</w:t>
      </w:r>
      <w:r>
        <w:rPr>
          <w:rFonts w:hint="eastAsia"/>
          <w:lang w:eastAsia="ja-JP"/>
        </w:rPr>
        <w:t xml:space="preserve"> whose</w:t>
      </w:r>
      <w:r w:rsidRPr="002738D4">
        <w:rPr>
          <w:lang w:eastAsia="ja-JP"/>
        </w:rPr>
        <w:t xml:space="preserve"> final agreement was signed in June</w:t>
      </w:r>
      <w:r>
        <w:rPr>
          <w:rFonts w:hint="eastAsia"/>
          <w:lang w:eastAsia="ja-JP"/>
        </w:rPr>
        <w:t xml:space="preserve"> 1990</w:t>
      </w:r>
      <w:r w:rsidRPr="002738D4">
        <w:rPr>
          <w:lang w:eastAsia="ja-JP"/>
        </w:rPr>
        <w:t>, following a year of concentrated formal negotiations</w:t>
      </w:r>
      <w:r>
        <w:rPr>
          <w:rFonts w:hint="eastAsia"/>
          <w:lang w:eastAsia="ja-JP"/>
        </w:rPr>
        <w:t xml:space="preserve"> </w:t>
      </w:r>
      <w:r w:rsidRPr="002738D4">
        <w:rPr>
          <w:lang w:eastAsia="ja-JP"/>
        </w:rPr>
        <w:t>and informal meetings</w:t>
      </w:r>
      <w:r w:rsidRPr="002738D4">
        <w:rPr>
          <w:rFonts w:hint="eastAsia"/>
          <w:lang w:eastAsia="ja-JP"/>
        </w:rPr>
        <w:t xml:space="preserve"> </w:t>
      </w:r>
      <w:r>
        <w:rPr>
          <w:rFonts w:hint="eastAsia"/>
          <w:lang w:eastAsia="ja-JP"/>
        </w:rPr>
        <w:t>(Matsushita 1991 p.436, Mastanduno 1992 p.235)</w:t>
      </w:r>
      <w:r w:rsidRPr="00C01C6B">
        <w:rPr>
          <w:lang w:eastAsia="ja-JP"/>
        </w:rPr>
        <w:t>.  Its major focus was a trade imbalance between Japan and the US result</w:t>
      </w:r>
      <w:r>
        <w:rPr>
          <w:lang w:eastAsia="ja-JP"/>
        </w:rPr>
        <w:t>ing</w:t>
      </w:r>
      <w:r w:rsidRPr="00C01C6B">
        <w:rPr>
          <w:lang w:eastAsia="ja-JP"/>
        </w:rPr>
        <w:t xml:space="preserve"> from the non tariff barrier, mainly of the Japanese side</w:t>
      </w:r>
      <w:r>
        <w:rPr>
          <w:rFonts w:hint="eastAsia"/>
          <w:lang w:eastAsia="ja-JP"/>
        </w:rPr>
        <w:t xml:space="preserve"> (Matsushita 1991 p.436)</w:t>
      </w:r>
      <w:r w:rsidRPr="00C01C6B">
        <w:rPr>
          <w:lang w:eastAsia="ja-JP"/>
        </w:rPr>
        <w:t>.</w:t>
      </w:r>
      <w:r>
        <w:rPr>
          <w:rFonts w:hint="eastAsia"/>
          <w:lang w:eastAsia="ja-JP"/>
        </w:rPr>
        <w:t xml:space="preserve"> Its follow up talks continue</w:t>
      </w:r>
      <w:r>
        <w:rPr>
          <w:lang w:eastAsia="ja-JP"/>
        </w:rPr>
        <w:t>d</w:t>
      </w:r>
      <w:r>
        <w:rPr>
          <w:rFonts w:hint="eastAsia"/>
          <w:lang w:eastAsia="ja-JP"/>
        </w:rPr>
        <w:t xml:space="preserve"> throughout 1991 (Morita 1991 p.778)</w:t>
      </w:r>
      <w:r>
        <w:rPr>
          <w:lang w:eastAsia="ja-JP"/>
        </w:rPr>
        <w:t>.</w:t>
      </w:r>
    </w:p>
  </w:footnote>
  <w:footnote w:id="64">
    <w:p w14:paraId="3F288CCC" w14:textId="77777777" w:rsidR="00AC34E6" w:rsidRDefault="00AC34E6" w:rsidP="005B18BE">
      <w:pPr>
        <w:pStyle w:val="footnote"/>
        <w:rPr>
          <w:lang w:eastAsia="ja-JP"/>
        </w:rPr>
      </w:pPr>
      <w:r w:rsidRPr="005B18BE">
        <w:footnoteRef/>
      </w:r>
      <w:r w:rsidRPr="00A52E55">
        <w:t xml:space="preserve"> </w:t>
      </w:r>
      <w:r w:rsidRPr="00A52E55">
        <w:rPr>
          <w:lang w:eastAsia="ja-JP"/>
        </w:rPr>
        <w:t xml:space="preserve">Yamamura (1967 p.9) explains that the first version of Japan’s AMA </w:t>
      </w:r>
      <w:r>
        <w:rPr>
          <w:rFonts w:hint="eastAsia"/>
          <w:lang w:eastAsia="ja-JP"/>
        </w:rPr>
        <w:t>wa</w:t>
      </w:r>
      <w:r w:rsidRPr="00A52E55">
        <w:rPr>
          <w:lang w:eastAsia="ja-JP"/>
        </w:rPr>
        <w:t>s based on the draft presented by the Anti-Trust Division of the US Justice Department.</w:t>
      </w:r>
    </w:p>
  </w:footnote>
  <w:footnote w:id="65">
    <w:p w14:paraId="11AE4C86" w14:textId="77777777" w:rsidR="00AC34E6" w:rsidRDefault="00AC34E6" w:rsidP="005B18BE">
      <w:pPr>
        <w:pStyle w:val="footnote"/>
        <w:rPr>
          <w:lang w:eastAsia="ja-JP"/>
        </w:rPr>
      </w:pPr>
      <w:r w:rsidRPr="005B18BE">
        <w:footnoteRef/>
      </w:r>
      <w:r w:rsidRPr="00A52E55">
        <w:t xml:space="preserve"> </w:t>
      </w:r>
      <w:r w:rsidRPr="00A52E55">
        <w:rPr>
          <w:lang w:eastAsia="ja-JP"/>
        </w:rPr>
        <w:t>Eleanor Hadley was a member of the SCAP cartel division in Tokyo (Schaede 2000 p.72).</w:t>
      </w:r>
    </w:p>
  </w:footnote>
  <w:footnote w:id="66">
    <w:p w14:paraId="66BA5F0F" w14:textId="77777777" w:rsidR="00AC34E6" w:rsidRDefault="00AC34E6" w:rsidP="005B18BE">
      <w:pPr>
        <w:pStyle w:val="footnote"/>
        <w:rPr>
          <w:rFonts w:asciiTheme="majorBidi" w:hAnsiTheme="majorBidi" w:cstheme="majorBidi"/>
        </w:rPr>
      </w:pPr>
      <w:r w:rsidRPr="005B18BE">
        <w:footnoteRef/>
      </w:r>
      <w:r w:rsidRPr="00074585">
        <w:rPr>
          <w:rFonts w:asciiTheme="majorBidi" w:hAnsiTheme="majorBidi" w:cstheme="majorBidi"/>
        </w:rPr>
        <w:t xml:space="preserve"> Yamamura (1967 pp.196-216) has the full text of the AMA as enacted in 1947 and that as amended in 1953.</w:t>
      </w:r>
    </w:p>
  </w:footnote>
  <w:footnote w:id="67">
    <w:p w14:paraId="16DDAD00" w14:textId="77777777" w:rsidR="00AC34E6" w:rsidRDefault="00AC34E6" w:rsidP="005B18BE">
      <w:pPr>
        <w:pStyle w:val="footnote"/>
      </w:pPr>
      <w:r w:rsidRPr="005B18BE">
        <w:footnoteRef/>
      </w:r>
      <w:r w:rsidRPr="009828E4">
        <w:t xml:space="preserve"> The </w:t>
      </w:r>
      <w:r>
        <w:rPr>
          <w:rFonts w:hint="eastAsia"/>
          <w:lang w:eastAsia="ja-JP"/>
        </w:rPr>
        <w:t xml:space="preserve">JFTC proceeded against 66 cartels (66 cases in total) in 1973, and 44 cartels, 4 unfair trades, and 13 other cases (58 cases in total) in 1974. </w:t>
      </w:r>
      <w:r>
        <w:t xml:space="preserve">The JFTC formally recognised these cases as AMA breaches, and placed them on its administrative processes pursuant to the provisions of the AMA, the results of which </w:t>
      </w:r>
      <w:r w:rsidRPr="008B12C4">
        <w:t>includ</w:t>
      </w:r>
      <w:r>
        <w:t>e</w:t>
      </w:r>
      <w:r w:rsidRPr="008B12C4">
        <w:t xml:space="preserve"> issuing a recommendation (</w:t>
      </w:r>
      <w:r w:rsidRPr="008B12C4">
        <w:rPr>
          <w:i/>
          <w:iCs/>
        </w:rPr>
        <w:t>Kankoku</w:t>
      </w:r>
      <w:r w:rsidRPr="008B12C4">
        <w:t>).</w:t>
      </w:r>
    </w:p>
  </w:footnote>
  <w:footnote w:id="68">
    <w:p w14:paraId="514297B7" w14:textId="77777777" w:rsidR="00AC34E6" w:rsidRDefault="00AC34E6" w:rsidP="005B18BE">
      <w:pPr>
        <w:pStyle w:val="footnote"/>
      </w:pPr>
      <w:r w:rsidRPr="005B18BE">
        <w:footnoteRef/>
      </w:r>
      <w:r w:rsidRPr="008B12C4">
        <w:t xml:space="preserve"> Since the enactment of the AMA in 1947, there were only four precedent criminal cases before the oil cartel cases (Miwa </w:t>
      </w:r>
      <w:r>
        <w:rPr>
          <w:rFonts w:hint="eastAsia"/>
          <w:lang w:eastAsia="ja-JP"/>
        </w:rPr>
        <w:t xml:space="preserve">and Ramseyer </w:t>
      </w:r>
      <w:r w:rsidRPr="008B12C4">
        <w:t>2004)</w:t>
      </w:r>
      <w:r>
        <w:t>.</w:t>
      </w:r>
      <w:r w:rsidRPr="008B12C4">
        <w:t xml:space="preserve"> Three of them were in 1949 under the administration of SCAP, and one is </w:t>
      </w:r>
      <w:r>
        <w:t>an</w:t>
      </w:r>
      <w:r w:rsidRPr="008B12C4">
        <w:t xml:space="preserve"> unfair promotion </w:t>
      </w:r>
      <w:r>
        <w:t>by</w:t>
      </w:r>
      <w:r w:rsidRPr="008B12C4">
        <w:t xml:space="preserve"> an estate agency prosecuted in 1970 (Miwa </w:t>
      </w:r>
      <w:r>
        <w:rPr>
          <w:rFonts w:hint="eastAsia"/>
          <w:lang w:eastAsia="ja-JP"/>
        </w:rPr>
        <w:t xml:space="preserve">and Ramseyer </w:t>
      </w:r>
      <w:r w:rsidRPr="008B12C4">
        <w:t xml:space="preserve">2004). </w:t>
      </w:r>
    </w:p>
  </w:footnote>
  <w:footnote w:id="69">
    <w:p w14:paraId="02C32299" w14:textId="77777777" w:rsidR="00AC34E6" w:rsidRDefault="00AC34E6" w:rsidP="005B18BE">
      <w:pPr>
        <w:pStyle w:val="footnote"/>
      </w:pPr>
      <w:r w:rsidRPr="005B18BE">
        <w:footnoteRef/>
      </w:r>
      <w:r w:rsidRPr="00CB53FA">
        <w:t xml:space="preserve"> </w:t>
      </w:r>
      <w:r>
        <w:t xml:space="preserve">The </w:t>
      </w:r>
      <w:r w:rsidRPr="00CB53FA">
        <w:t>Petroleum Federation (</w:t>
      </w:r>
      <w:r w:rsidRPr="00CB53FA">
        <w:rPr>
          <w:i/>
          <w:iCs/>
        </w:rPr>
        <w:t>Sekiyu</w:t>
      </w:r>
      <w:r>
        <w:rPr>
          <w:i/>
          <w:iCs/>
        </w:rPr>
        <w:t xml:space="preserve"> R</w:t>
      </w:r>
      <w:r w:rsidRPr="00CB53FA">
        <w:rPr>
          <w:i/>
          <w:iCs/>
        </w:rPr>
        <w:t>enmei</w:t>
      </w:r>
      <w:r w:rsidRPr="00CB53FA">
        <w:t>) is the leading trade association of Japan’s petroleum industry.</w:t>
      </w:r>
    </w:p>
  </w:footnote>
  <w:footnote w:id="70">
    <w:p w14:paraId="1312F644" w14:textId="77777777" w:rsidR="00AC34E6" w:rsidRDefault="00AC34E6" w:rsidP="005B18BE">
      <w:pPr>
        <w:pStyle w:val="footnote"/>
      </w:pPr>
      <w:r w:rsidRPr="005B18BE">
        <w:footnoteRef/>
      </w:r>
      <w:r>
        <w:t xml:space="preserve"> According to Yoshikawa (1983 p.499): ‘T</w:t>
      </w:r>
      <w:r w:rsidRPr="00945DF8">
        <w:t>he High Court, noting the existence of potentially</w:t>
      </w:r>
      <w:r>
        <w:t xml:space="preserve"> </w:t>
      </w:r>
      <w:r w:rsidRPr="00945DF8">
        <w:t>conflicting policies between the Antimonopoly Law and the Oil Business</w:t>
      </w:r>
      <w:r>
        <w:t xml:space="preserve"> </w:t>
      </w:r>
      <w:r w:rsidRPr="00945DF8">
        <w:t>Law, held that, as a general rule, while administrative guidance directed</w:t>
      </w:r>
      <w:r>
        <w:t xml:space="preserve"> </w:t>
      </w:r>
      <w:r w:rsidRPr="00945DF8">
        <w:t>independently to each company was legal, guidance which invited concerted</w:t>
      </w:r>
      <w:r>
        <w:t xml:space="preserve"> </w:t>
      </w:r>
      <w:r w:rsidRPr="00945DF8">
        <w:t>actions among the companies could not be</w:t>
      </w:r>
      <w:r>
        <w:t xml:space="preserve"> </w:t>
      </w:r>
      <w:r w:rsidRPr="00945DF8">
        <w:t>considered permissible.</w:t>
      </w:r>
      <w:r>
        <w:t xml:space="preserve"> </w:t>
      </w:r>
      <w:r w:rsidRPr="00945DF8">
        <w:t>Based on this principle, the Court concluded that both the acts of</w:t>
      </w:r>
      <w:r>
        <w:t xml:space="preserve"> </w:t>
      </w:r>
      <w:r w:rsidRPr="00945DF8">
        <w:t>the Association and the twelve companies were illegal,</w:t>
      </w:r>
      <w:r>
        <w:t xml:space="preserve"> </w:t>
      </w:r>
      <w:r w:rsidRPr="00945DF8">
        <w:t>but, in the case</w:t>
      </w:r>
      <w:r>
        <w:t xml:space="preserve"> </w:t>
      </w:r>
      <w:r w:rsidRPr="00945DF8">
        <w:t>involving the Association, circumstances existed which caused the defendants</w:t>
      </w:r>
      <w:r>
        <w:t xml:space="preserve"> </w:t>
      </w:r>
      <w:r w:rsidRPr="00945DF8">
        <w:t>to legitimately believe that its conduct was not illegal. Thus, under</w:t>
      </w:r>
      <w:r>
        <w:t xml:space="preserve"> </w:t>
      </w:r>
      <w:r w:rsidRPr="00945DF8">
        <w:t>such circumstances, the Association could not be held criminally</w:t>
      </w:r>
      <w:r>
        <w:t xml:space="preserve"> </w:t>
      </w:r>
      <w:r w:rsidRPr="00945DF8">
        <w:t>responsible.</w:t>
      </w:r>
      <w:r>
        <w:t>’ Sanekata (1986 p.382) describes this verdict that ‘T</w:t>
      </w:r>
      <w:r w:rsidRPr="00B04355">
        <w:t>he JFTC won on theory but lost on</w:t>
      </w:r>
      <w:r>
        <w:t xml:space="preserve"> </w:t>
      </w:r>
      <w:r w:rsidRPr="00B04355">
        <w:t>enforcement</w:t>
      </w:r>
      <w:r>
        <w:t>’.</w:t>
      </w:r>
    </w:p>
  </w:footnote>
  <w:footnote w:id="71">
    <w:p w14:paraId="597E4866" w14:textId="77777777" w:rsidR="00AC34E6" w:rsidRDefault="00AC34E6" w:rsidP="005B18BE">
      <w:pPr>
        <w:pStyle w:val="footnote"/>
      </w:pPr>
      <w:r w:rsidRPr="005B18BE">
        <w:footnoteRef/>
      </w:r>
      <w:r w:rsidRPr="006F3F02">
        <w:t xml:space="preserve"> The definitions of the ‘monopolistic conditions’ are the following three in summary, according to paragraph 7 of Article 2:</w:t>
      </w:r>
    </w:p>
    <w:p w14:paraId="5CAC5CA6" w14:textId="77777777" w:rsidR="00AC34E6" w:rsidRDefault="00AC34E6" w:rsidP="005B18BE">
      <w:pPr>
        <w:pStyle w:val="footnote"/>
      </w:pPr>
      <w:r w:rsidRPr="006F3F02">
        <w:t>(1) in the industrial sector, when the total value of a particular commodity or other commodities having a similar function or a particular service supplied in Japan during the last one year period exceeds 50 billion yen, when the market share of an entrepreneur exceeds 50</w:t>
      </w:r>
      <w:r>
        <w:t xml:space="preserve"> percent</w:t>
      </w:r>
      <w:r w:rsidRPr="006F3F02">
        <w:t xml:space="preserve"> or when the total of the market shares of two entrepreneurs exceeds 75</w:t>
      </w:r>
      <w:r>
        <w:t xml:space="preserve"> percent</w:t>
      </w:r>
      <w:r w:rsidRPr="006F3F02">
        <w:t>;</w:t>
      </w:r>
    </w:p>
    <w:p w14:paraId="5B6B4636" w14:textId="77777777" w:rsidR="00AC34E6" w:rsidRDefault="00AC34E6" w:rsidP="005B18BE">
      <w:pPr>
        <w:pStyle w:val="footnote"/>
      </w:pPr>
      <w:r w:rsidRPr="006F3F02">
        <w:t>(2) the circumstances exist under which other entrepreneurs have an extreme difficulty to enter the market; and</w:t>
      </w:r>
    </w:p>
    <w:p w14:paraId="3D7173C3" w14:textId="77777777" w:rsidR="00AC34E6" w:rsidRDefault="00AC34E6" w:rsidP="005B18BE">
      <w:pPr>
        <w:pStyle w:val="footnote"/>
      </w:pPr>
      <w:r w:rsidRPr="006F3F02">
        <w:t>(3) when, during a considerable period of time, there has been remarkable increase in prices, or little reduction thereof, in light of the fluctuation of supply and demand and the costs for supplying the particular commodity or service, and the entrepreneurs have acquired profits greatly exceeding</w:t>
      </w:r>
      <w:r>
        <w:t xml:space="preserve"> </w:t>
      </w:r>
      <w:r w:rsidRPr="006F3F02">
        <w:t xml:space="preserve">‘average’ rates of profit or expended sales and general administration expenses </w:t>
      </w:r>
      <w:r>
        <w:t>much</w:t>
      </w:r>
      <w:r w:rsidRPr="006F3F02">
        <w:t xml:space="preserve"> greater than ‘average’ sales and general administration expenses.</w:t>
      </w:r>
    </w:p>
  </w:footnote>
  <w:footnote w:id="72">
    <w:p w14:paraId="4472DA21" w14:textId="6FF271A1" w:rsidR="00AC34E6" w:rsidRPr="00EB4539" w:rsidRDefault="00AC34E6" w:rsidP="00EB4539">
      <w:pPr>
        <w:pStyle w:val="FootnoteText"/>
        <w:spacing w:line="240" w:lineRule="exact"/>
        <w:rPr>
          <w:sz w:val="22"/>
          <w:szCs w:val="22"/>
          <w:lang w:eastAsia="ja-JP"/>
        </w:rPr>
      </w:pPr>
      <w:r w:rsidRPr="005B18BE">
        <w:rPr>
          <w:rStyle w:val="FootnoteReference"/>
          <w:sz w:val="22"/>
          <w:szCs w:val="22"/>
          <w:vertAlign w:val="baseline"/>
        </w:rPr>
        <w:footnoteRef/>
      </w:r>
      <w:r w:rsidRPr="005B18BE">
        <w:rPr>
          <w:sz w:val="22"/>
          <w:szCs w:val="22"/>
          <w:lang w:eastAsia="ja-JP"/>
        </w:rPr>
        <w:t xml:space="preserve"> </w:t>
      </w:r>
      <w:r>
        <w:rPr>
          <w:sz w:val="22"/>
          <w:szCs w:val="22"/>
          <w:lang w:eastAsia="ja-JP"/>
        </w:rPr>
        <w:t>Trade Compliance Center (2012)</w:t>
      </w:r>
      <w:r w:rsidRPr="005B18BE">
        <w:rPr>
          <w:sz w:val="22"/>
          <w:szCs w:val="22"/>
          <w:lang w:eastAsia="ja-JP"/>
        </w:rPr>
        <w:t xml:space="preserve"> </w:t>
      </w:r>
    </w:p>
  </w:footnote>
  <w:footnote w:id="73">
    <w:p w14:paraId="0526F91C" w14:textId="77777777" w:rsidR="00AC34E6" w:rsidRDefault="00AC34E6" w:rsidP="005B18BE">
      <w:pPr>
        <w:pStyle w:val="footnote"/>
        <w:rPr>
          <w:lang w:eastAsia="ja-JP"/>
        </w:rPr>
      </w:pPr>
      <w:r w:rsidRPr="005B18BE">
        <w:rPr>
          <w:rStyle w:val="FootnoteReference"/>
          <w:vertAlign w:val="baseline"/>
        </w:rPr>
        <w:footnoteRef/>
      </w:r>
      <w:r w:rsidRPr="00EB4539">
        <w:t xml:space="preserve"> </w:t>
      </w:r>
      <w:r w:rsidRPr="0065043B">
        <w:rPr>
          <w:lang w:eastAsia="ja-JP"/>
        </w:rPr>
        <w:t>‘Bubble economy’ (</w:t>
      </w:r>
      <w:r>
        <w:rPr>
          <w:rFonts w:hint="eastAsia"/>
          <w:lang w:eastAsia="ja-JP"/>
        </w:rPr>
        <w:t>t</w:t>
      </w:r>
      <w:r w:rsidRPr="0065043B">
        <w:rPr>
          <w:lang w:eastAsia="ja-JP"/>
        </w:rPr>
        <w:t>he Japanese asset price bubble) was an economic bubble in Japan from 1986 to 1991, in which real estate and stock prices were greatly inflated</w:t>
      </w:r>
      <w:r>
        <w:rPr>
          <w:rFonts w:hint="eastAsia"/>
          <w:lang w:eastAsia="ja-JP"/>
        </w:rPr>
        <w:t>.</w:t>
      </w:r>
    </w:p>
  </w:footnote>
  <w:footnote w:id="74">
    <w:p w14:paraId="432F67D6" w14:textId="77777777" w:rsidR="00AC34E6" w:rsidRDefault="00AC34E6" w:rsidP="005B18BE">
      <w:pPr>
        <w:pStyle w:val="footnote"/>
        <w:rPr>
          <w:lang w:eastAsia="ja-JP"/>
        </w:rPr>
      </w:pPr>
      <w:r w:rsidRPr="005B18BE">
        <w:footnoteRef/>
      </w:r>
      <w:r w:rsidRPr="00FF7374">
        <w:t xml:space="preserve"> </w:t>
      </w:r>
      <w:r w:rsidRPr="00FF7374">
        <w:rPr>
          <w:lang w:eastAsia="ja-JP"/>
        </w:rPr>
        <w:t xml:space="preserve">From January 2006 Japan introduced a leniency programme, under which the JFTC can treat cartel participants leniently in </w:t>
      </w:r>
      <w:r>
        <w:rPr>
          <w:rFonts w:hint="eastAsia"/>
          <w:lang w:eastAsia="ja-JP"/>
        </w:rPr>
        <w:t>imposing</w:t>
      </w:r>
      <w:r w:rsidRPr="00FF7374">
        <w:rPr>
          <w:lang w:eastAsia="ja-JP"/>
        </w:rPr>
        <w:t xml:space="preserve"> surcharge</w:t>
      </w:r>
      <w:r>
        <w:rPr>
          <w:rFonts w:hint="eastAsia"/>
          <w:lang w:eastAsia="ja-JP"/>
        </w:rPr>
        <w:t>s</w:t>
      </w:r>
      <w:r w:rsidRPr="00FF7374">
        <w:rPr>
          <w:lang w:eastAsia="ja-JP"/>
        </w:rPr>
        <w:t xml:space="preserve"> despite the clear fact that the informant also obtained cartel profits (JFTC 2012</w:t>
      </w:r>
      <w:r>
        <w:rPr>
          <w:lang w:eastAsia="ja-JP"/>
        </w:rPr>
        <w:t>a</w:t>
      </w:r>
      <w:r w:rsidRPr="00FF7374">
        <w:rPr>
          <w:lang w:eastAsia="ja-JP"/>
        </w:rPr>
        <w:t>, Uesugi 2005 p.362). The JFTC affords full immunity for the first informant, a 50</w:t>
      </w:r>
      <w:r>
        <w:rPr>
          <w:lang w:eastAsia="ja-JP"/>
        </w:rPr>
        <w:t xml:space="preserve"> percent</w:t>
      </w:r>
      <w:r w:rsidRPr="00FF7374">
        <w:rPr>
          <w:lang w:eastAsia="ja-JP"/>
        </w:rPr>
        <w:t xml:space="preserve"> reduction in penalties to the second informant, and a 30</w:t>
      </w:r>
      <w:r>
        <w:rPr>
          <w:lang w:eastAsia="ja-JP"/>
        </w:rPr>
        <w:t xml:space="preserve"> percent</w:t>
      </w:r>
      <w:r w:rsidRPr="00FF7374">
        <w:rPr>
          <w:lang w:eastAsia="ja-JP"/>
        </w:rPr>
        <w:t xml:space="preserve"> reduction for the third informant, so long as they provide necessary information before the start of the JFTC</w:t>
      </w:r>
      <w:r>
        <w:rPr>
          <w:rFonts w:hint="eastAsia"/>
          <w:lang w:eastAsia="ja-JP"/>
        </w:rPr>
        <w:t xml:space="preserve"> </w:t>
      </w:r>
      <w:r w:rsidRPr="00FF7374">
        <w:rPr>
          <w:lang w:eastAsia="ja-JP"/>
        </w:rPr>
        <w:t>investigation (JFTC 2012</w:t>
      </w:r>
      <w:r>
        <w:rPr>
          <w:lang w:eastAsia="ja-JP"/>
        </w:rPr>
        <w:t>a</w:t>
      </w:r>
      <w:r w:rsidRPr="00FF7374">
        <w:rPr>
          <w:lang w:eastAsia="ja-JP"/>
        </w:rPr>
        <w:t>, Uesugi 2005 p.362).</w:t>
      </w:r>
      <w:r>
        <w:rPr>
          <w:rFonts w:hint="eastAsia"/>
          <w:lang w:eastAsia="ja-JP"/>
        </w:rPr>
        <w:t xml:space="preserve"> A certain number of informants can also enjoy the benefit of this programme after the start of the JFTC investigation (JFTC 2012</w:t>
      </w:r>
      <w:r>
        <w:rPr>
          <w:lang w:eastAsia="ja-JP"/>
        </w:rPr>
        <w:t>a</w:t>
      </w:r>
      <w:r>
        <w:rPr>
          <w:rFonts w:hint="eastAsia"/>
          <w:lang w:eastAsia="ja-JP"/>
        </w:rPr>
        <w:t>).</w:t>
      </w:r>
    </w:p>
  </w:footnote>
  <w:footnote w:id="75">
    <w:p w14:paraId="0CAF4D38" w14:textId="77777777" w:rsidR="00AC34E6" w:rsidRDefault="00AC34E6" w:rsidP="005B18BE">
      <w:pPr>
        <w:pStyle w:val="footnote"/>
        <w:rPr>
          <w:szCs w:val="16"/>
        </w:rPr>
      </w:pPr>
      <w:r w:rsidRPr="005B18BE">
        <w:footnoteRef/>
      </w:r>
      <w:r>
        <w:rPr>
          <w:szCs w:val="16"/>
        </w:rPr>
        <w:t xml:space="preserve"> </w:t>
      </w:r>
      <w:r w:rsidRPr="00441F85">
        <w:rPr>
          <w:szCs w:val="16"/>
        </w:rPr>
        <w:t xml:space="preserve">Kazuhiko Takeshima </w:t>
      </w:r>
      <w:r>
        <w:rPr>
          <w:szCs w:val="16"/>
        </w:rPr>
        <w:t>wa</w:t>
      </w:r>
      <w:r w:rsidRPr="00441F85">
        <w:rPr>
          <w:szCs w:val="16"/>
        </w:rPr>
        <w:t xml:space="preserve">s </w:t>
      </w:r>
      <w:r>
        <w:rPr>
          <w:rFonts w:hint="eastAsia"/>
          <w:szCs w:val="16"/>
          <w:lang w:eastAsia="ja-JP"/>
        </w:rPr>
        <w:t>t</w:t>
      </w:r>
      <w:r>
        <w:rPr>
          <w:szCs w:val="16"/>
        </w:rPr>
        <w:t>he JFTC’s</w:t>
      </w:r>
      <w:r w:rsidRPr="00441F85">
        <w:rPr>
          <w:szCs w:val="16"/>
        </w:rPr>
        <w:t xml:space="preserve"> Chairman </w:t>
      </w:r>
      <w:r>
        <w:rPr>
          <w:rFonts w:eastAsia="MS Mincho" w:hint="eastAsia"/>
          <w:szCs w:val="16"/>
          <w:lang w:eastAsia="ja-JP"/>
        </w:rPr>
        <w:t>between</w:t>
      </w:r>
      <w:r w:rsidRPr="00441F85">
        <w:rPr>
          <w:szCs w:val="16"/>
        </w:rPr>
        <w:t xml:space="preserve"> July 2002</w:t>
      </w:r>
      <w:r>
        <w:rPr>
          <w:rFonts w:eastAsia="MS Mincho" w:hint="eastAsia"/>
          <w:szCs w:val="16"/>
          <w:lang w:eastAsia="ja-JP"/>
        </w:rPr>
        <w:t xml:space="preserve"> and S</w:t>
      </w:r>
      <w:r>
        <w:rPr>
          <w:rFonts w:eastAsia="MS Mincho"/>
          <w:szCs w:val="16"/>
          <w:lang w:eastAsia="ja-JP"/>
        </w:rPr>
        <w:t>e</w:t>
      </w:r>
      <w:r>
        <w:rPr>
          <w:rFonts w:eastAsia="MS Mincho" w:hint="eastAsia"/>
          <w:szCs w:val="16"/>
          <w:lang w:eastAsia="ja-JP"/>
        </w:rPr>
        <w:t>ptember 2012</w:t>
      </w:r>
      <w:r w:rsidRPr="00441F85">
        <w:rPr>
          <w:szCs w:val="16"/>
        </w:rPr>
        <w:t xml:space="preserve">. He spent most of his career in the Ministry of Finance after joining the Ministry in 1965. </w:t>
      </w:r>
    </w:p>
  </w:footnote>
  <w:footnote w:id="76">
    <w:p w14:paraId="3C3213F8" w14:textId="77777777" w:rsidR="00AC34E6" w:rsidRDefault="00AC34E6" w:rsidP="005B18BE">
      <w:pPr>
        <w:pStyle w:val="footnote"/>
      </w:pPr>
      <w:r w:rsidRPr="005B18BE">
        <w:footnoteRef/>
      </w:r>
      <w:r w:rsidRPr="00E44E67">
        <w:t xml:space="preserve"> Article 65 of the Constitution of Japan stipulates that: ‘</w:t>
      </w:r>
      <w:r>
        <w:t>E</w:t>
      </w:r>
      <w:r w:rsidRPr="00E44E67">
        <w:t>xecutive power shall be vested in the Cabinet’.</w:t>
      </w:r>
    </w:p>
  </w:footnote>
  <w:footnote w:id="77">
    <w:p w14:paraId="6834D487" w14:textId="77777777" w:rsidR="00AC34E6" w:rsidRDefault="00AC34E6" w:rsidP="005B18BE">
      <w:pPr>
        <w:pStyle w:val="footnote"/>
        <w:rPr>
          <w:lang w:eastAsia="ja-JP"/>
        </w:rPr>
      </w:pPr>
      <w:r w:rsidRPr="005B18BE">
        <w:footnoteRef/>
      </w:r>
      <w:r w:rsidRPr="00590713">
        <w:t xml:space="preserve"> </w:t>
      </w:r>
      <w:r w:rsidRPr="00590713">
        <w:rPr>
          <w:lang w:eastAsia="ja-JP"/>
        </w:rPr>
        <w:t xml:space="preserve">Article 27 (2) of the AMA stipulates: </w:t>
      </w:r>
      <w:r>
        <w:rPr>
          <w:lang w:eastAsia="ja-JP"/>
        </w:rPr>
        <w:t>‘T</w:t>
      </w:r>
      <w:r w:rsidRPr="00590713">
        <w:rPr>
          <w:lang w:eastAsia="ja-JP"/>
        </w:rPr>
        <w:t>he Fair Trade Commission shall be administratively attached to the office of the Prime Minister</w:t>
      </w:r>
      <w:r>
        <w:rPr>
          <w:lang w:eastAsia="ja-JP"/>
        </w:rPr>
        <w:t>’</w:t>
      </w:r>
      <w:r w:rsidRPr="00590713">
        <w:rPr>
          <w:lang w:eastAsia="ja-JP"/>
        </w:rPr>
        <w:t>.</w:t>
      </w:r>
    </w:p>
  </w:footnote>
  <w:footnote w:id="78">
    <w:p w14:paraId="4DCA2B2A" w14:textId="77777777" w:rsidR="00AC34E6" w:rsidRDefault="00AC34E6" w:rsidP="005B18BE">
      <w:pPr>
        <w:pStyle w:val="footnote"/>
        <w:rPr>
          <w:lang w:eastAsia="ja-JP"/>
        </w:rPr>
      </w:pPr>
      <w:r w:rsidRPr="005B18BE">
        <w:footnoteRef/>
      </w:r>
      <w:r w:rsidRPr="00590713">
        <w:t xml:space="preserve"> </w:t>
      </w:r>
      <w:r w:rsidRPr="00590713">
        <w:rPr>
          <w:lang w:eastAsia="ja-JP"/>
        </w:rPr>
        <w:t xml:space="preserve">Article 8 empowers the Chief Cabinet Secretary to organise </w:t>
      </w:r>
      <w:r>
        <w:rPr>
          <w:lang w:eastAsia="ja-JP"/>
        </w:rPr>
        <w:t xml:space="preserve">the </w:t>
      </w:r>
      <w:r w:rsidRPr="00590713">
        <w:rPr>
          <w:lang w:eastAsia="ja-JP"/>
        </w:rPr>
        <w:t>Cabinet Office</w:t>
      </w:r>
      <w:r>
        <w:rPr>
          <w:lang w:eastAsia="ja-JP"/>
        </w:rPr>
        <w:t>’</w:t>
      </w:r>
      <w:r>
        <w:rPr>
          <w:rFonts w:hint="eastAsia"/>
          <w:lang w:eastAsia="ja-JP"/>
        </w:rPr>
        <w:t>s official duties</w:t>
      </w:r>
      <w:r w:rsidRPr="00590713">
        <w:rPr>
          <w:lang w:eastAsia="ja-JP"/>
        </w:rPr>
        <w:t xml:space="preserve"> in assistance with </w:t>
      </w:r>
      <w:r>
        <w:rPr>
          <w:rFonts w:hint="eastAsia"/>
          <w:lang w:eastAsia="ja-JP"/>
        </w:rPr>
        <w:t xml:space="preserve">the Prime Minister and </w:t>
      </w:r>
      <w:r w:rsidRPr="00590713">
        <w:rPr>
          <w:lang w:eastAsia="ja-JP"/>
        </w:rPr>
        <w:t xml:space="preserve">supervise </w:t>
      </w:r>
      <w:r>
        <w:rPr>
          <w:rFonts w:hint="eastAsia"/>
          <w:lang w:eastAsia="ja-JP"/>
        </w:rPr>
        <w:t xml:space="preserve">them </w:t>
      </w:r>
      <w:r w:rsidRPr="00590713">
        <w:rPr>
          <w:lang w:eastAsia="ja-JP"/>
        </w:rPr>
        <w:t>under the instruction of the Prime Minister, except for those assigned to other Ministers of State.</w:t>
      </w:r>
    </w:p>
  </w:footnote>
  <w:footnote w:id="79">
    <w:p w14:paraId="5FE6C837" w14:textId="23EEA85C" w:rsidR="00AC34E6" w:rsidRDefault="00AC34E6" w:rsidP="005B18BE">
      <w:pPr>
        <w:pStyle w:val="footnote"/>
        <w:rPr>
          <w:lang w:eastAsia="ja-JP"/>
        </w:rPr>
      </w:pPr>
      <w:r w:rsidRPr="005B18BE">
        <w:footnoteRef/>
      </w:r>
      <w:r w:rsidRPr="005B02F4">
        <w:t xml:space="preserve"> </w:t>
      </w:r>
      <w:r w:rsidRPr="005B02F4">
        <w:rPr>
          <w:lang w:eastAsia="ja-JP"/>
        </w:rPr>
        <w:t xml:space="preserve">For </w:t>
      </w:r>
      <w:r>
        <w:rPr>
          <w:i/>
          <w:lang w:eastAsia="ja-JP"/>
        </w:rPr>
        <w:t>Seimu Sanyaku</w:t>
      </w:r>
      <w:r w:rsidRPr="005B02F4">
        <w:rPr>
          <w:lang w:eastAsia="ja-JP"/>
        </w:rPr>
        <w:t xml:space="preserve">, see Chapter 5 footnote </w:t>
      </w:r>
      <w:r>
        <w:rPr>
          <w:rFonts w:eastAsia="MS Mincho"/>
          <w:lang w:eastAsia="ja-JP"/>
        </w:rPr>
        <w:t>52</w:t>
      </w:r>
      <w:r>
        <w:rPr>
          <w:rFonts w:hint="eastAsia"/>
          <w:lang w:eastAsia="ja-JP"/>
        </w:rPr>
        <w:t>.</w:t>
      </w:r>
    </w:p>
  </w:footnote>
  <w:footnote w:id="80">
    <w:p w14:paraId="339BDDA4" w14:textId="77777777" w:rsidR="00AC34E6" w:rsidRDefault="00AC34E6" w:rsidP="005B18BE">
      <w:pPr>
        <w:pStyle w:val="footnote"/>
        <w:rPr>
          <w:lang w:eastAsia="ja-JP"/>
        </w:rPr>
      </w:pPr>
      <w:r w:rsidRPr="005B18BE">
        <w:footnoteRef/>
      </w:r>
      <w:r w:rsidRPr="003A270E">
        <w:t xml:space="preserve"> </w:t>
      </w:r>
      <w:r w:rsidRPr="003A270E">
        <w:rPr>
          <w:lang w:eastAsia="ja-JP"/>
        </w:rPr>
        <w:t xml:space="preserve">Including the </w:t>
      </w:r>
      <w:r w:rsidRPr="003A270E">
        <w:t>LDP AMA Examination Committee</w:t>
      </w:r>
      <w:r>
        <w:rPr>
          <w:rFonts w:hint="eastAsia"/>
          <w:lang w:eastAsia="ja-JP"/>
        </w:rPr>
        <w:t>.</w:t>
      </w:r>
      <w:r w:rsidRPr="003A270E">
        <w:t xml:space="preserve"> </w:t>
      </w:r>
    </w:p>
  </w:footnote>
  <w:footnote w:id="81">
    <w:p w14:paraId="7D92B97C" w14:textId="77777777" w:rsidR="00AC34E6" w:rsidRDefault="00AC34E6" w:rsidP="005B18BE">
      <w:pPr>
        <w:pStyle w:val="footnote"/>
        <w:rPr>
          <w:lang w:eastAsia="ja-JP"/>
        </w:rPr>
      </w:pPr>
      <w:r w:rsidRPr="005B18BE">
        <w:footnoteRef/>
      </w:r>
      <w:r w:rsidRPr="00FD19E5">
        <w:t xml:space="preserve"> </w:t>
      </w:r>
      <w:r w:rsidRPr="00FD19E5">
        <w:rPr>
          <w:lang w:eastAsia="ja-JP"/>
        </w:rPr>
        <w:t>MPT: Ministry of Posts and Telecommunications, MIC: Ministry of Internal Affairs and Communications</w:t>
      </w:r>
    </w:p>
  </w:footnote>
  <w:footnote w:id="82">
    <w:p w14:paraId="00E2D33F" w14:textId="77777777" w:rsidR="00AC34E6" w:rsidRDefault="00AC34E6" w:rsidP="005B18BE">
      <w:pPr>
        <w:pStyle w:val="footnote"/>
        <w:rPr>
          <w:lang w:eastAsia="ja-JP"/>
        </w:rPr>
      </w:pPr>
      <w:r w:rsidRPr="005B18BE">
        <w:footnoteRef/>
      </w:r>
      <w:r w:rsidRPr="00163F47">
        <w:t xml:space="preserve"> </w:t>
      </w:r>
      <w:r w:rsidRPr="00163F47">
        <w:rPr>
          <w:lang w:eastAsia="ja-JP"/>
        </w:rPr>
        <w:t>NTT: Ni</w:t>
      </w:r>
      <w:r>
        <w:rPr>
          <w:lang w:eastAsia="ja-JP"/>
        </w:rPr>
        <w:t>ppon Telegraph and Telephone</w:t>
      </w:r>
    </w:p>
  </w:footnote>
  <w:footnote w:id="83">
    <w:p w14:paraId="18CEBB7B" w14:textId="77777777" w:rsidR="00AC34E6" w:rsidRDefault="00AC34E6" w:rsidP="005B18BE">
      <w:pPr>
        <w:pStyle w:val="footnote"/>
        <w:rPr>
          <w:lang w:eastAsia="ja-JP"/>
        </w:rPr>
      </w:pPr>
      <w:r w:rsidRPr="005B18BE">
        <w:footnoteRef/>
      </w:r>
      <w:r w:rsidRPr="0060761A">
        <w:t xml:space="preserve"> </w:t>
      </w:r>
      <w:r>
        <w:rPr>
          <w:rFonts w:hint="eastAsia"/>
          <w:i/>
          <w:lang w:eastAsia="ja-JP"/>
        </w:rPr>
        <w:t>Shoukou-</w:t>
      </w:r>
      <w:r w:rsidRPr="0060761A">
        <w:rPr>
          <w:rFonts w:hint="eastAsia"/>
          <w:i/>
          <w:lang w:eastAsia="ja-JP"/>
        </w:rPr>
        <w:t>Zoku</w:t>
      </w:r>
      <w:r>
        <w:rPr>
          <w:rFonts w:hint="eastAsia"/>
          <w:i/>
          <w:lang w:eastAsia="ja-JP"/>
        </w:rPr>
        <w:t xml:space="preserve"> </w:t>
      </w:r>
      <w:r w:rsidRPr="00B90A7C">
        <w:rPr>
          <w:rFonts w:hint="eastAsia"/>
          <w:lang w:eastAsia="ja-JP"/>
        </w:rPr>
        <w:t>(Commerce and Industry tribe):</w:t>
      </w:r>
      <w:r w:rsidRPr="0060761A">
        <w:rPr>
          <w:rFonts w:hint="eastAsia"/>
          <w:lang w:eastAsia="ja-JP"/>
        </w:rPr>
        <w:t xml:space="preserve"> </w:t>
      </w:r>
      <w:r>
        <w:rPr>
          <w:rFonts w:hint="eastAsia"/>
          <w:i/>
          <w:lang w:eastAsia="ja-JP"/>
        </w:rPr>
        <w:t>Shoukou Zoku</w:t>
      </w:r>
      <w:r w:rsidRPr="0060761A">
        <w:rPr>
          <w:lang w:eastAsia="ja-JP"/>
        </w:rPr>
        <w:t xml:space="preserve"> is a group of </w:t>
      </w:r>
      <w:r w:rsidRPr="0060761A">
        <w:rPr>
          <w:i/>
          <w:lang w:eastAsia="ja-JP"/>
        </w:rPr>
        <w:t>Zoku Gi’in</w:t>
      </w:r>
      <w:r w:rsidRPr="0060761A">
        <w:rPr>
          <w:lang w:eastAsia="ja-JP"/>
        </w:rPr>
        <w:t xml:space="preserve"> who specialised in </w:t>
      </w:r>
      <w:r>
        <w:rPr>
          <w:rFonts w:hint="eastAsia"/>
          <w:lang w:eastAsia="ja-JP"/>
        </w:rPr>
        <w:t xml:space="preserve">commerce and industry </w:t>
      </w:r>
      <w:r w:rsidRPr="0060761A">
        <w:rPr>
          <w:lang w:eastAsia="ja-JP"/>
        </w:rPr>
        <w:t>affairs in the LDP</w:t>
      </w:r>
    </w:p>
  </w:footnote>
  <w:footnote w:id="84">
    <w:p w14:paraId="4DFB1BE0" w14:textId="77777777" w:rsidR="00AC34E6" w:rsidRDefault="00AC34E6" w:rsidP="005B18BE">
      <w:pPr>
        <w:pStyle w:val="footnote"/>
      </w:pPr>
      <w:r w:rsidRPr="005B18BE">
        <w:footnoteRef/>
      </w:r>
      <w:r w:rsidRPr="00030C2B">
        <w:t xml:space="preserve"> Ministers with no reference were the members of the LDP</w:t>
      </w:r>
      <w:r>
        <w:t>.</w:t>
      </w:r>
    </w:p>
  </w:footnote>
  <w:footnote w:id="85">
    <w:p w14:paraId="35693C93" w14:textId="77777777" w:rsidR="00AC34E6" w:rsidRDefault="00AC34E6" w:rsidP="005B18BE">
      <w:pPr>
        <w:pStyle w:val="footnote"/>
      </w:pPr>
      <w:r w:rsidRPr="005B18BE">
        <w:footnoteRef/>
      </w:r>
      <w:r w:rsidRPr="00030C2B">
        <w:t xml:space="preserve"> </w:t>
      </w:r>
      <w:r>
        <w:t xml:space="preserve">A </w:t>
      </w:r>
      <w:r w:rsidRPr="00030C2B">
        <w:t>Japan Renewal Party member (originally from Komeito Party)</w:t>
      </w:r>
    </w:p>
  </w:footnote>
  <w:footnote w:id="86">
    <w:p w14:paraId="2145AD9E" w14:textId="77777777" w:rsidR="00AC34E6" w:rsidRDefault="00AC34E6" w:rsidP="005B18BE">
      <w:pPr>
        <w:pStyle w:val="footnote"/>
      </w:pPr>
      <w:r w:rsidRPr="005B18BE">
        <w:footnoteRef/>
      </w:r>
      <w:r w:rsidRPr="00030C2B">
        <w:t xml:space="preserve"> </w:t>
      </w:r>
      <w:r>
        <w:t xml:space="preserve">A </w:t>
      </w:r>
      <w:r w:rsidRPr="00030C2B">
        <w:t>Japan Renewal Party member (originally from the LDP)</w:t>
      </w:r>
    </w:p>
  </w:footnote>
  <w:footnote w:id="87">
    <w:p w14:paraId="0922548D" w14:textId="77777777" w:rsidR="00AC34E6" w:rsidRDefault="00AC34E6" w:rsidP="005B18BE">
      <w:pPr>
        <w:pStyle w:val="footnote"/>
      </w:pPr>
      <w:r w:rsidRPr="005B18BE">
        <w:footnoteRef/>
      </w:r>
      <w:r w:rsidRPr="00030C2B">
        <w:t xml:space="preserve"> Interim Ministership by Prime Minister (only one day: 28 April 1994)</w:t>
      </w:r>
    </w:p>
  </w:footnote>
  <w:footnote w:id="88">
    <w:p w14:paraId="05126A03" w14:textId="77777777" w:rsidR="00AC34E6" w:rsidRPr="005B18BE" w:rsidRDefault="00AC34E6" w:rsidP="005B18BE">
      <w:pPr>
        <w:pStyle w:val="footnote"/>
      </w:pPr>
      <w:r w:rsidRPr="005B18BE">
        <w:footnoteRef/>
      </w:r>
      <w:r w:rsidRPr="005B18BE">
        <w:t xml:space="preserve"> A Japan Renewal Party member (originally from Komeito Party)</w:t>
      </w:r>
    </w:p>
  </w:footnote>
  <w:footnote w:id="89">
    <w:p w14:paraId="2E799ED4" w14:textId="77777777" w:rsidR="00AC34E6" w:rsidRPr="005B18BE" w:rsidRDefault="00AC34E6" w:rsidP="005B18BE">
      <w:pPr>
        <w:pStyle w:val="footnote"/>
      </w:pPr>
      <w:r w:rsidRPr="005B18BE">
        <w:footnoteRef/>
      </w:r>
      <w:r w:rsidRPr="005B18BE">
        <w:t xml:space="preserve"> A member of the SDPJ (Social Democratic Party of Japan)</w:t>
      </w:r>
    </w:p>
  </w:footnote>
  <w:footnote w:id="90">
    <w:p w14:paraId="0ACEE52A" w14:textId="77777777" w:rsidR="00AC34E6" w:rsidRPr="005B18BE" w:rsidRDefault="00AC34E6" w:rsidP="005B18BE">
      <w:pPr>
        <w:pStyle w:val="footnote"/>
      </w:pPr>
      <w:r w:rsidRPr="005B18BE">
        <w:footnoteRef/>
      </w:r>
      <w:r w:rsidRPr="005B18BE">
        <w:t xml:space="preserve"> A member of the SDPJ</w:t>
      </w:r>
    </w:p>
  </w:footnote>
  <w:footnote w:id="91">
    <w:p w14:paraId="3E3A2DF0" w14:textId="77777777" w:rsidR="00AC34E6" w:rsidRPr="005B18BE" w:rsidRDefault="00AC34E6" w:rsidP="005B18BE">
      <w:pPr>
        <w:pStyle w:val="footnote"/>
      </w:pPr>
      <w:r w:rsidRPr="005B18BE">
        <w:footnoteRef/>
      </w:r>
      <w:r w:rsidRPr="005B18BE">
        <w:t xml:space="preserve"> A member of the SDPJ</w:t>
      </w:r>
    </w:p>
  </w:footnote>
  <w:footnote w:id="92">
    <w:p w14:paraId="59011412" w14:textId="77777777" w:rsidR="00AC34E6" w:rsidRPr="005B18BE" w:rsidRDefault="00AC34E6" w:rsidP="005B18BE">
      <w:pPr>
        <w:pStyle w:val="footnote"/>
      </w:pPr>
      <w:r w:rsidRPr="005B18BE">
        <w:footnoteRef/>
      </w:r>
      <w:r w:rsidRPr="005B18BE">
        <w:t xml:space="preserve"> Mr Katayama was concurrently assigned to the posts of the Minister of Home Affairs and the Director-General of the Management and Co-ordination Agency. The MPT, the Ministry of Home Affairs, and the Management and Co-ordination Agency were merged into the Ministry of Internal Affairs and Communications (MIC) on 6 January 2001. He became the first Minister of the new Ministry of Internal Affairs and Communications. </w:t>
      </w:r>
    </w:p>
  </w:footnote>
  <w:footnote w:id="93">
    <w:p w14:paraId="196BE61C" w14:textId="77777777" w:rsidR="00AC34E6" w:rsidRDefault="00AC34E6" w:rsidP="005B18BE">
      <w:pPr>
        <w:pStyle w:val="footnote"/>
      </w:pPr>
      <w:r w:rsidRPr="005B18BE">
        <w:footnoteRef/>
      </w:r>
      <w:r w:rsidRPr="00B91BAD">
        <w:t xml:space="preserve"> See Chapter 5 footnote </w:t>
      </w:r>
      <w:r>
        <w:t>4</w:t>
      </w:r>
      <w:r w:rsidRPr="00B91BAD">
        <w:t>2.</w:t>
      </w:r>
    </w:p>
  </w:footnote>
  <w:footnote w:id="94">
    <w:p w14:paraId="5B678567" w14:textId="77777777" w:rsidR="00AC34E6" w:rsidRDefault="00AC34E6" w:rsidP="005B18BE">
      <w:pPr>
        <w:pStyle w:val="footnote"/>
      </w:pPr>
      <w:r w:rsidRPr="005B18BE">
        <w:footnoteRef/>
      </w:r>
      <w:r w:rsidRPr="008C26E8">
        <w:t xml:space="preserve"> Also </w:t>
      </w:r>
      <w:r>
        <w:rPr>
          <w:rFonts w:hint="eastAsia"/>
        </w:rPr>
        <w:t xml:space="preserve">concurrently served as </w:t>
      </w:r>
      <w:r w:rsidRPr="008C26E8">
        <w:t>the Minister for National Sports (09/2004-10/2005)</w:t>
      </w:r>
    </w:p>
  </w:footnote>
  <w:footnote w:id="95">
    <w:p w14:paraId="2D75BA54" w14:textId="77777777" w:rsidR="00AC34E6" w:rsidRDefault="00AC34E6" w:rsidP="005B18BE">
      <w:pPr>
        <w:pStyle w:val="footnote"/>
      </w:pPr>
      <w:r w:rsidRPr="005B18BE">
        <w:footnoteRef/>
      </w:r>
      <w:r w:rsidRPr="008C26E8">
        <w:t xml:space="preserve"> Also </w:t>
      </w:r>
      <w:r>
        <w:rPr>
          <w:rFonts w:hint="eastAsia"/>
        </w:rPr>
        <w:t xml:space="preserve">concurrently served as </w:t>
      </w:r>
      <w:r w:rsidRPr="008C26E8">
        <w:t>the Minister for Postal Services Privatisation (10/2005-09/2006)</w:t>
      </w:r>
    </w:p>
  </w:footnote>
  <w:footnote w:id="96">
    <w:p w14:paraId="1879F04D" w14:textId="77777777" w:rsidR="00AC34E6" w:rsidRDefault="00AC34E6" w:rsidP="005B18BE">
      <w:pPr>
        <w:pStyle w:val="footnote"/>
      </w:pPr>
      <w:r w:rsidRPr="005B18BE">
        <w:footnoteRef/>
      </w:r>
      <w:r w:rsidRPr="008C26E8">
        <w:t xml:space="preserve"> Also</w:t>
      </w:r>
      <w:r w:rsidRPr="004F1EA7">
        <w:rPr>
          <w:rFonts w:hint="eastAsia"/>
        </w:rPr>
        <w:t xml:space="preserve"> </w:t>
      </w:r>
      <w:r>
        <w:rPr>
          <w:rFonts w:hint="eastAsia"/>
        </w:rPr>
        <w:t xml:space="preserve">concurrently served as </w:t>
      </w:r>
      <w:r w:rsidRPr="008C26E8">
        <w:t>the Minister for Postal Services Privatisation (09/2006-08/2007) and the Minister for Devolution (12/2006-08/2007)</w:t>
      </w:r>
    </w:p>
  </w:footnote>
  <w:footnote w:id="97">
    <w:p w14:paraId="19046DE7" w14:textId="77777777" w:rsidR="00AC34E6" w:rsidRDefault="00AC34E6" w:rsidP="005B18BE">
      <w:pPr>
        <w:pStyle w:val="footnote"/>
      </w:pPr>
      <w:r w:rsidRPr="005B18BE">
        <w:footnoteRef/>
      </w:r>
      <w:r w:rsidRPr="008C26E8">
        <w:t xml:space="preserve"> Also </w:t>
      </w:r>
      <w:r>
        <w:rPr>
          <w:rFonts w:hint="eastAsia"/>
        </w:rPr>
        <w:t xml:space="preserve">concurrently served as </w:t>
      </w:r>
      <w:r w:rsidRPr="008C26E8">
        <w:t>the Minister for Postal Services Privatisation, the County System and Regional Gap and the Minister for Devolution</w:t>
      </w:r>
    </w:p>
  </w:footnote>
  <w:footnote w:id="98">
    <w:p w14:paraId="59F8E5AC" w14:textId="77777777" w:rsidR="00AC34E6" w:rsidRDefault="00AC34E6" w:rsidP="005B18BE">
      <w:pPr>
        <w:pStyle w:val="footnote"/>
      </w:pPr>
      <w:r w:rsidRPr="005B18BE">
        <w:footnoteRef/>
      </w:r>
      <w:r w:rsidRPr="008C26E8">
        <w:t xml:space="preserve"> Also </w:t>
      </w:r>
      <w:r>
        <w:rPr>
          <w:rFonts w:hint="eastAsia"/>
        </w:rPr>
        <w:t xml:space="preserve">concurrently served as </w:t>
      </w:r>
      <w:r w:rsidRPr="008C26E8">
        <w:t>the Minister for Devolution</w:t>
      </w:r>
    </w:p>
  </w:footnote>
  <w:footnote w:id="99">
    <w:p w14:paraId="3C8FDE83" w14:textId="77777777" w:rsidR="00AC34E6" w:rsidRDefault="00AC34E6" w:rsidP="005B18BE">
      <w:pPr>
        <w:pStyle w:val="footnote"/>
      </w:pPr>
      <w:r w:rsidRPr="005B18BE">
        <w:footnoteRef/>
      </w:r>
      <w:r w:rsidRPr="008C26E8">
        <w:t xml:space="preserve"> Also </w:t>
      </w:r>
      <w:r>
        <w:rPr>
          <w:rFonts w:hint="eastAsia"/>
        </w:rPr>
        <w:t xml:space="preserve">concurrently served as </w:t>
      </w:r>
      <w:r w:rsidRPr="008C26E8">
        <w:t>the Minister for Devolution and the Ch</w:t>
      </w:r>
      <w:r>
        <w:t>airman of the National Public Safety</w:t>
      </w:r>
      <w:r w:rsidRPr="008C26E8">
        <w:t xml:space="preserve"> Commission (06-07/2009)</w:t>
      </w:r>
    </w:p>
  </w:footnote>
  <w:footnote w:id="100">
    <w:p w14:paraId="7658180F" w14:textId="77777777" w:rsidR="00AC34E6" w:rsidRDefault="00AC34E6" w:rsidP="005B18BE">
      <w:pPr>
        <w:pStyle w:val="footnote"/>
      </w:pPr>
      <w:r w:rsidRPr="005B18BE">
        <w:footnoteRef/>
      </w:r>
      <w:r w:rsidRPr="008C26E8">
        <w:t xml:space="preserve"> Also </w:t>
      </w:r>
      <w:r>
        <w:rPr>
          <w:rFonts w:hint="eastAsia"/>
        </w:rPr>
        <w:t xml:space="preserve">concurrently served as </w:t>
      </w:r>
      <w:r w:rsidRPr="008C26E8">
        <w:t xml:space="preserve">the Minister for </w:t>
      </w:r>
      <w:r>
        <w:t>Promotion of Local Sovereignty</w:t>
      </w:r>
    </w:p>
  </w:footnote>
  <w:footnote w:id="101">
    <w:p w14:paraId="2C9FFACD" w14:textId="77777777" w:rsidR="00AC34E6" w:rsidRDefault="00AC34E6" w:rsidP="005B18BE">
      <w:pPr>
        <w:pStyle w:val="footnote"/>
      </w:pPr>
      <w:r w:rsidRPr="005B18BE">
        <w:footnoteRef/>
      </w:r>
      <w:r w:rsidRPr="008C26E8">
        <w:t xml:space="preserve"> Also </w:t>
      </w:r>
      <w:r>
        <w:rPr>
          <w:rFonts w:hint="eastAsia"/>
        </w:rPr>
        <w:t xml:space="preserve">concurrently served as </w:t>
      </w:r>
      <w:r w:rsidRPr="008C26E8">
        <w:t xml:space="preserve">the Minister for </w:t>
      </w:r>
      <w:r>
        <w:t>Promotion of Local Sovereignty</w:t>
      </w:r>
    </w:p>
  </w:footnote>
  <w:footnote w:id="102">
    <w:p w14:paraId="10654DFC" w14:textId="77777777" w:rsidR="00AC34E6" w:rsidRDefault="00AC34E6" w:rsidP="005B18BE">
      <w:pPr>
        <w:pStyle w:val="footnote"/>
      </w:pPr>
      <w:r w:rsidRPr="005B18BE">
        <w:footnoteRef/>
      </w:r>
      <w:r w:rsidRPr="008C26E8">
        <w:t xml:space="preserve"> Also </w:t>
      </w:r>
      <w:r>
        <w:rPr>
          <w:rFonts w:hint="eastAsia"/>
        </w:rPr>
        <w:t>concurrently served as t</w:t>
      </w:r>
      <w:r w:rsidRPr="008C26E8">
        <w:t xml:space="preserve">he Minister for </w:t>
      </w:r>
      <w:r>
        <w:t>Promotion of Local Sovereignty</w:t>
      </w:r>
    </w:p>
  </w:footnote>
  <w:footnote w:id="103">
    <w:p w14:paraId="196D8947" w14:textId="77777777" w:rsidR="00AC34E6" w:rsidRDefault="00AC34E6" w:rsidP="005B18BE">
      <w:pPr>
        <w:pStyle w:val="footnote"/>
      </w:pPr>
      <w:r w:rsidRPr="005B18BE">
        <w:footnoteRef/>
      </w:r>
      <w:r w:rsidRPr="008C26E8">
        <w:t xml:space="preserve"> Also </w:t>
      </w:r>
      <w:r>
        <w:rPr>
          <w:rFonts w:hint="eastAsia"/>
        </w:rPr>
        <w:t xml:space="preserve">concurrently served as </w:t>
      </w:r>
      <w:r w:rsidRPr="008C26E8">
        <w:t xml:space="preserve">the Minister for </w:t>
      </w:r>
      <w:r>
        <w:t>Promotion of Local Sovereignty</w:t>
      </w:r>
      <w:r w:rsidRPr="008C26E8">
        <w:t xml:space="preserve">, Okinawa and </w:t>
      </w:r>
      <w:r>
        <w:t>Northern Territories Affairs</w:t>
      </w:r>
    </w:p>
  </w:footnote>
  <w:footnote w:id="104">
    <w:p w14:paraId="1A381C45" w14:textId="77777777" w:rsidR="00AC34E6" w:rsidRDefault="00AC34E6" w:rsidP="005B18BE">
      <w:pPr>
        <w:pStyle w:val="footnote"/>
      </w:pPr>
      <w:r w:rsidRPr="005B18BE">
        <w:footnoteRef/>
      </w:r>
      <w:r w:rsidRPr="008C26E8">
        <w:t xml:space="preserve"> Also </w:t>
      </w:r>
      <w:r>
        <w:rPr>
          <w:rFonts w:hint="eastAsia"/>
        </w:rPr>
        <w:t xml:space="preserve">concurrently served as </w:t>
      </w:r>
      <w:r w:rsidRPr="008C26E8">
        <w:t xml:space="preserve">the Minister for </w:t>
      </w:r>
      <w:r>
        <w:t>Promotion of Local Sovereignty</w:t>
      </w:r>
      <w:r w:rsidRPr="008C26E8">
        <w:t xml:space="preserve">, Okinawa and </w:t>
      </w:r>
      <w:r>
        <w:t>Northern Territories Affairs</w:t>
      </w:r>
      <w:r>
        <w:rPr>
          <w:rFonts w:hint="eastAsia"/>
        </w:rPr>
        <w:t>, and Regional Revitalisation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700F" w14:textId="77777777" w:rsidR="00AC34E6" w:rsidRPr="003D6B27" w:rsidRDefault="00AC34E6" w:rsidP="003D6B27">
    <w:pPr>
      <w:pStyle w:val="Header"/>
      <w:spacing w:line="240" w:lineRule="auto"/>
      <w:jc w:val="center"/>
      <w:rPr>
        <w:sz w:val="21"/>
        <w:szCs w:val="21"/>
      </w:rPr>
    </w:pPr>
    <w:r w:rsidRPr="003D6B27">
      <w:rPr>
        <w:sz w:val="21"/>
        <w:szCs w:val="21"/>
      </w:rPr>
      <w:t>The Transformation of the Japanese State in an Era of Governance:</w:t>
    </w:r>
  </w:p>
  <w:p w14:paraId="6A0FDE87" w14:textId="77777777" w:rsidR="00AC34E6" w:rsidRPr="003D6B27" w:rsidRDefault="00AC34E6" w:rsidP="003D6B27">
    <w:pPr>
      <w:pStyle w:val="Header"/>
      <w:spacing w:line="240" w:lineRule="auto"/>
      <w:jc w:val="center"/>
      <w:rPr>
        <w:sz w:val="21"/>
        <w:szCs w:val="21"/>
      </w:rPr>
    </w:pPr>
    <w:r w:rsidRPr="003D6B27">
      <w:rPr>
        <w:sz w:val="21"/>
        <w:szCs w:val="21"/>
      </w:rPr>
      <w:t>A Case Study of the Evolving Regulatory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0251"/>
    <w:multiLevelType w:val="hybridMultilevel"/>
    <w:tmpl w:val="170ED00E"/>
    <w:lvl w:ilvl="0" w:tplc="08090001">
      <w:start w:val="1"/>
      <w:numFmt w:val="bullet"/>
      <w:lvlText w:val=""/>
      <w:lvlJc w:val="left"/>
      <w:pPr>
        <w:ind w:left="702" w:hanging="42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02744A32"/>
    <w:multiLevelType w:val="hybridMultilevel"/>
    <w:tmpl w:val="43E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35470"/>
    <w:multiLevelType w:val="hybridMultilevel"/>
    <w:tmpl w:val="0BF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FF573F"/>
    <w:multiLevelType w:val="hybridMultilevel"/>
    <w:tmpl w:val="A546E1BA"/>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51C34B2"/>
    <w:multiLevelType w:val="hybridMultilevel"/>
    <w:tmpl w:val="ABB85676"/>
    <w:lvl w:ilvl="0" w:tplc="08090001">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06E77EE1"/>
    <w:multiLevelType w:val="hybridMultilevel"/>
    <w:tmpl w:val="C112445C"/>
    <w:lvl w:ilvl="0" w:tplc="08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nsid w:val="072F3CD5"/>
    <w:multiLevelType w:val="hybridMultilevel"/>
    <w:tmpl w:val="06428A58"/>
    <w:lvl w:ilvl="0" w:tplc="08090001">
      <w:start w:val="1"/>
      <w:numFmt w:val="bullet"/>
      <w:lvlText w:val=""/>
      <w:lvlJc w:val="left"/>
      <w:pPr>
        <w:ind w:left="1002" w:hanging="720"/>
      </w:pPr>
      <w:rPr>
        <w:rFonts w:ascii="Symbol" w:hAnsi="Symbol" w:hint="default"/>
        <w:color w:val="auto"/>
      </w:rPr>
    </w:lvl>
    <w:lvl w:ilvl="1" w:tplc="08090019">
      <w:start w:val="1"/>
      <w:numFmt w:val="lowerLetter"/>
      <w:lvlText w:val="%2."/>
      <w:lvlJc w:val="left"/>
      <w:pPr>
        <w:ind w:left="1362" w:hanging="360"/>
      </w:pPr>
    </w:lvl>
    <w:lvl w:ilvl="2" w:tplc="0809001B">
      <w:start w:val="1"/>
      <w:numFmt w:val="lowerRoman"/>
      <w:lvlText w:val="%3."/>
      <w:lvlJc w:val="right"/>
      <w:pPr>
        <w:ind w:left="2082" w:hanging="180"/>
      </w:pPr>
    </w:lvl>
    <w:lvl w:ilvl="3" w:tplc="0809000F">
      <w:start w:val="1"/>
      <w:numFmt w:val="decimal"/>
      <w:lvlText w:val="%4."/>
      <w:lvlJc w:val="left"/>
      <w:pPr>
        <w:ind w:left="2802" w:hanging="360"/>
      </w:pPr>
    </w:lvl>
    <w:lvl w:ilvl="4" w:tplc="08090019">
      <w:start w:val="1"/>
      <w:numFmt w:val="lowerLetter"/>
      <w:lvlText w:val="%5."/>
      <w:lvlJc w:val="left"/>
      <w:pPr>
        <w:ind w:left="3522" w:hanging="360"/>
      </w:pPr>
    </w:lvl>
    <w:lvl w:ilvl="5" w:tplc="0809001B">
      <w:start w:val="1"/>
      <w:numFmt w:val="lowerRoman"/>
      <w:lvlText w:val="%6."/>
      <w:lvlJc w:val="right"/>
      <w:pPr>
        <w:ind w:left="4242" w:hanging="180"/>
      </w:pPr>
    </w:lvl>
    <w:lvl w:ilvl="6" w:tplc="0809000F">
      <w:start w:val="1"/>
      <w:numFmt w:val="decimal"/>
      <w:lvlText w:val="%7."/>
      <w:lvlJc w:val="left"/>
      <w:pPr>
        <w:ind w:left="4962" w:hanging="360"/>
      </w:pPr>
    </w:lvl>
    <w:lvl w:ilvl="7" w:tplc="08090019">
      <w:start w:val="1"/>
      <w:numFmt w:val="lowerLetter"/>
      <w:lvlText w:val="%8."/>
      <w:lvlJc w:val="left"/>
      <w:pPr>
        <w:ind w:left="5682" w:hanging="360"/>
      </w:pPr>
    </w:lvl>
    <w:lvl w:ilvl="8" w:tplc="0809001B">
      <w:start w:val="1"/>
      <w:numFmt w:val="lowerRoman"/>
      <w:lvlText w:val="%9."/>
      <w:lvlJc w:val="right"/>
      <w:pPr>
        <w:ind w:left="6402" w:hanging="180"/>
      </w:pPr>
    </w:lvl>
  </w:abstractNum>
  <w:abstractNum w:abstractNumId="7">
    <w:nsid w:val="074D4F4D"/>
    <w:multiLevelType w:val="hybridMultilevel"/>
    <w:tmpl w:val="02C48594"/>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A187B6B"/>
    <w:multiLevelType w:val="hybridMultilevel"/>
    <w:tmpl w:val="20FCB2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2A7AE6"/>
    <w:multiLevelType w:val="hybridMultilevel"/>
    <w:tmpl w:val="3634C244"/>
    <w:lvl w:ilvl="0" w:tplc="08090001">
      <w:start w:val="1"/>
      <w:numFmt w:val="bullet"/>
      <w:lvlText w:val=""/>
      <w:lvlJc w:val="left"/>
      <w:pPr>
        <w:ind w:left="704" w:hanging="420"/>
      </w:pPr>
      <w:rPr>
        <w:rFonts w:ascii="Symbol" w:hAnsi="Symbol" w:hint="default"/>
      </w:rPr>
    </w:lvl>
    <w:lvl w:ilvl="1" w:tplc="08090001">
      <w:start w:val="1"/>
      <w:numFmt w:val="bullet"/>
      <w:lvlText w:val=""/>
      <w:lvlJc w:val="left"/>
      <w:pPr>
        <w:ind w:left="1124" w:hanging="420"/>
      </w:pPr>
      <w:rPr>
        <w:rFonts w:ascii="Symbol" w:hAnsi="Symbol"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nsid w:val="0C65227B"/>
    <w:multiLevelType w:val="hybridMultilevel"/>
    <w:tmpl w:val="0D303CC4"/>
    <w:lvl w:ilvl="0" w:tplc="08090001">
      <w:start w:val="1"/>
      <w:numFmt w:val="bullet"/>
      <w:lvlText w:val=""/>
      <w:lvlJc w:val="left"/>
      <w:pPr>
        <w:ind w:left="1002" w:hanging="360"/>
      </w:pPr>
      <w:rPr>
        <w:rFonts w:ascii="Symbol" w:hAnsi="Symbol" w:hint="default"/>
        <w:color w:val="auto"/>
      </w:rPr>
    </w:lvl>
    <w:lvl w:ilvl="1" w:tplc="08090003">
      <w:start w:val="1"/>
      <w:numFmt w:val="bullet"/>
      <w:lvlText w:val="o"/>
      <w:lvlJc w:val="left"/>
      <w:pPr>
        <w:ind w:left="1722" w:hanging="360"/>
      </w:pPr>
      <w:rPr>
        <w:rFonts w:ascii="Courier New" w:hAnsi="Courier New" w:cs="Courier New" w:hint="default"/>
      </w:rPr>
    </w:lvl>
    <w:lvl w:ilvl="2" w:tplc="08090005">
      <w:start w:val="1"/>
      <w:numFmt w:val="bullet"/>
      <w:lvlText w:val=""/>
      <w:lvlJc w:val="left"/>
      <w:pPr>
        <w:ind w:left="2442" w:hanging="360"/>
      </w:pPr>
      <w:rPr>
        <w:rFonts w:ascii="Wingdings" w:hAnsi="Wingdings" w:hint="default"/>
      </w:rPr>
    </w:lvl>
    <w:lvl w:ilvl="3" w:tplc="08090001">
      <w:start w:val="1"/>
      <w:numFmt w:val="bullet"/>
      <w:lvlText w:val=""/>
      <w:lvlJc w:val="left"/>
      <w:pPr>
        <w:ind w:left="3162" w:hanging="360"/>
      </w:pPr>
      <w:rPr>
        <w:rFonts w:ascii="Symbol" w:hAnsi="Symbol" w:hint="default"/>
      </w:rPr>
    </w:lvl>
    <w:lvl w:ilvl="4" w:tplc="08090003">
      <w:start w:val="1"/>
      <w:numFmt w:val="bullet"/>
      <w:lvlText w:val="o"/>
      <w:lvlJc w:val="left"/>
      <w:pPr>
        <w:ind w:left="3882" w:hanging="360"/>
      </w:pPr>
      <w:rPr>
        <w:rFonts w:ascii="Courier New" w:hAnsi="Courier New" w:cs="Courier New" w:hint="default"/>
      </w:rPr>
    </w:lvl>
    <w:lvl w:ilvl="5" w:tplc="08090005">
      <w:start w:val="1"/>
      <w:numFmt w:val="bullet"/>
      <w:lvlText w:val=""/>
      <w:lvlJc w:val="left"/>
      <w:pPr>
        <w:ind w:left="4602" w:hanging="360"/>
      </w:pPr>
      <w:rPr>
        <w:rFonts w:ascii="Wingdings" w:hAnsi="Wingdings" w:hint="default"/>
      </w:rPr>
    </w:lvl>
    <w:lvl w:ilvl="6" w:tplc="08090001">
      <w:start w:val="1"/>
      <w:numFmt w:val="bullet"/>
      <w:lvlText w:val=""/>
      <w:lvlJc w:val="left"/>
      <w:pPr>
        <w:ind w:left="5322" w:hanging="360"/>
      </w:pPr>
      <w:rPr>
        <w:rFonts w:ascii="Symbol" w:hAnsi="Symbol" w:hint="default"/>
      </w:rPr>
    </w:lvl>
    <w:lvl w:ilvl="7" w:tplc="08090003">
      <w:start w:val="1"/>
      <w:numFmt w:val="bullet"/>
      <w:lvlText w:val="o"/>
      <w:lvlJc w:val="left"/>
      <w:pPr>
        <w:ind w:left="6042" w:hanging="360"/>
      </w:pPr>
      <w:rPr>
        <w:rFonts w:ascii="Courier New" w:hAnsi="Courier New" w:cs="Courier New" w:hint="default"/>
      </w:rPr>
    </w:lvl>
    <w:lvl w:ilvl="8" w:tplc="08090005">
      <w:start w:val="1"/>
      <w:numFmt w:val="bullet"/>
      <w:lvlText w:val=""/>
      <w:lvlJc w:val="left"/>
      <w:pPr>
        <w:ind w:left="6762" w:hanging="360"/>
      </w:pPr>
      <w:rPr>
        <w:rFonts w:ascii="Wingdings" w:hAnsi="Wingdings" w:hint="default"/>
      </w:rPr>
    </w:lvl>
  </w:abstractNum>
  <w:abstractNum w:abstractNumId="11">
    <w:nsid w:val="0EB90233"/>
    <w:multiLevelType w:val="hybridMultilevel"/>
    <w:tmpl w:val="F64EA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FC119C4"/>
    <w:multiLevelType w:val="hybridMultilevel"/>
    <w:tmpl w:val="44BEA276"/>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0BE6E8C"/>
    <w:multiLevelType w:val="hybridMultilevel"/>
    <w:tmpl w:val="5E6CC556"/>
    <w:lvl w:ilvl="0" w:tplc="0809000B">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4">
    <w:nsid w:val="119D624E"/>
    <w:multiLevelType w:val="hybridMultilevel"/>
    <w:tmpl w:val="00F4136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5842ECA"/>
    <w:multiLevelType w:val="hybridMultilevel"/>
    <w:tmpl w:val="77580C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15CE3B5A"/>
    <w:multiLevelType w:val="hybridMultilevel"/>
    <w:tmpl w:val="6DC82D62"/>
    <w:lvl w:ilvl="0" w:tplc="226A9572">
      <w:start w:val="1"/>
      <w:numFmt w:val="bullet"/>
      <w:lvlText w:val=""/>
      <w:lvlJc w:val="left"/>
      <w:pPr>
        <w:ind w:left="702" w:hanging="420"/>
      </w:pPr>
      <w:rPr>
        <w:rFonts w:ascii="Symbol" w:hAnsi="Symbol"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7">
    <w:nsid w:val="161A20EF"/>
    <w:multiLevelType w:val="hybridMultilevel"/>
    <w:tmpl w:val="0734D66C"/>
    <w:lvl w:ilvl="0" w:tplc="54A80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17444DFA"/>
    <w:multiLevelType w:val="hybridMultilevel"/>
    <w:tmpl w:val="2572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8971237"/>
    <w:multiLevelType w:val="hybridMultilevel"/>
    <w:tmpl w:val="3AE85802"/>
    <w:lvl w:ilvl="0" w:tplc="08090001">
      <w:start w:val="1"/>
      <w:numFmt w:val="bullet"/>
      <w:lvlText w:val=""/>
      <w:lvlJc w:val="left"/>
      <w:pPr>
        <w:ind w:left="420" w:hanging="42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nsid w:val="190340B3"/>
    <w:multiLevelType w:val="hybridMultilevel"/>
    <w:tmpl w:val="A636CF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9D94D68"/>
    <w:multiLevelType w:val="hybridMultilevel"/>
    <w:tmpl w:val="A2D44AC0"/>
    <w:lvl w:ilvl="0" w:tplc="08090001">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nsid w:val="1B5B2372"/>
    <w:multiLevelType w:val="hybridMultilevel"/>
    <w:tmpl w:val="F972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B80234B"/>
    <w:multiLevelType w:val="hybridMultilevel"/>
    <w:tmpl w:val="431E5346"/>
    <w:lvl w:ilvl="0" w:tplc="08090001">
      <w:start w:val="1"/>
      <w:numFmt w:val="bullet"/>
      <w:lvlText w:val=""/>
      <w:lvlJc w:val="left"/>
      <w:pPr>
        <w:ind w:left="1002"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2016352C"/>
    <w:multiLevelType w:val="hybridMultilevel"/>
    <w:tmpl w:val="09E4C852"/>
    <w:lvl w:ilvl="0" w:tplc="08090001">
      <w:start w:val="1"/>
      <w:numFmt w:val="bullet"/>
      <w:lvlText w:val=""/>
      <w:lvlJc w:val="left"/>
      <w:pPr>
        <w:ind w:left="702" w:hanging="42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nsid w:val="203E2970"/>
    <w:multiLevelType w:val="hybridMultilevel"/>
    <w:tmpl w:val="B21EB67E"/>
    <w:lvl w:ilvl="0" w:tplc="08090001">
      <w:start w:val="1"/>
      <w:numFmt w:val="bullet"/>
      <w:lvlText w:val=""/>
      <w:lvlJc w:val="left"/>
      <w:pPr>
        <w:ind w:left="644" w:hanging="360"/>
      </w:pPr>
      <w:rPr>
        <w:rFonts w:ascii="Symbol" w:hAnsi="Symbo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nsid w:val="208665CF"/>
    <w:multiLevelType w:val="hybridMultilevel"/>
    <w:tmpl w:val="23E2E81A"/>
    <w:lvl w:ilvl="0" w:tplc="226A957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21D2245E"/>
    <w:multiLevelType w:val="hybridMultilevel"/>
    <w:tmpl w:val="E794ABF8"/>
    <w:lvl w:ilvl="0" w:tplc="08090001">
      <w:start w:val="1"/>
      <w:numFmt w:val="bullet"/>
      <w:lvlText w:val=""/>
      <w:lvlJc w:val="left"/>
      <w:pPr>
        <w:ind w:left="702" w:hanging="42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nsid w:val="248C47D2"/>
    <w:multiLevelType w:val="hybridMultilevel"/>
    <w:tmpl w:val="1DD25C54"/>
    <w:lvl w:ilvl="0" w:tplc="08090001">
      <w:start w:val="1"/>
      <w:numFmt w:val="bullet"/>
      <w:lvlText w:val=""/>
      <w:lvlJc w:val="left"/>
      <w:pPr>
        <w:ind w:left="642" w:hanging="360"/>
      </w:pPr>
      <w:rPr>
        <w:rFonts w:ascii="Symbol" w:hAnsi="Symbol"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29">
    <w:nsid w:val="24DE02C6"/>
    <w:multiLevelType w:val="hybridMultilevel"/>
    <w:tmpl w:val="3830F18E"/>
    <w:lvl w:ilvl="0" w:tplc="226A957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2A040B40"/>
    <w:multiLevelType w:val="hybridMultilevel"/>
    <w:tmpl w:val="B9A2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A78741C"/>
    <w:multiLevelType w:val="hybridMultilevel"/>
    <w:tmpl w:val="435A669A"/>
    <w:lvl w:ilvl="0" w:tplc="08090001">
      <w:start w:val="1"/>
      <w:numFmt w:val="bullet"/>
      <w:lvlText w:val=""/>
      <w:lvlJc w:val="left"/>
      <w:pPr>
        <w:ind w:left="702" w:hanging="42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2">
    <w:nsid w:val="2AE266DA"/>
    <w:multiLevelType w:val="hybridMultilevel"/>
    <w:tmpl w:val="BA5E28C6"/>
    <w:lvl w:ilvl="0" w:tplc="226A95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AED0F27"/>
    <w:multiLevelType w:val="hybridMultilevel"/>
    <w:tmpl w:val="DF1E3640"/>
    <w:lvl w:ilvl="0" w:tplc="08090001">
      <w:start w:val="1"/>
      <w:numFmt w:val="bullet"/>
      <w:lvlText w:val=""/>
      <w:lvlJc w:val="left"/>
      <w:pPr>
        <w:ind w:left="642" w:hanging="360"/>
      </w:pPr>
      <w:rPr>
        <w:rFonts w:ascii="Symbol" w:hAnsi="Symbol"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34">
    <w:nsid w:val="2BE35EFA"/>
    <w:multiLevelType w:val="hybridMultilevel"/>
    <w:tmpl w:val="435C6ACA"/>
    <w:lvl w:ilvl="0" w:tplc="2B46A6FC">
      <w:start w:val="1"/>
      <w:numFmt w:val="decimal"/>
      <w:lvlText w:val="%1)"/>
      <w:lvlJc w:val="left"/>
      <w:pPr>
        <w:ind w:left="642" w:hanging="360"/>
      </w:pPr>
      <w:rPr>
        <w:rFonts w:ascii="Times New Roman" w:eastAsiaTheme="minorEastAsia" w:hAnsi="Times New Roman" w:cs="Times New Roman"/>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35">
    <w:nsid w:val="308523DC"/>
    <w:multiLevelType w:val="hybridMultilevel"/>
    <w:tmpl w:val="BA90C548"/>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316953C9"/>
    <w:multiLevelType w:val="hybridMultilevel"/>
    <w:tmpl w:val="38185956"/>
    <w:lvl w:ilvl="0" w:tplc="226A957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31AF514F"/>
    <w:multiLevelType w:val="hybridMultilevel"/>
    <w:tmpl w:val="22D4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2245BDA"/>
    <w:multiLevelType w:val="hybridMultilevel"/>
    <w:tmpl w:val="E528E046"/>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33D539F1"/>
    <w:multiLevelType w:val="hybridMultilevel"/>
    <w:tmpl w:val="442811B2"/>
    <w:lvl w:ilvl="0" w:tplc="FB1631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33D64D04"/>
    <w:multiLevelType w:val="hybridMultilevel"/>
    <w:tmpl w:val="7D5EF40A"/>
    <w:lvl w:ilvl="0" w:tplc="08090001">
      <w:start w:val="1"/>
      <w:numFmt w:val="bullet"/>
      <w:lvlText w:val=""/>
      <w:lvlJc w:val="left"/>
      <w:pPr>
        <w:ind w:left="750" w:hanging="420"/>
      </w:pPr>
      <w:rPr>
        <w:rFonts w:ascii="Symbol" w:hAnsi="Symbol" w:hint="default"/>
        <w:color w:val="auto"/>
      </w:rPr>
    </w:lvl>
    <w:lvl w:ilvl="1" w:tplc="CF92B498">
      <w:numFmt w:val="bullet"/>
      <w:lvlText w:val="•"/>
      <w:lvlJc w:val="left"/>
      <w:pPr>
        <w:ind w:left="1185" w:hanging="435"/>
      </w:pPr>
      <w:rPr>
        <w:rFonts w:ascii="MS Mincho" w:eastAsia="MS Mincho" w:hAnsi="MS Mincho" w:cs="Times New Roman" w:hint="eastAsia"/>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1">
    <w:nsid w:val="343B0B73"/>
    <w:multiLevelType w:val="hybridMultilevel"/>
    <w:tmpl w:val="B58431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nsid w:val="349D3C2E"/>
    <w:multiLevelType w:val="hybridMultilevel"/>
    <w:tmpl w:val="C6426C5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5540443"/>
    <w:multiLevelType w:val="hybridMultilevel"/>
    <w:tmpl w:val="42008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361F136E"/>
    <w:multiLevelType w:val="hybridMultilevel"/>
    <w:tmpl w:val="406241C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7445DE7"/>
    <w:multiLevelType w:val="hybridMultilevel"/>
    <w:tmpl w:val="63B6A9B0"/>
    <w:lvl w:ilvl="0" w:tplc="08090001">
      <w:start w:val="1"/>
      <w:numFmt w:val="bullet"/>
      <w:lvlText w:val=""/>
      <w:lvlJc w:val="left"/>
      <w:pPr>
        <w:ind w:left="644" w:hanging="360"/>
      </w:pPr>
      <w:rPr>
        <w:rFonts w:ascii="Symbol" w:hAnsi="Symbo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6">
    <w:nsid w:val="38537CF5"/>
    <w:multiLevelType w:val="hybridMultilevel"/>
    <w:tmpl w:val="4348B4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386F2B59"/>
    <w:multiLevelType w:val="hybridMultilevel"/>
    <w:tmpl w:val="7062E9F0"/>
    <w:lvl w:ilvl="0" w:tplc="08090001">
      <w:start w:val="1"/>
      <w:numFmt w:val="bullet"/>
      <w:lvlText w:val=""/>
      <w:lvlJc w:val="left"/>
      <w:pPr>
        <w:ind w:left="644" w:hanging="360"/>
      </w:pPr>
      <w:rPr>
        <w:rFonts w:ascii="Symbol" w:hAnsi="Symbo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8">
    <w:nsid w:val="3DD00F78"/>
    <w:multiLevelType w:val="hybridMultilevel"/>
    <w:tmpl w:val="29B8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E516A55"/>
    <w:multiLevelType w:val="hybridMultilevel"/>
    <w:tmpl w:val="18E8CCC6"/>
    <w:lvl w:ilvl="0" w:tplc="FB1631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400364BB"/>
    <w:multiLevelType w:val="hybridMultilevel"/>
    <w:tmpl w:val="56EC0052"/>
    <w:lvl w:ilvl="0" w:tplc="08090001">
      <w:start w:val="1"/>
      <w:numFmt w:val="bullet"/>
      <w:lvlText w:val=""/>
      <w:lvlJc w:val="left"/>
      <w:pPr>
        <w:ind w:left="642" w:hanging="360"/>
      </w:pPr>
      <w:rPr>
        <w:rFonts w:ascii="Symbol" w:hAnsi="Symbol"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51">
    <w:nsid w:val="41F350F1"/>
    <w:multiLevelType w:val="hybridMultilevel"/>
    <w:tmpl w:val="05AE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2353D55"/>
    <w:multiLevelType w:val="hybridMultilevel"/>
    <w:tmpl w:val="57B8A406"/>
    <w:lvl w:ilvl="0" w:tplc="08090001">
      <w:start w:val="1"/>
      <w:numFmt w:val="bullet"/>
      <w:lvlText w:val=""/>
      <w:lvlJc w:val="left"/>
      <w:pPr>
        <w:ind w:left="360" w:hanging="360"/>
      </w:pPr>
      <w:rPr>
        <w:rFonts w:ascii="Symbol" w:hAnsi="Symbo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nsid w:val="44E6681F"/>
    <w:multiLevelType w:val="hybridMultilevel"/>
    <w:tmpl w:val="6FC8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6BF3DD7"/>
    <w:multiLevelType w:val="hybridMultilevel"/>
    <w:tmpl w:val="53DE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7F37DEC"/>
    <w:multiLevelType w:val="hybridMultilevel"/>
    <w:tmpl w:val="13AADD5E"/>
    <w:lvl w:ilvl="0" w:tplc="08090001">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6">
    <w:nsid w:val="4830223D"/>
    <w:multiLevelType w:val="hybridMultilevel"/>
    <w:tmpl w:val="76F06872"/>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nsid w:val="485C391B"/>
    <w:multiLevelType w:val="hybridMultilevel"/>
    <w:tmpl w:val="12C8D2F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920090A"/>
    <w:multiLevelType w:val="hybridMultilevel"/>
    <w:tmpl w:val="016E279C"/>
    <w:lvl w:ilvl="0" w:tplc="226A957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49C37DA8"/>
    <w:multiLevelType w:val="hybridMultilevel"/>
    <w:tmpl w:val="B7D01F44"/>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nsid w:val="56FA0AF6"/>
    <w:multiLevelType w:val="hybridMultilevel"/>
    <w:tmpl w:val="6670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7534B50"/>
    <w:multiLevelType w:val="hybridMultilevel"/>
    <w:tmpl w:val="1F1494A6"/>
    <w:lvl w:ilvl="0" w:tplc="08090001">
      <w:start w:val="1"/>
      <w:numFmt w:val="bullet"/>
      <w:lvlText w:val=""/>
      <w:lvlJc w:val="left"/>
      <w:pPr>
        <w:ind w:left="702" w:hanging="42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2">
    <w:nsid w:val="575E6E16"/>
    <w:multiLevelType w:val="hybridMultilevel"/>
    <w:tmpl w:val="30E41858"/>
    <w:lvl w:ilvl="0" w:tplc="08090001">
      <w:start w:val="1"/>
      <w:numFmt w:val="bullet"/>
      <w:lvlText w:val=""/>
      <w:lvlJc w:val="left"/>
      <w:pPr>
        <w:ind w:left="703" w:hanging="420"/>
      </w:pPr>
      <w:rPr>
        <w:rFonts w:ascii="Symbol" w:hAnsi="Symbol" w:hint="default"/>
        <w:color w:val="auto"/>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B">
      <w:start w:val="1"/>
      <w:numFmt w:val="bullet"/>
      <w:lvlText w:val=""/>
      <w:lvlJc w:val="left"/>
      <w:pPr>
        <w:ind w:left="2383" w:hanging="420"/>
      </w:pPr>
      <w:rPr>
        <w:rFonts w:ascii="Wingdings" w:hAnsi="Wingdings" w:hint="default"/>
      </w:rPr>
    </w:lvl>
    <w:lvl w:ilvl="5" w:tplc="0409000D">
      <w:start w:val="1"/>
      <w:numFmt w:val="bullet"/>
      <w:lvlText w:val=""/>
      <w:lvlJc w:val="left"/>
      <w:pPr>
        <w:ind w:left="2803" w:hanging="420"/>
      </w:pPr>
      <w:rPr>
        <w:rFonts w:ascii="Wingdings" w:hAnsi="Wingdings" w:hint="default"/>
      </w:rPr>
    </w:lvl>
    <w:lvl w:ilvl="6" w:tplc="04090001">
      <w:start w:val="1"/>
      <w:numFmt w:val="bullet"/>
      <w:lvlText w:val=""/>
      <w:lvlJc w:val="left"/>
      <w:pPr>
        <w:ind w:left="3223" w:hanging="420"/>
      </w:pPr>
      <w:rPr>
        <w:rFonts w:ascii="Wingdings" w:hAnsi="Wingdings" w:hint="default"/>
      </w:rPr>
    </w:lvl>
    <w:lvl w:ilvl="7" w:tplc="0409000B">
      <w:start w:val="1"/>
      <w:numFmt w:val="bullet"/>
      <w:lvlText w:val=""/>
      <w:lvlJc w:val="left"/>
      <w:pPr>
        <w:ind w:left="3643" w:hanging="420"/>
      </w:pPr>
      <w:rPr>
        <w:rFonts w:ascii="Wingdings" w:hAnsi="Wingdings" w:hint="default"/>
      </w:rPr>
    </w:lvl>
    <w:lvl w:ilvl="8" w:tplc="0409000D">
      <w:start w:val="1"/>
      <w:numFmt w:val="bullet"/>
      <w:lvlText w:val=""/>
      <w:lvlJc w:val="left"/>
      <w:pPr>
        <w:ind w:left="4063" w:hanging="420"/>
      </w:pPr>
      <w:rPr>
        <w:rFonts w:ascii="Wingdings" w:hAnsi="Wingdings" w:hint="default"/>
      </w:rPr>
    </w:lvl>
  </w:abstractNum>
  <w:abstractNum w:abstractNumId="63">
    <w:nsid w:val="584E660E"/>
    <w:multiLevelType w:val="hybridMultilevel"/>
    <w:tmpl w:val="6A6076D0"/>
    <w:lvl w:ilvl="0" w:tplc="FB163100">
      <w:start w:val="1"/>
      <w:numFmt w:val="decimal"/>
      <w:lvlText w:val="(%1)"/>
      <w:lvlJc w:val="left"/>
      <w:pPr>
        <w:ind w:left="704" w:hanging="420"/>
      </w:pPr>
      <w:rPr>
        <w:rFonts w:hint="default"/>
      </w:rPr>
    </w:lvl>
    <w:lvl w:ilvl="1" w:tplc="FB163100">
      <w:start w:val="1"/>
      <w:numFmt w:val="decimal"/>
      <w:lvlText w:val="(%2)"/>
      <w:lvlJc w:val="left"/>
      <w:pPr>
        <w:ind w:left="1124" w:hanging="420"/>
      </w:pPr>
      <w:rPr>
        <w:rFonts w:hint="default"/>
      </w:rPr>
    </w:lvl>
    <w:lvl w:ilvl="2" w:tplc="635A088C">
      <w:start w:val="2"/>
      <w:numFmt w:val="decimal"/>
      <w:lvlText w:val="%3."/>
      <w:lvlJc w:val="left"/>
      <w:pPr>
        <w:ind w:left="1484" w:hanging="360"/>
      </w:pPr>
      <w:rPr>
        <w:rFonts w:eastAsia="MS Mincho"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4">
    <w:nsid w:val="586C6B59"/>
    <w:multiLevelType w:val="hybridMultilevel"/>
    <w:tmpl w:val="01A0A6A4"/>
    <w:lvl w:ilvl="0" w:tplc="0409000F">
      <w:start w:val="1"/>
      <w:numFmt w:val="decimal"/>
      <w:lvlText w:val="%1."/>
      <w:lvlJc w:val="left"/>
      <w:pPr>
        <w:ind w:left="420" w:hanging="420"/>
      </w:pPr>
    </w:lvl>
    <w:lvl w:ilvl="1" w:tplc="6844694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587001AD"/>
    <w:multiLevelType w:val="hybridMultilevel"/>
    <w:tmpl w:val="FE50FA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8AE51FF"/>
    <w:multiLevelType w:val="hybridMultilevel"/>
    <w:tmpl w:val="C422D146"/>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595B3189"/>
    <w:multiLevelType w:val="hybridMultilevel"/>
    <w:tmpl w:val="1C205BBA"/>
    <w:lvl w:ilvl="0" w:tplc="08090001">
      <w:start w:val="1"/>
      <w:numFmt w:val="bullet"/>
      <w:lvlText w:val=""/>
      <w:lvlJc w:val="left"/>
      <w:pPr>
        <w:ind w:left="420" w:hanging="42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8">
    <w:nsid w:val="5A44395F"/>
    <w:multiLevelType w:val="hybridMultilevel"/>
    <w:tmpl w:val="57C8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CD75B72"/>
    <w:multiLevelType w:val="hybridMultilevel"/>
    <w:tmpl w:val="E86050CE"/>
    <w:lvl w:ilvl="0" w:tplc="08090001">
      <w:start w:val="1"/>
      <w:numFmt w:val="bullet"/>
      <w:lvlText w:val=""/>
      <w:lvlJc w:val="left"/>
      <w:pPr>
        <w:ind w:left="700" w:hanging="42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0">
    <w:nsid w:val="5DAE1CD0"/>
    <w:multiLevelType w:val="hybridMultilevel"/>
    <w:tmpl w:val="1F2C461E"/>
    <w:lvl w:ilvl="0" w:tplc="08090001">
      <w:start w:val="1"/>
      <w:numFmt w:val="bullet"/>
      <w:lvlText w:val=""/>
      <w:lvlJc w:val="left"/>
      <w:pPr>
        <w:ind w:left="642" w:hanging="360"/>
      </w:pPr>
      <w:rPr>
        <w:rFonts w:ascii="Symbol" w:hAnsi="Symbol"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71">
    <w:nsid w:val="5FEB0561"/>
    <w:multiLevelType w:val="hybridMultilevel"/>
    <w:tmpl w:val="1A1E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0822B5B"/>
    <w:multiLevelType w:val="hybridMultilevel"/>
    <w:tmpl w:val="D590A230"/>
    <w:lvl w:ilvl="0" w:tplc="08090001">
      <w:start w:val="1"/>
      <w:numFmt w:val="bullet"/>
      <w:lvlText w:val=""/>
      <w:lvlJc w:val="left"/>
      <w:pPr>
        <w:ind w:left="702" w:hanging="420"/>
      </w:pPr>
      <w:rPr>
        <w:rFonts w:ascii="Symbol" w:hAnsi="Symbol"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73">
    <w:nsid w:val="6455555B"/>
    <w:multiLevelType w:val="hybridMultilevel"/>
    <w:tmpl w:val="AD4E10A6"/>
    <w:lvl w:ilvl="0" w:tplc="0809000B">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4">
    <w:nsid w:val="645C619C"/>
    <w:multiLevelType w:val="hybridMultilevel"/>
    <w:tmpl w:val="F306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9675F11"/>
    <w:multiLevelType w:val="hybridMultilevel"/>
    <w:tmpl w:val="D9D68052"/>
    <w:lvl w:ilvl="0" w:tplc="08090001">
      <w:start w:val="1"/>
      <w:numFmt w:val="bullet"/>
      <w:lvlText w:val=""/>
      <w:lvlJc w:val="left"/>
      <w:pPr>
        <w:ind w:left="1002" w:hanging="360"/>
      </w:pPr>
      <w:rPr>
        <w:rFonts w:ascii="Symbol" w:hAnsi="Symbol" w:hint="default"/>
      </w:rPr>
    </w:lvl>
    <w:lvl w:ilvl="1" w:tplc="08090003">
      <w:start w:val="1"/>
      <w:numFmt w:val="bullet"/>
      <w:lvlText w:val="o"/>
      <w:lvlJc w:val="left"/>
      <w:pPr>
        <w:ind w:left="1722" w:hanging="360"/>
      </w:pPr>
      <w:rPr>
        <w:rFonts w:ascii="Courier New" w:hAnsi="Courier New" w:cs="Courier New" w:hint="default"/>
      </w:rPr>
    </w:lvl>
    <w:lvl w:ilvl="2" w:tplc="08090005">
      <w:start w:val="1"/>
      <w:numFmt w:val="bullet"/>
      <w:lvlText w:val=""/>
      <w:lvlJc w:val="left"/>
      <w:pPr>
        <w:ind w:left="2442" w:hanging="360"/>
      </w:pPr>
      <w:rPr>
        <w:rFonts w:ascii="Wingdings" w:hAnsi="Wingdings" w:hint="default"/>
      </w:rPr>
    </w:lvl>
    <w:lvl w:ilvl="3" w:tplc="08090001">
      <w:start w:val="1"/>
      <w:numFmt w:val="bullet"/>
      <w:lvlText w:val=""/>
      <w:lvlJc w:val="left"/>
      <w:pPr>
        <w:ind w:left="3162" w:hanging="360"/>
      </w:pPr>
      <w:rPr>
        <w:rFonts w:ascii="Symbol" w:hAnsi="Symbol" w:hint="default"/>
      </w:rPr>
    </w:lvl>
    <w:lvl w:ilvl="4" w:tplc="08090003">
      <w:start w:val="1"/>
      <w:numFmt w:val="bullet"/>
      <w:lvlText w:val="o"/>
      <w:lvlJc w:val="left"/>
      <w:pPr>
        <w:ind w:left="3882" w:hanging="360"/>
      </w:pPr>
      <w:rPr>
        <w:rFonts w:ascii="Courier New" w:hAnsi="Courier New" w:cs="Courier New" w:hint="default"/>
      </w:rPr>
    </w:lvl>
    <w:lvl w:ilvl="5" w:tplc="08090005">
      <w:start w:val="1"/>
      <w:numFmt w:val="bullet"/>
      <w:lvlText w:val=""/>
      <w:lvlJc w:val="left"/>
      <w:pPr>
        <w:ind w:left="4602" w:hanging="360"/>
      </w:pPr>
      <w:rPr>
        <w:rFonts w:ascii="Wingdings" w:hAnsi="Wingdings" w:hint="default"/>
      </w:rPr>
    </w:lvl>
    <w:lvl w:ilvl="6" w:tplc="08090001">
      <w:start w:val="1"/>
      <w:numFmt w:val="bullet"/>
      <w:lvlText w:val=""/>
      <w:lvlJc w:val="left"/>
      <w:pPr>
        <w:ind w:left="5322" w:hanging="360"/>
      </w:pPr>
      <w:rPr>
        <w:rFonts w:ascii="Symbol" w:hAnsi="Symbol" w:hint="default"/>
      </w:rPr>
    </w:lvl>
    <w:lvl w:ilvl="7" w:tplc="08090003">
      <w:start w:val="1"/>
      <w:numFmt w:val="bullet"/>
      <w:lvlText w:val="o"/>
      <w:lvlJc w:val="left"/>
      <w:pPr>
        <w:ind w:left="6042" w:hanging="360"/>
      </w:pPr>
      <w:rPr>
        <w:rFonts w:ascii="Courier New" w:hAnsi="Courier New" w:cs="Courier New" w:hint="default"/>
      </w:rPr>
    </w:lvl>
    <w:lvl w:ilvl="8" w:tplc="08090005">
      <w:start w:val="1"/>
      <w:numFmt w:val="bullet"/>
      <w:lvlText w:val=""/>
      <w:lvlJc w:val="left"/>
      <w:pPr>
        <w:ind w:left="6762" w:hanging="360"/>
      </w:pPr>
      <w:rPr>
        <w:rFonts w:ascii="Wingdings" w:hAnsi="Wingdings" w:hint="default"/>
      </w:rPr>
    </w:lvl>
  </w:abstractNum>
  <w:abstractNum w:abstractNumId="76">
    <w:nsid w:val="6B2D5F57"/>
    <w:multiLevelType w:val="hybridMultilevel"/>
    <w:tmpl w:val="B8485912"/>
    <w:lvl w:ilvl="0" w:tplc="08090001">
      <w:start w:val="1"/>
      <w:numFmt w:val="bullet"/>
      <w:lvlText w:val=""/>
      <w:lvlJc w:val="left"/>
      <w:pPr>
        <w:ind w:left="702" w:hanging="42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7">
    <w:nsid w:val="6B9E4853"/>
    <w:multiLevelType w:val="hybridMultilevel"/>
    <w:tmpl w:val="BB60F922"/>
    <w:lvl w:ilvl="0" w:tplc="226A95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E534329"/>
    <w:multiLevelType w:val="hybridMultilevel"/>
    <w:tmpl w:val="62282F06"/>
    <w:lvl w:ilvl="0" w:tplc="226A9572">
      <w:start w:val="1"/>
      <w:numFmt w:val="bullet"/>
      <w:lvlText w:val=""/>
      <w:lvlJc w:val="left"/>
      <w:pPr>
        <w:ind w:left="702" w:hanging="420"/>
      </w:pPr>
      <w:rPr>
        <w:rFonts w:ascii="Symbol" w:hAnsi="Symbol"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79">
    <w:nsid w:val="6EE64375"/>
    <w:multiLevelType w:val="hybridMultilevel"/>
    <w:tmpl w:val="3AFC5434"/>
    <w:lvl w:ilvl="0" w:tplc="08090001">
      <w:start w:val="1"/>
      <w:numFmt w:val="bullet"/>
      <w:lvlText w:val=""/>
      <w:lvlJc w:val="left"/>
      <w:pPr>
        <w:ind w:left="702" w:hanging="420"/>
      </w:pPr>
      <w:rPr>
        <w:rFonts w:ascii="Symbol" w:hAnsi="Symbol" w:hint="default"/>
      </w:rPr>
    </w:lvl>
    <w:lvl w:ilvl="1" w:tplc="0409000B">
      <w:start w:val="1"/>
      <w:numFmt w:val="bullet"/>
      <w:lvlText w:val=""/>
      <w:lvlJc w:val="left"/>
      <w:pPr>
        <w:ind w:left="1122" w:hanging="420"/>
      </w:pPr>
      <w:rPr>
        <w:rFonts w:ascii="Wingdings" w:hAnsi="Wingdings" w:hint="default"/>
      </w:rPr>
    </w:lvl>
    <w:lvl w:ilvl="2" w:tplc="0409000D">
      <w:start w:val="1"/>
      <w:numFmt w:val="bullet"/>
      <w:lvlText w:val=""/>
      <w:lvlJc w:val="left"/>
      <w:pPr>
        <w:ind w:left="1542" w:hanging="420"/>
      </w:pPr>
      <w:rPr>
        <w:rFonts w:ascii="Wingdings" w:hAnsi="Wingdings" w:hint="default"/>
      </w:rPr>
    </w:lvl>
    <w:lvl w:ilvl="3" w:tplc="04090001">
      <w:start w:val="1"/>
      <w:numFmt w:val="bullet"/>
      <w:lvlText w:val=""/>
      <w:lvlJc w:val="left"/>
      <w:pPr>
        <w:ind w:left="1962" w:hanging="420"/>
      </w:pPr>
      <w:rPr>
        <w:rFonts w:ascii="Wingdings" w:hAnsi="Wingdings" w:hint="default"/>
      </w:rPr>
    </w:lvl>
    <w:lvl w:ilvl="4" w:tplc="0409000B">
      <w:start w:val="1"/>
      <w:numFmt w:val="bullet"/>
      <w:lvlText w:val=""/>
      <w:lvlJc w:val="left"/>
      <w:pPr>
        <w:ind w:left="2382" w:hanging="420"/>
      </w:pPr>
      <w:rPr>
        <w:rFonts w:ascii="Wingdings" w:hAnsi="Wingdings" w:hint="default"/>
      </w:rPr>
    </w:lvl>
    <w:lvl w:ilvl="5" w:tplc="0409000D">
      <w:start w:val="1"/>
      <w:numFmt w:val="bullet"/>
      <w:lvlText w:val=""/>
      <w:lvlJc w:val="left"/>
      <w:pPr>
        <w:ind w:left="2802" w:hanging="420"/>
      </w:pPr>
      <w:rPr>
        <w:rFonts w:ascii="Wingdings" w:hAnsi="Wingdings" w:hint="default"/>
      </w:rPr>
    </w:lvl>
    <w:lvl w:ilvl="6" w:tplc="04090001">
      <w:start w:val="1"/>
      <w:numFmt w:val="bullet"/>
      <w:lvlText w:val=""/>
      <w:lvlJc w:val="left"/>
      <w:pPr>
        <w:ind w:left="3222" w:hanging="420"/>
      </w:pPr>
      <w:rPr>
        <w:rFonts w:ascii="Wingdings" w:hAnsi="Wingdings" w:hint="default"/>
      </w:rPr>
    </w:lvl>
    <w:lvl w:ilvl="7" w:tplc="0409000B">
      <w:start w:val="1"/>
      <w:numFmt w:val="bullet"/>
      <w:lvlText w:val=""/>
      <w:lvlJc w:val="left"/>
      <w:pPr>
        <w:ind w:left="3642" w:hanging="420"/>
      </w:pPr>
      <w:rPr>
        <w:rFonts w:ascii="Wingdings" w:hAnsi="Wingdings" w:hint="default"/>
      </w:rPr>
    </w:lvl>
    <w:lvl w:ilvl="8" w:tplc="0409000D">
      <w:start w:val="1"/>
      <w:numFmt w:val="bullet"/>
      <w:lvlText w:val=""/>
      <w:lvlJc w:val="left"/>
      <w:pPr>
        <w:ind w:left="4062" w:hanging="420"/>
      </w:pPr>
      <w:rPr>
        <w:rFonts w:ascii="Wingdings" w:hAnsi="Wingdings" w:hint="default"/>
      </w:rPr>
    </w:lvl>
  </w:abstractNum>
  <w:abstractNum w:abstractNumId="80">
    <w:nsid w:val="6EEC11E2"/>
    <w:multiLevelType w:val="hybridMultilevel"/>
    <w:tmpl w:val="A09C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F1C54DC"/>
    <w:multiLevelType w:val="hybridMultilevel"/>
    <w:tmpl w:val="8C30A012"/>
    <w:lvl w:ilvl="0" w:tplc="08090001">
      <w:start w:val="1"/>
      <w:numFmt w:val="bullet"/>
      <w:lvlText w:val=""/>
      <w:lvlJc w:val="left"/>
      <w:pPr>
        <w:ind w:left="420" w:hanging="420"/>
      </w:pPr>
      <w:rPr>
        <w:rFonts w:ascii="Symbol" w:hAnsi="Symbol" w:hint="default"/>
        <w:color w:val="auto"/>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2">
    <w:nsid w:val="6F9916D8"/>
    <w:multiLevelType w:val="hybridMultilevel"/>
    <w:tmpl w:val="9CEC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FD21F67"/>
    <w:multiLevelType w:val="hybridMultilevel"/>
    <w:tmpl w:val="BE28AC44"/>
    <w:lvl w:ilvl="0" w:tplc="08090001">
      <w:start w:val="1"/>
      <w:numFmt w:val="bullet"/>
      <w:lvlText w:val=""/>
      <w:lvlJc w:val="left"/>
      <w:pPr>
        <w:ind w:left="644" w:hanging="360"/>
      </w:pPr>
      <w:rPr>
        <w:rFonts w:ascii="Symbol" w:hAnsi="Symbo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4">
    <w:nsid w:val="705363CB"/>
    <w:multiLevelType w:val="hybridMultilevel"/>
    <w:tmpl w:val="37C2957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5">
    <w:nsid w:val="724F7FD6"/>
    <w:multiLevelType w:val="hybridMultilevel"/>
    <w:tmpl w:val="162CDB7C"/>
    <w:lvl w:ilvl="0" w:tplc="226A957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nsid w:val="72AB50B8"/>
    <w:multiLevelType w:val="hybridMultilevel"/>
    <w:tmpl w:val="ADCA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2D11ACF"/>
    <w:multiLevelType w:val="hybridMultilevel"/>
    <w:tmpl w:val="153AD6B0"/>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nsid w:val="74552B84"/>
    <w:multiLevelType w:val="hybridMultilevel"/>
    <w:tmpl w:val="450A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52142AF"/>
    <w:multiLevelType w:val="hybridMultilevel"/>
    <w:tmpl w:val="D624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6961E5E"/>
    <w:multiLevelType w:val="hybridMultilevel"/>
    <w:tmpl w:val="7D3E1034"/>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nsid w:val="77152D7F"/>
    <w:multiLevelType w:val="hybridMultilevel"/>
    <w:tmpl w:val="46EEACBE"/>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nsid w:val="78582A13"/>
    <w:multiLevelType w:val="hybridMultilevel"/>
    <w:tmpl w:val="9626AD80"/>
    <w:lvl w:ilvl="0" w:tplc="08090001">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3">
    <w:nsid w:val="788B396E"/>
    <w:multiLevelType w:val="hybridMultilevel"/>
    <w:tmpl w:val="CFD2695C"/>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nsid w:val="7A8B7723"/>
    <w:multiLevelType w:val="hybridMultilevel"/>
    <w:tmpl w:val="88FA646A"/>
    <w:lvl w:ilvl="0" w:tplc="08090001">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5">
    <w:nsid w:val="7B0C5A0C"/>
    <w:multiLevelType w:val="hybridMultilevel"/>
    <w:tmpl w:val="5A46B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7CAD5847"/>
    <w:multiLevelType w:val="hybridMultilevel"/>
    <w:tmpl w:val="E5D6D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D811FCB"/>
    <w:multiLevelType w:val="hybridMultilevel"/>
    <w:tmpl w:val="41500E26"/>
    <w:lvl w:ilvl="0" w:tplc="792AC766">
      <w:start w:val="1"/>
      <w:numFmt w:val="decimal"/>
      <w:lvlText w:val="%1)"/>
      <w:lvlJc w:val="left"/>
      <w:pPr>
        <w:ind w:left="644" w:hanging="360"/>
      </w:pPr>
      <w:rPr>
        <w:rFonts w:eastAsia="MS Mincho"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5"/>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55"/>
  </w:num>
  <w:num w:numId="1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62"/>
  </w:num>
  <w:num w:numId="21">
    <w:abstractNumId w:val="21"/>
  </w:num>
  <w:num w:numId="22">
    <w:abstractNumId w:val="10"/>
  </w:num>
  <w:num w:numId="23">
    <w:abstractNumId w:val="87"/>
  </w:num>
  <w:num w:numId="24">
    <w:abstractNumId w:val="11"/>
  </w:num>
  <w:num w:numId="25">
    <w:abstractNumId w:val="43"/>
  </w:num>
  <w:num w:numId="26">
    <w:abstractNumId w:val="93"/>
  </w:num>
  <w:num w:numId="27">
    <w:abstractNumId w:val="79"/>
  </w:num>
  <w:num w:numId="28">
    <w:abstractNumId w:val="75"/>
  </w:num>
  <w:num w:numId="29">
    <w:abstractNumId w:val="12"/>
  </w:num>
  <w:num w:numId="30">
    <w:abstractNumId w:val="36"/>
  </w:num>
  <w:num w:numId="31">
    <w:abstractNumId w:val="26"/>
  </w:num>
  <w:num w:numId="32">
    <w:abstractNumId w:val="58"/>
  </w:num>
  <w:num w:numId="33">
    <w:abstractNumId w:val="29"/>
  </w:num>
  <w:num w:numId="34">
    <w:abstractNumId w:val="16"/>
  </w:num>
  <w:num w:numId="35">
    <w:abstractNumId w:val="78"/>
  </w:num>
  <w:num w:numId="36">
    <w:abstractNumId w:val="74"/>
  </w:num>
  <w:num w:numId="37">
    <w:abstractNumId w:val="72"/>
  </w:num>
  <w:num w:numId="38">
    <w:abstractNumId w:val="46"/>
  </w:num>
  <w:num w:numId="39">
    <w:abstractNumId w:val="30"/>
  </w:num>
  <w:num w:numId="40">
    <w:abstractNumId w:val="35"/>
  </w:num>
  <w:num w:numId="41">
    <w:abstractNumId w:val="66"/>
  </w:num>
  <w:num w:numId="42">
    <w:abstractNumId w:val="91"/>
  </w:num>
  <w:num w:numId="43">
    <w:abstractNumId w:val="7"/>
  </w:num>
  <w:num w:numId="44">
    <w:abstractNumId w:val="1"/>
  </w:num>
  <w:num w:numId="45">
    <w:abstractNumId w:val="90"/>
  </w:num>
  <w:num w:numId="46">
    <w:abstractNumId w:val="3"/>
  </w:num>
  <w:num w:numId="47">
    <w:abstractNumId w:val="34"/>
  </w:num>
  <w:num w:numId="48">
    <w:abstractNumId w:val="84"/>
  </w:num>
  <w:num w:numId="49">
    <w:abstractNumId w:val="60"/>
  </w:num>
  <w:num w:numId="50">
    <w:abstractNumId w:val="73"/>
  </w:num>
  <w:num w:numId="51">
    <w:abstractNumId w:val="37"/>
  </w:num>
  <w:num w:numId="52">
    <w:abstractNumId w:val="13"/>
  </w:num>
  <w:num w:numId="53">
    <w:abstractNumId w:val="17"/>
  </w:num>
  <w:num w:numId="54">
    <w:abstractNumId w:val="64"/>
  </w:num>
  <w:num w:numId="55">
    <w:abstractNumId w:val="63"/>
  </w:num>
  <w:num w:numId="56">
    <w:abstractNumId w:val="14"/>
  </w:num>
  <w:num w:numId="57">
    <w:abstractNumId w:val="38"/>
  </w:num>
  <w:num w:numId="58">
    <w:abstractNumId w:val="59"/>
  </w:num>
  <w:num w:numId="59">
    <w:abstractNumId w:val="85"/>
  </w:num>
  <w:num w:numId="60">
    <w:abstractNumId w:val="77"/>
  </w:num>
  <w:num w:numId="61">
    <w:abstractNumId w:val="32"/>
  </w:num>
  <w:num w:numId="62">
    <w:abstractNumId w:val="49"/>
  </w:num>
  <w:num w:numId="63">
    <w:abstractNumId w:val="39"/>
  </w:num>
  <w:num w:numId="64">
    <w:abstractNumId w:val="97"/>
  </w:num>
  <w:num w:numId="65">
    <w:abstractNumId w:val="68"/>
  </w:num>
  <w:num w:numId="66">
    <w:abstractNumId w:val="5"/>
  </w:num>
  <w:num w:numId="67">
    <w:abstractNumId w:val="40"/>
  </w:num>
  <w:num w:numId="68">
    <w:abstractNumId w:val="9"/>
  </w:num>
  <w:num w:numId="69">
    <w:abstractNumId w:val="2"/>
  </w:num>
  <w:num w:numId="70">
    <w:abstractNumId w:val="80"/>
  </w:num>
  <w:num w:numId="71">
    <w:abstractNumId w:val="88"/>
  </w:num>
  <w:num w:numId="72">
    <w:abstractNumId w:val="54"/>
  </w:num>
  <w:num w:numId="73">
    <w:abstractNumId w:val="0"/>
  </w:num>
  <w:num w:numId="74">
    <w:abstractNumId w:val="6"/>
  </w:num>
  <w:num w:numId="75">
    <w:abstractNumId w:val="22"/>
  </w:num>
  <w:num w:numId="76">
    <w:abstractNumId w:val="44"/>
  </w:num>
  <w:num w:numId="77">
    <w:abstractNumId w:val="57"/>
  </w:num>
  <w:num w:numId="78">
    <w:abstractNumId w:val="42"/>
  </w:num>
  <w:num w:numId="79">
    <w:abstractNumId w:val="51"/>
  </w:num>
  <w:num w:numId="80">
    <w:abstractNumId w:val="82"/>
  </w:num>
  <w:num w:numId="81">
    <w:abstractNumId w:val="76"/>
  </w:num>
  <w:num w:numId="82">
    <w:abstractNumId w:val="71"/>
  </w:num>
  <w:num w:numId="83">
    <w:abstractNumId w:val="89"/>
  </w:num>
  <w:num w:numId="84">
    <w:abstractNumId w:val="96"/>
  </w:num>
  <w:num w:numId="85">
    <w:abstractNumId w:val="48"/>
  </w:num>
  <w:num w:numId="86">
    <w:abstractNumId w:val="18"/>
  </w:num>
  <w:num w:numId="87">
    <w:abstractNumId w:val="53"/>
  </w:num>
  <w:num w:numId="88">
    <w:abstractNumId w:val="65"/>
  </w:num>
  <w:num w:numId="89">
    <w:abstractNumId w:val="8"/>
  </w:num>
  <w:num w:numId="90">
    <w:abstractNumId w:val="95"/>
  </w:num>
  <w:num w:numId="91">
    <w:abstractNumId w:val="20"/>
  </w:num>
  <w:num w:numId="92">
    <w:abstractNumId w:val="86"/>
  </w:num>
  <w:num w:numId="93">
    <w:abstractNumId w:val="83"/>
  </w:num>
  <w:num w:numId="94">
    <w:abstractNumId w:val="25"/>
  </w:num>
  <w:num w:numId="95">
    <w:abstractNumId w:val="45"/>
  </w:num>
  <w:num w:numId="96">
    <w:abstractNumId w:val="47"/>
  </w:num>
  <w:num w:numId="97">
    <w:abstractNumId w:val="28"/>
  </w:num>
  <w:num w:numId="98">
    <w:abstractNumId w:val="33"/>
  </w:num>
  <w:num w:numId="99">
    <w:abstractNumId w:val="70"/>
  </w:num>
  <w:num w:numId="100">
    <w:abstractNumId w:val="5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defaultTabStop w:val="720"/>
  <w:drawingGridHorizontalSpacing w:val="227"/>
  <w:drawingGridVerticalSpacing w:val="246"/>
  <w:displayVerticalDrawingGridEvery w:val="2"/>
  <w:characterSpacingControl w:val="doNotCompress"/>
  <w:hdrShapeDefaults>
    <o:shapedefaults v:ext="edit" spidmax="1976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C0"/>
    <w:rsid w:val="000027FC"/>
    <w:rsid w:val="000037B3"/>
    <w:rsid w:val="00003E91"/>
    <w:rsid w:val="00005916"/>
    <w:rsid w:val="00007FCE"/>
    <w:rsid w:val="000111B1"/>
    <w:rsid w:val="00011D77"/>
    <w:rsid w:val="0001334E"/>
    <w:rsid w:val="00013CD2"/>
    <w:rsid w:val="00014E6A"/>
    <w:rsid w:val="000169C9"/>
    <w:rsid w:val="00016CD3"/>
    <w:rsid w:val="0001797C"/>
    <w:rsid w:val="00017A6F"/>
    <w:rsid w:val="00020563"/>
    <w:rsid w:val="0002088F"/>
    <w:rsid w:val="00021A98"/>
    <w:rsid w:val="00021C97"/>
    <w:rsid w:val="000222E9"/>
    <w:rsid w:val="0002256B"/>
    <w:rsid w:val="00023371"/>
    <w:rsid w:val="000248A5"/>
    <w:rsid w:val="00024D65"/>
    <w:rsid w:val="00027D04"/>
    <w:rsid w:val="00031439"/>
    <w:rsid w:val="000314A4"/>
    <w:rsid w:val="00031DAA"/>
    <w:rsid w:val="00032C31"/>
    <w:rsid w:val="000336D5"/>
    <w:rsid w:val="000341F0"/>
    <w:rsid w:val="00034D68"/>
    <w:rsid w:val="0003567A"/>
    <w:rsid w:val="000357A5"/>
    <w:rsid w:val="00035979"/>
    <w:rsid w:val="00035A93"/>
    <w:rsid w:val="00035CC3"/>
    <w:rsid w:val="00037088"/>
    <w:rsid w:val="0004014F"/>
    <w:rsid w:val="000401BC"/>
    <w:rsid w:val="000420FB"/>
    <w:rsid w:val="000423AB"/>
    <w:rsid w:val="0004253E"/>
    <w:rsid w:val="0004277A"/>
    <w:rsid w:val="000431F3"/>
    <w:rsid w:val="00043B44"/>
    <w:rsid w:val="00043B5D"/>
    <w:rsid w:val="000451D9"/>
    <w:rsid w:val="000452AB"/>
    <w:rsid w:val="000454CC"/>
    <w:rsid w:val="00046773"/>
    <w:rsid w:val="000470BB"/>
    <w:rsid w:val="000506DE"/>
    <w:rsid w:val="00050899"/>
    <w:rsid w:val="00050AB3"/>
    <w:rsid w:val="00050D4B"/>
    <w:rsid w:val="00051F74"/>
    <w:rsid w:val="00052520"/>
    <w:rsid w:val="00053A7E"/>
    <w:rsid w:val="00053FD0"/>
    <w:rsid w:val="00055B37"/>
    <w:rsid w:val="00055D80"/>
    <w:rsid w:val="00056BBE"/>
    <w:rsid w:val="000579A2"/>
    <w:rsid w:val="00061126"/>
    <w:rsid w:val="00062448"/>
    <w:rsid w:val="00062A84"/>
    <w:rsid w:val="00062E44"/>
    <w:rsid w:val="000636B5"/>
    <w:rsid w:val="00064E04"/>
    <w:rsid w:val="00064FE3"/>
    <w:rsid w:val="00065F6E"/>
    <w:rsid w:val="0006668F"/>
    <w:rsid w:val="00066A3D"/>
    <w:rsid w:val="000704BD"/>
    <w:rsid w:val="00070522"/>
    <w:rsid w:val="00070B8C"/>
    <w:rsid w:val="000717B0"/>
    <w:rsid w:val="00071CF3"/>
    <w:rsid w:val="000721A5"/>
    <w:rsid w:val="000730BF"/>
    <w:rsid w:val="000732C0"/>
    <w:rsid w:val="00073477"/>
    <w:rsid w:val="00073C7D"/>
    <w:rsid w:val="00074448"/>
    <w:rsid w:val="000760C9"/>
    <w:rsid w:val="0007722F"/>
    <w:rsid w:val="0007787A"/>
    <w:rsid w:val="00077A36"/>
    <w:rsid w:val="00077BEB"/>
    <w:rsid w:val="000805D9"/>
    <w:rsid w:val="00081B24"/>
    <w:rsid w:val="00083ACC"/>
    <w:rsid w:val="00084800"/>
    <w:rsid w:val="00084B3B"/>
    <w:rsid w:val="00085595"/>
    <w:rsid w:val="00085BA3"/>
    <w:rsid w:val="00087224"/>
    <w:rsid w:val="00087245"/>
    <w:rsid w:val="00087A8A"/>
    <w:rsid w:val="00087AF9"/>
    <w:rsid w:val="00087FA5"/>
    <w:rsid w:val="00091BAD"/>
    <w:rsid w:val="0009242A"/>
    <w:rsid w:val="00092C79"/>
    <w:rsid w:val="000935B7"/>
    <w:rsid w:val="0009388D"/>
    <w:rsid w:val="000951A1"/>
    <w:rsid w:val="00095BAA"/>
    <w:rsid w:val="00096669"/>
    <w:rsid w:val="00096808"/>
    <w:rsid w:val="000A2AF4"/>
    <w:rsid w:val="000A3108"/>
    <w:rsid w:val="000A3379"/>
    <w:rsid w:val="000A5CF8"/>
    <w:rsid w:val="000A623E"/>
    <w:rsid w:val="000A63C3"/>
    <w:rsid w:val="000A73B5"/>
    <w:rsid w:val="000A767F"/>
    <w:rsid w:val="000B07F2"/>
    <w:rsid w:val="000B0E28"/>
    <w:rsid w:val="000B16FC"/>
    <w:rsid w:val="000B1DF9"/>
    <w:rsid w:val="000B284D"/>
    <w:rsid w:val="000B34C1"/>
    <w:rsid w:val="000B37E9"/>
    <w:rsid w:val="000B3C46"/>
    <w:rsid w:val="000B3D77"/>
    <w:rsid w:val="000B44F7"/>
    <w:rsid w:val="000B470B"/>
    <w:rsid w:val="000B4A1C"/>
    <w:rsid w:val="000B6055"/>
    <w:rsid w:val="000B702F"/>
    <w:rsid w:val="000B7664"/>
    <w:rsid w:val="000C1738"/>
    <w:rsid w:val="000C241B"/>
    <w:rsid w:val="000C3C73"/>
    <w:rsid w:val="000C446F"/>
    <w:rsid w:val="000C53C9"/>
    <w:rsid w:val="000C5C96"/>
    <w:rsid w:val="000C5F85"/>
    <w:rsid w:val="000C6846"/>
    <w:rsid w:val="000C6D35"/>
    <w:rsid w:val="000C6E3C"/>
    <w:rsid w:val="000C7243"/>
    <w:rsid w:val="000D030D"/>
    <w:rsid w:val="000D0A7D"/>
    <w:rsid w:val="000D1766"/>
    <w:rsid w:val="000D2473"/>
    <w:rsid w:val="000D2AAB"/>
    <w:rsid w:val="000D3149"/>
    <w:rsid w:val="000D3C1D"/>
    <w:rsid w:val="000D42F8"/>
    <w:rsid w:val="000D4BBF"/>
    <w:rsid w:val="000D59C9"/>
    <w:rsid w:val="000D5D22"/>
    <w:rsid w:val="000D6849"/>
    <w:rsid w:val="000D7B39"/>
    <w:rsid w:val="000E097F"/>
    <w:rsid w:val="000E0BF7"/>
    <w:rsid w:val="000E1571"/>
    <w:rsid w:val="000E26BA"/>
    <w:rsid w:val="000E4E6B"/>
    <w:rsid w:val="000E59B4"/>
    <w:rsid w:val="000E5CDC"/>
    <w:rsid w:val="000E6505"/>
    <w:rsid w:val="000E6BE0"/>
    <w:rsid w:val="000E7363"/>
    <w:rsid w:val="000E77A3"/>
    <w:rsid w:val="000E7D45"/>
    <w:rsid w:val="000F17C7"/>
    <w:rsid w:val="000F3181"/>
    <w:rsid w:val="000F3BC3"/>
    <w:rsid w:val="000F4B1C"/>
    <w:rsid w:val="000F4DDF"/>
    <w:rsid w:val="000F536A"/>
    <w:rsid w:val="000F6355"/>
    <w:rsid w:val="000F68EE"/>
    <w:rsid w:val="000F6BAF"/>
    <w:rsid w:val="000F78D8"/>
    <w:rsid w:val="00100652"/>
    <w:rsid w:val="0010178E"/>
    <w:rsid w:val="00101AA4"/>
    <w:rsid w:val="00104140"/>
    <w:rsid w:val="0010521C"/>
    <w:rsid w:val="00105FC5"/>
    <w:rsid w:val="001064EB"/>
    <w:rsid w:val="00107249"/>
    <w:rsid w:val="0010784D"/>
    <w:rsid w:val="001109B3"/>
    <w:rsid w:val="00110A7E"/>
    <w:rsid w:val="00111079"/>
    <w:rsid w:val="00113980"/>
    <w:rsid w:val="0011504D"/>
    <w:rsid w:val="00115AB6"/>
    <w:rsid w:val="001171EA"/>
    <w:rsid w:val="00117906"/>
    <w:rsid w:val="0012098D"/>
    <w:rsid w:val="00122962"/>
    <w:rsid w:val="00123D7F"/>
    <w:rsid w:val="001243D4"/>
    <w:rsid w:val="0012539E"/>
    <w:rsid w:val="001264E6"/>
    <w:rsid w:val="00126822"/>
    <w:rsid w:val="0012684C"/>
    <w:rsid w:val="001300EC"/>
    <w:rsid w:val="001335AC"/>
    <w:rsid w:val="00133CBC"/>
    <w:rsid w:val="001347DE"/>
    <w:rsid w:val="00134FA3"/>
    <w:rsid w:val="001368B0"/>
    <w:rsid w:val="00136ED3"/>
    <w:rsid w:val="00141399"/>
    <w:rsid w:val="0014150B"/>
    <w:rsid w:val="00141B20"/>
    <w:rsid w:val="0014273F"/>
    <w:rsid w:val="00142E8B"/>
    <w:rsid w:val="00142F3E"/>
    <w:rsid w:val="00143744"/>
    <w:rsid w:val="00143D16"/>
    <w:rsid w:val="001457DF"/>
    <w:rsid w:val="00145AD6"/>
    <w:rsid w:val="0014653E"/>
    <w:rsid w:val="00147583"/>
    <w:rsid w:val="00147E99"/>
    <w:rsid w:val="0015073C"/>
    <w:rsid w:val="00150CA4"/>
    <w:rsid w:val="00151346"/>
    <w:rsid w:val="00151433"/>
    <w:rsid w:val="00151BB5"/>
    <w:rsid w:val="00152035"/>
    <w:rsid w:val="001520A3"/>
    <w:rsid w:val="0015226C"/>
    <w:rsid w:val="0015304A"/>
    <w:rsid w:val="00153342"/>
    <w:rsid w:val="0015338F"/>
    <w:rsid w:val="001539C9"/>
    <w:rsid w:val="0015452E"/>
    <w:rsid w:val="00155044"/>
    <w:rsid w:val="001550FE"/>
    <w:rsid w:val="001562C3"/>
    <w:rsid w:val="001571CE"/>
    <w:rsid w:val="001579BF"/>
    <w:rsid w:val="001602C4"/>
    <w:rsid w:val="00162FB3"/>
    <w:rsid w:val="001638AE"/>
    <w:rsid w:val="00163F58"/>
    <w:rsid w:val="001644AF"/>
    <w:rsid w:val="001646A3"/>
    <w:rsid w:val="001659C7"/>
    <w:rsid w:val="00166B46"/>
    <w:rsid w:val="00167A08"/>
    <w:rsid w:val="0017015C"/>
    <w:rsid w:val="00170842"/>
    <w:rsid w:val="00171455"/>
    <w:rsid w:val="00172756"/>
    <w:rsid w:val="00174075"/>
    <w:rsid w:val="0017425C"/>
    <w:rsid w:val="00174D09"/>
    <w:rsid w:val="00174D0C"/>
    <w:rsid w:val="00174FF7"/>
    <w:rsid w:val="00177B0E"/>
    <w:rsid w:val="001800C9"/>
    <w:rsid w:val="001804DF"/>
    <w:rsid w:val="0018068D"/>
    <w:rsid w:val="00181069"/>
    <w:rsid w:val="001811F5"/>
    <w:rsid w:val="00182115"/>
    <w:rsid w:val="0018441E"/>
    <w:rsid w:val="00184692"/>
    <w:rsid w:val="0019093C"/>
    <w:rsid w:val="00190BD0"/>
    <w:rsid w:val="00190C97"/>
    <w:rsid w:val="001915D8"/>
    <w:rsid w:val="00191BB4"/>
    <w:rsid w:val="001935C0"/>
    <w:rsid w:val="0019603E"/>
    <w:rsid w:val="00196273"/>
    <w:rsid w:val="00196688"/>
    <w:rsid w:val="001973D0"/>
    <w:rsid w:val="001A03CA"/>
    <w:rsid w:val="001A0745"/>
    <w:rsid w:val="001A0E28"/>
    <w:rsid w:val="001A1412"/>
    <w:rsid w:val="001A1532"/>
    <w:rsid w:val="001A2FFA"/>
    <w:rsid w:val="001A4B14"/>
    <w:rsid w:val="001A5425"/>
    <w:rsid w:val="001A5761"/>
    <w:rsid w:val="001A6906"/>
    <w:rsid w:val="001A6F85"/>
    <w:rsid w:val="001A7A6C"/>
    <w:rsid w:val="001B0454"/>
    <w:rsid w:val="001B0F50"/>
    <w:rsid w:val="001B4D52"/>
    <w:rsid w:val="001B5243"/>
    <w:rsid w:val="001B592B"/>
    <w:rsid w:val="001B6A5D"/>
    <w:rsid w:val="001B6C05"/>
    <w:rsid w:val="001B71C6"/>
    <w:rsid w:val="001B71E1"/>
    <w:rsid w:val="001B7C74"/>
    <w:rsid w:val="001C0FFC"/>
    <w:rsid w:val="001C285F"/>
    <w:rsid w:val="001C3B8F"/>
    <w:rsid w:val="001C4031"/>
    <w:rsid w:val="001C42B2"/>
    <w:rsid w:val="001C4377"/>
    <w:rsid w:val="001C445C"/>
    <w:rsid w:val="001C47DC"/>
    <w:rsid w:val="001C522B"/>
    <w:rsid w:val="001C58D7"/>
    <w:rsid w:val="001C677D"/>
    <w:rsid w:val="001D000D"/>
    <w:rsid w:val="001D03CC"/>
    <w:rsid w:val="001D0665"/>
    <w:rsid w:val="001D096C"/>
    <w:rsid w:val="001D0D9C"/>
    <w:rsid w:val="001D1B2B"/>
    <w:rsid w:val="001D332C"/>
    <w:rsid w:val="001D3E64"/>
    <w:rsid w:val="001D3FD3"/>
    <w:rsid w:val="001D4235"/>
    <w:rsid w:val="001D7CF7"/>
    <w:rsid w:val="001E06C9"/>
    <w:rsid w:val="001E0784"/>
    <w:rsid w:val="001E0EF7"/>
    <w:rsid w:val="001E2175"/>
    <w:rsid w:val="001E283C"/>
    <w:rsid w:val="001E2BE9"/>
    <w:rsid w:val="001E2D2F"/>
    <w:rsid w:val="001E3A8A"/>
    <w:rsid w:val="001E3E2F"/>
    <w:rsid w:val="001E4181"/>
    <w:rsid w:val="001E4662"/>
    <w:rsid w:val="001E469A"/>
    <w:rsid w:val="001E4717"/>
    <w:rsid w:val="001E4C1D"/>
    <w:rsid w:val="001E636C"/>
    <w:rsid w:val="001E6D75"/>
    <w:rsid w:val="001E75F8"/>
    <w:rsid w:val="001E77B6"/>
    <w:rsid w:val="001E79D8"/>
    <w:rsid w:val="001E7AFB"/>
    <w:rsid w:val="001F0520"/>
    <w:rsid w:val="001F052A"/>
    <w:rsid w:val="001F1A16"/>
    <w:rsid w:val="001F26AC"/>
    <w:rsid w:val="001F27D6"/>
    <w:rsid w:val="001F28B4"/>
    <w:rsid w:val="001F2E80"/>
    <w:rsid w:val="001F2F5A"/>
    <w:rsid w:val="001F3431"/>
    <w:rsid w:val="001F4FD9"/>
    <w:rsid w:val="001F60E2"/>
    <w:rsid w:val="001F6BCE"/>
    <w:rsid w:val="001F74CF"/>
    <w:rsid w:val="00200A6C"/>
    <w:rsid w:val="00200D30"/>
    <w:rsid w:val="00200D81"/>
    <w:rsid w:val="002010C2"/>
    <w:rsid w:val="00201610"/>
    <w:rsid w:val="002042C0"/>
    <w:rsid w:val="00204408"/>
    <w:rsid w:val="00205950"/>
    <w:rsid w:val="00205F43"/>
    <w:rsid w:val="002062AA"/>
    <w:rsid w:val="00206935"/>
    <w:rsid w:val="00206C8E"/>
    <w:rsid w:val="00207226"/>
    <w:rsid w:val="0021008A"/>
    <w:rsid w:val="00214B35"/>
    <w:rsid w:val="0021560B"/>
    <w:rsid w:val="00215625"/>
    <w:rsid w:val="00215C64"/>
    <w:rsid w:val="00215D4F"/>
    <w:rsid w:val="00216FB5"/>
    <w:rsid w:val="002171F8"/>
    <w:rsid w:val="002172E5"/>
    <w:rsid w:val="00217859"/>
    <w:rsid w:val="002216DD"/>
    <w:rsid w:val="002220EE"/>
    <w:rsid w:val="00222152"/>
    <w:rsid w:val="002242E4"/>
    <w:rsid w:val="00224ECF"/>
    <w:rsid w:val="00225383"/>
    <w:rsid w:val="00225450"/>
    <w:rsid w:val="0022595A"/>
    <w:rsid w:val="00226251"/>
    <w:rsid w:val="002269DB"/>
    <w:rsid w:val="00227DF2"/>
    <w:rsid w:val="00230009"/>
    <w:rsid w:val="00231733"/>
    <w:rsid w:val="002320A5"/>
    <w:rsid w:val="0023260E"/>
    <w:rsid w:val="002344BB"/>
    <w:rsid w:val="002350FC"/>
    <w:rsid w:val="002356B4"/>
    <w:rsid w:val="002363F9"/>
    <w:rsid w:val="0023763F"/>
    <w:rsid w:val="002377D3"/>
    <w:rsid w:val="00237D94"/>
    <w:rsid w:val="00240146"/>
    <w:rsid w:val="0024071A"/>
    <w:rsid w:val="00240E99"/>
    <w:rsid w:val="0024144B"/>
    <w:rsid w:val="0024372E"/>
    <w:rsid w:val="00243CC5"/>
    <w:rsid w:val="0024471C"/>
    <w:rsid w:val="00246842"/>
    <w:rsid w:val="00247273"/>
    <w:rsid w:val="002475EA"/>
    <w:rsid w:val="00247BA1"/>
    <w:rsid w:val="002507B8"/>
    <w:rsid w:val="002510DB"/>
    <w:rsid w:val="00251B2C"/>
    <w:rsid w:val="00252BD1"/>
    <w:rsid w:val="002532EF"/>
    <w:rsid w:val="00254271"/>
    <w:rsid w:val="00254BE9"/>
    <w:rsid w:val="002551C1"/>
    <w:rsid w:val="0025552A"/>
    <w:rsid w:val="002556B2"/>
    <w:rsid w:val="0025589C"/>
    <w:rsid w:val="00256546"/>
    <w:rsid w:val="00257E22"/>
    <w:rsid w:val="002612C7"/>
    <w:rsid w:val="0026152D"/>
    <w:rsid w:val="002626EC"/>
    <w:rsid w:val="00263860"/>
    <w:rsid w:val="00264A4F"/>
    <w:rsid w:val="00264F77"/>
    <w:rsid w:val="00265916"/>
    <w:rsid w:val="00265F78"/>
    <w:rsid w:val="00266EF2"/>
    <w:rsid w:val="002706AE"/>
    <w:rsid w:val="002726D5"/>
    <w:rsid w:val="0027292D"/>
    <w:rsid w:val="00273429"/>
    <w:rsid w:val="00273904"/>
    <w:rsid w:val="00274370"/>
    <w:rsid w:val="002747DB"/>
    <w:rsid w:val="00275EC5"/>
    <w:rsid w:val="002778E9"/>
    <w:rsid w:val="0028127E"/>
    <w:rsid w:val="002829AF"/>
    <w:rsid w:val="00282D2E"/>
    <w:rsid w:val="00283648"/>
    <w:rsid w:val="0028393E"/>
    <w:rsid w:val="00283CEA"/>
    <w:rsid w:val="00284256"/>
    <w:rsid w:val="00284A6C"/>
    <w:rsid w:val="00284E39"/>
    <w:rsid w:val="00285E12"/>
    <w:rsid w:val="00286683"/>
    <w:rsid w:val="00286A1C"/>
    <w:rsid w:val="00286FDC"/>
    <w:rsid w:val="002902A0"/>
    <w:rsid w:val="00292086"/>
    <w:rsid w:val="0029212C"/>
    <w:rsid w:val="00292E48"/>
    <w:rsid w:val="00292EAC"/>
    <w:rsid w:val="002933EC"/>
    <w:rsid w:val="0029359C"/>
    <w:rsid w:val="002936C9"/>
    <w:rsid w:val="00293CA8"/>
    <w:rsid w:val="00293E38"/>
    <w:rsid w:val="002940F3"/>
    <w:rsid w:val="0029558D"/>
    <w:rsid w:val="00295AE8"/>
    <w:rsid w:val="00295E82"/>
    <w:rsid w:val="002972DA"/>
    <w:rsid w:val="00297C44"/>
    <w:rsid w:val="002A0576"/>
    <w:rsid w:val="002A1587"/>
    <w:rsid w:val="002A2BCF"/>
    <w:rsid w:val="002A2C36"/>
    <w:rsid w:val="002A316D"/>
    <w:rsid w:val="002A3266"/>
    <w:rsid w:val="002A3497"/>
    <w:rsid w:val="002A3761"/>
    <w:rsid w:val="002A3DFF"/>
    <w:rsid w:val="002A4248"/>
    <w:rsid w:val="002A48CF"/>
    <w:rsid w:val="002A52C4"/>
    <w:rsid w:val="002A68EC"/>
    <w:rsid w:val="002A6A86"/>
    <w:rsid w:val="002A7C3B"/>
    <w:rsid w:val="002B0981"/>
    <w:rsid w:val="002B0F2F"/>
    <w:rsid w:val="002B2B2F"/>
    <w:rsid w:val="002B2CF6"/>
    <w:rsid w:val="002B381B"/>
    <w:rsid w:val="002B4F75"/>
    <w:rsid w:val="002B54CE"/>
    <w:rsid w:val="002B71C6"/>
    <w:rsid w:val="002B756E"/>
    <w:rsid w:val="002B77E4"/>
    <w:rsid w:val="002B79D4"/>
    <w:rsid w:val="002B7EFF"/>
    <w:rsid w:val="002C04BE"/>
    <w:rsid w:val="002C0731"/>
    <w:rsid w:val="002C1B20"/>
    <w:rsid w:val="002C1CD4"/>
    <w:rsid w:val="002C2843"/>
    <w:rsid w:val="002C459A"/>
    <w:rsid w:val="002C52F4"/>
    <w:rsid w:val="002C6A0A"/>
    <w:rsid w:val="002D027A"/>
    <w:rsid w:val="002D02A6"/>
    <w:rsid w:val="002D1230"/>
    <w:rsid w:val="002D1A1F"/>
    <w:rsid w:val="002D203F"/>
    <w:rsid w:val="002D2CA7"/>
    <w:rsid w:val="002D2EB3"/>
    <w:rsid w:val="002D33E2"/>
    <w:rsid w:val="002D44EF"/>
    <w:rsid w:val="002D4EC1"/>
    <w:rsid w:val="002D5295"/>
    <w:rsid w:val="002D5858"/>
    <w:rsid w:val="002D59D3"/>
    <w:rsid w:val="002D5B71"/>
    <w:rsid w:val="002D5F29"/>
    <w:rsid w:val="002D7EB8"/>
    <w:rsid w:val="002E066F"/>
    <w:rsid w:val="002E0AB6"/>
    <w:rsid w:val="002E0D8E"/>
    <w:rsid w:val="002E0EDB"/>
    <w:rsid w:val="002E1B37"/>
    <w:rsid w:val="002E22E0"/>
    <w:rsid w:val="002E3366"/>
    <w:rsid w:val="002E3E41"/>
    <w:rsid w:val="002E5109"/>
    <w:rsid w:val="002E5B07"/>
    <w:rsid w:val="002E5F12"/>
    <w:rsid w:val="002E600D"/>
    <w:rsid w:val="002E66AC"/>
    <w:rsid w:val="002E6DD0"/>
    <w:rsid w:val="002E7771"/>
    <w:rsid w:val="002E7A3B"/>
    <w:rsid w:val="002F09A7"/>
    <w:rsid w:val="002F1CD1"/>
    <w:rsid w:val="002F2A7F"/>
    <w:rsid w:val="002F2E17"/>
    <w:rsid w:val="002F3C35"/>
    <w:rsid w:val="002F5792"/>
    <w:rsid w:val="002F61A4"/>
    <w:rsid w:val="002F6898"/>
    <w:rsid w:val="002F758E"/>
    <w:rsid w:val="00300BF5"/>
    <w:rsid w:val="0030170E"/>
    <w:rsid w:val="0030198F"/>
    <w:rsid w:val="00302276"/>
    <w:rsid w:val="00302EEE"/>
    <w:rsid w:val="00303FA1"/>
    <w:rsid w:val="00303FF1"/>
    <w:rsid w:val="00304305"/>
    <w:rsid w:val="00305C21"/>
    <w:rsid w:val="00306682"/>
    <w:rsid w:val="003075DB"/>
    <w:rsid w:val="00310046"/>
    <w:rsid w:val="00310967"/>
    <w:rsid w:val="003115F5"/>
    <w:rsid w:val="00311670"/>
    <w:rsid w:val="00311B76"/>
    <w:rsid w:val="00311F72"/>
    <w:rsid w:val="003126E5"/>
    <w:rsid w:val="00314C2F"/>
    <w:rsid w:val="0031543E"/>
    <w:rsid w:val="0031592C"/>
    <w:rsid w:val="00315FA0"/>
    <w:rsid w:val="003162DC"/>
    <w:rsid w:val="00316EC7"/>
    <w:rsid w:val="00317559"/>
    <w:rsid w:val="00317809"/>
    <w:rsid w:val="00317DD1"/>
    <w:rsid w:val="00320B58"/>
    <w:rsid w:val="00321A5C"/>
    <w:rsid w:val="0032203F"/>
    <w:rsid w:val="00324503"/>
    <w:rsid w:val="00324C21"/>
    <w:rsid w:val="00325A5C"/>
    <w:rsid w:val="00326716"/>
    <w:rsid w:val="00326BB0"/>
    <w:rsid w:val="00326DD3"/>
    <w:rsid w:val="003274D5"/>
    <w:rsid w:val="00327B07"/>
    <w:rsid w:val="003308DB"/>
    <w:rsid w:val="00331945"/>
    <w:rsid w:val="003322F7"/>
    <w:rsid w:val="00332ACF"/>
    <w:rsid w:val="00332F4B"/>
    <w:rsid w:val="00333AC6"/>
    <w:rsid w:val="0033433B"/>
    <w:rsid w:val="003354E7"/>
    <w:rsid w:val="00335637"/>
    <w:rsid w:val="00335A40"/>
    <w:rsid w:val="00335A88"/>
    <w:rsid w:val="00335D88"/>
    <w:rsid w:val="00336745"/>
    <w:rsid w:val="00336EF7"/>
    <w:rsid w:val="003370E5"/>
    <w:rsid w:val="00337414"/>
    <w:rsid w:val="003378A8"/>
    <w:rsid w:val="00337BC6"/>
    <w:rsid w:val="00340C5C"/>
    <w:rsid w:val="00340F6A"/>
    <w:rsid w:val="00341575"/>
    <w:rsid w:val="003419F7"/>
    <w:rsid w:val="00341AA0"/>
    <w:rsid w:val="00343223"/>
    <w:rsid w:val="00344217"/>
    <w:rsid w:val="0034444C"/>
    <w:rsid w:val="00344A7E"/>
    <w:rsid w:val="00344BFB"/>
    <w:rsid w:val="00344DA9"/>
    <w:rsid w:val="00344E74"/>
    <w:rsid w:val="00344EDF"/>
    <w:rsid w:val="00345008"/>
    <w:rsid w:val="00345A3E"/>
    <w:rsid w:val="003462A2"/>
    <w:rsid w:val="0034681C"/>
    <w:rsid w:val="00346A26"/>
    <w:rsid w:val="00347E4E"/>
    <w:rsid w:val="003502D4"/>
    <w:rsid w:val="0035133F"/>
    <w:rsid w:val="003525B1"/>
    <w:rsid w:val="00353608"/>
    <w:rsid w:val="003539D9"/>
    <w:rsid w:val="003547D8"/>
    <w:rsid w:val="00354D59"/>
    <w:rsid w:val="00355467"/>
    <w:rsid w:val="0035753F"/>
    <w:rsid w:val="00361196"/>
    <w:rsid w:val="003624C0"/>
    <w:rsid w:val="003625C9"/>
    <w:rsid w:val="00362DE9"/>
    <w:rsid w:val="0036469C"/>
    <w:rsid w:val="00364A3A"/>
    <w:rsid w:val="00364DBB"/>
    <w:rsid w:val="00365180"/>
    <w:rsid w:val="003659DB"/>
    <w:rsid w:val="00367203"/>
    <w:rsid w:val="0036743F"/>
    <w:rsid w:val="00367962"/>
    <w:rsid w:val="00367EDE"/>
    <w:rsid w:val="00370374"/>
    <w:rsid w:val="00370460"/>
    <w:rsid w:val="003704A7"/>
    <w:rsid w:val="0037301A"/>
    <w:rsid w:val="003745AD"/>
    <w:rsid w:val="00374F6C"/>
    <w:rsid w:val="0037501C"/>
    <w:rsid w:val="00376607"/>
    <w:rsid w:val="00376BDA"/>
    <w:rsid w:val="003772DA"/>
    <w:rsid w:val="003775E4"/>
    <w:rsid w:val="003777BD"/>
    <w:rsid w:val="00377EF5"/>
    <w:rsid w:val="00382F88"/>
    <w:rsid w:val="00383CA0"/>
    <w:rsid w:val="00384254"/>
    <w:rsid w:val="003843A4"/>
    <w:rsid w:val="0038529B"/>
    <w:rsid w:val="003864B9"/>
    <w:rsid w:val="00386AE2"/>
    <w:rsid w:val="00386E16"/>
    <w:rsid w:val="00391845"/>
    <w:rsid w:val="00393200"/>
    <w:rsid w:val="00394DCD"/>
    <w:rsid w:val="00395F7D"/>
    <w:rsid w:val="00396FE6"/>
    <w:rsid w:val="003973C2"/>
    <w:rsid w:val="00397E41"/>
    <w:rsid w:val="003A01C5"/>
    <w:rsid w:val="003A0D96"/>
    <w:rsid w:val="003A10AD"/>
    <w:rsid w:val="003A2CB2"/>
    <w:rsid w:val="003A40F3"/>
    <w:rsid w:val="003A5791"/>
    <w:rsid w:val="003A6881"/>
    <w:rsid w:val="003A7283"/>
    <w:rsid w:val="003A74A6"/>
    <w:rsid w:val="003A755E"/>
    <w:rsid w:val="003A75B7"/>
    <w:rsid w:val="003B047A"/>
    <w:rsid w:val="003B118F"/>
    <w:rsid w:val="003B17F9"/>
    <w:rsid w:val="003B25D1"/>
    <w:rsid w:val="003B2BCB"/>
    <w:rsid w:val="003B4058"/>
    <w:rsid w:val="003B40BF"/>
    <w:rsid w:val="003B499C"/>
    <w:rsid w:val="003B4ABE"/>
    <w:rsid w:val="003B4C1E"/>
    <w:rsid w:val="003B586D"/>
    <w:rsid w:val="003B630C"/>
    <w:rsid w:val="003B6D08"/>
    <w:rsid w:val="003B6D55"/>
    <w:rsid w:val="003C0190"/>
    <w:rsid w:val="003C08C8"/>
    <w:rsid w:val="003C0F3D"/>
    <w:rsid w:val="003C1092"/>
    <w:rsid w:val="003C232C"/>
    <w:rsid w:val="003C2766"/>
    <w:rsid w:val="003C2897"/>
    <w:rsid w:val="003C2942"/>
    <w:rsid w:val="003C3C77"/>
    <w:rsid w:val="003C4A17"/>
    <w:rsid w:val="003C4C47"/>
    <w:rsid w:val="003C5929"/>
    <w:rsid w:val="003C634C"/>
    <w:rsid w:val="003C6E55"/>
    <w:rsid w:val="003D0BF8"/>
    <w:rsid w:val="003D10C2"/>
    <w:rsid w:val="003D18FF"/>
    <w:rsid w:val="003D1C1E"/>
    <w:rsid w:val="003D2FB9"/>
    <w:rsid w:val="003D37FD"/>
    <w:rsid w:val="003D3CD6"/>
    <w:rsid w:val="003D4610"/>
    <w:rsid w:val="003D49A9"/>
    <w:rsid w:val="003D4C23"/>
    <w:rsid w:val="003D5D2F"/>
    <w:rsid w:val="003D6B27"/>
    <w:rsid w:val="003D7643"/>
    <w:rsid w:val="003D7929"/>
    <w:rsid w:val="003E02C7"/>
    <w:rsid w:val="003E0A13"/>
    <w:rsid w:val="003E1BEF"/>
    <w:rsid w:val="003E1DA1"/>
    <w:rsid w:val="003E24A7"/>
    <w:rsid w:val="003E39E0"/>
    <w:rsid w:val="003E3DE5"/>
    <w:rsid w:val="003E4EE4"/>
    <w:rsid w:val="003E5DCA"/>
    <w:rsid w:val="003E7288"/>
    <w:rsid w:val="003E7310"/>
    <w:rsid w:val="003E7B31"/>
    <w:rsid w:val="003E7C38"/>
    <w:rsid w:val="003E7F92"/>
    <w:rsid w:val="003F09A0"/>
    <w:rsid w:val="003F1568"/>
    <w:rsid w:val="003F1C5D"/>
    <w:rsid w:val="003F2665"/>
    <w:rsid w:val="003F2CBE"/>
    <w:rsid w:val="003F3249"/>
    <w:rsid w:val="003F37BF"/>
    <w:rsid w:val="003F3C98"/>
    <w:rsid w:val="003F5AFA"/>
    <w:rsid w:val="003F5D09"/>
    <w:rsid w:val="003F6F55"/>
    <w:rsid w:val="003F74AF"/>
    <w:rsid w:val="003F7889"/>
    <w:rsid w:val="0040084B"/>
    <w:rsid w:val="004031A0"/>
    <w:rsid w:val="00403A9A"/>
    <w:rsid w:val="004040CD"/>
    <w:rsid w:val="00404211"/>
    <w:rsid w:val="004044ED"/>
    <w:rsid w:val="004051E6"/>
    <w:rsid w:val="004063FB"/>
    <w:rsid w:val="00407558"/>
    <w:rsid w:val="00407630"/>
    <w:rsid w:val="004077A0"/>
    <w:rsid w:val="00407D24"/>
    <w:rsid w:val="00407EC7"/>
    <w:rsid w:val="00410B26"/>
    <w:rsid w:val="00411860"/>
    <w:rsid w:val="00411F69"/>
    <w:rsid w:val="00412DE6"/>
    <w:rsid w:val="00413CFE"/>
    <w:rsid w:val="00413FEE"/>
    <w:rsid w:val="00414579"/>
    <w:rsid w:val="00415129"/>
    <w:rsid w:val="00417966"/>
    <w:rsid w:val="00421F06"/>
    <w:rsid w:val="00422A30"/>
    <w:rsid w:val="00423000"/>
    <w:rsid w:val="004242E6"/>
    <w:rsid w:val="00425790"/>
    <w:rsid w:val="00430B2C"/>
    <w:rsid w:val="004311B7"/>
    <w:rsid w:val="00431546"/>
    <w:rsid w:val="00432CF9"/>
    <w:rsid w:val="00433402"/>
    <w:rsid w:val="00433658"/>
    <w:rsid w:val="004359CF"/>
    <w:rsid w:val="00435A56"/>
    <w:rsid w:val="00435EE7"/>
    <w:rsid w:val="00435FD8"/>
    <w:rsid w:val="00436D95"/>
    <w:rsid w:val="004407F3"/>
    <w:rsid w:val="00440CFE"/>
    <w:rsid w:val="00440DA1"/>
    <w:rsid w:val="00441059"/>
    <w:rsid w:val="004418D2"/>
    <w:rsid w:val="00443AEC"/>
    <w:rsid w:val="00446426"/>
    <w:rsid w:val="0044679E"/>
    <w:rsid w:val="004503C0"/>
    <w:rsid w:val="00450F2C"/>
    <w:rsid w:val="0045138C"/>
    <w:rsid w:val="004520FD"/>
    <w:rsid w:val="0045216B"/>
    <w:rsid w:val="0045303C"/>
    <w:rsid w:val="0045309F"/>
    <w:rsid w:val="00453106"/>
    <w:rsid w:val="00453908"/>
    <w:rsid w:val="00454536"/>
    <w:rsid w:val="00454A3D"/>
    <w:rsid w:val="00455B3D"/>
    <w:rsid w:val="00455D3C"/>
    <w:rsid w:val="00456468"/>
    <w:rsid w:val="00456B7B"/>
    <w:rsid w:val="00456E9A"/>
    <w:rsid w:val="004572B4"/>
    <w:rsid w:val="00457465"/>
    <w:rsid w:val="004576EF"/>
    <w:rsid w:val="00457743"/>
    <w:rsid w:val="00457EB3"/>
    <w:rsid w:val="004604A6"/>
    <w:rsid w:val="00460A8B"/>
    <w:rsid w:val="00460F7C"/>
    <w:rsid w:val="00461083"/>
    <w:rsid w:val="004626A0"/>
    <w:rsid w:val="004628B9"/>
    <w:rsid w:val="00462928"/>
    <w:rsid w:val="00462F1D"/>
    <w:rsid w:val="00462F24"/>
    <w:rsid w:val="0046334D"/>
    <w:rsid w:val="004635B7"/>
    <w:rsid w:val="00463632"/>
    <w:rsid w:val="00464926"/>
    <w:rsid w:val="00465151"/>
    <w:rsid w:val="00465608"/>
    <w:rsid w:val="0046569F"/>
    <w:rsid w:val="00465731"/>
    <w:rsid w:val="00465757"/>
    <w:rsid w:val="00465EDA"/>
    <w:rsid w:val="004660A4"/>
    <w:rsid w:val="00466177"/>
    <w:rsid w:val="004664AE"/>
    <w:rsid w:val="00467099"/>
    <w:rsid w:val="00470944"/>
    <w:rsid w:val="00471850"/>
    <w:rsid w:val="004719D7"/>
    <w:rsid w:val="0047390D"/>
    <w:rsid w:val="00473AC2"/>
    <w:rsid w:val="00473B0C"/>
    <w:rsid w:val="00474847"/>
    <w:rsid w:val="0047535E"/>
    <w:rsid w:val="0047621A"/>
    <w:rsid w:val="004769AB"/>
    <w:rsid w:val="004769D9"/>
    <w:rsid w:val="00476AB8"/>
    <w:rsid w:val="00480EBD"/>
    <w:rsid w:val="00481CD4"/>
    <w:rsid w:val="00482D61"/>
    <w:rsid w:val="004833A0"/>
    <w:rsid w:val="004839C6"/>
    <w:rsid w:val="00483EF2"/>
    <w:rsid w:val="0048438A"/>
    <w:rsid w:val="004858FD"/>
    <w:rsid w:val="00485E46"/>
    <w:rsid w:val="004863A5"/>
    <w:rsid w:val="00486A72"/>
    <w:rsid w:val="00486C2E"/>
    <w:rsid w:val="004871C4"/>
    <w:rsid w:val="004876A4"/>
    <w:rsid w:val="00487CB3"/>
    <w:rsid w:val="00487E03"/>
    <w:rsid w:val="0049108B"/>
    <w:rsid w:val="00492736"/>
    <w:rsid w:val="00492923"/>
    <w:rsid w:val="00493A0D"/>
    <w:rsid w:val="00494F65"/>
    <w:rsid w:val="00494FBB"/>
    <w:rsid w:val="004951BB"/>
    <w:rsid w:val="00495655"/>
    <w:rsid w:val="00495E0F"/>
    <w:rsid w:val="00496BCA"/>
    <w:rsid w:val="0049751D"/>
    <w:rsid w:val="004A04B1"/>
    <w:rsid w:val="004A0B96"/>
    <w:rsid w:val="004A0DF5"/>
    <w:rsid w:val="004A1502"/>
    <w:rsid w:val="004A15B3"/>
    <w:rsid w:val="004A1C90"/>
    <w:rsid w:val="004A2DB0"/>
    <w:rsid w:val="004A35EF"/>
    <w:rsid w:val="004A47AA"/>
    <w:rsid w:val="004A67C3"/>
    <w:rsid w:val="004A731C"/>
    <w:rsid w:val="004A7532"/>
    <w:rsid w:val="004A7BE7"/>
    <w:rsid w:val="004A7F6B"/>
    <w:rsid w:val="004B02EB"/>
    <w:rsid w:val="004B049E"/>
    <w:rsid w:val="004B0E52"/>
    <w:rsid w:val="004B22AA"/>
    <w:rsid w:val="004B2411"/>
    <w:rsid w:val="004B3C73"/>
    <w:rsid w:val="004B4624"/>
    <w:rsid w:val="004B4A54"/>
    <w:rsid w:val="004B4A66"/>
    <w:rsid w:val="004B5316"/>
    <w:rsid w:val="004B53CB"/>
    <w:rsid w:val="004B56CE"/>
    <w:rsid w:val="004B5950"/>
    <w:rsid w:val="004B6517"/>
    <w:rsid w:val="004B6D6B"/>
    <w:rsid w:val="004B6E43"/>
    <w:rsid w:val="004B6EED"/>
    <w:rsid w:val="004B6F20"/>
    <w:rsid w:val="004B6F21"/>
    <w:rsid w:val="004B72AD"/>
    <w:rsid w:val="004C016F"/>
    <w:rsid w:val="004C0F27"/>
    <w:rsid w:val="004C15C8"/>
    <w:rsid w:val="004C1BBA"/>
    <w:rsid w:val="004C1CCE"/>
    <w:rsid w:val="004C1D65"/>
    <w:rsid w:val="004C227E"/>
    <w:rsid w:val="004C2C75"/>
    <w:rsid w:val="004C334A"/>
    <w:rsid w:val="004C4903"/>
    <w:rsid w:val="004C659B"/>
    <w:rsid w:val="004C681E"/>
    <w:rsid w:val="004C7438"/>
    <w:rsid w:val="004C7A33"/>
    <w:rsid w:val="004C7B60"/>
    <w:rsid w:val="004D0089"/>
    <w:rsid w:val="004D008F"/>
    <w:rsid w:val="004D1329"/>
    <w:rsid w:val="004D16E5"/>
    <w:rsid w:val="004D1E4D"/>
    <w:rsid w:val="004D1EC7"/>
    <w:rsid w:val="004D3316"/>
    <w:rsid w:val="004D34AB"/>
    <w:rsid w:val="004D3573"/>
    <w:rsid w:val="004D398F"/>
    <w:rsid w:val="004D3CD5"/>
    <w:rsid w:val="004D4883"/>
    <w:rsid w:val="004D4CA0"/>
    <w:rsid w:val="004D503B"/>
    <w:rsid w:val="004D55B0"/>
    <w:rsid w:val="004D5B60"/>
    <w:rsid w:val="004D7164"/>
    <w:rsid w:val="004D7D3A"/>
    <w:rsid w:val="004E0D94"/>
    <w:rsid w:val="004E0E00"/>
    <w:rsid w:val="004E10B6"/>
    <w:rsid w:val="004E1858"/>
    <w:rsid w:val="004E26EC"/>
    <w:rsid w:val="004E2712"/>
    <w:rsid w:val="004E2887"/>
    <w:rsid w:val="004E41DF"/>
    <w:rsid w:val="004E500F"/>
    <w:rsid w:val="004E66DB"/>
    <w:rsid w:val="004E6F51"/>
    <w:rsid w:val="004E7190"/>
    <w:rsid w:val="004F04D3"/>
    <w:rsid w:val="004F07A4"/>
    <w:rsid w:val="004F1FDA"/>
    <w:rsid w:val="004F2B7B"/>
    <w:rsid w:val="004F46E8"/>
    <w:rsid w:val="004F4D93"/>
    <w:rsid w:val="004F5FC4"/>
    <w:rsid w:val="004F61DB"/>
    <w:rsid w:val="004F6850"/>
    <w:rsid w:val="004F6AB4"/>
    <w:rsid w:val="004F7D8A"/>
    <w:rsid w:val="00500350"/>
    <w:rsid w:val="00500DA4"/>
    <w:rsid w:val="005015EE"/>
    <w:rsid w:val="00501E48"/>
    <w:rsid w:val="00502A72"/>
    <w:rsid w:val="00503293"/>
    <w:rsid w:val="00504839"/>
    <w:rsid w:val="00504F86"/>
    <w:rsid w:val="00504FDD"/>
    <w:rsid w:val="0050519A"/>
    <w:rsid w:val="0050551B"/>
    <w:rsid w:val="0050647D"/>
    <w:rsid w:val="005065B9"/>
    <w:rsid w:val="00507038"/>
    <w:rsid w:val="00510302"/>
    <w:rsid w:val="00511468"/>
    <w:rsid w:val="00512824"/>
    <w:rsid w:val="005128EC"/>
    <w:rsid w:val="00513246"/>
    <w:rsid w:val="00513C8E"/>
    <w:rsid w:val="00514694"/>
    <w:rsid w:val="00514C5E"/>
    <w:rsid w:val="00514F4A"/>
    <w:rsid w:val="00515A89"/>
    <w:rsid w:val="00515E15"/>
    <w:rsid w:val="005166C7"/>
    <w:rsid w:val="0051680F"/>
    <w:rsid w:val="005179EA"/>
    <w:rsid w:val="00517CD0"/>
    <w:rsid w:val="00517EDE"/>
    <w:rsid w:val="00520FAF"/>
    <w:rsid w:val="00521D78"/>
    <w:rsid w:val="00522307"/>
    <w:rsid w:val="005226F4"/>
    <w:rsid w:val="00523618"/>
    <w:rsid w:val="00523C42"/>
    <w:rsid w:val="00525CDC"/>
    <w:rsid w:val="00525D72"/>
    <w:rsid w:val="00525E4B"/>
    <w:rsid w:val="00530055"/>
    <w:rsid w:val="00530483"/>
    <w:rsid w:val="00530BC4"/>
    <w:rsid w:val="00533F7B"/>
    <w:rsid w:val="00534B63"/>
    <w:rsid w:val="00535B0B"/>
    <w:rsid w:val="0053650B"/>
    <w:rsid w:val="0053678A"/>
    <w:rsid w:val="00536816"/>
    <w:rsid w:val="005368B2"/>
    <w:rsid w:val="00537292"/>
    <w:rsid w:val="005378B7"/>
    <w:rsid w:val="00537A3E"/>
    <w:rsid w:val="00541C59"/>
    <w:rsid w:val="0054273B"/>
    <w:rsid w:val="00542DD7"/>
    <w:rsid w:val="0054367A"/>
    <w:rsid w:val="005437BA"/>
    <w:rsid w:val="00544C53"/>
    <w:rsid w:val="0054587A"/>
    <w:rsid w:val="0054591C"/>
    <w:rsid w:val="00545CDA"/>
    <w:rsid w:val="00545E8D"/>
    <w:rsid w:val="00545E9C"/>
    <w:rsid w:val="00546205"/>
    <w:rsid w:val="0054627C"/>
    <w:rsid w:val="00550457"/>
    <w:rsid w:val="005505B4"/>
    <w:rsid w:val="005506DF"/>
    <w:rsid w:val="0055296E"/>
    <w:rsid w:val="005537FF"/>
    <w:rsid w:val="0055405F"/>
    <w:rsid w:val="0055429F"/>
    <w:rsid w:val="00554620"/>
    <w:rsid w:val="00554EFD"/>
    <w:rsid w:val="0055586C"/>
    <w:rsid w:val="00556568"/>
    <w:rsid w:val="00557AA4"/>
    <w:rsid w:val="00561ADB"/>
    <w:rsid w:val="005625B9"/>
    <w:rsid w:val="00562D6D"/>
    <w:rsid w:val="00563544"/>
    <w:rsid w:val="0056381A"/>
    <w:rsid w:val="00563934"/>
    <w:rsid w:val="005640F5"/>
    <w:rsid w:val="00564464"/>
    <w:rsid w:val="00564844"/>
    <w:rsid w:val="00564933"/>
    <w:rsid w:val="00564B64"/>
    <w:rsid w:val="00564CB6"/>
    <w:rsid w:val="00565BDF"/>
    <w:rsid w:val="00565C2A"/>
    <w:rsid w:val="00566FFC"/>
    <w:rsid w:val="00567012"/>
    <w:rsid w:val="005703B5"/>
    <w:rsid w:val="005708CE"/>
    <w:rsid w:val="005717E1"/>
    <w:rsid w:val="00571FF4"/>
    <w:rsid w:val="005726DC"/>
    <w:rsid w:val="00572AD5"/>
    <w:rsid w:val="0057390E"/>
    <w:rsid w:val="0057399B"/>
    <w:rsid w:val="00573E32"/>
    <w:rsid w:val="00574C08"/>
    <w:rsid w:val="0057513C"/>
    <w:rsid w:val="0057549E"/>
    <w:rsid w:val="005768C0"/>
    <w:rsid w:val="0057694A"/>
    <w:rsid w:val="005775D2"/>
    <w:rsid w:val="0058054C"/>
    <w:rsid w:val="00580F81"/>
    <w:rsid w:val="005812D6"/>
    <w:rsid w:val="00581F9A"/>
    <w:rsid w:val="00582358"/>
    <w:rsid w:val="005828D4"/>
    <w:rsid w:val="00584A76"/>
    <w:rsid w:val="00587A25"/>
    <w:rsid w:val="00587E5B"/>
    <w:rsid w:val="00587E7B"/>
    <w:rsid w:val="00590623"/>
    <w:rsid w:val="005907DF"/>
    <w:rsid w:val="00590ECB"/>
    <w:rsid w:val="0059361C"/>
    <w:rsid w:val="00594F57"/>
    <w:rsid w:val="005954AC"/>
    <w:rsid w:val="00595D22"/>
    <w:rsid w:val="005964F7"/>
    <w:rsid w:val="00597EFF"/>
    <w:rsid w:val="005A0351"/>
    <w:rsid w:val="005A07D0"/>
    <w:rsid w:val="005A0DB8"/>
    <w:rsid w:val="005A1531"/>
    <w:rsid w:val="005A36A8"/>
    <w:rsid w:val="005A57F6"/>
    <w:rsid w:val="005A5A66"/>
    <w:rsid w:val="005A5F6E"/>
    <w:rsid w:val="005A7DB2"/>
    <w:rsid w:val="005B02AD"/>
    <w:rsid w:val="005B0557"/>
    <w:rsid w:val="005B0D63"/>
    <w:rsid w:val="005B10FE"/>
    <w:rsid w:val="005B18BE"/>
    <w:rsid w:val="005B2B02"/>
    <w:rsid w:val="005B3120"/>
    <w:rsid w:val="005B3BBA"/>
    <w:rsid w:val="005B4F08"/>
    <w:rsid w:val="005B5208"/>
    <w:rsid w:val="005B560E"/>
    <w:rsid w:val="005B5750"/>
    <w:rsid w:val="005C14B1"/>
    <w:rsid w:val="005C1FEB"/>
    <w:rsid w:val="005C3EF5"/>
    <w:rsid w:val="005C456D"/>
    <w:rsid w:val="005C45B3"/>
    <w:rsid w:val="005C4B38"/>
    <w:rsid w:val="005C5288"/>
    <w:rsid w:val="005C6EBB"/>
    <w:rsid w:val="005C794A"/>
    <w:rsid w:val="005D08DB"/>
    <w:rsid w:val="005D0F55"/>
    <w:rsid w:val="005D14AD"/>
    <w:rsid w:val="005D17C2"/>
    <w:rsid w:val="005D1ABF"/>
    <w:rsid w:val="005D2A6E"/>
    <w:rsid w:val="005D2DE7"/>
    <w:rsid w:val="005D300B"/>
    <w:rsid w:val="005D3E67"/>
    <w:rsid w:val="005D485D"/>
    <w:rsid w:val="005D4E5B"/>
    <w:rsid w:val="005D4ED1"/>
    <w:rsid w:val="005D547B"/>
    <w:rsid w:val="005D5601"/>
    <w:rsid w:val="005D6CD3"/>
    <w:rsid w:val="005D6D46"/>
    <w:rsid w:val="005D6F68"/>
    <w:rsid w:val="005D726F"/>
    <w:rsid w:val="005D7510"/>
    <w:rsid w:val="005D7C67"/>
    <w:rsid w:val="005E1672"/>
    <w:rsid w:val="005E21EC"/>
    <w:rsid w:val="005E2860"/>
    <w:rsid w:val="005E3B1F"/>
    <w:rsid w:val="005E4126"/>
    <w:rsid w:val="005E4191"/>
    <w:rsid w:val="005E47C2"/>
    <w:rsid w:val="005E5CBD"/>
    <w:rsid w:val="005E6F0D"/>
    <w:rsid w:val="005E7089"/>
    <w:rsid w:val="005E7C19"/>
    <w:rsid w:val="005E7CBA"/>
    <w:rsid w:val="005E7EC8"/>
    <w:rsid w:val="005F043F"/>
    <w:rsid w:val="005F07C6"/>
    <w:rsid w:val="005F0806"/>
    <w:rsid w:val="005F1209"/>
    <w:rsid w:val="005F13F4"/>
    <w:rsid w:val="005F14D6"/>
    <w:rsid w:val="005F14E2"/>
    <w:rsid w:val="005F21BE"/>
    <w:rsid w:val="005F318E"/>
    <w:rsid w:val="005F4210"/>
    <w:rsid w:val="005F4931"/>
    <w:rsid w:val="005F4C56"/>
    <w:rsid w:val="005F4EDC"/>
    <w:rsid w:val="005F53AE"/>
    <w:rsid w:val="005F5930"/>
    <w:rsid w:val="005F5CEC"/>
    <w:rsid w:val="005F7529"/>
    <w:rsid w:val="00601144"/>
    <w:rsid w:val="0060133F"/>
    <w:rsid w:val="00601CA8"/>
    <w:rsid w:val="00602E40"/>
    <w:rsid w:val="00602E63"/>
    <w:rsid w:val="00604B43"/>
    <w:rsid w:val="00604E6C"/>
    <w:rsid w:val="0060584D"/>
    <w:rsid w:val="00606465"/>
    <w:rsid w:val="00606BCC"/>
    <w:rsid w:val="00607223"/>
    <w:rsid w:val="0060761A"/>
    <w:rsid w:val="00607BFD"/>
    <w:rsid w:val="006102B3"/>
    <w:rsid w:val="0061040B"/>
    <w:rsid w:val="0061291B"/>
    <w:rsid w:val="00613308"/>
    <w:rsid w:val="006134A8"/>
    <w:rsid w:val="006136D6"/>
    <w:rsid w:val="006139D7"/>
    <w:rsid w:val="00613C96"/>
    <w:rsid w:val="00614332"/>
    <w:rsid w:val="00614B52"/>
    <w:rsid w:val="00616227"/>
    <w:rsid w:val="00617792"/>
    <w:rsid w:val="006204EC"/>
    <w:rsid w:val="0062093C"/>
    <w:rsid w:val="0062148D"/>
    <w:rsid w:val="006217D0"/>
    <w:rsid w:val="0062235B"/>
    <w:rsid w:val="00622C4E"/>
    <w:rsid w:val="006232D4"/>
    <w:rsid w:val="006259CC"/>
    <w:rsid w:val="00626289"/>
    <w:rsid w:val="00627003"/>
    <w:rsid w:val="00627491"/>
    <w:rsid w:val="006278DF"/>
    <w:rsid w:val="00631B44"/>
    <w:rsid w:val="006335B7"/>
    <w:rsid w:val="00633A3B"/>
    <w:rsid w:val="00634A50"/>
    <w:rsid w:val="00634D7E"/>
    <w:rsid w:val="0063576C"/>
    <w:rsid w:val="0063773B"/>
    <w:rsid w:val="00640306"/>
    <w:rsid w:val="0064079E"/>
    <w:rsid w:val="00640945"/>
    <w:rsid w:val="006409A0"/>
    <w:rsid w:val="00641552"/>
    <w:rsid w:val="00641C54"/>
    <w:rsid w:val="006427E6"/>
    <w:rsid w:val="0064357B"/>
    <w:rsid w:val="0064370D"/>
    <w:rsid w:val="00643AAD"/>
    <w:rsid w:val="006440D6"/>
    <w:rsid w:val="006458DF"/>
    <w:rsid w:val="006467A1"/>
    <w:rsid w:val="00646E37"/>
    <w:rsid w:val="00647864"/>
    <w:rsid w:val="00652ACC"/>
    <w:rsid w:val="00653EB0"/>
    <w:rsid w:val="00653F38"/>
    <w:rsid w:val="00654484"/>
    <w:rsid w:val="006545DC"/>
    <w:rsid w:val="00654885"/>
    <w:rsid w:val="00654E74"/>
    <w:rsid w:val="00656D7A"/>
    <w:rsid w:val="00657C93"/>
    <w:rsid w:val="006601A1"/>
    <w:rsid w:val="0066140D"/>
    <w:rsid w:val="00661CFA"/>
    <w:rsid w:val="00664374"/>
    <w:rsid w:val="00666801"/>
    <w:rsid w:val="0066733F"/>
    <w:rsid w:val="006678DB"/>
    <w:rsid w:val="00667D2E"/>
    <w:rsid w:val="00670234"/>
    <w:rsid w:val="00670B3C"/>
    <w:rsid w:val="00671A1B"/>
    <w:rsid w:val="0067235E"/>
    <w:rsid w:val="00672AEF"/>
    <w:rsid w:val="00673EF6"/>
    <w:rsid w:val="00675352"/>
    <w:rsid w:val="00675D20"/>
    <w:rsid w:val="00675EE3"/>
    <w:rsid w:val="0068060B"/>
    <w:rsid w:val="006808BF"/>
    <w:rsid w:val="00680BF8"/>
    <w:rsid w:val="006828C8"/>
    <w:rsid w:val="006834CE"/>
    <w:rsid w:val="00683671"/>
    <w:rsid w:val="00684446"/>
    <w:rsid w:val="00684E7B"/>
    <w:rsid w:val="00685D73"/>
    <w:rsid w:val="00686B32"/>
    <w:rsid w:val="00686BD2"/>
    <w:rsid w:val="00686D50"/>
    <w:rsid w:val="00686F4C"/>
    <w:rsid w:val="0068731A"/>
    <w:rsid w:val="00687B0E"/>
    <w:rsid w:val="00687CDB"/>
    <w:rsid w:val="0069009D"/>
    <w:rsid w:val="006902C5"/>
    <w:rsid w:val="006905D5"/>
    <w:rsid w:val="00690645"/>
    <w:rsid w:val="00691403"/>
    <w:rsid w:val="00692AE2"/>
    <w:rsid w:val="00692B4E"/>
    <w:rsid w:val="00692CEA"/>
    <w:rsid w:val="00693261"/>
    <w:rsid w:val="00694300"/>
    <w:rsid w:val="006955D8"/>
    <w:rsid w:val="006956CD"/>
    <w:rsid w:val="006977B7"/>
    <w:rsid w:val="006A082B"/>
    <w:rsid w:val="006A0A67"/>
    <w:rsid w:val="006A0E1E"/>
    <w:rsid w:val="006A1B63"/>
    <w:rsid w:val="006A20DA"/>
    <w:rsid w:val="006A2BCF"/>
    <w:rsid w:val="006A4014"/>
    <w:rsid w:val="006A50A2"/>
    <w:rsid w:val="006A5622"/>
    <w:rsid w:val="006A6827"/>
    <w:rsid w:val="006A685D"/>
    <w:rsid w:val="006A6A41"/>
    <w:rsid w:val="006A7746"/>
    <w:rsid w:val="006A7D14"/>
    <w:rsid w:val="006A7F32"/>
    <w:rsid w:val="006B0625"/>
    <w:rsid w:val="006B0B15"/>
    <w:rsid w:val="006B26C4"/>
    <w:rsid w:val="006B2D23"/>
    <w:rsid w:val="006B2F2C"/>
    <w:rsid w:val="006B4308"/>
    <w:rsid w:val="006B4E41"/>
    <w:rsid w:val="006B5798"/>
    <w:rsid w:val="006B5ABA"/>
    <w:rsid w:val="006B711A"/>
    <w:rsid w:val="006B7323"/>
    <w:rsid w:val="006B755F"/>
    <w:rsid w:val="006B7941"/>
    <w:rsid w:val="006B7C17"/>
    <w:rsid w:val="006C008B"/>
    <w:rsid w:val="006C0B14"/>
    <w:rsid w:val="006C0FE7"/>
    <w:rsid w:val="006C18E8"/>
    <w:rsid w:val="006C3455"/>
    <w:rsid w:val="006C3CB7"/>
    <w:rsid w:val="006C4864"/>
    <w:rsid w:val="006C4D1A"/>
    <w:rsid w:val="006C54CF"/>
    <w:rsid w:val="006C570D"/>
    <w:rsid w:val="006C5907"/>
    <w:rsid w:val="006C6DF9"/>
    <w:rsid w:val="006D05E7"/>
    <w:rsid w:val="006D0C7C"/>
    <w:rsid w:val="006D114E"/>
    <w:rsid w:val="006D1420"/>
    <w:rsid w:val="006D1D1A"/>
    <w:rsid w:val="006D22B2"/>
    <w:rsid w:val="006D2508"/>
    <w:rsid w:val="006D4B67"/>
    <w:rsid w:val="006D513C"/>
    <w:rsid w:val="006D51C5"/>
    <w:rsid w:val="006D5AB6"/>
    <w:rsid w:val="006D5D3C"/>
    <w:rsid w:val="006D5FEB"/>
    <w:rsid w:val="006D6123"/>
    <w:rsid w:val="006D6802"/>
    <w:rsid w:val="006D6A6C"/>
    <w:rsid w:val="006D6AA2"/>
    <w:rsid w:val="006D7175"/>
    <w:rsid w:val="006D72DD"/>
    <w:rsid w:val="006D7567"/>
    <w:rsid w:val="006D768C"/>
    <w:rsid w:val="006D77CE"/>
    <w:rsid w:val="006E1061"/>
    <w:rsid w:val="006E1373"/>
    <w:rsid w:val="006E1931"/>
    <w:rsid w:val="006E29D2"/>
    <w:rsid w:val="006E2BBC"/>
    <w:rsid w:val="006E4B94"/>
    <w:rsid w:val="006E4EFB"/>
    <w:rsid w:val="006E5EC2"/>
    <w:rsid w:val="006E6F80"/>
    <w:rsid w:val="006F094A"/>
    <w:rsid w:val="006F09AD"/>
    <w:rsid w:val="006F1A40"/>
    <w:rsid w:val="006F1DC4"/>
    <w:rsid w:val="006F2890"/>
    <w:rsid w:val="006F2935"/>
    <w:rsid w:val="006F402F"/>
    <w:rsid w:val="006F4098"/>
    <w:rsid w:val="006F4379"/>
    <w:rsid w:val="006F4B7C"/>
    <w:rsid w:val="006F4E8A"/>
    <w:rsid w:val="006F5035"/>
    <w:rsid w:val="006F51B8"/>
    <w:rsid w:val="006F6149"/>
    <w:rsid w:val="006F63D9"/>
    <w:rsid w:val="006F7A8C"/>
    <w:rsid w:val="0070056F"/>
    <w:rsid w:val="00700649"/>
    <w:rsid w:val="00700742"/>
    <w:rsid w:val="00700B0D"/>
    <w:rsid w:val="00701231"/>
    <w:rsid w:val="00701D09"/>
    <w:rsid w:val="0070224C"/>
    <w:rsid w:val="00702517"/>
    <w:rsid w:val="00702ABB"/>
    <w:rsid w:val="00703124"/>
    <w:rsid w:val="00705507"/>
    <w:rsid w:val="00707469"/>
    <w:rsid w:val="00707CAC"/>
    <w:rsid w:val="007106D2"/>
    <w:rsid w:val="00710EC1"/>
    <w:rsid w:val="00712DE0"/>
    <w:rsid w:val="007130D5"/>
    <w:rsid w:val="00713212"/>
    <w:rsid w:val="007138B5"/>
    <w:rsid w:val="00713B96"/>
    <w:rsid w:val="00715153"/>
    <w:rsid w:val="00716519"/>
    <w:rsid w:val="00716D67"/>
    <w:rsid w:val="007174FD"/>
    <w:rsid w:val="00720B5C"/>
    <w:rsid w:val="00720D02"/>
    <w:rsid w:val="00721589"/>
    <w:rsid w:val="00721951"/>
    <w:rsid w:val="00721AF4"/>
    <w:rsid w:val="007226B4"/>
    <w:rsid w:val="007237EE"/>
    <w:rsid w:val="00723A4D"/>
    <w:rsid w:val="00724558"/>
    <w:rsid w:val="007254BB"/>
    <w:rsid w:val="00725605"/>
    <w:rsid w:val="00725719"/>
    <w:rsid w:val="00725A9A"/>
    <w:rsid w:val="00726233"/>
    <w:rsid w:val="0072661E"/>
    <w:rsid w:val="007271FC"/>
    <w:rsid w:val="00727C4B"/>
    <w:rsid w:val="0073164D"/>
    <w:rsid w:val="00731680"/>
    <w:rsid w:val="00731904"/>
    <w:rsid w:val="00731AA4"/>
    <w:rsid w:val="0073223C"/>
    <w:rsid w:val="007329B9"/>
    <w:rsid w:val="0073672A"/>
    <w:rsid w:val="00737216"/>
    <w:rsid w:val="00737C0B"/>
    <w:rsid w:val="00740700"/>
    <w:rsid w:val="007415F2"/>
    <w:rsid w:val="0074220A"/>
    <w:rsid w:val="00742614"/>
    <w:rsid w:val="00742B40"/>
    <w:rsid w:val="00743099"/>
    <w:rsid w:val="00743103"/>
    <w:rsid w:val="0074345C"/>
    <w:rsid w:val="00743B20"/>
    <w:rsid w:val="00743F00"/>
    <w:rsid w:val="00744688"/>
    <w:rsid w:val="00744FA4"/>
    <w:rsid w:val="007450C7"/>
    <w:rsid w:val="007468F9"/>
    <w:rsid w:val="007469D3"/>
    <w:rsid w:val="00751256"/>
    <w:rsid w:val="00751379"/>
    <w:rsid w:val="007513B4"/>
    <w:rsid w:val="00751584"/>
    <w:rsid w:val="00752548"/>
    <w:rsid w:val="00753E7A"/>
    <w:rsid w:val="00754598"/>
    <w:rsid w:val="00754FEB"/>
    <w:rsid w:val="00756686"/>
    <w:rsid w:val="007578FF"/>
    <w:rsid w:val="00757C57"/>
    <w:rsid w:val="00757FC6"/>
    <w:rsid w:val="007604D2"/>
    <w:rsid w:val="00760631"/>
    <w:rsid w:val="007607C4"/>
    <w:rsid w:val="007624CE"/>
    <w:rsid w:val="007634ED"/>
    <w:rsid w:val="0076432E"/>
    <w:rsid w:val="00764FA9"/>
    <w:rsid w:val="00765103"/>
    <w:rsid w:val="00765E08"/>
    <w:rsid w:val="007677DB"/>
    <w:rsid w:val="007702E1"/>
    <w:rsid w:val="007721EA"/>
    <w:rsid w:val="00772538"/>
    <w:rsid w:val="00772FF6"/>
    <w:rsid w:val="00773006"/>
    <w:rsid w:val="00773034"/>
    <w:rsid w:val="0077317C"/>
    <w:rsid w:val="00773324"/>
    <w:rsid w:val="00773AA3"/>
    <w:rsid w:val="00774B99"/>
    <w:rsid w:val="00775873"/>
    <w:rsid w:val="00777D41"/>
    <w:rsid w:val="007805B5"/>
    <w:rsid w:val="00780BE6"/>
    <w:rsid w:val="00780E05"/>
    <w:rsid w:val="0078145E"/>
    <w:rsid w:val="00781DAA"/>
    <w:rsid w:val="007828A5"/>
    <w:rsid w:val="007847B3"/>
    <w:rsid w:val="00785C42"/>
    <w:rsid w:val="00786E50"/>
    <w:rsid w:val="007875D9"/>
    <w:rsid w:val="00791712"/>
    <w:rsid w:val="00791BAC"/>
    <w:rsid w:val="00791C5E"/>
    <w:rsid w:val="00791FFB"/>
    <w:rsid w:val="0079342F"/>
    <w:rsid w:val="007935FF"/>
    <w:rsid w:val="007937BB"/>
    <w:rsid w:val="00794285"/>
    <w:rsid w:val="0079432B"/>
    <w:rsid w:val="007954AB"/>
    <w:rsid w:val="00795B6F"/>
    <w:rsid w:val="00796A83"/>
    <w:rsid w:val="00796C3D"/>
    <w:rsid w:val="00797129"/>
    <w:rsid w:val="007A1B94"/>
    <w:rsid w:val="007A234B"/>
    <w:rsid w:val="007A2DD6"/>
    <w:rsid w:val="007A3609"/>
    <w:rsid w:val="007A55EB"/>
    <w:rsid w:val="007A57B9"/>
    <w:rsid w:val="007A59CF"/>
    <w:rsid w:val="007A6FBC"/>
    <w:rsid w:val="007A7694"/>
    <w:rsid w:val="007A7950"/>
    <w:rsid w:val="007B020E"/>
    <w:rsid w:val="007B4A7F"/>
    <w:rsid w:val="007B4D09"/>
    <w:rsid w:val="007B6C09"/>
    <w:rsid w:val="007B6C88"/>
    <w:rsid w:val="007C0255"/>
    <w:rsid w:val="007C0666"/>
    <w:rsid w:val="007C14A2"/>
    <w:rsid w:val="007C19C9"/>
    <w:rsid w:val="007C1A69"/>
    <w:rsid w:val="007C2786"/>
    <w:rsid w:val="007C2C4C"/>
    <w:rsid w:val="007C39DF"/>
    <w:rsid w:val="007C3BC8"/>
    <w:rsid w:val="007C5506"/>
    <w:rsid w:val="007C5828"/>
    <w:rsid w:val="007C5AED"/>
    <w:rsid w:val="007C628C"/>
    <w:rsid w:val="007C710A"/>
    <w:rsid w:val="007C7F0C"/>
    <w:rsid w:val="007D0DAA"/>
    <w:rsid w:val="007D1693"/>
    <w:rsid w:val="007D313A"/>
    <w:rsid w:val="007D3CCD"/>
    <w:rsid w:val="007D4636"/>
    <w:rsid w:val="007D575F"/>
    <w:rsid w:val="007D57D7"/>
    <w:rsid w:val="007D5A8D"/>
    <w:rsid w:val="007D6665"/>
    <w:rsid w:val="007D7549"/>
    <w:rsid w:val="007D7D82"/>
    <w:rsid w:val="007E0100"/>
    <w:rsid w:val="007E0BE9"/>
    <w:rsid w:val="007E0CC7"/>
    <w:rsid w:val="007E167E"/>
    <w:rsid w:val="007E1CB8"/>
    <w:rsid w:val="007E1D09"/>
    <w:rsid w:val="007E36B4"/>
    <w:rsid w:val="007E468D"/>
    <w:rsid w:val="007E4881"/>
    <w:rsid w:val="007E4B07"/>
    <w:rsid w:val="007E4BC3"/>
    <w:rsid w:val="007E7D79"/>
    <w:rsid w:val="007F02B3"/>
    <w:rsid w:val="007F03EA"/>
    <w:rsid w:val="007F0552"/>
    <w:rsid w:val="007F08BC"/>
    <w:rsid w:val="007F0C4E"/>
    <w:rsid w:val="007F1636"/>
    <w:rsid w:val="007F196D"/>
    <w:rsid w:val="007F293F"/>
    <w:rsid w:val="007F3DBD"/>
    <w:rsid w:val="007F3E8F"/>
    <w:rsid w:val="007F5631"/>
    <w:rsid w:val="007F58E6"/>
    <w:rsid w:val="007F615F"/>
    <w:rsid w:val="007F61A0"/>
    <w:rsid w:val="007F6F04"/>
    <w:rsid w:val="007F6FD3"/>
    <w:rsid w:val="007F7A0F"/>
    <w:rsid w:val="008013E3"/>
    <w:rsid w:val="0080222A"/>
    <w:rsid w:val="0080268D"/>
    <w:rsid w:val="008026FD"/>
    <w:rsid w:val="00802D31"/>
    <w:rsid w:val="00803433"/>
    <w:rsid w:val="00803639"/>
    <w:rsid w:val="008037F2"/>
    <w:rsid w:val="00803906"/>
    <w:rsid w:val="008053F5"/>
    <w:rsid w:val="00805A4C"/>
    <w:rsid w:val="00805CB1"/>
    <w:rsid w:val="00805FE9"/>
    <w:rsid w:val="00806450"/>
    <w:rsid w:val="008065ED"/>
    <w:rsid w:val="00806782"/>
    <w:rsid w:val="00807390"/>
    <w:rsid w:val="00807AEE"/>
    <w:rsid w:val="008104C0"/>
    <w:rsid w:val="00810759"/>
    <w:rsid w:val="00810B89"/>
    <w:rsid w:val="00811295"/>
    <w:rsid w:val="008123EC"/>
    <w:rsid w:val="008134B6"/>
    <w:rsid w:val="008151B4"/>
    <w:rsid w:val="00815B7F"/>
    <w:rsid w:val="00816540"/>
    <w:rsid w:val="00816E7F"/>
    <w:rsid w:val="00820BCE"/>
    <w:rsid w:val="00820E50"/>
    <w:rsid w:val="008217CD"/>
    <w:rsid w:val="00821C55"/>
    <w:rsid w:val="00822860"/>
    <w:rsid w:val="008235B2"/>
    <w:rsid w:val="0082450A"/>
    <w:rsid w:val="00825E9B"/>
    <w:rsid w:val="00826390"/>
    <w:rsid w:val="008301A4"/>
    <w:rsid w:val="0083131A"/>
    <w:rsid w:val="00831AD5"/>
    <w:rsid w:val="00831E71"/>
    <w:rsid w:val="00831F6C"/>
    <w:rsid w:val="008329CC"/>
    <w:rsid w:val="008338C3"/>
    <w:rsid w:val="0083470C"/>
    <w:rsid w:val="008351EC"/>
    <w:rsid w:val="00835F1D"/>
    <w:rsid w:val="00837091"/>
    <w:rsid w:val="00837DF6"/>
    <w:rsid w:val="0084258A"/>
    <w:rsid w:val="00842B1C"/>
    <w:rsid w:val="00842E5E"/>
    <w:rsid w:val="0084483F"/>
    <w:rsid w:val="00845EC2"/>
    <w:rsid w:val="0084693D"/>
    <w:rsid w:val="0085033E"/>
    <w:rsid w:val="00850781"/>
    <w:rsid w:val="00850912"/>
    <w:rsid w:val="008515B1"/>
    <w:rsid w:val="008523A5"/>
    <w:rsid w:val="008525FF"/>
    <w:rsid w:val="0085292F"/>
    <w:rsid w:val="0085315F"/>
    <w:rsid w:val="00853889"/>
    <w:rsid w:val="00854E12"/>
    <w:rsid w:val="0085525E"/>
    <w:rsid w:val="00855654"/>
    <w:rsid w:val="00855842"/>
    <w:rsid w:val="0085676D"/>
    <w:rsid w:val="008572A2"/>
    <w:rsid w:val="00857449"/>
    <w:rsid w:val="00857FBA"/>
    <w:rsid w:val="008602FF"/>
    <w:rsid w:val="0086184D"/>
    <w:rsid w:val="008620B3"/>
    <w:rsid w:val="00862D98"/>
    <w:rsid w:val="008643BC"/>
    <w:rsid w:val="00864547"/>
    <w:rsid w:val="00864652"/>
    <w:rsid w:val="0086493F"/>
    <w:rsid w:val="00865582"/>
    <w:rsid w:val="00865680"/>
    <w:rsid w:val="00867029"/>
    <w:rsid w:val="00867249"/>
    <w:rsid w:val="0086739A"/>
    <w:rsid w:val="00867D68"/>
    <w:rsid w:val="00870EBB"/>
    <w:rsid w:val="008712DB"/>
    <w:rsid w:val="00872325"/>
    <w:rsid w:val="008727C1"/>
    <w:rsid w:val="00872B0C"/>
    <w:rsid w:val="00872BDB"/>
    <w:rsid w:val="008731B8"/>
    <w:rsid w:val="00874BE7"/>
    <w:rsid w:val="00874C0D"/>
    <w:rsid w:val="0087528D"/>
    <w:rsid w:val="008758AF"/>
    <w:rsid w:val="008759B7"/>
    <w:rsid w:val="00876701"/>
    <w:rsid w:val="0087687A"/>
    <w:rsid w:val="008775A7"/>
    <w:rsid w:val="0088177C"/>
    <w:rsid w:val="00881E24"/>
    <w:rsid w:val="008835B0"/>
    <w:rsid w:val="00883D71"/>
    <w:rsid w:val="00884086"/>
    <w:rsid w:val="00886724"/>
    <w:rsid w:val="00887531"/>
    <w:rsid w:val="00887556"/>
    <w:rsid w:val="00887761"/>
    <w:rsid w:val="00887ED0"/>
    <w:rsid w:val="008912DB"/>
    <w:rsid w:val="00891CAC"/>
    <w:rsid w:val="008922D2"/>
    <w:rsid w:val="008938B0"/>
    <w:rsid w:val="00893A05"/>
    <w:rsid w:val="00893C9B"/>
    <w:rsid w:val="00894A13"/>
    <w:rsid w:val="00895939"/>
    <w:rsid w:val="00895EE4"/>
    <w:rsid w:val="008A1284"/>
    <w:rsid w:val="008A1F09"/>
    <w:rsid w:val="008A2F14"/>
    <w:rsid w:val="008A4297"/>
    <w:rsid w:val="008A430E"/>
    <w:rsid w:val="008A49DA"/>
    <w:rsid w:val="008A50A8"/>
    <w:rsid w:val="008A5EAB"/>
    <w:rsid w:val="008A611F"/>
    <w:rsid w:val="008A62DC"/>
    <w:rsid w:val="008A6FD7"/>
    <w:rsid w:val="008B0789"/>
    <w:rsid w:val="008B07B4"/>
    <w:rsid w:val="008B09DA"/>
    <w:rsid w:val="008B1615"/>
    <w:rsid w:val="008B1898"/>
    <w:rsid w:val="008B1E26"/>
    <w:rsid w:val="008B3109"/>
    <w:rsid w:val="008B33E9"/>
    <w:rsid w:val="008B4193"/>
    <w:rsid w:val="008B4567"/>
    <w:rsid w:val="008B4782"/>
    <w:rsid w:val="008B501D"/>
    <w:rsid w:val="008B5759"/>
    <w:rsid w:val="008B6101"/>
    <w:rsid w:val="008C0204"/>
    <w:rsid w:val="008C2D46"/>
    <w:rsid w:val="008C30B9"/>
    <w:rsid w:val="008C5148"/>
    <w:rsid w:val="008C6A05"/>
    <w:rsid w:val="008C6DC4"/>
    <w:rsid w:val="008C7154"/>
    <w:rsid w:val="008C756F"/>
    <w:rsid w:val="008C78C6"/>
    <w:rsid w:val="008C799B"/>
    <w:rsid w:val="008D0572"/>
    <w:rsid w:val="008D090D"/>
    <w:rsid w:val="008D0B9F"/>
    <w:rsid w:val="008D0E03"/>
    <w:rsid w:val="008D214C"/>
    <w:rsid w:val="008D4CE2"/>
    <w:rsid w:val="008D5CCC"/>
    <w:rsid w:val="008D7673"/>
    <w:rsid w:val="008D7C5C"/>
    <w:rsid w:val="008D7C78"/>
    <w:rsid w:val="008D7ED7"/>
    <w:rsid w:val="008E0299"/>
    <w:rsid w:val="008E07D6"/>
    <w:rsid w:val="008E10FE"/>
    <w:rsid w:val="008E2093"/>
    <w:rsid w:val="008E2A35"/>
    <w:rsid w:val="008E2EB8"/>
    <w:rsid w:val="008E310A"/>
    <w:rsid w:val="008E39C3"/>
    <w:rsid w:val="008E4363"/>
    <w:rsid w:val="008E4515"/>
    <w:rsid w:val="008E698E"/>
    <w:rsid w:val="008E6DA0"/>
    <w:rsid w:val="008F09E2"/>
    <w:rsid w:val="008F0C79"/>
    <w:rsid w:val="008F176E"/>
    <w:rsid w:val="008F1C2D"/>
    <w:rsid w:val="008F1E8E"/>
    <w:rsid w:val="008F2E00"/>
    <w:rsid w:val="008F310B"/>
    <w:rsid w:val="008F34BE"/>
    <w:rsid w:val="008F370B"/>
    <w:rsid w:val="008F440D"/>
    <w:rsid w:val="008F6326"/>
    <w:rsid w:val="008F67E1"/>
    <w:rsid w:val="008F7326"/>
    <w:rsid w:val="008F7A45"/>
    <w:rsid w:val="0090194E"/>
    <w:rsid w:val="00901ED8"/>
    <w:rsid w:val="009027C1"/>
    <w:rsid w:val="00903645"/>
    <w:rsid w:val="00904294"/>
    <w:rsid w:val="009047B0"/>
    <w:rsid w:val="009047C0"/>
    <w:rsid w:val="00905145"/>
    <w:rsid w:val="009053F4"/>
    <w:rsid w:val="009073B8"/>
    <w:rsid w:val="0090799D"/>
    <w:rsid w:val="00911562"/>
    <w:rsid w:val="00911927"/>
    <w:rsid w:val="00911D18"/>
    <w:rsid w:val="0091275F"/>
    <w:rsid w:val="00912B40"/>
    <w:rsid w:val="00912BCC"/>
    <w:rsid w:val="00914658"/>
    <w:rsid w:val="00914A8E"/>
    <w:rsid w:val="00914B1B"/>
    <w:rsid w:val="00914F16"/>
    <w:rsid w:val="00914FFA"/>
    <w:rsid w:val="009158FA"/>
    <w:rsid w:val="00916402"/>
    <w:rsid w:val="0091644F"/>
    <w:rsid w:val="009166BA"/>
    <w:rsid w:val="009166DA"/>
    <w:rsid w:val="00916B4D"/>
    <w:rsid w:val="00916E1E"/>
    <w:rsid w:val="00916E5B"/>
    <w:rsid w:val="0091790C"/>
    <w:rsid w:val="0092007E"/>
    <w:rsid w:val="009203EC"/>
    <w:rsid w:val="00920CCA"/>
    <w:rsid w:val="009230B6"/>
    <w:rsid w:val="00924D38"/>
    <w:rsid w:val="00925FE6"/>
    <w:rsid w:val="0092659D"/>
    <w:rsid w:val="009266D6"/>
    <w:rsid w:val="00927DEE"/>
    <w:rsid w:val="009300CF"/>
    <w:rsid w:val="009303AE"/>
    <w:rsid w:val="00931243"/>
    <w:rsid w:val="0093196D"/>
    <w:rsid w:val="0093223B"/>
    <w:rsid w:val="00935CB6"/>
    <w:rsid w:val="00936501"/>
    <w:rsid w:val="00937D49"/>
    <w:rsid w:val="0094186A"/>
    <w:rsid w:val="0094212A"/>
    <w:rsid w:val="00942331"/>
    <w:rsid w:val="0094271C"/>
    <w:rsid w:val="00942CF5"/>
    <w:rsid w:val="00943373"/>
    <w:rsid w:val="00943EF3"/>
    <w:rsid w:val="00944795"/>
    <w:rsid w:val="00944A33"/>
    <w:rsid w:val="00945EAD"/>
    <w:rsid w:val="00945ED8"/>
    <w:rsid w:val="009465D8"/>
    <w:rsid w:val="00946AE8"/>
    <w:rsid w:val="00947741"/>
    <w:rsid w:val="00947BB0"/>
    <w:rsid w:val="00947E83"/>
    <w:rsid w:val="00947FBE"/>
    <w:rsid w:val="009519A8"/>
    <w:rsid w:val="0095299A"/>
    <w:rsid w:val="0095372D"/>
    <w:rsid w:val="00953758"/>
    <w:rsid w:val="009550F1"/>
    <w:rsid w:val="0095525C"/>
    <w:rsid w:val="009557C1"/>
    <w:rsid w:val="00956D1A"/>
    <w:rsid w:val="00956EF9"/>
    <w:rsid w:val="00956FC9"/>
    <w:rsid w:val="00957330"/>
    <w:rsid w:val="00957E52"/>
    <w:rsid w:val="009620CE"/>
    <w:rsid w:val="00963F32"/>
    <w:rsid w:val="0096459A"/>
    <w:rsid w:val="0096514E"/>
    <w:rsid w:val="009651E6"/>
    <w:rsid w:val="00965AB7"/>
    <w:rsid w:val="0096692D"/>
    <w:rsid w:val="00967640"/>
    <w:rsid w:val="0097012A"/>
    <w:rsid w:val="00971618"/>
    <w:rsid w:val="00971BA4"/>
    <w:rsid w:val="009734AE"/>
    <w:rsid w:val="00974121"/>
    <w:rsid w:val="009746D9"/>
    <w:rsid w:val="00975AFA"/>
    <w:rsid w:val="00975DFD"/>
    <w:rsid w:val="00976F6B"/>
    <w:rsid w:val="00977435"/>
    <w:rsid w:val="0097743B"/>
    <w:rsid w:val="00977463"/>
    <w:rsid w:val="0097785A"/>
    <w:rsid w:val="00977BD9"/>
    <w:rsid w:val="00981C52"/>
    <w:rsid w:val="0098200B"/>
    <w:rsid w:val="00982F1F"/>
    <w:rsid w:val="00983649"/>
    <w:rsid w:val="00984050"/>
    <w:rsid w:val="00984429"/>
    <w:rsid w:val="009845A9"/>
    <w:rsid w:val="00985D2E"/>
    <w:rsid w:val="00985E1C"/>
    <w:rsid w:val="009879B6"/>
    <w:rsid w:val="00990589"/>
    <w:rsid w:val="00990E90"/>
    <w:rsid w:val="00991DC9"/>
    <w:rsid w:val="00992103"/>
    <w:rsid w:val="00992AB0"/>
    <w:rsid w:val="00993177"/>
    <w:rsid w:val="00993223"/>
    <w:rsid w:val="0099357D"/>
    <w:rsid w:val="009937F0"/>
    <w:rsid w:val="0099384F"/>
    <w:rsid w:val="00993BA1"/>
    <w:rsid w:val="00997E17"/>
    <w:rsid w:val="009A1059"/>
    <w:rsid w:val="009A1A92"/>
    <w:rsid w:val="009A1EA2"/>
    <w:rsid w:val="009A2799"/>
    <w:rsid w:val="009A2801"/>
    <w:rsid w:val="009A356C"/>
    <w:rsid w:val="009A364C"/>
    <w:rsid w:val="009A37C4"/>
    <w:rsid w:val="009A4297"/>
    <w:rsid w:val="009A4C32"/>
    <w:rsid w:val="009A59BE"/>
    <w:rsid w:val="009A61AA"/>
    <w:rsid w:val="009A670D"/>
    <w:rsid w:val="009A690C"/>
    <w:rsid w:val="009B01DC"/>
    <w:rsid w:val="009B29E0"/>
    <w:rsid w:val="009B343D"/>
    <w:rsid w:val="009B3805"/>
    <w:rsid w:val="009B398B"/>
    <w:rsid w:val="009B39E0"/>
    <w:rsid w:val="009B5066"/>
    <w:rsid w:val="009B51FB"/>
    <w:rsid w:val="009B548C"/>
    <w:rsid w:val="009B5706"/>
    <w:rsid w:val="009B6B79"/>
    <w:rsid w:val="009B7280"/>
    <w:rsid w:val="009B7355"/>
    <w:rsid w:val="009B7819"/>
    <w:rsid w:val="009B7A5C"/>
    <w:rsid w:val="009C32F9"/>
    <w:rsid w:val="009C3B4F"/>
    <w:rsid w:val="009C3C11"/>
    <w:rsid w:val="009C3E97"/>
    <w:rsid w:val="009C3EDD"/>
    <w:rsid w:val="009C5CD4"/>
    <w:rsid w:val="009C654D"/>
    <w:rsid w:val="009C6EDA"/>
    <w:rsid w:val="009C70DD"/>
    <w:rsid w:val="009C71EB"/>
    <w:rsid w:val="009C7CD4"/>
    <w:rsid w:val="009D0053"/>
    <w:rsid w:val="009D08BA"/>
    <w:rsid w:val="009D10B6"/>
    <w:rsid w:val="009D25CD"/>
    <w:rsid w:val="009D2FD1"/>
    <w:rsid w:val="009D3D20"/>
    <w:rsid w:val="009D3D8A"/>
    <w:rsid w:val="009D4976"/>
    <w:rsid w:val="009D49B2"/>
    <w:rsid w:val="009D558F"/>
    <w:rsid w:val="009D789F"/>
    <w:rsid w:val="009E080B"/>
    <w:rsid w:val="009E0863"/>
    <w:rsid w:val="009E0A1D"/>
    <w:rsid w:val="009E18EC"/>
    <w:rsid w:val="009E2868"/>
    <w:rsid w:val="009E307E"/>
    <w:rsid w:val="009E3199"/>
    <w:rsid w:val="009E31AD"/>
    <w:rsid w:val="009E4DFB"/>
    <w:rsid w:val="009E5037"/>
    <w:rsid w:val="009E56A1"/>
    <w:rsid w:val="009E5AC6"/>
    <w:rsid w:val="009E60F2"/>
    <w:rsid w:val="009F07E6"/>
    <w:rsid w:val="009F142E"/>
    <w:rsid w:val="009F25A3"/>
    <w:rsid w:val="009F3A22"/>
    <w:rsid w:val="009F4267"/>
    <w:rsid w:val="009F61C1"/>
    <w:rsid w:val="009F655F"/>
    <w:rsid w:val="009F706D"/>
    <w:rsid w:val="009F7534"/>
    <w:rsid w:val="009F78B9"/>
    <w:rsid w:val="009F7E45"/>
    <w:rsid w:val="00A00232"/>
    <w:rsid w:val="00A00A70"/>
    <w:rsid w:val="00A01931"/>
    <w:rsid w:val="00A03A29"/>
    <w:rsid w:val="00A03E2A"/>
    <w:rsid w:val="00A04397"/>
    <w:rsid w:val="00A06472"/>
    <w:rsid w:val="00A07095"/>
    <w:rsid w:val="00A07F81"/>
    <w:rsid w:val="00A12740"/>
    <w:rsid w:val="00A12777"/>
    <w:rsid w:val="00A127AA"/>
    <w:rsid w:val="00A12C67"/>
    <w:rsid w:val="00A12DD9"/>
    <w:rsid w:val="00A1303C"/>
    <w:rsid w:val="00A1327F"/>
    <w:rsid w:val="00A13EC3"/>
    <w:rsid w:val="00A1408D"/>
    <w:rsid w:val="00A146AC"/>
    <w:rsid w:val="00A14708"/>
    <w:rsid w:val="00A1537C"/>
    <w:rsid w:val="00A15764"/>
    <w:rsid w:val="00A1628B"/>
    <w:rsid w:val="00A173AF"/>
    <w:rsid w:val="00A17F6E"/>
    <w:rsid w:val="00A2065F"/>
    <w:rsid w:val="00A208B1"/>
    <w:rsid w:val="00A209A0"/>
    <w:rsid w:val="00A217C9"/>
    <w:rsid w:val="00A23A0C"/>
    <w:rsid w:val="00A23AC4"/>
    <w:rsid w:val="00A24E22"/>
    <w:rsid w:val="00A259B2"/>
    <w:rsid w:val="00A25A4F"/>
    <w:rsid w:val="00A26BBE"/>
    <w:rsid w:val="00A308C7"/>
    <w:rsid w:val="00A30BDE"/>
    <w:rsid w:val="00A30D40"/>
    <w:rsid w:val="00A31906"/>
    <w:rsid w:val="00A329DE"/>
    <w:rsid w:val="00A350B1"/>
    <w:rsid w:val="00A35A08"/>
    <w:rsid w:val="00A35D1D"/>
    <w:rsid w:val="00A36F57"/>
    <w:rsid w:val="00A374A6"/>
    <w:rsid w:val="00A374D2"/>
    <w:rsid w:val="00A37EA6"/>
    <w:rsid w:val="00A40643"/>
    <w:rsid w:val="00A4088C"/>
    <w:rsid w:val="00A40C4F"/>
    <w:rsid w:val="00A41AE9"/>
    <w:rsid w:val="00A41C64"/>
    <w:rsid w:val="00A435FC"/>
    <w:rsid w:val="00A4363A"/>
    <w:rsid w:val="00A43663"/>
    <w:rsid w:val="00A45135"/>
    <w:rsid w:val="00A47F34"/>
    <w:rsid w:val="00A51081"/>
    <w:rsid w:val="00A527EB"/>
    <w:rsid w:val="00A5291D"/>
    <w:rsid w:val="00A52A21"/>
    <w:rsid w:val="00A532B5"/>
    <w:rsid w:val="00A53717"/>
    <w:rsid w:val="00A545D6"/>
    <w:rsid w:val="00A54A57"/>
    <w:rsid w:val="00A54D8E"/>
    <w:rsid w:val="00A5682A"/>
    <w:rsid w:val="00A570D7"/>
    <w:rsid w:val="00A57228"/>
    <w:rsid w:val="00A60BE5"/>
    <w:rsid w:val="00A60D63"/>
    <w:rsid w:val="00A6157B"/>
    <w:rsid w:val="00A61E79"/>
    <w:rsid w:val="00A62129"/>
    <w:rsid w:val="00A63170"/>
    <w:rsid w:val="00A645D0"/>
    <w:rsid w:val="00A64A94"/>
    <w:rsid w:val="00A66639"/>
    <w:rsid w:val="00A707F4"/>
    <w:rsid w:val="00A70F83"/>
    <w:rsid w:val="00A7164F"/>
    <w:rsid w:val="00A7197D"/>
    <w:rsid w:val="00A72521"/>
    <w:rsid w:val="00A72D5B"/>
    <w:rsid w:val="00A731AB"/>
    <w:rsid w:val="00A736FD"/>
    <w:rsid w:val="00A73804"/>
    <w:rsid w:val="00A73944"/>
    <w:rsid w:val="00A73FBA"/>
    <w:rsid w:val="00A75003"/>
    <w:rsid w:val="00A754D6"/>
    <w:rsid w:val="00A77E74"/>
    <w:rsid w:val="00A82C02"/>
    <w:rsid w:val="00A83127"/>
    <w:rsid w:val="00A84C91"/>
    <w:rsid w:val="00A86ECE"/>
    <w:rsid w:val="00A87731"/>
    <w:rsid w:val="00A87A29"/>
    <w:rsid w:val="00A87F13"/>
    <w:rsid w:val="00A93ABE"/>
    <w:rsid w:val="00A94C60"/>
    <w:rsid w:val="00A94FC5"/>
    <w:rsid w:val="00A95851"/>
    <w:rsid w:val="00A95B22"/>
    <w:rsid w:val="00A95D66"/>
    <w:rsid w:val="00A95D95"/>
    <w:rsid w:val="00A973CF"/>
    <w:rsid w:val="00A977D5"/>
    <w:rsid w:val="00AA0C06"/>
    <w:rsid w:val="00AA2864"/>
    <w:rsid w:val="00AA2F61"/>
    <w:rsid w:val="00AA34C4"/>
    <w:rsid w:val="00AA3A8D"/>
    <w:rsid w:val="00AA4E32"/>
    <w:rsid w:val="00AA52EB"/>
    <w:rsid w:val="00AA559B"/>
    <w:rsid w:val="00AA5D9D"/>
    <w:rsid w:val="00AA75DA"/>
    <w:rsid w:val="00AB007B"/>
    <w:rsid w:val="00AB00AD"/>
    <w:rsid w:val="00AB169F"/>
    <w:rsid w:val="00AB173B"/>
    <w:rsid w:val="00AB1D2F"/>
    <w:rsid w:val="00AB2024"/>
    <w:rsid w:val="00AB2CDD"/>
    <w:rsid w:val="00AB32F2"/>
    <w:rsid w:val="00AB39A2"/>
    <w:rsid w:val="00AB3F5A"/>
    <w:rsid w:val="00AB4092"/>
    <w:rsid w:val="00AB4CBF"/>
    <w:rsid w:val="00AB6B56"/>
    <w:rsid w:val="00AB7020"/>
    <w:rsid w:val="00AC02A9"/>
    <w:rsid w:val="00AC31BB"/>
    <w:rsid w:val="00AC34E6"/>
    <w:rsid w:val="00AC450D"/>
    <w:rsid w:val="00AC4994"/>
    <w:rsid w:val="00AC56BD"/>
    <w:rsid w:val="00AC59E7"/>
    <w:rsid w:val="00AC61BA"/>
    <w:rsid w:val="00AC66B3"/>
    <w:rsid w:val="00AC6AC9"/>
    <w:rsid w:val="00AC7919"/>
    <w:rsid w:val="00AD0060"/>
    <w:rsid w:val="00AD0581"/>
    <w:rsid w:val="00AD0A39"/>
    <w:rsid w:val="00AD1759"/>
    <w:rsid w:val="00AD32B9"/>
    <w:rsid w:val="00AD37B5"/>
    <w:rsid w:val="00AD3AC2"/>
    <w:rsid w:val="00AD3BC7"/>
    <w:rsid w:val="00AD4B71"/>
    <w:rsid w:val="00AD4FB9"/>
    <w:rsid w:val="00AD536F"/>
    <w:rsid w:val="00AD6351"/>
    <w:rsid w:val="00AE0607"/>
    <w:rsid w:val="00AE0C2D"/>
    <w:rsid w:val="00AE0F5D"/>
    <w:rsid w:val="00AE1556"/>
    <w:rsid w:val="00AE1A22"/>
    <w:rsid w:val="00AE222B"/>
    <w:rsid w:val="00AE2C58"/>
    <w:rsid w:val="00AE2CC8"/>
    <w:rsid w:val="00AE52DF"/>
    <w:rsid w:val="00AE654A"/>
    <w:rsid w:val="00AE663C"/>
    <w:rsid w:val="00AE743E"/>
    <w:rsid w:val="00AF05AB"/>
    <w:rsid w:val="00AF0A06"/>
    <w:rsid w:val="00AF109D"/>
    <w:rsid w:val="00AF1710"/>
    <w:rsid w:val="00AF2574"/>
    <w:rsid w:val="00AF4264"/>
    <w:rsid w:val="00AF4CEF"/>
    <w:rsid w:val="00AF66D7"/>
    <w:rsid w:val="00B000FD"/>
    <w:rsid w:val="00B001A8"/>
    <w:rsid w:val="00B01038"/>
    <w:rsid w:val="00B01754"/>
    <w:rsid w:val="00B0379C"/>
    <w:rsid w:val="00B04030"/>
    <w:rsid w:val="00B047B4"/>
    <w:rsid w:val="00B04975"/>
    <w:rsid w:val="00B06F91"/>
    <w:rsid w:val="00B07B4E"/>
    <w:rsid w:val="00B07C15"/>
    <w:rsid w:val="00B07D2D"/>
    <w:rsid w:val="00B1022C"/>
    <w:rsid w:val="00B1225A"/>
    <w:rsid w:val="00B1258A"/>
    <w:rsid w:val="00B12DCC"/>
    <w:rsid w:val="00B15B99"/>
    <w:rsid w:val="00B176FF"/>
    <w:rsid w:val="00B205A6"/>
    <w:rsid w:val="00B20C65"/>
    <w:rsid w:val="00B20FD9"/>
    <w:rsid w:val="00B211FF"/>
    <w:rsid w:val="00B21B8A"/>
    <w:rsid w:val="00B21C00"/>
    <w:rsid w:val="00B21D0C"/>
    <w:rsid w:val="00B22461"/>
    <w:rsid w:val="00B22A07"/>
    <w:rsid w:val="00B257A5"/>
    <w:rsid w:val="00B25B7F"/>
    <w:rsid w:val="00B267F8"/>
    <w:rsid w:val="00B26D28"/>
    <w:rsid w:val="00B26F32"/>
    <w:rsid w:val="00B3028D"/>
    <w:rsid w:val="00B30CB3"/>
    <w:rsid w:val="00B31621"/>
    <w:rsid w:val="00B31E36"/>
    <w:rsid w:val="00B32A42"/>
    <w:rsid w:val="00B3420A"/>
    <w:rsid w:val="00B34A88"/>
    <w:rsid w:val="00B35006"/>
    <w:rsid w:val="00B350A5"/>
    <w:rsid w:val="00B351F9"/>
    <w:rsid w:val="00B3593F"/>
    <w:rsid w:val="00B35ADD"/>
    <w:rsid w:val="00B35FD9"/>
    <w:rsid w:val="00B37866"/>
    <w:rsid w:val="00B37DA2"/>
    <w:rsid w:val="00B41E78"/>
    <w:rsid w:val="00B42B40"/>
    <w:rsid w:val="00B42F23"/>
    <w:rsid w:val="00B44C13"/>
    <w:rsid w:val="00B45E0F"/>
    <w:rsid w:val="00B50437"/>
    <w:rsid w:val="00B50446"/>
    <w:rsid w:val="00B5045D"/>
    <w:rsid w:val="00B50952"/>
    <w:rsid w:val="00B5148B"/>
    <w:rsid w:val="00B514CC"/>
    <w:rsid w:val="00B51711"/>
    <w:rsid w:val="00B5218C"/>
    <w:rsid w:val="00B5226C"/>
    <w:rsid w:val="00B52726"/>
    <w:rsid w:val="00B527C9"/>
    <w:rsid w:val="00B52B45"/>
    <w:rsid w:val="00B52ED6"/>
    <w:rsid w:val="00B53030"/>
    <w:rsid w:val="00B5375D"/>
    <w:rsid w:val="00B543AE"/>
    <w:rsid w:val="00B55A77"/>
    <w:rsid w:val="00B55AF1"/>
    <w:rsid w:val="00B574D7"/>
    <w:rsid w:val="00B60F9B"/>
    <w:rsid w:val="00B6284C"/>
    <w:rsid w:val="00B64385"/>
    <w:rsid w:val="00B64791"/>
    <w:rsid w:val="00B64CC2"/>
    <w:rsid w:val="00B64D30"/>
    <w:rsid w:val="00B6548F"/>
    <w:rsid w:val="00B65A9B"/>
    <w:rsid w:val="00B662EA"/>
    <w:rsid w:val="00B667B9"/>
    <w:rsid w:val="00B67428"/>
    <w:rsid w:val="00B67918"/>
    <w:rsid w:val="00B7036B"/>
    <w:rsid w:val="00B707CC"/>
    <w:rsid w:val="00B70991"/>
    <w:rsid w:val="00B72132"/>
    <w:rsid w:val="00B72278"/>
    <w:rsid w:val="00B72896"/>
    <w:rsid w:val="00B728E7"/>
    <w:rsid w:val="00B73AC8"/>
    <w:rsid w:val="00B75CA9"/>
    <w:rsid w:val="00B75CCA"/>
    <w:rsid w:val="00B76643"/>
    <w:rsid w:val="00B7679E"/>
    <w:rsid w:val="00B77D93"/>
    <w:rsid w:val="00B807A5"/>
    <w:rsid w:val="00B80B1C"/>
    <w:rsid w:val="00B81AB6"/>
    <w:rsid w:val="00B83D6F"/>
    <w:rsid w:val="00B856D3"/>
    <w:rsid w:val="00B85817"/>
    <w:rsid w:val="00B85932"/>
    <w:rsid w:val="00B87DF2"/>
    <w:rsid w:val="00B87FA3"/>
    <w:rsid w:val="00B90A7C"/>
    <w:rsid w:val="00B91725"/>
    <w:rsid w:val="00B9175E"/>
    <w:rsid w:val="00B91DFA"/>
    <w:rsid w:val="00B92155"/>
    <w:rsid w:val="00B937DB"/>
    <w:rsid w:val="00B944F1"/>
    <w:rsid w:val="00B946E1"/>
    <w:rsid w:val="00B948EC"/>
    <w:rsid w:val="00B94A93"/>
    <w:rsid w:val="00B954EA"/>
    <w:rsid w:val="00B9576D"/>
    <w:rsid w:val="00B9578B"/>
    <w:rsid w:val="00B96819"/>
    <w:rsid w:val="00B968B2"/>
    <w:rsid w:val="00B96AEC"/>
    <w:rsid w:val="00BA06E0"/>
    <w:rsid w:val="00BA0E18"/>
    <w:rsid w:val="00BA1CA5"/>
    <w:rsid w:val="00BA2F38"/>
    <w:rsid w:val="00BA3089"/>
    <w:rsid w:val="00BA328F"/>
    <w:rsid w:val="00BA3391"/>
    <w:rsid w:val="00BA345A"/>
    <w:rsid w:val="00BA43F7"/>
    <w:rsid w:val="00BA57A4"/>
    <w:rsid w:val="00BA66CB"/>
    <w:rsid w:val="00BA7211"/>
    <w:rsid w:val="00BA72ED"/>
    <w:rsid w:val="00BA75DE"/>
    <w:rsid w:val="00BB08D9"/>
    <w:rsid w:val="00BB0DC0"/>
    <w:rsid w:val="00BB15A0"/>
    <w:rsid w:val="00BB1D90"/>
    <w:rsid w:val="00BB2B8F"/>
    <w:rsid w:val="00BB2BBA"/>
    <w:rsid w:val="00BB3D0E"/>
    <w:rsid w:val="00BB406A"/>
    <w:rsid w:val="00BB46AA"/>
    <w:rsid w:val="00BB46CB"/>
    <w:rsid w:val="00BB474B"/>
    <w:rsid w:val="00BB4F19"/>
    <w:rsid w:val="00BB55E3"/>
    <w:rsid w:val="00BB6C8D"/>
    <w:rsid w:val="00BB7CD7"/>
    <w:rsid w:val="00BB7E23"/>
    <w:rsid w:val="00BC0051"/>
    <w:rsid w:val="00BC01BB"/>
    <w:rsid w:val="00BC0ED0"/>
    <w:rsid w:val="00BC1B6E"/>
    <w:rsid w:val="00BC1E89"/>
    <w:rsid w:val="00BC2B13"/>
    <w:rsid w:val="00BC2F2B"/>
    <w:rsid w:val="00BC427A"/>
    <w:rsid w:val="00BC43C9"/>
    <w:rsid w:val="00BC4C57"/>
    <w:rsid w:val="00BC4D0F"/>
    <w:rsid w:val="00BC4DC1"/>
    <w:rsid w:val="00BC5FC6"/>
    <w:rsid w:val="00BC7BE0"/>
    <w:rsid w:val="00BC7C62"/>
    <w:rsid w:val="00BD0A16"/>
    <w:rsid w:val="00BD0C76"/>
    <w:rsid w:val="00BD315E"/>
    <w:rsid w:val="00BD653F"/>
    <w:rsid w:val="00BD72D7"/>
    <w:rsid w:val="00BD734D"/>
    <w:rsid w:val="00BE042D"/>
    <w:rsid w:val="00BE220F"/>
    <w:rsid w:val="00BE2FA9"/>
    <w:rsid w:val="00BE3EC0"/>
    <w:rsid w:val="00BE4531"/>
    <w:rsid w:val="00BE4623"/>
    <w:rsid w:val="00BE68B5"/>
    <w:rsid w:val="00BE73EF"/>
    <w:rsid w:val="00BF065C"/>
    <w:rsid w:val="00BF14A8"/>
    <w:rsid w:val="00BF1697"/>
    <w:rsid w:val="00BF2553"/>
    <w:rsid w:val="00BF4A22"/>
    <w:rsid w:val="00BF515C"/>
    <w:rsid w:val="00BF5574"/>
    <w:rsid w:val="00BF6EE0"/>
    <w:rsid w:val="00C0104D"/>
    <w:rsid w:val="00C010D3"/>
    <w:rsid w:val="00C015DA"/>
    <w:rsid w:val="00C0173A"/>
    <w:rsid w:val="00C0491F"/>
    <w:rsid w:val="00C04E17"/>
    <w:rsid w:val="00C0596B"/>
    <w:rsid w:val="00C060B4"/>
    <w:rsid w:val="00C071CF"/>
    <w:rsid w:val="00C122A7"/>
    <w:rsid w:val="00C12C4E"/>
    <w:rsid w:val="00C12D0F"/>
    <w:rsid w:val="00C13B69"/>
    <w:rsid w:val="00C13E74"/>
    <w:rsid w:val="00C15A54"/>
    <w:rsid w:val="00C15B61"/>
    <w:rsid w:val="00C16263"/>
    <w:rsid w:val="00C16952"/>
    <w:rsid w:val="00C16A9E"/>
    <w:rsid w:val="00C20866"/>
    <w:rsid w:val="00C2116C"/>
    <w:rsid w:val="00C2244E"/>
    <w:rsid w:val="00C228A8"/>
    <w:rsid w:val="00C238DF"/>
    <w:rsid w:val="00C23C8E"/>
    <w:rsid w:val="00C24C05"/>
    <w:rsid w:val="00C25AB6"/>
    <w:rsid w:val="00C26818"/>
    <w:rsid w:val="00C276B7"/>
    <w:rsid w:val="00C31A26"/>
    <w:rsid w:val="00C32350"/>
    <w:rsid w:val="00C32FB3"/>
    <w:rsid w:val="00C344A5"/>
    <w:rsid w:val="00C34B56"/>
    <w:rsid w:val="00C3660E"/>
    <w:rsid w:val="00C36FD7"/>
    <w:rsid w:val="00C404D0"/>
    <w:rsid w:val="00C4062E"/>
    <w:rsid w:val="00C41B26"/>
    <w:rsid w:val="00C4226C"/>
    <w:rsid w:val="00C43614"/>
    <w:rsid w:val="00C43A01"/>
    <w:rsid w:val="00C44E84"/>
    <w:rsid w:val="00C44FC9"/>
    <w:rsid w:val="00C45993"/>
    <w:rsid w:val="00C45A45"/>
    <w:rsid w:val="00C45B97"/>
    <w:rsid w:val="00C4775A"/>
    <w:rsid w:val="00C4793B"/>
    <w:rsid w:val="00C510D6"/>
    <w:rsid w:val="00C515DD"/>
    <w:rsid w:val="00C51850"/>
    <w:rsid w:val="00C51D4E"/>
    <w:rsid w:val="00C51FD7"/>
    <w:rsid w:val="00C53D8D"/>
    <w:rsid w:val="00C54887"/>
    <w:rsid w:val="00C54D7C"/>
    <w:rsid w:val="00C54E42"/>
    <w:rsid w:val="00C55E88"/>
    <w:rsid w:val="00C56597"/>
    <w:rsid w:val="00C56673"/>
    <w:rsid w:val="00C57843"/>
    <w:rsid w:val="00C627C1"/>
    <w:rsid w:val="00C62ED3"/>
    <w:rsid w:val="00C63A59"/>
    <w:rsid w:val="00C63C04"/>
    <w:rsid w:val="00C63DE9"/>
    <w:rsid w:val="00C657D5"/>
    <w:rsid w:val="00C65AAA"/>
    <w:rsid w:val="00C66DAB"/>
    <w:rsid w:val="00C70595"/>
    <w:rsid w:val="00C70EDF"/>
    <w:rsid w:val="00C74780"/>
    <w:rsid w:val="00C74F3D"/>
    <w:rsid w:val="00C76FA3"/>
    <w:rsid w:val="00C779E9"/>
    <w:rsid w:val="00C77B59"/>
    <w:rsid w:val="00C81B68"/>
    <w:rsid w:val="00C82973"/>
    <w:rsid w:val="00C83EBC"/>
    <w:rsid w:val="00C8464A"/>
    <w:rsid w:val="00C849AD"/>
    <w:rsid w:val="00C86595"/>
    <w:rsid w:val="00C90E02"/>
    <w:rsid w:val="00C911A4"/>
    <w:rsid w:val="00C9245D"/>
    <w:rsid w:val="00C937D7"/>
    <w:rsid w:val="00C93814"/>
    <w:rsid w:val="00C93C1F"/>
    <w:rsid w:val="00C943FC"/>
    <w:rsid w:val="00C957AD"/>
    <w:rsid w:val="00C96869"/>
    <w:rsid w:val="00C97F82"/>
    <w:rsid w:val="00C97FB1"/>
    <w:rsid w:val="00CA0DF9"/>
    <w:rsid w:val="00CA271D"/>
    <w:rsid w:val="00CA37DC"/>
    <w:rsid w:val="00CA4502"/>
    <w:rsid w:val="00CA4E01"/>
    <w:rsid w:val="00CA5AD1"/>
    <w:rsid w:val="00CA5AD7"/>
    <w:rsid w:val="00CA6186"/>
    <w:rsid w:val="00CA698B"/>
    <w:rsid w:val="00CA69F7"/>
    <w:rsid w:val="00CA7287"/>
    <w:rsid w:val="00CA7E9F"/>
    <w:rsid w:val="00CB094C"/>
    <w:rsid w:val="00CB19A9"/>
    <w:rsid w:val="00CB348A"/>
    <w:rsid w:val="00CB4455"/>
    <w:rsid w:val="00CB4BE7"/>
    <w:rsid w:val="00CB6C7A"/>
    <w:rsid w:val="00CB6CE9"/>
    <w:rsid w:val="00CB759C"/>
    <w:rsid w:val="00CC084B"/>
    <w:rsid w:val="00CC13E5"/>
    <w:rsid w:val="00CC179C"/>
    <w:rsid w:val="00CC1EF3"/>
    <w:rsid w:val="00CC2214"/>
    <w:rsid w:val="00CC5402"/>
    <w:rsid w:val="00CC5995"/>
    <w:rsid w:val="00CC630F"/>
    <w:rsid w:val="00CC6F76"/>
    <w:rsid w:val="00CD078C"/>
    <w:rsid w:val="00CD10FE"/>
    <w:rsid w:val="00CD174B"/>
    <w:rsid w:val="00CD19C5"/>
    <w:rsid w:val="00CD2130"/>
    <w:rsid w:val="00CD273A"/>
    <w:rsid w:val="00CD2B85"/>
    <w:rsid w:val="00CD37AF"/>
    <w:rsid w:val="00CD7C14"/>
    <w:rsid w:val="00CD7C32"/>
    <w:rsid w:val="00CD7DBE"/>
    <w:rsid w:val="00CD7F5E"/>
    <w:rsid w:val="00CE0F4A"/>
    <w:rsid w:val="00CE1C6C"/>
    <w:rsid w:val="00CE2882"/>
    <w:rsid w:val="00CE3299"/>
    <w:rsid w:val="00CE37BF"/>
    <w:rsid w:val="00CE4674"/>
    <w:rsid w:val="00CE5C99"/>
    <w:rsid w:val="00CE6985"/>
    <w:rsid w:val="00CE7521"/>
    <w:rsid w:val="00CF2386"/>
    <w:rsid w:val="00CF37D6"/>
    <w:rsid w:val="00CF3CF0"/>
    <w:rsid w:val="00CF51D9"/>
    <w:rsid w:val="00CF55FC"/>
    <w:rsid w:val="00CF5D4E"/>
    <w:rsid w:val="00CF6636"/>
    <w:rsid w:val="00D004E6"/>
    <w:rsid w:val="00D00AE3"/>
    <w:rsid w:val="00D012ED"/>
    <w:rsid w:val="00D028AC"/>
    <w:rsid w:val="00D02973"/>
    <w:rsid w:val="00D03162"/>
    <w:rsid w:val="00D033C2"/>
    <w:rsid w:val="00D03AC1"/>
    <w:rsid w:val="00D03DEA"/>
    <w:rsid w:val="00D05375"/>
    <w:rsid w:val="00D05725"/>
    <w:rsid w:val="00D061BF"/>
    <w:rsid w:val="00D064ED"/>
    <w:rsid w:val="00D07783"/>
    <w:rsid w:val="00D07873"/>
    <w:rsid w:val="00D10247"/>
    <w:rsid w:val="00D10369"/>
    <w:rsid w:val="00D1075F"/>
    <w:rsid w:val="00D10D08"/>
    <w:rsid w:val="00D114D1"/>
    <w:rsid w:val="00D11701"/>
    <w:rsid w:val="00D11BAF"/>
    <w:rsid w:val="00D11EA4"/>
    <w:rsid w:val="00D12E17"/>
    <w:rsid w:val="00D14472"/>
    <w:rsid w:val="00D158DE"/>
    <w:rsid w:val="00D177B8"/>
    <w:rsid w:val="00D200F0"/>
    <w:rsid w:val="00D20F39"/>
    <w:rsid w:val="00D242A4"/>
    <w:rsid w:val="00D24B06"/>
    <w:rsid w:val="00D24E98"/>
    <w:rsid w:val="00D24FF3"/>
    <w:rsid w:val="00D2550C"/>
    <w:rsid w:val="00D25F23"/>
    <w:rsid w:val="00D2691F"/>
    <w:rsid w:val="00D26A80"/>
    <w:rsid w:val="00D27286"/>
    <w:rsid w:val="00D2768E"/>
    <w:rsid w:val="00D27D67"/>
    <w:rsid w:val="00D324AF"/>
    <w:rsid w:val="00D330C8"/>
    <w:rsid w:val="00D349D9"/>
    <w:rsid w:val="00D34DB4"/>
    <w:rsid w:val="00D34DD3"/>
    <w:rsid w:val="00D359C0"/>
    <w:rsid w:val="00D36B1A"/>
    <w:rsid w:val="00D36CF7"/>
    <w:rsid w:val="00D3767F"/>
    <w:rsid w:val="00D40014"/>
    <w:rsid w:val="00D401B0"/>
    <w:rsid w:val="00D40A10"/>
    <w:rsid w:val="00D40F07"/>
    <w:rsid w:val="00D40F57"/>
    <w:rsid w:val="00D41B1B"/>
    <w:rsid w:val="00D4325F"/>
    <w:rsid w:val="00D43E78"/>
    <w:rsid w:val="00D44976"/>
    <w:rsid w:val="00D454BD"/>
    <w:rsid w:val="00D50D5D"/>
    <w:rsid w:val="00D5145A"/>
    <w:rsid w:val="00D52715"/>
    <w:rsid w:val="00D528A0"/>
    <w:rsid w:val="00D53108"/>
    <w:rsid w:val="00D53C4A"/>
    <w:rsid w:val="00D54D3F"/>
    <w:rsid w:val="00D553F2"/>
    <w:rsid w:val="00D55C9A"/>
    <w:rsid w:val="00D560BD"/>
    <w:rsid w:val="00D564B2"/>
    <w:rsid w:val="00D56FC7"/>
    <w:rsid w:val="00D60C22"/>
    <w:rsid w:val="00D610A7"/>
    <w:rsid w:val="00D611F1"/>
    <w:rsid w:val="00D61563"/>
    <w:rsid w:val="00D61BCA"/>
    <w:rsid w:val="00D62D98"/>
    <w:rsid w:val="00D63620"/>
    <w:rsid w:val="00D647A5"/>
    <w:rsid w:val="00D64A85"/>
    <w:rsid w:val="00D66208"/>
    <w:rsid w:val="00D66E67"/>
    <w:rsid w:val="00D67E23"/>
    <w:rsid w:val="00D7062C"/>
    <w:rsid w:val="00D708B1"/>
    <w:rsid w:val="00D70DB2"/>
    <w:rsid w:val="00D7199F"/>
    <w:rsid w:val="00D719D5"/>
    <w:rsid w:val="00D7207E"/>
    <w:rsid w:val="00D72DDB"/>
    <w:rsid w:val="00D7386A"/>
    <w:rsid w:val="00D73958"/>
    <w:rsid w:val="00D74648"/>
    <w:rsid w:val="00D74C77"/>
    <w:rsid w:val="00D750DE"/>
    <w:rsid w:val="00D755E4"/>
    <w:rsid w:val="00D75E71"/>
    <w:rsid w:val="00D76B9F"/>
    <w:rsid w:val="00D77802"/>
    <w:rsid w:val="00D802D3"/>
    <w:rsid w:val="00D80BAA"/>
    <w:rsid w:val="00D82A08"/>
    <w:rsid w:val="00D842F6"/>
    <w:rsid w:val="00D84EC2"/>
    <w:rsid w:val="00D85266"/>
    <w:rsid w:val="00D8544F"/>
    <w:rsid w:val="00D87432"/>
    <w:rsid w:val="00D909B0"/>
    <w:rsid w:val="00D91DE7"/>
    <w:rsid w:val="00D92622"/>
    <w:rsid w:val="00D92DB2"/>
    <w:rsid w:val="00D930EA"/>
    <w:rsid w:val="00D93BEA"/>
    <w:rsid w:val="00D93DB6"/>
    <w:rsid w:val="00D9491F"/>
    <w:rsid w:val="00D96057"/>
    <w:rsid w:val="00DA0502"/>
    <w:rsid w:val="00DA051E"/>
    <w:rsid w:val="00DA0567"/>
    <w:rsid w:val="00DA0AAC"/>
    <w:rsid w:val="00DA0CBF"/>
    <w:rsid w:val="00DA15AB"/>
    <w:rsid w:val="00DA223A"/>
    <w:rsid w:val="00DA2D0D"/>
    <w:rsid w:val="00DA2E02"/>
    <w:rsid w:val="00DA322B"/>
    <w:rsid w:val="00DA42AD"/>
    <w:rsid w:val="00DA5294"/>
    <w:rsid w:val="00DA5678"/>
    <w:rsid w:val="00DA7220"/>
    <w:rsid w:val="00DA7ED8"/>
    <w:rsid w:val="00DB028D"/>
    <w:rsid w:val="00DB02A7"/>
    <w:rsid w:val="00DB07C3"/>
    <w:rsid w:val="00DB0AE2"/>
    <w:rsid w:val="00DB0F56"/>
    <w:rsid w:val="00DB53E4"/>
    <w:rsid w:val="00DB5BAE"/>
    <w:rsid w:val="00DB66DD"/>
    <w:rsid w:val="00DB68F8"/>
    <w:rsid w:val="00DB7234"/>
    <w:rsid w:val="00DB7425"/>
    <w:rsid w:val="00DB7B27"/>
    <w:rsid w:val="00DB7FDC"/>
    <w:rsid w:val="00DC107C"/>
    <w:rsid w:val="00DC15A1"/>
    <w:rsid w:val="00DC171E"/>
    <w:rsid w:val="00DC2029"/>
    <w:rsid w:val="00DC2091"/>
    <w:rsid w:val="00DC226D"/>
    <w:rsid w:val="00DC27F5"/>
    <w:rsid w:val="00DC3344"/>
    <w:rsid w:val="00DC5BA6"/>
    <w:rsid w:val="00DC608A"/>
    <w:rsid w:val="00DC60A1"/>
    <w:rsid w:val="00DC6A84"/>
    <w:rsid w:val="00DC6D14"/>
    <w:rsid w:val="00DC6ECC"/>
    <w:rsid w:val="00DC701B"/>
    <w:rsid w:val="00DC7680"/>
    <w:rsid w:val="00DC7C41"/>
    <w:rsid w:val="00DD31CB"/>
    <w:rsid w:val="00DD3752"/>
    <w:rsid w:val="00DD393C"/>
    <w:rsid w:val="00DD4C71"/>
    <w:rsid w:val="00DD6206"/>
    <w:rsid w:val="00DD7D58"/>
    <w:rsid w:val="00DE12B1"/>
    <w:rsid w:val="00DE1DD6"/>
    <w:rsid w:val="00DE228B"/>
    <w:rsid w:val="00DE2A08"/>
    <w:rsid w:val="00DE2E8C"/>
    <w:rsid w:val="00DE35FF"/>
    <w:rsid w:val="00DE637F"/>
    <w:rsid w:val="00DE6437"/>
    <w:rsid w:val="00DE79CD"/>
    <w:rsid w:val="00DE7EEE"/>
    <w:rsid w:val="00DF15A8"/>
    <w:rsid w:val="00DF15D3"/>
    <w:rsid w:val="00DF176B"/>
    <w:rsid w:val="00DF1E87"/>
    <w:rsid w:val="00DF297F"/>
    <w:rsid w:val="00DF3F49"/>
    <w:rsid w:val="00DF6B78"/>
    <w:rsid w:val="00DF6C15"/>
    <w:rsid w:val="00DF747A"/>
    <w:rsid w:val="00E03343"/>
    <w:rsid w:val="00E034D4"/>
    <w:rsid w:val="00E03AC0"/>
    <w:rsid w:val="00E04CC9"/>
    <w:rsid w:val="00E04D0B"/>
    <w:rsid w:val="00E058B8"/>
    <w:rsid w:val="00E061B6"/>
    <w:rsid w:val="00E07037"/>
    <w:rsid w:val="00E077AC"/>
    <w:rsid w:val="00E104D2"/>
    <w:rsid w:val="00E11121"/>
    <w:rsid w:val="00E11CD1"/>
    <w:rsid w:val="00E11CFA"/>
    <w:rsid w:val="00E120AE"/>
    <w:rsid w:val="00E12704"/>
    <w:rsid w:val="00E15311"/>
    <w:rsid w:val="00E163E8"/>
    <w:rsid w:val="00E168B0"/>
    <w:rsid w:val="00E171A7"/>
    <w:rsid w:val="00E17D48"/>
    <w:rsid w:val="00E20CF4"/>
    <w:rsid w:val="00E210CB"/>
    <w:rsid w:val="00E213CA"/>
    <w:rsid w:val="00E214F6"/>
    <w:rsid w:val="00E21CBF"/>
    <w:rsid w:val="00E22D31"/>
    <w:rsid w:val="00E22FF4"/>
    <w:rsid w:val="00E23621"/>
    <w:rsid w:val="00E23A4A"/>
    <w:rsid w:val="00E255E7"/>
    <w:rsid w:val="00E26C19"/>
    <w:rsid w:val="00E27091"/>
    <w:rsid w:val="00E30A1C"/>
    <w:rsid w:val="00E30FBD"/>
    <w:rsid w:val="00E32284"/>
    <w:rsid w:val="00E339E8"/>
    <w:rsid w:val="00E33BDD"/>
    <w:rsid w:val="00E33F7B"/>
    <w:rsid w:val="00E34742"/>
    <w:rsid w:val="00E3565B"/>
    <w:rsid w:val="00E35B68"/>
    <w:rsid w:val="00E35F01"/>
    <w:rsid w:val="00E363B9"/>
    <w:rsid w:val="00E364AF"/>
    <w:rsid w:val="00E36F3C"/>
    <w:rsid w:val="00E37E84"/>
    <w:rsid w:val="00E40A1D"/>
    <w:rsid w:val="00E41504"/>
    <w:rsid w:val="00E41C4C"/>
    <w:rsid w:val="00E41C8C"/>
    <w:rsid w:val="00E42A12"/>
    <w:rsid w:val="00E4414A"/>
    <w:rsid w:val="00E45774"/>
    <w:rsid w:val="00E469B8"/>
    <w:rsid w:val="00E47002"/>
    <w:rsid w:val="00E474B3"/>
    <w:rsid w:val="00E47A17"/>
    <w:rsid w:val="00E50E72"/>
    <w:rsid w:val="00E50ECA"/>
    <w:rsid w:val="00E51ADA"/>
    <w:rsid w:val="00E51E05"/>
    <w:rsid w:val="00E52EEF"/>
    <w:rsid w:val="00E54A6F"/>
    <w:rsid w:val="00E54D62"/>
    <w:rsid w:val="00E559E7"/>
    <w:rsid w:val="00E56723"/>
    <w:rsid w:val="00E6012E"/>
    <w:rsid w:val="00E6156F"/>
    <w:rsid w:val="00E616C4"/>
    <w:rsid w:val="00E6317A"/>
    <w:rsid w:val="00E631B2"/>
    <w:rsid w:val="00E63240"/>
    <w:rsid w:val="00E63965"/>
    <w:rsid w:val="00E639BE"/>
    <w:rsid w:val="00E64B46"/>
    <w:rsid w:val="00E64F2C"/>
    <w:rsid w:val="00E66679"/>
    <w:rsid w:val="00E66C2A"/>
    <w:rsid w:val="00E67D10"/>
    <w:rsid w:val="00E7084E"/>
    <w:rsid w:val="00E72C3F"/>
    <w:rsid w:val="00E73E77"/>
    <w:rsid w:val="00E74268"/>
    <w:rsid w:val="00E7435C"/>
    <w:rsid w:val="00E7534D"/>
    <w:rsid w:val="00E75552"/>
    <w:rsid w:val="00E75B2B"/>
    <w:rsid w:val="00E75B92"/>
    <w:rsid w:val="00E75F4D"/>
    <w:rsid w:val="00E7612F"/>
    <w:rsid w:val="00E806AC"/>
    <w:rsid w:val="00E81CBF"/>
    <w:rsid w:val="00E824F8"/>
    <w:rsid w:val="00E82751"/>
    <w:rsid w:val="00E83B26"/>
    <w:rsid w:val="00E84076"/>
    <w:rsid w:val="00E845AD"/>
    <w:rsid w:val="00E84FB5"/>
    <w:rsid w:val="00E900E1"/>
    <w:rsid w:val="00E9020E"/>
    <w:rsid w:val="00E9044C"/>
    <w:rsid w:val="00E90E7C"/>
    <w:rsid w:val="00E91E25"/>
    <w:rsid w:val="00E922FE"/>
    <w:rsid w:val="00E93B34"/>
    <w:rsid w:val="00E94674"/>
    <w:rsid w:val="00E94794"/>
    <w:rsid w:val="00E95A90"/>
    <w:rsid w:val="00E95D9C"/>
    <w:rsid w:val="00E96419"/>
    <w:rsid w:val="00E977F1"/>
    <w:rsid w:val="00E97F38"/>
    <w:rsid w:val="00EA06B9"/>
    <w:rsid w:val="00EA0AA8"/>
    <w:rsid w:val="00EA19C0"/>
    <w:rsid w:val="00EA1F34"/>
    <w:rsid w:val="00EA2318"/>
    <w:rsid w:val="00EA272D"/>
    <w:rsid w:val="00EA3E0B"/>
    <w:rsid w:val="00EA4256"/>
    <w:rsid w:val="00EA4B16"/>
    <w:rsid w:val="00EA50F5"/>
    <w:rsid w:val="00EA54DA"/>
    <w:rsid w:val="00EA6208"/>
    <w:rsid w:val="00EA64E6"/>
    <w:rsid w:val="00EA6CD3"/>
    <w:rsid w:val="00EA7927"/>
    <w:rsid w:val="00EB0390"/>
    <w:rsid w:val="00EB04F7"/>
    <w:rsid w:val="00EB0852"/>
    <w:rsid w:val="00EB2829"/>
    <w:rsid w:val="00EB2830"/>
    <w:rsid w:val="00EB4025"/>
    <w:rsid w:val="00EB40B0"/>
    <w:rsid w:val="00EB4539"/>
    <w:rsid w:val="00EB5579"/>
    <w:rsid w:val="00EB62F9"/>
    <w:rsid w:val="00EB6DE5"/>
    <w:rsid w:val="00EB7183"/>
    <w:rsid w:val="00EC0602"/>
    <w:rsid w:val="00EC14F7"/>
    <w:rsid w:val="00EC2B6C"/>
    <w:rsid w:val="00EC3F36"/>
    <w:rsid w:val="00EC3F8B"/>
    <w:rsid w:val="00EC46C5"/>
    <w:rsid w:val="00EC54FC"/>
    <w:rsid w:val="00EC633F"/>
    <w:rsid w:val="00EC6811"/>
    <w:rsid w:val="00ED1201"/>
    <w:rsid w:val="00ED1CD8"/>
    <w:rsid w:val="00ED1FE1"/>
    <w:rsid w:val="00ED2BDC"/>
    <w:rsid w:val="00ED2DE5"/>
    <w:rsid w:val="00ED33A5"/>
    <w:rsid w:val="00ED3A12"/>
    <w:rsid w:val="00ED40C8"/>
    <w:rsid w:val="00ED48B3"/>
    <w:rsid w:val="00ED49D6"/>
    <w:rsid w:val="00ED5247"/>
    <w:rsid w:val="00ED5836"/>
    <w:rsid w:val="00ED5B02"/>
    <w:rsid w:val="00ED63A4"/>
    <w:rsid w:val="00ED6BE5"/>
    <w:rsid w:val="00ED6CFF"/>
    <w:rsid w:val="00ED7691"/>
    <w:rsid w:val="00EE0E5F"/>
    <w:rsid w:val="00EE2F89"/>
    <w:rsid w:val="00EE3718"/>
    <w:rsid w:val="00EE415F"/>
    <w:rsid w:val="00EE442C"/>
    <w:rsid w:val="00EE46B9"/>
    <w:rsid w:val="00EE4C93"/>
    <w:rsid w:val="00EE58B9"/>
    <w:rsid w:val="00EE652C"/>
    <w:rsid w:val="00EE6942"/>
    <w:rsid w:val="00EE7B30"/>
    <w:rsid w:val="00EF23A0"/>
    <w:rsid w:val="00EF2846"/>
    <w:rsid w:val="00EF2C0C"/>
    <w:rsid w:val="00EF31DD"/>
    <w:rsid w:val="00EF342D"/>
    <w:rsid w:val="00EF43A0"/>
    <w:rsid w:val="00EF4604"/>
    <w:rsid w:val="00EF46F9"/>
    <w:rsid w:val="00EF5036"/>
    <w:rsid w:val="00EF5675"/>
    <w:rsid w:val="00EF5A45"/>
    <w:rsid w:val="00EF679C"/>
    <w:rsid w:val="00F00D97"/>
    <w:rsid w:val="00F01060"/>
    <w:rsid w:val="00F01910"/>
    <w:rsid w:val="00F022DD"/>
    <w:rsid w:val="00F02403"/>
    <w:rsid w:val="00F026EF"/>
    <w:rsid w:val="00F027D6"/>
    <w:rsid w:val="00F02BDC"/>
    <w:rsid w:val="00F032BF"/>
    <w:rsid w:val="00F03F40"/>
    <w:rsid w:val="00F04418"/>
    <w:rsid w:val="00F0535E"/>
    <w:rsid w:val="00F05400"/>
    <w:rsid w:val="00F05542"/>
    <w:rsid w:val="00F05F4A"/>
    <w:rsid w:val="00F06050"/>
    <w:rsid w:val="00F06496"/>
    <w:rsid w:val="00F1122C"/>
    <w:rsid w:val="00F11B1D"/>
    <w:rsid w:val="00F12EC3"/>
    <w:rsid w:val="00F13AF8"/>
    <w:rsid w:val="00F155D9"/>
    <w:rsid w:val="00F17AA5"/>
    <w:rsid w:val="00F204C0"/>
    <w:rsid w:val="00F213BA"/>
    <w:rsid w:val="00F213F2"/>
    <w:rsid w:val="00F21438"/>
    <w:rsid w:val="00F21A45"/>
    <w:rsid w:val="00F22BE6"/>
    <w:rsid w:val="00F23629"/>
    <w:rsid w:val="00F238D6"/>
    <w:rsid w:val="00F24582"/>
    <w:rsid w:val="00F24AB7"/>
    <w:rsid w:val="00F24C9F"/>
    <w:rsid w:val="00F24DF4"/>
    <w:rsid w:val="00F261E2"/>
    <w:rsid w:val="00F264C8"/>
    <w:rsid w:val="00F26520"/>
    <w:rsid w:val="00F265C5"/>
    <w:rsid w:val="00F26B27"/>
    <w:rsid w:val="00F26C8F"/>
    <w:rsid w:val="00F30236"/>
    <w:rsid w:val="00F30299"/>
    <w:rsid w:val="00F31BFD"/>
    <w:rsid w:val="00F31DA9"/>
    <w:rsid w:val="00F32339"/>
    <w:rsid w:val="00F32745"/>
    <w:rsid w:val="00F33991"/>
    <w:rsid w:val="00F33AD7"/>
    <w:rsid w:val="00F34FDE"/>
    <w:rsid w:val="00F3589B"/>
    <w:rsid w:val="00F35B5C"/>
    <w:rsid w:val="00F366FC"/>
    <w:rsid w:val="00F3690F"/>
    <w:rsid w:val="00F37220"/>
    <w:rsid w:val="00F372B4"/>
    <w:rsid w:val="00F37838"/>
    <w:rsid w:val="00F400EB"/>
    <w:rsid w:val="00F417F7"/>
    <w:rsid w:val="00F4219A"/>
    <w:rsid w:val="00F424F9"/>
    <w:rsid w:val="00F4316E"/>
    <w:rsid w:val="00F440CC"/>
    <w:rsid w:val="00F44B2F"/>
    <w:rsid w:val="00F45586"/>
    <w:rsid w:val="00F455F7"/>
    <w:rsid w:val="00F46BA9"/>
    <w:rsid w:val="00F5053E"/>
    <w:rsid w:val="00F50561"/>
    <w:rsid w:val="00F509F5"/>
    <w:rsid w:val="00F51313"/>
    <w:rsid w:val="00F517EF"/>
    <w:rsid w:val="00F519C3"/>
    <w:rsid w:val="00F51FDB"/>
    <w:rsid w:val="00F52D37"/>
    <w:rsid w:val="00F53151"/>
    <w:rsid w:val="00F54DE6"/>
    <w:rsid w:val="00F555AE"/>
    <w:rsid w:val="00F5603C"/>
    <w:rsid w:val="00F5663D"/>
    <w:rsid w:val="00F5745B"/>
    <w:rsid w:val="00F57642"/>
    <w:rsid w:val="00F60136"/>
    <w:rsid w:val="00F60221"/>
    <w:rsid w:val="00F61F61"/>
    <w:rsid w:val="00F62E09"/>
    <w:rsid w:val="00F62EA6"/>
    <w:rsid w:val="00F63BE8"/>
    <w:rsid w:val="00F63C1C"/>
    <w:rsid w:val="00F64678"/>
    <w:rsid w:val="00F64E6D"/>
    <w:rsid w:val="00F6502C"/>
    <w:rsid w:val="00F653CC"/>
    <w:rsid w:val="00F657B0"/>
    <w:rsid w:val="00F65866"/>
    <w:rsid w:val="00F66B80"/>
    <w:rsid w:val="00F66C64"/>
    <w:rsid w:val="00F670C9"/>
    <w:rsid w:val="00F67237"/>
    <w:rsid w:val="00F67CC5"/>
    <w:rsid w:val="00F70B4A"/>
    <w:rsid w:val="00F71E21"/>
    <w:rsid w:val="00F7286B"/>
    <w:rsid w:val="00F739E6"/>
    <w:rsid w:val="00F73AC5"/>
    <w:rsid w:val="00F745FE"/>
    <w:rsid w:val="00F74AEB"/>
    <w:rsid w:val="00F74C87"/>
    <w:rsid w:val="00F75210"/>
    <w:rsid w:val="00F75F98"/>
    <w:rsid w:val="00F76539"/>
    <w:rsid w:val="00F77E54"/>
    <w:rsid w:val="00F80D98"/>
    <w:rsid w:val="00F8179E"/>
    <w:rsid w:val="00F81F4D"/>
    <w:rsid w:val="00F8215B"/>
    <w:rsid w:val="00F823BF"/>
    <w:rsid w:val="00F826E2"/>
    <w:rsid w:val="00F82A1E"/>
    <w:rsid w:val="00F82C85"/>
    <w:rsid w:val="00F83781"/>
    <w:rsid w:val="00F843D9"/>
    <w:rsid w:val="00F846CD"/>
    <w:rsid w:val="00F859AD"/>
    <w:rsid w:val="00F85A61"/>
    <w:rsid w:val="00F85FB6"/>
    <w:rsid w:val="00F86783"/>
    <w:rsid w:val="00F86B15"/>
    <w:rsid w:val="00F878EE"/>
    <w:rsid w:val="00F90329"/>
    <w:rsid w:val="00F90A6C"/>
    <w:rsid w:val="00F92A51"/>
    <w:rsid w:val="00F92CF1"/>
    <w:rsid w:val="00F92D52"/>
    <w:rsid w:val="00F93966"/>
    <w:rsid w:val="00F93DAC"/>
    <w:rsid w:val="00F9475D"/>
    <w:rsid w:val="00F95A80"/>
    <w:rsid w:val="00F96FB9"/>
    <w:rsid w:val="00F97815"/>
    <w:rsid w:val="00FA1024"/>
    <w:rsid w:val="00FA13C4"/>
    <w:rsid w:val="00FA13FC"/>
    <w:rsid w:val="00FA1C45"/>
    <w:rsid w:val="00FA1EFB"/>
    <w:rsid w:val="00FA21DB"/>
    <w:rsid w:val="00FA3263"/>
    <w:rsid w:val="00FA352E"/>
    <w:rsid w:val="00FA355C"/>
    <w:rsid w:val="00FA389A"/>
    <w:rsid w:val="00FA4056"/>
    <w:rsid w:val="00FA4BBE"/>
    <w:rsid w:val="00FA4E95"/>
    <w:rsid w:val="00FA58D8"/>
    <w:rsid w:val="00FA5952"/>
    <w:rsid w:val="00FA658C"/>
    <w:rsid w:val="00FA6A07"/>
    <w:rsid w:val="00FA6A90"/>
    <w:rsid w:val="00FA6AB8"/>
    <w:rsid w:val="00FA756E"/>
    <w:rsid w:val="00FA7DCD"/>
    <w:rsid w:val="00FB01C6"/>
    <w:rsid w:val="00FB0FF5"/>
    <w:rsid w:val="00FB13A7"/>
    <w:rsid w:val="00FB22C3"/>
    <w:rsid w:val="00FB283B"/>
    <w:rsid w:val="00FB3D69"/>
    <w:rsid w:val="00FB52BF"/>
    <w:rsid w:val="00FB52FB"/>
    <w:rsid w:val="00FB5569"/>
    <w:rsid w:val="00FB5657"/>
    <w:rsid w:val="00FB5C89"/>
    <w:rsid w:val="00FB5D42"/>
    <w:rsid w:val="00FB6F77"/>
    <w:rsid w:val="00FB759F"/>
    <w:rsid w:val="00FC1091"/>
    <w:rsid w:val="00FC3FDF"/>
    <w:rsid w:val="00FC59AC"/>
    <w:rsid w:val="00FC64BA"/>
    <w:rsid w:val="00FC6ECA"/>
    <w:rsid w:val="00FC7128"/>
    <w:rsid w:val="00FC7D16"/>
    <w:rsid w:val="00FD0704"/>
    <w:rsid w:val="00FD080B"/>
    <w:rsid w:val="00FD192A"/>
    <w:rsid w:val="00FD1B3C"/>
    <w:rsid w:val="00FD2209"/>
    <w:rsid w:val="00FD3417"/>
    <w:rsid w:val="00FD3463"/>
    <w:rsid w:val="00FD42DE"/>
    <w:rsid w:val="00FD4B39"/>
    <w:rsid w:val="00FD4C7E"/>
    <w:rsid w:val="00FD548A"/>
    <w:rsid w:val="00FD548F"/>
    <w:rsid w:val="00FD603A"/>
    <w:rsid w:val="00FD64F5"/>
    <w:rsid w:val="00FD782D"/>
    <w:rsid w:val="00FD7B1A"/>
    <w:rsid w:val="00FD7E69"/>
    <w:rsid w:val="00FD7FD6"/>
    <w:rsid w:val="00FE10BF"/>
    <w:rsid w:val="00FE1C9F"/>
    <w:rsid w:val="00FE1DAB"/>
    <w:rsid w:val="00FE2989"/>
    <w:rsid w:val="00FE2B24"/>
    <w:rsid w:val="00FE33A3"/>
    <w:rsid w:val="00FE37DB"/>
    <w:rsid w:val="00FE46BD"/>
    <w:rsid w:val="00FE4BA0"/>
    <w:rsid w:val="00FE5305"/>
    <w:rsid w:val="00FE6023"/>
    <w:rsid w:val="00FE648C"/>
    <w:rsid w:val="00FE7591"/>
    <w:rsid w:val="00FF0589"/>
    <w:rsid w:val="00FF142A"/>
    <w:rsid w:val="00FF1583"/>
    <w:rsid w:val="00FF1C1A"/>
    <w:rsid w:val="00FF1E65"/>
    <w:rsid w:val="00FF3911"/>
    <w:rsid w:val="00FF480A"/>
    <w:rsid w:val="00FF67AA"/>
    <w:rsid w:val="00FF685A"/>
    <w:rsid w:val="00FF6C79"/>
    <w:rsid w:val="00FF75DD"/>
    <w:rsid w:val="00FF78C7"/>
    <w:rsid w:val="00FF79AC"/>
    <w:rsid w:val="00FF7A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7633">
      <v:textbox inset="5.85pt,.7pt,5.85pt,.7pt"/>
    </o:shapedefaults>
    <o:shapelayout v:ext="edit">
      <o:idmap v:ext="edit" data="1"/>
    </o:shapelayout>
  </w:shapeDefaults>
  <w:decimalSymbol w:val="."/>
  <w:listSeparator w:val=","/>
  <w14:docId w14:val="28E26603"/>
  <w15:docId w15:val="{E90C0B6F-D33F-4D4F-B532-1DC5A2F7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8E9"/>
    <w:pPr>
      <w:spacing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95D9C"/>
    <w:pPr>
      <w:keepNext/>
      <w:keepLines/>
      <w:tabs>
        <w:tab w:val="left" w:pos="1276"/>
      </w:tabs>
      <w:outlineLvl w:val="0"/>
    </w:pPr>
    <w:rPr>
      <w:rFonts w:eastAsia="Times New Roman" w:cstheme="majorBidi"/>
      <w:b/>
      <w:bCs/>
      <w:szCs w:val="28"/>
      <w:u w:val="single"/>
    </w:rPr>
  </w:style>
  <w:style w:type="paragraph" w:styleId="Heading2">
    <w:name w:val="heading 2"/>
    <w:basedOn w:val="Normal"/>
    <w:next w:val="Normal"/>
    <w:link w:val="Heading2Char"/>
    <w:uiPriority w:val="9"/>
    <w:unhideWhenUsed/>
    <w:qFormat/>
    <w:rsid w:val="00A40643"/>
    <w:pPr>
      <w:keepNext/>
      <w:keepLines/>
      <w:tabs>
        <w:tab w:val="left" w:pos="425"/>
      </w:tabs>
      <w:outlineLvl w:val="1"/>
    </w:pPr>
    <w:rPr>
      <w:rFonts w:eastAsiaTheme="majorEastAsia" w:cstheme="majorBidi"/>
      <w:b/>
      <w:bCs/>
      <w:szCs w:val="26"/>
    </w:rPr>
  </w:style>
  <w:style w:type="paragraph" w:styleId="Heading3">
    <w:name w:val="heading 3"/>
    <w:basedOn w:val="Normal"/>
    <w:next w:val="Normal"/>
    <w:link w:val="Heading3Char"/>
    <w:unhideWhenUsed/>
    <w:qFormat/>
    <w:rsid w:val="00DF6B78"/>
    <w:pPr>
      <w:keepNext/>
      <w:keepLines/>
      <w:tabs>
        <w:tab w:val="left" w:pos="567"/>
      </w:tabs>
      <w:outlineLvl w:val="2"/>
    </w:pPr>
    <w:rPr>
      <w:rFonts w:eastAsiaTheme="majorEastAsia" w:cstheme="majorBidi"/>
      <w:b/>
      <w:bCs/>
    </w:rPr>
  </w:style>
  <w:style w:type="paragraph" w:styleId="Heading4">
    <w:name w:val="heading 4"/>
    <w:basedOn w:val="Normal"/>
    <w:next w:val="Normal"/>
    <w:link w:val="Heading4Char"/>
    <w:uiPriority w:val="9"/>
    <w:unhideWhenUsed/>
    <w:qFormat/>
    <w:rsid w:val="00DA2E02"/>
    <w:pPr>
      <w:keepNext/>
      <w:keepLines/>
      <w:spacing w:line="240" w:lineRule="auto"/>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330"/>
    <w:rPr>
      <w:rFonts w:ascii="Tahoma" w:hAnsi="Tahoma" w:cs="Tahoma"/>
      <w:sz w:val="16"/>
      <w:szCs w:val="16"/>
    </w:rPr>
  </w:style>
  <w:style w:type="character" w:customStyle="1" w:styleId="BalloonTextChar">
    <w:name w:val="Balloon Text Char"/>
    <w:basedOn w:val="DefaultParagraphFont"/>
    <w:link w:val="BalloonText"/>
    <w:uiPriority w:val="99"/>
    <w:semiHidden/>
    <w:rsid w:val="00957330"/>
    <w:rPr>
      <w:rFonts w:ascii="Tahoma" w:hAnsi="Tahoma" w:cs="Tahoma"/>
      <w:sz w:val="16"/>
      <w:szCs w:val="16"/>
    </w:rPr>
  </w:style>
  <w:style w:type="paragraph" w:styleId="Header">
    <w:name w:val="header"/>
    <w:basedOn w:val="Normal"/>
    <w:link w:val="HeaderChar"/>
    <w:uiPriority w:val="99"/>
    <w:unhideWhenUsed/>
    <w:rsid w:val="002D5858"/>
    <w:pPr>
      <w:tabs>
        <w:tab w:val="center" w:pos="4513"/>
        <w:tab w:val="right" w:pos="9026"/>
      </w:tabs>
    </w:pPr>
  </w:style>
  <w:style w:type="character" w:customStyle="1" w:styleId="HeaderChar">
    <w:name w:val="Header Char"/>
    <w:basedOn w:val="DefaultParagraphFont"/>
    <w:link w:val="Header"/>
    <w:uiPriority w:val="99"/>
    <w:rsid w:val="002D5858"/>
    <w:rPr>
      <w:rFonts w:ascii="Times New Roman" w:hAnsi="Times New Roman" w:cs="Times New Roman"/>
      <w:sz w:val="36"/>
      <w:szCs w:val="36"/>
    </w:rPr>
  </w:style>
  <w:style w:type="paragraph" w:styleId="Footer">
    <w:name w:val="footer"/>
    <w:basedOn w:val="Normal"/>
    <w:link w:val="FooterChar"/>
    <w:uiPriority w:val="99"/>
    <w:unhideWhenUsed/>
    <w:rsid w:val="002D5858"/>
    <w:pPr>
      <w:tabs>
        <w:tab w:val="center" w:pos="4513"/>
        <w:tab w:val="right" w:pos="9026"/>
      </w:tabs>
    </w:pPr>
  </w:style>
  <w:style w:type="character" w:customStyle="1" w:styleId="FooterChar">
    <w:name w:val="Footer Char"/>
    <w:basedOn w:val="DefaultParagraphFont"/>
    <w:link w:val="Footer"/>
    <w:uiPriority w:val="99"/>
    <w:rsid w:val="002D5858"/>
    <w:rPr>
      <w:rFonts w:ascii="Times New Roman" w:hAnsi="Times New Roman" w:cs="Times New Roman"/>
      <w:sz w:val="36"/>
      <w:szCs w:val="36"/>
    </w:rPr>
  </w:style>
  <w:style w:type="paragraph" w:styleId="Title">
    <w:name w:val="Title"/>
    <w:basedOn w:val="Normal"/>
    <w:next w:val="Normal"/>
    <w:link w:val="TitleChar"/>
    <w:uiPriority w:val="10"/>
    <w:qFormat/>
    <w:rsid w:val="00853889"/>
    <w:pPr>
      <w:spacing w:line="240" w:lineRule="auto"/>
      <w:contextualSpacing/>
    </w:pPr>
    <w:rPr>
      <w:rFonts w:eastAsia="Times New Roman" w:cstheme="majorBidi"/>
      <w:kern w:val="36"/>
      <w:sz w:val="36"/>
      <w:szCs w:val="52"/>
    </w:rPr>
  </w:style>
  <w:style w:type="character" w:customStyle="1" w:styleId="TitleChar">
    <w:name w:val="Title Char"/>
    <w:basedOn w:val="DefaultParagraphFont"/>
    <w:link w:val="Title"/>
    <w:uiPriority w:val="10"/>
    <w:rsid w:val="00853889"/>
    <w:rPr>
      <w:rFonts w:ascii="Times New Roman" w:eastAsia="Times New Roman" w:hAnsi="Times New Roman" w:cstheme="majorBidi"/>
      <w:kern w:val="36"/>
      <w:sz w:val="36"/>
      <w:szCs w:val="52"/>
    </w:rPr>
  </w:style>
  <w:style w:type="character" w:customStyle="1" w:styleId="Heading1Char">
    <w:name w:val="Heading 1 Char"/>
    <w:basedOn w:val="DefaultParagraphFont"/>
    <w:link w:val="Heading1"/>
    <w:uiPriority w:val="9"/>
    <w:rsid w:val="00E95D9C"/>
    <w:rPr>
      <w:rFonts w:ascii="Times New Roman" w:eastAsia="Times New Roman" w:hAnsi="Times New Roman" w:cstheme="majorBidi"/>
      <w:b/>
      <w:bCs/>
      <w:sz w:val="24"/>
      <w:szCs w:val="28"/>
      <w:u w:val="single"/>
    </w:rPr>
  </w:style>
  <w:style w:type="character" w:customStyle="1" w:styleId="Heading2Char">
    <w:name w:val="Heading 2 Char"/>
    <w:basedOn w:val="DefaultParagraphFont"/>
    <w:link w:val="Heading2"/>
    <w:uiPriority w:val="9"/>
    <w:rsid w:val="00A40643"/>
    <w:rPr>
      <w:rFonts w:ascii="Times New Roman" w:eastAsiaTheme="majorEastAsia" w:hAnsi="Times New Roman" w:cstheme="majorBidi"/>
      <w:b/>
      <w:bCs/>
      <w:sz w:val="24"/>
      <w:szCs w:val="26"/>
    </w:rPr>
  </w:style>
  <w:style w:type="paragraph" w:styleId="NoSpacing">
    <w:name w:val="No Spacing"/>
    <w:uiPriority w:val="1"/>
    <w:qFormat/>
    <w:rsid w:val="00864652"/>
    <w:rPr>
      <w:rFonts w:ascii="Times New Roman" w:hAnsi="Times New Roman" w:cs="Times New Roman"/>
      <w:sz w:val="24"/>
      <w:szCs w:val="24"/>
    </w:rPr>
  </w:style>
  <w:style w:type="paragraph" w:styleId="ListParagraph">
    <w:name w:val="List Paragraph"/>
    <w:basedOn w:val="Normal"/>
    <w:uiPriority w:val="99"/>
    <w:qFormat/>
    <w:rsid w:val="002778E9"/>
    <w:pPr>
      <w:ind w:left="360"/>
      <w:contextualSpacing/>
    </w:pPr>
    <w:rPr>
      <w:szCs w:val="22"/>
      <w:lang w:eastAsia="ja-JP"/>
    </w:rPr>
  </w:style>
  <w:style w:type="paragraph" w:styleId="TOCHeading">
    <w:name w:val="TOC Heading"/>
    <w:basedOn w:val="Heading1"/>
    <w:next w:val="Normal"/>
    <w:uiPriority w:val="39"/>
    <w:unhideWhenUsed/>
    <w:qFormat/>
    <w:rsid w:val="00C45A45"/>
    <w:pPr>
      <w:tabs>
        <w:tab w:val="clear" w:pos="1276"/>
      </w:tabs>
      <w:jc w:val="center"/>
      <w:outlineLvl w:val="9"/>
    </w:pPr>
    <w:rPr>
      <w:sz w:val="36"/>
      <w:u w:val="none"/>
      <w:lang w:val="en-US" w:eastAsia="ja-JP"/>
    </w:rPr>
  </w:style>
  <w:style w:type="paragraph" w:styleId="TOC1">
    <w:name w:val="toc 1"/>
    <w:basedOn w:val="Normal"/>
    <w:next w:val="Normal"/>
    <w:autoRedefine/>
    <w:uiPriority w:val="39"/>
    <w:unhideWhenUsed/>
    <w:qFormat/>
    <w:rsid w:val="00535B0B"/>
    <w:pPr>
      <w:tabs>
        <w:tab w:val="right" w:leader="dot" w:pos="9060"/>
      </w:tabs>
      <w:spacing w:line="240" w:lineRule="auto"/>
      <w:ind w:left="1418" w:hanging="1418"/>
    </w:pPr>
  </w:style>
  <w:style w:type="paragraph" w:styleId="TOC2">
    <w:name w:val="toc 2"/>
    <w:basedOn w:val="Normal"/>
    <w:next w:val="Normal"/>
    <w:autoRedefine/>
    <w:uiPriority w:val="39"/>
    <w:unhideWhenUsed/>
    <w:qFormat/>
    <w:rsid w:val="00AC4994"/>
    <w:pPr>
      <w:tabs>
        <w:tab w:val="left" w:pos="1418"/>
        <w:tab w:val="right" w:leader="dot" w:pos="9060"/>
      </w:tabs>
      <w:spacing w:line="240" w:lineRule="auto"/>
      <w:ind w:left="1418" w:hanging="1180"/>
    </w:pPr>
  </w:style>
  <w:style w:type="character" w:styleId="Hyperlink">
    <w:name w:val="Hyperlink"/>
    <w:basedOn w:val="DefaultParagraphFont"/>
    <w:uiPriority w:val="99"/>
    <w:unhideWhenUsed/>
    <w:rsid w:val="007C5AED"/>
    <w:rPr>
      <w:color w:val="0000FF" w:themeColor="hyperlink"/>
      <w:u w:val="single"/>
    </w:rPr>
  </w:style>
  <w:style w:type="paragraph" w:styleId="TOC3">
    <w:name w:val="toc 3"/>
    <w:basedOn w:val="Normal"/>
    <w:next w:val="Normal"/>
    <w:autoRedefine/>
    <w:uiPriority w:val="39"/>
    <w:unhideWhenUsed/>
    <w:qFormat/>
    <w:rsid w:val="00A6157B"/>
    <w:pPr>
      <w:tabs>
        <w:tab w:val="left" w:pos="1276"/>
        <w:tab w:val="right" w:leader="dot" w:pos="9060"/>
      </w:tabs>
      <w:spacing w:line="240" w:lineRule="auto"/>
      <w:ind w:left="1276" w:hanging="425"/>
    </w:pPr>
    <w:rPr>
      <w:rFonts w:cstheme="minorBidi"/>
      <w:sz w:val="22"/>
      <w:szCs w:val="22"/>
      <w:lang w:val="en-US" w:eastAsia="ja-JP"/>
    </w:rPr>
  </w:style>
  <w:style w:type="character" w:customStyle="1" w:styleId="Heading3Char">
    <w:name w:val="Heading 3 Char"/>
    <w:basedOn w:val="DefaultParagraphFont"/>
    <w:link w:val="Heading3"/>
    <w:rsid w:val="00DF6B78"/>
    <w:rPr>
      <w:rFonts w:ascii="Times New Roman" w:eastAsiaTheme="majorEastAsia" w:hAnsi="Times New Roman" w:cstheme="majorBidi"/>
      <w:b/>
      <w:bCs/>
      <w:sz w:val="24"/>
      <w:szCs w:val="24"/>
    </w:rPr>
  </w:style>
  <w:style w:type="paragraph" w:styleId="FootnoteText">
    <w:name w:val="footnote text"/>
    <w:basedOn w:val="Normal"/>
    <w:link w:val="FootnoteTextChar"/>
    <w:uiPriority w:val="99"/>
    <w:unhideWhenUsed/>
    <w:rsid w:val="000423AB"/>
    <w:pPr>
      <w:spacing w:line="240" w:lineRule="auto"/>
    </w:pPr>
    <w:rPr>
      <w:rFonts w:cstheme="minorBidi"/>
      <w:sz w:val="20"/>
      <w:szCs w:val="20"/>
    </w:rPr>
  </w:style>
  <w:style w:type="character" w:customStyle="1" w:styleId="FootnoteTextChar">
    <w:name w:val="Footnote Text Char"/>
    <w:basedOn w:val="DefaultParagraphFont"/>
    <w:link w:val="FootnoteText"/>
    <w:uiPriority w:val="99"/>
    <w:rsid w:val="000423AB"/>
    <w:rPr>
      <w:rFonts w:ascii="Times New Roman" w:hAnsi="Times New Roman"/>
      <w:sz w:val="20"/>
      <w:szCs w:val="20"/>
    </w:rPr>
  </w:style>
  <w:style w:type="character" w:styleId="FootnoteReference">
    <w:name w:val="footnote reference"/>
    <w:basedOn w:val="DefaultParagraphFont"/>
    <w:uiPriority w:val="99"/>
    <w:semiHidden/>
    <w:unhideWhenUsed/>
    <w:rsid w:val="000423AB"/>
    <w:rPr>
      <w:vertAlign w:val="superscript"/>
    </w:rPr>
  </w:style>
  <w:style w:type="table" w:styleId="TableGrid">
    <w:name w:val="Table Grid"/>
    <w:basedOn w:val="TableNormal"/>
    <w:uiPriority w:val="59"/>
    <w:rsid w:val="000423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853889"/>
    <w:pPr>
      <w:widowControl w:val="0"/>
    </w:pPr>
    <w:rPr>
      <w:rFonts w:eastAsia="Times New Roman"/>
      <w:kern w:val="2"/>
      <w:szCs w:val="22"/>
      <w:lang w:eastAsia="ja-JP"/>
    </w:rPr>
  </w:style>
  <w:style w:type="character" w:customStyle="1" w:styleId="DateChar">
    <w:name w:val="Date Char"/>
    <w:basedOn w:val="DefaultParagraphFont"/>
    <w:link w:val="Date"/>
    <w:uiPriority w:val="99"/>
    <w:semiHidden/>
    <w:rsid w:val="00853889"/>
    <w:rPr>
      <w:rFonts w:ascii="Times New Roman" w:eastAsia="Times New Roman" w:hAnsi="Times New Roman" w:cs="Times New Roman"/>
      <w:kern w:val="2"/>
      <w:sz w:val="24"/>
      <w:lang w:eastAsia="ja-JP"/>
    </w:rPr>
  </w:style>
  <w:style w:type="paragraph" w:styleId="Quote">
    <w:name w:val="Quote"/>
    <w:basedOn w:val="Normal"/>
    <w:next w:val="Normal"/>
    <w:link w:val="QuoteChar4"/>
    <w:uiPriority w:val="29"/>
    <w:qFormat/>
    <w:rsid w:val="003E24A7"/>
    <w:pPr>
      <w:spacing w:line="240" w:lineRule="auto"/>
      <w:ind w:left="284"/>
    </w:pPr>
    <w:rPr>
      <w:iCs/>
      <w:color w:val="000000" w:themeColor="text1"/>
    </w:rPr>
  </w:style>
  <w:style w:type="character" w:customStyle="1" w:styleId="QuoteChar">
    <w:name w:val="Quote Char"/>
    <w:basedOn w:val="DefaultParagraphFont"/>
    <w:uiPriority w:val="29"/>
    <w:rsid w:val="00D24FF3"/>
    <w:rPr>
      <w:rFonts w:ascii="Times New Roman" w:eastAsia="Times New Roman" w:hAnsi="Times New Roman" w:cs="Times New Roman"/>
      <w:iCs/>
      <w:color w:val="000000" w:themeColor="text1"/>
      <w:sz w:val="24"/>
      <w:szCs w:val="24"/>
    </w:rPr>
  </w:style>
  <w:style w:type="character" w:customStyle="1" w:styleId="citation">
    <w:name w:val="citation"/>
    <w:basedOn w:val="DefaultParagraphFont"/>
    <w:rsid w:val="00055D80"/>
    <w:rPr>
      <w:rFonts w:cs="Times New Roman"/>
    </w:rPr>
  </w:style>
  <w:style w:type="paragraph" w:styleId="DocumentMap">
    <w:name w:val="Document Map"/>
    <w:basedOn w:val="Normal"/>
    <w:link w:val="DocumentMapChar"/>
    <w:uiPriority w:val="99"/>
    <w:semiHidden/>
    <w:rsid w:val="00055D80"/>
    <w:rPr>
      <w:rFonts w:ascii="MS UI Gothic" w:eastAsia="MS UI Gothic"/>
      <w:sz w:val="18"/>
      <w:szCs w:val="18"/>
    </w:rPr>
  </w:style>
  <w:style w:type="character" w:customStyle="1" w:styleId="DocumentMapChar">
    <w:name w:val="Document Map Char"/>
    <w:basedOn w:val="DefaultParagraphFont"/>
    <w:link w:val="DocumentMap"/>
    <w:uiPriority w:val="99"/>
    <w:semiHidden/>
    <w:rsid w:val="00055D80"/>
    <w:rPr>
      <w:rFonts w:ascii="MS UI Gothic" w:eastAsia="MS UI Gothic" w:hAnsi="Times New Roman" w:cs="Times New Roman"/>
      <w:sz w:val="18"/>
      <w:szCs w:val="18"/>
    </w:rPr>
  </w:style>
  <w:style w:type="character" w:customStyle="1" w:styleId="apple-converted-space">
    <w:name w:val="apple-converted-space"/>
    <w:basedOn w:val="DefaultParagraphFont"/>
    <w:uiPriority w:val="99"/>
    <w:rsid w:val="00055D80"/>
    <w:rPr>
      <w:rFonts w:cs="Times New Roman"/>
    </w:rPr>
  </w:style>
  <w:style w:type="character" w:styleId="CommentReference">
    <w:name w:val="annotation reference"/>
    <w:basedOn w:val="DefaultParagraphFont"/>
    <w:uiPriority w:val="99"/>
    <w:semiHidden/>
    <w:unhideWhenUsed/>
    <w:rsid w:val="00055D80"/>
    <w:rPr>
      <w:sz w:val="18"/>
      <w:szCs w:val="18"/>
    </w:rPr>
  </w:style>
  <w:style w:type="paragraph" w:styleId="CommentText">
    <w:name w:val="annotation text"/>
    <w:basedOn w:val="Normal"/>
    <w:link w:val="CommentTextChar"/>
    <w:uiPriority w:val="99"/>
    <w:semiHidden/>
    <w:unhideWhenUsed/>
    <w:rsid w:val="00055D80"/>
    <w:rPr>
      <w:rFonts w:eastAsia="Times New Roman"/>
      <w:szCs w:val="22"/>
    </w:rPr>
  </w:style>
  <w:style w:type="character" w:customStyle="1" w:styleId="CommentTextChar">
    <w:name w:val="Comment Text Char"/>
    <w:basedOn w:val="DefaultParagraphFont"/>
    <w:link w:val="CommentText"/>
    <w:uiPriority w:val="99"/>
    <w:semiHidden/>
    <w:rsid w:val="00055D80"/>
    <w:rPr>
      <w:rFonts w:ascii="Times New Roman" w:eastAsia="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055D80"/>
    <w:rPr>
      <w:b/>
      <w:bCs/>
    </w:rPr>
  </w:style>
  <w:style w:type="character" w:customStyle="1" w:styleId="CommentSubjectChar">
    <w:name w:val="Comment Subject Char"/>
    <w:basedOn w:val="CommentTextChar"/>
    <w:link w:val="CommentSubject"/>
    <w:uiPriority w:val="99"/>
    <w:semiHidden/>
    <w:rsid w:val="00055D80"/>
    <w:rPr>
      <w:rFonts w:ascii="Times New Roman" w:eastAsia="Times New Roman" w:hAnsi="Times New Roman" w:cs="Times New Roman"/>
      <w:b/>
      <w:bCs/>
      <w:sz w:val="24"/>
    </w:rPr>
  </w:style>
  <w:style w:type="paragraph" w:styleId="EndnoteText">
    <w:name w:val="endnote text"/>
    <w:basedOn w:val="Normal"/>
    <w:link w:val="EndnoteTextChar"/>
    <w:uiPriority w:val="99"/>
    <w:semiHidden/>
    <w:unhideWhenUsed/>
    <w:rsid w:val="00055D80"/>
    <w:pPr>
      <w:spacing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055D8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55D80"/>
    <w:rPr>
      <w:vertAlign w:val="superscript"/>
    </w:rPr>
  </w:style>
  <w:style w:type="character" w:styleId="PlaceholderText">
    <w:name w:val="Placeholder Text"/>
    <w:basedOn w:val="DefaultParagraphFont"/>
    <w:uiPriority w:val="99"/>
    <w:semiHidden/>
    <w:rsid w:val="0051680F"/>
    <w:rPr>
      <w:color w:val="808080"/>
    </w:rPr>
  </w:style>
  <w:style w:type="paragraph" w:styleId="TOC4">
    <w:name w:val="toc 4"/>
    <w:basedOn w:val="Normal"/>
    <w:next w:val="Normal"/>
    <w:autoRedefine/>
    <w:uiPriority w:val="39"/>
    <w:unhideWhenUsed/>
    <w:rsid w:val="00563544"/>
    <w:pPr>
      <w:widowControl w:val="0"/>
      <w:spacing w:line="240" w:lineRule="auto"/>
      <w:ind w:left="630"/>
      <w:jc w:val="both"/>
    </w:pPr>
    <w:rPr>
      <w:rFonts w:asciiTheme="minorHAnsi" w:hAnsiTheme="minorHAnsi" w:cstheme="minorBidi"/>
      <w:kern w:val="2"/>
      <w:sz w:val="21"/>
      <w:szCs w:val="22"/>
      <w:lang w:val="en-US" w:eastAsia="ja-JP"/>
    </w:rPr>
  </w:style>
  <w:style w:type="paragraph" w:styleId="TOC5">
    <w:name w:val="toc 5"/>
    <w:basedOn w:val="Normal"/>
    <w:next w:val="Normal"/>
    <w:autoRedefine/>
    <w:uiPriority w:val="39"/>
    <w:unhideWhenUsed/>
    <w:rsid w:val="00563544"/>
    <w:pPr>
      <w:widowControl w:val="0"/>
      <w:spacing w:line="240" w:lineRule="auto"/>
      <w:ind w:left="840"/>
      <w:jc w:val="both"/>
    </w:pPr>
    <w:rPr>
      <w:rFonts w:asciiTheme="minorHAnsi" w:hAnsiTheme="minorHAnsi" w:cstheme="minorBidi"/>
      <w:kern w:val="2"/>
      <w:sz w:val="21"/>
      <w:szCs w:val="22"/>
      <w:lang w:val="en-US" w:eastAsia="ja-JP"/>
    </w:rPr>
  </w:style>
  <w:style w:type="paragraph" w:styleId="TOC6">
    <w:name w:val="toc 6"/>
    <w:basedOn w:val="Normal"/>
    <w:next w:val="Normal"/>
    <w:autoRedefine/>
    <w:uiPriority w:val="39"/>
    <w:unhideWhenUsed/>
    <w:rsid w:val="00563544"/>
    <w:pPr>
      <w:widowControl w:val="0"/>
      <w:spacing w:line="240" w:lineRule="auto"/>
      <w:ind w:left="1050"/>
      <w:jc w:val="both"/>
    </w:pPr>
    <w:rPr>
      <w:rFonts w:asciiTheme="minorHAnsi" w:hAnsiTheme="minorHAnsi" w:cstheme="minorBidi"/>
      <w:kern w:val="2"/>
      <w:sz w:val="21"/>
      <w:szCs w:val="22"/>
      <w:lang w:val="en-US" w:eastAsia="ja-JP"/>
    </w:rPr>
  </w:style>
  <w:style w:type="paragraph" w:styleId="TOC7">
    <w:name w:val="toc 7"/>
    <w:basedOn w:val="Normal"/>
    <w:next w:val="Normal"/>
    <w:autoRedefine/>
    <w:uiPriority w:val="39"/>
    <w:unhideWhenUsed/>
    <w:rsid w:val="00563544"/>
    <w:pPr>
      <w:widowControl w:val="0"/>
      <w:spacing w:line="240" w:lineRule="auto"/>
      <w:ind w:left="1260"/>
      <w:jc w:val="both"/>
    </w:pPr>
    <w:rPr>
      <w:rFonts w:asciiTheme="minorHAnsi" w:hAnsiTheme="minorHAnsi" w:cstheme="minorBidi"/>
      <w:kern w:val="2"/>
      <w:sz w:val="21"/>
      <w:szCs w:val="22"/>
      <w:lang w:val="en-US" w:eastAsia="ja-JP"/>
    </w:rPr>
  </w:style>
  <w:style w:type="paragraph" w:styleId="TOC8">
    <w:name w:val="toc 8"/>
    <w:basedOn w:val="Normal"/>
    <w:next w:val="Normal"/>
    <w:autoRedefine/>
    <w:uiPriority w:val="39"/>
    <w:unhideWhenUsed/>
    <w:rsid w:val="00563544"/>
    <w:pPr>
      <w:widowControl w:val="0"/>
      <w:spacing w:line="240" w:lineRule="auto"/>
      <w:ind w:left="1470"/>
      <w:jc w:val="both"/>
    </w:pPr>
    <w:rPr>
      <w:rFonts w:asciiTheme="minorHAnsi" w:hAnsiTheme="minorHAnsi" w:cstheme="minorBidi"/>
      <w:kern w:val="2"/>
      <w:sz w:val="21"/>
      <w:szCs w:val="22"/>
      <w:lang w:val="en-US" w:eastAsia="ja-JP"/>
    </w:rPr>
  </w:style>
  <w:style w:type="paragraph" w:styleId="TOC9">
    <w:name w:val="toc 9"/>
    <w:basedOn w:val="Normal"/>
    <w:next w:val="Normal"/>
    <w:autoRedefine/>
    <w:uiPriority w:val="39"/>
    <w:unhideWhenUsed/>
    <w:rsid w:val="00563544"/>
    <w:pPr>
      <w:widowControl w:val="0"/>
      <w:spacing w:line="240" w:lineRule="auto"/>
      <w:ind w:left="1680"/>
      <w:jc w:val="both"/>
    </w:pPr>
    <w:rPr>
      <w:rFonts w:asciiTheme="minorHAnsi" w:hAnsiTheme="minorHAnsi" w:cstheme="minorBidi"/>
      <w:kern w:val="2"/>
      <w:sz w:val="21"/>
      <w:szCs w:val="22"/>
      <w:lang w:val="en-US" w:eastAsia="ja-JP"/>
    </w:rPr>
  </w:style>
  <w:style w:type="character" w:styleId="FollowedHyperlink">
    <w:name w:val="FollowedHyperlink"/>
    <w:basedOn w:val="DefaultParagraphFont"/>
    <w:uiPriority w:val="99"/>
    <w:semiHidden/>
    <w:rsid w:val="000452AB"/>
    <w:rPr>
      <w:rFonts w:cs="Times New Roman"/>
      <w:color w:val="800080"/>
      <w:u w:val="single"/>
    </w:rPr>
  </w:style>
  <w:style w:type="paragraph" w:styleId="Revision">
    <w:name w:val="Revision"/>
    <w:hidden/>
    <w:uiPriority w:val="99"/>
    <w:semiHidden/>
    <w:rsid w:val="00050D4B"/>
    <w:rPr>
      <w:rFonts w:ascii="Times New Roman" w:hAnsi="Times New Roman" w:cs="Times New Roman"/>
      <w:sz w:val="24"/>
      <w:szCs w:val="24"/>
    </w:rPr>
  </w:style>
  <w:style w:type="character" w:customStyle="1" w:styleId="Heading4Char">
    <w:name w:val="Heading 4 Char"/>
    <w:basedOn w:val="DefaultParagraphFont"/>
    <w:link w:val="Heading4"/>
    <w:uiPriority w:val="9"/>
    <w:rsid w:val="00DA2E02"/>
    <w:rPr>
      <w:rFonts w:ascii="Times New Roman" w:eastAsiaTheme="majorEastAsia" w:hAnsi="Times New Roman" w:cstheme="majorBidi"/>
      <w:bCs/>
      <w:iCs/>
      <w:sz w:val="24"/>
      <w:szCs w:val="24"/>
      <w:u w:val="single"/>
    </w:rPr>
  </w:style>
  <w:style w:type="paragraph" w:customStyle="1" w:styleId="footnote">
    <w:name w:val="footnote"/>
    <w:basedOn w:val="FootnoteText"/>
    <w:link w:val="footnoteChar"/>
    <w:qFormat/>
    <w:rsid w:val="00D24FF3"/>
    <w:rPr>
      <w:sz w:val="22"/>
      <w:szCs w:val="22"/>
    </w:rPr>
  </w:style>
  <w:style w:type="character" w:customStyle="1" w:styleId="footnoteChar">
    <w:name w:val="footnote Char"/>
    <w:basedOn w:val="FootnoteTextChar"/>
    <w:link w:val="footnote"/>
    <w:rsid w:val="00D24FF3"/>
    <w:rPr>
      <w:rFonts w:ascii="Times New Roman" w:hAnsi="Times New Roman"/>
      <w:sz w:val="20"/>
      <w:szCs w:val="20"/>
    </w:rPr>
  </w:style>
  <w:style w:type="character" w:customStyle="1" w:styleId="QuoteChar1">
    <w:name w:val="Quote Char1"/>
    <w:basedOn w:val="DefaultParagraphFont"/>
    <w:uiPriority w:val="29"/>
    <w:rsid w:val="008643BC"/>
    <w:rPr>
      <w:rFonts w:ascii="Times New Roman" w:hAnsi="Times New Roman" w:cs="Times New Roman"/>
      <w:iCs/>
      <w:color w:val="000000" w:themeColor="text1"/>
      <w:sz w:val="24"/>
      <w:szCs w:val="24"/>
    </w:rPr>
  </w:style>
  <w:style w:type="character" w:customStyle="1" w:styleId="QuoteChar2">
    <w:name w:val="Quote Char2"/>
    <w:basedOn w:val="DefaultParagraphFont"/>
    <w:uiPriority w:val="29"/>
    <w:rsid w:val="00205F43"/>
    <w:rPr>
      <w:rFonts w:ascii="Times New Roman" w:hAnsi="Times New Roman" w:cs="Times New Roman"/>
      <w:iCs/>
      <w:color w:val="000000" w:themeColor="text1"/>
      <w:sz w:val="24"/>
      <w:szCs w:val="24"/>
    </w:rPr>
  </w:style>
  <w:style w:type="character" w:customStyle="1" w:styleId="QuoteChar3">
    <w:name w:val="Quote Char3"/>
    <w:basedOn w:val="DefaultParagraphFont"/>
    <w:uiPriority w:val="29"/>
    <w:rsid w:val="00A1628B"/>
    <w:rPr>
      <w:rFonts w:ascii="Times New Roman" w:hAnsi="Times New Roman" w:cs="Times New Roman"/>
      <w:iCs/>
      <w:color w:val="000000" w:themeColor="text1"/>
      <w:sz w:val="24"/>
      <w:szCs w:val="24"/>
    </w:rPr>
  </w:style>
  <w:style w:type="character" w:customStyle="1" w:styleId="QuoteChar4">
    <w:name w:val="Quote Char4"/>
    <w:basedOn w:val="DefaultParagraphFont"/>
    <w:link w:val="Quote"/>
    <w:uiPriority w:val="29"/>
    <w:rsid w:val="003E24A7"/>
    <w:rPr>
      <w:rFonts w:ascii="Times New Roman" w:hAnsi="Times New Roman" w:cs="Times New Roman"/>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35670">
      <w:bodyDiv w:val="1"/>
      <w:marLeft w:val="0"/>
      <w:marRight w:val="0"/>
      <w:marTop w:val="0"/>
      <w:marBottom w:val="0"/>
      <w:divBdr>
        <w:top w:val="none" w:sz="0" w:space="0" w:color="auto"/>
        <w:left w:val="none" w:sz="0" w:space="0" w:color="auto"/>
        <w:bottom w:val="none" w:sz="0" w:space="0" w:color="auto"/>
        <w:right w:val="none" w:sz="0" w:space="0" w:color="auto"/>
      </w:divBdr>
    </w:div>
    <w:div w:id="1311670123">
      <w:bodyDiv w:val="1"/>
      <w:marLeft w:val="0"/>
      <w:marRight w:val="0"/>
      <w:marTop w:val="0"/>
      <w:marBottom w:val="0"/>
      <w:divBdr>
        <w:top w:val="none" w:sz="0" w:space="0" w:color="auto"/>
        <w:left w:val="none" w:sz="0" w:space="0" w:color="auto"/>
        <w:bottom w:val="none" w:sz="0" w:space="0" w:color="auto"/>
        <w:right w:val="none" w:sz="0" w:space="0" w:color="auto"/>
      </w:divBdr>
    </w:div>
    <w:div w:id="13595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dpj.or.jp/policy/manifesto/seisaku2009/img/INDEX2009.pdf" TargetMode="External"/><Relationship Id="rId26" Type="http://schemas.openxmlformats.org/officeDocument/2006/relationships/hyperlink" Target="http://www.jftc.go.jp/dk/sinsa.html" TargetMode="External"/><Relationship Id="rId39" Type="http://schemas.openxmlformats.org/officeDocument/2006/relationships/hyperlink" Target="http://www.soumu.go.jp/main_sosiki/hunso/outline/about.html" TargetMode="External"/><Relationship Id="rId3" Type="http://schemas.openxmlformats.org/officeDocument/2006/relationships/styles" Target="styles.xml"/><Relationship Id="rId21" Type="http://schemas.openxmlformats.org/officeDocument/2006/relationships/hyperlink" Target="http://www.iscr.org.nz/n49.html" TargetMode="External"/><Relationship Id="rId34" Type="http://schemas.openxmlformats.org/officeDocument/2006/relationships/hyperlink" Target="http://eprints.lse.ac.uk/6299/" TargetMode="External"/><Relationship Id="rId42" Type="http://schemas.openxmlformats.org/officeDocument/2006/relationships/hyperlink" Target="http://kokkai.ndl.go.jp/cgi-bin/KENSAKU/swk_dispdoc.cgi?SESSION=9435&amp;SRV_ID=8&amp;SAVED_RID=2&amp;PAGE=0&amp;TOTAL=0&amp;DPAGE=1&amp;DTOTAL=23&amp;DPOS=11&amp;SORT_DIR=1&amp;SORT_TYPE=0&amp;FRAME=2&amp;MODE=1&amp;DMY=13189" TargetMode="External"/><Relationship Id="rId47" Type="http://schemas.openxmlformats.org/officeDocument/2006/relationships/hyperlink" Target="http://www.shugiin.go.jp/index.nsf/html/index_kaigiroku.ht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hyperlink" Target="http://discuss.bis.gov.uk/focusonenforcement/list-of-regulators-and-their-remit/" TargetMode="External"/><Relationship Id="rId25" Type="http://schemas.openxmlformats.org/officeDocument/2006/relationships/hyperlink" Target="http://www.jftc.go.jp/en/policy_enforcement/leniency_program/about_leniency.pdf" TargetMode="External"/><Relationship Id="rId33" Type="http://schemas.openxmlformats.org/officeDocument/2006/relationships/hyperlink" Target="http://flets.com/hikaridenwa/charge/phonecall.html" TargetMode="External"/><Relationship Id="rId38" Type="http://schemas.openxmlformats.org/officeDocument/2006/relationships/hyperlink" Target="http://www.jftc.go.jp/en/policy_enforcement/speeches/070503.html" TargetMode="External"/><Relationship Id="rId46" Type="http://schemas.openxmlformats.org/officeDocument/2006/relationships/hyperlink" Target="http://www.shugiin.go.jp/index.nsf/html/index_kaigiroku.htm" TargetMode="External"/><Relationship Id="rId2" Type="http://schemas.openxmlformats.org/officeDocument/2006/relationships/numbering" Target="numbering.xml"/><Relationship Id="rId16" Type="http://schemas.openxmlformats.org/officeDocument/2006/relationships/hyperlink" Target="http://researcharchive.vuw.ac.nz/bitstream/handle/10063/1048/thesis.pdf?sequence=1" TargetMode="External"/><Relationship Id="rId20" Type="http://schemas.openxmlformats.org/officeDocument/2006/relationships/hyperlink" Target="http://www.publications.parliament.uk/pa/ld200607/ldselect/ldrgltrs/189/189i.pdf" TargetMode="External"/><Relationship Id="rId29" Type="http://schemas.openxmlformats.org/officeDocument/2006/relationships/hyperlink" Target="http://www.soumu.go.jp/johotsusintokei/whitepaper/ja/h24/html/nc245120.html" TargetMode="External"/><Relationship Id="rId41" Type="http://schemas.openxmlformats.org/officeDocument/2006/relationships/hyperlink" Target="http://www.soumu.go.jp/main_sosiki/joho_tsusin/policyreports/english/telecouncil/NTT/Council-NT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jftc.go.jp/pressrelease/11.june/110601point.pdfs" TargetMode="External"/><Relationship Id="rId32" Type="http://schemas.openxmlformats.org/officeDocument/2006/relationships/hyperlink" Target="http://www.ntt.co.jp/about/history/pdf/p374_375.pdf" TargetMode="External"/><Relationship Id="rId37" Type="http://schemas.openxmlformats.org/officeDocument/2006/relationships/hyperlink" Target="http://spot.colorado.edu/~steinmo/HI.pdf" TargetMode="External"/><Relationship Id="rId40" Type="http://schemas.openxmlformats.org/officeDocument/2006/relationships/hyperlink" Target="http://www.soumu.go.jp/main_sosiki/hunso/case/number.html" TargetMode="External"/><Relationship Id="rId45" Type="http://schemas.openxmlformats.org/officeDocument/2006/relationships/hyperlink" Target="http://www.shugiin.go.jp/itdb_kaigiroku.nsf/html/kaigiroku/000115920040323017.htm" TargetMode="External"/><Relationship Id="rId5" Type="http://schemas.openxmlformats.org/officeDocument/2006/relationships/webSettings" Target="webSettings.xml"/><Relationship Id="rId15" Type="http://schemas.openxmlformats.org/officeDocument/2006/relationships/hyperlink" Target="http://www5.cao.go.jp/keizai-shimon/about/about.html" TargetMode="External"/><Relationship Id="rId23" Type="http://schemas.openxmlformats.org/officeDocument/2006/relationships/hyperlink" Target="http://www.kantei.go.jp/jp/gyokaku/980428kotori.html" TargetMode="External"/><Relationship Id="rId28" Type="http://schemas.openxmlformats.org/officeDocument/2006/relationships/hyperlink" Target="http://www.soumu.go.jp/main_sosiki/joho_tsusin/policyreports/joho_tsusin/index.html" TargetMode="External"/><Relationship Id="rId36" Type="http://schemas.openxmlformats.org/officeDocument/2006/relationships/hyperlink" Target="https://www.y-shiozaki.or.jp/oneself/index.php?start=395&amp;id=377" TargetMode="External"/><Relationship Id="rId49" Type="http://schemas.openxmlformats.org/officeDocument/2006/relationships/hyperlink" Target="http://tcc.export.gov/Trade_Agreements/All_Trade_Agreements/exp_005583.asp" TargetMode="External"/><Relationship Id="rId10" Type="http://schemas.openxmlformats.org/officeDocument/2006/relationships/footer" Target="footer1.xml"/><Relationship Id="rId19" Type="http://schemas.openxmlformats.org/officeDocument/2006/relationships/hyperlink" Target="http://www.soumu.go.jp/iicp/chousakenkyu/data/research/icp_review/02/harada2011.pdf" TargetMode="External"/><Relationship Id="rId31" Type="http://schemas.openxmlformats.org/officeDocument/2006/relationships/hyperlink" Target="http://www.soumu.go.jp/main_sosiki/joho_tsusin/pressrelease/japanese/sonota/971112j902.html" TargetMode="External"/><Relationship Id="rId44" Type="http://schemas.openxmlformats.org/officeDocument/2006/relationships/hyperlink" Target="http://kokkai.ndl.go.jp/cgi-bin/KENSAKU/swk_dispdoc.cgi?SESSION=6691&amp;SAVED_RID=1&amp;PAGE=0&amp;POS=0&amp;TOTAL=0&amp;SRV_ID=6&amp;DOC_ID=10426&amp;DPAGE=1&amp;DTOTAL=24&amp;DPOS=6&amp;SORT_DIR=1&amp;SORT_TYPE=0&amp;MODE=1&amp;DMY=74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2.xlsx"/><Relationship Id="rId22" Type="http://schemas.openxmlformats.org/officeDocument/2006/relationships/hyperlink" Target="http://www.soumu.go.jp/main_content/000094715.pdf" TargetMode="External"/><Relationship Id="rId27" Type="http://schemas.openxmlformats.org/officeDocument/2006/relationships/hyperlink" Target="http://www.waseda-giari.jp/jpn/research/achievements_detail/1019.html" TargetMode="External"/><Relationship Id="rId30" Type="http://schemas.openxmlformats.org/officeDocument/2006/relationships/hyperlink" Target="http://www.soumu.go.jp/main_sosiki/joho_tsusin/policyreports/japanese/papers/98wp2-4-1a.html" TargetMode="External"/><Relationship Id="rId35" Type="http://schemas.openxmlformats.org/officeDocument/2006/relationships/hyperlink" Target="https://www.y-shiozaki.or.jp/oneself/index.php?start=420&amp;id=4" TargetMode="External"/><Relationship Id="rId43" Type="http://schemas.openxmlformats.org/officeDocument/2006/relationships/hyperlink" Target="http://kokkai.ndl.go.jp/" TargetMode="External"/><Relationship Id="rId48" Type="http://schemas.openxmlformats.org/officeDocument/2006/relationships/hyperlink" Target="http://www.theregister.co.uk/2009/07/06/cameron_ofcom/" TargetMode="External"/><Relationship Id="rId8" Type="http://schemas.openxmlformats.org/officeDocument/2006/relationships/image" Target="media/image1.jpe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ti.go.jp/englis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08FC-AE0A-48C0-9B69-079BF162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352</Pages>
  <Words>97571</Words>
  <Characters>556156</Characters>
  <Application>Microsoft Office Word</Application>
  <DocSecurity>0</DocSecurity>
  <Lines>4634</Lines>
  <Paragraphs>1304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The Transformation of the Japanese State in an Era of Governance: A Case Study of the Evolving Regulatory Framework</vt:lpstr>
      <vt:lpstr>The Transformation of the Japanese State in an Era of Governance: A Case Study of the Evolving Regulatory Framework</vt:lpstr>
    </vt:vector>
  </TitlesOfParts>
  <Company>University of Sheffield</Company>
  <LinksUpToDate>false</LinksUpToDate>
  <CharactersWithSpaces>652423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Transformation of the Japanese State in an Era of Governance: A Case Study of the Evolving Regulatory Framework</dc:title>
  <dc:creator>Por09mm;Masahiro MOGAKI</dc:creator>
  <cp:lastModifiedBy>User</cp:lastModifiedBy>
  <cp:revision>2</cp:revision>
  <cp:lastPrinted>2013-10-21T17:37:00Z</cp:lastPrinted>
  <dcterms:created xsi:type="dcterms:W3CDTF">2013-11-04T21:18:00Z</dcterms:created>
  <dcterms:modified xsi:type="dcterms:W3CDTF">2013-11-04T21:18:00Z</dcterms:modified>
</cp:coreProperties>
</file>