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D33" w:rsidRDefault="001C2D33" w:rsidP="001C2D33">
      <w:pPr>
        <w:pStyle w:val="Title"/>
        <w:jc w:val="center"/>
      </w:pPr>
    </w:p>
    <w:p w:rsidR="00935DA6" w:rsidRDefault="001C2D33" w:rsidP="001C2D33">
      <w:pPr>
        <w:pStyle w:val="Title"/>
        <w:jc w:val="center"/>
      </w:pPr>
      <w:r>
        <w:t>Chapter 2 - Materials and Methods</w:t>
      </w:r>
    </w:p>
    <w:p w:rsidR="001C2D33" w:rsidRDefault="001C2D33" w:rsidP="00365964">
      <w:pPr>
        <w:spacing w:line="360" w:lineRule="auto"/>
        <w:jc w:val="center"/>
        <w:rPr>
          <w:rFonts w:ascii="Times New Roman" w:hAnsi="Times New Roman"/>
          <w:b/>
          <w:sz w:val="24"/>
        </w:rPr>
      </w:pPr>
    </w:p>
    <w:p w:rsidR="00935DA6" w:rsidRPr="001C2D33" w:rsidRDefault="00935DA6" w:rsidP="00365964">
      <w:pPr>
        <w:spacing w:line="360" w:lineRule="auto"/>
        <w:jc w:val="center"/>
        <w:rPr>
          <w:rFonts w:cstheme="minorHAnsi"/>
          <w:b/>
        </w:rPr>
      </w:pPr>
      <w:r w:rsidRPr="001C2D33">
        <w:rPr>
          <w:rFonts w:cstheme="minorHAnsi"/>
          <w:b/>
        </w:rPr>
        <w:t>2.1 General laboratory chemicals</w:t>
      </w:r>
    </w:p>
    <w:p w:rsidR="00935DA6" w:rsidRPr="001C2D33" w:rsidRDefault="00935DA6" w:rsidP="004E4353">
      <w:pPr>
        <w:spacing w:line="360" w:lineRule="auto"/>
        <w:rPr>
          <w:rFonts w:cstheme="minorHAnsi"/>
          <w:b/>
        </w:rPr>
      </w:pPr>
      <w:r w:rsidRPr="001C2D33">
        <w:rPr>
          <w:rFonts w:cstheme="minorHAnsi"/>
        </w:rPr>
        <w:t>General laboratory chemicals and reagents</w:t>
      </w:r>
      <w:r w:rsidR="00B00FBE" w:rsidRPr="001C2D33">
        <w:rPr>
          <w:rFonts w:cstheme="minorHAnsi"/>
        </w:rPr>
        <w:t>, unless otherwise stated,</w:t>
      </w:r>
      <w:r w:rsidRPr="001C2D33">
        <w:rPr>
          <w:rFonts w:cstheme="minorHAnsi"/>
        </w:rPr>
        <w:t xml:space="preserve"> were obtained from BDH, </w:t>
      </w:r>
      <w:r w:rsidR="00B00FBE" w:rsidRPr="001C2D33">
        <w:rPr>
          <w:rFonts w:cstheme="minorHAnsi"/>
        </w:rPr>
        <w:t xml:space="preserve">Bio </w:t>
      </w:r>
      <w:proofErr w:type="spellStart"/>
      <w:r w:rsidR="00B00FBE" w:rsidRPr="001C2D33">
        <w:rPr>
          <w:rFonts w:cstheme="minorHAnsi"/>
        </w:rPr>
        <w:t>Rad</w:t>
      </w:r>
      <w:proofErr w:type="spellEnd"/>
      <w:r w:rsidRPr="001C2D33">
        <w:rPr>
          <w:rFonts w:cstheme="minorHAnsi"/>
        </w:rPr>
        <w:t xml:space="preserve"> and </w:t>
      </w:r>
      <w:r w:rsidR="00B00FBE" w:rsidRPr="001C2D33">
        <w:rPr>
          <w:rFonts w:cstheme="minorHAnsi"/>
        </w:rPr>
        <w:t>Sigma</w:t>
      </w:r>
      <w:r w:rsidRPr="001C2D33">
        <w:rPr>
          <w:rFonts w:cstheme="minorHAnsi"/>
        </w:rPr>
        <w:t>.</w:t>
      </w:r>
    </w:p>
    <w:p w:rsidR="00204F58" w:rsidRDefault="00204F58" w:rsidP="00365964">
      <w:pPr>
        <w:spacing w:line="360" w:lineRule="auto"/>
        <w:jc w:val="center"/>
        <w:rPr>
          <w:rFonts w:cstheme="minorHAnsi"/>
          <w:b/>
        </w:rPr>
      </w:pPr>
    </w:p>
    <w:p w:rsidR="004E5CA5" w:rsidRPr="001C2D33" w:rsidRDefault="003E45EA" w:rsidP="00365964">
      <w:pPr>
        <w:spacing w:line="360" w:lineRule="auto"/>
        <w:jc w:val="center"/>
        <w:rPr>
          <w:rFonts w:cstheme="minorHAnsi"/>
          <w:b/>
        </w:rPr>
      </w:pPr>
      <w:r w:rsidRPr="001C2D33">
        <w:rPr>
          <w:rFonts w:cstheme="minorHAnsi"/>
          <w:b/>
        </w:rPr>
        <w:t>2.2</w:t>
      </w:r>
      <w:r w:rsidR="004E5CA5" w:rsidRPr="001C2D33">
        <w:rPr>
          <w:rFonts w:cstheme="minorHAnsi"/>
          <w:b/>
        </w:rPr>
        <w:t xml:space="preserve"> Plant Material</w:t>
      </w:r>
    </w:p>
    <w:p w:rsidR="004E5CA5" w:rsidRDefault="00A70063" w:rsidP="001C2D33">
      <w:pPr>
        <w:spacing w:line="360" w:lineRule="auto"/>
        <w:jc w:val="both"/>
        <w:rPr>
          <w:rFonts w:cstheme="minorHAnsi"/>
        </w:rPr>
      </w:pPr>
      <w:r w:rsidRPr="001C2D33">
        <w:rPr>
          <w:rFonts w:cstheme="minorHAnsi"/>
        </w:rPr>
        <w:t xml:space="preserve">All </w:t>
      </w:r>
      <w:r w:rsidR="00E04B46">
        <w:rPr>
          <w:rFonts w:cstheme="minorHAnsi"/>
          <w:i/>
        </w:rPr>
        <w:t xml:space="preserve">Arabidopsis </w:t>
      </w:r>
      <w:r w:rsidRPr="001C2D33">
        <w:rPr>
          <w:rFonts w:cstheme="minorHAnsi"/>
        </w:rPr>
        <w:t xml:space="preserve">plants used in these experiments with the exception of epf1epf2EPFL9OE </w:t>
      </w:r>
      <w:r w:rsidR="00E216C6" w:rsidRPr="001C2D33">
        <w:rPr>
          <w:rFonts w:cstheme="minorHAnsi"/>
        </w:rPr>
        <w:t>have been described previously (Hunt et al. 20</w:t>
      </w:r>
      <w:r w:rsidR="008E7E03" w:rsidRPr="001C2D33">
        <w:rPr>
          <w:rFonts w:cstheme="minorHAnsi"/>
        </w:rPr>
        <w:t>10</w:t>
      </w:r>
      <w:r w:rsidR="00E62D38" w:rsidRPr="001C2D33">
        <w:rPr>
          <w:rFonts w:cstheme="minorHAnsi"/>
        </w:rPr>
        <w:t xml:space="preserve">; </w:t>
      </w:r>
      <w:r w:rsidR="008E7E03" w:rsidRPr="001C2D33">
        <w:rPr>
          <w:rFonts w:cstheme="minorHAnsi"/>
        </w:rPr>
        <w:t>Hunt and Gray 2009</w:t>
      </w:r>
      <w:r w:rsidR="00E216C6" w:rsidRPr="001C2D33">
        <w:rPr>
          <w:rFonts w:cstheme="minorHAnsi"/>
        </w:rPr>
        <w:t xml:space="preserve">). </w:t>
      </w:r>
      <w:r w:rsidR="00532E68" w:rsidRPr="001C2D33">
        <w:rPr>
          <w:rFonts w:cstheme="minorHAnsi"/>
          <w:i/>
        </w:rPr>
        <w:t>EPF2</w:t>
      </w:r>
      <w:r w:rsidR="00532E68" w:rsidRPr="001C2D33">
        <w:rPr>
          <w:rFonts w:cstheme="minorHAnsi"/>
        </w:rPr>
        <w:t xml:space="preserve">OE (P35S:EPF2-TAP), </w:t>
      </w:r>
      <w:r w:rsidR="00532E68" w:rsidRPr="001C2D33">
        <w:rPr>
          <w:rFonts w:cstheme="minorHAnsi"/>
          <w:i/>
        </w:rPr>
        <w:t>EPFL9</w:t>
      </w:r>
      <w:r w:rsidR="00532E68" w:rsidRPr="001C2D33">
        <w:rPr>
          <w:rFonts w:cstheme="minorHAnsi"/>
        </w:rPr>
        <w:t xml:space="preserve">RNAi (p35S:EPFL9RNAi) and </w:t>
      </w:r>
      <w:r w:rsidR="00532E68" w:rsidRPr="001C2D33">
        <w:rPr>
          <w:rFonts w:cstheme="minorHAnsi"/>
          <w:i/>
        </w:rPr>
        <w:t>epf1epf2EPFL9</w:t>
      </w:r>
      <w:r w:rsidR="00532E68" w:rsidRPr="001C2D33">
        <w:rPr>
          <w:rFonts w:cstheme="minorHAnsi"/>
        </w:rPr>
        <w:t>OE</w:t>
      </w:r>
      <w:r w:rsidR="00F540CE" w:rsidRPr="001C2D33">
        <w:rPr>
          <w:rFonts w:cstheme="minorHAnsi"/>
        </w:rPr>
        <w:t xml:space="preserve"> </w:t>
      </w:r>
      <w:r w:rsidR="00F540CE" w:rsidRPr="001C2D33">
        <w:rPr>
          <w:rFonts w:cstheme="minorHAnsi"/>
          <w:i/>
        </w:rPr>
        <w:t>Arabidopsis</w:t>
      </w:r>
      <w:r w:rsidR="00F540CE" w:rsidRPr="001C2D33">
        <w:rPr>
          <w:rFonts w:cstheme="minorHAnsi"/>
        </w:rPr>
        <w:t xml:space="preserve"> </w:t>
      </w:r>
      <w:r w:rsidR="00532E68" w:rsidRPr="001C2D33">
        <w:rPr>
          <w:rFonts w:cstheme="minorHAnsi"/>
          <w:i/>
        </w:rPr>
        <w:t xml:space="preserve">Thaliana </w:t>
      </w:r>
      <w:r w:rsidR="00F540CE" w:rsidRPr="001C2D33">
        <w:rPr>
          <w:rFonts w:cstheme="minorHAnsi"/>
        </w:rPr>
        <w:t xml:space="preserve">plants used in these experiments were generated by Dr. Lee Hunt. </w:t>
      </w:r>
      <w:r w:rsidR="00EB7E40" w:rsidRPr="001C2D33">
        <w:rPr>
          <w:rFonts w:cstheme="minorHAnsi"/>
        </w:rPr>
        <w:t xml:space="preserve">The predicted coding region of EPF2 was amplified from </w:t>
      </w:r>
      <w:r w:rsidR="00532E68" w:rsidRPr="001C2D33">
        <w:rPr>
          <w:rFonts w:cstheme="minorHAnsi"/>
        </w:rPr>
        <w:t xml:space="preserve">Arabidopsis Col-0 </w:t>
      </w:r>
      <w:proofErr w:type="spellStart"/>
      <w:r w:rsidR="00EB7E40" w:rsidRPr="001C2D33">
        <w:rPr>
          <w:rFonts w:cstheme="minorHAnsi"/>
        </w:rPr>
        <w:t>cDNA</w:t>
      </w:r>
      <w:proofErr w:type="spellEnd"/>
      <w:r w:rsidR="00EB7E40" w:rsidRPr="001C2D33">
        <w:rPr>
          <w:rFonts w:cstheme="minorHAnsi"/>
        </w:rPr>
        <w:t xml:space="preserve"> with KOD polym</w:t>
      </w:r>
      <w:r w:rsidR="00BC20EE" w:rsidRPr="001C2D33">
        <w:rPr>
          <w:rFonts w:cstheme="minorHAnsi"/>
        </w:rPr>
        <w:t xml:space="preserve">erase, recombined into </w:t>
      </w:r>
      <w:proofErr w:type="spellStart"/>
      <w:r w:rsidR="00BC20EE" w:rsidRPr="001C2D33">
        <w:rPr>
          <w:rFonts w:cstheme="minorHAnsi"/>
        </w:rPr>
        <w:t>pENTR</w:t>
      </w:r>
      <w:proofErr w:type="spellEnd"/>
      <w:r w:rsidR="00BC20EE" w:rsidRPr="001C2D33">
        <w:rPr>
          <w:rFonts w:cstheme="minorHAnsi"/>
        </w:rPr>
        <w:t>/D/</w:t>
      </w:r>
      <w:r w:rsidR="00EB7E40" w:rsidRPr="001C2D33">
        <w:rPr>
          <w:rFonts w:cstheme="minorHAnsi"/>
        </w:rPr>
        <w:t xml:space="preserve">TOPO, and recombined into </w:t>
      </w:r>
      <w:proofErr w:type="spellStart"/>
      <w:r w:rsidR="00EB7E40" w:rsidRPr="001C2D33">
        <w:rPr>
          <w:rFonts w:cstheme="minorHAnsi"/>
        </w:rPr>
        <w:t>pCTAPi</w:t>
      </w:r>
      <w:proofErr w:type="spellEnd"/>
      <w:r w:rsidR="00EB7E40" w:rsidRPr="001C2D33">
        <w:rPr>
          <w:rFonts w:cstheme="minorHAnsi"/>
        </w:rPr>
        <w:t xml:space="preserve"> (</w:t>
      </w:r>
      <w:proofErr w:type="spellStart"/>
      <w:r w:rsidR="00EB7E40" w:rsidRPr="001C2D33">
        <w:rPr>
          <w:rFonts w:cstheme="minorHAnsi"/>
        </w:rPr>
        <w:t>Rohila</w:t>
      </w:r>
      <w:proofErr w:type="spellEnd"/>
      <w:r w:rsidR="00EB7E40" w:rsidRPr="001C2D33">
        <w:rPr>
          <w:rFonts w:cstheme="minorHAnsi"/>
        </w:rPr>
        <w:t xml:space="preserve"> et al. 2004) with LR </w:t>
      </w:r>
      <w:proofErr w:type="spellStart"/>
      <w:r w:rsidR="00EB7E40" w:rsidRPr="001C2D33">
        <w:rPr>
          <w:rFonts w:cstheme="minorHAnsi"/>
        </w:rPr>
        <w:t>clonase</w:t>
      </w:r>
      <w:proofErr w:type="spellEnd"/>
      <w:r w:rsidR="00EB7E40" w:rsidRPr="001C2D33">
        <w:rPr>
          <w:rFonts w:cstheme="minorHAnsi"/>
        </w:rPr>
        <w:t xml:space="preserve"> II to create </w:t>
      </w:r>
      <w:r w:rsidR="00532E68" w:rsidRPr="001C2D33">
        <w:rPr>
          <w:rFonts w:cstheme="minorHAnsi"/>
        </w:rPr>
        <w:t>EPF2OE (</w:t>
      </w:r>
      <w:r w:rsidR="00EB7E40" w:rsidRPr="001C2D33">
        <w:rPr>
          <w:rFonts w:cstheme="minorHAnsi"/>
        </w:rPr>
        <w:t>p35S:EPF2-TAP</w:t>
      </w:r>
      <w:r w:rsidR="00532E68" w:rsidRPr="001C2D33">
        <w:rPr>
          <w:rFonts w:cstheme="minorHAnsi"/>
        </w:rPr>
        <w:t>)</w:t>
      </w:r>
      <w:r w:rsidR="00EB7E40" w:rsidRPr="001C2D33">
        <w:rPr>
          <w:rFonts w:cstheme="minorHAnsi"/>
        </w:rPr>
        <w:t>.</w:t>
      </w:r>
      <w:r w:rsidR="00283341" w:rsidRPr="001C2D33">
        <w:rPr>
          <w:rFonts w:cstheme="minorHAnsi"/>
        </w:rPr>
        <w:t xml:space="preserve">The </w:t>
      </w:r>
      <w:r w:rsidR="00532E68" w:rsidRPr="001C2D33">
        <w:rPr>
          <w:rFonts w:cstheme="minorHAnsi"/>
        </w:rPr>
        <w:t>EPFL9RNAi (</w:t>
      </w:r>
      <w:r w:rsidR="00283341" w:rsidRPr="001C2D33">
        <w:rPr>
          <w:rFonts w:cstheme="minorHAnsi"/>
        </w:rPr>
        <w:t>p35S:EPFL9RNAi</w:t>
      </w:r>
      <w:r w:rsidR="00532E68" w:rsidRPr="001C2D33">
        <w:rPr>
          <w:rFonts w:cstheme="minorHAnsi"/>
        </w:rPr>
        <w:t>)</w:t>
      </w:r>
      <w:r w:rsidR="00283341" w:rsidRPr="001C2D33">
        <w:rPr>
          <w:rFonts w:cstheme="minorHAnsi"/>
        </w:rPr>
        <w:t xml:space="preserve"> construct was generated</w:t>
      </w:r>
      <w:r w:rsidR="00532E68" w:rsidRPr="001C2D33">
        <w:rPr>
          <w:rFonts w:cstheme="minorHAnsi"/>
        </w:rPr>
        <w:t xml:space="preserve"> </w:t>
      </w:r>
      <w:r w:rsidR="00283341" w:rsidRPr="001C2D33">
        <w:rPr>
          <w:rFonts w:cstheme="minorHAnsi"/>
        </w:rPr>
        <w:t>by amplifying a PCR fragment with 5’-</w:t>
      </w:r>
      <w:r w:rsidR="00EB7E40" w:rsidRPr="001C2D33">
        <w:rPr>
          <w:rFonts w:cstheme="minorHAnsi"/>
        </w:rPr>
        <w:t>C</w:t>
      </w:r>
      <w:r w:rsidR="00283341" w:rsidRPr="001C2D33">
        <w:rPr>
          <w:rFonts w:cstheme="minorHAnsi"/>
        </w:rPr>
        <w:t>ACCATTCAAGGAGGAGGCATATGAT-3’</w:t>
      </w:r>
      <w:r w:rsidR="001C2D33">
        <w:rPr>
          <w:rFonts w:cstheme="minorHAnsi"/>
        </w:rPr>
        <w:br/>
      </w:r>
      <w:r w:rsidR="00283341" w:rsidRPr="001C2D33">
        <w:rPr>
          <w:rFonts w:cstheme="minorHAnsi"/>
        </w:rPr>
        <w:t>5’</w:t>
      </w:r>
      <w:r w:rsidR="00532E68" w:rsidRPr="001C2D33">
        <w:rPr>
          <w:rFonts w:cstheme="minorHAnsi"/>
        </w:rPr>
        <w:t>-TA</w:t>
      </w:r>
      <w:r w:rsidR="00283341" w:rsidRPr="001C2D33">
        <w:rPr>
          <w:rFonts w:cstheme="minorHAnsi"/>
        </w:rPr>
        <w:t xml:space="preserve">CAACTAATATCTATGACAAACAC-3’ primers and recombining into </w:t>
      </w:r>
      <w:proofErr w:type="spellStart"/>
      <w:r w:rsidR="00283341" w:rsidRPr="001C2D33">
        <w:rPr>
          <w:rFonts w:cstheme="minorHAnsi"/>
        </w:rPr>
        <w:t>pENTR⁄D⁄TOPO</w:t>
      </w:r>
      <w:proofErr w:type="spellEnd"/>
      <w:r w:rsidR="00283341" w:rsidRPr="001C2D33">
        <w:rPr>
          <w:rFonts w:cstheme="minorHAnsi"/>
        </w:rPr>
        <w:t xml:space="preserve">, then into pHells-gate12 (Wesley et al., 2001) with LR </w:t>
      </w:r>
      <w:proofErr w:type="spellStart"/>
      <w:r w:rsidR="00283341" w:rsidRPr="001C2D33">
        <w:rPr>
          <w:rFonts w:cstheme="minorHAnsi"/>
        </w:rPr>
        <w:t>clonase</w:t>
      </w:r>
      <w:proofErr w:type="spellEnd"/>
      <w:r w:rsidR="00283341" w:rsidRPr="001C2D33">
        <w:rPr>
          <w:rFonts w:cstheme="minorHAnsi"/>
        </w:rPr>
        <w:t xml:space="preserve"> II Plus. </w:t>
      </w:r>
      <w:r w:rsidR="00532E68" w:rsidRPr="001C2D33">
        <w:rPr>
          <w:rFonts w:cstheme="minorHAnsi"/>
          <w:i/>
        </w:rPr>
        <w:t>epf1epf2EPFL9OE</w:t>
      </w:r>
      <w:r w:rsidR="00532E68" w:rsidRPr="001C2D33">
        <w:rPr>
          <w:rFonts w:cstheme="minorHAnsi"/>
        </w:rPr>
        <w:t xml:space="preserve"> was generated by transforming </w:t>
      </w:r>
      <w:r w:rsidR="00532E68" w:rsidRPr="001C2D33">
        <w:rPr>
          <w:rFonts w:cstheme="minorHAnsi"/>
          <w:i/>
        </w:rPr>
        <w:t>epf1epf2</w:t>
      </w:r>
      <w:r w:rsidR="00532E68" w:rsidRPr="001C2D33">
        <w:rPr>
          <w:rFonts w:cstheme="minorHAnsi"/>
        </w:rPr>
        <w:t xml:space="preserve"> with</w:t>
      </w:r>
      <w:r w:rsidR="00532E68" w:rsidRPr="001C2D33">
        <w:rPr>
          <w:rFonts w:cstheme="minorHAnsi"/>
          <w:i/>
        </w:rPr>
        <w:t xml:space="preserve"> p35S:EPFL9-CTAPi</w:t>
      </w:r>
      <w:r w:rsidR="00532E68" w:rsidRPr="001C2D33">
        <w:rPr>
          <w:rFonts w:cstheme="minorHAnsi"/>
        </w:rPr>
        <w:t xml:space="preserve">. </w:t>
      </w:r>
      <w:r w:rsidR="00283341" w:rsidRPr="001C2D33">
        <w:rPr>
          <w:rFonts w:cstheme="minorHAnsi"/>
        </w:rPr>
        <w:t xml:space="preserve">Constructs were transformed via </w:t>
      </w:r>
      <w:proofErr w:type="spellStart"/>
      <w:r w:rsidR="00283341" w:rsidRPr="001C2D33">
        <w:rPr>
          <w:rFonts w:cstheme="minorHAnsi"/>
        </w:rPr>
        <w:t>electroporation</w:t>
      </w:r>
      <w:proofErr w:type="spellEnd"/>
      <w:r w:rsidR="00283341" w:rsidRPr="001C2D33">
        <w:rPr>
          <w:rFonts w:cstheme="minorHAnsi"/>
        </w:rPr>
        <w:t xml:space="preserve"> into </w:t>
      </w:r>
      <w:proofErr w:type="spellStart"/>
      <w:r w:rsidR="00283341" w:rsidRPr="001C2D33">
        <w:rPr>
          <w:rFonts w:cstheme="minorHAnsi"/>
          <w:i/>
        </w:rPr>
        <w:t>Agrobacterium</w:t>
      </w:r>
      <w:proofErr w:type="spellEnd"/>
      <w:r w:rsidR="00283341" w:rsidRPr="001C2D33">
        <w:rPr>
          <w:rFonts w:cstheme="minorHAnsi"/>
          <w:i/>
        </w:rPr>
        <w:t xml:space="preserve"> </w:t>
      </w:r>
      <w:proofErr w:type="spellStart"/>
      <w:r w:rsidR="00283341" w:rsidRPr="001C2D33">
        <w:rPr>
          <w:rFonts w:cstheme="minorHAnsi"/>
          <w:i/>
        </w:rPr>
        <w:t>tumefaciens</w:t>
      </w:r>
      <w:proofErr w:type="spellEnd"/>
      <w:r w:rsidR="00283341" w:rsidRPr="001C2D33">
        <w:rPr>
          <w:rFonts w:cstheme="minorHAnsi"/>
        </w:rPr>
        <w:t xml:space="preserve"> C58, and Arabidopsis was transformed by floral dipping (Clough</w:t>
      </w:r>
      <w:r w:rsidR="008E7E03" w:rsidRPr="001C2D33">
        <w:rPr>
          <w:rFonts w:cstheme="minorHAnsi"/>
        </w:rPr>
        <w:t xml:space="preserve"> and </w:t>
      </w:r>
      <w:r w:rsidR="00283341" w:rsidRPr="001C2D33">
        <w:rPr>
          <w:rFonts w:cstheme="minorHAnsi"/>
        </w:rPr>
        <w:t xml:space="preserve">Bent, 1998). </w:t>
      </w:r>
      <w:proofErr w:type="spellStart"/>
      <w:r w:rsidR="00283341" w:rsidRPr="001C2D33">
        <w:rPr>
          <w:rFonts w:cstheme="minorHAnsi"/>
        </w:rPr>
        <w:t>Transformants</w:t>
      </w:r>
      <w:proofErr w:type="spellEnd"/>
      <w:r w:rsidR="00283341" w:rsidRPr="001C2D33">
        <w:rPr>
          <w:rFonts w:cstheme="minorHAnsi"/>
        </w:rPr>
        <w:t xml:space="preserve"> were selected with </w:t>
      </w:r>
      <w:proofErr w:type="spellStart"/>
      <w:r w:rsidR="00283341" w:rsidRPr="001C2D33">
        <w:rPr>
          <w:rFonts w:cstheme="minorHAnsi"/>
        </w:rPr>
        <w:t>kanamycin</w:t>
      </w:r>
      <w:proofErr w:type="spellEnd"/>
      <w:r w:rsidR="00283341" w:rsidRPr="001C2D33">
        <w:rPr>
          <w:rFonts w:cstheme="minorHAnsi"/>
        </w:rPr>
        <w:t xml:space="preserve">, </w:t>
      </w:r>
      <w:proofErr w:type="spellStart"/>
      <w:r w:rsidR="00283341" w:rsidRPr="001C2D33">
        <w:rPr>
          <w:rFonts w:cstheme="minorHAnsi"/>
        </w:rPr>
        <w:t>hygromycin</w:t>
      </w:r>
      <w:proofErr w:type="spellEnd"/>
      <w:r w:rsidR="00283341" w:rsidRPr="001C2D33">
        <w:rPr>
          <w:rFonts w:cstheme="minorHAnsi"/>
        </w:rPr>
        <w:t xml:space="preserve"> or </w:t>
      </w:r>
      <w:proofErr w:type="spellStart"/>
      <w:r w:rsidR="00283341" w:rsidRPr="001C2D33">
        <w:rPr>
          <w:rFonts w:cstheme="minorHAnsi"/>
        </w:rPr>
        <w:t>Basta</w:t>
      </w:r>
      <w:proofErr w:type="spellEnd"/>
      <w:r w:rsidR="00283341" w:rsidRPr="001C2D33">
        <w:rPr>
          <w:rFonts w:cstheme="minorHAnsi"/>
        </w:rPr>
        <w:t xml:space="preserve"> (Liberty; </w:t>
      </w:r>
      <w:proofErr w:type="spellStart"/>
      <w:r w:rsidR="00283341" w:rsidRPr="001C2D33">
        <w:rPr>
          <w:rFonts w:cstheme="minorHAnsi"/>
        </w:rPr>
        <w:t>Agrevo,Cambridge</w:t>
      </w:r>
      <w:proofErr w:type="spellEnd"/>
      <w:r w:rsidR="00283341" w:rsidRPr="001C2D33">
        <w:rPr>
          <w:rFonts w:cstheme="minorHAnsi"/>
        </w:rPr>
        <w:t>, UK) as appropriate.</w:t>
      </w:r>
      <w:r w:rsidR="004E5CA5" w:rsidRPr="001C2D33">
        <w:rPr>
          <w:rFonts w:cstheme="minorHAnsi"/>
        </w:rPr>
        <w:t xml:space="preserve"> Gene accession numbers are </w:t>
      </w:r>
      <w:r w:rsidR="004E5CA5" w:rsidRPr="001C2D33">
        <w:rPr>
          <w:rFonts w:cstheme="minorHAnsi"/>
          <w:i/>
        </w:rPr>
        <w:t>EPF1 At2g20875</w:t>
      </w:r>
      <w:r w:rsidR="004E5CA5" w:rsidRPr="001C2D33">
        <w:rPr>
          <w:rFonts w:cstheme="minorHAnsi"/>
        </w:rPr>
        <w:t xml:space="preserve">, </w:t>
      </w:r>
      <w:r w:rsidR="004E5CA5" w:rsidRPr="001C2D33">
        <w:rPr>
          <w:rFonts w:cstheme="minorHAnsi"/>
          <w:i/>
        </w:rPr>
        <w:t>EPF2 At1g34245</w:t>
      </w:r>
      <w:r w:rsidR="004E5CA5" w:rsidRPr="001C2D33">
        <w:rPr>
          <w:rFonts w:cstheme="minorHAnsi"/>
        </w:rPr>
        <w:t xml:space="preserve">, </w:t>
      </w:r>
      <w:r w:rsidR="004E5CA5" w:rsidRPr="001C2D33">
        <w:rPr>
          <w:rFonts w:cstheme="minorHAnsi"/>
          <w:i/>
        </w:rPr>
        <w:t>EPFL9 At4g12970</w:t>
      </w:r>
      <w:r w:rsidR="004E5CA5" w:rsidRPr="001C2D33">
        <w:rPr>
          <w:rFonts w:cstheme="minorHAnsi"/>
        </w:rPr>
        <w:t>.  T3 generation plants were used in these experiments</w:t>
      </w:r>
      <w:r w:rsidR="004E4353" w:rsidRPr="001C2D33">
        <w:rPr>
          <w:rFonts w:cstheme="minorHAnsi"/>
        </w:rPr>
        <w:t xml:space="preserve"> </w:t>
      </w:r>
      <w:r w:rsidR="004E5CA5" w:rsidRPr="001C2D33">
        <w:rPr>
          <w:rFonts w:cstheme="minorHAnsi"/>
        </w:rPr>
        <w:t>following genotype confirmation by PCR.</w:t>
      </w:r>
    </w:p>
    <w:p w:rsidR="00E04B46" w:rsidRPr="001C2D33" w:rsidRDefault="00E04B46" w:rsidP="001C2D33">
      <w:pPr>
        <w:spacing w:line="360" w:lineRule="auto"/>
        <w:jc w:val="both"/>
        <w:rPr>
          <w:rFonts w:cstheme="minorHAnsi"/>
        </w:rPr>
      </w:pPr>
      <w:r>
        <w:rPr>
          <w:rFonts w:cstheme="minorHAnsi"/>
        </w:rPr>
        <w:t xml:space="preserve">Barley Flag leaves from various cultivars collected </w:t>
      </w:r>
      <w:r w:rsidRPr="0058380B">
        <w:rPr>
          <w:rFonts w:cstheme="minorHAnsi"/>
        </w:rPr>
        <w:t xml:space="preserve">from </w:t>
      </w:r>
      <w:r>
        <w:rPr>
          <w:rFonts w:cstheme="minorHAnsi"/>
        </w:rPr>
        <w:t xml:space="preserve">dried </w:t>
      </w:r>
      <w:r w:rsidRPr="0058380B">
        <w:rPr>
          <w:rFonts w:cstheme="minorHAnsi"/>
        </w:rPr>
        <w:t>plants grown in outdoor plots at the James Hutton Institute in Dundee</w:t>
      </w:r>
      <w:r>
        <w:rPr>
          <w:rFonts w:cstheme="minorHAnsi"/>
        </w:rPr>
        <w:t xml:space="preserve"> were provided by Prof R. Waugh.</w:t>
      </w:r>
    </w:p>
    <w:p w:rsidR="001C2D33" w:rsidRDefault="001C2D33" w:rsidP="004E4353">
      <w:pPr>
        <w:spacing w:line="360" w:lineRule="auto"/>
        <w:rPr>
          <w:rFonts w:cstheme="minorHAnsi"/>
          <w:b/>
        </w:rPr>
      </w:pPr>
    </w:p>
    <w:p w:rsidR="001C2D33" w:rsidRDefault="001C2D33" w:rsidP="004E4353">
      <w:pPr>
        <w:spacing w:line="360" w:lineRule="auto"/>
        <w:rPr>
          <w:rFonts w:cstheme="minorHAnsi"/>
          <w:b/>
        </w:rPr>
      </w:pPr>
    </w:p>
    <w:p w:rsidR="001C2D33" w:rsidRDefault="001C2D33" w:rsidP="004E4353">
      <w:pPr>
        <w:spacing w:line="360" w:lineRule="auto"/>
        <w:rPr>
          <w:rFonts w:cstheme="minorHAnsi"/>
          <w:b/>
        </w:rPr>
      </w:pPr>
    </w:p>
    <w:p w:rsidR="001C2D33" w:rsidRDefault="001C2D33" w:rsidP="004E4353">
      <w:pPr>
        <w:spacing w:line="360" w:lineRule="auto"/>
        <w:rPr>
          <w:rFonts w:cstheme="minorHAnsi"/>
          <w:b/>
        </w:rPr>
      </w:pPr>
    </w:p>
    <w:p w:rsidR="004E5CA5" w:rsidRDefault="003E45EA" w:rsidP="001C2D33">
      <w:pPr>
        <w:spacing w:line="360" w:lineRule="auto"/>
        <w:jc w:val="center"/>
        <w:rPr>
          <w:rFonts w:cstheme="minorHAnsi"/>
          <w:b/>
        </w:rPr>
      </w:pPr>
      <w:r w:rsidRPr="001C2D33">
        <w:rPr>
          <w:rFonts w:cstheme="minorHAnsi"/>
          <w:b/>
        </w:rPr>
        <w:t xml:space="preserve">2.3 </w:t>
      </w:r>
      <w:r w:rsidR="00463798" w:rsidRPr="001C2D33">
        <w:rPr>
          <w:rFonts w:cstheme="minorHAnsi"/>
          <w:b/>
        </w:rPr>
        <w:t xml:space="preserve">Arabidopsis </w:t>
      </w:r>
      <w:r w:rsidR="004E5CA5" w:rsidRPr="001C2D33">
        <w:rPr>
          <w:rFonts w:cstheme="minorHAnsi"/>
          <w:b/>
        </w:rPr>
        <w:t>Growth Conditions</w:t>
      </w:r>
    </w:p>
    <w:p w:rsidR="00CD7BFF" w:rsidRPr="00CD7BFF" w:rsidRDefault="00CD7BFF" w:rsidP="00CD7BFF">
      <w:pPr>
        <w:spacing w:line="360" w:lineRule="auto"/>
        <w:rPr>
          <w:rFonts w:cstheme="minorHAnsi"/>
          <w:i/>
        </w:rPr>
      </w:pPr>
      <w:r>
        <w:rPr>
          <w:rFonts w:cstheme="minorHAnsi"/>
        </w:rPr>
        <w:t>In all cases, tray and plant positioning in the growth chambers w</w:t>
      </w:r>
      <w:r w:rsidR="003470AC">
        <w:rPr>
          <w:rFonts w:cstheme="minorHAnsi"/>
        </w:rPr>
        <w:t>ere</w:t>
      </w:r>
      <w:r>
        <w:rPr>
          <w:rFonts w:cstheme="minorHAnsi"/>
        </w:rPr>
        <w:t xml:space="preserve"> randomised weekly.</w:t>
      </w:r>
    </w:p>
    <w:p w:rsidR="00345EAC" w:rsidRPr="001C2D33" w:rsidRDefault="00345EAC" w:rsidP="001C2D33">
      <w:pPr>
        <w:spacing w:line="360" w:lineRule="auto"/>
        <w:jc w:val="both"/>
        <w:rPr>
          <w:rFonts w:cstheme="minorHAnsi"/>
          <w:b/>
        </w:rPr>
      </w:pPr>
      <w:r w:rsidRPr="001C2D33">
        <w:rPr>
          <w:rFonts w:cstheme="minorHAnsi"/>
          <w:b/>
        </w:rPr>
        <w:t xml:space="preserve">For </w:t>
      </w:r>
      <w:r w:rsidR="0026333B" w:rsidRPr="001C2D33">
        <w:rPr>
          <w:rFonts w:cstheme="minorHAnsi"/>
          <w:b/>
        </w:rPr>
        <w:t xml:space="preserve">experiments </w:t>
      </w:r>
      <w:r w:rsidR="00C92D76" w:rsidRPr="001C2D33">
        <w:rPr>
          <w:rFonts w:cstheme="minorHAnsi"/>
          <w:b/>
        </w:rPr>
        <w:t xml:space="preserve">examining leaf gas exchange (IRGA) </w:t>
      </w:r>
      <w:r w:rsidR="00D94E62">
        <w:rPr>
          <w:rFonts w:cstheme="minorHAnsi"/>
          <w:b/>
        </w:rPr>
        <w:t>which took place at the University of Sydney</w:t>
      </w:r>
    </w:p>
    <w:p w:rsidR="0026333B" w:rsidRPr="001C2D33" w:rsidRDefault="0026333B" w:rsidP="001C2D33">
      <w:pPr>
        <w:spacing w:line="360" w:lineRule="auto"/>
        <w:jc w:val="both"/>
        <w:rPr>
          <w:rFonts w:cstheme="minorHAnsi"/>
        </w:rPr>
      </w:pPr>
      <w:r w:rsidRPr="001C2D33">
        <w:rPr>
          <w:rFonts w:cstheme="minorHAnsi"/>
        </w:rPr>
        <w:t>Mutant plants and their background ecotype Col-0, were stratified on wet M3 compost/</w:t>
      </w:r>
      <w:proofErr w:type="spellStart"/>
      <w:r w:rsidRPr="001C2D33">
        <w:rPr>
          <w:rFonts w:cstheme="minorHAnsi"/>
        </w:rPr>
        <w:t>perlite</w:t>
      </w:r>
      <w:proofErr w:type="spellEnd"/>
      <w:r w:rsidRPr="001C2D33">
        <w:rPr>
          <w:rFonts w:cstheme="minorHAnsi"/>
        </w:rPr>
        <w:t xml:space="preserve"> (4:1) at 4ºC in dark for 72 h to synchronise germination. Plants were grown under sunlight in a greenhouse in Sydney with mean day length of </w:t>
      </w:r>
      <w:r w:rsidR="004D2A10" w:rsidRPr="001C2D33">
        <w:rPr>
          <w:rFonts w:cstheme="minorHAnsi"/>
        </w:rPr>
        <w:t>~</w:t>
      </w:r>
      <w:r w:rsidRPr="001C2D33">
        <w:rPr>
          <w:rFonts w:cstheme="minorHAnsi"/>
        </w:rPr>
        <w:t>10.5h. After two weeks of growth, plants were transferred to 100 ml volume plant pots and grown to maturity</w:t>
      </w:r>
      <w:r w:rsidR="00C92D76" w:rsidRPr="001C2D33">
        <w:rPr>
          <w:rFonts w:cstheme="minorHAnsi"/>
        </w:rPr>
        <w:t xml:space="preserve"> (stage 3.9 on </w:t>
      </w:r>
      <w:proofErr w:type="spellStart"/>
      <w:r w:rsidR="00C92D76" w:rsidRPr="001C2D33">
        <w:rPr>
          <w:rFonts w:cstheme="minorHAnsi"/>
        </w:rPr>
        <w:t>Boyes</w:t>
      </w:r>
      <w:proofErr w:type="spellEnd"/>
      <w:r w:rsidR="00C92D76" w:rsidRPr="001C2D33">
        <w:rPr>
          <w:rFonts w:cstheme="minorHAnsi"/>
        </w:rPr>
        <w:t xml:space="preserve"> scale (</w:t>
      </w:r>
      <w:proofErr w:type="spellStart"/>
      <w:r w:rsidR="00C92D76" w:rsidRPr="001C2D33">
        <w:rPr>
          <w:rFonts w:cstheme="minorHAnsi"/>
        </w:rPr>
        <w:t>Boyes</w:t>
      </w:r>
      <w:proofErr w:type="spellEnd"/>
      <w:r w:rsidR="00C92D76" w:rsidRPr="001C2D33">
        <w:rPr>
          <w:rFonts w:cstheme="minorHAnsi"/>
        </w:rPr>
        <w:t xml:space="preserve"> et al. 2001))</w:t>
      </w:r>
      <w:r w:rsidRPr="001C2D33">
        <w:rPr>
          <w:rFonts w:cstheme="minorHAnsi"/>
        </w:rPr>
        <w:t>.</w:t>
      </w:r>
      <w:r w:rsidR="00C92D76" w:rsidRPr="001C2D33">
        <w:rPr>
          <w:rFonts w:cstheme="minorHAnsi"/>
        </w:rPr>
        <w:t xml:space="preserve"> Results of experiments carried out on these plants are </w:t>
      </w:r>
      <w:r w:rsidR="00292D39" w:rsidRPr="001C2D33">
        <w:rPr>
          <w:rFonts w:cstheme="minorHAnsi"/>
        </w:rPr>
        <w:t>described</w:t>
      </w:r>
      <w:r w:rsidR="00C92D76" w:rsidRPr="001C2D33">
        <w:rPr>
          <w:rFonts w:cstheme="minorHAnsi"/>
        </w:rPr>
        <w:t xml:space="preserve"> in figures 4.</w:t>
      </w:r>
      <w:r w:rsidR="0000587F">
        <w:rPr>
          <w:rFonts w:cstheme="minorHAnsi"/>
        </w:rPr>
        <w:t>9</w:t>
      </w:r>
      <w:r w:rsidR="00C92D76" w:rsidRPr="001C2D33">
        <w:rPr>
          <w:rFonts w:cstheme="minorHAnsi"/>
        </w:rPr>
        <w:t>, 4.</w:t>
      </w:r>
      <w:r w:rsidR="0000587F">
        <w:rPr>
          <w:rFonts w:cstheme="minorHAnsi"/>
        </w:rPr>
        <w:t>10</w:t>
      </w:r>
      <w:r w:rsidR="00C92D76" w:rsidRPr="001C2D33">
        <w:rPr>
          <w:rFonts w:cstheme="minorHAnsi"/>
        </w:rPr>
        <w:t>, 4.</w:t>
      </w:r>
      <w:r w:rsidR="0000587F">
        <w:rPr>
          <w:rFonts w:cstheme="minorHAnsi"/>
        </w:rPr>
        <w:t>11</w:t>
      </w:r>
      <w:r w:rsidR="004D2A10" w:rsidRPr="001C2D33">
        <w:rPr>
          <w:rFonts w:cstheme="minorHAnsi"/>
        </w:rPr>
        <w:t xml:space="preserve">, </w:t>
      </w:r>
      <w:r w:rsidR="00C92D76" w:rsidRPr="001C2D33">
        <w:rPr>
          <w:rFonts w:cstheme="minorHAnsi"/>
        </w:rPr>
        <w:t>4.</w:t>
      </w:r>
      <w:r w:rsidR="0000587F">
        <w:rPr>
          <w:rFonts w:cstheme="minorHAnsi"/>
        </w:rPr>
        <w:t>14</w:t>
      </w:r>
      <w:r w:rsidR="004D2A10" w:rsidRPr="001C2D33">
        <w:rPr>
          <w:rFonts w:cstheme="minorHAnsi"/>
        </w:rPr>
        <w:t xml:space="preserve"> (chapter 4).</w:t>
      </w:r>
    </w:p>
    <w:p w:rsidR="001C2D33" w:rsidRDefault="001C2D33" w:rsidP="004E4353">
      <w:pPr>
        <w:spacing w:line="360" w:lineRule="auto"/>
        <w:rPr>
          <w:rFonts w:cstheme="minorHAnsi"/>
          <w:b/>
        </w:rPr>
      </w:pPr>
    </w:p>
    <w:p w:rsidR="0000587F" w:rsidRDefault="0026333B" w:rsidP="0000587F">
      <w:pPr>
        <w:spacing w:line="360" w:lineRule="auto"/>
        <w:rPr>
          <w:rFonts w:cstheme="minorHAnsi"/>
        </w:rPr>
      </w:pPr>
      <w:r w:rsidRPr="001C2D33">
        <w:rPr>
          <w:rFonts w:cstheme="minorHAnsi"/>
          <w:b/>
        </w:rPr>
        <w:t xml:space="preserve">For experiments examining </w:t>
      </w:r>
      <w:proofErr w:type="spellStart"/>
      <w:r w:rsidRPr="001C2D33">
        <w:rPr>
          <w:rFonts w:cstheme="minorHAnsi"/>
          <w:b/>
        </w:rPr>
        <w:t>mesophyll</w:t>
      </w:r>
      <w:proofErr w:type="spellEnd"/>
      <w:r w:rsidRPr="001C2D33">
        <w:rPr>
          <w:rFonts w:cstheme="minorHAnsi"/>
          <w:b/>
        </w:rPr>
        <w:t xml:space="preserve"> structure, seed yield and leaf gas exchange (IRGA) </w:t>
      </w:r>
      <w:r w:rsidR="00D94E62">
        <w:rPr>
          <w:rFonts w:cstheme="minorHAnsi"/>
          <w:b/>
        </w:rPr>
        <w:t>which took place at the University of Sheffield</w:t>
      </w:r>
    </w:p>
    <w:p w:rsidR="00292D39" w:rsidRDefault="0026333B" w:rsidP="0000587F">
      <w:pPr>
        <w:spacing w:line="360" w:lineRule="auto"/>
        <w:rPr>
          <w:rFonts w:cstheme="minorHAnsi"/>
        </w:rPr>
      </w:pPr>
      <w:r w:rsidRPr="001C2D33">
        <w:rPr>
          <w:rFonts w:cstheme="minorHAnsi"/>
        </w:rPr>
        <w:t>Mutant plants and their background ecotype Col-0, were stratified on wet M3 compost/</w:t>
      </w:r>
      <w:proofErr w:type="spellStart"/>
      <w:r w:rsidRPr="001C2D33">
        <w:rPr>
          <w:rFonts w:cstheme="minorHAnsi"/>
        </w:rPr>
        <w:t>perlite</w:t>
      </w:r>
      <w:proofErr w:type="spellEnd"/>
      <w:r w:rsidRPr="001C2D33">
        <w:rPr>
          <w:rFonts w:cstheme="minorHAnsi"/>
        </w:rPr>
        <w:t xml:space="preserve"> (4:1) at 4ºC in dark for 72 h to synchronise germination. Plants were grown in a controlled environment growth chamber (</w:t>
      </w:r>
      <w:proofErr w:type="spellStart"/>
      <w:r w:rsidRPr="001C2D33">
        <w:rPr>
          <w:rFonts w:cstheme="minorHAnsi"/>
        </w:rPr>
        <w:t>Conviron</w:t>
      </w:r>
      <w:proofErr w:type="spellEnd"/>
      <w:r w:rsidRPr="001C2D33">
        <w:rPr>
          <w:rFonts w:cstheme="minorHAnsi"/>
        </w:rPr>
        <w:t xml:space="preserve"> model BDR16) at ambient CO</w:t>
      </w:r>
      <w:r w:rsidRPr="001C2D33">
        <w:rPr>
          <w:rFonts w:cstheme="minorHAnsi"/>
          <w:vertAlign w:val="subscript"/>
        </w:rPr>
        <w:t>2</w:t>
      </w:r>
      <w:r w:rsidRPr="001C2D33">
        <w:rPr>
          <w:rFonts w:cstheme="minorHAnsi"/>
        </w:rPr>
        <w:t xml:space="preserve"> at 22ºC/16 ºC 9h light/15h dark cycle</w:t>
      </w:r>
      <w:r w:rsidR="00D94E62">
        <w:rPr>
          <w:rFonts w:cstheme="minorHAnsi"/>
        </w:rPr>
        <w:t xml:space="preserve"> at 200 µmol irradiance</w:t>
      </w:r>
      <w:r w:rsidRPr="001C2D33">
        <w:rPr>
          <w:rFonts w:cstheme="minorHAnsi"/>
        </w:rPr>
        <w:t>.</w:t>
      </w:r>
      <w:r w:rsidR="00C92D76" w:rsidRPr="001C2D33">
        <w:rPr>
          <w:rFonts w:cstheme="minorHAnsi"/>
        </w:rPr>
        <w:t xml:space="preserve"> After two weeks of growth, plants were transferred to 100 ml volume plant pots and covered with cling-film for the first 5 days and grown to maturity (stage 3.9 on </w:t>
      </w:r>
      <w:proofErr w:type="spellStart"/>
      <w:r w:rsidR="00C92D76" w:rsidRPr="001C2D33">
        <w:rPr>
          <w:rFonts w:cstheme="minorHAnsi"/>
        </w:rPr>
        <w:t>Boyes</w:t>
      </w:r>
      <w:proofErr w:type="spellEnd"/>
      <w:r w:rsidR="00C92D76" w:rsidRPr="001C2D33">
        <w:rPr>
          <w:rFonts w:cstheme="minorHAnsi"/>
        </w:rPr>
        <w:t xml:space="preserve"> scale (</w:t>
      </w:r>
      <w:proofErr w:type="spellStart"/>
      <w:r w:rsidR="00C92D76" w:rsidRPr="001C2D33">
        <w:rPr>
          <w:rFonts w:cstheme="minorHAnsi"/>
        </w:rPr>
        <w:t>Boyes</w:t>
      </w:r>
      <w:proofErr w:type="spellEnd"/>
      <w:r w:rsidR="00C92D76" w:rsidRPr="001C2D33">
        <w:rPr>
          <w:rFonts w:cstheme="minorHAnsi"/>
        </w:rPr>
        <w:t xml:space="preserve"> et al. 2001))</w:t>
      </w:r>
      <w:r w:rsidR="00292D39" w:rsidRPr="001C2D33">
        <w:rPr>
          <w:rFonts w:cstheme="minorHAnsi"/>
        </w:rPr>
        <w:t>. Results of experiments carried out on these plants are described in figures 3.2,</w:t>
      </w:r>
      <w:r w:rsidR="0000587F">
        <w:rPr>
          <w:rFonts w:cstheme="minorHAnsi"/>
        </w:rPr>
        <w:t xml:space="preserve"> </w:t>
      </w:r>
      <w:r w:rsidR="00292D39" w:rsidRPr="001C2D33">
        <w:rPr>
          <w:rFonts w:cstheme="minorHAnsi"/>
        </w:rPr>
        <w:t xml:space="preserve">3.18 (chapter 3); 4.9, 4.12, 4.13, 4.15, 4.16 (chapter 4); </w:t>
      </w:r>
      <w:r w:rsidR="004D2A10" w:rsidRPr="001C2D33">
        <w:rPr>
          <w:rFonts w:cstheme="minorHAnsi"/>
        </w:rPr>
        <w:t>and 5.11, 5.12, 5.13 (chapter 5).</w:t>
      </w:r>
    </w:p>
    <w:p w:rsidR="007D14D8" w:rsidRDefault="007D14D8" w:rsidP="0000587F">
      <w:pPr>
        <w:spacing w:line="360" w:lineRule="auto"/>
        <w:rPr>
          <w:rFonts w:cstheme="minorHAnsi"/>
        </w:rPr>
      </w:pPr>
    </w:p>
    <w:p w:rsidR="007D14D8" w:rsidRDefault="007D14D8" w:rsidP="0000587F">
      <w:pPr>
        <w:spacing w:line="360" w:lineRule="auto"/>
        <w:rPr>
          <w:rFonts w:cstheme="minorHAnsi"/>
        </w:rPr>
      </w:pPr>
    </w:p>
    <w:p w:rsidR="007D14D8" w:rsidRPr="001C2D33" w:rsidRDefault="007D14D8" w:rsidP="0000587F">
      <w:pPr>
        <w:spacing w:line="360" w:lineRule="auto"/>
        <w:rPr>
          <w:rFonts w:cstheme="minorHAnsi"/>
          <w:b/>
        </w:rPr>
      </w:pPr>
    </w:p>
    <w:p w:rsidR="0026333B" w:rsidRPr="001C2D33" w:rsidRDefault="0026333B" w:rsidP="004E4353">
      <w:pPr>
        <w:spacing w:line="360" w:lineRule="auto"/>
        <w:rPr>
          <w:rFonts w:cstheme="minorHAnsi"/>
          <w:b/>
        </w:rPr>
      </w:pPr>
    </w:p>
    <w:p w:rsidR="00765FB4" w:rsidRPr="005C21F8" w:rsidRDefault="00765FB4" w:rsidP="004E4353">
      <w:pPr>
        <w:spacing w:line="360" w:lineRule="auto"/>
        <w:rPr>
          <w:rFonts w:cstheme="minorHAnsi"/>
          <w:b/>
        </w:rPr>
      </w:pPr>
      <w:r w:rsidRPr="005C21F8">
        <w:rPr>
          <w:rFonts w:cstheme="minorHAnsi"/>
          <w:b/>
        </w:rPr>
        <w:lastRenderedPageBreak/>
        <w:t>For experiments examining properties of plants grown at different [CO</w:t>
      </w:r>
      <w:r w:rsidRPr="005C21F8">
        <w:rPr>
          <w:rFonts w:cstheme="minorHAnsi"/>
          <w:b/>
          <w:vertAlign w:val="subscript"/>
        </w:rPr>
        <w:t>2</w:t>
      </w:r>
      <w:r w:rsidRPr="005C21F8">
        <w:rPr>
          <w:rFonts w:cstheme="minorHAnsi"/>
          <w:b/>
        </w:rPr>
        <w:t>]</w:t>
      </w:r>
      <w:r w:rsidR="003D3948" w:rsidRPr="005C21F8">
        <w:rPr>
          <w:rFonts w:cstheme="minorHAnsi"/>
          <w:b/>
        </w:rPr>
        <w:t xml:space="preserve"> presented in figures 3.4</w:t>
      </w:r>
      <w:r w:rsidR="00D94E62">
        <w:rPr>
          <w:rFonts w:cstheme="minorHAnsi"/>
          <w:b/>
        </w:rPr>
        <w:t xml:space="preserve"> -</w:t>
      </w:r>
      <w:r w:rsidR="003D3948" w:rsidRPr="005C21F8">
        <w:rPr>
          <w:rFonts w:cstheme="minorHAnsi"/>
          <w:b/>
        </w:rPr>
        <w:t xml:space="preserve"> </w:t>
      </w:r>
      <w:r w:rsidR="00D94E62">
        <w:rPr>
          <w:rFonts w:cstheme="minorHAnsi"/>
          <w:b/>
        </w:rPr>
        <w:t xml:space="preserve"> </w:t>
      </w:r>
      <w:r w:rsidR="003D3948" w:rsidRPr="005C21F8">
        <w:rPr>
          <w:rFonts w:cstheme="minorHAnsi"/>
          <w:b/>
        </w:rPr>
        <w:t>3.17 (chapter 3); 4.3, 4.4</w:t>
      </w:r>
      <w:r w:rsidR="00D94E62">
        <w:rPr>
          <w:rFonts w:cstheme="minorHAnsi"/>
          <w:b/>
        </w:rPr>
        <w:t xml:space="preserve">- </w:t>
      </w:r>
      <w:r w:rsidR="003D3948" w:rsidRPr="005C21F8">
        <w:rPr>
          <w:rFonts w:cstheme="minorHAnsi"/>
          <w:b/>
        </w:rPr>
        <w:t>4.8, 4.10</w:t>
      </w:r>
      <w:r w:rsidR="00D94E62">
        <w:rPr>
          <w:rFonts w:cstheme="minorHAnsi"/>
          <w:b/>
        </w:rPr>
        <w:t xml:space="preserve"> -</w:t>
      </w:r>
      <w:r w:rsidR="003D3948" w:rsidRPr="005C21F8">
        <w:rPr>
          <w:rFonts w:cstheme="minorHAnsi"/>
          <w:b/>
        </w:rPr>
        <w:t xml:space="preserve"> 4.11, 4.17</w:t>
      </w:r>
      <w:r w:rsidR="00D94E62">
        <w:rPr>
          <w:rFonts w:cstheme="minorHAnsi"/>
          <w:b/>
        </w:rPr>
        <w:t xml:space="preserve"> -</w:t>
      </w:r>
      <w:r w:rsidR="003D3948" w:rsidRPr="005C21F8">
        <w:rPr>
          <w:rFonts w:cstheme="minorHAnsi"/>
          <w:b/>
        </w:rPr>
        <w:t xml:space="preserve"> 4.18 (chapter 4)</w:t>
      </w:r>
      <w:r w:rsidR="00E527F4" w:rsidRPr="005C21F8">
        <w:rPr>
          <w:rFonts w:cstheme="minorHAnsi"/>
          <w:b/>
        </w:rPr>
        <w:t>;</w:t>
      </w:r>
      <w:r w:rsidR="003D3948" w:rsidRPr="005C21F8">
        <w:rPr>
          <w:rFonts w:cstheme="minorHAnsi"/>
          <w:b/>
        </w:rPr>
        <w:t xml:space="preserve"> and 5.1</w:t>
      </w:r>
      <w:r w:rsidR="00D94E62">
        <w:rPr>
          <w:rFonts w:cstheme="minorHAnsi"/>
          <w:b/>
        </w:rPr>
        <w:t xml:space="preserve"> -</w:t>
      </w:r>
      <w:r w:rsidR="003D3948" w:rsidRPr="005C21F8">
        <w:rPr>
          <w:rFonts w:cstheme="minorHAnsi"/>
          <w:b/>
        </w:rPr>
        <w:t xml:space="preserve"> 5.4 (chapter 5)</w:t>
      </w:r>
    </w:p>
    <w:p w:rsidR="00365964" w:rsidRDefault="004E5CA5" w:rsidP="00365964">
      <w:pPr>
        <w:spacing w:line="360" w:lineRule="auto"/>
        <w:jc w:val="both"/>
        <w:rPr>
          <w:rFonts w:cstheme="minorHAnsi"/>
        </w:rPr>
      </w:pPr>
      <w:r w:rsidRPr="001C2D33">
        <w:rPr>
          <w:rFonts w:cstheme="minorHAnsi"/>
        </w:rPr>
        <w:t>Mutant plants and their background ecotype</w:t>
      </w:r>
      <w:r w:rsidR="00013EF1" w:rsidRPr="001C2D33">
        <w:rPr>
          <w:rFonts w:cstheme="minorHAnsi"/>
        </w:rPr>
        <w:t xml:space="preserve"> </w:t>
      </w:r>
      <w:r w:rsidRPr="001C2D33">
        <w:rPr>
          <w:rFonts w:cstheme="minorHAnsi"/>
        </w:rPr>
        <w:t>Col-0, were stratified on wet M3</w:t>
      </w:r>
      <w:r w:rsidR="00365964">
        <w:rPr>
          <w:rFonts w:cstheme="minorHAnsi"/>
        </w:rPr>
        <w:t xml:space="preserve"> </w:t>
      </w:r>
      <w:r w:rsidRPr="001C2D33">
        <w:rPr>
          <w:rFonts w:cstheme="minorHAnsi"/>
        </w:rPr>
        <w:t>compost/</w:t>
      </w:r>
      <w:proofErr w:type="spellStart"/>
      <w:r w:rsidRPr="001C2D33">
        <w:rPr>
          <w:rFonts w:cstheme="minorHAnsi"/>
        </w:rPr>
        <w:t>perlite</w:t>
      </w:r>
      <w:proofErr w:type="spellEnd"/>
      <w:r w:rsidRPr="001C2D33">
        <w:rPr>
          <w:rFonts w:cstheme="minorHAnsi"/>
        </w:rPr>
        <w:t xml:space="preserve"> (4:1) at 4ºC in dark for 72 h to synchronise germination. Plants were grown in three matched controlled environment growth chambers (</w:t>
      </w:r>
      <w:proofErr w:type="spellStart"/>
      <w:r w:rsidRPr="001C2D33">
        <w:rPr>
          <w:rFonts w:cstheme="minorHAnsi"/>
        </w:rPr>
        <w:t>Conviron</w:t>
      </w:r>
      <w:proofErr w:type="spellEnd"/>
      <w:r w:rsidRPr="001C2D33">
        <w:rPr>
          <w:rFonts w:cstheme="minorHAnsi"/>
        </w:rPr>
        <w:t xml:space="preserve"> model BDR16)</w:t>
      </w:r>
      <w:r w:rsidR="00C318C3" w:rsidRPr="001C2D33">
        <w:rPr>
          <w:rFonts w:cstheme="minorHAnsi"/>
        </w:rPr>
        <w:t xml:space="preserve"> </w:t>
      </w:r>
      <w:r w:rsidRPr="001C2D33">
        <w:rPr>
          <w:rFonts w:cstheme="minorHAnsi"/>
        </w:rPr>
        <w:t>at 200</w:t>
      </w:r>
      <w:r w:rsidR="009C3573" w:rsidRPr="001C2D33">
        <w:rPr>
          <w:rFonts w:cstheme="minorHAnsi"/>
        </w:rPr>
        <w:t xml:space="preserve"> </w:t>
      </w:r>
      <w:proofErr w:type="spellStart"/>
      <w:r w:rsidR="009C3573" w:rsidRPr="001C2D33">
        <w:rPr>
          <w:rFonts w:cstheme="minorHAnsi"/>
        </w:rPr>
        <w:t>ppm</w:t>
      </w:r>
      <w:proofErr w:type="spellEnd"/>
      <w:r w:rsidR="009C3573" w:rsidRPr="001C2D33">
        <w:rPr>
          <w:rFonts w:cstheme="minorHAnsi"/>
        </w:rPr>
        <w:t xml:space="preserve"> CO</w:t>
      </w:r>
      <w:r w:rsidR="009C3573" w:rsidRPr="001C2D33">
        <w:rPr>
          <w:rFonts w:cstheme="minorHAnsi"/>
          <w:vertAlign w:val="subscript"/>
        </w:rPr>
        <w:t>2</w:t>
      </w:r>
      <w:r w:rsidRPr="001C2D33">
        <w:rPr>
          <w:rFonts w:cstheme="minorHAnsi"/>
        </w:rPr>
        <w:t xml:space="preserve">, 450 </w:t>
      </w:r>
      <w:proofErr w:type="spellStart"/>
      <w:r w:rsidR="009C3573" w:rsidRPr="001C2D33">
        <w:rPr>
          <w:rFonts w:cstheme="minorHAnsi"/>
        </w:rPr>
        <w:t>ppm</w:t>
      </w:r>
      <w:proofErr w:type="spellEnd"/>
      <w:r w:rsidR="009C3573" w:rsidRPr="001C2D33">
        <w:rPr>
          <w:rFonts w:cstheme="minorHAnsi"/>
        </w:rPr>
        <w:t xml:space="preserve"> CO</w:t>
      </w:r>
      <w:r w:rsidR="009C3573" w:rsidRPr="001C2D33">
        <w:rPr>
          <w:rFonts w:cstheme="minorHAnsi"/>
          <w:vertAlign w:val="subscript"/>
        </w:rPr>
        <w:t xml:space="preserve">2 </w:t>
      </w:r>
      <w:r w:rsidRPr="001C2D33">
        <w:rPr>
          <w:rFonts w:cstheme="minorHAnsi"/>
        </w:rPr>
        <w:t xml:space="preserve">and 1000 </w:t>
      </w:r>
      <w:proofErr w:type="spellStart"/>
      <w:r w:rsidRPr="001C2D33">
        <w:rPr>
          <w:rFonts w:cstheme="minorHAnsi"/>
        </w:rPr>
        <w:t>ppm</w:t>
      </w:r>
      <w:proofErr w:type="spellEnd"/>
      <w:r w:rsidRPr="001C2D33">
        <w:rPr>
          <w:rFonts w:cstheme="minorHAnsi"/>
        </w:rPr>
        <w:t xml:space="preserve"> </w:t>
      </w:r>
      <w:r w:rsidR="00765FB4" w:rsidRPr="001C2D33">
        <w:rPr>
          <w:rFonts w:cstheme="minorHAnsi"/>
        </w:rPr>
        <w:t>CO</w:t>
      </w:r>
      <w:r w:rsidR="00765FB4" w:rsidRPr="001C2D33">
        <w:rPr>
          <w:rFonts w:cstheme="minorHAnsi"/>
          <w:vertAlign w:val="subscript"/>
        </w:rPr>
        <w:t xml:space="preserve">2 </w:t>
      </w:r>
      <w:r w:rsidR="00765FB4" w:rsidRPr="001C2D33">
        <w:rPr>
          <w:rFonts w:cstheme="minorHAnsi"/>
        </w:rPr>
        <w:t xml:space="preserve">and ambient (approx. 390 </w:t>
      </w:r>
      <w:proofErr w:type="spellStart"/>
      <w:r w:rsidR="00765FB4" w:rsidRPr="001C2D33">
        <w:rPr>
          <w:rFonts w:cstheme="minorHAnsi"/>
        </w:rPr>
        <w:t>ppm</w:t>
      </w:r>
      <w:proofErr w:type="spellEnd"/>
      <w:r w:rsidR="00765FB4" w:rsidRPr="001C2D33">
        <w:rPr>
          <w:rFonts w:cstheme="minorHAnsi"/>
        </w:rPr>
        <w:t xml:space="preserve"> CO</w:t>
      </w:r>
      <w:r w:rsidR="00765FB4" w:rsidRPr="001C2D33">
        <w:rPr>
          <w:rFonts w:cstheme="minorHAnsi"/>
          <w:vertAlign w:val="subscript"/>
        </w:rPr>
        <w:t>2</w:t>
      </w:r>
      <w:r w:rsidR="00765FB4" w:rsidRPr="001C2D33">
        <w:rPr>
          <w:rFonts w:cstheme="minorHAnsi"/>
        </w:rPr>
        <w:t xml:space="preserve">) </w:t>
      </w:r>
      <w:r w:rsidRPr="001C2D33">
        <w:rPr>
          <w:rFonts w:cstheme="minorHAnsi"/>
        </w:rPr>
        <w:t>at 22ºC/16 ºC 9h light/15h dark cycle. CO</w:t>
      </w:r>
      <w:r w:rsidRPr="001C2D33">
        <w:rPr>
          <w:rFonts w:cstheme="minorHAnsi"/>
          <w:vertAlign w:val="subscript"/>
        </w:rPr>
        <w:t>2</w:t>
      </w:r>
      <w:r w:rsidRPr="001C2D33">
        <w:rPr>
          <w:rFonts w:cstheme="minorHAnsi"/>
        </w:rPr>
        <w:t xml:space="preserve"> levels were constantly monitored by VAISALA CO</w:t>
      </w:r>
      <w:r w:rsidRPr="001C2D33">
        <w:rPr>
          <w:rFonts w:cstheme="minorHAnsi"/>
          <w:vertAlign w:val="subscript"/>
        </w:rPr>
        <w:t>2</w:t>
      </w:r>
      <w:r w:rsidRPr="001C2D33">
        <w:rPr>
          <w:rFonts w:cstheme="minorHAnsi"/>
        </w:rPr>
        <w:t xml:space="preserve"> sensors.  In one cabinet CO</w:t>
      </w:r>
      <w:r w:rsidRPr="001C2D33">
        <w:rPr>
          <w:rFonts w:cstheme="minorHAnsi"/>
          <w:vertAlign w:val="subscript"/>
        </w:rPr>
        <w:t>2</w:t>
      </w:r>
      <w:r w:rsidRPr="001C2D33">
        <w:rPr>
          <w:rFonts w:cstheme="minorHAnsi"/>
        </w:rPr>
        <w:t xml:space="preserve"> was scrubbed from the air with a mixture of soda lime and charcoal, and CO</w:t>
      </w:r>
      <w:r w:rsidRPr="001C2D33">
        <w:rPr>
          <w:rFonts w:cstheme="minorHAnsi"/>
          <w:vertAlign w:val="subscript"/>
        </w:rPr>
        <w:t>2</w:t>
      </w:r>
      <w:r w:rsidRPr="001C2D33">
        <w:rPr>
          <w:rFonts w:cstheme="minorHAnsi"/>
        </w:rPr>
        <w:t xml:space="preserve"> free air mixed with ambient air to achieve 200 </w:t>
      </w:r>
      <w:proofErr w:type="spellStart"/>
      <w:r w:rsidRPr="001C2D33">
        <w:rPr>
          <w:rFonts w:cstheme="minorHAnsi"/>
        </w:rPr>
        <w:t>ppm</w:t>
      </w:r>
      <w:proofErr w:type="spellEnd"/>
      <w:r w:rsidR="00231099" w:rsidRPr="001C2D33">
        <w:rPr>
          <w:rFonts w:cstheme="minorHAnsi"/>
        </w:rPr>
        <w:t xml:space="preserve"> </w:t>
      </w:r>
      <w:r w:rsidRPr="001C2D33">
        <w:rPr>
          <w:rFonts w:cstheme="minorHAnsi"/>
        </w:rPr>
        <w:t>CO</w:t>
      </w:r>
      <w:r w:rsidRPr="001C2D33">
        <w:rPr>
          <w:rFonts w:cstheme="minorHAnsi"/>
          <w:vertAlign w:val="subscript"/>
        </w:rPr>
        <w:t>2</w:t>
      </w:r>
      <w:r w:rsidRPr="001C2D33">
        <w:rPr>
          <w:rFonts w:cstheme="minorHAnsi"/>
        </w:rPr>
        <w:t>. In the other two cabinets</w:t>
      </w:r>
      <w:r w:rsidR="00E62D38" w:rsidRPr="001C2D33">
        <w:rPr>
          <w:rFonts w:cstheme="minorHAnsi"/>
        </w:rPr>
        <w:t xml:space="preserve"> </w:t>
      </w:r>
      <w:r w:rsidRPr="001C2D33">
        <w:rPr>
          <w:rFonts w:cstheme="minorHAnsi"/>
        </w:rPr>
        <w:t>ambient air was supplemented with CO</w:t>
      </w:r>
      <w:r w:rsidRPr="001C2D33">
        <w:rPr>
          <w:rFonts w:cstheme="minorHAnsi"/>
          <w:vertAlign w:val="subscript"/>
        </w:rPr>
        <w:t>2</w:t>
      </w:r>
      <w:r w:rsidRPr="001C2D33">
        <w:rPr>
          <w:rFonts w:cstheme="minorHAnsi"/>
        </w:rPr>
        <w:t xml:space="preserve"> from a gas cylinder, derived from fossil carbon sources (BOC).</w:t>
      </w:r>
    </w:p>
    <w:p w:rsidR="004E5CA5" w:rsidRDefault="004E5CA5" w:rsidP="00365964">
      <w:pPr>
        <w:spacing w:line="360" w:lineRule="auto"/>
        <w:jc w:val="both"/>
        <w:rPr>
          <w:rFonts w:cstheme="minorHAnsi"/>
        </w:rPr>
      </w:pPr>
      <w:r w:rsidRPr="001C2D33">
        <w:rPr>
          <w:rFonts w:cstheme="minorHAnsi"/>
        </w:rPr>
        <w:t>After two weeks of growth, plants were transferred to 100 ml</w:t>
      </w:r>
      <w:r w:rsidR="0062374B" w:rsidRPr="001C2D33">
        <w:rPr>
          <w:rFonts w:cstheme="minorHAnsi"/>
        </w:rPr>
        <w:t xml:space="preserve"> </w:t>
      </w:r>
      <w:r w:rsidRPr="001C2D33">
        <w:rPr>
          <w:rFonts w:cstheme="minorHAnsi"/>
        </w:rPr>
        <w:t>volume</w:t>
      </w:r>
      <w:r w:rsidR="0062374B" w:rsidRPr="001C2D33">
        <w:rPr>
          <w:rFonts w:cstheme="minorHAnsi"/>
        </w:rPr>
        <w:t xml:space="preserve"> </w:t>
      </w:r>
      <w:r w:rsidRPr="001C2D33">
        <w:rPr>
          <w:rFonts w:cstheme="minorHAnsi"/>
        </w:rPr>
        <w:t>plant pots and covered with cling-film for the first 5 days. For experiment</w:t>
      </w:r>
      <w:r w:rsidR="00765FB4" w:rsidRPr="001C2D33">
        <w:rPr>
          <w:rFonts w:cstheme="minorHAnsi"/>
        </w:rPr>
        <w:t xml:space="preserve">s </w:t>
      </w:r>
      <w:r w:rsidR="00A838CA" w:rsidRPr="001C2D33">
        <w:rPr>
          <w:rFonts w:cstheme="minorHAnsi"/>
        </w:rPr>
        <w:t xml:space="preserve">described in figures </w:t>
      </w:r>
      <w:r w:rsidR="00C51CC9">
        <w:rPr>
          <w:rFonts w:cstheme="minorHAnsi"/>
        </w:rPr>
        <w:t>3.4</w:t>
      </w:r>
      <w:r w:rsidR="00A273A9">
        <w:rPr>
          <w:rFonts w:cstheme="minorHAnsi"/>
        </w:rPr>
        <w:t xml:space="preserve"> -</w:t>
      </w:r>
      <w:r w:rsidR="00C51CC9">
        <w:rPr>
          <w:rFonts w:cstheme="minorHAnsi"/>
        </w:rPr>
        <w:t xml:space="preserve"> 3.6, 3.15 (chapter 3); and </w:t>
      </w:r>
      <w:r w:rsidR="00A838CA" w:rsidRPr="001C2D33">
        <w:rPr>
          <w:rFonts w:cstheme="minorHAnsi"/>
        </w:rPr>
        <w:t>4.3, 4.5, 4.6</w:t>
      </w:r>
      <w:r w:rsidR="00765FB4" w:rsidRPr="001C2D33">
        <w:rPr>
          <w:rFonts w:cstheme="minorHAnsi"/>
        </w:rPr>
        <w:t>,</w:t>
      </w:r>
      <w:r w:rsidR="00927447" w:rsidRPr="001C2D33">
        <w:rPr>
          <w:rFonts w:cstheme="minorHAnsi"/>
        </w:rPr>
        <w:t xml:space="preserve"> 4.17</w:t>
      </w:r>
      <w:r w:rsidR="00A838CA" w:rsidRPr="001C2D33">
        <w:rPr>
          <w:rFonts w:cstheme="minorHAnsi"/>
        </w:rPr>
        <w:t xml:space="preserve"> </w:t>
      </w:r>
      <w:r w:rsidR="00C51CC9">
        <w:rPr>
          <w:rFonts w:cstheme="minorHAnsi"/>
        </w:rPr>
        <w:t xml:space="preserve">(chapter 4) </w:t>
      </w:r>
      <w:r w:rsidRPr="001C2D33">
        <w:rPr>
          <w:rFonts w:cstheme="minorHAnsi"/>
        </w:rPr>
        <w:t>plants were grown to maturity in these pots.</w:t>
      </w:r>
      <w:r w:rsidR="00935DA6" w:rsidRPr="001C2D33">
        <w:rPr>
          <w:rFonts w:cstheme="minorHAnsi"/>
        </w:rPr>
        <w:t xml:space="preserve"> </w:t>
      </w:r>
      <w:r w:rsidRPr="001C2D33">
        <w:rPr>
          <w:rFonts w:cstheme="minorHAnsi"/>
        </w:rPr>
        <w:t xml:space="preserve">When the plants were just beginning to initiate a floral bolt (stage 3.9 on </w:t>
      </w:r>
      <w:proofErr w:type="spellStart"/>
      <w:r w:rsidRPr="001C2D33">
        <w:rPr>
          <w:rFonts w:cstheme="minorHAnsi"/>
        </w:rPr>
        <w:t>Boyes</w:t>
      </w:r>
      <w:proofErr w:type="spellEnd"/>
      <w:r w:rsidRPr="001C2D33">
        <w:rPr>
          <w:rFonts w:cstheme="minorHAnsi"/>
        </w:rPr>
        <w:t xml:space="preserve"> scale </w:t>
      </w:r>
      <w:r w:rsidR="005C44CF" w:rsidRPr="001C2D33">
        <w:rPr>
          <w:rFonts w:cstheme="minorHAnsi"/>
        </w:rPr>
        <w:t>(</w:t>
      </w:r>
      <w:proofErr w:type="spellStart"/>
      <w:r w:rsidR="005C44CF" w:rsidRPr="001C2D33">
        <w:rPr>
          <w:rFonts w:cstheme="minorHAnsi"/>
        </w:rPr>
        <w:t>Boyes</w:t>
      </w:r>
      <w:proofErr w:type="spellEnd"/>
      <w:r w:rsidR="005C44CF" w:rsidRPr="001C2D33">
        <w:rPr>
          <w:rFonts w:cstheme="minorHAnsi"/>
        </w:rPr>
        <w:t xml:space="preserve"> et al. 2001)</w:t>
      </w:r>
      <w:r w:rsidRPr="001C2D33">
        <w:rPr>
          <w:rFonts w:cstheme="minorHAnsi"/>
        </w:rPr>
        <w:t xml:space="preserve">; at approximately 82 days, 74 days, and 68 days post germination for 200 </w:t>
      </w:r>
      <w:proofErr w:type="spellStart"/>
      <w:r w:rsidRPr="001C2D33">
        <w:rPr>
          <w:rFonts w:cstheme="minorHAnsi"/>
        </w:rPr>
        <w:t>ppm</w:t>
      </w:r>
      <w:proofErr w:type="spellEnd"/>
      <w:r w:rsidRPr="001C2D33">
        <w:rPr>
          <w:rFonts w:cstheme="minorHAnsi"/>
        </w:rPr>
        <w:t xml:space="preserve"> CO</w:t>
      </w:r>
      <w:r w:rsidRPr="001C2D33">
        <w:rPr>
          <w:rFonts w:cstheme="minorHAnsi"/>
          <w:vertAlign w:val="subscript"/>
        </w:rPr>
        <w:t>2</w:t>
      </w:r>
      <w:r w:rsidRPr="001C2D33">
        <w:rPr>
          <w:rFonts w:cstheme="minorHAnsi"/>
        </w:rPr>
        <w:t xml:space="preserve">, 450 </w:t>
      </w:r>
      <w:proofErr w:type="spellStart"/>
      <w:r w:rsidRPr="001C2D33">
        <w:rPr>
          <w:rFonts w:cstheme="minorHAnsi"/>
        </w:rPr>
        <w:t>ppm</w:t>
      </w:r>
      <w:proofErr w:type="spellEnd"/>
      <w:r w:rsidRPr="001C2D33">
        <w:rPr>
          <w:rFonts w:cstheme="minorHAnsi"/>
        </w:rPr>
        <w:t xml:space="preserve"> CO</w:t>
      </w:r>
      <w:r w:rsidRPr="001C2D33">
        <w:rPr>
          <w:rFonts w:cstheme="minorHAnsi"/>
          <w:vertAlign w:val="subscript"/>
        </w:rPr>
        <w:t>2</w:t>
      </w:r>
      <w:r w:rsidRPr="001C2D33">
        <w:rPr>
          <w:rFonts w:cstheme="minorHAnsi"/>
        </w:rPr>
        <w:t xml:space="preserve"> and 1000 </w:t>
      </w:r>
      <w:proofErr w:type="spellStart"/>
      <w:r w:rsidRPr="001C2D33">
        <w:rPr>
          <w:rFonts w:cstheme="minorHAnsi"/>
        </w:rPr>
        <w:t>ppm</w:t>
      </w:r>
      <w:proofErr w:type="spellEnd"/>
      <w:r w:rsidRPr="001C2D33">
        <w:rPr>
          <w:rFonts w:cstheme="minorHAnsi"/>
        </w:rPr>
        <w:t xml:space="preserve"> CO</w:t>
      </w:r>
      <w:r w:rsidRPr="001C2D33">
        <w:rPr>
          <w:rFonts w:cstheme="minorHAnsi"/>
          <w:vertAlign w:val="subscript"/>
        </w:rPr>
        <w:t>2</w:t>
      </w:r>
      <w:r w:rsidR="00231099" w:rsidRPr="001C2D33">
        <w:rPr>
          <w:rFonts w:cstheme="minorHAnsi"/>
          <w:vertAlign w:val="subscript"/>
        </w:rPr>
        <w:t xml:space="preserve"> </w:t>
      </w:r>
      <w:r w:rsidRPr="001C2D33">
        <w:rPr>
          <w:rFonts w:cstheme="minorHAnsi"/>
        </w:rPr>
        <w:t xml:space="preserve">respectively), fully expanded leaves were removed for </w:t>
      </w:r>
      <w:proofErr w:type="spellStart"/>
      <w:r w:rsidRPr="001C2D33">
        <w:rPr>
          <w:rFonts w:cstheme="minorHAnsi"/>
        </w:rPr>
        <w:t>stomatal</w:t>
      </w:r>
      <w:proofErr w:type="spellEnd"/>
      <w:r w:rsidRPr="001C2D33">
        <w:rPr>
          <w:rFonts w:cstheme="minorHAnsi"/>
        </w:rPr>
        <w:t xml:space="preserve"> analyses. </w:t>
      </w:r>
      <w:r w:rsidR="00765FB4" w:rsidRPr="001C2D33">
        <w:rPr>
          <w:rFonts w:cstheme="minorHAnsi"/>
        </w:rPr>
        <w:t>For ex</w:t>
      </w:r>
      <w:r w:rsidR="00C92D76" w:rsidRPr="001C2D33">
        <w:rPr>
          <w:rFonts w:cstheme="minorHAnsi"/>
        </w:rPr>
        <w:t xml:space="preserve">periments described in figures </w:t>
      </w:r>
      <w:r w:rsidR="00C51CC9">
        <w:rPr>
          <w:rFonts w:cstheme="minorHAnsi"/>
        </w:rPr>
        <w:t>3.7</w:t>
      </w:r>
      <w:r w:rsidR="00A273A9">
        <w:rPr>
          <w:rFonts w:cstheme="minorHAnsi"/>
        </w:rPr>
        <w:t xml:space="preserve"> -</w:t>
      </w:r>
      <w:r w:rsidR="00C51CC9">
        <w:rPr>
          <w:rFonts w:cstheme="minorHAnsi"/>
        </w:rPr>
        <w:t xml:space="preserve"> 3.17(chapter 3); </w:t>
      </w:r>
      <w:r w:rsidR="00765FB4" w:rsidRPr="001C2D33">
        <w:rPr>
          <w:rFonts w:cstheme="minorHAnsi"/>
        </w:rPr>
        <w:t>4.4</w:t>
      </w:r>
      <w:r w:rsidR="00A273A9">
        <w:rPr>
          <w:rFonts w:cstheme="minorHAnsi"/>
        </w:rPr>
        <w:t>,</w:t>
      </w:r>
      <w:r w:rsidR="00765FB4" w:rsidRPr="001C2D33">
        <w:rPr>
          <w:rFonts w:cstheme="minorHAnsi"/>
        </w:rPr>
        <w:t xml:space="preserve"> 4.7</w:t>
      </w:r>
      <w:r w:rsidR="00A273A9">
        <w:rPr>
          <w:rFonts w:cstheme="minorHAnsi"/>
        </w:rPr>
        <w:t>,</w:t>
      </w:r>
      <w:r w:rsidR="00765FB4" w:rsidRPr="001C2D33">
        <w:rPr>
          <w:rFonts w:cstheme="minorHAnsi"/>
        </w:rPr>
        <w:t xml:space="preserve"> 4.8</w:t>
      </w:r>
      <w:r w:rsidR="00A273A9">
        <w:rPr>
          <w:rFonts w:cstheme="minorHAnsi"/>
        </w:rPr>
        <w:t>,</w:t>
      </w:r>
      <w:r w:rsidR="00765FB4" w:rsidRPr="001C2D33">
        <w:rPr>
          <w:rFonts w:cstheme="minorHAnsi"/>
        </w:rPr>
        <w:t xml:space="preserve"> 4.10</w:t>
      </w:r>
      <w:r w:rsidR="00A273A9">
        <w:rPr>
          <w:rFonts w:cstheme="minorHAnsi"/>
        </w:rPr>
        <w:t>,</w:t>
      </w:r>
      <w:r w:rsidR="00765FB4" w:rsidRPr="001C2D33">
        <w:rPr>
          <w:rFonts w:cstheme="minorHAnsi"/>
        </w:rPr>
        <w:t xml:space="preserve"> 4.11</w:t>
      </w:r>
      <w:r w:rsidR="00A273A9">
        <w:rPr>
          <w:rFonts w:cstheme="minorHAnsi"/>
        </w:rPr>
        <w:t>,</w:t>
      </w:r>
      <w:r w:rsidR="00765FB4" w:rsidRPr="001C2D33">
        <w:rPr>
          <w:rFonts w:cstheme="minorHAnsi"/>
        </w:rPr>
        <w:t xml:space="preserve"> 4.18 </w:t>
      </w:r>
      <w:r w:rsidR="00C51CC9">
        <w:rPr>
          <w:rFonts w:cstheme="minorHAnsi"/>
        </w:rPr>
        <w:t>(chapter 4) and 5.1</w:t>
      </w:r>
      <w:r w:rsidR="00A273A9">
        <w:rPr>
          <w:rFonts w:cstheme="minorHAnsi"/>
        </w:rPr>
        <w:t xml:space="preserve"> -</w:t>
      </w:r>
      <w:r w:rsidR="00C51CC9">
        <w:rPr>
          <w:rFonts w:cstheme="minorHAnsi"/>
        </w:rPr>
        <w:t xml:space="preserve"> 5.4 (chapter 5) </w:t>
      </w:r>
      <w:r w:rsidR="00C15A2C" w:rsidRPr="001C2D33">
        <w:rPr>
          <w:rFonts w:cstheme="minorHAnsi"/>
        </w:rPr>
        <w:t>p</w:t>
      </w:r>
      <w:r w:rsidRPr="001C2D33">
        <w:rPr>
          <w:rFonts w:cstheme="minorHAnsi"/>
        </w:rPr>
        <w:t>lants were grown in 100 ml pots and well-watered for 4-6 weeks until the plants had developed 12-15 true leaves</w:t>
      </w:r>
      <w:r w:rsidR="00E62D38" w:rsidRPr="001C2D33">
        <w:rPr>
          <w:rFonts w:cstheme="minorHAnsi"/>
        </w:rPr>
        <w:t xml:space="preserve"> </w:t>
      </w:r>
      <w:r w:rsidRPr="001C2D33">
        <w:rPr>
          <w:rFonts w:cstheme="minorHAnsi"/>
        </w:rPr>
        <w:t xml:space="preserve">(41 </w:t>
      </w:r>
      <w:proofErr w:type="spellStart"/>
      <w:r w:rsidRPr="001C2D33">
        <w:rPr>
          <w:rFonts w:cstheme="minorHAnsi"/>
        </w:rPr>
        <w:t>dpg</w:t>
      </w:r>
      <w:proofErr w:type="spellEnd"/>
      <w:r w:rsidR="00A273A9">
        <w:rPr>
          <w:rFonts w:cstheme="minorHAnsi"/>
        </w:rPr>
        <w:t xml:space="preserve"> (days post germination)</w:t>
      </w:r>
      <w:r w:rsidRPr="001C2D33">
        <w:rPr>
          <w:rFonts w:cstheme="minorHAnsi"/>
        </w:rPr>
        <w:t xml:space="preserve">, 32 </w:t>
      </w:r>
      <w:proofErr w:type="spellStart"/>
      <w:r w:rsidRPr="001C2D33">
        <w:rPr>
          <w:rFonts w:cstheme="minorHAnsi"/>
        </w:rPr>
        <w:t>dpg</w:t>
      </w:r>
      <w:proofErr w:type="spellEnd"/>
      <w:r w:rsidRPr="001C2D33">
        <w:rPr>
          <w:rFonts w:cstheme="minorHAnsi"/>
        </w:rPr>
        <w:t xml:space="preserve"> and 28 </w:t>
      </w:r>
      <w:proofErr w:type="spellStart"/>
      <w:r w:rsidRPr="001C2D33">
        <w:rPr>
          <w:rFonts w:cstheme="minorHAnsi"/>
        </w:rPr>
        <w:t>dpg</w:t>
      </w:r>
      <w:proofErr w:type="spellEnd"/>
      <w:r w:rsidRPr="001C2D33">
        <w:rPr>
          <w:rFonts w:cstheme="minorHAnsi"/>
        </w:rPr>
        <w:t xml:space="preserve"> for 200 </w:t>
      </w:r>
      <w:proofErr w:type="spellStart"/>
      <w:r w:rsidRPr="001C2D33">
        <w:rPr>
          <w:rFonts w:cstheme="minorHAnsi"/>
        </w:rPr>
        <w:t>ppm</w:t>
      </w:r>
      <w:proofErr w:type="spellEnd"/>
      <w:r w:rsidRPr="001C2D33">
        <w:rPr>
          <w:rFonts w:cstheme="minorHAnsi"/>
        </w:rPr>
        <w:t xml:space="preserve"> CO</w:t>
      </w:r>
      <w:r w:rsidRPr="001C2D33">
        <w:rPr>
          <w:rFonts w:cstheme="minorHAnsi"/>
          <w:vertAlign w:val="subscript"/>
        </w:rPr>
        <w:t>2</w:t>
      </w:r>
      <w:r w:rsidRPr="001C2D33">
        <w:rPr>
          <w:rFonts w:cstheme="minorHAnsi"/>
        </w:rPr>
        <w:t xml:space="preserve">, 450 </w:t>
      </w:r>
      <w:proofErr w:type="spellStart"/>
      <w:r w:rsidRPr="001C2D33">
        <w:rPr>
          <w:rFonts w:cstheme="minorHAnsi"/>
        </w:rPr>
        <w:t>ppm</w:t>
      </w:r>
      <w:proofErr w:type="spellEnd"/>
      <w:r w:rsidRPr="001C2D33">
        <w:rPr>
          <w:rFonts w:cstheme="minorHAnsi"/>
        </w:rPr>
        <w:t xml:space="preserve"> CO</w:t>
      </w:r>
      <w:r w:rsidRPr="001C2D33">
        <w:rPr>
          <w:rFonts w:cstheme="minorHAnsi"/>
          <w:vertAlign w:val="subscript"/>
        </w:rPr>
        <w:t>2</w:t>
      </w:r>
      <w:r w:rsidR="001E7D54" w:rsidRPr="001C2D33">
        <w:rPr>
          <w:rFonts w:cstheme="minorHAnsi"/>
          <w:vertAlign w:val="subscript"/>
        </w:rPr>
        <w:t xml:space="preserve"> </w:t>
      </w:r>
      <w:r w:rsidRPr="001C2D33">
        <w:rPr>
          <w:rFonts w:cstheme="minorHAnsi"/>
        </w:rPr>
        <w:t xml:space="preserve">and 1000 </w:t>
      </w:r>
      <w:proofErr w:type="spellStart"/>
      <w:r w:rsidRPr="001C2D33">
        <w:rPr>
          <w:rFonts w:cstheme="minorHAnsi"/>
        </w:rPr>
        <w:t>ppm</w:t>
      </w:r>
      <w:proofErr w:type="spellEnd"/>
      <w:r w:rsidRPr="001C2D33">
        <w:rPr>
          <w:rFonts w:cstheme="minorHAnsi"/>
        </w:rPr>
        <w:t xml:space="preserve"> CO</w:t>
      </w:r>
      <w:r w:rsidRPr="001C2D33">
        <w:rPr>
          <w:rFonts w:cstheme="minorHAnsi"/>
          <w:vertAlign w:val="subscript"/>
        </w:rPr>
        <w:t>2</w:t>
      </w:r>
      <w:r w:rsidR="00345EAC" w:rsidRPr="001C2D33">
        <w:rPr>
          <w:rFonts w:cstheme="minorHAnsi"/>
          <w:vertAlign w:val="subscript"/>
        </w:rPr>
        <w:t xml:space="preserve"> </w:t>
      </w:r>
      <w:r w:rsidRPr="001C2D33">
        <w:rPr>
          <w:rFonts w:cstheme="minorHAnsi"/>
        </w:rPr>
        <w:t>respectively), at which point they were transplanted to larger 1000 ml volume pots filled with M5 compost/</w:t>
      </w:r>
      <w:proofErr w:type="spellStart"/>
      <w:r w:rsidRPr="001C2D33">
        <w:rPr>
          <w:rFonts w:cstheme="minorHAnsi"/>
        </w:rPr>
        <w:t>perlite</w:t>
      </w:r>
      <w:proofErr w:type="spellEnd"/>
      <w:r w:rsidRPr="001C2D33">
        <w:rPr>
          <w:rFonts w:cstheme="minorHAnsi"/>
        </w:rPr>
        <w:t xml:space="preserve"> (4:1). Pots with established plants and water-saturated soil were weighed and</w:t>
      </w:r>
      <w:r w:rsidR="00C15A2C" w:rsidRPr="001C2D33">
        <w:rPr>
          <w:rFonts w:cstheme="minorHAnsi"/>
        </w:rPr>
        <w:t xml:space="preserve"> </w:t>
      </w:r>
      <w:r w:rsidRPr="001C2D33">
        <w:rPr>
          <w:rFonts w:cstheme="minorHAnsi"/>
        </w:rPr>
        <w:t xml:space="preserve">water was withheld from a subset of ‘water-restricted’ plants until the compost reached 30% water saturation, whereupon the soil was watered to 30% water saturation every 2-3 days. ‘Well-watered’ plants were grown in the same manner except compost was </w:t>
      </w:r>
      <w:r w:rsidR="00D94E62">
        <w:rPr>
          <w:rFonts w:cstheme="minorHAnsi"/>
        </w:rPr>
        <w:t>maintained at</w:t>
      </w:r>
      <w:r w:rsidRPr="001C2D33">
        <w:rPr>
          <w:rFonts w:cstheme="minorHAnsi"/>
        </w:rPr>
        <w:t xml:space="preserve"> 70% water saturation </w:t>
      </w:r>
      <w:r w:rsidR="00D94E62">
        <w:rPr>
          <w:rFonts w:cstheme="minorHAnsi"/>
        </w:rPr>
        <w:t xml:space="preserve">by watering </w:t>
      </w:r>
      <w:r w:rsidRPr="001C2D33">
        <w:rPr>
          <w:rFonts w:cstheme="minorHAnsi"/>
        </w:rPr>
        <w:t>every 2-3 days. The plants were maintained under well-watered and water restricted conditions for a further 49, 49 or</w:t>
      </w:r>
      <w:r w:rsidR="004D2A10" w:rsidRPr="001C2D33">
        <w:rPr>
          <w:rFonts w:cstheme="minorHAnsi"/>
        </w:rPr>
        <w:t xml:space="preserve"> </w:t>
      </w:r>
      <w:r w:rsidRPr="001C2D33">
        <w:rPr>
          <w:rFonts w:cstheme="minorHAnsi"/>
        </w:rPr>
        <w:t xml:space="preserve">42 days for 200 </w:t>
      </w:r>
      <w:proofErr w:type="spellStart"/>
      <w:r w:rsidRPr="001C2D33">
        <w:rPr>
          <w:rFonts w:cstheme="minorHAnsi"/>
        </w:rPr>
        <w:t>ppm</w:t>
      </w:r>
      <w:proofErr w:type="spellEnd"/>
      <w:r w:rsidRPr="001C2D33">
        <w:rPr>
          <w:rFonts w:cstheme="minorHAnsi"/>
        </w:rPr>
        <w:t xml:space="preserve"> CO</w:t>
      </w:r>
      <w:r w:rsidRPr="001C2D33">
        <w:rPr>
          <w:rFonts w:cstheme="minorHAnsi"/>
          <w:vertAlign w:val="subscript"/>
        </w:rPr>
        <w:t>2</w:t>
      </w:r>
      <w:r w:rsidRPr="001C2D33">
        <w:rPr>
          <w:rFonts w:cstheme="minorHAnsi"/>
        </w:rPr>
        <w:t xml:space="preserve">, 450 </w:t>
      </w:r>
      <w:proofErr w:type="spellStart"/>
      <w:r w:rsidRPr="001C2D33">
        <w:rPr>
          <w:rFonts w:cstheme="minorHAnsi"/>
        </w:rPr>
        <w:t>ppm</w:t>
      </w:r>
      <w:proofErr w:type="spellEnd"/>
      <w:r w:rsidRPr="001C2D33">
        <w:rPr>
          <w:rFonts w:cstheme="minorHAnsi"/>
        </w:rPr>
        <w:t xml:space="preserve"> CO</w:t>
      </w:r>
      <w:r w:rsidRPr="001C2D33">
        <w:rPr>
          <w:rFonts w:cstheme="minorHAnsi"/>
          <w:vertAlign w:val="subscript"/>
        </w:rPr>
        <w:t>2</w:t>
      </w:r>
      <w:r w:rsidRPr="001C2D33">
        <w:rPr>
          <w:rFonts w:cstheme="minorHAnsi"/>
        </w:rPr>
        <w:t xml:space="preserve"> and 1000 </w:t>
      </w:r>
      <w:proofErr w:type="spellStart"/>
      <w:r w:rsidRPr="001C2D33">
        <w:rPr>
          <w:rFonts w:cstheme="minorHAnsi"/>
        </w:rPr>
        <w:t>ppm</w:t>
      </w:r>
      <w:proofErr w:type="spellEnd"/>
      <w:r w:rsidRPr="001C2D33">
        <w:rPr>
          <w:rFonts w:cstheme="minorHAnsi"/>
        </w:rPr>
        <w:t xml:space="preserve"> CO</w:t>
      </w:r>
      <w:r w:rsidRPr="001C2D33">
        <w:rPr>
          <w:rFonts w:cstheme="minorHAnsi"/>
          <w:vertAlign w:val="subscript"/>
        </w:rPr>
        <w:t>2</w:t>
      </w:r>
      <w:r w:rsidR="00120ED7" w:rsidRPr="001C2D33">
        <w:rPr>
          <w:rFonts w:cstheme="minorHAnsi"/>
          <w:vertAlign w:val="subscript"/>
        </w:rPr>
        <w:t xml:space="preserve"> </w:t>
      </w:r>
      <w:r w:rsidRPr="001C2D33">
        <w:rPr>
          <w:rFonts w:cstheme="minorHAnsi"/>
        </w:rPr>
        <w:t>respectively</w:t>
      </w:r>
      <w:r w:rsidR="004D2A10" w:rsidRPr="001C2D33">
        <w:rPr>
          <w:rFonts w:cstheme="minorHAnsi"/>
        </w:rPr>
        <w:t>.</w:t>
      </w:r>
    </w:p>
    <w:p w:rsidR="00365964" w:rsidRPr="0033768D" w:rsidRDefault="00CD7BFF" w:rsidP="0033768D">
      <w:pPr>
        <w:spacing w:line="360" w:lineRule="auto"/>
        <w:jc w:val="both"/>
        <w:rPr>
          <w:rFonts w:cstheme="minorHAnsi"/>
        </w:rPr>
      </w:pPr>
      <w:r>
        <w:rPr>
          <w:rFonts w:cstheme="minorHAnsi"/>
        </w:rPr>
        <w:t>Ideally experimental conditions would have been matched and replicated,</w:t>
      </w:r>
      <w:r w:rsidR="0033768D">
        <w:rPr>
          <w:rFonts w:cstheme="minorHAnsi"/>
        </w:rPr>
        <w:t xml:space="preserve"> and</w:t>
      </w:r>
      <w:r>
        <w:rPr>
          <w:rFonts w:cstheme="minorHAnsi"/>
        </w:rPr>
        <w:t xml:space="preserve"> a number of</w:t>
      </w:r>
      <w:r w:rsidR="0033768D">
        <w:rPr>
          <w:rFonts w:cstheme="minorHAnsi"/>
        </w:rPr>
        <w:t xml:space="preserve"> CO</w:t>
      </w:r>
      <w:r w:rsidR="0033768D" w:rsidRPr="0033768D">
        <w:rPr>
          <w:rFonts w:cstheme="minorHAnsi"/>
          <w:vertAlign w:val="subscript"/>
        </w:rPr>
        <w:t>2</w:t>
      </w:r>
      <w:r w:rsidR="0033768D">
        <w:rPr>
          <w:rFonts w:cstheme="minorHAnsi"/>
        </w:rPr>
        <w:t xml:space="preserve"> chambers at each </w:t>
      </w:r>
      <w:r w:rsidR="0033768D" w:rsidRPr="001C2D33">
        <w:rPr>
          <w:rFonts w:cstheme="minorHAnsi"/>
        </w:rPr>
        <w:t>CO</w:t>
      </w:r>
      <w:r w:rsidR="0033768D" w:rsidRPr="001C2D33">
        <w:rPr>
          <w:rFonts w:cstheme="minorHAnsi"/>
          <w:vertAlign w:val="subscript"/>
        </w:rPr>
        <w:t>2</w:t>
      </w:r>
      <w:r w:rsidR="0033768D">
        <w:rPr>
          <w:rFonts w:cstheme="minorHAnsi"/>
        </w:rPr>
        <w:t xml:space="preserve"> condition would have been used. This was not possible in terms of costs and time meaning that comparisons between CO</w:t>
      </w:r>
      <w:r w:rsidR="0033768D" w:rsidRPr="0033768D">
        <w:rPr>
          <w:rFonts w:cstheme="minorHAnsi"/>
          <w:vertAlign w:val="subscript"/>
        </w:rPr>
        <w:t>2</w:t>
      </w:r>
      <w:r w:rsidR="0033768D">
        <w:rPr>
          <w:rFonts w:cstheme="minorHAnsi"/>
        </w:rPr>
        <w:t xml:space="preserve"> cabinets should be carried out with caution.</w:t>
      </w:r>
    </w:p>
    <w:p w:rsidR="004D2A10" w:rsidRPr="001C2D33" w:rsidRDefault="004D2A10" w:rsidP="004D2A10">
      <w:pPr>
        <w:spacing w:line="360" w:lineRule="auto"/>
        <w:rPr>
          <w:rFonts w:cstheme="minorHAnsi"/>
          <w:b/>
        </w:rPr>
      </w:pPr>
      <w:r w:rsidRPr="001C2D33">
        <w:rPr>
          <w:rFonts w:cstheme="minorHAnsi"/>
          <w:b/>
        </w:rPr>
        <w:lastRenderedPageBreak/>
        <w:t>For short term severe drought experiments</w:t>
      </w:r>
      <w:r w:rsidR="00293F36">
        <w:rPr>
          <w:rFonts w:cstheme="minorHAnsi"/>
          <w:b/>
        </w:rPr>
        <w:t xml:space="preserve"> presented in figures 5.6, 5.7, 5.8, 5.9 and 5.10</w:t>
      </w:r>
    </w:p>
    <w:p w:rsidR="004D2A10" w:rsidRPr="001C2D33" w:rsidRDefault="004D2A10" w:rsidP="00365964">
      <w:pPr>
        <w:spacing w:line="360" w:lineRule="auto"/>
        <w:jc w:val="both"/>
        <w:rPr>
          <w:rFonts w:cstheme="minorHAnsi"/>
        </w:rPr>
      </w:pPr>
      <w:r w:rsidRPr="001C2D33">
        <w:rPr>
          <w:rFonts w:cstheme="minorHAnsi"/>
        </w:rPr>
        <w:t>Mutant plants and their background ecotype Col-0, were stratified on wet M3 compost/</w:t>
      </w:r>
      <w:proofErr w:type="spellStart"/>
      <w:r w:rsidRPr="001C2D33">
        <w:rPr>
          <w:rFonts w:cstheme="minorHAnsi"/>
        </w:rPr>
        <w:t>perlite</w:t>
      </w:r>
      <w:proofErr w:type="spellEnd"/>
      <w:r w:rsidRPr="001C2D33">
        <w:rPr>
          <w:rFonts w:cstheme="minorHAnsi"/>
        </w:rPr>
        <w:t xml:space="preserve"> (4:1) at 4ºC in dark for 72 h to synchronise germination. Plants were grown in a controlled environment growth chamber (</w:t>
      </w:r>
      <w:proofErr w:type="spellStart"/>
      <w:r w:rsidRPr="001C2D33">
        <w:rPr>
          <w:rFonts w:cstheme="minorHAnsi"/>
        </w:rPr>
        <w:t>Conviron</w:t>
      </w:r>
      <w:proofErr w:type="spellEnd"/>
      <w:r w:rsidRPr="001C2D33">
        <w:rPr>
          <w:rFonts w:cstheme="minorHAnsi"/>
        </w:rPr>
        <w:t xml:space="preserve"> model BDR16) at ambient CO</w:t>
      </w:r>
      <w:r w:rsidRPr="001C2D33">
        <w:rPr>
          <w:rFonts w:cstheme="minorHAnsi"/>
          <w:vertAlign w:val="subscript"/>
        </w:rPr>
        <w:t>2</w:t>
      </w:r>
      <w:r w:rsidRPr="001C2D33">
        <w:rPr>
          <w:rFonts w:cstheme="minorHAnsi"/>
        </w:rPr>
        <w:t xml:space="preserve"> at 22ºC/16 ºC 9h light/15h dark cycle</w:t>
      </w:r>
      <w:r w:rsidR="00A273A9">
        <w:rPr>
          <w:rFonts w:cstheme="minorHAnsi"/>
        </w:rPr>
        <w:t xml:space="preserve"> at 200µmol irradiance</w:t>
      </w:r>
      <w:r w:rsidRPr="001C2D33">
        <w:rPr>
          <w:rFonts w:cstheme="minorHAnsi"/>
        </w:rPr>
        <w:t xml:space="preserve">. After two weeks of growth, plants were transferred to 100 ml volume plant pots and covered with cling-film for the first 5 days and grown to maturity (stage 3.9 on </w:t>
      </w:r>
      <w:proofErr w:type="spellStart"/>
      <w:r w:rsidRPr="001C2D33">
        <w:rPr>
          <w:rFonts w:cstheme="minorHAnsi"/>
        </w:rPr>
        <w:t>Boyes</w:t>
      </w:r>
      <w:proofErr w:type="spellEnd"/>
      <w:r w:rsidRPr="001C2D33">
        <w:rPr>
          <w:rFonts w:cstheme="minorHAnsi"/>
        </w:rPr>
        <w:t xml:space="preserve"> scale (</w:t>
      </w:r>
      <w:proofErr w:type="spellStart"/>
      <w:r w:rsidRPr="001C2D33">
        <w:rPr>
          <w:rFonts w:cstheme="minorHAnsi"/>
        </w:rPr>
        <w:t>Boyes</w:t>
      </w:r>
      <w:proofErr w:type="spellEnd"/>
      <w:r w:rsidRPr="001C2D33">
        <w:rPr>
          <w:rFonts w:cstheme="minorHAnsi"/>
        </w:rPr>
        <w:t xml:space="preserve"> et al. 2001)). Watering was withheld </w:t>
      </w:r>
      <w:r w:rsidR="00293F36">
        <w:rPr>
          <w:rFonts w:cstheme="minorHAnsi"/>
        </w:rPr>
        <w:t xml:space="preserve">for </w:t>
      </w:r>
      <w:r w:rsidR="000121C8">
        <w:rPr>
          <w:rFonts w:cstheme="minorHAnsi"/>
        </w:rPr>
        <w:t>13</w:t>
      </w:r>
      <w:r w:rsidR="00293F36">
        <w:rPr>
          <w:rFonts w:cstheme="minorHAnsi"/>
        </w:rPr>
        <w:t xml:space="preserve"> days and resumed on day </w:t>
      </w:r>
      <w:r w:rsidR="000121C8">
        <w:rPr>
          <w:rFonts w:cstheme="minorHAnsi"/>
        </w:rPr>
        <w:t>13</w:t>
      </w:r>
      <w:r w:rsidR="00293F36">
        <w:rPr>
          <w:rFonts w:cstheme="minorHAnsi"/>
        </w:rPr>
        <w:t>.</w:t>
      </w:r>
    </w:p>
    <w:p w:rsidR="00365964" w:rsidRDefault="00365964" w:rsidP="004E4353">
      <w:pPr>
        <w:spacing w:line="360" w:lineRule="auto"/>
        <w:rPr>
          <w:rFonts w:cstheme="minorHAnsi"/>
          <w:b/>
        </w:rPr>
      </w:pPr>
    </w:p>
    <w:p w:rsidR="0062374B" w:rsidRPr="001C2D33" w:rsidRDefault="00463798" w:rsidP="00365964">
      <w:pPr>
        <w:spacing w:line="360" w:lineRule="auto"/>
        <w:jc w:val="center"/>
        <w:rPr>
          <w:rFonts w:cstheme="minorHAnsi"/>
          <w:b/>
        </w:rPr>
      </w:pPr>
      <w:r w:rsidRPr="001C2D33">
        <w:rPr>
          <w:rFonts w:cstheme="minorHAnsi"/>
          <w:b/>
        </w:rPr>
        <w:t xml:space="preserve">2.4 </w:t>
      </w:r>
      <w:r w:rsidR="00365964">
        <w:rPr>
          <w:rFonts w:cstheme="minorHAnsi"/>
          <w:b/>
        </w:rPr>
        <w:t>Arabidopsis DNA extraction</w:t>
      </w:r>
    </w:p>
    <w:p w:rsidR="0061772E" w:rsidRDefault="0062374B" w:rsidP="004E4353">
      <w:pPr>
        <w:spacing w:before="100" w:beforeAutospacing="1" w:after="100" w:afterAutospacing="1" w:line="360" w:lineRule="auto"/>
        <w:jc w:val="both"/>
        <w:rPr>
          <w:rFonts w:cstheme="minorHAnsi"/>
        </w:rPr>
      </w:pPr>
      <w:r w:rsidRPr="001C2D33">
        <w:rPr>
          <w:rFonts w:cstheme="minorHAnsi"/>
        </w:rPr>
        <w:t xml:space="preserve">Leaf material from a single </w:t>
      </w:r>
      <w:r w:rsidR="00A273A9">
        <w:rPr>
          <w:rFonts w:cstheme="minorHAnsi"/>
        </w:rPr>
        <w:t xml:space="preserve">col-0 </w:t>
      </w:r>
      <w:r w:rsidRPr="001C2D33">
        <w:rPr>
          <w:rFonts w:cstheme="minorHAnsi"/>
        </w:rPr>
        <w:t xml:space="preserve"> was used for DNA extraction. 700μl extraction buffer (200mm </w:t>
      </w:r>
      <w:proofErr w:type="spellStart"/>
      <w:r w:rsidRPr="001C2D33">
        <w:rPr>
          <w:rFonts w:cstheme="minorHAnsi"/>
        </w:rPr>
        <w:t>Tris-HCl</w:t>
      </w:r>
      <w:proofErr w:type="spellEnd"/>
      <w:r w:rsidRPr="001C2D33">
        <w:rPr>
          <w:rFonts w:cstheme="minorHAnsi"/>
        </w:rPr>
        <w:t xml:space="preserve">, pH 8.0, 250 </w:t>
      </w:r>
      <w:proofErr w:type="spellStart"/>
      <w:r w:rsidRPr="001C2D33">
        <w:rPr>
          <w:rFonts w:cstheme="minorHAnsi"/>
        </w:rPr>
        <w:t>mM</w:t>
      </w:r>
      <w:proofErr w:type="spellEnd"/>
      <w:r w:rsidRPr="001C2D33">
        <w:rPr>
          <w:rFonts w:cstheme="minorHAnsi"/>
        </w:rPr>
        <w:t xml:space="preserve"> </w:t>
      </w:r>
      <w:proofErr w:type="spellStart"/>
      <w:r w:rsidRPr="001C2D33">
        <w:rPr>
          <w:rFonts w:cstheme="minorHAnsi"/>
        </w:rPr>
        <w:t>NaCl</w:t>
      </w:r>
      <w:proofErr w:type="spellEnd"/>
      <w:r w:rsidRPr="001C2D33">
        <w:rPr>
          <w:rFonts w:cstheme="minorHAnsi"/>
        </w:rPr>
        <w:t xml:space="preserve">, 25 </w:t>
      </w:r>
      <w:proofErr w:type="spellStart"/>
      <w:r w:rsidRPr="001C2D33">
        <w:rPr>
          <w:rFonts w:cstheme="minorHAnsi"/>
        </w:rPr>
        <w:t>mM</w:t>
      </w:r>
      <w:proofErr w:type="spellEnd"/>
      <w:r w:rsidRPr="001C2D33">
        <w:rPr>
          <w:rFonts w:cstheme="minorHAnsi"/>
        </w:rPr>
        <w:t xml:space="preserve"> EDTA, pH 8.0 and 0.5% SDS) was added to the plant material after macerating in a 1.5ml </w:t>
      </w:r>
      <w:proofErr w:type="spellStart"/>
      <w:r w:rsidRPr="001C2D33">
        <w:rPr>
          <w:rFonts w:cstheme="minorHAnsi"/>
        </w:rPr>
        <w:t>Eppendorf</w:t>
      </w:r>
      <w:proofErr w:type="spellEnd"/>
      <w:r w:rsidRPr="001C2D33">
        <w:rPr>
          <w:rFonts w:cstheme="minorHAnsi"/>
        </w:rPr>
        <w:t xml:space="preserve"> tube. The tube was </w:t>
      </w:r>
      <w:proofErr w:type="spellStart"/>
      <w:r w:rsidRPr="001C2D33">
        <w:rPr>
          <w:rFonts w:cstheme="minorHAnsi"/>
        </w:rPr>
        <w:t>vortexed</w:t>
      </w:r>
      <w:proofErr w:type="spellEnd"/>
      <w:r w:rsidRPr="001C2D33">
        <w:rPr>
          <w:rFonts w:cstheme="minorHAnsi"/>
        </w:rPr>
        <w:t xml:space="preserve"> briefly and centrifuged for 1 min at 18,000 rpm. The supernatant (600μl) was then transferred to a fresh </w:t>
      </w:r>
      <w:proofErr w:type="spellStart"/>
      <w:r w:rsidRPr="001C2D33">
        <w:rPr>
          <w:rFonts w:cstheme="minorHAnsi"/>
        </w:rPr>
        <w:t>Eppendorf</w:t>
      </w:r>
      <w:proofErr w:type="spellEnd"/>
      <w:r w:rsidRPr="001C2D33">
        <w:rPr>
          <w:rFonts w:cstheme="minorHAnsi"/>
        </w:rPr>
        <w:t xml:space="preserve"> tube. 600µl absolute </w:t>
      </w:r>
      <w:proofErr w:type="spellStart"/>
      <w:r w:rsidRPr="001C2D33">
        <w:rPr>
          <w:rFonts w:cstheme="minorHAnsi"/>
        </w:rPr>
        <w:t>isopropanol</w:t>
      </w:r>
      <w:proofErr w:type="spellEnd"/>
      <w:r w:rsidRPr="001C2D33">
        <w:rPr>
          <w:rFonts w:cstheme="minorHAnsi"/>
        </w:rPr>
        <w:t xml:space="preserve"> was added and the sample centrifuged at 18,000 rpm for 5 min. Without disturbing the DNA pellet in the bottom of the tube, the supernatant was removed using a Pasteur pipette. The DNA pellet was dried to remove any remaining liquid and finally, DNA </w:t>
      </w:r>
      <w:proofErr w:type="spellStart"/>
      <w:r w:rsidRPr="001C2D33">
        <w:rPr>
          <w:rFonts w:cstheme="minorHAnsi"/>
        </w:rPr>
        <w:t>resuspended</w:t>
      </w:r>
      <w:proofErr w:type="spellEnd"/>
      <w:r w:rsidRPr="001C2D33">
        <w:rPr>
          <w:rFonts w:cstheme="minorHAnsi"/>
        </w:rPr>
        <w:t xml:space="preserve"> in 100μl of sterile </w:t>
      </w:r>
      <w:proofErr w:type="spellStart"/>
      <w:r w:rsidRPr="001C2D33">
        <w:rPr>
          <w:rFonts w:cstheme="minorHAnsi"/>
        </w:rPr>
        <w:t>deionized</w:t>
      </w:r>
      <w:proofErr w:type="spellEnd"/>
      <w:r w:rsidRPr="001C2D33">
        <w:rPr>
          <w:rFonts w:cstheme="minorHAnsi"/>
        </w:rPr>
        <w:t xml:space="preserve"> water and stored at -20°C.</w:t>
      </w:r>
    </w:p>
    <w:p w:rsidR="0036616E" w:rsidRDefault="0036616E" w:rsidP="004E4353">
      <w:pPr>
        <w:spacing w:before="100" w:beforeAutospacing="1" w:after="100" w:afterAutospacing="1" w:line="360" w:lineRule="auto"/>
        <w:jc w:val="both"/>
        <w:rPr>
          <w:rFonts w:cstheme="minorHAnsi"/>
        </w:rPr>
      </w:pPr>
    </w:p>
    <w:p w:rsidR="0036616E" w:rsidRDefault="0036616E" w:rsidP="004E4353">
      <w:pPr>
        <w:spacing w:before="100" w:beforeAutospacing="1" w:after="100" w:afterAutospacing="1" w:line="360" w:lineRule="auto"/>
        <w:jc w:val="both"/>
        <w:rPr>
          <w:rFonts w:cstheme="minorHAnsi"/>
        </w:rPr>
      </w:pPr>
    </w:p>
    <w:p w:rsidR="0061772E" w:rsidRPr="001C2D33" w:rsidRDefault="0061772E" w:rsidP="004E4353">
      <w:pPr>
        <w:spacing w:before="100" w:beforeAutospacing="1" w:after="100" w:afterAutospacing="1" w:line="360" w:lineRule="auto"/>
        <w:jc w:val="both"/>
        <w:rPr>
          <w:rFonts w:cstheme="minorHAnsi"/>
        </w:rPr>
      </w:pPr>
    </w:p>
    <w:p w:rsidR="00463798" w:rsidRPr="001C2D33" w:rsidRDefault="00463798" w:rsidP="00365964">
      <w:pPr>
        <w:spacing w:before="100" w:beforeAutospacing="1" w:after="100" w:afterAutospacing="1" w:line="360" w:lineRule="auto"/>
        <w:jc w:val="center"/>
        <w:rPr>
          <w:rFonts w:cstheme="minorHAnsi"/>
          <w:b/>
        </w:rPr>
      </w:pPr>
      <w:r w:rsidRPr="001C2D33">
        <w:rPr>
          <w:rFonts w:cstheme="minorHAnsi"/>
          <w:b/>
        </w:rPr>
        <w:t xml:space="preserve">2.5 </w:t>
      </w:r>
      <w:r w:rsidR="0062374B" w:rsidRPr="001C2D33">
        <w:rPr>
          <w:rFonts w:cstheme="minorHAnsi"/>
          <w:b/>
        </w:rPr>
        <w:t>Polymerase chain reaction</w:t>
      </w:r>
      <w:r w:rsidRPr="001C2D33">
        <w:rPr>
          <w:rFonts w:cstheme="minorHAnsi"/>
          <w:b/>
        </w:rPr>
        <w:t xml:space="preserve"> (PCR)</w:t>
      </w:r>
    </w:p>
    <w:p w:rsidR="0062374B" w:rsidRPr="001C2D33" w:rsidRDefault="0062374B" w:rsidP="00463798">
      <w:pPr>
        <w:spacing w:before="100" w:beforeAutospacing="1" w:after="100" w:afterAutospacing="1" w:line="360" w:lineRule="auto"/>
        <w:jc w:val="both"/>
        <w:rPr>
          <w:rFonts w:cstheme="minorHAnsi"/>
          <w:b/>
        </w:rPr>
      </w:pPr>
      <w:r w:rsidRPr="001C2D33">
        <w:rPr>
          <w:rFonts w:cstheme="minorHAnsi"/>
        </w:rPr>
        <w:t xml:space="preserve">The Polymerase Chain Reaction using </w:t>
      </w:r>
      <w:proofErr w:type="spellStart"/>
      <w:r w:rsidRPr="001C2D33">
        <w:rPr>
          <w:rFonts w:cstheme="minorHAnsi"/>
        </w:rPr>
        <w:t>Taq</w:t>
      </w:r>
      <w:proofErr w:type="spellEnd"/>
      <w:r w:rsidRPr="001C2D33">
        <w:rPr>
          <w:rFonts w:cstheme="minorHAnsi"/>
        </w:rPr>
        <w:t xml:space="preserve"> DNA polymerase (</w:t>
      </w:r>
      <w:proofErr w:type="spellStart"/>
      <w:r w:rsidRPr="001C2D33">
        <w:rPr>
          <w:rFonts w:cstheme="minorHAnsi"/>
        </w:rPr>
        <w:t>Biotaq</w:t>
      </w:r>
      <w:proofErr w:type="spellEnd"/>
      <w:r w:rsidRPr="001C2D33">
        <w:rPr>
          <w:rFonts w:cstheme="minorHAnsi"/>
        </w:rPr>
        <w:t xml:space="preserve">, </w:t>
      </w:r>
      <w:proofErr w:type="spellStart"/>
      <w:r w:rsidRPr="001C2D33">
        <w:rPr>
          <w:rFonts w:cstheme="minorHAnsi"/>
        </w:rPr>
        <w:t>Bioline</w:t>
      </w:r>
      <w:proofErr w:type="spellEnd"/>
      <w:r w:rsidRPr="001C2D33">
        <w:rPr>
          <w:rFonts w:cstheme="minorHAnsi"/>
        </w:rPr>
        <w:t xml:space="preserve">) was used to amplify specific genomic DNA fragments </w:t>
      </w:r>
      <w:r w:rsidR="005E155A" w:rsidRPr="001C2D33">
        <w:rPr>
          <w:rFonts w:cstheme="minorHAnsi"/>
        </w:rPr>
        <w:t xml:space="preserve">for a number of uses but mainly </w:t>
      </w:r>
      <w:r w:rsidRPr="001C2D33">
        <w:rPr>
          <w:rFonts w:cstheme="minorHAnsi"/>
        </w:rPr>
        <w:t xml:space="preserve">to check presence or absence of genes. </w:t>
      </w:r>
    </w:p>
    <w:p w:rsidR="0061772E" w:rsidRDefault="0061772E" w:rsidP="00365964">
      <w:pPr>
        <w:spacing w:before="100" w:beforeAutospacing="1" w:after="100" w:afterAutospacing="1" w:line="240" w:lineRule="auto"/>
        <w:jc w:val="both"/>
        <w:rPr>
          <w:rFonts w:cstheme="minorHAnsi"/>
          <w:b/>
        </w:rPr>
      </w:pPr>
    </w:p>
    <w:p w:rsidR="0061772E" w:rsidRDefault="0061772E" w:rsidP="00365964">
      <w:pPr>
        <w:spacing w:before="100" w:beforeAutospacing="1" w:after="100" w:afterAutospacing="1" w:line="240" w:lineRule="auto"/>
        <w:jc w:val="both"/>
        <w:rPr>
          <w:rFonts w:cstheme="minorHAnsi"/>
          <w:b/>
        </w:rPr>
      </w:pPr>
    </w:p>
    <w:p w:rsidR="0062374B" w:rsidRPr="00365964" w:rsidRDefault="0062374B" w:rsidP="00365964">
      <w:pPr>
        <w:spacing w:before="100" w:beforeAutospacing="1" w:after="100" w:afterAutospacing="1" w:line="240" w:lineRule="auto"/>
        <w:jc w:val="both"/>
        <w:rPr>
          <w:rFonts w:cstheme="minorHAnsi"/>
          <w:b/>
        </w:rPr>
      </w:pPr>
      <w:r w:rsidRPr="001C2D33">
        <w:rPr>
          <w:rFonts w:cstheme="minorHAnsi"/>
        </w:rPr>
        <w:lastRenderedPageBreak/>
        <w:t>The following components were added to a micro centrifuge tube: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2"/>
        <w:gridCol w:w="4358"/>
      </w:tblGrid>
      <w:tr w:rsidR="0062374B" w:rsidRPr="001C2D33" w:rsidTr="00904C18">
        <w:tc>
          <w:tcPr>
            <w:tcW w:w="4385" w:type="dxa"/>
          </w:tcPr>
          <w:p w:rsidR="0062374B" w:rsidRPr="001C2D33" w:rsidRDefault="0062374B" w:rsidP="004E4353">
            <w:pPr>
              <w:spacing w:line="360" w:lineRule="auto"/>
              <w:jc w:val="both"/>
              <w:rPr>
                <w:rFonts w:cstheme="minorHAnsi"/>
              </w:rPr>
            </w:pPr>
            <w:r w:rsidRPr="001C2D33">
              <w:rPr>
                <w:rFonts w:cstheme="minorHAnsi"/>
              </w:rPr>
              <w:t>Template DNA (50-1000ng)</w:t>
            </w:r>
          </w:p>
        </w:tc>
        <w:tc>
          <w:tcPr>
            <w:tcW w:w="4385" w:type="dxa"/>
          </w:tcPr>
          <w:p w:rsidR="0062374B" w:rsidRPr="001C2D33" w:rsidRDefault="0062374B" w:rsidP="004E4353">
            <w:pPr>
              <w:spacing w:line="360" w:lineRule="auto"/>
              <w:jc w:val="both"/>
              <w:rPr>
                <w:rFonts w:cstheme="minorHAnsi"/>
              </w:rPr>
            </w:pPr>
            <w:r w:rsidRPr="001C2D33">
              <w:rPr>
                <w:rFonts w:cstheme="minorHAnsi"/>
              </w:rPr>
              <w:t>1µl</w:t>
            </w:r>
          </w:p>
        </w:tc>
      </w:tr>
      <w:tr w:rsidR="0062374B" w:rsidRPr="001C2D33" w:rsidTr="00904C18">
        <w:tc>
          <w:tcPr>
            <w:tcW w:w="4385" w:type="dxa"/>
          </w:tcPr>
          <w:p w:rsidR="0062374B" w:rsidRPr="001C2D33" w:rsidRDefault="0062374B" w:rsidP="004E4353">
            <w:pPr>
              <w:spacing w:line="360" w:lineRule="auto"/>
              <w:jc w:val="both"/>
              <w:rPr>
                <w:rFonts w:cstheme="minorHAnsi"/>
              </w:rPr>
            </w:pPr>
            <w:r w:rsidRPr="001C2D33">
              <w:rPr>
                <w:rFonts w:cstheme="minorHAnsi"/>
              </w:rPr>
              <w:t>First primer (25pmol)</w:t>
            </w:r>
          </w:p>
        </w:tc>
        <w:tc>
          <w:tcPr>
            <w:tcW w:w="4385" w:type="dxa"/>
          </w:tcPr>
          <w:p w:rsidR="0062374B" w:rsidRPr="001C2D33" w:rsidRDefault="0062374B" w:rsidP="004E4353">
            <w:pPr>
              <w:spacing w:line="360" w:lineRule="auto"/>
              <w:jc w:val="both"/>
              <w:rPr>
                <w:rFonts w:cstheme="minorHAnsi"/>
              </w:rPr>
            </w:pPr>
            <w:r w:rsidRPr="001C2D33">
              <w:rPr>
                <w:rFonts w:cstheme="minorHAnsi"/>
              </w:rPr>
              <w:t>0.1μl</w:t>
            </w:r>
          </w:p>
        </w:tc>
      </w:tr>
      <w:tr w:rsidR="0062374B" w:rsidRPr="001C2D33" w:rsidTr="00904C18">
        <w:tc>
          <w:tcPr>
            <w:tcW w:w="4385" w:type="dxa"/>
          </w:tcPr>
          <w:p w:rsidR="0062374B" w:rsidRPr="001C2D33" w:rsidRDefault="0062374B" w:rsidP="004E4353">
            <w:pPr>
              <w:spacing w:line="360" w:lineRule="auto"/>
              <w:jc w:val="both"/>
              <w:rPr>
                <w:rFonts w:cstheme="minorHAnsi"/>
              </w:rPr>
            </w:pPr>
            <w:r w:rsidRPr="001C2D33">
              <w:rPr>
                <w:rFonts w:cstheme="minorHAnsi"/>
              </w:rPr>
              <w:t>Second primer (25pmol)</w:t>
            </w:r>
          </w:p>
        </w:tc>
        <w:tc>
          <w:tcPr>
            <w:tcW w:w="4385" w:type="dxa"/>
          </w:tcPr>
          <w:p w:rsidR="0062374B" w:rsidRPr="001C2D33" w:rsidRDefault="0062374B" w:rsidP="004E4353">
            <w:pPr>
              <w:spacing w:line="360" w:lineRule="auto"/>
              <w:jc w:val="both"/>
              <w:rPr>
                <w:rFonts w:cstheme="minorHAnsi"/>
              </w:rPr>
            </w:pPr>
            <w:r w:rsidRPr="001C2D33">
              <w:rPr>
                <w:rFonts w:cstheme="minorHAnsi"/>
              </w:rPr>
              <w:t>0.1μl</w:t>
            </w:r>
          </w:p>
        </w:tc>
      </w:tr>
      <w:tr w:rsidR="0062374B" w:rsidRPr="001C2D33" w:rsidTr="00904C18">
        <w:tc>
          <w:tcPr>
            <w:tcW w:w="4385" w:type="dxa"/>
          </w:tcPr>
          <w:p w:rsidR="0062374B" w:rsidRPr="001C2D33" w:rsidRDefault="0062374B" w:rsidP="004E4353">
            <w:pPr>
              <w:spacing w:line="360" w:lineRule="auto"/>
              <w:jc w:val="both"/>
              <w:rPr>
                <w:rFonts w:cstheme="minorHAnsi"/>
                <w:lang w:val="es-ES"/>
              </w:rPr>
            </w:pPr>
            <w:r w:rsidRPr="001C2D33">
              <w:rPr>
                <w:rFonts w:cstheme="minorHAnsi"/>
                <w:lang w:val="es-ES"/>
              </w:rPr>
              <w:t>MgCl</w:t>
            </w:r>
            <w:r w:rsidRPr="001C2D33">
              <w:rPr>
                <w:rFonts w:cstheme="minorHAnsi"/>
                <w:vertAlign w:val="subscript"/>
                <w:lang w:val="es-ES"/>
              </w:rPr>
              <w:t>2</w:t>
            </w:r>
            <w:r w:rsidRPr="001C2D33">
              <w:rPr>
                <w:rFonts w:cstheme="minorHAnsi"/>
                <w:lang w:val="es-ES"/>
              </w:rPr>
              <w:t xml:space="preserve"> (50mM)</w:t>
            </w:r>
          </w:p>
        </w:tc>
        <w:tc>
          <w:tcPr>
            <w:tcW w:w="4385" w:type="dxa"/>
          </w:tcPr>
          <w:p w:rsidR="0062374B" w:rsidRPr="001C2D33" w:rsidRDefault="0062374B" w:rsidP="004E4353">
            <w:pPr>
              <w:spacing w:line="360" w:lineRule="auto"/>
              <w:jc w:val="both"/>
              <w:rPr>
                <w:rFonts w:cstheme="minorHAnsi"/>
                <w:lang w:val="es-ES"/>
              </w:rPr>
            </w:pPr>
            <w:r w:rsidRPr="001C2D33">
              <w:rPr>
                <w:rFonts w:cstheme="minorHAnsi"/>
                <w:lang w:val="es-ES"/>
              </w:rPr>
              <w:t>0.4</w:t>
            </w:r>
            <w:r w:rsidRPr="001C2D33">
              <w:rPr>
                <w:rFonts w:cstheme="minorHAnsi"/>
              </w:rPr>
              <w:t>μ</w:t>
            </w:r>
            <w:r w:rsidRPr="001C2D33">
              <w:rPr>
                <w:rFonts w:cstheme="minorHAnsi"/>
                <w:lang w:val="es-ES"/>
              </w:rPr>
              <w:t>l</w:t>
            </w:r>
          </w:p>
        </w:tc>
      </w:tr>
      <w:tr w:rsidR="0062374B" w:rsidRPr="001C2D33" w:rsidTr="00904C18">
        <w:tc>
          <w:tcPr>
            <w:tcW w:w="4385" w:type="dxa"/>
          </w:tcPr>
          <w:p w:rsidR="0062374B" w:rsidRPr="001C2D33" w:rsidRDefault="0062374B" w:rsidP="004E4353">
            <w:pPr>
              <w:spacing w:line="360" w:lineRule="auto"/>
              <w:jc w:val="both"/>
              <w:rPr>
                <w:rFonts w:cstheme="minorHAnsi"/>
                <w:lang w:val="es-ES"/>
              </w:rPr>
            </w:pPr>
            <w:proofErr w:type="spellStart"/>
            <w:r w:rsidRPr="001C2D33">
              <w:rPr>
                <w:rFonts w:cstheme="minorHAnsi"/>
                <w:lang w:val="es-ES"/>
              </w:rPr>
              <w:t>Taq</w:t>
            </w:r>
            <w:proofErr w:type="spellEnd"/>
            <w:r w:rsidRPr="001C2D33">
              <w:rPr>
                <w:rFonts w:cstheme="minorHAnsi"/>
                <w:lang w:val="es-ES"/>
              </w:rPr>
              <w:t xml:space="preserve"> DNA </w:t>
            </w:r>
            <w:proofErr w:type="spellStart"/>
            <w:r w:rsidRPr="001C2D33">
              <w:rPr>
                <w:rFonts w:cstheme="minorHAnsi"/>
                <w:lang w:val="es-ES"/>
              </w:rPr>
              <w:t>polymerase</w:t>
            </w:r>
            <w:proofErr w:type="spellEnd"/>
          </w:p>
        </w:tc>
        <w:tc>
          <w:tcPr>
            <w:tcW w:w="4385" w:type="dxa"/>
          </w:tcPr>
          <w:p w:rsidR="0062374B" w:rsidRPr="001C2D33" w:rsidRDefault="0062374B" w:rsidP="004E4353">
            <w:pPr>
              <w:spacing w:line="360" w:lineRule="auto"/>
              <w:jc w:val="both"/>
              <w:rPr>
                <w:rFonts w:cstheme="minorHAnsi"/>
                <w:lang w:val="es-ES"/>
              </w:rPr>
            </w:pPr>
            <w:r w:rsidRPr="001C2D33">
              <w:rPr>
                <w:rFonts w:cstheme="minorHAnsi"/>
                <w:lang w:val="es-ES"/>
              </w:rPr>
              <w:t>10</w:t>
            </w:r>
            <w:r w:rsidRPr="001C2D33">
              <w:rPr>
                <w:rFonts w:cstheme="minorHAnsi"/>
              </w:rPr>
              <w:t>μ</w:t>
            </w:r>
            <w:r w:rsidRPr="001C2D33">
              <w:rPr>
                <w:rFonts w:cstheme="minorHAnsi"/>
                <w:lang w:val="es-ES"/>
              </w:rPr>
              <w:t>l</w:t>
            </w:r>
          </w:p>
        </w:tc>
      </w:tr>
      <w:tr w:rsidR="0062374B" w:rsidRPr="001C2D33" w:rsidTr="00904C18">
        <w:tc>
          <w:tcPr>
            <w:tcW w:w="4385" w:type="dxa"/>
          </w:tcPr>
          <w:p w:rsidR="0062374B" w:rsidRPr="001C2D33" w:rsidRDefault="0062374B" w:rsidP="004E4353">
            <w:pPr>
              <w:spacing w:line="360" w:lineRule="auto"/>
              <w:jc w:val="both"/>
              <w:rPr>
                <w:rFonts w:cstheme="minorHAnsi"/>
              </w:rPr>
            </w:pPr>
            <w:r w:rsidRPr="001C2D33">
              <w:rPr>
                <w:rFonts w:cstheme="minorHAnsi"/>
              </w:rPr>
              <w:t>Sterile H</w:t>
            </w:r>
            <w:r w:rsidRPr="001C2D33">
              <w:rPr>
                <w:rFonts w:cstheme="minorHAnsi"/>
                <w:vertAlign w:val="subscript"/>
              </w:rPr>
              <w:t>2</w:t>
            </w:r>
            <w:r w:rsidRPr="001C2D33">
              <w:rPr>
                <w:rFonts w:cstheme="minorHAnsi"/>
              </w:rPr>
              <w:t>O</w:t>
            </w:r>
          </w:p>
        </w:tc>
        <w:tc>
          <w:tcPr>
            <w:tcW w:w="4385" w:type="dxa"/>
          </w:tcPr>
          <w:p w:rsidR="0062374B" w:rsidRPr="001C2D33" w:rsidRDefault="0062374B" w:rsidP="004E4353">
            <w:pPr>
              <w:spacing w:line="360" w:lineRule="auto"/>
              <w:rPr>
                <w:rFonts w:cstheme="minorHAnsi"/>
              </w:rPr>
            </w:pPr>
            <w:r w:rsidRPr="001C2D33">
              <w:rPr>
                <w:rFonts w:cstheme="minorHAnsi"/>
              </w:rPr>
              <w:t>up to 20μl</w:t>
            </w:r>
          </w:p>
        </w:tc>
      </w:tr>
    </w:tbl>
    <w:p w:rsidR="0062374B" w:rsidRPr="001C2D33" w:rsidRDefault="0062374B" w:rsidP="004E4353">
      <w:pPr>
        <w:spacing w:line="360" w:lineRule="auto"/>
        <w:jc w:val="both"/>
        <w:rPr>
          <w:rFonts w:cstheme="minorHAnsi"/>
        </w:rPr>
      </w:pPr>
    </w:p>
    <w:p w:rsidR="00204F58" w:rsidRDefault="005E155A" w:rsidP="004E4353">
      <w:pPr>
        <w:spacing w:before="100" w:beforeAutospacing="1" w:after="100" w:afterAutospacing="1" w:line="360" w:lineRule="auto"/>
        <w:jc w:val="both"/>
        <w:rPr>
          <w:rFonts w:cstheme="minorHAnsi"/>
        </w:rPr>
      </w:pPr>
      <w:r w:rsidRPr="001C2D33">
        <w:rPr>
          <w:rFonts w:cstheme="minorHAnsi"/>
        </w:rPr>
        <w:t>3</w:t>
      </w:r>
      <w:r w:rsidR="0062374B" w:rsidRPr="001C2D33">
        <w:rPr>
          <w:rFonts w:cstheme="minorHAnsi"/>
        </w:rPr>
        <w:t xml:space="preserve">0-40 cycles of </w:t>
      </w:r>
      <w:proofErr w:type="spellStart"/>
      <w:r w:rsidR="0062374B" w:rsidRPr="001C2D33">
        <w:rPr>
          <w:rFonts w:cstheme="minorHAnsi"/>
        </w:rPr>
        <w:t>denaturation</w:t>
      </w:r>
      <w:proofErr w:type="spellEnd"/>
      <w:r w:rsidR="0062374B" w:rsidRPr="001C2D33">
        <w:rPr>
          <w:rFonts w:cstheme="minorHAnsi"/>
        </w:rPr>
        <w:t xml:space="preserve"> at 94°C for 15 sec, annealing at 55- 60°C (adjusted to be approx 5°C below the calculated melting temperature (Tm) for the specific primer sequences used) for 15 sec and elongation at 72°C for 1-3 min (depending on the expected product size, allowing 1 min per 1000bp).</w:t>
      </w:r>
    </w:p>
    <w:p w:rsidR="00204F58" w:rsidRDefault="00204F58" w:rsidP="00365964">
      <w:pPr>
        <w:spacing w:before="100" w:beforeAutospacing="1" w:after="100" w:afterAutospacing="1" w:line="360" w:lineRule="auto"/>
        <w:jc w:val="center"/>
        <w:rPr>
          <w:rFonts w:cstheme="minorHAnsi"/>
          <w:b/>
        </w:rPr>
      </w:pPr>
    </w:p>
    <w:p w:rsidR="005E155A" w:rsidRPr="001C2D33" w:rsidRDefault="00463798" w:rsidP="00365964">
      <w:pPr>
        <w:spacing w:before="100" w:beforeAutospacing="1" w:after="100" w:afterAutospacing="1" w:line="360" w:lineRule="auto"/>
        <w:jc w:val="center"/>
        <w:rPr>
          <w:rFonts w:cstheme="minorHAnsi"/>
          <w:b/>
        </w:rPr>
      </w:pPr>
      <w:r w:rsidRPr="001C2D33">
        <w:rPr>
          <w:rFonts w:cstheme="minorHAnsi"/>
          <w:b/>
        </w:rPr>
        <w:t xml:space="preserve">2.6 </w:t>
      </w:r>
      <w:proofErr w:type="spellStart"/>
      <w:r w:rsidRPr="001C2D33">
        <w:rPr>
          <w:rFonts w:cstheme="minorHAnsi"/>
          <w:b/>
        </w:rPr>
        <w:t>Agarose</w:t>
      </w:r>
      <w:proofErr w:type="spellEnd"/>
      <w:r w:rsidRPr="001C2D33">
        <w:rPr>
          <w:rFonts w:cstheme="minorHAnsi"/>
          <w:b/>
        </w:rPr>
        <w:t xml:space="preserve"> gel</w:t>
      </w:r>
    </w:p>
    <w:p w:rsidR="005E155A" w:rsidRPr="001C2D33" w:rsidRDefault="005E155A" w:rsidP="004E4353">
      <w:pPr>
        <w:spacing w:before="100" w:beforeAutospacing="1" w:after="100" w:afterAutospacing="1" w:line="360" w:lineRule="auto"/>
        <w:jc w:val="both"/>
        <w:rPr>
          <w:rFonts w:cstheme="minorHAnsi"/>
        </w:rPr>
      </w:pPr>
      <w:r w:rsidRPr="001C2D33">
        <w:rPr>
          <w:rFonts w:cstheme="minorHAnsi"/>
        </w:rPr>
        <w:t xml:space="preserve">DNA was separated on </w:t>
      </w:r>
      <w:proofErr w:type="spellStart"/>
      <w:r w:rsidRPr="001C2D33">
        <w:rPr>
          <w:rFonts w:cstheme="minorHAnsi"/>
        </w:rPr>
        <w:t>agarose</w:t>
      </w:r>
      <w:proofErr w:type="spellEnd"/>
      <w:r w:rsidRPr="001C2D33">
        <w:rPr>
          <w:rFonts w:cstheme="minorHAnsi"/>
        </w:rPr>
        <w:t xml:space="preserve"> gel by electrophoresis in a Bio </w:t>
      </w:r>
      <w:proofErr w:type="spellStart"/>
      <w:r w:rsidRPr="001C2D33">
        <w:rPr>
          <w:rFonts w:cstheme="minorHAnsi"/>
        </w:rPr>
        <w:t>Rad</w:t>
      </w:r>
      <w:proofErr w:type="spellEnd"/>
      <w:r w:rsidRPr="001C2D33">
        <w:rPr>
          <w:rFonts w:cstheme="minorHAnsi"/>
        </w:rPr>
        <w:t xml:space="preserve"> mini </w:t>
      </w:r>
      <w:proofErr w:type="spellStart"/>
      <w:r w:rsidRPr="001C2D33">
        <w:rPr>
          <w:rFonts w:cstheme="minorHAnsi"/>
        </w:rPr>
        <w:t>subcell</w:t>
      </w:r>
      <w:proofErr w:type="spellEnd"/>
      <w:r w:rsidRPr="001C2D33">
        <w:rPr>
          <w:rFonts w:cstheme="minorHAnsi"/>
        </w:rPr>
        <w:t xml:space="preserve">. </w:t>
      </w:r>
      <w:proofErr w:type="spellStart"/>
      <w:r w:rsidRPr="001C2D33">
        <w:rPr>
          <w:rFonts w:cstheme="minorHAnsi"/>
        </w:rPr>
        <w:t>Agarose</w:t>
      </w:r>
      <w:proofErr w:type="spellEnd"/>
      <w:r w:rsidRPr="001C2D33">
        <w:rPr>
          <w:rFonts w:cstheme="minorHAnsi"/>
        </w:rPr>
        <w:t xml:space="preserve"> was dissolved in 1X TAE prepared from 50X stock (2MTris base, 57.1 ml glacial acetic acid, 0.05M EDTA pH 8.0) and the solution made up to 1 litre with H</w:t>
      </w:r>
      <w:r w:rsidRPr="001C2D33">
        <w:rPr>
          <w:rFonts w:cstheme="minorHAnsi"/>
          <w:vertAlign w:val="subscript"/>
        </w:rPr>
        <w:t>2</w:t>
      </w:r>
      <w:r w:rsidRPr="001C2D33">
        <w:rPr>
          <w:rFonts w:cstheme="minorHAnsi"/>
        </w:rPr>
        <w:t xml:space="preserve">O. 40 mg </w:t>
      </w:r>
      <w:proofErr w:type="spellStart"/>
      <w:r w:rsidRPr="001C2D33">
        <w:rPr>
          <w:rFonts w:cstheme="minorHAnsi"/>
        </w:rPr>
        <w:t>agarose</w:t>
      </w:r>
      <w:proofErr w:type="spellEnd"/>
      <w:r w:rsidRPr="001C2D33">
        <w:rPr>
          <w:rFonts w:cstheme="minorHAnsi"/>
        </w:rPr>
        <w:t xml:space="preserve"> was dissolved in 40 ml of 1X TAE buffer by heating in a microwave at 700 Watts for 1-2 min</w:t>
      </w:r>
      <w:r w:rsidR="00201800" w:rsidRPr="001C2D33">
        <w:rPr>
          <w:rFonts w:cstheme="minorHAnsi"/>
        </w:rPr>
        <w:t>utes</w:t>
      </w:r>
      <w:r w:rsidRPr="001C2D33">
        <w:rPr>
          <w:rFonts w:cstheme="minorHAnsi"/>
        </w:rPr>
        <w:t xml:space="preserve">. 4μl of the intercalating agent </w:t>
      </w:r>
      <w:proofErr w:type="spellStart"/>
      <w:r w:rsidRPr="001C2D33">
        <w:rPr>
          <w:rFonts w:cstheme="minorHAnsi"/>
        </w:rPr>
        <w:t>ethidium</w:t>
      </w:r>
      <w:proofErr w:type="spellEnd"/>
      <w:r w:rsidRPr="001C2D33">
        <w:rPr>
          <w:rFonts w:cstheme="minorHAnsi"/>
        </w:rPr>
        <w:t xml:space="preserve"> bromide (5ng/</w:t>
      </w:r>
      <w:proofErr w:type="spellStart"/>
      <w:r w:rsidRPr="001C2D33">
        <w:rPr>
          <w:rFonts w:cstheme="minorHAnsi"/>
        </w:rPr>
        <w:t>μl</w:t>
      </w:r>
      <w:proofErr w:type="spellEnd"/>
      <w:r w:rsidRPr="001C2D33">
        <w:rPr>
          <w:rFonts w:cstheme="minorHAnsi"/>
        </w:rPr>
        <w:t xml:space="preserve">) was added to the gel to act a fluorescent indicator for DNA </w:t>
      </w:r>
      <w:r w:rsidR="00201800" w:rsidRPr="001C2D33">
        <w:rPr>
          <w:rFonts w:cstheme="minorHAnsi"/>
        </w:rPr>
        <w:t>and the liquid solution was added to</w:t>
      </w:r>
      <w:r w:rsidRPr="001C2D33">
        <w:rPr>
          <w:rFonts w:cstheme="minorHAnsi"/>
        </w:rPr>
        <w:t xml:space="preserve"> UV-transparent gel tray. </w:t>
      </w:r>
      <w:r w:rsidR="00201800" w:rsidRPr="001C2D33">
        <w:rPr>
          <w:rFonts w:cstheme="minorHAnsi"/>
        </w:rPr>
        <w:t>Combs were added prior to the gel setting to create wells. Once set, t</w:t>
      </w:r>
      <w:r w:rsidRPr="001C2D33">
        <w:rPr>
          <w:rFonts w:cstheme="minorHAnsi"/>
        </w:rPr>
        <w:t xml:space="preserve">he gel was submerged in TAE buffer and samples with loading buffer were added (0.2% w/v </w:t>
      </w:r>
      <w:proofErr w:type="spellStart"/>
      <w:r w:rsidRPr="001C2D33">
        <w:rPr>
          <w:rFonts w:cstheme="minorHAnsi"/>
        </w:rPr>
        <w:t>bromophenol</w:t>
      </w:r>
      <w:proofErr w:type="spellEnd"/>
      <w:r w:rsidRPr="001C2D33">
        <w:rPr>
          <w:rFonts w:cstheme="minorHAnsi"/>
        </w:rPr>
        <w:t xml:space="preserve"> blue, 50% v/v glycerol). To determine the size of DNA fragments, 2.5μl of Hyper Ladder 1 (</w:t>
      </w:r>
      <w:proofErr w:type="spellStart"/>
      <w:r w:rsidRPr="001C2D33">
        <w:rPr>
          <w:rFonts w:cstheme="minorHAnsi"/>
        </w:rPr>
        <w:t>Bioline</w:t>
      </w:r>
      <w:proofErr w:type="spellEnd"/>
      <w:r w:rsidRPr="001C2D33">
        <w:rPr>
          <w:rFonts w:cstheme="minorHAnsi"/>
        </w:rPr>
        <w:t xml:space="preserve">) was used. The gel was run at 100 V for approximately </w:t>
      </w:r>
      <w:r w:rsidR="00201800" w:rsidRPr="001C2D33">
        <w:rPr>
          <w:rFonts w:cstheme="minorHAnsi"/>
        </w:rPr>
        <w:t>3</w:t>
      </w:r>
      <w:r w:rsidRPr="001C2D33">
        <w:rPr>
          <w:rFonts w:cstheme="minorHAnsi"/>
        </w:rPr>
        <w:t>0 min</w:t>
      </w:r>
      <w:r w:rsidR="00201800" w:rsidRPr="001C2D33">
        <w:rPr>
          <w:rFonts w:cstheme="minorHAnsi"/>
        </w:rPr>
        <w:t>utes</w:t>
      </w:r>
      <w:r w:rsidRPr="001C2D33">
        <w:rPr>
          <w:rFonts w:cstheme="minorHAnsi"/>
        </w:rPr>
        <w:t xml:space="preserve"> using power supply (Bio </w:t>
      </w:r>
      <w:proofErr w:type="spellStart"/>
      <w:r w:rsidRPr="001C2D33">
        <w:rPr>
          <w:rFonts w:cstheme="minorHAnsi"/>
        </w:rPr>
        <w:t>Rad</w:t>
      </w:r>
      <w:proofErr w:type="spellEnd"/>
      <w:r w:rsidRPr="001C2D33">
        <w:rPr>
          <w:rFonts w:cstheme="minorHAnsi"/>
        </w:rPr>
        <w:t>)</w:t>
      </w:r>
      <w:r w:rsidR="00201800" w:rsidRPr="001C2D33">
        <w:rPr>
          <w:rFonts w:cstheme="minorHAnsi"/>
        </w:rPr>
        <w:t>.</w:t>
      </w:r>
      <w:r w:rsidRPr="001C2D33">
        <w:rPr>
          <w:rFonts w:cstheme="minorHAnsi"/>
        </w:rPr>
        <w:t xml:space="preserve"> </w:t>
      </w:r>
      <w:r w:rsidR="00201800" w:rsidRPr="001C2D33">
        <w:rPr>
          <w:rFonts w:cstheme="minorHAnsi"/>
        </w:rPr>
        <w:t>T</w:t>
      </w:r>
      <w:r w:rsidRPr="001C2D33">
        <w:rPr>
          <w:rFonts w:cstheme="minorHAnsi"/>
        </w:rPr>
        <w:t xml:space="preserve">he DNA was visualized in the gel and </w:t>
      </w:r>
      <w:r w:rsidR="00201800" w:rsidRPr="001C2D33">
        <w:rPr>
          <w:rFonts w:cstheme="minorHAnsi"/>
        </w:rPr>
        <w:t xml:space="preserve">a </w:t>
      </w:r>
      <w:r w:rsidRPr="001C2D33">
        <w:rPr>
          <w:rFonts w:cstheme="minorHAnsi"/>
        </w:rPr>
        <w:t xml:space="preserve">digital image taken using an </w:t>
      </w:r>
      <w:proofErr w:type="spellStart"/>
      <w:r w:rsidRPr="001C2D33">
        <w:rPr>
          <w:rFonts w:cstheme="minorHAnsi"/>
        </w:rPr>
        <w:t>UVitech</w:t>
      </w:r>
      <w:proofErr w:type="spellEnd"/>
      <w:r w:rsidRPr="001C2D33">
        <w:rPr>
          <w:rFonts w:cstheme="minorHAnsi"/>
        </w:rPr>
        <w:t xml:space="preserve"> </w:t>
      </w:r>
      <w:proofErr w:type="spellStart"/>
      <w:r w:rsidRPr="001C2D33">
        <w:rPr>
          <w:rFonts w:cstheme="minorHAnsi"/>
        </w:rPr>
        <w:t>transilluminator</w:t>
      </w:r>
      <w:proofErr w:type="spellEnd"/>
      <w:r w:rsidRPr="001C2D33">
        <w:rPr>
          <w:rFonts w:cstheme="minorHAnsi"/>
        </w:rPr>
        <w:t xml:space="preserve"> attached to a digital camera.</w:t>
      </w:r>
    </w:p>
    <w:p w:rsidR="00365964" w:rsidRDefault="00365964" w:rsidP="004E4353">
      <w:pPr>
        <w:spacing w:before="100" w:beforeAutospacing="1" w:after="100" w:afterAutospacing="1" w:line="360" w:lineRule="auto"/>
        <w:jc w:val="both"/>
        <w:rPr>
          <w:rFonts w:cstheme="minorHAnsi"/>
          <w:b/>
        </w:rPr>
      </w:pPr>
    </w:p>
    <w:p w:rsidR="00B00EF5" w:rsidRDefault="00B00EF5" w:rsidP="004E4353">
      <w:pPr>
        <w:spacing w:before="100" w:beforeAutospacing="1" w:after="100" w:afterAutospacing="1" w:line="360" w:lineRule="auto"/>
        <w:jc w:val="both"/>
        <w:rPr>
          <w:rFonts w:cstheme="minorHAnsi"/>
          <w:b/>
        </w:rPr>
      </w:pPr>
    </w:p>
    <w:p w:rsidR="007D14D8" w:rsidRPr="00B00EF5" w:rsidRDefault="007D14D8" w:rsidP="00935DA6">
      <w:pPr>
        <w:spacing w:line="360" w:lineRule="auto"/>
        <w:ind w:right="-126"/>
        <w:jc w:val="both"/>
        <w:rPr>
          <w:rFonts w:cstheme="minorHAnsi"/>
        </w:rPr>
      </w:pPr>
    </w:p>
    <w:p w:rsidR="004E5CA5" w:rsidRPr="001C2D33" w:rsidRDefault="00917BC1" w:rsidP="00365964">
      <w:pPr>
        <w:spacing w:line="360" w:lineRule="auto"/>
        <w:jc w:val="center"/>
        <w:rPr>
          <w:rFonts w:cstheme="minorHAnsi"/>
          <w:b/>
        </w:rPr>
      </w:pPr>
      <w:r w:rsidRPr="001C2D33">
        <w:rPr>
          <w:rFonts w:cstheme="minorHAnsi"/>
          <w:b/>
        </w:rPr>
        <w:lastRenderedPageBreak/>
        <w:t>2.9</w:t>
      </w:r>
      <w:r w:rsidR="004E5CA5" w:rsidRPr="001C2D33">
        <w:rPr>
          <w:rFonts w:cstheme="minorHAnsi"/>
          <w:b/>
        </w:rPr>
        <w:t xml:space="preserve"> </w:t>
      </w:r>
      <w:proofErr w:type="spellStart"/>
      <w:r w:rsidR="004E5CA5" w:rsidRPr="001C2D33">
        <w:rPr>
          <w:rFonts w:cstheme="minorHAnsi"/>
          <w:b/>
        </w:rPr>
        <w:t>Stomatal</w:t>
      </w:r>
      <w:proofErr w:type="spellEnd"/>
      <w:r w:rsidR="004E5CA5" w:rsidRPr="001C2D33">
        <w:rPr>
          <w:rFonts w:cstheme="minorHAnsi"/>
          <w:b/>
        </w:rPr>
        <w:t xml:space="preserve"> measurements</w:t>
      </w:r>
    </w:p>
    <w:p w:rsidR="00917BC1" w:rsidRPr="001C2D33" w:rsidRDefault="00917BC1" w:rsidP="004E4353">
      <w:pPr>
        <w:spacing w:line="360" w:lineRule="auto"/>
        <w:rPr>
          <w:rFonts w:cstheme="minorHAnsi"/>
          <w:b/>
        </w:rPr>
      </w:pPr>
      <w:r w:rsidRPr="001C2D33">
        <w:rPr>
          <w:rFonts w:cstheme="minorHAnsi"/>
          <w:b/>
        </w:rPr>
        <w:t>2.9.1 Stomata density and index</w:t>
      </w:r>
    </w:p>
    <w:p w:rsidR="007058DC" w:rsidRPr="001C2D33" w:rsidRDefault="004E5CA5" w:rsidP="00365964">
      <w:pPr>
        <w:spacing w:line="360" w:lineRule="auto"/>
        <w:jc w:val="both"/>
        <w:rPr>
          <w:rFonts w:cstheme="minorHAnsi"/>
        </w:rPr>
      </w:pPr>
      <w:r w:rsidRPr="001C2D33">
        <w:rPr>
          <w:rFonts w:cstheme="minorHAnsi"/>
        </w:rPr>
        <w:t>Dental resin (</w:t>
      </w:r>
      <w:proofErr w:type="spellStart"/>
      <w:r w:rsidRPr="001C2D33">
        <w:rPr>
          <w:rFonts w:cstheme="minorHAnsi"/>
        </w:rPr>
        <w:t>ColteneWhaledent</w:t>
      </w:r>
      <w:proofErr w:type="spellEnd"/>
      <w:r w:rsidRPr="001C2D33">
        <w:rPr>
          <w:rFonts w:cstheme="minorHAnsi"/>
        </w:rPr>
        <w:t>, Switzerland) was applied to both surfaces of fully expanded leaves and nail varnish peels were taken from set resin. Cell counts were taken from the widest area</w:t>
      </w:r>
      <w:r w:rsidR="00917BC1" w:rsidRPr="001C2D33">
        <w:rPr>
          <w:rFonts w:cstheme="minorHAnsi"/>
        </w:rPr>
        <w:t xml:space="preserve"> (</w:t>
      </w:r>
      <w:r w:rsidR="00F22C5C">
        <w:rPr>
          <w:rFonts w:cstheme="minorHAnsi"/>
        </w:rPr>
        <w:t>Fig</w:t>
      </w:r>
      <w:r w:rsidR="00917BC1" w:rsidRPr="001C2D33">
        <w:rPr>
          <w:rFonts w:cstheme="minorHAnsi"/>
        </w:rPr>
        <w:t xml:space="preserve"> 2.9.1)</w:t>
      </w:r>
      <w:r w:rsidR="007058DC" w:rsidRPr="001C2D33">
        <w:rPr>
          <w:rFonts w:cstheme="minorHAnsi"/>
        </w:rPr>
        <w:t xml:space="preserve"> of 2 leaves each from at least 4 plants of each genotype at each growth condition. </w:t>
      </w:r>
    </w:p>
    <w:p w:rsidR="00917BC1" w:rsidRPr="001C2D33" w:rsidRDefault="00917BC1" w:rsidP="00917BC1">
      <w:pPr>
        <w:spacing w:line="360" w:lineRule="auto"/>
        <w:rPr>
          <w:rFonts w:cstheme="minorHAnsi"/>
        </w:rPr>
      </w:pPr>
    </w:p>
    <w:p w:rsidR="00917BC1" w:rsidRPr="001C2D33" w:rsidRDefault="00917BC1" w:rsidP="00917BC1">
      <w:pPr>
        <w:spacing w:line="360" w:lineRule="auto"/>
        <w:jc w:val="center"/>
        <w:rPr>
          <w:rFonts w:cstheme="minorHAnsi"/>
        </w:rPr>
      </w:pPr>
      <w:r w:rsidRPr="001C2D33">
        <w:rPr>
          <w:rFonts w:cstheme="minorHAnsi"/>
          <w:noProof/>
        </w:rPr>
        <w:drawing>
          <wp:inline distT="0" distB="0" distL="0" distR="0">
            <wp:extent cx="3123013" cy="3179401"/>
            <wp:effectExtent l="19050" t="0" r="1187" b="0"/>
            <wp:docPr id="2" name="Picture 1" descr="C:\Users\Tim\Documents\Year 4\Thesis\figures\lea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m\Documents\Year 4\Thesis\figures\leaf.gif"/>
                    <pic:cNvPicPr>
                      <a:picLocks noChangeAspect="1" noChangeArrowheads="1"/>
                    </pic:cNvPicPr>
                  </pic:nvPicPr>
                  <pic:blipFill>
                    <a:blip r:embed="rId7" cstate="print"/>
                    <a:srcRect/>
                    <a:stretch>
                      <a:fillRect/>
                    </a:stretch>
                  </pic:blipFill>
                  <pic:spPr bwMode="auto">
                    <a:xfrm>
                      <a:off x="0" y="0"/>
                      <a:ext cx="3123013" cy="3179401"/>
                    </a:xfrm>
                    <a:prstGeom prst="rect">
                      <a:avLst/>
                    </a:prstGeom>
                    <a:noFill/>
                    <a:ln w="9525">
                      <a:noFill/>
                      <a:miter lim="800000"/>
                      <a:headEnd/>
                      <a:tailEnd/>
                    </a:ln>
                  </pic:spPr>
                </pic:pic>
              </a:graphicData>
            </a:graphic>
          </wp:inline>
        </w:drawing>
      </w:r>
      <w:r w:rsidRPr="001C2D33">
        <w:rPr>
          <w:rFonts w:cstheme="minorHAnsi"/>
        </w:rPr>
        <w:br/>
      </w:r>
      <w:r w:rsidRPr="00A54878">
        <w:rPr>
          <w:rFonts w:ascii="Times New Roman" w:hAnsi="Times New Roman" w:cs="Times New Roman"/>
          <w:b/>
          <w:sz w:val="20"/>
          <w:szCs w:val="20"/>
        </w:rPr>
        <w:t xml:space="preserve">Fig 2.1: </w:t>
      </w:r>
      <w:proofErr w:type="spellStart"/>
      <w:r w:rsidRPr="00A54878">
        <w:rPr>
          <w:rFonts w:ascii="Times New Roman" w:hAnsi="Times New Roman" w:cs="Times New Roman"/>
          <w:b/>
          <w:sz w:val="20"/>
          <w:szCs w:val="20"/>
        </w:rPr>
        <w:t>Stomatal</w:t>
      </w:r>
      <w:proofErr w:type="spellEnd"/>
      <w:r w:rsidRPr="00A54878">
        <w:rPr>
          <w:rFonts w:ascii="Times New Roman" w:hAnsi="Times New Roman" w:cs="Times New Roman"/>
          <w:b/>
          <w:sz w:val="20"/>
          <w:szCs w:val="20"/>
        </w:rPr>
        <w:t xml:space="preserve"> counts were taken </w:t>
      </w:r>
      <w:r w:rsidR="007058DC" w:rsidRPr="00A54878">
        <w:rPr>
          <w:rFonts w:ascii="Times New Roman" w:hAnsi="Times New Roman" w:cs="Times New Roman"/>
          <w:b/>
          <w:sz w:val="20"/>
          <w:szCs w:val="20"/>
        </w:rPr>
        <w:t xml:space="preserve">from the areas of leaves circled in </w:t>
      </w:r>
      <w:r w:rsidR="0061772E">
        <w:rPr>
          <w:rFonts w:ascii="Times New Roman" w:hAnsi="Times New Roman" w:cs="Times New Roman"/>
          <w:b/>
          <w:sz w:val="20"/>
          <w:szCs w:val="20"/>
        </w:rPr>
        <w:t xml:space="preserve">dark </w:t>
      </w:r>
      <w:r w:rsidR="007058DC" w:rsidRPr="00A54878">
        <w:rPr>
          <w:rFonts w:ascii="Times New Roman" w:hAnsi="Times New Roman" w:cs="Times New Roman"/>
          <w:b/>
          <w:sz w:val="20"/>
          <w:szCs w:val="20"/>
        </w:rPr>
        <w:t>red.</w:t>
      </w:r>
    </w:p>
    <w:p w:rsidR="00917BC1" w:rsidRPr="001C2D33" w:rsidRDefault="00917BC1" w:rsidP="004E4353">
      <w:pPr>
        <w:spacing w:line="360" w:lineRule="auto"/>
        <w:rPr>
          <w:rFonts w:cstheme="minorHAnsi"/>
        </w:rPr>
      </w:pPr>
    </w:p>
    <w:p w:rsidR="00CB0E48" w:rsidRPr="001C2D33" w:rsidRDefault="00904C18" w:rsidP="004E4353">
      <w:pPr>
        <w:spacing w:line="360" w:lineRule="auto"/>
        <w:rPr>
          <w:rFonts w:cstheme="minorHAnsi"/>
          <w:b/>
        </w:rPr>
      </w:pPr>
      <w:r w:rsidRPr="001C2D33">
        <w:rPr>
          <w:rFonts w:cstheme="minorHAnsi"/>
          <w:b/>
        </w:rPr>
        <w:t xml:space="preserve">2.9.2 </w:t>
      </w:r>
      <w:proofErr w:type="spellStart"/>
      <w:r w:rsidRPr="001C2D33">
        <w:rPr>
          <w:rFonts w:cstheme="minorHAnsi"/>
          <w:b/>
        </w:rPr>
        <w:t>Stomatal</w:t>
      </w:r>
      <w:proofErr w:type="spellEnd"/>
      <w:r w:rsidRPr="001C2D33">
        <w:rPr>
          <w:rFonts w:cstheme="minorHAnsi"/>
          <w:b/>
        </w:rPr>
        <w:t xml:space="preserve"> size</w:t>
      </w:r>
    </w:p>
    <w:p w:rsidR="004E5CA5" w:rsidRPr="001C2D33" w:rsidRDefault="0061772E" w:rsidP="00A2079D">
      <w:pPr>
        <w:spacing w:line="360" w:lineRule="auto"/>
        <w:jc w:val="both"/>
        <w:rPr>
          <w:rFonts w:cstheme="minorHAnsi"/>
        </w:rPr>
      </w:pPr>
      <w:r>
        <w:rPr>
          <w:rFonts w:cstheme="minorHAnsi"/>
        </w:rPr>
        <w:t>Stomata size (</w:t>
      </w:r>
      <w:r w:rsidR="004E5CA5" w:rsidRPr="001C2D33">
        <w:rPr>
          <w:rFonts w:cstheme="minorHAnsi"/>
          <w:i/>
        </w:rPr>
        <w:t>S</w:t>
      </w:r>
      <w:r>
        <w:rPr>
          <w:rFonts w:cstheme="minorHAnsi"/>
          <w:i/>
        </w:rPr>
        <w:t>)</w:t>
      </w:r>
      <w:r w:rsidR="004E5CA5" w:rsidRPr="001C2D33">
        <w:rPr>
          <w:rFonts w:cstheme="minorHAnsi"/>
        </w:rPr>
        <w:t xml:space="preserve"> was calculated from measurements of guard cell length and width following incubation of leaf samples with the fungal toxin </w:t>
      </w:r>
      <w:proofErr w:type="spellStart"/>
      <w:r w:rsidR="004E5CA5" w:rsidRPr="001C2D33">
        <w:rPr>
          <w:rFonts w:cstheme="minorHAnsi"/>
        </w:rPr>
        <w:t>fusicoccin</w:t>
      </w:r>
      <w:proofErr w:type="spellEnd"/>
      <w:r w:rsidR="004E5CA5" w:rsidRPr="001C2D33">
        <w:rPr>
          <w:rFonts w:cstheme="minorHAnsi"/>
        </w:rPr>
        <w:t xml:space="preserve"> to open pores. </w:t>
      </w:r>
      <w:proofErr w:type="spellStart"/>
      <w:r w:rsidR="004E5CA5" w:rsidRPr="001C2D33">
        <w:rPr>
          <w:rFonts w:cstheme="minorHAnsi"/>
        </w:rPr>
        <w:t>Abaxial</w:t>
      </w:r>
      <w:proofErr w:type="spellEnd"/>
      <w:r w:rsidR="004E5CA5" w:rsidRPr="001C2D33">
        <w:rPr>
          <w:rFonts w:cstheme="minorHAnsi"/>
        </w:rPr>
        <w:t xml:space="preserve"> leaf epidermal peels of mature leaves were removed 2-3 hours into the photoperiod and floated on opening buffer (10mM </w:t>
      </w:r>
      <w:proofErr w:type="spellStart"/>
      <w:r w:rsidR="004E5CA5" w:rsidRPr="001C2D33">
        <w:rPr>
          <w:rFonts w:cstheme="minorHAnsi"/>
        </w:rPr>
        <w:t>KCl</w:t>
      </w:r>
      <w:proofErr w:type="spellEnd"/>
      <w:r w:rsidR="004E5CA5" w:rsidRPr="001C2D33">
        <w:rPr>
          <w:rFonts w:cstheme="minorHAnsi"/>
        </w:rPr>
        <w:t xml:space="preserve">, 10mM MES , pH 6.2 , supplemented with 500nM </w:t>
      </w:r>
      <w:proofErr w:type="spellStart"/>
      <w:r w:rsidR="004E5CA5" w:rsidRPr="001C2D33">
        <w:rPr>
          <w:rFonts w:cstheme="minorHAnsi"/>
        </w:rPr>
        <w:t>fusicoccin</w:t>
      </w:r>
      <w:proofErr w:type="spellEnd"/>
      <w:r w:rsidR="00C210A6" w:rsidRPr="001C2D33">
        <w:rPr>
          <w:rFonts w:cstheme="minorHAnsi"/>
        </w:rPr>
        <w:t xml:space="preserve"> </w:t>
      </w:r>
      <w:r w:rsidR="004E5CA5" w:rsidRPr="001C2D33">
        <w:rPr>
          <w:rFonts w:cstheme="minorHAnsi"/>
        </w:rPr>
        <w:t>(Sigma-Aldric</w:t>
      </w:r>
      <w:r>
        <w:rPr>
          <w:rFonts w:cstheme="minorHAnsi"/>
        </w:rPr>
        <w:t>h)) and incubated at 22ºC for 2</w:t>
      </w:r>
      <w:r w:rsidR="004E5CA5" w:rsidRPr="001C2D33">
        <w:rPr>
          <w:rFonts w:cstheme="minorHAnsi"/>
        </w:rPr>
        <w:t>h</w:t>
      </w:r>
      <w:r>
        <w:rPr>
          <w:rFonts w:cstheme="minorHAnsi"/>
        </w:rPr>
        <w:t xml:space="preserve"> at 200 µmol light</w:t>
      </w:r>
      <w:r w:rsidR="004E5CA5" w:rsidRPr="001C2D33">
        <w:rPr>
          <w:rFonts w:cstheme="minorHAnsi"/>
        </w:rPr>
        <w:t xml:space="preserve"> </w:t>
      </w:r>
      <w:r w:rsidR="000D10DC" w:rsidRPr="001C2D33">
        <w:rPr>
          <w:rFonts w:cstheme="minorHAnsi"/>
        </w:rPr>
        <w:t>(Webb and He</w:t>
      </w:r>
      <w:r w:rsidR="004A7632" w:rsidRPr="001C2D33">
        <w:rPr>
          <w:rFonts w:cstheme="minorHAnsi"/>
        </w:rPr>
        <w:t xml:space="preserve">therington, 1997; Stout, 1988). </w:t>
      </w:r>
      <w:proofErr w:type="spellStart"/>
      <w:r w:rsidR="004E5CA5" w:rsidRPr="001C2D33">
        <w:rPr>
          <w:rFonts w:cstheme="minorHAnsi"/>
        </w:rPr>
        <w:t>Stomatal</w:t>
      </w:r>
      <w:proofErr w:type="spellEnd"/>
      <w:r w:rsidR="004E5CA5" w:rsidRPr="001C2D33">
        <w:rPr>
          <w:rFonts w:cstheme="minorHAnsi"/>
        </w:rPr>
        <w:t xml:space="preserve"> measurements</w:t>
      </w:r>
      <w:r w:rsidR="00C210A6" w:rsidRPr="001C2D33">
        <w:rPr>
          <w:rFonts w:cstheme="minorHAnsi"/>
        </w:rPr>
        <w:t xml:space="preserve"> </w:t>
      </w:r>
      <w:r w:rsidR="004E5CA5" w:rsidRPr="001C2D33">
        <w:rPr>
          <w:rFonts w:cstheme="minorHAnsi"/>
        </w:rPr>
        <w:t xml:space="preserve">and maximum apertures were determined by light microscopy (Olympus BX51), using a fitted camera (Olympus DP70), and measured using </w:t>
      </w:r>
      <w:proofErr w:type="spellStart"/>
      <w:r w:rsidR="004E5CA5" w:rsidRPr="001C2D33">
        <w:rPr>
          <w:rFonts w:cstheme="minorHAnsi"/>
        </w:rPr>
        <w:lastRenderedPageBreak/>
        <w:t>ImageJ</w:t>
      </w:r>
      <w:proofErr w:type="spellEnd"/>
      <w:r w:rsidR="004E5CA5" w:rsidRPr="001C2D33">
        <w:rPr>
          <w:rFonts w:cstheme="minorHAnsi"/>
        </w:rPr>
        <w:t xml:space="preserve"> software version 1.43u. Maximum </w:t>
      </w:r>
      <w:r>
        <w:rPr>
          <w:rFonts w:cstheme="minorHAnsi"/>
        </w:rPr>
        <w:t>pore area</w:t>
      </w:r>
      <w:r w:rsidR="004E5CA5" w:rsidRPr="001C2D33">
        <w:rPr>
          <w:rFonts w:cstheme="minorHAnsi"/>
        </w:rPr>
        <w:t xml:space="preserve"> was estimated from</w:t>
      </w:r>
      <w:r w:rsidR="00463798" w:rsidRPr="001C2D33">
        <w:rPr>
          <w:rFonts w:cstheme="minorHAnsi"/>
        </w:rPr>
        <w:t xml:space="preserve"> the equation of an </w:t>
      </w:r>
      <w:proofErr w:type="spellStart"/>
      <w:r w:rsidR="00463798" w:rsidRPr="001C2D33">
        <w:rPr>
          <w:rFonts w:cstheme="minorHAnsi"/>
        </w:rPr>
        <w:t>elipse</w:t>
      </w:r>
      <w:proofErr w:type="spellEnd"/>
      <w:r w:rsidR="00FE537F" w:rsidRPr="001C2D33">
        <w:rPr>
          <w:rFonts w:cstheme="minorHAnsi"/>
        </w:rPr>
        <w:t xml:space="preserve"> (Fig 2.</w:t>
      </w:r>
      <w:r>
        <w:rPr>
          <w:rFonts w:cstheme="minorHAnsi"/>
        </w:rPr>
        <w:t>2</w:t>
      </w:r>
      <w:r w:rsidR="00FE537F" w:rsidRPr="001C2D33">
        <w:rPr>
          <w:rFonts w:cstheme="minorHAnsi"/>
        </w:rPr>
        <w:t>,</w:t>
      </w:r>
      <w:r>
        <w:rPr>
          <w:rFonts w:cstheme="minorHAnsi"/>
        </w:rPr>
        <w:t xml:space="preserve"> equations 1 and 2</w:t>
      </w:r>
      <w:r w:rsidR="00FE537F" w:rsidRPr="001C2D33">
        <w:rPr>
          <w:rFonts w:cstheme="minorHAnsi"/>
        </w:rPr>
        <w:t>).</w:t>
      </w:r>
    </w:p>
    <w:p w:rsidR="00FE537F" w:rsidRPr="001C2D33" w:rsidRDefault="00904C18" w:rsidP="00FE537F">
      <w:pPr>
        <w:spacing w:line="360" w:lineRule="auto"/>
        <w:jc w:val="center"/>
        <w:rPr>
          <w:rFonts w:cstheme="minorHAnsi"/>
        </w:rPr>
      </w:pPr>
      <w:r w:rsidRPr="001C2D33">
        <w:rPr>
          <w:rFonts w:cstheme="minorHAnsi"/>
          <w:noProof/>
        </w:rPr>
        <w:drawing>
          <wp:inline distT="0" distB="0" distL="0" distR="0">
            <wp:extent cx="5060950" cy="3668395"/>
            <wp:effectExtent l="19050" t="0" r="6350" b="0"/>
            <wp:docPr id="6" name="Picture 4" descr="C:\Users\Tim\Documents\Year 4\Thesis\figures\stoma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im\Documents\Year 4\Thesis\figures\stomata.jpg"/>
                    <pic:cNvPicPr>
                      <a:picLocks noChangeAspect="1" noChangeArrowheads="1"/>
                    </pic:cNvPicPr>
                  </pic:nvPicPr>
                  <pic:blipFill>
                    <a:blip r:embed="rId8" cstate="print"/>
                    <a:srcRect/>
                    <a:stretch>
                      <a:fillRect/>
                    </a:stretch>
                  </pic:blipFill>
                  <pic:spPr bwMode="auto">
                    <a:xfrm>
                      <a:off x="0" y="0"/>
                      <a:ext cx="5060950" cy="3668395"/>
                    </a:xfrm>
                    <a:prstGeom prst="rect">
                      <a:avLst/>
                    </a:prstGeom>
                    <a:noFill/>
                    <a:ln w="9525">
                      <a:noFill/>
                      <a:miter lim="800000"/>
                      <a:headEnd/>
                      <a:tailEnd/>
                    </a:ln>
                  </pic:spPr>
                </pic:pic>
              </a:graphicData>
            </a:graphic>
          </wp:inline>
        </w:drawing>
      </w:r>
    </w:p>
    <w:p w:rsidR="00FE537F" w:rsidRPr="00A54878" w:rsidRDefault="00FE537F" w:rsidP="00FE537F">
      <w:pPr>
        <w:spacing w:line="360" w:lineRule="auto"/>
        <w:rPr>
          <w:rFonts w:ascii="Times New Roman" w:hAnsi="Times New Roman" w:cs="Times New Roman"/>
          <w:b/>
          <w:sz w:val="20"/>
          <w:szCs w:val="20"/>
        </w:rPr>
      </w:pPr>
      <w:r w:rsidRPr="00A54878">
        <w:rPr>
          <w:rFonts w:ascii="Times New Roman" w:hAnsi="Times New Roman" w:cs="Times New Roman"/>
          <w:b/>
          <w:sz w:val="20"/>
          <w:szCs w:val="20"/>
        </w:rPr>
        <w:t xml:space="preserve">Fig 2.2: measurements taken on open stomata to estimate </w:t>
      </w:r>
      <w:proofErr w:type="spellStart"/>
      <w:r w:rsidRPr="00A54878">
        <w:rPr>
          <w:rFonts w:ascii="Times New Roman" w:hAnsi="Times New Roman" w:cs="Times New Roman"/>
          <w:b/>
          <w:sz w:val="20"/>
          <w:szCs w:val="20"/>
        </w:rPr>
        <w:t>stomatal</w:t>
      </w:r>
      <w:proofErr w:type="spellEnd"/>
      <w:r w:rsidRPr="00A54878">
        <w:rPr>
          <w:rFonts w:ascii="Times New Roman" w:hAnsi="Times New Roman" w:cs="Times New Roman"/>
          <w:b/>
          <w:sz w:val="20"/>
          <w:szCs w:val="20"/>
        </w:rPr>
        <w:t xml:space="preserve"> size and aperture size</w:t>
      </w:r>
      <w:r w:rsidR="00E6606B">
        <w:rPr>
          <w:rFonts w:ascii="Times New Roman" w:hAnsi="Times New Roman" w:cs="Times New Roman"/>
          <w:b/>
          <w:sz w:val="20"/>
          <w:szCs w:val="20"/>
        </w:rPr>
        <w:t>.</w:t>
      </w:r>
    </w:p>
    <w:p w:rsidR="00FE537F" w:rsidRPr="0061772E" w:rsidRDefault="0061772E" w:rsidP="00FE537F">
      <w:pPr>
        <w:spacing w:line="360" w:lineRule="auto"/>
        <w:rPr>
          <w:rFonts w:cstheme="minorHAnsi"/>
        </w:rPr>
      </w:pPr>
      <w:r>
        <w:rPr>
          <w:rFonts w:cstheme="minorHAnsi"/>
        </w:rPr>
        <w:t>Calculation of maximum pore area (</w:t>
      </w:r>
      <w:proofErr w:type="spellStart"/>
      <w:r>
        <w:rPr>
          <w:rFonts w:cstheme="minorHAnsi"/>
        </w:rPr>
        <w:t>a</w:t>
      </w:r>
      <w:r w:rsidRPr="0061772E">
        <w:rPr>
          <w:rFonts w:cstheme="minorHAnsi"/>
          <w:vertAlign w:val="subscript"/>
        </w:rPr>
        <w:t>max</w:t>
      </w:r>
      <w:proofErr w:type="spellEnd"/>
      <w:r>
        <w:rPr>
          <w:rFonts w:cstheme="minorHAnsi"/>
        </w:rPr>
        <w:t>):</w:t>
      </w:r>
    </w:p>
    <w:p w:rsidR="004E5CA5" w:rsidRPr="001C2D33" w:rsidRDefault="004E5CA5" w:rsidP="004E4353">
      <w:pPr>
        <w:spacing w:line="360" w:lineRule="auto"/>
        <w:rPr>
          <w:rFonts w:eastAsia="Times New Roman" w:cstheme="minorHAnsi"/>
        </w:rPr>
      </w:pPr>
      <w:proofErr w:type="spellStart"/>
      <w:r w:rsidRPr="001C2D33">
        <w:rPr>
          <w:rFonts w:cstheme="minorHAnsi"/>
        </w:rPr>
        <w:t>a</w:t>
      </w:r>
      <w:r w:rsidRPr="001C2D33">
        <w:rPr>
          <w:rFonts w:cstheme="minorHAnsi"/>
          <w:vertAlign w:val="subscript"/>
        </w:rPr>
        <w:t>max</w:t>
      </w:r>
      <w:proofErr w:type="spellEnd"/>
      <w:r w:rsidRPr="001C2D33">
        <w:rPr>
          <w:rFonts w:cstheme="minorHAnsi"/>
        </w:rPr>
        <w:t xml:space="preserve"> =  </w:t>
      </w:r>
      <m:oMath>
        <m:f>
          <m:fPr>
            <m:ctrlPr>
              <w:rPr>
                <w:rFonts w:ascii="Cambria Math" w:hAnsi="Cambria Math" w:cstheme="minorHAnsi"/>
                <w:i/>
              </w:rPr>
            </m:ctrlPr>
          </m:fPr>
          <m:num>
            <m:r>
              <w:rPr>
                <w:rFonts w:ascii="Cambria Math" w:hAnsi="Cambria Math" w:cstheme="minorHAnsi"/>
              </w:rPr>
              <m:t>π</m:t>
            </m:r>
            <m:r>
              <w:rPr>
                <w:rFonts w:hAnsi="Menlo Regular" w:cstheme="minorHAnsi"/>
              </w:rPr>
              <m:t>*</m:t>
            </m:r>
            <m:r>
              <w:rPr>
                <w:rFonts w:ascii="Cambria Math" w:hAnsi="Cambria Math" w:cstheme="minorHAnsi"/>
              </w:rPr>
              <m:t>W</m:t>
            </m:r>
            <m:r>
              <w:rPr>
                <w:rFonts w:ascii="Cambria Math" w:hAnsi="Cambria Math" w:cstheme="minorHAnsi"/>
                <w:vertAlign w:val="subscript"/>
              </w:rPr>
              <m:t>a</m:t>
            </m:r>
            <m:r>
              <w:rPr>
                <w:rFonts w:hAnsi="Menlo Regular" w:cstheme="minorHAnsi"/>
              </w:rPr>
              <m:t>*</m:t>
            </m:r>
            <m:r>
              <m:rPr>
                <m:sty m:val="p"/>
              </m:rPr>
              <w:rPr>
                <w:rFonts w:ascii="Cambria Math" w:cstheme="minorHAnsi"/>
                <w:vertAlign w:val="subscript"/>
              </w:rPr>
              <w:softHyphen/>
            </m:r>
            <m:r>
              <w:rPr>
                <w:rFonts w:ascii="Cambria Math" w:hAnsi="Cambria Math" w:cstheme="minorHAnsi"/>
              </w:rPr>
              <m:t>L</m:t>
            </m:r>
            <m:r>
              <m:rPr>
                <m:sty m:val="p"/>
              </m:rPr>
              <w:rPr>
                <w:rFonts w:ascii="Cambria Math" w:cstheme="minorHAnsi"/>
              </w:rPr>
              <w:softHyphen/>
            </m:r>
            <m:r>
              <w:rPr>
                <w:rFonts w:ascii="Cambria Math" w:hAnsi="Cambria Math" w:cstheme="minorHAnsi"/>
                <w:vertAlign w:val="subscript"/>
              </w:rPr>
              <m:t>a</m:t>
            </m:r>
          </m:num>
          <m:den>
            <m:r>
              <w:rPr>
                <w:rFonts w:ascii="Cambria Math" w:cstheme="minorHAnsi"/>
              </w:rPr>
              <m:t>4</m:t>
            </m:r>
          </m:den>
        </m:f>
      </m:oMath>
      <w:r w:rsidRPr="001C2D33">
        <w:rPr>
          <w:rFonts w:eastAsia="Times New Roman" w:cstheme="minorHAnsi"/>
        </w:rPr>
        <w:tab/>
      </w:r>
      <w:r w:rsidRPr="001C2D33">
        <w:rPr>
          <w:rFonts w:eastAsia="Times New Roman" w:cstheme="minorHAnsi"/>
        </w:rPr>
        <w:tab/>
      </w:r>
      <w:r w:rsidRPr="001C2D33">
        <w:rPr>
          <w:rFonts w:eastAsia="Times New Roman" w:cstheme="minorHAnsi"/>
        </w:rPr>
        <w:tab/>
      </w:r>
      <w:r w:rsidRPr="001C2D33">
        <w:rPr>
          <w:rFonts w:eastAsia="Times New Roman" w:cstheme="minorHAnsi"/>
        </w:rPr>
        <w:tab/>
      </w:r>
      <w:r w:rsidRPr="001C2D33">
        <w:rPr>
          <w:rFonts w:eastAsia="Times New Roman" w:cstheme="minorHAnsi"/>
        </w:rPr>
        <w:tab/>
      </w:r>
      <w:r w:rsidRPr="001C2D33">
        <w:rPr>
          <w:rFonts w:eastAsia="Times New Roman" w:cstheme="minorHAnsi"/>
        </w:rPr>
        <w:tab/>
      </w:r>
      <w:r w:rsidRPr="001C2D33">
        <w:rPr>
          <w:rFonts w:eastAsia="Times New Roman" w:cstheme="minorHAnsi"/>
        </w:rPr>
        <w:tab/>
        <w:t xml:space="preserve">(1), </w:t>
      </w:r>
    </w:p>
    <w:p w:rsidR="004E5CA5" w:rsidRPr="001C2D33" w:rsidRDefault="004E5CA5" w:rsidP="004E4353">
      <w:pPr>
        <w:spacing w:line="360" w:lineRule="auto"/>
        <w:rPr>
          <w:rFonts w:eastAsia="Times New Roman" w:cstheme="minorHAnsi"/>
        </w:rPr>
      </w:pPr>
      <w:proofErr w:type="spellStart"/>
      <w:r w:rsidRPr="001C2D33">
        <w:rPr>
          <w:rFonts w:eastAsia="Times New Roman" w:cstheme="minorHAnsi"/>
        </w:rPr>
        <w:t>whereW</w:t>
      </w:r>
      <w:r w:rsidRPr="001C2D33">
        <w:rPr>
          <w:rFonts w:eastAsia="Times New Roman" w:cstheme="minorHAnsi"/>
        </w:rPr>
        <w:softHyphen/>
      </w:r>
      <w:r w:rsidRPr="001C2D33">
        <w:rPr>
          <w:rFonts w:eastAsia="Times New Roman" w:cstheme="minorHAnsi"/>
          <w:vertAlign w:val="subscript"/>
        </w:rPr>
        <w:t>a</w:t>
      </w:r>
      <w:proofErr w:type="spellEnd"/>
      <w:r w:rsidRPr="001C2D33">
        <w:rPr>
          <w:rFonts w:eastAsia="Times New Roman" w:cstheme="minorHAnsi"/>
        </w:rPr>
        <w:t xml:space="preserve"> is aperture width and L</w:t>
      </w:r>
      <w:r w:rsidRPr="001C2D33">
        <w:rPr>
          <w:rFonts w:eastAsia="Times New Roman" w:cstheme="minorHAnsi"/>
          <w:vertAlign w:val="subscript"/>
        </w:rPr>
        <w:t>a</w:t>
      </w:r>
      <w:r w:rsidRPr="001C2D33">
        <w:rPr>
          <w:rFonts w:eastAsia="Times New Roman" w:cstheme="minorHAnsi"/>
        </w:rPr>
        <w:t xml:space="preserve"> is aperture length. </w:t>
      </w:r>
      <w:proofErr w:type="spellStart"/>
      <w:r w:rsidRPr="001C2D33">
        <w:rPr>
          <w:rFonts w:eastAsia="Times New Roman" w:cstheme="minorHAnsi"/>
        </w:rPr>
        <w:t>Stomatal</w:t>
      </w:r>
      <w:proofErr w:type="spellEnd"/>
      <w:r w:rsidRPr="001C2D33">
        <w:rPr>
          <w:rFonts w:eastAsia="Times New Roman" w:cstheme="minorHAnsi"/>
        </w:rPr>
        <w:t xml:space="preserve"> size (</w:t>
      </w:r>
      <w:r w:rsidRPr="001C2D33">
        <w:rPr>
          <w:rFonts w:eastAsia="Times New Roman" w:cstheme="minorHAnsi"/>
          <w:i/>
        </w:rPr>
        <w:t>S</w:t>
      </w:r>
      <w:r w:rsidRPr="001C2D33">
        <w:rPr>
          <w:rFonts w:eastAsia="Times New Roman" w:cstheme="minorHAnsi"/>
        </w:rPr>
        <w:t>) was estimated from:</w:t>
      </w:r>
    </w:p>
    <w:p w:rsidR="004E5CA5" w:rsidRPr="001C2D33" w:rsidRDefault="004E5CA5" w:rsidP="004E4353">
      <w:pPr>
        <w:spacing w:line="360" w:lineRule="auto"/>
        <w:jc w:val="both"/>
        <w:rPr>
          <w:rFonts w:eastAsia="Times New Roman" w:cstheme="minorHAnsi"/>
        </w:rPr>
      </w:pPr>
      <w:r w:rsidRPr="001C2D33">
        <w:rPr>
          <w:rFonts w:eastAsia="Times New Roman" w:cstheme="minorHAnsi"/>
          <w:i/>
        </w:rPr>
        <w:t xml:space="preserve">S </w:t>
      </w:r>
      <w:r w:rsidRPr="001C2D33">
        <w:rPr>
          <w:rFonts w:eastAsia="Times New Roman" w:cstheme="minorHAnsi"/>
        </w:rPr>
        <w:t xml:space="preserve">= </w:t>
      </w:r>
      <m:oMath>
        <m:f>
          <m:fPr>
            <m:ctrlPr>
              <w:rPr>
                <w:rFonts w:ascii="Cambria Math" w:hAnsi="Cambria Math" w:cstheme="minorHAnsi"/>
                <w:i/>
              </w:rPr>
            </m:ctrlPr>
          </m:fPr>
          <m:num>
            <m:r>
              <w:rPr>
                <w:rFonts w:ascii="Cambria Math" w:hAnsi="Cambria Math" w:cstheme="minorHAnsi"/>
              </w:rPr>
              <m:t>π</m:t>
            </m:r>
            <m:r>
              <w:rPr>
                <w:rFonts w:hAnsi="Menlo Regular" w:cstheme="minorHAnsi"/>
              </w:rPr>
              <m:t>*</m:t>
            </m:r>
            <m:r>
              <w:rPr>
                <w:rFonts w:ascii="Cambria Math" w:hAnsi="Cambria Math" w:cstheme="minorHAnsi"/>
              </w:rPr>
              <m:t>W</m:t>
            </m:r>
            <m:r>
              <w:rPr>
                <w:rFonts w:ascii="Cambria Math" w:hAnsi="Cambria Math" w:cstheme="minorHAnsi"/>
                <w:vertAlign w:val="subscript"/>
              </w:rPr>
              <m:t>s</m:t>
            </m:r>
            <m:r>
              <w:rPr>
                <w:rFonts w:hAnsi="Menlo Regular" w:cstheme="minorHAnsi"/>
              </w:rPr>
              <m:t>*</m:t>
            </m:r>
            <m:r>
              <m:rPr>
                <m:sty m:val="p"/>
              </m:rPr>
              <w:rPr>
                <w:rFonts w:ascii="Cambria Math" w:cstheme="minorHAnsi"/>
                <w:vertAlign w:val="subscript"/>
              </w:rPr>
              <w:softHyphen/>
            </m:r>
            <m:r>
              <w:rPr>
                <w:rFonts w:ascii="Cambria Math" w:hAnsi="Cambria Math" w:cstheme="minorHAnsi"/>
              </w:rPr>
              <m:t>L</m:t>
            </m:r>
            <m:r>
              <m:rPr>
                <m:sty m:val="p"/>
              </m:rPr>
              <w:rPr>
                <w:rFonts w:ascii="Cambria Math" w:cstheme="minorHAnsi"/>
              </w:rPr>
              <w:softHyphen/>
            </m:r>
            <m:r>
              <w:rPr>
                <w:rFonts w:ascii="Cambria Math" w:hAnsi="Cambria Math" w:cstheme="minorHAnsi"/>
                <w:vertAlign w:val="subscript"/>
              </w:rPr>
              <m:t>s</m:t>
            </m:r>
          </m:num>
          <m:den>
            <m:r>
              <w:rPr>
                <w:rFonts w:ascii="Cambria Math" w:cstheme="minorHAnsi"/>
              </w:rPr>
              <m:t>4</m:t>
            </m:r>
          </m:den>
        </m:f>
      </m:oMath>
      <w:r w:rsidRPr="001C2D33">
        <w:rPr>
          <w:rFonts w:eastAsia="Times New Roman" w:cstheme="minorHAnsi"/>
        </w:rPr>
        <w:t xml:space="preserve"> – </w:t>
      </w:r>
      <w:proofErr w:type="spellStart"/>
      <w:r w:rsidRPr="001C2D33">
        <w:rPr>
          <w:rFonts w:cstheme="minorHAnsi"/>
        </w:rPr>
        <w:t>a</w:t>
      </w:r>
      <w:r w:rsidRPr="001C2D33">
        <w:rPr>
          <w:rFonts w:cstheme="minorHAnsi"/>
          <w:vertAlign w:val="subscript"/>
        </w:rPr>
        <w:t>max</w:t>
      </w:r>
      <w:proofErr w:type="spellEnd"/>
      <w:r w:rsidR="00A2079D">
        <w:rPr>
          <w:rFonts w:eastAsia="Times New Roman" w:cstheme="minorHAnsi"/>
        </w:rPr>
        <w:tab/>
      </w:r>
      <w:r w:rsidR="00A2079D">
        <w:rPr>
          <w:rFonts w:eastAsia="Times New Roman" w:cstheme="minorHAnsi"/>
        </w:rPr>
        <w:tab/>
      </w:r>
      <w:r w:rsidR="00A2079D">
        <w:rPr>
          <w:rFonts w:eastAsia="Times New Roman" w:cstheme="minorHAnsi"/>
        </w:rPr>
        <w:tab/>
      </w:r>
      <w:r w:rsidR="00A2079D">
        <w:rPr>
          <w:rFonts w:eastAsia="Times New Roman" w:cstheme="minorHAnsi"/>
        </w:rPr>
        <w:tab/>
      </w:r>
      <w:r w:rsidR="00A2079D">
        <w:rPr>
          <w:rFonts w:eastAsia="Times New Roman" w:cstheme="minorHAnsi"/>
        </w:rPr>
        <w:tab/>
      </w:r>
      <w:r w:rsidR="00A2079D">
        <w:rPr>
          <w:rFonts w:eastAsia="Times New Roman" w:cstheme="minorHAnsi"/>
        </w:rPr>
        <w:tab/>
      </w:r>
      <w:r w:rsidRPr="001C2D33">
        <w:rPr>
          <w:rFonts w:eastAsia="Times New Roman" w:cstheme="minorHAnsi"/>
        </w:rPr>
        <w:t>(2),</w:t>
      </w:r>
    </w:p>
    <w:p w:rsidR="00A2079D" w:rsidRDefault="004E5CA5" w:rsidP="004E4353">
      <w:pPr>
        <w:spacing w:line="360" w:lineRule="auto"/>
        <w:jc w:val="both"/>
        <w:rPr>
          <w:rFonts w:eastAsia="Times New Roman" w:cstheme="minorHAnsi"/>
        </w:rPr>
      </w:pPr>
      <w:proofErr w:type="spellStart"/>
      <w:r w:rsidRPr="001C2D33">
        <w:rPr>
          <w:rFonts w:eastAsia="Times New Roman" w:cstheme="minorHAnsi"/>
        </w:rPr>
        <w:t>whereW</w:t>
      </w:r>
      <w:r w:rsidRPr="001C2D33">
        <w:rPr>
          <w:rFonts w:eastAsia="Times New Roman" w:cstheme="minorHAnsi"/>
          <w:vertAlign w:val="subscript"/>
        </w:rPr>
        <w:t>s</w:t>
      </w:r>
      <w:proofErr w:type="spellEnd"/>
      <w:r w:rsidRPr="001C2D33">
        <w:rPr>
          <w:rFonts w:eastAsia="Times New Roman" w:cstheme="minorHAnsi"/>
        </w:rPr>
        <w:t xml:space="preserve"> is the width of the fully inflated guard cell pair and L</w:t>
      </w:r>
      <w:r w:rsidRPr="001C2D33">
        <w:rPr>
          <w:rFonts w:eastAsia="Times New Roman" w:cstheme="minorHAnsi"/>
          <w:vertAlign w:val="subscript"/>
        </w:rPr>
        <w:t>s</w:t>
      </w:r>
      <w:r w:rsidRPr="001C2D33">
        <w:rPr>
          <w:rFonts w:eastAsia="Times New Roman" w:cstheme="minorHAnsi"/>
        </w:rPr>
        <w:t xml:space="preserve"> is </w:t>
      </w:r>
      <w:proofErr w:type="spellStart"/>
      <w:r w:rsidRPr="001C2D33">
        <w:rPr>
          <w:rFonts w:eastAsia="Times New Roman" w:cstheme="minorHAnsi"/>
        </w:rPr>
        <w:t>stomatal</w:t>
      </w:r>
      <w:proofErr w:type="spellEnd"/>
      <w:r w:rsidRPr="001C2D33">
        <w:rPr>
          <w:rFonts w:eastAsia="Times New Roman" w:cstheme="minorHAnsi"/>
        </w:rPr>
        <w:t xml:space="preserve"> length</w:t>
      </w:r>
      <w:r w:rsidR="0061772E">
        <w:rPr>
          <w:rFonts w:eastAsia="Times New Roman" w:cstheme="minorHAnsi"/>
        </w:rPr>
        <w:t>.</w:t>
      </w:r>
    </w:p>
    <w:p w:rsidR="007D14D8" w:rsidRPr="001C2D33" w:rsidRDefault="007D14D8" w:rsidP="004E4353">
      <w:pPr>
        <w:spacing w:line="360" w:lineRule="auto"/>
        <w:jc w:val="both"/>
        <w:rPr>
          <w:rFonts w:eastAsia="Times New Roman" w:cstheme="minorHAnsi"/>
        </w:rPr>
      </w:pPr>
    </w:p>
    <w:p w:rsidR="00904C18" w:rsidRPr="001C2D33" w:rsidRDefault="00904C18" w:rsidP="004E4353">
      <w:pPr>
        <w:spacing w:line="360" w:lineRule="auto"/>
        <w:jc w:val="both"/>
        <w:rPr>
          <w:rFonts w:cstheme="minorHAnsi"/>
          <w:b/>
        </w:rPr>
      </w:pPr>
      <w:r w:rsidRPr="001C2D33">
        <w:rPr>
          <w:rFonts w:cstheme="minorHAnsi"/>
          <w:b/>
        </w:rPr>
        <w:t>2.9.3 Theoretical</w:t>
      </w:r>
      <w:r w:rsidR="00D82A9C" w:rsidRPr="001C2D33">
        <w:rPr>
          <w:rFonts w:cstheme="minorHAnsi"/>
          <w:b/>
        </w:rPr>
        <w:t xml:space="preserve"> maximum</w:t>
      </w:r>
      <w:r w:rsidRPr="001C2D33">
        <w:rPr>
          <w:rFonts w:cstheme="minorHAnsi"/>
          <w:b/>
        </w:rPr>
        <w:t xml:space="preserve"> leaf conductance </w:t>
      </w:r>
      <w:r w:rsidR="00D82A9C" w:rsidRPr="001C2D33">
        <w:rPr>
          <w:rFonts w:cstheme="minorHAnsi"/>
          <w:b/>
        </w:rPr>
        <w:t>(</w:t>
      </w:r>
      <w:proofErr w:type="spellStart"/>
      <w:r w:rsidR="00D82A9C" w:rsidRPr="001C2D33">
        <w:rPr>
          <w:rFonts w:cstheme="minorHAnsi"/>
        </w:rPr>
        <w:t>g</w:t>
      </w:r>
      <w:r w:rsidR="00D82A9C" w:rsidRPr="001C2D33">
        <w:rPr>
          <w:rFonts w:cstheme="minorHAnsi"/>
          <w:vertAlign w:val="subscript"/>
        </w:rPr>
        <w:t>wmax</w:t>
      </w:r>
      <w:proofErr w:type="spellEnd"/>
      <w:r w:rsidR="00D82A9C" w:rsidRPr="001C2D33">
        <w:rPr>
          <w:rFonts w:cstheme="minorHAnsi"/>
        </w:rPr>
        <w:t>)</w:t>
      </w:r>
      <w:r w:rsidR="00D82A9C" w:rsidRPr="001C2D33">
        <w:rPr>
          <w:rFonts w:cstheme="minorHAnsi"/>
          <w:b/>
        </w:rPr>
        <w:t xml:space="preserve"> </w:t>
      </w:r>
      <w:r w:rsidRPr="001C2D33">
        <w:rPr>
          <w:rFonts w:cstheme="minorHAnsi"/>
          <w:b/>
        </w:rPr>
        <w:t>calculations</w:t>
      </w:r>
    </w:p>
    <w:p w:rsidR="004E5CA5" w:rsidRPr="001C2D33" w:rsidRDefault="004E5CA5" w:rsidP="004E4353">
      <w:pPr>
        <w:spacing w:line="360" w:lineRule="auto"/>
        <w:jc w:val="both"/>
        <w:rPr>
          <w:rFonts w:cstheme="minorHAnsi"/>
        </w:rPr>
      </w:pPr>
      <w:r w:rsidRPr="001C2D33">
        <w:rPr>
          <w:rFonts w:cstheme="minorHAnsi"/>
        </w:rPr>
        <w:t>Maximum leaf conductance to water</w:t>
      </w:r>
      <w:r w:rsidR="00D94B1B" w:rsidRPr="001C2D33">
        <w:rPr>
          <w:rFonts w:cstheme="minorHAnsi"/>
        </w:rPr>
        <w:t xml:space="preserve"> </w:t>
      </w:r>
      <w:r w:rsidRPr="001C2D33">
        <w:rPr>
          <w:rFonts w:cstheme="minorHAnsi"/>
        </w:rPr>
        <w:t xml:space="preserve">vapour was calculated from: </w:t>
      </w:r>
    </w:p>
    <w:p w:rsidR="004E5CA5" w:rsidRPr="001C2D33" w:rsidRDefault="004E5CA5" w:rsidP="004E4353">
      <w:pPr>
        <w:spacing w:line="360" w:lineRule="auto"/>
        <w:jc w:val="both"/>
        <w:rPr>
          <w:rFonts w:eastAsia="Times New Roman" w:cstheme="minorHAnsi"/>
        </w:rPr>
      </w:pPr>
      <w:proofErr w:type="spellStart"/>
      <w:r w:rsidRPr="001C2D33">
        <w:rPr>
          <w:rFonts w:cstheme="minorHAnsi"/>
        </w:rPr>
        <w:t>g</w:t>
      </w:r>
      <w:r w:rsidRPr="001C2D33">
        <w:rPr>
          <w:rFonts w:cstheme="minorHAnsi"/>
          <w:vertAlign w:val="subscript"/>
        </w:rPr>
        <w:t>wmax</w:t>
      </w:r>
      <w:proofErr w:type="spellEnd"/>
      <w:r w:rsidRPr="001C2D33">
        <w:rPr>
          <w:rFonts w:cstheme="minorHAnsi"/>
        </w:rPr>
        <w:t xml:space="preserve"> =</w:t>
      </w:r>
      <m:oMath>
        <m:f>
          <m:fPr>
            <m:type m:val="lin"/>
            <m:ctrlPr>
              <w:rPr>
                <w:rFonts w:ascii="Cambria Math" w:eastAsia="Times New Roman" w:hAnsi="Cambria Math" w:cstheme="minorHAnsi"/>
                <w:i/>
                <w:vertAlign w:val="subscript"/>
              </w:rPr>
            </m:ctrlPr>
          </m:fPr>
          <m:num>
            <m:f>
              <m:fPr>
                <m:ctrlPr>
                  <w:rPr>
                    <w:rFonts w:ascii="Cambria Math" w:hAnsi="Cambria Math" w:cstheme="minorHAnsi"/>
                    <w:i/>
                  </w:rPr>
                </m:ctrlPr>
              </m:fPr>
              <m:num>
                <m:r>
                  <w:rPr>
                    <w:rFonts w:ascii="Cambria Math" w:hAnsi="Cambria Math" w:cstheme="minorHAnsi"/>
                  </w:rPr>
                  <m:t>d</m:t>
                </m:r>
              </m:num>
              <m:den>
                <m:r>
                  <w:rPr>
                    <w:rFonts w:ascii="Cambria Math" w:hAnsi="Cambria Math" w:cstheme="minorHAnsi"/>
                  </w:rPr>
                  <m:t>v</m:t>
                </m:r>
              </m:den>
            </m:f>
            <m:r>
              <m:rPr>
                <m:sty m:val="p"/>
              </m:rPr>
              <w:rPr>
                <w:rFonts w:eastAsia="Times New Roman" w:hAnsi="Menlo Regular" w:cstheme="minorHAnsi"/>
              </w:rPr>
              <m:t>*</m:t>
            </m:r>
            <m:r>
              <w:rPr>
                <w:rFonts w:ascii="Cambria Math" w:eastAsia="Times New Roman" w:cstheme="minorHAnsi"/>
              </w:rPr>
              <m:t>D</m:t>
            </m:r>
            <m:r>
              <m:rPr>
                <m:sty m:val="p"/>
              </m:rPr>
              <w:rPr>
                <w:rFonts w:ascii="Menlo Regular" w:eastAsia="Times New Roman" w:hAnsi="Menlo Regular" w:cstheme="minorHAnsi"/>
              </w:rPr>
              <m:t>*</m:t>
            </m:r>
            <m:r>
              <m:rPr>
                <m:sty m:val="p"/>
              </m:rPr>
              <w:rPr>
                <w:rFonts w:ascii="Cambria Math" w:eastAsia="Times New Roman" w:cstheme="minorHAnsi"/>
              </w:rPr>
              <m:t>a</m:t>
            </m:r>
            <m:r>
              <m:rPr>
                <m:sty m:val="p"/>
              </m:rPr>
              <w:rPr>
                <w:rFonts w:ascii="Cambria Math" w:eastAsia="Times New Roman" w:cstheme="minorHAnsi"/>
                <w:vertAlign w:val="subscript"/>
              </w:rPr>
              <m:t>max</m:t>
            </m:r>
          </m:num>
          <m:den>
            <m:r>
              <w:rPr>
                <w:rFonts w:ascii="Cambria Math" w:eastAsia="Times New Roman" w:cstheme="minorHAnsi"/>
                <w:vertAlign w:val="subscript"/>
              </w:rPr>
              <m:t>(</m:t>
            </m:r>
            <m:r>
              <w:rPr>
                <w:rFonts w:ascii="Cambria Math" w:eastAsia="Times New Roman" w:hAnsi="Cambria Math" w:cstheme="minorHAnsi"/>
                <w:vertAlign w:val="subscript"/>
              </w:rPr>
              <m:t>Ws</m:t>
            </m:r>
            <m:r>
              <w:rPr>
                <w:rFonts w:ascii="Cambria Math" w:eastAsia="Times New Roman" w:cstheme="minorHAnsi"/>
                <w:vertAlign w:val="subscript"/>
              </w:rPr>
              <m:t>+</m:t>
            </m:r>
          </m:den>
        </m:f>
        <m:f>
          <m:fPr>
            <m:ctrlPr>
              <w:rPr>
                <w:rFonts w:ascii="Cambria Math" w:eastAsia="Times New Roman" w:hAnsi="Cambria Math" w:cstheme="minorHAnsi"/>
                <w:i/>
              </w:rPr>
            </m:ctrlPr>
          </m:fPr>
          <m:num>
            <m:r>
              <w:rPr>
                <w:rFonts w:ascii="Cambria Math" w:eastAsia="Times New Roman" w:hAnsi="Cambria Math" w:cstheme="minorHAnsi"/>
              </w:rPr>
              <m:t>π</m:t>
            </m:r>
          </m:num>
          <m:den>
            <m:r>
              <w:rPr>
                <w:rFonts w:ascii="Cambria Math" w:eastAsia="Times New Roman" w:cstheme="minorHAnsi"/>
              </w:rPr>
              <m:t>2</m:t>
            </m:r>
          </m:den>
        </m:f>
        <m:rad>
          <m:radPr>
            <m:degHide m:val="on"/>
            <m:ctrlPr>
              <w:rPr>
                <w:rFonts w:ascii="Cambria Math" w:eastAsia="Times New Roman" w:hAnsi="Cambria Math" w:cstheme="minorHAnsi"/>
                <w:i/>
              </w:rPr>
            </m:ctrlPr>
          </m:radPr>
          <m:deg/>
          <m:e>
            <m:f>
              <m:fPr>
                <m:ctrlPr>
                  <w:rPr>
                    <w:rFonts w:ascii="Cambria Math" w:eastAsia="Times New Roman" w:hAnsi="Cambria Math" w:cstheme="minorHAnsi"/>
                  </w:rPr>
                </m:ctrlPr>
              </m:fPr>
              <m:num>
                <m:r>
                  <m:rPr>
                    <m:sty m:val="p"/>
                  </m:rPr>
                  <w:rPr>
                    <w:rFonts w:ascii="Cambria Math" w:eastAsia="Times New Roman" w:cstheme="minorHAnsi"/>
                  </w:rPr>
                  <m:t>a</m:t>
                </m:r>
                <m:r>
                  <m:rPr>
                    <m:sty m:val="p"/>
                  </m:rPr>
                  <w:rPr>
                    <w:rFonts w:ascii="Cambria Math" w:eastAsia="Times New Roman" w:cstheme="minorHAnsi"/>
                    <w:vertAlign w:val="subscript"/>
                  </w:rPr>
                  <m:t>max</m:t>
                </m:r>
                <m:ctrlPr>
                  <w:rPr>
                    <w:rFonts w:ascii="Cambria Math" w:eastAsia="Times New Roman" w:hAnsi="Cambria Math" w:cstheme="minorHAnsi"/>
                    <w:vertAlign w:val="subscript"/>
                  </w:rPr>
                </m:ctrlPr>
              </m:num>
              <m:den>
                <m:r>
                  <m:rPr>
                    <m:sty m:val="p"/>
                  </m:rPr>
                  <w:rPr>
                    <w:rFonts w:ascii="Times New Roman" w:eastAsia="Times New Roman" w:cstheme="minorHAnsi"/>
                  </w:rPr>
                  <m:t>π</m:t>
                </m:r>
              </m:den>
            </m:f>
          </m:e>
        </m:rad>
      </m:oMath>
      <w:r w:rsidR="00A2079D">
        <w:rPr>
          <w:rFonts w:eastAsia="Times New Roman" w:cstheme="minorHAnsi"/>
        </w:rPr>
        <w:t>)</w:t>
      </w:r>
      <w:r w:rsidR="00A2079D">
        <w:rPr>
          <w:rFonts w:eastAsia="Times New Roman" w:cstheme="minorHAnsi"/>
        </w:rPr>
        <w:tab/>
      </w:r>
      <w:r w:rsidR="00A2079D">
        <w:rPr>
          <w:rFonts w:eastAsia="Times New Roman" w:cstheme="minorHAnsi"/>
        </w:rPr>
        <w:tab/>
      </w:r>
      <w:r w:rsidR="00A2079D">
        <w:rPr>
          <w:rFonts w:eastAsia="Times New Roman" w:cstheme="minorHAnsi"/>
        </w:rPr>
        <w:tab/>
      </w:r>
      <w:r w:rsidR="00A2079D">
        <w:rPr>
          <w:rFonts w:eastAsia="Times New Roman" w:cstheme="minorHAnsi"/>
        </w:rPr>
        <w:tab/>
      </w:r>
      <w:r w:rsidRPr="001C2D33">
        <w:rPr>
          <w:rFonts w:eastAsia="Times New Roman" w:cstheme="minorHAnsi"/>
        </w:rPr>
        <w:t>(3),</w:t>
      </w:r>
    </w:p>
    <w:p w:rsidR="00FE537F" w:rsidRDefault="004E5CA5" w:rsidP="004E4353">
      <w:pPr>
        <w:spacing w:line="360" w:lineRule="auto"/>
        <w:jc w:val="both"/>
        <w:rPr>
          <w:rFonts w:cstheme="minorHAnsi"/>
        </w:rPr>
      </w:pPr>
      <w:r w:rsidRPr="001C2D33">
        <w:rPr>
          <w:rStyle w:val="Emphasis"/>
          <w:rFonts w:cstheme="minorHAnsi"/>
        </w:rPr>
        <w:lastRenderedPageBreak/>
        <w:t>d</w:t>
      </w:r>
      <w:r w:rsidRPr="001C2D33">
        <w:rPr>
          <w:rFonts w:cstheme="minorHAnsi"/>
        </w:rPr>
        <w:t xml:space="preserve"> is the diffusivity of water vapour in air at 22ºC (m</w:t>
      </w:r>
      <w:r w:rsidRPr="001C2D33">
        <w:rPr>
          <w:rFonts w:cstheme="minorHAnsi"/>
          <w:vertAlign w:val="superscript"/>
        </w:rPr>
        <w:t>2</w:t>
      </w:r>
      <w:r w:rsidRPr="001C2D33">
        <w:rPr>
          <w:rFonts w:cstheme="minorHAnsi"/>
        </w:rPr>
        <w:t>·s</w:t>
      </w:r>
      <w:r w:rsidRPr="001C2D33">
        <w:rPr>
          <w:rFonts w:cstheme="minorHAnsi"/>
          <w:vertAlign w:val="superscript"/>
        </w:rPr>
        <w:t>−1</w:t>
      </w:r>
      <w:r w:rsidRPr="001C2D33">
        <w:rPr>
          <w:rFonts w:cstheme="minorHAnsi"/>
        </w:rPr>
        <w:t xml:space="preserve">), </w:t>
      </w:r>
      <w:r w:rsidRPr="001C2D33">
        <w:rPr>
          <w:rStyle w:val="Emphasis"/>
          <w:rFonts w:cstheme="minorHAnsi"/>
        </w:rPr>
        <w:t>v</w:t>
      </w:r>
      <w:r w:rsidRPr="001C2D33">
        <w:rPr>
          <w:rFonts w:cstheme="minorHAnsi"/>
        </w:rPr>
        <w:t xml:space="preserve"> is the molar volume of air at 22ºC and 1 </w:t>
      </w:r>
      <w:proofErr w:type="spellStart"/>
      <w:r w:rsidRPr="001C2D33">
        <w:rPr>
          <w:rFonts w:cstheme="minorHAnsi"/>
        </w:rPr>
        <w:t>atm</w:t>
      </w:r>
      <w:proofErr w:type="spellEnd"/>
      <w:r w:rsidR="00D82A9C" w:rsidRPr="001C2D33">
        <w:rPr>
          <w:rFonts w:cstheme="minorHAnsi"/>
        </w:rPr>
        <w:t xml:space="preserve"> </w:t>
      </w:r>
      <w:r w:rsidRPr="001C2D33">
        <w:rPr>
          <w:rFonts w:cstheme="minorHAnsi"/>
        </w:rPr>
        <w:t>(m</w:t>
      </w:r>
      <w:r w:rsidRPr="001C2D33">
        <w:rPr>
          <w:rFonts w:cstheme="minorHAnsi"/>
          <w:vertAlign w:val="superscript"/>
        </w:rPr>
        <w:t>3</w:t>
      </w:r>
      <w:r w:rsidRPr="001C2D33">
        <w:rPr>
          <w:rFonts w:cstheme="minorHAnsi"/>
        </w:rPr>
        <w:t>·mol</w:t>
      </w:r>
      <w:r w:rsidRPr="001C2D33">
        <w:rPr>
          <w:rFonts w:cstheme="minorHAnsi"/>
          <w:vertAlign w:val="superscript"/>
        </w:rPr>
        <w:t>−1</w:t>
      </w:r>
      <w:r w:rsidRPr="001C2D33">
        <w:rPr>
          <w:rFonts w:cstheme="minorHAnsi"/>
        </w:rPr>
        <w:t xml:space="preserve">), </w:t>
      </w:r>
      <w:r w:rsidRPr="001C2D33">
        <w:rPr>
          <w:rFonts w:cstheme="minorHAnsi"/>
          <w:i/>
        </w:rPr>
        <w:t>D</w:t>
      </w:r>
      <w:r w:rsidRPr="001C2D33">
        <w:rPr>
          <w:rFonts w:cstheme="minorHAnsi"/>
        </w:rPr>
        <w:t xml:space="preserve"> is </w:t>
      </w:r>
      <w:proofErr w:type="spellStart"/>
      <w:r w:rsidRPr="001C2D33">
        <w:rPr>
          <w:rFonts w:cstheme="minorHAnsi"/>
        </w:rPr>
        <w:t>stomatal</w:t>
      </w:r>
      <w:proofErr w:type="spellEnd"/>
      <w:r w:rsidRPr="001C2D33">
        <w:rPr>
          <w:rFonts w:cstheme="minorHAnsi"/>
        </w:rPr>
        <w:t xml:space="preserve"> density (m</w:t>
      </w:r>
      <w:r w:rsidRPr="001C2D33">
        <w:rPr>
          <w:rFonts w:cstheme="minorHAnsi"/>
          <w:vertAlign w:val="superscript"/>
        </w:rPr>
        <w:t>-1</w:t>
      </w:r>
      <w:r w:rsidRPr="001C2D33">
        <w:rPr>
          <w:rFonts w:cstheme="minorHAnsi"/>
        </w:rPr>
        <w:t xml:space="preserve">) and </w:t>
      </w:r>
      <w:r w:rsidR="008E5EA8">
        <w:rPr>
          <w:rFonts w:cstheme="minorHAnsi"/>
        </w:rPr>
        <w:t>Ws</w:t>
      </w:r>
      <w:r w:rsidRPr="001C2D33">
        <w:rPr>
          <w:rFonts w:cstheme="minorHAnsi"/>
        </w:rPr>
        <w:t xml:space="preserve"> is defined as guard cell width (m) </w:t>
      </w:r>
      <w:r w:rsidR="00E62D38" w:rsidRPr="001C2D33">
        <w:rPr>
          <w:rFonts w:cstheme="minorHAnsi"/>
        </w:rPr>
        <w:t xml:space="preserve">(Franks and </w:t>
      </w:r>
      <w:proofErr w:type="spellStart"/>
      <w:r w:rsidR="00E62D38" w:rsidRPr="001C2D33">
        <w:rPr>
          <w:rFonts w:cstheme="minorHAnsi"/>
        </w:rPr>
        <w:t>Beerling</w:t>
      </w:r>
      <w:proofErr w:type="spellEnd"/>
      <w:r w:rsidR="00E62D38" w:rsidRPr="001C2D33">
        <w:rPr>
          <w:rFonts w:cstheme="minorHAnsi"/>
        </w:rPr>
        <w:t xml:space="preserve"> 2009).</w:t>
      </w:r>
    </w:p>
    <w:p w:rsidR="00A2079D" w:rsidRDefault="00904C18" w:rsidP="00A2079D">
      <w:pPr>
        <w:spacing w:line="360" w:lineRule="auto"/>
        <w:jc w:val="center"/>
        <w:rPr>
          <w:rFonts w:cstheme="minorHAnsi"/>
          <w:b/>
        </w:rPr>
      </w:pPr>
      <w:r w:rsidRPr="001C2D33">
        <w:rPr>
          <w:rFonts w:cstheme="minorHAnsi"/>
          <w:b/>
        </w:rPr>
        <w:t>2.10 Leaf and rosette size and leaf dimensions</w:t>
      </w:r>
    </w:p>
    <w:p w:rsidR="004E5CA5" w:rsidRDefault="004E5CA5" w:rsidP="00A2079D">
      <w:pPr>
        <w:spacing w:line="360" w:lineRule="auto"/>
        <w:jc w:val="both"/>
        <w:rPr>
          <w:rFonts w:cstheme="minorHAnsi"/>
        </w:rPr>
      </w:pPr>
      <w:r w:rsidRPr="001C2D33">
        <w:rPr>
          <w:rFonts w:cstheme="minorHAnsi"/>
        </w:rPr>
        <w:t>Leaf size was estimated f</w:t>
      </w:r>
      <w:r w:rsidR="007E2E13" w:rsidRPr="001C2D33">
        <w:rPr>
          <w:rFonts w:cstheme="minorHAnsi"/>
        </w:rPr>
        <w:t xml:space="preserve">rom digital photos using </w:t>
      </w:r>
      <w:proofErr w:type="spellStart"/>
      <w:r w:rsidR="007E2E13" w:rsidRPr="001C2D33">
        <w:rPr>
          <w:rFonts w:cstheme="minorHAnsi"/>
        </w:rPr>
        <w:t>ImageJ</w:t>
      </w:r>
      <w:proofErr w:type="spellEnd"/>
      <w:r w:rsidR="007E2E13" w:rsidRPr="001C2D33">
        <w:rPr>
          <w:rFonts w:cstheme="minorHAnsi"/>
        </w:rPr>
        <w:t xml:space="preserve"> from the </w:t>
      </w:r>
      <w:r w:rsidR="00904C18" w:rsidRPr="001C2D33">
        <w:rPr>
          <w:rFonts w:cstheme="minorHAnsi"/>
        </w:rPr>
        <w:t xml:space="preserve">mean size of the </w:t>
      </w:r>
      <w:r w:rsidR="007E2E13" w:rsidRPr="001C2D33">
        <w:rPr>
          <w:rFonts w:cstheme="minorHAnsi"/>
        </w:rPr>
        <w:t>20 largest leaves for each plant</w:t>
      </w:r>
      <w:r w:rsidR="00904C18" w:rsidRPr="001C2D33">
        <w:rPr>
          <w:rFonts w:cstheme="minorHAnsi"/>
        </w:rPr>
        <w:t>.</w:t>
      </w:r>
      <w:r w:rsidR="007E2E13" w:rsidRPr="001C2D33">
        <w:rPr>
          <w:rFonts w:cstheme="minorHAnsi"/>
        </w:rPr>
        <w:t xml:space="preserve"> </w:t>
      </w:r>
      <w:r w:rsidR="00904C18" w:rsidRPr="001C2D33">
        <w:rPr>
          <w:rFonts w:cstheme="minorHAnsi"/>
        </w:rPr>
        <w:t xml:space="preserve"> </w:t>
      </w:r>
      <w:r w:rsidR="007E2E13" w:rsidRPr="001C2D33">
        <w:rPr>
          <w:rFonts w:cstheme="minorHAnsi"/>
        </w:rPr>
        <w:t xml:space="preserve">The mean sizes of the same leaves used for </w:t>
      </w:r>
      <w:proofErr w:type="spellStart"/>
      <w:r w:rsidR="007E2E13" w:rsidRPr="001C2D33">
        <w:rPr>
          <w:rFonts w:cstheme="minorHAnsi"/>
        </w:rPr>
        <w:t>stomatal</w:t>
      </w:r>
      <w:proofErr w:type="spellEnd"/>
      <w:r w:rsidR="007E2E13" w:rsidRPr="001C2D33">
        <w:rPr>
          <w:rFonts w:cstheme="minorHAnsi"/>
        </w:rPr>
        <w:t xml:space="preserve"> size and density measurements were </w:t>
      </w:r>
      <w:r w:rsidRPr="001C2D33">
        <w:rPr>
          <w:rFonts w:cstheme="minorHAnsi"/>
        </w:rPr>
        <w:t xml:space="preserve">used to calculate the number of stomata per leaf. </w:t>
      </w:r>
      <w:r w:rsidR="00135F9B" w:rsidRPr="001C2D33">
        <w:rPr>
          <w:rFonts w:cstheme="minorHAnsi"/>
        </w:rPr>
        <w:t xml:space="preserve">Leaf width and length were also measured from digital photos using </w:t>
      </w:r>
      <w:proofErr w:type="spellStart"/>
      <w:r w:rsidR="00135F9B" w:rsidRPr="001C2D33">
        <w:rPr>
          <w:rFonts w:cstheme="minorHAnsi"/>
        </w:rPr>
        <w:t>ImageJ</w:t>
      </w:r>
      <w:proofErr w:type="spellEnd"/>
      <w:r w:rsidR="00135F9B" w:rsidRPr="001C2D33">
        <w:rPr>
          <w:rFonts w:cstheme="minorHAnsi"/>
        </w:rPr>
        <w:t xml:space="preserve"> (Fig 2.10). The length of the leaf was measured from the tip of the leaf to the end of the petiole and width was measured at the widest area of the leaf.</w:t>
      </w:r>
    </w:p>
    <w:p w:rsidR="002F7F61" w:rsidRPr="00A2079D" w:rsidRDefault="002F7F61" w:rsidP="002F7F61">
      <w:pPr>
        <w:spacing w:line="360" w:lineRule="auto"/>
        <w:rPr>
          <w:rFonts w:ascii="Times New Roman" w:hAnsi="Times New Roman" w:cs="Times New Roman"/>
          <w:sz w:val="20"/>
          <w:szCs w:val="20"/>
        </w:rPr>
      </w:pPr>
      <w:r w:rsidRPr="001C2D33">
        <w:rPr>
          <w:rFonts w:cstheme="minorHAnsi"/>
        </w:rPr>
        <w:t>Rosette area was calculated as the sum of the visible areas of all mature leaves on a plant.</w:t>
      </w:r>
    </w:p>
    <w:p w:rsidR="002F7F61" w:rsidRDefault="002F7F61" w:rsidP="00A2079D">
      <w:pPr>
        <w:spacing w:line="360" w:lineRule="auto"/>
        <w:jc w:val="both"/>
        <w:rPr>
          <w:rFonts w:cstheme="minorHAnsi"/>
        </w:rPr>
      </w:pPr>
    </w:p>
    <w:p w:rsidR="00A2079D" w:rsidRPr="00A2079D" w:rsidRDefault="002F7F61" w:rsidP="00A2079D">
      <w:pPr>
        <w:spacing w:line="360" w:lineRule="auto"/>
        <w:jc w:val="both"/>
        <w:rPr>
          <w:rFonts w:cstheme="minorHAnsi"/>
          <w:b/>
        </w:rPr>
      </w:pPr>
      <w:r w:rsidRPr="001C2D33">
        <w:rPr>
          <w:rFonts w:cstheme="minorHAnsi"/>
          <w:noProof/>
        </w:rPr>
        <w:drawing>
          <wp:inline distT="0" distB="0" distL="0" distR="0">
            <wp:extent cx="4093845" cy="3168650"/>
            <wp:effectExtent l="19050" t="0" r="1905" b="0"/>
            <wp:docPr id="8" name="Picture 5" descr="C:\Users\Tim\Documents\Year 4\Thesis\figures\Lea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im\Documents\Year 4\Thesis\figures\Leaf2.jpg"/>
                    <pic:cNvPicPr>
                      <a:picLocks noChangeAspect="1" noChangeArrowheads="1"/>
                    </pic:cNvPicPr>
                  </pic:nvPicPr>
                  <pic:blipFill>
                    <a:blip r:embed="rId9" cstate="print"/>
                    <a:srcRect/>
                    <a:stretch>
                      <a:fillRect/>
                    </a:stretch>
                  </pic:blipFill>
                  <pic:spPr bwMode="auto">
                    <a:xfrm>
                      <a:off x="0" y="0"/>
                      <a:ext cx="4093845" cy="3168650"/>
                    </a:xfrm>
                    <a:prstGeom prst="rect">
                      <a:avLst/>
                    </a:prstGeom>
                    <a:noFill/>
                    <a:ln w="9525">
                      <a:noFill/>
                      <a:miter lim="800000"/>
                      <a:headEnd/>
                      <a:tailEnd/>
                    </a:ln>
                  </pic:spPr>
                </pic:pic>
              </a:graphicData>
            </a:graphic>
          </wp:inline>
        </w:drawing>
      </w:r>
    </w:p>
    <w:p w:rsidR="00A2079D" w:rsidRPr="00A54878" w:rsidRDefault="00135F9B" w:rsidP="00A2079D">
      <w:pPr>
        <w:spacing w:line="360" w:lineRule="auto"/>
        <w:rPr>
          <w:rFonts w:ascii="Times New Roman" w:hAnsi="Times New Roman" w:cs="Times New Roman"/>
          <w:b/>
          <w:sz w:val="20"/>
          <w:szCs w:val="20"/>
        </w:rPr>
      </w:pPr>
      <w:r w:rsidRPr="00A54878">
        <w:rPr>
          <w:rFonts w:ascii="Times New Roman" w:hAnsi="Times New Roman" w:cs="Times New Roman"/>
          <w:b/>
          <w:sz w:val="20"/>
          <w:szCs w:val="20"/>
        </w:rPr>
        <w:t>Fig 2.</w:t>
      </w:r>
      <w:r w:rsidR="00A54878" w:rsidRPr="00A54878">
        <w:rPr>
          <w:rFonts w:ascii="Times New Roman" w:hAnsi="Times New Roman" w:cs="Times New Roman"/>
          <w:b/>
          <w:sz w:val="20"/>
          <w:szCs w:val="20"/>
        </w:rPr>
        <w:t>3</w:t>
      </w:r>
      <w:r w:rsidRPr="00A54878">
        <w:rPr>
          <w:rFonts w:ascii="Times New Roman" w:hAnsi="Times New Roman" w:cs="Times New Roman"/>
          <w:b/>
          <w:sz w:val="20"/>
          <w:szCs w:val="20"/>
        </w:rPr>
        <w:t xml:space="preserve">: </w:t>
      </w:r>
      <w:r w:rsidR="008E5EA8">
        <w:rPr>
          <w:rFonts w:ascii="Times New Roman" w:hAnsi="Times New Roman" w:cs="Times New Roman"/>
          <w:b/>
          <w:sz w:val="20"/>
          <w:szCs w:val="20"/>
        </w:rPr>
        <w:t>M</w:t>
      </w:r>
      <w:r w:rsidRPr="00A54878">
        <w:rPr>
          <w:rFonts w:ascii="Times New Roman" w:hAnsi="Times New Roman" w:cs="Times New Roman"/>
          <w:b/>
          <w:sz w:val="20"/>
          <w:szCs w:val="20"/>
        </w:rPr>
        <w:t>easurements of leaf width and length.</w:t>
      </w:r>
    </w:p>
    <w:p w:rsidR="002F7F61" w:rsidRDefault="002F7F61" w:rsidP="00A2079D">
      <w:pPr>
        <w:spacing w:line="360" w:lineRule="auto"/>
        <w:rPr>
          <w:rFonts w:ascii="Times New Roman" w:hAnsi="Times New Roman" w:cs="Times New Roman"/>
          <w:sz w:val="20"/>
          <w:szCs w:val="20"/>
        </w:rPr>
      </w:pPr>
    </w:p>
    <w:p w:rsidR="005A48EA" w:rsidRPr="001C2D33" w:rsidRDefault="005A48EA" w:rsidP="00A2079D">
      <w:pPr>
        <w:spacing w:line="360" w:lineRule="auto"/>
        <w:jc w:val="center"/>
        <w:rPr>
          <w:rFonts w:cstheme="minorHAnsi"/>
          <w:b/>
        </w:rPr>
      </w:pPr>
      <w:r w:rsidRPr="001C2D33">
        <w:rPr>
          <w:rFonts w:cstheme="minorHAnsi"/>
          <w:b/>
        </w:rPr>
        <w:t>2.11 Leaf sectioning</w:t>
      </w:r>
    </w:p>
    <w:p w:rsidR="00A2079D" w:rsidRDefault="005A48EA" w:rsidP="004E4353">
      <w:pPr>
        <w:spacing w:line="360" w:lineRule="auto"/>
        <w:jc w:val="both"/>
        <w:rPr>
          <w:rFonts w:cstheme="minorHAnsi"/>
        </w:rPr>
      </w:pPr>
      <w:r w:rsidRPr="001C2D33">
        <w:rPr>
          <w:rFonts w:cstheme="minorHAnsi"/>
        </w:rPr>
        <w:t xml:space="preserve">Mature leaves were gradually dehydrated in 10%, </w:t>
      </w:r>
      <w:r w:rsidR="004820D2" w:rsidRPr="001C2D33">
        <w:rPr>
          <w:rFonts w:cstheme="minorHAnsi"/>
        </w:rPr>
        <w:t>30%, 50%, 70% 90%, 97%, 100% ethanol for 30 minutes each.</w:t>
      </w:r>
      <w:r w:rsidR="002C275F" w:rsidRPr="001C2D33">
        <w:rPr>
          <w:rFonts w:cstheme="minorHAnsi"/>
        </w:rPr>
        <w:t xml:space="preserve"> Leaves were then placed in </w:t>
      </w:r>
      <w:proofErr w:type="spellStart"/>
      <w:r w:rsidR="00275C24" w:rsidRPr="001C2D33">
        <w:rPr>
          <w:rFonts w:cstheme="minorHAnsi"/>
        </w:rPr>
        <w:t>Carnoy’s</w:t>
      </w:r>
      <w:proofErr w:type="spellEnd"/>
      <w:r w:rsidR="00275C24" w:rsidRPr="001C2D33">
        <w:rPr>
          <w:rFonts w:cstheme="minorHAnsi"/>
        </w:rPr>
        <w:t xml:space="preserve"> fixative (4</w:t>
      </w:r>
      <w:r w:rsidR="002C275F" w:rsidRPr="001C2D33">
        <w:rPr>
          <w:rFonts w:cstheme="minorHAnsi"/>
        </w:rPr>
        <w:t xml:space="preserve">:1 </w:t>
      </w:r>
      <w:r w:rsidR="00615171" w:rsidRPr="001C2D33">
        <w:rPr>
          <w:rFonts w:cstheme="minorHAnsi"/>
        </w:rPr>
        <w:t xml:space="preserve">= </w:t>
      </w:r>
      <w:r w:rsidR="002C275F" w:rsidRPr="001C2D33">
        <w:rPr>
          <w:rFonts w:cstheme="minorHAnsi"/>
        </w:rPr>
        <w:t>ethanol : acetic acid solution</w:t>
      </w:r>
      <w:r w:rsidR="00275C24" w:rsidRPr="001C2D33">
        <w:rPr>
          <w:rFonts w:cstheme="minorHAnsi"/>
        </w:rPr>
        <w:t xml:space="preserve">), </w:t>
      </w:r>
      <w:r w:rsidR="002C275F" w:rsidRPr="001C2D33">
        <w:rPr>
          <w:rFonts w:cstheme="minorHAnsi"/>
        </w:rPr>
        <w:t>vacuum infiltrated for 30 minutes and subsequently left at room temperature for 16-</w:t>
      </w:r>
      <w:r w:rsidR="002C275F" w:rsidRPr="001C2D33">
        <w:rPr>
          <w:rFonts w:cstheme="minorHAnsi"/>
        </w:rPr>
        <w:lastRenderedPageBreak/>
        <w:t>24 hours. Leaves were washed again in 100% ethanol (2 times for 20 minutes each) and then kept at room temperature for up to 3 weeks.</w:t>
      </w:r>
    </w:p>
    <w:p w:rsidR="00A2079D" w:rsidRDefault="002C275F" w:rsidP="004E4353">
      <w:pPr>
        <w:spacing w:line="360" w:lineRule="auto"/>
        <w:jc w:val="both"/>
        <w:rPr>
          <w:rFonts w:cstheme="minorHAnsi"/>
        </w:rPr>
      </w:pPr>
      <w:r w:rsidRPr="001C2D33">
        <w:rPr>
          <w:rFonts w:cstheme="minorHAnsi"/>
        </w:rPr>
        <w:t>Leaf segments approximately 5 by 7 mm from the widest area of the leaf (</w:t>
      </w:r>
      <w:r w:rsidR="00F22C5C">
        <w:rPr>
          <w:rFonts w:cstheme="minorHAnsi"/>
        </w:rPr>
        <w:t>Fig</w:t>
      </w:r>
      <w:r w:rsidRPr="001C2D33">
        <w:rPr>
          <w:rFonts w:cstheme="minorHAnsi"/>
        </w:rPr>
        <w:t xml:space="preserve"> 2.9.1) were cut</w:t>
      </w:r>
      <w:r w:rsidR="00275C24" w:rsidRPr="001C2D33">
        <w:rPr>
          <w:rFonts w:cstheme="minorHAnsi"/>
        </w:rPr>
        <w:t xml:space="preserve"> and pre-infiltrated in a </w:t>
      </w:r>
      <w:proofErr w:type="spellStart"/>
      <w:r w:rsidR="00275C24" w:rsidRPr="001C2D33">
        <w:rPr>
          <w:rFonts w:cstheme="minorHAnsi"/>
        </w:rPr>
        <w:t>technovit</w:t>
      </w:r>
      <w:proofErr w:type="spellEnd"/>
      <w:r w:rsidR="00275C24" w:rsidRPr="001C2D33">
        <w:rPr>
          <w:rFonts w:cstheme="minorHAnsi"/>
        </w:rPr>
        <w:t xml:space="preserve"> 1 : ethanol = </w:t>
      </w:r>
      <w:r w:rsidR="00615171" w:rsidRPr="001C2D33">
        <w:rPr>
          <w:rFonts w:cstheme="minorHAnsi"/>
        </w:rPr>
        <w:t>1:</w:t>
      </w:r>
      <w:r w:rsidR="00275C24" w:rsidRPr="001C2D33">
        <w:rPr>
          <w:rFonts w:cstheme="minorHAnsi"/>
        </w:rPr>
        <w:t>1 solution for 1-2 hours (</w:t>
      </w:r>
      <w:proofErr w:type="spellStart"/>
      <w:r w:rsidR="00275C24" w:rsidRPr="001C2D33">
        <w:rPr>
          <w:rFonts w:cstheme="minorHAnsi"/>
        </w:rPr>
        <w:t>Technovit</w:t>
      </w:r>
      <w:proofErr w:type="spellEnd"/>
      <w:r w:rsidR="00275C24" w:rsidRPr="001C2D33">
        <w:rPr>
          <w:rFonts w:cstheme="minorHAnsi"/>
        </w:rPr>
        <w:t xml:space="preserve"> 7100, order number T218 from TAAB). Samples were replaced into fresh 100% </w:t>
      </w:r>
      <w:proofErr w:type="spellStart"/>
      <w:r w:rsidR="00275C24" w:rsidRPr="001C2D33">
        <w:rPr>
          <w:rFonts w:cstheme="minorHAnsi"/>
        </w:rPr>
        <w:t>technovit</w:t>
      </w:r>
      <w:proofErr w:type="spellEnd"/>
      <w:r w:rsidR="00275C24" w:rsidRPr="001C2D33">
        <w:rPr>
          <w:rFonts w:cstheme="minorHAnsi"/>
        </w:rPr>
        <w:t xml:space="preserve"> for 2 days.</w:t>
      </w:r>
    </w:p>
    <w:p w:rsidR="00275C24" w:rsidRPr="001C2D33" w:rsidRDefault="00275C24" w:rsidP="004E4353">
      <w:pPr>
        <w:spacing w:line="360" w:lineRule="auto"/>
        <w:jc w:val="both"/>
        <w:rPr>
          <w:rFonts w:cstheme="minorHAnsi"/>
        </w:rPr>
      </w:pPr>
      <w:r w:rsidRPr="001C2D33">
        <w:rPr>
          <w:rFonts w:cstheme="minorHAnsi"/>
        </w:rPr>
        <w:t xml:space="preserve">Samples were placed into 5ml of 100% </w:t>
      </w:r>
      <w:proofErr w:type="spellStart"/>
      <w:r w:rsidRPr="001C2D33">
        <w:rPr>
          <w:rFonts w:cstheme="minorHAnsi"/>
        </w:rPr>
        <w:t>technovit</w:t>
      </w:r>
      <w:proofErr w:type="spellEnd"/>
      <w:r w:rsidRPr="001C2D33">
        <w:rPr>
          <w:rFonts w:cstheme="minorHAnsi"/>
        </w:rPr>
        <w:t xml:space="preserve"> 1 with a pinch of Neutral red dye for 3-5 minutes to aid with visualising the sample. </w:t>
      </w:r>
      <w:r w:rsidR="00615171" w:rsidRPr="001C2D33">
        <w:rPr>
          <w:rFonts w:cstheme="minorHAnsi"/>
        </w:rPr>
        <w:t xml:space="preserve">Hardener 2 and </w:t>
      </w:r>
      <w:proofErr w:type="spellStart"/>
      <w:r w:rsidR="00615171" w:rsidRPr="001C2D33">
        <w:rPr>
          <w:rFonts w:cstheme="minorHAnsi"/>
        </w:rPr>
        <w:t>Technovit</w:t>
      </w:r>
      <w:proofErr w:type="spellEnd"/>
      <w:r w:rsidR="00615171" w:rsidRPr="001C2D33">
        <w:rPr>
          <w:rFonts w:cstheme="minorHAnsi"/>
        </w:rPr>
        <w:t xml:space="preserve"> 1 were mixed in a 1:15 ratio and added to a </w:t>
      </w:r>
      <w:r w:rsidR="00254CBC" w:rsidRPr="001C2D33">
        <w:rPr>
          <w:rFonts w:cstheme="minorHAnsi"/>
        </w:rPr>
        <w:t>detached</w:t>
      </w:r>
      <w:r w:rsidR="00615171" w:rsidRPr="001C2D33">
        <w:rPr>
          <w:rFonts w:cstheme="minorHAnsi"/>
        </w:rPr>
        <w:t xml:space="preserve"> upturned lid of a 1.5 ml </w:t>
      </w:r>
      <w:proofErr w:type="spellStart"/>
      <w:r w:rsidR="00615171" w:rsidRPr="001C2D33">
        <w:rPr>
          <w:rFonts w:cstheme="minorHAnsi"/>
        </w:rPr>
        <w:t>Eppendorf</w:t>
      </w:r>
      <w:proofErr w:type="spellEnd"/>
      <w:r w:rsidR="00615171" w:rsidRPr="001C2D33">
        <w:rPr>
          <w:rFonts w:cstheme="minorHAnsi"/>
        </w:rPr>
        <w:t xml:space="preserve"> tube. Samples were positioned vertically against the side of an </w:t>
      </w:r>
      <w:proofErr w:type="spellStart"/>
      <w:r w:rsidR="00615171" w:rsidRPr="001C2D33">
        <w:rPr>
          <w:rFonts w:cstheme="minorHAnsi"/>
        </w:rPr>
        <w:t>Eppendorf</w:t>
      </w:r>
      <w:proofErr w:type="spellEnd"/>
      <w:r w:rsidR="00615171" w:rsidRPr="001C2D33">
        <w:rPr>
          <w:rFonts w:cstheme="minorHAnsi"/>
        </w:rPr>
        <w:t xml:space="preserve"> lid and left to cure for 2-3 hrs</w:t>
      </w:r>
      <w:r w:rsidR="00FC7CFA" w:rsidRPr="001C2D33">
        <w:rPr>
          <w:rFonts w:cstheme="minorHAnsi"/>
        </w:rPr>
        <w:t xml:space="preserve"> (</w:t>
      </w:r>
      <w:r w:rsidR="00F22C5C">
        <w:rPr>
          <w:rFonts w:cstheme="minorHAnsi"/>
        </w:rPr>
        <w:t>Fig</w:t>
      </w:r>
      <w:r w:rsidR="00FC7CFA" w:rsidRPr="001C2D33">
        <w:rPr>
          <w:rFonts w:cstheme="minorHAnsi"/>
        </w:rPr>
        <w:t xml:space="preserve"> 2.11)</w:t>
      </w:r>
      <w:r w:rsidR="00615171" w:rsidRPr="001C2D33">
        <w:rPr>
          <w:rFonts w:cstheme="minorHAnsi"/>
        </w:rPr>
        <w:t xml:space="preserve">. Once hardened, the resin was removed from the lid and fixed to </w:t>
      </w:r>
      <w:proofErr w:type="spellStart"/>
      <w:r w:rsidR="00615171" w:rsidRPr="001C2D33">
        <w:rPr>
          <w:rFonts w:cstheme="minorHAnsi"/>
        </w:rPr>
        <w:t>histobloc</w:t>
      </w:r>
      <w:proofErr w:type="spellEnd"/>
      <w:r w:rsidR="00615171" w:rsidRPr="001C2D33">
        <w:rPr>
          <w:rFonts w:cstheme="minorHAnsi"/>
        </w:rPr>
        <w:t xml:space="preserve"> mounting blocks (order number T395 from TAAB), under a fume hood, with a </w:t>
      </w:r>
      <w:proofErr w:type="spellStart"/>
      <w:r w:rsidR="00615171" w:rsidRPr="001C2D33">
        <w:rPr>
          <w:rFonts w:cstheme="minorHAnsi"/>
        </w:rPr>
        <w:t>technovit</w:t>
      </w:r>
      <w:proofErr w:type="spellEnd"/>
      <w:r w:rsidR="00615171" w:rsidRPr="001C2D33">
        <w:rPr>
          <w:rFonts w:cstheme="minorHAnsi"/>
        </w:rPr>
        <w:t xml:space="preserve"> 3040 solution and left to set for 30 minutes.</w:t>
      </w:r>
    </w:p>
    <w:p w:rsidR="00BE3B07" w:rsidRPr="001C2D33" w:rsidRDefault="00BE3B07" w:rsidP="004E4353">
      <w:pPr>
        <w:spacing w:line="360" w:lineRule="auto"/>
        <w:jc w:val="both"/>
        <w:rPr>
          <w:rFonts w:cstheme="minorHAnsi"/>
        </w:rPr>
      </w:pPr>
      <w:r w:rsidRPr="001C2D33">
        <w:rPr>
          <w:rFonts w:cstheme="minorHAnsi"/>
        </w:rPr>
        <w:t>The resin was cut in half with a hacksaw (</w:t>
      </w:r>
      <w:r w:rsidR="00F22C5C">
        <w:rPr>
          <w:rFonts w:cstheme="minorHAnsi"/>
        </w:rPr>
        <w:t>Fig</w:t>
      </w:r>
      <w:r w:rsidRPr="001C2D33">
        <w:rPr>
          <w:rFonts w:cstheme="minorHAnsi"/>
        </w:rPr>
        <w:t xml:space="preserve"> 2.11)</w:t>
      </w:r>
      <w:r w:rsidR="00FC7CFA" w:rsidRPr="001C2D33">
        <w:rPr>
          <w:rFonts w:cstheme="minorHAnsi"/>
        </w:rPr>
        <w:t xml:space="preserve"> to facilitate handling and provide a pointed apex from which the microtome can cut. A rotation microtome (</w:t>
      </w:r>
      <w:proofErr w:type="spellStart"/>
      <w:r w:rsidR="00FC7CFA" w:rsidRPr="001C2D33">
        <w:rPr>
          <w:rFonts w:cstheme="minorHAnsi"/>
        </w:rPr>
        <w:t>Leica</w:t>
      </w:r>
      <w:proofErr w:type="spellEnd"/>
      <w:r w:rsidR="00FC7CFA" w:rsidRPr="001C2D33">
        <w:rPr>
          <w:rFonts w:cstheme="minorHAnsi"/>
        </w:rPr>
        <w:t xml:space="preserve"> RM 2145) was used to transversely cut 8µm sections from the resin which were then </w:t>
      </w:r>
      <w:r w:rsidR="00254CBC" w:rsidRPr="001C2D33">
        <w:rPr>
          <w:rFonts w:cstheme="minorHAnsi"/>
        </w:rPr>
        <w:t xml:space="preserve">placed on </w:t>
      </w:r>
      <w:r w:rsidR="00D82A9C" w:rsidRPr="001C2D33">
        <w:rPr>
          <w:rFonts w:cstheme="minorHAnsi"/>
        </w:rPr>
        <w:t>slides and stained with</w:t>
      </w:r>
      <w:r w:rsidR="00C210A6" w:rsidRPr="001C2D33">
        <w:rPr>
          <w:rFonts w:cstheme="minorHAnsi"/>
        </w:rPr>
        <w:t xml:space="preserve"> </w:t>
      </w:r>
      <w:proofErr w:type="spellStart"/>
      <w:r w:rsidR="00987C6D" w:rsidRPr="001C2D33">
        <w:rPr>
          <w:rFonts w:cstheme="minorHAnsi"/>
        </w:rPr>
        <w:t>Toluidine</w:t>
      </w:r>
      <w:proofErr w:type="spellEnd"/>
      <w:r w:rsidR="00987C6D" w:rsidRPr="001C2D33">
        <w:rPr>
          <w:rFonts w:cstheme="minorHAnsi"/>
        </w:rPr>
        <w:t xml:space="preserve"> blue </w:t>
      </w:r>
      <w:r w:rsidR="008E5EA8">
        <w:rPr>
          <w:rFonts w:cstheme="minorHAnsi"/>
        </w:rPr>
        <w:t>O</w:t>
      </w:r>
      <w:r w:rsidR="00987C6D" w:rsidRPr="001C2D33">
        <w:rPr>
          <w:rFonts w:cstheme="minorHAnsi"/>
        </w:rPr>
        <w:t>.</w:t>
      </w:r>
      <w:r w:rsidR="00C210A6" w:rsidRPr="001C2D33">
        <w:rPr>
          <w:rFonts w:cstheme="minorHAnsi"/>
        </w:rPr>
        <w:t xml:space="preserve"> Samples were visualised by light microscopy (Olympus BX51), using a fitted camera (Olympus DP70).</w:t>
      </w:r>
    </w:p>
    <w:p w:rsidR="00615171" w:rsidRPr="001C2D33" w:rsidRDefault="00E632A4" w:rsidP="004E4353">
      <w:pPr>
        <w:spacing w:line="360" w:lineRule="auto"/>
        <w:jc w:val="both"/>
        <w:rPr>
          <w:rFonts w:cstheme="minorHAnsi"/>
        </w:rPr>
      </w:pPr>
      <w:r>
        <w:rPr>
          <w:rFonts w:cstheme="minorHAnsi"/>
          <w:noProof/>
        </w:rPr>
        <w:pict>
          <v:shapetype id="_x0000_t202" coordsize="21600,21600" o:spt="202" path="m,l,21600r21600,l21600,xe">
            <v:stroke joinstyle="miter"/>
            <v:path gradientshapeok="t" o:connecttype="rect"/>
          </v:shapetype>
          <v:shape id="_x0000_s1032" type="#_x0000_t202" style="position:absolute;left:0;text-align:left;margin-left:188pt;margin-top:60.65pt;width:138.1pt;height:25.85pt;z-index:251664384;mso-width-relative:margin;mso-height-relative:margin" stroked="f">
            <v:textbox>
              <w:txbxContent>
                <w:p w:rsidR="0061772E" w:rsidRPr="00BE3B07" w:rsidRDefault="0061772E" w:rsidP="00BE3B07">
                  <w:pPr>
                    <w:rPr>
                      <w:rFonts w:ascii="Times New Roman" w:hAnsi="Times New Roman" w:cs="Times New Roman"/>
                      <w:sz w:val="24"/>
                      <w:szCs w:val="24"/>
                    </w:rPr>
                  </w:pPr>
                  <w:proofErr w:type="spellStart"/>
                  <w:r>
                    <w:rPr>
                      <w:rFonts w:ascii="Times New Roman" w:hAnsi="Times New Roman" w:cs="Times New Roman"/>
                      <w:sz w:val="24"/>
                      <w:szCs w:val="24"/>
                    </w:rPr>
                    <w:t>Eppendorf</w:t>
                  </w:r>
                  <w:proofErr w:type="spellEnd"/>
                  <w:r>
                    <w:rPr>
                      <w:rFonts w:ascii="Times New Roman" w:hAnsi="Times New Roman" w:cs="Times New Roman"/>
                      <w:sz w:val="24"/>
                      <w:szCs w:val="24"/>
                    </w:rPr>
                    <w:t xml:space="preserve"> lid</w:t>
                  </w:r>
                </w:p>
              </w:txbxContent>
            </v:textbox>
          </v:shape>
        </w:pict>
      </w:r>
      <w:r>
        <w:rPr>
          <w:rFonts w:cstheme="minorHAnsi"/>
          <w:noProof/>
        </w:rPr>
        <w:pict>
          <v:shape id="_x0000_s1031" type="#_x0000_t202" style="position:absolute;left:0;text-align:left;margin-left:183.8pt;margin-top:34.8pt;width:55.25pt;height:25.85pt;z-index:251663360;mso-width-relative:margin;mso-height-relative:margin" stroked="f">
            <v:textbox>
              <w:txbxContent>
                <w:p w:rsidR="0061772E" w:rsidRPr="00BE3B07" w:rsidRDefault="0061772E" w:rsidP="00BE3B07">
                  <w:pPr>
                    <w:rPr>
                      <w:rFonts w:ascii="Times New Roman" w:hAnsi="Times New Roman" w:cs="Times New Roman"/>
                      <w:sz w:val="24"/>
                      <w:szCs w:val="24"/>
                    </w:rPr>
                  </w:pPr>
                  <w:r>
                    <w:rPr>
                      <w:rFonts w:ascii="Times New Roman" w:hAnsi="Times New Roman" w:cs="Times New Roman"/>
                      <w:sz w:val="24"/>
                      <w:szCs w:val="24"/>
                    </w:rPr>
                    <w:t>Cut</w:t>
                  </w:r>
                </w:p>
              </w:txbxContent>
            </v:textbox>
          </v:shape>
        </w:pict>
      </w:r>
      <w:r w:rsidRPr="00E632A4">
        <w:rPr>
          <w:rFonts w:cstheme="minorHAnsi"/>
          <w:noProof/>
          <w:lang w:val="en-US" w:eastAsia="zh-TW"/>
        </w:rPr>
        <w:pict>
          <v:shape id="_x0000_s1030" type="#_x0000_t202" style="position:absolute;left:0;text-align:left;margin-left:183.8pt;margin-top:3.1pt;width:55.25pt;height:25.85pt;z-index:251662336;mso-width-relative:margin;mso-height-relative:margin" stroked="f">
            <v:textbox>
              <w:txbxContent>
                <w:p w:rsidR="0061772E" w:rsidRPr="00BE3B07" w:rsidRDefault="0061772E">
                  <w:pPr>
                    <w:rPr>
                      <w:rFonts w:ascii="Times New Roman" w:hAnsi="Times New Roman" w:cs="Times New Roman"/>
                      <w:sz w:val="24"/>
                      <w:szCs w:val="24"/>
                    </w:rPr>
                  </w:pPr>
                  <w:r w:rsidRPr="00BE3B07">
                    <w:rPr>
                      <w:rFonts w:ascii="Times New Roman" w:hAnsi="Times New Roman" w:cs="Times New Roman"/>
                      <w:sz w:val="24"/>
                      <w:szCs w:val="24"/>
                    </w:rPr>
                    <w:t>Sample</w:t>
                  </w:r>
                </w:p>
              </w:txbxContent>
            </v:textbox>
          </v:shape>
        </w:pict>
      </w:r>
      <w:r>
        <w:rPr>
          <w:rFonts w:cstheme="minorHAnsi"/>
          <w:noProof/>
        </w:rPr>
        <w:pict>
          <v:shapetype id="_x0000_t32" coordsize="21600,21600" o:spt="32" o:oned="t" path="m,l21600,21600e" filled="f">
            <v:path arrowok="t" fillok="f" o:connecttype="none"/>
            <o:lock v:ext="edit" shapetype="t"/>
          </v:shapetype>
          <v:shape id="_x0000_s1027" type="#_x0000_t32" style="position:absolute;left:0;text-align:left;margin-left:118.8pt;margin-top:44.85pt;width:65pt;height:20.35pt;flip:x;z-index:251659264" o:connectortype="straight">
            <v:stroke endarrow="block"/>
          </v:shape>
        </w:pict>
      </w:r>
      <w:r>
        <w:rPr>
          <w:rFonts w:cstheme="minorHAnsi"/>
          <w:noProof/>
        </w:rPr>
        <w:pict>
          <v:shape id="_x0000_s1028" type="#_x0000_t32" style="position:absolute;left:0;text-align:left;margin-left:158.95pt;margin-top:69.95pt;width:29.05pt;height:6.15pt;flip:x;z-index:251660288" o:connectortype="straight">
            <v:stroke endarrow="block"/>
          </v:shape>
        </w:pict>
      </w:r>
      <w:r>
        <w:rPr>
          <w:rFonts w:cstheme="minorHAnsi"/>
          <w:noProof/>
        </w:rPr>
        <w:pict>
          <v:shape id="_x0000_s1026" type="#_x0000_t32" style="position:absolute;left:0;text-align:left;margin-left:100.1pt;margin-top:19.75pt;width:78.7pt;height:20.05pt;flip:x;z-index:251658240" o:connectortype="straight">
            <v:stroke endarrow="block"/>
          </v:shape>
        </w:pict>
      </w:r>
      <w:r w:rsidR="00615171" w:rsidRPr="001C2D33">
        <w:rPr>
          <w:rFonts w:cstheme="minorHAnsi"/>
        </w:rPr>
        <w:tab/>
      </w:r>
      <w:r w:rsidR="00BE3B07" w:rsidRPr="001C2D33">
        <w:rPr>
          <w:rFonts w:cstheme="minorHAnsi"/>
          <w:noProof/>
        </w:rPr>
        <w:drawing>
          <wp:inline distT="0" distB="0" distL="0" distR="0">
            <wp:extent cx="4625340" cy="1732915"/>
            <wp:effectExtent l="19050" t="0" r="3810" b="0"/>
            <wp:docPr id="3" name="Picture 1" descr="C:\Users\Tim\Desktop\resin for sec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m\Desktop\resin for sections.jpg"/>
                    <pic:cNvPicPr>
                      <a:picLocks noChangeAspect="1" noChangeArrowheads="1"/>
                    </pic:cNvPicPr>
                  </pic:nvPicPr>
                  <pic:blipFill>
                    <a:blip r:embed="rId10" cstate="print"/>
                    <a:srcRect/>
                    <a:stretch>
                      <a:fillRect/>
                    </a:stretch>
                  </pic:blipFill>
                  <pic:spPr bwMode="auto">
                    <a:xfrm>
                      <a:off x="0" y="0"/>
                      <a:ext cx="4625340" cy="1732915"/>
                    </a:xfrm>
                    <a:prstGeom prst="rect">
                      <a:avLst/>
                    </a:prstGeom>
                    <a:noFill/>
                    <a:ln w="9525">
                      <a:noFill/>
                      <a:miter lim="800000"/>
                      <a:headEnd/>
                      <a:tailEnd/>
                    </a:ln>
                  </pic:spPr>
                </pic:pic>
              </a:graphicData>
            </a:graphic>
          </wp:inline>
        </w:drawing>
      </w:r>
    </w:p>
    <w:p w:rsidR="00BE3B07" w:rsidRPr="00E6606B" w:rsidRDefault="00BE3B07" w:rsidP="004E4353">
      <w:pPr>
        <w:spacing w:line="360" w:lineRule="auto"/>
        <w:jc w:val="both"/>
        <w:rPr>
          <w:rFonts w:ascii="Times New Roman" w:hAnsi="Times New Roman" w:cs="Times New Roman"/>
          <w:b/>
          <w:sz w:val="20"/>
          <w:szCs w:val="20"/>
        </w:rPr>
      </w:pPr>
      <w:r w:rsidRPr="00E6606B">
        <w:rPr>
          <w:rFonts w:ascii="Times New Roman" w:hAnsi="Times New Roman" w:cs="Times New Roman"/>
          <w:b/>
          <w:sz w:val="20"/>
          <w:szCs w:val="20"/>
        </w:rPr>
        <w:t>Fig 2.</w:t>
      </w:r>
      <w:r w:rsidR="00A54878" w:rsidRPr="00E6606B">
        <w:rPr>
          <w:rFonts w:ascii="Times New Roman" w:hAnsi="Times New Roman" w:cs="Times New Roman"/>
          <w:b/>
          <w:sz w:val="20"/>
          <w:szCs w:val="20"/>
        </w:rPr>
        <w:t>4</w:t>
      </w:r>
      <w:r w:rsidRPr="00E6606B">
        <w:rPr>
          <w:rFonts w:ascii="Times New Roman" w:hAnsi="Times New Roman" w:cs="Times New Roman"/>
          <w:b/>
          <w:sz w:val="20"/>
          <w:szCs w:val="20"/>
        </w:rPr>
        <w:t xml:space="preserve"> Representative diagram of sample embedded in resin in an </w:t>
      </w:r>
      <w:proofErr w:type="spellStart"/>
      <w:r w:rsidRPr="00E6606B">
        <w:rPr>
          <w:rFonts w:ascii="Times New Roman" w:hAnsi="Times New Roman" w:cs="Times New Roman"/>
          <w:b/>
          <w:sz w:val="20"/>
          <w:szCs w:val="20"/>
        </w:rPr>
        <w:t>Eppendorf</w:t>
      </w:r>
      <w:proofErr w:type="spellEnd"/>
      <w:r w:rsidRPr="00E6606B">
        <w:rPr>
          <w:rFonts w:ascii="Times New Roman" w:hAnsi="Times New Roman" w:cs="Times New Roman"/>
          <w:b/>
          <w:sz w:val="20"/>
          <w:szCs w:val="20"/>
        </w:rPr>
        <w:t xml:space="preserve"> lid. Cuts with the hacksaw were made across the blue line.</w:t>
      </w:r>
    </w:p>
    <w:p w:rsidR="002F7F61" w:rsidRPr="00A2079D" w:rsidRDefault="002F7F61" w:rsidP="004E4353">
      <w:pPr>
        <w:spacing w:line="360" w:lineRule="auto"/>
        <w:jc w:val="both"/>
        <w:rPr>
          <w:rFonts w:ascii="Times New Roman" w:hAnsi="Times New Roman" w:cs="Times New Roman"/>
          <w:sz w:val="20"/>
          <w:szCs w:val="20"/>
        </w:rPr>
      </w:pPr>
    </w:p>
    <w:p w:rsidR="00A2079D" w:rsidRDefault="00904C18" w:rsidP="00A2079D">
      <w:pPr>
        <w:spacing w:line="360" w:lineRule="auto"/>
        <w:jc w:val="center"/>
        <w:rPr>
          <w:rFonts w:cstheme="minorHAnsi"/>
        </w:rPr>
      </w:pPr>
      <w:r w:rsidRPr="001C2D33">
        <w:rPr>
          <w:rFonts w:cstheme="minorHAnsi"/>
          <w:b/>
        </w:rPr>
        <w:t>2.1</w:t>
      </w:r>
      <w:r w:rsidR="005A48EA" w:rsidRPr="001C2D33">
        <w:rPr>
          <w:rFonts w:cstheme="minorHAnsi"/>
          <w:b/>
        </w:rPr>
        <w:t>2</w:t>
      </w:r>
      <w:r w:rsidR="004E5CA5" w:rsidRPr="001C2D33">
        <w:rPr>
          <w:rFonts w:cstheme="minorHAnsi"/>
          <w:b/>
        </w:rPr>
        <w:t xml:space="preserve"> Infrared thermal imaging</w:t>
      </w:r>
    </w:p>
    <w:p w:rsidR="004E5CA5" w:rsidRPr="001C2D33" w:rsidRDefault="004E5CA5" w:rsidP="00A2079D">
      <w:pPr>
        <w:spacing w:line="360" w:lineRule="auto"/>
        <w:jc w:val="both"/>
        <w:rPr>
          <w:rFonts w:cstheme="minorHAnsi"/>
        </w:rPr>
      </w:pPr>
      <w:r w:rsidRPr="001C2D33">
        <w:rPr>
          <w:rFonts w:cstheme="minorHAnsi"/>
        </w:rPr>
        <w:t xml:space="preserve">Infrared images were taken using a FLIR SC660 camera (FLIR systems) vertically positioned approximately one metre above the leaf rosette. Infrared images of plants </w:t>
      </w:r>
      <w:r w:rsidR="00CB0E48" w:rsidRPr="001C2D33">
        <w:rPr>
          <w:rFonts w:cstheme="minorHAnsi"/>
        </w:rPr>
        <w:t>grown in smaller 100 ml pots</w:t>
      </w:r>
      <w:r w:rsidRPr="001C2D33">
        <w:rPr>
          <w:rFonts w:cstheme="minorHAnsi"/>
        </w:rPr>
        <w:t xml:space="preserve"> (presented in </w:t>
      </w:r>
      <w:r w:rsidR="00F22C5C">
        <w:rPr>
          <w:rFonts w:cstheme="minorHAnsi"/>
        </w:rPr>
        <w:t>Fig</w:t>
      </w:r>
      <w:r w:rsidR="00C8127F" w:rsidRPr="001C2D33">
        <w:rPr>
          <w:rFonts w:cstheme="minorHAnsi"/>
        </w:rPr>
        <w:t>ures 4.5 and 4.6, chapter 4</w:t>
      </w:r>
      <w:r w:rsidRPr="001C2D33">
        <w:rPr>
          <w:rFonts w:cstheme="minorHAnsi"/>
        </w:rPr>
        <w:t xml:space="preserve">) were taken immediately after their </w:t>
      </w:r>
      <w:r w:rsidRPr="001C2D33">
        <w:rPr>
          <w:rFonts w:cstheme="minorHAnsi"/>
        </w:rPr>
        <w:lastRenderedPageBreak/>
        <w:t xml:space="preserve">removal from the growth cabinet. </w:t>
      </w:r>
      <w:r w:rsidR="00CB0E48" w:rsidRPr="001C2D33">
        <w:rPr>
          <w:rFonts w:cstheme="minorHAnsi"/>
        </w:rPr>
        <w:t xml:space="preserve">The method was refined for plants involved in the drought experiment grown in the larger pots (presented in </w:t>
      </w:r>
      <w:r w:rsidR="00F22C5C">
        <w:rPr>
          <w:rFonts w:cstheme="minorHAnsi"/>
        </w:rPr>
        <w:t>Fig</w:t>
      </w:r>
      <w:r w:rsidR="00C8127F" w:rsidRPr="001C2D33">
        <w:rPr>
          <w:rFonts w:cstheme="minorHAnsi"/>
        </w:rPr>
        <w:t>ures 4.7 and 4.8, chapter 4</w:t>
      </w:r>
      <w:r w:rsidR="00D65F5C" w:rsidRPr="001C2D33">
        <w:rPr>
          <w:rFonts w:cstheme="minorHAnsi"/>
        </w:rPr>
        <w:t>)</w:t>
      </w:r>
      <w:r w:rsidR="00D82A9C" w:rsidRPr="001C2D33">
        <w:rPr>
          <w:rFonts w:cstheme="minorHAnsi"/>
        </w:rPr>
        <w:t xml:space="preserve"> </w:t>
      </w:r>
      <w:r w:rsidR="00D65F5C" w:rsidRPr="001C2D33">
        <w:rPr>
          <w:rFonts w:cstheme="minorHAnsi"/>
        </w:rPr>
        <w:t>(</w:t>
      </w:r>
      <w:r w:rsidR="00F22C5C">
        <w:rPr>
          <w:rFonts w:cstheme="minorHAnsi"/>
        </w:rPr>
        <w:t>Fig</w:t>
      </w:r>
      <w:r w:rsidR="008E5EA8">
        <w:rPr>
          <w:rFonts w:cstheme="minorHAnsi"/>
        </w:rPr>
        <w:t xml:space="preserve"> </w:t>
      </w:r>
      <w:r w:rsidR="00D65F5C" w:rsidRPr="001C2D33">
        <w:rPr>
          <w:rFonts w:cstheme="minorHAnsi"/>
        </w:rPr>
        <w:t>2.11)</w:t>
      </w:r>
      <w:r w:rsidR="00CB0E48" w:rsidRPr="001C2D33">
        <w:rPr>
          <w:rFonts w:cstheme="minorHAnsi"/>
        </w:rPr>
        <w:t>. S</w:t>
      </w:r>
      <w:r w:rsidRPr="001C2D33">
        <w:rPr>
          <w:rFonts w:cstheme="minorHAnsi"/>
        </w:rPr>
        <w:t>ixty infrare</w:t>
      </w:r>
      <w:r w:rsidR="00CB0E48" w:rsidRPr="001C2D33">
        <w:rPr>
          <w:rFonts w:cstheme="minorHAnsi"/>
        </w:rPr>
        <w:t xml:space="preserve">d images of plants involved </w:t>
      </w:r>
      <w:r w:rsidRPr="001C2D33">
        <w:rPr>
          <w:rFonts w:cstheme="minorHAnsi"/>
        </w:rPr>
        <w:t xml:space="preserve">were taken within the growth cabinets over a period of 1 hour, beginning 2 hours after the start of the photoperiod. 3-4 plants of each genotype were imaged and average temperature data was recorded from the widest uncovered regions of 3 leaves per plants. </w:t>
      </w:r>
      <w:r w:rsidR="00904C18" w:rsidRPr="001C2D33">
        <w:rPr>
          <w:rFonts w:cstheme="minorHAnsi"/>
        </w:rPr>
        <w:t>Background temperatures in growth cabinets were taken from green paper positioned at the same level as the plant rosettes</w:t>
      </w:r>
      <w:r w:rsidR="008E5EA8">
        <w:rPr>
          <w:rFonts w:cstheme="minorHAnsi"/>
        </w:rPr>
        <w:t>.</w:t>
      </w:r>
      <w:r w:rsidR="00904C18" w:rsidRPr="001C2D33">
        <w:rPr>
          <w:rFonts w:cstheme="minorHAnsi"/>
        </w:rPr>
        <w:t xml:space="preserve"> </w:t>
      </w:r>
      <w:r w:rsidR="008E5EA8">
        <w:rPr>
          <w:rFonts w:cstheme="minorHAnsi"/>
        </w:rPr>
        <w:t>I</w:t>
      </w:r>
      <w:r w:rsidRPr="001C2D33">
        <w:rPr>
          <w:rFonts w:cstheme="minorHAnsi"/>
        </w:rPr>
        <w:t xml:space="preserve">mages were analysed using </w:t>
      </w:r>
      <w:proofErr w:type="spellStart"/>
      <w:r w:rsidRPr="001C2D33">
        <w:rPr>
          <w:rFonts w:cstheme="minorHAnsi"/>
        </w:rPr>
        <w:t>ThermaCAM</w:t>
      </w:r>
      <w:proofErr w:type="spellEnd"/>
      <w:r w:rsidRPr="001C2D33">
        <w:rPr>
          <w:rFonts w:cstheme="minorHAnsi"/>
        </w:rPr>
        <w:t xml:space="preserve"> Researcher 2.9 Professional </w:t>
      </w:r>
      <w:bookmarkStart w:id="0" w:name="_GoBack"/>
      <w:bookmarkEnd w:id="0"/>
      <w:r w:rsidRPr="001C2D33">
        <w:rPr>
          <w:rFonts w:cstheme="minorHAnsi"/>
        </w:rPr>
        <w:t>(FLIR systems)</w:t>
      </w:r>
      <w:r w:rsidR="00CB0E48" w:rsidRPr="001C2D33">
        <w:rPr>
          <w:rFonts w:cstheme="minorHAnsi"/>
        </w:rPr>
        <w:t xml:space="preserve"> </w:t>
      </w:r>
      <w:r w:rsidRPr="001C2D33">
        <w:rPr>
          <w:rFonts w:cstheme="minorHAnsi"/>
        </w:rPr>
        <w:t>and corrected for small variations in growth cabinet temperatures in comparison to background temperatures recorded using the same camera system (&lt;0.</w:t>
      </w:r>
      <w:r w:rsidR="00C8127F" w:rsidRPr="001C2D33">
        <w:rPr>
          <w:rFonts w:cstheme="minorHAnsi"/>
        </w:rPr>
        <w:t>7</w:t>
      </w:r>
      <w:r w:rsidRPr="001C2D33">
        <w:rPr>
          <w:rFonts w:cstheme="minorHAnsi"/>
        </w:rPr>
        <w:t>ºC).</w:t>
      </w:r>
    </w:p>
    <w:p w:rsidR="00D65F5C" w:rsidRPr="001C2D33" w:rsidRDefault="00D65F5C" w:rsidP="004E4353">
      <w:pPr>
        <w:spacing w:line="360" w:lineRule="auto"/>
        <w:jc w:val="both"/>
        <w:rPr>
          <w:rFonts w:cstheme="minorHAnsi"/>
        </w:rPr>
      </w:pPr>
      <w:r w:rsidRPr="001C2D33">
        <w:rPr>
          <w:rFonts w:cstheme="minorHAnsi"/>
          <w:noProof/>
        </w:rPr>
        <w:drawing>
          <wp:inline distT="0" distB="0" distL="0" distR="0">
            <wp:extent cx="5531146" cy="4148359"/>
            <wp:effectExtent l="1905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5528468" cy="4146350"/>
                    </a:xfrm>
                    <a:prstGeom prst="rect">
                      <a:avLst/>
                    </a:prstGeom>
                    <a:noFill/>
                  </pic:spPr>
                </pic:pic>
              </a:graphicData>
            </a:graphic>
          </wp:inline>
        </w:drawing>
      </w:r>
    </w:p>
    <w:p w:rsidR="00D65F5C" w:rsidRPr="00E6606B" w:rsidRDefault="00D65F5C" w:rsidP="004E4353">
      <w:pPr>
        <w:spacing w:line="360" w:lineRule="auto"/>
        <w:jc w:val="both"/>
        <w:rPr>
          <w:rFonts w:ascii="Times New Roman" w:hAnsi="Times New Roman" w:cs="Times New Roman"/>
          <w:b/>
          <w:sz w:val="20"/>
          <w:szCs w:val="20"/>
        </w:rPr>
      </w:pPr>
      <w:r w:rsidRPr="00E6606B">
        <w:rPr>
          <w:rFonts w:ascii="Times New Roman" w:hAnsi="Times New Roman" w:cs="Times New Roman"/>
          <w:b/>
          <w:sz w:val="20"/>
          <w:szCs w:val="20"/>
        </w:rPr>
        <w:t>Fig 2.</w:t>
      </w:r>
      <w:r w:rsidR="00A54878" w:rsidRPr="00E6606B">
        <w:rPr>
          <w:rFonts w:ascii="Times New Roman" w:hAnsi="Times New Roman" w:cs="Times New Roman"/>
          <w:b/>
          <w:sz w:val="20"/>
          <w:szCs w:val="20"/>
        </w:rPr>
        <w:t>5</w:t>
      </w:r>
      <w:r w:rsidRPr="00E6606B">
        <w:rPr>
          <w:rFonts w:ascii="Times New Roman" w:hAnsi="Times New Roman" w:cs="Times New Roman"/>
          <w:b/>
          <w:sz w:val="20"/>
          <w:szCs w:val="20"/>
        </w:rPr>
        <w:t xml:space="preserve">: </w:t>
      </w:r>
      <w:r w:rsidR="008E5EA8">
        <w:rPr>
          <w:rFonts w:ascii="Times New Roman" w:hAnsi="Times New Roman" w:cs="Times New Roman"/>
          <w:b/>
          <w:sz w:val="20"/>
          <w:szCs w:val="20"/>
        </w:rPr>
        <w:t>S</w:t>
      </w:r>
      <w:r w:rsidRPr="00E6606B">
        <w:rPr>
          <w:rFonts w:ascii="Times New Roman" w:hAnsi="Times New Roman" w:cs="Times New Roman"/>
          <w:b/>
          <w:sz w:val="20"/>
          <w:szCs w:val="20"/>
        </w:rPr>
        <w:t>etup for analysing plant temperature in the growth chamber</w:t>
      </w:r>
    </w:p>
    <w:p w:rsidR="00A2079D" w:rsidRDefault="00A2079D" w:rsidP="00A2079D">
      <w:pPr>
        <w:autoSpaceDE w:val="0"/>
        <w:autoSpaceDN w:val="0"/>
        <w:adjustRightInd w:val="0"/>
        <w:spacing w:before="100" w:beforeAutospacing="1" w:after="100" w:afterAutospacing="1" w:line="360" w:lineRule="auto"/>
        <w:jc w:val="center"/>
        <w:rPr>
          <w:rFonts w:cstheme="minorHAnsi"/>
          <w:b/>
        </w:rPr>
      </w:pPr>
    </w:p>
    <w:p w:rsidR="00A2079D" w:rsidRDefault="003C6C41" w:rsidP="00A2079D">
      <w:pPr>
        <w:autoSpaceDE w:val="0"/>
        <w:autoSpaceDN w:val="0"/>
        <w:adjustRightInd w:val="0"/>
        <w:spacing w:before="100" w:beforeAutospacing="1" w:after="100" w:afterAutospacing="1" w:line="360" w:lineRule="auto"/>
        <w:jc w:val="center"/>
        <w:rPr>
          <w:rFonts w:cstheme="minorHAnsi"/>
          <w:b/>
        </w:rPr>
      </w:pPr>
      <w:r w:rsidRPr="001C2D33">
        <w:rPr>
          <w:rFonts w:cstheme="minorHAnsi"/>
          <w:b/>
        </w:rPr>
        <w:t>2.1</w:t>
      </w:r>
      <w:r w:rsidR="005A48EA" w:rsidRPr="001C2D33">
        <w:rPr>
          <w:rFonts w:cstheme="minorHAnsi"/>
          <w:b/>
        </w:rPr>
        <w:t>3</w:t>
      </w:r>
      <w:r w:rsidRPr="001C2D33">
        <w:rPr>
          <w:rFonts w:cstheme="minorHAnsi"/>
          <w:b/>
        </w:rPr>
        <w:t xml:space="preserve"> </w:t>
      </w:r>
      <w:r w:rsidR="0062374B" w:rsidRPr="001C2D33">
        <w:rPr>
          <w:rFonts w:cstheme="minorHAnsi"/>
          <w:b/>
        </w:rPr>
        <w:t>Gas exchange using the LICOR-6400</w:t>
      </w:r>
    </w:p>
    <w:p w:rsidR="0062374B" w:rsidRPr="001C2D33" w:rsidRDefault="0062374B" w:rsidP="008E5EA8">
      <w:pPr>
        <w:autoSpaceDE w:val="0"/>
        <w:autoSpaceDN w:val="0"/>
        <w:adjustRightInd w:val="0"/>
        <w:spacing w:before="100" w:beforeAutospacing="1" w:after="100" w:afterAutospacing="1" w:line="360" w:lineRule="auto"/>
        <w:jc w:val="both"/>
        <w:rPr>
          <w:rFonts w:cstheme="minorHAnsi"/>
        </w:rPr>
      </w:pPr>
      <w:r w:rsidRPr="001C2D33">
        <w:rPr>
          <w:rFonts w:cstheme="minorHAnsi"/>
        </w:rPr>
        <w:t xml:space="preserve">Infra-Red Gas Analysis (IRGA) was applied to wild–type and mutant plants to investigate their gas exchange and </w:t>
      </w:r>
      <w:proofErr w:type="spellStart"/>
      <w:r w:rsidRPr="001C2D33">
        <w:rPr>
          <w:rFonts w:cstheme="minorHAnsi"/>
        </w:rPr>
        <w:t>stomatal</w:t>
      </w:r>
      <w:proofErr w:type="spellEnd"/>
      <w:r w:rsidRPr="001C2D33">
        <w:rPr>
          <w:rFonts w:cstheme="minorHAnsi"/>
        </w:rPr>
        <w:t xml:space="preserve"> conductance properties. </w:t>
      </w:r>
      <w:r w:rsidRPr="001C2D33">
        <w:rPr>
          <w:rFonts w:eastAsia="Calibri" w:cstheme="minorHAnsi"/>
        </w:rPr>
        <w:t xml:space="preserve">IRGA </w:t>
      </w:r>
      <w:r w:rsidRPr="001C2D33">
        <w:rPr>
          <w:rFonts w:cstheme="minorHAnsi"/>
        </w:rPr>
        <w:t>(model 6400, Li-COR, Lincoln, NE)</w:t>
      </w:r>
      <w:r w:rsidRPr="001C2D33">
        <w:rPr>
          <w:rFonts w:eastAsia="Calibri" w:cstheme="minorHAnsi"/>
        </w:rPr>
        <w:t xml:space="preserve"> is </w:t>
      </w:r>
      <w:r w:rsidRPr="001C2D33">
        <w:rPr>
          <w:rFonts w:eastAsia="Calibri" w:cstheme="minorHAnsi"/>
        </w:rPr>
        <w:lastRenderedPageBreak/>
        <w:t>a portable open gas exchange system connected to a sensor head</w:t>
      </w:r>
      <w:r w:rsidR="00A54878">
        <w:rPr>
          <w:rFonts w:eastAsia="Calibri" w:cstheme="minorHAnsi"/>
        </w:rPr>
        <w:t>.</w:t>
      </w:r>
      <w:r w:rsidRPr="001C2D33">
        <w:rPr>
          <w:rFonts w:eastAsia="Calibri" w:cstheme="minorHAnsi"/>
        </w:rPr>
        <w:t xml:space="preserve"> </w:t>
      </w:r>
      <w:r w:rsidRPr="001C2D33">
        <w:rPr>
          <w:rFonts w:cstheme="minorHAnsi"/>
        </w:rPr>
        <w:t>External air was scrubbed of CO</w:t>
      </w:r>
      <w:r w:rsidRPr="001C2D33">
        <w:rPr>
          <w:rFonts w:cstheme="minorHAnsi"/>
          <w:vertAlign w:val="subscript"/>
        </w:rPr>
        <w:t>2</w:t>
      </w:r>
      <w:r w:rsidRPr="001C2D33">
        <w:rPr>
          <w:rFonts w:cstheme="minorHAnsi"/>
        </w:rPr>
        <w:t xml:space="preserve"> using soda lime and mixed with a supply</w:t>
      </w:r>
      <w:r w:rsidRPr="001C2D33">
        <w:rPr>
          <w:rFonts w:cstheme="minorHAnsi"/>
          <w:vertAlign w:val="superscript"/>
        </w:rPr>
        <w:t xml:space="preserve"> </w:t>
      </w:r>
      <w:r w:rsidRPr="001C2D33">
        <w:rPr>
          <w:rFonts w:cstheme="minorHAnsi"/>
        </w:rPr>
        <w:t>of pure CO</w:t>
      </w:r>
      <w:r w:rsidRPr="001C2D33">
        <w:rPr>
          <w:rFonts w:cstheme="minorHAnsi"/>
          <w:vertAlign w:val="subscript"/>
        </w:rPr>
        <w:t>2</w:t>
      </w:r>
      <w:r w:rsidRPr="001C2D33">
        <w:rPr>
          <w:rFonts w:cstheme="minorHAnsi"/>
        </w:rPr>
        <w:t xml:space="preserve"> from a liquid CO</w:t>
      </w:r>
      <w:r w:rsidRPr="001C2D33">
        <w:rPr>
          <w:rFonts w:cstheme="minorHAnsi"/>
          <w:vertAlign w:val="subscript"/>
        </w:rPr>
        <w:t>2</w:t>
      </w:r>
      <w:r w:rsidRPr="001C2D33">
        <w:rPr>
          <w:rFonts w:cstheme="minorHAnsi"/>
        </w:rPr>
        <w:t xml:space="preserve"> canister which allowed fine control of the </w:t>
      </w:r>
      <w:proofErr w:type="spellStart"/>
      <w:r w:rsidR="008E5EA8">
        <w:rPr>
          <w:rFonts w:cstheme="minorHAnsi"/>
        </w:rPr>
        <w:t>cuvette's</w:t>
      </w:r>
      <w:proofErr w:type="spellEnd"/>
      <w:r w:rsidRPr="001C2D33">
        <w:rPr>
          <w:rFonts w:cstheme="minorHAnsi"/>
        </w:rPr>
        <w:t xml:space="preserve"> CO</w:t>
      </w:r>
      <w:r w:rsidRPr="001C2D33">
        <w:rPr>
          <w:rFonts w:cstheme="minorHAnsi"/>
          <w:vertAlign w:val="subscript"/>
        </w:rPr>
        <w:t xml:space="preserve">2 </w:t>
      </w:r>
      <w:r w:rsidRPr="001C2D33">
        <w:rPr>
          <w:rFonts w:cstheme="minorHAnsi"/>
        </w:rPr>
        <w:t>environment. In all experiments flow rate was 500µmol s</w:t>
      </w:r>
      <w:r w:rsidRPr="001C2D33">
        <w:rPr>
          <w:rFonts w:cstheme="minorHAnsi"/>
          <w:noProof/>
          <w:vertAlign w:val="superscript"/>
        </w:rPr>
        <w:t>-</w:t>
      </w:r>
      <w:r w:rsidRPr="001C2D33">
        <w:rPr>
          <w:rFonts w:cstheme="minorHAnsi"/>
          <w:vertAlign w:val="superscript"/>
        </w:rPr>
        <w:t>1</w:t>
      </w:r>
      <w:r w:rsidRPr="001C2D33">
        <w:rPr>
          <w:rFonts w:cstheme="minorHAnsi"/>
        </w:rPr>
        <w:t xml:space="preserve"> and humidity values of 6</w:t>
      </w:r>
      <w:r w:rsidR="00A54878">
        <w:rPr>
          <w:rFonts w:cstheme="minorHAnsi"/>
        </w:rPr>
        <w:t>0</w:t>
      </w:r>
      <w:r w:rsidRPr="001C2D33">
        <w:rPr>
          <w:rFonts w:cstheme="minorHAnsi"/>
        </w:rPr>
        <w:t>%-7</w:t>
      </w:r>
      <w:r w:rsidR="00A54878">
        <w:rPr>
          <w:rFonts w:cstheme="minorHAnsi"/>
        </w:rPr>
        <w:t>5</w:t>
      </w:r>
      <w:r w:rsidRPr="001C2D33">
        <w:rPr>
          <w:rFonts w:cstheme="minorHAnsi"/>
        </w:rPr>
        <w:t xml:space="preserve">% were maintained </w:t>
      </w:r>
      <w:r w:rsidR="00A54878">
        <w:rPr>
          <w:rFonts w:cstheme="minorHAnsi"/>
        </w:rPr>
        <w:t xml:space="preserve">( VPD ~ 1) </w:t>
      </w:r>
      <w:r w:rsidRPr="001C2D33">
        <w:rPr>
          <w:rFonts w:cstheme="minorHAnsi"/>
        </w:rPr>
        <w:t xml:space="preserve">using self-indicating desiccant. The leaf </w:t>
      </w:r>
      <w:r w:rsidR="00A54878">
        <w:rPr>
          <w:rFonts w:cstheme="minorHAnsi"/>
        </w:rPr>
        <w:t>temperature</w:t>
      </w:r>
      <w:r w:rsidRPr="001C2D33">
        <w:rPr>
          <w:rFonts w:cstheme="minorHAnsi"/>
        </w:rPr>
        <w:t xml:space="preserve"> was maintained at a temperature of 20°C. The leaf chamber was constructed of two parts: the upper half could be</w:t>
      </w:r>
      <w:r w:rsidRPr="001C2D33">
        <w:rPr>
          <w:rFonts w:cstheme="minorHAnsi"/>
          <w:vertAlign w:val="superscript"/>
        </w:rPr>
        <w:t xml:space="preserve"> </w:t>
      </w:r>
      <w:r w:rsidRPr="001C2D33">
        <w:rPr>
          <w:rFonts w:cstheme="minorHAnsi"/>
        </w:rPr>
        <w:t>replaced with the light-emitting diode light source, and the bottom</w:t>
      </w:r>
      <w:r w:rsidRPr="001C2D33">
        <w:rPr>
          <w:rFonts w:cstheme="minorHAnsi"/>
          <w:vertAlign w:val="superscript"/>
        </w:rPr>
        <w:t xml:space="preserve"> </w:t>
      </w:r>
      <w:r w:rsidRPr="001C2D33">
        <w:rPr>
          <w:rFonts w:cstheme="minorHAnsi"/>
        </w:rPr>
        <w:t xml:space="preserve">half held the leaf-temperature thermocouple. Two </w:t>
      </w:r>
      <w:proofErr w:type="spellStart"/>
      <w:r w:rsidRPr="001C2D33">
        <w:rPr>
          <w:rFonts w:cstheme="minorHAnsi"/>
        </w:rPr>
        <w:t>GaAsP</w:t>
      </w:r>
      <w:proofErr w:type="spellEnd"/>
      <w:r w:rsidRPr="001C2D33">
        <w:rPr>
          <w:rFonts w:cstheme="minorHAnsi"/>
        </w:rPr>
        <w:t xml:space="preserve"> PAR sensors</w:t>
      </w:r>
      <w:r w:rsidRPr="001C2D33">
        <w:rPr>
          <w:rFonts w:cstheme="minorHAnsi"/>
          <w:vertAlign w:val="superscript"/>
        </w:rPr>
        <w:t xml:space="preserve"> </w:t>
      </w:r>
      <w:r w:rsidRPr="001C2D33">
        <w:rPr>
          <w:rFonts w:cstheme="minorHAnsi"/>
        </w:rPr>
        <w:t>were fitted, one positioned inside the upper half of the leaf chamber</w:t>
      </w:r>
      <w:r w:rsidRPr="001C2D33">
        <w:rPr>
          <w:rFonts w:cstheme="minorHAnsi"/>
          <w:vertAlign w:val="superscript"/>
        </w:rPr>
        <w:t xml:space="preserve"> </w:t>
      </w:r>
      <w:r w:rsidRPr="001C2D33">
        <w:rPr>
          <w:rFonts w:cstheme="minorHAnsi"/>
        </w:rPr>
        <w:t>and the other positioned externally, beside the leaf chamber.</w:t>
      </w:r>
      <w:r w:rsidR="008E5EA8">
        <w:rPr>
          <w:rFonts w:cstheme="minorHAnsi"/>
        </w:rPr>
        <w:t xml:space="preserve"> </w:t>
      </w:r>
      <w:r w:rsidRPr="001C2D33">
        <w:rPr>
          <w:rFonts w:cstheme="minorHAnsi"/>
        </w:rPr>
        <w:t>The gas analyzer has two lines (</w:t>
      </w:r>
      <w:r w:rsidRPr="001C2D33">
        <w:rPr>
          <w:rFonts w:cstheme="minorHAnsi"/>
          <w:b/>
        </w:rPr>
        <w:t xml:space="preserve">Figure </w:t>
      </w:r>
      <w:r w:rsidRPr="001C2D33">
        <w:rPr>
          <w:rFonts w:cstheme="minorHAnsi"/>
          <w:b/>
          <w:noProof/>
        </w:rPr>
        <w:t>2.</w:t>
      </w:r>
      <w:r w:rsidR="00A54878">
        <w:rPr>
          <w:rFonts w:cstheme="minorHAnsi"/>
          <w:b/>
          <w:noProof/>
        </w:rPr>
        <w:t>6</w:t>
      </w:r>
      <w:r w:rsidRPr="001C2D33">
        <w:rPr>
          <w:rFonts w:cstheme="minorHAnsi"/>
          <w:b/>
        </w:rPr>
        <w:t>)</w:t>
      </w:r>
      <w:r w:rsidRPr="001C2D33">
        <w:rPr>
          <w:rFonts w:cstheme="minorHAnsi"/>
        </w:rPr>
        <w:t xml:space="preserve">, a sample line which passes by the chamber containing the leaf and an empty reference chamber. </w:t>
      </w:r>
    </w:p>
    <w:p w:rsidR="0062374B" w:rsidRDefault="0062374B" w:rsidP="004E4353">
      <w:pPr>
        <w:spacing w:line="360" w:lineRule="auto"/>
        <w:ind w:right="-126"/>
        <w:jc w:val="both"/>
        <w:rPr>
          <w:rFonts w:cstheme="minorHAnsi"/>
          <w:i/>
        </w:rPr>
      </w:pPr>
      <w:r w:rsidRPr="001C2D33">
        <w:rPr>
          <w:rFonts w:cstheme="minorHAnsi"/>
        </w:rPr>
        <w:t>A mature leaf was placed in the leaf chamber</w:t>
      </w:r>
      <w:r w:rsidR="001B5582">
        <w:rPr>
          <w:rFonts w:cstheme="minorHAnsi"/>
        </w:rPr>
        <w:t xml:space="preserve"> while still attached to the plant</w:t>
      </w:r>
      <w:r w:rsidRPr="001C2D33">
        <w:rPr>
          <w:rFonts w:cstheme="minorHAnsi"/>
        </w:rPr>
        <w:t xml:space="preserve"> and left until gas exchange stabilized</w:t>
      </w:r>
      <w:r w:rsidR="001B5582">
        <w:rPr>
          <w:rFonts w:cstheme="minorHAnsi"/>
        </w:rPr>
        <w:t xml:space="preserve"> (minimum 45 minutes)</w:t>
      </w:r>
      <w:r w:rsidRPr="001C2D33">
        <w:rPr>
          <w:rFonts w:cstheme="minorHAnsi"/>
        </w:rPr>
        <w:t xml:space="preserve">. </w:t>
      </w:r>
      <w:r w:rsidR="001B5582">
        <w:rPr>
          <w:rFonts w:cstheme="minorHAnsi"/>
        </w:rPr>
        <w:t xml:space="preserve">Plants were placed in a small tray containing water throughout the experiments. </w:t>
      </w:r>
      <w:r w:rsidRPr="001C2D33">
        <w:rPr>
          <w:rFonts w:cstheme="minorHAnsi"/>
        </w:rPr>
        <w:t>Conditions (light intensity and CO</w:t>
      </w:r>
      <w:r w:rsidRPr="001C2D33">
        <w:rPr>
          <w:rFonts w:cstheme="minorHAnsi"/>
          <w:vertAlign w:val="subscript"/>
        </w:rPr>
        <w:t>2</w:t>
      </w:r>
      <w:r w:rsidRPr="001C2D33">
        <w:rPr>
          <w:rFonts w:cstheme="minorHAnsi"/>
        </w:rPr>
        <w:t xml:space="preserve"> levels) in the chamber were altered depending on the experiments and the gas exchange monitored until it stabilized again</w:t>
      </w:r>
      <w:r w:rsidR="001B5582">
        <w:rPr>
          <w:rFonts w:cstheme="minorHAnsi"/>
        </w:rPr>
        <w:t xml:space="preserve"> (minimum 1 hour)</w:t>
      </w:r>
      <w:r w:rsidRPr="001C2D33">
        <w:rPr>
          <w:rFonts w:cstheme="minorHAnsi"/>
        </w:rPr>
        <w:t xml:space="preserve">. </w:t>
      </w:r>
      <w:r w:rsidR="001B5582">
        <w:rPr>
          <w:rFonts w:cstheme="minorHAnsi"/>
        </w:rPr>
        <w:t xml:space="preserve">The IRGAs were matched at least once every 20 minutes. </w:t>
      </w:r>
      <w:r w:rsidRPr="001C2D33">
        <w:rPr>
          <w:rFonts w:cstheme="minorHAnsi"/>
        </w:rPr>
        <w:t>At least three plants of each genotype were analysed for each treatment</w:t>
      </w:r>
      <w:r w:rsidRPr="001C2D33">
        <w:rPr>
          <w:rFonts w:cstheme="minorHAnsi"/>
          <w:i/>
        </w:rPr>
        <w:t>.</w:t>
      </w:r>
    </w:p>
    <w:p w:rsidR="00A2079D" w:rsidRPr="001C2D33" w:rsidRDefault="00A2079D" w:rsidP="00A2079D">
      <w:pPr>
        <w:spacing w:line="360" w:lineRule="auto"/>
        <w:rPr>
          <w:rFonts w:cstheme="minorHAnsi"/>
        </w:rPr>
      </w:pPr>
      <w:r w:rsidRPr="001C2D33">
        <w:rPr>
          <w:rFonts w:cstheme="minorHAnsi"/>
        </w:rPr>
        <w:t xml:space="preserve">Leaf size in the chamber was determined from images and analysed using </w:t>
      </w:r>
      <w:proofErr w:type="spellStart"/>
      <w:r w:rsidRPr="001C2D33">
        <w:rPr>
          <w:rFonts w:cstheme="minorHAnsi"/>
        </w:rPr>
        <w:t>ImageJ</w:t>
      </w:r>
      <w:proofErr w:type="spellEnd"/>
      <w:r w:rsidRPr="001C2D33">
        <w:rPr>
          <w:rFonts w:cstheme="minorHAnsi"/>
        </w:rPr>
        <w:t xml:space="preserve">. </w:t>
      </w:r>
    </w:p>
    <w:p w:rsidR="003F07A2" w:rsidRPr="001C2D33" w:rsidRDefault="0062374B" w:rsidP="004E4353">
      <w:pPr>
        <w:spacing w:line="360" w:lineRule="auto"/>
        <w:rPr>
          <w:rFonts w:cstheme="minorHAnsi"/>
          <w:b/>
        </w:rPr>
      </w:pPr>
      <w:r w:rsidRPr="001C2D33">
        <w:rPr>
          <w:rFonts w:cstheme="minorHAnsi"/>
          <w:b/>
          <w:noProof/>
        </w:rPr>
        <w:drawing>
          <wp:inline distT="0" distB="0" distL="0" distR="0">
            <wp:extent cx="3821793" cy="1858060"/>
            <wp:effectExtent l="19050" t="0" r="0" b="0"/>
            <wp:docPr id="1" name="Picture 0" descr="IRGA.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GA.wmf"/>
                    <pic:cNvPicPr/>
                  </pic:nvPicPr>
                  <pic:blipFill>
                    <a:blip r:embed="rId12" cstate="print"/>
                    <a:stretch>
                      <a:fillRect/>
                    </a:stretch>
                  </pic:blipFill>
                  <pic:spPr>
                    <a:xfrm>
                      <a:off x="0" y="0"/>
                      <a:ext cx="3816350" cy="1854200"/>
                    </a:xfrm>
                    <a:prstGeom prst="rect">
                      <a:avLst/>
                    </a:prstGeom>
                  </pic:spPr>
                </pic:pic>
              </a:graphicData>
            </a:graphic>
          </wp:inline>
        </w:drawing>
      </w:r>
    </w:p>
    <w:p w:rsidR="0062374B" w:rsidRPr="00A54878" w:rsidRDefault="0062374B" w:rsidP="004E4353">
      <w:pPr>
        <w:spacing w:line="360" w:lineRule="auto"/>
        <w:rPr>
          <w:rFonts w:ascii="Times New Roman" w:hAnsi="Times New Roman" w:cs="Times New Roman"/>
          <w:b/>
          <w:sz w:val="20"/>
          <w:szCs w:val="20"/>
        </w:rPr>
      </w:pPr>
      <w:bookmarkStart w:id="1" w:name="_Ref305667996"/>
      <w:r w:rsidRPr="00A54878">
        <w:rPr>
          <w:rFonts w:ascii="Times New Roman" w:hAnsi="Times New Roman" w:cs="Times New Roman"/>
          <w:b/>
          <w:sz w:val="20"/>
          <w:szCs w:val="20"/>
        </w:rPr>
        <w:t xml:space="preserve">Figure </w:t>
      </w:r>
      <w:r w:rsidRPr="00A54878">
        <w:rPr>
          <w:rFonts w:ascii="Times New Roman" w:hAnsi="Times New Roman" w:cs="Times New Roman"/>
          <w:b/>
          <w:noProof/>
          <w:sz w:val="20"/>
          <w:szCs w:val="20"/>
        </w:rPr>
        <w:t>2</w:t>
      </w:r>
      <w:r w:rsidRPr="00A54878">
        <w:rPr>
          <w:rFonts w:ascii="Times New Roman" w:hAnsi="Times New Roman" w:cs="Times New Roman"/>
          <w:b/>
          <w:sz w:val="20"/>
          <w:szCs w:val="20"/>
        </w:rPr>
        <w:t>.</w:t>
      </w:r>
      <w:bookmarkEnd w:id="1"/>
      <w:r w:rsidR="00A54878" w:rsidRPr="00A54878">
        <w:rPr>
          <w:rFonts w:ascii="Times New Roman" w:hAnsi="Times New Roman" w:cs="Times New Roman"/>
          <w:b/>
          <w:noProof/>
          <w:sz w:val="20"/>
          <w:szCs w:val="20"/>
        </w:rPr>
        <w:t>6</w:t>
      </w:r>
      <w:r w:rsidRPr="00A54878">
        <w:rPr>
          <w:rFonts w:ascii="Times New Roman" w:hAnsi="Times New Roman" w:cs="Times New Roman"/>
          <w:b/>
          <w:sz w:val="20"/>
          <w:szCs w:val="20"/>
        </w:rPr>
        <w:t xml:space="preserve"> </w:t>
      </w:r>
      <w:r w:rsidR="00A70063" w:rsidRPr="00A54878">
        <w:rPr>
          <w:rFonts w:ascii="Times New Roman" w:hAnsi="Times New Roman" w:cs="Times New Roman"/>
          <w:b/>
          <w:sz w:val="20"/>
          <w:szCs w:val="20"/>
        </w:rPr>
        <w:t>LICOR</w:t>
      </w:r>
      <w:r w:rsidR="00A54878" w:rsidRPr="00A54878">
        <w:rPr>
          <w:rFonts w:ascii="Times New Roman" w:hAnsi="Times New Roman" w:cs="Times New Roman"/>
          <w:b/>
          <w:sz w:val="20"/>
          <w:szCs w:val="20"/>
        </w:rPr>
        <w:t xml:space="preserve"> flow system (taken from LICOR LI-6100 manual).</w:t>
      </w:r>
    </w:p>
    <w:p w:rsidR="00A2079D" w:rsidRDefault="00A2079D" w:rsidP="00A2079D">
      <w:pPr>
        <w:spacing w:line="360" w:lineRule="auto"/>
        <w:rPr>
          <w:rFonts w:cstheme="minorHAnsi"/>
          <w:b/>
        </w:rPr>
      </w:pPr>
    </w:p>
    <w:p w:rsidR="00A2079D" w:rsidRDefault="007D14D8" w:rsidP="007D14D8">
      <w:pPr>
        <w:spacing w:line="360" w:lineRule="auto"/>
        <w:jc w:val="center"/>
        <w:rPr>
          <w:rFonts w:cstheme="minorHAnsi"/>
          <w:b/>
        </w:rPr>
      </w:pPr>
      <w:r>
        <w:rPr>
          <w:rFonts w:cstheme="minorHAnsi"/>
          <w:b/>
        </w:rPr>
        <w:t xml:space="preserve">2.14 </w:t>
      </w:r>
      <w:r w:rsidR="007E6564" w:rsidRPr="001C2D33">
        <w:rPr>
          <w:rFonts w:cstheme="minorHAnsi"/>
          <w:b/>
        </w:rPr>
        <w:t>Carbon Isotope Analysis and Water use efficiency</w:t>
      </w:r>
    </w:p>
    <w:p w:rsidR="007E6564" w:rsidRDefault="008E5EA8" w:rsidP="00A2079D">
      <w:pPr>
        <w:spacing w:line="360" w:lineRule="auto"/>
        <w:jc w:val="both"/>
        <w:rPr>
          <w:rFonts w:cstheme="minorHAnsi"/>
        </w:rPr>
      </w:pPr>
      <w:r>
        <w:rPr>
          <w:rFonts w:cstheme="minorHAnsi"/>
        </w:rPr>
        <w:t>Two to three</w:t>
      </w:r>
      <w:r w:rsidR="007E6564" w:rsidRPr="001C2D33">
        <w:rPr>
          <w:rFonts w:cstheme="minorHAnsi"/>
        </w:rPr>
        <w:t xml:space="preserve"> dried fully matured </w:t>
      </w:r>
      <w:r w:rsidR="008E7F28">
        <w:rPr>
          <w:rFonts w:cstheme="minorHAnsi"/>
          <w:i/>
        </w:rPr>
        <w:t xml:space="preserve">Arabidopsis </w:t>
      </w:r>
      <w:r w:rsidR="007E6564" w:rsidRPr="001C2D33">
        <w:rPr>
          <w:rFonts w:cstheme="minorHAnsi"/>
        </w:rPr>
        <w:t xml:space="preserve">leaves from each plant were dried overnight at 75 ºC and ground </w:t>
      </w:r>
      <w:r>
        <w:rPr>
          <w:rFonts w:cstheme="minorHAnsi"/>
        </w:rPr>
        <w:t xml:space="preserve">to powder </w:t>
      </w:r>
      <w:r w:rsidR="007E6564" w:rsidRPr="001C2D33">
        <w:rPr>
          <w:rFonts w:cstheme="minorHAnsi"/>
        </w:rPr>
        <w:t xml:space="preserve">in 1.5ml </w:t>
      </w:r>
      <w:proofErr w:type="spellStart"/>
      <w:r w:rsidR="007E6564" w:rsidRPr="001C2D33">
        <w:rPr>
          <w:rFonts w:cstheme="minorHAnsi"/>
        </w:rPr>
        <w:t>ependorf</w:t>
      </w:r>
      <w:proofErr w:type="spellEnd"/>
      <w:r w:rsidR="007E6564" w:rsidRPr="001C2D33">
        <w:rPr>
          <w:rFonts w:cstheme="minorHAnsi"/>
        </w:rPr>
        <w:t xml:space="preserve"> tubes using plastic pestles. </w:t>
      </w:r>
      <w:r w:rsidR="008E7F28">
        <w:rPr>
          <w:rFonts w:cstheme="minorHAnsi"/>
        </w:rPr>
        <w:t xml:space="preserve">Barley flag leaf </w:t>
      </w:r>
      <w:r w:rsidR="008E7F28">
        <w:rPr>
          <w:rFonts w:cstheme="minorHAnsi"/>
        </w:rPr>
        <w:lastRenderedPageBreak/>
        <w:t xml:space="preserve">samples which were already dried were  </w:t>
      </w:r>
      <w:r w:rsidR="008E7F28" w:rsidRPr="001C2D33">
        <w:rPr>
          <w:rFonts w:cstheme="minorHAnsi"/>
        </w:rPr>
        <w:t xml:space="preserve">ground </w:t>
      </w:r>
      <w:r>
        <w:rPr>
          <w:rFonts w:cstheme="minorHAnsi"/>
        </w:rPr>
        <w:t>to powder following the same method</w:t>
      </w:r>
      <w:r w:rsidR="008E7F28">
        <w:rPr>
          <w:rFonts w:cstheme="minorHAnsi"/>
        </w:rPr>
        <w:t xml:space="preserve">. </w:t>
      </w:r>
      <w:r w:rsidR="007E6564" w:rsidRPr="001C2D33">
        <w:rPr>
          <w:rFonts w:cstheme="minorHAnsi"/>
        </w:rPr>
        <w:t xml:space="preserve">For </w:t>
      </w:r>
      <w:r w:rsidR="008E7F28">
        <w:rPr>
          <w:rFonts w:cstheme="minorHAnsi"/>
          <w:i/>
        </w:rPr>
        <w:t xml:space="preserve">Arabidopsis </w:t>
      </w:r>
      <w:r w:rsidR="007E6564" w:rsidRPr="001C2D33">
        <w:rPr>
          <w:rFonts w:cstheme="minorHAnsi"/>
        </w:rPr>
        <w:t xml:space="preserve">plants grown for the drought experiment, entire rosettes were dried and ground down. 1-2 mg of each sample was added to foil cups and </w:t>
      </w:r>
      <w:r w:rsidR="00B44200" w:rsidRPr="001C2D33">
        <w:rPr>
          <w:rFonts w:cstheme="minorHAnsi"/>
        </w:rPr>
        <w:t xml:space="preserve">combusted at 1800°C, passed into a gas chromatograph where components are separated and then passed into a mass spectrometer (ANCA GSL 20-20 Mass Spectrometer made by </w:t>
      </w:r>
      <w:proofErr w:type="spellStart"/>
      <w:r w:rsidR="00B44200" w:rsidRPr="001C2D33">
        <w:rPr>
          <w:rFonts w:cstheme="minorHAnsi"/>
        </w:rPr>
        <w:t>Sercon</w:t>
      </w:r>
      <w:proofErr w:type="spellEnd"/>
      <w:r w:rsidR="00B44200" w:rsidRPr="001C2D33">
        <w:rPr>
          <w:rFonts w:cstheme="minorHAnsi"/>
        </w:rPr>
        <w:t xml:space="preserve"> PDZ </w:t>
      </w:r>
      <w:proofErr w:type="spellStart"/>
      <w:r w:rsidR="00B44200" w:rsidRPr="001C2D33">
        <w:rPr>
          <w:rFonts w:cstheme="minorHAnsi"/>
        </w:rPr>
        <w:t>Europa</w:t>
      </w:r>
      <w:proofErr w:type="spellEnd"/>
      <w:r w:rsidR="00B44200" w:rsidRPr="001C2D33">
        <w:rPr>
          <w:rFonts w:cstheme="minorHAnsi"/>
        </w:rPr>
        <w:t xml:space="preserve">) where </w:t>
      </w:r>
      <w:r w:rsidR="00B44200" w:rsidRPr="001C2D33">
        <w:rPr>
          <w:rFonts w:cstheme="minorHAnsi"/>
          <w:vertAlign w:val="superscript"/>
        </w:rPr>
        <w:t>12</w:t>
      </w:r>
      <w:r w:rsidR="00B44200" w:rsidRPr="001C2D33">
        <w:rPr>
          <w:rFonts w:cstheme="minorHAnsi"/>
        </w:rPr>
        <w:t>CO</w:t>
      </w:r>
      <w:r w:rsidR="00B44200" w:rsidRPr="001C2D33">
        <w:rPr>
          <w:rFonts w:cstheme="minorHAnsi"/>
          <w:vertAlign w:val="subscript"/>
        </w:rPr>
        <w:t>2</w:t>
      </w:r>
      <w:r w:rsidR="00B44200" w:rsidRPr="001C2D33">
        <w:rPr>
          <w:rFonts w:cstheme="minorHAnsi"/>
        </w:rPr>
        <w:t xml:space="preserve"> and </w:t>
      </w:r>
      <w:r w:rsidR="00B44200" w:rsidRPr="001C2D33">
        <w:rPr>
          <w:rFonts w:cstheme="minorHAnsi"/>
          <w:vertAlign w:val="superscript"/>
        </w:rPr>
        <w:t>13</w:t>
      </w:r>
      <w:r w:rsidR="00B44200" w:rsidRPr="001C2D33">
        <w:rPr>
          <w:rFonts w:cstheme="minorHAnsi"/>
        </w:rPr>
        <w:t>CO</w:t>
      </w:r>
      <w:r w:rsidR="00B44200" w:rsidRPr="001C2D33">
        <w:rPr>
          <w:rFonts w:cstheme="minorHAnsi"/>
          <w:vertAlign w:val="subscript"/>
        </w:rPr>
        <w:t>2</w:t>
      </w:r>
      <w:r w:rsidR="00B44200" w:rsidRPr="001C2D33">
        <w:rPr>
          <w:rFonts w:cstheme="minorHAnsi"/>
        </w:rPr>
        <w:t xml:space="preserve"> were ionized and separated by mass using a magnetic field.</w:t>
      </w:r>
    </w:p>
    <w:p w:rsidR="00BE4CF5" w:rsidRPr="001C2D33" w:rsidRDefault="00BE4CF5" w:rsidP="00BE4CF5">
      <w:pPr>
        <w:spacing w:line="360" w:lineRule="auto"/>
        <w:jc w:val="center"/>
        <w:rPr>
          <w:rFonts w:cstheme="minorHAnsi"/>
          <w:b/>
        </w:rPr>
      </w:pPr>
      <w:r w:rsidRPr="001C2D33">
        <w:rPr>
          <w:rFonts w:cstheme="minorHAnsi"/>
          <w:b/>
        </w:rPr>
        <w:t>2.</w:t>
      </w:r>
      <w:r>
        <w:rPr>
          <w:rFonts w:cstheme="minorHAnsi"/>
          <w:b/>
        </w:rPr>
        <w:t xml:space="preserve">15 Leaf </w:t>
      </w:r>
      <w:proofErr w:type="spellStart"/>
      <w:r>
        <w:rPr>
          <w:rFonts w:cstheme="minorHAnsi"/>
          <w:b/>
        </w:rPr>
        <w:t>Turgor</w:t>
      </w:r>
      <w:proofErr w:type="spellEnd"/>
    </w:p>
    <w:p w:rsidR="002F7F61" w:rsidRPr="00BE4CF5" w:rsidRDefault="00BE4CF5" w:rsidP="00BE4CF5">
      <w:pPr>
        <w:spacing w:line="360" w:lineRule="auto"/>
        <w:rPr>
          <w:rFonts w:cstheme="minorHAnsi"/>
        </w:rPr>
      </w:pPr>
      <w:r>
        <w:rPr>
          <w:rFonts w:cstheme="minorHAnsi"/>
        </w:rPr>
        <w:t xml:space="preserve">Leaf </w:t>
      </w:r>
      <w:proofErr w:type="spellStart"/>
      <w:r>
        <w:rPr>
          <w:rFonts w:cstheme="minorHAnsi"/>
        </w:rPr>
        <w:t>turgor</w:t>
      </w:r>
      <w:proofErr w:type="spellEnd"/>
      <w:r>
        <w:rPr>
          <w:rFonts w:cstheme="minorHAnsi"/>
        </w:rPr>
        <w:t xml:space="preserve"> was qualitatively determined based on leaf "floppiness". Leaves held from the middle which drooped more than 70° were considered to have lost </w:t>
      </w:r>
      <w:proofErr w:type="spellStart"/>
      <w:r>
        <w:rPr>
          <w:rFonts w:cstheme="minorHAnsi"/>
        </w:rPr>
        <w:t>turgor</w:t>
      </w:r>
      <w:proofErr w:type="spellEnd"/>
      <w:r>
        <w:rPr>
          <w:rFonts w:cstheme="minorHAnsi"/>
        </w:rPr>
        <w:t>.</w:t>
      </w:r>
    </w:p>
    <w:p w:rsidR="00904C18" w:rsidRPr="001C2D33" w:rsidRDefault="005A48EA" w:rsidP="00A2079D">
      <w:pPr>
        <w:spacing w:line="360" w:lineRule="auto"/>
        <w:jc w:val="center"/>
        <w:rPr>
          <w:rFonts w:cstheme="minorHAnsi"/>
          <w:b/>
        </w:rPr>
      </w:pPr>
      <w:r w:rsidRPr="001C2D33">
        <w:rPr>
          <w:rFonts w:cstheme="minorHAnsi"/>
          <w:b/>
        </w:rPr>
        <w:t>2.1</w:t>
      </w:r>
      <w:r w:rsidR="00BE4CF5">
        <w:rPr>
          <w:rFonts w:cstheme="minorHAnsi"/>
          <w:b/>
        </w:rPr>
        <w:t>6</w:t>
      </w:r>
      <w:r w:rsidR="00904C18" w:rsidRPr="001C2D33">
        <w:rPr>
          <w:rFonts w:cstheme="minorHAnsi"/>
          <w:b/>
        </w:rPr>
        <w:t xml:space="preserve"> Statistical analysis</w:t>
      </w:r>
    </w:p>
    <w:p w:rsidR="00904C18" w:rsidRPr="001C2D33" w:rsidRDefault="00904C18" w:rsidP="007E6564">
      <w:pPr>
        <w:spacing w:line="360" w:lineRule="auto"/>
        <w:jc w:val="both"/>
        <w:rPr>
          <w:rFonts w:cstheme="minorHAnsi"/>
        </w:rPr>
      </w:pPr>
      <w:r w:rsidRPr="001C2D33">
        <w:rPr>
          <w:rFonts w:cstheme="minorHAnsi"/>
        </w:rPr>
        <w:t xml:space="preserve">Two and three way analysis of variance was calculated using the R programming language available from CRAN family of internet sites. </w:t>
      </w:r>
      <w:r w:rsidR="00600CBF" w:rsidRPr="001C2D33">
        <w:rPr>
          <w:rFonts w:cstheme="minorHAnsi"/>
        </w:rPr>
        <w:t>For a sample of the scr</w:t>
      </w:r>
      <w:r w:rsidR="003027F2">
        <w:rPr>
          <w:rFonts w:cstheme="minorHAnsi"/>
        </w:rPr>
        <w:t>ipt used in R, please refer to</w:t>
      </w:r>
      <w:r w:rsidR="00600CBF" w:rsidRPr="001C2D33">
        <w:rPr>
          <w:rFonts w:cstheme="minorHAnsi"/>
        </w:rPr>
        <w:t xml:space="preserve"> annexe 1. </w:t>
      </w:r>
      <w:r w:rsidRPr="001C2D33">
        <w:rPr>
          <w:rFonts w:cstheme="minorHAnsi"/>
        </w:rPr>
        <w:t xml:space="preserve">Variance was considered significant for p&lt;0.05. Individual </w:t>
      </w:r>
      <w:r w:rsidR="00A70063" w:rsidRPr="001C2D33">
        <w:rPr>
          <w:rFonts w:cstheme="minorHAnsi"/>
        </w:rPr>
        <w:t xml:space="preserve">un-paired </w:t>
      </w:r>
      <w:r w:rsidRPr="001C2D33">
        <w:rPr>
          <w:rFonts w:cstheme="minorHAnsi"/>
        </w:rPr>
        <w:t>student T tests were conducted with Microsoft Excel.</w:t>
      </w:r>
    </w:p>
    <w:p w:rsidR="0062374B" w:rsidRPr="001C2D33" w:rsidRDefault="0062374B" w:rsidP="004E4353">
      <w:pPr>
        <w:spacing w:line="360" w:lineRule="auto"/>
        <w:rPr>
          <w:rFonts w:cstheme="minorHAnsi"/>
          <w:b/>
        </w:rPr>
      </w:pPr>
    </w:p>
    <w:sectPr w:rsidR="0062374B" w:rsidRPr="001C2D33" w:rsidSect="0036616E">
      <w:headerReference w:type="default" r:id="rId13"/>
      <w:footerReference w:type="default" r:id="rId14"/>
      <w:pgSz w:w="11906" w:h="16838" w:code="9"/>
      <w:pgMar w:top="1440" w:right="1134" w:bottom="1440" w:left="2268" w:header="709" w:footer="709" w:gutter="0"/>
      <w:pgNumType w:start="2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44E7" w:rsidRDefault="009E44E7" w:rsidP="001C2D33">
      <w:pPr>
        <w:spacing w:after="0" w:line="240" w:lineRule="auto"/>
      </w:pPr>
      <w:r>
        <w:separator/>
      </w:r>
    </w:p>
  </w:endnote>
  <w:endnote w:type="continuationSeparator" w:id="0">
    <w:p w:rsidR="009E44E7" w:rsidRDefault="009E44E7" w:rsidP="001C2D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09F" w:csb1="00000000"/>
  </w:font>
  <w:font w:name="Menlo Regular">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63108"/>
      <w:docPartObj>
        <w:docPartGallery w:val="Page Numbers (Bottom of Page)"/>
        <w:docPartUnique/>
      </w:docPartObj>
    </w:sdtPr>
    <w:sdtContent>
      <w:p w:rsidR="0061772E" w:rsidRDefault="00E632A4">
        <w:pPr>
          <w:pStyle w:val="Footer"/>
          <w:jc w:val="right"/>
        </w:pPr>
        <w:fldSimple w:instr=" PAGE   \* MERGEFORMAT ">
          <w:r w:rsidR="0036616E">
            <w:rPr>
              <w:noProof/>
            </w:rPr>
            <w:t>37</w:t>
          </w:r>
        </w:fldSimple>
      </w:p>
    </w:sdtContent>
  </w:sdt>
  <w:p w:rsidR="0061772E" w:rsidRDefault="006177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44E7" w:rsidRDefault="009E44E7" w:rsidP="001C2D33">
      <w:pPr>
        <w:spacing w:after="0" w:line="240" w:lineRule="auto"/>
      </w:pPr>
      <w:r>
        <w:separator/>
      </w:r>
    </w:p>
  </w:footnote>
  <w:footnote w:type="continuationSeparator" w:id="0">
    <w:p w:rsidR="009E44E7" w:rsidRDefault="009E44E7" w:rsidP="001C2D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72E" w:rsidRPr="00E97495" w:rsidRDefault="0061772E" w:rsidP="001C2D33">
    <w:pPr>
      <w:pStyle w:val="Header"/>
      <w:jc w:val="right"/>
      <w:rPr>
        <w:b/>
        <w:sz w:val="18"/>
        <w:szCs w:val="18"/>
      </w:rPr>
    </w:pPr>
    <w:r w:rsidRPr="00E97495">
      <w:rPr>
        <w:b/>
        <w:sz w:val="18"/>
        <w:szCs w:val="18"/>
      </w:rPr>
      <w:t>Chapter 2: Materials and Methods</w:t>
    </w:r>
  </w:p>
  <w:p w:rsidR="0061772E" w:rsidRDefault="0061772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40C10"/>
    <w:multiLevelType w:val="multilevel"/>
    <w:tmpl w:val="5838D06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562"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20"/>
  <w:characterSpacingControl w:val="doNotCompress"/>
  <w:footnotePr>
    <w:footnote w:id="-1"/>
    <w:footnote w:id="0"/>
  </w:footnotePr>
  <w:endnotePr>
    <w:endnote w:id="-1"/>
    <w:endnote w:id="0"/>
  </w:endnotePr>
  <w:compat/>
  <w:rsids>
    <w:rsidRoot w:val="004E5CA5"/>
    <w:rsid w:val="0000587F"/>
    <w:rsid w:val="000121C8"/>
    <w:rsid w:val="00013EF1"/>
    <w:rsid w:val="00026201"/>
    <w:rsid w:val="000675E5"/>
    <w:rsid w:val="00073582"/>
    <w:rsid w:val="0007741C"/>
    <w:rsid w:val="000A5F99"/>
    <w:rsid w:val="000B6468"/>
    <w:rsid w:val="000D10DC"/>
    <w:rsid w:val="000E2FC7"/>
    <w:rsid w:val="00100663"/>
    <w:rsid w:val="001015D8"/>
    <w:rsid w:val="00114E0C"/>
    <w:rsid w:val="00120ED7"/>
    <w:rsid w:val="00135F9B"/>
    <w:rsid w:val="00137860"/>
    <w:rsid w:val="00152F18"/>
    <w:rsid w:val="00173D24"/>
    <w:rsid w:val="001B5582"/>
    <w:rsid w:val="001C2D33"/>
    <w:rsid w:val="001C4D5E"/>
    <w:rsid w:val="001E3197"/>
    <w:rsid w:val="001E7D54"/>
    <w:rsid w:val="00201800"/>
    <w:rsid w:val="00204F58"/>
    <w:rsid w:val="002270F1"/>
    <w:rsid w:val="00231099"/>
    <w:rsid w:val="0023226C"/>
    <w:rsid w:val="00254CBC"/>
    <w:rsid w:val="0026333B"/>
    <w:rsid w:val="00275C24"/>
    <w:rsid w:val="0028105A"/>
    <w:rsid w:val="00283341"/>
    <w:rsid w:val="00292D39"/>
    <w:rsid w:val="00293F36"/>
    <w:rsid w:val="002C275F"/>
    <w:rsid w:val="002C6C00"/>
    <w:rsid w:val="002E461B"/>
    <w:rsid w:val="002F5A6B"/>
    <w:rsid w:val="002F7F61"/>
    <w:rsid w:val="003027F2"/>
    <w:rsid w:val="0033768D"/>
    <w:rsid w:val="00345EAC"/>
    <w:rsid w:val="003470AC"/>
    <w:rsid w:val="00365964"/>
    <w:rsid w:val="0036616E"/>
    <w:rsid w:val="003961F0"/>
    <w:rsid w:val="003C6C41"/>
    <w:rsid w:val="003D3948"/>
    <w:rsid w:val="003E45EA"/>
    <w:rsid w:val="003F07A2"/>
    <w:rsid w:val="003F58F2"/>
    <w:rsid w:val="00417A81"/>
    <w:rsid w:val="00463798"/>
    <w:rsid w:val="004820D2"/>
    <w:rsid w:val="004A7632"/>
    <w:rsid w:val="004D2A10"/>
    <w:rsid w:val="004E4353"/>
    <w:rsid w:val="004E5CA5"/>
    <w:rsid w:val="004E79CE"/>
    <w:rsid w:val="00530014"/>
    <w:rsid w:val="00532E68"/>
    <w:rsid w:val="00533FB8"/>
    <w:rsid w:val="00534653"/>
    <w:rsid w:val="00565FFF"/>
    <w:rsid w:val="005A48EA"/>
    <w:rsid w:val="005C0D31"/>
    <w:rsid w:val="005C21F8"/>
    <w:rsid w:val="005C44CF"/>
    <w:rsid w:val="005E155A"/>
    <w:rsid w:val="005F5587"/>
    <w:rsid w:val="00600CBF"/>
    <w:rsid w:val="00612DB2"/>
    <w:rsid w:val="00615171"/>
    <w:rsid w:val="0061772E"/>
    <w:rsid w:val="0062374B"/>
    <w:rsid w:val="00623F22"/>
    <w:rsid w:val="00690895"/>
    <w:rsid w:val="007058DC"/>
    <w:rsid w:val="007242A2"/>
    <w:rsid w:val="00765FB4"/>
    <w:rsid w:val="007D14D8"/>
    <w:rsid w:val="007D1ADF"/>
    <w:rsid w:val="007E2E13"/>
    <w:rsid w:val="007E6564"/>
    <w:rsid w:val="00806C2E"/>
    <w:rsid w:val="00874BC9"/>
    <w:rsid w:val="008A2AC0"/>
    <w:rsid w:val="008C353A"/>
    <w:rsid w:val="008C3E05"/>
    <w:rsid w:val="008E5EA8"/>
    <w:rsid w:val="008E7E03"/>
    <w:rsid w:val="008E7F28"/>
    <w:rsid w:val="008F7C1D"/>
    <w:rsid w:val="00904C18"/>
    <w:rsid w:val="00904FD8"/>
    <w:rsid w:val="009165C0"/>
    <w:rsid w:val="00917BC1"/>
    <w:rsid w:val="00927447"/>
    <w:rsid w:val="00935DA6"/>
    <w:rsid w:val="00937A6A"/>
    <w:rsid w:val="00963CD6"/>
    <w:rsid w:val="00987C6D"/>
    <w:rsid w:val="009A1434"/>
    <w:rsid w:val="009C3573"/>
    <w:rsid w:val="009E44E7"/>
    <w:rsid w:val="00A2079D"/>
    <w:rsid w:val="00A273A9"/>
    <w:rsid w:val="00A339B5"/>
    <w:rsid w:val="00A54878"/>
    <w:rsid w:val="00A70063"/>
    <w:rsid w:val="00A838CA"/>
    <w:rsid w:val="00A83B1B"/>
    <w:rsid w:val="00AD7258"/>
    <w:rsid w:val="00AE46FA"/>
    <w:rsid w:val="00B00EF5"/>
    <w:rsid w:val="00B00FBE"/>
    <w:rsid w:val="00B12F2A"/>
    <w:rsid w:val="00B403F7"/>
    <w:rsid w:val="00B44200"/>
    <w:rsid w:val="00BB5346"/>
    <w:rsid w:val="00BC20EE"/>
    <w:rsid w:val="00BE3B07"/>
    <w:rsid w:val="00BE4CF5"/>
    <w:rsid w:val="00C12D00"/>
    <w:rsid w:val="00C15A2C"/>
    <w:rsid w:val="00C210A6"/>
    <w:rsid w:val="00C318C3"/>
    <w:rsid w:val="00C51CC9"/>
    <w:rsid w:val="00C8127F"/>
    <w:rsid w:val="00C92D76"/>
    <w:rsid w:val="00C951BF"/>
    <w:rsid w:val="00CB0E48"/>
    <w:rsid w:val="00CD7BFF"/>
    <w:rsid w:val="00CF0BB5"/>
    <w:rsid w:val="00D6385A"/>
    <w:rsid w:val="00D65F5C"/>
    <w:rsid w:val="00D82A9C"/>
    <w:rsid w:val="00D94B1B"/>
    <w:rsid w:val="00D94E62"/>
    <w:rsid w:val="00DA7318"/>
    <w:rsid w:val="00E04B46"/>
    <w:rsid w:val="00E216C6"/>
    <w:rsid w:val="00E27464"/>
    <w:rsid w:val="00E527F4"/>
    <w:rsid w:val="00E62D38"/>
    <w:rsid w:val="00E632A4"/>
    <w:rsid w:val="00E6606B"/>
    <w:rsid w:val="00E677F3"/>
    <w:rsid w:val="00E97495"/>
    <w:rsid w:val="00EA48BB"/>
    <w:rsid w:val="00EA4B9A"/>
    <w:rsid w:val="00EB06E3"/>
    <w:rsid w:val="00EB2B2E"/>
    <w:rsid w:val="00EB7E40"/>
    <w:rsid w:val="00F22C5C"/>
    <w:rsid w:val="00F540CE"/>
    <w:rsid w:val="00F715CA"/>
    <w:rsid w:val="00F74DAD"/>
    <w:rsid w:val="00F84C0D"/>
    <w:rsid w:val="00FC7CFA"/>
    <w:rsid w:val="00FE537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rules v:ext="edit">
        <o:r id="V:Rule4" type="connector" idref="#_x0000_s1027"/>
        <o:r id="V:Rule5" type="connector" idref="#_x0000_s1026"/>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CA5"/>
    <w:rPr>
      <w:rFonts w:eastAsiaTheme="minorEastAsia"/>
      <w:lang w:eastAsia="en-GB"/>
    </w:rPr>
  </w:style>
  <w:style w:type="paragraph" w:styleId="Heading1">
    <w:name w:val="heading 1"/>
    <w:basedOn w:val="Normal"/>
    <w:next w:val="Normal"/>
    <w:link w:val="Heading1Char"/>
    <w:uiPriority w:val="9"/>
    <w:qFormat/>
    <w:rsid w:val="001C2D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C2D3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C2D3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4E5CA5"/>
    <w:rPr>
      <w:i/>
      <w:iCs/>
    </w:rPr>
  </w:style>
  <w:style w:type="paragraph" w:styleId="BalloonText">
    <w:name w:val="Balloon Text"/>
    <w:basedOn w:val="Normal"/>
    <w:link w:val="BalloonTextChar"/>
    <w:uiPriority w:val="99"/>
    <w:semiHidden/>
    <w:unhideWhenUsed/>
    <w:rsid w:val="004E5C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CA5"/>
    <w:rPr>
      <w:rFonts w:ascii="Tahoma" w:eastAsiaTheme="minorEastAsia" w:hAnsi="Tahoma" w:cs="Tahoma"/>
      <w:sz w:val="16"/>
      <w:szCs w:val="16"/>
      <w:lang w:eastAsia="en-GB"/>
    </w:rPr>
  </w:style>
  <w:style w:type="table" w:styleId="TableGrid">
    <w:name w:val="Table Grid"/>
    <w:basedOn w:val="TableNormal"/>
    <w:uiPriority w:val="59"/>
    <w:rsid w:val="0062374B"/>
    <w:pPr>
      <w:spacing w:after="0" w:line="240" w:lineRule="auto"/>
    </w:pPr>
    <w:rPr>
      <w:rFonts w:eastAsiaTheme="minorEastAsia"/>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5E155A"/>
    <w:pPr>
      <w:spacing w:after="0" w:line="240" w:lineRule="auto"/>
    </w:pPr>
    <w:rPr>
      <w:rFonts w:ascii="Times New Roman" w:eastAsia="Times New Roman" w:hAnsi="Times New Roman" w:cs="Times New Roman"/>
      <w:sz w:val="24"/>
      <w:szCs w:val="20"/>
      <w:lang w:val="en-US" w:eastAsia="en-US"/>
    </w:rPr>
  </w:style>
  <w:style w:type="character" w:customStyle="1" w:styleId="BodyTextChar">
    <w:name w:val="Body Text Char"/>
    <w:basedOn w:val="DefaultParagraphFont"/>
    <w:link w:val="BodyText"/>
    <w:rsid w:val="005E155A"/>
    <w:rPr>
      <w:rFonts w:ascii="Times New Roman" w:eastAsia="Times New Roman" w:hAnsi="Times New Roman" w:cs="Times New Roman"/>
      <w:sz w:val="24"/>
      <w:szCs w:val="20"/>
      <w:lang w:val="en-US"/>
    </w:rPr>
  </w:style>
  <w:style w:type="paragraph" w:styleId="Header">
    <w:name w:val="header"/>
    <w:basedOn w:val="Normal"/>
    <w:link w:val="HeaderChar"/>
    <w:uiPriority w:val="99"/>
    <w:unhideWhenUsed/>
    <w:rsid w:val="001C2D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2D33"/>
    <w:rPr>
      <w:rFonts w:eastAsiaTheme="minorEastAsia"/>
      <w:lang w:eastAsia="en-GB"/>
    </w:rPr>
  </w:style>
  <w:style w:type="paragraph" w:styleId="Footer">
    <w:name w:val="footer"/>
    <w:basedOn w:val="Normal"/>
    <w:link w:val="FooterChar"/>
    <w:uiPriority w:val="99"/>
    <w:unhideWhenUsed/>
    <w:rsid w:val="001C2D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2D33"/>
    <w:rPr>
      <w:rFonts w:eastAsiaTheme="minorEastAsia"/>
      <w:lang w:eastAsia="en-GB"/>
    </w:rPr>
  </w:style>
  <w:style w:type="character" w:customStyle="1" w:styleId="Heading2Char">
    <w:name w:val="Heading 2 Char"/>
    <w:basedOn w:val="DefaultParagraphFont"/>
    <w:link w:val="Heading2"/>
    <w:uiPriority w:val="9"/>
    <w:rsid w:val="001C2D33"/>
    <w:rPr>
      <w:rFonts w:asciiTheme="majorHAnsi" w:eastAsiaTheme="majorEastAsia" w:hAnsiTheme="majorHAnsi" w:cstheme="majorBidi"/>
      <w:b/>
      <w:bCs/>
      <w:color w:val="4F81BD" w:themeColor="accent1"/>
      <w:sz w:val="26"/>
      <w:szCs w:val="26"/>
      <w:lang w:eastAsia="en-GB"/>
    </w:rPr>
  </w:style>
  <w:style w:type="character" w:customStyle="1" w:styleId="Heading1Char">
    <w:name w:val="Heading 1 Char"/>
    <w:basedOn w:val="DefaultParagraphFont"/>
    <w:link w:val="Heading1"/>
    <w:uiPriority w:val="9"/>
    <w:rsid w:val="001C2D33"/>
    <w:rPr>
      <w:rFonts w:asciiTheme="majorHAnsi" w:eastAsiaTheme="majorEastAsia" w:hAnsiTheme="majorHAnsi" w:cstheme="majorBidi"/>
      <w:b/>
      <w:bCs/>
      <w:color w:val="365F91" w:themeColor="accent1" w:themeShade="BF"/>
      <w:sz w:val="28"/>
      <w:szCs w:val="28"/>
      <w:lang w:eastAsia="en-GB"/>
    </w:rPr>
  </w:style>
  <w:style w:type="character" w:customStyle="1" w:styleId="Heading3Char">
    <w:name w:val="Heading 3 Char"/>
    <w:basedOn w:val="DefaultParagraphFont"/>
    <w:link w:val="Heading3"/>
    <w:uiPriority w:val="9"/>
    <w:rsid w:val="001C2D33"/>
    <w:rPr>
      <w:rFonts w:asciiTheme="majorHAnsi" w:eastAsiaTheme="majorEastAsia" w:hAnsiTheme="majorHAnsi" w:cstheme="majorBidi"/>
      <w:b/>
      <w:bCs/>
      <w:color w:val="4F81BD" w:themeColor="accent1"/>
      <w:lang w:eastAsia="en-GB"/>
    </w:rPr>
  </w:style>
  <w:style w:type="paragraph" w:styleId="Title">
    <w:name w:val="Title"/>
    <w:basedOn w:val="Normal"/>
    <w:next w:val="Normal"/>
    <w:link w:val="TitleChar"/>
    <w:uiPriority w:val="10"/>
    <w:qFormat/>
    <w:rsid w:val="001C2D3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C2D33"/>
    <w:rPr>
      <w:rFonts w:asciiTheme="majorHAnsi" w:eastAsiaTheme="majorEastAsia" w:hAnsiTheme="majorHAnsi" w:cstheme="majorBidi"/>
      <w:color w:val="17365D" w:themeColor="text2" w:themeShade="BF"/>
      <w:spacing w:val="5"/>
      <w:kern w:val="28"/>
      <w:sz w:val="52"/>
      <w:szCs w:val="52"/>
      <w:lang w:eastAsia="en-GB"/>
    </w:rPr>
  </w:style>
  <w:style w:type="character" w:styleId="PlaceholderText">
    <w:name w:val="Placeholder Text"/>
    <w:basedOn w:val="DefaultParagraphFont"/>
    <w:uiPriority w:val="99"/>
    <w:semiHidden/>
    <w:rsid w:val="00D94E62"/>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6.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12</Pages>
  <Words>2682</Words>
  <Characters>15289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dc:creator>
  <cp:lastModifiedBy>Tim</cp:lastModifiedBy>
  <cp:revision>39</cp:revision>
  <cp:lastPrinted>2013-01-13T10:03:00Z</cp:lastPrinted>
  <dcterms:created xsi:type="dcterms:W3CDTF">2012-09-24T17:29:00Z</dcterms:created>
  <dcterms:modified xsi:type="dcterms:W3CDTF">2013-04-28T18:32:00Z</dcterms:modified>
</cp:coreProperties>
</file>